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3BA5F7" w14:textId="77777777" w:rsidR="00D13417" w:rsidRDefault="00D13417" w:rsidP="00D91F70">
      <w:pPr>
        <w:pStyle w:val="Nzov"/>
        <w:spacing w:before="0" w:after="0"/>
        <w:rPr>
          <w:sz w:val="22"/>
          <w:szCs w:val="22"/>
        </w:rPr>
      </w:pPr>
      <w:bookmarkStart w:id="0" w:name="_ISIW_UH_1"/>
      <w:bookmarkStart w:id="1" w:name="_GoBack"/>
      <w:bookmarkEnd w:id="1"/>
    </w:p>
    <w:p w14:paraId="1E228CD7" w14:textId="7FE6A944" w:rsidR="003E7F6C" w:rsidRPr="00CF4824" w:rsidRDefault="003E7F6C" w:rsidP="00D91F70">
      <w:pPr>
        <w:pStyle w:val="Nzov"/>
        <w:spacing w:before="0" w:after="0"/>
        <w:rPr>
          <w:sz w:val="22"/>
          <w:szCs w:val="22"/>
        </w:rPr>
      </w:pPr>
      <w:r w:rsidRPr="00CF4824">
        <w:rPr>
          <w:sz w:val="22"/>
          <w:szCs w:val="22"/>
        </w:rPr>
        <w:t>SÚHRN CHARAKTERISTICKÝCH VLASTNOSTÍ LIEKU</w:t>
      </w:r>
    </w:p>
    <w:p w14:paraId="4EF89109" w14:textId="6D4C1F92" w:rsidR="00104D31" w:rsidRPr="00CF4824" w:rsidRDefault="00104D31" w:rsidP="00D91F70">
      <w:pPr>
        <w:pStyle w:val="Nzov"/>
        <w:spacing w:before="0" w:after="0"/>
        <w:rPr>
          <w:sz w:val="22"/>
          <w:szCs w:val="22"/>
        </w:rPr>
      </w:pPr>
    </w:p>
    <w:p w14:paraId="1C641D5A" w14:textId="77777777" w:rsidR="006E69C5" w:rsidRPr="002F3A72" w:rsidRDefault="006E69C5" w:rsidP="00D91F70">
      <w:pPr>
        <w:pStyle w:val="Nzov"/>
        <w:spacing w:before="0" w:after="0"/>
        <w:rPr>
          <w:sz w:val="22"/>
          <w:szCs w:val="22"/>
        </w:rPr>
      </w:pPr>
    </w:p>
    <w:p w14:paraId="63265B25" w14:textId="563A2CA6" w:rsidR="00A75283" w:rsidRPr="00CF4824" w:rsidRDefault="00AD3EB2" w:rsidP="004A2946">
      <w:pPr>
        <w:pStyle w:val="Nadpis1"/>
        <w:tabs>
          <w:tab w:val="clear" w:pos="0"/>
          <w:tab w:val="left" w:pos="709"/>
        </w:tabs>
        <w:spacing w:before="0" w:after="0"/>
        <w:ind w:left="0" w:firstLine="0"/>
        <w:rPr>
          <w:sz w:val="22"/>
          <w:szCs w:val="22"/>
        </w:rPr>
      </w:pPr>
      <w:r w:rsidRPr="00CF4824">
        <w:rPr>
          <w:sz w:val="22"/>
          <w:szCs w:val="22"/>
        </w:rPr>
        <w:t xml:space="preserve"> </w:t>
      </w:r>
      <w:r w:rsidRPr="00CF4824">
        <w:rPr>
          <w:sz w:val="22"/>
          <w:szCs w:val="22"/>
        </w:rPr>
        <w:tab/>
      </w:r>
      <w:r w:rsidR="0067024C" w:rsidRPr="00CF4824">
        <w:rPr>
          <w:sz w:val="22"/>
          <w:szCs w:val="22"/>
        </w:rPr>
        <w:t>NÁZOV LIEKU</w:t>
      </w:r>
    </w:p>
    <w:p w14:paraId="0FD75704" w14:textId="77777777" w:rsidR="002E05C5" w:rsidRPr="004A2946" w:rsidRDefault="002E05C5" w:rsidP="00D91F70">
      <w:pPr>
        <w:pStyle w:val="Paragraph"/>
        <w:spacing w:before="0" w:after="0" w:line="240" w:lineRule="auto"/>
        <w:rPr>
          <w:sz w:val="22"/>
          <w:szCs w:val="22"/>
        </w:rPr>
      </w:pPr>
    </w:p>
    <w:bookmarkEnd w:id="0"/>
    <w:p w14:paraId="631AADB3" w14:textId="77777777" w:rsidR="00F73360" w:rsidRDefault="00AD0D38" w:rsidP="00D91F70">
      <w:pPr>
        <w:pStyle w:val="Paragraph"/>
        <w:tabs>
          <w:tab w:val="left" w:pos="6015"/>
        </w:tabs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 xml:space="preserve">OLIMEL N12E </w:t>
      </w:r>
    </w:p>
    <w:p w14:paraId="1192C982" w14:textId="1FD5AB55" w:rsidR="002E05C5" w:rsidRPr="00CF4824" w:rsidRDefault="00AD0D38" w:rsidP="00D91F70">
      <w:pPr>
        <w:pStyle w:val="Paragraph"/>
        <w:tabs>
          <w:tab w:val="left" w:pos="6015"/>
        </w:tabs>
        <w:spacing w:before="0" w:after="0" w:line="240" w:lineRule="auto"/>
        <w:rPr>
          <w:sz w:val="22"/>
          <w:szCs w:val="22"/>
        </w:rPr>
      </w:pPr>
      <w:proofErr w:type="spellStart"/>
      <w:r w:rsidRPr="002F3A72">
        <w:rPr>
          <w:sz w:val="22"/>
          <w:szCs w:val="22"/>
        </w:rPr>
        <w:t>infúzna</w:t>
      </w:r>
      <w:proofErr w:type="spellEnd"/>
      <w:r w:rsidRPr="002F3A72">
        <w:rPr>
          <w:sz w:val="22"/>
          <w:szCs w:val="22"/>
        </w:rPr>
        <w:t xml:space="preserve"> emulzia</w:t>
      </w:r>
    </w:p>
    <w:p w14:paraId="620BA720" w14:textId="77777777" w:rsidR="002E05C5" w:rsidRPr="00CF4824" w:rsidRDefault="002E05C5" w:rsidP="00D91F70">
      <w:pPr>
        <w:pStyle w:val="Paragraph"/>
        <w:tabs>
          <w:tab w:val="left" w:pos="6015"/>
        </w:tabs>
        <w:spacing w:before="0" w:after="0" w:line="240" w:lineRule="auto"/>
        <w:rPr>
          <w:sz w:val="22"/>
          <w:szCs w:val="22"/>
        </w:rPr>
      </w:pPr>
    </w:p>
    <w:p w14:paraId="76DE02A5" w14:textId="702EA212" w:rsidR="00D03440" w:rsidRPr="00CF4824" w:rsidRDefault="00D03440" w:rsidP="00D91F70">
      <w:pPr>
        <w:pStyle w:val="Paragraph"/>
        <w:tabs>
          <w:tab w:val="left" w:pos="6015"/>
        </w:tabs>
        <w:spacing w:before="0" w:after="0" w:line="240" w:lineRule="auto"/>
        <w:rPr>
          <w:sz w:val="22"/>
          <w:szCs w:val="22"/>
        </w:rPr>
      </w:pPr>
    </w:p>
    <w:p w14:paraId="257B8768" w14:textId="64646F0A" w:rsidR="00A75283" w:rsidRPr="00CF4824" w:rsidRDefault="00D47336" w:rsidP="004A2946">
      <w:pPr>
        <w:pStyle w:val="Nadpis1"/>
        <w:tabs>
          <w:tab w:val="clear" w:pos="0"/>
          <w:tab w:val="left" w:pos="709"/>
        </w:tabs>
        <w:spacing w:before="0" w:after="0"/>
        <w:rPr>
          <w:sz w:val="22"/>
          <w:szCs w:val="22"/>
        </w:rPr>
      </w:pPr>
      <w:bookmarkStart w:id="2" w:name="_ISIW_UH_2"/>
      <w:r w:rsidRPr="00CF4824">
        <w:rPr>
          <w:sz w:val="22"/>
          <w:szCs w:val="22"/>
        </w:rPr>
        <w:t xml:space="preserve"> </w:t>
      </w:r>
      <w:r w:rsidRPr="00CF4824">
        <w:rPr>
          <w:sz w:val="22"/>
          <w:szCs w:val="22"/>
        </w:rPr>
        <w:tab/>
      </w:r>
      <w:r w:rsidR="00CF4824">
        <w:rPr>
          <w:sz w:val="22"/>
          <w:szCs w:val="22"/>
        </w:rPr>
        <w:tab/>
      </w:r>
      <w:r w:rsidR="0067024C" w:rsidRPr="00CF4824">
        <w:rPr>
          <w:sz w:val="22"/>
          <w:szCs w:val="22"/>
        </w:rPr>
        <w:t>KVALITATÍVNE A KVANTITATÍVNE ZLOŽENIE</w:t>
      </w:r>
    </w:p>
    <w:p w14:paraId="0768881B" w14:textId="77777777" w:rsidR="002E05C5" w:rsidRPr="004A2946" w:rsidRDefault="002E05C5" w:rsidP="00D91F70">
      <w:pPr>
        <w:pStyle w:val="Paragraph"/>
        <w:spacing w:before="0" w:after="0" w:line="240" w:lineRule="auto"/>
        <w:rPr>
          <w:sz w:val="22"/>
          <w:szCs w:val="22"/>
        </w:rPr>
      </w:pPr>
    </w:p>
    <w:bookmarkEnd w:id="2"/>
    <w:p w14:paraId="0F065E87" w14:textId="30252D08" w:rsidR="00397D2E" w:rsidRPr="00CF4824" w:rsidRDefault="00A70061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 xml:space="preserve">OLIMEL </w:t>
      </w:r>
      <w:r w:rsidR="00D47336" w:rsidRPr="00CF4824">
        <w:rPr>
          <w:sz w:val="22"/>
          <w:szCs w:val="22"/>
        </w:rPr>
        <w:t xml:space="preserve">N12E </w:t>
      </w:r>
      <w:r w:rsidRPr="00CF4824">
        <w:rPr>
          <w:sz w:val="22"/>
          <w:szCs w:val="22"/>
        </w:rPr>
        <w:t xml:space="preserve">sa dodáva vo forme trojkomorového vaku. </w:t>
      </w:r>
    </w:p>
    <w:p w14:paraId="46E04A84" w14:textId="77777777" w:rsidR="006E69C5" w:rsidRPr="002F3A72" w:rsidRDefault="006E69C5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615D5CAB" w14:textId="4048FD46" w:rsidR="00A75283" w:rsidRPr="00CF4824" w:rsidRDefault="001B17A2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 xml:space="preserve">Každý vak obsahuje roztok glukózy s vápnikom, </w:t>
      </w:r>
      <w:proofErr w:type="spellStart"/>
      <w:r w:rsidR="000F1903">
        <w:rPr>
          <w:sz w:val="22"/>
          <w:szCs w:val="22"/>
        </w:rPr>
        <w:t>lipidovú</w:t>
      </w:r>
      <w:proofErr w:type="spellEnd"/>
      <w:r w:rsidR="000F1903">
        <w:rPr>
          <w:sz w:val="22"/>
          <w:szCs w:val="22"/>
        </w:rPr>
        <w:t xml:space="preserve"> </w:t>
      </w:r>
      <w:r w:rsidRPr="00CF4824">
        <w:rPr>
          <w:sz w:val="22"/>
          <w:szCs w:val="22"/>
        </w:rPr>
        <w:t>emulziu a roztok aminokyselín s ďalšími elektrolytmi</w:t>
      </w:r>
      <w:r w:rsidR="00D13417">
        <w:rPr>
          <w:sz w:val="22"/>
          <w:szCs w:val="22"/>
        </w:rPr>
        <w:t>:</w:t>
      </w:r>
    </w:p>
    <w:p w14:paraId="64C22D81" w14:textId="77777777" w:rsidR="002E05C5" w:rsidRPr="00CF4824" w:rsidRDefault="002E05C5" w:rsidP="00D91F70">
      <w:pPr>
        <w:pStyle w:val="Paragraph"/>
        <w:spacing w:before="0" w:after="0" w:line="240" w:lineRule="auto"/>
        <w:rPr>
          <w:sz w:val="22"/>
          <w:szCs w:val="22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91"/>
        <w:gridCol w:w="1473"/>
        <w:gridCol w:w="1621"/>
        <w:gridCol w:w="1475"/>
        <w:gridCol w:w="1327"/>
      </w:tblGrid>
      <w:tr w:rsidR="00D13417" w:rsidRPr="00CF4824" w14:paraId="74AB4FB4" w14:textId="77777777" w:rsidTr="00424E03">
        <w:trPr>
          <w:cantSplit/>
          <w:jc w:val="center"/>
        </w:trPr>
        <w:tc>
          <w:tcPr>
            <w:tcW w:w="339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515B5C3" w14:textId="77777777" w:rsidR="00D13417" w:rsidRPr="00CF4824" w:rsidRDefault="00D13417" w:rsidP="00424E03">
            <w:pPr>
              <w:pStyle w:val="TableCenter"/>
              <w:spacing w:before="0" w:after="0"/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8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EABEED" w14:textId="1522E2B5" w:rsidR="00D13417" w:rsidRPr="00424E03" w:rsidRDefault="00D13417" w:rsidP="00D91F70">
            <w:pPr>
              <w:pStyle w:val="TableCenter"/>
              <w:spacing w:before="0" w:after="0"/>
              <w:rPr>
                <w:b/>
                <w:sz w:val="22"/>
                <w:szCs w:val="22"/>
              </w:rPr>
            </w:pPr>
            <w:r w:rsidRPr="00424E03">
              <w:rPr>
                <w:b/>
                <w:sz w:val="22"/>
                <w:szCs w:val="22"/>
              </w:rPr>
              <w:t>Obsah v jednom vaku</w:t>
            </w:r>
          </w:p>
        </w:tc>
      </w:tr>
      <w:tr w:rsidR="00D13417" w:rsidRPr="00CF4824" w14:paraId="2CFA7337" w14:textId="77777777" w:rsidTr="00424E03">
        <w:trPr>
          <w:cantSplit/>
          <w:jc w:val="center"/>
        </w:trPr>
        <w:tc>
          <w:tcPr>
            <w:tcW w:w="339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DA2C6" w14:textId="77777777" w:rsidR="00D13417" w:rsidRPr="00CF4824" w:rsidRDefault="00D13417" w:rsidP="00424E03">
            <w:pPr>
              <w:pStyle w:val="TableCenter"/>
              <w:spacing w:before="0" w:after="0"/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578EF4" w14:textId="14168FD6" w:rsidR="00D13417" w:rsidRPr="00424E03" w:rsidRDefault="00D13417" w:rsidP="00D91F70">
            <w:pPr>
              <w:pStyle w:val="TableCenter"/>
              <w:spacing w:before="0" w:after="0"/>
              <w:rPr>
                <w:b/>
                <w:sz w:val="22"/>
                <w:szCs w:val="22"/>
                <w:highlight w:val="yellow"/>
              </w:rPr>
            </w:pPr>
            <w:r w:rsidRPr="00424E03">
              <w:rPr>
                <w:b/>
                <w:sz w:val="22"/>
                <w:szCs w:val="22"/>
              </w:rPr>
              <w:t>650 ml</w:t>
            </w:r>
          </w:p>
        </w:tc>
        <w:tc>
          <w:tcPr>
            <w:tcW w:w="1621" w:type="dxa"/>
            <w:tcBorders>
              <w:bottom w:val="single" w:sz="4" w:space="0" w:color="auto"/>
            </w:tcBorders>
            <w:shd w:val="clear" w:color="auto" w:fill="auto"/>
          </w:tcPr>
          <w:p w14:paraId="6AFA85D4" w14:textId="3FE8569C" w:rsidR="00D13417" w:rsidRPr="00424E03" w:rsidRDefault="00D13417" w:rsidP="00D91F70">
            <w:pPr>
              <w:pStyle w:val="TableCenter"/>
              <w:spacing w:before="0" w:after="0"/>
              <w:rPr>
                <w:b/>
                <w:sz w:val="22"/>
                <w:szCs w:val="22"/>
                <w:highlight w:val="yellow"/>
              </w:rPr>
            </w:pPr>
            <w:r w:rsidRPr="00424E03">
              <w:rPr>
                <w:b/>
                <w:sz w:val="22"/>
                <w:szCs w:val="22"/>
              </w:rPr>
              <w:t>1 000 ml</w:t>
            </w:r>
          </w:p>
        </w:tc>
        <w:tc>
          <w:tcPr>
            <w:tcW w:w="1475" w:type="dxa"/>
            <w:tcBorders>
              <w:bottom w:val="single" w:sz="4" w:space="0" w:color="auto"/>
            </w:tcBorders>
            <w:shd w:val="clear" w:color="auto" w:fill="auto"/>
          </w:tcPr>
          <w:p w14:paraId="27ED189E" w14:textId="34314965" w:rsidR="00D13417" w:rsidRPr="00424E03" w:rsidRDefault="00D13417" w:rsidP="00D91F70">
            <w:pPr>
              <w:pStyle w:val="TableCenter"/>
              <w:spacing w:before="0" w:after="0"/>
              <w:rPr>
                <w:b/>
                <w:sz w:val="22"/>
                <w:szCs w:val="22"/>
                <w:highlight w:val="yellow"/>
              </w:rPr>
            </w:pPr>
            <w:r w:rsidRPr="00424E03">
              <w:rPr>
                <w:b/>
                <w:sz w:val="22"/>
                <w:szCs w:val="22"/>
              </w:rPr>
              <w:t>1 500 ml</w:t>
            </w:r>
          </w:p>
        </w:tc>
        <w:tc>
          <w:tcPr>
            <w:tcW w:w="13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62FF4" w14:textId="7064EEE9" w:rsidR="00D13417" w:rsidRPr="00424E03" w:rsidRDefault="00D13417" w:rsidP="00D91F70">
            <w:pPr>
              <w:pStyle w:val="TableCenter"/>
              <w:spacing w:before="0" w:after="0"/>
              <w:rPr>
                <w:b/>
                <w:sz w:val="22"/>
                <w:szCs w:val="22"/>
                <w:highlight w:val="yellow"/>
              </w:rPr>
            </w:pPr>
            <w:r w:rsidRPr="00424E03">
              <w:rPr>
                <w:b/>
                <w:sz w:val="22"/>
                <w:szCs w:val="22"/>
              </w:rPr>
              <w:t>2 000 ml</w:t>
            </w:r>
          </w:p>
        </w:tc>
      </w:tr>
      <w:tr w:rsidR="00954F85" w:rsidRPr="00CF4824" w14:paraId="6D096418" w14:textId="77777777" w:rsidTr="00424E03">
        <w:trPr>
          <w:cantSplit/>
          <w:jc w:val="center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B366E" w14:textId="203389F8" w:rsidR="00954F85" w:rsidRPr="001D1C19" w:rsidRDefault="00954F85" w:rsidP="00424E03">
            <w:pPr>
              <w:pStyle w:val="TableCenter"/>
              <w:spacing w:before="0" w:after="0"/>
              <w:jc w:val="left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 xml:space="preserve">27,5 % roztok glukózy </w:t>
            </w:r>
            <w:r w:rsidRPr="00CF4824">
              <w:rPr>
                <w:sz w:val="22"/>
                <w:szCs w:val="22"/>
              </w:rPr>
              <w:br/>
              <w:t xml:space="preserve">(čo zodpovedá </w:t>
            </w:r>
            <w:r w:rsidR="00684A62" w:rsidRPr="00E02BC7">
              <w:rPr>
                <w:sz w:val="22"/>
                <w:szCs w:val="22"/>
              </w:rPr>
              <w:t>2</w:t>
            </w:r>
            <w:r w:rsidRPr="001D1C19">
              <w:rPr>
                <w:sz w:val="22"/>
                <w:szCs w:val="22"/>
              </w:rPr>
              <w:t>7,5 g/100 ml)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14:paraId="7C8C5817" w14:textId="75CEC649" w:rsidR="00954F85" w:rsidRPr="002F3A72" w:rsidRDefault="00954F85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2F3A72">
              <w:rPr>
                <w:sz w:val="22"/>
                <w:szCs w:val="22"/>
              </w:rPr>
              <w:t>173 ml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55A3DB39" w14:textId="1B6A413E" w:rsidR="00954F85" w:rsidRPr="00CF4824" w:rsidRDefault="00954F85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 xml:space="preserve">267 ml </w:t>
            </w:r>
          </w:p>
        </w:tc>
        <w:tc>
          <w:tcPr>
            <w:tcW w:w="1475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0A1DFB91" w14:textId="180F3B7F" w:rsidR="00954F85" w:rsidRPr="00CF4824" w:rsidRDefault="00954F85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400 ml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3B48A5B2" w14:textId="05976BAE" w:rsidR="00954F85" w:rsidRPr="00CF4824" w:rsidRDefault="00954F85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533 ml</w:t>
            </w:r>
          </w:p>
        </w:tc>
      </w:tr>
      <w:tr w:rsidR="00954F85" w:rsidRPr="00CF4824" w14:paraId="657FF335" w14:textId="77777777" w:rsidTr="00424E03">
        <w:trPr>
          <w:cantSplit/>
          <w:jc w:val="center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F7C8E" w14:textId="3D24AE18" w:rsidR="00954F85" w:rsidRPr="00CF4824" w:rsidRDefault="00954F85" w:rsidP="00424E03">
            <w:pPr>
              <w:pStyle w:val="TableCenter"/>
              <w:spacing w:before="0" w:after="0"/>
              <w:jc w:val="left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 xml:space="preserve">14,2 % roztok aminokyselín </w:t>
            </w:r>
            <w:r w:rsidRPr="00CF4824">
              <w:rPr>
                <w:sz w:val="22"/>
                <w:szCs w:val="22"/>
              </w:rPr>
              <w:br/>
              <w:t>(čo zodpovedá 14,2 g/100 ml)</w:t>
            </w:r>
          </w:p>
        </w:tc>
        <w:tc>
          <w:tcPr>
            <w:tcW w:w="1473" w:type="dxa"/>
            <w:tcBorders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14:paraId="71D74E9C" w14:textId="3E0B85CE" w:rsidR="00954F85" w:rsidRPr="00CF4824" w:rsidRDefault="00954F85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347 ml</w:t>
            </w:r>
          </w:p>
        </w:tc>
        <w:tc>
          <w:tcPr>
            <w:tcW w:w="1621" w:type="dxa"/>
            <w:tcBorders>
              <w:bottom w:val="single" w:sz="6" w:space="0" w:color="000000"/>
            </w:tcBorders>
            <w:shd w:val="clear" w:color="auto" w:fill="auto"/>
          </w:tcPr>
          <w:p w14:paraId="11DA147A" w14:textId="5655B3A6" w:rsidR="00954F85" w:rsidRPr="002F3A72" w:rsidRDefault="00954F85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2F3A72">
              <w:rPr>
                <w:sz w:val="22"/>
                <w:szCs w:val="22"/>
              </w:rPr>
              <w:t>533 ml</w:t>
            </w:r>
          </w:p>
        </w:tc>
        <w:tc>
          <w:tcPr>
            <w:tcW w:w="1475" w:type="dxa"/>
            <w:tcBorders>
              <w:bottom w:val="single" w:sz="6" w:space="0" w:color="000000"/>
            </w:tcBorders>
            <w:shd w:val="clear" w:color="auto" w:fill="auto"/>
          </w:tcPr>
          <w:p w14:paraId="76504B55" w14:textId="7B877E8F" w:rsidR="00954F85" w:rsidRPr="00CF4824" w:rsidRDefault="00954F85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800 ml</w:t>
            </w:r>
          </w:p>
        </w:tc>
        <w:tc>
          <w:tcPr>
            <w:tcW w:w="1327" w:type="dxa"/>
            <w:tcBorders>
              <w:bottom w:val="single" w:sz="6" w:space="0" w:color="000000"/>
            </w:tcBorders>
            <w:shd w:val="clear" w:color="auto" w:fill="auto"/>
          </w:tcPr>
          <w:p w14:paraId="0166F2DF" w14:textId="5BC50CED" w:rsidR="00954F85" w:rsidRPr="00CF4824" w:rsidRDefault="00954F85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1 067 ml</w:t>
            </w:r>
          </w:p>
        </w:tc>
      </w:tr>
      <w:tr w:rsidR="00954F85" w:rsidRPr="00CF4824" w14:paraId="01250258" w14:textId="77777777" w:rsidTr="00424E03">
        <w:trPr>
          <w:cantSplit/>
          <w:jc w:val="center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51288" w14:textId="0654829B" w:rsidR="00954F85" w:rsidRPr="00CF4824" w:rsidRDefault="00954F85" w:rsidP="00424E03">
            <w:pPr>
              <w:pStyle w:val="TableCenter"/>
              <w:spacing w:before="0" w:after="0"/>
              <w:jc w:val="left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 xml:space="preserve">17,5 % </w:t>
            </w:r>
            <w:proofErr w:type="spellStart"/>
            <w:r w:rsidR="000F1903">
              <w:rPr>
                <w:sz w:val="22"/>
                <w:szCs w:val="22"/>
              </w:rPr>
              <w:t>lipidová</w:t>
            </w:r>
            <w:proofErr w:type="spellEnd"/>
            <w:r w:rsidR="000F1903">
              <w:rPr>
                <w:sz w:val="22"/>
                <w:szCs w:val="22"/>
              </w:rPr>
              <w:t xml:space="preserve"> </w:t>
            </w:r>
            <w:r w:rsidRPr="00CF4824">
              <w:rPr>
                <w:sz w:val="22"/>
                <w:szCs w:val="22"/>
              </w:rPr>
              <w:t>emulzia (čo</w:t>
            </w:r>
            <w:r w:rsidR="00D13417">
              <w:rPr>
                <w:sz w:val="22"/>
                <w:szCs w:val="22"/>
              </w:rPr>
              <w:t> </w:t>
            </w:r>
            <w:r w:rsidRPr="00CF4824">
              <w:rPr>
                <w:sz w:val="22"/>
                <w:szCs w:val="22"/>
              </w:rPr>
              <w:t>zodpovedá 17,5 g/100 ml)</w:t>
            </w:r>
          </w:p>
        </w:tc>
        <w:tc>
          <w:tcPr>
            <w:tcW w:w="1473" w:type="dxa"/>
            <w:tcBorders>
              <w:left w:val="single" w:sz="4" w:space="0" w:color="auto"/>
            </w:tcBorders>
            <w:shd w:val="clear" w:color="auto" w:fill="auto"/>
          </w:tcPr>
          <w:p w14:paraId="61AA1633" w14:textId="2A3E5BC6" w:rsidR="00954F85" w:rsidRPr="00CF4824" w:rsidRDefault="00954F85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130 ml</w:t>
            </w:r>
          </w:p>
        </w:tc>
        <w:tc>
          <w:tcPr>
            <w:tcW w:w="1621" w:type="dxa"/>
            <w:shd w:val="clear" w:color="auto" w:fill="auto"/>
          </w:tcPr>
          <w:p w14:paraId="0C64E0D3" w14:textId="30D9D620" w:rsidR="00954F85" w:rsidRPr="002F3A72" w:rsidRDefault="00954F85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2F3A72">
              <w:rPr>
                <w:sz w:val="22"/>
                <w:szCs w:val="22"/>
              </w:rPr>
              <w:t>200 ml</w:t>
            </w:r>
          </w:p>
        </w:tc>
        <w:tc>
          <w:tcPr>
            <w:tcW w:w="1475" w:type="dxa"/>
            <w:shd w:val="clear" w:color="auto" w:fill="auto"/>
          </w:tcPr>
          <w:p w14:paraId="1511A40B" w14:textId="66162B49" w:rsidR="00954F85" w:rsidRPr="00CF4824" w:rsidRDefault="00954F85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300 ml</w:t>
            </w:r>
          </w:p>
        </w:tc>
        <w:tc>
          <w:tcPr>
            <w:tcW w:w="1327" w:type="dxa"/>
            <w:shd w:val="clear" w:color="auto" w:fill="auto"/>
          </w:tcPr>
          <w:p w14:paraId="60CF05F9" w14:textId="3EA54A0A" w:rsidR="00954F85" w:rsidRPr="00CF4824" w:rsidRDefault="00954F85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400 ml</w:t>
            </w:r>
          </w:p>
        </w:tc>
      </w:tr>
    </w:tbl>
    <w:p w14:paraId="1B148BCC" w14:textId="77777777" w:rsidR="002E05C5" w:rsidRPr="00CF4824" w:rsidRDefault="002E05C5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2BEEC4CF" w14:textId="6E648FD0" w:rsidR="00966D4B" w:rsidRPr="002F3A72" w:rsidRDefault="00684A62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E02BC7">
        <w:rPr>
          <w:sz w:val="22"/>
          <w:szCs w:val="22"/>
        </w:rPr>
        <w:t>Zloženie</w:t>
      </w:r>
      <w:r w:rsidR="00966D4B" w:rsidRPr="001D1C19">
        <w:rPr>
          <w:sz w:val="22"/>
          <w:szCs w:val="22"/>
        </w:rPr>
        <w:t xml:space="preserve"> pripravenej emulzi</w:t>
      </w:r>
      <w:r w:rsidRPr="002F3A72">
        <w:rPr>
          <w:sz w:val="22"/>
          <w:szCs w:val="22"/>
        </w:rPr>
        <w:t>e</w:t>
      </w:r>
      <w:r w:rsidR="00966D4B" w:rsidRPr="002F3A72">
        <w:rPr>
          <w:sz w:val="22"/>
          <w:szCs w:val="22"/>
        </w:rPr>
        <w:t xml:space="preserve"> po zmiešaní obsahu 3 komôr:</w:t>
      </w:r>
    </w:p>
    <w:p w14:paraId="0C556B8F" w14:textId="77777777" w:rsidR="002E05C5" w:rsidRPr="002F3A72" w:rsidRDefault="002E05C5" w:rsidP="00D91F70">
      <w:pPr>
        <w:pStyle w:val="Paragraph"/>
        <w:spacing w:before="0" w:after="0" w:line="240" w:lineRule="auto"/>
        <w:rPr>
          <w:sz w:val="22"/>
          <w:szCs w:val="22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8"/>
        <w:gridCol w:w="1136"/>
        <w:gridCol w:w="1421"/>
        <w:gridCol w:w="1279"/>
        <w:gridCol w:w="1278"/>
      </w:tblGrid>
      <w:tr w:rsidR="0040190B" w:rsidRPr="00CF4824" w14:paraId="49031ED2" w14:textId="77777777" w:rsidTr="0040190B">
        <w:trPr>
          <w:trHeight w:val="255"/>
          <w:tblHeader/>
          <w:jc w:val="center"/>
        </w:trPr>
        <w:tc>
          <w:tcPr>
            <w:tcW w:w="3871" w:type="dxa"/>
            <w:tcBorders>
              <w:bottom w:val="single" w:sz="6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464DD09" w14:textId="2C7D2611" w:rsidR="00954F85" w:rsidRPr="00CF4824" w:rsidRDefault="00954F85" w:rsidP="00D91F70">
            <w:pPr>
              <w:pStyle w:val="TableHead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Liečivá</w:t>
            </w:r>
          </w:p>
        </w:tc>
        <w:tc>
          <w:tcPr>
            <w:tcW w:w="1106" w:type="dxa"/>
            <w:tcBorders>
              <w:bottom w:val="single" w:sz="6" w:space="0" w:color="000000"/>
            </w:tcBorders>
            <w:shd w:val="clear" w:color="auto" w:fill="auto"/>
            <w:vAlign w:val="bottom"/>
          </w:tcPr>
          <w:p w14:paraId="16989208" w14:textId="582A1F8F" w:rsidR="00954F85" w:rsidRPr="00CF4824" w:rsidRDefault="00954F85" w:rsidP="00D91F70">
            <w:pPr>
              <w:pStyle w:val="TableHead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650 ml</w:t>
            </w:r>
          </w:p>
        </w:tc>
        <w:tc>
          <w:tcPr>
            <w:tcW w:w="1383" w:type="dxa"/>
            <w:tcBorders>
              <w:bottom w:val="single" w:sz="6" w:space="0" w:color="00000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C8078AA" w14:textId="01436BDE" w:rsidR="00954F85" w:rsidRPr="00CF4824" w:rsidRDefault="00954F85" w:rsidP="00D91F70">
            <w:pPr>
              <w:pStyle w:val="TableHead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1 000 ml</w:t>
            </w:r>
          </w:p>
        </w:tc>
        <w:tc>
          <w:tcPr>
            <w:tcW w:w="1245" w:type="dxa"/>
            <w:tcBorders>
              <w:bottom w:val="single" w:sz="6" w:space="0" w:color="00000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7A1D5CC" w14:textId="66B0B63A" w:rsidR="00954F85" w:rsidRPr="00CF4824" w:rsidRDefault="00954F85" w:rsidP="00D91F70">
            <w:pPr>
              <w:pStyle w:val="TableHead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1 500 ml</w:t>
            </w:r>
          </w:p>
        </w:tc>
        <w:tc>
          <w:tcPr>
            <w:tcW w:w="1244" w:type="dxa"/>
            <w:tcBorders>
              <w:bottom w:val="single" w:sz="6" w:space="0" w:color="000000"/>
            </w:tcBorders>
            <w:shd w:val="clear" w:color="auto" w:fill="auto"/>
            <w:vAlign w:val="bottom"/>
          </w:tcPr>
          <w:p w14:paraId="6693A3E3" w14:textId="08E1AEA9" w:rsidR="00954F85" w:rsidRPr="00CF4824" w:rsidRDefault="00954F85" w:rsidP="00D91F70">
            <w:pPr>
              <w:pStyle w:val="TableHead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2 000 ml</w:t>
            </w:r>
          </w:p>
        </w:tc>
      </w:tr>
      <w:tr w:rsidR="00954F85" w:rsidRPr="00CF4824" w14:paraId="6C9B2755" w14:textId="77777777" w:rsidTr="0040190B">
        <w:trPr>
          <w:trHeight w:val="255"/>
          <w:jc w:val="center"/>
        </w:trPr>
        <w:tc>
          <w:tcPr>
            <w:tcW w:w="3871" w:type="dxa"/>
            <w:tcBorders>
              <w:bottom w:val="single" w:sz="6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7C23296" w14:textId="2971BC65" w:rsidR="00954F85" w:rsidRPr="002F3A72" w:rsidRDefault="000F1903" w:rsidP="00424E03">
            <w:pPr>
              <w:pStyle w:val="TableCenter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rafinovaný </w:t>
            </w:r>
            <w:r w:rsidR="002E05C5" w:rsidRPr="00CF4824">
              <w:rPr>
                <w:sz w:val="22"/>
                <w:szCs w:val="22"/>
              </w:rPr>
              <w:t>o</w:t>
            </w:r>
            <w:r w:rsidR="00954F85" w:rsidRPr="00CF4824">
              <w:rPr>
                <w:sz w:val="22"/>
                <w:szCs w:val="22"/>
              </w:rPr>
              <w:t xml:space="preserve">livový olej + </w:t>
            </w:r>
            <w:r>
              <w:rPr>
                <w:sz w:val="22"/>
                <w:szCs w:val="22"/>
              </w:rPr>
              <w:t xml:space="preserve">rafinovaný </w:t>
            </w:r>
            <w:r w:rsidR="00954F85" w:rsidRPr="00CF4824">
              <w:rPr>
                <w:sz w:val="22"/>
                <w:szCs w:val="22"/>
              </w:rPr>
              <w:t>sójový olej</w:t>
            </w:r>
            <w:r w:rsidR="00954F85" w:rsidRPr="002F3A72">
              <w:rPr>
                <w:sz w:val="22"/>
                <w:szCs w:val="22"/>
                <w:vertAlign w:val="superscript"/>
              </w:rPr>
              <w:fldChar w:fldCharType="begin"/>
            </w:r>
            <w:r w:rsidR="0040190B" w:rsidRPr="00CF4824">
              <w:rPr>
                <w:sz w:val="22"/>
                <w:szCs w:val="22"/>
                <w:vertAlign w:val="superscript"/>
              </w:rPr>
              <w:instrText xml:space="preserve"> REF _Ref496531184 \r \h  \* MERGEFORMAT </w:instrText>
            </w:r>
            <w:r w:rsidR="00954F85" w:rsidRPr="002F3A72">
              <w:rPr>
                <w:sz w:val="22"/>
                <w:szCs w:val="22"/>
                <w:vertAlign w:val="superscript"/>
              </w:rPr>
            </w:r>
            <w:r w:rsidR="00954F85" w:rsidRPr="002F3A72">
              <w:rPr>
                <w:sz w:val="22"/>
                <w:szCs w:val="22"/>
                <w:vertAlign w:val="superscript"/>
              </w:rPr>
              <w:fldChar w:fldCharType="separate"/>
            </w:r>
            <w:r w:rsidR="002F3A72">
              <w:rPr>
                <w:sz w:val="22"/>
                <w:szCs w:val="22"/>
                <w:vertAlign w:val="superscript"/>
              </w:rPr>
              <w:t>a</w:t>
            </w:r>
            <w:r w:rsidR="00954F85" w:rsidRPr="002F3A72">
              <w:rPr>
                <w:sz w:val="22"/>
                <w:szCs w:val="22"/>
              </w:rPr>
              <w:fldChar w:fldCharType="end"/>
            </w:r>
          </w:p>
        </w:tc>
        <w:tc>
          <w:tcPr>
            <w:tcW w:w="1106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50F75938" w14:textId="41829E0D" w:rsidR="00954F85" w:rsidRPr="002F3A72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2F3A72">
              <w:rPr>
                <w:rFonts w:eastAsia="Arial Unicode MS"/>
                <w:sz w:val="22"/>
                <w:szCs w:val="22"/>
              </w:rPr>
              <w:t>22,75 g</w:t>
            </w:r>
          </w:p>
        </w:tc>
        <w:tc>
          <w:tcPr>
            <w:tcW w:w="1383" w:type="dxa"/>
            <w:tcBorders>
              <w:bottom w:val="single" w:sz="6" w:space="0" w:color="00000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01B653C" w14:textId="630CC3D3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rFonts w:eastAsia="Arial Unicode MS"/>
                <w:sz w:val="22"/>
                <w:szCs w:val="22"/>
              </w:rPr>
              <w:t>35,00 g</w:t>
            </w:r>
          </w:p>
        </w:tc>
        <w:tc>
          <w:tcPr>
            <w:tcW w:w="1245" w:type="dxa"/>
            <w:tcBorders>
              <w:bottom w:val="single" w:sz="6" w:space="0" w:color="00000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6075FE1" w14:textId="47322B79" w:rsidR="00954F85" w:rsidRPr="00CF4824" w:rsidRDefault="00954F85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rFonts w:eastAsia="Arial Unicode MS"/>
                <w:sz w:val="22"/>
                <w:szCs w:val="22"/>
              </w:rPr>
              <w:t>52,50 g</w:t>
            </w:r>
          </w:p>
        </w:tc>
        <w:tc>
          <w:tcPr>
            <w:tcW w:w="1244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63F5ED3D" w14:textId="13D71587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70,00 g</w:t>
            </w:r>
          </w:p>
        </w:tc>
      </w:tr>
      <w:tr w:rsidR="00954F85" w:rsidRPr="00CF4824" w14:paraId="16E9399D" w14:textId="77777777" w:rsidTr="0040190B">
        <w:trPr>
          <w:trHeight w:val="255"/>
          <w:jc w:val="center"/>
        </w:trPr>
        <w:tc>
          <w:tcPr>
            <w:tcW w:w="3871" w:type="dxa"/>
            <w:tcBorders>
              <w:bottom w:val="single" w:sz="6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740D07B" w14:textId="18007252" w:rsidR="00954F85" w:rsidRPr="00CF4824" w:rsidRDefault="002E05C5" w:rsidP="00424E03">
            <w:pPr>
              <w:pStyle w:val="TableCenter"/>
              <w:spacing w:before="0" w:after="0"/>
              <w:jc w:val="left"/>
              <w:rPr>
                <w:sz w:val="22"/>
                <w:szCs w:val="22"/>
              </w:rPr>
            </w:pPr>
            <w:proofErr w:type="spellStart"/>
            <w:r w:rsidRPr="00CF4824">
              <w:rPr>
                <w:sz w:val="22"/>
                <w:szCs w:val="22"/>
              </w:rPr>
              <w:t>a</w:t>
            </w:r>
            <w:r w:rsidR="00954F85" w:rsidRPr="00CF4824">
              <w:rPr>
                <w:sz w:val="22"/>
                <w:szCs w:val="22"/>
              </w:rPr>
              <w:t>lanín</w:t>
            </w:r>
            <w:proofErr w:type="spellEnd"/>
          </w:p>
        </w:tc>
        <w:tc>
          <w:tcPr>
            <w:tcW w:w="1106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2EF4C33B" w14:textId="3D6186D4" w:rsidR="00954F85" w:rsidRPr="00E02BC7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7,14 g</w:t>
            </w:r>
          </w:p>
        </w:tc>
        <w:tc>
          <w:tcPr>
            <w:tcW w:w="1383" w:type="dxa"/>
            <w:tcBorders>
              <w:bottom w:val="single" w:sz="6" w:space="0" w:color="00000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C8AC80A" w14:textId="43B671FC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2F3A72">
              <w:rPr>
                <w:sz w:val="22"/>
                <w:szCs w:val="22"/>
              </w:rPr>
              <w:t>10,99 g</w:t>
            </w:r>
          </w:p>
        </w:tc>
        <w:tc>
          <w:tcPr>
            <w:tcW w:w="1245" w:type="dxa"/>
            <w:tcBorders>
              <w:bottom w:val="single" w:sz="6" w:space="0" w:color="00000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328FACD" w14:textId="27F7667A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16,48 g</w:t>
            </w:r>
          </w:p>
        </w:tc>
        <w:tc>
          <w:tcPr>
            <w:tcW w:w="1244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362A7C24" w14:textId="35A80A51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21,97 g</w:t>
            </w:r>
          </w:p>
        </w:tc>
      </w:tr>
      <w:tr w:rsidR="00954F85" w:rsidRPr="00CF4824" w14:paraId="28CE852D" w14:textId="77777777" w:rsidTr="0040190B">
        <w:trPr>
          <w:trHeight w:val="255"/>
          <w:jc w:val="center"/>
        </w:trPr>
        <w:tc>
          <w:tcPr>
            <w:tcW w:w="3871" w:type="dxa"/>
            <w:tcBorders>
              <w:bottom w:val="single" w:sz="6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C53E8EC" w14:textId="35F2DF20" w:rsidR="00954F85" w:rsidRPr="00CF4824" w:rsidRDefault="002E05C5" w:rsidP="00424E03">
            <w:pPr>
              <w:pStyle w:val="TableCenter"/>
              <w:spacing w:before="0" w:after="0"/>
              <w:jc w:val="left"/>
              <w:rPr>
                <w:sz w:val="22"/>
                <w:szCs w:val="22"/>
                <w:lang w:val="fr-FR"/>
              </w:rPr>
            </w:pPr>
            <w:proofErr w:type="spellStart"/>
            <w:r w:rsidRPr="00CF4824">
              <w:rPr>
                <w:sz w:val="22"/>
                <w:szCs w:val="22"/>
              </w:rPr>
              <w:t>a</w:t>
            </w:r>
            <w:r w:rsidR="00954F85" w:rsidRPr="00CF4824">
              <w:rPr>
                <w:sz w:val="22"/>
                <w:szCs w:val="22"/>
              </w:rPr>
              <w:t>rginín</w:t>
            </w:r>
            <w:proofErr w:type="spellEnd"/>
          </w:p>
        </w:tc>
        <w:tc>
          <w:tcPr>
            <w:tcW w:w="1106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36D91454" w14:textId="0AA0A33D" w:rsidR="00954F85" w:rsidRPr="00E02BC7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  <w:lang w:val="fr-FR"/>
              </w:rPr>
            </w:pPr>
            <w:r w:rsidRPr="00CF4824">
              <w:rPr>
                <w:sz w:val="22"/>
                <w:szCs w:val="22"/>
              </w:rPr>
              <w:t>4,84 g</w:t>
            </w:r>
          </w:p>
        </w:tc>
        <w:tc>
          <w:tcPr>
            <w:tcW w:w="1383" w:type="dxa"/>
            <w:tcBorders>
              <w:bottom w:val="single" w:sz="6" w:space="0" w:color="00000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A1B51A5" w14:textId="3FD6B978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  <w:lang w:val="fr-FR"/>
              </w:rPr>
            </w:pPr>
            <w:r w:rsidRPr="002F3A72">
              <w:rPr>
                <w:sz w:val="22"/>
                <w:szCs w:val="22"/>
              </w:rPr>
              <w:t>7,44 g</w:t>
            </w:r>
          </w:p>
        </w:tc>
        <w:tc>
          <w:tcPr>
            <w:tcW w:w="1245" w:type="dxa"/>
            <w:tcBorders>
              <w:bottom w:val="single" w:sz="6" w:space="0" w:color="00000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517EB5A" w14:textId="375747C5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  <w:lang w:val="fr-FR"/>
              </w:rPr>
            </w:pPr>
            <w:r w:rsidRPr="00CF4824">
              <w:rPr>
                <w:sz w:val="22"/>
                <w:szCs w:val="22"/>
              </w:rPr>
              <w:t>11,16 g</w:t>
            </w:r>
          </w:p>
        </w:tc>
        <w:tc>
          <w:tcPr>
            <w:tcW w:w="1244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11ACAF52" w14:textId="20899E13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14,88 g</w:t>
            </w:r>
          </w:p>
        </w:tc>
      </w:tr>
      <w:tr w:rsidR="00954F85" w:rsidRPr="00CF4824" w14:paraId="4DA2C5CE" w14:textId="77777777" w:rsidTr="0040190B">
        <w:trPr>
          <w:trHeight w:val="255"/>
          <w:jc w:val="center"/>
        </w:trPr>
        <w:tc>
          <w:tcPr>
            <w:tcW w:w="3871" w:type="dxa"/>
            <w:tcBorders>
              <w:bottom w:val="single" w:sz="6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5D7E585" w14:textId="197978FE" w:rsidR="00954F85" w:rsidRPr="00CF4824" w:rsidRDefault="002E05C5" w:rsidP="00424E03">
            <w:pPr>
              <w:pStyle w:val="TableCenter"/>
              <w:spacing w:before="0" w:after="0"/>
              <w:jc w:val="left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k</w:t>
            </w:r>
            <w:r w:rsidR="00954F85" w:rsidRPr="00CF4824">
              <w:rPr>
                <w:sz w:val="22"/>
                <w:szCs w:val="22"/>
              </w:rPr>
              <w:t xml:space="preserve">yselina </w:t>
            </w:r>
            <w:proofErr w:type="spellStart"/>
            <w:r w:rsidR="00954F85" w:rsidRPr="00CF4824">
              <w:rPr>
                <w:sz w:val="22"/>
                <w:szCs w:val="22"/>
              </w:rPr>
              <w:t>asparágová</w:t>
            </w:r>
            <w:proofErr w:type="spellEnd"/>
          </w:p>
        </w:tc>
        <w:tc>
          <w:tcPr>
            <w:tcW w:w="1106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7BB3C724" w14:textId="5A8206E8" w:rsidR="00954F85" w:rsidRPr="00E02BC7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1,43 g</w:t>
            </w:r>
          </w:p>
        </w:tc>
        <w:tc>
          <w:tcPr>
            <w:tcW w:w="1383" w:type="dxa"/>
            <w:tcBorders>
              <w:bottom w:val="single" w:sz="6" w:space="0" w:color="00000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68CCE73" w14:textId="1889CE14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2F3A72">
              <w:rPr>
                <w:sz w:val="22"/>
                <w:szCs w:val="22"/>
              </w:rPr>
              <w:t>2,20 g</w:t>
            </w:r>
          </w:p>
        </w:tc>
        <w:tc>
          <w:tcPr>
            <w:tcW w:w="1245" w:type="dxa"/>
            <w:tcBorders>
              <w:bottom w:val="single" w:sz="6" w:space="0" w:color="00000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2D8CEEC" w14:textId="79B6B9FE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3,30 g</w:t>
            </w:r>
          </w:p>
        </w:tc>
        <w:tc>
          <w:tcPr>
            <w:tcW w:w="1244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4286EF9A" w14:textId="0C100DFD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4,39 g</w:t>
            </w:r>
          </w:p>
        </w:tc>
      </w:tr>
      <w:tr w:rsidR="00954F85" w:rsidRPr="00CF4824" w14:paraId="46FD8DD1" w14:textId="77777777" w:rsidTr="0040190B">
        <w:trPr>
          <w:trHeight w:val="255"/>
          <w:jc w:val="center"/>
        </w:trPr>
        <w:tc>
          <w:tcPr>
            <w:tcW w:w="3871" w:type="dxa"/>
            <w:tcBorders>
              <w:bottom w:val="single" w:sz="6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88B4806" w14:textId="404A1A12" w:rsidR="00954F85" w:rsidRPr="00CF4824" w:rsidRDefault="002E05C5" w:rsidP="00424E03">
            <w:pPr>
              <w:pStyle w:val="TableCenter"/>
              <w:spacing w:before="0" w:after="0"/>
              <w:jc w:val="left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k</w:t>
            </w:r>
            <w:r w:rsidR="00954F85" w:rsidRPr="00CF4824">
              <w:rPr>
                <w:sz w:val="22"/>
                <w:szCs w:val="22"/>
              </w:rPr>
              <w:t xml:space="preserve">yselina </w:t>
            </w:r>
            <w:proofErr w:type="spellStart"/>
            <w:r w:rsidR="00954F85" w:rsidRPr="00CF4824">
              <w:rPr>
                <w:sz w:val="22"/>
                <w:szCs w:val="22"/>
              </w:rPr>
              <w:t>glutámová</w:t>
            </w:r>
            <w:proofErr w:type="spellEnd"/>
          </w:p>
        </w:tc>
        <w:tc>
          <w:tcPr>
            <w:tcW w:w="1106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7B447506" w14:textId="5EF55D21" w:rsidR="00954F85" w:rsidRPr="00E02BC7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2,46 g</w:t>
            </w:r>
          </w:p>
        </w:tc>
        <w:tc>
          <w:tcPr>
            <w:tcW w:w="1383" w:type="dxa"/>
            <w:tcBorders>
              <w:bottom w:val="single" w:sz="6" w:space="0" w:color="00000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257065E" w14:textId="2CDAB1C4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2F3A72">
              <w:rPr>
                <w:sz w:val="22"/>
                <w:szCs w:val="22"/>
              </w:rPr>
              <w:t>3,79 g</w:t>
            </w:r>
          </w:p>
        </w:tc>
        <w:tc>
          <w:tcPr>
            <w:tcW w:w="1245" w:type="dxa"/>
            <w:tcBorders>
              <w:bottom w:val="single" w:sz="6" w:space="0" w:color="00000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F9C051D" w14:textId="76CD61BB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5,69 g</w:t>
            </w:r>
          </w:p>
        </w:tc>
        <w:tc>
          <w:tcPr>
            <w:tcW w:w="1244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0F7CEF85" w14:textId="52B375D0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7,58 g</w:t>
            </w:r>
          </w:p>
        </w:tc>
      </w:tr>
      <w:tr w:rsidR="00954F85" w:rsidRPr="00CF4824" w14:paraId="1A2B73B1" w14:textId="77777777" w:rsidTr="0040190B">
        <w:trPr>
          <w:trHeight w:val="255"/>
          <w:jc w:val="center"/>
        </w:trPr>
        <w:tc>
          <w:tcPr>
            <w:tcW w:w="3871" w:type="dxa"/>
            <w:tcBorders>
              <w:bottom w:val="single" w:sz="6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836763A" w14:textId="5112083D" w:rsidR="00954F85" w:rsidRPr="00CF4824" w:rsidRDefault="002E05C5" w:rsidP="00424E03">
            <w:pPr>
              <w:pStyle w:val="TableCenter"/>
              <w:spacing w:before="0" w:after="0"/>
              <w:jc w:val="left"/>
              <w:rPr>
                <w:sz w:val="22"/>
                <w:szCs w:val="22"/>
              </w:rPr>
            </w:pPr>
            <w:proofErr w:type="spellStart"/>
            <w:r w:rsidRPr="00CF4824">
              <w:rPr>
                <w:sz w:val="22"/>
                <w:szCs w:val="22"/>
              </w:rPr>
              <w:t>g</w:t>
            </w:r>
            <w:r w:rsidR="00954F85" w:rsidRPr="00CF4824">
              <w:rPr>
                <w:sz w:val="22"/>
                <w:szCs w:val="22"/>
              </w:rPr>
              <w:t>lycín</w:t>
            </w:r>
            <w:proofErr w:type="spellEnd"/>
          </w:p>
        </w:tc>
        <w:tc>
          <w:tcPr>
            <w:tcW w:w="1106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1F52B66B" w14:textId="49BB9B9B" w:rsidR="00954F85" w:rsidRPr="00E02BC7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3,42 g</w:t>
            </w:r>
          </w:p>
        </w:tc>
        <w:tc>
          <w:tcPr>
            <w:tcW w:w="1383" w:type="dxa"/>
            <w:tcBorders>
              <w:bottom w:val="single" w:sz="6" w:space="0" w:color="00000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C6246BE" w14:textId="5DFB2DCD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2F3A72">
              <w:rPr>
                <w:sz w:val="22"/>
                <w:szCs w:val="22"/>
              </w:rPr>
              <w:t xml:space="preserve">5,26 </w:t>
            </w:r>
            <w:r w:rsidRPr="00CF4824">
              <w:rPr>
                <w:sz w:val="22"/>
                <w:szCs w:val="22"/>
              </w:rPr>
              <w:t>g</w:t>
            </w:r>
          </w:p>
        </w:tc>
        <w:tc>
          <w:tcPr>
            <w:tcW w:w="1245" w:type="dxa"/>
            <w:tcBorders>
              <w:bottom w:val="single" w:sz="6" w:space="0" w:color="00000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140BF4A" w14:textId="4A1E9B06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7,9</w:t>
            </w:r>
            <w:r w:rsidR="00366BC2" w:rsidRPr="00CF4824">
              <w:rPr>
                <w:sz w:val="22"/>
                <w:szCs w:val="22"/>
              </w:rPr>
              <w:t>0</w:t>
            </w:r>
            <w:r w:rsidRPr="00CF4824">
              <w:rPr>
                <w:sz w:val="22"/>
                <w:szCs w:val="22"/>
              </w:rPr>
              <w:t xml:space="preserve"> g</w:t>
            </w:r>
          </w:p>
        </w:tc>
        <w:tc>
          <w:tcPr>
            <w:tcW w:w="1244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3BF752AC" w14:textId="33CA4404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10,53 g</w:t>
            </w:r>
          </w:p>
        </w:tc>
      </w:tr>
      <w:tr w:rsidR="00954F85" w:rsidRPr="00CF4824" w14:paraId="2AFB0327" w14:textId="77777777" w:rsidTr="0040190B">
        <w:trPr>
          <w:trHeight w:val="255"/>
          <w:jc w:val="center"/>
        </w:trPr>
        <w:tc>
          <w:tcPr>
            <w:tcW w:w="3871" w:type="dxa"/>
            <w:tcBorders>
              <w:bottom w:val="single" w:sz="6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00213A9" w14:textId="4AF68A5E" w:rsidR="00954F85" w:rsidRPr="00CF4824" w:rsidRDefault="002E05C5" w:rsidP="00424E03">
            <w:pPr>
              <w:pStyle w:val="TableCenter"/>
              <w:spacing w:before="0" w:after="0"/>
              <w:jc w:val="left"/>
              <w:rPr>
                <w:sz w:val="22"/>
                <w:szCs w:val="22"/>
                <w:lang w:val="fr-FR"/>
              </w:rPr>
            </w:pPr>
            <w:proofErr w:type="spellStart"/>
            <w:r w:rsidRPr="00CF4824">
              <w:rPr>
                <w:sz w:val="22"/>
                <w:szCs w:val="22"/>
              </w:rPr>
              <w:t>h</w:t>
            </w:r>
            <w:r w:rsidR="00954F85" w:rsidRPr="00CF4824">
              <w:rPr>
                <w:sz w:val="22"/>
                <w:szCs w:val="22"/>
              </w:rPr>
              <w:t>istidín</w:t>
            </w:r>
            <w:proofErr w:type="spellEnd"/>
          </w:p>
        </w:tc>
        <w:tc>
          <w:tcPr>
            <w:tcW w:w="1106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2F8CC2C8" w14:textId="71A02617" w:rsidR="00954F85" w:rsidRPr="00E02BC7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  <w:lang w:val="fr-FR"/>
              </w:rPr>
            </w:pPr>
            <w:r w:rsidRPr="00CF4824">
              <w:rPr>
                <w:sz w:val="22"/>
                <w:szCs w:val="22"/>
              </w:rPr>
              <w:t>2,94 g</w:t>
            </w:r>
          </w:p>
        </w:tc>
        <w:tc>
          <w:tcPr>
            <w:tcW w:w="1383" w:type="dxa"/>
            <w:tcBorders>
              <w:bottom w:val="single" w:sz="6" w:space="0" w:color="00000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AB90360" w14:textId="2D242783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  <w:lang w:val="fr-FR"/>
              </w:rPr>
            </w:pPr>
            <w:r w:rsidRPr="002F3A72">
              <w:rPr>
                <w:sz w:val="22"/>
                <w:szCs w:val="22"/>
              </w:rPr>
              <w:t>4,53 g</w:t>
            </w:r>
          </w:p>
        </w:tc>
        <w:tc>
          <w:tcPr>
            <w:tcW w:w="1245" w:type="dxa"/>
            <w:tcBorders>
              <w:bottom w:val="single" w:sz="6" w:space="0" w:color="00000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6C35091" w14:textId="00B61A07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  <w:lang w:val="fr-FR"/>
              </w:rPr>
            </w:pPr>
            <w:r w:rsidRPr="00CF4824">
              <w:rPr>
                <w:sz w:val="22"/>
                <w:szCs w:val="22"/>
              </w:rPr>
              <w:t>6,79 g</w:t>
            </w:r>
          </w:p>
        </w:tc>
        <w:tc>
          <w:tcPr>
            <w:tcW w:w="1244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6DF6AA95" w14:textId="610ECC19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  <w:lang w:val="fr-FR"/>
              </w:rPr>
            </w:pPr>
            <w:r w:rsidRPr="00CF4824">
              <w:rPr>
                <w:sz w:val="22"/>
                <w:szCs w:val="22"/>
              </w:rPr>
              <w:t>9,06 g</w:t>
            </w:r>
          </w:p>
        </w:tc>
      </w:tr>
      <w:tr w:rsidR="00954F85" w:rsidRPr="00CF4824" w14:paraId="4BE6DC43" w14:textId="77777777" w:rsidTr="0040190B">
        <w:trPr>
          <w:trHeight w:val="255"/>
          <w:jc w:val="center"/>
        </w:trPr>
        <w:tc>
          <w:tcPr>
            <w:tcW w:w="3871" w:type="dxa"/>
            <w:tcBorders>
              <w:bottom w:val="single" w:sz="6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AB4ADBB" w14:textId="5BF5CE0D" w:rsidR="00954F85" w:rsidRPr="00CF4824" w:rsidRDefault="002E05C5" w:rsidP="00424E03">
            <w:pPr>
              <w:pStyle w:val="TableCenter"/>
              <w:spacing w:before="0" w:after="0"/>
              <w:jc w:val="left"/>
              <w:rPr>
                <w:sz w:val="22"/>
                <w:szCs w:val="22"/>
                <w:lang w:val="fr-FR"/>
              </w:rPr>
            </w:pPr>
            <w:proofErr w:type="spellStart"/>
            <w:r w:rsidRPr="00CF4824">
              <w:rPr>
                <w:sz w:val="22"/>
                <w:szCs w:val="22"/>
              </w:rPr>
              <w:t>i</w:t>
            </w:r>
            <w:r w:rsidR="00954F85" w:rsidRPr="00CF4824">
              <w:rPr>
                <w:sz w:val="22"/>
                <w:szCs w:val="22"/>
              </w:rPr>
              <w:t>zoleucín</w:t>
            </w:r>
            <w:proofErr w:type="spellEnd"/>
          </w:p>
        </w:tc>
        <w:tc>
          <w:tcPr>
            <w:tcW w:w="1106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5447CDEB" w14:textId="0FB8C841" w:rsidR="00954F85" w:rsidRPr="00E02BC7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  <w:lang w:val="fr-FR"/>
              </w:rPr>
            </w:pPr>
            <w:r w:rsidRPr="00CF4824">
              <w:rPr>
                <w:sz w:val="22"/>
                <w:szCs w:val="22"/>
              </w:rPr>
              <w:t>2,46 g</w:t>
            </w:r>
          </w:p>
        </w:tc>
        <w:tc>
          <w:tcPr>
            <w:tcW w:w="1383" w:type="dxa"/>
            <w:tcBorders>
              <w:bottom w:val="single" w:sz="6" w:space="0" w:color="00000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079D27A" w14:textId="46778DF6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2F3A72">
              <w:rPr>
                <w:sz w:val="22"/>
                <w:szCs w:val="22"/>
              </w:rPr>
              <w:t>3,79 g</w:t>
            </w:r>
          </w:p>
        </w:tc>
        <w:tc>
          <w:tcPr>
            <w:tcW w:w="1245" w:type="dxa"/>
            <w:tcBorders>
              <w:bottom w:val="single" w:sz="6" w:space="0" w:color="00000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C8C4964" w14:textId="28840493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5,69 g</w:t>
            </w:r>
          </w:p>
        </w:tc>
        <w:tc>
          <w:tcPr>
            <w:tcW w:w="1244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0CE86E94" w14:textId="6164FB03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7,58 g</w:t>
            </w:r>
          </w:p>
        </w:tc>
      </w:tr>
      <w:tr w:rsidR="00954F85" w:rsidRPr="00CF4824" w14:paraId="250A4423" w14:textId="77777777" w:rsidTr="0040190B">
        <w:trPr>
          <w:trHeight w:val="255"/>
          <w:jc w:val="center"/>
        </w:trPr>
        <w:tc>
          <w:tcPr>
            <w:tcW w:w="3871" w:type="dxa"/>
            <w:tcBorders>
              <w:bottom w:val="single" w:sz="6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29CCE87" w14:textId="09947C81" w:rsidR="00954F85" w:rsidRPr="00CF4824" w:rsidRDefault="002E05C5" w:rsidP="00424E03">
            <w:pPr>
              <w:pStyle w:val="TableCenter"/>
              <w:spacing w:before="0" w:after="0"/>
              <w:jc w:val="left"/>
              <w:rPr>
                <w:sz w:val="22"/>
                <w:szCs w:val="22"/>
                <w:lang w:val="fr-FR"/>
              </w:rPr>
            </w:pPr>
            <w:proofErr w:type="spellStart"/>
            <w:r w:rsidRPr="00CF4824">
              <w:rPr>
                <w:sz w:val="22"/>
                <w:szCs w:val="22"/>
              </w:rPr>
              <w:t>l</w:t>
            </w:r>
            <w:r w:rsidR="00954F85" w:rsidRPr="00CF4824">
              <w:rPr>
                <w:sz w:val="22"/>
                <w:szCs w:val="22"/>
              </w:rPr>
              <w:t>eucín</w:t>
            </w:r>
            <w:proofErr w:type="spellEnd"/>
          </w:p>
        </w:tc>
        <w:tc>
          <w:tcPr>
            <w:tcW w:w="1106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424B0E73" w14:textId="79FE88D0" w:rsidR="00954F85" w:rsidRPr="00E02BC7" w:rsidRDefault="00954F85" w:rsidP="00D91F70">
            <w:pPr>
              <w:pStyle w:val="TableCenter"/>
              <w:spacing w:before="0" w:after="0"/>
              <w:rPr>
                <w:sz w:val="22"/>
                <w:szCs w:val="22"/>
                <w:lang w:val="fr-FR"/>
              </w:rPr>
            </w:pPr>
            <w:r w:rsidRPr="00CF4824">
              <w:rPr>
                <w:sz w:val="22"/>
                <w:szCs w:val="22"/>
              </w:rPr>
              <w:t>3,42 g</w:t>
            </w:r>
          </w:p>
        </w:tc>
        <w:tc>
          <w:tcPr>
            <w:tcW w:w="1383" w:type="dxa"/>
            <w:tcBorders>
              <w:bottom w:val="single" w:sz="6" w:space="0" w:color="00000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4AC093B" w14:textId="3403B5F0" w:rsidR="00954F85" w:rsidRPr="00CF4824" w:rsidRDefault="00954F85" w:rsidP="00D91F70">
            <w:pPr>
              <w:pStyle w:val="TableCenter"/>
              <w:spacing w:before="0" w:after="0"/>
              <w:rPr>
                <w:sz w:val="22"/>
                <w:szCs w:val="22"/>
                <w:lang w:val="fr-FR"/>
              </w:rPr>
            </w:pPr>
            <w:r w:rsidRPr="002F3A72">
              <w:rPr>
                <w:sz w:val="22"/>
                <w:szCs w:val="22"/>
              </w:rPr>
              <w:t>5,26 g</w:t>
            </w:r>
          </w:p>
        </w:tc>
        <w:tc>
          <w:tcPr>
            <w:tcW w:w="1245" w:type="dxa"/>
            <w:tcBorders>
              <w:bottom w:val="single" w:sz="6" w:space="0" w:color="00000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6EADD65" w14:textId="55C4F178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  <w:lang w:val="fr-FR"/>
              </w:rPr>
            </w:pPr>
            <w:r w:rsidRPr="00CF4824">
              <w:rPr>
                <w:sz w:val="22"/>
                <w:szCs w:val="22"/>
              </w:rPr>
              <w:t>7,90 g</w:t>
            </w:r>
          </w:p>
        </w:tc>
        <w:tc>
          <w:tcPr>
            <w:tcW w:w="1244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0B3C580B" w14:textId="16F59D0F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10,53 g</w:t>
            </w:r>
          </w:p>
        </w:tc>
      </w:tr>
      <w:tr w:rsidR="00954F85" w:rsidRPr="00CF4824" w14:paraId="5115E232" w14:textId="77777777" w:rsidTr="0040190B">
        <w:trPr>
          <w:trHeight w:val="255"/>
          <w:jc w:val="center"/>
        </w:trPr>
        <w:tc>
          <w:tcPr>
            <w:tcW w:w="3871" w:type="dxa"/>
            <w:tcBorders>
              <w:bottom w:val="single" w:sz="6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2663958" w14:textId="0B55483C" w:rsidR="00954F85" w:rsidRPr="00CF4824" w:rsidRDefault="002E05C5" w:rsidP="00424E03">
            <w:pPr>
              <w:pStyle w:val="TableCenter"/>
              <w:spacing w:before="0" w:after="0"/>
              <w:jc w:val="left"/>
              <w:rPr>
                <w:sz w:val="22"/>
                <w:szCs w:val="22"/>
              </w:rPr>
            </w:pPr>
            <w:proofErr w:type="spellStart"/>
            <w:r w:rsidRPr="00CF4824">
              <w:rPr>
                <w:sz w:val="22"/>
                <w:szCs w:val="22"/>
              </w:rPr>
              <w:t>l</w:t>
            </w:r>
            <w:r w:rsidR="00954F85" w:rsidRPr="00CF4824">
              <w:rPr>
                <w:sz w:val="22"/>
                <w:szCs w:val="22"/>
              </w:rPr>
              <w:t>yzín</w:t>
            </w:r>
            <w:proofErr w:type="spellEnd"/>
            <w:r w:rsidR="00954F85" w:rsidRPr="00CF4824">
              <w:rPr>
                <w:sz w:val="22"/>
                <w:szCs w:val="22"/>
              </w:rPr>
              <w:t xml:space="preserve"> </w:t>
            </w:r>
            <w:r w:rsidR="00954F85" w:rsidRPr="00CF4824">
              <w:rPr>
                <w:sz w:val="22"/>
                <w:szCs w:val="22"/>
              </w:rPr>
              <w:br/>
              <w:t>(</w:t>
            </w:r>
            <w:r w:rsidR="000F1903">
              <w:rPr>
                <w:sz w:val="22"/>
                <w:szCs w:val="22"/>
              </w:rPr>
              <w:t>zodpovedá</w:t>
            </w:r>
            <w:r w:rsidR="00954F85" w:rsidRPr="00CF4824">
              <w:rPr>
                <w:sz w:val="22"/>
                <w:szCs w:val="22"/>
              </w:rPr>
              <w:t xml:space="preserve"> </w:t>
            </w:r>
            <w:proofErr w:type="spellStart"/>
            <w:r w:rsidR="00954F85" w:rsidRPr="00CF4824">
              <w:rPr>
                <w:sz w:val="22"/>
                <w:szCs w:val="22"/>
              </w:rPr>
              <w:t>lyzíniumacetátu</w:t>
            </w:r>
            <w:proofErr w:type="spellEnd"/>
            <w:r w:rsidR="00954F85" w:rsidRPr="00CF4824">
              <w:rPr>
                <w:sz w:val="22"/>
                <w:szCs w:val="22"/>
              </w:rPr>
              <w:t>)</w:t>
            </w:r>
          </w:p>
        </w:tc>
        <w:tc>
          <w:tcPr>
            <w:tcW w:w="1106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54A4FBDF" w14:textId="2B5AE5A0" w:rsidR="00954F85" w:rsidRPr="002F3A72" w:rsidRDefault="00494A37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3,88 g</w:t>
            </w:r>
            <w:r w:rsidRPr="00CF4824">
              <w:rPr>
                <w:sz w:val="22"/>
                <w:szCs w:val="22"/>
              </w:rPr>
              <w:br/>
              <w:t>(5,48 g)</w:t>
            </w:r>
          </w:p>
        </w:tc>
        <w:tc>
          <w:tcPr>
            <w:tcW w:w="1383" w:type="dxa"/>
            <w:tcBorders>
              <w:bottom w:val="single" w:sz="6" w:space="0" w:color="00000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C52C1CE" w14:textId="2D01F3FE" w:rsidR="00954F85" w:rsidRPr="00CF4824" w:rsidRDefault="00494A37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5,97 g</w:t>
            </w:r>
            <w:r w:rsidRPr="00CF4824">
              <w:rPr>
                <w:sz w:val="22"/>
                <w:szCs w:val="22"/>
              </w:rPr>
              <w:br/>
              <w:t>(8,43 g)</w:t>
            </w:r>
          </w:p>
        </w:tc>
        <w:tc>
          <w:tcPr>
            <w:tcW w:w="1245" w:type="dxa"/>
            <w:tcBorders>
              <w:bottom w:val="single" w:sz="6" w:space="0" w:color="00000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AE929DD" w14:textId="59280137" w:rsidR="00954F85" w:rsidRPr="00CF4824" w:rsidRDefault="00494A37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 xml:space="preserve">8,96 g </w:t>
            </w:r>
            <w:r w:rsidRPr="00CF4824">
              <w:rPr>
                <w:sz w:val="22"/>
                <w:szCs w:val="22"/>
              </w:rPr>
              <w:br/>
              <w:t>(12,64 g)</w:t>
            </w:r>
          </w:p>
        </w:tc>
        <w:tc>
          <w:tcPr>
            <w:tcW w:w="1244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6C493F7F" w14:textId="79076281" w:rsidR="00954F85" w:rsidRPr="00CF4824" w:rsidRDefault="00494A37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11,95 g</w:t>
            </w:r>
            <w:r w:rsidRPr="00CF4824">
              <w:rPr>
                <w:sz w:val="22"/>
                <w:szCs w:val="22"/>
              </w:rPr>
              <w:br/>
              <w:t>(16,85 g)</w:t>
            </w:r>
          </w:p>
        </w:tc>
      </w:tr>
      <w:tr w:rsidR="00954F85" w:rsidRPr="00CF4824" w14:paraId="1981AD7C" w14:textId="77777777" w:rsidTr="0040190B">
        <w:trPr>
          <w:trHeight w:val="255"/>
          <w:jc w:val="center"/>
        </w:trPr>
        <w:tc>
          <w:tcPr>
            <w:tcW w:w="3871" w:type="dxa"/>
            <w:tcBorders>
              <w:bottom w:val="single" w:sz="6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F938A21" w14:textId="1E53D9FF" w:rsidR="00954F85" w:rsidRPr="00CF4824" w:rsidRDefault="002E05C5" w:rsidP="00424E03">
            <w:pPr>
              <w:pStyle w:val="TableCenter"/>
              <w:spacing w:before="0" w:after="0"/>
              <w:jc w:val="left"/>
              <w:rPr>
                <w:sz w:val="22"/>
                <w:szCs w:val="22"/>
              </w:rPr>
            </w:pPr>
            <w:proofErr w:type="spellStart"/>
            <w:r w:rsidRPr="00CF4824">
              <w:rPr>
                <w:sz w:val="22"/>
                <w:szCs w:val="22"/>
              </w:rPr>
              <w:t>m</w:t>
            </w:r>
            <w:r w:rsidR="00954F85" w:rsidRPr="00CF4824">
              <w:rPr>
                <w:sz w:val="22"/>
                <w:szCs w:val="22"/>
              </w:rPr>
              <w:t>etionín</w:t>
            </w:r>
            <w:proofErr w:type="spellEnd"/>
          </w:p>
        </w:tc>
        <w:tc>
          <w:tcPr>
            <w:tcW w:w="1106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61DAD922" w14:textId="4A584786" w:rsidR="00954F85" w:rsidRPr="00CF4824" w:rsidRDefault="00954F85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2,46 g</w:t>
            </w:r>
          </w:p>
        </w:tc>
        <w:tc>
          <w:tcPr>
            <w:tcW w:w="1383" w:type="dxa"/>
            <w:tcBorders>
              <w:bottom w:val="single" w:sz="6" w:space="0" w:color="00000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A26F864" w14:textId="608A3971" w:rsidR="00954F85" w:rsidRPr="00CF4824" w:rsidRDefault="00954F85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2F3A72">
              <w:rPr>
                <w:sz w:val="22"/>
                <w:szCs w:val="22"/>
              </w:rPr>
              <w:t>3,</w:t>
            </w:r>
            <w:r w:rsidRPr="00CF4824">
              <w:rPr>
                <w:sz w:val="22"/>
                <w:szCs w:val="22"/>
              </w:rPr>
              <w:t>79 g</w:t>
            </w:r>
          </w:p>
        </w:tc>
        <w:tc>
          <w:tcPr>
            <w:tcW w:w="1245" w:type="dxa"/>
            <w:tcBorders>
              <w:bottom w:val="single" w:sz="6" w:space="0" w:color="00000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413FD73" w14:textId="40EA7E63" w:rsidR="00954F85" w:rsidRPr="00CF4824" w:rsidRDefault="00954F85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5,69 g</w:t>
            </w:r>
          </w:p>
        </w:tc>
        <w:tc>
          <w:tcPr>
            <w:tcW w:w="1244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3DEF1EE9" w14:textId="29CD0C35" w:rsidR="00954F85" w:rsidRPr="00CF4824" w:rsidRDefault="00954F85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7,58 g</w:t>
            </w:r>
          </w:p>
        </w:tc>
      </w:tr>
      <w:tr w:rsidR="00954F85" w:rsidRPr="00CF4824" w14:paraId="5FDC4E22" w14:textId="77777777" w:rsidTr="0040190B">
        <w:trPr>
          <w:trHeight w:val="255"/>
          <w:jc w:val="center"/>
        </w:trPr>
        <w:tc>
          <w:tcPr>
            <w:tcW w:w="3871" w:type="dxa"/>
            <w:tcBorders>
              <w:bottom w:val="single" w:sz="6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EE9238C" w14:textId="19C21196" w:rsidR="00954F85" w:rsidRPr="00CF4824" w:rsidRDefault="002E05C5" w:rsidP="00424E03">
            <w:pPr>
              <w:pStyle w:val="TableCenter"/>
              <w:spacing w:before="0" w:after="0"/>
              <w:jc w:val="left"/>
              <w:rPr>
                <w:sz w:val="22"/>
                <w:szCs w:val="22"/>
              </w:rPr>
            </w:pPr>
            <w:proofErr w:type="spellStart"/>
            <w:r w:rsidRPr="00CF4824">
              <w:rPr>
                <w:sz w:val="22"/>
                <w:szCs w:val="22"/>
              </w:rPr>
              <w:t>f</w:t>
            </w:r>
            <w:r w:rsidR="00954F85" w:rsidRPr="00CF4824">
              <w:rPr>
                <w:sz w:val="22"/>
                <w:szCs w:val="22"/>
              </w:rPr>
              <w:t>enylalanín</w:t>
            </w:r>
            <w:proofErr w:type="spellEnd"/>
          </w:p>
        </w:tc>
        <w:tc>
          <w:tcPr>
            <w:tcW w:w="1106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68F8CFAF" w14:textId="3A5A1735" w:rsidR="00954F85" w:rsidRPr="00E02BC7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3,42 g</w:t>
            </w:r>
          </w:p>
        </w:tc>
        <w:tc>
          <w:tcPr>
            <w:tcW w:w="1383" w:type="dxa"/>
            <w:tcBorders>
              <w:bottom w:val="single" w:sz="6" w:space="0" w:color="00000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1057FDB" w14:textId="061245E7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2F3A72">
              <w:rPr>
                <w:sz w:val="22"/>
                <w:szCs w:val="22"/>
              </w:rPr>
              <w:t>5,26 g</w:t>
            </w:r>
          </w:p>
        </w:tc>
        <w:tc>
          <w:tcPr>
            <w:tcW w:w="1245" w:type="dxa"/>
            <w:tcBorders>
              <w:bottom w:val="single" w:sz="6" w:space="0" w:color="00000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B06F821" w14:textId="3B768711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7,90 g</w:t>
            </w:r>
          </w:p>
        </w:tc>
        <w:tc>
          <w:tcPr>
            <w:tcW w:w="1244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556A08B1" w14:textId="20AD38D9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  <w:lang w:val="fr-FR"/>
              </w:rPr>
            </w:pPr>
            <w:r w:rsidRPr="00CF4824">
              <w:rPr>
                <w:sz w:val="22"/>
                <w:szCs w:val="22"/>
              </w:rPr>
              <w:t>10,53 g</w:t>
            </w:r>
          </w:p>
        </w:tc>
      </w:tr>
      <w:tr w:rsidR="00954F85" w:rsidRPr="00CF4824" w14:paraId="2DB216ED" w14:textId="77777777" w:rsidTr="0040190B">
        <w:trPr>
          <w:trHeight w:val="255"/>
          <w:jc w:val="center"/>
        </w:trPr>
        <w:tc>
          <w:tcPr>
            <w:tcW w:w="3871" w:type="dxa"/>
            <w:tcBorders>
              <w:bottom w:val="single" w:sz="6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1AE5468" w14:textId="44623A3F" w:rsidR="00954F85" w:rsidRPr="00CF4824" w:rsidRDefault="002E05C5" w:rsidP="00424E03">
            <w:pPr>
              <w:pStyle w:val="TableCenter"/>
              <w:spacing w:before="0" w:after="0"/>
              <w:jc w:val="left"/>
              <w:rPr>
                <w:sz w:val="22"/>
                <w:szCs w:val="22"/>
                <w:lang w:val="fr-FR"/>
              </w:rPr>
            </w:pPr>
            <w:proofErr w:type="spellStart"/>
            <w:r w:rsidRPr="00CF4824">
              <w:rPr>
                <w:sz w:val="22"/>
                <w:szCs w:val="22"/>
              </w:rPr>
              <w:t>p</w:t>
            </w:r>
            <w:r w:rsidR="00954F85" w:rsidRPr="00CF4824">
              <w:rPr>
                <w:sz w:val="22"/>
                <w:szCs w:val="22"/>
              </w:rPr>
              <w:t>rolín</w:t>
            </w:r>
            <w:proofErr w:type="spellEnd"/>
          </w:p>
        </w:tc>
        <w:tc>
          <w:tcPr>
            <w:tcW w:w="1106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5821FF0F" w14:textId="306A96AE" w:rsidR="00954F85" w:rsidRPr="00E02BC7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  <w:lang w:val="fr-FR"/>
              </w:rPr>
            </w:pPr>
            <w:r w:rsidRPr="00CF4824">
              <w:rPr>
                <w:sz w:val="22"/>
                <w:szCs w:val="22"/>
              </w:rPr>
              <w:t>2,94 g</w:t>
            </w:r>
          </w:p>
        </w:tc>
        <w:tc>
          <w:tcPr>
            <w:tcW w:w="1383" w:type="dxa"/>
            <w:tcBorders>
              <w:bottom w:val="single" w:sz="6" w:space="0" w:color="00000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7E8DC65" w14:textId="595C569B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  <w:lang w:val="fr-FR"/>
              </w:rPr>
            </w:pPr>
            <w:r w:rsidRPr="002F3A72">
              <w:rPr>
                <w:sz w:val="22"/>
                <w:szCs w:val="22"/>
              </w:rPr>
              <w:t>4,53 g</w:t>
            </w:r>
          </w:p>
        </w:tc>
        <w:tc>
          <w:tcPr>
            <w:tcW w:w="1245" w:type="dxa"/>
            <w:tcBorders>
              <w:bottom w:val="single" w:sz="6" w:space="0" w:color="00000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B5BD485" w14:textId="542B6A8F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6,79 g</w:t>
            </w:r>
          </w:p>
        </w:tc>
        <w:tc>
          <w:tcPr>
            <w:tcW w:w="1244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0CF4FD9D" w14:textId="466A1D17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9,06 g</w:t>
            </w:r>
          </w:p>
        </w:tc>
      </w:tr>
      <w:tr w:rsidR="00954F85" w:rsidRPr="00CF4824" w14:paraId="60492100" w14:textId="77777777" w:rsidTr="0040190B">
        <w:trPr>
          <w:trHeight w:val="255"/>
          <w:jc w:val="center"/>
        </w:trPr>
        <w:tc>
          <w:tcPr>
            <w:tcW w:w="3871" w:type="dxa"/>
            <w:tcBorders>
              <w:bottom w:val="single" w:sz="6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4263FFE" w14:textId="51D90310" w:rsidR="00954F85" w:rsidRPr="00CF4824" w:rsidRDefault="002E05C5" w:rsidP="00424E03">
            <w:pPr>
              <w:pStyle w:val="TableCenter"/>
              <w:spacing w:before="0" w:after="0"/>
              <w:jc w:val="left"/>
              <w:rPr>
                <w:sz w:val="22"/>
                <w:szCs w:val="22"/>
              </w:rPr>
            </w:pPr>
            <w:proofErr w:type="spellStart"/>
            <w:r w:rsidRPr="00CF4824">
              <w:rPr>
                <w:sz w:val="22"/>
                <w:szCs w:val="22"/>
              </w:rPr>
              <w:t>s</w:t>
            </w:r>
            <w:r w:rsidR="00954F85" w:rsidRPr="00CF4824">
              <w:rPr>
                <w:sz w:val="22"/>
                <w:szCs w:val="22"/>
              </w:rPr>
              <w:t>erín</w:t>
            </w:r>
            <w:proofErr w:type="spellEnd"/>
          </w:p>
        </w:tc>
        <w:tc>
          <w:tcPr>
            <w:tcW w:w="1106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3B9A04E8" w14:textId="6FEACF59" w:rsidR="00954F85" w:rsidRPr="00E02BC7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1,95 g</w:t>
            </w:r>
          </w:p>
        </w:tc>
        <w:tc>
          <w:tcPr>
            <w:tcW w:w="1383" w:type="dxa"/>
            <w:tcBorders>
              <w:bottom w:val="single" w:sz="6" w:space="0" w:color="00000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A71A818" w14:textId="057597AA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2F3A72">
              <w:rPr>
                <w:sz w:val="22"/>
                <w:szCs w:val="22"/>
              </w:rPr>
              <w:t>3,00 g</w:t>
            </w:r>
          </w:p>
        </w:tc>
        <w:tc>
          <w:tcPr>
            <w:tcW w:w="1245" w:type="dxa"/>
            <w:tcBorders>
              <w:bottom w:val="single" w:sz="6" w:space="0" w:color="00000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54AA319" w14:textId="6511DBBC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4,50 g</w:t>
            </w:r>
          </w:p>
        </w:tc>
        <w:tc>
          <w:tcPr>
            <w:tcW w:w="1244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3B5FABA8" w14:textId="01A1EE16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5,99 g</w:t>
            </w:r>
          </w:p>
        </w:tc>
      </w:tr>
      <w:tr w:rsidR="00954F85" w:rsidRPr="00CF4824" w14:paraId="337ECB89" w14:textId="77777777" w:rsidTr="0040190B">
        <w:trPr>
          <w:trHeight w:val="255"/>
          <w:jc w:val="center"/>
        </w:trPr>
        <w:tc>
          <w:tcPr>
            <w:tcW w:w="3871" w:type="dxa"/>
            <w:tcBorders>
              <w:bottom w:val="single" w:sz="6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083D616" w14:textId="00B402BC" w:rsidR="00954F85" w:rsidRPr="00CF4824" w:rsidRDefault="002E05C5" w:rsidP="00424E03">
            <w:pPr>
              <w:pStyle w:val="TableCenter"/>
              <w:spacing w:before="0" w:after="0"/>
              <w:jc w:val="left"/>
              <w:rPr>
                <w:sz w:val="22"/>
                <w:szCs w:val="22"/>
              </w:rPr>
            </w:pPr>
            <w:proofErr w:type="spellStart"/>
            <w:r w:rsidRPr="00CF4824">
              <w:rPr>
                <w:sz w:val="22"/>
                <w:szCs w:val="22"/>
              </w:rPr>
              <w:t>t</w:t>
            </w:r>
            <w:r w:rsidR="00954F85" w:rsidRPr="00CF4824">
              <w:rPr>
                <w:sz w:val="22"/>
                <w:szCs w:val="22"/>
              </w:rPr>
              <w:t>reonín</w:t>
            </w:r>
            <w:proofErr w:type="spellEnd"/>
          </w:p>
        </w:tc>
        <w:tc>
          <w:tcPr>
            <w:tcW w:w="1106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09A4A195" w14:textId="3C376895" w:rsidR="00954F85" w:rsidRPr="00E02BC7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2,46 g</w:t>
            </w:r>
          </w:p>
        </w:tc>
        <w:tc>
          <w:tcPr>
            <w:tcW w:w="1383" w:type="dxa"/>
            <w:tcBorders>
              <w:bottom w:val="single" w:sz="6" w:space="0" w:color="00000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CB90913" w14:textId="7452465C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2F3A72">
              <w:rPr>
                <w:sz w:val="22"/>
                <w:szCs w:val="22"/>
              </w:rPr>
              <w:t>3,79 g</w:t>
            </w:r>
          </w:p>
        </w:tc>
        <w:tc>
          <w:tcPr>
            <w:tcW w:w="1245" w:type="dxa"/>
            <w:tcBorders>
              <w:bottom w:val="single" w:sz="6" w:space="0" w:color="00000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19DD3C7" w14:textId="38E3138C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5,69 g</w:t>
            </w:r>
          </w:p>
        </w:tc>
        <w:tc>
          <w:tcPr>
            <w:tcW w:w="1244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0ED243C6" w14:textId="767D07BE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7,58 g</w:t>
            </w:r>
          </w:p>
        </w:tc>
      </w:tr>
      <w:tr w:rsidR="00954F85" w:rsidRPr="00CF4824" w14:paraId="3AF4E6E7" w14:textId="77777777" w:rsidTr="0040190B">
        <w:trPr>
          <w:trHeight w:val="255"/>
          <w:jc w:val="center"/>
        </w:trPr>
        <w:tc>
          <w:tcPr>
            <w:tcW w:w="3871" w:type="dxa"/>
            <w:tcBorders>
              <w:bottom w:val="single" w:sz="6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25320FC" w14:textId="2EF00E77" w:rsidR="00954F85" w:rsidRPr="00CF4824" w:rsidRDefault="002E05C5" w:rsidP="00424E03">
            <w:pPr>
              <w:pStyle w:val="TableCenter"/>
              <w:spacing w:before="0" w:after="0"/>
              <w:jc w:val="left"/>
              <w:rPr>
                <w:sz w:val="22"/>
                <w:szCs w:val="22"/>
              </w:rPr>
            </w:pPr>
            <w:proofErr w:type="spellStart"/>
            <w:r w:rsidRPr="00CF4824">
              <w:rPr>
                <w:sz w:val="22"/>
                <w:szCs w:val="22"/>
              </w:rPr>
              <w:t>t</w:t>
            </w:r>
            <w:r w:rsidR="00954F85" w:rsidRPr="00CF4824">
              <w:rPr>
                <w:sz w:val="22"/>
                <w:szCs w:val="22"/>
              </w:rPr>
              <w:t>ryptofán</w:t>
            </w:r>
            <w:proofErr w:type="spellEnd"/>
          </w:p>
        </w:tc>
        <w:tc>
          <w:tcPr>
            <w:tcW w:w="1106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690C3D31" w14:textId="359EF671" w:rsidR="00954F85" w:rsidRPr="00E02BC7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0,82 g</w:t>
            </w:r>
          </w:p>
        </w:tc>
        <w:tc>
          <w:tcPr>
            <w:tcW w:w="1383" w:type="dxa"/>
            <w:tcBorders>
              <w:bottom w:val="single" w:sz="6" w:space="0" w:color="00000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A2531B2" w14:textId="5C7A7466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2F3A72">
              <w:rPr>
                <w:sz w:val="22"/>
                <w:szCs w:val="22"/>
              </w:rPr>
              <w:t>1,26 g</w:t>
            </w:r>
          </w:p>
        </w:tc>
        <w:tc>
          <w:tcPr>
            <w:tcW w:w="1245" w:type="dxa"/>
            <w:tcBorders>
              <w:bottom w:val="single" w:sz="6" w:space="0" w:color="00000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FF064D0" w14:textId="35CB9C5C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1,90 g</w:t>
            </w:r>
          </w:p>
        </w:tc>
        <w:tc>
          <w:tcPr>
            <w:tcW w:w="1244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34584FA9" w14:textId="5767B865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2,53 g</w:t>
            </w:r>
          </w:p>
        </w:tc>
      </w:tr>
      <w:tr w:rsidR="00954F85" w:rsidRPr="00CF4824" w14:paraId="1710DF3A" w14:textId="77777777" w:rsidTr="0040190B">
        <w:trPr>
          <w:trHeight w:val="255"/>
          <w:jc w:val="center"/>
        </w:trPr>
        <w:tc>
          <w:tcPr>
            <w:tcW w:w="3871" w:type="dxa"/>
            <w:tcBorders>
              <w:bottom w:val="single" w:sz="6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04B03F5" w14:textId="71F6E386" w:rsidR="00954F85" w:rsidRPr="00CF4824" w:rsidRDefault="002E05C5" w:rsidP="00424E03">
            <w:pPr>
              <w:pStyle w:val="TableCenter"/>
              <w:spacing w:before="0" w:after="0"/>
              <w:jc w:val="left"/>
              <w:rPr>
                <w:sz w:val="22"/>
                <w:szCs w:val="22"/>
              </w:rPr>
            </w:pPr>
            <w:proofErr w:type="spellStart"/>
            <w:r w:rsidRPr="00CF4824">
              <w:rPr>
                <w:sz w:val="22"/>
                <w:szCs w:val="22"/>
              </w:rPr>
              <w:t>t</w:t>
            </w:r>
            <w:r w:rsidR="00954F85" w:rsidRPr="00CF4824">
              <w:rPr>
                <w:sz w:val="22"/>
                <w:szCs w:val="22"/>
              </w:rPr>
              <w:t>yrozín</w:t>
            </w:r>
            <w:proofErr w:type="spellEnd"/>
          </w:p>
        </w:tc>
        <w:tc>
          <w:tcPr>
            <w:tcW w:w="1106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77ED312B" w14:textId="4119E278" w:rsidR="00954F85" w:rsidRPr="00E02BC7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0,13 g</w:t>
            </w:r>
          </w:p>
        </w:tc>
        <w:tc>
          <w:tcPr>
            <w:tcW w:w="1383" w:type="dxa"/>
            <w:tcBorders>
              <w:bottom w:val="single" w:sz="6" w:space="0" w:color="00000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8E3B841" w14:textId="5DA5C351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2F3A72">
              <w:rPr>
                <w:sz w:val="22"/>
                <w:szCs w:val="22"/>
              </w:rPr>
              <w:t>0,20 g</w:t>
            </w:r>
          </w:p>
        </w:tc>
        <w:tc>
          <w:tcPr>
            <w:tcW w:w="1245" w:type="dxa"/>
            <w:tcBorders>
              <w:bottom w:val="single" w:sz="6" w:space="0" w:color="00000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3205ED2" w14:textId="10CA045E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0,30 g</w:t>
            </w:r>
          </w:p>
        </w:tc>
        <w:tc>
          <w:tcPr>
            <w:tcW w:w="1244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5BE26385" w14:textId="3BC2E642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0,39 g</w:t>
            </w:r>
          </w:p>
        </w:tc>
      </w:tr>
      <w:tr w:rsidR="00954F85" w:rsidRPr="00CF4824" w14:paraId="12AC92E3" w14:textId="77777777" w:rsidTr="0040190B">
        <w:trPr>
          <w:trHeight w:val="255"/>
          <w:jc w:val="center"/>
        </w:trPr>
        <w:tc>
          <w:tcPr>
            <w:tcW w:w="3871" w:type="dxa"/>
            <w:tcBorders>
              <w:bottom w:val="single" w:sz="6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D507BD9" w14:textId="1C8DCDAC" w:rsidR="00954F85" w:rsidRPr="00CF4824" w:rsidRDefault="002E05C5" w:rsidP="00424E03">
            <w:pPr>
              <w:pStyle w:val="TableCenter"/>
              <w:spacing w:before="0" w:after="0"/>
              <w:jc w:val="left"/>
              <w:rPr>
                <w:sz w:val="22"/>
                <w:szCs w:val="22"/>
              </w:rPr>
            </w:pPr>
            <w:proofErr w:type="spellStart"/>
            <w:r w:rsidRPr="00CF4824">
              <w:rPr>
                <w:sz w:val="22"/>
                <w:szCs w:val="22"/>
              </w:rPr>
              <w:t>v</w:t>
            </w:r>
            <w:r w:rsidR="00954F85" w:rsidRPr="00CF4824">
              <w:rPr>
                <w:sz w:val="22"/>
                <w:szCs w:val="22"/>
              </w:rPr>
              <w:t>alín</w:t>
            </w:r>
            <w:proofErr w:type="spellEnd"/>
          </w:p>
        </w:tc>
        <w:tc>
          <w:tcPr>
            <w:tcW w:w="1106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2911DA56" w14:textId="3F083842" w:rsidR="00954F85" w:rsidRPr="001D1C19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3,16</w:t>
            </w:r>
            <w:r w:rsidRPr="00E02BC7">
              <w:rPr>
                <w:sz w:val="22"/>
                <w:szCs w:val="22"/>
              </w:rPr>
              <w:t xml:space="preserve"> g</w:t>
            </w:r>
          </w:p>
        </w:tc>
        <w:tc>
          <w:tcPr>
            <w:tcW w:w="1383" w:type="dxa"/>
            <w:tcBorders>
              <w:bottom w:val="single" w:sz="6" w:space="0" w:color="00000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3AC347D" w14:textId="2B766B83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2F3A72">
              <w:rPr>
                <w:sz w:val="22"/>
                <w:szCs w:val="22"/>
              </w:rPr>
              <w:t>4,86 g</w:t>
            </w:r>
          </w:p>
        </w:tc>
        <w:tc>
          <w:tcPr>
            <w:tcW w:w="1245" w:type="dxa"/>
            <w:tcBorders>
              <w:bottom w:val="single" w:sz="6" w:space="0" w:color="00000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0664E3D" w14:textId="253FB805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7,29 g</w:t>
            </w:r>
          </w:p>
        </w:tc>
        <w:tc>
          <w:tcPr>
            <w:tcW w:w="1244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7FD46827" w14:textId="04A95759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9,72 g</w:t>
            </w:r>
          </w:p>
        </w:tc>
      </w:tr>
      <w:tr w:rsidR="00954F85" w:rsidRPr="00CF4824" w14:paraId="2CF5C961" w14:textId="77777777" w:rsidTr="0040190B">
        <w:trPr>
          <w:trHeight w:val="255"/>
          <w:jc w:val="center"/>
        </w:trPr>
        <w:tc>
          <w:tcPr>
            <w:tcW w:w="3871" w:type="dxa"/>
            <w:tcBorders>
              <w:bottom w:val="single" w:sz="6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18BC58B" w14:textId="21A6B367" w:rsidR="00954F85" w:rsidRPr="00E02BC7" w:rsidRDefault="002E05C5" w:rsidP="00424E03">
            <w:pPr>
              <w:pStyle w:val="TableCenter"/>
              <w:spacing w:before="0" w:after="0"/>
              <w:jc w:val="left"/>
              <w:rPr>
                <w:sz w:val="22"/>
                <w:szCs w:val="22"/>
              </w:rPr>
            </w:pPr>
            <w:proofErr w:type="spellStart"/>
            <w:r w:rsidRPr="00CF4824">
              <w:rPr>
                <w:sz w:val="22"/>
                <w:szCs w:val="22"/>
              </w:rPr>
              <w:t>t</w:t>
            </w:r>
            <w:r w:rsidR="00954F85" w:rsidRPr="00CF4824">
              <w:rPr>
                <w:sz w:val="22"/>
                <w:szCs w:val="22"/>
              </w:rPr>
              <w:t>rihydrát</w:t>
            </w:r>
            <w:proofErr w:type="spellEnd"/>
            <w:r w:rsidR="00954F85" w:rsidRPr="00CF4824">
              <w:rPr>
                <w:sz w:val="22"/>
                <w:szCs w:val="22"/>
              </w:rPr>
              <w:t xml:space="preserve"> </w:t>
            </w:r>
            <w:r w:rsidR="00366BC2" w:rsidRPr="00CF4824">
              <w:rPr>
                <w:sz w:val="22"/>
                <w:szCs w:val="22"/>
              </w:rPr>
              <w:t>octanu sodného</w:t>
            </w:r>
          </w:p>
        </w:tc>
        <w:tc>
          <w:tcPr>
            <w:tcW w:w="1106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5482976F" w14:textId="358E1BA5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2F3A72">
              <w:rPr>
                <w:sz w:val="22"/>
                <w:szCs w:val="22"/>
              </w:rPr>
              <w:t>0,97 g</w:t>
            </w:r>
          </w:p>
        </w:tc>
        <w:tc>
          <w:tcPr>
            <w:tcW w:w="1383" w:type="dxa"/>
            <w:tcBorders>
              <w:bottom w:val="single" w:sz="6" w:space="0" w:color="00000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A260603" w14:textId="257637BB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1,5 g</w:t>
            </w:r>
          </w:p>
        </w:tc>
        <w:tc>
          <w:tcPr>
            <w:tcW w:w="1245" w:type="dxa"/>
            <w:tcBorders>
              <w:bottom w:val="single" w:sz="6" w:space="0" w:color="00000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FC19AD9" w14:textId="3E5F6B18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2,24 g</w:t>
            </w:r>
          </w:p>
        </w:tc>
        <w:tc>
          <w:tcPr>
            <w:tcW w:w="1244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515E6281" w14:textId="1D821432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2,99 g</w:t>
            </w:r>
          </w:p>
        </w:tc>
      </w:tr>
      <w:tr w:rsidR="00954F85" w:rsidRPr="00CF4824" w14:paraId="02C82197" w14:textId="77777777" w:rsidTr="0040190B">
        <w:trPr>
          <w:trHeight w:val="255"/>
          <w:jc w:val="center"/>
        </w:trPr>
        <w:tc>
          <w:tcPr>
            <w:tcW w:w="3871" w:type="dxa"/>
            <w:tcBorders>
              <w:bottom w:val="single" w:sz="6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C3B51E5" w14:textId="311A72B6" w:rsidR="00954F85" w:rsidRPr="002F3A72" w:rsidRDefault="00366BC2" w:rsidP="00424E03">
            <w:pPr>
              <w:pStyle w:val="TableCenter"/>
              <w:spacing w:before="0" w:after="0"/>
              <w:jc w:val="left"/>
              <w:rPr>
                <w:sz w:val="22"/>
                <w:szCs w:val="22"/>
              </w:rPr>
            </w:pPr>
            <w:proofErr w:type="spellStart"/>
            <w:r w:rsidRPr="00CF4824">
              <w:rPr>
                <w:sz w:val="22"/>
                <w:szCs w:val="22"/>
              </w:rPr>
              <w:t>h</w:t>
            </w:r>
            <w:r w:rsidR="00954F85" w:rsidRPr="00CF4824">
              <w:rPr>
                <w:sz w:val="22"/>
                <w:szCs w:val="22"/>
              </w:rPr>
              <w:t>ydratovan</w:t>
            </w:r>
            <w:r w:rsidRPr="00CF4824">
              <w:rPr>
                <w:sz w:val="22"/>
                <w:szCs w:val="22"/>
              </w:rPr>
              <w:t>á</w:t>
            </w:r>
            <w:proofErr w:type="spellEnd"/>
            <w:r w:rsidRPr="00CF4824">
              <w:rPr>
                <w:sz w:val="22"/>
                <w:szCs w:val="22"/>
              </w:rPr>
              <w:t xml:space="preserve"> </w:t>
            </w:r>
            <w:r w:rsidRPr="00E02BC7">
              <w:rPr>
                <w:sz w:val="22"/>
                <w:szCs w:val="22"/>
              </w:rPr>
              <w:t xml:space="preserve">sodná soľ </w:t>
            </w:r>
            <w:proofErr w:type="spellStart"/>
            <w:r w:rsidRPr="00E02BC7">
              <w:rPr>
                <w:sz w:val="22"/>
                <w:szCs w:val="22"/>
              </w:rPr>
              <w:t>glycerolfosfá</w:t>
            </w:r>
            <w:r w:rsidR="009A6332">
              <w:rPr>
                <w:sz w:val="22"/>
                <w:szCs w:val="22"/>
              </w:rPr>
              <w:t>tu</w:t>
            </w:r>
            <w:proofErr w:type="spellEnd"/>
          </w:p>
        </w:tc>
        <w:tc>
          <w:tcPr>
            <w:tcW w:w="1106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44F4F83F" w14:textId="6AB431CD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2,39 g</w:t>
            </w:r>
          </w:p>
        </w:tc>
        <w:tc>
          <w:tcPr>
            <w:tcW w:w="1383" w:type="dxa"/>
            <w:tcBorders>
              <w:bottom w:val="single" w:sz="6" w:space="0" w:color="00000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AC1BF38" w14:textId="55B27303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3,67 g</w:t>
            </w:r>
          </w:p>
        </w:tc>
        <w:tc>
          <w:tcPr>
            <w:tcW w:w="1245" w:type="dxa"/>
            <w:tcBorders>
              <w:bottom w:val="single" w:sz="6" w:space="0" w:color="00000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5D19917" w14:textId="3CAC8A81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5,51 g</w:t>
            </w:r>
          </w:p>
        </w:tc>
        <w:tc>
          <w:tcPr>
            <w:tcW w:w="1244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44EAE7B7" w14:textId="38AAB3B1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7,34 g</w:t>
            </w:r>
          </w:p>
        </w:tc>
      </w:tr>
      <w:tr w:rsidR="00954F85" w:rsidRPr="00CF4824" w14:paraId="2733F000" w14:textId="77777777" w:rsidTr="0040190B">
        <w:trPr>
          <w:trHeight w:val="255"/>
          <w:jc w:val="center"/>
        </w:trPr>
        <w:tc>
          <w:tcPr>
            <w:tcW w:w="3871" w:type="dxa"/>
            <w:tcBorders>
              <w:bottom w:val="single" w:sz="6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2BD439E" w14:textId="29C79B3E" w:rsidR="00954F85" w:rsidRPr="00CF4824" w:rsidRDefault="002E05C5" w:rsidP="00424E03">
            <w:pPr>
              <w:pStyle w:val="TableCenter"/>
              <w:spacing w:before="0" w:after="0"/>
              <w:jc w:val="left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c</w:t>
            </w:r>
            <w:r w:rsidR="00954F85" w:rsidRPr="00CF4824">
              <w:rPr>
                <w:sz w:val="22"/>
                <w:szCs w:val="22"/>
              </w:rPr>
              <w:t>hlorid draselný</w:t>
            </w:r>
          </w:p>
        </w:tc>
        <w:tc>
          <w:tcPr>
            <w:tcW w:w="1106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46C68119" w14:textId="0AD4CA51" w:rsidR="00954F85" w:rsidRPr="00E02BC7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1,45 g</w:t>
            </w:r>
          </w:p>
        </w:tc>
        <w:tc>
          <w:tcPr>
            <w:tcW w:w="1383" w:type="dxa"/>
            <w:tcBorders>
              <w:bottom w:val="single" w:sz="6" w:space="0" w:color="00000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1D7F338" w14:textId="75AECABF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2F3A72">
              <w:rPr>
                <w:sz w:val="22"/>
                <w:szCs w:val="22"/>
              </w:rPr>
              <w:t>2,24 g</w:t>
            </w:r>
          </w:p>
        </w:tc>
        <w:tc>
          <w:tcPr>
            <w:tcW w:w="1245" w:type="dxa"/>
            <w:tcBorders>
              <w:bottom w:val="single" w:sz="6" w:space="0" w:color="00000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49A8EA0" w14:textId="4E6BAD54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3,35 g</w:t>
            </w:r>
          </w:p>
        </w:tc>
        <w:tc>
          <w:tcPr>
            <w:tcW w:w="1244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085E5D74" w14:textId="5F2A8EFF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4,47 g</w:t>
            </w:r>
          </w:p>
        </w:tc>
      </w:tr>
      <w:tr w:rsidR="00954F85" w:rsidRPr="00CF4824" w14:paraId="49EDB793" w14:textId="77777777" w:rsidTr="0040190B">
        <w:trPr>
          <w:trHeight w:val="255"/>
          <w:jc w:val="center"/>
        </w:trPr>
        <w:tc>
          <w:tcPr>
            <w:tcW w:w="3871" w:type="dxa"/>
            <w:tcBorders>
              <w:bottom w:val="single" w:sz="6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E8B0712" w14:textId="5F4BACE5" w:rsidR="00954F85" w:rsidRPr="00CF4824" w:rsidRDefault="002E05C5" w:rsidP="00424E03">
            <w:pPr>
              <w:pStyle w:val="TableCenter"/>
              <w:spacing w:before="0" w:after="0"/>
              <w:jc w:val="left"/>
              <w:rPr>
                <w:sz w:val="22"/>
                <w:szCs w:val="22"/>
              </w:rPr>
            </w:pPr>
            <w:proofErr w:type="spellStart"/>
            <w:r w:rsidRPr="00CF4824">
              <w:rPr>
                <w:sz w:val="22"/>
                <w:szCs w:val="22"/>
              </w:rPr>
              <w:t>h</w:t>
            </w:r>
            <w:r w:rsidR="00954F85" w:rsidRPr="00CF4824">
              <w:rPr>
                <w:sz w:val="22"/>
                <w:szCs w:val="22"/>
              </w:rPr>
              <w:t>exahydrát</w:t>
            </w:r>
            <w:proofErr w:type="spellEnd"/>
            <w:r w:rsidR="00954F85" w:rsidRPr="00CF4824">
              <w:rPr>
                <w:sz w:val="22"/>
                <w:szCs w:val="22"/>
              </w:rPr>
              <w:t xml:space="preserve"> chloridu </w:t>
            </w:r>
            <w:proofErr w:type="spellStart"/>
            <w:r w:rsidR="00954F85" w:rsidRPr="00CF4824">
              <w:rPr>
                <w:sz w:val="22"/>
                <w:szCs w:val="22"/>
              </w:rPr>
              <w:t>horečnatého</w:t>
            </w:r>
            <w:proofErr w:type="spellEnd"/>
          </w:p>
        </w:tc>
        <w:tc>
          <w:tcPr>
            <w:tcW w:w="1106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45B186F7" w14:textId="3B4223E7" w:rsidR="00954F85" w:rsidRPr="00E02BC7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0,53 g</w:t>
            </w:r>
          </w:p>
        </w:tc>
        <w:tc>
          <w:tcPr>
            <w:tcW w:w="1383" w:type="dxa"/>
            <w:tcBorders>
              <w:bottom w:val="single" w:sz="6" w:space="0" w:color="00000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69AF391" w14:textId="7C5B56BA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2F3A72">
              <w:rPr>
                <w:sz w:val="22"/>
                <w:szCs w:val="22"/>
              </w:rPr>
              <w:t>0,81 g</w:t>
            </w:r>
          </w:p>
        </w:tc>
        <w:tc>
          <w:tcPr>
            <w:tcW w:w="1245" w:type="dxa"/>
            <w:tcBorders>
              <w:bottom w:val="single" w:sz="6" w:space="0" w:color="00000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17EB3BB" w14:textId="44C55886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1,22 g</w:t>
            </w:r>
          </w:p>
        </w:tc>
        <w:tc>
          <w:tcPr>
            <w:tcW w:w="1244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74C1CD4B" w14:textId="324CAE61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1,62 g</w:t>
            </w:r>
          </w:p>
        </w:tc>
      </w:tr>
      <w:tr w:rsidR="00954F85" w:rsidRPr="00CF4824" w14:paraId="5053CBE4" w14:textId="77777777" w:rsidTr="0040190B">
        <w:trPr>
          <w:trHeight w:val="255"/>
          <w:jc w:val="center"/>
        </w:trPr>
        <w:tc>
          <w:tcPr>
            <w:tcW w:w="3871" w:type="dxa"/>
            <w:tcBorders>
              <w:bottom w:val="single" w:sz="6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FA8550C" w14:textId="43680C30" w:rsidR="00954F85" w:rsidRPr="00CF4824" w:rsidRDefault="002E05C5" w:rsidP="00424E03">
            <w:pPr>
              <w:pStyle w:val="TableCenter"/>
              <w:spacing w:before="0" w:after="0"/>
              <w:jc w:val="left"/>
              <w:rPr>
                <w:sz w:val="22"/>
                <w:szCs w:val="22"/>
              </w:rPr>
            </w:pPr>
            <w:proofErr w:type="spellStart"/>
            <w:r w:rsidRPr="00CF4824">
              <w:rPr>
                <w:sz w:val="22"/>
                <w:szCs w:val="22"/>
              </w:rPr>
              <w:t>d</w:t>
            </w:r>
            <w:r w:rsidR="00954F85" w:rsidRPr="00CF4824">
              <w:rPr>
                <w:sz w:val="22"/>
                <w:szCs w:val="22"/>
              </w:rPr>
              <w:t>ihydrát</w:t>
            </w:r>
            <w:proofErr w:type="spellEnd"/>
            <w:r w:rsidR="00954F85" w:rsidRPr="00CF4824">
              <w:rPr>
                <w:sz w:val="22"/>
                <w:szCs w:val="22"/>
              </w:rPr>
              <w:t xml:space="preserve"> chloridu vápenatého</w:t>
            </w:r>
          </w:p>
        </w:tc>
        <w:tc>
          <w:tcPr>
            <w:tcW w:w="1106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2635C803" w14:textId="331C54F3" w:rsidR="00954F85" w:rsidRPr="00E02BC7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0,34 g</w:t>
            </w:r>
          </w:p>
        </w:tc>
        <w:tc>
          <w:tcPr>
            <w:tcW w:w="1383" w:type="dxa"/>
            <w:tcBorders>
              <w:bottom w:val="single" w:sz="6" w:space="0" w:color="00000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7D3949D" w14:textId="7F6E6550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2F3A72">
              <w:rPr>
                <w:sz w:val="22"/>
                <w:szCs w:val="22"/>
              </w:rPr>
              <w:t>0,52 g</w:t>
            </w:r>
          </w:p>
        </w:tc>
        <w:tc>
          <w:tcPr>
            <w:tcW w:w="1245" w:type="dxa"/>
            <w:tcBorders>
              <w:bottom w:val="single" w:sz="6" w:space="0" w:color="00000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AF90A0D" w14:textId="12DD2E1B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0,77 g</w:t>
            </w:r>
          </w:p>
        </w:tc>
        <w:tc>
          <w:tcPr>
            <w:tcW w:w="1244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4F036558" w14:textId="5C763D0A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1,03 g</w:t>
            </w:r>
          </w:p>
        </w:tc>
      </w:tr>
      <w:tr w:rsidR="00954F85" w:rsidRPr="00CF4824" w14:paraId="50BFB7B7" w14:textId="77777777" w:rsidTr="0040190B">
        <w:trPr>
          <w:trHeight w:val="347"/>
          <w:jc w:val="center"/>
        </w:trPr>
        <w:tc>
          <w:tcPr>
            <w:tcW w:w="3871" w:type="dxa"/>
            <w:tcBorders>
              <w:bottom w:val="single" w:sz="6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AA45B79" w14:textId="61C0DB98" w:rsidR="00954F85" w:rsidRPr="00CF4824" w:rsidRDefault="002E05C5" w:rsidP="00424E03">
            <w:pPr>
              <w:pStyle w:val="TableCenter"/>
              <w:spacing w:before="0" w:after="0"/>
              <w:jc w:val="left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lastRenderedPageBreak/>
              <w:t>g</w:t>
            </w:r>
            <w:r w:rsidR="00954F85" w:rsidRPr="00CF4824">
              <w:rPr>
                <w:sz w:val="22"/>
                <w:szCs w:val="22"/>
              </w:rPr>
              <w:t>lukóza</w:t>
            </w:r>
            <w:r w:rsidR="00954F85" w:rsidRPr="00CF4824">
              <w:rPr>
                <w:sz w:val="22"/>
                <w:szCs w:val="22"/>
              </w:rPr>
              <w:br/>
              <w:t>(</w:t>
            </w:r>
            <w:r w:rsidR="000F1903">
              <w:rPr>
                <w:sz w:val="22"/>
                <w:szCs w:val="22"/>
              </w:rPr>
              <w:t>zodpovedá</w:t>
            </w:r>
            <w:r w:rsidR="00954F85" w:rsidRPr="00CF4824">
              <w:rPr>
                <w:sz w:val="22"/>
                <w:szCs w:val="22"/>
              </w:rPr>
              <w:t xml:space="preserve"> </w:t>
            </w:r>
            <w:proofErr w:type="spellStart"/>
            <w:r w:rsidR="00954F85" w:rsidRPr="00CF4824">
              <w:rPr>
                <w:sz w:val="22"/>
                <w:szCs w:val="22"/>
              </w:rPr>
              <w:t>monohydrátu</w:t>
            </w:r>
            <w:proofErr w:type="spellEnd"/>
            <w:r w:rsidR="00954F85" w:rsidRPr="00CF4824">
              <w:rPr>
                <w:sz w:val="22"/>
                <w:szCs w:val="22"/>
              </w:rPr>
              <w:t xml:space="preserve"> glukózy)</w:t>
            </w:r>
          </w:p>
        </w:tc>
        <w:tc>
          <w:tcPr>
            <w:tcW w:w="1106" w:type="dxa"/>
            <w:tcBorders>
              <w:bottom w:val="single" w:sz="6" w:space="0" w:color="000000"/>
            </w:tcBorders>
            <w:shd w:val="clear" w:color="auto" w:fill="auto"/>
          </w:tcPr>
          <w:p w14:paraId="54CA84A9" w14:textId="454F2ED6" w:rsidR="00954F85" w:rsidRPr="002F3A72" w:rsidRDefault="00954F85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2F3A72">
              <w:rPr>
                <w:sz w:val="22"/>
                <w:szCs w:val="22"/>
              </w:rPr>
              <w:t>47,67 g</w:t>
            </w:r>
            <w:r w:rsidRPr="002F3A72">
              <w:rPr>
                <w:sz w:val="22"/>
                <w:szCs w:val="22"/>
              </w:rPr>
              <w:br/>
              <w:t>(52,43 g)</w:t>
            </w:r>
          </w:p>
        </w:tc>
        <w:tc>
          <w:tcPr>
            <w:tcW w:w="1383" w:type="dxa"/>
            <w:tcBorders>
              <w:bottom w:val="single" w:sz="6" w:space="0" w:color="00000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7578EAD2" w14:textId="58B6B472" w:rsidR="00954F85" w:rsidRPr="00CF4824" w:rsidRDefault="00954F85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73,33 g</w:t>
            </w:r>
            <w:r w:rsidRPr="00CF4824">
              <w:rPr>
                <w:sz w:val="22"/>
                <w:szCs w:val="22"/>
              </w:rPr>
              <w:br/>
              <w:t>(80,67 g)</w:t>
            </w:r>
          </w:p>
        </w:tc>
        <w:tc>
          <w:tcPr>
            <w:tcW w:w="1245" w:type="dxa"/>
            <w:tcBorders>
              <w:bottom w:val="single" w:sz="6" w:space="0" w:color="00000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2BD179A0" w14:textId="3D269205" w:rsidR="00954F85" w:rsidRPr="00CF4824" w:rsidRDefault="00954F85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 xml:space="preserve">110,00 g </w:t>
            </w:r>
            <w:r w:rsidRPr="00CF4824">
              <w:rPr>
                <w:sz w:val="22"/>
                <w:szCs w:val="22"/>
              </w:rPr>
              <w:br/>
              <w:t>(121,00 g)</w:t>
            </w:r>
          </w:p>
        </w:tc>
        <w:tc>
          <w:tcPr>
            <w:tcW w:w="1244" w:type="dxa"/>
            <w:tcBorders>
              <w:bottom w:val="single" w:sz="6" w:space="0" w:color="000000"/>
            </w:tcBorders>
            <w:shd w:val="clear" w:color="auto" w:fill="auto"/>
          </w:tcPr>
          <w:p w14:paraId="3F984C9B" w14:textId="5BAEDA6E" w:rsidR="00954F85" w:rsidRPr="00CF4824" w:rsidRDefault="00954F85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146,67 g</w:t>
            </w:r>
            <w:r w:rsidRPr="00CF4824">
              <w:rPr>
                <w:sz w:val="22"/>
                <w:szCs w:val="22"/>
              </w:rPr>
              <w:br/>
              <w:t>(161,33 g)</w:t>
            </w:r>
          </w:p>
        </w:tc>
      </w:tr>
      <w:tr w:rsidR="0040190B" w:rsidRPr="00BC42E4" w14:paraId="4765852D" w14:textId="77777777" w:rsidTr="0040190B">
        <w:trPr>
          <w:trHeight w:val="347"/>
          <w:jc w:val="center"/>
        </w:trPr>
        <w:tc>
          <w:tcPr>
            <w:tcW w:w="8848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D671A38" w14:textId="0B3A403B" w:rsidR="0040190B" w:rsidRPr="00424E03" w:rsidRDefault="0040190B" w:rsidP="00D91F70">
            <w:pPr>
              <w:pStyle w:val="TableFootnoteLetter"/>
              <w:spacing w:before="0" w:after="0"/>
            </w:pPr>
            <w:bookmarkStart w:id="3" w:name="_Ref496531184"/>
            <w:r w:rsidRPr="00424E03">
              <w:t>Zmes rafinovaného olivového oleja (približne 80 %) a rafinovaného sójového oleja (približne 20 %) zodpovedá 20 % pomeru esenciálnych mastných kyselín a celkových mastných kyselín.</w:t>
            </w:r>
          </w:p>
        </w:tc>
        <w:bookmarkEnd w:id="3"/>
      </w:tr>
    </w:tbl>
    <w:p w14:paraId="0D266EA3" w14:textId="77777777" w:rsidR="002E05C5" w:rsidRPr="00CF4824" w:rsidRDefault="002E05C5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646B1A3C" w14:textId="4FEF90CC" w:rsidR="00DE3992" w:rsidRDefault="00DE3992" w:rsidP="00D91F70">
      <w:pPr>
        <w:pStyle w:val="Paragraph"/>
        <w:spacing w:before="0" w:after="0" w:line="240" w:lineRule="auto"/>
        <w:rPr>
          <w:sz w:val="22"/>
          <w:szCs w:val="22"/>
        </w:rPr>
      </w:pPr>
      <w:r>
        <w:rPr>
          <w:sz w:val="22"/>
          <w:szCs w:val="22"/>
        </w:rPr>
        <w:t>Úplný zoznam pomocných látok, pozri časť 6.1.</w:t>
      </w:r>
    </w:p>
    <w:p w14:paraId="7BDA5B8A" w14:textId="77777777" w:rsidR="00DE3992" w:rsidRDefault="00DE3992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23012AD0" w14:textId="778DFD83" w:rsidR="00DA693F" w:rsidRPr="00CF4824" w:rsidRDefault="00DA693F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>Nutričný príjem poskytnutý pripravenou emulziou v jednotlivých veľkostiach vaku:</w:t>
      </w:r>
    </w:p>
    <w:p w14:paraId="1D4376CA" w14:textId="77777777" w:rsidR="006E69C5" w:rsidRPr="002F3A72" w:rsidRDefault="006E69C5" w:rsidP="00D91F70">
      <w:pPr>
        <w:pStyle w:val="Paragraph"/>
        <w:spacing w:before="0" w:after="0" w:line="240" w:lineRule="auto"/>
        <w:rPr>
          <w:sz w:val="22"/>
          <w:szCs w:val="22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95"/>
        <w:gridCol w:w="1399"/>
        <w:gridCol w:w="1398"/>
        <w:gridCol w:w="1399"/>
        <w:gridCol w:w="1398"/>
      </w:tblGrid>
      <w:tr w:rsidR="003C2FD8" w:rsidRPr="00CF4824" w14:paraId="57C3EC4E" w14:textId="77777777" w:rsidTr="00424E03">
        <w:trPr>
          <w:trHeight w:val="364"/>
          <w:tblHeader/>
          <w:jc w:val="center"/>
        </w:trPr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030D0B5" w14:textId="77777777" w:rsidR="00954F85" w:rsidRPr="00CF4824" w:rsidRDefault="00954F85" w:rsidP="00424E03">
            <w:pPr>
              <w:pStyle w:val="TableHead"/>
              <w:spacing w:before="0"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3F3ED15" w14:textId="46F97691" w:rsidR="00954F85" w:rsidRPr="00CF4824" w:rsidRDefault="00954F85" w:rsidP="00D91F70">
            <w:pPr>
              <w:pStyle w:val="TableHead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650 ml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BC37238" w14:textId="7B63EFD0" w:rsidR="00954F85" w:rsidRPr="00CF4824" w:rsidRDefault="00954F85" w:rsidP="00D91F70">
            <w:pPr>
              <w:pStyle w:val="TableHead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1 000 ml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401863D" w14:textId="25141D8B" w:rsidR="00954F85" w:rsidRPr="00CF4824" w:rsidRDefault="00954F85" w:rsidP="00D91F70">
            <w:pPr>
              <w:pStyle w:val="TableHead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1 500 ml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7BF55" w14:textId="0E245E04" w:rsidR="00954F85" w:rsidRPr="00CF4824" w:rsidRDefault="00954F85" w:rsidP="00D91F70">
            <w:pPr>
              <w:pStyle w:val="TableHead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2 000 ml</w:t>
            </w:r>
          </w:p>
        </w:tc>
      </w:tr>
      <w:tr w:rsidR="00954F85" w:rsidRPr="00CF4824" w14:paraId="5CBC7C18" w14:textId="77777777" w:rsidTr="00424E03">
        <w:trPr>
          <w:trHeight w:val="285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24D50AB" w14:textId="4A083FAA" w:rsidR="00954F85" w:rsidRPr="00CF4824" w:rsidRDefault="002E05C5" w:rsidP="00424E03">
            <w:pPr>
              <w:pStyle w:val="TableCenter"/>
              <w:spacing w:before="0" w:after="0"/>
              <w:jc w:val="left"/>
              <w:rPr>
                <w:rFonts w:eastAsia="Arial Unicode MS"/>
                <w:sz w:val="22"/>
                <w:szCs w:val="22"/>
              </w:rPr>
            </w:pPr>
            <w:proofErr w:type="spellStart"/>
            <w:r w:rsidRPr="00CF4824">
              <w:rPr>
                <w:sz w:val="22"/>
                <w:szCs w:val="22"/>
              </w:rPr>
              <w:t>l</w:t>
            </w:r>
            <w:r w:rsidR="00954F85" w:rsidRPr="00CF4824">
              <w:rPr>
                <w:sz w:val="22"/>
                <w:szCs w:val="22"/>
              </w:rPr>
              <w:t>ipidy</w:t>
            </w:r>
            <w:proofErr w:type="spellEnd"/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D38A71" w14:textId="2EE48ACC" w:rsidR="00954F85" w:rsidRPr="00CF4824" w:rsidRDefault="00515562" w:rsidP="00424E03">
            <w:pPr>
              <w:pStyle w:val="TableCenter"/>
              <w:spacing w:before="0" w:after="0"/>
              <w:ind w:right="207"/>
              <w:jc w:val="right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22,8 g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B1C6BEA" w14:textId="06480788" w:rsidR="00954F85" w:rsidRPr="00CF4824" w:rsidRDefault="00954F85" w:rsidP="00424E03">
            <w:pPr>
              <w:pStyle w:val="TableCenter"/>
              <w:spacing w:before="0" w:after="0"/>
              <w:ind w:right="207"/>
              <w:jc w:val="right"/>
              <w:rPr>
                <w:rFonts w:eastAsia="Arial Unicode MS"/>
                <w:sz w:val="22"/>
                <w:szCs w:val="22"/>
              </w:rPr>
            </w:pPr>
            <w:r w:rsidRPr="002F3A72">
              <w:rPr>
                <w:sz w:val="22"/>
                <w:szCs w:val="22"/>
              </w:rPr>
              <w:t>35,0 g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C64C7E6" w14:textId="10AD70E1" w:rsidR="00954F85" w:rsidRPr="00CF4824" w:rsidRDefault="00515562" w:rsidP="00424E03">
            <w:pPr>
              <w:pStyle w:val="TableCenter"/>
              <w:spacing w:before="0" w:after="0"/>
              <w:ind w:right="207"/>
              <w:jc w:val="right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rFonts w:eastAsia="Arial Unicode MS"/>
                <w:sz w:val="22"/>
                <w:szCs w:val="22"/>
              </w:rPr>
              <w:t>52,5 g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59EDE" w14:textId="1479EA18" w:rsidR="00954F85" w:rsidRPr="00CF4824" w:rsidRDefault="00515562" w:rsidP="00424E03">
            <w:pPr>
              <w:pStyle w:val="TableCenter"/>
              <w:spacing w:before="0" w:after="0"/>
              <w:ind w:right="207"/>
              <w:jc w:val="right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rFonts w:eastAsia="Arial Unicode MS"/>
                <w:sz w:val="22"/>
                <w:szCs w:val="22"/>
              </w:rPr>
              <w:t>70,0 g</w:t>
            </w:r>
          </w:p>
        </w:tc>
      </w:tr>
      <w:tr w:rsidR="00954F85" w:rsidRPr="00CF4824" w14:paraId="46672335" w14:textId="77777777" w:rsidTr="00424E03">
        <w:trPr>
          <w:trHeight w:val="255"/>
          <w:jc w:val="center"/>
        </w:trPr>
        <w:tc>
          <w:tcPr>
            <w:tcW w:w="3403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5F18F91" w14:textId="34F1F874" w:rsidR="00954F85" w:rsidRPr="00CF4824" w:rsidRDefault="002E05C5" w:rsidP="00424E03">
            <w:pPr>
              <w:pStyle w:val="TableCenter"/>
              <w:spacing w:before="0" w:after="0"/>
              <w:jc w:val="left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a</w:t>
            </w:r>
            <w:r w:rsidR="00954F85" w:rsidRPr="00CF4824">
              <w:rPr>
                <w:sz w:val="22"/>
                <w:szCs w:val="22"/>
              </w:rPr>
              <w:t xml:space="preserve">minokyseliny 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478DEDD5" w14:textId="1690FDAC" w:rsidR="00954F85" w:rsidRPr="00CF4824" w:rsidRDefault="00515562" w:rsidP="00424E03">
            <w:pPr>
              <w:pStyle w:val="TableCenter"/>
              <w:spacing w:before="0" w:after="0"/>
              <w:ind w:right="207"/>
              <w:jc w:val="right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49,4 g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F1D8843" w14:textId="5914607D" w:rsidR="00954F85" w:rsidRPr="00CF4824" w:rsidRDefault="00954F85" w:rsidP="00424E03">
            <w:pPr>
              <w:pStyle w:val="TableCenter"/>
              <w:spacing w:before="0" w:after="0"/>
              <w:ind w:right="207"/>
              <w:jc w:val="right"/>
              <w:rPr>
                <w:rFonts w:eastAsia="Arial Unicode MS"/>
                <w:sz w:val="22"/>
                <w:szCs w:val="22"/>
              </w:rPr>
            </w:pPr>
            <w:r w:rsidRPr="002F3A72">
              <w:rPr>
                <w:sz w:val="22"/>
                <w:szCs w:val="22"/>
              </w:rPr>
              <w:t>75,9 g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bottom"/>
          </w:tcPr>
          <w:p w14:paraId="0B016356" w14:textId="1F95917C" w:rsidR="00954F85" w:rsidRPr="00CF4824" w:rsidRDefault="00515562" w:rsidP="00424E03">
            <w:pPr>
              <w:pStyle w:val="TableCenter"/>
              <w:spacing w:before="0" w:after="0"/>
              <w:ind w:right="207"/>
              <w:jc w:val="right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rFonts w:eastAsia="Arial Unicode MS"/>
                <w:sz w:val="22"/>
                <w:szCs w:val="22"/>
              </w:rPr>
              <w:t xml:space="preserve">113,9 </w:t>
            </w:r>
            <w:r w:rsidRPr="00CF4824">
              <w:rPr>
                <w:sz w:val="22"/>
                <w:szCs w:val="22"/>
              </w:rPr>
              <w:t>g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bottom"/>
          </w:tcPr>
          <w:p w14:paraId="4F4C8A6C" w14:textId="6604FD9B" w:rsidR="00954F85" w:rsidRPr="00CF4824" w:rsidRDefault="00515562" w:rsidP="00424E03">
            <w:pPr>
              <w:pStyle w:val="TableCenter"/>
              <w:spacing w:before="0" w:after="0"/>
              <w:ind w:right="207"/>
              <w:jc w:val="right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rFonts w:eastAsia="Arial Unicode MS"/>
                <w:sz w:val="22"/>
                <w:szCs w:val="22"/>
              </w:rPr>
              <w:t xml:space="preserve">151,9 </w:t>
            </w:r>
            <w:r w:rsidRPr="00CF4824">
              <w:rPr>
                <w:sz w:val="22"/>
                <w:szCs w:val="22"/>
              </w:rPr>
              <w:t>g</w:t>
            </w:r>
          </w:p>
        </w:tc>
      </w:tr>
      <w:tr w:rsidR="00954F85" w:rsidRPr="00CF4824" w14:paraId="3679586B" w14:textId="77777777" w:rsidTr="003C2FD8">
        <w:trPr>
          <w:trHeight w:val="255"/>
          <w:jc w:val="center"/>
        </w:trPr>
        <w:tc>
          <w:tcPr>
            <w:tcW w:w="3403" w:type="dxa"/>
            <w:tcBorders>
              <w:bottom w:val="single" w:sz="6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DBE7726" w14:textId="49A6712B" w:rsidR="00954F85" w:rsidRPr="00CF4824" w:rsidRDefault="002E05C5" w:rsidP="00424E03">
            <w:pPr>
              <w:pStyle w:val="TableCenter"/>
              <w:spacing w:before="0" w:after="0"/>
              <w:jc w:val="left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d</w:t>
            </w:r>
            <w:r w:rsidR="00954F85" w:rsidRPr="00CF4824">
              <w:rPr>
                <w:sz w:val="22"/>
                <w:szCs w:val="22"/>
              </w:rPr>
              <w:t xml:space="preserve">usík </w:t>
            </w:r>
          </w:p>
        </w:tc>
        <w:tc>
          <w:tcPr>
            <w:tcW w:w="1362" w:type="dxa"/>
            <w:tcBorders>
              <w:bottom w:val="single" w:sz="6" w:space="0" w:color="000000"/>
            </w:tcBorders>
            <w:shd w:val="clear" w:color="auto" w:fill="auto"/>
          </w:tcPr>
          <w:p w14:paraId="6ABF47D7" w14:textId="0FFCC1E1" w:rsidR="00954F85" w:rsidRPr="00CF4824" w:rsidRDefault="00515562" w:rsidP="00424E03">
            <w:pPr>
              <w:pStyle w:val="TableCenter"/>
              <w:spacing w:before="0" w:after="0"/>
              <w:ind w:right="207"/>
              <w:jc w:val="right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7,8 g</w:t>
            </w:r>
          </w:p>
        </w:tc>
        <w:tc>
          <w:tcPr>
            <w:tcW w:w="1361" w:type="dxa"/>
            <w:tcBorders>
              <w:bottom w:val="single" w:sz="6" w:space="0" w:color="00000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EEDF747" w14:textId="7DC67B2A" w:rsidR="00954F85" w:rsidRPr="00CF4824" w:rsidRDefault="00954F85" w:rsidP="00424E03">
            <w:pPr>
              <w:pStyle w:val="TableCenter"/>
              <w:spacing w:before="0" w:after="0"/>
              <w:ind w:right="207"/>
              <w:jc w:val="right"/>
              <w:rPr>
                <w:rFonts w:eastAsia="Arial Unicode MS"/>
                <w:sz w:val="22"/>
                <w:szCs w:val="22"/>
              </w:rPr>
            </w:pPr>
            <w:r w:rsidRPr="002F3A72">
              <w:rPr>
                <w:sz w:val="22"/>
                <w:szCs w:val="22"/>
              </w:rPr>
              <w:t>12,0 g</w:t>
            </w:r>
          </w:p>
        </w:tc>
        <w:tc>
          <w:tcPr>
            <w:tcW w:w="1362" w:type="dxa"/>
            <w:tcBorders>
              <w:bottom w:val="single" w:sz="6" w:space="0" w:color="000000"/>
            </w:tcBorders>
            <w:shd w:val="clear" w:color="auto" w:fill="auto"/>
            <w:vAlign w:val="bottom"/>
          </w:tcPr>
          <w:p w14:paraId="5A3405AE" w14:textId="0280EA20" w:rsidR="00954F85" w:rsidRPr="00CF4824" w:rsidRDefault="00515562" w:rsidP="00424E03">
            <w:pPr>
              <w:pStyle w:val="TableCenter"/>
              <w:spacing w:before="0" w:after="0"/>
              <w:ind w:right="207"/>
              <w:jc w:val="right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rFonts w:eastAsia="Arial Unicode MS"/>
                <w:sz w:val="22"/>
                <w:szCs w:val="22"/>
              </w:rPr>
              <w:t xml:space="preserve">18,0 </w:t>
            </w:r>
            <w:r w:rsidRPr="00CF4824">
              <w:rPr>
                <w:sz w:val="22"/>
                <w:szCs w:val="22"/>
              </w:rPr>
              <w:t>g</w:t>
            </w:r>
          </w:p>
        </w:tc>
        <w:tc>
          <w:tcPr>
            <w:tcW w:w="1361" w:type="dxa"/>
            <w:tcBorders>
              <w:bottom w:val="single" w:sz="6" w:space="0" w:color="000000"/>
            </w:tcBorders>
            <w:shd w:val="clear" w:color="auto" w:fill="auto"/>
            <w:vAlign w:val="bottom"/>
          </w:tcPr>
          <w:p w14:paraId="18CAC878" w14:textId="09A091EF" w:rsidR="00954F85" w:rsidRPr="00CF4824" w:rsidRDefault="00515562" w:rsidP="00424E03">
            <w:pPr>
              <w:pStyle w:val="TableCenter"/>
              <w:spacing w:before="0" w:after="0"/>
              <w:ind w:right="207"/>
              <w:jc w:val="right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rFonts w:eastAsia="Arial Unicode MS"/>
                <w:sz w:val="22"/>
                <w:szCs w:val="22"/>
              </w:rPr>
              <w:t xml:space="preserve">24,0 </w:t>
            </w:r>
            <w:r w:rsidRPr="00CF4824">
              <w:rPr>
                <w:sz w:val="22"/>
                <w:szCs w:val="22"/>
              </w:rPr>
              <w:t>g</w:t>
            </w:r>
          </w:p>
        </w:tc>
      </w:tr>
      <w:tr w:rsidR="00954F85" w:rsidRPr="00CF4824" w14:paraId="3F0F7CFC" w14:textId="77777777" w:rsidTr="00424E03">
        <w:trPr>
          <w:trHeight w:val="255"/>
          <w:jc w:val="center"/>
        </w:trPr>
        <w:tc>
          <w:tcPr>
            <w:tcW w:w="3403" w:type="dxa"/>
            <w:tcBorders>
              <w:bottom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841DCE2" w14:textId="51E53C93" w:rsidR="00954F85" w:rsidRPr="00CF4824" w:rsidRDefault="002E05C5" w:rsidP="00424E03">
            <w:pPr>
              <w:pStyle w:val="TableCenter"/>
              <w:spacing w:before="0" w:after="0"/>
              <w:jc w:val="left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g</w:t>
            </w:r>
            <w:r w:rsidR="00954F85" w:rsidRPr="00CF4824">
              <w:rPr>
                <w:sz w:val="22"/>
                <w:szCs w:val="22"/>
              </w:rPr>
              <w:t xml:space="preserve">lukóza </w:t>
            </w:r>
          </w:p>
        </w:tc>
        <w:tc>
          <w:tcPr>
            <w:tcW w:w="1362" w:type="dxa"/>
            <w:tcBorders>
              <w:bottom w:val="single" w:sz="4" w:space="0" w:color="auto"/>
            </w:tcBorders>
            <w:shd w:val="clear" w:color="auto" w:fill="auto"/>
          </w:tcPr>
          <w:p w14:paraId="2D033254" w14:textId="002F33CC" w:rsidR="00954F85" w:rsidRPr="00CF4824" w:rsidRDefault="00515562" w:rsidP="00424E03">
            <w:pPr>
              <w:pStyle w:val="TableCenter"/>
              <w:spacing w:before="0" w:after="0"/>
              <w:ind w:right="207"/>
              <w:jc w:val="right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47,7 g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1C3A60A" w14:textId="426FFFB5" w:rsidR="00954F85" w:rsidRPr="00CF4824" w:rsidRDefault="00954F85" w:rsidP="00424E03">
            <w:pPr>
              <w:pStyle w:val="TableCenter"/>
              <w:spacing w:before="0" w:after="0"/>
              <w:ind w:right="207"/>
              <w:jc w:val="right"/>
              <w:rPr>
                <w:rFonts w:eastAsia="Arial Unicode MS"/>
                <w:sz w:val="22"/>
                <w:szCs w:val="22"/>
              </w:rPr>
            </w:pPr>
            <w:r w:rsidRPr="002F3A72">
              <w:rPr>
                <w:sz w:val="22"/>
                <w:szCs w:val="22"/>
              </w:rPr>
              <w:t>73,3 g</w:t>
            </w:r>
          </w:p>
        </w:tc>
        <w:tc>
          <w:tcPr>
            <w:tcW w:w="136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9C5A29B" w14:textId="56C02A6D" w:rsidR="00954F85" w:rsidRPr="00CF4824" w:rsidRDefault="00515562" w:rsidP="00424E03">
            <w:pPr>
              <w:pStyle w:val="TableCenter"/>
              <w:spacing w:before="0" w:after="0"/>
              <w:ind w:right="207"/>
              <w:jc w:val="right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rFonts w:eastAsia="Arial Unicode MS"/>
                <w:sz w:val="22"/>
                <w:szCs w:val="22"/>
              </w:rPr>
              <w:t xml:space="preserve">110,0 </w:t>
            </w:r>
            <w:r w:rsidRPr="00CF4824">
              <w:rPr>
                <w:sz w:val="22"/>
                <w:szCs w:val="22"/>
              </w:rPr>
              <w:t>g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DFBC708" w14:textId="0B5FBC32" w:rsidR="00954F85" w:rsidRPr="00CF4824" w:rsidRDefault="00515562" w:rsidP="00424E03">
            <w:pPr>
              <w:pStyle w:val="TableCenter"/>
              <w:spacing w:before="0" w:after="0"/>
              <w:ind w:right="207"/>
              <w:jc w:val="right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rFonts w:eastAsia="Arial Unicode MS"/>
                <w:sz w:val="22"/>
                <w:szCs w:val="22"/>
              </w:rPr>
              <w:t xml:space="preserve">146,7 </w:t>
            </w:r>
            <w:r w:rsidRPr="00CF4824">
              <w:rPr>
                <w:sz w:val="22"/>
                <w:szCs w:val="22"/>
              </w:rPr>
              <w:t>g</w:t>
            </w:r>
          </w:p>
        </w:tc>
      </w:tr>
      <w:tr w:rsidR="00CD15E7" w:rsidRPr="00CF4824" w14:paraId="345D3934" w14:textId="77777777" w:rsidTr="00424E03">
        <w:trPr>
          <w:trHeight w:val="255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03AABC8" w14:textId="77777777" w:rsidR="00954F85" w:rsidRPr="00424E03" w:rsidRDefault="00954F85" w:rsidP="00424E03">
            <w:pPr>
              <w:pStyle w:val="TableCenter"/>
              <w:spacing w:before="0" w:after="0"/>
              <w:jc w:val="left"/>
              <w:rPr>
                <w:rFonts w:eastAsia="Arial Unicode MS"/>
                <w:i/>
                <w:sz w:val="22"/>
                <w:szCs w:val="22"/>
              </w:rPr>
            </w:pPr>
            <w:r w:rsidRPr="00424E03">
              <w:rPr>
                <w:i/>
                <w:sz w:val="22"/>
                <w:szCs w:val="22"/>
              </w:rPr>
              <w:t>Energia: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709441" w14:textId="77777777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5DD087F" w14:textId="6EAE7FFA" w:rsidR="00954F85" w:rsidRPr="002F3A72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B9BDF1B" w14:textId="77777777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5CAE918" w14:textId="77777777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</w:p>
        </w:tc>
      </w:tr>
      <w:tr w:rsidR="00954F85" w:rsidRPr="00CF4824" w14:paraId="5EF4D51C" w14:textId="77777777" w:rsidTr="00424E03">
        <w:trPr>
          <w:trHeight w:val="255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768408D" w14:textId="77777777" w:rsidR="00954F85" w:rsidRPr="00CF4824" w:rsidRDefault="00954F85" w:rsidP="00424E03">
            <w:pPr>
              <w:pStyle w:val="TableCenter"/>
              <w:spacing w:before="0" w:after="0"/>
              <w:ind w:left="138"/>
              <w:jc w:val="left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 xml:space="preserve">Celkové kalórie, približne 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401001" w14:textId="1C64F9DB" w:rsidR="00954F85" w:rsidRPr="00CF4824" w:rsidRDefault="00BC23C7" w:rsidP="00424E03">
            <w:pPr>
              <w:pStyle w:val="TableCenter"/>
              <w:spacing w:before="0" w:after="0"/>
              <w:ind w:right="207"/>
              <w:jc w:val="right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620 kcal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581580E" w14:textId="7FD9DA9E" w:rsidR="00954F85" w:rsidRPr="00CF4824" w:rsidRDefault="00BC23C7" w:rsidP="00424E03">
            <w:pPr>
              <w:pStyle w:val="TableCenter"/>
              <w:spacing w:before="0" w:after="0"/>
              <w:ind w:right="207"/>
              <w:jc w:val="right"/>
              <w:rPr>
                <w:rFonts w:eastAsia="Arial Unicode MS"/>
                <w:sz w:val="22"/>
                <w:szCs w:val="22"/>
              </w:rPr>
            </w:pPr>
            <w:r w:rsidRPr="002F3A72">
              <w:rPr>
                <w:sz w:val="22"/>
                <w:szCs w:val="22"/>
              </w:rPr>
              <w:t>950 kcal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E1C1495" w14:textId="44E232BD" w:rsidR="00954F85" w:rsidRPr="00CF4824" w:rsidRDefault="00850B12" w:rsidP="00424E03">
            <w:pPr>
              <w:pStyle w:val="TableCenter"/>
              <w:spacing w:before="0" w:after="0"/>
              <w:ind w:right="207"/>
              <w:jc w:val="right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rFonts w:eastAsia="Arial Unicode MS"/>
                <w:sz w:val="22"/>
                <w:szCs w:val="22"/>
              </w:rPr>
              <w:t>1 420 kcal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64E8FF1" w14:textId="3D225DB6" w:rsidR="00954F85" w:rsidRPr="00CF4824" w:rsidRDefault="0092303B" w:rsidP="00424E03">
            <w:pPr>
              <w:pStyle w:val="TableCenter"/>
              <w:spacing w:before="0" w:after="0"/>
              <w:ind w:right="207"/>
              <w:jc w:val="right"/>
              <w:rPr>
                <w:rFonts w:eastAsia="Arial Unicode MS"/>
                <w:sz w:val="22"/>
                <w:szCs w:val="22"/>
                <w:lang w:val="fr-FR"/>
              </w:rPr>
            </w:pPr>
            <w:r w:rsidRPr="00CF4824">
              <w:rPr>
                <w:rFonts w:eastAsia="Arial Unicode MS"/>
                <w:sz w:val="22"/>
                <w:szCs w:val="22"/>
              </w:rPr>
              <w:t>1 900 kcal</w:t>
            </w:r>
          </w:p>
        </w:tc>
      </w:tr>
      <w:tr w:rsidR="00954F85" w:rsidRPr="00CF4824" w14:paraId="7306940B" w14:textId="77777777" w:rsidTr="00424E03">
        <w:trPr>
          <w:trHeight w:val="255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1A074BA" w14:textId="4EF02DB5" w:rsidR="00954F85" w:rsidRPr="00CF4824" w:rsidRDefault="00954F85" w:rsidP="00424E03">
            <w:pPr>
              <w:pStyle w:val="TableCenter"/>
              <w:spacing w:before="0" w:after="0"/>
              <w:ind w:left="138"/>
              <w:jc w:val="left"/>
              <w:rPr>
                <w:rFonts w:eastAsia="Arial Unicode MS"/>
                <w:sz w:val="22"/>
                <w:szCs w:val="22"/>
                <w:lang w:val="fr-FR"/>
              </w:rPr>
            </w:pPr>
            <w:r w:rsidRPr="00CF4824">
              <w:rPr>
                <w:sz w:val="22"/>
                <w:szCs w:val="22"/>
              </w:rPr>
              <w:t xml:space="preserve">Nebielkovinové kalórie  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699B030" w14:textId="2CDC6606" w:rsidR="00954F85" w:rsidRPr="00CF4824" w:rsidRDefault="00BC23C7" w:rsidP="00424E03">
            <w:pPr>
              <w:pStyle w:val="TableCenter"/>
              <w:spacing w:before="0" w:after="0"/>
              <w:ind w:right="207"/>
              <w:jc w:val="right"/>
              <w:rPr>
                <w:sz w:val="22"/>
                <w:szCs w:val="22"/>
                <w:lang w:val="fr-FR"/>
              </w:rPr>
            </w:pPr>
            <w:r w:rsidRPr="00CF4824">
              <w:rPr>
                <w:sz w:val="22"/>
                <w:szCs w:val="22"/>
              </w:rPr>
              <w:t>420 kcal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3AAF071" w14:textId="56918E18" w:rsidR="00954F85" w:rsidRPr="00CF4824" w:rsidRDefault="00954F85" w:rsidP="00424E03">
            <w:pPr>
              <w:pStyle w:val="TableCenter"/>
              <w:spacing w:before="0" w:after="0"/>
              <w:ind w:right="207"/>
              <w:jc w:val="right"/>
              <w:rPr>
                <w:rFonts w:eastAsia="Arial Unicode MS"/>
                <w:sz w:val="22"/>
                <w:szCs w:val="22"/>
              </w:rPr>
            </w:pPr>
            <w:r w:rsidRPr="002F3A72">
              <w:rPr>
                <w:sz w:val="22"/>
                <w:szCs w:val="22"/>
              </w:rPr>
              <w:t>640 kcal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FD6F60B" w14:textId="23F4B072" w:rsidR="00954F85" w:rsidRPr="00CF4824" w:rsidRDefault="00BC23C7" w:rsidP="00424E03">
            <w:pPr>
              <w:pStyle w:val="TableCenter"/>
              <w:spacing w:before="0" w:after="0"/>
              <w:ind w:right="207"/>
              <w:jc w:val="right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rFonts w:eastAsia="Arial Unicode MS"/>
                <w:sz w:val="22"/>
                <w:szCs w:val="22"/>
              </w:rPr>
              <w:t>960 kcal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4A9D96A" w14:textId="35A5B7FD" w:rsidR="00954F85" w:rsidRPr="00CF4824" w:rsidRDefault="0092303B" w:rsidP="00424E03">
            <w:pPr>
              <w:pStyle w:val="TableCenter"/>
              <w:spacing w:before="0" w:after="0"/>
              <w:ind w:right="207"/>
              <w:jc w:val="right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rFonts w:eastAsia="Arial Unicode MS"/>
                <w:sz w:val="22"/>
                <w:szCs w:val="22"/>
              </w:rPr>
              <w:t>1 280 kcal</w:t>
            </w:r>
          </w:p>
        </w:tc>
      </w:tr>
      <w:tr w:rsidR="00954F85" w:rsidRPr="00CF4824" w14:paraId="45A5E970" w14:textId="77777777" w:rsidTr="00424E03">
        <w:trPr>
          <w:trHeight w:val="255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E6A5059" w14:textId="63DC5207" w:rsidR="00954F85" w:rsidRPr="00CF4824" w:rsidRDefault="00954F85" w:rsidP="00424E03">
            <w:pPr>
              <w:pStyle w:val="TableCenter"/>
              <w:spacing w:before="0" w:after="0"/>
              <w:ind w:left="138"/>
              <w:jc w:val="left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 xml:space="preserve">Kalórie z glukózy 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AD726F0" w14:textId="5A8A2AD9" w:rsidR="00954F85" w:rsidRPr="00CF4824" w:rsidRDefault="00BC23C7" w:rsidP="00424E03">
            <w:pPr>
              <w:pStyle w:val="TableCenter"/>
              <w:spacing w:before="0" w:after="0"/>
              <w:ind w:right="207"/>
              <w:jc w:val="right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190 kcal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F9944F8" w14:textId="1157204F" w:rsidR="00954F85" w:rsidRPr="00CF4824" w:rsidRDefault="00BC23C7" w:rsidP="00424E03">
            <w:pPr>
              <w:pStyle w:val="TableCenter"/>
              <w:spacing w:before="0" w:after="0"/>
              <w:ind w:right="207"/>
              <w:jc w:val="right"/>
              <w:rPr>
                <w:sz w:val="22"/>
                <w:szCs w:val="22"/>
              </w:rPr>
            </w:pPr>
            <w:r w:rsidRPr="002F3A72">
              <w:rPr>
                <w:sz w:val="22"/>
                <w:szCs w:val="22"/>
              </w:rPr>
              <w:t>290 kcal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5F7A162" w14:textId="4E95E43F" w:rsidR="00954F85" w:rsidRPr="00CF4824" w:rsidRDefault="00BC23C7" w:rsidP="00424E03">
            <w:pPr>
              <w:pStyle w:val="TableCenter"/>
              <w:spacing w:before="0" w:after="0"/>
              <w:ind w:right="207"/>
              <w:jc w:val="right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430 kcal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7F6E46D" w14:textId="15065D52" w:rsidR="00954F85" w:rsidRPr="00CF4824" w:rsidRDefault="0092303B" w:rsidP="00424E03">
            <w:pPr>
              <w:pStyle w:val="TableCenter"/>
              <w:spacing w:before="0" w:after="0"/>
              <w:ind w:right="207"/>
              <w:jc w:val="right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580 kcal</w:t>
            </w:r>
          </w:p>
        </w:tc>
      </w:tr>
      <w:tr w:rsidR="00954F85" w:rsidRPr="00CF4824" w14:paraId="6616B328" w14:textId="77777777" w:rsidTr="00424E03">
        <w:trPr>
          <w:trHeight w:val="285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8F93E3D" w14:textId="5EAF83BC" w:rsidR="00954F85" w:rsidRPr="002F3A72" w:rsidRDefault="00954F85" w:rsidP="00424E03">
            <w:pPr>
              <w:pStyle w:val="TableCenter"/>
              <w:spacing w:before="0" w:after="0"/>
              <w:ind w:left="138"/>
              <w:jc w:val="left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 xml:space="preserve">Kalórie z </w:t>
            </w:r>
            <w:proofErr w:type="spellStart"/>
            <w:r w:rsidRPr="00CF4824">
              <w:rPr>
                <w:sz w:val="22"/>
                <w:szCs w:val="22"/>
              </w:rPr>
              <w:t>lipidov</w:t>
            </w:r>
            <w:r w:rsidRPr="002F3A72">
              <w:rPr>
                <w:sz w:val="22"/>
                <w:szCs w:val="22"/>
                <w:vertAlign w:val="superscript"/>
              </w:rPr>
              <w:fldChar w:fldCharType="begin"/>
            </w:r>
            <w:r w:rsidR="003C2FD8" w:rsidRPr="00CF4824">
              <w:rPr>
                <w:sz w:val="22"/>
                <w:szCs w:val="22"/>
                <w:vertAlign w:val="superscript"/>
              </w:rPr>
              <w:instrText xml:space="preserve"> REF _Ref496531421 \r \h  \* MERGEFORMAT </w:instrText>
            </w:r>
            <w:r w:rsidRPr="002F3A72">
              <w:rPr>
                <w:sz w:val="22"/>
                <w:szCs w:val="22"/>
                <w:vertAlign w:val="superscript"/>
              </w:rPr>
            </w:r>
            <w:r w:rsidRPr="002F3A72">
              <w:rPr>
                <w:sz w:val="22"/>
                <w:szCs w:val="22"/>
                <w:vertAlign w:val="superscript"/>
              </w:rPr>
              <w:fldChar w:fldCharType="separate"/>
            </w:r>
            <w:r w:rsidR="002F3A72">
              <w:rPr>
                <w:sz w:val="22"/>
                <w:szCs w:val="22"/>
                <w:vertAlign w:val="superscript"/>
              </w:rPr>
              <w:t>a</w:t>
            </w:r>
            <w:proofErr w:type="spellEnd"/>
            <w:r w:rsidRPr="002F3A72">
              <w:rPr>
                <w:sz w:val="22"/>
                <w:szCs w:val="22"/>
              </w:rPr>
              <w:fldChar w:fldCharType="end"/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F593C4" w14:textId="2EDF17ED" w:rsidR="00954F85" w:rsidRPr="00CF4824" w:rsidRDefault="00BC23C7" w:rsidP="00424E03">
            <w:pPr>
              <w:pStyle w:val="TableCenter"/>
              <w:spacing w:before="0" w:after="0"/>
              <w:ind w:right="207"/>
              <w:jc w:val="right"/>
              <w:rPr>
                <w:sz w:val="22"/>
                <w:szCs w:val="22"/>
              </w:rPr>
            </w:pPr>
            <w:r w:rsidRPr="002F3A72">
              <w:rPr>
                <w:sz w:val="22"/>
                <w:szCs w:val="22"/>
              </w:rPr>
              <w:t>230 kcal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CD567C0" w14:textId="588C7724" w:rsidR="00954F85" w:rsidRPr="00CF4824" w:rsidRDefault="00954F85" w:rsidP="00424E03">
            <w:pPr>
              <w:pStyle w:val="TableCenter"/>
              <w:spacing w:before="0" w:after="0"/>
              <w:ind w:right="207"/>
              <w:jc w:val="right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350 kcal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1FA166F" w14:textId="3A8CC395" w:rsidR="00954F85" w:rsidRPr="00CF4824" w:rsidRDefault="00BC23C7" w:rsidP="00424E03">
            <w:pPr>
              <w:pStyle w:val="TableCenter"/>
              <w:spacing w:before="0" w:after="0"/>
              <w:ind w:right="207"/>
              <w:jc w:val="right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rFonts w:eastAsia="Arial Unicode MS"/>
                <w:sz w:val="22"/>
                <w:szCs w:val="22"/>
              </w:rPr>
              <w:t>520 kcal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23B4017" w14:textId="204D2CA0" w:rsidR="00954F85" w:rsidRPr="00CF4824" w:rsidRDefault="00850B12" w:rsidP="00424E03">
            <w:pPr>
              <w:pStyle w:val="TableCenter"/>
              <w:spacing w:before="0" w:after="0"/>
              <w:ind w:right="207"/>
              <w:jc w:val="right"/>
              <w:rPr>
                <w:rFonts w:eastAsia="Arial Unicode MS"/>
                <w:sz w:val="22"/>
                <w:szCs w:val="22"/>
                <w:lang w:val="fr-FR"/>
              </w:rPr>
            </w:pPr>
            <w:r w:rsidRPr="00CF4824">
              <w:rPr>
                <w:rFonts w:eastAsia="Arial Unicode MS"/>
                <w:sz w:val="22"/>
                <w:szCs w:val="22"/>
              </w:rPr>
              <w:t>700 kcal</w:t>
            </w:r>
          </w:p>
        </w:tc>
      </w:tr>
      <w:tr w:rsidR="00954F85" w:rsidRPr="00CF4824" w14:paraId="6DC6A4EC" w14:textId="77777777" w:rsidTr="00424E03">
        <w:trPr>
          <w:trHeight w:val="255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FE3FF98" w14:textId="77777777" w:rsidR="00954F85" w:rsidRPr="00CF4824" w:rsidRDefault="00954F85" w:rsidP="00424E03">
            <w:pPr>
              <w:pStyle w:val="TableCenter"/>
              <w:spacing w:before="0" w:after="0"/>
              <w:jc w:val="left"/>
              <w:rPr>
                <w:rFonts w:eastAsia="Arial Unicode MS"/>
                <w:sz w:val="22"/>
                <w:szCs w:val="22"/>
                <w:lang w:val="fr-FR"/>
              </w:rPr>
            </w:pP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F2463D2" w14:textId="77777777" w:rsidR="00954F85" w:rsidRPr="00CF4824" w:rsidRDefault="00954F85" w:rsidP="00424E03">
            <w:pPr>
              <w:pStyle w:val="TableCenter"/>
              <w:spacing w:before="0" w:after="0"/>
              <w:ind w:right="207"/>
              <w:jc w:val="right"/>
              <w:rPr>
                <w:rFonts w:eastAsia="Arial Unicode MS"/>
                <w:sz w:val="22"/>
                <w:szCs w:val="22"/>
                <w:lang w:val="fr-FR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8D11993" w14:textId="4B329900" w:rsidR="00954F85" w:rsidRPr="002F3A72" w:rsidRDefault="00954F85" w:rsidP="00424E03">
            <w:pPr>
              <w:pStyle w:val="TableCenter"/>
              <w:spacing w:before="0" w:after="0"/>
              <w:ind w:right="207"/>
              <w:jc w:val="right"/>
              <w:rPr>
                <w:rFonts w:eastAsia="Arial Unicode MS"/>
                <w:sz w:val="22"/>
                <w:szCs w:val="22"/>
                <w:lang w:val="fr-FR"/>
              </w:rPr>
            </w:pP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8CEEE73" w14:textId="77777777" w:rsidR="00954F85" w:rsidRPr="00CF4824" w:rsidRDefault="00954F85" w:rsidP="00424E03">
            <w:pPr>
              <w:pStyle w:val="TableCenter"/>
              <w:spacing w:before="0" w:after="0"/>
              <w:ind w:right="207"/>
              <w:jc w:val="right"/>
              <w:rPr>
                <w:rFonts w:eastAsia="Arial Unicode MS"/>
                <w:sz w:val="22"/>
                <w:szCs w:val="22"/>
                <w:lang w:val="fr-FR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59E87A5" w14:textId="77777777" w:rsidR="00954F85" w:rsidRPr="00CF4824" w:rsidRDefault="00954F85" w:rsidP="00424E03">
            <w:pPr>
              <w:pStyle w:val="TableCenter"/>
              <w:spacing w:before="0" w:after="0"/>
              <w:ind w:right="207"/>
              <w:jc w:val="right"/>
              <w:rPr>
                <w:rFonts w:eastAsia="Arial Unicode MS"/>
                <w:sz w:val="22"/>
                <w:szCs w:val="22"/>
                <w:lang w:val="fr-FR"/>
              </w:rPr>
            </w:pPr>
          </w:p>
        </w:tc>
      </w:tr>
      <w:tr w:rsidR="00954F85" w:rsidRPr="00CF4824" w14:paraId="2DCFAC88" w14:textId="77777777" w:rsidTr="00424E03">
        <w:trPr>
          <w:trHeight w:val="255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8B1E5B8" w14:textId="3EB54018" w:rsidR="00954F85" w:rsidRPr="00CF4824" w:rsidRDefault="00954F85" w:rsidP="00424E03">
            <w:pPr>
              <w:pStyle w:val="TableCenter"/>
              <w:spacing w:before="0" w:after="0"/>
              <w:ind w:left="138"/>
              <w:jc w:val="left"/>
              <w:rPr>
                <w:rFonts w:eastAsia="Arial Unicode MS"/>
                <w:sz w:val="22"/>
                <w:szCs w:val="22"/>
                <w:lang w:val="fr-FR"/>
              </w:rPr>
            </w:pPr>
            <w:r w:rsidRPr="00CF4824">
              <w:rPr>
                <w:sz w:val="22"/>
                <w:szCs w:val="22"/>
              </w:rPr>
              <w:t>Pomer nebielkovinových kalórií a</w:t>
            </w:r>
            <w:r w:rsidR="00CD15E7">
              <w:rPr>
                <w:sz w:val="22"/>
                <w:szCs w:val="22"/>
              </w:rPr>
              <w:t> </w:t>
            </w:r>
            <w:r w:rsidRPr="00CF4824">
              <w:rPr>
                <w:sz w:val="22"/>
                <w:szCs w:val="22"/>
              </w:rPr>
              <w:t xml:space="preserve">dusíka 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FAEB61" w14:textId="77777777" w:rsidR="00B93671" w:rsidRPr="002F3A72" w:rsidRDefault="00B93671" w:rsidP="00424E03">
            <w:pPr>
              <w:pStyle w:val="TableCenter"/>
              <w:spacing w:before="0" w:after="0"/>
              <w:ind w:right="207"/>
              <w:jc w:val="right"/>
              <w:rPr>
                <w:sz w:val="22"/>
                <w:szCs w:val="22"/>
              </w:rPr>
            </w:pPr>
          </w:p>
          <w:p w14:paraId="123E80D5" w14:textId="7312384B" w:rsidR="00954F85" w:rsidRPr="00CF4824" w:rsidRDefault="00BC23C7" w:rsidP="00424E03">
            <w:pPr>
              <w:pStyle w:val="TableCenter"/>
              <w:spacing w:before="0" w:after="0"/>
              <w:ind w:right="207"/>
              <w:jc w:val="right"/>
              <w:rPr>
                <w:sz w:val="22"/>
                <w:szCs w:val="22"/>
                <w:lang w:val="fr-FR"/>
              </w:rPr>
            </w:pPr>
            <w:r w:rsidRPr="00CF4824">
              <w:rPr>
                <w:sz w:val="22"/>
                <w:szCs w:val="22"/>
              </w:rPr>
              <w:t>53 kcal/g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BC6CAF0" w14:textId="6A51F6F2" w:rsidR="00954F85" w:rsidRPr="00CF4824" w:rsidRDefault="00BC23C7" w:rsidP="00424E03">
            <w:pPr>
              <w:pStyle w:val="TableCenter"/>
              <w:spacing w:before="0" w:after="0"/>
              <w:ind w:right="207"/>
              <w:jc w:val="right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53 kcal/g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4644635" w14:textId="1560A4CB" w:rsidR="00954F85" w:rsidRPr="00CF4824" w:rsidRDefault="00BC23C7" w:rsidP="00424E03">
            <w:pPr>
              <w:pStyle w:val="TableCenter"/>
              <w:spacing w:before="0" w:after="0"/>
              <w:ind w:right="207"/>
              <w:jc w:val="right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53 kcal/g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5E6441B" w14:textId="60062F97" w:rsidR="00954F85" w:rsidRPr="00CF4824" w:rsidRDefault="00BC23C7" w:rsidP="00424E03">
            <w:pPr>
              <w:pStyle w:val="TableCenter"/>
              <w:spacing w:before="0" w:after="0"/>
              <w:ind w:right="207"/>
              <w:jc w:val="right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53 kcal/g</w:t>
            </w:r>
          </w:p>
        </w:tc>
      </w:tr>
      <w:tr w:rsidR="00954F85" w:rsidRPr="00CF4824" w14:paraId="14E1039D" w14:textId="77777777" w:rsidTr="00424E03">
        <w:trPr>
          <w:trHeight w:val="255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31AA664" w14:textId="23D23E4A" w:rsidR="00954F85" w:rsidRPr="00CF4824" w:rsidRDefault="00954F85" w:rsidP="00424E03">
            <w:pPr>
              <w:pStyle w:val="TableCenter"/>
              <w:spacing w:before="0" w:after="0"/>
              <w:ind w:left="138"/>
              <w:jc w:val="left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 xml:space="preserve">Pomer kalórií z glukózy a z </w:t>
            </w:r>
            <w:proofErr w:type="spellStart"/>
            <w:r w:rsidRPr="00CF4824">
              <w:rPr>
                <w:sz w:val="22"/>
                <w:szCs w:val="22"/>
              </w:rPr>
              <w:t>lipidov</w:t>
            </w:r>
            <w:proofErr w:type="spellEnd"/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F60BE0" w14:textId="501B568D" w:rsidR="00954F85" w:rsidRPr="00CF4824" w:rsidRDefault="00BC23C7" w:rsidP="00424E03">
            <w:pPr>
              <w:pStyle w:val="TableCenter"/>
              <w:spacing w:before="0" w:after="0"/>
              <w:ind w:right="207"/>
              <w:jc w:val="right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45/55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06DFAA9" w14:textId="731C5441" w:rsidR="00954F85" w:rsidRPr="00CF4824" w:rsidRDefault="00BC23C7" w:rsidP="00424E03">
            <w:pPr>
              <w:pStyle w:val="TableCenter"/>
              <w:spacing w:before="0" w:after="0"/>
              <w:ind w:right="207"/>
              <w:jc w:val="right"/>
              <w:rPr>
                <w:rFonts w:eastAsia="Arial Unicode MS"/>
                <w:sz w:val="22"/>
                <w:szCs w:val="22"/>
              </w:rPr>
            </w:pPr>
            <w:r w:rsidRPr="002F3A72">
              <w:rPr>
                <w:sz w:val="22"/>
                <w:szCs w:val="22"/>
              </w:rPr>
              <w:t>45/55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635DEF1" w14:textId="46521395" w:rsidR="00954F85" w:rsidRPr="00CF4824" w:rsidRDefault="00BC23C7" w:rsidP="00424E03">
            <w:pPr>
              <w:pStyle w:val="TableCenter"/>
              <w:spacing w:before="0" w:after="0"/>
              <w:ind w:right="207"/>
              <w:jc w:val="right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45/55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BB68A36" w14:textId="2989F201" w:rsidR="00954F85" w:rsidRPr="00CF4824" w:rsidRDefault="00BC23C7" w:rsidP="00424E03">
            <w:pPr>
              <w:pStyle w:val="TableCenter"/>
              <w:spacing w:before="0" w:after="0"/>
              <w:ind w:right="207"/>
              <w:jc w:val="right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45/55</w:t>
            </w:r>
          </w:p>
        </w:tc>
      </w:tr>
      <w:tr w:rsidR="00CD15E7" w:rsidRPr="00CF4824" w14:paraId="1A0E9D9D" w14:textId="77777777" w:rsidTr="00424E03">
        <w:trPr>
          <w:trHeight w:val="255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7544C88" w14:textId="7085F845" w:rsidR="00954F85" w:rsidRPr="00CF4824" w:rsidRDefault="00954F85" w:rsidP="00424E03">
            <w:pPr>
              <w:pStyle w:val="TableCenter"/>
              <w:spacing w:before="0" w:after="0"/>
              <w:ind w:left="138"/>
              <w:jc w:val="left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 xml:space="preserve">Pomer kalórií z </w:t>
            </w:r>
            <w:proofErr w:type="spellStart"/>
            <w:r w:rsidRPr="00CF4824">
              <w:rPr>
                <w:sz w:val="22"/>
                <w:szCs w:val="22"/>
              </w:rPr>
              <w:t>lipidov</w:t>
            </w:r>
            <w:proofErr w:type="spellEnd"/>
            <w:r w:rsidRPr="00CF4824">
              <w:rPr>
                <w:sz w:val="22"/>
                <w:szCs w:val="22"/>
              </w:rPr>
              <w:t xml:space="preserve"> a celkových kalórií 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4BE1C" w14:textId="77777777" w:rsidR="00B93671" w:rsidRPr="002F3A72" w:rsidRDefault="00B93671" w:rsidP="00424E03">
            <w:pPr>
              <w:pStyle w:val="TableCenter"/>
              <w:spacing w:before="0" w:after="0"/>
              <w:ind w:right="207"/>
              <w:jc w:val="right"/>
              <w:rPr>
                <w:sz w:val="22"/>
                <w:szCs w:val="22"/>
              </w:rPr>
            </w:pPr>
          </w:p>
          <w:p w14:paraId="63DA22E8" w14:textId="15B541D3" w:rsidR="00954F85" w:rsidRPr="00CF4824" w:rsidRDefault="00850B12" w:rsidP="00424E03">
            <w:pPr>
              <w:pStyle w:val="TableCenter"/>
              <w:spacing w:before="0" w:after="0"/>
              <w:ind w:right="207"/>
              <w:jc w:val="right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37</w:t>
            </w:r>
            <w:r w:rsidR="00CD15E7">
              <w:rPr>
                <w:sz w:val="22"/>
                <w:szCs w:val="22"/>
              </w:rPr>
              <w:t> </w:t>
            </w:r>
            <w:r w:rsidRPr="00CF4824">
              <w:rPr>
                <w:sz w:val="22"/>
                <w:szCs w:val="22"/>
              </w:rPr>
              <w:t>%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808B8DD" w14:textId="65AAFAE4" w:rsidR="00954F85" w:rsidRPr="00CF4824" w:rsidRDefault="00954F85" w:rsidP="00424E03">
            <w:pPr>
              <w:pStyle w:val="TableCenter"/>
              <w:spacing w:before="0" w:after="0"/>
              <w:ind w:right="207"/>
              <w:jc w:val="right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37</w:t>
            </w:r>
            <w:r w:rsidR="00CD15E7">
              <w:rPr>
                <w:sz w:val="22"/>
                <w:szCs w:val="22"/>
              </w:rPr>
              <w:t> </w:t>
            </w:r>
            <w:r w:rsidRPr="00CF4824">
              <w:rPr>
                <w:sz w:val="22"/>
                <w:szCs w:val="22"/>
              </w:rPr>
              <w:t>%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8C201" w14:textId="6B67E25B" w:rsidR="00954F85" w:rsidRPr="00CF4824" w:rsidRDefault="00850B12" w:rsidP="00424E03">
            <w:pPr>
              <w:pStyle w:val="TableCenter"/>
              <w:spacing w:before="0" w:after="0"/>
              <w:ind w:right="207"/>
              <w:jc w:val="right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37</w:t>
            </w:r>
            <w:r w:rsidR="00CD15E7">
              <w:rPr>
                <w:sz w:val="22"/>
                <w:szCs w:val="22"/>
              </w:rPr>
              <w:t> </w:t>
            </w:r>
            <w:r w:rsidRPr="00CF4824">
              <w:rPr>
                <w:sz w:val="22"/>
                <w:szCs w:val="22"/>
              </w:rPr>
              <w:t>%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755AC" w14:textId="0B639B9F" w:rsidR="00954F85" w:rsidRPr="00CF4824" w:rsidRDefault="00850B12" w:rsidP="00424E03">
            <w:pPr>
              <w:pStyle w:val="TableCenter"/>
              <w:spacing w:before="0" w:after="0"/>
              <w:ind w:right="207"/>
              <w:jc w:val="right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37</w:t>
            </w:r>
            <w:r w:rsidR="00CD15E7">
              <w:rPr>
                <w:sz w:val="22"/>
                <w:szCs w:val="22"/>
              </w:rPr>
              <w:t> </w:t>
            </w:r>
            <w:r w:rsidRPr="00CF4824">
              <w:rPr>
                <w:sz w:val="22"/>
                <w:szCs w:val="22"/>
              </w:rPr>
              <w:t>%</w:t>
            </w:r>
          </w:p>
        </w:tc>
      </w:tr>
      <w:tr w:rsidR="0004176B" w:rsidRPr="00CF4824" w14:paraId="6348B7C9" w14:textId="77777777" w:rsidTr="0004176B">
        <w:trPr>
          <w:trHeight w:val="255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DC13E0B" w14:textId="77777777" w:rsidR="00954F85" w:rsidRPr="00424E03" w:rsidRDefault="00954F85" w:rsidP="00424E03">
            <w:pPr>
              <w:pStyle w:val="TableCenter"/>
              <w:spacing w:before="0" w:after="0"/>
              <w:jc w:val="left"/>
              <w:rPr>
                <w:rFonts w:eastAsia="Arial Unicode MS"/>
                <w:i/>
                <w:sz w:val="22"/>
                <w:szCs w:val="22"/>
              </w:rPr>
            </w:pPr>
            <w:r w:rsidRPr="00424E03">
              <w:rPr>
                <w:i/>
                <w:sz w:val="22"/>
                <w:szCs w:val="22"/>
              </w:rPr>
              <w:t>Elektrolyty: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66A9F2" w14:textId="77777777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975F3B4" w14:textId="427A0D8D" w:rsidR="00954F85" w:rsidRPr="002F3A72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D1313B5" w14:textId="77777777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FE8065B" w14:textId="77777777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</w:p>
        </w:tc>
      </w:tr>
      <w:tr w:rsidR="00954F85" w:rsidRPr="00CF4824" w14:paraId="467271BC" w14:textId="77777777" w:rsidTr="00424E03">
        <w:trPr>
          <w:trHeight w:val="285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7BF74FB" w14:textId="51D304BF" w:rsidR="00954F85" w:rsidRPr="00CF4824" w:rsidRDefault="002E05C5" w:rsidP="00424E03">
            <w:pPr>
              <w:pStyle w:val="TableCenter"/>
              <w:spacing w:before="0" w:after="0"/>
              <w:ind w:left="138"/>
              <w:jc w:val="left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s</w:t>
            </w:r>
            <w:r w:rsidR="00954F85" w:rsidRPr="00CF4824">
              <w:rPr>
                <w:sz w:val="22"/>
                <w:szCs w:val="22"/>
              </w:rPr>
              <w:t xml:space="preserve">odík 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135E633" w14:textId="27766CD3" w:rsidR="00954F85" w:rsidRPr="00CF4824" w:rsidRDefault="00DA344A" w:rsidP="00424E03">
            <w:pPr>
              <w:pStyle w:val="TableCenter"/>
              <w:spacing w:before="0" w:after="0"/>
              <w:ind w:right="207"/>
              <w:jc w:val="right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 xml:space="preserve">22,8 </w:t>
            </w:r>
            <w:proofErr w:type="spellStart"/>
            <w:r w:rsidRPr="00CF4824">
              <w:rPr>
                <w:sz w:val="22"/>
                <w:szCs w:val="22"/>
              </w:rPr>
              <w:t>mmol</w:t>
            </w:r>
            <w:proofErr w:type="spellEnd"/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6F7AEA8" w14:textId="37E2CD77" w:rsidR="00954F85" w:rsidRPr="00CF4824" w:rsidRDefault="0084400D" w:rsidP="00424E03">
            <w:pPr>
              <w:pStyle w:val="TableCenter"/>
              <w:spacing w:before="0" w:after="0"/>
              <w:ind w:right="174"/>
              <w:jc w:val="right"/>
              <w:rPr>
                <w:sz w:val="22"/>
                <w:szCs w:val="22"/>
              </w:rPr>
            </w:pPr>
            <w:r w:rsidRPr="002F3A72">
              <w:rPr>
                <w:sz w:val="22"/>
                <w:szCs w:val="22"/>
              </w:rPr>
              <w:t xml:space="preserve">35,0 </w:t>
            </w:r>
            <w:proofErr w:type="spellStart"/>
            <w:r w:rsidRPr="002F3A72">
              <w:rPr>
                <w:sz w:val="22"/>
                <w:szCs w:val="22"/>
              </w:rPr>
              <w:t>mmol</w:t>
            </w:r>
            <w:proofErr w:type="spellEnd"/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6F4250B" w14:textId="45CC6C8B" w:rsidR="00954F85" w:rsidRPr="00CF4824" w:rsidRDefault="00DA344A" w:rsidP="00424E03">
            <w:pPr>
              <w:pStyle w:val="TableCenter"/>
              <w:spacing w:before="0" w:after="0"/>
              <w:ind w:right="169"/>
              <w:jc w:val="right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 xml:space="preserve">52,5 </w:t>
            </w:r>
            <w:proofErr w:type="spellStart"/>
            <w:r w:rsidRPr="00CF4824">
              <w:rPr>
                <w:sz w:val="22"/>
                <w:szCs w:val="22"/>
              </w:rPr>
              <w:t>mmol</w:t>
            </w:r>
            <w:proofErr w:type="spellEnd"/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F3DF1CF" w14:textId="6D04EB63" w:rsidR="00954F85" w:rsidRPr="00CF4824" w:rsidRDefault="00DA344A" w:rsidP="00424E03">
            <w:pPr>
              <w:pStyle w:val="TableCenter"/>
              <w:spacing w:before="0" w:after="0"/>
              <w:ind w:right="149"/>
              <w:jc w:val="right"/>
              <w:rPr>
                <w:sz w:val="22"/>
                <w:szCs w:val="22"/>
                <w:lang w:val="fr-FR"/>
              </w:rPr>
            </w:pPr>
            <w:r w:rsidRPr="00CF4824">
              <w:rPr>
                <w:sz w:val="22"/>
                <w:szCs w:val="22"/>
              </w:rPr>
              <w:t xml:space="preserve">70,0 </w:t>
            </w:r>
            <w:proofErr w:type="spellStart"/>
            <w:r w:rsidRPr="00CF4824">
              <w:rPr>
                <w:sz w:val="22"/>
                <w:szCs w:val="22"/>
              </w:rPr>
              <w:t>mmol</w:t>
            </w:r>
            <w:proofErr w:type="spellEnd"/>
          </w:p>
        </w:tc>
      </w:tr>
      <w:tr w:rsidR="00954F85" w:rsidRPr="00CF4824" w14:paraId="13C92F28" w14:textId="77777777" w:rsidTr="00424E03">
        <w:trPr>
          <w:trHeight w:val="255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F82037A" w14:textId="55C18330" w:rsidR="00954F85" w:rsidRPr="00CF4824" w:rsidRDefault="002E05C5" w:rsidP="00424E03">
            <w:pPr>
              <w:pStyle w:val="TableCenter"/>
              <w:spacing w:before="0" w:after="0"/>
              <w:ind w:left="138"/>
              <w:jc w:val="left"/>
              <w:rPr>
                <w:rFonts w:eastAsia="Arial Unicode MS"/>
                <w:sz w:val="22"/>
                <w:szCs w:val="22"/>
                <w:lang w:val="fr-FR"/>
              </w:rPr>
            </w:pPr>
            <w:r w:rsidRPr="00CF4824">
              <w:rPr>
                <w:sz w:val="22"/>
                <w:szCs w:val="22"/>
              </w:rPr>
              <w:t>d</w:t>
            </w:r>
            <w:r w:rsidR="00954F85" w:rsidRPr="00CF4824">
              <w:rPr>
                <w:sz w:val="22"/>
                <w:szCs w:val="22"/>
              </w:rPr>
              <w:t xml:space="preserve">raslík 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CE3872" w14:textId="4E6404A4" w:rsidR="00954F85" w:rsidRPr="00CF4824" w:rsidRDefault="00CA663B" w:rsidP="00424E03">
            <w:pPr>
              <w:pStyle w:val="TableCenter"/>
              <w:spacing w:before="0" w:after="0"/>
              <w:ind w:right="207"/>
              <w:jc w:val="right"/>
              <w:rPr>
                <w:sz w:val="22"/>
                <w:szCs w:val="22"/>
                <w:lang w:val="fr-FR"/>
              </w:rPr>
            </w:pPr>
            <w:r w:rsidRPr="00CF4824">
              <w:rPr>
                <w:sz w:val="22"/>
                <w:szCs w:val="22"/>
              </w:rPr>
              <w:t xml:space="preserve">19,5 </w:t>
            </w:r>
            <w:proofErr w:type="spellStart"/>
            <w:r w:rsidRPr="00CF4824">
              <w:rPr>
                <w:sz w:val="22"/>
                <w:szCs w:val="22"/>
              </w:rPr>
              <w:t>mmol</w:t>
            </w:r>
            <w:proofErr w:type="spellEnd"/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9CC326B" w14:textId="6D99947F" w:rsidR="00954F85" w:rsidRPr="00CF4824" w:rsidRDefault="00555202" w:rsidP="00424E03">
            <w:pPr>
              <w:pStyle w:val="TableCenter"/>
              <w:spacing w:before="0" w:after="0"/>
              <w:ind w:right="174"/>
              <w:jc w:val="right"/>
              <w:rPr>
                <w:sz w:val="22"/>
                <w:szCs w:val="22"/>
                <w:lang w:val="fr-FR"/>
              </w:rPr>
            </w:pPr>
            <w:r w:rsidRPr="002F3A72">
              <w:rPr>
                <w:sz w:val="22"/>
                <w:szCs w:val="22"/>
              </w:rPr>
              <w:t xml:space="preserve">30,0 </w:t>
            </w:r>
            <w:proofErr w:type="spellStart"/>
            <w:r w:rsidRPr="002F3A72">
              <w:rPr>
                <w:sz w:val="22"/>
                <w:szCs w:val="22"/>
              </w:rPr>
              <w:t>mmol</w:t>
            </w:r>
            <w:proofErr w:type="spellEnd"/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9B6F735" w14:textId="4E6CE457" w:rsidR="00954F85" w:rsidRPr="00CF4824" w:rsidRDefault="00DA344A" w:rsidP="00424E03">
            <w:pPr>
              <w:pStyle w:val="TableCenter"/>
              <w:spacing w:before="0" w:after="0"/>
              <w:ind w:right="169"/>
              <w:jc w:val="right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 xml:space="preserve">45,0 </w:t>
            </w:r>
            <w:proofErr w:type="spellStart"/>
            <w:r w:rsidRPr="00CF4824">
              <w:rPr>
                <w:sz w:val="22"/>
                <w:szCs w:val="22"/>
              </w:rPr>
              <w:t>mmol</w:t>
            </w:r>
            <w:proofErr w:type="spellEnd"/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B3678E8" w14:textId="70C7261B" w:rsidR="00954F85" w:rsidRPr="00CF4824" w:rsidRDefault="00DA344A" w:rsidP="00424E03">
            <w:pPr>
              <w:pStyle w:val="TableCenter"/>
              <w:spacing w:before="0" w:after="0"/>
              <w:ind w:right="149"/>
              <w:jc w:val="right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 xml:space="preserve">60,0 </w:t>
            </w:r>
            <w:proofErr w:type="spellStart"/>
            <w:r w:rsidRPr="00CF4824">
              <w:rPr>
                <w:sz w:val="22"/>
                <w:szCs w:val="22"/>
              </w:rPr>
              <w:t>mmol</w:t>
            </w:r>
            <w:proofErr w:type="spellEnd"/>
          </w:p>
        </w:tc>
      </w:tr>
      <w:tr w:rsidR="00954F85" w:rsidRPr="00CF4824" w14:paraId="4D4D8568" w14:textId="77777777" w:rsidTr="00424E03">
        <w:trPr>
          <w:trHeight w:val="255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822C0F6" w14:textId="79BA3D8F" w:rsidR="00954F85" w:rsidRPr="00CF4824" w:rsidRDefault="002E05C5" w:rsidP="00424E03">
            <w:pPr>
              <w:pStyle w:val="TableCenter"/>
              <w:spacing w:before="0" w:after="0"/>
              <w:ind w:left="138"/>
              <w:jc w:val="left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h</w:t>
            </w:r>
            <w:r w:rsidR="00954F85" w:rsidRPr="00CF4824">
              <w:rPr>
                <w:sz w:val="22"/>
                <w:szCs w:val="22"/>
              </w:rPr>
              <w:t xml:space="preserve">orčík 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C0371B" w14:textId="667E0A9C" w:rsidR="00954F85" w:rsidRPr="00CF4824" w:rsidRDefault="00CA663B" w:rsidP="00424E03">
            <w:pPr>
              <w:pStyle w:val="TableCenter"/>
              <w:spacing w:before="0" w:after="0"/>
              <w:ind w:right="207"/>
              <w:jc w:val="right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 xml:space="preserve">2,6 </w:t>
            </w:r>
            <w:proofErr w:type="spellStart"/>
            <w:r w:rsidRPr="00CF4824">
              <w:rPr>
                <w:sz w:val="22"/>
                <w:szCs w:val="22"/>
              </w:rPr>
              <w:t>mmol</w:t>
            </w:r>
            <w:proofErr w:type="spellEnd"/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8517661" w14:textId="5FAC3C7E" w:rsidR="00954F85" w:rsidRPr="00CF4824" w:rsidRDefault="0084400D" w:rsidP="00424E03">
            <w:pPr>
              <w:pStyle w:val="TableCenter"/>
              <w:spacing w:before="0" w:after="0"/>
              <w:ind w:right="174"/>
              <w:jc w:val="right"/>
              <w:rPr>
                <w:sz w:val="22"/>
                <w:szCs w:val="22"/>
              </w:rPr>
            </w:pPr>
            <w:r w:rsidRPr="002F3A72">
              <w:rPr>
                <w:sz w:val="22"/>
                <w:szCs w:val="22"/>
              </w:rPr>
              <w:t xml:space="preserve">4,0 </w:t>
            </w:r>
            <w:proofErr w:type="spellStart"/>
            <w:r w:rsidRPr="002F3A72">
              <w:rPr>
                <w:sz w:val="22"/>
                <w:szCs w:val="22"/>
              </w:rPr>
              <w:t>mmol</w:t>
            </w:r>
            <w:proofErr w:type="spellEnd"/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8375F59" w14:textId="4280C143" w:rsidR="00954F85" w:rsidRPr="00CF4824" w:rsidRDefault="00DA344A" w:rsidP="00424E03">
            <w:pPr>
              <w:pStyle w:val="TableCenter"/>
              <w:spacing w:before="0" w:after="0"/>
              <w:ind w:right="169"/>
              <w:jc w:val="right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 xml:space="preserve">6,0 </w:t>
            </w:r>
            <w:proofErr w:type="spellStart"/>
            <w:r w:rsidRPr="00CF4824">
              <w:rPr>
                <w:sz w:val="22"/>
                <w:szCs w:val="22"/>
              </w:rPr>
              <w:t>mmol</w:t>
            </w:r>
            <w:proofErr w:type="spellEnd"/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F51B9B1" w14:textId="230DBE4A" w:rsidR="00954F85" w:rsidRPr="00CF4824" w:rsidRDefault="00DA344A" w:rsidP="00424E03">
            <w:pPr>
              <w:pStyle w:val="TableCenter"/>
              <w:spacing w:before="0" w:after="0"/>
              <w:ind w:right="149"/>
              <w:jc w:val="right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 xml:space="preserve">8,0 </w:t>
            </w:r>
            <w:proofErr w:type="spellStart"/>
            <w:r w:rsidRPr="00CF4824">
              <w:rPr>
                <w:sz w:val="22"/>
                <w:szCs w:val="22"/>
              </w:rPr>
              <w:t>mmol</w:t>
            </w:r>
            <w:proofErr w:type="spellEnd"/>
          </w:p>
        </w:tc>
      </w:tr>
      <w:tr w:rsidR="00954F85" w:rsidRPr="00CF4824" w14:paraId="064A94FC" w14:textId="77777777" w:rsidTr="00424E03">
        <w:trPr>
          <w:trHeight w:val="255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203B2E9" w14:textId="1C8F1BA8" w:rsidR="00954F85" w:rsidRPr="00CF4824" w:rsidRDefault="002E05C5" w:rsidP="00424E03">
            <w:pPr>
              <w:pStyle w:val="TableCenter"/>
              <w:spacing w:before="0" w:after="0"/>
              <w:ind w:left="138"/>
              <w:jc w:val="left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v</w:t>
            </w:r>
            <w:r w:rsidR="00954F85" w:rsidRPr="00CF4824">
              <w:rPr>
                <w:sz w:val="22"/>
                <w:szCs w:val="22"/>
              </w:rPr>
              <w:t xml:space="preserve">ápnik 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399F1A" w14:textId="70D18008" w:rsidR="00954F85" w:rsidRPr="00CF4824" w:rsidRDefault="00DA344A" w:rsidP="00424E03">
            <w:pPr>
              <w:pStyle w:val="TableCenter"/>
              <w:spacing w:before="0" w:after="0"/>
              <w:ind w:right="207"/>
              <w:jc w:val="right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 xml:space="preserve">2,3 </w:t>
            </w:r>
            <w:proofErr w:type="spellStart"/>
            <w:r w:rsidRPr="00CF4824">
              <w:rPr>
                <w:sz w:val="22"/>
                <w:szCs w:val="22"/>
              </w:rPr>
              <w:t>mmol</w:t>
            </w:r>
            <w:proofErr w:type="spellEnd"/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2F35D19" w14:textId="348E6B3D" w:rsidR="00954F85" w:rsidRPr="00CF4824" w:rsidRDefault="0084400D" w:rsidP="00424E03">
            <w:pPr>
              <w:pStyle w:val="TableCenter"/>
              <w:spacing w:before="0" w:after="0"/>
              <w:ind w:right="174"/>
              <w:jc w:val="right"/>
              <w:rPr>
                <w:sz w:val="22"/>
                <w:szCs w:val="22"/>
              </w:rPr>
            </w:pPr>
            <w:r w:rsidRPr="002F3A72">
              <w:rPr>
                <w:sz w:val="22"/>
                <w:szCs w:val="22"/>
              </w:rPr>
              <w:t xml:space="preserve">3,5 </w:t>
            </w:r>
            <w:proofErr w:type="spellStart"/>
            <w:r w:rsidRPr="002F3A72">
              <w:rPr>
                <w:sz w:val="22"/>
                <w:szCs w:val="22"/>
              </w:rPr>
              <w:t>mmol</w:t>
            </w:r>
            <w:proofErr w:type="spellEnd"/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D477AB9" w14:textId="3029B55C" w:rsidR="00954F85" w:rsidRPr="00CF4824" w:rsidRDefault="00DA344A" w:rsidP="00424E03">
            <w:pPr>
              <w:pStyle w:val="TableCenter"/>
              <w:spacing w:before="0" w:after="0"/>
              <w:ind w:right="169"/>
              <w:jc w:val="right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 xml:space="preserve">5,3 </w:t>
            </w:r>
            <w:proofErr w:type="spellStart"/>
            <w:r w:rsidRPr="00CF4824">
              <w:rPr>
                <w:sz w:val="22"/>
                <w:szCs w:val="22"/>
              </w:rPr>
              <w:t>mmol</w:t>
            </w:r>
            <w:proofErr w:type="spellEnd"/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A3BE19A" w14:textId="6149E6AF" w:rsidR="00954F85" w:rsidRPr="00CF4824" w:rsidRDefault="00DA344A" w:rsidP="00424E03">
            <w:pPr>
              <w:pStyle w:val="TableCenter"/>
              <w:spacing w:before="0" w:after="0"/>
              <w:ind w:right="149"/>
              <w:jc w:val="right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 xml:space="preserve">7,0 </w:t>
            </w:r>
            <w:proofErr w:type="spellStart"/>
            <w:r w:rsidRPr="00CF4824">
              <w:rPr>
                <w:sz w:val="22"/>
                <w:szCs w:val="22"/>
              </w:rPr>
              <w:t>mmol</w:t>
            </w:r>
            <w:proofErr w:type="spellEnd"/>
          </w:p>
        </w:tc>
      </w:tr>
      <w:tr w:rsidR="00954F85" w:rsidRPr="00CF4824" w14:paraId="33D47318" w14:textId="77777777" w:rsidTr="00424E03">
        <w:trPr>
          <w:trHeight w:val="255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6423852" w14:textId="0E5DB86A" w:rsidR="00954F85" w:rsidRPr="002F3A72" w:rsidRDefault="002E05C5" w:rsidP="00424E03">
            <w:pPr>
              <w:pStyle w:val="TableCenter"/>
              <w:spacing w:before="0" w:after="0"/>
              <w:ind w:left="138"/>
              <w:jc w:val="left"/>
              <w:rPr>
                <w:sz w:val="22"/>
                <w:szCs w:val="22"/>
              </w:rPr>
            </w:pPr>
            <w:proofErr w:type="spellStart"/>
            <w:r w:rsidRPr="00CF4824">
              <w:rPr>
                <w:sz w:val="22"/>
                <w:szCs w:val="22"/>
              </w:rPr>
              <w:t>f</w:t>
            </w:r>
            <w:r w:rsidR="00954F85" w:rsidRPr="00CF4824">
              <w:rPr>
                <w:sz w:val="22"/>
                <w:szCs w:val="22"/>
              </w:rPr>
              <w:t>osfát</w:t>
            </w:r>
            <w:r w:rsidR="00954F85" w:rsidRPr="002F3A72">
              <w:rPr>
                <w:sz w:val="22"/>
                <w:szCs w:val="22"/>
                <w:vertAlign w:val="superscript"/>
              </w:rPr>
              <w:fldChar w:fldCharType="begin"/>
            </w:r>
            <w:r w:rsidR="003C2FD8" w:rsidRPr="00CF4824">
              <w:rPr>
                <w:sz w:val="22"/>
                <w:szCs w:val="22"/>
                <w:vertAlign w:val="superscript"/>
              </w:rPr>
              <w:instrText xml:space="preserve"> REF _Ref496531388 \r \h  \* MERGEFORMAT </w:instrText>
            </w:r>
            <w:r w:rsidR="00954F85" w:rsidRPr="002F3A72">
              <w:rPr>
                <w:sz w:val="22"/>
                <w:szCs w:val="22"/>
                <w:vertAlign w:val="superscript"/>
              </w:rPr>
            </w:r>
            <w:r w:rsidR="00954F85" w:rsidRPr="002F3A72">
              <w:rPr>
                <w:sz w:val="22"/>
                <w:szCs w:val="22"/>
                <w:vertAlign w:val="superscript"/>
              </w:rPr>
              <w:fldChar w:fldCharType="separate"/>
            </w:r>
            <w:r w:rsidR="002F3A72">
              <w:rPr>
                <w:sz w:val="22"/>
                <w:szCs w:val="22"/>
                <w:vertAlign w:val="superscript"/>
              </w:rPr>
              <w:t>b</w:t>
            </w:r>
            <w:proofErr w:type="spellEnd"/>
            <w:r w:rsidR="00954F85" w:rsidRPr="002F3A72">
              <w:rPr>
                <w:sz w:val="22"/>
                <w:szCs w:val="22"/>
              </w:rPr>
              <w:fldChar w:fldCharType="end"/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8528A1" w14:textId="4C0D5BB5" w:rsidR="00954F85" w:rsidRPr="00CF4824" w:rsidRDefault="00CA663B" w:rsidP="00424E03">
            <w:pPr>
              <w:pStyle w:val="TableCenter"/>
              <w:spacing w:before="0" w:after="0"/>
              <w:ind w:right="207"/>
              <w:jc w:val="right"/>
              <w:rPr>
                <w:sz w:val="22"/>
                <w:szCs w:val="22"/>
              </w:rPr>
            </w:pPr>
            <w:r w:rsidRPr="002F3A72">
              <w:rPr>
                <w:sz w:val="22"/>
                <w:szCs w:val="22"/>
              </w:rPr>
              <w:t xml:space="preserve">9,5 </w:t>
            </w:r>
            <w:proofErr w:type="spellStart"/>
            <w:r w:rsidRPr="002F3A72">
              <w:rPr>
                <w:sz w:val="22"/>
                <w:szCs w:val="22"/>
              </w:rPr>
              <w:t>mmol</w:t>
            </w:r>
            <w:proofErr w:type="spellEnd"/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577AB81" w14:textId="37840B24" w:rsidR="00954F85" w:rsidRPr="00CF4824" w:rsidRDefault="0084400D" w:rsidP="00424E03">
            <w:pPr>
              <w:pStyle w:val="TableCenter"/>
              <w:spacing w:before="0" w:after="0"/>
              <w:ind w:right="174"/>
              <w:jc w:val="right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 xml:space="preserve">15,0 </w:t>
            </w:r>
            <w:proofErr w:type="spellStart"/>
            <w:r w:rsidRPr="00CF4824">
              <w:rPr>
                <w:sz w:val="22"/>
                <w:szCs w:val="22"/>
              </w:rPr>
              <w:t>mmol</w:t>
            </w:r>
            <w:proofErr w:type="spellEnd"/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AFB6EAC" w14:textId="1A69EF10" w:rsidR="00954F85" w:rsidRPr="00CF4824" w:rsidRDefault="00DA344A" w:rsidP="00424E03">
            <w:pPr>
              <w:pStyle w:val="TableCenter"/>
              <w:spacing w:before="0" w:after="0"/>
              <w:ind w:right="169"/>
              <w:jc w:val="right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 xml:space="preserve">21,9 </w:t>
            </w:r>
            <w:proofErr w:type="spellStart"/>
            <w:r w:rsidRPr="00CF4824">
              <w:rPr>
                <w:sz w:val="22"/>
                <w:szCs w:val="22"/>
              </w:rPr>
              <w:t>mmol</w:t>
            </w:r>
            <w:proofErr w:type="spellEnd"/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AD18B28" w14:textId="389F5494" w:rsidR="00954F85" w:rsidRPr="00CF4824" w:rsidRDefault="00DA344A" w:rsidP="00424E03">
            <w:pPr>
              <w:pStyle w:val="TableCenter"/>
              <w:spacing w:before="0" w:after="0"/>
              <w:ind w:right="149"/>
              <w:jc w:val="right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 xml:space="preserve">29,2 </w:t>
            </w:r>
            <w:proofErr w:type="spellStart"/>
            <w:r w:rsidRPr="00CF4824">
              <w:rPr>
                <w:sz w:val="22"/>
                <w:szCs w:val="22"/>
              </w:rPr>
              <w:t>mmol</w:t>
            </w:r>
            <w:proofErr w:type="spellEnd"/>
          </w:p>
        </w:tc>
      </w:tr>
      <w:tr w:rsidR="00954F85" w:rsidRPr="00CF4824" w14:paraId="5CBFB960" w14:textId="77777777" w:rsidTr="00424E03">
        <w:trPr>
          <w:trHeight w:val="255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8503954" w14:textId="4DFC5438" w:rsidR="00954F85" w:rsidRPr="00CF4824" w:rsidRDefault="002E05C5" w:rsidP="00424E03">
            <w:pPr>
              <w:pStyle w:val="TableCenter"/>
              <w:spacing w:before="0" w:after="0"/>
              <w:ind w:left="138"/>
              <w:jc w:val="left"/>
              <w:rPr>
                <w:rFonts w:eastAsia="Arial Unicode MS"/>
                <w:sz w:val="22"/>
                <w:szCs w:val="22"/>
                <w:lang w:val="fr-FR"/>
              </w:rPr>
            </w:pPr>
            <w:r w:rsidRPr="00CF4824">
              <w:rPr>
                <w:sz w:val="22"/>
                <w:szCs w:val="22"/>
              </w:rPr>
              <w:t>o</w:t>
            </w:r>
            <w:r w:rsidR="00954F85" w:rsidRPr="00CF4824">
              <w:rPr>
                <w:sz w:val="22"/>
                <w:szCs w:val="22"/>
              </w:rPr>
              <w:t xml:space="preserve">ctan 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ACE356" w14:textId="151559D5" w:rsidR="00954F85" w:rsidRPr="00CF4824" w:rsidRDefault="00DA344A" w:rsidP="00424E03">
            <w:pPr>
              <w:pStyle w:val="TableCenter"/>
              <w:spacing w:before="0" w:after="0"/>
              <w:ind w:right="207"/>
              <w:jc w:val="right"/>
              <w:rPr>
                <w:sz w:val="22"/>
                <w:szCs w:val="22"/>
                <w:lang w:val="fr-FR"/>
              </w:rPr>
            </w:pPr>
            <w:r w:rsidRPr="00CF4824">
              <w:rPr>
                <w:sz w:val="22"/>
                <w:szCs w:val="22"/>
              </w:rPr>
              <w:t xml:space="preserve">46 </w:t>
            </w:r>
            <w:proofErr w:type="spellStart"/>
            <w:r w:rsidRPr="00CF4824">
              <w:rPr>
                <w:sz w:val="22"/>
                <w:szCs w:val="22"/>
              </w:rPr>
              <w:t>mmol</w:t>
            </w:r>
            <w:proofErr w:type="spellEnd"/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8B45503" w14:textId="19E734B0" w:rsidR="00954F85" w:rsidRPr="00CF4824" w:rsidRDefault="0084400D" w:rsidP="00424E03">
            <w:pPr>
              <w:pStyle w:val="TableCenter"/>
              <w:spacing w:before="0" w:after="0"/>
              <w:ind w:right="174"/>
              <w:jc w:val="right"/>
              <w:rPr>
                <w:sz w:val="22"/>
                <w:szCs w:val="22"/>
                <w:lang w:val="fr-FR"/>
              </w:rPr>
            </w:pPr>
            <w:r w:rsidRPr="002F3A72">
              <w:rPr>
                <w:sz w:val="22"/>
                <w:szCs w:val="22"/>
              </w:rPr>
              <w:t xml:space="preserve">70 </w:t>
            </w:r>
            <w:proofErr w:type="spellStart"/>
            <w:r w:rsidRPr="002F3A72">
              <w:rPr>
                <w:sz w:val="22"/>
                <w:szCs w:val="22"/>
              </w:rPr>
              <w:t>mmol</w:t>
            </w:r>
            <w:proofErr w:type="spellEnd"/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92E138D" w14:textId="211B7206" w:rsidR="00954F85" w:rsidRPr="00CF4824" w:rsidRDefault="00DA344A" w:rsidP="00424E03">
            <w:pPr>
              <w:pStyle w:val="TableCenter"/>
              <w:spacing w:before="0" w:after="0"/>
              <w:ind w:right="169"/>
              <w:jc w:val="right"/>
              <w:rPr>
                <w:sz w:val="22"/>
                <w:szCs w:val="22"/>
                <w:lang w:val="fr-FR"/>
              </w:rPr>
            </w:pPr>
            <w:r w:rsidRPr="00CF4824">
              <w:rPr>
                <w:sz w:val="22"/>
                <w:szCs w:val="22"/>
              </w:rPr>
              <w:t xml:space="preserve">105 </w:t>
            </w:r>
            <w:proofErr w:type="spellStart"/>
            <w:r w:rsidRPr="00CF4824">
              <w:rPr>
                <w:sz w:val="22"/>
                <w:szCs w:val="22"/>
              </w:rPr>
              <w:t>mmol</w:t>
            </w:r>
            <w:proofErr w:type="spellEnd"/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7B102A7" w14:textId="1630D01B" w:rsidR="00954F85" w:rsidRPr="00CF4824" w:rsidRDefault="00DA344A" w:rsidP="00424E03">
            <w:pPr>
              <w:pStyle w:val="TableCenter"/>
              <w:spacing w:before="0" w:after="0"/>
              <w:ind w:right="149"/>
              <w:jc w:val="right"/>
              <w:rPr>
                <w:sz w:val="22"/>
                <w:szCs w:val="22"/>
                <w:lang w:val="fr-FR"/>
              </w:rPr>
            </w:pPr>
            <w:r w:rsidRPr="00CF4824">
              <w:rPr>
                <w:sz w:val="22"/>
                <w:szCs w:val="22"/>
              </w:rPr>
              <w:t xml:space="preserve">140 </w:t>
            </w:r>
            <w:proofErr w:type="spellStart"/>
            <w:r w:rsidRPr="00CF4824">
              <w:rPr>
                <w:sz w:val="22"/>
                <w:szCs w:val="22"/>
              </w:rPr>
              <w:t>mmol</w:t>
            </w:r>
            <w:proofErr w:type="spellEnd"/>
          </w:p>
        </w:tc>
      </w:tr>
      <w:tr w:rsidR="00954F85" w:rsidRPr="00CF4824" w14:paraId="01C5FC2F" w14:textId="77777777" w:rsidTr="00424E03">
        <w:trPr>
          <w:trHeight w:val="255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23789B1" w14:textId="58776D73" w:rsidR="00954F85" w:rsidRPr="00CF4824" w:rsidRDefault="002E05C5" w:rsidP="00424E03">
            <w:pPr>
              <w:pStyle w:val="TableCenter"/>
              <w:spacing w:before="0" w:after="0"/>
              <w:ind w:left="138"/>
              <w:jc w:val="left"/>
              <w:rPr>
                <w:rFonts w:eastAsia="Arial Unicode MS"/>
                <w:sz w:val="22"/>
                <w:szCs w:val="22"/>
                <w:lang w:val="fr-FR"/>
              </w:rPr>
            </w:pPr>
            <w:r w:rsidRPr="00CF4824">
              <w:rPr>
                <w:sz w:val="22"/>
                <w:szCs w:val="22"/>
              </w:rPr>
              <w:t>c</w:t>
            </w:r>
            <w:r w:rsidR="00954F85" w:rsidRPr="00CF4824">
              <w:rPr>
                <w:sz w:val="22"/>
                <w:szCs w:val="22"/>
              </w:rPr>
              <w:t>hlorid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2D00A" w14:textId="6F24047C" w:rsidR="00954F85" w:rsidRPr="00CF4824" w:rsidRDefault="008F7B8E" w:rsidP="00424E03">
            <w:pPr>
              <w:pStyle w:val="TableCenter"/>
              <w:spacing w:before="0" w:after="0"/>
              <w:ind w:right="207"/>
              <w:jc w:val="right"/>
              <w:rPr>
                <w:sz w:val="22"/>
                <w:szCs w:val="22"/>
                <w:lang w:val="fr-FR"/>
              </w:rPr>
            </w:pPr>
            <w:r w:rsidRPr="00CF4824">
              <w:rPr>
                <w:sz w:val="22"/>
                <w:szCs w:val="22"/>
              </w:rPr>
              <w:t xml:space="preserve">30 </w:t>
            </w:r>
            <w:proofErr w:type="spellStart"/>
            <w:r w:rsidRPr="00CF4824">
              <w:rPr>
                <w:sz w:val="22"/>
                <w:szCs w:val="22"/>
              </w:rPr>
              <w:t>mmol</w:t>
            </w:r>
            <w:proofErr w:type="spellEnd"/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7AA21C4" w14:textId="55DCF7ED" w:rsidR="00954F85" w:rsidRPr="00CF4824" w:rsidRDefault="0084400D" w:rsidP="00424E03">
            <w:pPr>
              <w:pStyle w:val="TableCenter"/>
              <w:spacing w:before="0" w:after="0"/>
              <w:ind w:right="174"/>
              <w:jc w:val="right"/>
              <w:rPr>
                <w:sz w:val="22"/>
                <w:szCs w:val="22"/>
                <w:lang w:val="fr-FR"/>
              </w:rPr>
            </w:pPr>
            <w:r w:rsidRPr="002F3A72">
              <w:rPr>
                <w:sz w:val="22"/>
                <w:szCs w:val="22"/>
              </w:rPr>
              <w:t xml:space="preserve">45 </w:t>
            </w:r>
            <w:proofErr w:type="spellStart"/>
            <w:r w:rsidRPr="002F3A72">
              <w:rPr>
                <w:sz w:val="22"/>
                <w:szCs w:val="22"/>
              </w:rPr>
              <w:t>mmol</w:t>
            </w:r>
            <w:proofErr w:type="spellEnd"/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E4D93" w14:textId="53CD0D85" w:rsidR="00954F85" w:rsidRPr="00CF4824" w:rsidRDefault="00DA344A" w:rsidP="00424E03">
            <w:pPr>
              <w:pStyle w:val="TableCenter"/>
              <w:spacing w:before="0" w:after="0"/>
              <w:ind w:right="169"/>
              <w:jc w:val="right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 xml:space="preserve">68 </w:t>
            </w:r>
            <w:proofErr w:type="spellStart"/>
            <w:r w:rsidRPr="00CF4824">
              <w:rPr>
                <w:sz w:val="22"/>
                <w:szCs w:val="22"/>
              </w:rPr>
              <w:t>mmol</w:t>
            </w:r>
            <w:proofErr w:type="spellEnd"/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2AD0F" w14:textId="14A39B96" w:rsidR="00954F85" w:rsidRPr="00CF4824" w:rsidRDefault="00DA344A" w:rsidP="00424E03">
            <w:pPr>
              <w:pStyle w:val="TableCenter"/>
              <w:spacing w:before="0" w:after="0"/>
              <w:ind w:right="149"/>
              <w:jc w:val="right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 xml:space="preserve">90 </w:t>
            </w:r>
            <w:proofErr w:type="spellStart"/>
            <w:r w:rsidRPr="00CF4824">
              <w:rPr>
                <w:sz w:val="22"/>
                <w:szCs w:val="22"/>
              </w:rPr>
              <w:t>mmol</w:t>
            </w:r>
            <w:proofErr w:type="spellEnd"/>
          </w:p>
        </w:tc>
      </w:tr>
      <w:tr w:rsidR="00A729B6" w:rsidRPr="00CF4824" w14:paraId="6B05F777" w14:textId="77777777" w:rsidTr="00424E03">
        <w:trPr>
          <w:trHeight w:val="255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368417C" w14:textId="77777777" w:rsidR="00A729B6" w:rsidRPr="00CF4824" w:rsidRDefault="00A729B6" w:rsidP="00424E03">
            <w:pPr>
              <w:pStyle w:val="TableCenter"/>
              <w:spacing w:before="0" w:after="0"/>
              <w:jc w:val="left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 xml:space="preserve">pH 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148081ED" w14:textId="1F12D29B" w:rsidR="00A729B6" w:rsidRPr="00CF4824" w:rsidRDefault="00A729B6" w:rsidP="00424E03">
            <w:pPr>
              <w:pStyle w:val="TableCenter"/>
              <w:spacing w:before="0" w:after="0"/>
              <w:ind w:right="207"/>
              <w:jc w:val="right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6,4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71A5048B" w14:textId="798D6261" w:rsidR="00A729B6" w:rsidRPr="00CF4824" w:rsidRDefault="00A729B6" w:rsidP="00424E03">
            <w:pPr>
              <w:pStyle w:val="TableCenter"/>
              <w:spacing w:before="0" w:after="0"/>
              <w:ind w:right="207"/>
              <w:jc w:val="right"/>
              <w:rPr>
                <w:rFonts w:eastAsia="Arial Unicode MS"/>
                <w:sz w:val="22"/>
                <w:szCs w:val="22"/>
              </w:rPr>
            </w:pPr>
            <w:r w:rsidRPr="002F3A72">
              <w:rPr>
                <w:sz w:val="22"/>
                <w:szCs w:val="22"/>
              </w:rPr>
              <w:t>6,4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62AC38D0" w14:textId="4624616D" w:rsidR="00A729B6" w:rsidRPr="00CF4824" w:rsidRDefault="00A729B6" w:rsidP="00424E03">
            <w:pPr>
              <w:pStyle w:val="TableCenter"/>
              <w:spacing w:before="0" w:after="0"/>
              <w:ind w:right="207"/>
              <w:jc w:val="right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6,4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040C6832" w14:textId="69B5AAA8" w:rsidR="00A729B6" w:rsidRPr="00CF4824" w:rsidRDefault="00A729B6" w:rsidP="00424E03">
            <w:pPr>
              <w:pStyle w:val="TableCenter"/>
              <w:spacing w:before="0" w:after="0"/>
              <w:ind w:right="207"/>
              <w:jc w:val="right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6,4</w:t>
            </w:r>
          </w:p>
        </w:tc>
      </w:tr>
      <w:tr w:rsidR="00A729B6" w:rsidRPr="00CF4824" w14:paraId="76673DBF" w14:textId="77777777" w:rsidTr="00424E03">
        <w:trPr>
          <w:trHeight w:val="255"/>
          <w:jc w:val="center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EF37E00" w14:textId="2BF8080D" w:rsidR="00A729B6" w:rsidRPr="00CF4824" w:rsidRDefault="00A729B6" w:rsidP="00424E03">
            <w:pPr>
              <w:pStyle w:val="TableCenter"/>
              <w:spacing w:before="0" w:after="0"/>
              <w:jc w:val="left"/>
              <w:rPr>
                <w:rFonts w:eastAsia="Arial Unicode MS"/>
                <w:sz w:val="22"/>
                <w:szCs w:val="22"/>
              </w:rPr>
            </w:pPr>
            <w:proofErr w:type="spellStart"/>
            <w:r w:rsidRPr="00CF4824">
              <w:rPr>
                <w:sz w:val="22"/>
                <w:szCs w:val="22"/>
              </w:rPr>
              <w:t>Osmolarita</w:t>
            </w:r>
            <w:proofErr w:type="spellEnd"/>
            <w:r w:rsidRPr="00CF4824">
              <w:rPr>
                <w:sz w:val="22"/>
                <w:szCs w:val="22"/>
              </w:rPr>
              <w:t>, približne</w:t>
            </w:r>
          </w:p>
        </w:tc>
        <w:tc>
          <w:tcPr>
            <w:tcW w:w="136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E1AD8BB" w14:textId="3BE59FC8" w:rsidR="00A729B6" w:rsidRPr="00CF4824" w:rsidRDefault="00A729B6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 xml:space="preserve">1 270 </w:t>
            </w:r>
            <w:proofErr w:type="spellStart"/>
            <w:r w:rsidRPr="00CF4824">
              <w:rPr>
                <w:sz w:val="22"/>
                <w:szCs w:val="22"/>
              </w:rPr>
              <w:t>mosm</w:t>
            </w:r>
            <w:proofErr w:type="spellEnd"/>
            <w:r w:rsidRPr="00CF4824">
              <w:rPr>
                <w:sz w:val="22"/>
                <w:szCs w:val="22"/>
              </w:rPr>
              <w:t>/l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E35A3E3" w14:textId="31AEBB35" w:rsidR="00A729B6" w:rsidRPr="002F3A72" w:rsidRDefault="00A729B6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2F3A72">
              <w:rPr>
                <w:sz w:val="22"/>
                <w:szCs w:val="22"/>
              </w:rPr>
              <w:t xml:space="preserve">1 270 </w:t>
            </w:r>
            <w:proofErr w:type="spellStart"/>
            <w:r w:rsidRPr="002F3A72">
              <w:rPr>
                <w:sz w:val="22"/>
                <w:szCs w:val="22"/>
              </w:rPr>
              <w:t>mosm</w:t>
            </w:r>
            <w:proofErr w:type="spellEnd"/>
            <w:r w:rsidRPr="002F3A72">
              <w:rPr>
                <w:sz w:val="22"/>
                <w:szCs w:val="22"/>
              </w:rPr>
              <w:t>/l</w:t>
            </w:r>
          </w:p>
        </w:tc>
        <w:tc>
          <w:tcPr>
            <w:tcW w:w="136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ADD05CC" w14:textId="3EDDAC94" w:rsidR="00A729B6" w:rsidRPr="00CF4824" w:rsidRDefault="00A729B6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 xml:space="preserve">1 270 </w:t>
            </w:r>
            <w:proofErr w:type="spellStart"/>
            <w:r w:rsidRPr="00CF4824">
              <w:rPr>
                <w:sz w:val="22"/>
                <w:szCs w:val="22"/>
              </w:rPr>
              <w:t>mosm</w:t>
            </w:r>
            <w:proofErr w:type="spellEnd"/>
            <w:r w:rsidRPr="00CF4824">
              <w:rPr>
                <w:sz w:val="22"/>
                <w:szCs w:val="22"/>
              </w:rPr>
              <w:t>/l</w:t>
            </w:r>
          </w:p>
        </w:tc>
        <w:tc>
          <w:tcPr>
            <w:tcW w:w="13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41DC6" w14:textId="32E63C98" w:rsidR="00A729B6" w:rsidRPr="00CF4824" w:rsidRDefault="00A729B6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 xml:space="preserve">1 270 </w:t>
            </w:r>
            <w:proofErr w:type="spellStart"/>
            <w:r w:rsidRPr="00CF4824">
              <w:rPr>
                <w:sz w:val="22"/>
                <w:szCs w:val="22"/>
              </w:rPr>
              <w:t>mosm</w:t>
            </w:r>
            <w:proofErr w:type="spellEnd"/>
            <w:r w:rsidRPr="00CF4824">
              <w:rPr>
                <w:sz w:val="22"/>
                <w:szCs w:val="22"/>
              </w:rPr>
              <w:t>/l</w:t>
            </w:r>
          </w:p>
        </w:tc>
      </w:tr>
      <w:tr w:rsidR="003C2FD8" w:rsidRPr="00CF4824" w14:paraId="7711AA73" w14:textId="77777777" w:rsidTr="00424E03">
        <w:trPr>
          <w:trHeight w:val="255"/>
          <w:jc w:val="center"/>
        </w:trPr>
        <w:tc>
          <w:tcPr>
            <w:tcW w:w="88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7F2252D" w14:textId="2F6AEF49" w:rsidR="003C2FD8" w:rsidRPr="00424E03" w:rsidRDefault="003C2FD8" w:rsidP="0090634C">
            <w:pPr>
              <w:pStyle w:val="TableFootnoteLetter"/>
              <w:numPr>
                <w:ilvl w:val="0"/>
                <w:numId w:val="25"/>
              </w:numPr>
              <w:spacing w:before="0" w:after="0"/>
            </w:pPr>
            <w:bookmarkStart w:id="4" w:name="_Ref496531421"/>
            <w:r w:rsidRPr="00424E03">
              <w:t xml:space="preserve">Vrátane kalórií z </w:t>
            </w:r>
            <w:proofErr w:type="spellStart"/>
            <w:r w:rsidR="000F1903" w:rsidRPr="00424E03">
              <w:t>purifikovaných</w:t>
            </w:r>
            <w:proofErr w:type="spellEnd"/>
            <w:r w:rsidRPr="00424E03">
              <w:t xml:space="preserve"> vaječných </w:t>
            </w:r>
            <w:proofErr w:type="spellStart"/>
            <w:r w:rsidRPr="00424E03">
              <w:t>fosf</w:t>
            </w:r>
            <w:r w:rsidR="00BF7637" w:rsidRPr="00424E03">
              <w:t>olipidov</w:t>
            </w:r>
            <w:bookmarkEnd w:id="4"/>
            <w:proofErr w:type="spellEnd"/>
            <w:r w:rsidR="000435E4" w:rsidRPr="00424E03">
              <w:t>.</w:t>
            </w:r>
          </w:p>
          <w:p w14:paraId="0ED75CD9" w14:textId="791264DE" w:rsidR="003C2FD8" w:rsidRPr="00CF4824" w:rsidRDefault="003C2FD8" w:rsidP="006D6AFA">
            <w:pPr>
              <w:pStyle w:val="TableFootnoteLetter"/>
              <w:numPr>
                <w:ilvl w:val="0"/>
                <w:numId w:val="25"/>
              </w:numPr>
              <w:spacing w:before="0" w:after="0"/>
              <w:rPr>
                <w:sz w:val="22"/>
                <w:szCs w:val="22"/>
              </w:rPr>
            </w:pPr>
            <w:bookmarkStart w:id="5" w:name="_Ref496531388"/>
            <w:r w:rsidRPr="00424E03">
              <w:t>Vrátane fosfát</w:t>
            </w:r>
            <w:r w:rsidR="000F1903" w:rsidRPr="00424E03">
              <w:t xml:space="preserve">u z </w:t>
            </w:r>
            <w:proofErr w:type="spellStart"/>
            <w:r w:rsidR="000F1903" w:rsidRPr="00424E03">
              <w:t>lipid</w:t>
            </w:r>
            <w:r w:rsidRPr="00424E03">
              <w:t>ov</w:t>
            </w:r>
            <w:r w:rsidR="000F1903" w:rsidRPr="00424E03">
              <w:t>ej</w:t>
            </w:r>
            <w:proofErr w:type="spellEnd"/>
            <w:r w:rsidRPr="00424E03">
              <w:t xml:space="preserve"> emulzi</w:t>
            </w:r>
            <w:r w:rsidR="000F1903" w:rsidRPr="00424E03">
              <w:t>e</w:t>
            </w:r>
            <w:bookmarkEnd w:id="5"/>
            <w:r w:rsidR="000435E4" w:rsidRPr="00424E03">
              <w:t>.</w:t>
            </w:r>
          </w:p>
        </w:tc>
      </w:tr>
      <w:tr w:rsidR="002E05C5" w:rsidRPr="00CF4824" w14:paraId="7040413C" w14:textId="77777777" w:rsidTr="00424E03">
        <w:trPr>
          <w:trHeight w:val="255"/>
          <w:jc w:val="center"/>
        </w:trPr>
        <w:tc>
          <w:tcPr>
            <w:tcW w:w="88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1896DA5" w14:textId="77777777" w:rsidR="002E05C5" w:rsidRPr="00CF4824" w:rsidRDefault="002E05C5" w:rsidP="0090634C">
            <w:pPr>
              <w:pStyle w:val="TableFootnoteLetter"/>
              <w:numPr>
                <w:ilvl w:val="0"/>
                <w:numId w:val="0"/>
              </w:numPr>
              <w:spacing w:before="0" w:after="0"/>
              <w:ind w:left="115" w:hanging="115"/>
              <w:rPr>
                <w:sz w:val="22"/>
                <w:szCs w:val="22"/>
              </w:rPr>
            </w:pPr>
          </w:p>
        </w:tc>
      </w:tr>
    </w:tbl>
    <w:p w14:paraId="2E58F474" w14:textId="77777777" w:rsidR="006E69C5" w:rsidRPr="004A2946" w:rsidRDefault="006E69C5" w:rsidP="00D91F70">
      <w:pPr>
        <w:pStyle w:val="Paragraph"/>
        <w:spacing w:before="0" w:after="0" w:line="240" w:lineRule="auto"/>
        <w:rPr>
          <w:sz w:val="22"/>
          <w:szCs w:val="22"/>
        </w:rPr>
      </w:pPr>
      <w:bookmarkStart w:id="6" w:name="_ISIW_UH_3"/>
    </w:p>
    <w:p w14:paraId="3E15BE53" w14:textId="41EB19E4" w:rsidR="002E05C5" w:rsidRPr="004A2946" w:rsidRDefault="00336D9F" w:rsidP="004A2946">
      <w:pPr>
        <w:pStyle w:val="Nadpis1"/>
        <w:tabs>
          <w:tab w:val="left" w:pos="709"/>
        </w:tabs>
        <w:spacing w:before="0" w:after="0"/>
        <w:rPr>
          <w:sz w:val="22"/>
          <w:szCs w:val="22"/>
        </w:rPr>
      </w:pPr>
      <w:r w:rsidRPr="004A2946">
        <w:rPr>
          <w:sz w:val="22"/>
          <w:szCs w:val="22"/>
        </w:rPr>
        <w:t xml:space="preserve"> </w:t>
      </w:r>
      <w:r w:rsidRPr="004A2946">
        <w:rPr>
          <w:sz w:val="22"/>
          <w:szCs w:val="22"/>
        </w:rPr>
        <w:tab/>
      </w:r>
      <w:r w:rsidR="00CF4824">
        <w:rPr>
          <w:sz w:val="22"/>
          <w:szCs w:val="22"/>
        </w:rPr>
        <w:tab/>
      </w:r>
      <w:r w:rsidR="002E05C5" w:rsidRPr="004A2946">
        <w:rPr>
          <w:sz w:val="22"/>
          <w:szCs w:val="22"/>
        </w:rPr>
        <w:t>LIEKOVÁ FORMA</w:t>
      </w:r>
    </w:p>
    <w:p w14:paraId="3ADC607B" w14:textId="77777777" w:rsidR="002E05C5" w:rsidRPr="004A2946" w:rsidRDefault="002E05C5" w:rsidP="00D91F70">
      <w:pPr>
        <w:pStyle w:val="Paragraph"/>
        <w:spacing w:before="0" w:after="0" w:line="240" w:lineRule="auto"/>
        <w:rPr>
          <w:sz w:val="22"/>
          <w:szCs w:val="22"/>
        </w:rPr>
      </w:pPr>
    </w:p>
    <w:bookmarkEnd w:id="6"/>
    <w:p w14:paraId="0070C487" w14:textId="77777777" w:rsidR="00311286" w:rsidRPr="00CF4824" w:rsidRDefault="00311286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>Po príprave:</w:t>
      </w:r>
    </w:p>
    <w:p w14:paraId="0130164F" w14:textId="3C786A50" w:rsidR="00311286" w:rsidRPr="00CF4824" w:rsidRDefault="00C442B9" w:rsidP="00D91F70">
      <w:pPr>
        <w:pStyle w:val="Paragraph"/>
        <w:spacing w:before="0" w:after="0" w:line="240" w:lineRule="auto"/>
        <w:rPr>
          <w:sz w:val="22"/>
          <w:szCs w:val="22"/>
        </w:rPr>
      </w:pPr>
      <w:proofErr w:type="spellStart"/>
      <w:r w:rsidRPr="00CF4824">
        <w:rPr>
          <w:sz w:val="22"/>
          <w:szCs w:val="22"/>
        </w:rPr>
        <w:t>i</w:t>
      </w:r>
      <w:r w:rsidR="00311286" w:rsidRPr="00CF4824">
        <w:rPr>
          <w:sz w:val="22"/>
          <w:szCs w:val="22"/>
        </w:rPr>
        <w:t>nfúzna</w:t>
      </w:r>
      <w:proofErr w:type="spellEnd"/>
      <w:r w:rsidR="00311286" w:rsidRPr="00CF4824">
        <w:rPr>
          <w:sz w:val="22"/>
          <w:szCs w:val="22"/>
        </w:rPr>
        <w:t xml:space="preserve"> emulzia.</w:t>
      </w:r>
    </w:p>
    <w:p w14:paraId="0E6FABE9" w14:textId="77777777" w:rsidR="006E69C5" w:rsidRPr="002F3A72" w:rsidRDefault="006E69C5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7181779E" w14:textId="77777777" w:rsidR="00311286" w:rsidRPr="00CF4824" w:rsidRDefault="00311286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>Vzhľad pred prípravou:</w:t>
      </w:r>
    </w:p>
    <w:p w14:paraId="0ED6E44C" w14:textId="77777777" w:rsidR="00DA693F" w:rsidRPr="00CF4824" w:rsidRDefault="00311286" w:rsidP="00A12954">
      <w:pPr>
        <w:pStyle w:val="Zoznamsodrkami2"/>
        <w:tabs>
          <w:tab w:val="clear" w:pos="1080"/>
          <w:tab w:val="num" w:pos="-2127"/>
        </w:tabs>
        <w:spacing w:before="0" w:after="0" w:line="240" w:lineRule="auto"/>
        <w:ind w:left="567" w:hanging="567"/>
        <w:rPr>
          <w:sz w:val="22"/>
          <w:szCs w:val="22"/>
        </w:rPr>
      </w:pPr>
      <w:r w:rsidRPr="00CF4824">
        <w:rPr>
          <w:snapToGrid w:val="0"/>
          <w:sz w:val="22"/>
          <w:szCs w:val="22"/>
        </w:rPr>
        <w:t xml:space="preserve">Roztok aminokyselín a roztok glukózy je číry, bezfarebný alebo svetložltý. </w:t>
      </w:r>
    </w:p>
    <w:p w14:paraId="6500E517" w14:textId="163C4D42" w:rsidR="00A75283" w:rsidRPr="00CF4824" w:rsidRDefault="000F1903" w:rsidP="00A12954">
      <w:pPr>
        <w:pStyle w:val="Zoznamsodrkami2"/>
        <w:tabs>
          <w:tab w:val="clear" w:pos="1080"/>
          <w:tab w:val="num" w:pos="-2127"/>
        </w:tabs>
        <w:spacing w:before="0" w:after="0" w:line="240" w:lineRule="auto"/>
        <w:ind w:left="567" w:hanging="567"/>
        <w:rPr>
          <w:sz w:val="22"/>
          <w:szCs w:val="22"/>
        </w:rPr>
      </w:pPr>
      <w:proofErr w:type="spellStart"/>
      <w:r>
        <w:rPr>
          <w:snapToGrid w:val="0"/>
          <w:sz w:val="22"/>
          <w:szCs w:val="22"/>
        </w:rPr>
        <w:t>Lipidová</w:t>
      </w:r>
      <w:proofErr w:type="spellEnd"/>
      <w:r>
        <w:rPr>
          <w:snapToGrid w:val="0"/>
          <w:sz w:val="22"/>
          <w:szCs w:val="22"/>
        </w:rPr>
        <w:t xml:space="preserve"> e</w:t>
      </w:r>
      <w:r w:rsidR="00311286" w:rsidRPr="00CF4824">
        <w:rPr>
          <w:snapToGrid w:val="0"/>
          <w:sz w:val="22"/>
          <w:szCs w:val="22"/>
        </w:rPr>
        <w:t>mulzia je homogénna, mliečneho vzhľadu.</w:t>
      </w:r>
    </w:p>
    <w:p w14:paraId="30EBF5B9" w14:textId="673E86D2" w:rsidR="002E05C5" w:rsidRPr="00CF4824" w:rsidRDefault="002E05C5" w:rsidP="00D91F70">
      <w:pPr>
        <w:pStyle w:val="Zoznamsodrkami2"/>
        <w:numPr>
          <w:ilvl w:val="0"/>
          <w:numId w:val="0"/>
        </w:numPr>
        <w:spacing w:before="0" w:after="0" w:line="240" w:lineRule="auto"/>
        <w:ind w:left="360" w:hanging="360"/>
        <w:rPr>
          <w:snapToGrid w:val="0"/>
          <w:sz w:val="22"/>
          <w:szCs w:val="22"/>
        </w:rPr>
      </w:pPr>
    </w:p>
    <w:p w14:paraId="64C708DB" w14:textId="77777777" w:rsidR="002E05C5" w:rsidRPr="00CF4824" w:rsidRDefault="002E05C5" w:rsidP="00D91F70">
      <w:pPr>
        <w:pStyle w:val="Zoznamsodrkami2"/>
        <w:numPr>
          <w:ilvl w:val="0"/>
          <w:numId w:val="0"/>
        </w:numPr>
        <w:spacing w:before="0" w:after="0" w:line="240" w:lineRule="auto"/>
        <w:ind w:left="360" w:hanging="360"/>
        <w:rPr>
          <w:sz w:val="22"/>
          <w:szCs w:val="22"/>
        </w:rPr>
      </w:pPr>
    </w:p>
    <w:p w14:paraId="2E8547E5" w14:textId="734D1206" w:rsidR="00A75283" w:rsidRPr="00CF4824" w:rsidRDefault="00C442B9" w:rsidP="00424E03">
      <w:pPr>
        <w:pStyle w:val="Nadpis1"/>
        <w:keepLines/>
        <w:tabs>
          <w:tab w:val="left" w:pos="709"/>
        </w:tabs>
        <w:spacing w:before="0" w:after="0"/>
        <w:rPr>
          <w:sz w:val="22"/>
          <w:szCs w:val="22"/>
        </w:rPr>
      </w:pPr>
      <w:bookmarkStart w:id="7" w:name="_ISIW_UH_4"/>
      <w:r w:rsidRPr="00CF4824">
        <w:rPr>
          <w:sz w:val="22"/>
          <w:szCs w:val="22"/>
        </w:rPr>
        <w:lastRenderedPageBreak/>
        <w:t xml:space="preserve"> </w:t>
      </w:r>
      <w:r w:rsidRPr="00CF4824">
        <w:rPr>
          <w:sz w:val="22"/>
          <w:szCs w:val="22"/>
        </w:rPr>
        <w:tab/>
      </w:r>
      <w:r w:rsidR="00CF4824">
        <w:rPr>
          <w:sz w:val="22"/>
          <w:szCs w:val="22"/>
        </w:rPr>
        <w:tab/>
      </w:r>
      <w:r w:rsidR="00470CC7" w:rsidRPr="00CF4824">
        <w:rPr>
          <w:sz w:val="22"/>
          <w:szCs w:val="22"/>
        </w:rPr>
        <w:t>KLINICKÉ ÚDAJE</w:t>
      </w:r>
    </w:p>
    <w:p w14:paraId="6251563F" w14:textId="77777777" w:rsidR="002E05C5" w:rsidRPr="004A2946" w:rsidRDefault="002E05C5" w:rsidP="00424E03">
      <w:pPr>
        <w:pStyle w:val="Paragraph"/>
        <w:keepNext/>
        <w:keepLines/>
        <w:spacing w:before="0" w:after="0" w:line="240" w:lineRule="auto"/>
        <w:rPr>
          <w:sz w:val="22"/>
          <w:szCs w:val="22"/>
        </w:rPr>
      </w:pPr>
    </w:p>
    <w:p w14:paraId="4A23F2E2" w14:textId="00745D4A" w:rsidR="00A75283" w:rsidRPr="00CF4824" w:rsidRDefault="00CF4824" w:rsidP="00424E03">
      <w:pPr>
        <w:pStyle w:val="Nadpis2"/>
        <w:keepLines/>
        <w:tabs>
          <w:tab w:val="left" w:pos="709"/>
        </w:tabs>
        <w:spacing w:before="0" w:after="0"/>
        <w:rPr>
          <w:sz w:val="22"/>
          <w:szCs w:val="22"/>
        </w:rPr>
      </w:pPr>
      <w:bookmarkStart w:id="8" w:name="_ISIW_UH_5"/>
      <w:bookmarkEnd w:id="7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75283" w:rsidRPr="00CF4824">
        <w:rPr>
          <w:sz w:val="22"/>
          <w:szCs w:val="22"/>
        </w:rPr>
        <w:t xml:space="preserve">Terapeutické indikácie </w:t>
      </w:r>
    </w:p>
    <w:p w14:paraId="63276D0E" w14:textId="77777777" w:rsidR="00D14EF0" w:rsidRPr="004A2946" w:rsidRDefault="00D14EF0" w:rsidP="00424E03">
      <w:pPr>
        <w:pStyle w:val="Paragraph"/>
        <w:keepNext/>
        <w:keepLines/>
        <w:spacing w:before="0" w:after="0" w:line="240" w:lineRule="auto"/>
        <w:rPr>
          <w:sz w:val="22"/>
          <w:szCs w:val="22"/>
        </w:rPr>
      </w:pPr>
    </w:p>
    <w:bookmarkEnd w:id="8"/>
    <w:p w14:paraId="6029A802" w14:textId="22455AFF" w:rsidR="00A75283" w:rsidRPr="00CF4824" w:rsidRDefault="00AD0D38" w:rsidP="00424E03">
      <w:pPr>
        <w:pStyle w:val="Paragraph"/>
        <w:keepNext/>
        <w:keepLines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 xml:space="preserve">OLIMEL N12E je indikovaný na </w:t>
      </w:r>
      <w:proofErr w:type="spellStart"/>
      <w:r w:rsidRPr="00CF4824">
        <w:rPr>
          <w:sz w:val="22"/>
          <w:szCs w:val="22"/>
        </w:rPr>
        <w:t>parenterálnu</w:t>
      </w:r>
      <w:proofErr w:type="spellEnd"/>
      <w:r w:rsidRPr="00CF4824">
        <w:rPr>
          <w:sz w:val="22"/>
          <w:szCs w:val="22"/>
        </w:rPr>
        <w:t xml:space="preserve"> výživu </w:t>
      </w:r>
      <w:r w:rsidR="00E9418F">
        <w:rPr>
          <w:sz w:val="22"/>
          <w:szCs w:val="22"/>
        </w:rPr>
        <w:t xml:space="preserve">dospelým a deťom starším </w:t>
      </w:r>
      <w:r w:rsidRPr="00CF4824">
        <w:rPr>
          <w:sz w:val="22"/>
          <w:szCs w:val="22"/>
        </w:rPr>
        <w:t xml:space="preserve">ako 2 roky, keď je perorálna alebo </w:t>
      </w:r>
      <w:proofErr w:type="spellStart"/>
      <w:r w:rsidRPr="00CF4824">
        <w:rPr>
          <w:sz w:val="22"/>
          <w:szCs w:val="22"/>
        </w:rPr>
        <w:t>enterálna</w:t>
      </w:r>
      <w:proofErr w:type="spellEnd"/>
      <w:r w:rsidRPr="00CF4824">
        <w:rPr>
          <w:sz w:val="22"/>
          <w:szCs w:val="22"/>
        </w:rPr>
        <w:t xml:space="preserve"> výživa nemožná, nedostatočná alebo kontraindikovaná.</w:t>
      </w:r>
    </w:p>
    <w:p w14:paraId="64246694" w14:textId="77777777" w:rsidR="00104D31" w:rsidRPr="0010567E" w:rsidRDefault="00104D31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7F2A213D" w14:textId="191FAF18" w:rsidR="00A75283" w:rsidRPr="0010567E" w:rsidRDefault="0010567E" w:rsidP="004A2946">
      <w:pPr>
        <w:pStyle w:val="Nadpis2"/>
        <w:tabs>
          <w:tab w:val="left" w:pos="709"/>
        </w:tabs>
        <w:spacing w:before="0" w:after="0"/>
        <w:rPr>
          <w:sz w:val="22"/>
          <w:szCs w:val="22"/>
        </w:rPr>
      </w:pPr>
      <w:bookmarkStart w:id="9" w:name="_ISIW_UH_6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75283" w:rsidRPr="0010567E">
        <w:rPr>
          <w:sz w:val="22"/>
          <w:szCs w:val="22"/>
        </w:rPr>
        <w:t>D</w:t>
      </w:r>
      <w:r>
        <w:rPr>
          <w:sz w:val="22"/>
          <w:szCs w:val="22"/>
        </w:rPr>
        <w:t>ávkovanie a spôsob podávania</w:t>
      </w:r>
    </w:p>
    <w:p w14:paraId="1E112BD6" w14:textId="77777777" w:rsidR="00104D31" w:rsidRPr="004A2946" w:rsidRDefault="00104D31" w:rsidP="004E30E0">
      <w:pPr>
        <w:pStyle w:val="Paragraph"/>
        <w:spacing w:before="0" w:after="0" w:line="240" w:lineRule="auto"/>
        <w:rPr>
          <w:sz w:val="22"/>
          <w:szCs w:val="22"/>
        </w:rPr>
      </w:pPr>
    </w:p>
    <w:p w14:paraId="0E4A0DBC" w14:textId="40C5C633" w:rsidR="008B3EFE" w:rsidRPr="00424E03" w:rsidRDefault="008B3EFE" w:rsidP="00D91F70">
      <w:pPr>
        <w:pStyle w:val="Heading2Unnumbered"/>
        <w:spacing w:before="0" w:after="0"/>
        <w:rPr>
          <w:b w:val="0"/>
          <w:sz w:val="22"/>
          <w:szCs w:val="22"/>
          <w:u w:val="single"/>
        </w:rPr>
      </w:pPr>
      <w:bookmarkStart w:id="10" w:name="_ISIW_UH_7"/>
      <w:bookmarkEnd w:id="9"/>
      <w:r w:rsidRPr="00424E03">
        <w:rPr>
          <w:b w:val="0"/>
          <w:sz w:val="22"/>
          <w:szCs w:val="22"/>
          <w:u w:val="single"/>
        </w:rPr>
        <w:t>Dávkovanie</w:t>
      </w:r>
    </w:p>
    <w:p w14:paraId="7E516099" w14:textId="77777777" w:rsidR="00D14EF0" w:rsidRPr="004A2946" w:rsidRDefault="00D14EF0" w:rsidP="004E30E0">
      <w:pPr>
        <w:pStyle w:val="Paragraph"/>
        <w:spacing w:before="0" w:after="0" w:line="240" w:lineRule="auto"/>
        <w:rPr>
          <w:sz w:val="22"/>
          <w:szCs w:val="22"/>
        </w:rPr>
      </w:pPr>
    </w:p>
    <w:bookmarkEnd w:id="10"/>
    <w:p w14:paraId="49FDA06A" w14:textId="12F3D821" w:rsidR="00993247" w:rsidRPr="00CF4824" w:rsidRDefault="00AD0D38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>OLIMEL N12E sa neodporúča používať u detí mladších ako 2 roky kvôli neadekvátnemu zloženiu a objemu (pozri časti 4.4, 5.1 a 5.2 SPC).</w:t>
      </w:r>
    </w:p>
    <w:p w14:paraId="2FB717EC" w14:textId="77777777" w:rsidR="00D14EF0" w:rsidRPr="002F3A72" w:rsidRDefault="00D14EF0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7183DF2E" w14:textId="3C080BA1" w:rsidR="00993247" w:rsidRPr="00104F0F" w:rsidRDefault="00993247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 xml:space="preserve">Maximálna denná dávka uvedená nižšie sa nesmie prekročiť. V dôsledku fixného zloženia viackomorového vaku nemusí byť možné splniť súčasne všetky potreby výživy pacienta. Existujú klinické situácie, v ktorých pacienti vyžadujú množstvo živín, ktoré je odlišné od fixného zloženia vaku. </w:t>
      </w:r>
      <w:r w:rsidRPr="00CF4824">
        <w:rPr>
          <w:bCs/>
          <w:sz w:val="22"/>
          <w:szCs w:val="22"/>
        </w:rPr>
        <w:t xml:space="preserve">V takejto situácii treba pri akejkoľvek úprave objemu (dávky) vziať do úvahy výsledný účinok tejto úpravy na dávkovanie všetkých ostatných nutričných zložiek </w:t>
      </w:r>
      <w:r w:rsidRPr="00104F0F">
        <w:rPr>
          <w:sz w:val="22"/>
          <w:szCs w:val="22"/>
        </w:rPr>
        <w:t>OLIMEL</w:t>
      </w:r>
      <w:r w:rsidR="00EC4356">
        <w:rPr>
          <w:sz w:val="22"/>
          <w:szCs w:val="22"/>
        </w:rPr>
        <w:t>U</w:t>
      </w:r>
      <w:r w:rsidR="00104F0F">
        <w:rPr>
          <w:sz w:val="22"/>
          <w:szCs w:val="22"/>
        </w:rPr>
        <w:t xml:space="preserve"> N12E</w:t>
      </w:r>
      <w:r w:rsidRPr="00104F0F">
        <w:rPr>
          <w:sz w:val="22"/>
          <w:szCs w:val="22"/>
        </w:rPr>
        <w:t>. V tejto situácii môžu zdravotnícki pracovníci zvážiť úpravu objemu (dávky) OLIMEL</w:t>
      </w:r>
      <w:r w:rsidR="00EC4356">
        <w:rPr>
          <w:sz w:val="22"/>
          <w:szCs w:val="22"/>
        </w:rPr>
        <w:t>U</w:t>
      </w:r>
      <w:r w:rsidRPr="00104F0F">
        <w:rPr>
          <w:sz w:val="22"/>
          <w:szCs w:val="22"/>
        </w:rPr>
        <w:t xml:space="preserve"> s cieľom splniť tieto zvýšené požiadavky.</w:t>
      </w:r>
    </w:p>
    <w:p w14:paraId="4A8EF520" w14:textId="77777777" w:rsidR="00104D31" w:rsidRPr="002F3A72" w:rsidRDefault="00104D31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40AB8222" w14:textId="1503C34D" w:rsidR="00993247" w:rsidRPr="00424E03" w:rsidRDefault="00993247" w:rsidP="00D91F70">
      <w:pPr>
        <w:pStyle w:val="Heading3Unnumbered"/>
        <w:spacing w:before="0" w:after="0"/>
        <w:rPr>
          <w:b w:val="0"/>
          <w:sz w:val="22"/>
          <w:szCs w:val="22"/>
        </w:rPr>
      </w:pPr>
      <w:bookmarkStart w:id="11" w:name="_ISIW_UH_8"/>
      <w:r w:rsidRPr="00424E03">
        <w:rPr>
          <w:b w:val="0"/>
          <w:sz w:val="22"/>
          <w:szCs w:val="22"/>
        </w:rPr>
        <w:t>Dospelí</w:t>
      </w:r>
    </w:p>
    <w:bookmarkEnd w:id="11"/>
    <w:p w14:paraId="70E7F994" w14:textId="77777777" w:rsidR="00A12954" w:rsidRDefault="00A12954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0EAC3496" w14:textId="1BB2F582" w:rsidR="00993247" w:rsidRPr="00313659" w:rsidRDefault="00993247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 xml:space="preserve">Dávkovanie závisí od výdaja energie, klinického stavu, telesnej hmotnosti pacienta a schopnosti metabolizovať zložky </w:t>
      </w:r>
      <w:r w:rsidRPr="00313659">
        <w:rPr>
          <w:sz w:val="22"/>
          <w:szCs w:val="22"/>
        </w:rPr>
        <w:t>OLIMEL</w:t>
      </w:r>
      <w:r w:rsidR="00EC4356">
        <w:rPr>
          <w:sz w:val="22"/>
          <w:szCs w:val="22"/>
        </w:rPr>
        <w:t>U</w:t>
      </w:r>
      <w:r w:rsidR="00313659">
        <w:rPr>
          <w:sz w:val="22"/>
          <w:szCs w:val="22"/>
        </w:rPr>
        <w:t xml:space="preserve"> N12E</w:t>
      </w:r>
      <w:r w:rsidRPr="00313659">
        <w:rPr>
          <w:sz w:val="22"/>
          <w:szCs w:val="22"/>
        </w:rPr>
        <w:t>, ako aj od ďalších zdrojov energie alebo bielkovín podávaných perorálne/</w:t>
      </w:r>
      <w:proofErr w:type="spellStart"/>
      <w:r w:rsidRPr="00313659">
        <w:rPr>
          <w:sz w:val="22"/>
          <w:szCs w:val="22"/>
        </w:rPr>
        <w:t>enterálne</w:t>
      </w:r>
      <w:proofErr w:type="spellEnd"/>
      <w:r w:rsidRPr="00313659">
        <w:rPr>
          <w:sz w:val="22"/>
          <w:szCs w:val="22"/>
        </w:rPr>
        <w:t>; podľa toho sa má zvoliť primeraná veľkosť vaku.</w:t>
      </w:r>
    </w:p>
    <w:p w14:paraId="698FFCB1" w14:textId="77777777" w:rsidR="00D14EF0" w:rsidRPr="002F3A72" w:rsidRDefault="00D14EF0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7F6A16FC" w14:textId="3CCB97EC" w:rsidR="00993247" w:rsidRPr="00CF4824" w:rsidRDefault="00993247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>Priemerná denná potreba je:</w:t>
      </w:r>
    </w:p>
    <w:p w14:paraId="2400C01A" w14:textId="3B8143C9" w:rsidR="00993247" w:rsidRPr="006574AD" w:rsidRDefault="00993247" w:rsidP="00A12954">
      <w:pPr>
        <w:pStyle w:val="Zoznamsodrkami2"/>
        <w:tabs>
          <w:tab w:val="clear" w:pos="1080"/>
        </w:tabs>
        <w:spacing w:before="0" w:after="0" w:line="240" w:lineRule="auto"/>
        <w:ind w:left="567" w:hanging="567"/>
        <w:rPr>
          <w:sz w:val="22"/>
          <w:szCs w:val="22"/>
        </w:rPr>
      </w:pPr>
      <w:r w:rsidRPr="00CF4824">
        <w:rPr>
          <w:sz w:val="22"/>
          <w:szCs w:val="22"/>
        </w:rPr>
        <w:t xml:space="preserve">0,16 až 0,35 g dusíka/kg telesnej hmotnosti (1 až 2 g aminokyselín/kg), v závislosti od nutričného stavu pacienta a stupňa </w:t>
      </w:r>
      <w:proofErr w:type="spellStart"/>
      <w:r w:rsidRPr="00CF4824">
        <w:rPr>
          <w:sz w:val="22"/>
          <w:szCs w:val="22"/>
        </w:rPr>
        <w:t>katabolického</w:t>
      </w:r>
      <w:proofErr w:type="spellEnd"/>
      <w:r w:rsidRPr="00CF4824">
        <w:rPr>
          <w:sz w:val="22"/>
          <w:szCs w:val="22"/>
        </w:rPr>
        <w:t xml:space="preserve"> stresu. </w:t>
      </w:r>
      <w:r w:rsidRPr="00CF4824">
        <w:rPr>
          <w:bCs/>
          <w:color w:val="000000"/>
          <w:sz w:val="22"/>
          <w:szCs w:val="22"/>
        </w:rPr>
        <w:t>U</w:t>
      </w:r>
      <w:r w:rsidR="006574AD">
        <w:rPr>
          <w:bCs/>
          <w:color w:val="000000"/>
          <w:sz w:val="22"/>
          <w:szCs w:val="22"/>
        </w:rPr>
        <w:t xml:space="preserve"> osobitných skupín </w:t>
      </w:r>
      <w:r w:rsidRPr="006574AD">
        <w:rPr>
          <w:bCs/>
          <w:color w:val="000000"/>
          <w:sz w:val="22"/>
          <w:szCs w:val="22"/>
        </w:rPr>
        <w:t>pacientov môže byť potrebná dávka až 0,4 g dusíka/kg telesnej hmotnosti (2,5 g aminokyselín/kg)</w:t>
      </w:r>
      <w:r w:rsidR="00A12954">
        <w:rPr>
          <w:bCs/>
          <w:color w:val="000000"/>
          <w:sz w:val="22"/>
          <w:szCs w:val="22"/>
        </w:rPr>
        <w:t>;</w:t>
      </w:r>
    </w:p>
    <w:p w14:paraId="4BD67757" w14:textId="69123B67" w:rsidR="00993247" w:rsidRPr="002F3A72" w:rsidRDefault="00993247" w:rsidP="00A12954">
      <w:pPr>
        <w:pStyle w:val="Zoznamsodrkami2"/>
        <w:tabs>
          <w:tab w:val="clear" w:pos="1080"/>
        </w:tabs>
        <w:spacing w:before="0" w:after="0" w:line="240" w:lineRule="auto"/>
        <w:ind w:left="567" w:hanging="567"/>
        <w:rPr>
          <w:sz w:val="22"/>
          <w:szCs w:val="22"/>
        </w:rPr>
      </w:pPr>
      <w:r w:rsidRPr="002F3A72">
        <w:rPr>
          <w:sz w:val="22"/>
          <w:szCs w:val="22"/>
        </w:rPr>
        <w:t>20 až 40 kcal/kg</w:t>
      </w:r>
      <w:r w:rsidR="00A12954">
        <w:rPr>
          <w:sz w:val="22"/>
          <w:szCs w:val="22"/>
        </w:rPr>
        <w:t>;</w:t>
      </w:r>
    </w:p>
    <w:p w14:paraId="7DAD32E5" w14:textId="30013439" w:rsidR="00993247" w:rsidRPr="00CF4824" w:rsidRDefault="00993247" w:rsidP="00A12954">
      <w:pPr>
        <w:pStyle w:val="Zoznamsodrkami2"/>
        <w:tabs>
          <w:tab w:val="clear" w:pos="1080"/>
        </w:tabs>
        <w:spacing w:before="0" w:after="0" w:line="240" w:lineRule="auto"/>
        <w:ind w:left="567" w:hanging="567"/>
        <w:rPr>
          <w:sz w:val="22"/>
          <w:szCs w:val="22"/>
        </w:rPr>
      </w:pPr>
      <w:r w:rsidRPr="00CF4824">
        <w:rPr>
          <w:sz w:val="22"/>
          <w:szCs w:val="22"/>
        </w:rPr>
        <w:t>20 až 40 ml tekutín/kg alebo 1 až 1,5 ml na vydanú kcal.</w:t>
      </w:r>
    </w:p>
    <w:p w14:paraId="0805E139" w14:textId="77777777" w:rsidR="00D14EF0" w:rsidRPr="00CF4824" w:rsidRDefault="00D14EF0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0FF813F0" w14:textId="2237C076" w:rsidR="00993247" w:rsidRPr="00296053" w:rsidRDefault="00993247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 xml:space="preserve">Maximálna denná dávka </w:t>
      </w:r>
      <w:r w:rsidRPr="00296053">
        <w:rPr>
          <w:sz w:val="22"/>
          <w:szCs w:val="22"/>
        </w:rPr>
        <w:t>OLIMEL</w:t>
      </w:r>
      <w:r w:rsidR="00EC4356">
        <w:rPr>
          <w:sz w:val="22"/>
          <w:szCs w:val="22"/>
        </w:rPr>
        <w:t>U</w:t>
      </w:r>
      <w:r w:rsidRPr="00296053">
        <w:rPr>
          <w:sz w:val="22"/>
          <w:szCs w:val="22"/>
        </w:rPr>
        <w:t xml:space="preserve"> N12E sa určuje podľa príjmu aminokyselín, 26 ml/kg zodpovedá 2,0 g aminokyselín/kg, 1,9 g glukózy/kg, 0,9 g </w:t>
      </w:r>
      <w:proofErr w:type="spellStart"/>
      <w:r w:rsidRPr="00296053">
        <w:rPr>
          <w:sz w:val="22"/>
          <w:szCs w:val="22"/>
        </w:rPr>
        <w:t>lipidov</w:t>
      </w:r>
      <w:proofErr w:type="spellEnd"/>
      <w:r w:rsidRPr="00296053">
        <w:rPr>
          <w:sz w:val="22"/>
          <w:szCs w:val="22"/>
        </w:rPr>
        <w:t>/kg. Dávka pre pacienta s telesnou hmotnosťou 70 kg by sa rovnala 1 820 ml OLIMEL</w:t>
      </w:r>
      <w:r w:rsidR="00EC4356">
        <w:rPr>
          <w:sz w:val="22"/>
          <w:szCs w:val="22"/>
        </w:rPr>
        <w:t>U</w:t>
      </w:r>
      <w:r w:rsidR="00296053">
        <w:rPr>
          <w:sz w:val="22"/>
          <w:szCs w:val="22"/>
        </w:rPr>
        <w:t xml:space="preserve"> N12E</w:t>
      </w:r>
      <w:r w:rsidRPr="00296053">
        <w:rPr>
          <w:sz w:val="22"/>
          <w:szCs w:val="22"/>
        </w:rPr>
        <w:t xml:space="preserve"> denne a zabezpečila by príjem 138 g aminokyselín, 133 g glukózy a 64 g </w:t>
      </w:r>
      <w:proofErr w:type="spellStart"/>
      <w:r w:rsidRPr="00296053">
        <w:rPr>
          <w:sz w:val="22"/>
          <w:szCs w:val="22"/>
        </w:rPr>
        <w:t>lipidov</w:t>
      </w:r>
      <w:proofErr w:type="spellEnd"/>
      <w:r w:rsidRPr="00296053">
        <w:rPr>
          <w:sz w:val="22"/>
          <w:szCs w:val="22"/>
        </w:rPr>
        <w:t xml:space="preserve"> (t.j. 1 171 nebielkovinových kcal a 1 723 celkových kcal).</w:t>
      </w:r>
    </w:p>
    <w:p w14:paraId="60BB65A1" w14:textId="77777777" w:rsidR="004E30E0" w:rsidRPr="002F3A72" w:rsidRDefault="004E30E0" w:rsidP="00D91F70">
      <w:pPr>
        <w:pStyle w:val="Paragraph"/>
        <w:spacing w:before="0" w:after="0" w:line="240" w:lineRule="auto"/>
        <w:rPr>
          <w:i/>
          <w:sz w:val="22"/>
          <w:szCs w:val="22"/>
        </w:rPr>
      </w:pPr>
    </w:p>
    <w:p w14:paraId="58133B5A" w14:textId="04701A39" w:rsidR="00960517" w:rsidRPr="00EF36FF" w:rsidRDefault="00130134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i/>
          <w:sz w:val="22"/>
          <w:szCs w:val="22"/>
        </w:rPr>
        <w:t xml:space="preserve">Pri </w:t>
      </w:r>
      <w:r w:rsidR="00EF36FF">
        <w:rPr>
          <w:i/>
          <w:sz w:val="22"/>
          <w:szCs w:val="22"/>
        </w:rPr>
        <w:t>kontinuálnej obličkovej eliminačnej liečbe</w:t>
      </w:r>
      <w:r w:rsidRPr="00EF36FF">
        <w:rPr>
          <w:i/>
          <w:sz w:val="22"/>
          <w:szCs w:val="22"/>
        </w:rPr>
        <w:t xml:space="preserve"> (</w:t>
      </w:r>
      <w:proofErr w:type="spellStart"/>
      <w:r w:rsidR="00A12954">
        <w:rPr>
          <w:i/>
          <w:sz w:val="22"/>
          <w:szCs w:val="22"/>
        </w:rPr>
        <w:t>continuous</w:t>
      </w:r>
      <w:proofErr w:type="spellEnd"/>
      <w:r w:rsidR="00A12954">
        <w:rPr>
          <w:i/>
          <w:sz w:val="22"/>
          <w:szCs w:val="22"/>
        </w:rPr>
        <w:t xml:space="preserve"> </w:t>
      </w:r>
      <w:proofErr w:type="spellStart"/>
      <w:r w:rsidR="00A12954">
        <w:rPr>
          <w:i/>
          <w:sz w:val="22"/>
          <w:szCs w:val="22"/>
        </w:rPr>
        <w:t>renal</w:t>
      </w:r>
      <w:proofErr w:type="spellEnd"/>
      <w:r w:rsidR="00A12954">
        <w:rPr>
          <w:i/>
          <w:sz w:val="22"/>
          <w:szCs w:val="22"/>
        </w:rPr>
        <w:t xml:space="preserve"> </w:t>
      </w:r>
      <w:proofErr w:type="spellStart"/>
      <w:r w:rsidR="00A12954">
        <w:rPr>
          <w:i/>
          <w:sz w:val="22"/>
          <w:szCs w:val="22"/>
        </w:rPr>
        <w:t>replacement</w:t>
      </w:r>
      <w:proofErr w:type="spellEnd"/>
      <w:r w:rsidR="00A12954">
        <w:rPr>
          <w:i/>
          <w:sz w:val="22"/>
          <w:szCs w:val="22"/>
        </w:rPr>
        <w:t xml:space="preserve"> </w:t>
      </w:r>
      <w:proofErr w:type="spellStart"/>
      <w:r w:rsidR="00A12954">
        <w:rPr>
          <w:i/>
          <w:sz w:val="22"/>
          <w:szCs w:val="22"/>
        </w:rPr>
        <w:t>therapy</w:t>
      </w:r>
      <w:proofErr w:type="spellEnd"/>
      <w:r w:rsidR="00A12954">
        <w:rPr>
          <w:i/>
          <w:sz w:val="22"/>
          <w:szCs w:val="22"/>
        </w:rPr>
        <w:t xml:space="preserve">, </w:t>
      </w:r>
      <w:r w:rsidRPr="00EF36FF">
        <w:rPr>
          <w:i/>
          <w:sz w:val="22"/>
          <w:szCs w:val="22"/>
        </w:rPr>
        <w:t xml:space="preserve">CRRT): </w:t>
      </w:r>
      <w:r w:rsidRPr="00EF36FF">
        <w:rPr>
          <w:sz w:val="22"/>
          <w:szCs w:val="22"/>
        </w:rPr>
        <w:t>Maximálna denná dávka OLIMEL</w:t>
      </w:r>
      <w:r w:rsidR="00EC4356">
        <w:rPr>
          <w:sz w:val="22"/>
          <w:szCs w:val="22"/>
        </w:rPr>
        <w:t>U</w:t>
      </w:r>
      <w:r w:rsidRPr="00EF36FF">
        <w:rPr>
          <w:sz w:val="22"/>
          <w:szCs w:val="22"/>
        </w:rPr>
        <w:t xml:space="preserve"> N12E sa určuje podľa príjmu aminokyselín, 33 ml/kg zodpovedá 2,5 g aminokyselín/kg, 2,4 g glukózy/kg, 1,2 g </w:t>
      </w:r>
      <w:proofErr w:type="spellStart"/>
      <w:r w:rsidRPr="00EF36FF">
        <w:rPr>
          <w:sz w:val="22"/>
          <w:szCs w:val="22"/>
        </w:rPr>
        <w:t>lipidov</w:t>
      </w:r>
      <w:proofErr w:type="spellEnd"/>
      <w:r w:rsidRPr="00EF36FF">
        <w:rPr>
          <w:sz w:val="22"/>
          <w:szCs w:val="22"/>
        </w:rPr>
        <w:t>/kg. Dávka pre pacienta s telesnou hmotnosťou 70 kg by sa rovnala 2 310 ml OLIMEL</w:t>
      </w:r>
      <w:r w:rsidR="00EC4356">
        <w:rPr>
          <w:sz w:val="22"/>
          <w:szCs w:val="22"/>
        </w:rPr>
        <w:t>U</w:t>
      </w:r>
      <w:r w:rsidR="00532EA8">
        <w:rPr>
          <w:sz w:val="22"/>
          <w:szCs w:val="22"/>
        </w:rPr>
        <w:t xml:space="preserve"> N12E</w:t>
      </w:r>
      <w:r w:rsidRPr="00EF36FF">
        <w:rPr>
          <w:sz w:val="22"/>
          <w:szCs w:val="22"/>
        </w:rPr>
        <w:t xml:space="preserve"> denne a zabezpečila by príjem 175 g aminokyselín, 169 g glukózy a 81 g </w:t>
      </w:r>
      <w:proofErr w:type="spellStart"/>
      <w:r w:rsidRPr="00EF36FF">
        <w:rPr>
          <w:sz w:val="22"/>
          <w:szCs w:val="22"/>
        </w:rPr>
        <w:t>lipidov</w:t>
      </w:r>
      <w:proofErr w:type="spellEnd"/>
      <w:r w:rsidRPr="00EF36FF">
        <w:rPr>
          <w:sz w:val="22"/>
          <w:szCs w:val="22"/>
        </w:rPr>
        <w:t xml:space="preserve"> (t.j. 1 486 nebielkovinových kcal a 2 187 celkových kcal).</w:t>
      </w:r>
    </w:p>
    <w:p w14:paraId="58F95C13" w14:textId="77777777" w:rsidR="004E30E0" w:rsidRPr="002F3A72" w:rsidRDefault="004E30E0" w:rsidP="00D91F70">
      <w:pPr>
        <w:jc w:val="both"/>
        <w:rPr>
          <w:i/>
          <w:snapToGrid w:val="0"/>
          <w:sz w:val="22"/>
          <w:szCs w:val="22"/>
        </w:rPr>
      </w:pPr>
    </w:p>
    <w:p w14:paraId="6244CC85" w14:textId="3D5E3672" w:rsidR="00B64E25" w:rsidRPr="002F3A72" w:rsidRDefault="00B64E25" w:rsidP="00D91F70">
      <w:pPr>
        <w:jc w:val="both"/>
        <w:rPr>
          <w:sz w:val="22"/>
          <w:szCs w:val="22"/>
        </w:rPr>
      </w:pPr>
      <w:r w:rsidRPr="00CF4824">
        <w:rPr>
          <w:i/>
          <w:snapToGrid w:val="0"/>
          <w:sz w:val="22"/>
          <w:szCs w:val="22"/>
        </w:rPr>
        <w:t xml:space="preserve">Pacienti s morbídnou obezitou: </w:t>
      </w:r>
      <w:r w:rsidRPr="00CF4824">
        <w:rPr>
          <w:snapToGrid w:val="0"/>
          <w:sz w:val="22"/>
          <w:szCs w:val="22"/>
        </w:rPr>
        <w:t>Dávka sa vypočíta na základe ideálnej telesnej hmotnosti (IBW).</w:t>
      </w:r>
      <w:r w:rsidRPr="00CF4824">
        <w:rPr>
          <w:i/>
          <w:snapToGrid w:val="0"/>
          <w:sz w:val="22"/>
          <w:szCs w:val="22"/>
        </w:rPr>
        <w:t xml:space="preserve"> </w:t>
      </w:r>
      <w:r w:rsidRPr="00CF4824">
        <w:rPr>
          <w:sz w:val="22"/>
          <w:szCs w:val="22"/>
        </w:rPr>
        <w:t xml:space="preserve">Maximálna denná dávka </w:t>
      </w:r>
      <w:r w:rsidRPr="00A346DD">
        <w:rPr>
          <w:sz w:val="22"/>
          <w:szCs w:val="22"/>
        </w:rPr>
        <w:t>OLIMEL</w:t>
      </w:r>
      <w:r w:rsidR="00EC4356">
        <w:rPr>
          <w:sz w:val="22"/>
          <w:szCs w:val="22"/>
        </w:rPr>
        <w:t>U</w:t>
      </w:r>
      <w:r w:rsidRPr="00A346DD">
        <w:rPr>
          <w:sz w:val="22"/>
          <w:szCs w:val="22"/>
        </w:rPr>
        <w:t xml:space="preserve"> N12E sa určuje podľa príjmu aminokyselín, 33 ml/kg IBW zodpovedá 2,5 </w:t>
      </w:r>
      <w:r w:rsidRPr="002F3A72">
        <w:rPr>
          <w:sz w:val="22"/>
          <w:szCs w:val="22"/>
        </w:rPr>
        <w:t xml:space="preserve">g aminokyselín/kg, 2,4 g glukózy/kg, 1,2 g </w:t>
      </w:r>
      <w:proofErr w:type="spellStart"/>
      <w:r w:rsidRPr="002F3A72">
        <w:rPr>
          <w:sz w:val="22"/>
          <w:szCs w:val="22"/>
        </w:rPr>
        <w:t>lipidov</w:t>
      </w:r>
      <w:proofErr w:type="spellEnd"/>
      <w:r w:rsidRPr="002F3A72">
        <w:rPr>
          <w:sz w:val="22"/>
          <w:szCs w:val="22"/>
        </w:rPr>
        <w:t xml:space="preserve">/kg. Dávka pre pacienta s telesnou hmotnosťou 70 kg by sa rovnala 2 310 ml </w:t>
      </w:r>
      <w:r w:rsidRPr="00A346DD">
        <w:rPr>
          <w:sz w:val="22"/>
          <w:szCs w:val="22"/>
        </w:rPr>
        <w:t>OLIMEL</w:t>
      </w:r>
      <w:r w:rsidR="00EC4356">
        <w:rPr>
          <w:sz w:val="22"/>
          <w:szCs w:val="22"/>
        </w:rPr>
        <w:t>U</w:t>
      </w:r>
      <w:r w:rsidR="00A346DD">
        <w:rPr>
          <w:sz w:val="22"/>
          <w:szCs w:val="22"/>
        </w:rPr>
        <w:t xml:space="preserve"> N12E</w:t>
      </w:r>
      <w:r w:rsidRPr="00A346DD">
        <w:rPr>
          <w:sz w:val="22"/>
          <w:szCs w:val="22"/>
        </w:rPr>
        <w:t xml:space="preserve"> denne a zabezpečila by príjem 175 g aminokyselín, 169 g glukózy a 81 g </w:t>
      </w:r>
      <w:proofErr w:type="spellStart"/>
      <w:r w:rsidRPr="00A346DD">
        <w:rPr>
          <w:sz w:val="22"/>
          <w:szCs w:val="22"/>
        </w:rPr>
        <w:t>lipidov</w:t>
      </w:r>
      <w:proofErr w:type="spellEnd"/>
      <w:r w:rsidRPr="00A346DD">
        <w:rPr>
          <w:sz w:val="22"/>
          <w:szCs w:val="22"/>
        </w:rPr>
        <w:t xml:space="preserve"> (t.j. 1 486 nebielkovinových kcal a 2 187 ce</w:t>
      </w:r>
      <w:r w:rsidRPr="002F3A72">
        <w:rPr>
          <w:sz w:val="22"/>
          <w:szCs w:val="22"/>
        </w:rPr>
        <w:t>lkových kcal).</w:t>
      </w:r>
    </w:p>
    <w:p w14:paraId="1AD6F5F7" w14:textId="77777777" w:rsidR="00D14EF0" w:rsidRPr="00CF4824" w:rsidRDefault="00D14EF0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2D81A214" w14:textId="649DF543" w:rsidR="00993247" w:rsidRPr="00CF4824" w:rsidRDefault="00993247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>Za normálnych okolností sa musí rýchlosť podávania infúzie postupne zvyšovať počas prvej hodiny a potom sa musí prispôsobiť tak, aby zohľadňovala veľkosť podávanej dávky, denný príjem tekutín a dĺžku trvania infúzie.</w:t>
      </w:r>
    </w:p>
    <w:p w14:paraId="70B01B7F" w14:textId="77777777" w:rsidR="00D14EF0" w:rsidRPr="00CF4824" w:rsidRDefault="00D14EF0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252A66C8" w14:textId="44FB4459" w:rsidR="00993247" w:rsidRPr="00B575F7" w:rsidRDefault="00993247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lastRenderedPageBreak/>
        <w:t xml:space="preserve">Maximálna </w:t>
      </w:r>
      <w:r w:rsidR="00B575F7">
        <w:rPr>
          <w:sz w:val="22"/>
          <w:szCs w:val="22"/>
        </w:rPr>
        <w:t xml:space="preserve">rýchlosť podávania infúzie </w:t>
      </w:r>
      <w:r w:rsidRPr="00B575F7">
        <w:rPr>
          <w:sz w:val="22"/>
          <w:szCs w:val="22"/>
        </w:rPr>
        <w:t>OLIMEL</w:t>
      </w:r>
      <w:r w:rsidR="00EC4356">
        <w:rPr>
          <w:sz w:val="22"/>
          <w:szCs w:val="22"/>
        </w:rPr>
        <w:t>U</w:t>
      </w:r>
      <w:r w:rsidRPr="00B575F7">
        <w:rPr>
          <w:sz w:val="22"/>
          <w:szCs w:val="22"/>
        </w:rPr>
        <w:t xml:space="preserve"> N12E je 1.3 ml/kg/h, čo zodpovedá 0,10 g aminokyselín/kg/h, 0,10 g glukózy/kg/h a 0,05 g </w:t>
      </w:r>
      <w:proofErr w:type="spellStart"/>
      <w:r w:rsidRPr="00B575F7">
        <w:rPr>
          <w:sz w:val="22"/>
          <w:szCs w:val="22"/>
        </w:rPr>
        <w:t>lipidov</w:t>
      </w:r>
      <w:proofErr w:type="spellEnd"/>
      <w:r w:rsidRPr="00B575F7">
        <w:rPr>
          <w:sz w:val="22"/>
          <w:szCs w:val="22"/>
        </w:rPr>
        <w:t>/kg/h.</w:t>
      </w:r>
    </w:p>
    <w:p w14:paraId="7D7D0241" w14:textId="77777777" w:rsidR="00104D31" w:rsidRPr="002F3A72" w:rsidRDefault="00104D31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56495532" w14:textId="7679ECA3" w:rsidR="00993247" w:rsidRPr="00424E03" w:rsidRDefault="00993247" w:rsidP="00D91F70">
      <w:pPr>
        <w:pStyle w:val="Heading3Unnumbered"/>
        <w:spacing w:before="0" w:after="0"/>
        <w:rPr>
          <w:b w:val="0"/>
          <w:sz w:val="22"/>
          <w:szCs w:val="22"/>
        </w:rPr>
      </w:pPr>
      <w:bookmarkStart w:id="12" w:name="_ISIW_UH_9"/>
      <w:r w:rsidRPr="00424E03">
        <w:rPr>
          <w:b w:val="0"/>
          <w:sz w:val="22"/>
          <w:szCs w:val="22"/>
        </w:rPr>
        <w:t xml:space="preserve">Deti staršie ako </w:t>
      </w:r>
      <w:r w:rsidR="000F1903" w:rsidRPr="00424E03">
        <w:rPr>
          <w:b w:val="0"/>
          <w:sz w:val="22"/>
          <w:szCs w:val="22"/>
        </w:rPr>
        <w:t>2</w:t>
      </w:r>
      <w:r w:rsidRPr="00424E03">
        <w:rPr>
          <w:b w:val="0"/>
          <w:sz w:val="22"/>
          <w:szCs w:val="22"/>
        </w:rPr>
        <w:t xml:space="preserve"> roky</w:t>
      </w:r>
      <w:r w:rsidR="00E3790A" w:rsidRPr="00424E03">
        <w:rPr>
          <w:b w:val="0"/>
          <w:sz w:val="22"/>
          <w:szCs w:val="22"/>
        </w:rPr>
        <w:t xml:space="preserve"> a dospievajúci</w:t>
      </w:r>
    </w:p>
    <w:bookmarkEnd w:id="12"/>
    <w:p w14:paraId="59775DE8" w14:textId="77777777" w:rsidR="00D14EF0" w:rsidRPr="002F3A72" w:rsidRDefault="00D14EF0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5656540D" w14:textId="2F1BD2EB" w:rsidR="00993247" w:rsidRPr="002F3A72" w:rsidRDefault="00993247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2F3A72">
        <w:rPr>
          <w:sz w:val="22"/>
          <w:szCs w:val="22"/>
        </w:rPr>
        <w:t>V pediatrickej populácii neboli vykonané žiadne štúdie.</w:t>
      </w:r>
    </w:p>
    <w:p w14:paraId="5012EC56" w14:textId="77777777" w:rsidR="00D14EF0" w:rsidRPr="00CF4824" w:rsidRDefault="00D14EF0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55A75E30" w14:textId="3E780F0B" w:rsidR="00993247" w:rsidRPr="001D1C19" w:rsidRDefault="00993247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 xml:space="preserve">Dávkovanie závisí od výdaja energie, klinického stavu, telesnej hmotnosti pacienta a schopnosti metabolizovať zložky </w:t>
      </w:r>
      <w:r w:rsidRPr="001D1C19">
        <w:rPr>
          <w:sz w:val="22"/>
          <w:szCs w:val="22"/>
        </w:rPr>
        <w:t>OLIMEL</w:t>
      </w:r>
      <w:r w:rsidR="00EC4356">
        <w:rPr>
          <w:sz w:val="22"/>
          <w:szCs w:val="22"/>
        </w:rPr>
        <w:t>U</w:t>
      </w:r>
      <w:r w:rsidR="001D1C19">
        <w:rPr>
          <w:sz w:val="22"/>
          <w:szCs w:val="22"/>
        </w:rPr>
        <w:t xml:space="preserve"> N12E</w:t>
      </w:r>
      <w:r w:rsidRPr="001D1C19">
        <w:rPr>
          <w:sz w:val="22"/>
          <w:szCs w:val="22"/>
        </w:rPr>
        <w:t>, ako aj od ďalších zdrojov energie alebo bielkovín podávaných perorálne/</w:t>
      </w:r>
      <w:proofErr w:type="spellStart"/>
      <w:r w:rsidRPr="001D1C19">
        <w:rPr>
          <w:sz w:val="22"/>
          <w:szCs w:val="22"/>
        </w:rPr>
        <w:t>enterálne</w:t>
      </w:r>
      <w:proofErr w:type="spellEnd"/>
      <w:r w:rsidRPr="001D1C19">
        <w:rPr>
          <w:sz w:val="22"/>
          <w:szCs w:val="22"/>
        </w:rPr>
        <w:t>; podľa toho sa má zvoliť primeraná veľkosť vaku.</w:t>
      </w:r>
    </w:p>
    <w:p w14:paraId="30D6C912" w14:textId="77777777" w:rsidR="00D14EF0" w:rsidRPr="002F3A72" w:rsidRDefault="00D14EF0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5F17F3B8" w14:textId="1EE5ED25" w:rsidR="00993247" w:rsidRPr="00CF4824" w:rsidRDefault="00993247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>Denná potreba tekutín, dusíka a energie sa okrem toho postupom veku neustále znižuje. Uvažuje sa o</w:t>
      </w:r>
      <w:r w:rsidR="0033185E">
        <w:rPr>
          <w:sz w:val="22"/>
          <w:szCs w:val="22"/>
        </w:rPr>
        <w:t> </w:t>
      </w:r>
      <w:r w:rsidRPr="00CF4824">
        <w:rPr>
          <w:sz w:val="22"/>
          <w:szCs w:val="22"/>
        </w:rPr>
        <w:t>dvoch vekových skupinách, od 2 do 11 rokov a od 12 do 18 rokov.</w:t>
      </w:r>
    </w:p>
    <w:p w14:paraId="1C8FE195" w14:textId="77777777" w:rsidR="00D14EF0" w:rsidRPr="00CF4824" w:rsidRDefault="00D14EF0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54832361" w14:textId="4B65EEA6" w:rsidR="000435E4" w:rsidRDefault="000F1903" w:rsidP="00D91F70">
      <w:pPr>
        <w:pStyle w:val="Paragraph"/>
        <w:spacing w:before="0" w:after="0" w:line="240" w:lineRule="auto"/>
        <w:rPr>
          <w:sz w:val="22"/>
          <w:szCs w:val="22"/>
        </w:rPr>
      </w:pPr>
      <w:r>
        <w:rPr>
          <w:sz w:val="22"/>
          <w:szCs w:val="22"/>
        </w:rPr>
        <w:t>Koncentrácie aminokyselín a horčíka sú v</w:t>
      </w:r>
      <w:r w:rsidR="00B1371B">
        <w:rPr>
          <w:sz w:val="22"/>
          <w:szCs w:val="22"/>
        </w:rPr>
        <w:t>o</w:t>
      </w:r>
      <w:r w:rsidR="00993247" w:rsidRPr="00B1371B">
        <w:rPr>
          <w:sz w:val="22"/>
          <w:szCs w:val="22"/>
        </w:rPr>
        <w:t xml:space="preserve"> </w:t>
      </w:r>
      <w:r w:rsidR="00B1371B">
        <w:rPr>
          <w:sz w:val="22"/>
          <w:szCs w:val="22"/>
        </w:rPr>
        <w:t>vekovej skupine</w:t>
      </w:r>
      <w:r w:rsidR="00993247" w:rsidRPr="001D1C19">
        <w:rPr>
          <w:sz w:val="22"/>
          <w:szCs w:val="22"/>
        </w:rPr>
        <w:t xml:space="preserve"> od 2 do 11 rokov limitujúcimi faktormi pre dennú dávku</w:t>
      </w:r>
      <w:r w:rsidR="00B1371B">
        <w:rPr>
          <w:sz w:val="22"/>
          <w:szCs w:val="22"/>
        </w:rPr>
        <w:t xml:space="preserve"> </w:t>
      </w:r>
      <w:r w:rsidR="00993247" w:rsidRPr="001D1C19">
        <w:rPr>
          <w:sz w:val="22"/>
          <w:szCs w:val="22"/>
        </w:rPr>
        <w:t>OLIMEL</w:t>
      </w:r>
      <w:r w:rsidR="00EC4356">
        <w:rPr>
          <w:sz w:val="22"/>
          <w:szCs w:val="22"/>
        </w:rPr>
        <w:t>U</w:t>
      </w:r>
      <w:r w:rsidR="00993247" w:rsidRPr="001D1C19">
        <w:rPr>
          <w:sz w:val="22"/>
          <w:szCs w:val="22"/>
        </w:rPr>
        <w:t xml:space="preserve"> N12E. </w:t>
      </w:r>
      <w:r>
        <w:rPr>
          <w:sz w:val="22"/>
          <w:szCs w:val="22"/>
        </w:rPr>
        <w:t>Koncentrácia aminokyselín je v</w:t>
      </w:r>
      <w:r w:rsidR="00993247" w:rsidRPr="001D1C19">
        <w:rPr>
          <w:sz w:val="22"/>
          <w:szCs w:val="22"/>
        </w:rPr>
        <w:t xml:space="preserve"> tejto vekovej skupine limitujúcim faktorom pre rýchlosť</w:t>
      </w:r>
      <w:r w:rsidR="00307EAA">
        <w:rPr>
          <w:sz w:val="22"/>
          <w:szCs w:val="22"/>
        </w:rPr>
        <w:t xml:space="preserve"> podávania infúzie (za hodinu)</w:t>
      </w:r>
      <w:r w:rsidR="00993247" w:rsidRPr="001D1C19">
        <w:rPr>
          <w:sz w:val="22"/>
          <w:szCs w:val="22"/>
        </w:rPr>
        <w:t xml:space="preserve">. </w:t>
      </w:r>
    </w:p>
    <w:p w14:paraId="2711497E" w14:textId="2D87B91E" w:rsidR="00993247" w:rsidRPr="00B1371B" w:rsidRDefault="00307EAA" w:rsidP="00D91F70">
      <w:pPr>
        <w:pStyle w:val="Paragraph"/>
        <w:spacing w:before="0" w:after="0" w:line="240" w:lineRule="auto"/>
        <w:rPr>
          <w:sz w:val="22"/>
          <w:szCs w:val="22"/>
        </w:rPr>
      </w:pPr>
      <w:r>
        <w:rPr>
          <w:sz w:val="22"/>
          <w:szCs w:val="22"/>
        </w:rPr>
        <w:t>Koncentrácie aminokyselín a horčíka sú v</w:t>
      </w:r>
      <w:r w:rsidR="00B1371B">
        <w:rPr>
          <w:sz w:val="22"/>
          <w:szCs w:val="22"/>
        </w:rPr>
        <w:t>o vekovej skupine</w:t>
      </w:r>
      <w:r w:rsidR="00993247" w:rsidRPr="001D1C19">
        <w:rPr>
          <w:sz w:val="22"/>
          <w:szCs w:val="22"/>
        </w:rPr>
        <w:t xml:space="preserve"> od 12 do 18 rokov limitujúcimi faktormi pre dennú dávku </w:t>
      </w:r>
      <w:r>
        <w:rPr>
          <w:sz w:val="22"/>
          <w:szCs w:val="22"/>
        </w:rPr>
        <w:t>tohto lieku</w:t>
      </w:r>
      <w:r w:rsidR="00993247" w:rsidRPr="001D1C19">
        <w:rPr>
          <w:sz w:val="22"/>
          <w:szCs w:val="22"/>
        </w:rPr>
        <w:t xml:space="preserve">. </w:t>
      </w:r>
      <w:r>
        <w:rPr>
          <w:sz w:val="22"/>
          <w:szCs w:val="22"/>
        </w:rPr>
        <w:t>Koncentrácia aminokyselín je v</w:t>
      </w:r>
      <w:r w:rsidR="00993247" w:rsidRPr="001D1C19">
        <w:rPr>
          <w:sz w:val="22"/>
          <w:szCs w:val="22"/>
        </w:rPr>
        <w:t xml:space="preserve"> tejto vekovej skupine limitujúcim faktorom pre rýchlosť</w:t>
      </w:r>
      <w:r>
        <w:rPr>
          <w:sz w:val="22"/>
          <w:szCs w:val="22"/>
        </w:rPr>
        <w:t xml:space="preserve"> podávania infúzie (za hodinu)</w:t>
      </w:r>
      <w:r w:rsidR="00993247" w:rsidRPr="001D1C19">
        <w:rPr>
          <w:sz w:val="22"/>
          <w:szCs w:val="22"/>
        </w:rPr>
        <w:t>. Výsledkom sú nasledujúce dávky:</w:t>
      </w:r>
    </w:p>
    <w:p w14:paraId="3320F043" w14:textId="77777777" w:rsidR="00D14EF0" w:rsidRPr="002F3A72" w:rsidRDefault="00D14EF0" w:rsidP="00D91F70">
      <w:pPr>
        <w:pStyle w:val="Paragraph"/>
        <w:spacing w:before="0" w:after="0" w:line="240" w:lineRule="auto"/>
        <w:rPr>
          <w:sz w:val="22"/>
          <w:szCs w:val="22"/>
        </w:rPr>
      </w:pPr>
    </w:p>
    <w:tbl>
      <w:tblPr>
        <w:tblW w:w="524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9"/>
        <w:gridCol w:w="1701"/>
        <w:gridCol w:w="1701"/>
        <w:gridCol w:w="1701"/>
        <w:gridCol w:w="1683"/>
      </w:tblGrid>
      <w:tr w:rsidR="00993247" w:rsidRPr="00CF4824" w14:paraId="4658EF1C" w14:textId="77777777" w:rsidTr="00424E03">
        <w:trPr>
          <w:trHeight w:val="242"/>
        </w:trPr>
        <w:tc>
          <w:tcPr>
            <w:tcW w:w="2949" w:type="dxa"/>
            <w:vMerge w:val="restart"/>
            <w:vAlign w:val="bottom"/>
          </w:tcPr>
          <w:p w14:paraId="0D3E8E40" w14:textId="77777777" w:rsidR="00993247" w:rsidRPr="00424E03" w:rsidRDefault="00993247" w:rsidP="00424E03">
            <w:pPr>
              <w:pStyle w:val="TableCenter"/>
              <w:spacing w:before="0" w:after="0"/>
              <w:jc w:val="left"/>
              <w:rPr>
                <w:b/>
                <w:sz w:val="22"/>
                <w:szCs w:val="22"/>
              </w:rPr>
            </w:pPr>
            <w:r w:rsidRPr="00424E03">
              <w:rPr>
                <w:b/>
                <w:sz w:val="22"/>
                <w:szCs w:val="22"/>
              </w:rPr>
              <w:t>Zložka</w:t>
            </w:r>
          </w:p>
        </w:tc>
        <w:tc>
          <w:tcPr>
            <w:tcW w:w="3402" w:type="dxa"/>
            <w:gridSpan w:val="2"/>
            <w:vAlign w:val="center"/>
          </w:tcPr>
          <w:p w14:paraId="33E3F269" w14:textId="77777777" w:rsidR="00993247" w:rsidRPr="00424E03" w:rsidRDefault="00993247" w:rsidP="00D91F70">
            <w:pPr>
              <w:pStyle w:val="TableCenter"/>
              <w:spacing w:before="0" w:after="0"/>
              <w:rPr>
                <w:b/>
                <w:sz w:val="22"/>
                <w:szCs w:val="22"/>
              </w:rPr>
            </w:pPr>
            <w:r w:rsidRPr="00424E03">
              <w:rPr>
                <w:b/>
                <w:sz w:val="22"/>
                <w:szCs w:val="22"/>
              </w:rPr>
              <w:t>Od 2 do 11 rokov</w:t>
            </w:r>
          </w:p>
        </w:tc>
        <w:tc>
          <w:tcPr>
            <w:tcW w:w="3384" w:type="dxa"/>
            <w:gridSpan w:val="2"/>
            <w:vAlign w:val="center"/>
          </w:tcPr>
          <w:p w14:paraId="4AD772B9" w14:textId="77777777" w:rsidR="00993247" w:rsidRPr="00424E03" w:rsidRDefault="00993247" w:rsidP="00D91F70">
            <w:pPr>
              <w:pStyle w:val="TableCenter"/>
              <w:spacing w:before="0" w:after="0"/>
              <w:rPr>
                <w:b/>
                <w:sz w:val="22"/>
                <w:szCs w:val="22"/>
              </w:rPr>
            </w:pPr>
            <w:r w:rsidRPr="00424E03">
              <w:rPr>
                <w:b/>
                <w:sz w:val="22"/>
                <w:szCs w:val="22"/>
              </w:rPr>
              <w:t>Od 12 do 18 rokov</w:t>
            </w:r>
          </w:p>
        </w:tc>
      </w:tr>
      <w:tr w:rsidR="00307EAA" w:rsidRPr="00CF4824" w14:paraId="7248C18E" w14:textId="77777777" w:rsidTr="00424E03">
        <w:trPr>
          <w:trHeight w:val="260"/>
        </w:trPr>
        <w:tc>
          <w:tcPr>
            <w:tcW w:w="2949" w:type="dxa"/>
            <w:vMerge/>
          </w:tcPr>
          <w:p w14:paraId="5CD9DF16" w14:textId="77777777" w:rsidR="00993247" w:rsidRPr="00CF4824" w:rsidRDefault="00993247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D5027A2" w14:textId="6BAF9D55" w:rsidR="00993247" w:rsidRPr="00CF4824" w:rsidRDefault="00993247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proofErr w:type="spellStart"/>
            <w:r w:rsidRPr="00CF4824">
              <w:rPr>
                <w:sz w:val="22"/>
                <w:szCs w:val="22"/>
              </w:rPr>
              <w:t>Odporúčanie</w:t>
            </w:r>
            <w:r w:rsidRPr="00CB0B7B">
              <w:rPr>
                <w:sz w:val="22"/>
                <w:szCs w:val="22"/>
                <w:vertAlign w:val="superscript"/>
              </w:rPr>
              <w:fldChar w:fldCharType="begin"/>
            </w:r>
            <w:r w:rsidR="003C2FD8" w:rsidRPr="00CF4824">
              <w:rPr>
                <w:sz w:val="22"/>
                <w:szCs w:val="22"/>
                <w:vertAlign w:val="superscript"/>
              </w:rPr>
              <w:instrText xml:space="preserve"> REF _Ref496531588 \r \h  \* MERGEFORMAT </w:instrText>
            </w:r>
            <w:r w:rsidRPr="00CB0B7B">
              <w:rPr>
                <w:sz w:val="22"/>
                <w:szCs w:val="22"/>
                <w:vertAlign w:val="superscript"/>
              </w:rPr>
            </w:r>
            <w:r w:rsidRPr="00CB0B7B">
              <w:rPr>
                <w:sz w:val="22"/>
                <w:szCs w:val="22"/>
                <w:vertAlign w:val="superscript"/>
              </w:rPr>
              <w:fldChar w:fldCharType="separate"/>
            </w:r>
            <w:r w:rsidR="002F3A72">
              <w:rPr>
                <w:sz w:val="22"/>
                <w:szCs w:val="22"/>
                <w:vertAlign w:val="superscript"/>
              </w:rPr>
              <w:t>a</w:t>
            </w:r>
            <w:proofErr w:type="spellEnd"/>
            <w:r w:rsidRPr="00CB0B7B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770D471E" w14:textId="4264571F" w:rsidR="00993247" w:rsidRPr="00B02A4B" w:rsidRDefault="00993247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OLIMEL</w:t>
            </w:r>
            <w:r w:rsidR="00B02A4B">
              <w:rPr>
                <w:sz w:val="22"/>
                <w:szCs w:val="22"/>
              </w:rPr>
              <w:t xml:space="preserve"> N12E</w:t>
            </w:r>
            <w:r w:rsidRPr="00B02A4B">
              <w:rPr>
                <w:sz w:val="22"/>
                <w:szCs w:val="22"/>
              </w:rPr>
              <w:t xml:space="preserve"> Max. objem</w:t>
            </w:r>
          </w:p>
        </w:tc>
        <w:tc>
          <w:tcPr>
            <w:tcW w:w="1701" w:type="dxa"/>
            <w:vAlign w:val="center"/>
          </w:tcPr>
          <w:p w14:paraId="536E3EDC" w14:textId="4B33AB68" w:rsidR="00993247" w:rsidRPr="002F3A72" w:rsidRDefault="00993247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proofErr w:type="spellStart"/>
            <w:r w:rsidRPr="002F3A72">
              <w:rPr>
                <w:sz w:val="22"/>
                <w:szCs w:val="22"/>
              </w:rPr>
              <w:t>Odporúčanie</w:t>
            </w:r>
            <w:r w:rsidRPr="002F3A72">
              <w:rPr>
                <w:sz w:val="22"/>
                <w:szCs w:val="22"/>
                <w:vertAlign w:val="superscript"/>
              </w:rPr>
              <w:fldChar w:fldCharType="begin"/>
            </w:r>
            <w:r w:rsidR="003C2FD8" w:rsidRPr="00CF4824">
              <w:rPr>
                <w:sz w:val="22"/>
                <w:szCs w:val="22"/>
                <w:vertAlign w:val="superscript"/>
              </w:rPr>
              <w:instrText xml:space="preserve"> REF _Ref496531588 \r \h  \* MERGEFORMAT </w:instrText>
            </w:r>
            <w:r w:rsidRPr="002F3A72">
              <w:rPr>
                <w:sz w:val="22"/>
                <w:szCs w:val="22"/>
                <w:vertAlign w:val="superscript"/>
              </w:rPr>
            </w:r>
            <w:r w:rsidRPr="002F3A72">
              <w:rPr>
                <w:sz w:val="22"/>
                <w:szCs w:val="22"/>
                <w:vertAlign w:val="superscript"/>
              </w:rPr>
              <w:fldChar w:fldCharType="separate"/>
            </w:r>
            <w:r w:rsidR="002F3A72">
              <w:rPr>
                <w:sz w:val="22"/>
                <w:szCs w:val="22"/>
                <w:vertAlign w:val="superscript"/>
              </w:rPr>
              <w:t>a</w:t>
            </w:r>
            <w:proofErr w:type="spellEnd"/>
            <w:r w:rsidRPr="002F3A72">
              <w:rPr>
                <w:sz w:val="22"/>
                <w:szCs w:val="22"/>
              </w:rPr>
              <w:fldChar w:fldCharType="end"/>
            </w:r>
          </w:p>
        </w:tc>
        <w:tc>
          <w:tcPr>
            <w:tcW w:w="1683" w:type="dxa"/>
            <w:vAlign w:val="center"/>
          </w:tcPr>
          <w:p w14:paraId="476E6C97" w14:textId="1E6F28DD" w:rsidR="00993247" w:rsidRPr="00B02A4B" w:rsidRDefault="00993247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OLIMEL</w:t>
            </w:r>
            <w:r w:rsidR="00B02A4B">
              <w:rPr>
                <w:sz w:val="22"/>
                <w:szCs w:val="22"/>
              </w:rPr>
              <w:t xml:space="preserve"> N12E</w:t>
            </w:r>
            <w:r w:rsidRPr="00B02A4B">
              <w:rPr>
                <w:sz w:val="22"/>
                <w:szCs w:val="22"/>
              </w:rPr>
              <w:t xml:space="preserve"> Max. objem</w:t>
            </w:r>
          </w:p>
        </w:tc>
      </w:tr>
      <w:tr w:rsidR="00993247" w:rsidRPr="00CF4824" w14:paraId="7E7D62D9" w14:textId="77777777" w:rsidTr="00424E03">
        <w:tc>
          <w:tcPr>
            <w:tcW w:w="9735" w:type="dxa"/>
            <w:gridSpan w:val="5"/>
            <w:vAlign w:val="center"/>
          </w:tcPr>
          <w:p w14:paraId="6C366995" w14:textId="77777777" w:rsidR="00993247" w:rsidRPr="00424E03" w:rsidRDefault="00993247" w:rsidP="00424E03">
            <w:pPr>
              <w:pStyle w:val="TableCenter"/>
              <w:spacing w:before="0" w:after="0"/>
              <w:jc w:val="left"/>
              <w:rPr>
                <w:b/>
                <w:sz w:val="22"/>
                <w:szCs w:val="22"/>
              </w:rPr>
            </w:pPr>
            <w:r w:rsidRPr="00424E03">
              <w:rPr>
                <w:b/>
                <w:sz w:val="22"/>
                <w:szCs w:val="22"/>
              </w:rPr>
              <w:t>Maximálna denná dávka</w:t>
            </w:r>
          </w:p>
        </w:tc>
      </w:tr>
      <w:tr w:rsidR="00307EAA" w:rsidRPr="00CF4824" w14:paraId="5087DD7C" w14:textId="77777777" w:rsidTr="00424E03">
        <w:tc>
          <w:tcPr>
            <w:tcW w:w="2949" w:type="dxa"/>
          </w:tcPr>
          <w:p w14:paraId="2B462A6D" w14:textId="4AD575E9" w:rsidR="00993247" w:rsidRPr="00CF4824" w:rsidRDefault="006C1229" w:rsidP="00424E03">
            <w:pPr>
              <w:pStyle w:val="TableCenter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993247" w:rsidRPr="00CF4824">
              <w:rPr>
                <w:sz w:val="22"/>
                <w:szCs w:val="22"/>
              </w:rPr>
              <w:t>ekutiny (ml/kg/deň)</w:t>
            </w:r>
          </w:p>
        </w:tc>
        <w:tc>
          <w:tcPr>
            <w:tcW w:w="1701" w:type="dxa"/>
            <w:vAlign w:val="center"/>
          </w:tcPr>
          <w:p w14:paraId="3DD65A5C" w14:textId="77777777" w:rsidR="00993247" w:rsidRPr="00CF4824" w:rsidRDefault="00993247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60 – 120</w:t>
            </w:r>
          </w:p>
        </w:tc>
        <w:tc>
          <w:tcPr>
            <w:tcW w:w="1701" w:type="dxa"/>
            <w:vAlign w:val="center"/>
          </w:tcPr>
          <w:p w14:paraId="63554F31" w14:textId="1885F0C5" w:rsidR="00993247" w:rsidRPr="002F3A72" w:rsidRDefault="00E478E6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2F3A72">
              <w:rPr>
                <w:sz w:val="22"/>
                <w:szCs w:val="22"/>
              </w:rPr>
              <w:t>33</w:t>
            </w:r>
          </w:p>
        </w:tc>
        <w:tc>
          <w:tcPr>
            <w:tcW w:w="1701" w:type="dxa"/>
            <w:vAlign w:val="center"/>
          </w:tcPr>
          <w:p w14:paraId="5ACBE77C" w14:textId="77777777" w:rsidR="00993247" w:rsidRPr="00CF4824" w:rsidRDefault="00993247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50 – 80</w:t>
            </w:r>
          </w:p>
        </w:tc>
        <w:tc>
          <w:tcPr>
            <w:tcW w:w="1683" w:type="dxa"/>
            <w:vAlign w:val="center"/>
          </w:tcPr>
          <w:p w14:paraId="5B7C7456" w14:textId="65727B06" w:rsidR="00993247" w:rsidRPr="00CF4824" w:rsidRDefault="00E478E6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26</w:t>
            </w:r>
          </w:p>
        </w:tc>
      </w:tr>
      <w:tr w:rsidR="00307EAA" w:rsidRPr="00CF4824" w14:paraId="0800EBD5" w14:textId="77777777" w:rsidTr="00424E03">
        <w:tc>
          <w:tcPr>
            <w:tcW w:w="2949" w:type="dxa"/>
          </w:tcPr>
          <w:p w14:paraId="0748BA83" w14:textId="3F229D67" w:rsidR="00993247" w:rsidRPr="00CF4824" w:rsidRDefault="00D14EF0" w:rsidP="00424E03">
            <w:pPr>
              <w:pStyle w:val="TableCenter"/>
              <w:spacing w:before="0" w:after="0"/>
              <w:jc w:val="left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a</w:t>
            </w:r>
            <w:r w:rsidR="00993247" w:rsidRPr="00CF4824">
              <w:rPr>
                <w:sz w:val="22"/>
                <w:szCs w:val="22"/>
              </w:rPr>
              <w:t>minokyseliny (g/kg/deň)</w:t>
            </w:r>
          </w:p>
        </w:tc>
        <w:tc>
          <w:tcPr>
            <w:tcW w:w="1701" w:type="dxa"/>
            <w:vAlign w:val="center"/>
          </w:tcPr>
          <w:p w14:paraId="0C27EC9D" w14:textId="73E67DA0" w:rsidR="00993247" w:rsidRPr="00CF4824" w:rsidRDefault="00993247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1 – 2 (až do 2,5)</w:t>
            </w:r>
          </w:p>
        </w:tc>
        <w:tc>
          <w:tcPr>
            <w:tcW w:w="1701" w:type="dxa"/>
            <w:vAlign w:val="center"/>
          </w:tcPr>
          <w:p w14:paraId="72ACFF46" w14:textId="6C6E6B44" w:rsidR="00993247" w:rsidRPr="002F3A72" w:rsidRDefault="00E478E6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2F3A72">
              <w:rPr>
                <w:sz w:val="22"/>
                <w:szCs w:val="22"/>
              </w:rPr>
              <w:t>2,5</w:t>
            </w:r>
          </w:p>
        </w:tc>
        <w:tc>
          <w:tcPr>
            <w:tcW w:w="1701" w:type="dxa"/>
            <w:vAlign w:val="center"/>
          </w:tcPr>
          <w:p w14:paraId="71CA2221" w14:textId="77777777" w:rsidR="00993247" w:rsidRPr="00CF4824" w:rsidRDefault="00993247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1 – 2</w:t>
            </w:r>
          </w:p>
        </w:tc>
        <w:tc>
          <w:tcPr>
            <w:tcW w:w="1683" w:type="dxa"/>
            <w:vAlign w:val="center"/>
          </w:tcPr>
          <w:p w14:paraId="728C3602" w14:textId="6316118D" w:rsidR="00993247" w:rsidRPr="00CF4824" w:rsidRDefault="00E478E6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2</w:t>
            </w:r>
          </w:p>
        </w:tc>
      </w:tr>
      <w:tr w:rsidR="00307EAA" w:rsidRPr="00CF4824" w14:paraId="75D09E52" w14:textId="77777777" w:rsidTr="00424E03">
        <w:tc>
          <w:tcPr>
            <w:tcW w:w="2949" w:type="dxa"/>
          </w:tcPr>
          <w:p w14:paraId="2663FCA8" w14:textId="4A9563BF" w:rsidR="00993247" w:rsidRPr="00CF4824" w:rsidRDefault="00D14EF0" w:rsidP="00424E03">
            <w:pPr>
              <w:pStyle w:val="TableCenter"/>
              <w:spacing w:before="0" w:after="0"/>
              <w:jc w:val="left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g</w:t>
            </w:r>
            <w:r w:rsidR="00993247" w:rsidRPr="00CF4824">
              <w:rPr>
                <w:sz w:val="22"/>
                <w:szCs w:val="22"/>
              </w:rPr>
              <w:t>lukóza (g/kg/deň)</w:t>
            </w:r>
          </w:p>
        </w:tc>
        <w:tc>
          <w:tcPr>
            <w:tcW w:w="1701" w:type="dxa"/>
            <w:vAlign w:val="center"/>
          </w:tcPr>
          <w:p w14:paraId="64E08E4C" w14:textId="4C0D4B7F" w:rsidR="00993247" w:rsidRPr="00E9418F" w:rsidRDefault="00BF5A54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1,4 – 8,6</w:t>
            </w:r>
          </w:p>
        </w:tc>
        <w:tc>
          <w:tcPr>
            <w:tcW w:w="1701" w:type="dxa"/>
            <w:vAlign w:val="center"/>
          </w:tcPr>
          <w:p w14:paraId="15BFEE93" w14:textId="3516197C" w:rsidR="00993247" w:rsidRPr="002F3A72" w:rsidRDefault="00E478E6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2F3A72">
              <w:rPr>
                <w:sz w:val="22"/>
                <w:szCs w:val="22"/>
              </w:rPr>
              <w:t>2,4</w:t>
            </w:r>
          </w:p>
        </w:tc>
        <w:tc>
          <w:tcPr>
            <w:tcW w:w="1701" w:type="dxa"/>
            <w:vAlign w:val="center"/>
          </w:tcPr>
          <w:p w14:paraId="7F3045A1" w14:textId="459DDC35" w:rsidR="00993247" w:rsidRPr="00CF4824" w:rsidRDefault="00BF5A54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0,7 – 5,8</w:t>
            </w:r>
          </w:p>
        </w:tc>
        <w:tc>
          <w:tcPr>
            <w:tcW w:w="1683" w:type="dxa"/>
            <w:vAlign w:val="center"/>
          </w:tcPr>
          <w:p w14:paraId="79EC3595" w14:textId="5415AFE6" w:rsidR="00993247" w:rsidRPr="00CF4824" w:rsidRDefault="00E478E6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1,9</w:t>
            </w:r>
          </w:p>
        </w:tc>
      </w:tr>
      <w:tr w:rsidR="00307EAA" w:rsidRPr="00CF4824" w14:paraId="7870DA5A" w14:textId="77777777" w:rsidTr="00424E03">
        <w:tc>
          <w:tcPr>
            <w:tcW w:w="2949" w:type="dxa"/>
          </w:tcPr>
          <w:p w14:paraId="5F56A01B" w14:textId="52B35AAD" w:rsidR="00993247" w:rsidRPr="00CF4824" w:rsidRDefault="00D14EF0" w:rsidP="00424E03">
            <w:pPr>
              <w:pStyle w:val="TableCenter"/>
              <w:spacing w:before="0" w:after="0"/>
              <w:jc w:val="left"/>
              <w:rPr>
                <w:sz w:val="22"/>
                <w:szCs w:val="22"/>
              </w:rPr>
            </w:pPr>
            <w:proofErr w:type="spellStart"/>
            <w:r w:rsidRPr="00CF4824">
              <w:rPr>
                <w:sz w:val="22"/>
                <w:szCs w:val="22"/>
              </w:rPr>
              <w:t>l</w:t>
            </w:r>
            <w:r w:rsidR="00993247" w:rsidRPr="00CF4824">
              <w:rPr>
                <w:sz w:val="22"/>
                <w:szCs w:val="22"/>
              </w:rPr>
              <w:t>ipidy</w:t>
            </w:r>
            <w:proofErr w:type="spellEnd"/>
            <w:r w:rsidR="00993247" w:rsidRPr="00CF4824">
              <w:rPr>
                <w:sz w:val="22"/>
                <w:szCs w:val="22"/>
              </w:rPr>
              <w:t xml:space="preserve"> (g/kg/deň)</w:t>
            </w:r>
          </w:p>
        </w:tc>
        <w:tc>
          <w:tcPr>
            <w:tcW w:w="1701" w:type="dxa"/>
            <w:vAlign w:val="center"/>
          </w:tcPr>
          <w:p w14:paraId="19491071" w14:textId="77777777" w:rsidR="00993247" w:rsidRPr="00CF4824" w:rsidRDefault="00993247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0,5 – 3</w:t>
            </w:r>
          </w:p>
        </w:tc>
        <w:tc>
          <w:tcPr>
            <w:tcW w:w="1701" w:type="dxa"/>
            <w:vAlign w:val="center"/>
          </w:tcPr>
          <w:p w14:paraId="2308705B" w14:textId="5F09F1CE" w:rsidR="00993247" w:rsidRPr="002F3A72" w:rsidRDefault="00E478E6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2F3A72">
              <w:rPr>
                <w:sz w:val="22"/>
                <w:szCs w:val="22"/>
              </w:rPr>
              <w:t>1,2</w:t>
            </w:r>
          </w:p>
        </w:tc>
        <w:tc>
          <w:tcPr>
            <w:tcW w:w="1701" w:type="dxa"/>
            <w:vAlign w:val="center"/>
          </w:tcPr>
          <w:p w14:paraId="15CB1A78" w14:textId="77777777" w:rsidR="00993247" w:rsidRPr="00CF4824" w:rsidRDefault="00993247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0,5 – 2 (až do 3)</w:t>
            </w:r>
          </w:p>
        </w:tc>
        <w:tc>
          <w:tcPr>
            <w:tcW w:w="1683" w:type="dxa"/>
            <w:vAlign w:val="center"/>
          </w:tcPr>
          <w:p w14:paraId="2BC3250B" w14:textId="1B8E5137" w:rsidR="00993247" w:rsidRPr="00CF4824" w:rsidRDefault="00E478E6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0,9</w:t>
            </w:r>
          </w:p>
        </w:tc>
      </w:tr>
      <w:tr w:rsidR="00307EAA" w:rsidRPr="00CF4824" w14:paraId="0733C154" w14:textId="77777777" w:rsidTr="00424E03">
        <w:tc>
          <w:tcPr>
            <w:tcW w:w="2949" w:type="dxa"/>
          </w:tcPr>
          <w:p w14:paraId="1C75BA37" w14:textId="36B0D60A" w:rsidR="00993247" w:rsidRPr="00CF4824" w:rsidRDefault="006C1229" w:rsidP="00424E03">
            <w:pPr>
              <w:pStyle w:val="TableCenter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993247" w:rsidRPr="00CF4824">
              <w:rPr>
                <w:sz w:val="22"/>
                <w:szCs w:val="22"/>
              </w:rPr>
              <w:t xml:space="preserve">elková energia </w:t>
            </w:r>
            <w:r>
              <w:rPr>
                <w:sz w:val="22"/>
                <w:szCs w:val="22"/>
              </w:rPr>
              <w:t>(</w:t>
            </w:r>
            <w:r w:rsidR="00993247" w:rsidRPr="00CF4824">
              <w:rPr>
                <w:sz w:val="22"/>
                <w:szCs w:val="22"/>
              </w:rPr>
              <w:t>kcal/kg/deň)</w:t>
            </w:r>
          </w:p>
        </w:tc>
        <w:tc>
          <w:tcPr>
            <w:tcW w:w="1701" w:type="dxa"/>
            <w:vAlign w:val="center"/>
          </w:tcPr>
          <w:p w14:paraId="6B758BD9" w14:textId="3568ADDE" w:rsidR="00993247" w:rsidRPr="00E9418F" w:rsidRDefault="00E478E6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30 – 75</w:t>
            </w:r>
          </w:p>
        </w:tc>
        <w:tc>
          <w:tcPr>
            <w:tcW w:w="1701" w:type="dxa"/>
            <w:vAlign w:val="center"/>
          </w:tcPr>
          <w:p w14:paraId="1782E2B2" w14:textId="0BE2FF35" w:rsidR="00993247" w:rsidRPr="002F3A72" w:rsidRDefault="00E478E6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2F3A72">
              <w:rPr>
                <w:sz w:val="22"/>
                <w:szCs w:val="22"/>
              </w:rPr>
              <w:t>31,4</w:t>
            </w:r>
          </w:p>
        </w:tc>
        <w:tc>
          <w:tcPr>
            <w:tcW w:w="1701" w:type="dxa"/>
            <w:vAlign w:val="center"/>
          </w:tcPr>
          <w:p w14:paraId="133F78A5" w14:textId="2E9A754D" w:rsidR="00993247" w:rsidRPr="00CF4824" w:rsidRDefault="00E478E6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 xml:space="preserve">20 </w:t>
            </w:r>
            <w:r w:rsidR="00307EAA">
              <w:rPr>
                <w:sz w:val="22"/>
                <w:szCs w:val="22"/>
              </w:rPr>
              <w:t>– 55</w:t>
            </w:r>
          </w:p>
        </w:tc>
        <w:tc>
          <w:tcPr>
            <w:tcW w:w="1683" w:type="dxa"/>
            <w:vAlign w:val="center"/>
          </w:tcPr>
          <w:p w14:paraId="05040B57" w14:textId="3157C1C2" w:rsidR="00993247" w:rsidRPr="00CF4824" w:rsidRDefault="00E478E6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24,7</w:t>
            </w:r>
          </w:p>
        </w:tc>
      </w:tr>
      <w:tr w:rsidR="00993247" w:rsidRPr="00CF4824" w14:paraId="133AAEB6" w14:textId="77777777" w:rsidTr="00424E03">
        <w:tc>
          <w:tcPr>
            <w:tcW w:w="9735" w:type="dxa"/>
            <w:gridSpan w:val="5"/>
            <w:vAlign w:val="center"/>
          </w:tcPr>
          <w:p w14:paraId="678C7A3F" w14:textId="391007E3" w:rsidR="00993247" w:rsidRPr="00424E03" w:rsidRDefault="00993247" w:rsidP="00424E03">
            <w:pPr>
              <w:pStyle w:val="TableCenter"/>
              <w:spacing w:before="0" w:after="0"/>
              <w:jc w:val="left"/>
              <w:rPr>
                <w:b/>
                <w:sz w:val="22"/>
                <w:szCs w:val="22"/>
              </w:rPr>
            </w:pPr>
            <w:r w:rsidRPr="00424E03">
              <w:rPr>
                <w:b/>
                <w:sz w:val="22"/>
                <w:szCs w:val="22"/>
              </w:rPr>
              <w:t>Maximálna rýchlosť</w:t>
            </w:r>
            <w:r w:rsidR="00307EAA" w:rsidRPr="00424E03">
              <w:rPr>
                <w:b/>
                <w:sz w:val="22"/>
                <w:szCs w:val="22"/>
              </w:rPr>
              <w:t xml:space="preserve"> podávania infúzie (za hodinu)</w:t>
            </w:r>
          </w:p>
        </w:tc>
      </w:tr>
      <w:tr w:rsidR="00307EAA" w:rsidRPr="00CF4824" w14:paraId="33FC7B5A" w14:textId="77777777" w:rsidTr="00424E03">
        <w:tc>
          <w:tcPr>
            <w:tcW w:w="2949" w:type="dxa"/>
          </w:tcPr>
          <w:p w14:paraId="4D4D3E34" w14:textId="297F6FA4" w:rsidR="00993247" w:rsidRPr="00CF4824" w:rsidRDefault="00993247" w:rsidP="00424E03">
            <w:pPr>
              <w:pStyle w:val="TableCenter"/>
              <w:spacing w:before="0" w:after="0"/>
              <w:jc w:val="left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OLIMEL</w:t>
            </w:r>
            <w:r w:rsidR="00B02A4B">
              <w:rPr>
                <w:sz w:val="22"/>
                <w:szCs w:val="22"/>
              </w:rPr>
              <w:t xml:space="preserve"> N12E</w:t>
            </w:r>
            <w:r w:rsidRPr="00CF4824">
              <w:rPr>
                <w:sz w:val="22"/>
                <w:szCs w:val="22"/>
              </w:rPr>
              <w:t xml:space="preserve"> (ml/kg/h)</w:t>
            </w:r>
          </w:p>
        </w:tc>
        <w:tc>
          <w:tcPr>
            <w:tcW w:w="1701" w:type="dxa"/>
            <w:vAlign w:val="center"/>
          </w:tcPr>
          <w:p w14:paraId="275832AD" w14:textId="77777777" w:rsidR="00993247" w:rsidRPr="00CF4824" w:rsidRDefault="00993247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D9CCBE5" w14:textId="13456D61" w:rsidR="00993247" w:rsidRPr="002F3A72" w:rsidRDefault="00960517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2F3A72">
              <w:rPr>
                <w:sz w:val="22"/>
                <w:szCs w:val="22"/>
              </w:rPr>
              <w:t>2,6</w:t>
            </w:r>
          </w:p>
        </w:tc>
        <w:tc>
          <w:tcPr>
            <w:tcW w:w="1701" w:type="dxa"/>
            <w:vAlign w:val="center"/>
          </w:tcPr>
          <w:p w14:paraId="0347011D" w14:textId="77777777" w:rsidR="00993247" w:rsidRPr="00CF4824" w:rsidRDefault="00993247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1683" w:type="dxa"/>
            <w:vAlign w:val="center"/>
          </w:tcPr>
          <w:p w14:paraId="56025ED2" w14:textId="69CED8A7" w:rsidR="00993247" w:rsidRPr="00CF4824" w:rsidRDefault="00960517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1,6</w:t>
            </w:r>
          </w:p>
        </w:tc>
      </w:tr>
      <w:tr w:rsidR="00307EAA" w:rsidRPr="00CF4824" w14:paraId="18AB2656" w14:textId="77777777" w:rsidTr="00424E03">
        <w:tc>
          <w:tcPr>
            <w:tcW w:w="2949" w:type="dxa"/>
          </w:tcPr>
          <w:p w14:paraId="78150D19" w14:textId="27A6415A" w:rsidR="00993247" w:rsidRPr="00CF4824" w:rsidRDefault="00D14EF0" w:rsidP="00424E03">
            <w:pPr>
              <w:pStyle w:val="TableCenter"/>
              <w:spacing w:before="0" w:after="0"/>
              <w:jc w:val="left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a</w:t>
            </w:r>
            <w:r w:rsidR="00993247" w:rsidRPr="00CF4824">
              <w:rPr>
                <w:sz w:val="22"/>
                <w:szCs w:val="22"/>
              </w:rPr>
              <w:t>minokyseliny (g/kg/h)</w:t>
            </w:r>
          </w:p>
        </w:tc>
        <w:tc>
          <w:tcPr>
            <w:tcW w:w="1701" w:type="dxa"/>
            <w:vAlign w:val="center"/>
          </w:tcPr>
          <w:p w14:paraId="5AA47D61" w14:textId="77777777" w:rsidR="00993247" w:rsidRPr="00CF4824" w:rsidRDefault="00993247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0,20</w:t>
            </w:r>
          </w:p>
        </w:tc>
        <w:tc>
          <w:tcPr>
            <w:tcW w:w="1701" w:type="dxa"/>
            <w:vAlign w:val="center"/>
          </w:tcPr>
          <w:p w14:paraId="736AD178" w14:textId="5BF893F7" w:rsidR="00993247" w:rsidRPr="002F3A72" w:rsidRDefault="00960517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2F3A72">
              <w:rPr>
                <w:sz w:val="22"/>
                <w:szCs w:val="22"/>
              </w:rPr>
              <w:t>0,20</w:t>
            </w:r>
          </w:p>
        </w:tc>
        <w:tc>
          <w:tcPr>
            <w:tcW w:w="1701" w:type="dxa"/>
            <w:vAlign w:val="center"/>
          </w:tcPr>
          <w:p w14:paraId="63F2E3A0" w14:textId="77777777" w:rsidR="00993247" w:rsidRPr="00CF4824" w:rsidRDefault="00993247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0,12</w:t>
            </w:r>
          </w:p>
        </w:tc>
        <w:tc>
          <w:tcPr>
            <w:tcW w:w="1683" w:type="dxa"/>
            <w:vAlign w:val="center"/>
          </w:tcPr>
          <w:p w14:paraId="781354DA" w14:textId="77777777" w:rsidR="00993247" w:rsidRPr="00CF4824" w:rsidRDefault="00993247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0,12</w:t>
            </w:r>
          </w:p>
        </w:tc>
      </w:tr>
      <w:tr w:rsidR="00307EAA" w:rsidRPr="00CF4824" w14:paraId="7DA1DCBB" w14:textId="77777777" w:rsidTr="00424E03">
        <w:tc>
          <w:tcPr>
            <w:tcW w:w="2949" w:type="dxa"/>
          </w:tcPr>
          <w:p w14:paraId="78EA5D86" w14:textId="152546CA" w:rsidR="00993247" w:rsidRPr="00CF4824" w:rsidRDefault="00D14EF0" w:rsidP="00424E03">
            <w:pPr>
              <w:pStyle w:val="TableCenter"/>
              <w:spacing w:before="0" w:after="0"/>
              <w:jc w:val="left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g</w:t>
            </w:r>
            <w:r w:rsidR="00993247" w:rsidRPr="00CF4824">
              <w:rPr>
                <w:sz w:val="22"/>
                <w:szCs w:val="22"/>
              </w:rPr>
              <w:t>lukóza (g/kg/h)</w:t>
            </w:r>
          </w:p>
        </w:tc>
        <w:tc>
          <w:tcPr>
            <w:tcW w:w="1701" w:type="dxa"/>
            <w:vAlign w:val="center"/>
          </w:tcPr>
          <w:p w14:paraId="5212C4EE" w14:textId="0EB0FDEE" w:rsidR="00993247" w:rsidRPr="00E9418F" w:rsidRDefault="00BF5A54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0,36</w:t>
            </w:r>
          </w:p>
        </w:tc>
        <w:tc>
          <w:tcPr>
            <w:tcW w:w="1701" w:type="dxa"/>
            <w:vAlign w:val="center"/>
          </w:tcPr>
          <w:p w14:paraId="3519C3FD" w14:textId="7C1E244F" w:rsidR="00993247" w:rsidRPr="002F3A72" w:rsidRDefault="00960517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2F3A72">
              <w:rPr>
                <w:sz w:val="22"/>
                <w:szCs w:val="22"/>
              </w:rPr>
              <w:t>0,19</w:t>
            </w:r>
          </w:p>
        </w:tc>
        <w:tc>
          <w:tcPr>
            <w:tcW w:w="1701" w:type="dxa"/>
            <w:vAlign w:val="center"/>
          </w:tcPr>
          <w:p w14:paraId="38809F78" w14:textId="370A4DC2" w:rsidR="00993247" w:rsidRPr="00CF4824" w:rsidRDefault="00BF5A54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0,24</w:t>
            </w:r>
          </w:p>
        </w:tc>
        <w:tc>
          <w:tcPr>
            <w:tcW w:w="1683" w:type="dxa"/>
            <w:vAlign w:val="center"/>
          </w:tcPr>
          <w:p w14:paraId="3972A146" w14:textId="582CA37D" w:rsidR="00993247" w:rsidRPr="00CF4824" w:rsidRDefault="00960517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0,12</w:t>
            </w:r>
          </w:p>
        </w:tc>
      </w:tr>
      <w:tr w:rsidR="00307EAA" w:rsidRPr="00CF4824" w14:paraId="0BBB7BCF" w14:textId="77777777" w:rsidTr="00424E03">
        <w:tc>
          <w:tcPr>
            <w:tcW w:w="2949" w:type="dxa"/>
            <w:tcBorders>
              <w:bottom w:val="single" w:sz="6" w:space="0" w:color="000000"/>
            </w:tcBorders>
          </w:tcPr>
          <w:p w14:paraId="459DFE20" w14:textId="440E965C" w:rsidR="00993247" w:rsidRPr="00CF4824" w:rsidRDefault="00D14EF0" w:rsidP="00424E03">
            <w:pPr>
              <w:pStyle w:val="TableCenter"/>
              <w:spacing w:before="0" w:after="0"/>
              <w:jc w:val="left"/>
              <w:rPr>
                <w:sz w:val="22"/>
                <w:szCs w:val="22"/>
              </w:rPr>
            </w:pPr>
            <w:proofErr w:type="spellStart"/>
            <w:r w:rsidRPr="00CF4824">
              <w:rPr>
                <w:sz w:val="22"/>
                <w:szCs w:val="22"/>
              </w:rPr>
              <w:t>l</w:t>
            </w:r>
            <w:r w:rsidR="00993247" w:rsidRPr="00CF4824">
              <w:rPr>
                <w:sz w:val="22"/>
                <w:szCs w:val="22"/>
              </w:rPr>
              <w:t>ipidy</w:t>
            </w:r>
            <w:proofErr w:type="spellEnd"/>
            <w:r w:rsidR="00993247" w:rsidRPr="00CF4824">
              <w:rPr>
                <w:sz w:val="22"/>
                <w:szCs w:val="22"/>
              </w:rPr>
              <w:t xml:space="preserve"> (g/kg/h)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  <w:vAlign w:val="center"/>
          </w:tcPr>
          <w:p w14:paraId="592AE5C5" w14:textId="77777777" w:rsidR="00993247" w:rsidRPr="00CF4824" w:rsidRDefault="00993247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0,13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  <w:vAlign w:val="center"/>
          </w:tcPr>
          <w:p w14:paraId="5DBD8FBB" w14:textId="429338D7" w:rsidR="00993247" w:rsidRPr="002F3A72" w:rsidRDefault="00960517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2F3A72">
              <w:rPr>
                <w:sz w:val="22"/>
                <w:szCs w:val="22"/>
              </w:rPr>
              <w:t>0,09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  <w:vAlign w:val="center"/>
          </w:tcPr>
          <w:p w14:paraId="4C3FD89E" w14:textId="77777777" w:rsidR="00993247" w:rsidRPr="00CF4824" w:rsidRDefault="00993247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0,13</w:t>
            </w:r>
          </w:p>
        </w:tc>
        <w:tc>
          <w:tcPr>
            <w:tcW w:w="1683" w:type="dxa"/>
            <w:tcBorders>
              <w:bottom w:val="single" w:sz="6" w:space="0" w:color="000000"/>
            </w:tcBorders>
            <w:vAlign w:val="center"/>
          </w:tcPr>
          <w:p w14:paraId="4865FD84" w14:textId="02D42D78" w:rsidR="00993247" w:rsidRPr="00CF4824" w:rsidRDefault="00960517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0,06</w:t>
            </w:r>
          </w:p>
        </w:tc>
      </w:tr>
      <w:tr w:rsidR="003C2FD8" w:rsidRPr="006C1229" w14:paraId="0B338141" w14:textId="77777777" w:rsidTr="00424E03">
        <w:tc>
          <w:tcPr>
            <w:tcW w:w="9735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37387028" w14:textId="68E72AAC" w:rsidR="003C2FD8" w:rsidRPr="00424E03" w:rsidRDefault="003C2FD8" w:rsidP="00D91F70">
            <w:pPr>
              <w:pStyle w:val="TableFootnoteLetter"/>
              <w:numPr>
                <w:ilvl w:val="0"/>
                <w:numId w:val="26"/>
              </w:numPr>
              <w:spacing w:before="0" w:after="0"/>
            </w:pPr>
            <w:bookmarkStart w:id="13" w:name="_Ref496531588"/>
            <w:r w:rsidRPr="00424E03">
              <w:t>Odporúčané hodnoty podľa</w:t>
            </w:r>
            <w:r w:rsidR="00307EAA" w:rsidRPr="00424E03">
              <w:t xml:space="preserve"> usmernení</w:t>
            </w:r>
            <w:r w:rsidRPr="00424E03">
              <w:t xml:space="preserve"> ESPGHAN/ESPEN/ESPR z roku 2018</w:t>
            </w:r>
            <w:bookmarkEnd w:id="13"/>
            <w:r w:rsidR="00307EAA" w:rsidRPr="00424E03">
              <w:t>.</w:t>
            </w:r>
          </w:p>
        </w:tc>
      </w:tr>
    </w:tbl>
    <w:p w14:paraId="6EF030B2" w14:textId="77777777" w:rsidR="00104D31" w:rsidRPr="00CF4824" w:rsidRDefault="00104D31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1A68036A" w14:textId="1843936B" w:rsidR="00993247" w:rsidRPr="00CF4824" w:rsidRDefault="00993247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 xml:space="preserve">Za normálnych okolností sa musí rýchlosť podávania infúzie postupne zvyšovať počas prvej hodiny a potom sa musí </w:t>
      </w:r>
      <w:r w:rsidR="00B02A4B">
        <w:rPr>
          <w:sz w:val="22"/>
          <w:szCs w:val="22"/>
        </w:rPr>
        <w:t>upraviť</w:t>
      </w:r>
      <w:r w:rsidRPr="00CF4824">
        <w:rPr>
          <w:sz w:val="22"/>
          <w:szCs w:val="22"/>
        </w:rPr>
        <w:t xml:space="preserve"> tak, aby zohľadňovala veľkosť podávanej dávky, denný príjem tekutín a dĺžku trvania infúzie.</w:t>
      </w:r>
    </w:p>
    <w:p w14:paraId="071C2E06" w14:textId="77777777" w:rsidR="00D14EF0" w:rsidRPr="002F3A72" w:rsidRDefault="00D14EF0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7720BF5E" w14:textId="7EAB27A0" w:rsidR="00993247" w:rsidRPr="00CF4824" w:rsidRDefault="00993247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>U malých detí sa zvyčajne odporúča začať podávanie infúzie nízkou dennou dávkou a postupne ju zvyšovať až na maximálnu dávku (pozri vyššie).</w:t>
      </w:r>
    </w:p>
    <w:p w14:paraId="03E6333A" w14:textId="586663B7" w:rsidR="00CD1799" w:rsidRPr="00B02A4B" w:rsidRDefault="00CD1799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>Maximálna rýchlosť podávania infúzie je 2,6 ml/kg/hodin</w:t>
      </w:r>
      <w:r w:rsidR="00B02A4B">
        <w:rPr>
          <w:sz w:val="22"/>
          <w:szCs w:val="22"/>
        </w:rPr>
        <w:t>u</w:t>
      </w:r>
      <w:r w:rsidRPr="00B02A4B">
        <w:rPr>
          <w:sz w:val="22"/>
          <w:szCs w:val="22"/>
        </w:rPr>
        <w:t xml:space="preserve"> u detí vo veku od 2 do 11 rokov a 1,6 ml/kg/hodin</w:t>
      </w:r>
      <w:r w:rsidR="00B02A4B">
        <w:rPr>
          <w:sz w:val="22"/>
          <w:szCs w:val="22"/>
        </w:rPr>
        <w:t>u</w:t>
      </w:r>
      <w:r w:rsidRPr="00B02A4B">
        <w:rPr>
          <w:sz w:val="22"/>
          <w:szCs w:val="22"/>
        </w:rPr>
        <w:t xml:space="preserve"> u detí vo veku od 12 do 18 rokov.</w:t>
      </w:r>
    </w:p>
    <w:p w14:paraId="1947EC6E" w14:textId="77777777" w:rsidR="00104D31" w:rsidRPr="002F3A72" w:rsidRDefault="00104D31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30DFB894" w14:textId="7A017B47" w:rsidR="00EE5290" w:rsidRPr="00424E03" w:rsidRDefault="00EE5290" w:rsidP="00D91F70">
      <w:pPr>
        <w:pStyle w:val="Heading2Unnumbered"/>
        <w:spacing w:before="0" w:after="0"/>
        <w:rPr>
          <w:b w:val="0"/>
          <w:sz w:val="22"/>
          <w:szCs w:val="22"/>
          <w:u w:val="single"/>
        </w:rPr>
      </w:pPr>
      <w:bookmarkStart w:id="14" w:name="_ISIW_UH_10"/>
      <w:r w:rsidRPr="00424E03">
        <w:rPr>
          <w:b w:val="0"/>
          <w:sz w:val="22"/>
          <w:szCs w:val="22"/>
          <w:u w:val="single"/>
        </w:rPr>
        <w:t>Spôsob a trvanie podávania</w:t>
      </w:r>
    </w:p>
    <w:p w14:paraId="25E35C4A" w14:textId="77777777" w:rsidR="00D14EF0" w:rsidRPr="004A2946" w:rsidRDefault="00D14EF0" w:rsidP="004E30E0">
      <w:pPr>
        <w:pStyle w:val="Paragraph"/>
        <w:spacing w:before="0" w:after="0" w:line="240" w:lineRule="auto"/>
        <w:rPr>
          <w:sz w:val="22"/>
          <w:szCs w:val="22"/>
        </w:rPr>
      </w:pPr>
    </w:p>
    <w:bookmarkEnd w:id="14"/>
    <w:p w14:paraId="11B8E53A" w14:textId="0FDF559E" w:rsidR="0084739D" w:rsidRPr="00CF4824" w:rsidRDefault="0084739D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>Len na jednorazové použitie.</w:t>
      </w:r>
    </w:p>
    <w:p w14:paraId="223E4ED9" w14:textId="77777777" w:rsidR="00D14EF0" w:rsidRPr="00CF4824" w:rsidRDefault="00D14EF0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6757925F" w14:textId="05E44BD8" w:rsidR="0084739D" w:rsidRDefault="0084739D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2F3A72">
        <w:rPr>
          <w:sz w:val="22"/>
          <w:szCs w:val="22"/>
        </w:rPr>
        <w:t>Po otvorení vaku sa odporúča obsah ihneď spotrebovať a neuchovávať pre následnú infúziu.</w:t>
      </w:r>
    </w:p>
    <w:p w14:paraId="739CC268" w14:textId="77777777" w:rsidR="00565692" w:rsidRPr="002F3A72" w:rsidRDefault="00565692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343951EB" w14:textId="6B0C49C1" w:rsidR="0084739D" w:rsidRPr="00CF4824" w:rsidRDefault="0084739D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>Po príprave je zmes homogénna mliečneho vzhľadu.</w:t>
      </w:r>
    </w:p>
    <w:p w14:paraId="5FDB056B" w14:textId="77777777" w:rsidR="00565692" w:rsidRDefault="00565692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5B2A19F7" w14:textId="478CE61B" w:rsidR="00EE5290" w:rsidRPr="006C053F" w:rsidRDefault="006C053F" w:rsidP="00D91F70">
      <w:pPr>
        <w:pStyle w:val="Paragraph"/>
        <w:spacing w:before="0" w:after="0" w:line="240" w:lineRule="auto"/>
        <w:rPr>
          <w:sz w:val="22"/>
          <w:szCs w:val="22"/>
        </w:rPr>
      </w:pPr>
      <w:r>
        <w:rPr>
          <w:sz w:val="22"/>
          <w:szCs w:val="22"/>
        </w:rPr>
        <w:t>Pokyny na prípravu a zaobchádzanie s </w:t>
      </w:r>
      <w:proofErr w:type="spellStart"/>
      <w:r>
        <w:rPr>
          <w:sz w:val="22"/>
          <w:szCs w:val="22"/>
        </w:rPr>
        <w:t>infúznou</w:t>
      </w:r>
      <w:proofErr w:type="spellEnd"/>
      <w:r>
        <w:rPr>
          <w:sz w:val="22"/>
          <w:szCs w:val="22"/>
        </w:rPr>
        <w:t xml:space="preserve"> emulziou,</w:t>
      </w:r>
      <w:r w:rsidR="00EE5290" w:rsidRPr="006C053F">
        <w:rPr>
          <w:sz w:val="22"/>
          <w:szCs w:val="22"/>
        </w:rPr>
        <w:t xml:space="preserve"> pozri časť 6.6.</w:t>
      </w:r>
    </w:p>
    <w:p w14:paraId="706BBA73" w14:textId="77777777" w:rsidR="00565692" w:rsidRDefault="00565692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4CFEA95C" w14:textId="03647FDD" w:rsidR="00EE5290" w:rsidRPr="00464A7B" w:rsidRDefault="00EE5290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464A7B">
        <w:rPr>
          <w:sz w:val="22"/>
          <w:szCs w:val="22"/>
        </w:rPr>
        <w:t xml:space="preserve">Vzhľadom na vysokú </w:t>
      </w:r>
      <w:proofErr w:type="spellStart"/>
      <w:r w:rsidRPr="00464A7B">
        <w:rPr>
          <w:sz w:val="22"/>
          <w:szCs w:val="22"/>
        </w:rPr>
        <w:t>osmolaritu</w:t>
      </w:r>
      <w:proofErr w:type="spellEnd"/>
      <w:r w:rsidRPr="00464A7B">
        <w:rPr>
          <w:sz w:val="22"/>
          <w:szCs w:val="22"/>
        </w:rPr>
        <w:t xml:space="preserve"> sa OLIMEL </w:t>
      </w:r>
      <w:r w:rsidR="00464A7B">
        <w:rPr>
          <w:sz w:val="22"/>
          <w:szCs w:val="22"/>
        </w:rPr>
        <w:t>N12E musí</w:t>
      </w:r>
      <w:r w:rsidRPr="00464A7B">
        <w:rPr>
          <w:sz w:val="22"/>
          <w:szCs w:val="22"/>
        </w:rPr>
        <w:t xml:space="preserve"> podávať iba do centrálnej žily.</w:t>
      </w:r>
    </w:p>
    <w:p w14:paraId="6FDCD326" w14:textId="77777777" w:rsidR="00565692" w:rsidRDefault="00565692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74159660" w14:textId="77777777" w:rsidR="00EE5290" w:rsidRPr="002F3A72" w:rsidRDefault="00EE5290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2F3A72">
        <w:rPr>
          <w:sz w:val="22"/>
          <w:szCs w:val="22"/>
        </w:rPr>
        <w:t xml:space="preserve">Odporúčaná dĺžka trvania infúzie </w:t>
      </w:r>
      <w:proofErr w:type="spellStart"/>
      <w:r w:rsidRPr="002F3A72">
        <w:rPr>
          <w:sz w:val="22"/>
          <w:szCs w:val="22"/>
        </w:rPr>
        <w:t>parenterálnej</w:t>
      </w:r>
      <w:proofErr w:type="spellEnd"/>
      <w:r w:rsidRPr="002F3A72">
        <w:rPr>
          <w:sz w:val="22"/>
          <w:szCs w:val="22"/>
        </w:rPr>
        <w:t xml:space="preserve"> výživy obsiahnutej vo vaku je 12 až 24 hodín.</w:t>
      </w:r>
    </w:p>
    <w:p w14:paraId="059D3EF0" w14:textId="77777777" w:rsidR="00565692" w:rsidRDefault="00565692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7F0A4030" w14:textId="5CDA0B02" w:rsidR="00A75283" w:rsidRDefault="00EE5290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2F3A72">
        <w:rPr>
          <w:sz w:val="22"/>
          <w:szCs w:val="22"/>
        </w:rPr>
        <w:t xml:space="preserve">Liečba </w:t>
      </w:r>
      <w:proofErr w:type="spellStart"/>
      <w:r w:rsidRPr="002F3A72">
        <w:rPr>
          <w:sz w:val="22"/>
          <w:szCs w:val="22"/>
        </w:rPr>
        <w:t>parenterálnou</w:t>
      </w:r>
      <w:proofErr w:type="spellEnd"/>
      <w:r w:rsidRPr="002F3A72">
        <w:rPr>
          <w:sz w:val="22"/>
          <w:szCs w:val="22"/>
        </w:rPr>
        <w:t xml:space="preserve"> výživou môže pokračovať tak dlho, ako to vyžaduje klinický stav pacienta.</w:t>
      </w:r>
    </w:p>
    <w:p w14:paraId="5CD4A52A" w14:textId="77777777" w:rsidR="00D16646" w:rsidRPr="002F3A72" w:rsidRDefault="00D16646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0032FC28" w14:textId="043572BE" w:rsidR="00A75283" w:rsidRPr="002F3A72" w:rsidRDefault="002F3A72" w:rsidP="004A2946">
      <w:pPr>
        <w:pStyle w:val="Nadpis2"/>
        <w:tabs>
          <w:tab w:val="left" w:pos="709"/>
        </w:tabs>
        <w:spacing w:before="0" w:after="0"/>
        <w:rPr>
          <w:sz w:val="22"/>
          <w:szCs w:val="22"/>
        </w:rPr>
      </w:pPr>
      <w:bookmarkStart w:id="15" w:name="_ISIW_UH_11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75283" w:rsidRPr="002F3A72">
        <w:rPr>
          <w:sz w:val="22"/>
          <w:szCs w:val="22"/>
        </w:rPr>
        <w:t>Kontraindikácie</w:t>
      </w:r>
    </w:p>
    <w:p w14:paraId="5FCB4BA9" w14:textId="77777777" w:rsidR="00D14EF0" w:rsidRPr="004A2946" w:rsidRDefault="00D14EF0" w:rsidP="004E30E0">
      <w:pPr>
        <w:pStyle w:val="Paragraph"/>
        <w:spacing w:before="0" w:after="0" w:line="240" w:lineRule="auto"/>
        <w:rPr>
          <w:sz w:val="22"/>
          <w:szCs w:val="22"/>
        </w:rPr>
      </w:pPr>
    </w:p>
    <w:bookmarkEnd w:id="15"/>
    <w:p w14:paraId="3EF9AE56" w14:textId="370B6988" w:rsidR="00FD06EA" w:rsidRPr="00CF4824" w:rsidRDefault="005D1EF7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>Použitie OLIMEL</w:t>
      </w:r>
      <w:r w:rsidR="00EC4356">
        <w:rPr>
          <w:sz w:val="22"/>
          <w:szCs w:val="22"/>
        </w:rPr>
        <w:t>U</w:t>
      </w:r>
      <w:r w:rsidR="00562DB3">
        <w:rPr>
          <w:sz w:val="22"/>
          <w:szCs w:val="22"/>
        </w:rPr>
        <w:t xml:space="preserve"> N12E</w:t>
      </w:r>
      <w:r w:rsidRPr="00CF4824">
        <w:rPr>
          <w:sz w:val="22"/>
          <w:szCs w:val="22"/>
        </w:rPr>
        <w:t xml:space="preserve"> je kontraindikované v nasledujúcich prípadoch:</w:t>
      </w:r>
    </w:p>
    <w:p w14:paraId="06ED169B" w14:textId="6007A45E" w:rsidR="003C2FD8" w:rsidRPr="004A2946" w:rsidRDefault="005D1EF7" w:rsidP="00565692">
      <w:pPr>
        <w:pStyle w:val="Zoznamsodrkami2"/>
        <w:tabs>
          <w:tab w:val="clear" w:pos="1080"/>
        </w:tabs>
        <w:spacing w:before="0" w:after="0" w:line="240" w:lineRule="auto"/>
        <w:ind w:left="567" w:hanging="567"/>
        <w:rPr>
          <w:snapToGrid w:val="0"/>
          <w:sz w:val="22"/>
          <w:szCs w:val="22"/>
        </w:rPr>
      </w:pPr>
      <w:r w:rsidRPr="004A2946">
        <w:rPr>
          <w:snapToGrid w:val="0"/>
          <w:sz w:val="22"/>
          <w:szCs w:val="22"/>
        </w:rPr>
        <w:t>u</w:t>
      </w:r>
      <w:r w:rsidR="00562DB3" w:rsidRPr="004A2946">
        <w:rPr>
          <w:snapToGrid w:val="0"/>
          <w:sz w:val="22"/>
          <w:szCs w:val="22"/>
        </w:rPr>
        <w:t> predčasne narodených detí</w:t>
      </w:r>
      <w:r w:rsidRPr="004A2946">
        <w:rPr>
          <w:snapToGrid w:val="0"/>
          <w:sz w:val="22"/>
          <w:szCs w:val="22"/>
        </w:rPr>
        <w:t>,</w:t>
      </w:r>
      <w:r w:rsidR="00351BBE" w:rsidRPr="004A2946">
        <w:rPr>
          <w:snapToGrid w:val="0"/>
          <w:sz w:val="22"/>
          <w:szCs w:val="22"/>
        </w:rPr>
        <w:t xml:space="preserve"> </w:t>
      </w:r>
      <w:r w:rsidRPr="004A2946">
        <w:rPr>
          <w:snapToGrid w:val="0"/>
          <w:sz w:val="22"/>
          <w:szCs w:val="22"/>
        </w:rPr>
        <w:t>dojčiat a detí mladších ako 2 roky,</w:t>
      </w:r>
    </w:p>
    <w:p w14:paraId="232546DF" w14:textId="5A0D8CA2" w:rsidR="003C2FD8" w:rsidRPr="004A2946" w:rsidRDefault="005D1EF7" w:rsidP="00565692">
      <w:pPr>
        <w:pStyle w:val="Zoznamsodrkami2"/>
        <w:tabs>
          <w:tab w:val="clear" w:pos="1080"/>
        </w:tabs>
        <w:spacing w:before="0" w:after="0" w:line="240" w:lineRule="auto"/>
        <w:ind w:left="567" w:hanging="567"/>
        <w:rPr>
          <w:snapToGrid w:val="0"/>
          <w:sz w:val="22"/>
          <w:szCs w:val="22"/>
        </w:rPr>
      </w:pPr>
      <w:r w:rsidRPr="004A2946">
        <w:rPr>
          <w:snapToGrid w:val="0"/>
          <w:sz w:val="22"/>
          <w:szCs w:val="22"/>
        </w:rPr>
        <w:t>pri precitlivenosti na vaječné, sójové</w:t>
      </w:r>
      <w:r w:rsidR="00351BBE" w:rsidRPr="004A2946">
        <w:rPr>
          <w:snapToGrid w:val="0"/>
          <w:sz w:val="22"/>
          <w:szCs w:val="22"/>
        </w:rPr>
        <w:t xml:space="preserve">, </w:t>
      </w:r>
      <w:r w:rsidRPr="004A2946">
        <w:rPr>
          <w:snapToGrid w:val="0"/>
          <w:sz w:val="22"/>
          <w:szCs w:val="22"/>
        </w:rPr>
        <w:t>arašidové bielkoviny alebo kukuricu/</w:t>
      </w:r>
      <w:r w:rsidR="00351BBE" w:rsidRPr="004A2946">
        <w:rPr>
          <w:snapToGrid w:val="0"/>
          <w:sz w:val="22"/>
          <w:szCs w:val="22"/>
        </w:rPr>
        <w:t>výrobky z kukurice</w:t>
      </w:r>
      <w:r w:rsidRPr="004A2946">
        <w:rPr>
          <w:snapToGrid w:val="0"/>
          <w:sz w:val="22"/>
          <w:szCs w:val="22"/>
        </w:rPr>
        <w:t xml:space="preserve"> (pozri časť 4.4) alebo na ktorékoľvek z liečiv alebo pomocných látok</w:t>
      </w:r>
      <w:r w:rsidR="00351BBE" w:rsidRPr="004A2946">
        <w:rPr>
          <w:snapToGrid w:val="0"/>
          <w:sz w:val="22"/>
          <w:szCs w:val="22"/>
        </w:rPr>
        <w:t xml:space="preserve">, </w:t>
      </w:r>
      <w:r w:rsidRPr="004A2946">
        <w:rPr>
          <w:snapToGrid w:val="0"/>
          <w:sz w:val="22"/>
          <w:szCs w:val="22"/>
        </w:rPr>
        <w:t xml:space="preserve"> uvedených v časti 6.1,</w:t>
      </w:r>
    </w:p>
    <w:p w14:paraId="66545201" w14:textId="77777777" w:rsidR="003C2FD8" w:rsidRPr="004A2946" w:rsidRDefault="005D1EF7" w:rsidP="00565692">
      <w:pPr>
        <w:pStyle w:val="Zoznamsodrkami2"/>
        <w:tabs>
          <w:tab w:val="clear" w:pos="1080"/>
        </w:tabs>
        <w:spacing w:before="0" w:after="0" w:line="240" w:lineRule="auto"/>
        <w:ind w:left="567" w:hanging="567"/>
        <w:rPr>
          <w:snapToGrid w:val="0"/>
          <w:sz w:val="22"/>
          <w:szCs w:val="22"/>
        </w:rPr>
      </w:pPr>
      <w:r w:rsidRPr="004A2946">
        <w:rPr>
          <w:snapToGrid w:val="0"/>
          <w:sz w:val="22"/>
          <w:szCs w:val="22"/>
        </w:rPr>
        <w:t>pri vrodených poruchách metabolizmu aminokyselín,</w:t>
      </w:r>
    </w:p>
    <w:p w14:paraId="69487311" w14:textId="4BDC469F" w:rsidR="003C2FD8" w:rsidRPr="004A2946" w:rsidRDefault="005D1EF7" w:rsidP="00565692">
      <w:pPr>
        <w:pStyle w:val="Zoznamsodrkami2"/>
        <w:tabs>
          <w:tab w:val="clear" w:pos="1080"/>
        </w:tabs>
        <w:spacing w:before="0" w:after="0" w:line="240" w:lineRule="auto"/>
        <w:ind w:left="567" w:hanging="567"/>
        <w:rPr>
          <w:snapToGrid w:val="0"/>
          <w:sz w:val="22"/>
          <w:szCs w:val="22"/>
        </w:rPr>
      </w:pPr>
      <w:r w:rsidRPr="004A2946">
        <w:rPr>
          <w:snapToGrid w:val="0"/>
          <w:sz w:val="22"/>
          <w:szCs w:val="22"/>
        </w:rPr>
        <w:t xml:space="preserve">pri </w:t>
      </w:r>
      <w:r w:rsidR="00351BBE" w:rsidRPr="004A2946">
        <w:rPr>
          <w:snapToGrid w:val="0"/>
          <w:sz w:val="22"/>
          <w:szCs w:val="22"/>
        </w:rPr>
        <w:t>závažnej</w:t>
      </w:r>
      <w:r w:rsidRPr="004A2946">
        <w:rPr>
          <w:snapToGrid w:val="0"/>
          <w:sz w:val="22"/>
          <w:szCs w:val="22"/>
        </w:rPr>
        <w:t xml:space="preserve"> </w:t>
      </w:r>
      <w:proofErr w:type="spellStart"/>
      <w:r w:rsidRPr="004A2946">
        <w:rPr>
          <w:snapToGrid w:val="0"/>
          <w:sz w:val="22"/>
          <w:szCs w:val="22"/>
        </w:rPr>
        <w:t>hyperlipidémii</w:t>
      </w:r>
      <w:proofErr w:type="spellEnd"/>
      <w:r w:rsidRPr="004A2946">
        <w:rPr>
          <w:snapToGrid w:val="0"/>
          <w:sz w:val="22"/>
          <w:szCs w:val="22"/>
        </w:rPr>
        <w:t xml:space="preserve"> alebo </w:t>
      </w:r>
      <w:r w:rsidR="00351BBE" w:rsidRPr="004A2946">
        <w:rPr>
          <w:snapToGrid w:val="0"/>
          <w:sz w:val="22"/>
          <w:szCs w:val="22"/>
        </w:rPr>
        <w:t>závažných</w:t>
      </w:r>
      <w:r w:rsidRPr="004A2946">
        <w:rPr>
          <w:snapToGrid w:val="0"/>
          <w:sz w:val="22"/>
          <w:szCs w:val="22"/>
        </w:rPr>
        <w:t xml:space="preserve"> poruchách metabolizmu </w:t>
      </w:r>
      <w:proofErr w:type="spellStart"/>
      <w:r w:rsidRPr="004A2946">
        <w:rPr>
          <w:snapToGrid w:val="0"/>
          <w:sz w:val="22"/>
          <w:szCs w:val="22"/>
        </w:rPr>
        <w:t>lipidov</w:t>
      </w:r>
      <w:proofErr w:type="spellEnd"/>
      <w:r w:rsidRPr="004A2946">
        <w:rPr>
          <w:snapToGrid w:val="0"/>
          <w:sz w:val="22"/>
          <w:szCs w:val="22"/>
        </w:rPr>
        <w:t xml:space="preserve"> charakterizovaných </w:t>
      </w:r>
      <w:proofErr w:type="spellStart"/>
      <w:r w:rsidRPr="004A2946">
        <w:rPr>
          <w:snapToGrid w:val="0"/>
          <w:sz w:val="22"/>
          <w:szCs w:val="22"/>
        </w:rPr>
        <w:t>hypertri</w:t>
      </w:r>
      <w:r w:rsidR="00307EAA">
        <w:rPr>
          <w:snapToGrid w:val="0"/>
          <w:sz w:val="22"/>
          <w:szCs w:val="22"/>
        </w:rPr>
        <w:t>acyl</w:t>
      </w:r>
      <w:r w:rsidRPr="004A2946">
        <w:rPr>
          <w:snapToGrid w:val="0"/>
          <w:sz w:val="22"/>
          <w:szCs w:val="22"/>
        </w:rPr>
        <w:t>glycer</w:t>
      </w:r>
      <w:r w:rsidR="00307EAA">
        <w:rPr>
          <w:snapToGrid w:val="0"/>
          <w:sz w:val="22"/>
          <w:szCs w:val="22"/>
        </w:rPr>
        <w:t>ol</w:t>
      </w:r>
      <w:r w:rsidRPr="004A2946">
        <w:rPr>
          <w:snapToGrid w:val="0"/>
          <w:sz w:val="22"/>
          <w:szCs w:val="22"/>
        </w:rPr>
        <w:t>émiou</w:t>
      </w:r>
      <w:proofErr w:type="spellEnd"/>
      <w:r w:rsidRPr="004A2946">
        <w:rPr>
          <w:snapToGrid w:val="0"/>
          <w:sz w:val="22"/>
          <w:szCs w:val="22"/>
        </w:rPr>
        <w:t>,</w:t>
      </w:r>
    </w:p>
    <w:p w14:paraId="1E219843" w14:textId="7A6A8E38" w:rsidR="003C2FD8" w:rsidRPr="004A2946" w:rsidRDefault="00566510" w:rsidP="00565692">
      <w:pPr>
        <w:pStyle w:val="Zoznamsodrkami2"/>
        <w:tabs>
          <w:tab w:val="clear" w:pos="1080"/>
        </w:tabs>
        <w:spacing w:before="0" w:after="0" w:line="240" w:lineRule="auto"/>
        <w:ind w:left="567" w:hanging="567"/>
        <w:rPr>
          <w:snapToGrid w:val="0"/>
          <w:sz w:val="22"/>
          <w:szCs w:val="22"/>
        </w:rPr>
      </w:pPr>
      <w:r w:rsidRPr="004A2946">
        <w:rPr>
          <w:snapToGrid w:val="0"/>
          <w:sz w:val="22"/>
          <w:szCs w:val="22"/>
        </w:rPr>
        <w:t xml:space="preserve">pri </w:t>
      </w:r>
      <w:r w:rsidR="00303556" w:rsidRPr="004A2946">
        <w:rPr>
          <w:snapToGrid w:val="0"/>
          <w:sz w:val="22"/>
          <w:szCs w:val="22"/>
        </w:rPr>
        <w:t>závažnej</w:t>
      </w:r>
      <w:r w:rsidRPr="004A2946">
        <w:rPr>
          <w:snapToGrid w:val="0"/>
          <w:sz w:val="22"/>
          <w:szCs w:val="22"/>
        </w:rPr>
        <w:t xml:space="preserve"> hyperglykémii,</w:t>
      </w:r>
    </w:p>
    <w:p w14:paraId="5E8EE1A9" w14:textId="179E4EFA" w:rsidR="00644EFF" w:rsidRPr="004A2946" w:rsidRDefault="00566510" w:rsidP="00565692">
      <w:pPr>
        <w:pStyle w:val="Zoznamsodrkami2"/>
        <w:tabs>
          <w:tab w:val="clear" w:pos="1080"/>
        </w:tabs>
        <w:spacing w:before="0" w:after="0" w:line="240" w:lineRule="auto"/>
        <w:ind w:left="567" w:hanging="567"/>
        <w:rPr>
          <w:snapToGrid w:val="0"/>
          <w:sz w:val="22"/>
          <w:szCs w:val="22"/>
        </w:rPr>
      </w:pPr>
      <w:r w:rsidRPr="004A2946">
        <w:rPr>
          <w:snapToGrid w:val="0"/>
          <w:sz w:val="22"/>
          <w:szCs w:val="22"/>
        </w:rPr>
        <w:t>pri patologicky zvýšenej plazmatickej koncentrácii sodíka, draslíka, horčíka, vápnika a/alebo fosforu.</w:t>
      </w:r>
    </w:p>
    <w:p w14:paraId="2F488AB6" w14:textId="77777777" w:rsidR="00104D31" w:rsidRPr="00CF4824" w:rsidRDefault="00104D31" w:rsidP="00D91F70">
      <w:pPr>
        <w:pStyle w:val="Zoznamsodrkami2"/>
        <w:numPr>
          <w:ilvl w:val="0"/>
          <w:numId w:val="0"/>
        </w:numPr>
        <w:spacing w:before="0" w:after="0" w:line="240" w:lineRule="auto"/>
        <w:ind w:left="1080"/>
        <w:rPr>
          <w:sz w:val="22"/>
          <w:szCs w:val="22"/>
          <w:highlight w:val="lightGray"/>
        </w:rPr>
      </w:pPr>
    </w:p>
    <w:p w14:paraId="774691D1" w14:textId="7EC53360" w:rsidR="00A75283" w:rsidRPr="00303556" w:rsidRDefault="00303556" w:rsidP="004A2946">
      <w:pPr>
        <w:pStyle w:val="Nadpis2"/>
        <w:tabs>
          <w:tab w:val="left" w:pos="709"/>
        </w:tabs>
        <w:spacing w:before="0" w:after="0"/>
        <w:rPr>
          <w:sz w:val="22"/>
          <w:szCs w:val="22"/>
        </w:rPr>
      </w:pPr>
      <w:bookmarkStart w:id="16" w:name="_ISIW_UH_12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75283" w:rsidRPr="00303556">
        <w:rPr>
          <w:sz w:val="22"/>
          <w:szCs w:val="22"/>
        </w:rPr>
        <w:t>Osobitné upozornenia a opatrenia pri používaní</w:t>
      </w:r>
    </w:p>
    <w:p w14:paraId="531A77EC" w14:textId="77777777" w:rsidR="00D14EF0" w:rsidRPr="004A2946" w:rsidRDefault="00D14EF0" w:rsidP="004E30E0">
      <w:pPr>
        <w:pStyle w:val="Paragraph"/>
        <w:spacing w:before="0" w:after="0" w:line="240" w:lineRule="auto"/>
        <w:rPr>
          <w:sz w:val="22"/>
          <w:szCs w:val="22"/>
        </w:rPr>
      </w:pPr>
    </w:p>
    <w:bookmarkEnd w:id="16"/>
    <w:p w14:paraId="6954F6A9" w14:textId="64DEF7EC" w:rsidR="001435FC" w:rsidRPr="00CF4824" w:rsidRDefault="001435FC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 xml:space="preserve">Príliš rýchle podávanie roztokov na </w:t>
      </w:r>
      <w:r w:rsidR="00324574">
        <w:rPr>
          <w:sz w:val="22"/>
          <w:szCs w:val="22"/>
        </w:rPr>
        <w:t xml:space="preserve">celkovú </w:t>
      </w:r>
      <w:proofErr w:type="spellStart"/>
      <w:r w:rsidRPr="00CF4824">
        <w:rPr>
          <w:sz w:val="22"/>
          <w:szCs w:val="22"/>
        </w:rPr>
        <w:t>parenterálnu</w:t>
      </w:r>
      <w:proofErr w:type="spellEnd"/>
      <w:r w:rsidRPr="00CF4824">
        <w:rPr>
          <w:sz w:val="22"/>
          <w:szCs w:val="22"/>
        </w:rPr>
        <w:t xml:space="preserve"> výživu </w:t>
      </w:r>
      <w:r w:rsidR="00BD7407">
        <w:rPr>
          <w:sz w:val="22"/>
          <w:szCs w:val="22"/>
        </w:rPr>
        <w:t xml:space="preserve"> (</w:t>
      </w:r>
      <w:proofErr w:type="spellStart"/>
      <w:r w:rsidR="00E46E00" w:rsidRPr="003169A1">
        <w:rPr>
          <w:sz w:val="22"/>
          <w:szCs w:val="22"/>
        </w:rPr>
        <w:t>total</w:t>
      </w:r>
      <w:proofErr w:type="spellEnd"/>
      <w:r w:rsidR="00E46E00" w:rsidRPr="003169A1">
        <w:rPr>
          <w:sz w:val="22"/>
          <w:szCs w:val="22"/>
        </w:rPr>
        <w:t xml:space="preserve"> </w:t>
      </w:r>
      <w:proofErr w:type="spellStart"/>
      <w:r w:rsidR="00E46E00" w:rsidRPr="003169A1">
        <w:rPr>
          <w:sz w:val="22"/>
          <w:szCs w:val="22"/>
        </w:rPr>
        <w:t>parenteral</w:t>
      </w:r>
      <w:proofErr w:type="spellEnd"/>
      <w:r w:rsidR="00E46E00" w:rsidRPr="003169A1">
        <w:rPr>
          <w:sz w:val="22"/>
          <w:szCs w:val="22"/>
        </w:rPr>
        <w:t xml:space="preserve"> </w:t>
      </w:r>
      <w:proofErr w:type="spellStart"/>
      <w:r w:rsidR="00E46E00" w:rsidRPr="003169A1">
        <w:rPr>
          <w:sz w:val="22"/>
          <w:szCs w:val="22"/>
        </w:rPr>
        <w:t>nutrition</w:t>
      </w:r>
      <w:proofErr w:type="spellEnd"/>
      <w:r w:rsidR="00E46E00">
        <w:rPr>
          <w:sz w:val="22"/>
          <w:szCs w:val="22"/>
        </w:rPr>
        <w:t xml:space="preserve">, </w:t>
      </w:r>
      <w:r w:rsidR="00BD7407">
        <w:rPr>
          <w:sz w:val="22"/>
          <w:szCs w:val="22"/>
        </w:rPr>
        <w:t xml:space="preserve">TPN) </w:t>
      </w:r>
      <w:r w:rsidRPr="00CF4824">
        <w:rPr>
          <w:sz w:val="22"/>
          <w:szCs w:val="22"/>
        </w:rPr>
        <w:t xml:space="preserve">môže spôsobiť </w:t>
      </w:r>
      <w:r w:rsidR="00BD7407">
        <w:rPr>
          <w:sz w:val="22"/>
          <w:szCs w:val="22"/>
        </w:rPr>
        <w:t xml:space="preserve">závažné </w:t>
      </w:r>
      <w:r w:rsidRPr="00CF4824">
        <w:rPr>
          <w:sz w:val="22"/>
          <w:szCs w:val="22"/>
        </w:rPr>
        <w:t xml:space="preserve"> až fatálne následky.</w:t>
      </w:r>
    </w:p>
    <w:p w14:paraId="372E1AAB" w14:textId="77777777" w:rsidR="00D14EF0" w:rsidRPr="00CF4824" w:rsidRDefault="00D14EF0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1B7C3CE2" w14:textId="50DA2ABB" w:rsidR="009236D3" w:rsidRPr="00CF4824" w:rsidRDefault="009236D3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2F3A72">
        <w:rPr>
          <w:sz w:val="22"/>
          <w:szCs w:val="22"/>
        </w:rPr>
        <w:t xml:space="preserve">Pri výskyte akýchkoľvek prejavov alebo príznakov alergickej reakcie (akými sú potenie, horúčka, triaška, bolesť hlavy, kožné vyrážky alebo </w:t>
      </w:r>
      <w:proofErr w:type="spellStart"/>
      <w:r w:rsidRPr="002F3A72">
        <w:rPr>
          <w:sz w:val="22"/>
          <w:szCs w:val="22"/>
        </w:rPr>
        <w:t>dyspnoe</w:t>
      </w:r>
      <w:proofErr w:type="spellEnd"/>
      <w:r w:rsidRPr="002F3A72">
        <w:rPr>
          <w:sz w:val="22"/>
          <w:szCs w:val="22"/>
        </w:rPr>
        <w:t>) sa musí podávanie infúzie ihneď zastaviť. Ten</w:t>
      </w:r>
      <w:r w:rsidRPr="00CF4824">
        <w:rPr>
          <w:sz w:val="22"/>
          <w:szCs w:val="22"/>
        </w:rPr>
        <w:t>to liek obsahuje sójový olej a vaječn</w:t>
      </w:r>
      <w:r w:rsidR="00007D1E">
        <w:rPr>
          <w:sz w:val="22"/>
          <w:szCs w:val="22"/>
        </w:rPr>
        <w:t>é</w:t>
      </w:r>
      <w:r w:rsidRPr="00CF4824">
        <w:rPr>
          <w:sz w:val="22"/>
          <w:szCs w:val="22"/>
        </w:rPr>
        <w:t xml:space="preserve"> </w:t>
      </w:r>
      <w:proofErr w:type="spellStart"/>
      <w:r w:rsidRPr="00CF4824">
        <w:rPr>
          <w:sz w:val="22"/>
          <w:szCs w:val="22"/>
        </w:rPr>
        <w:t>fosf</w:t>
      </w:r>
      <w:r w:rsidR="00007D1E">
        <w:rPr>
          <w:sz w:val="22"/>
          <w:szCs w:val="22"/>
        </w:rPr>
        <w:t>olipidy</w:t>
      </w:r>
      <w:proofErr w:type="spellEnd"/>
      <w:r w:rsidRPr="00CF4824">
        <w:rPr>
          <w:sz w:val="22"/>
          <w:szCs w:val="22"/>
        </w:rPr>
        <w:t>. Sójové a vaječné bielkoviny môžu vyvolať reakcie z precitlivenosti. Zaznamenali sa skrížené alergické reakcie medzi sójovými a arašidovými bielkovinami.</w:t>
      </w:r>
    </w:p>
    <w:p w14:paraId="73DED75C" w14:textId="77777777" w:rsidR="00565692" w:rsidRDefault="00565692" w:rsidP="00D91F70">
      <w:pPr>
        <w:pStyle w:val="Paragraph"/>
        <w:spacing w:before="0" w:after="0" w:line="240" w:lineRule="auto"/>
        <w:rPr>
          <w:bCs/>
          <w:sz w:val="22"/>
          <w:szCs w:val="22"/>
        </w:rPr>
      </w:pPr>
    </w:p>
    <w:p w14:paraId="00B05F76" w14:textId="5CA62F7C" w:rsidR="004B23AF" w:rsidRPr="00B36EB2" w:rsidRDefault="00B64E25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bCs/>
          <w:sz w:val="22"/>
          <w:szCs w:val="22"/>
        </w:rPr>
        <w:t>OLIMEL N12E obsahuje glukózu získanú z kukurice, ktorá môže spôsobiť reakcie z precitlivenosti u</w:t>
      </w:r>
      <w:r w:rsidR="00565692">
        <w:rPr>
          <w:bCs/>
          <w:sz w:val="22"/>
          <w:szCs w:val="22"/>
        </w:rPr>
        <w:t> </w:t>
      </w:r>
      <w:r w:rsidRPr="00CF4824">
        <w:rPr>
          <w:bCs/>
          <w:sz w:val="22"/>
          <w:szCs w:val="22"/>
        </w:rPr>
        <w:t>pacientov s</w:t>
      </w:r>
      <w:r w:rsidRPr="00CF4824">
        <w:rPr>
          <w:sz w:val="22"/>
          <w:szCs w:val="22"/>
        </w:rPr>
        <w:t xml:space="preserve"> </w:t>
      </w:r>
      <w:r w:rsidRPr="00CF4824">
        <w:rPr>
          <w:bCs/>
          <w:sz w:val="22"/>
          <w:szCs w:val="22"/>
        </w:rPr>
        <w:t xml:space="preserve">alergiou na kukuricu alebo </w:t>
      </w:r>
      <w:r w:rsidR="00B36EB2">
        <w:rPr>
          <w:bCs/>
          <w:sz w:val="22"/>
          <w:szCs w:val="22"/>
        </w:rPr>
        <w:t>výrobky z kukurice</w:t>
      </w:r>
      <w:r w:rsidRPr="00B36EB2">
        <w:rPr>
          <w:bCs/>
          <w:sz w:val="22"/>
          <w:szCs w:val="22"/>
        </w:rPr>
        <w:t xml:space="preserve"> (pozri časť 4.3).</w:t>
      </w:r>
    </w:p>
    <w:p w14:paraId="0EA908EE" w14:textId="77777777" w:rsidR="009E1DD5" w:rsidRPr="00CF4824" w:rsidRDefault="009E1DD5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696CEA92" w14:textId="3D5FB7A2" w:rsidR="00F213C9" w:rsidRPr="003169A1" w:rsidRDefault="00F2555E" w:rsidP="00D91F70">
      <w:pPr>
        <w:pStyle w:val="Paragraph"/>
        <w:spacing w:before="0" w:after="0" w:line="24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C</w:t>
      </w:r>
      <w:r w:rsidR="00F213C9" w:rsidRPr="00F2555E">
        <w:rPr>
          <w:sz w:val="22"/>
          <w:szCs w:val="22"/>
        </w:rPr>
        <w:t>eftriaxón</w:t>
      </w:r>
      <w:proofErr w:type="spellEnd"/>
      <w:r w:rsidR="00F213C9" w:rsidRPr="00F2555E">
        <w:rPr>
          <w:sz w:val="22"/>
          <w:szCs w:val="22"/>
        </w:rPr>
        <w:t xml:space="preserve"> sa nesmie miešať alebo podávať spoločne s</w:t>
      </w:r>
      <w:r w:rsidR="003169A1">
        <w:rPr>
          <w:sz w:val="22"/>
          <w:szCs w:val="22"/>
        </w:rPr>
        <w:t> </w:t>
      </w:r>
      <w:r w:rsidR="00F213C9" w:rsidRPr="00F2555E">
        <w:rPr>
          <w:sz w:val="22"/>
          <w:szCs w:val="22"/>
        </w:rPr>
        <w:t>akýmikoľvek</w:t>
      </w:r>
      <w:r w:rsidR="003169A1">
        <w:rPr>
          <w:sz w:val="22"/>
          <w:szCs w:val="22"/>
        </w:rPr>
        <w:t xml:space="preserve"> intravenóznymi</w:t>
      </w:r>
      <w:r w:rsidR="00F213C9" w:rsidRPr="00F2555E">
        <w:rPr>
          <w:sz w:val="22"/>
          <w:szCs w:val="22"/>
        </w:rPr>
        <w:t xml:space="preserve"> roztokmi s obsahom vápnika, </w:t>
      </w:r>
      <w:r w:rsidR="003169A1">
        <w:rPr>
          <w:sz w:val="22"/>
          <w:szCs w:val="22"/>
        </w:rPr>
        <w:t>ani v prípade, že</w:t>
      </w:r>
      <w:r w:rsidR="00F213C9" w:rsidRPr="00F2555E">
        <w:rPr>
          <w:sz w:val="22"/>
          <w:szCs w:val="22"/>
        </w:rPr>
        <w:t xml:space="preserve"> sú podávané</w:t>
      </w:r>
      <w:r w:rsidR="00F213C9" w:rsidRPr="003169A1">
        <w:rPr>
          <w:sz w:val="22"/>
          <w:szCs w:val="22"/>
        </w:rPr>
        <w:t xml:space="preserve"> </w:t>
      </w:r>
      <w:r w:rsidR="003169A1">
        <w:rPr>
          <w:sz w:val="22"/>
          <w:szCs w:val="22"/>
        </w:rPr>
        <w:t xml:space="preserve">cez rôzne </w:t>
      </w:r>
      <w:proofErr w:type="spellStart"/>
      <w:r w:rsidR="003169A1">
        <w:rPr>
          <w:sz w:val="22"/>
          <w:szCs w:val="22"/>
        </w:rPr>
        <w:t>infúzne</w:t>
      </w:r>
      <w:proofErr w:type="spellEnd"/>
      <w:r w:rsidR="003169A1">
        <w:rPr>
          <w:sz w:val="22"/>
          <w:szCs w:val="22"/>
        </w:rPr>
        <w:t xml:space="preserve"> linky alebo do rôznych miest </w:t>
      </w:r>
      <w:r w:rsidR="00F213C9" w:rsidRPr="003169A1">
        <w:rPr>
          <w:sz w:val="22"/>
          <w:szCs w:val="22"/>
        </w:rPr>
        <w:t xml:space="preserve">podania. </w:t>
      </w:r>
      <w:proofErr w:type="spellStart"/>
      <w:r w:rsidR="00F213C9" w:rsidRPr="003169A1">
        <w:rPr>
          <w:sz w:val="22"/>
          <w:szCs w:val="22"/>
        </w:rPr>
        <w:t>Ceftriaxón</w:t>
      </w:r>
      <w:proofErr w:type="spellEnd"/>
      <w:r w:rsidR="00F213C9" w:rsidRPr="003169A1">
        <w:rPr>
          <w:sz w:val="22"/>
          <w:szCs w:val="22"/>
        </w:rPr>
        <w:t xml:space="preserve"> a roztoky obsahujúce vápnik môžu byť podané postupne jeden po druhom za predpokladu, že budú použité </w:t>
      </w:r>
      <w:proofErr w:type="spellStart"/>
      <w:r w:rsidR="00F213C9" w:rsidRPr="003169A1">
        <w:rPr>
          <w:sz w:val="22"/>
          <w:szCs w:val="22"/>
        </w:rPr>
        <w:t>infúzne</w:t>
      </w:r>
      <w:proofErr w:type="spellEnd"/>
      <w:r w:rsidR="00F213C9" w:rsidRPr="003169A1">
        <w:rPr>
          <w:sz w:val="22"/>
          <w:szCs w:val="22"/>
        </w:rPr>
        <w:t xml:space="preserve"> linky do rôznych miest podania alebo že sa </w:t>
      </w:r>
      <w:proofErr w:type="spellStart"/>
      <w:r w:rsidR="00F213C9" w:rsidRPr="003169A1">
        <w:rPr>
          <w:sz w:val="22"/>
          <w:szCs w:val="22"/>
        </w:rPr>
        <w:t>infúzne</w:t>
      </w:r>
      <w:proofErr w:type="spellEnd"/>
      <w:r w:rsidR="00F213C9" w:rsidRPr="003169A1">
        <w:rPr>
          <w:sz w:val="22"/>
          <w:szCs w:val="22"/>
        </w:rPr>
        <w:t xml:space="preserve"> linky vymenia alebo dôkladne prepláchnu fyziologickým slaným roztokom medzi infúziami, aby sa zabránilo vyzrážaniu. U pacientov vyžadujúcich nepretržitú infúziu roztokov celkovej </w:t>
      </w:r>
      <w:proofErr w:type="spellStart"/>
      <w:r w:rsidR="00F213C9" w:rsidRPr="003169A1">
        <w:rPr>
          <w:sz w:val="22"/>
          <w:szCs w:val="22"/>
        </w:rPr>
        <w:t>parenterálnej</w:t>
      </w:r>
      <w:proofErr w:type="spellEnd"/>
      <w:r w:rsidR="00F213C9" w:rsidRPr="003169A1">
        <w:rPr>
          <w:sz w:val="22"/>
          <w:szCs w:val="22"/>
        </w:rPr>
        <w:t xml:space="preserve"> výživy (TPN) obsahujúcej vápnik môžu zdravotnícki pracovníci zvážiť použitie alternatívnych foriem antibakteriálnej liečby, ktoré nepredstavujú podobné riziko vyzrážania. Ak sa použitie </w:t>
      </w:r>
      <w:proofErr w:type="spellStart"/>
      <w:r w:rsidR="00F213C9" w:rsidRPr="003169A1">
        <w:rPr>
          <w:sz w:val="22"/>
          <w:szCs w:val="22"/>
        </w:rPr>
        <w:t>ceftriaxónu</w:t>
      </w:r>
      <w:proofErr w:type="spellEnd"/>
      <w:r w:rsidR="00F213C9" w:rsidRPr="003169A1">
        <w:rPr>
          <w:sz w:val="22"/>
          <w:szCs w:val="22"/>
        </w:rPr>
        <w:t xml:space="preserve"> považuje za nevyhnutné u pacientov vyžadujúcich nepretržitú výživu, TPN roztoky a </w:t>
      </w:r>
      <w:proofErr w:type="spellStart"/>
      <w:r w:rsidR="00F213C9" w:rsidRPr="003169A1">
        <w:rPr>
          <w:sz w:val="22"/>
          <w:szCs w:val="22"/>
        </w:rPr>
        <w:t>ceftriaxón</w:t>
      </w:r>
      <w:proofErr w:type="spellEnd"/>
      <w:r w:rsidR="00F213C9" w:rsidRPr="003169A1">
        <w:rPr>
          <w:sz w:val="22"/>
          <w:szCs w:val="22"/>
        </w:rPr>
        <w:t xml:space="preserve"> sa môžu podávať súčasne, ale cez rozdielne </w:t>
      </w:r>
      <w:proofErr w:type="spellStart"/>
      <w:r w:rsidR="00F213C9" w:rsidRPr="003169A1">
        <w:rPr>
          <w:sz w:val="22"/>
          <w:szCs w:val="22"/>
        </w:rPr>
        <w:t>infúzne</w:t>
      </w:r>
      <w:proofErr w:type="spellEnd"/>
      <w:r w:rsidR="00F213C9" w:rsidRPr="003169A1">
        <w:rPr>
          <w:sz w:val="22"/>
          <w:szCs w:val="22"/>
        </w:rPr>
        <w:t xml:space="preserve"> linky do rôznych miest podania. Alternatívne sa môže infúzia TPN roztoku prerušiť na dobu infúzie </w:t>
      </w:r>
      <w:proofErr w:type="spellStart"/>
      <w:r w:rsidR="00F213C9" w:rsidRPr="003169A1">
        <w:rPr>
          <w:sz w:val="22"/>
          <w:szCs w:val="22"/>
        </w:rPr>
        <w:t>ceftriaxónu</w:t>
      </w:r>
      <w:proofErr w:type="spellEnd"/>
      <w:r w:rsidR="00F213C9" w:rsidRPr="003169A1">
        <w:rPr>
          <w:sz w:val="22"/>
          <w:szCs w:val="22"/>
        </w:rPr>
        <w:t xml:space="preserve"> a </w:t>
      </w:r>
      <w:proofErr w:type="spellStart"/>
      <w:r w:rsidR="00F213C9" w:rsidRPr="003169A1">
        <w:rPr>
          <w:sz w:val="22"/>
          <w:szCs w:val="22"/>
        </w:rPr>
        <w:t>infúzne</w:t>
      </w:r>
      <w:proofErr w:type="spellEnd"/>
      <w:r w:rsidR="00F213C9" w:rsidRPr="003169A1">
        <w:rPr>
          <w:sz w:val="22"/>
          <w:szCs w:val="22"/>
        </w:rPr>
        <w:t xml:space="preserve"> linky prepláchnuť medzi podaním roztokov (pozri časti 4.5 a 6.2).</w:t>
      </w:r>
    </w:p>
    <w:p w14:paraId="6D866CFF" w14:textId="77777777" w:rsidR="009E1DD5" w:rsidRPr="00CF4824" w:rsidRDefault="009E1DD5" w:rsidP="00D91F70">
      <w:pPr>
        <w:pStyle w:val="Paragraph"/>
        <w:spacing w:before="0" w:after="0" w:line="240" w:lineRule="auto"/>
        <w:rPr>
          <w:iCs/>
          <w:sz w:val="22"/>
          <w:szCs w:val="22"/>
        </w:rPr>
      </w:pPr>
    </w:p>
    <w:p w14:paraId="26DE86EB" w14:textId="1FA47531" w:rsidR="005F796E" w:rsidRPr="008343B2" w:rsidRDefault="005F796E" w:rsidP="00D91F70">
      <w:pPr>
        <w:pStyle w:val="Paragraph"/>
        <w:spacing w:before="0" w:after="0" w:line="240" w:lineRule="auto"/>
        <w:rPr>
          <w:iCs/>
          <w:sz w:val="22"/>
          <w:szCs w:val="22"/>
        </w:rPr>
      </w:pPr>
      <w:r w:rsidRPr="00CF4824">
        <w:rPr>
          <w:iCs/>
          <w:sz w:val="22"/>
          <w:szCs w:val="22"/>
        </w:rPr>
        <w:t>U</w:t>
      </w:r>
      <w:r w:rsidR="008E5DC2">
        <w:rPr>
          <w:iCs/>
          <w:sz w:val="22"/>
          <w:szCs w:val="22"/>
        </w:rPr>
        <w:t> </w:t>
      </w:r>
      <w:r w:rsidRPr="00CF4824">
        <w:rPr>
          <w:iCs/>
          <w:sz w:val="22"/>
          <w:szCs w:val="22"/>
        </w:rPr>
        <w:t>pacientov</w:t>
      </w:r>
      <w:r w:rsidR="008E5DC2">
        <w:rPr>
          <w:iCs/>
          <w:sz w:val="22"/>
          <w:szCs w:val="22"/>
        </w:rPr>
        <w:t>,</w:t>
      </w:r>
      <w:r w:rsidRPr="00CF4824">
        <w:rPr>
          <w:iCs/>
          <w:sz w:val="22"/>
          <w:szCs w:val="22"/>
        </w:rPr>
        <w:t xml:space="preserve"> </w:t>
      </w:r>
      <w:r w:rsidR="008E5DC2">
        <w:rPr>
          <w:iCs/>
          <w:sz w:val="22"/>
          <w:szCs w:val="22"/>
        </w:rPr>
        <w:t xml:space="preserve">ktorí </w:t>
      </w:r>
      <w:r w:rsidRPr="00CF4824">
        <w:rPr>
          <w:iCs/>
          <w:sz w:val="22"/>
          <w:szCs w:val="22"/>
        </w:rPr>
        <w:t xml:space="preserve">dostávajú </w:t>
      </w:r>
      <w:proofErr w:type="spellStart"/>
      <w:r w:rsidRPr="00CF4824">
        <w:rPr>
          <w:iCs/>
          <w:sz w:val="22"/>
          <w:szCs w:val="22"/>
        </w:rPr>
        <w:t>parenterálnu</w:t>
      </w:r>
      <w:proofErr w:type="spellEnd"/>
      <w:r w:rsidRPr="00CF4824">
        <w:rPr>
          <w:iCs/>
          <w:sz w:val="22"/>
          <w:szCs w:val="22"/>
        </w:rPr>
        <w:t xml:space="preserve"> výživu</w:t>
      </w:r>
      <w:r w:rsidR="008E5DC2">
        <w:rPr>
          <w:iCs/>
          <w:sz w:val="22"/>
          <w:szCs w:val="22"/>
        </w:rPr>
        <w:t>,</w:t>
      </w:r>
      <w:r w:rsidRPr="00CF4824">
        <w:rPr>
          <w:iCs/>
          <w:sz w:val="22"/>
          <w:szCs w:val="22"/>
        </w:rPr>
        <w:t xml:space="preserve"> boli hlásené zrazeniny v pľúcnych cievach spôsobujúce pľúcnu cievnu embóliu a respiračnú tieseň, v niektorých prípadoch s fatálnym koncom. </w:t>
      </w:r>
      <w:r w:rsidR="008B0897">
        <w:rPr>
          <w:iCs/>
          <w:sz w:val="22"/>
          <w:szCs w:val="22"/>
        </w:rPr>
        <w:t>Nadmerné pridanie</w:t>
      </w:r>
      <w:r w:rsidRPr="008B0897">
        <w:rPr>
          <w:iCs/>
          <w:sz w:val="22"/>
          <w:szCs w:val="22"/>
        </w:rPr>
        <w:t xml:space="preserve"> vápnika a fosfát</w:t>
      </w:r>
      <w:r w:rsidR="00307EAA">
        <w:rPr>
          <w:iCs/>
          <w:sz w:val="22"/>
          <w:szCs w:val="22"/>
        </w:rPr>
        <w:t>u</w:t>
      </w:r>
      <w:r w:rsidRPr="008B0897">
        <w:rPr>
          <w:iCs/>
          <w:sz w:val="22"/>
          <w:szCs w:val="22"/>
        </w:rPr>
        <w:t xml:space="preserve"> </w:t>
      </w:r>
      <w:r w:rsidR="00FC1BB3">
        <w:rPr>
          <w:iCs/>
          <w:sz w:val="22"/>
          <w:szCs w:val="22"/>
        </w:rPr>
        <w:t>zvyšuje</w:t>
      </w:r>
      <w:r w:rsidRPr="008B0897">
        <w:rPr>
          <w:iCs/>
          <w:sz w:val="22"/>
          <w:szCs w:val="22"/>
        </w:rPr>
        <w:t xml:space="preserve"> riziko tvorby vápenato</w:t>
      </w:r>
      <w:r w:rsidR="00FC1BB3">
        <w:rPr>
          <w:iCs/>
          <w:sz w:val="22"/>
          <w:szCs w:val="22"/>
        </w:rPr>
        <w:t>-</w:t>
      </w:r>
      <w:r w:rsidRPr="008B0897">
        <w:rPr>
          <w:iCs/>
          <w:sz w:val="22"/>
          <w:szCs w:val="22"/>
        </w:rPr>
        <w:t xml:space="preserve">fosfátových zrazenín </w:t>
      </w:r>
      <w:r w:rsidRPr="008B0897">
        <w:rPr>
          <w:rFonts w:eastAsia="Batang"/>
          <w:sz w:val="22"/>
          <w:szCs w:val="22"/>
        </w:rPr>
        <w:t>(pozri časť 6.2)</w:t>
      </w:r>
      <w:r w:rsidRPr="008B0897">
        <w:rPr>
          <w:iCs/>
          <w:sz w:val="22"/>
          <w:szCs w:val="22"/>
        </w:rPr>
        <w:t xml:space="preserve">. Bolo hlásené aj podozrenie na tvorbu zrazenín v krvnom obehu. </w:t>
      </w:r>
      <w:r w:rsidRPr="008B0897">
        <w:rPr>
          <w:sz w:val="22"/>
          <w:szCs w:val="22"/>
        </w:rPr>
        <w:br/>
      </w:r>
      <w:r w:rsidRPr="00CF4824">
        <w:rPr>
          <w:iCs/>
          <w:sz w:val="22"/>
          <w:szCs w:val="22"/>
        </w:rPr>
        <w:t xml:space="preserve">Okrem vizuálnej kontroly roztoku sa majú pravidelne kontrolovať aj </w:t>
      </w:r>
      <w:proofErr w:type="spellStart"/>
      <w:r w:rsidRPr="00CF4824">
        <w:rPr>
          <w:iCs/>
          <w:sz w:val="22"/>
          <w:szCs w:val="22"/>
        </w:rPr>
        <w:t>infúzna</w:t>
      </w:r>
      <w:proofErr w:type="spellEnd"/>
      <w:r w:rsidRPr="00CF4824">
        <w:rPr>
          <w:iCs/>
          <w:sz w:val="22"/>
          <w:szCs w:val="22"/>
        </w:rPr>
        <w:t xml:space="preserve"> súprava a katéter, či sa v nich nevytvorila zrazenina. </w:t>
      </w:r>
      <w:r w:rsidRPr="00CF4824">
        <w:rPr>
          <w:sz w:val="22"/>
          <w:szCs w:val="22"/>
        </w:rPr>
        <w:br/>
      </w:r>
      <w:r w:rsidRPr="00CF4824">
        <w:rPr>
          <w:iCs/>
          <w:sz w:val="22"/>
          <w:szCs w:val="22"/>
        </w:rPr>
        <w:t xml:space="preserve">Ak sa vyskytnú </w:t>
      </w:r>
      <w:r w:rsidR="008343B2">
        <w:rPr>
          <w:iCs/>
          <w:sz w:val="22"/>
          <w:szCs w:val="22"/>
        </w:rPr>
        <w:t>prejavy</w:t>
      </w:r>
      <w:r w:rsidRPr="008343B2">
        <w:rPr>
          <w:iCs/>
          <w:sz w:val="22"/>
          <w:szCs w:val="22"/>
        </w:rPr>
        <w:t xml:space="preserve"> respiračnej tiesne, infúzia sa má zastaviť a má sa </w:t>
      </w:r>
      <w:r w:rsidR="008343B2">
        <w:rPr>
          <w:iCs/>
          <w:sz w:val="22"/>
          <w:szCs w:val="22"/>
        </w:rPr>
        <w:t xml:space="preserve">začať </w:t>
      </w:r>
      <w:r w:rsidRPr="008343B2">
        <w:rPr>
          <w:iCs/>
          <w:sz w:val="22"/>
          <w:szCs w:val="22"/>
        </w:rPr>
        <w:t xml:space="preserve"> lekárske vyšetrenie.</w:t>
      </w:r>
    </w:p>
    <w:p w14:paraId="666BBB5A" w14:textId="77777777" w:rsidR="009E1DD5" w:rsidRPr="00CF4824" w:rsidRDefault="009E1DD5" w:rsidP="00D91F70">
      <w:pPr>
        <w:pStyle w:val="Paragraph"/>
        <w:spacing w:before="0" w:after="0" w:line="240" w:lineRule="auto"/>
        <w:rPr>
          <w:iCs/>
          <w:sz w:val="22"/>
          <w:szCs w:val="22"/>
        </w:rPr>
      </w:pPr>
    </w:p>
    <w:p w14:paraId="5567E14E" w14:textId="7931A993" w:rsidR="00566510" w:rsidRPr="00CF4824" w:rsidRDefault="00566510" w:rsidP="00D91F70">
      <w:pPr>
        <w:pStyle w:val="Paragraph"/>
        <w:spacing w:before="0" w:after="0" w:line="240" w:lineRule="auto"/>
        <w:rPr>
          <w:iCs/>
          <w:sz w:val="22"/>
          <w:szCs w:val="22"/>
        </w:rPr>
      </w:pPr>
      <w:r w:rsidRPr="00CF4824">
        <w:rPr>
          <w:iCs/>
          <w:sz w:val="22"/>
          <w:szCs w:val="22"/>
        </w:rPr>
        <w:t xml:space="preserve">Nepridávajte iné lieky alebo látky do žiadnej z komôr vaku alebo do pripravenej emulzie bez toho, </w:t>
      </w:r>
      <w:r w:rsidR="008C268D">
        <w:rPr>
          <w:iCs/>
          <w:sz w:val="22"/>
          <w:szCs w:val="22"/>
        </w:rPr>
        <w:t>a</w:t>
      </w:r>
      <w:r w:rsidRPr="008C268D">
        <w:rPr>
          <w:iCs/>
          <w:sz w:val="22"/>
          <w:szCs w:val="22"/>
        </w:rPr>
        <w:t xml:space="preserve">by ste najprv overili kompatibilitu a stabilitu výsledného lieku (najmä stabilitu </w:t>
      </w:r>
      <w:proofErr w:type="spellStart"/>
      <w:r w:rsidR="00307EAA">
        <w:rPr>
          <w:iCs/>
          <w:sz w:val="22"/>
          <w:szCs w:val="22"/>
        </w:rPr>
        <w:t>lipidovej</w:t>
      </w:r>
      <w:proofErr w:type="spellEnd"/>
      <w:r w:rsidR="00307EAA">
        <w:rPr>
          <w:iCs/>
          <w:sz w:val="22"/>
          <w:szCs w:val="22"/>
        </w:rPr>
        <w:t xml:space="preserve"> </w:t>
      </w:r>
      <w:r w:rsidRPr="008C268D">
        <w:rPr>
          <w:iCs/>
          <w:sz w:val="22"/>
          <w:szCs w:val="22"/>
        </w:rPr>
        <w:t>emulzie). V</w:t>
      </w:r>
      <w:r w:rsidRPr="00CF4824">
        <w:rPr>
          <w:iCs/>
          <w:sz w:val="22"/>
          <w:szCs w:val="22"/>
        </w:rPr>
        <w:t xml:space="preserve">znik zrazenín alebo destabilizácia </w:t>
      </w:r>
      <w:proofErr w:type="spellStart"/>
      <w:r w:rsidR="00307EAA">
        <w:rPr>
          <w:iCs/>
          <w:sz w:val="22"/>
          <w:szCs w:val="22"/>
        </w:rPr>
        <w:t>lipidovej</w:t>
      </w:r>
      <w:proofErr w:type="spellEnd"/>
      <w:r w:rsidR="00307EAA">
        <w:rPr>
          <w:iCs/>
          <w:sz w:val="22"/>
          <w:szCs w:val="22"/>
        </w:rPr>
        <w:t xml:space="preserve"> </w:t>
      </w:r>
      <w:r w:rsidRPr="00CF4824">
        <w:rPr>
          <w:iCs/>
          <w:sz w:val="22"/>
          <w:szCs w:val="22"/>
        </w:rPr>
        <w:t xml:space="preserve">emulzie môžu spôsobiť cievnu </w:t>
      </w:r>
      <w:proofErr w:type="spellStart"/>
      <w:r w:rsidRPr="00CF4824">
        <w:rPr>
          <w:iCs/>
          <w:sz w:val="22"/>
          <w:szCs w:val="22"/>
        </w:rPr>
        <w:t>oklúziu</w:t>
      </w:r>
      <w:proofErr w:type="spellEnd"/>
      <w:r w:rsidRPr="00CF4824">
        <w:rPr>
          <w:iCs/>
          <w:sz w:val="22"/>
          <w:szCs w:val="22"/>
        </w:rPr>
        <w:t xml:space="preserve"> (pozri časti 6.2 a 6.6).</w:t>
      </w:r>
    </w:p>
    <w:p w14:paraId="5768AFEE" w14:textId="77777777" w:rsidR="009E1DD5" w:rsidRPr="00CF4824" w:rsidRDefault="009E1DD5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7E3C1F8F" w14:textId="4C005CB1" w:rsidR="00566510" w:rsidRPr="00CF4824" w:rsidRDefault="00566510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B0B7B">
        <w:rPr>
          <w:sz w:val="22"/>
          <w:szCs w:val="22"/>
        </w:rPr>
        <w:lastRenderedPageBreak/>
        <w:t>Infekcia cievneho prístupu</w:t>
      </w:r>
      <w:r w:rsidRPr="002C161F">
        <w:rPr>
          <w:sz w:val="22"/>
          <w:szCs w:val="22"/>
        </w:rPr>
        <w:t xml:space="preserve"> a sepsa sú komplikácie, ktoré sa môžu vyskytnúť u pacientov prijímajúcich </w:t>
      </w:r>
      <w:proofErr w:type="spellStart"/>
      <w:r w:rsidRPr="002C161F">
        <w:rPr>
          <w:sz w:val="22"/>
          <w:szCs w:val="22"/>
        </w:rPr>
        <w:t>parenterálnu</w:t>
      </w:r>
      <w:proofErr w:type="spellEnd"/>
      <w:r w:rsidRPr="002C161F">
        <w:rPr>
          <w:sz w:val="22"/>
          <w:szCs w:val="22"/>
        </w:rPr>
        <w:t xml:space="preserve"> výživu, najmä v prípade</w:t>
      </w:r>
      <w:r w:rsidRPr="008C268D">
        <w:rPr>
          <w:sz w:val="22"/>
          <w:szCs w:val="22"/>
        </w:rPr>
        <w:t xml:space="preserve"> nedostatočne</w:t>
      </w:r>
      <w:r w:rsidRPr="00CF4824">
        <w:rPr>
          <w:sz w:val="22"/>
          <w:szCs w:val="22"/>
        </w:rPr>
        <w:t xml:space="preserve">j starostlivosti o katétre, </w:t>
      </w:r>
      <w:proofErr w:type="spellStart"/>
      <w:r w:rsidRPr="00CF4824">
        <w:rPr>
          <w:sz w:val="22"/>
          <w:szCs w:val="22"/>
        </w:rPr>
        <w:t>imunosupresívnych</w:t>
      </w:r>
      <w:proofErr w:type="spellEnd"/>
      <w:r w:rsidRPr="00CF4824">
        <w:rPr>
          <w:sz w:val="22"/>
          <w:szCs w:val="22"/>
        </w:rPr>
        <w:t xml:space="preserve"> účinkov ochorenia alebo liekov. Dôkladné sledovanie prejavov, príznakov a výsledkov laboratórnych testov na prítomnosť horúčky/triašky, leukocytózy, technických komplikácií s prístupovým zariadením a hyperglykémie, môžu napomôcť skorému rozpoznaniu infekcie. Pacienti</w:t>
      </w:r>
      <w:r w:rsidR="002C161F">
        <w:rPr>
          <w:sz w:val="22"/>
          <w:szCs w:val="22"/>
        </w:rPr>
        <w:t>,</w:t>
      </w:r>
      <w:r w:rsidRPr="00CF4824">
        <w:rPr>
          <w:sz w:val="22"/>
          <w:szCs w:val="22"/>
        </w:rPr>
        <w:t xml:space="preserve"> ktorí potrebujú </w:t>
      </w:r>
      <w:proofErr w:type="spellStart"/>
      <w:r w:rsidRPr="00CF4824">
        <w:rPr>
          <w:sz w:val="22"/>
          <w:szCs w:val="22"/>
        </w:rPr>
        <w:t>parenterálnu</w:t>
      </w:r>
      <w:proofErr w:type="spellEnd"/>
      <w:r w:rsidRPr="00CF4824">
        <w:rPr>
          <w:sz w:val="22"/>
          <w:szCs w:val="22"/>
        </w:rPr>
        <w:t xml:space="preserve"> výživu, majú často </w:t>
      </w:r>
      <w:proofErr w:type="spellStart"/>
      <w:r w:rsidRPr="00CF4824">
        <w:rPr>
          <w:sz w:val="22"/>
          <w:szCs w:val="22"/>
        </w:rPr>
        <w:t>predispozíciu</w:t>
      </w:r>
      <w:proofErr w:type="spellEnd"/>
      <w:r w:rsidRPr="00CF4824">
        <w:rPr>
          <w:sz w:val="22"/>
          <w:szCs w:val="22"/>
        </w:rPr>
        <w:t xml:space="preserve"> na infekčné komplikácie ako následok nedostatočnej výživy a/alebo základného ochorenia. Výskyt septických komplikácií môže poklesnúť zvýšením dôrazu na aseptické techniky pri zavádzaní a starostlivosti o katéter, ako aj na aseptické techniky pri príprave výživy.</w:t>
      </w:r>
    </w:p>
    <w:p w14:paraId="2A83D8D8" w14:textId="77777777" w:rsidR="009E1DD5" w:rsidRPr="00CF4824" w:rsidRDefault="009E1DD5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3651416B" w14:textId="66321606" w:rsidR="00CD1799" w:rsidRPr="00CF4824" w:rsidRDefault="00CD1799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>Pri začiatku podávania intravenóznej infúzie je potrebné špecifické klinické sledovanie.</w:t>
      </w:r>
    </w:p>
    <w:p w14:paraId="60B052A4" w14:textId="1304623C" w:rsidR="00CD1799" w:rsidRPr="00CF4824" w:rsidRDefault="00CD1799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 xml:space="preserve">Pred začiatkom podávania infúzie je nutné upraviť </w:t>
      </w:r>
      <w:r w:rsidR="003F14FD">
        <w:rPr>
          <w:sz w:val="22"/>
          <w:szCs w:val="22"/>
        </w:rPr>
        <w:t xml:space="preserve">závažné </w:t>
      </w:r>
      <w:r w:rsidRPr="00CF4824">
        <w:rPr>
          <w:sz w:val="22"/>
          <w:szCs w:val="22"/>
        </w:rPr>
        <w:t xml:space="preserve">poruchy rovnováhy vody a elektrolytov, </w:t>
      </w:r>
      <w:r w:rsidR="003F14FD">
        <w:rPr>
          <w:sz w:val="22"/>
          <w:szCs w:val="22"/>
        </w:rPr>
        <w:t>zá</w:t>
      </w:r>
      <w:r w:rsidRPr="00CF4824">
        <w:rPr>
          <w:sz w:val="22"/>
          <w:szCs w:val="22"/>
        </w:rPr>
        <w:t>v</w:t>
      </w:r>
      <w:r w:rsidR="003F14FD">
        <w:rPr>
          <w:sz w:val="22"/>
          <w:szCs w:val="22"/>
        </w:rPr>
        <w:t>a</w:t>
      </w:r>
      <w:r w:rsidRPr="00CF4824">
        <w:rPr>
          <w:sz w:val="22"/>
          <w:szCs w:val="22"/>
        </w:rPr>
        <w:t>žn</w:t>
      </w:r>
      <w:r w:rsidR="003F14FD">
        <w:rPr>
          <w:sz w:val="22"/>
          <w:szCs w:val="22"/>
        </w:rPr>
        <w:t>é</w:t>
      </w:r>
      <w:r w:rsidRPr="00CF4824">
        <w:rPr>
          <w:sz w:val="22"/>
          <w:szCs w:val="22"/>
        </w:rPr>
        <w:t xml:space="preserve"> stavy preťaženia </w:t>
      </w:r>
      <w:r w:rsidR="003F14FD">
        <w:rPr>
          <w:sz w:val="22"/>
          <w:szCs w:val="22"/>
        </w:rPr>
        <w:t xml:space="preserve">tekutinou </w:t>
      </w:r>
      <w:r w:rsidRPr="00CF4824">
        <w:rPr>
          <w:sz w:val="22"/>
          <w:szCs w:val="22"/>
        </w:rPr>
        <w:t xml:space="preserve">a </w:t>
      </w:r>
      <w:r w:rsidR="003F14FD">
        <w:rPr>
          <w:sz w:val="22"/>
          <w:szCs w:val="22"/>
        </w:rPr>
        <w:t>zá</w:t>
      </w:r>
      <w:r w:rsidRPr="00CF4824">
        <w:rPr>
          <w:sz w:val="22"/>
          <w:szCs w:val="22"/>
        </w:rPr>
        <w:t>v</w:t>
      </w:r>
      <w:r w:rsidR="003F14FD">
        <w:rPr>
          <w:sz w:val="22"/>
          <w:szCs w:val="22"/>
        </w:rPr>
        <w:t>a</w:t>
      </w:r>
      <w:r w:rsidRPr="00CF4824">
        <w:rPr>
          <w:sz w:val="22"/>
          <w:szCs w:val="22"/>
        </w:rPr>
        <w:t>žn</w:t>
      </w:r>
      <w:r w:rsidR="003F14FD">
        <w:rPr>
          <w:sz w:val="22"/>
          <w:szCs w:val="22"/>
        </w:rPr>
        <w:t>é</w:t>
      </w:r>
      <w:r w:rsidRPr="00CF4824">
        <w:rPr>
          <w:sz w:val="22"/>
          <w:szCs w:val="22"/>
        </w:rPr>
        <w:t xml:space="preserve"> metabolické poruchy.</w:t>
      </w:r>
    </w:p>
    <w:p w14:paraId="5763A1E1" w14:textId="77777777" w:rsidR="009E1DD5" w:rsidRPr="00CF4824" w:rsidRDefault="009E1DD5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30E0DADE" w14:textId="7D73D843" w:rsidR="009236D3" w:rsidRPr="00CF4824" w:rsidRDefault="009236D3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 xml:space="preserve">Počas celej liečby </w:t>
      </w:r>
      <w:r w:rsidR="0094686B">
        <w:rPr>
          <w:sz w:val="22"/>
          <w:szCs w:val="22"/>
        </w:rPr>
        <w:t>je potrebné</w:t>
      </w:r>
      <w:r w:rsidRPr="00CF4824">
        <w:rPr>
          <w:sz w:val="22"/>
          <w:szCs w:val="22"/>
        </w:rPr>
        <w:t xml:space="preserve"> sledovať rovnováhu vody a elektrolytov, </w:t>
      </w:r>
      <w:proofErr w:type="spellStart"/>
      <w:r w:rsidRPr="00CF4824">
        <w:rPr>
          <w:sz w:val="22"/>
          <w:szCs w:val="22"/>
        </w:rPr>
        <w:t>osmolaritu</w:t>
      </w:r>
      <w:proofErr w:type="spellEnd"/>
      <w:r w:rsidRPr="00CF4824">
        <w:rPr>
          <w:sz w:val="22"/>
          <w:szCs w:val="22"/>
        </w:rPr>
        <w:t xml:space="preserve"> séra, sérové </w:t>
      </w:r>
      <w:proofErr w:type="spellStart"/>
      <w:r w:rsidRPr="00CF4824">
        <w:rPr>
          <w:sz w:val="22"/>
          <w:szCs w:val="22"/>
        </w:rPr>
        <w:t>tri</w:t>
      </w:r>
      <w:r w:rsidR="0004132E">
        <w:rPr>
          <w:sz w:val="22"/>
          <w:szCs w:val="22"/>
        </w:rPr>
        <w:t>acylglyceroly</w:t>
      </w:r>
      <w:proofErr w:type="spellEnd"/>
      <w:r w:rsidRPr="00CF4824">
        <w:rPr>
          <w:sz w:val="22"/>
          <w:szCs w:val="22"/>
        </w:rPr>
        <w:t>, acidobázickú rovnováhu, glykémiu, výsledky funkčných vyšetrení pečene a obličiek, krvný obraz</w:t>
      </w:r>
      <w:r w:rsidR="0004132E">
        <w:rPr>
          <w:sz w:val="22"/>
          <w:szCs w:val="22"/>
        </w:rPr>
        <w:t>,</w:t>
      </w:r>
      <w:r w:rsidRPr="00CF4824">
        <w:rPr>
          <w:sz w:val="22"/>
          <w:szCs w:val="22"/>
        </w:rPr>
        <w:t xml:space="preserve"> vrátane počtu </w:t>
      </w:r>
      <w:proofErr w:type="spellStart"/>
      <w:r w:rsidRPr="00CF4824">
        <w:rPr>
          <w:sz w:val="22"/>
          <w:szCs w:val="22"/>
        </w:rPr>
        <w:t>trombocytov</w:t>
      </w:r>
      <w:proofErr w:type="spellEnd"/>
      <w:r w:rsidRPr="00CF4824">
        <w:rPr>
          <w:sz w:val="22"/>
          <w:szCs w:val="22"/>
        </w:rPr>
        <w:t xml:space="preserve"> a koagulačné </w:t>
      </w:r>
      <w:r w:rsidR="0004132E">
        <w:rPr>
          <w:sz w:val="22"/>
          <w:szCs w:val="22"/>
        </w:rPr>
        <w:t>testy</w:t>
      </w:r>
      <w:r w:rsidRPr="00CF4824">
        <w:rPr>
          <w:sz w:val="22"/>
          <w:szCs w:val="22"/>
        </w:rPr>
        <w:t>.</w:t>
      </w:r>
    </w:p>
    <w:p w14:paraId="0FC184A9" w14:textId="77777777" w:rsidR="009E1DD5" w:rsidRPr="00CF4824" w:rsidRDefault="009E1DD5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5B027AE2" w14:textId="014356F5" w:rsidR="00125AA0" w:rsidRPr="00CF4824" w:rsidRDefault="00125AA0" w:rsidP="00D91F70">
      <w:pPr>
        <w:pStyle w:val="Paragraph"/>
        <w:spacing w:before="0" w:after="0" w:line="240" w:lineRule="auto"/>
        <w:rPr>
          <w:b/>
          <w:sz w:val="22"/>
          <w:szCs w:val="22"/>
          <w:lang w:val="en-CA"/>
        </w:rPr>
      </w:pPr>
      <w:r w:rsidRPr="00CF4824">
        <w:rPr>
          <w:sz w:val="22"/>
          <w:szCs w:val="22"/>
        </w:rPr>
        <w:t xml:space="preserve">U podobných liekov boli hlásené zvýšené hladiny pečeňových enzýmov a </w:t>
      </w:r>
      <w:proofErr w:type="spellStart"/>
      <w:r w:rsidRPr="00CF4824">
        <w:rPr>
          <w:sz w:val="22"/>
          <w:szCs w:val="22"/>
        </w:rPr>
        <w:t>cholestáza</w:t>
      </w:r>
      <w:proofErr w:type="spellEnd"/>
      <w:r w:rsidRPr="00CF4824">
        <w:rPr>
          <w:sz w:val="22"/>
          <w:szCs w:val="22"/>
        </w:rPr>
        <w:t>. Pri podozrení na</w:t>
      </w:r>
      <w:r w:rsidR="00130314">
        <w:rPr>
          <w:sz w:val="22"/>
          <w:szCs w:val="22"/>
        </w:rPr>
        <w:t> </w:t>
      </w:r>
      <w:proofErr w:type="spellStart"/>
      <w:r w:rsidRPr="00CF4824">
        <w:rPr>
          <w:sz w:val="22"/>
          <w:szCs w:val="22"/>
        </w:rPr>
        <w:t>hepatálnu</w:t>
      </w:r>
      <w:proofErr w:type="spellEnd"/>
      <w:r w:rsidRPr="00CF4824">
        <w:rPr>
          <w:sz w:val="22"/>
          <w:szCs w:val="22"/>
        </w:rPr>
        <w:t xml:space="preserve"> </w:t>
      </w:r>
      <w:proofErr w:type="spellStart"/>
      <w:r w:rsidRPr="00CF4824">
        <w:rPr>
          <w:sz w:val="22"/>
          <w:szCs w:val="22"/>
        </w:rPr>
        <w:t>insuficienciu</w:t>
      </w:r>
      <w:proofErr w:type="spellEnd"/>
      <w:r w:rsidRPr="00CF4824">
        <w:rPr>
          <w:sz w:val="22"/>
          <w:szCs w:val="22"/>
        </w:rPr>
        <w:t xml:space="preserve"> sa má zvážiť sledovanie amoniaku v sére.</w:t>
      </w:r>
    </w:p>
    <w:p w14:paraId="4370C8B5" w14:textId="77777777" w:rsidR="00130314" w:rsidRDefault="00130314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3A45C97D" w14:textId="603C853D" w:rsidR="00125AA0" w:rsidRPr="00CF4824" w:rsidRDefault="00125AA0" w:rsidP="00D91F70">
      <w:pPr>
        <w:pStyle w:val="Paragraph"/>
        <w:spacing w:before="0" w:after="0" w:line="240" w:lineRule="auto"/>
        <w:rPr>
          <w:b/>
          <w:sz w:val="22"/>
          <w:szCs w:val="22"/>
          <w:lang w:val="en-CA"/>
        </w:rPr>
      </w:pPr>
      <w:r w:rsidRPr="00CF4824">
        <w:rPr>
          <w:sz w:val="22"/>
          <w:szCs w:val="22"/>
        </w:rPr>
        <w:t xml:space="preserve">Ak nie je príjem živín upravený podľa požiadaviek pacienta alebo metabolická kapacita ktorejkoľvek zložky stravy nie je presne stanovená, môžu sa vyskytnúť metabolické komplikácie. Nežiaduce metabolické účinky môžu mať príčinu v podaní neadekvátneho alebo nadmerného množstva živín alebo nesprávnom zložení zmesi pre </w:t>
      </w:r>
      <w:r w:rsidR="000B17A0">
        <w:rPr>
          <w:sz w:val="22"/>
          <w:szCs w:val="22"/>
        </w:rPr>
        <w:t>potreby jednotlivého</w:t>
      </w:r>
      <w:r w:rsidRPr="00CF4824">
        <w:rPr>
          <w:sz w:val="22"/>
          <w:szCs w:val="22"/>
        </w:rPr>
        <w:t xml:space="preserve"> pacienta.</w:t>
      </w:r>
    </w:p>
    <w:p w14:paraId="30B25E08" w14:textId="77777777" w:rsidR="009E1DD5" w:rsidRPr="00CF4824" w:rsidRDefault="009E1DD5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6347B623" w14:textId="45CE2149" w:rsidR="00913A5D" w:rsidRPr="00CF4824" w:rsidRDefault="00913A5D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 xml:space="preserve">Podávanie roztokov aminokyselín môže vyvolať akútny nedostatok </w:t>
      </w:r>
      <w:proofErr w:type="spellStart"/>
      <w:r w:rsidRPr="00CF4824">
        <w:rPr>
          <w:sz w:val="22"/>
          <w:szCs w:val="22"/>
        </w:rPr>
        <w:t>folátu</w:t>
      </w:r>
      <w:proofErr w:type="spellEnd"/>
      <w:r w:rsidRPr="00CF4824">
        <w:rPr>
          <w:sz w:val="22"/>
          <w:szCs w:val="22"/>
        </w:rPr>
        <w:t>; preto sa denne odporúča podávať kyselinu listovú.</w:t>
      </w:r>
    </w:p>
    <w:p w14:paraId="0FDFD932" w14:textId="77777777" w:rsidR="009E1DD5" w:rsidRPr="00CF4824" w:rsidRDefault="009E1DD5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4F04D65A" w14:textId="187A6905" w:rsidR="00C347A2" w:rsidRPr="00424E03" w:rsidRDefault="00C347A2" w:rsidP="00D91F70">
      <w:pPr>
        <w:pStyle w:val="Heading4Unnumbered"/>
        <w:spacing w:before="0" w:after="0"/>
        <w:rPr>
          <w:i w:val="0"/>
          <w:sz w:val="22"/>
          <w:szCs w:val="22"/>
          <w:u w:val="single"/>
        </w:rPr>
      </w:pPr>
      <w:proofErr w:type="spellStart"/>
      <w:r w:rsidRPr="00424E03">
        <w:rPr>
          <w:i w:val="0"/>
          <w:sz w:val="22"/>
          <w:szCs w:val="22"/>
          <w:u w:val="single"/>
        </w:rPr>
        <w:t>Extravazácia</w:t>
      </w:r>
      <w:proofErr w:type="spellEnd"/>
    </w:p>
    <w:p w14:paraId="56165E6D" w14:textId="77777777" w:rsidR="00130314" w:rsidRDefault="00130314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72173383" w14:textId="2F8A4F9A" w:rsidR="0073724F" w:rsidRPr="00CF4824" w:rsidRDefault="003F4809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 xml:space="preserve">Miesto zavedenia katétra sa musí pravidelne kontrolovať, aby sa zachytili </w:t>
      </w:r>
      <w:r w:rsidR="00C57420">
        <w:rPr>
          <w:sz w:val="22"/>
          <w:szCs w:val="22"/>
        </w:rPr>
        <w:t>prejavy</w:t>
      </w:r>
      <w:r w:rsidRPr="00CF4824">
        <w:rPr>
          <w:sz w:val="22"/>
          <w:szCs w:val="22"/>
        </w:rPr>
        <w:t xml:space="preserve"> </w:t>
      </w:r>
      <w:proofErr w:type="spellStart"/>
      <w:r w:rsidRPr="00CF4824">
        <w:rPr>
          <w:sz w:val="22"/>
          <w:szCs w:val="22"/>
        </w:rPr>
        <w:t>extravazácie</w:t>
      </w:r>
      <w:proofErr w:type="spellEnd"/>
      <w:r w:rsidRPr="00CF4824">
        <w:rPr>
          <w:sz w:val="22"/>
          <w:szCs w:val="22"/>
        </w:rPr>
        <w:t xml:space="preserve">.  </w:t>
      </w:r>
      <w:r w:rsidRPr="00CF4824">
        <w:rPr>
          <w:sz w:val="22"/>
          <w:szCs w:val="22"/>
        </w:rPr>
        <w:br/>
        <w:t xml:space="preserve">Ak dôjde k </w:t>
      </w:r>
      <w:proofErr w:type="spellStart"/>
      <w:r w:rsidRPr="00CF4824">
        <w:rPr>
          <w:sz w:val="22"/>
          <w:szCs w:val="22"/>
        </w:rPr>
        <w:t>extravazácii</w:t>
      </w:r>
      <w:proofErr w:type="spellEnd"/>
      <w:r w:rsidRPr="00CF4824">
        <w:rPr>
          <w:sz w:val="22"/>
          <w:szCs w:val="22"/>
        </w:rPr>
        <w:t>, podávanie musí byť ihneď zastavené a zavedený katéter alebo kanyla ponechaná na svojom mieste pre okamžité liečebné opatrenia</w:t>
      </w:r>
      <w:r w:rsidR="00410C25">
        <w:rPr>
          <w:sz w:val="22"/>
          <w:szCs w:val="22"/>
        </w:rPr>
        <w:t xml:space="preserve"> pacienta</w:t>
      </w:r>
      <w:r w:rsidRPr="00CF4824">
        <w:rPr>
          <w:sz w:val="22"/>
          <w:szCs w:val="22"/>
        </w:rPr>
        <w:t xml:space="preserve">. Ak je to možné, pred vybratím katétra/kanyly je potrebné vykonať aspiráciu, aby sa znížilo množstvo tekutiny prítomnej v tkanive. </w:t>
      </w:r>
      <w:r w:rsidRPr="00CF4824">
        <w:rPr>
          <w:sz w:val="22"/>
          <w:szCs w:val="22"/>
        </w:rPr>
        <w:br/>
        <w:t xml:space="preserve">Podľa druhu </w:t>
      </w:r>
      <w:proofErr w:type="spellStart"/>
      <w:r w:rsidRPr="00CF4824">
        <w:rPr>
          <w:sz w:val="22"/>
          <w:szCs w:val="22"/>
        </w:rPr>
        <w:t>extravazácie</w:t>
      </w:r>
      <w:proofErr w:type="spellEnd"/>
      <w:r w:rsidRPr="00CF4824">
        <w:rPr>
          <w:sz w:val="22"/>
          <w:szCs w:val="22"/>
        </w:rPr>
        <w:t xml:space="preserve"> (vrátane prípravku/prípravkov zmiešaných s</w:t>
      </w:r>
      <w:r w:rsidR="00386C58">
        <w:rPr>
          <w:sz w:val="22"/>
          <w:szCs w:val="22"/>
        </w:rPr>
        <w:t> </w:t>
      </w:r>
      <w:r w:rsidRPr="00CF4824">
        <w:rPr>
          <w:sz w:val="22"/>
          <w:szCs w:val="22"/>
        </w:rPr>
        <w:t>OLIMEL</w:t>
      </w:r>
      <w:r w:rsidR="00EC4356">
        <w:rPr>
          <w:sz w:val="22"/>
          <w:szCs w:val="22"/>
        </w:rPr>
        <w:t>OM</w:t>
      </w:r>
      <w:r w:rsidR="00386C58">
        <w:rPr>
          <w:sz w:val="22"/>
          <w:szCs w:val="22"/>
        </w:rPr>
        <w:t xml:space="preserve"> N12E</w:t>
      </w:r>
      <w:r w:rsidRPr="00CF4824">
        <w:rPr>
          <w:sz w:val="22"/>
          <w:szCs w:val="22"/>
        </w:rPr>
        <w:t xml:space="preserve">, ak sa jedná o tento prípad) a štádia/rozsahu poranenia je potrebné určiť príslušné opatrenia. Možnosti liečenia pacienta môžu </w:t>
      </w:r>
      <w:r w:rsidR="00386C58">
        <w:rPr>
          <w:sz w:val="22"/>
          <w:szCs w:val="22"/>
        </w:rPr>
        <w:t>zahŕňať</w:t>
      </w:r>
      <w:r w:rsidRPr="00CF4824">
        <w:rPr>
          <w:sz w:val="22"/>
          <w:szCs w:val="22"/>
        </w:rPr>
        <w:t xml:space="preserve"> nefarmakologický, farmakologický a/alebo chirurgický zákrok. V prípade veľkej </w:t>
      </w:r>
      <w:proofErr w:type="spellStart"/>
      <w:r w:rsidRPr="00CF4824">
        <w:rPr>
          <w:sz w:val="22"/>
          <w:szCs w:val="22"/>
        </w:rPr>
        <w:t>extravazácie</w:t>
      </w:r>
      <w:proofErr w:type="spellEnd"/>
      <w:r w:rsidRPr="00CF4824">
        <w:rPr>
          <w:sz w:val="22"/>
          <w:szCs w:val="22"/>
        </w:rPr>
        <w:t xml:space="preserve"> je potrebné sa v priebehu prvých 72 hodín obrátiť na plastického chirurga.</w:t>
      </w:r>
      <w:r w:rsidRPr="00CF4824">
        <w:rPr>
          <w:sz w:val="22"/>
          <w:szCs w:val="22"/>
        </w:rPr>
        <w:br/>
        <w:t xml:space="preserve">Miesto </w:t>
      </w:r>
      <w:proofErr w:type="spellStart"/>
      <w:r w:rsidRPr="00CF4824">
        <w:rPr>
          <w:sz w:val="22"/>
          <w:szCs w:val="22"/>
        </w:rPr>
        <w:t>extravazácie</w:t>
      </w:r>
      <w:proofErr w:type="spellEnd"/>
      <w:r w:rsidRPr="00CF4824">
        <w:rPr>
          <w:sz w:val="22"/>
          <w:szCs w:val="22"/>
        </w:rPr>
        <w:t xml:space="preserve"> je potrebné sledovať aspoň každé 4 hodiny v priebehu prvých 24 hodín, potom raz denne. </w:t>
      </w:r>
      <w:r w:rsidRPr="00CF4824">
        <w:rPr>
          <w:sz w:val="22"/>
          <w:szCs w:val="22"/>
        </w:rPr>
        <w:br/>
        <w:t xml:space="preserve">Infúzia nesmie pokračovať do tej istej centrálnej žily. </w:t>
      </w:r>
    </w:p>
    <w:p w14:paraId="02444EA2" w14:textId="77777777" w:rsidR="009E1DD5" w:rsidRPr="00CF4824" w:rsidRDefault="009E1DD5" w:rsidP="00D91F70">
      <w:pPr>
        <w:pStyle w:val="Heading4Unnumbered"/>
        <w:spacing w:before="0" w:after="0"/>
        <w:rPr>
          <w:sz w:val="22"/>
          <w:szCs w:val="22"/>
        </w:rPr>
      </w:pPr>
    </w:p>
    <w:p w14:paraId="099AA3F1" w14:textId="5D2CC13A" w:rsidR="001435FC" w:rsidRPr="00424E03" w:rsidRDefault="001435FC" w:rsidP="00D91F70">
      <w:pPr>
        <w:pStyle w:val="Heading4Unnumbered"/>
        <w:spacing w:before="0" w:after="0"/>
        <w:rPr>
          <w:i w:val="0"/>
          <w:sz w:val="22"/>
          <w:szCs w:val="22"/>
          <w:u w:val="single"/>
        </w:rPr>
      </w:pPr>
      <w:proofErr w:type="spellStart"/>
      <w:r w:rsidRPr="00424E03">
        <w:rPr>
          <w:i w:val="0"/>
          <w:sz w:val="22"/>
          <w:szCs w:val="22"/>
          <w:u w:val="single"/>
        </w:rPr>
        <w:t>Hepatálna</w:t>
      </w:r>
      <w:proofErr w:type="spellEnd"/>
      <w:r w:rsidRPr="00424E03">
        <w:rPr>
          <w:i w:val="0"/>
          <w:sz w:val="22"/>
          <w:szCs w:val="22"/>
          <w:u w:val="single"/>
        </w:rPr>
        <w:t xml:space="preserve"> </w:t>
      </w:r>
      <w:proofErr w:type="spellStart"/>
      <w:r w:rsidRPr="00424E03">
        <w:rPr>
          <w:i w:val="0"/>
          <w:sz w:val="22"/>
          <w:szCs w:val="22"/>
          <w:u w:val="single"/>
        </w:rPr>
        <w:t>insuficiencia</w:t>
      </w:r>
      <w:proofErr w:type="spellEnd"/>
    </w:p>
    <w:p w14:paraId="5631292D" w14:textId="77777777" w:rsidR="002E782B" w:rsidRDefault="002E782B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0C900CC0" w14:textId="69550049" w:rsidR="001435FC" w:rsidRPr="00CF4824" w:rsidRDefault="001435FC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 xml:space="preserve">Používajte opatrne </w:t>
      </w:r>
      <w:r w:rsidR="001C73EC">
        <w:rPr>
          <w:sz w:val="22"/>
          <w:szCs w:val="22"/>
        </w:rPr>
        <w:t>u</w:t>
      </w:r>
      <w:r w:rsidRPr="00CF4824">
        <w:rPr>
          <w:sz w:val="22"/>
          <w:szCs w:val="22"/>
        </w:rPr>
        <w:t xml:space="preserve"> pacientov s </w:t>
      </w:r>
      <w:proofErr w:type="spellStart"/>
      <w:r w:rsidRPr="00CF4824">
        <w:rPr>
          <w:sz w:val="22"/>
          <w:szCs w:val="22"/>
        </w:rPr>
        <w:t>hepatálnou</w:t>
      </w:r>
      <w:proofErr w:type="spellEnd"/>
      <w:r w:rsidRPr="00CF4824">
        <w:rPr>
          <w:sz w:val="22"/>
          <w:szCs w:val="22"/>
        </w:rPr>
        <w:t xml:space="preserve"> </w:t>
      </w:r>
      <w:proofErr w:type="spellStart"/>
      <w:r w:rsidRPr="00CF4824">
        <w:rPr>
          <w:sz w:val="22"/>
          <w:szCs w:val="22"/>
        </w:rPr>
        <w:t>insuficienciou</w:t>
      </w:r>
      <w:proofErr w:type="spellEnd"/>
      <w:r w:rsidRPr="00CF4824">
        <w:rPr>
          <w:sz w:val="22"/>
          <w:szCs w:val="22"/>
        </w:rPr>
        <w:t xml:space="preserve">, vzhľadom na riziko vzniku alebo zhoršenia neurologických porúch súvisiacich s </w:t>
      </w:r>
      <w:proofErr w:type="spellStart"/>
      <w:r w:rsidRPr="00CF4824">
        <w:rPr>
          <w:sz w:val="22"/>
          <w:szCs w:val="22"/>
        </w:rPr>
        <w:t>hyperamonémiou</w:t>
      </w:r>
      <w:proofErr w:type="spellEnd"/>
      <w:r w:rsidRPr="00CF4824">
        <w:rPr>
          <w:sz w:val="22"/>
          <w:szCs w:val="22"/>
        </w:rPr>
        <w:t>. Sú potrebné pravidelné klinické a laboratórne testy, hlavne testy</w:t>
      </w:r>
      <w:r w:rsidR="001C73EC">
        <w:rPr>
          <w:sz w:val="22"/>
          <w:szCs w:val="22"/>
        </w:rPr>
        <w:t>,</w:t>
      </w:r>
      <w:r w:rsidRPr="00CF4824">
        <w:rPr>
          <w:sz w:val="22"/>
          <w:szCs w:val="22"/>
        </w:rPr>
        <w:t xml:space="preserve"> ktoré sledujú parametre funkcie pečene, </w:t>
      </w:r>
      <w:r w:rsidRPr="00CF4824">
        <w:rPr>
          <w:snapToGrid w:val="0"/>
          <w:sz w:val="22"/>
          <w:szCs w:val="22"/>
        </w:rPr>
        <w:t xml:space="preserve">hladinu krvnej glukózy, elektrolytov a </w:t>
      </w:r>
      <w:proofErr w:type="spellStart"/>
      <w:r w:rsidRPr="00CF4824">
        <w:rPr>
          <w:snapToGrid w:val="0"/>
          <w:sz w:val="22"/>
          <w:szCs w:val="22"/>
        </w:rPr>
        <w:t>tri</w:t>
      </w:r>
      <w:r w:rsidR="001C73EC">
        <w:rPr>
          <w:snapToGrid w:val="0"/>
          <w:sz w:val="22"/>
          <w:szCs w:val="22"/>
        </w:rPr>
        <w:t>acylglycerolov</w:t>
      </w:r>
      <w:proofErr w:type="spellEnd"/>
      <w:r w:rsidRPr="00CF4824">
        <w:rPr>
          <w:snapToGrid w:val="0"/>
          <w:sz w:val="22"/>
          <w:szCs w:val="22"/>
        </w:rPr>
        <w:t xml:space="preserve"> v krvi.</w:t>
      </w:r>
      <w:r w:rsidRPr="00CF4824">
        <w:rPr>
          <w:sz w:val="22"/>
          <w:szCs w:val="22"/>
        </w:rPr>
        <w:t xml:space="preserve"> </w:t>
      </w:r>
    </w:p>
    <w:p w14:paraId="5ABEE4FE" w14:textId="77777777" w:rsidR="009E1DD5" w:rsidRPr="00424E03" w:rsidRDefault="009E1DD5" w:rsidP="00D91F70">
      <w:pPr>
        <w:pStyle w:val="Heading4Unnumbered"/>
        <w:spacing w:before="0" w:after="0"/>
        <w:rPr>
          <w:i w:val="0"/>
          <w:sz w:val="22"/>
          <w:szCs w:val="22"/>
        </w:rPr>
      </w:pPr>
    </w:p>
    <w:p w14:paraId="4C65147B" w14:textId="57A095FC" w:rsidR="001435FC" w:rsidRPr="00424E03" w:rsidRDefault="001435FC" w:rsidP="00D91F70">
      <w:pPr>
        <w:pStyle w:val="Heading4Unnumbered"/>
        <w:spacing w:before="0" w:after="0"/>
        <w:rPr>
          <w:i w:val="0"/>
          <w:sz w:val="22"/>
          <w:szCs w:val="22"/>
          <w:u w:val="single"/>
        </w:rPr>
      </w:pPr>
      <w:proofErr w:type="spellStart"/>
      <w:r w:rsidRPr="00424E03">
        <w:rPr>
          <w:i w:val="0"/>
          <w:sz w:val="22"/>
          <w:szCs w:val="22"/>
          <w:u w:val="single"/>
        </w:rPr>
        <w:t>Renálna</w:t>
      </w:r>
      <w:proofErr w:type="spellEnd"/>
      <w:r w:rsidRPr="00424E03">
        <w:rPr>
          <w:i w:val="0"/>
          <w:sz w:val="22"/>
          <w:szCs w:val="22"/>
          <w:u w:val="single"/>
        </w:rPr>
        <w:t xml:space="preserve"> </w:t>
      </w:r>
      <w:proofErr w:type="spellStart"/>
      <w:r w:rsidRPr="00424E03">
        <w:rPr>
          <w:i w:val="0"/>
          <w:sz w:val="22"/>
          <w:szCs w:val="22"/>
          <w:u w:val="single"/>
        </w:rPr>
        <w:t>insuficiencia</w:t>
      </w:r>
      <w:proofErr w:type="spellEnd"/>
    </w:p>
    <w:p w14:paraId="6AD0F2E3" w14:textId="77777777" w:rsidR="002E782B" w:rsidRDefault="002E782B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5CCF9882" w14:textId="7CF8D931" w:rsidR="001435FC" w:rsidRPr="00CF4824" w:rsidRDefault="001435FC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 xml:space="preserve">Používajte opatrne u pacientov s </w:t>
      </w:r>
      <w:proofErr w:type="spellStart"/>
      <w:r w:rsidRPr="00CF4824">
        <w:rPr>
          <w:sz w:val="22"/>
          <w:szCs w:val="22"/>
        </w:rPr>
        <w:t>renálnou</w:t>
      </w:r>
      <w:proofErr w:type="spellEnd"/>
      <w:r w:rsidRPr="00CF4824">
        <w:rPr>
          <w:sz w:val="22"/>
          <w:szCs w:val="22"/>
        </w:rPr>
        <w:t xml:space="preserve"> </w:t>
      </w:r>
      <w:proofErr w:type="spellStart"/>
      <w:r w:rsidRPr="00CF4824">
        <w:rPr>
          <w:sz w:val="22"/>
          <w:szCs w:val="22"/>
        </w:rPr>
        <w:t>insuficienciou</w:t>
      </w:r>
      <w:proofErr w:type="spellEnd"/>
      <w:r w:rsidR="004B3ACB">
        <w:rPr>
          <w:sz w:val="22"/>
          <w:szCs w:val="22"/>
        </w:rPr>
        <w:t>,</w:t>
      </w:r>
      <w:r w:rsidRPr="00CF4824">
        <w:rPr>
          <w:sz w:val="22"/>
          <w:szCs w:val="22"/>
        </w:rPr>
        <w:t xml:space="preserve"> najmä pri výskyte </w:t>
      </w:r>
      <w:proofErr w:type="spellStart"/>
      <w:r w:rsidRPr="00CF4824">
        <w:rPr>
          <w:sz w:val="22"/>
          <w:szCs w:val="22"/>
        </w:rPr>
        <w:t>hyperkaliémie</w:t>
      </w:r>
      <w:proofErr w:type="spellEnd"/>
      <w:r w:rsidRPr="00CF4824">
        <w:rPr>
          <w:sz w:val="22"/>
          <w:szCs w:val="22"/>
        </w:rPr>
        <w:t xml:space="preserve">, kvôli riziku vzniku alebo zhoršenia metabolickej </w:t>
      </w:r>
      <w:proofErr w:type="spellStart"/>
      <w:r w:rsidRPr="00CF4824">
        <w:rPr>
          <w:sz w:val="22"/>
          <w:szCs w:val="22"/>
        </w:rPr>
        <w:t>acidózy</w:t>
      </w:r>
      <w:proofErr w:type="spellEnd"/>
      <w:r w:rsidRPr="00CF4824">
        <w:rPr>
          <w:sz w:val="22"/>
          <w:szCs w:val="22"/>
        </w:rPr>
        <w:t xml:space="preserve"> a </w:t>
      </w:r>
      <w:proofErr w:type="spellStart"/>
      <w:r w:rsidRPr="00CF4824">
        <w:rPr>
          <w:sz w:val="22"/>
          <w:szCs w:val="22"/>
        </w:rPr>
        <w:t>hyperazotémie</w:t>
      </w:r>
      <w:proofErr w:type="spellEnd"/>
      <w:r w:rsidRPr="00CF4824">
        <w:rPr>
          <w:sz w:val="22"/>
          <w:szCs w:val="22"/>
        </w:rPr>
        <w:t xml:space="preserve">, ak nie sú odpadové látky odstraňované </w:t>
      </w:r>
      <w:proofErr w:type="spellStart"/>
      <w:r w:rsidRPr="00CF4824">
        <w:rPr>
          <w:sz w:val="22"/>
          <w:szCs w:val="22"/>
        </w:rPr>
        <w:t>extrarenálne</w:t>
      </w:r>
      <w:proofErr w:type="spellEnd"/>
      <w:r w:rsidRPr="00CF4824">
        <w:rPr>
          <w:sz w:val="22"/>
          <w:szCs w:val="22"/>
        </w:rPr>
        <w:t xml:space="preserve">. Hladina tekutín, </w:t>
      </w:r>
      <w:proofErr w:type="spellStart"/>
      <w:r w:rsidRPr="00CF4824">
        <w:rPr>
          <w:sz w:val="22"/>
          <w:szCs w:val="22"/>
        </w:rPr>
        <w:t>tri</w:t>
      </w:r>
      <w:r w:rsidR="004B3ACB">
        <w:rPr>
          <w:sz w:val="22"/>
          <w:szCs w:val="22"/>
        </w:rPr>
        <w:t>acylglycerolov</w:t>
      </w:r>
      <w:proofErr w:type="spellEnd"/>
      <w:r w:rsidRPr="00CF4824">
        <w:rPr>
          <w:sz w:val="22"/>
          <w:szCs w:val="22"/>
        </w:rPr>
        <w:t xml:space="preserve"> a elektrolytov sa má u týchto pacientov dôkladne sledovať.</w:t>
      </w:r>
    </w:p>
    <w:p w14:paraId="56C8E176" w14:textId="77777777" w:rsidR="009E1DD5" w:rsidRPr="00CF4824" w:rsidRDefault="009E1DD5" w:rsidP="00D91F70">
      <w:pPr>
        <w:pStyle w:val="Heading4Unnumbered"/>
        <w:spacing w:before="0" w:after="0"/>
        <w:rPr>
          <w:sz w:val="22"/>
          <w:szCs w:val="22"/>
        </w:rPr>
      </w:pPr>
    </w:p>
    <w:p w14:paraId="5184FE97" w14:textId="094C8653" w:rsidR="001435FC" w:rsidRPr="00424E03" w:rsidRDefault="001435FC" w:rsidP="00D91F70">
      <w:pPr>
        <w:pStyle w:val="Heading4Unnumbered"/>
        <w:spacing w:before="0" w:after="0"/>
        <w:rPr>
          <w:i w:val="0"/>
          <w:sz w:val="22"/>
          <w:szCs w:val="22"/>
          <w:u w:val="single"/>
        </w:rPr>
      </w:pPr>
      <w:r w:rsidRPr="00424E03">
        <w:rPr>
          <w:i w:val="0"/>
          <w:sz w:val="22"/>
          <w:szCs w:val="22"/>
          <w:u w:val="single"/>
        </w:rPr>
        <w:t>Hematologické ochorenia</w:t>
      </w:r>
    </w:p>
    <w:p w14:paraId="24C74514" w14:textId="77777777" w:rsidR="002E782B" w:rsidRDefault="002E782B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7627CAA8" w14:textId="77777777" w:rsidR="001435FC" w:rsidRPr="00CF4824" w:rsidRDefault="001435FC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>Používajte opatrne u pacientov s poruchami zrážanlivosti krvi a anémiou. Dôkladne sa majú sledovať krvný obraz a parametre zrážanlivosti.</w:t>
      </w:r>
    </w:p>
    <w:p w14:paraId="52895148" w14:textId="77777777" w:rsidR="009E1DD5" w:rsidRPr="00CF4824" w:rsidRDefault="009E1DD5" w:rsidP="00D91F70">
      <w:pPr>
        <w:pStyle w:val="Heading4Unnumbered"/>
        <w:spacing w:before="0" w:after="0"/>
        <w:rPr>
          <w:sz w:val="22"/>
          <w:szCs w:val="22"/>
        </w:rPr>
      </w:pPr>
    </w:p>
    <w:p w14:paraId="7DB14629" w14:textId="1279A781" w:rsidR="001435FC" w:rsidRPr="00424E03" w:rsidRDefault="001435FC" w:rsidP="00D91F70">
      <w:pPr>
        <w:pStyle w:val="Heading4Unnumbered"/>
        <w:spacing w:before="0" w:after="0"/>
        <w:rPr>
          <w:i w:val="0"/>
          <w:sz w:val="22"/>
          <w:szCs w:val="22"/>
          <w:u w:val="single"/>
        </w:rPr>
      </w:pPr>
      <w:r w:rsidRPr="00424E03">
        <w:rPr>
          <w:i w:val="0"/>
          <w:sz w:val="22"/>
          <w:szCs w:val="22"/>
          <w:u w:val="single"/>
        </w:rPr>
        <w:t>Endokrinologické a metabolické ochorenia</w:t>
      </w:r>
    </w:p>
    <w:p w14:paraId="41E7F112" w14:textId="77777777" w:rsidR="002E782B" w:rsidRDefault="002E782B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14DD99FE" w14:textId="77777777" w:rsidR="001435FC" w:rsidRPr="00CF4824" w:rsidRDefault="001435FC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>Používajte opatrne u pacientov:</w:t>
      </w:r>
    </w:p>
    <w:p w14:paraId="14696BEF" w14:textId="1831058C" w:rsidR="001435FC" w:rsidRPr="00CF4824" w:rsidRDefault="001435FC" w:rsidP="002E782B">
      <w:pPr>
        <w:pStyle w:val="Zoznamsodrkami2"/>
        <w:tabs>
          <w:tab w:val="clear" w:pos="1080"/>
        </w:tabs>
        <w:spacing w:before="0" w:after="0" w:line="240" w:lineRule="auto"/>
        <w:ind w:left="567" w:hanging="567"/>
        <w:rPr>
          <w:snapToGrid w:val="0"/>
          <w:sz w:val="22"/>
          <w:szCs w:val="22"/>
          <w:lang w:val="en-GB"/>
        </w:rPr>
      </w:pPr>
      <w:r w:rsidRPr="00CF4824">
        <w:rPr>
          <w:snapToGrid w:val="0"/>
          <w:sz w:val="22"/>
          <w:szCs w:val="22"/>
        </w:rPr>
        <w:t xml:space="preserve">ktorí </w:t>
      </w:r>
      <w:r w:rsidR="002E1B00">
        <w:rPr>
          <w:snapToGrid w:val="0"/>
          <w:sz w:val="22"/>
          <w:szCs w:val="22"/>
        </w:rPr>
        <w:t>majú</w:t>
      </w:r>
      <w:r w:rsidRPr="00CF4824">
        <w:rPr>
          <w:snapToGrid w:val="0"/>
          <w:sz w:val="22"/>
          <w:szCs w:val="22"/>
        </w:rPr>
        <w:t xml:space="preserve"> metabolick</w:t>
      </w:r>
      <w:r w:rsidR="002E1B00">
        <w:rPr>
          <w:snapToGrid w:val="0"/>
          <w:sz w:val="22"/>
          <w:szCs w:val="22"/>
        </w:rPr>
        <w:t>ú</w:t>
      </w:r>
      <w:r w:rsidRPr="00CF4824">
        <w:rPr>
          <w:snapToGrid w:val="0"/>
          <w:sz w:val="22"/>
          <w:szCs w:val="22"/>
        </w:rPr>
        <w:t xml:space="preserve"> </w:t>
      </w:r>
      <w:proofErr w:type="spellStart"/>
      <w:r w:rsidRPr="00CF4824">
        <w:rPr>
          <w:snapToGrid w:val="0"/>
          <w:sz w:val="22"/>
          <w:szCs w:val="22"/>
        </w:rPr>
        <w:t>acidóz</w:t>
      </w:r>
      <w:r w:rsidR="002E1B00">
        <w:rPr>
          <w:snapToGrid w:val="0"/>
          <w:sz w:val="22"/>
          <w:szCs w:val="22"/>
        </w:rPr>
        <w:t>u</w:t>
      </w:r>
      <w:proofErr w:type="spellEnd"/>
      <w:r w:rsidRPr="00CF4824">
        <w:rPr>
          <w:snapToGrid w:val="0"/>
          <w:sz w:val="22"/>
          <w:szCs w:val="22"/>
        </w:rPr>
        <w:t xml:space="preserve">. Pri </w:t>
      </w:r>
      <w:proofErr w:type="spellStart"/>
      <w:r w:rsidRPr="00CF4824">
        <w:rPr>
          <w:snapToGrid w:val="0"/>
          <w:sz w:val="22"/>
          <w:szCs w:val="22"/>
        </w:rPr>
        <w:t>laktátovej</w:t>
      </w:r>
      <w:proofErr w:type="spellEnd"/>
      <w:r w:rsidRPr="00CF4824">
        <w:rPr>
          <w:snapToGrid w:val="0"/>
          <w:sz w:val="22"/>
          <w:szCs w:val="22"/>
        </w:rPr>
        <w:t xml:space="preserve"> </w:t>
      </w:r>
      <w:proofErr w:type="spellStart"/>
      <w:r w:rsidRPr="00CF4824">
        <w:rPr>
          <w:snapToGrid w:val="0"/>
          <w:sz w:val="22"/>
          <w:szCs w:val="22"/>
        </w:rPr>
        <w:t>acidóze</w:t>
      </w:r>
      <w:proofErr w:type="spellEnd"/>
      <w:r w:rsidRPr="00CF4824">
        <w:rPr>
          <w:snapToGrid w:val="0"/>
          <w:sz w:val="22"/>
          <w:szCs w:val="22"/>
        </w:rPr>
        <w:t xml:space="preserve"> sa neodporúča podávať </w:t>
      </w:r>
      <w:r w:rsidR="002E1B00">
        <w:rPr>
          <w:snapToGrid w:val="0"/>
          <w:sz w:val="22"/>
          <w:szCs w:val="22"/>
        </w:rPr>
        <w:t>sacharidy</w:t>
      </w:r>
      <w:r w:rsidRPr="00CF4824">
        <w:rPr>
          <w:snapToGrid w:val="0"/>
          <w:sz w:val="22"/>
          <w:szCs w:val="22"/>
        </w:rPr>
        <w:t>. Sú potrebné pravidelné klinické a laboratórne testy.</w:t>
      </w:r>
    </w:p>
    <w:p w14:paraId="2B5E6E51" w14:textId="5F8EA0F7" w:rsidR="001435FC" w:rsidRPr="00CF4824" w:rsidRDefault="001435FC" w:rsidP="002E782B">
      <w:pPr>
        <w:pStyle w:val="Zoznamsodrkami2"/>
        <w:tabs>
          <w:tab w:val="clear" w:pos="1080"/>
        </w:tabs>
        <w:spacing w:before="0" w:after="0" w:line="240" w:lineRule="auto"/>
        <w:ind w:left="567" w:hanging="567"/>
        <w:rPr>
          <w:snapToGrid w:val="0"/>
          <w:sz w:val="22"/>
          <w:szCs w:val="22"/>
          <w:lang w:val="en-GB"/>
        </w:rPr>
      </w:pPr>
      <w:r w:rsidRPr="00CF4824">
        <w:rPr>
          <w:snapToGrid w:val="0"/>
          <w:sz w:val="22"/>
          <w:szCs w:val="22"/>
        </w:rPr>
        <w:t xml:space="preserve">ktorí </w:t>
      </w:r>
      <w:r w:rsidR="00434D31">
        <w:rPr>
          <w:snapToGrid w:val="0"/>
          <w:sz w:val="22"/>
          <w:szCs w:val="22"/>
        </w:rPr>
        <w:t>majú</w:t>
      </w:r>
      <w:r w:rsidRPr="00CF4824">
        <w:rPr>
          <w:snapToGrid w:val="0"/>
          <w:sz w:val="22"/>
          <w:szCs w:val="22"/>
        </w:rPr>
        <w:t xml:space="preserve"> diabet</w:t>
      </w:r>
      <w:r w:rsidR="00434D31">
        <w:rPr>
          <w:snapToGrid w:val="0"/>
          <w:sz w:val="22"/>
          <w:szCs w:val="22"/>
        </w:rPr>
        <w:t>es</w:t>
      </w:r>
      <w:r w:rsidRPr="00CF4824">
        <w:rPr>
          <w:snapToGrid w:val="0"/>
          <w:sz w:val="22"/>
          <w:szCs w:val="22"/>
        </w:rPr>
        <w:t xml:space="preserve"> </w:t>
      </w:r>
      <w:proofErr w:type="spellStart"/>
      <w:r w:rsidRPr="00CF4824">
        <w:rPr>
          <w:snapToGrid w:val="0"/>
          <w:sz w:val="22"/>
          <w:szCs w:val="22"/>
        </w:rPr>
        <w:t>mellitus</w:t>
      </w:r>
      <w:proofErr w:type="spellEnd"/>
      <w:r w:rsidRPr="00CF4824">
        <w:rPr>
          <w:snapToGrid w:val="0"/>
          <w:sz w:val="22"/>
          <w:szCs w:val="22"/>
        </w:rPr>
        <w:t xml:space="preserve">. Sledujte koncentrácie glukózy, </w:t>
      </w:r>
      <w:proofErr w:type="spellStart"/>
      <w:r w:rsidRPr="00CF4824">
        <w:rPr>
          <w:snapToGrid w:val="0"/>
          <w:sz w:val="22"/>
          <w:szCs w:val="22"/>
        </w:rPr>
        <w:t>glukozúriu</w:t>
      </w:r>
      <w:proofErr w:type="spellEnd"/>
      <w:r w:rsidRPr="00CF4824">
        <w:rPr>
          <w:snapToGrid w:val="0"/>
          <w:sz w:val="22"/>
          <w:szCs w:val="22"/>
        </w:rPr>
        <w:t xml:space="preserve">, </w:t>
      </w:r>
      <w:proofErr w:type="spellStart"/>
      <w:r w:rsidRPr="00CF4824">
        <w:rPr>
          <w:snapToGrid w:val="0"/>
          <w:sz w:val="22"/>
          <w:szCs w:val="22"/>
        </w:rPr>
        <w:t>ketonúriu</w:t>
      </w:r>
      <w:proofErr w:type="spellEnd"/>
      <w:r w:rsidRPr="00CF4824">
        <w:rPr>
          <w:snapToGrid w:val="0"/>
          <w:sz w:val="22"/>
          <w:szCs w:val="22"/>
        </w:rPr>
        <w:t xml:space="preserve"> a upravte dávkovanie inzulínu, keď je to potrebné.</w:t>
      </w:r>
    </w:p>
    <w:p w14:paraId="60BADFA2" w14:textId="1914FA17" w:rsidR="001435FC" w:rsidRPr="00CF4824" w:rsidRDefault="001435FC" w:rsidP="002E782B">
      <w:pPr>
        <w:pStyle w:val="Zoznamsodrkami2"/>
        <w:tabs>
          <w:tab w:val="clear" w:pos="1080"/>
        </w:tabs>
        <w:spacing w:before="0" w:after="0" w:line="240" w:lineRule="auto"/>
        <w:ind w:left="567" w:hanging="567"/>
        <w:rPr>
          <w:snapToGrid w:val="0"/>
          <w:sz w:val="22"/>
          <w:szCs w:val="22"/>
        </w:rPr>
      </w:pPr>
      <w:r w:rsidRPr="00CF4824">
        <w:rPr>
          <w:snapToGrid w:val="0"/>
          <w:sz w:val="22"/>
          <w:szCs w:val="22"/>
        </w:rPr>
        <w:t xml:space="preserve">ktorí </w:t>
      </w:r>
      <w:r w:rsidR="00434D31">
        <w:rPr>
          <w:snapToGrid w:val="0"/>
          <w:sz w:val="22"/>
          <w:szCs w:val="22"/>
        </w:rPr>
        <w:t>majú</w:t>
      </w:r>
      <w:r w:rsidRPr="00CF4824">
        <w:rPr>
          <w:snapToGrid w:val="0"/>
          <w:sz w:val="22"/>
          <w:szCs w:val="22"/>
        </w:rPr>
        <w:t xml:space="preserve"> </w:t>
      </w:r>
      <w:proofErr w:type="spellStart"/>
      <w:r w:rsidRPr="00CF4824">
        <w:rPr>
          <w:snapToGrid w:val="0"/>
          <w:sz w:val="22"/>
          <w:szCs w:val="22"/>
        </w:rPr>
        <w:t>hyperlipidémiu</w:t>
      </w:r>
      <w:proofErr w:type="spellEnd"/>
      <w:r w:rsidRPr="00CF4824">
        <w:rPr>
          <w:snapToGrid w:val="0"/>
          <w:sz w:val="22"/>
          <w:szCs w:val="22"/>
        </w:rPr>
        <w:t xml:space="preserve"> kvôli prítomnosti </w:t>
      </w:r>
      <w:proofErr w:type="spellStart"/>
      <w:r w:rsidRPr="00CF4824">
        <w:rPr>
          <w:snapToGrid w:val="0"/>
          <w:sz w:val="22"/>
          <w:szCs w:val="22"/>
        </w:rPr>
        <w:t>lipidov</w:t>
      </w:r>
      <w:proofErr w:type="spellEnd"/>
      <w:r w:rsidRPr="00CF4824">
        <w:rPr>
          <w:snapToGrid w:val="0"/>
          <w:sz w:val="22"/>
          <w:szCs w:val="22"/>
        </w:rPr>
        <w:t xml:space="preserve"> v </w:t>
      </w:r>
      <w:proofErr w:type="spellStart"/>
      <w:r w:rsidRPr="00CF4824">
        <w:rPr>
          <w:snapToGrid w:val="0"/>
          <w:sz w:val="22"/>
          <w:szCs w:val="22"/>
        </w:rPr>
        <w:t>infúznej</w:t>
      </w:r>
      <w:proofErr w:type="spellEnd"/>
      <w:r w:rsidRPr="00CF4824">
        <w:rPr>
          <w:snapToGrid w:val="0"/>
          <w:sz w:val="22"/>
          <w:szCs w:val="22"/>
        </w:rPr>
        <w:t xml:space="preserve"> emulzii. Sú potrebné pravidelné klinické a laboratórne testy.</w:t>
      </w:r>
    </w:p>
    <w:p w14:paraId="7C222B41" w14:textId="09EE73EA" w:rsidR="001435FC" w:rsidRPr="00CF4824" w:rsidRDefault="001435FC" w:rsidP="002E782B">
      <w:pPr>
        <w:pStyle w:val="Zoznamsodrkami2"/>
        <w:tabs>
          <w:tab w:val="clear" w:pos="1080"/>
        </w:tabs>
        <w:spacing w:before="0" w:after="0" w:line="240" w:lineRule="auto"/>
        <w:ind w:left="567" w:hanging="567"/>
        <w:rPr>
          <w:snapToGrid w:val="0"/>
          <w:sz w:val="22"/>
          <w:szCs w:val="22"/>
          <w:lang w:val="en-GB"/>
        </w:rPr>
      </w:pPr>
      <w:r w:rsidRPr="00CF4824">
        <w:rPr>
          <w:snapToGrid w:val="0"/>
          <w:sz w:val="22"/>
          <w:szCs w:val="22"/>
        </w:rPr>
        <w:t xml:space="preserve">ktorí </w:t>
      </w:r>
      <w:r w:rsidR="00434D31">
        <w:rPr>
          <w:snapToGrid w:val="0"/>
          <w:sz w:val="22"/>
          <w:szCs w:val="22"/>
        </w:rPr>
        <w:t>majú</w:t>
      </w:r>
      <w:r w:rsidRPr="00CF4824">
        <w:rPr>
          <w:snapToGrid w:val="0"/>
          <w:sz w:val="22"/>
          <w:szCs w:val="22"/>
        </w:rPr>
        <w:t xml:space="preserve"> poruch</w:t>
      </w:r>
      <w:r w:rsidR="00434D31">
        <w:rPr>
          <w:snapToGrid w:val="0"/>
          <w:sz w:val="22"/>
          <w:szCs w:val="22"/>
        </w:rPr>
        <w:t>y</w:t>
      </w:r>
      <w:r w:rsidRPr="00CF4824">
        <w:rPr>
          <w:snapToGrid w:val="0"/>
          <w:sz w:val="22"/>
          <w:szCs w:val="22"/>
        </w:rPr>
        <w:t xml:space="preserve"> metabolizmu aminokyselín.</w:t>
      </w:r>
    </w:p>
    <w:p w14:paraId="21D35833" w14:textId="77777777" w:rsidR="004E30E0" w:rsidRPr="00CF4824" w:rsidRDefault="004E30E0" w:rsidP="004E30E0">
      <w:pPr>
        <w:pStyle w:val="Zoznamsodrkami2"/>
        <w:numPr>
          <w:ilvl w:val="0"/>
          <w:numId w:val="0"/>
        </w:numPr>
        <w:spacing w:before="0" w:after="0" w:line="240" w:lineRule="auto"/>
        <w:ind w:left="360"/>
        <w:rPr>
          <w:snapToGrid w:val="0"/>
          <w:sz w:val="22"/>
          <w:szCs w:val="22"/>
          <w:lang w:val="en-GB"/>
        </w:rPr>
      </w:pPr>
    </w:p>
    <w:p w14:paraId="165AA787" w14:textId="211529C8" w:rsidR="00B64E25" w:rsidRPr="00424E03" w:rsidRDefault="008731B0" w:rsidP="00D91F70">
      <w:pPr>
        <w:pStyle w:val="Paragraph"/>
        <w:spacing w:before="0" w:after="0" w:line="240" w:lineRule="auto"/>
        <w:outlineLvl w:val="3"/>
        <w:rPr>
          <w:snapToGrid w:val="0"/>
          <w:sz w:val="22"/>
          <w:szCs w:val="22"/>
          <w:u w:val="single"/>
        </w:rPr>
      </w:pPr>
      <w:r w:rsidRPr="00424E03">
        <w:rPr>
          <w:snapToGrid w:val="0"/>
          <w:sz w:val="22"/>
          <w:szCs w:val="22"/>
          <w:u w:val="single"/>
        </w:rPr>
        <w:t>Poruchy pečene a žlčových ciest</w:t>
      </w:r>
    </w:p>
    <w:p w14:paraId="43F09986" w14:textId="77777777" w:rsidR="008D468F" w:rsidRPr="00CF4824" w:rsidRDefault="008D468F" w:rsidP="00D91F70">
      <w:pPr>
        <w:pStyle w:val="Paragraph"/>
        <w:spacing w:before="0" w:after="0" w:line="240" w:lineRule="auto"/>
        <w:outlineLvl w:val="3"/>
        <w:rPr>
          <w:i/>
          <w:snapToGrid w:val="0"/>
          <w:sz w:val="22"/>
          <w:szCs w:val="22"/>
          <w:lang w:val="nl-NL"/>
        </w:rPr>
      </w:pPr>
    </w:p>
    <w:p w14:paraId="2ED9AE5A" w14:textId="161828FF" w:rsidR="00B64E25" w:rsidRPr="00CF4824" w:rsidRDefault="00B64E25" w:rsidP="00D91F70">
      <w:pPr>
        <w:pStyle w:val="Paragraph"/>
        <w:spacing w:before="0" w:after="0" w:line="240" w:lineRule="auto"/>
        <w:rPr>
          <w:snapToGrid w:val="0"/>
          <w:sz w:val="22"/>
          <w:szCs w:val="22"/>
          <w:lang w:val="nl-NL"/>
        </w:rPr>
      </w:pPr>
      <w:r w:rsidRPr="00CF4824">
        <w:rPr>
          <w:snapToGrid w:val="0"/>
          <w:sz w:val="22"/>
          <w:szCs w:val="22"/>
        </w:rPr>
        <w:t>Je známe, že u</w:t>
      </w:r>
      <w:r w:rsidR="005D324C">
        <w:rPr>
          <w:snapToGrid w:val="0"/>
          <w:sz w:val="22"/>
          <w:szCs w:val="22"/>
        </w:rPr>
        <w:t xml:space="preserve"> niektorých </w:t>
      </w:r>
      <w:r w:rsidRPr="00CF4824">
        <w:rPr>
          <w:snapToGrid w:val="0"/>
          <w:sz w:val="22"/>
          <w:szCs w:val="22"/>
        </w:rPr>
        <w:t xml:space="preserve">pacientov na </w:t>
      </w:r>
      <w:proofErr w:type="spellStart"/>
      <w:r w:rsidRPr="00CF4824">
        <w:rPr>
          <w:snapToGrid w:val="0"/>
          <w:sz w:val="22"/>
          <w:szCs w:val="22"/>
        </w:rPr>
        <w:t>parenterálnej</w:t>
      </w:r>
      <w:proofErr w:type="spellEnd"/>
      <w:r w:rsidRPr="00CF4824">
        <w:rPr>
          <w:snapToGrid w:val="0"/>
          <w:sz w:val="22"/>
          <w:szCs w:val="22"/>
        </w:rPr>
        <w:t xml:space="preserve"> výžive sa môžu vyskytnúť poruchy pečene a</w:t>
      </w:r>
      <w:r w:rsidR="002E782B">
        <w:rPr>
          <w:snapToGrid w:val="0"/>
          <w:sz w:val="22"/>
          <w:szCs w:val="22"/>
        </w:rPr>
        <w:t> </w:t>
      </w:r>
      <w:r w:rsidRPr="00CF4824">
        <w:rPr>
          <w:snapToGrid w:val="0"/>
          <w:sz w:val="22"/>
          <w:szCs w:val="22"/>
        </w:rPr>
        <w:t xml:space="preserve">žlčových ciest vrátane </w:t>
      </w:r>
      <w:proofErr w:type="spellStart"/>
      <w:r w:rsidRPr="00CF4824">
        <w:rPr>
          <w:snapToGrid w:val="0"/>
          <w:sz w:val="22"/>
          <w:szCs w:val="22"/>
        </w:rPr>
        <w:t>cholestázy</w:t>
      </w:r>
      <w:proofErr w:type="spellEnd"/>
      <w:r w:rsidR="008D468F">
        <w:rPr>
          <w:snapToGrid w:val="0"/>
          <w:sz w:val="22"/>
          <w:szCs w:val="22"/>
          <w:lang w:val="en-US"/>
        </w:rPr>
        <w:t>;</w:t>
      </w:r>
      <w:r w:rsidRPr="00CF4824">
        <w:rPr>
          <w:snapToGrid w:val="0"/>
          <w:sz w:val="22"/>
          <w:szCs w:val="22"/>
        </w:rPr>
        <w:t xml:space="preserve"> </w:t>
      </w:r>
      <w:proofErr w:type="spellStart"/>
      <w:r w:rsidRPr="00CF4824">
        <w:rPr>
          <w:snapToGrid w:val="0"/>
          <w:sz w:val="22"/>
          <w:szCs w:val="22"/>
        </w:rPr>
        <w:t>steatózy</w:t>
      </w:r>
      <w:proofErr w:type="spellEnd"/>
      <w:r w:rsidRPr="00CF4824">
        <w:rPr>
          <w:snapToGrid w:val="0"/>
          <w:sz w:val="22"/>
          <w:szCs w:val="22"/>
        </w:rPr>
        <w:t xml:space="preserve">, </w:t>
      </w:r>
      <w:proofErr w:type="spellStart"/>
      <w:r w:rsidRPr="00CF4824">
        <w:rPr>
          <w:snapToGrid w:val="0"/>
          <w:sz w:val="22"/>
          <w:szCs w:val="22"/>
        </w:rPr>
        <w:t>fibrózy</w:t>
      </w:r>
      <w:proofErr w:type="spellEnd"/>
      <w:r w:rsidRPr="00CF4824">
        <w:rPr>
          <w:snapToGrid w:val="0"/>
          <w:sz w:val="22"/>
          <w:szCs w:val="22"/>
        </w:rPr>
        <w:t xml:space="preserve"> a</w:t>
      </w:r>
      <w:r w:rsidR="008D468F">
        <w:rPr>
          <w:snapToGrid w:val="0"/>
          <w:sz w:val="22"/>
          <w:szCs w:val="22"/>
        </w:rPr>
        <w:t> </w:t>
      </w:r>
      <w:r w:rsidRPr="00CF4824">
        <w:rPr>
          <w:snapToGrid w:val="0"/>
          <w:sz w:val="22"/>
          <w:szCs w:val="22"/>
        </w:rPr>
        <w:t>cirhózy</w:t>
      </w:r>
      <w:r w:rsidR="008D468F">
        <w:rPr>
          <w:snapToGrid w:val="0"/>
          <w:sz w:val="22"/>
          <w:szCs w:val="22"/>
        </w:rPr>
        <w:t xml:space="preserve"> pečene, ktoré</w:t>
      </w:r>
      <w:r w:rsidRPr="00CF4824">
        <w:rPr>
          <w:snapToGrid w:val="0"/>
          <w:sz w:val="22"/>
          <w:szCs w:val="22"/>
        </w:rPr>
        <w:t xml:space="preserve"> môžu viesť k zlyh</w:t>
      </w:r>
      <w:r w:rsidR="008D468F">
        <w:rPr>
          <w:snapToGrid w:val="0"/>
          <w:sz w:val="22"/>
          <w:szCs w:val="22"/>
        </w:rPr>
        <w:t>áv</w:t>
      </w:r>
      <w:r w:rsidRPr="00CF4824">
        <w:rPr>
          <w:snapToGrid w:val="0"/>
          <w:sz w:val="22"/>
          <w:szCs w:val="22"/>
        </w:rPr>
        <w:t>aniu pečene</w:t>
      </w:r>
      <w:r w:rsidR="008D468F">
        <w:rPr>
          <w:snapToGrid w:val="0"/>
          <w:sz w:val="22"/>
          <w:szCs w:val="22"/>
          <w:lang w:val="en-US"/>
        </w:rPr>
        <w:t>;</w:t>
      </w:r>
      <w:r w:rsidRPr="00CF4824">
        <w:rPr>
          <w:snapToGrid w:val="0"/>
          <w:sz w:val="22"/>
          <w:szCs w:val="22"/>
        </w:rPr>
        <w:t xml:space="preserve"> </w:t>
      </w:r>
      <w:r w:rsidR="005D324C">
        <w:rPr>
          <w:snapToGrid w:val="0"/>
          <w:sz w:val="22"/>
          <w:szCs w:val="22"/>
        </w:rPr>
        <w:t xml:space="preserve">a takisto </w:t>
      </w:r>
      <w:r w:rsidR="008D468F">
        <w:rPr>
          <w:snapToGrid w:val="0"/>
          <w:sz w:val="22"/>
          <w:szCs w:val="22"/>
        </w:rPr>
        <w:t>vrátane</w:t>
      </w:r>
      <w:r w:rsidRPr="00CF4824">
        <w:rPr>
          <w:snapToGrid w:val="0"/>
          <w:sz w:val="22"/>
          <w:szCs w:val="22"/>
        </w:rPr>
        <w:t xml:space="preserve"> </w:t>
      </w:r>
      <w:proofErr w:type="spellStart"/>
      <w:r w:rsidRPr="00CF4824">
        <w:rPr>
          <w:snapToGrid w:val="0"/>
          <w:sz w:val="22"/>
          <w:szCs w:val="22"/>
        </w:rPr>
        <w:t>cholecyst</w:t>
      </w:r>
      <w:r w:rsidR="00ED603D">
        <w:rPr>
          <w:snapToGrid w:val="0"/>
          <w:sz w:val="22"/>
          <w:szCs w:val="22"/>
        </w:rPr>
        <w:t>itíd</w:t>
      </w:r>
      <w:r w:rsidR="008D468F">
        <w:rPr>
          <w:snapToGrid w:val="0"/>
          <w:sz w:val="22"/>
          <w:szCs w:val="22"/>
        </w:rPr>
        <w:t>y</w:t>
      </w:r>
      <w:proofErr w:type="spellEnd"/>
      <w:r w:rsidRPr="00CF4824">
        <w:rPr>
          <w:snapToGrid w:val="0"/>
          <w:sz w:val="22"/>
          <w:szCs w:val="22"/>
        </w:rPr>
        <w:t xml:space="preserve"> a </w:t>
      </w:r>
      <w:proofErr w:type="spellStart"/>
      <w:r w:rsidRPr="00CF4824">
        <w:rPr>
          <w:snapToGrid w:val="0"/>
          <w:sz w:val="22"/>
          <w:szCs w:val="22"/>
        </w:rPr>
        <w:t>cholelitiáz</w:t>
      </w:r>
      <w:r w:rsidR="008D468F">
        <w:rPr>
          <w:snapToGrid w:val="0"/>
          <w:sz w:val="22"/>
          <w:szCs w:val="22"/>
        </w:rPr>
        <w:t>y</w:t>
      </w:r>
      <w:proofErr w:type="spellEnd"/>
      <w:r w:rsidRPr="00CF4824">
        <w:rPr>
          <w:snapToGrid w:val="0"/>
          <w:sz w:val="22"/>
          <w:szCs w:val="22"/>
        </w:rPr>
        <w:t xml:space="preserve">. Predpokladá sa, že </w:t>
      </w:r>
      <w:r w:rsidR="008D468F">
        <w:rPr>
          <w:snapToGrid w:val="0"/>
          <w:sz w:val="22"/>
          <w:szCs w:val="22"/>
        </w:rPr>
        <w:t>etiológia</w:t>
      </w:r>
      <w:r w:rsidRPr="00CF4824">
        <w:rPr>
          <w:snapToGrid w:val="0"/>
          <w:sz w:val="22"/>
          <w:szCs w:val="22"/>
        </w:rPr>
        <w:t xml:space="preserve"> týchto porúch </w:t>
      </w:r>
      <w:r w:rsidR="008D468F">
        <w:rPr>
          <w:snapToGrid w:val="0"/>
          <w:sz w:val="22"/>
          <w:szCs w:val="22"/>
        </w:rPr>
        <w:t xml:space="preserve">je </w:t>
      </w:r>
      <w:proofErr w:type="spellStart"/>
      <w:r w:rsidR="008D468F">
        <w:rPr>
          <w:snapToGrid w:val="0"/>
          <w:sz w:val="22"/>
          <w:szCs w:val="22"/>
        </w:rPr>
        <w:t>multifaktoriálna</w:t>
      </w:r>
      <w:proofErr w:type="spellEnd"/>
      <w:r w:rsidRPr="00CF4824">
        <w:rPr>
          <w:snapToGrid w:val="0"/>
          <w:sz w:val="22"/>
          <w:szCs w:val="22"/>
        </w:rPr>
        <w:t xml:space="preserve"> a môže sa medzi pacientmi líšiť. Pacienti, u ktorých sa vyskytnú </w:t>
      </w:r>
      <w:r w:rsidR="001307F3">
        <w:rPr>
          <w:snapToGrid w:val="0"/>
          <w:sz w:val="22"/>
          <w:szCs w:val="22"/>
        </w:rPr>
        <w:t xml:space="preserve">nezvyčajné hodnoty </w:t>
      </w:r>
      <w:r w:rsidRPr="00CF4824">
        <w:rPr>
          <w:snapToGrid w:val="0"/>
          <w:sz w:val="22"/>
          <w:szCs w:val="22"/>
        </w:rPr>
        <w:t>laboratórnych parametro</w:t>
      </w:r>
      <w:r w:rsidR="001307F3">
        <w:rPr>
          <w:snapToGrid w:val="0"/>
          <w:sz w:val="22"/>
          <w:szCs w:val="22"/>
        </w:rPr>
        <w:t>v</w:t>
      </w:r>
      <w:r w:rsidRPr="00CF4824">
        <w:rPr>
          <w:snapToGrid w:val="0"/>
          <w:sz w:val="22"/>
          <w:szCs w:val="22"/>
        </w:rPr>
        <w:t xml:space="preserve"> alebo iné </w:t>
      </w:r>
      <w:r w:rsidR="00430C58">
        <w:rPr>
          <w:snapToGrid w:val="0"/>
          <w:sz w:val="22"/>
          <w:szCs w:val="22"/>
        </w:rPr>
        <w:t>prejavy</w:t>
      </w:r>
      <w:r w:rsidRPr="00CF4824">
        <w:rPr>
          <w:snapToGrid w:val="0"/>
          <w:sz w:val="22"/>
          <w:szCs w:val="22"/>
        </w:rPr>
        <w:t xml:space="preserve"> porúch pečene a žlčových ciest, musia byť </w:t>
      </w:r>
      <w:r w:rsidR="008D468F">
        <w:rPr>
          <w:snapToGrid w:val="0"/>
          <w:sz w:val="22"/>
          <w:szCs w:val="22"/>
        </w:rPr>
        <w:t xml:space="preserve">včas </w:t>
      </w:r>
      <w:r w:rsidRPr="00CF4824">
        <w:rPr>
          <w:snapToGrid w:val="0"/>
          <w:sz w:val="22"/>
          <w:szCs w:val="22"/>
        </w:rPr>
        <w:t xml:space="preserve">vyšetrení klinickým lekárom, ktorý má </w:t>
      </w:r>
      <w:r w:rsidR="00430C58">
        <w:rPr>
          <w:snapToGrid w:val="0"/>
          <w:sz w:val="22"/>
          <w:szCs w:val="22"/>
        </w:rPr>
        <w:t xml:space="preserve">skúsenosti s </w:t>
      </w:r>
      <w:r w:rsidRPr="00CF4824">
        <w:rPr>
          <w:snapToGrid w:val="0"/>
          <w:sz w:val="22"/>
          <w:szCs w:val="22"/>
        </w:rPr>
        <w:t>ochoren</w:t>
      </w:r>
      <w:r w:rsidR="00430C58">
        <w:rPr>
          <w:snapToGrid w:val="0"/>
          <w:sz w:val="22"/>
          <w:szCs w:val="22"/>
        </w:rPr>
        <w:t>iami</w:t>
      </w:r>
      <w:r w:rsidRPr="00CF4824">
        <w:rPr>
          <w:snapToGrid w:val="0"/>
          <w:sz w:val="22"/>
          <w:szCs w:val="22"/>
        </w:rPr>
        <w:t xml:space="preserve"> pečene, </w:t>
      </w:r>
      <w:r w:rsidR="008D468F">
        <w:rPr>
          <w:snapToGrid w:val="0"/>
          <w:sz w:val="22"/>
          <w:szCs w:val="22"/>
        </w:rPr>
        <w:t>aby sa</w:t>
      </w:r>
      <w:r w:rsidRPr="00CF4824">
        <w:rPr>
          <w:snapToGrid w:val="0"/>
          <w:sz w:val="22"/>
          <w:szCs w:val="22"/>
        </w:rPr>
        <w:t xml:space="preserve"> identifik</w:t>
      </w:r>
      <w:r w:rsidR="008D468F">
        <w:rPr>
          <w:snapToGrid w:val="0"/>
          <w:sz w:val="22"/>
          <w:szCs w:val="22"/>
        </w:rPr>
        <w:t>ovali</w:t>
      </w:r>
      <w:r w:rsidRPr="00CF4824">
        <w:rPr>
          <w:snapToGrid w:val="0"/>
          <w:sz w:val="22"/>
          <w:szCs w:val="22"/>
        </w:rPr>
        <w:t xml:space="preserve"> možn</w:t>
      </w:r>
      <w:r w:rsidR="008D468F">
        <w:rPr>
          <w:snapToGrid w:val="0"/>
          <w:sz w:val="22"/>
          <w:szCs w:val="22"/>
        </w:rPr>
        <w:t>é</w:t>
      </w:r>
      <w:r w:rsidRPr="00CF4824">
        <w:rPr>
          <w:snapToGrid w:val="0"/>
          <w:sz w:val="22"/>
          <w:szCs w:val="22"/>
        </w:rPr>
        <w:t xml:space="preserve"> </w:t>
      </w:r>
      <w:r w:rsidR="00430C58">
        <w:rPr>
          <w:snapToGrid w:val="0"/>
          <w:sz w:val="22"/>
          <w:szCs w:val="22"/>
        </w:rPr>
        <w:t>kauzáln</w:t>
      </w:r>
      <w:r w:rsidR="008D468F">
        <w:rPr>
          <w:snapToGrid w:val="0"/>
          <w:sz w:val="22"/>
          <w:szCs w:val="22"/>
        </w:rPr>
        <w:t>e faktory</w:t>
      </w:r>
      <w:r w:rsidR="00430C58">
        <w:rPr>
          <w:snapToGrid w:val="0"/>
          <w:sz w:val="22"/>
          <w:szCs w:val="22"/>
        </w:rPr>
        <w:t xml:space="preserve"> a faktor</w:t>
      </w:r>
      <w:r w:rsidR="008D468F">
        <w:rPr>
          <w:snapToGrid w:val="0"/>
          <w:sz w:val="22"/>
          <w:szCs w:val="22"/>
        </w:rPr>
        <w:t>y prispievajúce k ochoreniu,</w:t>
      </w:r>
      <w:r w:rsidR="00430C58">
        <w:rPr>
          <w:snapToGrid w:val="0"/>
          <w:sz w:val="22"/>
          <w:szCs w:val="22"/>
        </w:rPr>
        <w:t xml:space="preserve"> a</w:t>
      </w:r>
      <w:r w:rsidR="008D468F">
        <w:rPr>
          <w:snapToGrid w:val="0"/>
          <w:sz w:val="22"/>
          <w:szCs w:val="22"/>
        </w:rPr>
        <w:t xml:space="preserve"> tiež </w:t>
      </w:r>
      <w:r w:rsidR="00430C58">
        <w:rPr>
          <w:snapToGrid w:val="0"/>
          <w:sz w:val="22"/>
          <w:szCs w:val="22"/>
        </w:rPr>
        <w:t>možn</w:t>
      </w:r>
      <w:r w:rsidR="008D468F">
        <w:rPr>
          <w:snapToGrid w:val="0"/>
          <w:sz w:val="22"/>
          <w:szCs w:val="22"/>
        </w:rPr>
        <w:t>é</w:t>
      </w:r>
      <w:r w:rsidR="00430C58">
        <w:rPr>
          <w:snapToGrid w:val="0"/>
          <w:sz w:val="22"/>
          <w:szCs w:val="22"/>
        </w:rPr>
        <w:t xml:space="preserve"> </w:t>
      </w:r>
      <w:r w:rsidRPr="00CF4824">
        <w:rPr>
          <w:snapToGrid w:val="0"/>
          <w:sz w:val="22"/>
          <w:szCs w:val="22"/>
        </w:rPr>
        <w:t>terapeutick</w:t>
      </w:r>
      <w:r w:rsidR="008D468F">
        <w:rPr>
          <w:snapToGrid w:val="0"/>
          <w:sz w:val="22"/>
          <w:szCs w:val="22"/>
        </w:rPr>
        <w:t>é</w:t>
      </w:r>
      <w:r w:rsidRPr="00CF4824">
        <w:rPr>
          <w:snapToGrid w:val="0"/>
          <w:sz w:val="22"/>
          <w:szCs w:val="22"/>
        </w:rPr>
        <w:t xml:space="preserve"> a profylaktick</w:t>
      </w:r>
      <w:r w:rsidR="008D468F">
        <w:rPr>
          <w:snapToGrid w:val="0"/>
          <w:sz w:val="22"/>
          <w:szCs w:val="22"/>
        </w:rPr>
        <w:t>é</w:t>
      </w:r>
      <w:r w:rsidRPr="00CF4824">
        <w:rPr>
          <w:snapToGrid w:val="0"/>
          <w:sz w:val="22"/>
          <w:szCs w:val="22"/>
        </w:rPr>
        <w:t xml:space="preserve"> </w:t>
      </w:r>
      <w:r w:rsidR="008D468F">
        <w:rPr>
          <w:snapToGrid w:val="0"/>
          <w:sz w:val="22"/>
          <w:szCs w:val="22"/>
        </w:rPr>
        <w:t>intervencie</w:t>
      </w:r>
      <w:r w:rsidRPr="00CF4824">
        <w:rPr>
          <w:snapToGrid w:val="0"/>
          <w:sz w:val="22"/>
          <w:szCs w:val="22"/>
        </w:rPr>
        <w:t>.</w:t>
      </w:r>
    </w:p>
    <w:p w14:paraId="1395CCEE" w14:textId="77777777" w:rsidR="009E1DD5" w:rsidRPr="00CF4824" w:rsidRDefault="009E1DD5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72BBBA68" w14:textId="076BD7A2" w:rsidR="00125AA0" w:rsidRPr="00CF4824" w:rsidRDefault="009236D3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 xml:space="preserve">Pravidelne sa musia kontrolovať koncentrácie </w:t>
      </w:r>
      <w:proofErr w:type="spellStart"/>
      <w:r w:rsidRPr="00CF4824">
        <w:rPr>
          <w:sz w:val="22"/>
          <w:szCs w:val="22"/>
        </w:rPr>
        <w:t>tri</w:t>
      </w:r>
      <w:r w:rsidR="00FA1D73">
        <w:rPr>
          <w:sz w:val="22"/>
          <w:szCs w:val="22"/>
        </w:rPr>
        <w:t>acylglycerolov</w:t>
      </w:r>
      <w:proofErr w:type="spellEnd"/>
      <w:r w:rsidRPr="00CF4824">
        <w:rPr>
          <w:sz w:val="22"/>
          <w:szCs w:val="22"/>
        </w:rPr>
        <w:t xml:space="preserve"> v sére a schopnosť tela odbúravať </w:t>
      </w:r>
      <w:proofErr w:type="spellStart"/>
      <w:r w:rsidRPr="00CF4824">
        <w:rPr>
          <w:sz w:val="22"/>
          <w:szCs w:val="22"/>
        </w:rPr>
        <w:t>lipidy</w:t>
      </w:r>
      <w:proofErr w:type="spellEnd"/>
      <w:r w:rsidRPr="00CF4824">
        <w:rPr>
          <w:sz w:val="22"/>
          <w:szCs w:val="22"/>
        </w:rPr>
        <w:t xml:space="preserve">. Koncentrácie </w:t>
      </w:r>
      <w:proofErr w:type="spellStart"/>
      <w:r w:rsidRPr="00CF4824">
        <w:rPr>
          <w:sz w:val="22"/>
          <w:szCs w:val="22"/>
        </w:rPr>
        <w:t>tri</w:t>
      </w:r>
      <w:r w:rsidR="00CA075E">
        <w:rPr>
          <w:sz w:val="22"/>
          <w:szCs w:val="22"/>
        </w:rPr>
        <w:t>acylglycerolov</w:t>
      </w:r>
      <w:proofErr w:type="spellEnd"/>
      <w:r w:rsidRPr="00CF4824">
        <w:rPr>
          <w:sz w:val="22"/>
          <w:szCs w:val="22"/>
        </w:rPr>
        <w:t xml:space="preserve"> v sére nesmú počas podávania infúzie prekročiť 3</w:t>
      </w:r>
      <w:r w:rsidRPr="00CF4824">
        <w:rPr>
          <w:sz w:val="22"/>
          <w:szCs w:val="22"/>
          <w:u w:val="words"/>
        </w:rPr>
        <w:t> </w:t>
      </w:r>
      <w:proofErr w:type="spellStart"/>
      <w:r w:rsidRPr="00CF4824">
        <w:rPr>
          <w:sz w:val="22"/>
          <w:szCs w:val="22"/>
        </w:rPr>
        <w:t>mmol</w:t>
      </w:r>
      <w:proofErr w:type="spellEnd"/>
      <w:r w:rsidRPr="00CF4824">
        <w:rPr>
          <w:sz w:val="22"/>
          <w:szCs w:val="22"/>
        </w:rPr>
        <w:t>/l.</w:t>
      </w:r>
    </w:p>
    <w:p w14:paraId="58E31A2A" w14:textId="77777777" w:rsidR="009E1DD5" w:rsidRPr="00CF4824" w:rsidRDefault="009E1DD5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221FB1B3" w14:textId="37E9757C" w:rsidR="009236D3" w:rsidRPr="00CF4824" w:rsidRDefault="009236D3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 xml:space="preserve">Pri podozrení na poruchu metabolizmu </w:t>
      </w:r>
      <w:proofErr w:type="spellStart"/>
      <w:r w:rsidRPr="00CF4824">
        <w:rPr>
          <w:sz w:val="22"/>
          <w:szCs w:val="22"/>
        </w:rPr>
        <w:t>lipidov</w:t>
      </w:r>
      <w:proofErr w:type="spellEnd"/>
      <w:r w:rsidRPr="00CF4824">
        <w:rPr>
          <w:sz w:val="22"/>
          <w:szCs w:val="22"/>
        </w:rPr>
        <w:t xml:space="preserve"> sa odporúča denne stanovovať </w:t>
      </w:r>
      <w:r w:rsidR="005A0C70">
        <w:rPr>
          <w:sz w:val="22"/>
          <w:szCs w:val="22"/>
        </w:rPr>
        <w:t>hladiny</w:t>
      </w:r>
      <w:r w:rsidRPr="00CF4824">
        <w:rPr>
          <w:sz w:val="22"/>
          <w:szCs w:val="22"/>
        </w:rPr>
        <w:t xml:space="preserve"> </w:t>
      </w:r>
      <w:proofErr w:type="spellStart"/>
      <w:r w:rsidRPr="00CF4824">
        <w:rPr>
          <w:sz w:val="22"/>
          <w:szCs w:val="22"/>
        </w:rPr>
        <w:t>tri</w:t>
      </w:r>
      <w:r w:rsidR="004A14B3">
        <w:rPr>
          <w:sz w:val="22"/>
          <w:szCs w:val="22"/>
        </w:rPr>
        <w:t>acylglycerolov</w:t>
      </w:r>
      <w:proofErr w:type="spellEnd"/>
      <w:r w:rsidRPr="00CF4824">
        <w:rPr>
          <w:sz w:val="22"/>
          <w:szCs w:val="22"/>
        </w:rPr>
        <w:t xml:space="preserve"> v sére po uplynutí 5 až 6 hodín bez podávania </w:t>
      </w:r>
      <w:proofErr w:type="spellStart"/>
      <w:r w:rsidRPr="00CF4824">
        <w:rPr>
          <w:sz w:val="22"/>
          <w:szCs w:val="22"/>
        </w:rPr>
        <w:t>lipidov</w:t>
      </w:r>
      <w:proofErr w:type="spellEnd"/>
      <w:r w:rsidRPr="00CF4824">
        <w:rPr>
          <w:sz w:val="22"/>
          <w:szCs w:val="22"/>
        </w:rPr>
        <w:t xml:space="preserve">. U dospelých musí byť sérum číre skôr ako za 6 hodín po ukončení podávania infúzie s obsahom </w:t>
      </w:r>
      <w:proofErr w:type="spellStart"/>
      <w:r w:rsidR="00C500F3">
        <w:rPr>
          <w:sz w:val="22"/>
          <w:szCs w:val="22"/>
        </w:rPr>
        <w:t>lipidovej</w:t>
      </w:r>
      <w:proofErr w:type="spellEnd"/>
      <w:r w:rsidR="00C500F3">
        <w:rPr>
          <w:sz w:val="22"/>
          <w:szCs w:val="22"/>
        </w:rPr>
        <w:t xml:space="preserve"> </w:t>
      </w:r>
      <w:r w:rsidRPr="00CF4824">
        <w:rPr>
          <w:sz w:val="22"/>
          <w:szCs w:val="22"/>
        </w:rPr>
        <w:t xml:space="preserve">emulzie. Ďalšia infúzia sa môže podať iba vtedy, keď sa koncentrácie </w:t>
      </w:r>
      <w:proofErr w:type="spellStart"/>
      <w:r w:rsidRPr="00CF4824">
        <w:rPr>
          <w:sz w:val="22"/>
          <w:szCs w:val="22"/>
        </w:rPr>
        <w:t>tri</w:t>
      </w:r>
      <w:r w:rsidR="005A0C70">
        <w:rPr>
          <w:sz w:val="22"/>
          <w:szCs w:val="22"/>
        </w:rPr>
        <w:t>acylglycerolov</w:t>
      </w:r>
      <w:proofErr w:type="spellEnd"/>
      <w:r w:rsidRPr="00CF4824">
        <w:rPr>
          <w:sz w:val="22"/>
          <w:szCs w:val="22"/>
        </w:rPr>
        <w:t xml:space="preserve"> v sére vrátili k základným hodnotám.</w:t>
      </w:r>
    </w:p>
    <w:p w14:paraId="24FE54FF" w14:textId="77777777" w:rsidR="009E1DD5" w:rsidRPr="00CF4824" w:rsidRDefault="009E1DD5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171C9FF5" w14:textId="124CEE64" w:rsidR="00D518AC" w:rsidRPr="00CF4824" w:rsidRDefault="00D518AC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 xml:space="preserve">Pri liekoch podobného typu bol hlásený syndróm preťaženia tukmi. Znížená alebo obmedzená schopnosť metabolizovať </w:t>
      </w:r>
      <w:proofErr w:type="spellStart"/>
      <w:r w:rsidRPr="00CF4824">
        <w:rPr>
          <w:sz w:val="22"/>
          <w:szCs w:val="22"/>
        </w:rPr>
        <w:t>lipidy</w:t>
      </w:r>
      <w:proofErr w:type="spellEnd"/>
      <w:r w:rsidRPr="00CF4824">
        <w:rPr>
          <w:sz w:val="22"/>
          <w:szCs w:val="22"/>
        </w:rPr>
        <w:t xml:space="preserve"> obsiahnuté v</w:t>
      </w:r>
      <w:r w:rsidR="004F72FA">
        <w:rPr>
          <w:sz w:val="22"/>
          <w:szCs w:val="22"/>
        </w:rPr>
        <w:t> </w:t>
      </w:r>
      <w:r w:rsidRPr="00CF4824">
        <w:rPr>
          <w:sz w:val="22"/>
          <w:szCs w:val="22"/>
        </w:rPr>
        <w:t>OLIMEL</w:t>
      </w:r>
      <w:r w:rsidR="00EC4356">
        <w:rPr>
          <w:sz w:val="22"/>
          <w:szCs w:val="22"/>
        </w:rPr>
        <w:t>E</w:t>
      </w:r>
      <w:r w:rsidR="004F72FA">
        <w:rPr>
          <w:sz w:val="22"/>
          <w:szCs w:val="22"/>
        </w:rPr>
        <w:t xml:space="preserve"> N12E</w:t>
      </w:r>
      <w:r w:rsidRPr="00CF4824">
        <w:rPr>
          <w:sz w:val="22"/>
          <w:szCs w:val="22"/>
        </w:rPr>
        <w:t xml:space="preserve"> môže vyvolať „syndróm preťaženia tukmi“, ktorý môže byť spôsobený predávkovaním; Prejavy a príznaky tohto syndrómu sa však môžu vyskytnúť aj vtedy, keď je liek podávaný podľa pokynov (pozri tiež časť 4.8).</w:t>
      </w:r>
    </w:p>
    <w:p w14:paraId="0778DAC7" w14:textId="77777777" w:rsidR="009E1DD5" w:rsidRPr="00CF4824" w:rsidRDefault="009E1DD5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3DBE0A69" w14:textId="4C0F7142" w:rsidR="00D518AC" w:rsidRPr="00CF4824" w:rsidRDefault="00D518AC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>V prípade hyperglykémie, sa rýchlosť podávania OLIMELU musí upraviť a/alebo podať inzulín.</w:t>
      </w:r>
    </w:p>
    <w:p w14:paraId="31FF2BED" w14:textId="77777777" w:rsidR="009E1DD5" w:rsidRPr="00CF4824" w:rsidRDefault="009E1DD5" w:rsidP="00D91F70">
      <w:pPr>
        <w:pStyle w:val="Paragraph"/>
        <w:spacing w:before="0" w:after="0" w:line="240" w:lineRule="auto"/>
        <w:rPr>
          <w:caps/>
          <w:sz w:val="22"/>
          <w:szCs w:val="22"/>
        </w:rPr>
      </w:pPr>
    </w:p>
    <w:p w14:paraId="10EDA112" w14:textId="0EBE34E0" w:rsidR="009236D3" w:rsidRPr="00CF4824" w:rsidRDefault="002B14B7" w:rsidP="00D91F70">
      <w:pPr>
        <w:pStyle w:val="Paragraph"/>
        <w:spacing w:before="0" w:after="0" w:line="240" w:lineRule="auto"/>
        <w:rPr>
          <w:caps/>
          <w:sz w:val="22"/>
          <w:szCs w:val="22"/>
        </w:rPr>
      </w:pPr>
      <w:r w:rsidRPr="00CF4824">
        <w:rPr>
          <w:caps/>
          <w:sz w:val="22"/>
          <w:szCs w:val="22"/>
        </w:rPr>
        <w:t>Nepodávajte do periférnej žily.</w:t>
      </w:r>
    </w:p>
    <w:p w14:paraId="5E41878E" w14:textId="77777777" w:rsidR="009E1DD5" w:rsidRPr="00CF4824" w:rsidRDefault="009E1DD5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739E6E53" w14:textId="15B78C31" w:rsidR="00D518AC" w:rsidRPr="00CF4824" w:rsidRDefault="00D518AC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 xml:space="preserve">Aj keď </w:t>
      </w:r>
      <w:r w:rsidR="005B27FA">
        <w:rPr>
          <w:sz w:val="22"/>
          <w:szCs w:val="22"/>
        </w:rPr>
        <w:t xml:space="preserve">tento </w:t>
      </w:r>
      <w:r w:rsidRPr="00CF4824">
        <w:rPr>
          <w:sz w:val="22"/>
          <w:szCs w:val="22"/>
        </w:rPr>
        <w:t>liek</w:t>
      </w:r>
      <w:r w:rsidR="005B27FA">
        <w:rPr>
          <w:sz w:val="22"/>
          <w:szCs w:val="22"/>
        </w:rPr>
        <w:t xml:space="preserve"> prirodzene</w:t>
      </w:r>
      <w:r w:rsidRPr="00CF4824">
        <w:rPr>
          <w:sz w:val="22"/>
          <w:szCs w:val="22"/>
        </w:rPr>
        <w:t xml:space="preserve"> obsahuje určité množstvo stopových prvkov a vitamínov, ich hladiny nie sú dostatočné na pokrytie potrieb organizmu</w:t>
      </w:r>
      <w:r w:rsidR="00007D1E">
        <w:rPr>
          <w:sz w:val="22"/>
          <w:szCs w:val="22"/>
        </w:rPr>
        <w:t>.</w:t>
      </w:r>
      <w:r w:rsidRPr="00CF4824">
        <w:rPr>
          <w:sz w:val="22"/>
          <w:szCs w:val="22"/>
        </w:rPr>
        <w:t xml:space="preserve"> </w:t>
      </w:r>
      <w:r w:rsidR="00007D1E">
        <w:rPr>
          <w:sz w:val="22"/>
          <w:szCs w:val="22"/>
        </w:rPr>
        <w:t>Stopové prvky a</w:t>
      </w:r>
      <w:r w:rsidR="005B27FA">
        <w:rPr>
          <w:sz w:val="22"/>
          <w:szCs w:val="22"/>
        </w:rPr>
        <w:t> </w:t>
      </w:r>
      <w:r w:rsidR="00007D1E">
        <w:rPr>
          <w:sz w:val="22"/>
          <w:szCs w:val="22"/>
        </w:rPr>
        <w:t>vitamíny</w:t>
      </w:r>
      <w:r w:rsidR="005B27FA">
        <w:rPr>
          <w:sz w:val="22"/>
          <w:szCs w:val="22"/>
        </w:rPr>
        <w:t xml:space="preserve"> sa</w:t>
      </w:r>
      <w:r w:rsidR="00007D1E">
        <w:rPr>
          <w:sz w:val="22"/>
          <w:szCs w:val="22"/>
        </w:rPr>
        <w:t xml:space="preserve"> </w:t>
      </w:r>
      <w:r w:rsidRPr="00CF4824">
        <w:rPr>
          <w:sz w:val="22"/>
          <w:szCs w:val="22"/>
        </w:rPr>
        <w:t>ma</w:t>
      </w:r>
      <w:r w:rsidR="009E6826">
        <w:rPr>
          <w:sz w:val="22"/>
          <w:szCs w:val="22"/>
        </w:rPr>
        <w:t>jú</w:t>
      </w:r>
      <w:r w:rsidRPr="00CF4824">
        <w:rPr>
          <w:sz w:val="22"/>
          <w:szCs w:val="22"/>
        </w:rPr>
        <w:t xml:space="preserve"> pridáva</w:t>
      </w:r>
      <w:r w:rsidR="005B27FA">
        <w:rPr>
          <w:sz w:val="22"/>
          <w:szCs w:val="22"/>
        </w:rPr>
        <w:t>ť</w:t>
      </w:r>
      <w:r w:rsidR="00007D1E" w:rsidRPr="00007D1E">
        <w:t xml:space="preserve"> </w:t>
      </w:r>
      <w:r w:rsidR="00007D1E" w:rsidRPr="00007D1E">
        <w:rPr>
          <w:sz w:val="22"/>
          <w:szCs w:val="22"/>
        </w:rPr>
        <w:t>v</w:t>
      </w:r>
      <w:r w:rsidR="002E782B">
        <w:rPr>
          <w:sz w:val="22"/>
          <w:szCs w:val="22"/>
        </w:rPr>
        <w:t> </w:t>
      </w:r>
      <w:r w:rsidR="00007D1E" w:rsidRPr="00007D1E">
        <w:rPr>
          <w:sz w:val="22"/>
          <w:szCs w:val="22"/>
        </w:rPr>
        <w:t>dostatočnom množstve</w:t>
      </w:r>
      <w:r w:rsidRPr="00CF4824">
        <w:rPr>
          <w:sz w:val="22"/>
          <w:szCs w:val="22"/>
        </w:rPr>
        <w:t xml:space="preserve">, aby sa </w:t>
      </w:r>
      <w:r w:rsidR="005B27FA">
        <w:rPr>
          <w:sz w:val="22"/>
          <w:szCs w:val="22"/>
        </w:rPr>
        <w:t>pokryli</w:t>
      </w:r>
      <w:r w:rsidR="00007D1E" w:rsidRPr="00007D1E">
        <w:rPr>
          <w:sz w:val="22"/>
          <w:szCs w:val="22"/>
        </w:rPr>
        <w:t xml:space="preserve"> individuáln</w:t>
      </w:r>
      <w:r w:rsidR="005B27FA">
        <w:rPr>
          <w:sz w:val="22"/>
          <w:szCs w:val="22"/>
        </w:rPr>
        <w:t>e</w:t>
      </w:r>
      <w:r w:rsidR="00007D1E" w:rsidRPr="00007D1E">
        <w:rPr>
          <w:sz w:val="22"/>
          <w:szCs w:val="22"/>
        </w:rPr>
        <w:t xml:space="preserve"> po</w:t>
      </w:r>
      <w:r w:rsidR="005B27FA">
        <w:rPr>
          <w:sz w:val="22"/>
          <w:szCs w:val="22"/>
        </w:rPr>
        <w:t>treby</w:t>
      </w:r>
      <w:r w:rsidR="00007D1E" w:rsidRPr="00007D1E">
        <w:rPr>
          <w:sz w:val="22"/>
          <w:szCs w:val="22"/>
        </w:rPr>
        <w:t xml:space="preserve"> pacienta a </w:t>
      </w:r>
      <w:r w:rsidR="005B27FA">
        <w:rPr>
          <w:sz w:val="22"/>
          <w:szCs w:val="22"/>
        </w:rPr>
        <w:t>predišlo</w:t>
      </w:r>
      <w:r w:rsidRPr="00CF4824">
        <w:rPr>
          <w:sz w:val="22"/>
          <w:szCs w:val="22"/>
        </w:rPr>
        <w:t xml:space="preserve"> </w:t>
      </w:r>
      <w:r w:rsidR="00007D1E">
        <w:rPr>
          <w:sz w:val="22"/>
          <w:szCs w:val="22"/>
        </w:rPr>
        <w:t xml:space="preserve">sa </w:t>
      </w:r>
      <w:r w:rsidRPr="00CF4824">
        <w:rPr>
          <w:sz w:val="22"/>
          <w:szCs w:val="22"/>
        </w:rPr>
        <w:t xml:space="preserve">vzniku deficitov. Pozri </w:t>
      </w:r>
      <w:r w:rsidR="009E6826">
        <w:rPr>
          <w:sz w:val="22"/>
          <w:szCs w:val="22"/>
        </w:rPr>
        <w:t xml:space="preserve">pokyny na </w:t>
      </w:r>
      <w:r w:rsidRPr="00CF4824">
        <w:rPr>
          <w:sz w:val="22"/>
          <w:szCs w:val="22"/>
        </w:rPr>
        <w:t xml:space="preserve">pridanie </w:t>
      </w:r>
      <w:proofErr w:type="spellStart"/>
      <w:r w:rsidRPr="00CF4824">
        <w:rPr>
          <w:sz w:val="22"/>
          <w:szCs w:val="22"/>
        </w:rPr>
        <w:t>aditív</w:t>
      </w:r>
      <w:proofErr w:type="spellEnd"/>
      <w:r w:rsidRPr="00CF4824">
        <w:rPr>
          <w:sz w:val="22"/>
          <w:szCs w:val="22"/>
        </w:rPr>
        <w:t xml:space="preserve"> k tomuto lieku.</w:t>
      </w:r>
    </w:p>
    <w:p w14:paraId="2316DCCE" w14:textId="77777777" w:rsidR="009E1DD5" w:rsidRPr="00CF4824" w:rsidRDefault="009E1DD5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0A75C41A" w14:textId="3D89EF4B" w:rsidR="009236D3" w:rsidRPr="00CF4824" w:rsidRDefault="009236D3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>Pri podávaní OLIMEL</w:t>
      </w:r>
      <w:r w:rsidR="002E782B">
        <w:rPr>
          <w:sz w:val="22"/>
          <w:szCs w:val="22"/>
        </w:rPr>
        <w:t>U</w:t>
      </w:r>
      <w:r w:rsidR="00C42AF1">
        <w:rPr>
          <w:sz w:val="22"/>
          <w:szCs w:val="22"/>
        </w:rPr>
        <w:t xml:space="preserve"> N12E</w:t>
      </w:r>
      <w:r w:rsidRPr="00CF4824">
        <w:rPr>
          <w:sz w:val="22"/>
          <w:szCs w:val="22"/>
        </w:rPr>
        <w:t xml:space="preserve"> pacientom so zvýšenou </w:t>
      </w:r>
      <w:proofErr w:type="spellStart"/>
      <w:r w:rsidRPr="00CF4824">
        <w:rPr>
          <w:sz w:val="22"/>
          <w:szCs w:val="22"/>
        </w:rPr>
        <w:t>osmolaritou</w:t>
      </w:r>
      <w:proofErr w:type="spellEnd"/>
      <w:r w:rsidRPr="00CF4824">
        <w:rPr>
          <w:sz w:val="22"/>
          <w:szCs w:val="22"/>
        </w:rPr>
        <w:t xml:space="preserve">, </w:t>
      </w:r>
      <w:proofErr w:type="spellStart"/>
      <w:r w:rsidRPr="00CF4824">
        <w:rPr>
          <w:sz w:val="22"/>
          <w:szCs w:val="22"/>
        </w:rPr>
        <w:t>adrenálnou</w:t>
      </w:r>
      <w:proofErr w:type="spellEnd"/>
      <w:r w:rsidRPr="00CF4824">
        <w:rPr>
          <w:sz w:val="22"/>
          <w:szCs w:val="22"/>
        </w:rPr>
        <w:t xml:space="preserve"> </w:t>
      </w:r>
      <w:proofErr w:type="spellStart"/>
      <w:r w:rsidRPr="00CF4824">
        <w:rPr>
          <w:sz w:val="22"/>
          <w:szCs w:val="22"/>
        </w:rPr>
        <w:t>insuficienciou</w:t>
      </w:r>
      <w:proofErr w:type="spellEnd"/>
      <w:r w:rsidRPr="00CF4824">
        <w:rPr>
          <w:sz w:val="22"/>
          <w:szCs w:val="22"/>
        </w:rPr>
        <w:t>, srdcovým zlyhávaním alebo dysfunkciou pľúc je potrebná opatrnosť.</w:t>
      </w:r>
    </w:p>
    <w:p w14:paraId="0683EBDF" w14:textId="77777777" w:rsidR="009E1DD5" w:rsidRPr="00CF4824" w:rsidRDefault="009E1DD5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4C599B3D" w14:textId="3F2195FD" w:rsidR="009236D3" w:rsidRPr="00CF4824" w:rsidRDefault="009236D3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 xml:space="preserve">U </w:t>
      </w:r>
      <w:proofErr w:type="spellStart"/>
      <w:r w:rsidRPr="00CF4824">
        <w:rPr>
          <w:sz w:val="22"/>
          <w:szCs w:val="22"/>
        </w:rPr>
        <w:t>podvýživených</w:t>
      </w:r>
      <w:proofErr w:type="spellEnd"/>
      <w:r w:rsidRPr="00CF4824">
        <w:rPr>
          <w:sz w:val="22"/>
          <w:szCs w:val="22"/>
        </w:rPr>
        <w:t xml:space="preserve"> pacientov môže podávanie </w:t>
      </w:r>
      <w:proofErr w:type="spellStart"/>
      <w:r w:rsidRPr="00CF4824">
        <w:rPr>
          <w:sz w:val="22"/>
          <w:szCs w:val="22"/>
        </w:rPr>
        <w:t>parenterálnej</w:t>
      </w:r>
      <w:proofErr w:type="spellEnd"/>
      <w:r w:rsidRPr="00CF4824">
        <w:rPr>
          <w:sz w:val="22"/>
          <w:szCs w:val="22"/>
        </w:rPr>
        <w:t xml:space="preserve"> výživy vyvolať presun tekutín vyúsťujúci do pľúcneho edému a </w:t>
      </w:r>
      <w:proofErr w:type="spellStart"/>
      <w:r w:rsidRPr="00CF4824">
        <w:rPr>
          <w:sz w:val="22"/>
          <w:szCs w:val="22"/>
        </w:rPr>
        <w:t>kongestívneho</w:t>
      </w:r>
      <w:proofErr w:type="spellEnd"/>
      <w:r w:rsidRPr="00CF4824">
        <w:rPr>
          <w:sz w:val="22"/>
          <w:szCs w:val="22"/>
        </w:rPr>
        <w:t xml:space="preserve"> srdcového zlyhávania, ako aj do poklesu sérových koncentrácií draslíka, fosforu, horčíka alebo vo vode rozpustných vitamínov. K týmto zmenám môže dôjsť v priebehu 24 až 48 hodín, a preto sa odporúča opatrné a pomalé zavedenie </w:t>
      </w:r>
      <w:proofErr w:type="spellStart"/>
      <w:r w:rsidRPr="00CF4824">
        <w:rPr>
          <w:sz w:val="22"/>
          <w:szCs w:val="22"/>
        </w:rPr>
        <w:t>parenterálnej</w:t>
      </w:r>
      <w:proofErr w:type="spellEnd"/>
      <w:r w:rsidRPr="00CF4824">
        <w:rPr>
          <w:sz w:val="22"/>
          <w:szCs w:val="22"/>
        </w:rPr>
        <w:t xml:space="preserve"> výživy za súčasného prísneho sledovania a náležitej úpravy tekutín, elektrolytov, stopových prvkov a vitamínov.</w:t>
      </w:r>
    </w:p>
    <w:p w14:paraId="2AA6333D" w14:textId="77777777" w:rsidR="009E1DD5" w:rsidRPr="00CF4824" w:rsidRDefault="009E1DD5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77C0C58D" w14:textId="1AF8BDAF" w:rsidR="00D518AC" w:rsidRPr="00CF4824" w:rsidRDefault="00D518AC" w:rsidP="00D91F70">
      <w:pPr>
        <w:pStyle w:val="Paragraph"/>
        <w:spacing w:before="0" w:after="0" w:line="240" w:lineRule="auto"/>
        <w:rPr>
          <w:b/>
          <w:sz w:val="22"/>
          <w:szCs w:val="22"/>
        </w:rPr>
      </w:pPr>
      <w:r w:rsidRPr="00CF4824">
        <w:rPr>
          <w:sz w:val="22"/>
          <w:szCs w:val="22"/>
        </w:rPr>
        <w:t>Vaky ne</w:t>
      </w:r>
      <w:r w:rsidR="0060069A">
        <w:rPr>
          <w:sz w:val="22"/>
          <w:szCs w:val="22"/>
        </w:rPr>
        <w:t>za</w:t>
      </w:r>
      <w:r w:rsidRPr="00CF4824">
        <w:rPr>
          <w:sz w:val="22"/>
          <w:szCs w:val="22"/>
        </w:rPr>
        <w:t>p</w:t>
      </w:r>
      <w:r w:rsidR="000F482F">
        <w:rPr>
          <w:sz w:val="22"/>
          <w:szCs w:val="22"/>
        </w:rPr>
        <w:t>ájajte</w:t>
      </w:r>
      <w:r w:rsidRPr="00CF4824">
        <w:rPr>
          <w:sz w:val="22"/>
          <w:szCs w:val="22"/>
        </w:rPr>
        <w:t xml:space="preserve"> do série, aby </w:t>
      </w:r>
      <w:r w:rsidR="0060069A">
        <w:rPr>
          <w:sz w:val="22"/>
          <w:szCs w:val="22"/>
        </w:rPr>
        <w:t>nedošlo k</w:t>
      </w:r>
      <w:r w:rsidRPr="00CF4824">
        <w:rPr>
          <w:sz w:val="22"/>
          <w:szCs w:val="22"/>
        </w:rPr>
        <w:t xml:space="preserve"> vzduchovej embóli</w:t>
      </w:r>
      <w:r w:rsidR="0060069A">
        <w:rPr>
          <w:sz w:val="22"/>
          <w:szCs w:val="22"/>
        </w:rPr>
        <w:t>i</w:t>
      </w:r>
      <w:r w:rsidRPr="00CF4824">
        <w:rPr>
          <w:sz w:val="22"/>
          <w:szCs w:val="22"/>
        </w:rPr>
        <w:t xml:space="preserve"> spôsobenej zostatkovým vzduchom, ktorý sa nachádza v primárnom vaku.</w:t>
      </w:r>
    </w:p>
    <w:p w14:paraId="70BB3B80" w14:textId="77777777" w:rsidR="009E1DD5" w:rsidRPr="00CF4824" w:rsidRDefault="009E1DD5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66F3747D" w14:textId="330D03D0" w:rsidR="00B64E25" w:rsidRPr="00CF4824" w:rsidRDefault="00B64E25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 xml:space="preserve">Aby sa </w:t>
      </w:r>
      <w:r w:rsidR="005B27FA">
        <w:rPr>
          <w:sz w:val="22"/>
          <w:szCs w:val="22"/>
        </w:rPr>
        <w:t>predišlo</w:t>
      </w:r>
      <w:r w:rsidRPr="00CF4824">
        <w:rPr>
          <w:sz w:val="22"/>
          <w:szCs w:val="22"/>
        </w:rPr>
        <w:t xml:space="preserve"> rizikám súvisiacim s príliš rýchlym podávaním infúzie, odporúča sa </w:t>
      </w:r>
      <w:r w:rsidR="005B27FA">
        <w:rPr>
          <w:sz w:val="22"/>
          <w:szCs w:val="22"/>
        </w:rPr>
        <w:t>kontinuálna</w:t>
      </w:r>
      <w:r w:rsidRPr="00CF4824">
        <w:rPr>
          <w:sz w:val="22"/>
          <w:szCs w:val="22"/>
        </w:rPr>
        <w:t xml:space="preserve"> a</w:t>
      </w:r>
      <w:r w:rsidR="0060069A">
        <w:rPr>
          <w:sz w:val="22"/>
          <w:szCs w:val="22"/>
        </w:rPr>
        <w:t> </w:t>
      </w:r>
      <w:r w:rsidRPr="00CF4824">
        <w:rPr>
          <w:sz w:val="22"/>
          <w:szCs w:val="22"/>
        </w:rPr>
        <w:t>kontrolovan</w:t>
      </w:r>
      <w:r w:rsidR="005B27FA">
        <w:rPr>
          <w:sz w:val="22"/>
          <w:szCs w:val="22"/>
        </w:rPr>
        <w:t>á</w:t>
      </w:r>
      <w:r w:rsidRPr="00CF4824">
        <w:rPr>
          <w:sz w:val="22"/>
          <w:szCs w:val="22"/>
        </w:rPr>
        <w:t xml:space="preserve"> infúzi</w:t>
      </w:r>
      <w:r w:rsidR="005B27FA">
        <w:rPr>
          <w:sz w:val="22"/>
          <w:szCs w:val="22"/>
        </w:rPr>
        <w:t>a</w:t>
      </w:r>
      <w:r w:rsidRPr="00CF4824">
        <w:rPr>
          <w:sz w:val="22"/>
          <w:szCs w:val="22"/>
        </w:rPr>
        <w:t>.</w:t>
      </w:r>
    </w:p>
    <w:p w14:paraId="7D03ADBE" w14:textId="77777777" w:rsidR="009E1DD5" w:rsidRPr="00CF4824" w:rsidRDefault="009E1DD5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24C8D008" w14:textId="716E7FC4" w:rsidR="00B64E25" w:rsidRDefault="00B64E25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 xml:space="preserve">OLIMEL </w:t>
      </w:r>
      <w:r w:rsidR="00F6743F">
        <w:rPr>
          <w:sz w:val="22"/>
          <w:szCs w:val="22"/>
        </w:rPr>
        <w:t xml:space="preserve">N12E </w:t>
      </w:r>
      <w:r w:rsidRPr="00CF4824">
        <w:rPr>
          <w:sz w:val="22"/>
          <w:szCs w:val="22"/>
        </w:rPr>
        <w:t>sa musí podávať opatrne pacientom s tendenciou zadržiava</w:t>
      </w:r>
      <w:r w:rsidR="005B27FA">
        <w:rPr>
          <w:sz w:val="22"/>
          <w:szCs w:val="22"/>
        </w:rPr>
        <w:t>ť</w:t>
      </w:r>
      <w:r w:rsidRPr="00CF4824">
        <w:rPr>
          <w:sz w:val="22"/>
          <w:szCs w:val="22"/>
        </w:rPr>
        <w:t xml:space="preserve"> elektrolyt</w:t>
      </w:r>
      <w:r w:rsidR="005B27FA">
        <w:rPr>
          <w:sz w:val="22"/>
          <w:szCs w:val="22"/>
        </w:rPr>
        <w:t>y</w:t>
      </w:r>
      <w:r w:rsidRPr="00CF4824">
        <w:rPr>
          <w:sz w:val="22"/>
          <w:szCs w:val="22"/>
        </w:rPr>
        <w:t>.</w:t>
      </w:r>
    </w:p>
    <w:p w14:paraId="25AF43EB" w14:textId="77777777" w:rsidR="00533F4C" w:rsidRPr="00CF4824" w:rsidRDefault="00533F4C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46E1769B" w14:textId="6AF0CFB9" w:rsidR="00B64E25" w:rsidRPr="00CF4824" w:rsidRDefault="00B64E25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>Intravenózna infúzia aminokyselín je sprevádzaná zvýšenou exkréciou stopových prvkov moč</w:t>
      </w:r>
      <w:r w:rsidR="005B27FA">
        <w:rPr>
          <w:sz w:val="22"/>
          <w:szCs w:val="22"/>
        </w:rPr>
        <w:t>om</w:t>
      </w:r>
      <w:r w:rsidRPr="00CF4824">
        <w:rPr>
          <w:sz w:val="22"/>
          <w:szCs w:val="22"/>
        </w:rPr>
        <w:t xml:space="preserve">, obzvlášť medi a zinku. </w:t>
      </w:r>
      <w:r w:rsidR="005B27FA">
        <w:rPr>
          <w:sz w:val="22"/>
          <w:szCs w:val="22"/>
        </w:rPr>
        <w:t>Má sa to vziať</w:t>
      </w:r>
      <w:r w:rsidRPr="00CF4824">
        <w:rPr>
          <w:sz w:val="22"/>
          <w:szCs w:val="22"/>
        </w:rPr>
        <w:t xml:space="preserve"> do úvahy pri dávkovaní stopových prvkov, obzvlášť počas dlhodobého </w:t>
      </w:r>
      <w:r w:rsidR="005B27FA">
        <w:rPr>
          <w:sz w:val="22"/>
          <w:szCs w:val="22"/>
        </w:rPr>
        <w:t xml:space="preserve">podávania </w:t>
      </w:r>
      <w:r w:rsidRPr="00CF4824">
        <w:rPr>
          <w:sz w:val="22"/>
          <w:szCs w:val="22"/>
        </w:rPr>
        <w:t>intravenózne</w:t>
      </w:r>
      <w:r w:rsidR="005B27FA">
        <w:rPr>
          <w:sz w:val="22"/>
          <w:szCs w:val="22"/>
        </w:rPr>
        <w:t>j</w:t>
      </w:r>
      <w:r w:rsidRPr="00CF4824">
        <w:rPr>
          <w:sz w:val="22"/>
          <w:szCs w:val="22"/>
        </w:rPr>
        <w:t xml:space="preserve"> výživy.</w:t>
      </w:r>
    </w:p>
    <w:p w14:paraId="0F7F51DD" w14:textId="77777777" w:rsidR="009E1DD5" w:rsidRPr="00CF4824" w:rsidRDefault="009E1DD5" w:rsidP="00D91F70">
      <w:pPr>
        <w:pStyle w:val="Heading4Unnumbered"/>
        <w:spacing w:before="0" w:after="0"/>
        <w:rPr>
          <w:sz w:val="22"/>
          <w:szCs w:val="22"/>
        </w:rPr>
      </w:pPr>
    </w:p>
    <w:p w14:paraId="7B39267B" w14:textId="2C7E189B" w:rsidR="00B64E25" w:rsidRPr="00424E03" w:rsidRDefault="00B64E25" w:rsidP="00D91F70">
      <w:pPr>
        <w:pStyle w:val="Heading4Unnumbered"/>
        <w:spacing w:before="0" w:after="0"/>
        <w:rPr>
          <w:i w:val="0"/>
          <w:sz w:val="22"/>
          <w:szCs w:val="22"/>
          <w:u w:val="single"/>
        </w:rPr>
      </w:pPr>
      <w:r w:rsidRPr="00424E03">
        <w:rPr>
          <w:i w:val="0"/>
          <w:sz w:val="22"/>
          <w:szCs w:val="22"/>
          <w:u w:val="single"/>
        </w:rPr>
        <w:t>Interferencia s laboratórnymi testami</w:t>
      </w:r>
    </w:p>
    <w:p w14:paraId="45768470" w14:textId="77777777" w:rsidR="009E779E" w:rsidRDefault="009E779E" w:rsidP="00D91F70">
      <w:pPr>
        <w:pStyle w:val="Paragraph"/>
        <w:spacing w:before="0" w:after="0" w:line="240" w:lineRule="auto"/>
        <w:rPr>
          <w:snapToGrid w:val="0"/>
          <w:sz w:val="22"/>
          <w:szCs w:val="22"/>
        </w:rPr>
      </w:pPr>
    </w:p>
    <w:p w14:paraId="5A86462D" w14:textId="7B3B32B9" w:rsidR="00B64E25" w:rsidRPr="00CF4824" w:rsidRDefault="00B64E25" w:rsidP="00D91F70">
      <w:pPr>
        <w:pStyle w:val="Paragraph"/>
        <w:spacing w:before="0" w:after="0" w:line="240" w:lineRule="auto"/>
        <w:rPr>
          <w:sz w:val="22"/>
          <w:szCs w:val="22"/>
        </w:rPr>
      </w:pPr>
      <w:proofErr w:type="spellStart"/>
      <w:r w:rsidRPr="00CF4824">
        <w:rPr>
          <w:snapToGrid w:val="0"/>
          <w:sz w:val="22"/>
          <w:szCs w:val="22"/>
        </w:rPr>
        <w:t>Lipidy</w:t>
      </w:r>
      <w:proofErr w:type="spellEnd"/>
      <w:r w:rsidRPr="00CF4824">
        <w:rPr>
          <w:snapToGrid w:val="0"/>
          <w:sz w:val="22"/>
          <w:szCs w:val="22"/>
        </w:rPr>
        <w:t xml:space="preserve"> </w:t>
      </w:r>
      <w:r w:rsidR="00E3207F">
        <w:rPr>
          <w:snapToGrid w:val="0"/>
          <w:sz w:val="22"/>
          <w:szCs w:val="22"/>
        </w:rPr>
        <w:t xml:space="preserve">obsiahnuté </w:t>
      </w:r>
      <w:r w:rsidRPr="00CF4824">
        <w:rPr>
          <w:snapToGrid w:val="0"/>
          <w:sz w:val="22"/>
          <w:szCs w:val="22"/>
        </w:rPr>
        <w:t>v tejto emulzii môž</w:t>
      </w:r>
      <w:r w:rsidR="00E3207F">
        <w:rPr>
          <w:snapToGrid w:val="0"/>
          <w:sz w:val="22"/>
          <w:szCs w:val="22"/>
        </w:rPr>
        <w:t>u</w:t>
      </w:r>
      <w:r w:rsidRPr="00CF4824">
        <w:rPr>
          <w:snapToGrid w:val="0"/>
          <w:sz w:val="22"/>
          <w:szCs w:val="22"/>
        </w:rPr>
        <w:t xml:space="preserve"> </w:t>
      </w:r>
      <w:r w:rsidR="00E3207F">
        <w:rPr>
          <w:snapToGrid w:val="0"/>
          <w:sz w:val="22"/>
          <w:szCs w:val="22"/>
        </w:rPr>
        <w:t xml:space="preserve">ovplyvňovať </w:t>
      </w:r>
      <w:r w:rsidRPr="00CF4824">
        <w:rPr>
          <w:snapToGrid w:val="0"/>
          <w:sz w:val="22"/>
          <w:szCs w:val="22"/>
        </w:rPr>
        <w:t>výsledky niektorých laboratórnych testov (pozri časť 4.5).</w:t>
      </w:r>
    </w:p>
    <w:p w14:paraId="5F8D3C8A" w14:textId="77777777" w:rsidR="009E1DD5" w:rsidRPr="00CF4824" w:rsidRDefault="009E1DD5" w:rsidP="00D91F70">
      <w:pPr>
        <w:pStyle w:val="Heading4Unnumbered"/>
        <w:spacing w:before="0" w:after="0"/>
        <w:rPr>
          <w:sz w:val="22"/>
          <w:szCs w:val="22"/>
        </w:rPr>
      </w:pPr>
    </w:p>
    <w:p w14:paraId="5B1DA6CB" w14:textId="3E4BE653" w:rsidR="00D518AC" w:rsidRPr="00424E03" w:rsidRDefault="00832E87" w:rsidP="00D91F70">
      <w:pPr>
        <w:pStyle w:val="Heading4Unnumbered"/>
        <w:spacing w:before="0" w:after="0"/>
        <w:rPr>
          <w:i w:val="0"/>
          <w:sz w:val="22"/>
          <w:szCs w:val="22"/>
          <w:u w:val="single"/>
        </w:rPr>
      </w:pPr>
      <w:r w:rsidRPr="00424E03">
        <w:rPr>
          <w:i w:val="0"/>
          <w:sz w:val="22"/>
          <w:szCs w:val="22"/>
          <w:u w:val="single"/>
        </w:rPr>
        <w:t xml:space="preserve">Osobitné opatrenia </w:t>
      </w:r>
      <w:r w:rsidR="0070344C" w:rsidRPr="00424E03">
        <w:rPr>
          <w:i w:val="0"/>
          <w:sz w:val="22"/>
          <w:szCs w:val="22"/>
          <w:u w:val="single"/>
        </w:rPr>
        <w:t>v pediatrickej populácii</w:t>
      </w:r>
    </w:p>
    <w:p w14:paraId="5EAF3F04" w14:textId="77777777" w:rsidR="009E779E" w:rsidRDefault="009E779E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1B949E9A" w14:textId="77777777" w:rsidR="00832E87" w:rsidRPr="00CF4824" w:rsidRDefault="00832E87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>Pri podávaní deťom starším ako 2 roky je nevyhnutné použiť vak s objemom zodpovedajúcim dennej dávke.</w:t>
      </w:r>
    </w:p>
    <w:p w14:paraId="04D55B57" w14:textId="16038A5D" w:rsidR="00832E87" w:rsidRPr="00CF4824" w:rsidRDefault="00E107CB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 xml:space="preserve">OLIMEL </w:t>
      </w:r>
      <w:r w:rsidR="0037390A">
        <w:rPr>
          <w:sz w:val="22"/>
          <w:szCs w:val="22"/>
        </w:rPr>
        <w:t xml:space="preserve">N12E </w:t>
      </w:r>
      <w:r w:rsidRPr="00CF4824">
        <w:rPr>
          <w:sz w:val="22"/>
          <w:szCs w:val="22"/>
        </w:rPr>
        <w:t>nie je vhodný na</w:t>
      </w:r>
      <w:r w:rsidRPr="00CF4824">
        <w:rPr>
          <w:color w:val="FF0000"/>
          <w:sz w:val="22"/>
          <w:szCs w:val="22"/>
        </w:rPr>
        <w:t xml:space="preserve"> </w:t>
      </w:r>
      <w:r w:rsidRPr="00CF4824">
        <w:rPr>
          <w:sz w:val="22"/>
          <w:szCs w:val="22"/>
        </w:rPr>
        <w:t>použitie u detí mladších ako 2 roky, pretože:</w:t>
      </w:r>
    </w:p>
    <w:p w14:paraId="081DD168" w14:textId="3CC312B2" w:rsidR="00832E87" w:rsidRPr="00CF4824" w:rsidRDefault="00832E87" w:rsidP="009E779E">
      <w:pPr>
        <w:pStyle w:val="Zoznamsodrkami2"/>
        <w:tabs>
          <w:tab w:val="clear" w:pos="1080"/>
        </w:tabs>
        <w:spacing w:before="0" w:after="0" w:line="240" w:lineRule="auto"/>
        <w:ind w:left="567" w:hanging="567"/>
        <w:rPr>
          <w:sz w:val="22"/>
          <w:szCs w:val="22"/>
        </w:rPr>
      </w:pPr>
      <w:r w:rsidRPr="00CF4824">
        <w:rPr>
          <w:sz w:val="22"/>
          <w:szCs w:val="22"/>
        </w:rPr>
        <w:t xml:space="preserve">príjem glukózy je príliš nízky, čo vedie k nízkemu pomeru glukózy a </w:t>
      </w:r>
      <w:proofErr w:type="spellStart"/>
      <w:r w:rsidRPr="00CF4824">
        <w:rPr>
          <w:sz w:val="22"/>
          <w:szCs w:val="22"/>
        </w:rPr>
        <w:t>lipidov</w:t>
      </w:r>
      <w:proofErr w:type="spellEnd"/>
      <w:r w:rsidRPr="00CF4824">
        <w:rPr>
          <w:sz w:val="22"/>
          <w:szCs w:val="22"/>
        </w:rPr>
        <w:t xml:space="preserve">, </w:t>
      </w:r>
    </w:p>
    <w:p w14:paraId="7AF72A1E" w14:textId="44010447" w:rsidR="00832E87" w:rsidRPr="00CF4824" w:rsidRDefault="00832E87" w:rsidP="009E779E">
      <w:pPr>
        <w:pStyle w:val="Zoznamsodrkami2"/>
        <w:tabs>
          <w:tab w:val="clear" w:pos="1080"/>
        </w:tabs>
        <w:spacing w:before="0" w:after="0" w:line="240" w:lineRule="auto"/>
        <w:ind w:left="567" w:hanging="567"/>
        <w:rPr>
          <w:sz w:val="22"/>
          <w:szCs w:val="22"/>
        </w:rPr>
      </w:pPr>
      <w:r w:rsidRPr="00CF4824">
        <w:rPr>
          <w:sz w:val="22"/>
          <w:szCs w:val="22"/>
        </w:rPr>
        <w:t xml:space="preserve">vzhľadom na to, že neobsahuje </w:t>
      </w:r>
      <w:proofErr w:type="spellStart"/>
      <w:r w:rsidRPr="00CF4824">
        <w:rPr>
          <w:sz w:val="22"/>
          <w:szCs w:val="22"/>
        </w:rPr>
        <w:t>cysteín</w:t>
      </w:r>
      <w:proofErr w:type="spellEnd"/>
      <w:r w:rsidRPr="00CF4824">
        <w:rPr>
          <w:sz w:val="22"/>
          <w:szCs w:val="22"/>
        </w:rPr>
        <w:t xml:space="preserve">, je profil aminokyselín neadekvátny, </w:t>
      </w:r>
    </w:p>
    <w:p w14:paraId="7717A899" w14:textId="6197043A" w:rsidR="00832E87" w:rsidRPr="00CF4824" w:rsidRDefault="00832E87" w:rsidP="009E779E">
      <w:pPr>
        <w:pStyle w:val="Zoznamsodrkami2"/>
        <w:tabs>
          <w:tab w:val="clear" w:pos="1080"/>
        </w:tabs>
        <w:spacing w:before="0" w:after="0" w:line="240" w:lineRule="auto"/>
        <w:ind w:left="567" w:hanging="567"/>
        <w:rPr>
          <w:sz w:val="22"/>
          <w:szCs w:val="22"/>
        </w:rPr>
      </w:pPr>
      <w:r w:rsidRPr="00CF4824">
        <w:rPr>
          <w:sz w:val="22"/>
          <w:szCs w:val="22"/>
        </w:rPr>
        <w:t xml:space="preserve">obsah vápnika je príliš nízky. </w:t>
      </w:r>
    </w:p>
    <w:p w14:paraId="7F7AAA8C" w14:textId="77777777" w:rsidR="009E1DD5" w:rsidRPr="00CF4824" w:rsidRDefault="009E1DD5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351F1731" w14:textId="5039F34A" w:rsidR="00832E87" w:rsidRPr="00CF4824" w:rsidRDefault="00C65DD1" w:rsidP="00D91F70">
      <w:pPr>
        <w:pStyle w:val="Paragraph"/>
        <w:spacing w:before="0" w:after="0" w:line="24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Suplementácia</w:t>
      </w:r>
      <w:proofErr w:type="spellEnd"/>
      <w:r w:rsidR="00832E87" w:rsidRPr="00CF4824">
        <w:rPr>
          <w:sz w:val="22"/>
          <w:szCs w:val="22"/>
        </w:rPr>
        <w:t xml:space="preserve"> vitamín</w:t>
      </w:r>
      <w:r>
        <w:rPr>
          <w:sz w:val="22"/>
          <w:szCs w:val="22"/>
        </w:rPr>
        <w:t>ov</w:t>
      </w:r>
      <w:r w:rsidR="00832E87" w:rsidRPr="00CF4824">
        <w:rPr>
          <w:sz w:val="22"/>
          <w:szCs w:val="22"/>
        </w:rPr>
        <w:t xml:space="preserve"> a stopov</w:t>
      </w:r>
      <w:r>
        <w:rPr>
          <w:sz w:val="22"/>
          <w:szCs w:val="22"/>
        </w:rPr>
        <w:t>ých</w:t>
      </w:r>
      <w:r w:rsidR="00832E87" w:rsidRPr="00CF4824">
        <w:rPr>
          <w:sz w:val="22"/>
          <w:szCs w:val="22"/>
        </w:rPr>
        <w:t xml:space="preserve"> prvk</w:t>
      </w:r>
      <w:r>
        <w:rPr>
          <w:sz w:val="22"/>
          <w:szCs w:val="22"/>
        </w:rPr>
        <w:t xml:space="preserve">ov je vždy potrebná. </w:t>
      </w:r>
      <w:r w:rsidR="00832E87" w:rsidRPr="00CF4824">
        <w:rPr>
          <w:sz w:val="22"/>
          <w:szCs w:val="22"/>
        </w:rPr>
        <w:t>Musia sa použiť lieky určené pre deti.</w:t>
      </w:r>
    </w:p>
    <w:p w14:paraId="7F74F561" w14:textId="77777777" w:rsidR="009E1DD5" w:rsidRPr="00CF4824" w:rsidRDefault="009E1DD5" w:rsidP="00D91F70">
      <w:pPr>
        <w:pStyle w:val="Paragraph"/>
        <w:spacing w:before="0" w:after="0" w:line="240" w:lineRule="auto"/>
        <w:outlineLvl w:val="3"/>
        <w:rPr>
          <w:i/>
          <w:snapToGrid w:val="0"/>
          <w:sz w:val="22"/>
          <w:szCs w:val="22"/>
        </w:rPr>
      </w:pPr>
    </w:p>
    <w:p w14:paraId="5819373F" w14:textId="4483B605" w:rsidR="00B64E25" w:rsidRPr="00424E03" w:rsidRDefault="00B64E25" w:rsidP="00D91F70">
      <w:pPr>
        <w:pStyle w:val="Paragraph"/>
        <w:spacing w:before="0" w:after="0" w:line="240" w:lineRule="auto"/>
        <w:outlineLvl w:val="3"/>
        <w:rPr>
          <w:snapToGrid w:val="0"/>
          <w:sz w:val="22"/>
          <w:szCs w:val="22"/>
          <w:u w:val="single"/>
        </w:rPr>
      </w:pPr>
      <w:r w:rsidRPr="00424E03">
        <w:rPr>
          <w:snapToGrid w:val="0"/>
          <w:sz w:val="22"/>
          <w:szCs w:val="22"/>
          <w:u w:val="single"/>
        </w:rPr>
        <w:t>Geriatrická populácia</w:t>
      </w:r>
    </w:p>
    <w:p w14:paraId="0BEAB3EA" w14:textId="77777777" w:rsidR="005B27FA" w:rsidRPr="00CF4824" w:rsidRDefault="005B27FA" w:rsidP="00D91F70">
      <w:pPr>
        <w:pStyle w:val="Paragraph"/>
        <w:spacing w:before="0" w:after="0" w:line="240" w:lineRule="auto"/>
        <w:outlineLvl w:val="3"/>
        <w:rPr>
          <w:snapToGrid w:val="0"/>
          <w:sz w:val="22"/>
          <w:szCs w:val="22"/>
          <w:lang w:val="nl-NL"/>
        </w:rPr>
      </w:pPr>
    </w:p>
    <w:p w14:paraId="5A6948DF" w14:textId="2CCB4EE3" w:rsidR="00B64E25" w:rsidRPr="00CF4824" w:rsidRDefault="00B64E25" w:rsidP="00D91F70">
      <w:pPr>
        <w:pStyle w:val="Paragraph"/>
        <w:spacing w:before="0" w:after="0" w:line="240" w:lineRule="auto"/>
        <w:rPr>
          <w:snapToGrid w:val="0"/>
          <w:sz w:val="22"/>
          <w:szCs w:val="22"/>
        </w:rPr>
      </w:pPr>
      <w:r w:rsidRPr="00CF4824">
        <w:rPr>
          <w:snapToGrid w:val="0"/>
          <w:sz w:val="22"/>
          <w:szCs w:val="22"/>
        </w:rPr>
        <w:t xml:space="preserve">Vo všeobecnosti je pri </w:t>
      </w:r>
      <w:r w:rsidR="005B27FA">
        <w:rPr>
          <w:snapToGrid w:val="0"/>
          <w:sz w:val="22"/>
          <w:szCs w:val="22"/>
        </w:rPr>
        <w:t>výbere</w:t>
      </w:r>
      <w:r w:rsidRPr="00CF4824">
        <w:rPr>
          <w:snapToGrid w:val="0"/>
          <w:sz w:val="22"/>
          <w:szCs w:val="22"/>
        </w:rPr>
        <w:t xml:space="preserve"> dávky pre starš</w:t>
      </w:r>
      <w:r w:rsidR="005B27FA">
        <w:rPr>
          <w:snapToGrid w:val="0"/>
          <w:sz w:val="22"/>
          <w:szCs w:val="22"/>
        </w:rPr>
        <w:t>ieho</w:t>
      </w:r>
      <w:r w:rsidRPr="00CF4824">
        <w:rPr>
          <w:snapToGrid w:val="0"/>
          <w:sz w:val="22"/>
          <w:szCs w:val="22"/>
        </w:rPr>
        <w:t xml:space="preserve"> pacient</w:t>
      </w:r>
      <w:r w:rsidR="005B27FA">
        <w:rPr>
          <w:snapToGrid w:val="0"/>
          <w:sz w:val="22"/>
          <w:szCs w:val="22"/>
        </w:rPr>
        <w:t>a</w:t>
      </w:r>
      <w:r w:rsidRPr="00CF4824">
        <w:rPr>
          <w:snapToGrid w:val="0"/>
          <w:sz w:val="22"/>
          <w:szCs w:val="22"/>
        </w:rPr>
        <w:t xml:space="preserve"> potrebná opatrnosť, </w:t>
      </w:r>
      <w:r w:rsidR="005B27FA">
        <w:rPr>
          <w:snapToGrid w:val="0"/>
          <w:sz w:val="22"/>
          <w:szCs w:val="22"/>
        </w:rPr>
        <w:t>treba brať do úvahy častejší výskyt zníženej funkcie pečene, obličiek</w:t>
      </w:r>
      <w:r w:rsidRPr="00CF4824">
        <w:rPr>
          <w:snapToGrid w:val="0"/>
          <w:sz w:val="22"/>
          <w:szCs w:val="22"/>
        </w:rPr>
        <w:t xml:space="preserve"> a</w:t>
      </w:r>
      <w:r w:rsidR="00172DAF">
        <w:rPr>
          <w:snapToGrid w:val="0"/>
          <w:sz w:val="22"/>
          <w:szCs w:val="22"/>
        </w:rPr>
        <w:t>lebo</w:t>
      </w:r>
      <w:r w:rsidRPr="00CF4824">
        <w:rPr>
          <w:snapToGrid w:val="0"/>
          <w:sz w:val="22"/>
          <w:szCs w:val="22"/>
        </w:rPr>
        <w:t xml:space="preserve"> srdc</w:t>
      </w:r>
      <w:r w:rsidR="005B27FA">
        <w:rPr>
          <w:snapToGrid w:val="0"/>
          <w:sz w:val="22"/>
          <w:szCs w:val="22"/>
        </w:rPr>
        <w:t>a</w:t>
      </w:r>
      <w:r w:rsidR="00172DAF">
        <w:rPr>
          <w:snapToGrid w:val="0"/>
          <w:sz w:val="22"/>
          <w:szCs w:val="22"/>
        </w:rPr>
        <w:t xml:space="preserve"> a </w:t>
      </w:r>
      <w:r w:rsidRPr="00CF4824">
        <w:rPr>
          <w:snapToGrid w:val="0"/>
          <w:sz w:val="22"/>
          <w:szCs w:val="22"/>
        </w:rPr>
        <w:t>súbežn</w:t>
      </w:r>
      <w:r w:rsidR="005B27FA">
        <w:rPr>
          <w:snapToGrid w:val="0"/>
          <w:sz w:val="22"/>
          <w:szCs w:val="22"/>
        </w:rPr>
        <w:t>ého</w:t>
      </w:r>
      <w:r w:rsidRPr="00CF4824">
        <w:rPr>
          <w:snapToGrid w:val="0"/>
          <w:sz w:val="22"/>
          <w:szCs w:val="22"/>
        </w:rPr>
        <w:t xml:space="preserve"> </w:t>
      </w:r>
      <w:r w:rsidR="005B27FA">
        <w:rPr>
          <w:snapToGrid w:val="0"/>
          <w:sz w:val="22"/>
          <w:szCs w:val="22"/>
        </w:rPr>
        <w:t>o</w:t>
      </w:r>
      <w:r w:rsidRPr="00CF4824">
        <w:rPr>
          <w:snapToGrid w:val="0"/>
          <w:sz w:val="22"/>
          <w:szCs w:val="22"/>
        </w:rPr>
        <w:t>chor</w:t>
      </w:r>
      <w:r w:rsidR="005B27FA">
        <w:rPr>
          <w:snapToGrid w:val="0"/>
          <w:sz w:val="22"/>
          <w:szCs w:val="22"/>
        </w:rPr>
        <w:t>enia</w:t>
      </w:r>
      <w:r w:rsidRPr="00CF4824">
        <w:rPr>
          <w:snapToGrid w:val="0"/>
          <w:sz w:val="22"/>
          <w:szCs w:val="22"/>
        </w:rPr>
        <w:t xml:space="preserve"> a</w:t>
      </w:r>
      <w:r w:rsidR="001B29B4">
        <w:rPr>
          <w:snapToGrid w:val="0"/>
          <w:sz w:val="22"/>
          <w:szCs w:val="22"/>
        </w:rPr>
        <w:t>lebo</w:t>
      </w:r>
      <w:r w:rsidRPr="00CF4824">
        <w:rPr>
          <w:snapToGrid w:val="0"/>
          <w:sz w:val="22"/>
          <w:szCs w:val="22"/>
        </w:rPr>
        <w:t xml:space="preserve"> </w:t>
      </w:r>
      <w:r w:rsidR="005B27FA">
        <w:rPr>
          <w:snapToGrid w:val="0"/>
          <w:sz w:val="22"/>
          <w:szCs w:val="22"/>
        </w:rPr>
        <w:t>ďalšie</w:t>
      </w:r>
      <w:r w:rsidRPr="00CF4824">
        <w:rPr>
          <w:snapToGrid w:val="0"/>
          <w:sz w:val="22"/>
          <w:szCs w:val="22"/>
        </w:rPr>
        <w:t xml:space="preserve"> liek</w:t>
      </w:r>
      <w:r w:rsidR="005B27FA">
        <w:rPr>
          <w:snapToGrid w:val="0"/>
          <w:sz w:val="22"/>
          <w:szCs w:val="22"/>
        </w:rPr>
        <w:t>y, ktorými je pacient liečený</w:t>
      </w:r>
      <w:r w:rsidRPr="00CF4824">
        <w:rPr>
          <w:snapToGrid w:val="0"/>
          <w:sz w:val="22"/>
          <w:szCs w:val="22"/>
        </w:rPr>
        <w:t>.</w:t>
      </w:r>
    </w:p>
    <w:p w14:paraId="73879313" w14:textId="77777777" w:rsidR="009E1DD5" w:rsidRPr="00CF4824" w:rsidRDefault="009E1DD5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0850B725" w14:textId="031EE14A" w:rsidR="00A75283" w:rsidRPr="000B7280" w:rsidRDefault="000B7280" w:rsidP="004A2946">
      <w:pPr>
        <w:pStyle w:val="Nadpis2"/>
        <w:tabs>
          <w:tab w:val="left" w:pos="709"/>
        </w:tabs>
        <w:spacing w:before="0" w:after="0"/>
        <w:rPr>
          <w:sz w:val="22"/>
          <w:szCs w:val="22"/>
        </w:rPr>
      </w:pPr>
      <w:bookmarkStart w:id="17" w:name="_ISIW_UH_13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75283" w:rsidRPr="000B7280">
        <w:rPr>
          <w:sz w:val="22"/>
          <w:szCs w:val="22"/>
        </w:rPr>
        <w:t>Liekové a iné interakcie</w:t>
      </w:r>
    </w:p>
    <w:p w14:paraId="692D9A8F" w14:textId="77777777" w:rsidR="009E1DD5" w:rsidRPr="004A2946" w:rsidRDefault="009E1DD5" w:rsidP="004E30E0">
      <w:pPr>
        <w:pStyle w:val="Paragraph"/>
        <w:spacing w:before="0" w:after="0" w:line="240" w:lineRule="auto"/>
        <w:rPr>
          <w:sz w:val="22"/>
          <w:szCs w:val="22"/>
        </w:rPr>
      </w:pPr>
    </w:p>
    <w:bookmarkEnd w:id="17"/>
    <w:p w14:paraId="1B8EB6C6" w14:textId="77777777" w:rsidR="00673FEF" w:rsidRPr="00CF4824" w:rsidRDefault="00673FEF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>Neuskutočnili sa žiadne interakčné štúdie.</w:t>
      </w:r>
    </w:p>
    <w:p w14:paraId="34EC0209" w14:textId="77777777" w:rsidR="009E1DD5" w:rsidRPr="00CF4824" w:rsidRDefault="009E1DD5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0DEEA5FB" w14:textId="4BA4897C" w:rsidR="00673FEF" w:rsidRPr="00CF4824" w:rsidRDefault="00E107CB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2F3A72">
        <w:rPr>
          <w:sz w:val="22"/>
          <w:szCs w:val="22"/>
        </w:rPr>
        <w:t xml:space="preserve">Vzhľadom na možnosť </w:t>
      </w:r>
      <w:proofErr w:type="spellStart"/>
      <w:r w:rsidRPr="002F3A72">
        <w:rPr>
          <w:sz w:val="22"/>
          <w:szCs w:val="22"/>
        </w:rPr>
        <w:t>pseudoaglutinácie</w:t>
      </w:r>
      <w:proofErr w:type="spellEnd"/>
      <w:r w:rsidRPr="002F3A72">
        <w:rPr>
          <w:sz w:val="22"/>
          <w:szCs w:val="22"/>
        </w:rPr>
        <w:t xml:space="preserve"> sa OLIMEL </w:t>
      </w:r>
      <w:r w:rsidR="0013201A">
        <w:rPr>
          <w:sz w:val="22"/>
          <w:szCs w:val="22"/>
        </w:rPr>
        <w:t xml:space="preserve">N12E </w:t>
      </w:r>
      <w:r w:rsidRPr="002F3A72">
        <w:rPr>
          <w:sz w:val="22"/>
          <w:szCs w:val="22"/>
        </w:rPr>
        <w:t xml:space="preserve">nesmie podávať súčasne s krvou rovnakou </w:t>
      </w:r>
      <w:proofErr w:type="spellStart"/>
      <w:r w:rsidRPr="002F3A72">
        <w:rPr>
          <w:sz w:val="22"/>
          <w:szCs w:val="22"/>
        </w:rPr>
        <w:t>infúznou</w:t>
      </w:r>
      <w:proofErr w:type="spellEnd"/>
      <w:r w:rsidRPr="002F3A72">
        <w:rPr>
          <w:sz w:val="22"/>
          <w:szCs w:val="22"/>
        </w:rPr>
        <w:t xml:space="preserve"> súpravou.</w:t>
      </w:r>
    </w:p>
    <w:p w14:paraId="50518259" w14:textId="77777777" w:rsidR="009E1DD5" w:rsidRPr="00CF4824" w:rsidRDefault="009E1DD5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31244F0F" w14:textId="0B683155" w:rsidR="00A75283" w:rsidRPr="00CF4824" w:rsidRDefault="00673FEF" w:rsidP="00D91F70">
      <w:pPr>
        <w:pStyle w:val="Paragraph"/>
        <w:spacing w:before="0" w:after="0" w:line="240" w:lineRule="auto"/>
        <w:rPr>
          <w:sz w:val="22"/>
          <w:szCs w:val="22"/>
        </w:rPr>
      </w:pPr>
      <w:proofErr w:type="spellStart"/>
      <w:r w:rsidRPr="00CF4824">
        <w:rPr>
          <w:sz w:val="22"/>
          <w:szCs w:val="22"/>
        </w:rPr>
        <w:t>Lipidy</w:t>
      </w:r>
      <w:proofErr w:type="spellEnd"/>
      <w:r w:rsidRPr="00CF4824">
        <w:rPr>
          <w:sz w:val="22"/>
          <w:szCs w:val="22"/>
        </w:rPr>
        <w:t xml:space="preserve"> obsiahnuté v tejto emulzii môžu ovplyvniť výsledky niektorých laboratórnych vyšetrení (zameraných napríklad na </w:t>
      </w:r>
      <w:proofErr w:type="spellStart"/>
      <w:r w:rsidRPr="00CF4824">
        <w:rPr>
          <w:sz w:val="22"/>
          <w:szCs w:val="22"/>
        </w:rPr>
        <w:t>bilirubín</w:t>
      </w:r>
      <w:proofErr w:type="spellEnd"/>
      <w:r w:rsidRPr="00CF4824">
        <w:rPr>
          <w:sz w:val="22"/>
          <w:szCs w:val="22"/>
        </w:rPr>
        <w:t xml:space="preserve">, </w:t>
      </w:r>
      <w:proofErr w:type="spellStart"/>
      <w:r w:rsidRPr="00CF4824">
        <w:rPr>
          <w:sz w:val="22"/>
          <w:szCs w:val="22"/>
        </w:rPr>
        <w:t>laktátdehydrogenázu</w:t>
      </w:r>
      <w:proofErr w:type="spellEnd"/>
      <w:r w:rsidRPr="00CF4824">
        <w:rPr>
          <w:sz w:val="22"/>
          <w:szCs w:val="22"/>
        </w:rPr>
        <w:t xml:space="preserve">, saturáciu kyslíkom, hladinu hemoglobínu), ak sa vzorka krvi odoberie skôr, ako došlo k eliminácii </w:t>
      </w:r>
      <w:proofErr w:type="spellStart"/>
      <w:r w:rsidRPr="00CF4824">
        <w:rPr>
          <w:sz w:val="22"/>
          <w:szCs w:val="22"/>
        </w:rPr>
        <w:t>lipidov</w:t>
      </w:r>
      <w:proofErr w:type="spellEnd"/>
      <w:r w:rsidRPr="00CF4824">
        <w:rPr>
          <w:sz w:val="22"/>
          <w:szCs w:val="22"/>
        </w:rPr>
        <w:t xml:space="preserve"> (k eliminácii </w:t>
      </w:r>
      <w:proofErr w:type="spellStart"/>
      <w:r w:rsidRPr="00CF4824">
        <w:rPr>
          <w:sz w:val="22"/>
          <w:szCs w:val="22"/>
        </w:rPr>
        <w:t>lipidov</w:t>
      </w:r>
      <w:proofErr w:type="spellEnd"/>
      <w:r w:rsidRPr="00CF4824">
        <w:rPr>
          <w:sz w:val="22"/>
          <w:szCs w:val="22"/>
        </w:rPr>
        <w:t xml:space="preserve"> zvyčajne dochádza po uplynutí 5 až 6 hodín bez podávania </w:t>
      </w:r>
      <w:proofErr w:type="spellStart"/>
      <w:r w:rsidRPr="00CF4824">
        <w:rPr>
          <w:sz w:val="22"/>
          <w:szCs w:val="22"/>
        </w:rPr>
        <w:t>lipidov</w:t>
      </w:r>
      <w:proofErr w:type="spellEnd"/>
      <w:r w:rsidRPr="00CF4824">
        <w:rPr>
          <w:sz w:val="22"/>
          <w:szCs w:val="22"/>
        </w:rPr>
        <w:t>).</w:t>
      </w:r>
    </w:p>
    <w:p w14:paraId="127EE259" w14:textId="77777777" w:rsidR="009E1DD5" w:rsidRPr="00CF4824" w:rsidRDefault="009E1DD5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482145DC" w14:textId="0E9E31D6" w:rsidR="00345BC0" w:rsidRPr="00CF4824" w:rsidDel="00FA1CBB" w:rsidRDefault="00731DA2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 xml:space="preserve">Po zmiešaní </w:t>
      </w:r>
      <w:proofErr w:type="spellStart"/>
      <w:r w:rsidRPr="00CF4824">
        <w:rPr>
          <w:sz w:val="22"/>
          <w:szCs w:val="22"/>
        </w:rPr>
        <w:t>ceftriaxónu</w:t>
      </w:r>
      <w:proofErr w:type="spellEnd"/>
      <w:r w:rsidRPr="00CF4824">
        <w:rPr>
          <w:sz w:val="22"/>
          <w:szCs w:val="22"/>
        </w:rPr>
        <w:t xml:space="preserve"> s roztokmi obsahujúcimi vápnik v tej istej intravenóznej linke môže dôjsť k vyzrážaniu </w:t>
      </w:r>
      <w:proofErr w:type="spellStart"/>
      <w:r w:rsidRPr="00CF4824">
        <w:rPr>
          <w:sz w:val="22"/>
          <w:szCs w:val="22"/>
        </w:rPr>
        <w:t>ceftriaxón-vápnika</w:t>
      </w:r>
      <w:proofErr w:type="spellEnd"/>
      <w:r w:rsidRPr="00CF4824">
        <w:rPr>
          <w:sz w:val="22"/>
          <w:szCs w:val="22"/>
        </w:rPr>
        <w:t xml:space="preserve">. </w:t>
      </w:r>
      <w:proofErr w:type="spellStart"/>
      <w:r w:rsidRPr="00CF4824">
        <w:rPr>
          <w:sz w:val="22"/>
          <w:szCs w:val="22"/>
        </w:rPr>
        <w:t>Ceftriaxón</w:t>
      </w:r>
      <w:proofErr w:type="spellEnd"/>
      <w:r w:rsidRPr="00CF4824">
        <w:rPr>
          <w:sz w:val="22"/>
          <w:szCs w:val="22"/>
        </w:rPr>
        <w:t xml:space="preserve"> sa nesmie miešať alebo podávať spolu s intravenóznymi roztokmi, ktoré obsahujú vápnik, vrátane OLIMEL</w:t>
      </w:r>
      <w:r w:rsidR="00EC4356">
        <w:rPr>
          <w:sz w:val="22"/>
          <w:szCs w:val="22"/>
        </w:rPr>
        <w:t>U</w:t>
      </w:r>
      <w:r w:rsidR="001045D6">
        <w:rPr>
          <w:sz w:val="22"/>
          <w:szCs w:val="22"/>
        </w:rPr>
        <w:t xml:space="preserve"> N12E</w:t>
      </w:r>
      <w:r w:rsidRPr="00CF4824">
        <w:rPr>
          <w:sz w:val="22"/>
          <w:szCs w:val="22"/>
        </w:rPr>
        <w:t xml:space="preserve">, cez tú istú </w:t>
      </w:r>
      <w:proofErr w:type="spellStart"/>
      <w:r w:rsidRPr="00CF4824">
        <w:rPr>
          <w:sz w:val="22"/>
          <w:szCs w:val="22"/>
        </w:rPr>
        <w:t>infúznu</w:t>
      </w:r>
      <w:proofErr w:type="spellEnd"/>
      <w:r w:rsidRPr="00CF4824">
        <w:rPr>
          <w:sz w:val="22"/>
          <w:szCs w:val="22"/>
        </w:rPr>
        <w:t xml:space="preserve"> linku (napr. cez konektor typu Y). </w:t>
      </w:r>
      <w:proofErr w:type="spellStart"/>
      <w:r w:rsidRPr="00CF4824">
        <w:rPr>
          <w:sz w:val="22"/>
          <w:szCs w:val="22"/>
        </w:rPr>
        <w:t>Ceftriaxón</w:t>
      </w:r>
      <w:proofErr w:type="spellEnd"/>
      <w:r w:rsidRPr="00CF4824">
        <w:rPr>
          <w:sz w:val="22"/>
          <w:szCs w:val="22"/>
        </w:rPr>
        <w:t xml:space="preserve"> a roztoky obsahujúce vápnik však môžu byť pod</w:t>
      </w:r>
      <w:r w:rsidR="001045D6">
        <w:rPr>
          <w:sz w:val="22"/>
          <w:szCs w:val="22"/>
        </w:rPr>
        <w:t>áv</w:t>
      </w:r>
      <w:r w:rsidRPr="00CF4824">
        <w:rPr>
          <w:sz w:val="22"/>
          <w:szCs w:val="22"/>
        </w:rPr>
        <w:t xml:space="preserve">ané postupne jeden po druhom za predpokladu, že </w:t>
      </w:r>
      <w:proofErr w:type="spellStart"/>
      <w:r w:rsidRPr="00CF4824">
        <w:rPr>
          <w:sz w:val="22"/>
          <w:szCs w:val="22"/>
        </w:rPr>
        <w:t>infúzne</w:t>
      </w:r>
      <w:proofErr w:type="spellEnd"/>
      <w:r w:rsidRPr="00CF4824">
        <w:rPr>
          <w:sz w:val="22"/>
          <w:szCs w:val="22"/>
        </w:rPr>
        <w:t xml:space="preserve"> linky sa medzi infúziami dôkladne prepláchnu kompatibilnou tekutinou (pozri časti 4.4 a 6.2).</w:t>
      </w:r>
    </w:p>
    <w:p w14:paraId="22E63D10" w14:textId="77777777" w:rsidR="009E1DD5" w:rsidRPr="00CF4824" w:rsidRDefault="009E1DD5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7352B69D" w14:textId="0F94DA70" w:rsidR="001435FC" w:rsidRPr="00CF4824" w:rsidRDefault="00E107CB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EB6BE9">
        <w:rPr>
          <w:sz w:val="22"/>
          <w:szCs w:val="22"/>
        </w:rPr>
        <w:t xml:space="preserve">OLIMEL </w:t>
      </w:r>
      <w:r w:rsidR="001045D6" w:rsidRPr="006F5C54">
        <w:rPr>
          <w:sz w:val="22"/>
          <w:szCs w:val="22"/>
        </w:rPr>
        <w:t xml:space="preserve">N12E </w:t>
      </w:r>
      <w:r w:rsidRPr="001F0FA0">
        <w:rPr>
          <w:sz w:val="22"/>
          <w:szCs w:val="22"/>
        </w:rPr>
        <w:t>obsahuje</w:t>
      </w:r>
      <w:r w:rsidRPr="00CF4824">
        <w:rPr>
          <w:sz w:val="22"/>
          <w:szCs w:val="22"/>
        </w:rPr>
        <w:t xml:space="preserve"> vitamín K, ktorý sa prirodzene vyskytuje v </w:t>
      </w:r>
      <w:proofErr w:type="spellStart"/>
      <w:r w:rsidR="00ED088B">
        <w:rPr>
          <w:sz w:val="22"/>
          <w:szCs w:val="22"/>
        </w:rPr>
        <w:t>lipidových</w:t>
      </w:r>
      <w:proofErr w:type="spellEnd"/>
      <w:r w:rsidRPr="00CF4824">
        <w:rPr>
          <w:sz w:val="22"/>
          <w:szCs w:val="22"/>
        </w:rPr>
        <w:t xml:space="preserve"> emulziách. </w:t>
      </w:r>
      <w:r w:rsidR="006F5C54">
        <w:rPr>
          <w:sz w:val="22"/>
          <w:szCs w:val="22"/>
        </w:rPr>
        <w:t>Nepredpoklad</w:t>
      </w:r>
      <w:r w:rsidR="008A5C7A">
        <w:rPr>
          <w:sz w:val="22"/>
          <w:szCs w:val="22"/>
        </w:rPr>
        <w:t>á sa, že h</w:t>
      </w:r>
      <w:r w:rsidRPr="00CF4824">
        <w:rPr>
          <w:sz w:val="22"/>
          <w:szCs w:val="22"/>
        </w:rPr>
        <w:t>ladiny vitamínu K, ktoré sa nachádzajú v odporúčaných dávkach OLIMEL</w:t>
      </w:r>
      <w:r w:rsidR="00EC4356">
        <w:rPr>
          <w:sz w:val="22"/>
          <w:szCs w:val="22"/>
        </w:rPr>
        <w:t>U </w:t>
      </w:r>
      <w:r w:rsidR="008A5C7A">
        <w:rPr>
          <w:sz w:val="22"/>
          <w:szCs w:val="22"/>
        </w:rPr>
        <w:t xml:space="preserve">N12E neovplyvňujú </w:t>
      </w:r>
      <w:r w:rsidRPr="00CF4824">
        <w:rPr>
          <w:sz w:val="22"/>
          <w:szCs w:val="22"/>
        </w:rPr>
        <w:t xml:space="preserve">účinky derivátov </w:t>
      </w:r>
      <w:proofErr w:type="spellStart"/>
      <w:r w:rsidRPr="00CF4824">
        <w:rPr>
          <w:sz w:val="22"/>
          <w:szCs w:val="22"/>
        </w:rPr>
        <w:t>kumarínu</w:t>
      </w:r>
      <w:proofErr w:type="spellEnd"/>
      <w:r w:rsidRPr="00CF4824">
        <w:rPr>
          <w:sz w:val="22"/>
          <w:szCs w:val="22"/>
        </w:rPr>
        <w:t>.</w:t>
      </w:r>
    </w:p>
    <w:p w14:paraId="123B6102" w14:textId="77777777" w:rsidR="009E1DD5" w:rsidRPr="00CF4824" w:rsidRDefault="009E1DD5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1D87FD1C" w14:textId="5C8CA146" w:rsidR="00F16973" w:rsidRDefault="00F16973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>Kvôli obsahu draslíka v</w:t>
      </w:r>
      <w:r w:rsidR="001F0FA0">
        <w:rPr>
          <w:sz w:val="22"/>
          <w:szCs w:val="22"/>
        </w:rPr>
        <w:t> </w:t>
      </w:r>
      <w:r w:rsidRPr="00CF4824">
        <w:rPr>
          <w:sz w:val="22"/>
          <w:szCs w:val="22"/>
        </w:rPr>
        <w:t>OLIMEL</w:t>
      </w:r>
      <w:r w:rsidR="00AF6561">
        <w:rPr>
          <w:sz w:val="22"/>
          <w:szCs w:val="22"/>
        </w:rPr>
        <w:t>E</w:t>
      </w:r>
      <w:r w:rsidR="001F0FA0">
        <w:rPr>
          <w:sz w:val="22"/>
          <w:szCs w:val="22"/>
        </w:rPr>
        <w:t xml:space="preserve"> N12E</w:t>
      </w:r>
      <w:r w:rsidRPr="00CF4824">
        <w:rPr>
          <w:sz w:val="22"/>
          <w:szCs w:val="22"/>
        </w:rPr>
        <w:t xml:space="preserve"> je </w:t>
      </w:r>
      <w:r w:rsidR="001E333B">
        <w:rPr>
          <w:sz w:val="22"/>
          <w:szCs w:val="22"/>
        </w:rPr>
        <w:t>potrebné</w:t>
      </w:r>
      <w:r w:rsidRPr="00CF4824">
        <w:rPr>
          <w:sz w:val="22"/>
          <w:szCs w:val="22"/>
        </w:rPr>
        <w:t xml:space="preserve"> venovať osobitnú pozornosť pacientom, ktorí sú liečení diuretikami šetriacimi draslík (napr. </w:t>
      </w:r>
      <w:proofErr w:type="spellStart"/>
      <w:r w:rsidRPr="00CF4824">
        <w:rPr>
          <w:sz w:val="22"/>
          <w:szCs w:val="22"/>
        </w:rPr>
        <w:t>amilorid</w:t>
      </w:r>
      <w:proofErr w:type="spellEnd"/>
      <w:r w:rsidRPr="00CF4824">
        <w:rPr>
          <w:sz w:val="22"/>
          <w:szCs w:val="22"/>
        </w:rPr>
        <w:t xml:space="preserve">, </w:t>
      </w:r>
      <w:proofErr w:type="spellStart"/>
      <w:r w:rsidRPr="00CF4824">
        <w:rPr>
          <w:sz w:val="22"/>
          <w:szCs w:val="22"/>
        </w:rPr>
        <w:t>spironolaktón</w:t>
      </w:r>
      <w:proofErr w:type="spellEnd"/>
      <w:r w:rsidRPr="00CF4824">
        <w:rPr>
          <w:sz w:val="22"/>
          <w:szCs w:val="22"/>
        </w:rPr>
        <w:t xml:space="preserve">, </w:t>
      </w:r>
      <w:proofErr w:type="spellStart"/>
      <w:r w:rsidRPr="00CF4824">
        <w:rPr>
          <w:sz w:val="22"/>
          <w:szCs w:val="22"/>
        </w:rPr>
        <w:t>triamterén</w:t>
      </w:r>
      <w:proofErr w:type="spellEnd"/>
      <w:r w:rsidRPr="00CF4824">
        <w:rPr>
          <w:sz w:val="22"/>
          <w:szCs w:val="22"/>
        </w:rPr>
        <w:t xml:space="preserve">), inhibítormi konvertujúcimi </w:t>
      </w:r>
      <w:proofErr w:type="spellStart"/>
      <w:r w:rsidRPr="00CF4824">
        <w:rPr>
          <w:sz w:val="22"/>
          <w:szCs w:val="22"/>
        </w:rPr>
        <w:t>angiotenzín</w:t>
      </w:r>
      <w:proofErr w:type="spellEnd"/>
      <w:r w:rsidRPr="00CF4824">
        <w:rPr>
          <w:sz w:val="22"/>
          <w:szCs w:val="22"/>
        </w:rPr>
        <w:t xml:space="preserve"> (ACE), antagonistami receptorov </w:t>
      </w:r>
      <w:proofErr w:type="spellStart"/>
      <w:r w:rsidRPr="00CF4824">
        <w:rPr>
          <w:sz w:val="22"/>
          <w:szCs w:val="22"/>
        </w:rPr>
        <w:t>angiotenzínu</w:t>
      </w:r>
      <w:proofErr w:type="spellEnd"/>
      <w:r w:rsidRPr="00CF4824">
        <w:rPr>
          <w:sz w:val="22"/>
          <w:szCs w:val="22"/>
        </w:rPr>
        <w:t xml:space="preserve"> II, alebo </w:t>
      </w:r>
      <w:proofErr w:type="spellStart"/>
      <w:r w:rsidRPr="00CF4824">
        <w:rPr>
          <w:sz w:val="22"/>
          <w:szCs w:val="22"/>
        </w:rPr>
        <w:t>imunosupresívami</w:t>
      </w:r>
      <w:proofErr w:type="spellEnd"/>
      <w:r w:rsidRPr="00CF4824">
        <w:rPr>
          <w:sz w:val="22"/>
          <w:szCs w:val="22"/>
        </w:rPr>
        <w:t xml:space="preserve"> </w:t>
      </w:r>
      <w:proofErr w:type="spellStart"/>
      <w:r w:rsidRPr="00CF4824">
        <w:rPr>
          <w:sz w:val="22"/>
          <w:szCs w:val="22"/>
        </w:rPr>
        <w:t>takrolimus</w:t>
      </w:r>
      <w:proofErr w:type="spellEnd"/>
      <w:r w:rsidRPr="00CF4824">
        <w:rPr>
          <w:sz w:val="22"/>
          <w:szCs w:val="22"/>
        </w:rPr>
        <w:t xml:space="preserve"> alebo </w:t>
      </w:r>
      <w:proofErr w:type="spellStart"/>
      <w:r w:rsidRPr="00CF4824">
        <w:rPr>
          <w:sz w:val="22"/>
          <w:szCs w:val="22"/>
        </w:rPr>
        <w:t>cyklosporín</w:t>
      </w:r>
      <w:proofErr w:type="spellEnd"/>
      <w:r w:rsidRPr="00CF4824">
        <w:rPr>
          <w:sz w:val="22"/>
          <w:szCs w:val="22"/>
        </w:rPr>
        <w:t xml:space="preserve">, vzhľadom na riziko vzniku </w:t>
      </w:r>
      <w:proofErr w:type="spellStart"/>
      <w:r w:rsidRPr="00CF4824">
        <w:rPr>
          <w:sz w:val="22"/>
          <w:szCs w:val="22"/>
        </w:rPr>
        <w:t>hyperkaliémie</w:t>
      </w:r>
      <w:proofErr w:type="spellEnd"/>
      <w:r w:rsidRPr="00CF4824">
        <w:rPr>
          <w:sz w:val="22"/>
          <w:szCs w:val="22"/>
        </w:rPr>
        <w:t>.</w:t>
      </w:r>
    </w:p>
    <w:p w14:paraId="4ADDBF44" w14:textId="77777777" w:rsidR="001E333B" w:rsidRDefault="001E333B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0D8AA031" w14:textId="5115FC39" w:rsidR="0073781F" w:rsidRPr="0073781F" w:rsidRDefault="0073781F" w:rsidP="0073781F">
      <w:pPr>
        <w:pStyle w:val="Paragraph"/>
        <w:rPr>
          <w:sz w:val="22"/>
          <w:szCs w:val="22"/>
        </w:rPr>
      </w:pPr>
      <w:r w:rsidRPr="0073781F">
        <w:rPr>
          <w:sz w:val="22"/>
          <w:szCs w:val="22"/>
        </w:rPr>
        <w:t xml:space="preserve">Niektoré lieky, ako napríklad inzulín, môžu interferovať s </w:t>
      </w:r>
      <w:proofErr w:type="spellStart"/>
      <w:r w:rsidRPr="0073781F">
        <w:rPr>
          <w:sz w:val="22"/>
          <w:szCs w:val="22"/>
        </w:rPr>
        <w:t>lipázovým</w:t>
      </w:r>
      <w:proofErr w:type="spellEnd"/>
      <w:r w:rsidRPr="0073781F">
        <w:rPr>
          <w:sz w:val="22"/>
          <w:szCs w:val="22"/>
        </w:rPr>
        <w:t xml:space="preserve"> systémom tel</w:t>
      </w:r>
      <w:r w:rsidR="00986BA3">
        <w:rPr>
          <w:sz w:val="22"/>
          <w:szCs w:val="22"/>
        </w:rPr>
        <w:t>a</w:t>
      </w:r>
      <w:r w:rsidRPr="0073781F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986BA3">
        <w:rPr>
          <w:sz w:val="22"/>
          <w:szCs w:val="22"/>
        </w:rPr>
        <w:t>Zdá sa však, že t</w:t>
      </w:r>
      <w:r w:rsidRPr="0073781F">
        <w:rPr>
          <w:sz w:val="22"/>
          <w:szCs w:val="22"/>
        </w:rPr>
        <w:t>ento druh interakcie má</w:t>
      </w:r>
      <w:r>
        <w:rPr>
          <w:sz w:val="22"/>
          <w:szCs w:val="22"/>
        </w:rPr>
        <w:t xml:space="preserve"> </w:t>
      </w:r>
      <w:r w:rsidR="00986BA3">
        <w:rPr>
          <w:sz w:val="22"/>
          <w:szCs w:val="22"/>
        </w:rPr>
        <w:t xml:space="preserve">len </w:t>
      </w:r>
      <w:r w:rsidRPr="0073781F">
        <w:rPr>
          <w:sz w:val="22"/>
          <w:szCs w:val="22"/>
        </w:rPr>
        <w:t>obmedzený klinický význam.</w:t>
      </w:r>
    </w:p>
    <w:p w14:paraId="37FF6C32" w14:textId="08E528A9" w:rsidR="001E333B" w:rsidRPr="00CF4824" w:rsidRDefault="0073781F" w:rsidP="0073781F">
      <w:pPr>
        <w:pStyle w:val="Paragraph"/>
        <w:spacing w:before="0" w:after="0" w:line="240" w:lineRule="auto"/>
        <w:rPr>
          <w:sz w:val="22"/>
          <w:szCs w:val="22"/>
        </w:rPr>
      </w:pPr>
      <w:proofErr w:type="spellStart"/>
      <w:r w:rsidRPr="0073781F">
        <w:rPr>
          <w:sz w:val="22"/>
          <w:szCs w:val="22"/>
        </w:rPr>
        <w:t>Heparín</w:t>
      </w:r>
      <w:proofErr w:type="spellEnd"/>
      <w:r w:rsidRPr="0073781F">
        <w:rPr>
          <w:sz w:val="22"/>
          <w:szCs w:val="22"/>
        </w:rPr>
        <w:t xml:space="preserve"> podávaný v klinických dávkach spôsobuje prechodné uvoľňovanie lipoproteínovej </w:t>
      </w:r>
      <w:proofErr w:type="spellStart"/>
      <w:r w:rsidRPr="0073781F">
        <w:rPr>
          <w:sz w:val="22"/>
          <w:szCs w:val="22"/>
        </w:rPr>
        <w:t>lipázy</w:t>
      </w:r>
      <w:proofErr w:type="spellEnd"/>
      <w:r w:rsidRPr="0073781F">
        <w:rPr>
          <w:sz w:val="22"/>
          <w:szCs w:val="22"/>
        </w:rPr>
        <w:t xml:space="preserve"> do</w:t>
      </w:r>
      <w:r w:rsidR="009E779E">
        <w:rPr>
          <w:sz w:val="22"/>
          <w:szCs w:val="22"/>
        </w:rPr>
        <w:t> </w:t>
      </w:r>
      <w:r w:rsidRPr="0073781F">
        <w:rPr>
          <w:sz w:val="22"/>
          <w:szCs w:val="22"/>
        </w:rPr>
        <w:t xml:space="preserve">obehu. </w:t>
      </w:r>
      <w:r w:rsidR="00F228F0">
        <w:rPr>
          <w:sz w:val="22"/>
          <w:szCs w:val="22"/>
        </w:rPr>
        <w:t>S</w:t>
      </w:r>
      <w:r w:rsidRPr="0073781F">
        <w:rPr>
          <w:sz w:val="22"/>
          <w:szCs w:val="22"/>
        </w:rPr>
        <w:t>počiatku</w:t>
      </w:r>
      <w:r w:rsidR="00F228F0">
        <w:rPr>
          <w:sz w:val="22"/>
          <w:szCs w:val="22"/>
        </w:rPr>
        <w:t xml:space="preserve"> to môže</w:t>
      </w:r>
      <w:r w:rsidRPr="0073781F">
        <w:rPr>
          <w:sz w:val="22"/>
          <w:szCs w:val="22"/>
        </w:rPr>
        <w:t xml:space="preserve"> viesť k zvýšenej </w:t>
      </w:r>
      <w:proofErr w:type="spellStart"/>
      <w:r w:rsidRPr="0073781F">
        <w:rPr>
          <w:sz w:val="22"/>
          <w:szCs w:val="22"/>
        </w:rPr>
        <w:t>lipolýze</w:t>
      </w:r>
      <w:proofErr w:type="spellEnd"/>
      <w:r w:rsidRPr="0073781F">
        <w:rPr>
          <w:sz w:val="22"/>
          <w:szCs w:val="22"/>
        </w:rPr>
        <w:t xml:space="preserve"> v plazme, po ktorej nasleduje prechodné zníženie </w:t>
      </w:r>
      <w:proofErr w:type="spellStart"/>
      <w:r w:rsidRPr="0073781F">
        <w:rPr>
          <w:sz w:val="22"/>
          <w:szCs w:val="22"/>
        </w:rPr>
        <w:t>klírensu</w:t>
      </w:r>
      <w:proofErr w:type="spellEnd"/>
      <w:r w:rsidRPr="0073781F">
        <w:rPr>
          <w:sz w:val="22"/>
          <w:szCs w:val="22"/>
        </w:rPr>
        <w:t xml:space="preserve"> </w:t>
      </w:r>
      <w:proofErr w:type="spellStart"/>
      <w:r w:rsidRPr="0073781F">
        <w:rPr>
          <w:sz w:val="22"/>
          <w:szCs w:val="22"/>
        </w:rPr>
        <w:t>tri</w:t>
      </w:r>
      <w:r>
        <w:rPr>
          <w:sz w:val="22"/>
          <w:szCs w:val="22"/>
        </w:rPr>
        <w:t>acyl</w:t>
      </w:r>
      <w:r w:rsidRPr="0073781F">
        <w:rPr>
          <w:sz w:val="22"/>
          <w:szCs w:val="22"/>
        </w:rPr>
        <w:t>glycer</w:t>
      </w:r>
      <w:r>
        <w:rPr>
          <w:sz w:val="22"/>
          <w:szCs w:val="22"/>
        </w:rPr>
        <w:t>olov</w:t>
      </w:r>
      <w:proofErr w:type="spellEnd"/>
      <w:r>
        <w:rPr>
          <w:sz w:val="22"/>
          <w:szCs w:val="22"/>
        </w:rPr>
        <w:t>.</w:t>
      </w:r>
    </w:p>
    <w:p w14:paraId="6154D938" w14:textId="77777777" w:rsidR="009E1DD5" w:rsidRPr="00CF4824" w:rsidRDefault="009E1DD5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4F02D7DE" w14:textId="59062FAB" w:rsidR="00BE49EE" w:rsidRPr="00CF4824" w:rsidRDefault="00257EBC" w:rsidP="004A2946">
      <w:pPr>
        <w:pStyle w:val="Nadpis2"/>
        <w:tabs>
          <w:tab w:val="left" w:pos="709"/>
        </w:tabs>
        <w:spacing w:before="0" w:after="0"/>
        <w:rPr>
          <w:sz w:val="22"/>
          <w:szCs w:val="22"/>
        </w:rPr>
      </w:pPr>
      <w:bookmarkStart w:id="18" w:name="_ISIW_UH_14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="0071039E" w:rsidRPr="00CF4824">
        <w:rPr>
          <w:sz w:val="22"/>
          <w:szCs w:val="22"/>
        </w:rPr>
        <w:t>Fertilita</w:t>
      </w:r>
      <w:proofErr w:type="spellEnd"/>
      <w:r w:rsidR="0071039E" w:rsidRPr="00CF4824">
        <w:rPr>
          <w:sz w:val="22"/>
          <w:szCs w:val="22"/>
        </w:rPr>
        <w:t>, gravidita a</w:t>
      </w:r>
      <w:r w:rsidR="009E1DD5" w:rsidRPr="00CF4824">
        <w:rPr>
          <w:sz w:val="22"/>
          <w:szCs w:val="22"/>
        </w:rPr>
        <w:t> </w:t>
      </w:r>
      <w:r w:rsidR="0071039E" w:rsidRPr="00CF4824">
        <w:rPr>
          <w:sz w:val="22"/>
          <w:szCs w:val="22"/>
        </w:rPr>
        <w:t>laktácia</w:t>
      </w:r>
    </w:p>
    <w:p w14:paraId="407284A4" w14:textId="77777777" w:rsidR="009E1DD5" w:rsidRPr="004A2946" w:rsidRDefault="009E1DD5" w:rsidP="004E30E0">
      <w:pPr>
        <w:pStyle w:val="Paragraph"/>
        <w:spacing w:before="0" w:after="0" w:line="240" w:lineRule="auto"/>
        <w:rPr>
          <w:sz w:val="22"/>
          <w:szCs w:val="22"/>
        </w:rPr>
      </w:pPr>
    </w:p>
    <w:bookmarkEnd w:id="18"/>
    <w:p w14:paraId="13D17ECE" w14:textId="2A5AE91B" w:rsidR="00B64E25" w:rsidRDefault="00B64E25" w:rsidP="00D91F70">
      <w:pPr>
        <w:pStyle w:val="Paragraph"/>
        <w:spacing w:before="0" w:after="0" w:line="240" w:lineRule="auto"/>
        <w:rPr>
          <w:sz w:val="22"/>
          <w:szCs w:val="22"/>
          <w:u w:val="single"/>
        </w:rPr>
      </w:pPr>
      <w:r w:rsidRPr="00CF4824">
        <w:rPr>
          <w:sz w:val="22"/>
          <w:szCs w:val="22"/>
          <w:u w:val="single"/>
        </w:rPr>
        <w:t>Gravidita</w:t>
      </w:r>
    </w:p>
    <w:p w14:paraId="7CAD8061" w14:textId="77777777" w:rsidR="00F228F0" w:rsidRPr="00CF4824" w:rsidRDefault="00F228F0" w:rsidP="00D91F70">
      <w:pPr>
        <w:pStyle w:val="Paragraph"/>
        <w:spacing w:before="0" w:after="0" w:line="240" w:lineRule="auto"/>
        <w:rPr>
          <w:sz w:val="22"/>
          <w:szCs w:val="22"/>
          <w:u w:val="single"/>
        </w:rPr>
      </w:pPr>
    </w:p>
    <w:p w14:paraId="3B203A89" w14:textId="077DC4B1" w:rsidR="00BE49EE" w:rsidRPr="00CF4824" w:rsidRDefault="00C0145B" w:rsidP="00D91F70">
      <w:pPr>
        <w:pStyle w:val="Paragraph"/>
        <w:spacing w:before="0" w:after="0" w:line="240" w:lineRule="auto"/>
        <w:rPr>
          <w:bCs/>
          <w:sz w:val="22"/>
          <w:szCs w:val="22"/>
        </w:rPr>
      </w:pPr>
      <w:r w:rsidRPr="00CF4824">
        <w:rPr>
          <w:sz w:val="22"/>
          <w:szCs w:val="22"/>
        </w:rPr>
        <w:t>Nie sú k dispozícii žiadne klinické úda</w:t>
      </w:r>
      <w:r w:rsidRPr="006574AD">
        <w:rPr>
          <w:sz w:val="22"/>
          <w:szCs w:val="22"/>
        </w:rPr>
        <w:t>je o použití OLIMEL</w:t>
      </w:r>
      <w:r w:rsidR="00AF6561">
        <w:rPr>
          <w:sz w:val="22"/>
          <w:szCs w:val="22"/>
        </w:rPr>
        <w:t>U</w:t>
      </w:r>
      <w:r w:rsidR="003B54C0">
        <w:rPr>
          <w:sz w:val="22"/>
          <w:szCs w:val="22"/>
        </w:rPr>
        <w:t xml:space="preserve"> N12E</w:t>
      </w:r>
      <w:r w:rsidRPr="006574AD">
        <w:rPr>
          <w:sz w:val="22"/>
          <w:szCs w:val="22"/>
        </w:rPr>
        <w:t xml:space="preserve"> u gravidných žien. </w:t>
      </w:r>
      <w:r w:rsidR="00F228F0">
        <w:rPr>
          <w:sz w:val="22"/>
          <w:szCs w:val="22"/>
        </w:rPr>
        <w:t>S OLIMELO</w:t>
      </w:r>
      <w:r w:rsidR="00986502">
        <w:rPr>
          <w:sz w:val="22"/>
          <w:szCs w:val="22"/>
        </w:rPr>
        <w:t>M</w:t>
      </w:r>
      <w:r w:rsidR="00F228F0">
        <w:rPr>
          <w:sz w:val="22"/>
          <w:szCs w:val="22"/>
        </w:rPr>
        <w:t xml:space="preserve"> N12E sa n</w:t>
      </w:r>
      <w:r w:rsidRPr="006574AD">
        <w:rPr>
          <w:sz w:val="22"/>
          <w:szCs w:val="22"/>
        </w:rPr>
        <w:t>evykonali</w:t>
      </w:r>
      <w:r w:rsidR="00F228F0">
        <w:rPr>
          <w:sz w:val="22"/>
          <w:szCs w:val="22"/>
        </w:rPr>
        <w:t xml:space="preserve"> žiadne</w:t>
      </w:r>
      <w:r w:rsidRPr="006574AD">
        <w:rPr>
          <w:sz w:val="22"/>
          <w:szCs w:val="22"/>
        </w:rPr>
        <w:t xml:space="preserve"> reprodukčné štúdie na zvieratách (pozri časť 5.3). Vzhľadom na použitie a</w:t>
      </w:r>
      <w:r w:rsidR="003B54C0">
        <w:rPr>
          <w:sz w:val="22"/>
          <w:szCs w:val="22"/>
        </w:rPr>
        <w:t> </w:t>
      </w:r>
      <w:r w:rsidRPr="006574AD">
        <w:rPr>
          <w:sz w:val="22"/>
          <w:szCs w:val="22"/>
        </w:rPr>
        <w:t>indikácie</w:t>
      </w:r>
      <w:r w:rsidR="003B54C0">
        <w:rPr>
          <w:sz w:val="22"/>
          <w:szCs w:val="22"/>
        </w:rPr>
        <w:t xml:space="preserve"> OLIMEL</w:t>
      </w:r>
      <w:r w:rsidR="00986502">
        <w:rPr>
          <w:sz w:val="22"/>
          <w:szCs w:val="22"/>
        </w:rPr>
        <w:t>U</w:t>
      </w:r>
      <w:r w:rsidR="003B54C0">
        <w:rPr>
          <w:sz w:val="22"/>
          <w:szCs w:val="22"/>
        </w:rPr>
        <w:t xml:space="preserve"> N12E</w:t>
      </w:r>
      <w:r w:rsidR="00F228F0">
        <w:rPr>
          <w:sz w:val="22"/>
          <w:szCs w:val="22"/>
        </w:rPr>
        <w:t xml:space="preserve"> sa môže zvážiť </w:t>
      </w:r>
      <w:r w:rsidR="003B54C0">
        <w:rPr>
          <w:sz w:val="22"/>
          <w:szCs w:val="22"/>
        </w:rPr>
        <w:t>po</w:t>
      </w:r>
      <w:r w:rsidRPr="006574AD">
        <w:rPr>
          <w:sz w:val="22"/>
          <w:szCs w:val="22"/>
        </w:rPr>
        <w:t>už</w:t>
      </w:r>
      <w:r w:rsidR="00F228F0">
        <w:rPr>
          <w:sz w:val="22"/>
          <w:szCs w:val="22"/>
        </w:rPr>
        <w:t>itie tohto</w:t>
      </w:r>
      <w:r w:rsidRPr="006574AD">
        <w:rPr>
          <w:sz w:val="22"/>
          <w:szCs w:val="22"/>
        </w:rPr>
        <w:t xml:space="preserve"> </w:t>
      </w:r>
      <w:r w:rsidR="003B54C0">
        <w:rPr>
          <w:sz w:val="22"/>
          <w:szCs w:val="22"/>
        </w:rPr>
        <w:t>lieku</w:t>
      </w:r>
      <w:r w:rsidRPr="006574AD">
        <w:rPr>
          <w:sz w:val="22"/>
          <w:szCs w:val="22"/>
        </w:rPr>
        <w:t xml:space="preserve"> </w:t>
      </w:r>
      <w:r w:rsidR="00F228F0">
        <w:rPr>
          <w:sz w:val="22"/>
          <w:szCs w:val="22"/>
        </w:rPr>
        <w:t>počas</w:t>
      </w:r>
      <w:r w:rsidRPr="006574AD">
        <w:rPr>
          <w:sz w:val="22"/>
          <w:szCs w:val="22"/>
        </w:rPr>
        <w:t xml:space="preserve"> gravidit</w:t>
      </w:r>
      <w:r w:rsidR="00F228F0">
        <w:rPr>
          <w:sz w:val="22"/>
          <w:szCs w:val="22"/>
        </w:rPr>
        <w:t>y</w:t>
      </w:r>
      <w:r w:rsidR="003B54C0">
        <w:rPr>
          <w:sz w:val="22"/>
          <w:szCs w:val="22"/>
        </w:rPr>
        <w:t>,</w:t>
      </w:r>
      <w:r w:rsidRPr="006574AD">
        <w:rPr>
          <w:sz w:val="22"/>
          <w:szCs w:val="22"/>
        </w:rPr>
        <w:t xml:space="preserve"> ak je to </w:t>
      </w:r>
      <w:r w:rsidRPr="002F3A72">
        <w:rPr>
          <w:bCs/>
          <w:sz w:val="22"/>
          <w:szCs w:val="22"/>
        </w:rPr>
        <w:t xml:space="preserve">nevyhnutné. Tehotným ženám </w:t>
      </w:r>
      <w:r w:rsidR="003B54C0">
        <w:rPr>
          <w:bCs/>
          <w:sz w:val="22"/>
          <w:szCs w:val="22"/>
        </w:rPr>
        <w:t>sa má</w:t>
      </w:r>
      <w:r w:rsidRPr="002F3A72">
        <w:rPr>
          <w:bCs/>
          <w:sz w:val="22"/>
          <w:szCs w:val="22"/>
        </w:rPr>
        <w:t xml:space="preserve"> OLIMEL </w:t>
      </w:r>
      <w:r w:rsidR="003B54C0">
        <w:rPr>
          <w:bCs/>
          <w:sz w:val="22"/>
          <w:szCs w:val="22"/>
        </w:rPr>
        <w:t xml:space="preserve">N12E </w:t>
      </w:r>
      <w:r w:rsidRPr="002F3A72">
        <w:rPr>
          <w:bCs/>
          <w:sz w:val="22"/>
          <w:szCs w:val="22"/>
        </w:rPr>
        <w:t>podá</w:t>
      </w:r>
      <w:r w:rsidRPr="00CF4824">
        <w:rPr>
          <w:bCs/>
          <w:sz w:val="22"/>
          <w:szCs w:val="22"/>
        </w:rPr>
        <w:t xml:space="preserve">vať </w:t>
      </w:r>
      <w:r w:rsidR="00F228F0">
        <w:rPr>
          <w:bCs/>
          <w:sz w:val="22"/>
          <w:szCs w:val="22"/>
        </w:rPr>
        <w:t xml:space="preserve">len </w:t>
      </w:r>
      <w:r w:rsidRPr="00CF4824">
        <w:rPr>
          <w:bCs/>
          <w:sz w:val="22"/>
          <w:szCs w:val="22"/>
        </w:rPr>
        <w:t>po dôkladnom zvážení.</w:t>
      </w:r>
    </w:p>
    <w:p w14:paraId="5DBE996B" w14:textId="77777777" w:rsidR="009E1DD5" w:rsidRPr="00CF4824" w:rsidRDefault="009E1DD5" w:rsidP="00D91F70">
      <w:pPr>
        <w:pStyle w:val="TableCenter"/>
        <w:spacing w:before="0" w:after="0"/>
        <w:jc w:val="left"/>
        <w:rPr>
          <w:sz w:val="22"/>
          <w:szCs w:val="22"/>
          <w:u w:val="single"/>
        </w:rPr>
      </w:pPr>
    </w:p>
    <w:p w14:paraId="2B272473" w14:textId="281E6C1C" w:rsidR="00B64E25" w:rsidRDefault="00B64E25" w:rsidP="00D91F70">
      <w:pPr>
        <w:pStyle w:val="TableCenter"/>
        <w:spacing w:before="0" w:after="0"/>
        <w:jc w:val="left"/>
        <w:rPr>
          <w:sz w:val="22"/>
          <w:szCs w:val="22"/>
          <w:u w:val="single"/>
        </w:rPr>
      </w:pPr>
      <w:r w:rsidRPr="00CF4824">
        <w:rPr>
          <w:sz w:val="22"/>
          <w:szCs w:val="22"/>
          <w:u w:val="single"/>
        </w:rPr>
        <w:t>Dojčenie</w:t>
      </w:r>
    </w:p>
    <w:p w14:paraId="32263DE6" w14:textId="77777777" w:rsidR="00F228F0" w:rsidRPr="00CF4824" w:rsidRDefault="00F228F0" w:rsidP="00D91F70">
      <w:pPr>
        <w:pStyle w:val="TableCenter"/>
        <w:spacing w:before="0" w:after="0"/>
        <w:jc w:val="left"/>
        <w:rPr>
          <w:sz w:val="22"/>
          <w:szCs w:val="22"/>
          <w:u w:val="single"/>
        </w:rPr>
      </w:pPr>
    </w:p>
    <w:p w14:paraId="17AE1623" w14:textId="7A67CB39" w:rsidR="00B64E25" w:rsidRPr="00CF4824" w:rsidRDefault="00B64E25" w:rsidP="00D91F70">
      <w:pPr>
        <w:pStyle w:val="TableCenter"/>
        <w:spacing w:before="0" w:after="0"/>
        <w:jc w:val="left"/>
        <w:rPr>
          <w:sz w:val="22"/>
          <w:szCs w:val="22"/>
          <w:u w:val="single"/>
        </w:rPr>
      </w:pPr>
      <w:r w:rsidRPr="00CF4824">
        <w:rPr>
          <w:color w:val="000000"/>
          <w:sz w:val="22"/>
          <w:szCs w:val="22"/>
        </w:rPr>
        <w:t xml:space="preserve">Nie sú dostatočné informácie o vylučovaní </w:t>
      </w:r>
      <w:r w:rsidR="0018087B">
        <w:rPr>
          <w:color w:val="000000"/>
          <w:sz w:val="22"/>
          <w:szCs w:val="22"/>
        </w:rPr>
        <w:t>zložiek/</w:t>
      </w:r>
      <w:proofErr w:type="spellStart"/>
      <w:r w:rsidR="0018087B">
        <w:rPr>
          <w:color w:val="000000"/>
          <w:sz w:val="22"/>
          <w:szCs w:val="22"/>
        </w:rPr>
        <w:t>metabolitov</w:t>
      </w:r>
      <w:proofErr w:type="spellEnd"/>
      <w:r w:rsidR="0018087B">
        <w:rPr>
          <w:color w:val="000000"/>
          <w:sz w:val="22"/>
          <w:szCs w:val="22"/>
        </w:rPr>
        <w:t xml:space="preserve"> </w:t>
      </w:r>
      <w:r w:rsidRPr="00CF4824">
        <w:rPr>
          <w:color w:val="000000"/>
          <w:sz w:val="22"/>
          <w:szCs w:val="22"/>
        </w:rPr>
        <w:t>OLIMEL</w:t>
      </w:r>
      <w:r w:rsidR="00F228F0">
        <w:rPr>
          <w:color w:val="000000"/>
          <w:sz w:val="22"/>
          <w:szCs w:val="22"/>
        </w:rPr>
        <w:t>U</w:t>
      </w:r>
      <w:r w:rsidR="0018087B">
        <w:rPr>
          <w:color w:val="000000"/>
          <w:sz w:val="22"/>
          <w:szCs w:val="22"/>
        </w:rPr>
        <w:t xml:space="preserve"> N12E</w:t>
      </w:r>
      <w:r w:rsidRPr="00CF4824">
        <w:rPr>
          <w:color w:val="000000"/>
          <w:sz w:val="22"/>
          <w:szCs w:val="22"/>
        </w:rPr>
        <w:t xml:space="preserve"> do ľudského mlieka. </w:t>
      </w:r>
      <w:r w:rsidRPr="00CF4824">
        <w:rPr>
          <w:sz w:val="22"/>
          <w:szCs w:val="22"/>
        </w:rPr>
        <w:t xml:space="preserve">Počas dojčenia môže </w:t>
      </w:r>
      <w:r w:rsidR="00F228F0">
        <w:rPr>
          <w:sz w:val="22"/>
          <w:szCs w:val="22"/>
        </w:rPr>
        <w:t>byť</w:t>
      </w:r>
      <w:r w:rsidRPr="00CF4824">
        <w:rPr>
          <w:sz w:val="22"/>
          <w:szCs w:val="22"/>
        </w:rPr>
        <w:t xml:space="preserve"> </w:t>
      </w:r>
      <w:r w:rsidR="0018087B">
        <w:rPr>
          <w:sz w:val="22"/>
          <w:szCs w:val="22"/>
        </w:rPr>
        <w:t>nevyhnutn</w:t>
      </w:r>
      <w:r w:rsidR="00F228F0">
        <w:rPr>
          <w:sz w:val="22"/>
          <w:szCs w:val="22"/>
        </w:rPr>
        <w:t>é</w:t>
      </w:r>
      <w:r w:rsidR="0018087B">
        <w:rPr>
          <w:sz w:val="22"/>
          <w:szCs w:val="22"/>
        </w:rPr>
        <w:t xml:space="preserve"> </w:t>
      </w:r>
      <w:r w:rsidRPr="00CF4824">
        <w:rPr>
          <w:sz w:val="22"/>
          <w:szCs w:val="22"/>
        </w:rPr>
        <w:t xml:space="preserve"> pod</w:t>
      </w:r>
      <w:r w:rsidR="00F228F0">
        <w:rPr>
          <w:sz w:val="22"/>
          <w:szCs w:val="22"/>
        </w:rPr>
        <w:t>ať</w:t>
      </w:r>
      <w:r w:rsidRPr="00CF4824">
        <w:rPr>
          <w:sz w:val="22"/>
          <w:szCs w:val="22"/>
        </w:rPr>
        <w:t xml:space="preserve"> </w:t>
      </w:r>
      <w:proofErr w:type="spellStart"/>
      <w:r w:rsidRPr="00CF4824">
        <w:rPr>
          <w:sz w:val="22"/>
          <w:szCs w:val="22"/>
        </w:rPr>
        <w:t>parenteráln</w:t>
      </w:r>
      <w:r w:rsidR="00F228F0">
        <w:rPr>
          <w:sz w:val="22"/>
          <w:szCs w:val="22"/>
        </w:rPr>
        <w:t>u</w:t>
      </w:r>
      <w:proofErr w:type="spellEnd"/>
      <w:r w:rsidRPr="00CF4824">
        <w:rPr>
          <w:sz w:val="22"/>
          <w:szCs w:val="22"/>
        </w:rPr>
        <w:t xml:space="preserve"> výživ</w:t>
      </w:r>
      <w:r w:rsidR="00F228F0">
        <w:rPr>
          <w:sz w:val="22"/>
          <w:szCs w:val="22"/>
        </w:rPr>
        <w:t>u</w:t>
      </w:r>
      <w:r w:rsidRPr="00CF4824">
        <w:rPr>
          <w:sz w:val="22"/>
          <w:szCs w:val="22"/>
        </w:rPr>
        <w:t xml:space="preserve">. Dojčiacim ženám </w:t>
      </w:r>
      <w:r w:rsidR="0018087B">
        <w:rPr>
          <w:sz w:val="22"/>
          <w:szCs w:val="22"/>
        </w:rPr>
        <w:t>sa má</w:t>
      </w:r>
      <w:r w:rsidRPr="00CF4824">
        <w:rPr>
          <w:sz w:val="22"/>
          <w:szCs w:val="22"/>
        </w:rPr>
        <w:t xml:space="preserve"> OLIMEL</w:t>
      </w:r>
      <w:r w:rsidR="00AF6561">
        <w:rPr>
          <w:sz w:val="22"/>
          <w:szCs w:val="22"/>
        </w:rPr>
        <w:t> </w:t>
      </w:r>
      <w:r w:rsidR="0018087B">
        <w:rPr>
          <w:sz w:val="22"/>
          <w:szCs w:val="22"/>
        </w:rPr>
        <w:t xml:space="preserve">N12E </w:t>
      </w:r>
      <w:r w:rsidRPr="00CF4824">
        <w:rPr>
          <w:sz w:val="22"/>
          <w:szCs w:val="22"/>
        </w:rPr>
        <w:t xml:space="preserve">podávať </w:t>
      </w:r>
      <w:r w:rsidR="00F228F0">
        <w:rPr>
          <w:sz w:val="22"/>
          <w:szCs w:val="22"/>
        </w:rPr>
        <w:t xml:space="preserve">len </w:t>
      </w:r>
      <w:r w:rsidRPr="00CF4824">
        <w:rPr>
          <w:sz w:val="22"/>
          <w:szCs w:val="22"/>
        </w:rPr>
        <w:t>po dôkladnom zvážení.</w:t>
      </w:r>
    </w:p>
    <w:p w14:paraId="367436CD" w14:textId="77777777" w:rsidR="009E1DD5" w:rsidRPr="00CF4824" w:rsidRDefault="009E1DD5" w:rsidP="00D91F70">
      <w:pPr>
        <w:pStyle w:val="TableCenter"/>
        <w:spacing w:before="0" w:after="0"/>
        <w:jc w:val="left"/>
        <w:rPr>
          <w:sz w:val="22"/>
          <w:szCs w:val="22"/>
          <w:u w:val="single"/>
        </w:rPr>
      </w:pPr>
    </w:p>
    <w:p w14:paraId="0C9405B3" w14:textId="37FD34F7" w:rsidR="00B64E25" w:rsidRDefault="00B64E25" w:rsidP="00D91F70">
      <w:pPr>
        <w:pStyle w:val="TableCenter"/>
        <w:spacing w:before="0" w:after="0"/>
        <w:jc w:val="left"/>
        <w:rPr>
          <w:sz w:val="22"/>
          <w:szCs w:val="22"/>
          <w:u w:val="single"/>
        </w:rPr>
      </w:pPr>
      <w:proofErr w:type="spellStart"/>
      <w:r w:rsidRPr="00CF4824">
        <w:rPr>
          <w:sz w:val="22"/>
          <w:szCs w:val="22"/>
          <w:u w:val="single"/>
        </w:rPr>
        <w:t>Fertilita</w:t>
      </w:r>
      <w:proofErr w:type="spellEnd"/>
    </w:p>
    <w:p w14:paraId="07E5ABFE" w14:textId="77777777" w:rsidR="00F228F0" w:rsidRPr="00CF4824" w:rsidRDefault="00F228F0" w:rsidP="00D91F70">
      <w:pPr>
        <w:pStyle w:val="TableCenter"/>
        <w:spacing w:before="0" w:after="0"/>
        <w:jc w:val="left"/>
        <w:rPr>
          <w:sz w:val="22"/>
          <w:szCs w:val="22"/>
          <w:u w:val="single"/>
        </w:rPr>
      </w:pPr>
    </w:p>
    <w:p w14:paraId="02820EC6" w14:textId="2367163D" w:rsidR="00B64E25" w:rsidRPr="00CF4824" w:rsidRDefault="00B64E25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>Nie sú k dispozícii žiadne adekvátne údaje.</w:t>
      </w:r>
    </w:p>
    <w:p w14:paraId="44CCEBBD" w14:textId="77777777" w:rsidR="009E1DD5" w:rsidRPr="00CF4824" w:rsidRDefault="009E1DD5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69AFC37C" w14:textId="36192E07" w:rsidR="00A75283" w:rsidRPr="00CF4824" w:rsidRDefault="0018087B" w:rsidP="004A2946">
      <w:pPr>
        <w:pStyle w:val="Nadpis2"/>
        <w:tabs>
          <w:tab w:val="left" w:pos="709"/>
        </w:tabs>
        <w:spacing w:before="0" w:after="0"/>
        <w:rPr>
          <w:sz w:val="22"/>
          <w:szCs w:val="22"/>
        </w:rPr>
      </w:pPr>
      <w:bookmarkStart w:id="19" w:name="_ISIW_UH_15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75283" w:rsidRPr="00CF4824">
        <w:rPr>
          <w:sz w:val="22"/>
          <w:szCs w:val="22"/>
        </w:rPr>
        <w:t>Ovplyvnenie schopnosti viesť vozidlá a obsluhovať stroje</w:t>
      </w:r>
    </w:p>
    <w:p w14:paraId="01828A50" w14:textId="77777777" w:rsidR="009E1DD5" w:rsidRPr="004A2946" w:rsidRDefault="009E1DD5" w:rsidP="004E30E0">
      <w:pPr>
        <w:pStyle w:val="Paragraph"/>
        <w:spacing w:before="0" w:after="0" w:line="240" w:lineRule="auto"/>
        <w:rPr>
          <w:sz w:val="22"/>
          <w:szCs w:val="22"/>
        </w:rPr>
      </w:pPr>
    </w:p>
    <w:bookmarkEnd w:id="19"/>
    <w:p w14:paraId="16EB65E2" w14:textId="0800C2BB" w:rsidR="00A75283" w:rsidRPr="00CF4824" w:rsidRDefault="001A4948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 xml:space="preserve">Neboli vykonané žiadne štúdie o účinkoch na schopnosť viesť vozidlá a obsluhovať stroje. </w:t>
      </w:r>
    </w:p>
    <w:p w14:paraId="203B4519" w14:textId="77777777" w:rsidR="009E1DD5" w:rsidRPr="00CF4824" w:rsidRDefault="009E1DD5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09F6A26C" w14:textId="7F079662" w:rsidR="00A75283" w:rsidRPr="009D3678" w:rsidRDefault="0018087B" w:rsidP="004A2946">
      <w:pPr>
        <w:pStyle w:val="Nadpis2"/>
        <w:tabs>
          <w:tab w:val="left" w:pos="709"/>
        </w:tabs>
        <w:spacing w:before="0" w:after="0"/>
        <w:rPr>
          <w:sz w:val="22"/>
          <w:szCs w:val="22"/>
        </w:rPr>
      </w:pPr>
      <w:bookmarkStart w:id="20" w:name="_ISIW_UH_16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75283" w:rsidRPr="00062DD6">
        <w:rPr>
          <w:sz w:val="22"/>
          <w:szCs w:val="22"/>
        </w:rPr>
        <w:t>Nežiaduce účinky</w:t>
      </w:r>
    </w:p>
    <w:p w14:paraId="0A3395B0" w14:textId="77777777" w:rsidR="009E1DD5" w:rsidRPr="004A2946" w:rsidRDefault="009E1DD5" w:rsidP="004E30E0">
      <w:pPr>
        <w:pStyle w:val="Paragraph"/>
        <w:spacing w:before="0" w:after="0" w:line="240" w:lineRule="auto"/>
        <w:rPr>
          <w:sz w:val="22"/>
          <w:szCs w:val="22"/>
        </w:rPr>
      </w:pPr>
    </w:p>
    <w:bookmarkEnd w:id="20"/>
    <w:p w14:paraId="55C1B79D" w14:textId="77777777" w:rsidR="00B75D83" w:rsidRPr="00CF4824" w:rsidRDefault="00B75D83" w:rsidP="00D91F70">
      <w:pPr>
        <w:pStyle w:val="Paragraph"/>
        <w:spacing w:before="0" w:after="0" w:line="240" w:lineRule="auto"/>
        <w:rPr>
          <w:snapToGrid w:val="0"/>
          <w:sz w:val="22"/>
          <w:szCs w:val="22"/>
        </w:rPr>
      </w:pPr>
      <w:r w:rsidRPr="00CF4824">
        <w:rPr>
          <w:snapToGrid w:val="0"/>
          <w:sz w:val="22"/>
          <w:szCs w:val="22"/>
        </w:rPr>
        <w:t>Potenciálne nežiaduce účinky sa môžu vyskytnúť v dôsledku nesprávneho použitia lieku (napríklad: pri predávkovaní alebo príliš vysokej rýchlosti podávania infúzie) (pozri časti 4.4 a 4.9).</w:t>
      </w:r>
    </w:p>
    <w:p w14:paraId="076AFAA4" w14:textId="77777777" w:rsidR="009E1DD5" w:rsidRPr="00CF4824" w:rsidRDefault="009E1DD5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4259F535" w14:textId="780232FD" w:rsidR="00283B47" w:rsidRPr="00CF4824" w:rsidRDefault="00B75D83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2F3A72">
        <w:rPr>
          <w:sz w:val="22"/>
          <w:szCs w:val="22"/>
        </w:rPr>
        <w:t xml:space="preserve">Ak sa na začiatku podávania infúzie objaví ktorýkoľvek z nasledujúcich neobvyklých prejavov (potenie, horúčka, triaška, bolesť hlavy, kožné vyrážky, </w:t>
      </w:r>
      <w:proofErr w:type="spellStart"/>
      <w:r w:rsidRPr="002F3A72">
        <w:rPr>
          <w:sz w:val="22"/>
          <w:szCs w:val="22"/>
        </w:rPr>
        <w:t>dyspnoe</w:t>
      </w:r>
      <w:proofErr w:type="spellEnd"/>
      <w:r w:rsidRPr="002F3A72">
        <w:rPr>
          <w:sz w:val="22"/>
          <w:szCs w:val="22"/>
        </w:rPr>
        <w:t>), je to dôvod pre okamžité prerušenie podávania infúzie.</w:t>
      </w:r>
    </w:p>
    <w:p w14:paraId="53E1FDB0" w14:textId="77777777" w:rsidR="009E1DD5" w:rsidRPr="00CF4824" w:rsidRDefault="009E1DD5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1020CD5F" w14:textId="09B51E3C" w:rsidR="00F16973" w:rsidRDefault="00477896" w:rsidP="00D91F70">
      <w:pPr>
        <w:pStyle w:val="Paragraph"/>
        <w:spacing w:before="0" w:after="0" w:line="240" w:lineRule="auto"/>
        <w:rPr>
          <w:sz w:val="22"/>
          <w:szCs w:val="22"/>
        </w:rPr>
      </w:pPr>
      <w:r>
        <w:rPr>
          <w:sz w:val="22"/>
          <w:szCs w:val="22"/>
        </w:rPr>
        <w:t>N</w:t>
      </w:r>
      <w:r w:rsidR="00283B47" w:rsidRPr="00CF4824">
        <w:rPr>
          <w:sz w:val="22"/>
          <w:szCs w:val="22"/>
        </w:rPr>
        <w:t xml:space="preserve">ežiaduce </w:t>
      </w:r>
      <w:r w:rsidR="00F228F0">
        <w:rPr>
          <w:sz w:val="22"/>
          <w:szCs w:val="22"/>
        </w:rPr>
        <w:t>účinky</w:t>
      </w:r>
      <w:r w:rsidR="00283B47" w:rsidRPr="00CF4824">
        <w:rPr>
          <w:sz w:val="22"/>
          <w:szCs w:val="22"/>
        </w:rPr>
        <w:t xml:space="preserve"> </w:t>
      </w:r>
      <w:r w:rsidR="00192659">
        <w:rPr>
          <w:sz w:val="22"/>
          <w:szCs w:val="22"/>
        </w:rPr>
        <w:t>(</w:t>
      </w:r>
      <w:proofErr w:type="spellStart"/>
      <w:r w:rsidR="00F228F0">
        <w:rPr>
          <w:sz w:val="22"/>
          <w:szCs w:val="22"/>
        </w:rPr>
        <w:t>adverse</w:t>
      </w:r>
      <w:proofErr w:type="spellEnd"/>
      <w:r w:rsidR="00F228F0">
        <w:rPr>
          <w:sz w:val="22"/>
          <w:szCs w:val="22"/>
        </w:rPr>
        <w:t xml:space="preserve"> </w:t>
      </w:r>
      <w:proofErr w:type="spellStart"/>
      <w:r w:rsidR="00F228F0">
        <w:rPr>
          <w:sz w:val="22"/>
          <w:szCs w:val="22"/>
        </w:rPr>
        <w:t>drug</w:t>
      </w:r>
      <w:proofErr w:type="spellEnd"/>
      <w:r w:rsidR="00F228F0">
        <w:rPr>
          <w:sz w:val="22"/>
          <w:szCs w:val="22"/>
        </w:rPr>
        <w:t xml:space="preserve"> </w:t>
      </w:r>
      <w:proofErr w:type="spellStart"/>
      <w:r w:rsidR="00F228F0">
        <w:rPr>
          <w:sz w:val="22"/>
          <w:szCs w:val="22"/>
        </w:rPr>
        <w:t>reactions</w:t>
      </w:r>
      <w:proofErr w:type="spellEnd"/>
      <w:r w:rsidR="00F228F0">
        <w:rPr>
          <w:sz w:val="22"/>
          <w:szCs w:val="22"/>
        </w:rPr>
        <w:t xml:space="preserve">, </w:t>
      </w:r>
      <w:proofErr w:type="spellStart"/>
      <w:r w:rsidR="00192659">
        <w:rPr>
          <w:sz w:val="22"/>
          <w:szCs w:val="22"/>
        </w:rPr>
        <w:t>ADR</w:t>
      </w:r>
      <w:r w:rsidR="00F228F0">
        <w:rPr>
          <w:sz w:val="22"/>
          <w:szCs w:val="22"/>
        </w:rPr>
        <w:t>s</w:t>
      </w:r>
      <w:proofErr w:type="spellEnd"/>
      <w:r w:rsidR="00192659">
        <w:rPr>
          <w:sz w:val="22"/>
          <w:szCs w:val="22"/>
        </w:rPr>
        <w:t>)</w:t>
      </w:r>
      <w:r w:rsidR="00283B47" w:rsidRPr="00CF4824">
        <w:rPr>
          <w:sz w:val="22"/>
          <w:szCs w:val="22"/>
        </w:rPr>
        <w:t xml:space="preserve"> hlásené v súvislosti s OLIMELOM N9-840</w:t>
      </w:r>
      <w:r w:rsidR="003334A9">
        <w:rPr>
          <w:sz w:val="22"/>
          <w:szCs w:val="22"/>
        </w:rPr>
        <w:t xml:space="preserve"> v</w:t>
      </w:r>
      <w:r w:rsidR="00986502">
        <w:rPr>
          <w:sz w:val="22"/>
          <w:szCs w:val="22"/>
        </w:rPr>
        <w:t> </w:t>
      </w:r>
      <w:proofErr w:type="spellStart"/>
      <w:r w:rsidR="00283B47" w:rsidRPr="00CF4824">
        <w:rPr>
          <w:sz w:val="22"/>
          <w:szCs w:val="22"/>
        </w:rPr>
        <w:t>randomizovanej</w:t>
      </w:r>
      <w:proofErr w:type="spellEnd"/>
      <w:r w:rsidR="00283B47" w:rsidRPr="00CF4824">
        <w:rPr>
          <w:sz w:val="22"/>
          <w:szCs w:val="22"/>
        </w:rPr>
        <w:t>, dvojito zaslepenej, aktívne kontrolovanej štúdie účinnosti a</w:t>
      </w:r>
      <w:r>
        <w:rPr>
          <w:sz w:val="22"/>
          <w:szCs w:val="22"/>
        </w:rPr>
        <w:t> </w:t>
      </w:r>
      <w:r w:rsidR="00283B47" w:rsidRPr="00CF4824">
        <w:rPr>
          <w:sz w:val="22"/>
          <w:szCs w:val="22"/>
        </w:rPr>
        <w:t>bezpečnosti</w:t>
      </w:r>
      <w:r>
        <w:rPr>
          <w:sz w:val="22"/>
          <w:szCs w:val="22"/>
        </w:rPr>
        <w:t xml:space="preserve"> sú uvedené v tabuľke nižšie</w:t>
      </w:r>
      <w:r w:rsidR="00283B47" w:rsidRPr="00CF4824">
        <w:rPr>
          <w:sz w:val="22"/>
          <w:szCs w:val="22"/>
        </w:rPr>
        <w:t>. Do štúdie bolo zaradených a liečených dvadsaťosem pacientov v rôznom zdravotnom stave (napr. pooperačn</w:t>
      </w:r>
      <w:r w:rsidR="003334A9">
        <w:rPr>
          <w:sz w:val="22"/>
          <w:szCs w:val="22"/>
        </w:rPr>
        <w:t>é hladovanie</w:t>
      </w:r>
      <w:r w:rsidR="00283B47" w:rsidRPr="00CF4824">
        <w:rPr>
          <w:sz w:val="22"/>
          <w:szCs w:val="22"/>
        </w:rPr>
        <w:t xml:space="preserve">, </w:t>
      </w:r>
      <w:r w:rsidR="009A2617">
        <w:rPr>
          <w:sz w:val="22"/>
          <w:szCs w:val="22"/>
        </w:rPr>
        <w:t>závažná</w:t>
      </w:r>
      <w:r w:rsidR="00283B47" w:rsidRPr="00CF4824">
        <w:rPr>
          <w:sz w:val="22"/>
          <w:szCs w:val="22"/>
        </w:rPr>
        <w:t xml:space="preserve"> </w:t>
      </w:r>
      <w:proofErr w:type="spellStart"/>
      <w:r w:rsidR="00283B47" w:rsidRPr="00CF4824">
        <w:rPr>
          <w:sz w:val="22"/>
          <w:szCs w:val="22"/>
        </w:rPr>
        <w:t>malnutrícia</w:t>
      </w:r>
      <w:proofErr w:type="spellEnd"/>
      <w:r w:rsidR="00283B47" w:rsidRPr="00CF4824">
        <w:rPr>
          <w:sz w:val="22"/>
          <w:szCs w:val="22"/>
        </w:rPr>
        <w:t xml:space="preserve">, nedostatočný alebo zakázaný </w:t>
      </w:r>
      <w:proofErr w:type="spellStart"/>
      <w:r w:rsidR="00283B47" w:rsidRPr="00CF4824">
        <w:rPr>
          <w:sz w:val="22"/>
          <w:szCs w:val="22"/>
        </w:rPr>
        <w:t>enterálny</w:t>
      </w:r>
      <w:proofErr w:type="spellEnd"/>
      <w:r w:rsidR="00283B47" w:rsidRPr="00CF4824">
        <w:rPr>
          <w:sz w:val="22"/>
          <w:szCs w:val="22"/>
        </w:rPr>
        <w:t xml:space="preserve"> príjem). Pacienti v skupine liečenej OLIMELOM dostávali dávku </w:t>
      </w:r>
      <w:r w:rsidR="00E864AF">
        <w:rPr>
          <w:sz w:val="22"/>
          <w:szCs w:val="22"/>
        </w:rPr>
        <w:t xml:space="preserve">lieku </w:t>
      </w:r>
      <w:r w:rsidR="00283B47" w:rsidRPr="00CF4824">
        <w:rPr>
          <w:sz w:val="22"/>
          <w:szCs w:val="22"/>
        </w:rPr>
        <w:t>až do 40 ml/kg/deň po dobu 5 dní.</w:t>
      </w:r>
    </w:p>
    <w:p w14:paraId="731CB42C" w14:textId="77777777" w:rsidR="004B549C" w:rsidRPr="00CF4824" w:rsidRDefault="004B549C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5E22D581" w14:textId="31090585" w:rsidR="000844B0" w:rsidRPr="00CF4824" w:rsidRDefault="00E849E4" w:rsidP="00424E03">
      <w:pPr>
        <w:pStyle w:val="Paragraph"/>
        <w:keepNext/>
        <w:keepLines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lastRenderedPageBreak/>
        <w:t xml:space="preserve">Súhrnné údaje z klinických </w:t>
      </w:r>
      <w:r w:rsidR="00E864AF">
        <w:rPr>
          <w:sz w:val="22"/>
          <w:szCs w:val="22"/>
        </w:rPr>
        <w:t>skúšaní</w:t>
      </w:r>
      <w:r w:rsidRPr="00CF4824">
        <w:rPr>
          <w:sz w:val="22"/>
          <w:szCs w:val="22"/>
        </w:rPr>
        <w:t xml:space="preserve"> a </w:t>
      </w:r>
      <w:r w:rsidR="00E864AF">
        <w:rPr>
          <w:sz w:val="22"/>
          <w:szCs w:val="22"/>
        </w:rPr>
        <w:t xml:space="preserve">skúseností </w:t>
      </w:r>
      <w:r w:rsidRPr="00CF4824">
        <w:rPr>
          <w:sz w:val="22"/>
          <w:szCs w:val="22"/>
        </w:rPr>
        <w:t xml:space="preserve">po uvedení </w:t>
      </w:r>
      <w:r w:rsidR="00E864AF">
        <w:rPr>
          <w:sz w:val="22"/>
          <w:szCs w:val="22"/>
        </w:rPr>
        <w:t xml:space="preserve">lieku </w:t>
      </w:r>
      <w:r w:rsidRPr="00CF4824">
        <w:rPr>
          <w:sz w:val="22"/>
          <w:szCs w:val="22"/>
        </w:rPr>
        <w:t xml:space="preserve">na trh </w:t>
      </w:r>
      <w:r w:rsidR="00E864AF">
        <w:rPr>
          <w:sz w:val="22"/>
          <w:szCs w:val="22"/>
        </w:rPr>
        <w:t xml:space="preserve">naznačujú </w:t>
      </w:r>
      <w:r w:rsidRPr="00CF4824">
        <w:rPr>
          <w:sz w:val="22"/>
          <w:szCs w:val="22"/>
        </w:rPr>
        <w:t xml:space="preserve">nasledujúce nežiaduce </w:t>
      </w:r>
      <w:r w:rsidR="00F228F0">
        <w:rPr>
          <w:sz w:val="22"/>
          <w:szCs w:val="22"/>
        </w:rPr>
        <w:t>účinky (</w:t>
      </w:r>
      <w:proofErr w:type="spellStart"/>
      <w:r w:rsidR="00F228F0">
        <w:rPr>
          <w:sz w:val="22"/>
          <w:szCs w:val="22"/>
        </w:rPr>
        <w:t>ADRs</w:t>
      </w:r>
      <w:proofErr w:type="spellEnd"/>
      <w:r w:rsidR="00F228F0">
        <w:rPr>
          <w:sz w:val="22"/>
          <w:szCs w:val="22"/>
        </w:rPr>
        <w:t>)</w:t>
      </w:r>
      <w:r w:rsidRPr="00CF4824">
        <w:rPr>
          <w:sz w:val="22"/>
          <w:szCs w:val="22"/>
        </w:rPr>
        <w:t xml:space="preserve"> súvisiace s</w:t>
      </w:r>
      <w:r w:rsidR="004B549C">
        <w:rPr>
          <w:sz w:val="22"/>
          <w:szCs w:val="22"/>
        </w:rPr>
        <w:t> </w:t>
      </w:r>
      <w:r w:rsidRPr="00CF4824">
        <w:rPr>
          <w:sz w:val="22"/>
          <w:szCs w:val="22"/>
        </w:rPr>
        <w:t>OLIMELOM</w:t>
      </w:r>
      <w:r w:rsidR="004B549C">
        <w:rPr>
          <w:sz w:val="22"/>
          <w:szCs w:val="22"/>
        </w:rPr>
        <w:t>:</w:t>
      </w:r>
    </w:p>
    <w:p w14:paraId="539D7D60" w14:textId="656F093A" w:rsidR="000844B0" w:rsidRPr="00CF4824" w:rsidRDefault="000844B0" w:rsidP="00424E03">
      <w:pPr>
        <w:keepNext/>
        <w:keepLines/>
        <w:rPr>
          <w:sz w:val="22"/>
          <w:szCs w:val="22"/>
        </w:rPr>
      </w:pPr>
    </w:p>
    <w:tbl>
      <w:tblPr>
        <w:tblStyle w:val="Mriekatabuky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5"/>
        <w:gridCol w:w="4457"/>
        <w:gridCol w:w="1735"/>
      </w:tblGrid>
      <w:tr w:rsidR="000844B0" w:rsidRPr="00CF4824" w14:paraId="1A9AC5E9" w14:textId="77777777" w:rsidTr="00424E03">
        <w:trPr>
          <w:jc w:val="center"/>
        </w:trPr>
        <w:tc>
          <w:tcPr>
            <w:tcW w:w="3095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56ED6047" w14:textId="2B112ADE" w:rsidR="000844B0" w:rsidRPr="00CF4824" w:rsidRDefault="000844B0" w:rsidP="00424E03">
            <w:pPr>
              <w:pStyle w:val="TableLeft"/>
              <w:keepNext/>
              <w:keepLines/>
              <w:spacing w:before="0" w:after="0"/>
              <w:rPr>
                <w:sz w:val="22"/>
                <w:szCs w:val="22"/>
              </w:rPr>
            </w:pPr>
            <w:r w:rsidRPr="00CF4824">
              <w:rPr>
                <w:b/>
                <w:sz w:val="22"/>
                <w:szCs w:val="22"/>
              </w:rPr>
              <w:t>Trieda orgánových systémov</w:t>
            </w:r>
          </w:p>
        </w:tc>
        <w:tc>
          <w:tcPr>
            <w:tcW w:w="4457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6B935D1B" w14:textId="01B11B4E" w:rsidR="000844B0" w:rsidRPr="00CF4824" w:rsidRDefault="002A79BE" w:rsidP="00424E03">
            <w:pPr>
              <w:pStyle w:val="TableCenter"/>
              <w:keepNext/>
              <w:keepLines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Preferovaný termín podľa </w:t>
            </w:r>
            <w:proofErr w:type="spellStart"/>
            <w:r w:rsidR="000844B0" w:rsidRPr="00CF4824">
              <w:rPr>
                <w:b/>
                <w:sz w:val="22"/>
                <w:szCs w:val="22"/>
              </w:rPr>
              <w:t>MedDRA</w:t>
            </w:r>
            <w:proofErr w:type="spellEnd"/>
          </w:p>
        </w:tc>
        <w:tc>
          <w:tcPr>
            <w:tcW w:w="1735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0F67C26F" w14:textId="5A95910B" w:rsidR="000844B0" w:rsidRPr="00CF4824" w:rsidRDefault="000844B0" w:rsidP="00424E03">
            <w:pPr>
              <w:pStyle w:val="TableCenter"/>
              <w:keepNext/>
              <w:keepLines/>
              <w:spacing w:before="0" w:after="0"/>
              <w:jc w:val="left"/>
              <w:rPr>
                <w:sz w:val="22"/>
                <w:szCs w:val="22"/>
              </w:rPr>
            </w:pPr>
            <w:proofErr w:type="spellStart"/>
            <w:r w:rsidRPr="00CF4824">
              <w:rPr>
                <w:b/>
                <w:sz w:val="22"/>
                <w:szCs w:val="22"/>
              </w:rPr>
              <w:t>Frekvencia</w:t>
            </w:r>
            <w:r w:rsidRPr="004A2946">
              <w:rPr>
                <w:b/>
                <w:sz w:val="22"/>
                <w:szCs w:val="22"/>
                <w:vertAlign w:val="superscript"/>
              </w:rPr>
              <w:fldChar w:fldCharType="begin"/>
            </w:r>
            <w:r w:rsidRPr="00CF4824">
              <w:rPr>
                <w:b/>
                <w:sz w:val="22"/>
                <w:szCs w:val="22"/>
                <w:vertAlign w:val="superscript"/>
              </w:rPr>
              <w:instrText xml:space="preserve"> REF _Ref496532388 \r \h  \* MERGEFORMAT </w:instrText>
            </w:r>
            <w:r w:rsidRPr="004A2946">
              <w:rPr>
                <w:b/>
                <w:sz w:val="22"/>
                <w:szCs w:val="22"/>
                <w:vertAlign w:val="superscript"/>
              </w:rPr>
            </w:r>
            <w:r w:rsidRPr="004A2946">
              <w:rPr>
                <w:b/>
                <w:sz w:val="22"/>
                <w:szCs w:val="22"/>
                <w:vertAlign w:val="superscript"/>
              </w:rPr>
              <w:fldChar w:fldCharType="separate"/>
            </w:r>
            <w:r w:rsidR="00B64E25" w:rsidRPr="00CF4824">
              <w:rPr>
                <w:b/>
                <w:sz w:val="22"/>
                <w:szCs w:val="22"/>
                <w:vertAlign w:val="superscript"/>
              </w:rPr>
              <w:t>a</w:t>
            </w:r>
            <w:proofErr w:type="spellEnd"/>
            <w:r w:rsidRPr="004A2946">
              <w:rPr>
                <w:sz w:val="22"/>
                <w:szCs w:val="22"/>
              </w:rPr>
              <w:fldChar w:fldCharType="end"/>
            </w:r>
          </w:p>
        </w:tc>
      </w:tr>
      <w:tr w:rsidR="00477896" w:rsidRPr="00CF4824" w14:paraId="3C845617" w14:textId="77777777" w:rsidTr="00424E03">
        <w:trPr>
          <w:jc w:val="center"/>
        </w:trPr>
        <w:tc>
          <w:tcPr>
            <w:tcW w:w="3095" w:type="dxa"/>
            <w:tcBorders>
              <w:bottom w:val="single" w:sz="6" w:space="0" w:color="000000"/>
            </w:tcBorders>
            <w:shd w:val="clear" w:color="auto" w:fill="auto"/>
          </w:tcPr>
          <w:p w14:paraId="783B2FEB" w14:textId="61129EDD" w:rsidR="00477896" w:rsidRPr="00424E03" w:rsidRDefault="00477896" w:rsidP="00424E03">
            <w:pPr>
              <w:pStyle w:val="TableLeft"/>
              <w:keepNext/>
              <w:keepLines/>
              <w:spacing w:before="0" w:after="0"/>
              <w:rPr>
                <w:b/>
                <w:sz w:val="22"/>
                <w:szCs w:val="22"/>
              </w:rPr>
            </w:pPr>
            <w:r w:rsidRPr="00424E03">
              <w:rPr>
                <w:b/>
                <w:sz w:val="22"/>
                <w:szCs w:val="22"/>
              </w:rPr>
              <w:t>Poruchy imunitného systému</w:t>
            </w:r>
          </w:p>
        </w:tc>
        <w:tc>
          <w:tcPr>
            <w:tcW w:w="4457" w:type="dxa"/>
            <w:tcBorders>
              <w:bottom w:val="single" w:sz="6" w:space="0" w:color="000000"/>
            </w:tcBorders>
            <w:shd w:val="clear" w:color="auto" w:fill="auto"/>
          </w:tcPr>
          <w:p w14:paraId="11AA4CFA" w14:textId="42258872" w:rsidR="00477896" w:rsidRPr="00CF4824" w:rsidRDefault="007A2549" w:rsidP="00424E03">
            <w:pPr>
              <w:pStyle w:val="TableCenter"/>
              <w:keepNext/>
              <w:keepLines/>
              <w:spacing w:before="0" w:after="0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</w:t>
            </w:r>
            <w:r w:rsidR="00477896" w:rsidRPr="00477896">
              <w:rPr>
                <w:sz w:val="22"/>
                <w:szCs w:val="22"/>
              </w:rPr>
              <w:t>ypersenzitívne</w:t>
            </w:r>
            <w:proofErr w:type="spellEnd"/>
            <w:r w:rsidR="00477896" w:rsidRPr="00477896">
              <w:rPr>
                <w:sz w:val="22"/>
                <w:szCs w:val="22"/>
              </w:rPr>
              <w:t xml:space="preserve"> reakcie vrátane </w:t>
            </w:r>
            <w:proofErr w:type="spellStart"/>
            <w:r w:rsidR="00477896" w:rsidRPr="00477896">
              <w:rPr>
                <w:sz w:val="22"/>
                <w:szCs w:val="22"/>
              </w:rPr>
              <w:t>hyperhidrózy</w:t>
            </w:r>
            <w:proofErr w:type="spellEnd"/>
            <w:r w:rsidR="00477896" w:rsidRPr="00477896">
              <w:rPr>
                <w:sz w:val="22"/>
                <w:szCs w:val="22"/>
              </w:rPr>
              <w:t xml:space="preserve">, </w:t>
            </w:r>
            <w:proofErr w:type="spellStart"/>
            <w:r w:rsidR="00477896" w:rsidRPr="00477896">
              <w:rPr>
                <w:sz w:val="22"/>
                <w:szCs w:val="22"/>
              </w:rPr>
              <w:t>pyrexie</w:t>
            </w:r>
            <w:proofErr w:type="spellEnd"/>
            <w:r w:rsidR="00477896" w:rsidRPr="00477896">
              <w:rPr>
                <w:sz w:val="22"/>
                <w:szCs w:val="22"/>
              </w:rPr>
              <w:t>, zimnice, bolesti hlavy, vyrážky na koži (</w:t>
            </w:r>
            <w:proofErr w:type="spellStart"/>
            <w:r w:rsidR="00477896" w:rsidRPr="00477896">
              <w:rPr>
                <w:sz w:val="22"/>
                <w:szCs w:val="22"/>
              </w:rPr>
              <w:t>erytematózn</w:t>
            </w:r>
            <w:r>
              <w:rPr>
                <w:sz w:val="22"/>
                <w:szCs w:val="22"/>
              </w:rPr>
              <w:t>e</w:t>
            </w:r>
            <w:r w:rsidR="004B549C">
              <w:rPr>
                <w:sz w:val="22"/>
                <w:szCs w:val="22"/>
              </w:rPr>
              <w:t>j</w:t>
            </w:r>
            <w:proofErr w:type="spellEnd"/>
            <w:r w:rsidR="00477896" w:rsidRPr="00477896">
              <w:rPr>
                <w:sz w:val="22"/>
                <w:szCs w:val="22"/>
              </w:rPr>
              <w:t xml:space="preserve">, </w:t>
            </w:r>
            <w:proofErr w:type="spellStart"/>
            <w:r w:rsidR="00477896" w:rsidRPr="00477896">
              <w:rPr>
                <w:sz w:val="22"/>
                <w:szCs w:val="22"/>
              </w:rPr>
              <w:t>papulárn</w:t>
            </w:r>
            <w:r>
              <w:rPr>
                <w:sz w:val="22"/>
                <w:szCs w:val="22"/>
              </w:rPr>
              <w:t>ej</w:t>
            </w:r>
            <w:proofErr w:type="spellEnd"/>
            <w:r w:rsidR="00477896" w:rsidRPr="00477896">
              <w:rPr>
                <w:sz w:val="22"/>
                <w:szCs w:val="22"/>
              </w:rPr>
              <w:t xml:space="preserve">, </w:t>
            </w:r>
            <w:proofErr w:type="spellStart"/>
            <w:r w:rsidR="00477896" w:rsidRPr="00477896">
              <w:rPr>
                <w:sz w:val="22"/>
                <w:szCs w:val="22"/>
              </w:rPr>
              <w:t>pustulárn</w:t>
            </w:r>
            <w:r>
              <w:rPr>
                <w:sz w:val="22"/>
                <w:szCs w:val="22"/>
              </w:rPr>
              <w:t>ej</w:t>
            </w:r>
            <w:proofErr w:type="spellEnd"/>
            <w:r w:rsidR="00477896" w:rsidRPr="00477896">
              <w:rPr>
                <w:sz w:val="22"/>
                <w:szCs w:val="22"/>
              </w:rPr>
              <w:t xml:space="preserve">, </w:t>
            </w:r>
            <w:proofErr w:type="spellStart"/>
            <w:r w:rsidR="00477896" w:rsidRPr="00477896">
              <w:rPr>
                <w:sz w:val="22"/>
                <w:szCs w:val="22"/>
              </w:rPr>
              <w:t>makulárn</w:t>
            </w:r>
            <w:r>
              <w:rPr>
                <w:sz w:val="22"/>
                <w:szCs w:val="22"/>
              </w:rPr>
              <w:t>ej</w:t>
            </w:r>
            <w:proofErr w:type="spellEnd"/>
            <w:r w:rsidR="00477896" w:rsidRPr="00477896">
              <w:rPr>
                <w:sz w:val="22"/>
                <w:szCs w:val="22"/>
              </w:rPr>
              <w:t>, generalizovan</w:t>
            </w:r>
            <w:r>
              <w:rPr>
                <w:sz w:val="22"/>
                <w:szCs w:val="22"/>
              </w:rPr>
              <w:t>ej</w:t>
            </w:r>
            <w:r w:rsidR="00477896" w:rsidRPr="00477896">
              <w:rPr>
                <w:sz w:val="22"/>
                <w:szCs w:val="22"/>
              </w:rPr>
              <w:t>), svrbeni</w:t>
            </w:r>
            <w:r w:rsidR="00477896">
              <w:rPr>
                <w:sz w:val="22"/>
                <w:szCs w:val="22"/>
              </w:rPr>
              <w:t>a</w:t>
            </w:r>
            <w:r w:rsidR="00477896" w:rsidRPr="00477896">
              <w:rPr>
                <w:sz w:val="22"/>
                <w:szCs w:val="22"/>
              </w:rPr>
              <w:t>, nával</w:t>
            </w:r>
            <w:r w:rsidR="00477896">
              <w:rPr>
                <w:sz w:val="22"/>
                <w:szCs w:val="22"/>
              </w:rPr>
              <w:t>ov</w:t>
            </w:r>
            <w:r w:rsidR="00477896" w:rsidRPr="00477896">
              <w:rPr>
                <w:sz w:val="22"/>
                <w:szCs w:val="22"/>
              </w:rPr>
              <w:t xml:space="preserve"> horúčavy, </w:t>
            </w:r>
            <w:proofErr w:type="spellStart"/>
            <w:r w:rsidR="00477896" w:rsidRPr="00477896">
              <w:rPr>
                <w:sz w:val="22"/>
                <w:szCs w:val="22"/>
              </w:rPr>
              <w:t>dyspnoe</w:t>
            </w:r>
            <w:proofErr w:type="spellEnd"/>
          </w:p>
        </w:tc>
        <w:tc>
          <w:tcPr>
            <w:tcW w:w="1735" w:type="dxa"/>
            <w:tcBorders>
              <w:bottom w:val="single" w:sz="6" w:space="0" w:color="000000"/>
            </w:tcBorders>
            <w:shd w:val="clear" w:color="auto" w:fill="auto"/>
          </w:tcPr>
          <w:p w14:paraId="4D57CDF0" w14:textId="4E5EE5BF" w:rsidR="00477896" w:rsidRPr="002F3A72" w:rsidRDefault="007A2549" w:rsidP="00424E03">
            <w:pPr>
              <w:pStyle w:val="TableCenter"/>
              <w:keepNext/>
              <w:keepLines/>
              <w:spacing w:before="0" w:after="0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</w:t>
            </w:r>
            <w:r w:rsidR="00477896" w:rsidRPr="00CF4824">
              <w:rPr>
                <w:sz w:val="22"/>
                <w:szCs w:val="22"/>
              </w:rPr>
              <w:t>eznáme</w:t>
            </w:r>
            <w:r w:rsidR="00477896" w:rsidRPr="004A2946">
              <w:rPr>
                <w:sz w:val="22"/>
                <w:szCs w:val="22"/>
                <w:vertAlign w:val="superscript"/>
              </w:rPr>
              <w:fldChar w:fldCharType="begin"/>
            </w:r>
            <w:r w:rsidR="00477896" w:rsidRPr="00CF4824">
              <w:rPr>
                <w:sz w:val="22"/>
                <w:szCs w:val="22"/>
                <w:vertAlign w:val="superscript"/>
              </w:rPr>
              <w:instrText xml:space="preserve"> REF _Ref496532396 \r \h  \* MERGEFORMAT </w:instrText>
            </w:r>
            <w:r w:rsidR="00477896" w:rsidRPr="004A2946">
              <w:rPr>
                <w:sz w:val="22"/>
                <w:szCs w:val="22"/>
                <w:vertAlign w:val="superscript"/>
              </w:rPr>
            </w:r>
            <w:r w:rsidR="00477896" w:rsidRPr="004A2946">
              <w:rPr>
                <w:sz w:val="22"/>
                <w:szCs w:val="22"/>
                <w:vertAlign w:val="superscript"/>
              </w:rPr>
              <w:fldChar w:fldCharType="separate"/>
            </w:r>
            <w:r w:rsidR="00477896">
              <w:rPr>
                <w:sz w:val="22"/>
                <w:szCs w:val="22"/>
                <w:vertAlign w:val="superscript"/>
              </w:rPr>
              <w:t>b</w:t>
            </w:r>
            <w:proofErr w:type="spellEnd"/>
            <w:r w:rsidR="00477896" w:rsidRPr="004A2946">
              <w:rPr>
                <w:sz w:val="22"/>
                <w:szCs w:val="22"/>
              </w:rPr>
              <w:fldChar w:fldCharType="end"/>
            </w:r>
          </w:p>
        </w:tc>
      </w:tr>
      <w:tr w:rsidR="000844B0" w:rsidRPr="00CF4824" w14:paraId="4F84635A" w14:textId="77777777" w:rsidTr="00424E03">
        <w:trPr>
          <w:jc w:val="center"/>
        </w:trPr>
        <w:tc>
          <w:tcPr>
            <w:tcW w:w="3095" w:type="dxa"/>
            <w:tcBorders>
              <w:bottom w:val="single" w:sz="6" w:space="0" w:color="000000"/>
            </w:tcBorders>
            <w:shd w:val="clear" w:color="auto" w:fill="auto"/>
          </w:tcPr>
          <w:p w14:paraId="3EA74E37" w14:textId="65F25242" w:rsidR="000844B0" w:rsidRPr="00424E03" w:rsidRDefault="000844B0" w:rsidP="007A2549">
            <w:pPr>
              <w:pStyle w:val="TableLeft"/>
              <w:spacing w:before="0" w:after="0"/>
              <w:rPr>
                <w:b/>
                <w:sz w:val="22"/>
                <w:szCs w:val="22"/>
              </w:rPr>
            </w:pPr>
            <w:r w:rsidRPr="00424E03">
              <w:rPr>
                <w:b/>
                <w:sz w:val="22"/>
                <w:szCs w:val="22"/>
              </w:rPr>
              <w:t>Poruchy srdca a srdcovej činnosti</w:t>
            </w:r>
          </w:p>
        </w:tc>
        <w:tc>
          <w:tcPr>
            <w:tcW w:w="4457" w:type="dxa"/>
            <w:tcBorders>
              <w:bottom w:val="single" w:sz="6" w:space="0" w:color="000000"/>
            </w:tcBorders>
            <w:shd w:val="clear" w:color="auto" w:fill="auto"/>
          </w:tcPr>
          <w:p w14:paraId="33707444" w14:textId="34F0620B" w:rsidR="000844B0" w:rsidRPr="00CF4824" w:rsidRDefault="007A2549" w:rsidP="00424E03">
            <w:pPr>
              <w:pStyle w:val="TableCenter"/>
              <w:spacing w:before="0" w:after="0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</w:t>
            </w:r>
            <w:r w:rsidR="000844B0" w:rsidRPr="00CF4824">
              <w:rPr>
                <w:sz w:val="22"/>
                <w:szCs w:val="22"/>
              </w:rPr>
              <w:t>achykardia</w:t>
            </w:r>
            <w:proofErr w:type="spellEnd"/>
          </w:p>
        </w:tc>
        <w:tc>
          <w:tcPr>
            <w:tcW w:w="1735" w:type="dxa"/>
            <w:tcBorders>
              <w:bottom w:val="single" w:sz="6" w:space="0" w:color="000000"/>
            </w:tcBorders>
            <w:shd w:val="clear" w:color="auto" w:fill="auto"/>
          </w:tcPr>
          <w:p w14:paraId="7C2917D6" w14:textId="04EE17AB" w:rsidR="000844B0" w:rsidRPr="002F3A72" w:rsidRDefault="007A2549" w:rsidP="00424E03">
            <w:pPr>
              <w:pStyle w:val="TableCenter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</w:t>
            </w:r>
            <w:r w:rsidR="000844B0" w:rsidRPr="002F3A72">
              <w:rPr>
                <w:sz w:val="22"/>
                <w:szCs w:val="22"/>
              </w:rPr>
              <w:t>asté</w:t>
            </w:r>
          </w:p>
        </w:tc>
      </w:tr>
      <w:tr w:rsidR="000844B0" w:rsidRPr="00CF4824" w14:paraId="08536055" w14:textId="77777777" w:rsidTr="00424E03">
        <w:trPr>
          <w:jc w:val="center"/>
        </w:trPr>
        <w:tc>
          <w:tcPr>
            <w:tcW w:w="3095" w:type="dxa"/>
            <w:vMerge w:val="restart"/>
            <w:shd w:val="clear" w:color="auto" w:fill="auto"/>
          </w:tcPr>
          <w:p w14:paraId="52BE96B9" w14:textId="3D0E9C2A" w:rsidR="000844B0" w:rsidRPr="00424E03" w:rsidRDefault="000844B0" w:rsidP="0090634C">
            <w:pPr>
              <w:pStyle w:val="TableLeft"/>
              <w:spacing w:before="0" w:after="0"/>
              <w:rPr>
                <w:b/>
                <w:sz w:val="22"/>
                <w:szCs w:val="22"/>
              </w:rPr>
            </w:pPr>
            <w:r w:rsidRPr="00424E03">
              <w:rPr>
                <w:b/>
                <w:sz w:val="22"/>
                <w:szCs w:val="22"/>
              </w:rPr>
              <w:t>Poruchy metabolizmu a</w:t>
            </w:r>
            <w:r w:rsidR="002D6002">
              <w:rPr>
                <w:b/>
                <w:sz w:val="22"/>
                <w:szCs w:val="22"/>
              </w:rPr>
              <w:t> </w:t>
            </w:r>
            <w:r w:rsidRPr="00424E03">
              <w:rPr>
                <w:b/>
                <w:sz w:val="22"/>
                <w:szCs w:val="22"/>
              </w:rPr>
              <w:t>výživy</w:t>
            </w:r>
          </w:p>
        </w:tc>
        <w:tc>
          <w:tcPr>
            <w:tcW w:w="4457" w:type="dxa"/>
            <w:tcBorders>
              <w:bottom w:val="single" w:sz="6" w:space="0" w:color="000000"/>
            </w:tcBorders>
            <w:shd w:val="clear" w:color="auto" w:fill="auto"/>
          </w:tcPr>
          <w:p w14:paraId="74A923A0" w14:textId="7489D511" w:rsidR="000844B0" w:rsidRPr="00CF4824" w:rsidRDefault="007A2549" w:rsidP="00424E03">
            <w:pPr>
              <w:pStyle w:val="TableCenter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="00ED78CD">
              <w:rPr>
                <w:sz w:val="22"/>
                <w:szCs w:val="22"/>
              </w:rPr>
              <w:t>nížená chuť</w:t>
            </w:r>
            <w:r w:rsidR="000844B0" w:rsidRPr="00CF4824">
              <w:rPr>
                <w:sz w:val="22"/>
                <w:szCs w:val="22"/>
              </w:rPr>
              <w:t xml:space="preserve"> do jedla</w:t>
            </w:r>
          </w:p>
        </w:tc>
        <w:tc>
          <w:tcPr>
            <w:tcW w:w="1735" w:type="dxa"/>
            <w:tcBorders>
              <w:bottom w:val="single" w:sz="6" w:space="0" w:color="000000"/>
            </w:tcBorders>
            <w:shd w:val="clear" w:color="auto" w:fill="auto"/>
          </w:tcPr>
          <w:p w14:paraId="17C8AAF6" w14:textId="66BFD6E6" w:rsidR="000844B0" w:rsidRPr="002F3A72" w:rsidRDefault="007A2549" w:rsidP="00424E03">
            <w:pPr>
              <w:pStyle w:val="TableCenter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</w:t>
            </w:r>
            <w:r w:rsidR="000844B0" w:rsidRPr="002F3A72">
              <w:rPr>
                <w:sz w:val="22"/>
                <w:szCs w:val="22"/>
              </w:rPr>
              <w:t>asté</w:t>
            </w:r>
          </w:p>
        </w:tc>
      </w:tr>
      <w:tr w:rsidR="000844B0" w:rsidRPr="00CF4824" w14:paraId="4B1C216E" w14:textId="77777777" w:rsidTr="00424E03">
        <w:trPr>
          <w:jc w:val="center"/>
        </w:trPr>
        <w:tc>
          <w:tcPr>
            <w:tcW w:w="3095" w:type="dxa"/>
            <w:vMerge/>
            <w:tcBorders>
              <w:bottom w:val="single" w:sz="6" w:space="0" w:color="000000"/>
            </w:tcBorders>
            <w:shd w:val="clear" w:color="auto" w:fill="auto"/>
          </w:tcPr>
          <w:p w14:paraId="51CA97F3" w14:textId="77777777" w:rsidR="000844B0" w:rsidRPr="00CF4824" w:rsidRDefault="000844B0">
            <w:pPr>
              <w:pStyle w:val="TableLeft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4457" w:type="dxa"/>
            <w:tcBorders>
              <w:bottom w:val="single" w:sz="6" w:space="0" w:color="000000"/>
            </w:tcBorders>
            <w:shd w:val="clear" w:color="auto" w:fill="auto"/>
          </w:tcPr>
          <w:p w14:paraId="64341F1D" w14:textId="7AA453B4" w:rsidR="000844B0" w:rsidRPr="00CF4824" w:rsidRDefault="007A2549" w:rsidP="00424E03">
            <w:pPr>
              <w:pStyle w:val="TableCenter"/>
              <w:spacing w:before="0" w:after="0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</w:t>
            </w:r>
            <w:r w:rsidR="000844B0" w:rsidRPr="00CF4824">
              <w:rPr>
                <w:sz w:val="22"/>
                <w:szCs w:val="22"/>
              </w:rPr>
              <w:t>ypertri</w:t>
            </w:r>
            <w:r>
              <w:rPr>
                <w:sz w:val="22"/>
                <w:szCs w:val="22"/>
              </w:rPr>
              <w:t>acyl</w:t>
            </w:r>
            <w:r w:rsidR="000844B0" w:rsidRPr="00CF4824">
              <w:rPr>
                <w:sz w:val="22"/>
                <w:szCs w:val="22"/>
              </w:rPr>
              <w:t>glycer</w:t>
            </w:r>
            <w:r>
              <w:rPr>
                <w:sz w:val="22"/>
                <w:szCs w:val="22"/>
              </w:rPr>
              <w:t>ol</w:t>
            </w:r>
            <w:r w:rsidR="000844B0" w:rsidRPr="00CF4824">
              <w:rPr>
                <w:sz w:val="22"/>
                <w:szCs w:val="22"/>
              </w:rPr>
              <w:t>émia</w:t>
            </w:r>
            <w:proofErr w:type="spellEnd"/>
          </w:p>
        </w:tc>
        <w:tc>
          <w:tcPr>
            <w:tcW w:w="1735" w:type="dxa"/>
            <w:tcBorders>
              <w:bottom w:val="single" w:sz="6" w:space="0" w:color="000000"/>
            </w:tcBorders>
            <w:shd w:val="clear" w:color="auto" w:fill="auto"/>
          </w:tcPr>
          <w:p w14:paraId="3E9A9392" w14:textId="0D2C138F" w:rsidR="000844B0" w:rsidRPr="00CF4824" w:rsidRDefault="007A2549" w:rsidP="00424E03">
            <w:pPr>
              <w:pStyle w:val="TableCenter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</w:t>
            </w:r>
            <w:r w:rsidR="000844B0" w:rsidRPr="00CF4824">
              <w:rPr>
                <w:sz w:val="22"/>
                <w:szCs w:val="22"/>
              </w:rPr>
              <w:t>asté</w:t>
            </w:r>
          </w:p>
        </w:tc>
      </w:tr>
      <w:tr w:rsidR="002D6002" w:rsidRPr="00CF4824" w14:paraId="3C7045EC" w14:textId="77777777" w:rsidTr="002D6002">
        <w:trPr>
          <w:jc w:val="center"/>
        </w:trPr>
        <w:tc>
          <w:tcPr>
            <w:tcW w:w="3095" w:type="dxa"/>
            <w:vMerge w:val="restart"/>
            <w:shd w:val="clear" w:color="auto" w:fill="auto"/>
          </w:tcPr>
          <w:p w14:paraId="7DB4EE2F" w14:textId="16758C50" w:rsidR="002D6002" w:rsidRPr="00424E03" w:rsidRDefault="002D6002" w:rsidP="007A2549">
            <w:pPr>
              <w:pStyle w:val="TableLeft"/>
              <w:spacing w:before="0" w:after="0"/>
              <w:rPr>
                <w:b/>
                <w:sz w:val="22"/>
                <w:szCs w:val="22"/>
              </w:rPr>
            </w:pPr>
            <w:r w:rsidRPr="00424E03">
              <w:rPr>
                <w:b/>
                <w:sz w:val="22"/>
                <w:szCs w:val="22"/>
              </w:rPr>
              <w:t xml:space="preserve">Poruchy </w:t>
            </w:r>
            <w:proofErr w:type="spellStart"/>
            <w:r w:rsidRPr="00424E03">
              <w:rPr>
                <w:b/>
                <w:sz w:val="22"/>
                <w:szCs w:val="22"/>
              </w:rPr>
              <w:t>gastrointestinálneho</w:t>
            </w:r>
            <w:proofErr w:type="spellEnd"/>
            <w:r w:rsidRPr="00424E03">
              <w:rPr>
                <w:b/>
                <w:sz w:val="22"/>
                <w:szCs w:val="22"/>
              </w:rPr>
              <w:t xml:space="preserve"> traktu</w:t>
            </w:r>
          </w:p>
        </w:tc>
        <w:tc>
          <w:tcPr>
            <w:tcW w:w="4457" w:type="dxa"/>
            <w:tcBorders>
              <w:bottom w:val="single" w:sz="6" w:space="0" w:color="000000"/>
            </w:tcBorders>
            <w:shd w:val="clear" w:color="auto" w:fill="auto"/>
          </w:tcPr>
          <w:p w14:paraId="21227298" w14:textId="6EF70F77" w:rsidR="002D6002" w:rsidRPr="00CF4824" w:rsidRDefault="002D6002" w:rsidP="00424E03">
            <w:pPr>
              <w:pStyle w:val="TableCenter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Pr="00CF4824">
              <w:rPr>
                <w:sz w:val="22"/>
                <w:szCs w:val="22"/>
              </w:rPr>
              <w:t>olesť brucha</w:t>
            </w:r>
          </w:p>
        </w:tc>
        <w:tc>
          <w:tcPr>
            <w:tcW w:w="1735" w:type="dxa"/>
            <w:tcBorders>
              <w:bottom w:val="single" w:sz="6" w:space="0" w:color="000000"/>
            </w:tcBorders>
            <w:shd w:val="clear" w:color="auto" w:fill="auto"/>
          </w:tcPr>
          <w:p w14:paraId="4192EBE3" w14:textId="1719431E" w:rsidR="002D6002" w:rsidRPr="002F3A72" w:rsidRDefault="002D6002" w:rsidP="00424E03">
            <w:pPr>
              <w:pStyle w:val="TableCenter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</w:t>
            </w:r>
            <w:r w:rsidRPr="002F3A72">
              <w:rPr>
                <w:sz w:val="22"/>
                <w:szCs w:val="22"/>
              </w:rPr>
              <w:t>asté</w:t>
            </w:r>
          </w:p>
        </w:tc>
      </w:tr>
      <w:tr w:rsidR="002D6002" w:rsidRPr="00CF4824" w14:paraId="09BF1C49" w14:textId="77777777" w:rsidTr="002D6002">
        <w:trPr>
          <w:jc w:val="center"/>
        </w:trPr>
        <w:tc>
          <w:tcPr>
            <w:tcW w:w="3095" w:type="dxa"/>
            <w:vMerge/>
            <w:shd w:val="clear" w:color="auto" w:fill="auto"/>
          </w:tcPr>
          <w:p w14:paraId="149592D7" w14:textId="77777777" w:rsidR="002D6002" w:rsidRPr="00CF4824" w:rsidRDefault="002D6002">
            <w:pPr>
              <w:pStyle w:val="TableLeft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4457" w:type="dxa"/>
            <w:tcBorders>
              <w:bottom w:val="single" w:sz="6" w:space="0" w:color="000000"/>
            </w:tcBorders>
            <w:shd w:val="clear" w:color="auto" w:fill="auto"/>
          </w:tcPr>
          <w:p w14:paraId="492F10B4" w14:textId="3F30852E" w:rsidR="002D6002" w:rsidRPr="00CF4824" w:rsidRDefault="002D6002" w:rsidP="00424E03">
            <w:pPr>
              <w:pStyle w:val="TableCenter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</w:t>
            </w:r>
            <w:r w:rsidRPr="00CF4824">
              <w:rPr>
                <w:sz w:val="22"/>
                <w:szCs w:val="22"/>
              </w:rPr>
              <w:t>načka</w:t>
            </w:r>
          </w:p>
        </w:tc>
        <w:tc>
          <w:tcPr>
            <w:tcW w:w="1735" w:type="dxa"/>
            <w:tcBorders>
              <w:bottom w:val="single" w:sz="6" w:space="0" w:color="000000"/>
            </w:tcBorders>
            <w:shd w:val="clear" w:color="auto" w:fill="auto"/>
          </w:tcPr>
          <w:p w14:paraId="2DA0B7FC" w14:textId="437200CA" w:rsidR="002D6002" w:rsidRPr="00CF4824" w:rsidRDefault="002D6002" w:rsidP="00424E03">
            <w:pPr>
              <w:pStyle w:val="TableCenter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</w:t>
            </w:r>
            <w:r w:rsidRPr="00CF4824">
              <w:rPr>
                <w:sz w:val="22"/>
                <w:szCs w:val="22"/>
              </w:rPr>
              <w:t>asté</w:t>
            </w:r>
          </w:p>
        </w:tc>
      </w:tr>
      <w:tr w:rsidR="002D6002" w:rsidRPr="00CF4824" w14:paraId="7E713B7B" w14:textId="77777777" w:rsidTr="002D6002">
        <w:trPr>
          <w:jc w:val="center"/>
        </w:trPr>
        <w:tc>
          <w:tcPr>
            <w:tcW w:w="3095" w:type="dxa"/>
            <w:vMerge/>
            <w:shd w:val="clear" w:color="auto" w:fill="auto"/>
          </w:tcPr>
          <w:p w14:paraId="5F0ACAE7" w14:textId="77777777" w:rsidR="002D6002" w:rsidRPr="00CF4824" w:rsidRDefault="002D6002">
            <w:pPr>
              <w:pStyle w:val="TableLeft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4457" w:type="dxa"/>
            <w:tcBorders>
              <w:bottom w:val="single" w:sz="6" w:space="0" w:color="000000"/>
            </w:tcBorders>
            <w:shd w:val="clear" w:color="auto" w:fill="auto"/>
          </w:tcPr>
          <w:p w14:paraId="3C16EAB1" w14:textId="07951F60" w:rsidR="002D6002" w:rsidRPr="00CF4824" w:rsidRDefault="002D6002" w:rsidP="00424E03">
            <w:pPr>
              <w:pStyle w:val="TableCenter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CF4824">
              <w:rPr>
                <w:sz w:val="22"/>
                <w:szCs w:val="22"/>
              </w:rPr>
              <w:t>evoľnosť</w:t>
            </w:r>
          </w:p>
        </w:tc>
        <w:tc>
          <w:tcPr>
            <w:tcW w:w="1735" w:type="dxa"/>
            <w:tcBorders>
              <w:bottom w:val="single" w:sz="6" w:space="0" w:color="000000"/>
            </w:tcBorders>
            <w:shd w:val="clear" w:color="auto" w:fill="auto"/>
          </w:tcPr>
          <w:p w14:paraId="56365BEB" w14:textId="7EE15F1E" w:rsidR="002D6002" w:rsidRPr="00CF4824" w:rsidRDefault="002D6002" w:rsidP="00424E03">
            <w:pPr>
              <w:pStyle w:val="TableCenter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</w:t>
            </w:r>
            <w:r w:rsidRPr="00CF4824">
              <w:rPr>
                <w:sz w:val="22"/>
                <w:szCs w:val="22"/>
              </w:rPr>
              <w:t>asté</w:t>
            </w:r>
          </w:p>
        </w:tc>
      </w:tr>
      <w:tr w:rsidR="002D6002" w:rsidRPr="00CF4824" w14:paraId="484FDAAA" w14:textId="77777777" w:rsidTr="002D6002">
        <w:trPr>
          <w:jc w:val="center"/>
        </w:trPr>
        <w:tc>
          <w:tcPr>
            <w:tcW w:w="3095" w:type="dxa"/>
            <w:vMerge/>
            <w:tcBorders>
              <w:bottom w:val="single" w:sz="6" w:space="0" w:color="000000"/>
            </w:tcBorders>
            <w:shd w:val="clear" w:color="auto" w:fill="auto"/>
          </w:tcPr>
          <w:p w14:paraId="428DD00A" w14:textId="77777777" w:rsidR="002D6002" w:rsidRPr="006D6AFA" w:rsidRDefault="002D6002" w:rsidP="007A2549">
            <w:pPr>
              <w:pStyle w:val="TableLeft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4457" w:type="dxa"/>
            <w:tcBorders>
              <w:bottom w:val="single" w:sz="6" w:space="0" w:color="000000"/>
            </w:tcBorders>
            <w:shd w:val="clear" w:color="auto" w:fill="auto"/>
          </w:tcPr>
          <w:p w14:paraId="5572D71D" w14:textId="19E92D2D" w:rsidR="002D6002" w:rsidRDefault="002D6002">
            <w:pPr>
              <w:pStyle w:val="TableCenter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vracanie</w:t>
            </w:r>
          </w:p>
        </w:tc>
        <w:tc>
          <w:tcPr>
            <w:tcW w:w="1735" w:type="dxa"/>
            <w:tcBorders>
              <w:bottom w:val="single" w:sz="6" w:space="0" w:color="000000"/>
            </w:tcBorders>
            <w:shd w:val="clear" w:color="auto" w:fill="auto"/>
          </w:tcPr>
          <w:p w14:paraId="31B35851" w14:textId="5DE8EA1B" w:rsidR="002D6002" w:rsidRDefault="002D6002">
            <w:pPr>
              <w:pStyle w:val="TableCenter"/>
              <w:spacing w:before="0" w:after="0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</w:t>
            </w:r>
            <w:r w:rsidRPr="00CF4824">
              <w:rPr>
                <w:sz w:val="22"/>
                <w:szCs w:val="22"/>
              </w:rPr>
              <w:t>eznáme</w:t>
            </w:r>
            <w:r w:rsidRPr="004A2946">
              <w:rPr>
                <w:sz w:val="22"/>
                <w:szCs w:val="22"/>
                <w:vertAlign w:val="superscript"/>
              </w:rPr>
              <w:fldChar w:fldCharType="begin"/>
            </w:r>
            <w:r w:rsidRPr="00CF4824">
              <w:rPr>
                <w:sz w:val="22"/>
                <w:szCs w:val="22"/>
                <w:vertAlign w:val="superscript"/>
              </w:rPr>
              <w:instrText xml:space="preserve"> REF _Ref496532396 \r \h  \* MERGEFORMAT </w:instrText>
            </w:r>
            <w:r w:rsidRPr="004A2946">
              <w:rPr>
                <w:sz w:val="22"/>
                <w:szCs w:val="22"/>
                <w:vertAlign w:val="superscript"/>
              </w:rPr>
            </w:r>
            <w:r w:rsidRPr="004A2946">
              <w:rPr>
                <w:sz w:val="22"/>
                <w:szCs w:val="22"/>
                <w:vertAlign w:val="superscript"/>
              </w:rPr>
              <w:fldChar w:fldCharType="separate"/>
            </w:r>
            <w:r>
              <w:rPr>
                <w:sz w:val="22"/>
                <w:szCs w:val="22"/>
                <w:vertAlign w:val="superscript"/>
              </w:rPr>
              <w:t>b</w:t>
            </w:r>
            <w:proofErr w:type="spellEnd"/>
            <w:r w:rsidRPr="004A2946">
              <w:rPr>
                <w:sz w:val="22"/>
                <w:szCs w:val="22"/>
              </w:rPr>
              <w:fldChar w:fldCharType="end"/>
            </w:r>
          </w:p>
        </w:tc>
      </w:tr>
      <w:tr w:rsidR="000844B0" w:rsidRPr="00CF4824" w14:paraId="5FEBDAAB" w14:textId="77777777" w:rsidTr="00424E03">
        <w:trPr>
          <w:jc w:val="center"/>
        </w:trPr>
        <w:tc>
          <w:tcPr>
            <w:tcW w:w="3095" w:type="dxa"/>
            <w:tcBorders>
              <w:bottom w:val="single" w:sz="6" w:space="0" w:color="000000"/>
            </w:tcBorders>
            <w:shd w:val="clear" w:color="auto" w:fill="auto"/>
          </w:tcPr>
          <w:p w14:paraId="5FA2F565" w14:textId="662030B6" w:rsidR="000844B0" w:rsidRPr="00424E03" w:rsidRDefault="000844B0" w:rsidP="007A2549">
            <w:pPr>
              <w:pStyle w:val="TableLeft"/>
              <w:spacing w:before="0" w:after="0"/>
              <w:rPr>
                <w:b/>
                <w:sz w:val="22"/>
                <w:szCs w:val="22"/>
              </w:rPr>
            </w:pPr>
            <w:r w:rsidRPr="00424E03">
              <w:rPr>
                <w:b/>
                <w:sz w:val="22"/>
                <w:szCs w:val="22"/>
              </w:rPr>
              <w:t>Poruchy ciev</w:t>
            </w:r>
          </w:p>
        </w:tc>
        <w:tc>
          <w:tcPr>
            <w:tcW w:w="4457" w:type="dxa"/>
            <w:tcBorders>
              <w:bottom w:val="single" w:sz="6" w:space="0" w:color="000000"/>
            </w:tcBorders>
            <w:shd w:val="clear" w:color="auto" w:fill="auto"/>
          </w:tcPr>
          <w:p w14:paraId="09AD1A4E" w14:textId="270AF969" w:rsidR="000844B0" w:rsidRPr="00CF4824" w:rsidRDefault="007A2549" w:rsidP="00424E03">
            <w:pPr>
              <w:pStyle w:val="TableCenter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</w:t>
            </w:r>
            <w:r w:rsidR="000844B0" w:rsidRPr="00CF4824">
              <w:rPr>
                <w:sz w:val="22"/>
                <w:szCs w:val="22"/>
              </w:rPr>
              <w:t>ypertenzia</w:t>
            </w:r>
          </w:p>
        </w:tc>
        <w:tc>
          <w:tcPr>
            <w:tcW w:w="1735" w:type="dxa"/>
            <w:tcBorders>
              <w:bottom w:val="single" w:sz="6" w:space="0" w:color="000000"/>
            </w:tcBorders>
            <w:shd w:val="clear" w:color="auto" w:fill="auto"/>
          </w:tcPr>
          <w:p w14:paraId="50D6EA6B" w14:textId="6B0F0031" w:rsidR="000844B0" w:rsidRPr="002F3A72" w:rsidRDefault="007A2549" w:rsidP="00424E03">
            <w:pPr>
              <w:pStyle w:val="TableCenter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</w:t>
            </w:r>
            <w:r w:rsidR="000844B0" w:rsidRPr="002F3A72">
              <w:rPr>
                <w:sz w:val="22"/>
                <w:szCs w:val="22"/>
              </w:rPr>
              <w:t>asté</w:t>
            </w:r>
          </w:p>
        </w:tc>
      </w:tr>
      <w:tr w:rsidR="000844B0" w:rsidRPr="00CF4824" w14:paraId="1B10EA5E" w14:textId="77777777" w:rsidTr="00424E03">
        <w:trPr>
          <w:jc w:val="center"/>
        </w:trPr>
        <w:tc>
          <w:tcPr>
            <w:tcW w:w="3095" w:type="dxa"/>
            <w:shd w:val="clear" w:color="auto" w:fill="auto"/>
          </w:tcPr>
          <w:p w14:paraId="1032C5C5" w14:textId="398749D8" w:rsidR="000844B0" w:rsidRPr="00424E03" w:rsidRDefault="000844B0" w:rsidP="0090634C">
            <w:pPr>
              <w:pStyle w:val="TableLeft"/>
              <w:spacing w:before="0" w:after="0"/>
              <w:rPr>
                <w:b/>
                <w:sz w:val="22"/>
                <w:szCs w:val="22"/>
              </w:rPr>
            </w:pPr>
            <w:r w:rsidRPr="00424E03">
              <w:rPr>
                <w:b/>
                <w:sz w:val="22"/>
                <w:szCs w:val="22"/>
              </w:rPr>
              <w:t>Celkové poruchy a reakcie v</w:t>
            </w:r>
            <w:r w:rsidR="002754F0">
              <w:rPr>
                <w:b/>
                <w:sz w:val="22"/>
                <w:szCs w:val="22"/>
              </w:rPr>
              <w:t> </w:t>
            </w:r>
            <w:r w:rsidRPr="00424E03">
              <w:rPr>
                <w:b/>
                <w:sz w:val="22"/>
                <w:szCs w:val="22"/>
              </w:rPr>
              <w:t>mieste podania</w:t>
            </w:r>
          </w:p>
        </w:tc>
        <w:tc>
          <w:tcPr>
            <w:tcW w:w="4457" w:type="dxa"/>
            <w:tcBorders>
              <w:bottom w:val="single" w:sz="6" w:space="0" w:color="000000"/>
            </w:tcBorders>
            <w:shd w:val="clear" w:color="auto" w:fill="auto"/>
          </w:tcPr>
          <w:p w14:paraId="06D9E013" w14:textId="1628A87B" w:rsidR="000844B0" w:rsidRPr="002F3A72" w:rsidRDefault="007A2549" w:rsidP="00424E03">
            <w:pPr>
              <w:pStyle w:val="TableCenter"/>
              <w:spacing w:before="0" w:after="0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</w:t>
            </w:r>
            <w:r w:rsidR="000844B0" w:rsidRPr="00CF4824">
              <w:rPr>
                <w:sz w:val="22"/>
                <w:szCs w:val="22"/>
              </w:rPr>
              <w:t>xtravazácia</w:t>
            </w:r>
            <w:proofErr w:type="spellEnd"/>
            <w:r w:rsidR="000844B0" w:rsidRPr="00CF4824">
              <w:rPr>
                <w:sz w:val="22"/>
                <w:szCs w:val="22"/>
              </w:rPr>
              <w:t xml:space="preserve">, ktorá môže v mieste podania spôsobiť: bolesť, podráždenie, opuch/edém, </w:t>
            </w:r>
            <w:proofErr w:type="spellStart"/>
            <w:r w:rsidR="000844B0" w:rsidRPr="00CF4824">
              <w:rPr>
                <w:sz w:val="22"/>
                <w:szCs w:val="22"/>
              </w:rPr>
              <w:t>erytém</w:t>
            </w:r>
            <w:proofErr w:type="spellEnd"/>
            <w:r w:rsidR="000844B0" w:rsidRPr="00CF4824">
              <w:rPr>
                <w:sz w:val="22"/>
                <w:szCs w:val="22"/>
              </w:rPr>
              <w:t xml:space="preserve">/teplo, kožnú </w:t>
            </w:r>
            <w:proofErr w:type="spellStart"/>
            <w:r w:rsidR="000844B0" w:rsidRPr="00CF4824">
              <w:rPr>
                <w:sz w:val="22"/>
                <w:szCs w:val="22"/>
              </w:rPr>
              <w:t>nekrózu</w:t>
            </w:r>
            <w:proofErr w:type="spellEnd"/>
            <w:r w:rsidR="000844B0" w:rsidRPr="00CF4824">
              <w:rPr>
                <w:sz w:val="22"/>
                <w:szCs w:val="22"/>
              </w:rPr>
              <w:t>, pľuzgiere/</w:t>
            </w:r>
            <w:proofErr w:type="spellStart"/>
            <w:r w:rsidR="000844B0" w:rsidRPr="00CF4824">
              <w:rPr>
                <w:sz w:val="22"/>
                <w:szCs w:val="22"/>
              </w:rPr>
              <w:t>v</w:t>
            </w:r>
            <w:r w:rsidR="00ED78CD">
              <w:rPr>
                <w:sz w:val="22"/>
                <w:szCs w:val="22"/>
              </w:rPr>
              <w:t>ezikuly</w:t>
            </w:r>
            <w:proofErr w:type="spellEnd"/>
            <w:r w:rsidR="000844B0" w:rsidRPr="00CF4824">
              <w:rPr>
                <w:sz w:val="22"/>
                <w:szCs w:val="22"/>
              </w:rPr>
              <w:t xml:space="preserve">, zápal, </w:t>
            </w:r>
            <w:r w:rsidR="00ED78CD">
              <w:rPr>
                <w:sz w:val="22"/>
                <w:szCs w:val="22"/>
              </w:rPr>
              <w:t>s</w:t>
            </w:r>
            <w:r w:rsidR="000844B0" w:rsidRPr="00CF4824">
              <w:rPr>
                <w:sz w:val="22"/>
                <w:szCs w:val="22"/>
              </w:rPr>
              <w:t>tvrdnutie tkaniv</w:t>
            </w:r>
            <w:r w:rsidR="000844B0" w:rsidRPr="002F3A72">
              <w:rPr>
                <w:sz w:val="22"/>
                <w:szCs w:val="22"/>
              </w:rPr>
              <w:t>a, napnutie kože</w:t>
            </w:r>
          </w:p>
        </w:tc>
        <w:tc>
          <w:tcPr>
            <w:tcW w:w="1735" w:type="dxa"/>
            <w:tcBorders>
              <w:bottom w:val="single" w:sz="6" w:space="0" w:color="000000"/>
            </w:tcBorders>
            <w:shd w:val="clear" w:color="auto" w:fill="auto"/>
          </w:tcPr>
          <w:p w14:paraId="6F75F3A5" w14:textId="30D43553" w:rsidR="000844B0" w:rsidRPr="00CF4824" w:rsidRDefault="007A2549" w:rsidP="00424E03">
            <w:pPr>
              <w:pStyle w:val="TableCenter"/>
              <w:spacing w:before="0" w:after="0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</w:t>
            </w:r>
            <w:r w:rsidR="000844B0" w:rsidRPr="00CF4824">
              <w:rPr>
                <w:sz w:val="22"/>
                <w:szCs w:val="22"/>
              </w:rPr>
              <w:t>eznáme</w:t>
            </w:r>
            <w:r w:rsidR="000844B0" w:rsidRPr="004A2946">
              <w:rPr>
                <w:sz w:val="22"/>
                <w:szCs w:val="22"/>
                <w:vertAlign w:val="superscript"/>
              </w:rPr>
              <w:fldChar w:fldCharType="begin"/>
            </w:r>
            <w:r w:rsidR="000844B0" w:rsidRPr="00CF4824">
              <w:rPr>
                <w:sz w:val="22"/>
                <w:szCs w:val="22"/>
                <w:vertAlign w:val="superscript"/>
              </w:rPr>
              <w:instrText xml:space="preserve"> REF _Ref496532396 \r \h  \* MERGEFORMAT </w:instrText>
            </w:r>
            <w:r w:rsidR="000844B0" w:rsidRPr="004A2946">
              <w:rPr>
                <w:sz w:val="22"/>
                <w:szCs w:val="22"/>
                <w:vertAlign w:val="superscript"/>
              </w:rPr>
            </w:r>
            <w:r w:rsidR="000844B0" w:rsidRPr="004A2946">
              <w:rPr>
                <w:sz w:val="22"/>
                <w:szCs w:val="22"/>
                <w:vertAlign w:val="superscript"/>
              </w:rPr>
              <w:fldChar w:fldCharType="separate"/>
            </w:r>
            <w:r w:rsidR="002F3A72">
              <w:rPr>
                <w:sz w:val="22"/>
                <w:szCs w:val="22"/>
                <w:vertAlign w:val="superscript"/>
              </w:rPr>
              <w:t>b</w:t>
            </w:r>
            <w:proofErr w:type="spellEnd"/>
            <w:r w:rsidR="000844B0" w:rsidRPr="004A2946">
              <w:rPr>
                <w:sz w:val="22"/>
                <w:szCs w:val="22"/>
              </w:rPr>
              <w:fldChar w:fldCharType="end"/>
            </w:r>
          </w:p>
        </w:tc>
      </w:tr>
      <w:tr w:rsidR="000844B0" w:rsidRPr="00CF4824" w14:paraId="20F3DA35" w14:textId="77777777" w:rsidTr="00424E03">
        <w:trPr>
          <w:jc w:val="center"/>
        </w:trPr>
        <w:tc>
          <w:tcPr>
            <w:tcW w:w="9287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63BD94D" w14:textId="401C8DC6" w:rsidR="000844B0" w:rsidRPr="00424E03" w:rsidRDefault="000844B0" w:rsidP="00D91F70">
            <w:pPr>
              <w:pStyle w:val="TableFootnoteLetter"/>
              <w:numPr>
                <w:ilvl w:val="0"/>
                <w:numId w:val="27"/>
              </w:numPr>
              <w:spacing w:before="0" w:after="0"/>
            </w:pPr>
            <w:bookmarkStart w:id="21" w:name="_Ref496532388"/>
            <w:r w:rsidRPr="00424E03">
              <w:t>Frekvencia je definovaná ako veľmi časté (≥ 1/10); časté (≥ 1/100 až &lt; 1/10); menej časté (≥ 1/1000 až &lt;</w:t>
            </w:r>
            <w:r w:rsidR="00C511B9">
              <w:t> </w:t>
            </w:r>
            <w:r w:rsidRPr="00424E03">
              <w:t>1/100); zriedkavé (≥ 1/10 000 až &lt; 1/1 000); veľmi zriedkavé (&lt; 1/10 000); alebo neznáme (nedá sa určiť z</w:t>
            </w:r>
            <w:r w:rsidR="001B09D2">
              <w:t> </w:t>
            </w:r>
            <w:r w:rsidRPr="00424E03">
              <w:t>dostupných údajov)</w:t>
            </w:r>
            <w:bookmarkEnd w:id="21"/>
          </w:p>
          <w:p w14:paraId="7A7CCDE6" w14:textId="2277C49E" w:rsidR="000844B0" w:rsidRPr="002F3A72" w:rsidRDefault="000844B0" w:rsidP="0090634C">
            <w:pPr>
              <w:pStyle w:val="TableFootnoteLetter"/>
              <w:numPr>
                <w:ilvl w:val="0"/>
                <w:numId w:val="27"/>
              </w:numPr>
              <w:spacing w:before="0" w:after="0"/>
              <w:rPr>
                <w:sz w:val="22"/>
                <w:szCs w:val="22"/>
              </w:rPr>
            </w:pPr>
            <w:bookmarkStart w:id="22" w:name="_Ref496532396"/>
            <w:r w:rsidRPr="00424E03">
              <w:t>Nežiaduce účinky OLIMEL</w:t>
            </w:r>
            <w:r w:rsidR="00FF186F">
              <w:t>U</w:t>
            </w:r>
            <w:r w:rsidRPr="00424E03">
              <w:t xml:space="preserve"> hlásené po </w:t>
            </w:r>
            <w:r w:rsidR="00D270EC" w:rsidRPr="00424E03">
              <w:t xml:space="preserve">jeho </w:t>
            </w:r>
            <w:r w:rsidRPr="00424E03">
              <w:t>uvedení na trh</w:t>
            </w:r>
            <w:bookmarkEnd w:id="22"/>
            <w:r w:rsidR="00C511B9">
              <w:t>.</w:t>
            </w:r>
          </w:p>
        </w:tc>
      </w:tr>
    </w:tbl>
    <w:p w14:paraId="43A5AC1E" w14:textId="77777777" w:rsidR="009E1DD5" w:rsidRPr="00CF4824" w:rsidRDefault="009E1DD5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4792A4FB" w14:textId="29F9EF50" w:rsidR="00F16973" w:rsidRPr="00CF4824" w:rsidRDefault="00F16973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>Nasled</w:t>
      </w:r>
      <w:r w:rsidR="007A2549">
        <w:rPr>
          <w:sz w:val="22"/>
          <w:szCs w:val="22"/>
        </w:rPr>
        <w:t>ujúce</w:t>
      </w:r>
      <w:r w:rsidRPr="00CF4824">
        <w:rPr>
          <w:sz w:val="22"/>
          <w:szCs w:val="22"/>
        </w:rPr>
        <w:t xml:space="preserve"> nežiaduce </w:t>
      </w:r>
      <w:r w:rsidR="007A2549">
        <w:rPr>
          <w:sz w:val="22"/>
          <w:szCs w:val="22"/>
        </w:rPr>
        <w:t>účinky (</w:t>
      </w:r>
      <w:proofErr w:type="spellStart"/>
      <w:r w:rsidR="007A2549">
        <w:rPr>
          <w:sz w:val="22"/>
          <w:szCs w:val="22"/>
        </w:rPr>
        <w:t>ADRs</w:t>
      </w:r>
      <w:proofErr w:type="spellEnd"/>
      <w:r w:rsidR="007A2549">
        <w:rPr>
          <w:sz w:val="22"/>
          <w:szCs w:val="22"/>
        </w:rPr>
        <w:t>)</w:t>
      </w:r>
      <w:r w:rsidRPr="00CF4824">
        <w:rPr>
          <w:sz w:val="22"/>
          <w:szCs w:val="22"/>
        </w:rPr>
        <w:t xml:space="preserve"> </w:t>
      </w:r>
      <w:r w:rsidR="007A2549">
        <w:rPr>
          <w:sz w:val="22"/>
          <w:szCs w:val="22"/>
        </w:rPr>
        <w:t xml:space="preserve">typické pre túto skupinu liekov </w:t>
      </w:r>
      <w:r w:rsidRPr="00CF4824">
        <w:rPr>
          <w:sz w:val="22"/>
          <w:szCs w:val="22"/>
        </w:rPr>
        <w:t>boli popísané v iných zdrojoch</w:t>
      </w:r>
      <w:r w:rsidR="007A2549">
        <w:rPr>
          <w:sz w:val="22"/>
          <w:szCs w:val="22"/>
        </w:rPr>
        <w:t>,</w:t>
      </w:r>
      <w:r w:rsidRPr="00CF4824">
        <w:rPr>
          <w:sz w:val="22"/>
          <w:szCs w:val="22"/>
        </w:rPr>
        <w:t xml:space="preserve"> v súvislosti s podobnými liekmi </w:t>
      </w:r>
      <w:r w:rsidR="007A2549">
        <w:rPr>
          <w:sz w:val="22"/>
          <w:szCs w:val="22"/>
        </w:rPr>
        <w:t xml:space="preserve">na </w:t>
      </w:r>
      <w:proofErr w:type="spellStart"/>
      <w:r w:rsidRPr="00CF4824">
        <w:rPr>
          <w:sz w:val="22"/>
          <w:szCs w:val="22"/>
        </w:rPr>
        <w:t>parenteráln</w:t>
      </w:r>
      <w:r w:rsidR="007A2549">
        <w:rPr>
          <w:sz w:val="22"/>
          <w:szCs w:val="22"/>
        </w:rPr>
        <w:t>u</w:t>
      </w:r>
      <w:proofErr w:type="spellEnd"/>
      <w:r w:rsidRPr="00CF4824">
        <w:rPr>
          <w:sz w:val="22"/>
          <w:szCs w:val="22"/>
        </w:rPr>
        <w:t xml:space="preserve"> výživ</w:t>
      </w:r>
      <w:r w:rsidR="007A2549">
        <w:rPr>
          <w:sz w:val="22"/>
          <w:szCs w:val="22"/>
        </w:rPr>
        <w:t>u</w:t>
      </w:r>
      <w:r w:rsidRPr="00CF4824">
        <w:rPr>
          <w:sz w:val="22"/>
          <w:szCs w:val="22"/>
        </w:rPr>
        <w:t xml:space="preserve">; frekvencia </w:t>
      </w:r>
      <w:r w:rsidR="00922B81">
        <w:rPr>
          <w:sz w:val="22"/>
          <w:szCs w:val="22"/>
        </w:rPr>
        <w:t xml:space="preserve">týchto udalostí </w:t>
      </w:r>
      <w:r w:rsidRPr="00CF4824">
        <w:rPr>
          <w:sz w:val="22"/>
          <w:szCs w:val="22"/>
        </w:rPr>
        <w:t>je neznáma.</w:t>
      </w:r>
    </w:p>
    <w:p w14:paraId="5FD01882" w14:textId="2A0E8FFB" w:rsidR="00F16973" w:rsidRPr="006C053F" w:rsidRDefault="00F16973" w:rsidP="00464A19">
      <w:pPr>
        <w:pStyle w:val="Zoznamsodrkami2"/>
        <w:tabs>
          <w:tab w:val="clear" w:pos="1080"/>
        </w:tabs>
        <w:spacing w:before="0" w:after="0" w:line="240" w:lineRule="auto"/>
        <w:ind w:left="567" w:hanging="567"/>
        <w:rPr>
          <w:sz w:val="22"/>
          <w:szCs w:val="22"/>
        </w:rPr>
      </w:pPr>
      <w:r w:rsidRPr="00424E03">
        <w:rPr>
          <w:b/>
          <w:sz w:val="22"/>
          <w:szCs w:val="22"/>
        </w:rPr>
        <w:t>Poruchy krvi a lymfatického systému</w:t>
      </w:r>
      <w:r w:rsidRPr="006C053F">
        <w:rPr>
          <w:sz w:val="22"/>
          <w:szCs w:val="22"/>
        </w:rPr>
        <w:t xml:space="preserve">: </w:t>
      </w:r>
      <w:proofErr w:type="spellStart"/>
      <w:r w:rsidRPr="006C053F">
        <w:rPr>
          <w:sz w:val="22"/>
          <w:szCs w:val="22"/>
        </w:rPr>
        <w:t>trombocytopénia</w:t>
      </w:r>
      <w:proofErr w:type="spellEnd"/>
      <w:r w:rsidR="007A2549">
        <w:rPr>
          <w:sz w:val="22"/>
          <w:szCs w:val="22"/>
        </w:rPr>
        <w:t>.</w:t>
      </w:r>
    </w:p>
    <w:p w14:paraId="4D491F93" w14:textId="0BB65126" w:rsidR="00F16973" w:rsidRPr="00CF4824" w:rsidRDefault="00F16973" w:rsidP="00464A19">
      <w:pPr>
        <w:pStyle w:val="Zoznamsodrkami2"/>
        <w:tabs>
          <w:tab w:val="clear" w:pos="1080"/>
        </w:tabs>
        <w:spacing w:before="0" w:after="0" w:line="240" w:lineRule="auto"/>
        <w:ind w:left="567" w:hanging="567"/>
        <w:rPr>
          <w:sz w:val="22"/>
          <w:szCs w:val="22"/>
        </w:rPr>
      </w:pPr>
      <w:r w:rsidRPr="00424E03">
        <w:rPr>
          <w:b/>
          <w:sz w:val="22"/>
          <w:szCs w:val="22"/>
        </w:rPr>
        <w:t>Poruchy pečene a žlčových ciest</w:t>
      </w:r>
      <w:r w:rsidRPr="002F3A72">
        <w:rPr>
          <w:sz w:val="22"/>
          <w:szCs w:val="22"/>
        </w:rPr>
        <w:t xml:space="preserve">: </w:t>
      </w:r>
      <w:proofErr w:type="spellStart"/>
      <w:r w:rsidRPr="002F3A72">
        <w:rPr>
          <w:sz w:val="22"/>
          <w:szCs w:val="22"/>
        </w:rPr>
        <w:t>cholestáza</w:t>
      </w:r>
      <w:proofErr w:type="spellEnd"/>
      <w:r w:rsidRPr="002F3A72">
        <w:rPr>
          <w:sz w:val="22"/>
          <w:szCs w:val="22"/>
        </w:rPr>
        <w:t xml:space="preserve">, </w:t>
      </w:r>
      <w:proofErr w:type="spellStart"/>
      <w:r w:rsidRPr="002F3A72">
        <w:rPr>
          <w:sz w:val="22"/>
          <w:szCs w:val="22"/>
        </w:rPr>
        <w:t>hepatomegália</w:t>
      </w:r>
      <w:proofErr w:type="spellEnd"/>
      <w:r w:rsidRPr="002F3A72">
        <w:rPr>
          <w:sz w:val="22"/>
          <w:szCs w:val="22"/>
        </w:rPr>
        <w:t>, žltačka</w:t>
      </w:r>
      <w:r w:rsidR="007A2549">
        <w:rPr>
          <w:sz w:val="22"/>
          <w:szCs w:val="22"/>
        </w:rPr>
        <w:t>.</w:t>
      </w:r>
    </w:p>
    <w:p w14:paraId="094D16E8" w14:textId="745EA015" w:rsidR="00F16973" w:rsidRDefault="00F16973" w:rsidP="00464A19">
      <w:pPr>
        <w:pStyle w:val="Zoznamsodrkami2"/>
        <w:tabs>
          <w:tab w:val="clear" w:pos="1080"/>
        </w:tabs>
        <w:spacing w:before="0" w:after="0" w:line="240" w:lineRule="auto"/>
        <w:ind w:left="567" w:hanging="567"/>
        <w:rPr>
          <w:sz w:val="22"/>
          <w:szCs w:val="22"/>
        </w:rPr>
      </w:pPr>
      <w:r w:rsidRPr="00424E03">
        <w:rPr>
          <w:b/>
          <w:sz w:val="22"/>
          <w:szCs w:val="22"/>
        </w:rPr>
        <w:t>Poruchy imunitného systému</w:t>
      </w:r>
      <w:r w:rsidRPr="00CF4824">
        <w:rPr>
          <w:sz w:val="22"/>
          <w:szCs w:val="22"/>
        </w:rPr>
        <w:t xml:space="preserve">: </w:t>
      </w:r>
      <w:proofErr w:type="spellStart"/>
      <w:r w:rsidR="007A2549">
        <w:rPr>
          <w:sz w:val="22"/>
          <w:szCs w:val="22"/>
        </w:rPr>
        <w:t>hypersenzitivita</w:t>
      </w:r>
      <w:proofErr w:type="spellEnd"/>
      <w:r w:rsidR="007A2549">
        <w:rPr>
          <w:sz w:val="22"/>
          <w:szCs w:val="22"/>
        </w:rPr>
        <w:t>.</w:t>
      </w:r>
    </w:p>
    <w:p w14:paraId="4B05C953" w14:textId="48B58D08" w:rsidR="005E5523" w:rsidRDefault="009233C4" w:rsidP="00464A19">
      <w:pPr>
        <w:pStyle w:val="Zoznamsodrkami2"/>
        <w:tabs>
          <w:tab w:val="clear" w:pos="1080"/>
        </w:tabs>
        <w:spacing w:before="0" w:after="0" w:line="240" w:lineRule="auto"/>
        <w:ind w:left="567" w:hanging="567"/>
        <w:rPr>
          <w:sz w:val="22"/>
          <w:szCs w:val="22"/>
        </w:rPr>
      </w:pPr>
      <w:bookmarkStart w:id="23" w:name="_Hlk16864101"/>
      <w:r w:rsidRPr="00424E03">
        <w:rPr>
          <w:b/>
          <w:sz w:val="22"/>
          <w:szCs w:val="22"/>
        </w:rPr>
        <w:t xml:space="preserve">Úrazy, </w:t>
      </w:r>
      <w:r w:rsidR="005E5523" w:rsidRPr="00424E03">
        <w:rPr>
          <w:b/>
          <w:sz w:val="22"/>
          <w:szCs w:val="22"/>
        </w:rPr>
        <w:t xml:space="preserve"> otrav</w:t>
      </w:r>
      <w:r w:rsidRPr="00424E03">
        <w:rPr>
          <w:b/>
          <w:sz w:val="22"/>
          <w:szCs w:val="22"/>
        </w:rPr>
        <w:t>y</w:t>
      </w:r>
      <w:r w:rsidR="005E5523" w:rsidRPr="00424E03">
        <w:rPr>
          <w:b/>
          <w:sz w:val="22"/>
          <w:szCs w:val="22"/>
        </w:rPr>
        <w:t xml:space="preserve"> a komplikácie</w:t>
      </w:r>
      <w:r w:rsidR="007F2663" w:rsidRPr="00424E03">
        <w:rPr>
          <w:b/>
          <w:sz w:val="22"/>
          <w:szCs w:val="22"/>
        </w:rPr>
        <w:t xml:space="preserve"> </w:t>
      </w:r>
      <w:r w:rsidRPr="00424E03">
        <w:rPr>
          <w:b/>
          <w:sz w:val="22"/>
          <w:szCs w:val="22"/>
        </w:rPr>
        <w:t>liečebného postupu</w:t>
      </w:r>
      <w:r w:rsidR="005E5523" w:rsidRPr="005E5523">
        <w:rPr>
          <w:sz w:val="22"/>
          <w:szCs w:val="22"/>
        </w:rPr>
        <w:t xml:space="preserve">: </w:t>
      </w:r>
      <w:r w:rsidR="007F2663">
        <w:rPr>
          <w:sz w:val="22"/>
          <w:szCs w:val="22"/>
        </w:rPr>
        <w:t>ochoren</w:t>
      </w:r>
      <w:r w:rsidR="007A2549">
        <w:rPr>
          <w:sz w:val="22"/>
          <w:szCs w:val="22"/>
        </w:rPr>
        <w:t>ie</w:t>
      </w:r>
      <w:r w:rsidR="007F2663">
        <w:rPr>
          <w:sz w:val="22"/>
          <w:szCs w:val="22"/>
        </w:rPr>
        <w:t xml:space="preserve"> pečene</w:t>
      </w:r>
      <w:r w:rsidR="007A2549">
        <w:rPr>
          <w:sz w:val="22"/>
          <w:szCs w:val="22"/>
        </w:rPr>
        <w:t xml:space="preserve"> v súvislosti s </w:t>
      </w:r>
      <w:proofErr w:type="spellStart"/>
      <w:r w:rsidR="007A2549">
        <w:rPr>
          <w:sz w:val="22"/>
          <w:szCs w:val="22"/>
        </w:rPr>
        <w:t>parenterálnou</w:t>
      </w:r>
      <w:proofErr w:type="spellEnd"/>
      <w:r w:rsidR="007A2549">
        <w:rPr>
          <w:sz w:val="22"/>
          <w:szCs w:val="22"/>
        </w:rPr>
        <w:t xml:space="preserve"> výživou</w:t>
      </w:r>
      <w:r w:rsidR="005E5523" w:rsidRPr="005E5523">
        <w:rPr>
          <w:sz w:val="22"/>
          <w:szCs w:val="22"/>
        </w:rPr>
        <w:t xml:space="preserve"> (pozri časť 4.4).</w:t>
      </w:r>
      <w:bookmarkEnd w:id="23"/>
    </w:p>
    <w:p w14:paraId="6D748736" w14:textId="59CFC99D" w:rsidR="00F16973" w:rsidRPr="005E5523" w:rsidRDefault="00F16973" w:rsidP="00464A19">
      <w:pPr>
        <w:pStyle w:val="Zoznamsodrkami2"/>
        <w:tabs>
          <w:tab w:val="clear" w:pos="1080"/>
        </w:tabs>
        <w:spacing w:before="0" w:after="0" w:line="240" w:lineRule="auto"/>
        <w:ind w:left="567" w:hanging="567"/>
        <w:rPr>
          <w:sz w:val="22"/>
          <w:szCs w:val="22"/>
        </w:rPr>
      </w:pPr>
      <w:r w:rsidRPr="00424E03">
        <w:rPr>
          <w:b/>
          <w:sz w:val="22"/>
          <w:szCs w:val="22"/>
        </w:rPr>
        <w:t>Laboratórne a funkčné vyšetrenia</w:t>
      </w:r>
      <w:r w:rsidRPr="005E5523">
        <w:rPr>
          <w:sz w:val="22"/>
          <w:szCs w:val="22"/>
        </w:rPr>
        <w:t xml:space="preserve">: </w:t>
      </w:r>
      <w:proofErr w:type="spellStart"/>
      <w:r w:rsidRPr="005E5523">
        <w:rPr>
          <w:sz w:val="22"/>
          <w:szCs w:val="22"/>
        </w:rPr>
        <w:t>zvýšen</w:t>
      </w:r>
      <w:r w:rsidR="007A2549">
        <w:rPr>
          <w:sz w:val="22"/>
          <w:szCs w:val="22"/>
        </w:rPr>
        <w:t>a</w:t>
      </w:r>
      <w:proofErr w:type="spellEnd"/>
      <w:r w:rsidRPr="005E5523">
        <w:rPr>
          <w:sz w:val="22"/>
          <w:szCs w:val="22"/>
        </w:rPr>
        <w:t xml:space="preserve"> hladin</w:t>
      </w:r>
      <w:r w:rsidR="007A2549">
        <w:rPr>
          <w:sz w:val="22"/>
          <w:szCs w:val="22"/>
        </w:rPr>
        <w:t>a</w:t>
      </w:r>
      <w:r w:rsidRPr="005E5523">
        <w:rPr>
          <w:sz w:val="22"/>
          <w:szCs w:val="22"/>
        </w:rPr>
        <w:t xml:space="preserve"> alkalickej </w:t>
      </w:r>
      <w:proofErr w:type="spellStart"/>
      <w:r w:rsidRPr="005E5523">
        <w:rPr>
          <w:sz w:val="22"/>
          <w:szCs w:val="22"/>
        </w:rPr>
        <w:t>fosfatázy</w:t>
      </w:r>
      <w:proofErr w:type="spellEnd"/>
      <w:r w:rsidRPr="005E5523">
        <w:rPr>
          <w:sz w:val="22"/>
          <w:szCs w:val="22"/>
        </w:rPr>
        <w:t xml:space="preserve"> v krvi, zvýšené hladiny </w:t>
      </w:r>
      <w:proofErr w:type="spellStart"/>
      <w:r w:rsidRPr="005E5523">
        <w:rPr>
          <w:sz w:val="22"/>
          <w:szCs w:val="22"/>
        </w:rPr>
        <w:t>transamináz</w:t>
      </w:r>
      <w:proofErr w:type="spellEnd"/>
      <w:r w:rsidRPr="005E5523">
        <w:rPr>
          <w:sz w:val="22"/>
          <w:szCs w:val="22"/>
        </w:rPr>
        <w:t xml:space="preserve">, zvýšené hladiny </w:t>
      </w:r>
      <w:proofErr w:type="spellStart"/>
      <w:r w:rsidRPr="005E5523">
        <w:rPr>
          <w:sz w:val="22"/>
          <w:szCs w:val="22"/>
        </w:rPr>
        <w:t>bilirubínu</w:t>
      </w:r>
      <w:proofErr w:type="spellEnd"/>
      <w:r w:rsidRPr="005E5523">
        <w:rPr>
          <w:sz w:val="22"/>
          <w:szCs w:val="22"/>
        </w:rPr>
        <w:t xml:space="preserve"> v krvi, zvýšenie hladiny pečeňových enzýmov</w:t>
      </w:r>
      <w:r w:rsidR="007A2549">
        <w:rPr>
          <w:sz w:val="22"/>
          <w:szCs w:val="22"/>
        </w:rPr>
        <w:t>.</w:t>
      </w:r>
    </w:p>
    <w:p w14:paraId="2A742704" w14:textId="5D4F1B43" w:rsidR="00F16973" w:rsidRPr="00CF4824" w:rsidRDefault="0036324F" w:rsidP="00464A19">
      <w:pPr>
        <w:pStyle w:val="Zoznamsodrkami2"/>
        <w:tabs>
          <w:tab w:val="clear" w:pos="1080"/>
        </w:tabs>
        <w:spacing w:before="0" w:after="0" w:line="240" w:lineRule="auto"/>
        <w:ind w:left="567" w:hanging="567"/>
        <w:rPr>
          <w:sz w:val="22"/>
          <w:szCs w:val="22"/>
        </w:rPr>
      </w:pPr>
      <w:r w:rsidRPr="00424E03">
        <w:rPr>
          <w:b/>
          <w:sz w:val="22"/>
          <w:szCs w:val="22"/>
        </w:rPr>
        <w:t>Poruchy obličiek a močových ciest</w:t>
      </w:r>
      <w:r w:rsidRPr="00CF4824">
        <w:rPr>
          <w:sz w:val="22"/>
          <w:szCs w:val="22"/>
        </w:rPr>
        <w:t xml:space="preserve">: </w:t>
      </w:r>
      <w:proofErr w:type="spellStart"/>
      <w:r w:rsidRPr="00CF4824">
        <w:rPr>
          <w:sz w:val="22"/>
          <w:szCs w:val="22"/>
        </w:rPr>
        <w:t>azotémia</w:t>
      </w:r>
      <w:proofErr w:type="spellEnd"/>
      <w:r w:rsidR="007A2549">
        <w:rPr>
          <w:sz w:val="22"/>
          <w:szCs w:val="22"/>
        </w:rPr>
        <w:t>.</w:t>
      </w:r>
    </w:p>
    <w:p w14:paraId="45099CCB" w14:textId="45C8DB08" w:rsidR="009D5139" w:rsidRPr="00CF4824" w:rsidRDefault="0048270F" w:rsidP="00464A19">
      <w:pPr>
        <w:pStyle w:val="Zoznamsodrkami2"/>
        <w:tabs>
          <w:tab w:val="clear" w:pos="1080"/>
        </w:tabs>
        <w:spacing w:before="0" w:after="0" w:line="240" w:lineRule="auto"/>
        <w:ind w:left="567" w:hanging="567"/>
        <w:rPr>
          <w:sz w:val="22"/>
          <w:szCs w:val="22"/>
        </w:rPr>
      </w:pPr>
      <w:r w:rsidRPr="00424E03">
        <w:rPr>
          <w:b/>
          <w:sz w:val="22"/>
          <w:szCs w:val="22"/>
        </w:rPr>
        <w:t>Poruchy ciev</w:t>
      </w:r>
      <w:r w:rsidRPr="00CF4824">
        <w:rPr>
          <w:sz w:val="22"/>
          <w:szCs w:val="22"/>
        </w:rPr>
        <w:t>: zrazeniny v pľúcnych cievach (pľúcna cievna embólia a respiračná tieseň) (pozri časť 4.4).</w:t>
      </w:r>
    </w:p>
    <w:p w14:paraId="45879D78" w14:textId="77777777" w:rsidR="009E1DD5" w:rsidRPr="00CF4824" w:rsidRDefault="009E1DD5" w:rsidP="004E30E0">
      <w:pPr>
        <w:pStyle w:val="Zoznamsodrkami2"/>
        <w:numPr>
          <w:ilvl w:val="0"/>
          <w:numId w:val="0"/>
        </w:numPr>
        <w:spacing w:before="0" w:after="0" w:line="240" w:lineRule="auto"/>
        <w:ind w:left="1080"/>
        <w:rPr>
          <w:sz w:val="22"/>
          <w:szCs w:val="22"/>
        </w:rPr>
      </w:pPr>
    </w:p>
    <w:p w14:paraId="17B3EEF3" w14:textId="3ED5B7E6" w:rsidR="00F16973" w:rsidRPr="00424E03" w:rsidRDefault="00F16973" w:rsidP="00D91F70">
      <w:pPr>
        <w:pStyle w:val="Heading4Unnumbered"/>
        <w:spacing w:before="0" w:after="0"/>
        <w:rPr>
          <w:i w:val="0"/>
          <w:sz w:val="22"/>
          <w:szCs w:val="22"/>
          <w:u w:val="single"/>
        </w:rPr>
      </w:pPr>
      <w:r w:rsidRPr="00424E03">
        <w:rPr>
          <w:i w:val="0"/>
          <w:sz w:val="22"/>
          <w:szCs w:val="22"/>
          <w:u w:val="single"/>
        </w:rPr>
        <w:t>Syndróm preťaženia tukmi (veľmi zriedkavé)</w:t>
      </w:r>
    </w:p>
    <w:p w14:paraId="2288E36D" w14:textId="77777777" w:rsidR="0090634C" w:rsidRDefault="0090634C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6CE2A702" w14:textId="09F28344" w:rsidR="00F16973" w:rsidRPr="00CF4824" w:rsidRDefault="00F16973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 xml:space="preserve">Pri liekoch podobného typu bol hlásený syndróm preťaženia tukmi. To môže byť spôsobené nesprávnym podaním (napr. predávkovaním a/alebo vyššou rýchlosťou infúzie ako je odporúčané, pozri časť 4.9), avšak </w:t>
      </w:r>
      <w:r w:rsidR="00416405">
        <w:rPr>
          <w:sz w:val="22"/>
          <w:szCs w:val="22"/>
        </w:rPr>
        <w:t>prejavy</w:t>
      </w:r>
      <w:r w:rsidRPr="00CF4824">
        <w:rPr>
          <w:sz w:val="22"/>
          <w:szCs w:val="22"/>
        </w:rPr>
        <w:t xml:space="preserve"> a symptómy tohto syndrómu sa môžu tiež vyskytnúť na začiatku podávania infúzie</w:t>
      </w:r>
      <w:r w:rsidR="0007344F">
        <w:rPr>
          <w:sz w:val="22"/>
          <w:szCs w:val="22"/>
        </w:rPr>
        <w:t>, keď je liek podávaný</w:t>
      </w:r>
      <w:r w:rsidRPr="00CF4824">
        <w:rPr>
          <w:sz w:val="22"/>
          <w:szCs w:val="22"/>
        </w:rPr>
        <w:t xml:space="preserve"> podľa </w:t>
      </w:r>
      <w:r w:rsidR="0007344F">
        <w:rPr>
          <w:sz w:val="22"/>
          <w:szCs w:val="22"/>
        </w:rPr>
        <w:t>pokynov</w:t>
      </w:r>
      <w:r w:rsidRPr="00CF4824">
        <w:rPr>
          <w:sz w:val="22"/>
          <w:szCs w:val="22"/>
        </w:rPr>
        <w:t xml:space="preserve">. Znížená alebo obmedzená schopnosť organizmu </w:t>
      </w:r>
      <w:r w:rsidR="00BE6D79">
        <w:rPr>
          <w:sz w:val="22"/>
          <w:szCs w:val="22"/>
        </w:rPr>
        <w:t xml:space="preserve">metabolizovať </w:t>
      </w:r>
      <w:proofErr w:type="spellStart"/>
      <w:r w:rsidRPr="00CF4824">
        <w:rPr>
          <w:sz w:val="22"/>
          <w:szCs w:val="22"/>
        </w:rPr>
        <w:t>lipidy</w:t>
      </w:r>
      <w:proofErr w:type="spellEnd"/>
      <w:r w:rsidRPr="00CF4824">
        <w:rPr>
          <w:sz w:val="22"/>
          <w:szCs w:val="22"/>
        </w:rPr>
        <w:t xml:space="preserve"> obsiahnuté v</w:t>
      </w:r>
      <w:r w:rsidR="00BE6D79">
        <w:rPr>
          <w:sz w:val="22"/>
          <w:szCs w:val="22"/>
        </w:rPr>
        <w:t> </w:t>
      </w:r>
      <w:r w:rsidRPr="00CF4824">
        <w:rPr>
          <w:sz w:val="22"/>
          <w:szCs w:val="22"/>
        </w:rPr>
        <w:t>OLIMEL</w:t>
      </w:r>
      <w:r w:rsidR="009555F4">
        <w:rPr>
          <w:sz w:val="22"/>
          <w:szCs w:val="22"/>
        </w:rPr>
        <w:t>E</w:t>
      </w:r>
      <w:r w:rsidR="00BE6D79">
        <w:rPr>
          <w:sz w:val="22"/>
          <w:szCs w:val="22"/>
        </w:rPr>
        <w:t xml:space="preserve"> N12E</w:t>
      </w:r>
      <w:r w:rsidRPr="00CF4824">
        <w:rPr>
          <w:sz w:val="22"/>
          <w:szCs w:val="22"/>
        </w:rPr>
        <w:t xml:space="preserve"> spojená s</w:t>
      </w:r>
      <w:r w:rsidR="00BE6D79">
        <w:rPr>
          <w:sz w:val="22"/>
          <w:szCs w:val="22"/>
        </w:rPr>
        <w:t> </w:t>
      </w:r>
      <w:r w:rsidRPr="00CF4824">
        <w:rPr>
          <w:sz w:val="22"/>
          <w:szCs w:val="22"/>
        </w:rPr>
        <w:t>predĺžen</w:t>
      </w:r>
      <w:r w:rsidR="00BE6D79">
        <w:rPr>
          <w:sz w:val="22"/>
          <w:szCs w:val="22"/>
        </w:rPr>
        <w:t xml:space="preserve">ým plazmatickým </w:t>
      </w:r>
      <w:proofErr w:type="spellStart"/>
      <w:r w:rsidR="00BE6D79">
        <w:rPr>
          <w:sz w:val="22"/>
          <w:szCs w:val="22"/>
        </w:rPr>
        <w:t>klírensom</w:t>
      </w:r>
      <w:proofErr w:type="spellEnd"/>
      <w:r w:rsidRPr="00CF4824">
        <w:rPr>
          <w:sz w:val="22"/>
          <w:szCs w:val="22"/>
        </w:rPr>
        <w:t xml:space="preserve"> môže mať za následok „syndróm preťaženia tukmi“. Tento syndróm je spojený s náhlym zhoršením klinického stavu pacienta a je charakterizovaný príznakmi ako sú horúčka, anémia, </w:t>
      </w:r>
      <w:proofErr w:type="spellStart"/>
      <w:r w:rsidRPr="00CF4824">
        <w:rPr>
          <w:sz w:val="22"/>
          <w:szCs w:val="22"/>
        </w:rPr>
        <w:t>leukopénia</w:t>
      </w:r>
      <w:proofErr w:type="spellEnd"/>
      <w:r w:rsidRPr="00CF4824">
        <w:rPr>
          <w:sz w:val="22"/>
          <w:szCs w:val="22"/>
        </w:rPr>
        <w:t xml:space="preserve">, </w:t>
      </w:r>
      <w:proofErr w:type="spellStart"/>
      <w:r w:rsidRPr="00CF4824">
        <w:rPr>
          <w:sz w:val="22"/>
          <w:szCs w:val="22"/>
        </w:rPr>
        <w:t>trombocytopénia</w:t>
      </w:r>
      <w:proofErr w:type="spellEnd"/>
      <w:r w:rsidRPr="00CF4824">
        <w:rPr>
          <w:sz w:val="22"/>
          <w:szCs w:val="22"/>
        </w:rPr>
        <w:t xml:space="preserve">, porucha zrážanlivosti krvi, </w:t>
      </w:r>
      <w:proofErr w:type="spellStart"/>
      <w:r w:rsidRPr="00CF4824">
        <w:rPr>
          <w:sz w:val="22"/>
          <w:szCs w:val="22"/>
        </w:rPr>
        <w:t>hyperlipidémia</w:t>
      </w:r>
      <w:proofErr w:type="spellEnd"/>
      <w:r w:rsidRPr="00CF4824">
        <w:rPr>
          <w:sz w:val="22"/>
          <w:szCs w:val="22"/>
        </w:rPr>
        <w:t>, tuková infiltrácia pečene (</w:t>
      </w:r>
      <w:proofErr w:type="spellStart"/>
      <w:r w:rsidRPr="00CF4824">
        <w:rPr>
          <w:sz w:val="22"/>
          <w:szCs w:val="22"/>
        </w:rPr>
        <w:t>hepatomegália</w:t>
      </w:r>
      <w:proofErr w:type="spellEnd"/>
      <w:r w:rsidRPr="00CF4824">
        <w:rPr>
          <w:sz w:val="22"/>
          <w:szCs w:val="22"/>
        </w:rPr>
        <w:t xml:space="preserve">), zhoršujúca sa funkcia pečene a prejavy centrálneho nervového systému (napr. kóma). Tento syndróm je zvyčajne reverzibilný po ukončení </w:t>
      </w:r>
      <w:proofErr w:type="spellStart"/>
      <w:r w:rsidR="007A2549">
        <w:rPr>
          <w:sz w:val="22"/>
          <w:szCs w:val="22"/>
        </w:rPr>
        <w:t>infúzneho</w:t>
      </w:r>
      <w:proofErr w:type="spellEnd"/>
      <w:r w:rsidR="007A2549">
        <w:rPr>
          <w:sz w:val="22"/>
          <w:szCs w:val="22"/>
        </w:rPr>
        <w:t xml:space="preserve"> </w:t>
      </w:r>
      <w:r w:rsidRPr="00CF4824">
        <w:rPr>
          <w:sz w:val="22"/>
          <w:szCs w:val="22"/>
        </w:rPr>
        <w:t xml:space="preserve">podávania </w:t>
      </w:r>
      <w:proofErr w:type="spellStart"/>
      <w:r w:rsidR="007A2549">
        <w:rPr>
          <w:sz w:val="22"/>
          <w:szCs w:val="22"/>
        </w:rPr>
        <w:t>lipidovej</w:t>
      </w:r>
      <w:proofErr w:type="spellEnd"/>
      <w:r w:rsidRPr="00CF4824">
        <w:rPr>
          <w:sz w:val="22"/>
          <w:szCs w:val="22"/>
        </w:rPr>
        <w:t xml:space="preserve"> emulzie.</w:t>
      </w:r>
    </w:p>
    <w:p w14:paraId="4B87A81E" w14:textId="77777777" w:rsidR="009E1DD5" w:rsidRPr="00CF4824" w:rsidRDefault="009E1DD5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221D7852" w14:textId="17AB883E" w:rsidR="009E1DD5" w:rsidRDefault="009E1DD5" w:rsidP="00D91F70">
      <w:pPr>
        <w:keepNext/>
        <w:rPr>
          <w:sz w:val="22"/>
          <w:szCs w:val="22"/>
          <w:u w:val="single"/>
          <w:lang w:eastAsia="zh-TW"/>
        </w:rPr>
      </w:pPr>
      <w:bookmarkStart w:id="24" w:name="_ISIW_UH_17"/>
      <w:r w:rsidRPr="004A2946">
        <w:rPr>
          <w:sz w:val="22"/>
          <w:szCs w:val="22"/>
          <w:u w:val="single"/>
          <w:lang w:eastAsia="zh-TW"/>
        </w:rPr>
        <w:lastRenderedPageBreak/>
        <w:t>Hlásenie podozrení na nežiaduce reakcie</w:t>
      </w:r>
    </w:p>
    <w:p w14:paraId="2A967AFB" w14:textId="77777777" w:rsidR="007A2549" w:rsidRPr="004A2946" w:rsidRDefault="007A2549" w:rsidP="00D91F70">
      <w:pPr>
        <w:keepNext/>
        <w:rPr>
          <w:sz w:val="22"/>
          <w:szCs w:val="22"/>
          <w:lang w:eastAsia="zh-TW"/>
        </w:rPr>
      </w:pPr>
    </w:p>
    <w:p w14:paraId="5F9DA140" w14:textId="1F571905" w:rsidR="009E1DD5" w:rsidRPr="004A2946" w:rsidRDefault="009E1DD5" w:rsidP="00D91F70">
      <w:pPr>
        <w:widowControl w:val="0"/>
        <w:tabs>
          <w:tab w:val="left" w:pos="1418"/>
        </w:tabs>
        <w:autoSpaceDE w:val="0"/>
        <w:autoSpaceDN w:val="0"/>
        <w:adjustRightInd w:val="0"/>
        <w:rPr>
          <w:sz w:val="22"/>
          <w:szCs w:val="22"/>
        </w:rPr>
      </w:pPr>
      <w:r w:rsidRPr="004A2946">
        <w:rPr>
          <w:sz w:val="22"/>
          <w:szCs w:val="22"/>
        </w:rPr>
        <w:t>Hlásenie podozrení na nežiaduce reakcie po registrácii lieku je dôležité. Umožňuje priebežné monitorovanie pomeru prínosu a rizika lieku. Od zdravotníckych pracovníkov sa vyžaduje, aby hlásili akékoľvek podozrenia na nežiaduce reakcie na</w:t>
      </w:r>
      <w:r w:rsidRPr="004A2946">
        <w:rPr>
          <w:color w:val="034972"/>
          <w:sz w:val="22"/>
          <w:szCs w:val="22"/>
        </w:rPr>
        <w:t xml:space="preserve"> </w:t>
      </w:r>
      <w:r w:rsidRPr="004A2946">
        <w:rPr>
          <w:sz w:val="22"/>
          <w:szCs w:val="22"/>
          <w:highlight w:val="lightGray"/>
        </w:rPr>
        <w:t>národné centrum hlásenia uvedené v </w:t>
      </w:r>
      <w:hyperlink r:id="rId13" w:history="1">
        <w:r w:rsidRPr="004A2946">
          <w:rPr>
            <w:color w:val="0000FF"/>
            <w:sz w:val="22"/>
            <w:szCs w:val="22"/>
            <w:highlight w:val="lightGray"/>
            <w:u w:val="single"/>
          </w:rPr>
          <w:t>Prílohe V</w:t>
        </w:r>
      </w:hyperlink>
      <w:r w:rsidRPr="004A2946">
        <w:rPr>
          <w:sz w:val="22"/>
          <w:szCs w:val="22"/>
        </w:rPr>
        <w:t>.</w:t>
      </w:r>
    </w:p>
    <w:p w14:paraId="3D400EAF" w14:textId="77777777" w:rsidR="009E1DD5" w:rsidRPr="004A2946" w:rsidRDefault="009E1DD5" w:rsidP="00D91F70">
      <w:pPr>
        <w:rPr>
          <w:b/>
          <w:sz w:val="22"/>
          <w:szCs w:val="22"/>
        </w:rPr>
      </w:pPr>
    </w:p>
    <w:p w14:paraId="2FC3F5D7" w14:textId="0C1A580E" w:rsidR="00A75283" w:rsidRPr="00CF4824" w:rsidRDefault="00947B1E" w:rsidP="004A2946">
      <w:pPr>
        <w:pStyle w:val="Nadpis2"/>
        <w:tabs>
          <w:tab w:val="left" w:pos="709"/>
        </w:tabs>
        <w:spacing w:before="0" w:after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75283" w:rsidRPr="00CF4824">
        <w:rPr>
          <w:sz w:val="22"/>
          <w:szCs w:val="22"/>
        </w:rPr>
        <w:t>Predávkovanie</w:t>
      </w:r>
    </w:p>
    <w:p w14:paraId="507B47A5" w14:textId="77777777" w:rsidR="009E1DD5" w:rsidRPr="004A2946" w:rsidRDefault="009E1DD5" w:rsidP="004E30E0">
      <w:pPr>
        <w:pStyle w:val="Paragraph"/>
        <w:spacing w:before="0" w:after="0" w:line="240" w:lineRule="auto"/>
        <w:rPr>
          <w:sz w:val="22"/>
          <w:szCs w:val="22"/>
        </w:rPr>
      </w:pPr>
    </w:p>
    <w:bookmarkEnd w:id="24"/>
    <w:p w14:paraId="450F7F21" w14:textId="6ED5C687" w:rsidR="00C02120" w:rsidRPr="00CF4824" w:rsidRDefault="00C02120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bCs/>
          <w:sz w:val="22"/>
          <w:szCs w:val="22"/>
        </w:rPr>
        <w:t xml:space="preserve">Pri nesprávnom podávaní </w:t>
      </w:r>
      <w:r w:rsidRPr="00CF4824">
        <w:rPr>
          <w:sz w:val="22"/>
          <w:szCs w:val="22"/>
        </w:rPr>
        <w:t>(pri predávkovaní a/alebo pri prekročení odporúčanej rýchlosti podávania infúzie) sa môžu vyskytnúť</w:t>
      </w:r>
      <w:r w:rsidRPr="006C053F">
        <w:rPr>
          <w:bCs/>
          <w:sz w:val="22"/>
          <w:szCs w:val="22"/>
        </w:rPr>
        <w:t xml:space="preserve"> nevoľnosť, zvracanie, triaška, bolesť hlavy, nával horúčavy, nadmerné potenie (</w:t>
      </w:r>
      <w:proofErr w:type="spellStart"/>
      <w:r w:rsidRPr="006C053F">
        <w:rPr>
          <w:bCs/>
          <w:sz w:val="22"/>
          <w:szCs w:val="22"/>
        </w:rPr>
        <w:t>hyperh</w:t>
      </w:r>
      <w:r w:rsidR="00AA285F">
        <w:rPr>
          <w:bCs/>
          <w:sz w:val="22"/>
          <w:szCs w:val="22"/>
        </w:rPr>
        <w:t>i</w:t>
      </w:r>
      <w:r w:rsidRPr="006C053F">
        <w:rPr>
          <w:bCs/>
          <w:sz w:val="22"/>
          <w:szCs w:val="22"/>
        </w:rPr>
        <w:t>dróza</w:t>
      </w:r>
      <w:proofErr w:type="spellEnd"/>
      <w:r w:rsidRPr="006C053F">
        <w:rPr>
          <w:bCs/>
          <w:sz w:val="22"/>
          <w:szCs w:val="22"/>
        </w:rPr>
        <w:t xml:space="preserve">) a poruchy elektrolytov a </w:t>
      </w:r>
      <w:r w:rsidR="00AA285F">
        <w:rPr>
          <w:bCs/>
          <w:sz w:val="22"/>
          <w:szCs w:val="22"/>
        </w:rPr>
        <w:t>prejavy</w:t>
      </w:r>
      <w:r w:rsidRPr="006C053F">
        <w:rPr>
          <w:bCs/>
          <w:sz w:val="22"/>
          <w:szCs w:val="22"/>
        </w:rPr>
        <w:t xml:space="preserve"> </w:t>
      </w:r>
      <w:proofErr w:type="spellStart"/>
      <w:r w:rsidRPr="002F3A72">
        <w:rPr>
          <w:bCs/>
          <w:color w:val="000000"/>
          <w:sz w:val="22"/>
          <w:szCs w:val="22"/>
        </w:rPr>
        <w:t>hyper</w:t>
      </w:r>
      <w:r w:rsidRPr="002F3A72">
        <w:rPr>
          <w:bCs/>
          <w:sz w:val="22"/>
          <w:szCs w:val="22"/>
        </w:rPr>
        <w:t>volémie</w:t>
      </w:r>
      <w:proofErr w:type="spellEnd"/>
      <w:r w:rsidRPr="002F3A72">
        <w:rPr>
          <w:bCs/>
          <w:sz w:val="22"/>
          <w:szCs w:val="22"/>
        </w:rPr>
        <w:t xml:space="preserve"> alebo </w:t>
      </w:r>
      <w:proofErr w:type="spellStart"/>
      <w:r w:rsidRPr="002F3A72">
        <w:rPr>
          <w:bCs/>
          <w:sz w:val="22"/>
          <w:szCs w:val="22"/>
        </w:rPr>
        <w:t>acidózy</w:t>
      </w:r>
      <w:proofErr w:type="spellEnd"/>
      <w:r w:rsidRPr="002F3A72">
        <w:rPr>
          <w:bCs/>
          <w:sz w:val="22"/>
          <w:szCs w:val="22"/>
        </w:rPr>
        <w:t xml:space="preserve">, ktoré môžu spôsobiť </w:t>
      </w:r>
      <w:r w:rsidR="00AA285F">
        <w:rPr>
          <w:bCs/>
          <w:sz w:val="22"/>
          <w:szCs w:val="22"/>
        </w:rPr>
        <w:t>zá</w:t>
      </w:r>
      <w:r w:rsidRPr="002F3A72">
        <w:rPr>
          <w:bCs/>
          <w:sz w:val="22"/>
          <w:szCs w:val="22"/>
        </w:rPr>
        <w:t>v</w:t>
      </w:r>
      <w:r w:rsidR="00AA285F">
        <w:rPr>
          <w:bCs/>
          <w:sz w:val="22"/>
          <w:szCs w:val="22"/>
        </w:rPr>
        <w:t>a</w:t>
      </w:r>
      <w:r w:rsidRPr="002F3A72">
        <w:rPr>
          <w:bCs/>
          <w:sz w:val="22"/>
          <w:szCs w:val="22"/>
        </w:rPr>
        <w:t>žn</w:t>
      </w:r>
      <w:r w:rsidR="00AA285F">
        <w:rPr>
          <w:bCs/>
          <w:sz w:val="22"/>
          <w:szCs w:val="22"/>
        </w:rPr>
        <w:t>é</w:t>
      </w:r>
      <w:r w:rsidRPr="002F3A72">
        <w:rPr>
          <w:bCs/>
          <w:sz w:val="22"/>
          <w:szCs w:val="22"/>
        </w:rPr>
        <w:t xml:space="preserve"> a</w:t>
      </w:r>
      <w:r w:rsidR="00AA285F">
        <w:rPr>
          <w:bCs/>
          <w:sz w:val="22"/>
          <w:szCs w:val="22"/>
        </w:rPr>
        <w:t>lebo</w:t>
      </w:r>
      <w:r w:rsidRPr="002F3A72">
        <w:rPr>
          <w:bCs/>
          <w:sz w:val="22"/>
          <w:szCs w:val="22"/>
        </w:rPr>
        <w:t xml:space="preserve"> fatálne následky. V takýchto prípad</w:t>
      </w:r>
      <w:r w:rsidRPr="00CF4824">
        <w:rPr>
          <w:bCs/>
          <w:sz w:val="22"/>
          <w:szCs w:val="22"/>
        </w:rPr>
        <w:t>och musí byť</w:t>
      </w:r>
      <w:r w:rsidRPr="00CF4824">
        <w:rPr>
          <w:sz w:val="22"/>
          <w:szCs w:val="22"/>
        </w:rPr>
        <w:t xml:space="preserve"> </w:t>
      </w:r>
      <w:r w:rsidR="00AA285F">
        <w:rPr>
          <w:sz w:val="22"/>
          <w:szCs w:val="22"/>
        </w:rPr>
        <w:t xml:space="preserve">podávanie </w:t>
      </w:r>
      <w:r w:rsidRPr="00CF4824">
        <w:rPr>
          <w:bCs/>
          <w:sz w:val="22"/>
          <w:szCs w:val="22"/>
        </w:rPr>
        <w:t>infúzi</w:t>
      </w:r>
      <w:r w:rsidR="00AA285F">
        <w:rPr>
          <w:bCs/>
          <w:sz w:val="22"/>
          <w:szCs w:val="22"/>
        </w:rPr>
        <w:t>e</w:t>
      </w:r>
      <w:r w:rsidRPr="00CF4824">
        <w:rPr>
          <w:bCs/>
          <w:sz w:val="22"/>
          <w:szCs w:val="22"/>
        </w:rPr>
        <w:t xml:space="preserve"> okamžite zastaven</w:t>
      </w:r>
      <w:r w:rsidR="00AA285F">
        <w:rPr>
          <w:bCs/>
          <w:sz w:val="22"/>
          <w:szCs w:val="22"/>
        </w:rPr>
        <w:t>é</w:t>
      </w:r>
      <w:r w:rsidRPr="00CF4824">
        <w:rPr>
          <w:bCs/>
          <w:sz w:val="22"/>
          <w:szCs w:val="22"/>
        </w:rPr>
        <w:t>. Ak je to z medicínskeho hľadiska vhodné, je možné indikovať ďalší</w:t>
      </w:r>
      <w:r w:rsidRPr="00CF4824">
        <w:rPr>
          <w:sz w:val="22"/>
          <w:szCs w:val="22"/>
        </w:rPr>
        <w:t xml:space="preserve"> </w:t>
      </w:r>
      <w:r w:rsidRPr="00CF4824">
        <w:rPr>
          <w:bCs/>
          <w:sz w:val="22"/>
          <w:szCs w:val="22"/>
        </w:rPr>
        <w:t>zákrok.</w:t>
      </w:r>
      <w:r w:rsidRPr="00CF4824">
        <w:rPr>
          <w:sz w:val="22"/>
          <w:szCs w:val="22"/>
        </w:rPr>
        <w:t xml:space="preserve"> </w:t>
      </w:r>
    </w:p>
    <w:p w14:paraId="3749624E" w14:textId="77777777" w:rsidR="009E1DD5" w:rsidRPr="00CF4824" w:rsidRDefault="009E1DD5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3C535860" w14:textId="2478545E" w:rsidR="00607F1E" w:rsidRPr="00CF4824" w:rsidRDefault="00607F1E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 xml:space="preserve">Ak rýchlosť podávania infúzie glukózy prekročí rýchlosť jej vylučovania, môže vzniknúť hyperglykémia, </w:t>
      </w:r>
      <w:proofErr w:type="spellStart"/>
      <w:r w:rsidRPr="00CF4824">
        <w:rPr>
          <w:sz w:val="22"/>
          <w:szCs w:val="22"/>
        </w:rPr>
        <w:t>glykozúria</w:t>
      </w:r>
      <w:proofErr w:type="spellEnd"/>
      <w:r w:rsidRPr="00CF4824">
        <w:rPr>
          <w:sz w:val="22"/>
          <w:szCs w:val="22"/>
        </w:rPr>
        <w:t xml:space="preserve"> a </w:t>
      </w:r>
      <w:proofErr w:type="spellStart"/>
      <w:r w:rsidRPr="00CF4824">
        <w:rPr>
          <w:sz w:val="22"/>
          <w:szCs w:val="22"/>
        </w:rPr>
        <w:t>hyperosmolárny</w:t>
      </w:r>
      <w:proofErr w:type="spellEnd"/>
      <w:r w:rsidRPr="00CF4824">
        <w:rPr>
          <w:sz w:val="22"/>
          <w:szCs w:val="22"/>
        </w:rPr>
        <w:t xml:space="preserve"> syndróm.</w:t>
      </w:r>
    </w:p>
    <w:p w14:paraId="4AFBC952" w14:textId="77777777" w:rsidR="009E1DD5" w:rsidRPr="00CF4824" w:rsidRDefault="009E1DD5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094C6576" w14:textId="7FA4C471" w:rsidR="00607F1E" w:rsidRPr="00CF4824" w:rsidRDefault="007C789C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 xml:space="preserve">Znížená alebo obmedzená schopnosť organizmu metabolizovať </w:t>
      </w:r>
      <w:proofErr w:type="spellStart"/>
      <w:r w:rsidRPr="00CF4824">
        <w:rPr>
          <w:sz w:val="22"/>
          <w:szCs w:val="22"/>
        </w:rPr>
        <w:t>lipidy</w:t>
      </w:r>
      <w:proofErr w:type="spellEnd"/>
      <w:r w:rsidRPr="00CF4824">
        <w:rPr>
          <w:sz w:val="22"/>
          <w:szCs w:val="22"/>
        </w:rPr>
        <w:t xml:space="preserve"> môže mať za následok </w:t>
      </w:r>
      <w:bookmarkStart w:id="25" w:name="_Hlk53670884"/>
      <w:r w:rsidR="00E743D8">
        <w:t>„</w:t>
      </w:r>
      <w:bookmarkEnd w:id="25"/>
      <w:r w:rsidRPr="00CF4824">
        <w:rPr>
          <w:sz w:val="22"/>
          <w:szCs w:val="22"/>
        </w:rPr>
        <w:t xml:space="preserve">syndróm preťaženia tukmi”, ktorého účinky sú zvyčajne reverzibilné po ukončení </w:t>
      </w:r>
      <w:proofErr w:type="spellStart"/>
      <w:r w:rsidR="00E743D8">
        <w:rPr>
          <w:sz w:val="22"/>
          <w:szCs w:val="22"/>
        </w:rPr>
        <w:t>infúzneho</w:t>
      </w:r>
      <w:proofErr w:type="spellEnd"/>
      <w:r w:rsidR="00E743D8">
        <w:rPr>
          <w:sz w:val="22"/>
          <w:szCs w:val="22"/>
        </w:rPr>
        <w:t xml:space="preserve"> </w:t>
      </w:r>
      <w:r w:rsidRPr="00CF4824">
        <w:rPr>
          <w:sz w:val="22"/>
          <w:szCs w:val="22"/>
        </w:rPr>
        <w:t xml:space="preserve">podávania </w:t>
      </w:r>
      <w:proofErr w:type="spellStart"/>
      <w:r w:rsidRPr="00CF4824">
        <w:rPr>
          <w:sz w:val="22"/>
          <w:szCs w:val="22"/>
        </w:rPr>
        <w:t>lipidov</w:t>
      </w:r>
      <w:r w:rsidR="00E743D8">
        <w:rPr>
          <w:sz w:val="22"/>
          <w:szCs w:val="22"/>
        </w:rPr>
        <w:t>ej</w:t>
      </w:r>
      <w:proofErr w:type="spellEnd"/>
      <w:r w:rsidR="00E743D8">
        <w:rPr>
          <w:sz w:val="22"/>
          <w:szCs w:val="22"/>
        </w:rPr>
        <w:t xml:space="preserve"> emulzie</w:t>
      </w:r>
      <w:r w:rsidRPr="00CF4824">
        <w:rPr>
          <w:sz w:val="22"/>
          <w:szCs w:val="22"/>
        </w:rPr>
        <w:t xml:space="preserve"> (pozri aj časť 4.8).</w:t>
      </w:r>
    </w:p>
    <w:p w14:paraId="6AD0402A" w14:textId="77777777" w:rsidR="009E1DD5" w:rsidRPr="00CF4824" w:rsidRDefault="009E1DD5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080AB3D3" w14:textId="523A744E" w:rsidR="00A75283" w:rsidRPr="00CF4824" w:rsidRDefault="00607F1E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 xml:space="preserve">V niektorých závažných prípadoch môže byť potrebná hemodialýza, </w:t>
      </w:r>
      <w:proofErr w:type="spellStart"/>
      <w:r w:rsidRPr="00CF4824">
        <w:rPr>
          <w:sz w:val="22"/>
          <w:szCs w:val="22"/>
        </w:rPr>
        <w:t>hemofiltrácia</w:t>
      </w:r>
      <w:proofErr w:type="spellEnd"/>
      <w:r w:rsidRPr="00CF4824">
        <w:rPr>
          <w:sz w:val="22"/>
          <w:szCs w:val="22"/>
        </w:rPr>
        <w:t xml:space="preserve"> alebo </w:t>
      </w:r>
      <w:proofErr w:type="spellStart"/>
      <w:r w:rsidRPr="00CF4824">
        <w:rPr>
          <w:sz w:val="22"/>
          <w:szCs w:val="22"/>
        </w:rPr>
        <w:t>hemodiafiltrácia</w:t>
      </w:r>
      <w:proofErr w:type="spellEnd"/>
      <w:r w:rsidRPr="00CF4824">
        <w:rPr>
          <w:sz w:val="22"/>
          <w:szCs w:val="22"/>
        </w:rPr>
        <w:t>.</w:t>
      </w:r>
    </w:p>
    <w:p w14:paraId="278CC7A7" w14:textId="10714F6C" w:rsidR="009E1DD5" w:rsidRPr="00CF4824" w:rsidRDefault="009E1DD5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6600A5E5" w14:textId="77777777" w:rsidR="009E1DD5" w:rsidRPr="00CF4824" w:rsidRDefault="009E1DD5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5021CCF7" w14:textId="1EBF7F28" w:rsidR="00A75283" w:rsidRPr="00CF4824" w:rsidRDefault="00F07471" w:rsidP="004A2946">
      <w:pPr>
        <w:pStyle w:val="Nadpis1"/>
        <w:tabs>
          <w:tab w:val="left" w:pos="709"/>
        </w:tabs>
        <w:spacing w:before="0" w:after="0"/>
        <w:rPr>
          <w:sz w:val="22"/>
          <w:szCs w:val="22"/>
        </w:rPr>
      </w:pPr>
      <w:bookmarkStart w:id="26" w:name="_ISIW_UH_18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94003" w:rsidRPr="00CF4824">
        <w:rPr>
          <w:sz w:val="22"/>
          <w:szCs w:val="22"/>
        </w:rPr>
        <w:t>FARMAKOLOGICKÉ VLASTNOSTI</w:t>
      </w:r>
    </w:p>
    <w:p w14:paraId="47D4AA5D" w14:textId="77777777" w:rsidR="009E1DD5" w:rsidRPr="004A2946" w:rsidRDefault="009E1DD5" w:rsidP="004E30E0">
      <w:pPr>
        <w:pStyle w:val="Paragraph"/>
        <w:spacing w:before="0" w:after="0" w:line="240" w:lineRule="auto"/>
        <w:rPr>
          <w:sz w:val="22"/>
          <w:szCs w:val="22"/>
        </w:rPr>
      </w:pPr>
    </w:p>
    <w:p w14:paraId="3BC0F3F3" w14:textId="337DF60D" w:rsidR="00A75283" w:rsidRPr="00CF4824" w:rsidRDefault="00F07471" w:rsidP="004A2946">
      <w:pPr>
        <w:pStyle w:val="Nadpis2"/>
        <w:tabs>
          <w:tab w:val="left" w:pos="709"/>
        </w:tabs>
        <w:spacing w:before="0" w:after="0"/>
        <w:rPr>
          <w:sz w:val="22"/>
          <w:szCs w:val="22"/>
        </w:rPr>
      </w:pPr>
      <w:bookmarkStart w:id="27" w:name="_ISIW_UH_19"/>
      <w:bookmarkEnd w:id="26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="00A75283" w:rsidRPr="00CF4824">
        <w:rPr>
          <w:sz w:val="22"/>
          <w:szCs w:val="22"/>
        </w:rPr>
        <w:t>Farmakodynamické</w:t>
      </w:r>
      <w:proofErr w:type="spellEnd"/>
      <w:r w:rsidR="00A75283" w:rsidRPr="00CF4824">
        <w:rPr>
          <w:sz w:val="22"/>
          <w:szCs w:val="22"/>
        </w:rPr>
        <w:t xml:space="preserve"> vlastnosti</w:t>
      </w:r>
    </w:p>
    <w:p w14:paraId="1AC5D0B8" w14:textId="77777777" w:rsidR="009E1DD5" w:rsidRPr="004A2946" w:rsidRDefault="009E1DD5" w:rsidP="004E30E0">
      <w:pPr>
        <w:pStyle w:val="Paragraph"/>
        <w:spacing w:before="0" w:after="0" w:line="240" w:lineRule="auto"/>
        <w:rPr>
          <w:sz w:val="22"/>
          <w:szCs w:val="22"/>
        </w:rPr>
      </w:pPr>
    </w:p>
    <w:bookmarkEnd w:id="27"/>
    <w:p w14:paraId="745B9168" w14:textId="1A2E0D73" w:rsidR="0098032D" w:rsidRPr="00CF4824" w:rsidRDefault="0098032D" w:rsidP="00D91F70">
      <w:pPr>
        <w:pStyle w:val="Paragraph"/>
        <w:spacing w:before="0" w:after="0" w:line="240" w:lineRule="auto"/>
        <w:rPr>
          <w:sz w:val="22"/>
          <w:szCs w:val="22"/>
        </w:rPr>
      </w:pPr>
      <w:proofErr w:type="spellStart"/>
      <w:r w:rsidRPr="0013323F">
        <w:rPr>
          <w:bCs/>
          <w:sz w:val="22"/>
          <w:szCs w:val="22"/>
        </w:rPr>
        <w:t>Farmakoterapeutická</w:t>
      </w:r>
      <w:proofErr w:type="spellEnd"/>
      <w:r w:rsidRPr="0013323F">
        <w:rPr>
          <w:bCs/>
          <w:sz w:val="22"/>
          <w:szCs w:val="22"/>
        </w:rPr>
        <w:t xml:space="preserve"> skupina:</w:t>
      </w:r>
      <w:r w:rsidRPr="0013323F">
        <w:rPr>
          <w:b/>
          <w:bCs/>
          <w:sz w:val="22"/>
          <w:szCs w:val="22"/>
        </w:rPr>
        <w:t xml:space="preserve"> </w:t>
      </w:r>
      <w:r w:rsidRPr="0013323F">
        <w:rPr>
          <w:sz w:val="22"/>
          <w:szCs w:val="22"/>
        </w:rPr>
        <w:t>Roztoky</w:t>
      </w:r>
      <w:r w:rsidRPr="00CF4824">
        <w:rPr>
          <w:sz w:val="22"/>
          <w:szCs w:val="22"/>
        </w:rPr>
        <w:t xml:space="preserve"> </w:t>
      </w:r>
      <w:r w:rsidR="0013323F">
        <w:rPr>
          <w:sz w:val="22"/>
          <w:szCs w:val="22"/>
        </w:rPr>
        <w:t>na</w:t>
      </w:r>
      <w:r w:rsidRPr="00CF4824">
        <w:rPr>
          <w:sz w:val="22"/>
          <w:szCs w:val="22"/>
        </w:rPr>
        <w:t xml:space="preserve"> </w:t>
      </w:r>
      <w:proofErr w:type="spellStart"/>
      <w:r w:rsidRPr="00CF4824">
        <w:rPr>
          <w:sz w:val="22"/>
          <w:szCs w:val="22"/>
        </w:rPr>
        <w:t>parenterálnu</w:t>
      </w:r>
      <w:proofErr w:type="spellEnd"/>
      <w:r w:rsidRPr="00CF4824">
        <w:rPr>
          <w:sz w:val="22"/>
          <w:szCs w:val="22"/>
        </w:rPr>
        <w:t xml:space="preserve"> výživu, kombinácie</w:t>
      </w:r>
    </w:p>
    <w:p w14:paraId="77E644B4" w14:textId="73C6B789" w:rsidR="0098032D" w:rsidRPr="002F3A72" w:rsidRDefault="0098032D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2F3A72">
        <w:rPr>
          <w:sz w:val="22"/>
          <w:szCs w:val="22"/>
        </w:rPr>
        <w:t>ATC kód: B05BA10.</w:t>
      </w:r>
    </w:p>
    <w:p w14:paraId="37A4E3EC" w14:textId="77777777" w:rsidR="009E1DD5" w:rsidRPr="002F3A72" w:rsidRDefault="009E1DD5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47707409" w14:textId="14A206C2" w:rsidR="0098032D" w:rsidRPr="00CF4824" w:rsidRDefault="00E107CB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>OLIMEL obsahuje dusík (</w:t>
      </w:r>
      <w:proofErr w:type="spellStart"/>
      <w:r w:rsidRPr="00CF4824">
        <w:rPr>
          <w:sz w:val="22"/>
          <w:szCs w:val="22"/>
        </w:rPr>
        <w:t>L</w:t>
      </w:r>
      <w:r w:rsidR="00FF7C0C">
        <w:rPr>
          <w:sz w:val="22"/>
          <w:szCs w:val="22"/>
        </w:rPr>
        <w:t>-</w:t>
      </w:r>
      <w:r w:rsidRPr="00CF4824">
        <w:rPr>
          <w:sz w:val="22"/>
          <w:szCs w:val="22"/>
        </w:rPr>
        <w:t>aminokyseliny</w:t>
      </w:r>
      <w:proofErr w:type="spellEnd"/>
      <w:r w:rsidRPr="00CF4824">
        <w:rPr>
          <w:sz w:val="22"/>
          <w:szCs w:val="22"/>
        </w:rPr>
        <w:t xml:space="preserve">) a energiu (glukózu a </w:t>
      </w:r>
      <w:proofErr w:type="spellStart"/>
      <w:r w:rsidRPr="00CF4824">
        <w:rPr>
          <w:sz w:val="22"/>
          <w:szCs w:val="22"/>
        </w:rPr>
        <w:t>tri</w:t>
      </w:r>
      <w:r w:rsidR="00FF7C0C">
        <w:rPr>
          <w:sz w:val="22"/>
          <w:szCs w:val="22"/>
        </w:rPr>
        <w:t>acylgly</w:t>
      </w:r>
      <w:r w:rsidR="006B134C">
        <w:rPr>
          <w:sz w:val="22"/>
          <w:szCs w:val="22"/>
        </w:rPr>
        <w:t>c</w:t>
      </w:r>
      <w:r w:rsidR="00FF7C0C">
        <w:rPr>
          <w:sz w:val="22"/>
          <w:szCs w:val="22"/>
        </w:rPr>
        <w:t>eroly</w:t>
      </w:r>
      <w:proofErr w:type="spellEnd"/>
      <w:r w:rsidRPr="00CF4824">
        <w:rPr>
          <w:sz w:val="22"/>
          <w:szCs w:val="22"/>
        </w:rPr>
        <w:t>), a tým umožňuje zachovanie dostatočnej rovnováhy dusíka a energie.</w:t>
      </w:r>
    </w:p>
    <w:p w14:paraId="6A152F25" w14:textId="77777777" w:rsidR="009E1DD5" w:rsidRPr="00CF4824" w:rsidRDefault="009E1DD5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0BBF0A18" w14:textId="4BC89BFE" w:rsidR="0098032D" w:rsidRPr="00CF4824" w:rsidRDefault="00726402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>Tento liek obsahuje aj elektrolyty.</w:t>
      </w:r>
    </w:p>
    <w:p w14:paraId="2EB6CA30" w14:textId="77777777" w:rsidR="009E1DD5" w:rsidRPr="00CF4824" w:rsidRDefault="009E1DD5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5FAF812D" w14:textId="1C14AF15" w:rsidR="0098032D" w:rsidRPr="00CF4824" w:rsidRDefault="00E743D8" w:rsidP="00D91F70">
      <w:pPr>
        <w:pStyle w:val="Paragraph"/>
        <w:spacing w:before="0" w:after="0" w:line="24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Lipidová</w:t>
      </w:r>
      <w:proofErr w:type="spellEnd"/>
      <w:r>
        <w:rPr>
          <w:sz w:val="22"/>
          <w:szCs w:val="22"/>
        </w:rPr>
        <w:t xml:space="preserve"> e</w:t>
      </w:r>
      <w:r w:rsidR="0098032D" w:rsidRPr="00CF4824">
        <w:rPr>
          <w:sz w:val="22"/>
          <w:szCs w:val="22"/>
        </w:rPr>
        <w:t>mulzia obsiahnutá v</w:t>
      </w:r>
      <w:r w:rsidR="00FF7C0C">
        <w:rPr>
          <w:sz w:val="22"/>
          <w:szCs w:val="22"/>
        </w:rPr>
        <w:t> </w:t>
      </w:r>
      <w:r w:rsidR="0098032D" w:rsidRPr="00CF4824">
        <w:rPr>
          <w:sz w:val="22"/>
          <w:szCs w:val="22"/>
        </w:rPr>
        <w:t>OLIMEL</w:t>
      </w:r>
      <w:r w:rsidR="009555F4">
        <w:rPr>
          <w:sz w:val="22"/>
          <w:szCs w:val="22"/>
        </w:rPr>
        <w:t>E</w:t>
      </w:r>
      <w:r w:rsidR="00FF7C0C">
        <w:rPr>
          <w:sz w:val="22"/>
          <w:szCs w:val="22"/>
        </w:rPr>
        <w:t xml:space="preserve"> N12E</w:t>
      </w:r>
      <w:r w:rsidR="0098032D" w:rsidRPr="00CF4824">
        <w:rPr>
          <w:sz w:val="22"/>
          <w:szCs w:val="22"/>
        </w:rPr>
        <w:t xml:space="preserve"> je kombináciou rafinovaného olivového oleja a rafinovaného sójového oleja (pomer 80:20) s nasledujúcim približným zastúpením mastných kyselín:</w:t>
      </w:r>
    </w:p>
    <w:p w14:paraId="6AFB7615" w14:textId="77777777" w:rsidR="0098032D" w:rsidRPr="00CF4824" w:rsidRDefault="0098032D" w:rsidP="00492951">
      <w:pPr>
        <w:pStyle w:val="Zoznamsodrkami2"/>
        <w:tabs>
          <w:tab w:val="clear" w:pos="1080"/>
        </w:tabs>
        <w:spacing w:before="0" w:after="0" w:line="240" w:lineRule="auto"/>
        <w:ind w:left="567" w:hanging="567"/>
        <w:rPr>
          <w:sz w:val="22"/>
          <w:szCs w:val="22"/>
        </w:rPr>
      </w:pPr>
      <w:r w:rsidRPr="00CF4824">
        <w:rPr>
          <w:sz w:val="22"/>
          <w:szCs w:val="22"/>
        </w:rPr>
        <w:t>15 % nasýtených mastných kyselín (</w:t>
      </w:r>
      <w:proofErr w:type="spellStart"/>
      <w:r w:rsidRPr="00CF4824">
        <w:rPr>
          <w:sz w:val="22"/>
          <w:szCs w:val="22"/>
        </w:rPr>
        <w:t>saturated</w:t>
      </w:r>
      <w:proofErr w:type="spellEnd"/>
      <w:r w:rsidRPr="00CF4824">
        <w:rPr>
          <w:sz w:val="22"/>
          <w:szCs w:val="22"/>
        </w:rPr>
        <w:t xml:space="preserve"> </w:t>
      </w:r>
      <w:proofErr w:type="spellStart"/>
      <w:r w:rsidRPr="00CF4824">
        <w:rPr>
          <w:sz w:val="22"/>
          <w:szCs w:val="22"/>
        </w:rPr>
        <w:t>fatty</w:t>
      </w:r>
      <w:proofErr w:type="spellEnd"/>
      <w:r w:rsidRPr="00CF4824">
        <w:rPr>
          <w:sz w:val="22"/>
          <w:szCs w:val="22"/>
        </w:rPr>
        <w:t xml:space="preserve"> </w:t>
      </w:r>
      <w:proofErr w:type="spellStart"/>
      <w:r w:rsidRPr="00CF4824">
        <w:rPr>
          <w:sz w:val="22"/>
          <w:szCs w:val="22"/>
        </w:rPr>
        <w:t>acids</w:t>
      </w:r>
      <w:proofErr w:type="spellEnd"/>
      <w:r w:rsidRPr="00CF4824">
        <w:rPr>
          <w:sz w:val="22"/>
          <w:szCs w:val="22"/>
        </w:rPr>
        <w:t xml:space="preserve"> – SFA),</w:t>
      </w:r>
    </w:p>
    <w:p w14:paraId="4BEE028F" w14:textId="77777777" w:rsidR="0098032D" w:rsidRPr="00CF4824" w:rsidRDefault="0098032D" w:rsidP="00492951">
      <w:pPr>
        <w:pStyle w:val="Zoznamsodrkami2"/>
        <w:tabs>
          <w:tab w:val="clear" w:pos="1080"/>
        </w:tabs>
        <w:spacing w:before="0" w:after="0" w:line="240" w:lineRule="auto"/>
        <w:ind w:left="567" w:hanging="567"/>
        <w:rPr>
          <w:sz w:val="22"/>
          <w:szCs w:val="22"/>
        </w:rPr>
      </w:pPr>
      <w:r w:rsidRPr="00CF4824">
        <w:rPr>
          <w:sz w:val="22"/>
          <w:szCs w:val="22"/>
        </w:rPr>
        <w:t xml:space="preserve">65 % </w:t>
      </w:r>
      <w:proofErr w:type="spellStart"/>
      <w:r w:rsidRPr="00CF4824">
        <w:rPr>
          <w:sz w:val="22"/>
          <w:szCs w:val="22"/>
        </w:rPr>
        <w:t>mononenasýtených</w:t>
      </w:r>
      <w:proofErr w:type="spellEnd"/>
      <w:r w:rsidRPr="00CF4824">
        <w:rPr>
          <w:sz w:val="22"/>
          <w:szCs w:val="22"/>
        </w:rPr>
        <w:t xml:space="preserve"> mastných kyselín (</w:t>
      </w:r>
      <w:proofErr w:type="spellStart"/>
      <w:r w:rsidRPr="00CF4824">
        <w:rPr>
          <w:sz w:val="22"/>
          <w:szCs w:val="22"/>
        </w:rPr>
        <w:t>monounsaturated</w:t>
      </w:r>
      <w:proofErr w:type="spellEnd"/>
      <w:r w:rsidRPr="00CF4824">
        <w:rPr>
          <w:sz w:val="22"/>
          <w:szCs w:val="22"/>
        </w:rPr>
        <w:t xml:space="preserve"> </w:t>
      </w:r>
      <w:proofErr w:type="spellStart"/>
      <w:r w:rsidRPr="00CF4824">
        <w:rPr>
          <w:sz w:val="22"/>
          <w:szCs w:val="22"/>
        </w:rPr>
        <w:t>fatty</w:t>
      </w:r>
      <w:proofErr w:type="spellEnd"/>
      <w:r w:rsidRPr="00CF4824">
        <w:rPr>
          <w:sz w:val="22"/>
          <w:szCs w:val="22"/>
        </w:rPr>
        <w:t xml:space="preserve"> </w:t>
      </w:r>
      <w:proofErr w:type="spellStart"/>
      <w:r w:rsidRPr="00CF4824">
        <w:rPr>
          <w:sz w:val="22"/>
          <w:szCs w:val="22"/>
        </w:rPr>
        <w:t>acids</w:t>
      </w:r>
      <w:proofErr w:type="spellEnd"/>
      <w:r w:rsidRPr="00CF4824">
        <w:rPr>
          <w:sz w:val="22"/>
          <w:szCs w:val="22"/>
        </w:rPr>
        <w:t xml:space="preserve"> – MUFA),</w:t>
      </w:r>
    </w:p>
    <w:p w14:paraId="04E4F667" w14:textId="77777777" w:rsidR="0098032D" w:rsidRPr="00CF4824" w:rsidRDefault="0098032D" w:rsidP="00492951">
      <w:pPr>
        <w:pStyle w:val="Zoznamsodrkami2"/>
        <w:tabs>
          <w:tab w:val="clear" w:pos="1080"/>
        </w:tabs>
        <w:spacing w:before="0" w:after="0" w:line="240" w:lineRule="auto"/>
        <w:ind w:left="567" w:hanging="567"/>
        <w:rPr>
          <w:sz w:val="22"/>
          <w:szCs w:val="22"/>
        </w:rPr>
      </w:pPr>
      <w:r w:rsidRPr="00CF4824">
        <w:rPr>
          <w:sz w:val="22"/>
          <w:szCs w:val="22"/>
        </w:rPr>
        <w:t xml:space="preserve">20 % esenciálnych </w:t>
      </w:r>
      <w:proofErr w:type="spellStart"/>
      <w:r w:rsidRPr="00CF4824">
        <w:rPr>
          <w:sz w:val="22"/>
          <w:szCs w:val="22"/>
        </w:rPr>
        <w:t>polynenasýtených</w:t>
      </w:r>
      <w:proofErr w:type="spellEnd"/>
      <w:r w:rsidRPr="00CF4824">
        <w:rPr>
          <w:sz w:val="22"/>
          <w:szCs w:val="22"/>
        </w:rPr>
        <w:t xml:space="preserve"> mastných kyselín (</w:t>
      </w:r>
      <w:proofErr w:type="spellStart"/>
      <w:r w:rsidRPr="00CF4824">
        <w:rPr>
          <w:sz w:val="22"/>
          <w:szCs w:val="22"/>
        </w:rPr>
        <w:t>polyunsaturated</w:t>
      </w:r>
      <w:proofErr w:type="spellEnd"/>
      <w:r w:rsidRPr="00CF4824">
        <w:rPr>
          <w:sz w:val="22"/>
          <w:szCs w:val="22"/>
        </w:rPr>
        <w:t xml:space="preserve"> </w:t>
      </w:r>
      <w:proofErr w:type="spellStart"/>
      <w:r w:rsidRPr="00CF4824">
        <w:rPr>
          <w:sz w:val="22"/>
          <w:szCs w:val="22"/>
        </w:rPr>
        <w:t>essential</w:t>
      </w:r>
      <w:proofErr w:type="spellEnd"/>
      <w:r w:rsidRPr="00CF4824">
        <w:rPr>
          <w:sz w:val="22"/>
          <w:szCs w:val="22"/>
        </w:rPr>
        <w:t xml:space="preserve"> </w:t>
      </w:r>
      <w:proofErr w:type="spellStart"/>
      <w:r w:rsidRPr="00CF4824">
        <w:rPr>
          <w:sz w:val="22"/>
          <w:szCs w:val="22"/>
        </w:rPr>
        <w:t>fatty</w:t>
      </w:r>
      <w:proofErr w:type="spellEnd"/>
      <w:r w:rsidRPr="00CF4824">
        <w:rPr>
          <w:sz w:val="22"/>
          <w:szCs w:val="22"/>
        </w:rPr>
        <w:t xml:space="preserve"> </w:t>
      </w:r>
      <w:proofErr w:type="spellStart"/>
      <w:r w:rsidRPr="00CF4824">
        <w:rPr>
          <w:sz w:val="22"/>
          <w:szCs w:val="22"/>
        </w:rPr>
        <w:t>acids</w:t>
      </w:r>
      <w:proofErr w:type="spellEnd"/>
      <w:r w:rsidRPr="00CF4824">
        <w:rPr>
          <w:sz w:val="22"/>
          <w:szCs w:val="22"/>
        </w:rPr>
        <w:t xml:space="preserve"> –PUFA),</w:t>
      </w:r>
    </w:p>
    <w:p w14:paraId="1F22E27C" w14:textId="77777777" w:rsidR="007444AE" w:rsidRPr="00CF4824" w:rsidRDefault="007444AE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0DDC3719" w14:textId="11F25BDE" w:rsidR="0098032D" w:rsidRPr="00CF4824" w:rsidRDefault="0098032D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 xml:space="preserve">Pomer </w:t>
      </w:r>
      <w:proofErr w:type="spellStart"/>
      <w:r w:rsidRPr="00CF4824">
        <w:rPr>
          <w:sz w:val="22"/>
          <w:szCs w:val="22"/>
        </w:rPr>
        <w:t>fosfolipidov</w:t>
      </w:r>
      <w:proofErr w:type="spellEnd"/>
      <w:r w:rsidRPr="00CF4824">
        <w:rPr>
          <w:sz w:val="22"/>
          <w:szCs w:val="22"/>
        </w:rPr>
        <w:t xml:space="preserve"> a </w:t>
      </w:r>
      <w:proofErr w:type="spellStart"/>
      <w:r w:rsidRPr="00CF4824">
        <w:rPr>
          <w:sz w:val="22"/>
          <w:szCs w:val="22"/>
        </w:rPr>
        <w:t>tri</w:t>
      </w:r>
      <w:r w:rsidR="00216BCC">
        <w:rPr>
          <w:sz w:val="22"/>
          <w:szCs w:val="22"/>
        </w:rPr>
        <w:t>acylglycerolov</w:t>
      </w:r>
      <w:proofErr w:type="spellEnd"/>
      <w:r w:rsidRPr="00CF4824">
        <w:rPr>
          <w:sz w:val="22"/>
          <w:szCs w:val="22"/>
        </w:rPr>
        <w:t xml:space="preserve"> je 0,06.</w:t>
      </w:r>
    </w:p>
    <w:p w14:paraId="6CB8F159" w14:textId="77777777" w:rsidR="007444AE" w:rsidRPr="00CF4824" w:rsidRDefault="007444AE" w:rsidP="00D91F70">
      <w:pPr>
        <w:pStyle w:val="Paragraph"/>
        <w:spacing w:before="0" w:after="0" w:line="240" w:lineRule="auto"/>
        <w:rPr>
          <w:iCs/>
          <w:sz w:val="22"/>
          <w:szCs w:val="22"/>
        </w:rPr>
      </w:pPr>
    </w:p>
    <w:p w14:paraId="61C32A86" w14:textId="19BB0C5F" w:rsidR="0098032D" w:rsidRPr="00CF4824" w:rsidRDefault="0098032D" w:rsidP="00D91F70">
      <w:pPr>
        <w:pStyle w:val="Paragraph"/>
        <w:spacing w:before="0" w:after="0" w:line="240" w:lineRule="auto"/>
        <w:rPr>
          <w:iCs/>
          <w:sz w:val="22"/>
          <w:szCs w:val="22"/>
        </w:rPr>
      </w:pPr>
      <w:r w:rsidRPr="00CF4824">
        <w:rPr>
          <w:iCs/>
          <w:sz w:val="22"/>
          <w:szCs w:val="22"/>
        </w:rPr>
        <w:t xml:space="preserve">Olivový olej obsahuje významné množstvá </w:t>
      </w:r>
      <w:proofErr w:type="spellStart"/>
      <w:r w:rsidRPr="00CF4824">
        <w:rPr>
          <w:iCs/>
          <w:sz w:val="22"/>
          <w:szCs w:val="22"/>
        </w:rPr>
        <w:t>alfa</w:t>
      </w:r>
      <w:r w:rsidR="00421F80">
        <w:rPr>
          <w:iCs/>
          <w:sz w:val="22"/>
          <w:szCs w:val="22"/>
        </w:rPr>
        <w:t>-</w:t>
      </w:r>
      <w:r w:rsidRPr="00CF4824">
        <w:rPr>
          <w:iCs/>
          <w:sz w:val="22"/>
          <w:szCs w:val="22"/>
        </w:rPr>
        <w:t>tokoferolu</w:t>
      </w:r>
      <w:proofErr w:type="spellEnd"/>
      <w:r w:rsidRPr="00CF4824">
        <w:rPr>
          <w:iCs/>
          <w:sz w:val="22"/>
          <w:szCs w:val="22"/>
        </w:rPr>
        <w:t xml:space="preserve">, ktorý v kombinácii so stredne vysokým príjmom PUFA prispieva k zlepšeniu stavu vitamínu E a k zníženiu </w:t>
      </w:r>
      <w:proofErr w:type="spellStart"/>
      <w:r w:rsidRPr="00CF4824">
        <w:rPr>
          <w:iCs/>
          <w:sz w:val="22"/>
          <w:szCs w:val="22"/>
        </w:rPr>
        <w:t>peroxidácie</w:t>
      </w:r>
      <w:proofErr w:type="spellEnd"/>
      <w:r w:rsidRPr="00CF4824">
        <w:rPr>
          <w:iCs/>
          <w:sz w:val="22"/>
          <w:szCs w:val="22"/>
        </w:rPr>
        <w:t xml:space="preserve"> </w:t>
      </w:r>
      <w:proofErr w:type="spellStart"/>
      <w:r w:rsidRPr="00CF4824">
        <w:rPr>
          <w:iCs/>
          <w:sz w:val="22"/>
          <w:szCs w:val="22"/>
        </w:rPr>
        <w:t>lipidov</w:t>
      </w:r>
      <w:proofErr w:type="spellEnd"/>
      <w:r w:rsidRPr="00CF4824">
        <w:rPr>
          <w:iCs/>
          <w:sz w:val="22"/>
          <w:szCs w:val="22"/>
        </w:rPr>
        <w:t>.</w:t>
      </w:r>
    </w:p>
    <w:p w14:paraId="1C326152" w14:textId="77777777" w:rsidR="007444AE" w:rsidRPr="00CF4824" w:rsidRDefault="007444AE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09443D80" w14:textId="37D65F3F" w:rsidR="0098032D" w:rsidRPr="00CF4824" w:rsidRDefault="0098032D" w:rsidP="00D91F70">
      <w:pPr>
        <w:pStyle w:val="Paragraph"/>
        <w:spacing w:before="0" w:after="0" w:line="240" w:lineRule="auto"/>
        <w:rPr>
          <w:noProof/>
          <w:sz w:val="22"/>
          <w:szCs w:val="22"/>
        </w:rPr>
      </w:pPr>
      <w:r w:rsidRPr="00CF4824">
        <w:rPr>
          <w:sz w:val="22"/>
          <w:szCs w:val="22"/>
        </w:rPr>
        <w:t>Roztok aminokyselín</w:t>
      </w:r>
      <w:r w:rsidRPr="00CF4824">
        <w:rPr>
          <w:color w:val="FF0000"/>
          <w:sz w:val="22"/>
          <w:szCs w:val="22"/>
        </w:rPr>
        <w:t xml:space="preserve"> </w:t>
      </w:r>
      <w:r w:rsidRPr="00CF4824">
        <w:rPr>
          <w:sz w:val="22"/>
          <w:szCs w:val="22"/>
        </w:rPr>
        <w:t xml:space="preserve">obsahuje 17 </w:t>
      </w:r>
      <w:proofErr w:type="spellStart"/>
      <w:r w:rsidRPr="00CF4824">
        <w:rPr>
          <w:sz w:val="22"/>
          <w:szCs w:val="22"/>
        </w:rPr>
        <w:t>L</w:t>
      </w:r>
      <w:r w:rsidR="00421F80">
        <w:rPr>
          <w:sz w:val="22"/>
          <w:szCs w:val="22"/>
        </w:rPr>
        <w:t>-</w:t>
      </w:r>
      <w:r w:rsidRPr="00CF4824">
        <w:rPr>
          <w:sz w:val="22"/>
          <w:szCs w:val="22"/>
        </w:rPr>
        <w:t>aminokyselín</w:t>
      </w:r>
      <w:proofErr w:type="spellEnd"/>
      <w:r w:rsidRPr="00CF4824">
        <w:rPr>
          <w:sz w:val="22"/>
          <w:szCs w:val="22"/>
        </w:rPr>
        <w:t xml:space="preserve"> (vrátane 8 esenciálnych aminokyselín), ktoré sú potrebné pri syntéze bielkovín.</w:t>
      </w:r>
    </w:p>
    <w:p w14:paraId="60734B61" w14:textId="77777777" w:rsidR="007444AE" w:rsidRPr="00CF4824" w:rsidRDefault="007444AE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59A4E331" w14:textId="53CC5204" w:rsidR="0098032D" w:rsidRPr="00CF4824" w:rsidRDefault="0098032D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>Aminokyseliny taktiež predstavujú zdroj energie. Ich oxidácia má za následok vylučovanie dusíka vo forme močoviny.</w:t>
      </w:r>
    </w:p>
    <w:p w14:paraId="523ACF34" w14:textId="77777777" w:rsidR="007444AE" w:rsidRPr="00CF4824" w:rsidRDefault="007444AE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6EB6EBC1" w14:textId="421F9F9B" w:rsidR="0098032D" w:rsidRPr="00CF4824" w:rsidRDefault="0098032D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>Profil</w:t>
      </w:r>
      <w:r w:rsidRPr="00CF4824">
        <w:rPr>
          <w:i/>
          <w:sz w:val="22"/>
          <w:szCs w:val="22"/>
        </w:rPr>
        <w:t xml:space="preserve"> </w:t>
      </w:r>
      <w:r w:rsidRPr="00CF4824">
        <w:rPr>
          <w:sz w:val="22"/>
          <w:szCs w:val="22"/>
        </w:rPr>
        <w:t>zastúpených aminokyselín je nasledovný:</w:t>
      </w:r>
    </w:p>
    <w:p w14:paraId="7A7F2B51" w14:textId="77777777" w:rsidR="0098032D" w:rsidRPr="00CF4824" w:rsidRDefault="0098032D" w:rsidP="00492951">
      <w:pPr>
        <w:pStyle w:val="Zoznamsodrkami2"/>
        <w:tabs>
          <w:tab w:val="clear" w:pos="1080"/>
          <w:tab w:val="num" w:pos="567"/>
        </w:tabs>
        <w:spacing w:before="0" w:after="0" w:line="240" w:lineRule="auto"/>
        <w:ind w:left="567" w:hanging="567"/>
        <w:rPr>
          <w:sz w:val="22"/>
          <w:szCs w:val="22"/>
        </w:rPr>
      </w:pPr>
      <w:r w:rsidRPr="00CF4824">
        <w:rPr>
          <w:sz w:val="22"/>
          <w:szCs w:val="22"/>
        </w:rPr>
        <w:t>esenciálne aminokyseliny/celkové aminokyseliny: 44,8 %,</w:t>
      </w:r>
    </w:p>
    <w:p w14:paraId="7BADCB51" w14:textId="77777777" w:rsidR="0098032D" w:rsidRPr="00CF4824" w:rsidRDefault="0098032D" w:rsidP="00492951">
      <w:pPr>
        <w:pStyle w:val="Zoznamsodrkami2"/>
        <w:tabs>
          <w:tab w:val="clear" w:pos="1080"/>
          <w:tab w:val="num" w:pos="567"/>
        </w:tabs>
        <w:spacing w:before="0" w:after="0" w:line="240" w:lineRule="auto"/>
        <w:ind w:left="567" w:hanging="567"/>
        <w:rPr>
          <w:sz w:val="22"/>
          <w:szCs w:val="22"/>
        </w:rPr>
      </w:pPr>
      <w:r w:rsidRPr="00CF4824">
        <w:rPr>
          <w:sz w:val="22"/>
          <w:szCs w:val="22"/>
        </w:rPr>
        <w:lastRenderedPageBreak/>
        <w:t xml:space="preserve">esenciálne aminokyseliny </w:t>
      </w:r>
      <w:r w:rsidRPr="00CF4824">
        <w:rPr>
          <w:iCs/>
          <w:sz w:val="22"/>
          <w:szCs w:val="22"/>
        </w:rPr>
        <w:t>(g)/celkový dusík (g)</w:t>
      </w:r>
      <w:r w:rsidRPr="00CF4824">
        <w:rPr>
          <w:sz w:val="22"/>
          <w:szCs w:val="22"/>
        </w:rPr>
        <w:t>: 2,8 %,</w:t>
      </w:r>
    </w:p>
    <w:p w14:paraId="555DDD3B" w14:textId="77777777" w:rsidR="0098032D" w:rsidRPr="00CF4824" w:rsidRDefault="0098032D" w:rsidP="00492951">
      <w:pPr>
        <w:pStyle w:val="Zoznamsodrkami2"/>
        <w:tabs>
          <w:tab w:val="clear" w:pos="1080"/>
          <w:tab w:val="num" w:pos="567"/>
        </w:tabs>
        <w:spacing w:before="0" w:after="0" w:line="240" w:lineRule="auto"/>
        <w:ind w:left="567" w:hanging="567"/>
        <w:rPr>
          <w:sz w:val="22"/>
          <w:szCs w:val="22"/>
        </w:rPr>
      </w:pPr>
      <w:r w:rsidRPr="00CF4824">
        <w:rPr>
          <w:sz w:val="22"/>
          <w:szCs w:val="22"/>
        </w:rPr>
        <w:t>aminokyseliny s rozvetveným reťazcom/celkové aminokyseliny: 18,3 %.</w:t>
      </w:r>
    </w:p>
    <w:p w14:paraId="7110AF4C" w14:textId="77777777" w:rsidR="007444AE" w:rsidRPr="00CF4824" w:rsidRDefault="007444AE" w:rsidP="00492951">
      <w:pPr>
        <w:pStyle w:val="Paragraph"/>
        <w:tabs>
          <w:tab w:val="num" w:pos="567"/>
        </w:tabs>
        <w:spacing w:before="0" w:after="0" w:line="240" w:lineRule="auto"/>
        <w:ind w:left="567" w:hanging="567"/>
        <w:rPr>
          <w:sz w:val="22"/>
          <w:szCs w:val="22"/>
        </w:rPr>
      </w:pPr>
    </w:p>
    <w:p w14:paraId="64307206" w14:textId="2821E9DA" w:rsidR="00A75283" w:rsidRPr="00CF4824" w:rsidRDefault="0098032D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>Zdrojom sacharidov je glukóza.</w:t>
      </w:r>
    </w:p>
    <w:p w14:paraId="381511C2" w14:textId="77777777" w:rsidR="007444AE" w:rsidRPr="00CF4824" w:rsidRDefault="007444AE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7AD8D8C5" w14:textId="47D81CE2" w:rsidR="00A75283" w:rsidRPr="00CF4824" w:rsidRDefault="00421F80" w:rsidP="004A2946">
      <w:pPr>
        <w:pStyle w:val="Nadpis2"/>
        <w:tabs>
          <w:tab w:val="left" w:pos="709"/>
        </w:tabs>
        <w:spacing w:before="0" w:after="0"/>
        <w:rPr>
          <w:sz w:val="22"/>
          <w:szCs w:val="22"/>
        </w:rPr>
      </w:pPr>
      <w:bookmarkStart w:id="28" w:name="_ISIW_UH_20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="00A75283" w:rsidRPr="00CF4824">
        <w:rPr>
          <w:sz w:val="22"/>
          <w:szCs w:val="22"/>
        </w:rPr>
        <w:t>Farmakokinetické</w:t>
      </w:r>
      <w:proofErr w:type="spellEnd"/>
      <w:r w:rsidR="00A75283" w:rsidRPr="00CF4824">
        <w:rPr>
          <w:sz w:val="22"/>
          <w:szCs w:val="22"/>
        </w:rPr>
        <w:t xml:space="preserve"> vlastnosti</w:t>
      </w:r>
    </w:p>
    <w:p w14:paraId="0D83CDA7" w14:textId="77777777" w:rsidR="007444AE" w:rsidRPr="004A2946" w:rsidRDefault="007444AE" w:rsidP="004E30E0">
      <w:pPr>
        <w:pStyle w:val="Paragraph"/>
        <w:spacing w:before="0" w:after="0" w:line="240" w:lineRule="auto"/>
        <w:rPr>
          <w:sz w:val="22"/>
          <w:szCs w:val="22"/>
        </w:rPr>
      </w:pPr>
    </w:p>
    <w:bookmarkEnd w:id="28"/>
    <w:p w14:paraId="7E5631D3" w14:textId="608D8428" w:rsidR="00D11AA7" w:rsidRDefault="00D11AA7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>Distribúcia, metabolizmus a odbúravanie zložiek obsiahnutých v</w:t>
      </w:r>
      <w:r w:rsidR="00421F80">
        <w:rPr>
          <w:sz w:val="22"/>
          <w:szCs w:val="22"/>
        </w:rPr>
        <w:t> </w:t>
      </w:r>
      <w:r w:rsidRPr="00CF4824">
        <w:rPr>
          <w:sz w:val="22"/>
          <w:szCs w:val="22"/>
        </w:rPr>
        <w:t>OLIMEL</w:t>
      </w:r>
      <w:r w:rsidR="009555F4">
        <w:rPr>
          <w:sz w:val="22"/>
          <w:szCs w:val="22"/>
        </w:rPr>
        <w:t>E</w:t>
      </w:r>
      <w:r w:rsidR="00421F80">
        <w:rPr>
          <w:sz w:val="22"/>
          <w:szCs w:val="22"/>
        </w:rPr>
        <w:t xml:space="preserve"> N12E</w:t>
      </w:r>
      <w:r w:rsidRPr="00CF4824">
        <w:rPr>
          <w:sz w:val="22"/>
          <w:szCs w:val="22"/>
        </w:rPr>
        <w:t xml:space="preserve"> (aminokyselín, elektrolytov, glukózy a </w:t>
      </w:r>
      <w:proofErr w:type="spellStart"/>
      <w:r w:rsidRPr="00CF4824">
        <w:rPr>
          <w:sz w:val="22"/>
          <w:szCs w:val="22"/>
        </w:rPr>
        <w:t>lipidov</w:t>
      </w:r>
      <w:proofErr w:type="spellEnd"/>
      <w:r w:rsidRPr="00CF4824">
        <w:rPr>
          <w:sz w:val="22"/>
          <w:szCs w:val="22"/>
        </w:rPr>
        <w:t>) prebieha rovnakým spôsobom, ako keby boli pod</w:t>
      </w:r>
      <w:r w:rsidR="00421F80">
        <w:rPr>
          <w:sz w:val="22"/>
          <w:szCs w:val="22"/>
        </w:rPr>
        <w:t>áv</w:t>
      </w:r>
      <w:r w:rsidRPr="00CF4824">
        <w:rPr>
          <w:sz w:val="22"/>
          <w:szCs w:val="22"/>
        </w:rPr>
        <w:t>ané jednotlivo.</w:t>
      </w:r>
    </w:p>
    <w:p w14:paraId="792B196E" w14:textId="77777777" w:rsidR="00E743D8" w:rsidRPr="00CF4824" w:rsidRDefault="00E743D8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04E21C02" w14:textId="3B393688" w:rsidR="00A75283" w:rsidRPr="00CF4824" w:rsidRDefault="0045320A" w:rsidP="004A2946">
      <w:pPr>
        <w:pStyle w:val="Nadpis2"/>
        <w:tabs>
          <w:tab w:val="left" w:pos="709"/>
        </w:tabs>
        <w:spacing w:before="0" w:after="0"/>
        <w:rPr>
          <w:sz w:val="22"/>
          <w:szCs w:val="22"/>
        </w:rPr>
      </w:pPr>
      <w:bookmarkStart w:id="29" w:name="_ISIW_UH_21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75283" w:rsidRPr="00CF4824">
        <w:rPr>
          <w:sz w:val="22"/>
          <w:szCs w:val="22"/>
        </w:rPr>
        <w:t>Predklinické údaje o</w:t>
      </w:r>
      <w:r w:rsidR="007444AE" w:rsidRPr="00CF4824">
        <w:rPr>
          <w:sz w:val="22"/>
          <w:szCs w:val="22"/>
        </w:rPr>
        <w:t> </w:t>
      </w:r>
      <w:r w:rsidR="00A75283" w:rsidRPr="00CF4824">
        <w:rPr>
          <w:sz w:val="22"/>
          <w:szCs w:val="22"/>
        </w:rPr>
        <w:t>bezpečnosti</w:t>
      </w:r>
    </w:p>
    <w:p w14:paraId="3B964D7C" w14:textId="77777777" w:rsidR="007444AE" w:rsidRPr="004A2946" w:rsidRDefault="007444AE" w:rsidP="004E30E0">
      <w:pPr>
        <w:pStyle w:val="Paragraph"/>
        <w:spacing w:before="0" w:after="0" w:line="240" w:lineRule="auto"/>
        <w:rPr>
          <w:sz w:val="22"/>
          <w:szCs w:val="22"/>
        </w:rPr>
      </w:pPr>
    </w:p>
    <w:bookmarkEnd w:id="29"/>
    <w:p w14:paraId="71591F29" w14:textId="3013DB78" w:rsidR="00CA40B5" w:rsidRPr="00CF4824" w:rsidRDefault="00CA40B5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>Nevykonali sa žiadne predklinické štúdie s</w:t>
      </w:r>
      <w:r w:rsidR="0045320A">
        <w:rPr>
          <w:sz w:val="22"/>
          <w:szCs w:val="22"/>
        </w:rPr>
        <w:t> </w:t>
      </w:r>
      <w:r w:rsidRPr="00CF4824">
        <w:rPr>
          <w:sz w:val="22"/>
          <w:szCs w:val="22"/>
        </w:rPr>
        <w:t>OLIMEL</w:t>
      </w:r>
      <w:r w:rsidR="00492951">
        <w:rPr>
          <w:sz w:val="22"/>
          <w:szCs w:val="22"/>
        </w:rPr>
        <w:t>OM</w:t>
      </w:r>
      <w:r w:rsidR="0045320A">
        <w:rPr>
          <w:sz w:val="22"/>
          <w:szCs w:val="22"/>
        </w:rPr>
        <w:t xml:space="preserve"> N12E</w:t>
      </w:r>
      <w:r w:rsidRPr="00CF4824">
        <w:rPr>
          <w:sz w:val="22"/>
          <w:szCs w:val="22"/>
        </w:rPr>
        <w:t xml:space="preserve">. </w:t>
      </w:r>
    </w:p>
    <w:p w14:paraId="12AC7C63" w14:textId="77777777" w:rsidR="007444AE" w:rsidRPr="00CF4824" w:rsidRDefault="007444AE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356AACBA" w14:textId="74580E35" w:rsidR="00CA40B5" w:rsidRPr="00CF4824" w:rsidRDefault="00CA40B5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2F3A72">
        <w:rPr>
          <w:sz w:val="22"/>
          <w:szCs w:val="22"/>
        </w:rPr>
        <w:t xml:space="preserve">V predklinických štúdiách toxicity vykonaných s použitím </w:t>
      </w:r>
      <w:proofErr w:type="spellStart"/>
      <w:r w:rsidR="00E743D8">
        <w:rPr>
          <w:sz w:val="22"/>
          <w:szCs w:val="22"/>
        </w:rPr>
        <w:t>lipidovej</w:t>
      </w:r>
      <w:proofErr w:type="spellEnd"/>
      <w:r w:rsidR="00E743D8">
        <w:rPr>
          <w:sz w:val="22"/>
          <w:szCs w:val="22"/>
        </w:rPr>
        <w:t xml:space="preserve"> </w:t>
      </w:r>
      <w:r w:rsidRPr="002F3A72">
        <w:rPr>
          <w:sz w:val="22"/>
          <w:szCs w:val="22"/>
        </w:rPr>
        <w:t>emulzie obsiahnut</w:t>
      </w:r>
      <w:r w:rsidR="00E743D8">
        <w:rPr>
          <w:sz w:val="22"/>
          <w:szCs w:val="22"/>
        </w:rPr>
        <w:t>ej</w:t>
      </w:r>
      <w:r w:rsidRPr="002F3A72">
        <w:rPr>
          <w:sz w:val="22"/>
          <w:szCs w:val="22"/>
        </w:rPr>
        <w:t xml:space="preserve"> v</w:t>
      </w:r>
      <w:r w:rsidR="0045320A">
        <w:rPr>
          <w:sz w:val="22"/>
          <w:szCs w:val="22"/>
        </w:rPr>
        <w:t> </w:t>
      </w:r>
      <w:r w:rsidRPr="002F3A72">
        <w:rPr>
          <w:sz w:val="22"/>
          <w:szCs w:val="22"/>
        </w:rPr>
        <w:t>OLIMEL</w:t>
      </w:r>
      <w:r w:rsidR="009555F4">
        <w:rPr>
          <w:sz w:val="22"/>
          <w:szCs w:val="22"/>
        </w:rPr>
        <w:t>E</w:t>
      </w:r>
      <w:r w:rsidR="0045320A">
        <w:rPr>
          <w:sz w:val="22"/>
          <w:szCs w:val="22"/>
        </w:rPr>
        <w:t xml:space="preserve"> N12E</w:t>
      </w:r>
      <w:r w:rsidRPr="002F3A72">
        <w:rPr>
          <w:sz w:val="22"/>
          <w:szCs w:val="22"/>
        </w:rPr>
        <w:t xml:space="preserve"> sa zistili zmeny, ku ktorým bežne dochádza pri vysokom príjme </w:t>
      </w:r>
      <w:proofErr w:type="spellStart"/>
      <w:r w:rsidR="00E743D8">
        <w:rPr>
          <w:sz w:val="22"/>
          <w:szCs w:val="22"/>
        </w:rPr>
        <w:t>lipidovej</w:t>
      </w:r>
      <w:proofErr w:type="spellEnd"/>
      <w:r w:rsidR="00E743D8">
        <w:rPr>
          <w:sz w:val="22"/>
          <w:szCs w:val="22"/>
        </w:rPr>
        <w:t xml:space="preserve"> </w:t>
      </w:r>
      <w:r w:rsidRPr="002F3A72">
        <w:rPr>
          <w:sz w:val="22"/>
          <w:szCs w:val="22"/>
        </w:rPr>
        <w:t xml:space="preserve">emulzie: </w:t>
      </w:r>
      <w:proofErr w:type="spellStart"/>
      <w:r w:rsidRPr="002F3A72">
        <w:rPr>
          <w:sz w:val="22"/>
          <w:szCs w:val="22"/>
        </w:rPr>
        <w:t>steatóza</w:t>
      </w:r>
      <w:proofErr w:type="spellEnd"/>
      <w:r w:rsidRPr="002F3A72">
        <w:rPr>
          <w:sz w:val="22"/>
          <w:szCs w:val="22"/>
        </w:rPr>
        <w:t xml:space="preserve"> pečene, </w:t>
      </w:r>
      <w:proofErr w:type="spellStart"/>
      <w:r w:rsidRPr="002F3A72">
        <w:rPr>
          <w:sz w:val="22"/>
          <w:szCs w:val="22"/>
        </w:rPr>
        <w:t>trombocytopé</w:t>
      </w:r>
      <w:r w:rsidRPr="00CF4824">
        <w:rPr>
          <w:sz w:val="22"/>
          <w:szCs w:val="22"/>
        </w:rPr>
        <w:t>nia</w:t>
      </w:r>
      <w:proofErr w:type="spellEnd"/>
      <w:r w:rsidRPr="00CF4824">
        <w:rPr>
          <w:sz w:val="22"/>
          <w:szCs w:val="22"/>
        </w:rPr>
        <w:t xml:space="preserve"> a zvýšená hladina cholesterolu.</w:t>
      </w:r>
    </w:p>
    <w:p w14:paraId="0E570E45" w14:textId="77777777" w:rsidR="007444AE" w:rsidRPr="00CF4824" w:rsidRDefault="007444AE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0A1805F4" w14:textId="71260249" w:rsidR="00A75283" w:rsidRPr="00CF4824" w:rsidRDefault="00CA40B5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>Predklinické štúdie vykonané s použitím roztoku aminokyselín a roztoku glukózy obsiahnutých v</w:t>
      </w:r>
      <w:r w:rsidR="0045320A">
        <w:rPr>
          <w:sz w:val="22"/>
          <w:szCs w:val="22"/>
        </w:rPr>
        <w:t> </w:t>
      </w:r>
      <w:r w:rsidRPr="00CF4824">
        <w:rPr>
          <w:sz w:val="22"/>
          <w:szCs w:val="22"/>
        </w:rPr>
        <w:t>OLIMEL</w:t>
      </w:r>
      <w:r w:rsidR="009555F4">
        <w:rPr>
          <w:sz w:val="22"/>
          <w:szCs w:val="22"/>
        </w:rPr>
        <w:t>E</w:t>
      </w:r>
      <w:r w:rsidR="0045320A">
        <w:rPr>
          <w:sz w:val="22"/>
          <w:szCs w:val="22"/>
        </w:rPr>
        <w:t xml:space="preserve"> N12E</w:t>
      </w:r>
      <w:r w:rsidRPr="00CF4824">
        <w:rPr>
          <w:sz w:val="22"/>
          <w:szCs w:val="22"/>
        </w:rPr>
        <w:t xml:space="preserve"> v rôznych kvalitatívnych zloženiach a koncentráciách však neodhalili žiadnu špecifickú toxicitu.</w:t>
      </w:r>
    </w:p>
    <w:p w14:paraId="5A07EB02" w14:textId="4B1278D1" w:rsidR="007444AE" w:rsidRPr="00CF4824" w:rsidRDefault="007444AE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1EB1CBC9" w14:textId="77777777" w:rsidR="007444AE" w:rsidRPr="00CF4824" w:rsidRDefault="007444AE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2ECCFAE2" w14:textId="6F507231" w:rsidR="00A75283" w:rsidRPr="00CF4824" w:rsidRDefault="0045320A" w:rsidP="004A2946">
      <w:pPr>
        <w:pStyle w:val="Nadpis1"/>
        <w:tabs>
          <w:tab w:val="left" w:pos="709"/>
        </w:tabs>
        <w:spacing w:before="0" w:after="0"/>
        <w:rPr>
          <w:sz w:val="22"/>
          <w:szCs w:val="22"/>
        </w:rPr>
      </w:pPr>
      <w:bookmarkStart w:id="30" w:name="_ISIW_UH_22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94003" w:rsidRPr="00CF4824">
        <w:rPr>
          <w:sz w:val="22"/>
          <w:szCs w:val="22"/>
        </w:rPr>
        <w:t>FARMACEUTICKÉ INFORMÁCIE</w:t>
      </w:r>
    </w:p>
    <w:p w14:paraId="69A81872" w14:textId="77777777" w:rsidR="007444AE" w:rsidRPr="004A2946" w:rsidRDefault="007444AE" w:rsidP="005B3D93">
      <w:pPr>
        <w:pStyle w:val="Paragraph"/>
        <w:spacing w:before="0" w:after="0" w:line="240" w:lineRule="auto"/>
        <w:rPr>
          <w:sz w:val="22"/>
          <w:szCs w:val="22"/>
        </w:rPr>
      </w:pPr>
    </w:p>
    <w:p w14:paraId="08C17F4E" w14:textId="7C39BA35" w:rsidR="00A75283" w:rsidRPr="00CF4824" w:rsidRDefault="0045320A" w:rsidP="004A2946">
      <w:pPr>
        <w:pStyle w:val="Nadpis2"/>
        <w:tabs>
          <w:tab w:val="left" w:pos="709"/>
        </w:tabs>
        <w:spacing w:before="0" w:after="0"/>
        <w:rPr>
          <w:sz w:val="22"/>
          <w:szCs w:val="22"/>
        </w:rPr>
      </w:pPr>
      <w:bookmarkStart w:id="31" w:name="_ISIW_UH_23"/>
      <w:bookmarkEnd w:id="30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75283" w:rsidRPr="00CF4824">
        <w:rPr>
          <w:sz w:val="22"/>
          <w:szCs w:val="22"/>
        </w:rPr>
        <w:t>Zoznam pomocných látok</w:t>
      </w:r>
    </w:p>
    <w:p w14:paraId="597C3FC6" w14:textId="77777777" w:rsidR="007444AE" w:rsidRPr="004A2946" w:rsidRDefault="007444AE" w:rsidP="005B3D93">
      <w:pPr>
        <w:pStyle w:val="Paragraph"/>
        <w:spacing w:before="0" w:after="0" w:line="240" w:lineRule="auto"/>
        <w:rPr>
          <w:sz w:val="22"/>
          <w:szCs w:val="22"/>
        </w:rPr>
      </w:pPr>
    </w:p>
    <w:bookmarkEnd w:id="31"/>
    <w:p w14:paraId="305CB0DD" w14:textId="7F9F0AC3" w:rsidR="00B64E25" w:rsidRPr="00CF4824" w:rsidRDefault="0037012E" w:rsidP="005B3D93">
      <w:pPr>
        <w:pStyle w:val="Paragraph"/>
        <w:spacing w:before="0" w:after="0" w:line="240" w:lineRule="auto"/>
        <w:rPr>
          <w:sz w:val="22"/>
          <w:szCs w:val="22"/>
          <w:u w:val="single"/>
        </w:rPr>
      </w:pPr>
      <w:r w:rsidRPr="00CF4824">
        <w:rPr>
          <w:sz w:val="22"/>
          <w:szCs w:val="22"/>
          <w:u w:val="single"/>
        </w:rPr>
        <w:t xml:space="preserve">Komora </w:t>
      </w:r>
      <w:r w:rsidR="00E743D8">
        <w:rPr>
          <w:sz w:val="22"/>
          <w:szCs w:val="22"/>
          <w:u w:val="single"/>
        </w:rPr>
        <w:t>s</w:t>
      </w:r>
      <w:r w:rsidRPr="00CF4824">
        <w:rPr>
          <w:sz w:val="22"/>
          <w:szCs w:val="22"/>
          <w:u w:val="single"/>
        </w:rPr>
        <w:t xml:space="preserve"> </w:t>
      </w:r>
      <w:proofErr w:type="spellStart"/>
      <w:r w:rsidR="00E743D8">
        <w:rPr>
          <w:sz w:val="22"/>
          <w:szCs w:val="22"/>
          <w:u w:val="single"/>
        </w:rPr>
        <w:t>lipidovou</w:t>
      </w:r>
      <w:proofErr w:type="spellEnd"/>
      <w:r w:rsidR="00E743D8">
        <w:rPr>
          <w:sz w:val="22"/>
          <w:szCs w:val="22"/>
          <w:u w:val="single"/>
        </w:rPr>
        <w:t xml:space="preserve"> </w:t>
      </w:r>
      <w:r w:rsidRPr="00CF4824">
        <w:rPr>
          <w:sz w:val="22"/>
          <w:szCs w:val="22"/>
          <w:u w:val="single"/>
        </w:rPr>
        <w:t>emulzi</w:t>
      </w:r>
      <w:r w:rsidR="00E743D8">
        <w:rPr>
          <w:sz w:val="22"/>
          <w:szCs w:val="22"/>
          <w:u w:val="single"/>
        </w:rPr>
        <w:t>o</w:t>
      </w:r>
      <w:r w:rsidRPr="00CF4824">
        <w:rPr>
          <w:sz w:val="22"/>
          <w:szCs w:val="22"/>
          <w:u w:val="single"/>
        </w:rPr>
        <w:t>u</w:t>
      </w:r>
    </w:p>
    <w:p w14:paraId="3AE77C0F" w14:textId="77777777" w:rsidR="00C62990" w:rsidRDefault="00C62990" w:rsidP="00424E03">
      <w:pPr>
        <w:pStyle w:val="Zoznamsodrkami"/>
        <w:numPr>
          <w:ilvl w:val="0"/>
          <w:numId w:val="0"/>
        </w:numPr>
        <w:spacing w:before="0" w:after="0" w:line="240" w:lineRule="auto"/>
        <w:rPr>
          <w:sz w:val="22"/>
          <w:szCs w:val="22"/>
        </w:rPr>
      </w:pPr>
    </w:p>
    <w:p w14:paraId="0FBB6FF8" w14:textId="146DBF42" w:rsidR="00B64E25" w:rsidRPr="006C053F" w:rsidRDefault="00E743D8" w:rsidP="00424E03">
      <w:pPr>
        <w:pStyle w:val="Zoznamsodrkami"/>
        <w:numPr>
          <w:ilvl w:val="0"/>
          <w:numId w:val="0"/>
        </w:numPr>
        <w:spacing w:before="0" w:after="0" w:line="24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purifikované</w:t>
      </w:r>
      <w:proofErr w:type="spellEnd"/>
      <w:r w:rsidR="00D54CB0">
        <w:rPr>
          <w:sz w:val="22"/>
          <w:szCs w:val="22"/>
        </w:rPr>
        <w:t xml:space="preserve"> </w:t>
      </w:r>
      <w:r w:rsidR="0037012E" w:rsidRPr="00CF4824">
        <w:rPr>
          <w:sz w:val="22"/>
          <w:szCs w:val="22"/>
        </w:rPr>
        <w:t xml:space="preserve">vaječné </w:t>
      </w:r>
      <w:proofErr w:type="spellStart"/>
      <w:r w:rsidR="0037012E" w:rsidRPr="00CF4824">
        <w:rPr>
          <w:sz w:val="22"/>
          <w:szCs w:val="22"/>
        </w:rPr>
        <w:t>fosf</w:t>
      </w:r>
      <w:r w:rsidR="005F486F">
        <w:rPr>
          <w:sz w:val="22"/>
          <w:szCs w:val="22"/>
        </w:rPr>
        <w:t>olipidy</w:t>
      </w:r>
      <w:proofErr w:type="spellEnd"/>
    </w:p>
    <w:p w14:paraId="328037E1" w14:textId="6BECCF62" w:rsidR="00B64E25" w:rsidRPr="002F3A72" w:rsidRDefault="0037012E" w:rsidP="00424E03">
      <w:pPr>
        <w:pStyle w:val="Zoznamsodrkami"/>
        <w:numPr>
          <w:ilvl w:val="0"/>
          <w:numId w:val="0"/>
        </w:numPr>
        <w:spacing w:before="0" w:after="0" w:line="240" w:lineRule="auto"/>
        <w:rPr>
          <w:sz w:val="22"/>
          <w:szCs w:val="22"/>
        </w:rPr>
      </w:pPr>
      <w:proofErr w:type="spellStart"/>
      <w:r w:rsidRPr="002F3A72">
        <w:rPr>
          <w:sz w:val="22"/>
          <w:szCs w:val="22"/>
        </w:rPr>
        <w:t>glycerol</w:t>
      </w:r>
      <w:proofErr w:type="spellEnd"/>
    </w:p>
    <w:p w14:paraId="2E3188F2" w14:textId="76DCDDC8" w:rsidR="00B64E25" w:rsidRPr="00CF4824" w:rsidRDefault="00D54CB0" w:rsidP="00424E03">
      <w:pPr>
        <w:pStyle w:val="Zoznamsodrkami"/>
        <w:numPr>
          <w:ilvl w:val="0"/>
          <w:numId w:val="0"/>
        </w:numPr>
        <w:spacing w:before="0" w:after="0" w:line="24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oleát</w:t>
      </w:r>
      <w:proofErr w:type="spellEnd"/>
      <w:r>
        <w:rPr>
          <w:sz w:val="22"/>
          <w:szCs w:val="22"/>
        </w:rPr>
        <w:t xml:space="preserve"> sodný</w:t>
      </w:r>
    </w:p>
    <w:p w14:paraId="1FFD0496" w14:textId="1235332D" w:rsidR="00B64E25" w:rsidRPr="00CF4824" w:rsidRDefault="0037012E" w:rsidP="00424E03">
      <w:pPr>
        <w:pStyle w:val="Zoznamsodrkami"/>
        <w:numPr>
          <w:ilvl w:val="0"/>
          <w:numId w:val="0"/>
        </w:numPr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>hydroxid sodný (na úpravu pH)</w:t>
      </w:r>
    </w:p>
    <w:p w14:paraId="5F07B884" w14:textId="514EF61B" w:rsidR="0037012E" w:rsidRPr="00CF4824" w:rsidRDefault="0037012E" w:rsidP="00424E03">
      <w:pPr>
        <w:pStyle w:val="Zoznamsodrkami"/>
        <w:numPr>
          <w:ilvl w:val="0"/>
          <w:numId w:val="0"/>
        </w:numPr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>voda na injekci</w:t>
      </w:r>
      <w:r w:rsidR="00D54CB0">
        <w:rPr>
          <w:sz w:val="22"/>
          <w:szCs w:val="22"/>
        </w:rPr>
        <w:t>e</w:t>
      </w:r>
    </w:p>
    <w:p w14:paraId="49ACE53E" w14:textId="77777777" w:rsidR="007444AE" w:rsidRPr="00CF4824" w:rsidRDefault="007444AE" w:rsidP="005B3D93">
      <w:pPr>
        <w:pStyle w:val="Paragraph"/>
        <w:spacing w:before="0" w:after="0" w:line="240" w:lineRule="auto"/>
        <w:rPr>
          <w:sz w:val="22"/>
          <w:szCs w:val="22"/>
          <w:u w:val="single"/>
        </w:rPr>
      </w:pPr>
    </w:p>
    <w:p w14:paraId="30E868A1" w14:textId="5D444D50" w:rsidR="00B64E25" w:rsidRPr="00CF4824" w:rsidRDefault="0037012E" w:rsidP="005B3D93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  <w:u w:val="single"/>
        </w:rPr>
        <w:t>Komora s roztokom aminokyselín s elektrolytmi</w:t>
      </w:r>
    </w:p>
    <w:p w14:paraId="77195467" w14:textId="77777777" w:rsidR="00C62990" w:rsidRDefault="00C62990" w:rsidP="00424E03">
      <w:pPr>
        <w:pStyle w:val="Zoznamsodrkami"/>
        <w:numPr>
          <w:ilvl w:val="0"/>
          <w:numId w:val="0"/>
        </w:numPr>
        <w:spacing w:before="0" w:after="0" w:line="240" w:lineRule="auto"/>
        <w:rPr>
          <w:sz w:val="22"/>
          <w:szCs w:val="22"/>
        </w:rPr>
      </w:pPr>
    </w:p>
    <w:p w14:paraId="1970B1CA" w14:textId="2056D84C" w:rsidR="00B64E25" w:rsidRPr="00CF4824" w:rsidRDefault="0037012E" w:rsidP="00424E03">
      <w:pPr>
        <w:pStyle w:val="Zoznamsodrkami"/>
        <w:numPr>
          <w:ilvl w:val="0"/>
          <w:numId w:val="0"/>
        </w:numPr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>ľadová kyselina octová (na úpravu pH)</w:t>
      </w:r>
    </w:p>
    <w:p w14:paraId="75F0B747" w14:textId="3EB4941B" w:rsidR="0037012E" w:rsidRPr="00CF4824" w:rsidRDefault="0037012E" w:rsidP="00424E03">
      <w:pPr>
        <w:pStyle w:val="Zoznamsodrkami"/>
        <w:numPr>
          <w:ilvl w:val="0"/>
          <w:numId w:val="0"/>
        </w:numPr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>voda na injekci</w:t>
      </w:r>
      <w:r w:rsidR="005D7987">
        <w:rPr>
          <w:sz w:val="22"/>
          <w:szCs w:val="22"/>
        </w:rPr>
        <w:t>e</w:t>
      </w:r>
    </w:p>
    <w:p w14:paraId="16962835" w14:textId="77777777" w:rsidR="007444AE" w:rsidRPr="00CF4824" w:rsidRDefault="007444AE" w:rsidP="005B3D93">
      <w:pPr>
        <w:pStyle w:val="Paragraph"/>
        <w:spacing w:before="0" w:after="0" w:line="240" w:lineRule="auto"/>
        <w:rPr>
          <w:sz w:val="22"/>
          <w:szCs w:val="22"/>
          <w:u w:val="single"/>
        </w:rPr>
      </w:pPr>
    </w:p>
    <w:p w14:paraId="6CA524B0" w14:textId="30A2A800" w:rsidR="00B64E25" w:rsidRPr="00CF4824" w:rsidRDefault="0037012E" w:rsidP="005B3D93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  <w:u w:val="single"/>
        </w:rPr>
        <w:t>Komora s roztokom glukózy s vápnikom</w:t>
      </w:r>
    </w:p>
    <w:p w14:paraId="013CF40B" w14:textId="77777777" w:rsidR="0044620B" w:rsidRDefault="0044620B" w:rsidP="00424E03">
      <w:pPr>
        <w:pStyle w:val="Zoznamsodrkami"/>
        <w:numPr>
          <w:ilvl w:val="0"/>
          <w:numId w:val="0"/>
        </w:numPr>
        <w:spacing w:before="0" w:after="0" w:line="240" w:lineRule="auto"/>
        <w:rPr>
          <w:sz w:val="22"/>
          <w:szCs w:val="22"/>
        </w:rPr>
      </w:pPr>
    </w:p>
    <w:p w14:paraId="55F2B80F" w14:textId="6B13D9D2" w:rsidR="00B64E25" w:rsidRPr="00CF4824" w:rsidRDefault="0037012E" w:rsidP="00424E03">
      <w:pPr>
        <w:pStyle w:val="Zoznamsodrkami"/>
        <w:numPr>
          <w:ilvl w:val="0"/>
          <w:numId w:val="0"/>
        </w:numPr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>kyselina chlorovodíková (na úpravu pH)</w:t>
      </w:r>
    </w:p>
    <w:p w14:paraId="585A77FD" w14:textId="7398349D" w:rsidR="00A75283" w:rsidRPr="00CF4824" w:rsidRDefault="0037012E" w:rsidP="00424E03">
      <w:pPr>
        <w:pStyle w:val="Zoznamsodrkami"/>
        <w:numPr>
          <w:ilvl w:val="0"/>
          <w:numId w:val="0"/>
        </w:numPr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>voda na injekci</w:t>
      </w:r>
      <w:r w:rsidR="005D7987">
        <w:rPr>
          <w:sz w:val="22"/>
          <w:szCs w:val="22"/>
        </w:rPr>
        <w:t>e</w:t>
      </w:r>
    </w:p>
    <w:p w14:paraId="1DA1C548" w14:textId="77777777" w:rsidR="007444AE" w:rsidRPr="00CF4824" w:rsidRDefault="007444AE" w:rsidP="00D91F70">
      <w:pPr>
        <w:pStyle w:val="Zoznamsodrkami"/>
        <w:numPr>
          <w:ilvl w:val="0"/>
          <w:numId w:val="0"/>
        </w:numPr>
        <w:spacing w:before="0" w:after="0" w:line="240" w:lineRule="auto"/>
        <w:ind w:left="720"/>
        <w:rPr>
          <w:sz w:val="22"/>
          <w:szCs w:val="22"/>
        </w:rPr>
      </w:pPr>
    </w:p>
    <w:p w14:paraId="7DC89F78" w14:textId="01B17E8C" w:rsidR="00A75283" w:rsidRPr="00CF4824" w:rsidRDefault="005D7987" w:rsidP="004A2946">
      <w:pPr>
        <w:pStyle w:val="Nadpis2"/>
        <w:tabs>
          <w:tab w:val="left" w:pos="709"/>
        </w:tabs>
        <w:spacing w:before="0" w:after="0"/>
        <w:rPr>
          <w:sz w:val="22"/>
          <w:szCs w:val="22"/>
        </w:rPr>
      </w:pPr>
      <w:bookmarkStart w:id="32" w:name="_ISIW_UH_24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75283" w:rsidRPr="00CF4824">
        <w:rPr>
          <w:sz w:val="22"/>
          <w:szCs w:val="22"/>
        </w:rPr>
        <w:t>Inkompatibility</w:t>
      </w:r>
    </w:p>
    <w:p w14:paraId="4E2D0D6C" w14:textId="77777777" w:rsidR="007444AE" w:rsidRPr="004A2946" w:rsidRDefault="007444AE" w:rsidP="005B3D93">
      <w:pPr>
        <w:pStyle w:val="Paragraph"/>
        <w:spacing w:before="0" w:after="0" w:line="240" w:lineRule="auto"/>
        <w:rPr>
          <w:sz w:val="22"/>
          <w:szCs w:val="22"/>
        </w:rPr>
      </w:pPr>
    </w:p>
    <w:bookmarkEnd w:id="32"/>
    <w:p w14:paraId="149AA95F" w14:textId="31275775" w:rsidR="00B43A5B" w:rsidRPr="00CF4824" w:rsidRDefault="00B43A5B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iCs/>
          <w:sz w:val="22"/>
          <w:szCs w:val="22"/>
        </w:rPr>
        <w:t>Nepridávajte iné lieky alebo látky do žiadnej z komôr vaku alebo do pripravenej emulzie bez toho, že najprv over</w:t>
      </w:r>
      <w:r w:rsidR="000E4C60">
        <w:rPr>
          <w:iCs/>
          <w:sz w:val="22"/>
          <w:szCs w:val="22"/>
        </w:rPr>
        <w:t>íte</w:t>
      </w:r>
      <w:r w:rsidRPr="00CF4824">
        <w:rPr>
          <w:iCs/>
          <w:sz w:val="22"/>
          <w:szCs w:val="22"/>
        </w:rPr>
        <w:t xml:space="preserve"> ich kompatibilitu a stabilitu výsledného lieku (najmä stabilitu </w:t>
      </w:r>
      <w:proofErr w:type="spellStart"/>
      <w:r w:rsidR="00E743D8">
        <w:rPr>
          <w:iCs/>
          <w:sz w:val="22"/>
          <w:szCs w:val="22"/>
        </w:rPr>
        <w:t>lipidovej</w:t>
      </w:r>
      <w:proofErr w:type="spellEnd"/>
      <w:r w:rsidR="00E743D8">
        <w:rPr>
          <w:iCs/>
          <w:sz w:val="22"/>
          <w:szCs w:val="22"/>
        </w:rPr>
        <w:t xml:space="preserve"> </w:t>
      </w:r>
      <w:r w:rsidRPr="00CF4824">
        <w:rPr>
          <w:iCs/>
          <w:sz w:val="22"/>
          <w:szCs w:val="22"/>
        </w:rPr>
        <w:t>emulzie).</w:t>
      </w:r>
    </w:p>
    <w:p w14:paraId="3672D3F4" w14:textId="77777777" w:rsidR="007444AE" w:rsidRPr="002F3A72" w:rsidRDefault="007444AE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67783645" w14:textId="4D52F70C" w:rsidR="00B43A5B" w:rsidRPr="00CF4824" w:rsidRDefault="00B43A5B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 xml:space="preserve">Inkompatibility sa môžu navodiť napríklad nadmernou </w:t>
      </w:r>
      <w:proofErr w:type="spellStart"/>
      <w:r w:rsidRPr="00CF4824">
        <w:rPr>
          <w:sz w:val="22"/>
          <w:szCs w:val="22"/>
        </w:rPr>
        <w:t>aciditou</w:t>
      </w:r>
      <w:proofErr w:type="spellEnd"/>
      <w:r w:rsidRPr="00CF4824">
        <w:rPr>
          <w:sz w:val="22"/>
          <w:szCs w:val="22"/>
        </w:rPr>
        <w:t xml:space="preserve"> (nízke pH) alebo nevhodným obsahom dvojmocných katiónov (Ca</w:t>
      </w:r>
      <w:r w:rsidRPr="00CF4824">
        <w:rPr>
          <w:sz w:val="22"/>
          <w:szCs w:val="22"/>
          <w:vertAlign w:val="superscript"/>
        </w:rPr>
        <w:t xml:space="preserve">2+ </w:t>
      </w:r>
      <w:r w:rsidRPr="00CF4824">
        <w:rPr>
          <w:sz w:val="22"/>
          <w:szCs w:val="22"/>
        </w:rPr>
        <w:t>a Mg</w:t>
      </w:r>
      <w:r w:rsidRPr="00CF4824">
        <w:rPr>
          <w:sz w:val="22"/>
          <w:szCs w:val="22"/>
          <w:vertAlign w:val="superscript"/>
        </w:rPr>
        <w:t>2+</w:t>
      </w:r>
      <w:r w:rsidRPr="00CF4824">
        <w:rPr>
          <w:sz w:val="22"/>
          <w:szCs w:val="22"/>
        </w:rPr>
        <w:t xml:space="preserve">), ktoré môžu destabilizovať </w:t>
      </w:r>
      <w:proofErr w:type="spellStart"/>
      <w:r w:rsidR="00E743D8">
        <w:rPr>
          <w:sz w:val="22"/>
          <w:szCs w:val="22"/>
        </w:rPr>
        <w:t>lipidovú</w:t>
      </w:r>
      <w:proofErr w:type="spellEnd"/>
      <w:r w:rsidR="00E743D8">
        <w:rPr>
          <w:sz w:val="22"/>
          <w:szCs w:val="22"/>
        </w:rPr>
        <w:t xml:space="preserve"> </w:t>
      </w:r>
      <w:r w:rsidRPr="00CF4824">
        <w:rPr>
          <w:sz w:val="22"/>
          <w:szCs w:val="22"/>
        </w:rPr>
        <w:t>emulziu.</w:t>
      </w:r>
    </w:p>
    <w:p w14:paraId="44BD6D5B" w14:textId="77777777" w:rsidR="007444AE" w:rsidRPr="00CF4824" w:rsidRDefault="007444AE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09C6D8A6" w14:textId="5E94B026" w:rsidR="00D6022C" w:rsidRPr="00CF4824" w:rsidRDefault="00D6022C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 xml:space="preserve">Tak ako pri použití akejkoľvek inej </w:t>
      </w:r>
      <w:proofErr w:type="spellStart"/>
      <w:r w:rsidRPr="00CF4824">
        <w:rPr>
          <w:sz w:val="22"/>
          <w:szCs w:val="22"/>
        </w:rPr>
        <w:t>parenterálnej</w:t>
      </w:r>
      <w:proofErr w:type="spellEnd"/>
      <w:r w:rsidRPr="00CF4824">
        <w:rPr>
          <w:sz w:val="22"/>
          <w:szCs w:val="22"/>
        </w:rPr>
        <w:t xml:space="preserve"> výživy sa musia sledovať pomery vápnika a fosfát</w:t>
      </w:r>
      <w:r w:rsidR="00E743D8">
        <w:rPr>
          <w:sz w:val="22"/>
          <w:szCs w:val="22"/>
        </w:rPr>
        <w:t>u</w:t>
      </w:r>
      <w:r w:rsidRPr="00CF4824">
        <w:rPr>
          <w:sz w:val="22"/>
          <w:szCs w:val="22"/>
        </w:rPr>
        <w:t xml:space="preserve">. Nadbytočné </w:t>
      </w:r>
      <w:r w:rsidR="00A1138E">
        <w:rPr>
          <w:sz w:val="22"/>
          <w:szCs w:val="22"/>
        </w:rPr>
        <w:t>pridávanie</w:t>
      </w:r>
      <w:r w:rsidRPr="00CF4824">
        <w:rPr>
          <w:sz w:val="22"/>
          <w:szCs w:val="22"/>
        </w:rPr>
        <w:t xml:space="preserve"> vápnika a fosfát</w:t>
      </w:r>
      <w:r w:rsidR="00E743D8">
        <w:rPr>
          <w:sz w:val="22"/>
          <w:szCs w:val="22"/>
        </w:rPr>
        <w:t>u</w:t>
      </w:r>
      <w:r w:rsidRPr="00CF4824">
        <w:rPr>
          <w:sz w:val="22"/>
          <w:szCs w:val="22"/>
        </w:rPr>
        <w:t>, hlavne vo forme minerálnych solí, môžu viesť k tvorbe vápenato</w:t>
      </w:r>
      <w:r w:rsidR="00A1138E">
        <w:rPr>
          <w:sz w:val="22"/>
          <w:szCs w:val="22"/>
        </w:rPr>
        <w:t>-</w:t>
      </w:r>
      <w:r w:rsidRPr="00CF4824">
        <w:rPr>
          <w:sz w:val="22"/>
          <w:szCs w:val="22"/>
        </w:rPr>
        <w:t>fosfátových zrazenín.</w:t>
      </w:r>
    </w:p>
    <w:p w14:paraId="075E6ABF" w14:textId="77777777" w:rsidR="007444AE" w:rsidRPr="00CF4824" w:rsidRDefault="007444AE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6EAD407D" w14:textId="13EEA971" w:rsidR="00D6022C" w:rsidRPr="00CF4824" w:rsidRDefault="00E107CB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lastRenderedPageBreak/>
        <w:t xml:space="preserve">OLIMEL </w:t>
      </w:r>
      <w:r w:rsidR="00923ECE">
        <w:rPr>
          <w:sz w:val="22"/>
          <w:szCs w:val="22"/>
        </w:rPr>
        <w:t xml:space="preserve">N12E </w:t>
      </w:r>
      <w:r w:rsidRPr="00CF4824">
        <w:rPr>
          <w:sz w:val="22"/>
          <w:szCs w:val="22"/>
        </w:rPr>
        <w:t xml:space="preserve">obsahuje ióny vápnika, ktoré predstavujú ďalšie riziko koagulácie vyvolané v </w:t>
      </w:r>
      <w:proofErr w:type="spellStart"/>
      <w:r w:rsidRPr="00CF4824">
        <w:rPr>
          <w:sz w:val="22"/>
          <w:szCs w:val="22"/>
        </w:rPr>
        <w:t>citrátom</w:t>
      </w:r>
      <w:proofErr w:type="spellEnd"/>
      <w:r w:rsidRPr="00CF4824">
        <w:rPr>
          <w:sz w:val="22"/>
          <w:szCs w:val="22"/>
        </w:rPr>
        <w:t xml:space="preserve"> </w:t>
      </w:r>
      <w:proofErr w:type="spellStart"/>
      <w:r w:rsidRPr="00CF4824">
        <w:rPr>
          <w:sz w:val="22"/>
          <w:szCs w:val="22"/>
        </w:rPr>
        <w:t>antikoagulovanej</w:t>
      </w:r>
      <w:proofErr w:type="spellEnd"/>
      <w:r w:rsidRPr="00CF4824">
        <w:rPr>
          <w:sz w:val="22"/>
          <w:szCs w:val="22"/>
        </w:rPr>
        <w:t xml:space="preserve">/konzervovanej krvi alebo jej zložkách. </w:t>
      </w:r>
    </w:p>
    <w:p w14:paraId="31271848" w14:textId="77777777" w:rsidR="007444AE" w:rsidRPr="00CF4824" w:rsidRDefault="007444AE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078FF014" w14:textId="5328B8B2" w:rsidR="003B1C04" w:rsidRPr="00CF4824" w:rsidRDefault="00D6022C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>Intravenózne roztoky obsahujúce vápnik, ako je OLIMEL</w:t>
      </w:r>
      <w:r w:rsidR="001F6C7E">
        <w:rPr>
          <w:sz w:val="22"/>
          <w:szCs w:val="22"/>
        </w:rPr>
        <w:t xml:space="preserve"> N12E</w:t>
      </w:r>
      <w:r w:rsidRPr="00CF4824">
        <w:rPr>
          <w:sz w:val="22"/>
          <w:szCs w:val="22"/>
        </w:rPr>
        <w:t xml:space="preserve">, sa nesmú miešať alebo podávať spoločne s </w:t>
      </w:r>
      <w:proofErr w:type="spellStart"/>
      <w:r w:rsidRPr="00CF4824">
        <w:rPr>
          <w:sz w:val="22"/>
          <w:szCs w:val="22"/>
        </w:rPr>
        <w:t>ceftriaxónom</w:t>
      </w:r>
      <w:proofErr w:type="spellEnd"/>
      <w:r w:rsidRPr="00CF4824">
        <w:rPr>
          <w:sz w:val="22"/>
          <w:szCs w:val="22"/>
        </w:rPr>
        <w:t xml:space="preserve"> cez tú istú </w:t>
      </w:r>
      <w:proofErr w:type="spellStart"/>
      <w:r w:rsidRPr="00CF4824">
        <w:rPr>
          <w:sz w:val="22"/>
          <w:szCs w:val="22"/>
        </w:rPr>
        <w:t>infúznu</w:t>
      </w:r>
      <w:proofErr w:type="spellEnd"/>
      <w:r w:rsidRPr="00CF4824">
        <w:rPr>
          <w:sz w:val="22"/>
          <w:szCs w:val="22"/>
        </w:rPr>
        <w:t xml:space="preserve"> linku (napr. cez konektor typu Y), pretože hrozí riziko vyzrážania </w:t>
      </w:r>
      <w:proofErr w:type="spellStart"/>
      <w:r w:rsidRPr="00CF4824">
        <w:rPr>
          <w:sz w:val="22"/>
          <w:szCs w:val="22"/>
        </w:rPr>
        <w:t>ceftriax</w:t>
      </w:r>
      <w:r w:rsidR="001F6C7E">
        <w:rPr>
          <w:sz w:val="22"/>
          <w:szCs w:val="22"/>
        </w:rPr>
        <w:t>ó</w:t>
      </w:r>
      <w:r w:rsidRPr="00CF4824">
        <w:rPr>
          <w:sz w:val="22"/>
          <w:szCs w:val="22"/>
        </w:rPr>
        <w:t>n-vápenatých</w:t>
      </w:r>
      <w:proofErr w:type="spellEnd"/>
      <w:r w:rsidRPr="00CF4824">
        <w:rPr>
          <w:sz w:val="22"/>
          <w:szCs w:val="22"/>
        </w:rPr>
        <w:t xml:space="preserve"> solí (pozri časti 4.4 a 4.5). </w:t>
      </w:r>
    </w:p>
    <w:p w14:paraId="27AF8925" w14:textId="5A37371F" w:rsidR="00A72589" w:rsidRPr="00CF4824" w:rsidRDefault="00A72589" w:rsidP="00D91F70">
      <w:pPr>
        <w:pStyle w:val="Paragraph"/>
        <w:spacing w:before="0" w:after="0" w:line="240" w:lineRule="auto"/>
        <w:rPr>
          <w:bCs/>
          <w:sz w:val="22"/>
          <w:szCs w:val="22"/>
        </w:rPr>
      </w:pPr>
      <w:r w:rsidRPr="00CF4824">
        <w:rPr>
          <w:bCs/>
          <w:sz w:val="22"/>
          <w:szCs w:val="22"/>
        </w:rPr>
        <w:t xml:space="preserve">Z dôvodu rizika vyzrážania sa OLIMEL </w:t>
      </w:r>
      <w:r w:rsidR="00CD39E2">
        <w:rPr>
          <w:bCs/>
          <w:sz w:val="22"/>
          <w:szCs w:val="22"/>
        </w:rPr>
        <w:t xml:space="preserve">N12E </w:t>
      </w:r>
      <w:r w:rsidRPr="00CF4824">
        <w:rPr>
          <w:bCs/>
          <w:sz w:val="22"/>
          <w:szCs w:val="22"/>
        </w:rPr>
        <w:t>nem</w:t>
      </w:r>
      <w:r w:rsidR="00CD39E2">
        <w:rPr>
          <w:bCs/>
          <w:sz w:val="22"/>
          <w:szCs w:val="22"/>
        </w:rPr>
        <w:t>á</w:t>
      </w:r>
      <w:r w:rsidRPr="00CF4824">
        <w:rPr>
          <w:bCs/>
          <w:sz w:val="22"/>
          <w:szCs w:val="22"/>
        </w:rPr>
        <w:t xml:space="preserve"> podávať tou istou </w:t>
      </w:r>
      <w:proofErr w:type="spellStart"/>
      <w:r w:rsidRPr="00CF4824">
        <w:rPr>
          <w:bCs/>
          <w:sz w:val="22"/>
          <w:szCs w:val="22"/>
        </w:rPr>
        <w:t>infúznou</w:t>
      </w:r>
      <w:proofErr w:type="spellEnd"/>
      <w:r w:rsidRPr="00CF4824">
        <w:rPr>
          <w:bCs/>
          <w:sz w:val="22"/>
          <w:szCs w:val="22"/>
        </w:rPr>
        <w:t xml:space="preserve"> linkou ani</w:t>
      </w:r>
      <w:r w:rsidR="00CD39E2">
        <w:rPr>
          <w:bCs/>
          <w:sz w:val="22"/>
          <w:szCs w:val="22"/>
        </w:rPr>
        <w:t xml:space="preserve"> zmiešať spolu s</w:t>
      </w:r>
      <w:r w:rsidRPr="00CF4824">
        <w:rPr>
          <w:bCs/>
          <w:sz w:val="22"/>
          <w:szCs w:val="22"/>
        </w:rPr>
        <w:t xml:space="preserve"> </w:t>
      </w:r>
      <w:proofErr w:type="spellStart"/>
      <w:r w:rsidRPr="00CF4824">
        <w:rPr>
          <w:bCs/>
          <w:sz w:val="22"/>
          <w:szCs w:val="22"/>
        </w:rPr>
        <w:t>ampicilín</w:t>
      </w:r>
      <w:r w:rsidR="00CD39E2">
        <w:rPr>
          <w:bCs/>
          <w:sz w:val="22"/>
          <w:szCs w:val="22"/>
        </w:rPr>
        <w:t>om</w:t>
      </w:r>
      <w:proofErr w:type="spellEnd"/>
      <w:r w:rsidRPr="00CF4824">
        <w:rPr>
          <w:bCs/>
          <w:sz w:val="22"/>
          <w:szCs w:val="22"/>
        </w:rPr>
        <w:t xml:space="preserve"> alebo </w:t>
      </w:r>
      <w:proofErr w:type="spellStart"/>
      <w:r w:rsidRPr="00CF4824">
        <w:rPr>
          <w:bCs/>
          <w:sz w:val="22"/>
          <w:szCs w:val="22"/>
        </w:rPr>
        <w:t>fosfenytoín</w:t>
      </w:r>
      <w:r w:rsidR="00CD39E2">
        <w:rPr>
          <w:bCs/>
          <w:sz w:val="22"/>
          <w:szCs w:val="22"/>
        </w:rPr>
        <w:t>om</w:t>
      </w:r>
      <w:proofErr w:type="spellEnd"/>
      <w:r w:rsidRPr="00CF4824">
        <w:rPr>
          <w:bCs/>
          <w:sz w:val="22"/>
          <w:szCs w:val="22"/>
        </w:rPr>
        <w:t xml:space="preserve">. </w:t>
      </w:r>
    </w:p>
    <w:p w14:paraId="5165174F" w14:textId="77777777" w:rsidR="007444AE" w:rsidRPr="00CF4824" w:rsidRDefault="007444AE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076E30DB" w14:textId="43DB5BFF" w:rsidR="00B43A5B" w:rsidRPr="00CF4824" w:rsidRDefault="00B43A5B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3C2B47">
        <w:rPr>
          <w:sz w:val="22"/>
          <w:szCs w:val="22"/>
        </w:rPr>
        <w:t>Overte si kompatibilitu</w:t>
      </w:r>
      <w:r w:rsidRPr="004723DA">
        <w:rPr>
          <w:sz w:val="22"/>
          <w:szCs w:val="22"/>
        </w:rPr>
        <w:t xml:space="preserve"> s roztokmi</w:t>
      </w:r>
      <w:r w:rsidRPr="00CF4824">
        <w:rPr>
          <w:sz w:val="22"/>
          <w:szCs w:val="22"/>
        </w:rPr>
        <w:t xml:space="preserve"> podávanými súčasne rovnakou </w:t>
      </w:r>
      <w:proofErr w:type="spellStart"/>
      <w:r w:rsidRPr="00CF4824">
        <w:rPr>
          <w:sz w:val="22"/>
          <w:szCs w:val="22"/>
        </w:rPr>
        <w:t>infúznou</w:t>
      </w:r>
      <w:proofErr w:type="spellEnd"/>
      <w:r w:rsidRPr="00CF4824">
        <w:rPr>
          <w:sz w:val="22"/>
          <w:szCs w:val="22"/>
        </w:rPr>
        <w:t xml:space="preserve"> súpravou, katétrom alebo kanylou.</w:t>
      </w:r>
    </w:p>
    <w:p w14:paraId="50823F94" w14:textId="77777777" w:rsidR="007444AE" w:rsidRPr="00CF4824" w:rsidRDefault="007444AE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3BC7A640" w14:textId="2E3C0B17" w:rsidR="00A75283" w:rsidRDefault="00B43A5B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 xml:space="preserve">Vzhľadom na riziko </w:t>
      </w:r>
      <w:proofErr w:type="spellStart"/>
      <w:r w:rsidRPr="00CF4824">
        <w:rPr>
          <w:sz w:val="22"/>
          <w:szCs w:val="22"/>
        </w:rPr>
        <w:t>pseudoaglutinácie</w:t>
      </w:r>
      <w:proofErr w:type="spellEnd"/>
      <w:r w:rsidRPr="00CF4824">
        <w:rPr>
          <w:sz w:val="22"/>
          <w:szCs w:val="22"/>
        </w:rPr>
        <w:t xml:space="preserve"> liek nepodávajte rovnakou </w:t>
      </w:r>
      <w:proofErr w:type="spellStart"/>
      <w:r w:rsidRPr="00CF4824">
        <w:rPr>
          <w:sz w:val="22"/>
          <w:szCs w:val="22"/>
        </w:rPr>
        <w:t>infúznou</w:t>
      </w:r>
      <w:proofErr w:type="spellEnd"/>
      <w:r w:rsidRPr="00CF4824">
        <w:rPr>
          <w:sz w:val="22"/>
          <w:szCs w:val="22"/>
        </w:rPr>
        <w:t xml:space="preserve"> súpravou, akou sa podáva krv, a to pred podaním krvi, súbežne s ním, ani po ňom.</w:t>
      </w:r>
    </w:p>
    <w:p w14:paraId="08B57E0E" w14:textId="77777777" w:rsidR="004723DA" w:rsidRPr="00CF4824" w:rsidRDefault="004723DA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77CDD5B2" w14:textId="35B1915D" w:rsidR="00A75283" w:rsidRPr="00CF4824" w:rsidRDefault="004723DA" w:rsidP="004A2946">
      <w:pPr>
        <w:pStyle w:val="Nadpis2"/>
        <w:tabs>
          <w:tab w:val="left" w:pos="709"/>
        </w:tabs>
        <w:spacing w:before="0" w:after="0"/>
        <w:rPr>
          <w:sz w:val="22"/>
          <w:szCs w:val="22"/>
        </w:rPr>
      </w:pPr>
      <w:bookmarkStart w:id="33" w:name="_ISIW_UH_25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75283" w:rsidRPr="00CF4824">
        <w:rPr>
          <w:sz w:val="22"/>
          <w:szCs w:val="22"/>
        </w:rPr>
        <w:t>Čas použiteľnosti</w:t>
      </w:r>
    </w:p>
    <w:p w14:paraId="0D45C7CC" w14:textId="77777777" w:rsidR="007444AE" w:rsidRPr="004A2946" w:rsidRDefault="007444AE" w:rsidP="005B3D93">
      <w:pPr>
        <w:pStyle w:val="Paragraph"/>
        <w:spacing w:before="0" w:after="0" w:line="240" w:lineRule="auto"/>
        <w:rPr>
          <w:sz w:val="22"/>
          <w:szCs w:val="22"/>
        </w:rPr>
      </w:pPr>
    </w:p>
    <w:bookmarkEnd w:id="33"/>
    <w:p w14:paraId="2E8BFE48" w14:textId="7510953E" w:rsidR="00631932" w:rsidRPr="00CF4824" w:rsidRDefault="00891AEB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 xml:space="preserve">2 roky v neporušenom </w:t>
      </w:r>
      <w:r w:rsidR="004723DA">
        <w:rPr>
          <w:sz w:val="22"/>
          <w:szCs w:val="22"/>
        </w:rPr>
        <w:t xml:space="preserve">vonkajšom </w:t>
      </w:r>
      <w:r w:rsidRPr="00CF4824">
        <w:rPr>
          <w:sz w:val="22"/>
          <w:szCs w:val="22"/>
        </w:rPr>
        <w:t>obale.</w:t>
      </w:r>
    </w:p>
    <w:p w14:paraId="5259F34C" w14:textId="77777777" w:rsidR="007444AE" w:rsidRPr="00CF4824" w:rsidRDefault="007444AE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5D772CCA" w14:textId="4D9DF240" w:rsidR="00631932" w:rsidRPr="00424E03" w:rsidRDefault="00631932" w:rsidP="00D91F70">
      <w:pPr>
        <w:pStyle w:val="Heading3NoTOC"/>
        <w:spacing w:before="0" w:after="0"/>
        <w:rPr>
          <w:b w:val="0"/>
          <w:i w:val="0"/>
          <w:sz w:val="22"/>
          <w:szCs w:val="22"/>
          <w:u w:val="single"/>
        </w:rPr>
      </w:pPr>
      <w:bookmarkStart w:id="34" w:name="_ISIW_UH_26"/>
      <w:r w:rsidRPr="00424E03">
        <w:rPr>
          <w:b w:val="0"/>
          <w:i w:val="0"/>
          <w:sz w:val="22"/>
          <w:szCs w:val="22"/>
          <w:u w:val="single"/>
        </w:rPr>
        <w:t>Po príprave</w:t>
      </w:r>
    </w:p>
    <w:bookmarkEnd w:id="34"/>
    <w:p w14:paraId="30C922AA" w14:textId="77777777" w:rsidR="003813C1" w:rsidRDefault="003813C1" w:rsidP="00D91F70">
      <w:pPr>
        <w:rPr>
          <w:sz w:val="22"/>
          <w:szCs w:val="22"/>
        </w:rPr>
      </w:pPr>
    </w:p>
    <w:p w14:paraId="437A7AAE" w14:textId="3D7589A5" w:rsidR="00B64E25" w:rsidRPr="00CF4824" w:rsidRDefault="00B64E25" w:rsidP="00D91F70">
      <w:pPr>
        <w:rPr>
          <w:sz w:val="22"/>
          <w:szCs w:val="22"/>
        </w:rPr>
      </w:pPr>
      <w:r w:rsidRPr="00CF4824">
        <w:rPr>
          <w:sz w:val="22"/>
          <w:szCs w:val="22"/>
        </w:rPr>
        <w:t xml:space="preserve">Chemická a fyzická stabilita pri používaní bola preukázaná </w:t>
      </w:r>
      <w:r w:rsidR="009F02FB" w:rsidRPr="00CF4824">
        <w:rPr>
          <w:sz w:val="22"/>
          <w:szCs w:val="22"/>
        </w:rPr>
        <w:t>po dobu 7 dní pri teplote 2 – 8 </w:t>
      </w:r>
      <w:r w:rsidRPr="00CF4824">
        <w:rPr>
          <w:sz w:val="22"/>
          <w:szCs w:val="22"/>
        </w:rPr>
        <w:t>°C a</w:t>
      </w:r>
      <w:r w:rsidR="00135C11">
        <w:rPr>
          <w:sz w:val="22"/>
          <w:szCs w:val="22"/>
        </w:rPr>
        <w:t xml:space="preserve"> následne </w:t>
      </w:r>
      <w:r w:rsidRPr="00CF4824">
        <w:rPr>
          <w:sz w:val="22"/>
          <w:szCs w:val="22"/>
        </w:rPr>
        <w:t>počas 48 hodín pri teplote neprevyšujúcej 30</w:t>
      </w:r>
      <w:r w:rsidR="009F02FB" w:rsidRPr="00CF4824">
        <w:rPr>
          <w:sz w:val="22"/>
          <w:szCs w:val="22"/>
        </w:rPr>
        <w:t> </w:t>
      </w:r>
      <w:r w:rsidRPr="00CF4824">
        <w:rPr>
          <w:sz w:val="22"/>
          <w:szCs w:val="22"/>
        </w:rPr>
        <w:t>°C.</w:t>
      </w:r>
    </w:p>
    <w:p w14:paraId="6C348E4E" w14:textId="77777777" w:rsidR="007444AE" w:rsidRPr="00CF4824" w:rsidRDefault="007444AE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3FFE30A7" w14:textId="4A728931" w:rsidR="00631932" w:rsidRPr="00CF4824" w:rsidRDefault="00B64E25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 xml:space="preserve">Z mikrobiologického </w:t>
      </w:r>
      <w:r w:rsidR="00F0697F">
        <w:rPr>
          <w:sz w:val="22"/>
          <w:szCs w:val="22"/>
        </w:rPr>
        <w:t>hľadiska</w:t>
      </w:r>
      <w:r w:rsidRPr="00CF4824">
        <w:rPr>
          <w:sz w:val="22"/>
          <w:szCs w:val="22"/>
        </w:rPr>
        <w:t xml:space="preserve"> sa má </w:t>
      </w:r>
      <w:r w:rsidR="004723DA">
        <w:rPr>
          <w:sz w:val="22"/>
          <w:szCs w:val="22"/>
        </w:rPr>
        <w:t xml:space="preserve">liek </w:t>
      </w:r>
      <w:r w:rsidRPr="00CF4824">
        <w:rPr>
          <w:sz w:val="22"/>
          <w:szCs w:val="22"/>
        </w:rPr>
        <w:t xml:space="preserve">použiť okamžite. </w:t>
      </w:r>
      <w:r w:rsidR="00F0697F">
        <w:rPr>
          <w:sz w:val="22"/>
          <w:szCs w:val="22"/>
        </w:rPr>
        <w:t xml:space="preserve">Ak sa </w:t>
      </w:r>
      <w:r w:rsidRPr="00CF4824">
        <w:rPr>
          <w:sz w:val="22"/>
          <w:szCs w:val="22"/>
        </w:rPr>
        <w:t xml:space="preserve">nepoužije okamžite, </w:t>
      </w:r>
      <w:r w:rsidR="00F0697F">
        <w:rPr>
          <w:sz w:val="22"/>
          <w:szCs w:val="22"/>
        </w:rPr>
        <w:t>čas</w:t>
      </w:r>
      <w:r w:rsidRPr="00CF4824">
        <w:rPr>
          <w:sz w:val="22"/>
          <w:szCs w:val="22"/>
        </w:rPr>
        <w:t xml:space="preserve"> </w:t>
      </w:r>
      <w:r w:rsidR="00F0697F">
        <w:rPr>
          <w:sz w:val="22"/>
          <w:szCs w:val="22"/>
        </w:rPr>
        <w:t>uchovávania počas používania a podmienky pred použitím</w:t>
      </w:r>
      <w:r w:rsidRPr="00CF4824">
        <w:rPr>
          <w:sz w:val="22"/>
          <w:szCs w:val="22"/>
        </w:rPr>
        <w:t xml:space="preserve"> sú zodpovednosťou používateľa</w:t>
      </w:r>
      <w:r w:rsidR="00F0697F">
        <w:rPr>
          <w:sz w:val="22"/>
          <w:szCs w:val="22"/>
        </w:rPr>
        <w:t xml:space="preserve"> a</w:t>
      </w:r>
      <w:r w:rsidRPr="00CF4824">
        <w:rPr>
          <w:sz w:val="22"/>
          <w:szCs w:val="22"/>
        </w:rPr>
        <w:t xml:space="preserve"> štandardne </w:t>
      </w:r>
      <w:r w:rsidR="00F0697F">
        <w:rPr>
          <w:sz w:val="22"/>
          <w:szCs w:val="22"/>
        </w:rPr>
        <w:t xml:space="preserve">nemajú </w:t>
      </w:r>
      <w:r w:rsidRPr="00CF4824">
        <w:rPr>
          <w:sz w:val="22"/>
          <w:szCs w:val="22"/>
        </w:rPr>
        <w:t xml:space="preserve"> prekročiť 24 hodín pri teplote 2 – 8</w:t>
      </w:r>
      <w:r w:rsidR="009F02FB" w:rsidRPr="00CF4824">
        <w:rPr>
          <w:sz w:val="22"/>
          <w:szCs w:val="22"/>
        </w:rPr>
        <w:t> </w:t>
      </w:r>
      <w:r w:rsidRPr="00CF4824">
        <w:rPr>
          <w:sz w:val="22"/>
          <w:szCs w:val="22"/>
        </w:rPr>
        <w:t xml:space="preserve">°C, </w:t>
      </w:r>
      <w:r w:rsidR="00F0697F">
        <w:rPr>
          <w:sz w:val="22"/>
          <w:szCs w:val="22"/>
        </w:rPr>
        <w:t xml:space="preserve">pokiaľ sa rekonštitúcia neuskutočnila v </w:t>
      </w:r>
      <w:r w:rsidRPr="00CF4824">
        <w:rPr>
          <w:sz w:val="22"/>
          <w:szCs w:val="22"/>
        </w:rPr>
        <w:t xml:space="preserve">kontrolovaných a </w:t>
      </w:r>
      <w:r w:rsidR="00F0697F">
        <w:rPr>
          <w:sz w:val="22"/>
          <w:szCs w:val="22"/>
        </w:rPr>
        <w:t>validovaných</w:t>
      </w:r>
      <w:r w:rsidRPr="00CF4824">
        <w:rPr>
          <w:sz w:val="22"/>
          <w:szCs w:val="22"/>
        </w:rPr>
        <w:t xml:space="preserve"> aseptických podmienkach.</w:t>
      </w:r>
    </w:p>
    <w:p w14:paraId="4F19C77C" w14:textId="77777777" w:rsidR="007444AE" w:rsidRPr="00CF4824" w:rsidRDefault="007444AE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4DA24E5B" w14:textId="62008F25" w:rsidR="00631932" w:rsidRPr="00424E03" w:rsidRDefault="00631932" w:rsidP="00D91F70">
      <w:pPr>
        <w:pStyle w:val="Heading3Unnumbered"/>
        <w:spacing w:before="0" w:after="0"/>
        <w:rPr>
          <w:b w:val="0"/>
          <w:i w:val="0"/>
          <w:sz w:val="22"/>
          <w:szCs w:val="22"/>
          <w:u w:val="single"/>
        </w:rPr>
      </w:pPr>
      <w:bookmarkStart w:id="35" w:name="_ISIW_UH_27"/>
      <w:r w:rsidRPr="00424E03">
        <w:rPr>
          <w:b w:val="0"/>
          <w:i w:val="0"/>
          <w:sz w:val="22"/>
          <w:szCs w:val="22"/>
          <w:u w:val="single"/>
        </w:rPr>
        <w:t xml:space="preserve">Po pridaní </w:t>
      </w:r>
      <w:proofErr w:type="spellStart"/>
      <w:r w:rsidRPr="00424E03">
        <w:rPr>
          <w:b w:val="0"/>
          <w:i w:val="0"/>
          <w:sz w:val="22"/>
          <w:szCs w:val="22"/>
          <w:u w:val="single"/>
        </w:rPr>
        <w:t>suplementov</w:t>
      </w:r>
      <w:proofErr w:type="spellEnd"/>
      <w:r w:rsidRPr="00424E03">
        <w:rPr>
          <w:b w:val="0"/>
          <w:i w:val="0"/>
          <w:sz w:val="22"/>
          <w:szCs w:val="22"/>
          <w:u w:val="single"/>
        </w:rPr>
        <w:t xml:space="preserve"> (elektrolytov, stopových prvkov a vitamínov; pozri časť 6.6)</w:t>
      </w:r>
    </w:p>
    <w:bookmarkEnd w:id="35"/>
    <w:p w14:paraId="5AD8F2E9" w14:textId="77777777" w:rsidR="00034BD2" w:rsidRDefault="00034BD2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66A4E5B4" w14:textId="18D72A89" w:rsidR="00631932" w:rsidRPr="00CF4824" w:rsidRDefault="00631932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 xml:space="preserve">Čo sa týka špecifických </w:t>
      </w:r>
      <w:r w:rsidR="009172CF">
        <w:rPr>
          <w:sz w:val="22"/>
          <w:szCs w:val="22"/>
        </w:rPr>
        <w:t>prídavkov</w:t>
      </w:r>
      <w:r w:rsidRPr="00CF4824">
        <w:rPr>
          <w:sz w:val="22"/>
          <w:szCs w:val="22"/>
        </w:rPr>
        <w:t>, chemická a fyzická stabilita pri používaní bola preukázaná po dobu 7 dní pri teplote 2 – 8</w:t>
      </w:r>
      <w:r w:rsidR="009F02FB" w:rsidRPr="00CF4824">
        <w:rPr>
          <w:sz w:val="22"/>
          <w:szCs w:val="22"/>
        </w:rPr>
        <w:t> </w:t>
      </w:r>
      <w:r w:rsidRPr="00CF4824">
        <w:rPr>
          <w:sz w:val="22"/>
          <w:szCs w:val="22"/>
        </w:rPr>
        <w:t>°C a</w:t>
      </w:r>
      <w:r w:rsidR="00FF3534">
        <w:rPr>
          <w:sz w:val="22"/>
          <w:szCs w:val="22"/>
        </w:rPr>
        <w:t xml:space="preserve"> následne </w:t>
      </w:r>
      <w:r w:rsidRPr="00CF4824">
        <w:rPr>
          <w:sz w:val="22"/>
          <w:szCs w:val="22"/>
        </w:rPr>
        <w:t>počas 48 hodín pri teplote neprevyšujúcej 30</w:t>
      </w:r>
      <w:r w:rsidR="009F02FB" w:rsidRPr="00CF4824">
        <w:rPr>
          <w:sz w:val="22"/>
          <w:szCs w:val="22"/>
        </w:rPr>
        <w:t> </w:t>
      </w:r>
      <w:r w:rsidRPr="00CF4824">
        <w:rPr>
          <w:sz w:val="22"/>
          <w:szCs w:val="22"/>
        </w:rPr>
        <w:t>°C.</w:t>
      </w:r>
    </w:p>
    <w:p w14:paraId="2EB3B2A8" w14:textId="77777777" w:rsidR="007444AE" w:rsidRPr="00CF4824" w:rsidRDefault="007444AE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1395C405" w14:textId="1F40D226" w:rsidR="00A75283" w:rsidRPr="00CF4824" w:rsidRDefault="00631932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 xml:space="preserve">Z mikrobiologického </w:t>
      </w:r>
      <w:r w:rsidR="00FF3534">
        <w:rPr>
          <w:sz w:val="22"/>
          <w:szCs w:val="22"/>
        </w:rPr>
        <w:t>hľadiska</w:t>
      </w:r>
      <w:r w:rsidRPr="00CF4824">
        <w:rPr>
          <w:sz w:val="22"/>
          <w:szCs w:val="22"/>
        </w:rPr>
        <w:t xml:space="preserve"> sa m</w:t>
      </w:r>
      <w:r w:rsidR="00FF3534">
        <w:rPr>
          <w:sz w:val="22"/>
          <w:szCs w:val="22"/>
        </w:rPr>
        <w:t>á prídavok</w:t>
      </w:r>
      <w:r w:rsidR="00DF01DE">
        <w:rPr>
          <w:sz w:val="22"/>
          <w:szCs w:val="22"/>
        </w:rPr>
        <w:t xml:space="preserve"> </w:t>
      </w:r>
      <w:r w:rsidRPr="00CF4824">
        <w:rPr>
          <w:sz w:val="22"/>
          <w:szCs w:val="22"/>
        </w:rPr>
        <w:t xml:space="preserve">použiť okamžite. </w:t>
      </w:r>
      <w:r w:rsidR="00231AA1">
        <w:rPr>
          <w:sz w:val="22"/>
          <w:szCs w:val="22"/>
        </w:rPr>
        <w:t xml:space="preserve">Ak sa </w:t>
      </w:r>
      <w:r w:rsidRPr="00CF4824">
        <w:rPr>
          <w:sz w:val="22"/>
          <w:szCs w:val="22"/>
        </w:rPr>
        <w:t xml:space="preserve">nepoužije okamžite, </w:t>
      </w:r>
      <w:r w:rsidR="00346FEA">
        <w:rPr>
          <w:sz w:val="22"/>
          <w:szCs w:val="22"/>
        </w:rPr>
        <w:t xml:space="preserve">čas uchovávania počas používania a podmienky, </w:t>
      </w:r>
      <w:r w:rsidRPr="00CF4824">
        <w:rPr>
          <w:sz w:val="22"/>
          <w:szCs w:val="22"/>
        </w:rPr>
        <w:t>po zmiešaní a pred použitím, sú zodpovednosťou používateľa</w:t>
      </w:r>
      <w:r w:rsidR="00346FEA">
        <w:rPr>
          <w:sz w:val="22"/>
          <w:szCs w:val="22"/>
        </w:rPr>
        <w:t xml:space="preserve"> a</w:t>
      </w:r>
      <w:r w:rsidRPr="00CF4824">
        <w:rPr>
          <w:sz w:val="22"/>
          <w:szCs w:val="22"/>
        </w:rPr>
        <w:t xml:space="preserve"> štandardne</w:t>
      </w:r>
      <w:r w:rsidR="00346FEA">
        <w:rPr>
          <w:sz w:val="22"/>
          <w:szCs w:val="22"/>
        </w:rPr>
        <w:t xml:space="preserve"> nemajú</w:t>
      </w:r>
      <w:r w:rsidRPr="00CF4824">
        <w:rPr>
          <w:sz w:val="22"/>
          <w:szCs w:val="22"/>
        </w:rPr>
        <w:t xml:space="preserve"> prekročiť 24 hodín pri teplote 2 – 8</w:t>
      </w:r>
      <w:r w:rsidR="009F02FB" w:rsidRPr="00CF4824">
        <w:rPr>
          <w:sz w:val="22"/>
          <w:szCs w:val="22"/>
        </w:rPr>
        <w:t> </w:t>
      </w:r>
      <w:r w:rsidRPr="00CF4824">
        <w:rPr>
          <w:sz w:val="22"/>
          <w:szCs w:val="22"/>
        </w:rPr>
        <w:t xml:space="preserve">°C, </w:t>
      </w:r>
      <w:r w:rsidR="00346FEA">
        <w:rPr>
          <w:sz w:val="22"/>
          <w:szCs w:val="22"/>
        </w:rPr>
        <w:t>pokiaľ sa pridanie</w:t>
      </w:r>
      <w:r w:rsidR="00C225BD">
        <w:rPr>
          <w:sz w:val="22"/>
          <w:szCs w:val="22"/>
        </w:rPr>
        <w:t xml:space="preserve"> </w:t>
      </w:r>
      <w:proofErr w:type="spellStart"/>
      <w:r w:rsidR="00C225BD">
        <w:rPr>
          <w:sz w:val="22"/>
          <w:szCs w:val="22"/>
        </w:rPr>
        <w:t>suplementov</w:t>
      </w:r>
      <w:proofErr w:type="spellEnd"/>
      <w:r w:rsidR="00C225BD">
        <w:rPr>
          <w:sz w:val="22"/>
          <w:szCs w:val="22"/>
        </w:rPr>
        <w:t xml:space="preserve"> neuskutočnilo </w:t>
      </w:r>
      <w:r w:rsidRPr="00CF4824">
        <w:rPr>
          <w:sz w:val="22"/>
          <w:szCs w:val="22"/>
        </w:rPr>
        <w:t xml:space="preserve"> v kontrolovaných a</w:t>
      </w:r>
      <w:r w:rsidR="00C225BD">
        <w:rPr>
          <w:sz w:val="22"/>
          <w:szCs w:val="22"/>
        </w:rPr>
        <w:t xml:space="preserve"> validovaných </w:t>
      </w:r>
      <w:r w:rsidRPr="00CF4824">
        <w:rPr>
          <w:sz w:val="22"/>
          <w:szCs w:val="22"/>
        </w:rPr>
        <w:t>aseptických podmienkach.</w:t>
      </w:r>
    </w:p>
    <w:p w14:paraId="40438E1B" w14:textId="77777777" w:rsidR="007444AE" w:rsidRPr="00CF4824" w:rsidRDefault="007444AE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1D323017" w14:textId="644D1CB2" w:rsidR="00A75283" w:rsidRPr="00CF4824" w:rsidRDefault="001D5D1D" w:rsidP="004A2946">
      <w:pPr>
        <w:pStyle w:val="Nadpis2"/>
        <w:tabs>
          <w:tab w:val="left" w:pos="709"/>
        </w:tabs>
        <w:spacing w:before="0" w:after="0"/>
        <w:rPr>
          <w:sz w:val="22"/>
          <w:szCs w:val="22"/>
        </w:rPr>
      </w:pPr>
      <w:bookmarkStart w:id="36" w:name="_ISIW_UH_28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75283" w:rsidRPr="00CF4824">
        <w:rPr>
          <w:sz w:val="22"/>
          <w:szCs w:val="22"/>
        </w:rPr>
        <w:t>Špeciálne upozornenia na uchovávanie</w:t>
      </w:r>
    </w:p>
    <w:p w14:paraId="1B59206A" w14:textId="77777777" w:rsidR="007444AE" w:rsidRPr="004A2946" w:rsidRDefault="007444AE" w:rsidP="004E30E0">
      <w:pPr>
        <w:pStyle w:val="Paragraph"/>
        <w:spacing w:before="0" w:after="0" w:line="240" w:lineRule="auto"/>
        <w:rPr>
          <w:sz w:val="22"/>
          <w:szCs w:val="22"/>
        </w:rPr>
      </w:pPr>
    </w:p>
    <w:bookmarkEnd w:id="36"/>
    <w:p w14:paraId="296BB59A" w14:textId="77777777" w:rsidR="00851220" w:rsidRPr="00CF4824" w:rsidRDefault="00851220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>Neuchovávajte v mrazničke.</w:t>
      </w:r>
    </w:p>
    <w:p w14:paraId="2422A738" w14:textId="77777777" w:rsidR="00851220" w:rsidRPr="00CF4824" w:rsidRDefault="00851220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>Uchovávajte v prebale.</w:t>
      </w:r>
    </w:p>
    <w:p w14:paraId="6075D3C0" w14:textId="0A8B2419" w:rsidR="00A75283" w:rsidRPr="002F3A72" w:rsidRDefault="00851220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2F3A72">
        <w:rPr>
          <w:sz w:val="22"/>
          <w:szCs w:val="22"/>
        </w:rPr>
        <w:t>Podmienky na uchovávanie pripraveného lieku, pozri časť 6.3.</w:t>
      </w:r>
    </w:p>
    <w:p w14:paraId="16F489A2" w14:textId="77777777" w:rsidR="007444AE" w:rsidRPr="00CF4824" w:rsidRDefault="007444AE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51F7090C" w14:textId="7D52B99E" w:rsidR="00A75283" w:rsidRPr="00CF4824" w:rsidRDefault="001D5D1D" w:rsidP="004A2946">
      <w:pPr>
        <w:pStyle w:val="Nadpis2"/>
        <w:tabs>
          <w:tab w:val="left" w:pos="709"/>
        </w:tabs>
        <w:spacing w:before="0" w:after="0"/>
        <w:rPr>
          <w:sz w:val="22"/>
          <w:szCs w:val="22"/>
        </w:rPr>
      </w:pPr>
      <w:bookmarkStart w:id="37" w:name="_ISIW_UH_29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75283" w:rsidRPr="00CF4824">
        <w:rPr>
          <w:sz w:val="22"/>
          <w:szCs w:val="22"/>
        </w:rPr>
        <w:t>Druh obalu a obsah balenia</w:t>
      </w:r>
    </w:p>
    <w:p w14:paraId="2AAB593C" w14:textId="77777777" w:rsidR="007444AE" w:rsidRPr="004A2946" w:rsidRDefault="007444AE" w:rsidP="005B3D93">
      <w:pPr>
        <w:pStyle w:val="Paragraph"/>
        <w:spacing w:before="0" w:after="0" w:line="240" w:lineRule="auto"/>
        <w:rPr>
          <w:sz w:val="22"/>
          <w:szCs w:val="22"/>
        </w:rPr>
      </w:pPr>
    </w:p>
    <w:bookmarkEnd w:id="37"/>
    <w:p w14:paraId="0D22E788" w14:textId="0F3CF78D" w:rsidR="004F70E5" w:rsidRPr="00CF4824" w:rsidRDefault="004F70E5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iCs/>
          <w:sz w:val="22"/>
          <w:szCs w:val="22"/>
        </w:rPr>
        <w:t>Trojkomorový vak je viacvrstvový plastový vak.</w:t>
      </w:r>
      <w:r w:rsidRPr="00CF4824">
        <w:rPr>
          <w:sz w:val="22"/>
          <w:szCs w:val="22"/>
        </w:rPr>
        <w:t xml:space="preserve"> Vnútorná (kontaktná) vrstva materiálu vaku je vyrobená zo zmesi </w:t>
      </w:r>
      <w:proofErr w:type="spellStart"/>
      <w:r w:rsidRPr="00CF4824">
        <w:rPr>
          <w:sz w:val="22"/>
          <w:szCs w:val="22"/>
        </w:rPr>
        <w:t>polyolefínových</w:t>
      </w:r>
      <w:proofErr w:type="spellEnd"/>
      <w:r w:rsidRPr="00CF4824">
        <w:rPr>
          <w:sz w:val="22"/>
          <w:szCs w:val="22"/>
        </w:rPr>
        <w:t xml:space="preserve"> </w:t>
      </w:r>
      <w:proofErr w:type="spellStart"/>
      <w:r w:rsidRPr="00CF4824">
        <w:rPr>
          <w:sz w:val="22"/>
          <w:szCs w:val="22"/>
        </w:rPr>
        <w:t>kopolymérov</w:t>
      </w:r>
      <w:proofErr w:type="spellEnd"/>
      <w:r w:rsidRPr="00CF4824">
        <w:rPr>
          <w:sz w:val="22"/>
          <w:szCs w:val="22"/>
        </w:rPr>
        <w:t xml:space="preserve"> a je kompatibilná s roztokmi aminokyselín, roztokmi glukózy a</w:t>
      </w:r>
      <w:r w:rsidR="00E743D8">
        <w:rPr>
          <w:sz w:val="22"/>
          <w:szCs w:val="22"/>
        </w:rPr>
        <w:t> </w:t>
      </w:r>
      <w:proofErr w:type="spellStart"/>
      <w:r w:rsidR="00E743D8">
        <w:rPr>
          <w:sz w:val="22"/>
          <w:szCs w:val="22"/>
        </w:rPr>
        <w:t>lipidovými</w:t>
      </w:r>
      <w:proofErr w:type="spellEnd"/>
      <w:r w:rsidR="00E743D8">
        <w:rPr>
          <w:sz w:val="22"/>
          <w:szCs w:val="22"/>
        </w:rPr>
        <w:t xml:space="preserve"> </w:t>
      </w:r>
      <w:r w:rsidRPr="00CF4824">
        <w:rPr>
          <w:sz w:val="22"/>
          <w:szCs w:val="22"/>
        </w:rPr>
        <w:t xml:space="preserve">emulziami. Ďalšie vrstvy sú vyrobené z </w:t>
      </w:r>
      <w:proofErr w:type="spellStart"/>
      <w:r w:rsidRPr="00CF4824">
        <w:rPr>
          <w:sz w:val="22"/>
          <w:szCs w:val="22"/>
        </w:rPr>
        <w:t>polyetylénvinylacetátu</w:t>
      </w:r>
      <w:proofErr w:type="spellEnd"/>
      <w:r w:rsidRPr="00CF4824">
        <w:rPr>
          <w:sz w:val="22"/>
          <w:szCs w:val="22"/>
        </w:rPr>
        <w:t xml:space="preserve"> (EVA) a z </w:t>
      </w:r>
      <w:proofErr w:type="spellStart"/>
      <w:r w:rsidRPr="00CF4824">
        <w:rPr>
          <w:sz w:val="22"/>
          <w:szCs w:val="22"/>
        </w:rPr>
        <w:t>kopolyesteru</w:t>
      </w:r>
      <w:proofErr w:type="spellEnd"/>
      <w:r w:rsidRPr="00CF4824">
        <w:rPr>
          <w:sz w:val="22"/>
          <w:szCs w:val="22"/>
        </w:rPr>
        <w:t>.</w:t>
      </w:r>
    </w:p>
    <w:p w14:paraId="513C3092" w14:textId="77777777" w:rsidR="007444AE" w:rsidRPr="002F3A72" w:rsidRDefault="007444AE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4C769A46" w14:textId="75296CB4" w:rsidR="004F70E5" w:rsidRPr="00CF4824" w:rsidRDefault="004F70E5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 xml:space="preserve">Komora s glukózou je vybavená injekčným portom na pridanie </w:t>
      </w:r>
      <w:proofErr w:type="spellStart"/>
      <w:r w:rsidRPr="00CF4824">
        <w:rPr>
          <w:sz w:val="22"/>
          <w:szCs w:val="22"/>
        </w:rPr>
        <w:t>suplementov</w:t>
      </w:r>
      <w:proofErr w:type="spellEnd"/>
      <w:r w:rsidRPr="00CF4824">
        <w:rPr>
          <w:sz w:val="22"/>
          <w:szCs w:val="22"/>
        </w:rPr>
        <w:t>.</w:t>
      </w:r>
    </w:p>
    <w:p w14:paraId="29A6228B" w14:textId="77777777" w:rsidR="007444AE" w:rsidRPr="00CF4824" w:rsidRDefault="007444AE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698E9F40" w14:textId="0D20428F" w:rsidR="004F70E5" w:rsidRPr="00CF4824" w:rsidRDefault="004F70E5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 xml:space="preserve">Komora s aminokyselinami je vybavená aplikačným miestom pre zavedenie hrotu </w:t>
      </w:r>
      <w:proofErr w:type="spellStart"/>
      <w:r w:rsidRPr="00CF4824">
        <w:rPr>
          <w:sz w:val="22"/>
          <w:szCs w:val="22"/>
        </w:rPr>
        <w:t>infúznej</w:t>
      </w:r>
      <w:proofErr w:type="spellEnd"/>
      <w:r w:rsidRPr="00CF4824">
        <w:rPr>
          <w:sz w:val="22"/>
          <w:szCs w:val="22"/>
        </w:rPr>
        <w:t xml:space="preserve"> súpravy.</w:t>
      </w:r>
    </w:p>
    <w:p w14:paraId="2EF3DA12" w14:textId="77777777" w:rsidR="007444AE" w:rsidRPr="00CF4824" w:rsidRDefault="007444AE" w:rsidP="00D91F70">
      <w:pPr>
        <w:pStyle w:val="Paragraph"/>
        <w:spacing w:before="0" w:after="0" w:line="240" w:lineRule="auto"/>
        <w:rPr>
          <w:iCs/>
          <w:sz w:val="22"/>
          <w:szCs w:val="22"/>
        </w:rPr>
      </w:pPr>
    </w:p>
    <w:p w14:paraId="19E16867" w14:textId="3E76DF2E" w:rsidR="004F70E5" w:rsidRPr="00CF4824" w:rsidRDefault="004F70E5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iCs/>
          <w:sz w:val="22"/>
          <w:szCs w:val="22"/>
        </w:rPr>
        <w:t>Vak je uložený v</w:t>
      </w:r>
      <w:r w:rsidR="00392D4C">
        <w:rPr>
          <w:iCs/>
          <w:sz w:val="22"/>
          <w:szCs w:val="22"/>
        </w:rPr>
        <w:t> </w:t>
      </w:r>
      <w:proofErr w:type="spellStart"/>
      <w:r w:rsidRPr="00CF4824">
        <w:rPr>
          <w:iCs/>
          <w:sz w:val="22"/>
          <w:szCs w:val="22"/>
        </w:rPr>
        <w:t>kyslíkovo</w:t>
      </w:r>
      <w:r w:rsidR="00392D4C">
        <w:rPr>
          <w:iCs/>
          <w:sz w:val="22"/>
          <w:szCs w:val="22"/>
        </w:rPr>
        <w:t>-</w:t>
      </w:r>
      <w:r w:rsidRPr="00CF4824">
        <w:rPr>
          <w:iCs/>
          <w:sz w:val="22"/>
          <w:szCs w:val="22"/>
        </w:rPr>
        <w:t>bariérovom</w:t>
      </w:r>
      <w:proofErr w:type="spellEnd"/>
      <w:r w:rsidRPr="00CF4824">
        <w:rPr>
          <w:iCs/>
          <w:sz w:val="22"/>
          <w:szCs w:val="22"/>
        </w:rPr>
        <w:t xml:space="preserve"> prebale, ktorý obsahuje vrecko s </w:t>
      </w:r>
      <w:proofErr w:type="spellStart"/>
      <w:r w:rsidRPr="00CF4824">
        <w:rPr>
          <w:iCs/>
          <w:sz w:val="22"/>
          <w:szCs w:val="22"/>
        </w:rPr>
        <w:t>absorbérom</w:t>
      </w:r>
      <w:proofErr w:type="spellEnd"/>
      <w:r w:rsidRPr="00CF4824">
        <w:rPr>
          <w:iCs/>
          <w:sz w:val="22"/>
          <w:szCs w:val="22"/>
        </w:rPr>
        <w:t xml:space="preserve"> kyslíka</w:t>
      </w:r>
      <w:r w:rsidRPr="00CF4824">
        <w:rPr>
          <w:sz w:val="22"/>
          <w:szCs w:val="22"/>
        </w:rPr>
        <w:t>.</w:t>
      </w:r>
    </w:p>
    <w:p w14:paraId="47C979BE" w14:textId="77777777" w:rsidR="007444AE" w:rsidRPr="00CF4824" w:rsidRDefault="007444AE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75FF5BCF" w14:textId="4BD97304" w:rsidR="004F70E5" w:rsidRPr="00424E03" w:rsidRDefault="004F70E5" w:rsidP="00D91F70">
      <w:pPr>
        <w:pStyle w:val="Heading2Unnumbered"/>
        <w:spacing w:before="0" w:after="0"/>
        <w:rPr>
          <w:b w:val="0"/>
          <w:sz w:val="22"/>
          <w:szCs w:val="22"/>
          <w:u w:val="single"/>
        </w:rPr>
      </w:pPr>
      <w:bookmarkStart w:id="38" w:name="_ISIW_UH_30"/>
      <w:r w:rsidRPr="00424E03">
        <w:rPr>
          <w:b w:val="0"/>
          <w:sz w:val="22"/>
          <w:szCs w:val="22"/>
          <w:u w:val="single"/>
        </w:rPr>
        <w:t>Veľkosti balenia:</w:t>
      </w:r>
    </w:p>
    <w:p w14:paraId="701E4E85" w14:textId="77777777" w:rsidR="007444AE" w:rsidRPr="004A2946" w:rsidRDefault="007444AE" w:rsidP="005B3D93">
      <w:pPr>
        <w:pStyle w:val="Paragraph"/>
        <w:spacing w:before="0" w:after="0" w:line="240" w:lineRule="auto"/>
        <w:rPr>
          <w:sz w:val="22"/>
          <w:szCs w:val="22"/>
        </w:rPr>
      </w:pPr>
    </w:p>
    <w:bookmarkEnd w:id="38"/>
    <w:p w14:paraId="48E8D154" w14:textId="4432DFA7" w:rsidR="00B27466" w:rsidRPr="00CF4824" w:rsidRDefault="00B27466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iCs/>
          <w:sz w:val="22"/>
          <w:szCs w:val="22"/>
        </w:rPr>
        <w:t>650 ml vak: 1 škatuľa s 10 vakmi</w:t>
      </w:r>
    </w:p>
    <w:p w14:paraId="1077A858" w14:textId="26B35809" w:rsidR="00255E3A" w:rsidRPr="00CF4824" w:rsidRDefault="00255E3A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>1 000 ml vak: 1 škatuľa so 6 vakmi</w:t>
      </w:r>
    </w:p>
    <w:p w14:paraId="5981FA5B" w14:textId="5B36F3FA" w:rsidR="00255E3A" w:rsidRPr="002F3A72" w:rsidRDefault="00255E3A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2F3A72">
        <w:rPr>
          <w:sz w:val="22"/>
          <w:szCs w:val="22"/>
        </w:rPr>
        <w:t>1 500 ml vak: 1 škatuľa so 4 vakmi</w:t>
      </w:r>
    </w:p>
    <w:p w14:paraId="6A6E4C59" w14:textId="663A9DF4" w:rsidR="00255E3A" w:rsidRPr="00CF4824" w:rsidRDefault="00255E3A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>2 000 ml vak: 1 škatuľa so 4 vakmi</w:t>
      </w:r>
    </w:p>
    <w:p w14:paraId="0CF03D2E" w14:textId="715CCD29" w:rsidR="00104278" w:rsidRPr="00CF4824" w:rsidRDefault="00104278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 xml:space="preserve">1 vak má </w:t>
      </w:r>
      <w:r w:rsidR="0015377C">
        <w:rPr>
          <w:sz w:val="22"/>
          <w:szCs w:val="22"/>
        </w:rPr>
        <w:t>objem</w:t>
      </w:r>
      <w:r w:rsidRPr="00CF4824">
        <w:rPr>
          <w:sz w:val="22"/>
          <w:szCs w:val="22"/>
        </w:rPr>
        <w:t xml:space="preserve"> 650 ml, 1 000 ml, 1 500 ml a 2 000 ml</w:t>
      </w:r>
    </w:p>
    <w:p w14:paraId="71D25F3D" w14:textId="77777777" w:rsidR="007444AE" w:rsidRPr="00CF4824" w:rsidRDefault="007444AE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457C4C54" w14:textId="620150EB" w:rsidR="00A75283" w:rsidRPr="00CF4824" w:rsidRDefault="004F70E5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>Na trh nemusia byť uvedené všetky veľkosti balenia.</w:t>
      </w:r>
    </w:p>
    <w:p w14:paraId="678A270D" w14:textId="77777777" w:rsidR="007444AE" w:rsidRPr="00CF4824" w:rsidRDefault="007444AE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4246DE3D" w14:textId="5E02C392" w:rsidR="00A75283" w:rsidRPr="008B0288" w:rsidRDefault="008B0288" w:rsidP="004A2946">
      <w:pPr>
        <w:pStyle w:val="Nadpis2"/>
        <w:tabs>
          <w:tab w:val="left" w:pos="709"/>
        </w:tabs>
        <w:spacing w:before="0" w:after="0"/>
        <w:rPr>
          <w:sz w:val="22"/>
          <w:szCs w:val="22"/>
        </w:rPr>
      </w:pPr>
      <w:bookmarkStart w:id="39" w:name="_ISIW_UH_31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75283" w:rsidRPr="008B0288">
        <w:rPr>
          <w:sz w:val="22"/>
          <w:szCs w:val="22"/>
        </w:rPr>
        <w:t>Špeciálne opatrenia na likvidáciu a iné zaobchádzanie s</w:t>
      </w:r>
      <w:r w:rsidR="007444AE" w:rsidRPr="008B0288">
        <w:rPr>
          <w:sz w:val="22"/>
          <w:szCs w:val="22"/>
        </w:rPr>
        <w:t> </w:t>
      </w:r>
      <w:r w:rsidR="00A75283" w:rsidRPr="008B0288">
        <w:rPr>
          <w:sz w:val="22"/>
          <w:szCs w:val="22"/>
        </w:rPr>
        <w:t>liekom</w:t>
      </w:r>
    </w:p>
    <w:p w14:paraId="007CBEB4" w14:textId="77777777" w:rsidR="007444AE" w:rsidRPr="004A2946" w:rsidRDefault="007444AE" w:rsidP="005B3D93">
      <w:pPr>
        <w:pStyle w:val="Paragraph"/>
        <w:spacing w:before="0" w:after="0" w:line="240" w:lineRule="auto"/>
        <w:rPr>
          <w:sz w:val="22"/>
          <w:szCs w:val="22"/>
        </w:rPr>
      </w:pPr>
    </w:p>
    <w:p w14:paraId="34E84FC2" w14:textId="37403B4B" w:rsidR="006355E2" w:rsidRPr="00424E03" w:rsidRDefault="006355E2" w:rsidP="00D91F70">
      <w:pPr>
        <w:pStyle w:val="Heading2Unnumbered"/>
        <w:spacing w:before="0" w:after="0"/>
        <w:rPr>
          <w:b w:val="0"/>
          <w:sz w:val="22"/>
          <w:szCs w:val="22"/>
          <w:u w:val="single"/>
        </w:rPr>
      </w:pPr>
      <w:bookmarkStart w:id="40" w:name="_ISIW_UH_32"/>
      <w:bookmarkEnd w:id="39"/>
      <w:r w:rsidRPr="00424E03">
        <w:rPr>
          <w:b w:val="0"/>
          <w:sz w:val="22"/>
          <w:szCs w:val="22"/>
          <w:u w:val="single"/>
        </w:rPr>
        <w:t>Otvorenie</w:t>
      </w:r>
    </w:p>
    <w:bookmarkEnd w:id="40"/>
    <w:p w14:paraId="213E5074" w14:textId="77777777" w:rsidR="00B4744B" w:rsidRDefault="00B4744B" w:rsidP="00D91F70">
      <w:pPr>
        <w:pStyle w:val="Paragraph"/>
        <w:spacing w:before="0" w:after="0" w:line="240" w:lineRule="auto"/>
        <w:rPr>
          <w:bCs/>
          <w:snapToGrid w:val="0"/>
          <w:sz w:val="22"/>
          <w:szCs w:val="22"/>
        </w:rPr>
      </w:pPr>
    </w:p>
    <w:p w14:paraId="4F4898DF" w14:textId="1A034715" w:rsidR="006355E2" w:rsidRPr="002F3A72" w:rsidRDefault="006355E2" w:rsidP="00D91F70">
      <w:pPr>
        <w:pStyle w:val="Paragraph"/>
        <w:spacing w:before="0" w:after="0" w:line="240" w:lineRule="auto"/>
        <w:rPr>
          <w:bCs/>
          <w:snapToGrid w:val="0"/>
          <w:sz w:val="22"/>
          <w:szCs w:val="22"/>
        </w:rPr>
      </w:pPr>
      <w:r w:rsidRPr="00CF4824">
        <w:rPr>
          <w:bCs/>
          <w:snapToGrid w:val="0"/>
          <w:sz w:val="22"/>
          <w:szCs w:val="22"/>
        </w:rPr>
        <w:t>Odstráňte</w:t>
      </w:r>
      <w:r w:rsidRPr="006C053F">
        <w:rPr>
          <w:bCs/>
          <w:snapToGrid w:val="0"/>
          <w:sz w:val="22"/>
          <w:szCs w:val="22"/>
        </w:rPr>
        <w:t xml:space="preserve"> ochranný prebal.</w:t>
      </w:r>
    </w:p>
    <w:p w14:paraId="0ACAB557" w14:textId="77777777" w:rsidR="007444AE" w:rsidRPr="002F3A72" w:rsidRDefault="007444AE" w:rsidP="00D91F70">
      <w:pPr>
        <w:pStyle w:val="Paragraph"/>
        <w:spacing w:before="0" w:after="0" w:line="240" w:lineRule="auto"/>
        <w:rPr>
          <w:snapToGrid w:val="0"/>
          <w:sz w:val="22"/>
          <w:szCs w:val="22"/>
        </w:rPr>
      </w:pPr>
    </w:p>
    <w:p w14:paraId="1A3FDDE1" w14:textId="1D9B93BD" w:rsidR="006355E2" w:rsidRPr="00CF4824" w:rsidRDefault="006355E2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 xml:space="preserve">Zlikvidujte vrecko s </w:t>
      </w:r>
      <w:proofErr w:type="spellStart"/>
      <w:r w:rsidRPr="00CF4824">
        <w:rPr>
          <w:sz w:val="22"/>
          <w:szCs w:val="22"/>
        </w:rPr>
        <w:t>absorbérom</w:t>
      </w:r>
      <w:proofErr w:type="spellEnd"/>
      <w:r w:rsidRPr="00CF4824">
        <w:rPr>
          <w:sz w:val="22"/>
          <w:szCs w:val="22"/>
        </w:rPr>
        <w:t xml:space="preserve"> kyslíka. </w:t>
      </w:r>
    </w:p>
    <w:p w14:paraId="747F77EC" w14:textId="77777777" w:rsidR="007444AE" w:rsidRPr="00CF4824" w:rsidRDefault="007444AE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034F9D19" w14:textId="30F1A3A1" w:rsidR="00A75283" w:rsidRPr="00CF4824" w:rsidRDefault="006355E2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 xml:space="preserve">Skontrolujte neporušenosť vaku a tesniacich švov. Použite len v prípade, keď vak nie je poškodený, keď sú tesniace švy neporušené (t.j. nedošlo k zmiešaniu obsahu troch komôr), keď je roztok aminokyselín a roztok glukózy číry, bezfarebný alebo svetložltý a bez viditeľných častíc a keď je </w:t>
      </w:r>
      <w:proofErr w:type="spellStart"/>
      <w:r w:rsidR="00E743D8">
        <w:rPr>
          <w:sz w:val="22"/>
          <w:szCs w:val="22"/>
        </w:rPr>
        <w:t>lipidová</w:t>
      </w:r>
      <w:proofErr w:type="spellEnd"/>
      <w:r w:rsidR="00E743D8">
        <w:rPr>
          <w:sz w:val="22"/>
          <w:szCs w:val="22"/>
        </w:rPr>
        <w:t xml:space="preserve"> </w:t>
      </w:r>
      <w:r w:rsidRPr="00CF4824">
        <w:rPr>
          <w:sz w:val="22"/>
          <w:szCs w:val="22"/>
        </w:rPr>
        <w:t>emulzia homogénna mliečneho vzhľadu.</w:t>
      </w:r>
    </w:p>
    <w:p w14:paraId="052CA4C3" w14:textId="77777777" w:rsidR="007444AE" w:rsidRPr="00CF4824" w:rsidRDefault="007444AE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6378D9DF" w14:textId="50AC84D0" w:rsidR="00632AFC" w:rsidRPr="00424E03" w:rsidRDefault="00632AFC" w:rsidP="00D91F70">
      <w:pPr>
        <w:pStyle w:val="Heading2Unnumbered"/>
        <w:spacing w:before="0" w:after="0"/>
        <w:rPr>
          <w:b w:val="0"/>
          <w:sz w:val="22"/>
          <w:szCs w:val="22"/>
          <w:u w:val="single"/>
        </w:rPr>
      </w:pPr>
      <w:bookmarkStart w:id="41" w:name="_ISIW_UH_33"/>
      <w:r w:rsidRPr="00424E03">
        <w:rPr>
          <w:b w:val="0"/>
          <w:sz w:val="22"/>
          <w:szCs w:val="22"/>
          <w:u w:val="single"/>
        </w:rPr>
        <w:t>Zmiešanie roztokov a</w:t>
      </w:r>
      <w:r w:rsidR="007444AE" w:rsidRPr="00424E03">
        <w:rPr>
          <w:b w:val="0"/>
          <w:sz w:val="22"/>
          <w:szCs w:val="22"/>
          <w:u w:val="single"/>
        </w:rPr>
        <w:t> </w:t>
      </w:r>
      <w:r w:rsidRPr="00424E03">
        <w:rPr>
          <w:b w:val="0"/>
          <w:sz w:val="22"/>
          <w:szCs w:val="22"/>
          <w:u w:val="single"/>
        </w:rPr>
        <w:t>emulzie</w:t>
      </w:r>
    </w:p>
    <w:p w14:paraId="312FB905" w14:textId="77777777" w:rsidR="007444AE" w:rsidRPr="004A2946" w:rsidRDefault="007444AE" w:rsidP="005B3D93">
      <w:pPr>
        <w:pStyle w:val="Paragraph"/>
        <w:spacing w:before="0" w:after="0" w:line="240" w:lineRule="auto"/>
        <w:rPr>
          <w:sz w:val="22"/>
          <w:szCs w:val="22"/>
        </w:rPr>
      </w:pPr>
    </w:p>
    <w:bookmarkEnd w:id="41"/>
    <w:p w14:paraId="2E4B3DAB" w14:textId="77777777" w:rsidR="00632AFC" w:rsidRPr="00CF4824" w:rsidRDefault="00632AFC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>Pred pretrhnutím tesniacich švov sa uistite, že liek má izbovú teplotu.</w:t>
      </w:r>
    </w:p>
    <w:p w14:paraId="3374F974" w14:textId="77777777" w:rsidR="007444AE" w:rsidRPr="00CF4824" w:rsidRDefault="007444AE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140182C7" w14:textId="4E400D70" w:rsidR="00632AFC" w:rsidRPr="002F3A72" w:rsidRDefault="00632AFC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2F3A72">
        <w:rPr>
          <w:sz w:val="22"/>
          <w:szCs w:val="22"/>
        </w:rPr>
        <w:t xml:space="preserve">Rukou zrolujte vak, začnite pritom od jeho hornej časti (závesný koniec). Tesniace švy sa pretrhnú počnúc od miesta blízko vstupov. Pokračujte v rolovaní vaku, pokiaľ sa tesniace švy nepretrhnú na </w:t>
      </w:r>
      <w:r w:rsidR="00F53931">
        <w:rPr>
          <w:sz w:val="22"/>
          <w:szCs w:val="22"/>
        </w:rPr>
        <w:t xml:space="preserve">približne </w:t>
      </w:r>
      <w:r w:rsidRPr="002F3A72">
        <w:rPr>
          <w:sz w:val="22"/>
          <w:szCs w:val="22"/>
        </w:rPr>
        <w:t>polovicu svojej dĺžky.</w:t>
      </w:r>
    </w:p>
    <w:p w14:paraId="7A5A6D56" w14:textId="77777777" w:rsidR="007444AE" w:rsidRPr="00CF4824" w:rsidRDefault="007444AE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1B9D420F" w14:textId="2992A897" w:rsidR="00632AFC" w:rsidRPr="00CF4824" w:rsidRDefault="00632AFC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>Obsah vaku zmiešajte jeho otočením najmenej 3-krát.</w:t>
      </w:r>
    </w:p>
    <w:p w14:paraId="71CCB1DD" w14:textId="77777777" w:rsidR="007444AE" w:rsidRPr="00CF4824" w:rsidRDefault="007444AE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2D2A785E" w14:textId="7A217D31" w:rsidR="00632AFC" w:rsidRPr="00CF4824" w:rsidRDefault="00632AFC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>Po príprave je zmes homogénna emulzia mliečneho vzhľadu.</w:t>
      </w:r>
    </w:p>
    <w:p w14:paraId="5B4825B0" w14:textId="77777777" w:rsidR="007444AE" w:rsidRPr="00CF4824" w:rsidRDefault="007444AE" w:rsidP="00D91F70">
      <w:pPr>
        <w:pStyle w:val="Heading2Unnumbered"/>
        <w:spacing w:before="0" w:after="0"/>
        <w:rPr>
          <w:sz w:val="22"/>
          <w:szCs w:val="22"/>
        </w:rPr>
      </w:pPr>
      <w:bookmarkStart w:id="42" w:name="_ISIW_UH_34"/>
    </w:p>
    <w:p w14:paraId="4957E9C2" w14:textId="54D06F3C" w:rsidR="00632AFC" w:rsidRPr="00424E03" w:rsidRDefault="00632AFC" w:rsidP="00D91F70">
      <w:pPr>
        <w:pStyle w:val="Heading2Unnumbered"/>
        <w:spacing w:before="0" w:after="0"/>
        <w:rPr>
          <w:b w:val="0"/>
          <w:sz w:val="22"/>
          <w:szCs w:val="22"/>
          <w:u w:val="single"/>
        </w:rPr>
      </w:pPr>
      <w:r w:rsidRPr="00424E03">
        <w:rPr>
          <w:b w:val="0"/>
          <w:sz w:val="22"/>
          <w:szCs w:val="22"/>
          <w:u w:val="single"/>
        </w:rPr>
        <w:t xml:space="preserve">Pridanie </w:t>
      </w:r>
      <w:proofErr w:type="spellStart"/>
      <w:r w:rsidRPr="00424E03">
        <w:rPr>
          <w:b w:val="0"/>
          <w:sz w:val="22"/>
          <w:szCs w:val="22"/>
          <w:u w:val="single"/>
        </w:rPr>
        <w:t>aditív</w:t>
      </w:r>
      <w:proofErr w:type="spellEnd"/>
    </w:p>
    <w:bookmarkEnd w:id="42"/>
    <w:p w14:paraId="596E1112" w14:textId="77777777" w:rsidR="007444AE" w:rsidRPr="00CF4824" w:rsidRDefault="007444AE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538D4AE2" w14:textId="4062BAB5" w:rsidR="00632AFC" w:rsidRPr="00CF4824" w:rsidRDefault="00632AFC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 xml:space="preserve">Veľkosť vaku postačuje na to, aby bolo možné pridať </w:t>
      </w:r>
      <w:proofErr w:type="spellStart"/>
      <w:r w:rsidRPr="00CF4824">
        <w:rPr>
          <w:sz w:val="22"/>
          <w:szCs w:val="22"/>
        </w:rPr>
        <w:t>aditíva</w:t>
      </w:r>
      <w:proofErr w:type="spellEnd"/>
      <w:r w:rsidRPr="00CF4824">
        <w:rPr>
          <w:sz w:val="22"/>
          <w:szCs w:val="22"/>
        </w:rPr>
        <w:t xml:space="preserve">, akými sú vitamíny, elektrolyty a stopové prvky. Všetky </w:t>
      </w:r>
      <w:proofErr w:type="spellStart"/>
      <w:r w:rsidRPr="00CF4824">
        <w:rPr>
          <w:sz w:val="22"/>
          <w:szCs w:val="22"/>
        </w:rPr>
        <w:t>aditíva</w:t>
      </w:r>
      <w:proofErr w:type="spellEnd"/>
      <w:r w:rsidRPr="00CF4824">
        <w:rPr>
          <w:sz w:val="22"/>
          <w:szCs w:val="22"/>
        </w:rPr>
        <w:t xml:space="preserve"> (vrátane vitamínov) sa môžu pridať do pripravenej zmesi (po pretrhnutí tesniacich švov a zmiešaní obsahu troch komôr).</w:t>
      </w:r>
    </w:p>
    <w:p w14:paraId="67D20C49" w14:textId="77777777" w:rsidR="007444AE" w:rsidRPr="00CF4824" w:rsidRDefault="007444AE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085AB5F2" w14:textId="26A19AA8" w:rsidR="00632AFC" w:rsidRPr="00CF4824" w:rsidRDefault="00632AFC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>Vitamíny sa môžu pridať aj do komory s glukózou pred prípravou zmesi (pred pretrhnutím tesniacich švov a zmiešaním obsahu troch komôr).</w:t>
      </w:r>
    </w:p>
    <w:p w14:paraId="0B23BABE" w14:textId="77777777" w:rsidR="007444AE" w:rsidRPr="00CF4824" w:rsidRDefault="007444AE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38FDF724" w14:textId="7FC030F9" w:rsidR="00632AFC" w:rsidRPr="00CF4824" w:rsidRDefault="00632AFC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 xml:space="preserve">Pridanie </w:t>
      </w:r>
      <w:proofErr w:type="spellStart"/>
      <w:r w:rsidRPr="00CF4824">
        <w:rPr>
          <w:sz w:val="22"/>
          <w:szCs w:val="22"/>
        </w:rPr>
        <w:t>aditív</w:t>
      </w:r>
      <w:proofErr w:type="spellEnd"/>
      <w:r w:rsidRPr="00CF4824">
        <w:rPr>
          <w:sz w:val="22"/>
          <w:szCs w:val="22"/>
        </w:rPr>
        <w:t xml:space="preserve"> musí urobiť </w:t>
      </w:r>
      <w:r w:rsidRPr="00CF4824">
        <w:rPr>
          <w:iCs/>
          <w:sz w:val="22"/>
          <w:szCs w:val="22"/>
        </w:rPr>
        <w:t xml:space="preserve">kvalifikovaný personál </w:t>
      </w:r>
      <w:r w:rsidRPr="00CF4824">
        <w:rPr>
          <w:sz w:val="22"/>
          <w:szCs w:val="22"/>
        </w:rPr>
        <w:t>za aseptických podmienok.</w:t>
      </w:r>
    </w:p>
    <w:p w14:paraId="7D7FE933" w14:textId="77777777" w:rsidR="007444AE" w:rsidRPr="00CF4824" w:rsidRDefault="007444AE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3F37C56D" w14:textId="654C8E55" w:rsidR="002A34F9" w:rsidRPr="00CF4824" w:rsidRDefault="00445236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8F2EBE">
        <w:rPr>
          <w:sz w:val="22"/>
          <w:szCs w:val="22"/>
        </w:rPr>
        <w:t xml:space="preserve">Do </w:t>
      </w:r>
      <w:r w:rsidRPr="00F879BC">
        <w:rPr>
          <w:sz w:val="22"/>
          <w:szCs w:val="22"/>
        </w:rPr>
        <w:t>OLIMEL</w:t>
      </w:r>
      <w:r w:rsidR="006372A1">
        <w:rPr>
          <w:sz w:val="22"/>
          <w:szCs w:val="22"/>
        </w:rPr>
        <w:t>U</w:t>
      </w:r>
      <w:r w:rsidRPr="00F879BC">
        <w:rPr>
          <w:sz w:val="22"/>
          <w:szCs w:val="22"/>
        </w:rPr>
        <w:t xml:space="preserve"> N12E sa</w:t>
      </w:r>
      <w:r w:rsidRPr="00CF4824">
        <w:rPr>
          <w:sz w:val="22"/>
          <w:szCs w:val="22"/>
        </w:rPr>
        <w:t xml:space="preserve"> môžu pridať elektrolyty, </w:t>
      </w:r>
      <w:r w:rsidR="00F879BC">
        <w:rPr>
          <w:sz w:val="22"/>
          <w:szCs w:val="22"/>
        </w:rPr>
        <w:t>an</w:t>
      </w:r>
      <w:r w:rsidRPr="00CF4824">
        <w:rPr>
          <w:sz w:val="22"/>
          <w:szCs w:val="22"/>
        </w:rPr>
        <w:t xml:space="preserve">organické/organické fosfáty a bežne dostupné multivitamínové prípravky (napr. </w:t>
      </w:r>
      <w:proofErr w:type="spellStart"/>
      <w:r w:rsidRPr="00CF4824">
        <w:rPr>
          <w:sz w:val="22"/>
          <w:szCs w:val="22"/>
        </w:rPr>
        <w:t>Cernevit</w:t>
      </w:r>
      <w:proofErr w:type="spellEnd"/>
      <w:r w:rsidRPr="00CF4824">
        <w:rPr>
          <w:sz w:val="22"/>
          <w:szCs w:val="22"/>
        </w:rPr>
        <w:t xml:space="preserve">) a </w:t>
      </w:r>
      <w:r w:rsidR="00F11D3A">
        <w:rPr>
          <w:sz w:val="22"/>
          <w:szCs w:val="22"/>
        </w:rPr>
        <w:t>prípravky</w:t>
      </w:r>
      <w:r w:rsidRPr="00CF4824">
        <w:rPr>
          <w:sz w:val="22"/>
          <w:szCs w:val="22"/>
        </w:rPr>
        <w:t xml:space="preserve"> s viacerými stopovými prvkami (napr. </w:t>
      </w:r>
      <w:proofErr w:type="spellStart"/>
      <w:r w:rsidRPr="00CF4824">
        <w:rPr>
          <w:sz w:val="22"/>
          <w:szCs w:val="22"/>
        </w:rPr>
        <w:t>Nutryelt</w:t>
      </w:r>
      <w:proofErr w:type="spellEnd"/>
      <w:r w:rsidRPr="00CF4824">
        <w:rPr>
          <w:sz w:val="22"/>
          <w:szCs w:val="22"/>
        </w:rPr>
        <w:t xml:space="preserve">). Maximálne </w:t>
      </w:r>
      <w:r w:rsidR="00F11D3A">
        <w:rPr>
          <w:sz w:val="22"/>
          <w:szCs w:val="22"/>
        </w:rPr>
        <w:t xml:space="preserve">celkové </w:t>
      </w:r>
      <w:r w:rsidRPr="00CF4824">
        <w:rPr>
          <w:sz w:val="22"/>
          <w:szCs w:val="22"/>
        </w:rPr>
        <w:t xml:space="preserve">množstvá pridaných </w:t>
      </w:r>
      <w:proofErr w:type="spellStart"/>
      <w:r w:rsidRPr="00CF4824">
        <w:rPr>
          <w:sz w:val="22"/>
          <w:szCs w:val="22"/>
        </w:rPr>
        <w:t>aditív</w:t>
      </w:r>
      <w:proofErr w:type="spellEnd"/>
      <w:r w:rsidRPr="00CF4824">
        <w:rPr>
          <w:sz w:val="22"/>
          <w:szCs w:val="22"/>
        </w:rPr>
        <w:t xml:space="preserve"> uvedené v tabuľke nižšie boli preukázané údajmi o stabilite</w:t>
      </w:r>
      <w:r w:rsidRPr="00CF4824">
        <w:rPr>
          <w:color w:val="1F497D"/>
          <w:sz w:val="22"/>
          <w:szCs w:val="22"/>
        </w:rPr>
        <w:t xml:space="preserve"> </w:t>
      </w:r>
      <w:r w:rsidRPr="00CF4824">
        <w:rPr>
          <w:sz w:val="22"/>
          <w:szCs w:val="22"/>
        </w:rPr>
        <w:t xml:space="preserve">a nemajú sa považovať za odporúčané hodnoty čo sa týka dávkovania. </w:t>
      </w:r>
      <w:proofErr w:type="spellStart"/>
      <w:r w:rsidR="00EC18E3">
        <w:rPr>
          <w:sz w:val="22"/>
          <w:szCs w:val="22"/>
        </w:rPr>
        <w:t>Suplementácia</w:t>
      </w:r>
      <w:proofErr w:type="spellEnd"/>
      <w:r w:rsidRPr="00CF4824">
        <w:rPr>
          <w:sz w:val="22"/>
          <w:szCs w:val="22"/>
        </w:rPr>
        <w:t xml:space="preserve"> sa m</w:t>
      </w:r>
      <w:r w:rsidR="00EC18E3">
        <w:rPr>
          <w:sz w:val="22"/>
          <w:szCs w:val="22"/>
        </w:rPr>
        <w:t>á</w:t>
      </w:r>
      <w:r w:rsidRPr="00CF4824">
        <w:rPr>
          <w:sz w:val="22"/>
          <w:szCs w:val="22"/>
        </w:rPr>
        <w:t xml:space="preserve"> prispôsobiť klinickým potrebám pacienta a nemá prekročiť usmernenia pre nutričný príjem.</w:t>
      </w:r>
      <w:r w:rsidRPr="00CF4824">
        <w:rPr>
          <w:color w:val="1F497D"/>
          <w:sz w:val="22"/>
          <w:szCs w:val="22"/>
        </w:rPr>
        <w:t xml:space="preserve"> </w:t>
      </w:r>
      <w:r w:rsidRPr="00CF4824">
        <w:rPr>
          <w:sz w:val="22"/>
          <w:szCs w:val="22"/>
        </w:rPr>
        <w:t xml:space="preserve">Množstvo elektrolytov prítomných vo vaku sa má zobrať do úvahy pri dosahovaní maximálnej </w:t>
      </w:r>
      <w:r w:rsidR="003615F6">
        <w:rPr>
          <w:sz w:val="22"/>
          <w:szCs w:val="22"/>
        </w:rPr>
        <w:t xml:space="preserve">celkovej </w:t>
      </w:r>
      <w:r w:rsidRPr="00CF4824">
        <w:rPr>
          <w:sz w:val="22"/>
          <w:szCs w:val="22"/>
        </w:rPr>
        <w:t>hladiny elektrolytov.</w:t>
      </w:r>
    </w:p>
    <w:p w14:paraId="510BE156" w14:textId="77777777" w:rsidR="007444AE" w:rsidRPr="00CF4824" w:rsidRDefault="007444AE" w:rsidP="00D91F70">
      <w:pPr>
        <w:pStyle w:val="Paragraph"/>
        <w:spacing w:before="0" w:after="0" w:line="240" w:lineRule="auto"/>
        <w:rPr>
          <w:iCs/>
          <w:sz w:val="22"/>
          <w:szCs w:val="22"/>
        </w:rPr>
      </w:pPr>
    </w:p>
    <w:p w14:paraId="732DF991" w14:textId="44FD3808" w:rsidR="00B64E25" w:rsidRDefault="00B64E25" w:rsidP="00424E03">
      <w:pPr>
        <w:pStyle w:val="Paragraph"/>
        <w:widowControl w:val="0"/>
        <w:spacing w:before="0" w:after="0" w:line="240" w:lineRule="auto"/>
        <w:rPr>
          <w:iCs/>
          <w:sz w:val="22"/>
          <w:szCs w:val="22"/>
        </w:rPr>
      </w:pPr>
      <w:r w:rsidRPr="00CF4824">
        <w:rPr>
          <w:iCs/>
          <w:sz w:val="22"/>
          <w:szCs w:val="22"/>
        </w:rPr>
        <w:t xml:space="preserve">Kompatibilita sa môže líšiť medzi produktmi </w:t>
      </w:r>
      <w:r w:rsidR="00E57B63">
        <w:rPr>
          <w:iCs/>
          <w:sz w:val="22"/>
          <w:szCs w:val="22"/>
        </w:rPr>
        <w:t>z</w:t>
      </w:r>
      <w:r w:rsidRPr="00CF4824">
        <w:rPr>
          <w:iCs/>
          <w:sz w:val="22"/>
          <w:szCs w:val="22"/>
        </w:rPr>
        <w:t xml:space="preserve"> rozdielnych zdrojov a zdravotníckym pracovníkom sa odporúča, aby uskutočnili príslušné kontroly pri miešaní </w:t>
      </w:r>
      <w:r w:rsidRPr="00CF4824">
        <w:rPr>
          <w:rFonts w:eastAsia="Batang"/>
          <w:bCs/>
          <w:iCs/>
          <w:sz w:val="22"/>
          <w:szCs w:val="22"/>
        </w:rPr>
        <w:t>OLIMEL</w:t>
      </w:r>
      <w:r w:rsidR="006372A1">
        <w:rPr>
          <w:rFonts w:eastAsia="Batang"/>
          <w:bCs/>
          <w:iCs/>
          <w:sz w:val="22"/>
          <w:szCs w:val="22"/>
        </w:rPr>
        <w:t>U</w:t>
      </w:r>
      <w:r w:rsidRPr="00CF4824">
        <w:rPr>
          <w:rFonts w:eastAsia="Batang"/>
          <w:bCs/>
          <w:iCs/>
          <w:sz w:val="22"/>
          <w:szCs w:val="22"/>
        </w:rPr>
        <w:t xml:space="preserve"> N12</w:t>
      </w:r>
      <w:r w:rsidRPr="00CF4824">
        <w:rPr>
          <w:sz w:val="22"/>
          <w:szCs w:val="22"/>
        </w:rPr>
        <w:t xml:space="preserve"> </w:t>
      </w:r>
      <w:r w:rsidRPr="00CF4824">
        <w:rPr>
          <w:iCs/>
          <w:sz w:val="22"/>
          <w:szCs w:val="22"/>
        </w:rPr>
        <w:t xml:space="preserve">s inými </w:t>
      </w:r>
      <w:proofErr w:type="spellStart"/>
      <w:r w:rsidRPr="00CF4824">
        <w:rPr>
          <w:iCs/>
          <w:sz w:val="22"/>
          <w:szCs w:val="22"/>
        </w:rPr>
        <w:t>parenterálnymi</w:t>
      </w:r>
      <w:proofErr w:type="spellEnd"/>
      <w:r w:rsidRPr="00CF4824">
        <w:rPr>
          <w:iCs/>
          <w:sz w:val="22"/>
          <w:szCs w:val="22"/>
        </w:rPr>
        <w:t xml:space="preserve"> </w:t>
      </w:r>
      <w:r w:rsidRPr="00CF4824">
        <w:rPr>
          <w:iCs/>
          <w:sz w:val="22"/>
          <w:szCs w:val="22"/>
        </w:rPr>
        <w:lastRenderedPageBreak/>
        <w:t>roztokmi.</w:t>
      </w:r>
    </w:p>
    <w:p w14:paraId="1A9D42F6" w14:textId="77777777" w:rsidR="00751A2D" w:rsidRPr="00CF4824" w:rsidRDefault="00751A2D" w:rsidP="00424E03">
      <w:pPr>
        <w:pStyle w:val="Paragraph"/>
        <w:widowControl w:val="0"/>
        <w:spacing w:before="0" w:after="0" w:line="240" w:lineRule="auto"/>
        <w:rPr>
          <w:iCs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1"/>
        <w:gridCol w:w="2009"/>
        <w:gridCol w:w="2387"/>
        <w:gridCol w:w="2800"/>
      </w:tblGrid>
      <w:tr w:rsidR="00B64E25" w:rsidRPr="00CF4824" w14:paraId="339F1944" w14:textId="77777777" w:rsidTr="00424E03">
        <w:trPr>
          <w:cantSplit/>
          <w:tblHeader/>
          <w:jc w:val="center"/>
        </w:trPr>
        <w:tc>
          <w:tcPr>
            <w:tcW w:w="9287" w:type="dxa"/>
            <w:gridSpan w:val="4"/>
            <w:shd w:val="clear" w:color="auto" w:fill="auto"/>
          </w:tcPr>
          <w:p w14:paraId="2A84618D" w14:textId="6B70F6D5" w:rsidR="0011147B" w:rsidRPr="0011147B" w:rsidRDefault="00B64E25" w:rsidP="00424E03">
            <w:pPr>
              <w:pStyle w:val="TableTitle"/>
              <w:keepNext w:val="0"/>
              <w:widowControl w:val="0"/>
              <w:spacing w:before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 xml:space="preserve">Možné </w:t>
            </w:r>
            <w:proofErr w:type="spellStart"/>
            <w:r w:rsidR="005C008B">
              <w:rPr>
                <w:sz w:val="22"/>
                <w:szCs w:val="22"/>
              </w:rPr>
              <w:t>suplementy</w:t>
            </w:r>
            <w:proofErr w:type="spellEnd"/>
            <w:r w:rsidRPr="00CF4824">
              <w:rPr>
                <w:sz w:val="22"/>
                <w:szCs w:val="22"/>
              </w:rPr>
              <w:t xml:space="preserve"> </w:t>
            </w:r>
            <w:r w:rsidR="008A4D7D">
              <w:rPr>
                <w:sz w:val="22"/>
                <w:szCs w:val="22"/>
              </w:rPr>
              <w:t>na</w:t>
            </w:r>
            <w:r w:rsidR="008A4D7D" w:rsidRPr="00CF4824">
              <w:rPr>
                <w:sz w:val="22"/>
                <w:szCs w:val="22"/>
              </w:rPr>
              <w:t xml:space="preserve"> </w:t>
            </w:r>
            <w:r w:rsidRPr="00CF4824">
              <w:rPr>
                <w:sz w:val="22"/>
                <w:szCs w:val="22"/>
              </w:rPr>
              <w:t>1</w:t>
            </w:r>
            <w:r w:rsidR="00751A2D">
              <w:rPr>
                <w:sz w:val="22"/>
                <w:szCs w:val="22"/>
              </w:rPr>
              <w:t> </w:t>
            </w:r>
            <w:r w:rsidRPr="00CF4824">
              <w:rPr>
                <w:sz w:val="22"/>
                <w:szCs w:val="22"/>
              </w:rPr>
              <w:t>000 ml OLIMEL</w:t>
            </w:r>
            <w:r w:rsidR="00751A2D">
              <w:rPr>
                <w:sz w:val="22"/>
                <w:szCs w:val="22"/>
              </w:rPr>
              <w:t>U</w:t>
            </w:r>
            <w:r w:rsidRPr="00CF4824">
              <w:rPr>
                <w:sz w:val="22"/>
                <w:szCs w:val="22"/>
              </w:rPr>
              <w:t xml:space="preserve"> N12E (pre </w:t>
            </w:r>
            <w:r w:rsidR="005F215D">
              <w:rPr>
                <w:sz w:val="22"/>
                <w:szCs w:val="22"/>
              </w:rPr>
              <w:t>pediatrických pacientov</w:t>
            </w:r>
            <w:r w:rsidRPr="00CF4824">
              <w:rPr>
                <w:sz w:val="22"/>
                <w:szCs w:val="22"/>
              </w:rPr>
              <w:t>)</w:t>
            </w:r>
          </w:p>
        </w:tc>
      </w:tr>
      <w:tr w:rsidR="00B64E25" w:rsidRPr="00CF4824" w14:paraId="602E1C0D" w14:textId="77777777" w:rsidTr="00424E03">
        <w:trPr>
          <w:jc w:val="center"/>
        </w:trPr>
        <w:tc>
          <w:tcPr>
            <w:tcW w:w="2091" w:type="dxa"/>
            <w:shd w:val="clear" w:color="auto" w:fill="auto"/>
          </w:tcPr>
          <w:p w14:paraId="799924A2" w14:textId="77777777" w:rsidR="00B64E25" w:rsidRPr="00CF4824" w:rsidRDefault="00B64E25" w:rsidP="00424E03">
            <w:pPr>
              <w:pStyle w:val="TableCenter"/>
              <w:widowControl w:val="0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031F6061" w14:textId="77777777" w:rsidR="00B64E25" w:rsidRPr="00424E03" w:rsidRDefault="00B64E25" w:rsidP="00424E03">
            <w:pPr>
              <w:pStyle w:val="TableCenter"/>
              <w:widowControl w:val="0"/>
              <w:spacing w:before="0" w:after="0"/>
              <w:rPr>
                <w:b/>
                <w:sz w:val="22"/>
                <w:szCs w:val="22"/>
              </w:rPr>
            </w:pPr>
            <w:r w:rsidRPr="00424E03">
              <w:rPr>
                <w:b/>
                <w:sz w:val="22"/>
                <w:szCs w:val="22"/>
              </w:rPr>
              <w:t>Obsiahnuté množstvo</w:t>
            </w:r>
          </w:p>
        </w:tc>
        <w:tc>
          <w:tcPr>
            <w:tcW w:w="2387" w:type="dxa"/>
            <w:shd w:val="clear" w:color="auto" w:fill="auto"/>
          </w:tcPr>
          <w:p w14:paraId="65C110B9" w14:textId="77777777" w:rsidR="00B64E25" w:rsidRPr="00424E03" w:rsidRDefault="00B64E25" w:rsidP="00424E03">
            <w:pPr>
              <w:pStyle w:val="TableCenter"/>
              <w:widowControl w:val="0"/>
              <w:spacing w:before="0" w:after="0"/>
              <w:rPr>
                <w:b/>
                <w:sz w:val="22"/>
                <w:szCs w:val="22"/>
              </w:rPr>
            </w:pPr>
            <w:r w:rsidRPr="00424E03">
              <w:rPr>
                <w:b/>
                <w:sz w:val="22"/>
                <w:szCs w:val="22"/>
              </w:rPr>
              <w:t>Maximálne pridané množstvo</w:t>
            </w:r>
          </w:p>
        </w:tc>
        <w:tc>
          <w:tcPr>
            <w:tcW w:w="2800" w:type="dxa"/>
            <w:shd w:val="clear" w:color="auto" w:fill="auto"/>
          </w:tcPr>
          <w:p w14:paraId="3AAB7ED9" w14:textId="77777777" w:rsidR="00B64E25" w:rsidRPr="00424E03" w:rsidRDefault="00B64E25" w:rsidP="00424E03">
            <w:pPr>
              <w:pStyle w:val="TableCenter"/>
              <w:widowControl w:val="0"/>
              <w:spacing w:before="0" w:after="0"/>
              <w:rPr>
                <w:b/>
                <w:sz w:val="22"/>
                <w:szCs w:val="22"/>
              </w:rPr>
            </w:pPr>
            <w:r w:rsidRPr="00424E03">
              <w:rPr>
                <w:b/>
                <w:sz w:val="22"/>
                <w:szCs w:val="22"/>
              </w:rPr>
              <w:t>Maximálne celkové množstvo</w:t>
            </w:r>
          </w:p>
        </w:tc>
      </w:tr>
      <w:tr w:rsidR="00B64E25" w:rsidRPr="00CF4824" w14:paraId="5DFA29FF" w14:textId="77777777" w:rsidTr="00424E03">
        <w:trPr>
          <w:jc w:val="center"/>
        </w:trPr>
        <w:tc>
          <w:tcPr>
            <w:tcW w:w="2091" w:type="dxa"/>
            <w:shd w:val="clear" w:color="auto" w:fill="auto"/>
          </w:tcPr>
          <w:p w14:paraId="63F71B07" w14:textId="67BA29CF" w:rsidR="00B64E25" w:rsidRPr="00CF4824" w:rsidRDefault="00AD5A4B" w:rsidP="00424E03">
            <w:pPr>
              <w:pStyle w:val="TableCenter"/>
              <w:widowControl w:val="0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B64E25" w:rsidRPr="00CF4824">
              <w:rPr>
                <w:sz w:val="22"/>
                <w:szCs w:val="22"/>
              </w:rPr>
              <w:t>odík</w:t>
            </w:r>
          </w:p>
        </w:tc>
        <w:tc>
          <w:tcPr>
            <w:tcW w:w="2009" w:type="dxa"/>
            <w:shd w:val="clear" w:color="auto" w:fill="auto"/>
          </w:tcPr>
          <w:p w14:paraId="19D4C27F" w14:textId="77777777" w:rsidR="00B64E25" w:rsidRPr="00CF4824" w:rsidRDefault="00B64E25" w:rsidP="00424E03">
            <w:pPr>
              <w:pStyle w:val="TableCenter"/>
              <w:widowControl w:val="0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 xml:space="preserve">35 </w:t>
            </w:r>
            <w:proofErr w:type="spellStart"/>
            <w:r w:rsidRPr="00CF4824">
              <w:rPr>
                <w:sz w:val="22"/>
                <w:szCs w:val="22"/>
              </w:rPr>
              <w:t>mmol</w:t>
            </w:r>
            <w:proofErr w:type="spellEnd"/>
          </w:p>
        </w:tc>
        <w:tc>
          <w:tcPr>
            <w:tcW w:w="2387" w:type="dxa"/>
            <w:shd w:val="clear" w:color="auto" w:fill="auto"/>
          </w:tcPr>
          <w:p w14:paraId="12364BA5" w14:textId="77777777" w:rsidR="00B64E25" w:rsidRPr="002F3A72" w:rsidRDefault="00B64E25" w:rsidP="00424E03">
            <w:pPr>
              <w:pStyle w:val="TableCenter"/>
              <w:widowControl w:val="0"/>
              <w:spacing w:before="0" w:after="0"/>
              <w:rPr>
                <w:sz w:val="22"/>
                <w:szCs w:val="22"/>
              </w:rPr>
            </w:pPr>
            <w:r w:rsidRPr="002F3A72">
              <w:rPr>
                <w:sz w:val="22"/>
                <w:szCs w:val="22"/>
              </w:rPr>
              <w:t xml:space="preserve">115 </w:t>
            </w:r>
            <w:proofErr w:type="spellStart"/>
            <w:r w:rsidRPr="002F3A72">
              <w:rPr>
                <w:sz w:val="22"/>
                <w:szCs w:val="22"/>
              </w:rPr>
              <w:t>mmol</w:t>
            </w:r>
            <w:proofErr w:type="spellEnd"/>
          </w:p>
        </w:tc>
        <w:tc>
          <w:tcPr>
            <w:tcW w:w="2800" w:type="dxa"/>
            <w:shd w:val="clear" w:color="auto" w:fill="auto"/>
          </w:tcPr>
          <w:p w14:paraId="4800B3AF" w14:textId="77777777" w:rsidR="00B64E25" w:rsidRPr="00CF4824" w:rsidRDefault="00B64E25" w:rsidP="00424E03">
            <w:pPr>
              <w:pStyle w:val="TableCenter"/>
              <w:widowControl w:val="0"/>
              <w:spacing w:before="0" w:after="0"/>
              <w:rPr>
                <w:sz w:val="22"/>
                <w:szCs w:val="22"/>
                <w:lang w:val="fr-FR"/>
              </w:rPr>
            </w:pPr>
            <w:r w:rsidRPr="00CF4824">
              <w:rPr>
                <w:sz w:val="22"/>
                <w:szCs w:val="22"/>
              </w:rPr>
              <w:t xml:space="preserve">150 </w:t>
            </w:r>
            <w:proofErr w:type="spellStart"/>
            <w:r w:rsidRPr="00CF4824">
              <w:rPr>
                <w:sz w:val="22"/>
                <w:szCs w:val="22"/>
              </w:rPr>
              <w:t>mmol</w:t>
            </w:r>
            <w:proofErr w:type="spellEnd"/>
          </w:p>
        </w:tc>
      </w:tr>
      <w:tr w:rsidR="00B64E25" w:rsidRPr="00CF4824" w14:paraId="3A6E9DC1" w14:textId="77777777" w:rsidTr="00424E03">
        <w:trPr>
          <w:jc w:val="center"/>
        </w:trPr>
        <w:tc>
          <w:tcPr>
            <w:tcW w:w="2091" w:type="dxa"/>
            <w:shd w:val="clear" w:color="auto" w:fill="auto"/>
          </w:tcPr>
          <w:p w14:paraId="612A0B47" w14:textId="6BE2E1B5" w:rsidR="00B64E25" w:rsidRPr="00CF4824" w:rsidRDefault="00AD5A4B" w:rsidP="00424E03">
            <w:pPr>
              <w:pStyle w:val="TableCenter"/>
              <w:spacing w:before="0" w:after="0"/>
              <w:jc w:val="lef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</w:rPr>
              <w:t>d</w:t>
            </w:r>
            <w:r w:rsidR="00B64E25" w:rsidRPr="00CF4824">
              <w:rPr>
                <w:sz w:val="22"/>
                <w:szCs w:val="22"/>
              </w:rPr>
              <w:t>raslík</w:t>
            </w:r>
          </w:p>
        </w:tc>
        <w:tc>
          <w:tcPr>
            <w:tcW w:w="2009" w:type="dxa"/>
            <w:shd w:val="clear" w:color="auto" w:fill="auto"/>
          </w:tcPr>
          <w:p w14:paraId="24FF955C" w14:textId="77777777" w:rsidR="00B64E25" w:rsidRPr="002F3A72" w:rsidRDefault="00B64E25" w:rsidP="00D91F70">
            <w:pPr>
              <w:pStyle w:val="TableCenter"/>
              <w:spacing w:before="0" w:after="0"/>
              <w:rPr>
                <w:sz w:val="22"/>
                <w:szCs w:val="22"/>
                <w:lang w:val="fr-FR"/>
              </w:rPr>
            </w:pPr>
            <w:r w:rsidRPr="00CF4824">
              <w:rPr>
                <w:sz w:val="22"/>
                <w:szCs w:val="22"/>
              </w:rPr>
              <w:t xml:space="preserve">30 </w:t>
            </w:r>
            <w:proofErr w:type="spellStart"/>
            <w:r w:rsidRPr="00CF4824">
              <w:rPr>
                <w:sz w:val="22"/>
                <w:szCs w:val="22"/>
              </w:rPr>
              <w:t>mmol</w:t>
            </w:r>
            <w:proofErr w:type="spellEnd"/>
          </w:p>
        </w:tc>
        <w:tc>
          <w:tcPr>
            <w:tcW w:w="2387" w:type="dxa"/>
            <w:shd w:val="clear" w:color="auto" w:fill="auto"/>
          </w:tcPr>
          <w:p w14:paraId="7C11B9D8" w14:textId="77777777" w:rsidR="00B64E25" w:rsidRPr="00CF4824" w:rsidRDefault="00B64E25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2F3A72">
              <w:rPr>
                <w:sz w:val="22"/>
                <w:szCs w:val="22"/>
              </w:rPr>
              <w:t xml:space="preserve">120 </w:t>
            </w:r>
            <w:proofErr w:type="spellStart"/>
            <w:r w:rsidRPr="00CF4824">
              <w:rPr>
                <w:sz w:val="22"/>
                <w:szCs w:val="22"/>
              </w:rPr>
              <w:t>mmol</w:t>
            </w:r>
            <w:proofErr w:type="spellEnd"/>
          </w:p>
        </w:tc>
        <w:tc>
          <w:tcPr>
            <w:tcW w:w="2800" w:type="dxa"/>
            <w:shd w:val="clear" w:color="auto" w:fill="auto"/>
          </w:tcPr>
          <w:p w14:paraId="4F1381FD" w14:textId="77777777" w:rsidR="00B64E25" w:rsidRPr="00CF4824" w:rsidRDefault="00B64E25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 xml:space="preserve">150 </w:t>
            </w:r>
            <w:proofErr w:type="spellStart"/>
            <w:r w:rsidRPr="00CF4824">
              <w:rPr>
                <w:sz w:val="22"/>
                <w:szCs w:val="22"/>
              </w:rPr>
              <w:t>mmol</w:t>
            </w:r>
            <w:proofErr w:type="spellEnd"/>
          </w:p>
        </w:tc>
      </w:tr>
      <w:tr w:rsidR="00B64E25" w:rsidRPr="00CF4824" w14:paraId="6659527F" w14:textId="77777777" w:rsidTr="00424E03">
        <w:trPr>
          <w:jc w:val="center"/>
        </w:trPr>
        <w:tc>
          <w:tcPr>
            <w:tcW w:w="2091" w:type="dxa"/>
            <w:shd w:val="clear" w:color="auto" w:fill="auto"/>
          </w:tcPr>
          <w:p w14:paraId="40A6BC98" w14:textId="79F9D217" w:rsidR="00B64E25" w:rsidRPr="00CF4824" w:rsidRDefault="00AD5A4B" w:rsidP="00424E03">
            <w:pPr>
              <w:pStyle w:val="TableCenter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</w:t>
            </w:r>
            <w:r w:rsidR="00B64E25" w:rsidRPr="00CF4824">
              <w:rPr>
                <w:sz w:val="22"/>
                <w:szCs w:val="22"/>
              </w:rPr>
              <w:t>orčík</w:t>
            </w:r>
          </w:p>
        </w:tc>
        <w:tc>
          <w:tcPr>
            <w:tcW w:w="2009" w:type="dxa"/>
            <w:shd w:val="clear" w:color="auto" w:fill="auto"/>
          </w:tcPr>
          <w:p w14:paraId="579DF7FF" w14:textId="77777777" w:rsidR="00B64E25" w:rsidRPr="00CF4824" w:rsidRDefault="00B64E25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 xml:space="preserve">4,0 </w:t>
            </w:r>
            <w:proofErr w:type="spellStart"/>
            <w:r w:rsidRPr="00CF4824">
              <w:rPr>
                <w:sz w:val="22"/>
                <w:szCs w:val="22"/>
              </w:rPr>
              <w:t>mmol</w:t>
            </w:r>
            <w:proofErr w:type="spellEnd"/>
          </w:p>
        </w:tc>
        <w:tc>
          <w:tcPr>
            <w:tcW w:w="2387" w:type="dxa"/>
            <w:shd w:val="clear" w:color="auto" w:fill="auto"/>
          </w:tcPr>
          <w:p w14:paraId="623FD73D" w14:textId="77777777" w:rsidR="00B64E25" w:rsidRPr="002F3A72" w:rsidRDefault="00B64E25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2F3A72">
              <w:rPr>
                <w:sz w:val="22"/>
                <w:szCs w:val="22"/>
              </w:rPr>
              <w:t xml:space="preserve">1,6 </w:t>
            </w:r>
            <w:proofErr w:type="spellStart"/>
            <w:r w:rsidRPr="002F3A72">
              <w:rPr>
                <w:sz w:val="22"/>
                <w:szCs w:val="22"/>
              </w:rPr>
              <w:t>mmol</w:t>
            </w:r>
            <w:proofErr w:type="spellEnd"/>
          </w:p>
        </w:tc>
        <w:tc>
          <w:tcPr>
            <w:tcW w:w="2800" w:type="dxa"/>
            <w:shd w:val="clear" w:color="auto" w:fill="auto"/>
          </w:tcPr>
          <w:p w14:paraId="463124B0" w14:textId="77777777" w:rsidR="00B64E25" w:rsidRPr="00CF4824" w:rsidRDefault="00B64E25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 xml:space="preserve">5,6 </w:t>
            </w:r>
            <w:proofErr w:type="spellStart"/>
            <w:r w:rsidRPr="00CF4824">
              <w:rPr>
                <w:sz w:val="22"/>
                <w:szCs w:val="22"/>
              </w:rPr>
              <w:t>mmol</w:t>
            </w:r>
            <w:proofErr w:type="spellEnd"/>
          </w:p>
        </w:tc>
      </w:tr>
      <w:tr w:rsidR="00B64E25" w:rsidRPr="00CF4824" w14:paraId="68939157" w14:textId="77777777" w:rsidTr="00424E03">
        <w:trPr>
          <w:trHeight w:val="159"/>
          <w:jc w:val="center"/>
        </w:trPr>
        <w:tc>
          <w:tcPr>
            <w:tcW w:w="2091" w:type="dxa"/>
            <w:shd w:val="clear" w:color="auto" w:fill="auto"/>
          </w:tcPr>
          <w:p w14:paraId="0BBEB4D2" w14:textId="7FFDA76D" w:rsidR="00B64E25" w:rsidRPr="00CF4824" w:rsidRDefault="00AD5A4B" w:rsidP="00424E03">
            <w:pPr>
              <w:pStyle w:val="TableCenter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B64E25" w:rsidRPr="00CF4824">
              <w:rPr>
                <w:sz w:val="22"/>
                <w:szCs w:val="22"/>
              </w:rPr>
              <w:t>ápnik</w:t>
            </w:r>
          </w:p>
        </w:tc>
        <w:tc>
          <w:tcPr>
            <w:tcW w:w="2009" w:type="dxa"/>
            <w:shd w:val="clear" w:color="auto" w:fill="auto"/>
          </w:tcPr>
          <w:p w14:paraId="2E2B983C" w14:textId="77777777" w:rsidR="00B64E25" w:rsidRPr="00CF4824" w:rsidRDefault="00B64E25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 xml:space="preserve">3,5 </w:t>
            </w:r>
            <w:proofErr w:type="spellStart"/>
            <w:r w:rsidRPr="00CF4824">
              <w:rPr>
                <w:sz w:val="22"/>
                <w:szCs w:val="22"/>
              </w:rPr>
              <w:t>mmol</w:t>
            </w:r>
            <w:proofErr w:type="spellEnd"/>
          </w:p>
        </w:tc>
        <w:tc>
          <w:tcPr>
            <w:tcW w:w="2387" w:type="dxa"/>
            <w:shd w:val="clear" w:color="auto" w:fill="auto"/>
          </w:tcPr>
          <w:p w14:paraId="597BF543" w14:textId="77777777" w:rsidR="00B64E25" w:rsidRPr="002F3A72" w:rsidRDefault="00B64E25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2F3A72">
              <w:rPr>
                <w:sz w:val="22"/>
                <w:szCs w:val="22"/>
              </w:rPr>
              <w:t xml:space="preserve">1,5 </w:t>
            </w:r>
            <w:proofErr w:type="spellStart"/>
            <w:r w:rsidRPr="002F3A72">
              <w:rPr>
                <w:sz w:val="22"/>
                <w:szCs w:val="22"/>
              </w:rPr>
              <w:t>mmol</w:t>
            </w:r>
            <w:proofErr w:type="spellEnd"/>
          </w:p>
        </w:tc>
        <w:tc>
          <w:tcPr>
            <w:tcW w:w="2800" w:type="dxa"/>
            <w:shd w:val="clear" w:color="auto" w:fill="auto"/>
          </w:tcPr>
          <w:p w14:paraId="037CDF6A" w14:textId="77777777" w:rsidR="00B64E25" w:rsidRPr="00CF4824" w:rsidRDefault="00B64E25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 xml:space="preserve">5,0 </w:t>
            </w:r>
            <w:proofErr w:type="spellStart"/>
            <w:r w:rsidRPr="00CF4824">
              <w:rPr>
                <w:sz w:val="22"/>
                <w:szCs w:val="22"/>
              </w:rPr>
              <w:t>mmol</w:t>
            </w:r>
            <w:proofErr w:type="spellEnd"/>
          </w:p>
        </w:tc>
      </w:tr>
      <w:tr w:rsidR="005F486F" w:rsidRPr="00CF4824" w14:paraId="330A8901" w14:textId="77777777" w:rsidTr="00424E03">
        <w:trPr>
          <w:jc w:val="center"/>
        </w:trPr>
        <w:tc>
          <w:tcPr>
            <w:tcW w:w="2091" w:type="dxa"/>
            <w:shd w:val="clear" w:color="auto" w:fill="auto"/>
          </w:tcPr>
          <w:p w14:paraId="003B9A6A" w14:textId="410CF02B" w:rsidR="005F486F" w:rsidRPr="00CF4824" w:rsidRDefault="0034776E" w:rsidP="00424E03">
            <w:pPr>
              <w:pStyle w:val="TableCenter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5F486F">
              <w:rPr>
                <w:sz w:val="22"/>
                <w:szCs w:val="22"/>
              </w:rPr>
              <w:t>n</w:t>
            </w:r>
            <w:r w:rsidR="005F486F" w:rsidRPr="00CF4824">
              <w:rPr>
                <w:sz w:val="22"/>
                <w:szCs w:val="22"/>
              </w:rPr>
              <w:t>organické fosfáty</w:t>
            </w:r>
          </w:p>
        </w:tc>
        <w:tc>
          <w:tcPr>
            <w:tcW w:w="2009" w:type="dxa"/>
            <w:shd w:val="clear" w:color="auto" w:fill="auto"/>
          </w:tcPr>
          <w:p w14:paraId="099F85E4" w14:textId="77777777" w:rsidR="005F486F" w:rsidRPr="00CF4824" w:rsidRDefault="005F486F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 xml:space="preserve">0 </w:t>
            </w:r>
            <w:proofErr w:type="spellStart"/>
            <w:r w:rsidRPr="00CF4824">
              <w:rPr>
                <w:sz w:val="22"/>
                <w:szCs w:val="22"/>
              </w:rPr>
              <w:t>mmol</w:t>
            </w:r>
            <w:proofErr w:type="spellEnd"/>
          </w:p>
        </w:tc>
        <w:tc>
          <w:tcPr>
            <w:tcW w:w="2387" w:type="dxa"/>
            <w:vMerge w:val="restart"/>
            <w:shd w:val="clear" w:color="auto" w:fill="auto"/>
          </w:tcPr>
          <w:p w14:paraId="378AA447" w14:textId="7B8792F9" w:rsidR="005F486F" w:rsidRDefault="005F486F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2F3A72">
              <w:rPr>
                <w:sz w:val="22"/>
                <w:szCs w:val="22"/>
              </w:rPr>
              <w:t xml:space="preserve">10 </w:t>
            </w:r>
            <w:proofErr w:type="spellStart"/>
            <w:r w:rsidRPr="002F3A72">
              <w:rPr>
                <w:sz w:val="22"/>
                <w:szCs w:val="22"/>
              </w:rPr>
              <w:t>mmol</w:t>
            </w:r>
            <w:proofErr w:type="spellEnd"/>
            <w:r w:rsidRPr="002F3A7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Pi</w:t>
            </w:r>
          </w:p>
          <w:p w14:paraId="531DA6B9" w14:textId="5720C19A" w:rsidR="005F486F" w:rsidRPr="005F486F" w:rsidRDefault="005F486F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alebo</w:t>
            </w:r>
          </w:p>
          <w:p w14:paraId="47E023D7" w14:textId="7335FD6B" w:rsidR="005F486F" w:rsidRPr="00CF4824" w:rsidRDefault="005F486F" w:rsidP="006D6AFA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2F3A72">
              <w:rPr>
                <w:sz w:val="22"/>
                <w:szCs w:val="22"/>
              </w:rPr>
              <w:t xml:space="preserve">10 </w:t>
            </w:r>
            <w:proofErr w:type="spellStart"/>
            <w:r w:rsidRPr="002F3A72">
              <w:rPr>
                <w:sz w:val="22"/>
                <w:szCs w:val="22"/>
              </w:rPr>
              <w:t>mmol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</w:t>
            </w:r>
            <w:r w:rsidRPr="00CF4824">
              <w:rPr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2800" w:type="dxa"/>
            <w:vMerge w:val="restart"/>
            <w:shd w:val="clear" w:color="auto" w:fill="auto"/>
          </w:tcPr>
          <w:p w14:paraId="37CD38E8" w14:textId="57EDB6C6" w:rsidR="005F486F" w:rsidRDefault="005F486F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 xml:space="preserve">10 </w:t>
            </w:r>
            <w:proofErr w:type="spellStart"/>
            <w:r w:rsidRPr="00CF4824">
              <w:rPr>
                <w:sz w:val="22"/>
                <w:szCs w:val="22"/>
              </w:rPr>
              <w:t>mmol</w:t>
            </w:r>
            <w:proofErr w:type="spellEnd"/>
            <w:r w:rsidRPr="00CF4824">
              <w:rPr>
                <w:sz w:val="22"/>
                <w:szCs w:val="22"/>
                <w:vertAlign w:val="superscript"/>
              </w:rPr>
              <w:t xml:space="preserve"> </w:t>
            </w:r>
            <w:r>
              <w:rPr>
                <w:sz w:val="22"/>
                <w:szCs w:val="22"/>
              </w:rPr>
              <w:t xml:space="preserve">Pi + 15 </w:t>
            </w:r>
            <w:proofErr w:type="spellStart"/>
            <w:r>
              <w:rPr>
                <w:sz w:val="22"/>
                <w:szCs w:val="22"/>
              </w:rPr>
              <w:t>mmol</w:t>
            </w:r>
            <w:proofErr w:type="spellEnd"/>
            <w:r>
              <w:rPr>
                <w:sz w:val="22"/>
                <w:szCs w:val="22"/>
              </w:rPr>
              <w:t xml:space="preserve"> Po</w:t>
            </w:r>
          </w:p>
          <w:p w14:paraId="4D5A238F" w14:textId="5FE1D6DD" w:rsidR="005F486F" w:rsidRPr="00424E03" w:rsidRDefault="005F486F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alebo</w:t>
            </w:r>
          </w:p>
          <w:p w14:paraId="7CCBD72B" w14:textId="1B4E5A66" w:rsidR="005F486F" w:rsidRPr="00CF4824" w:rsidRDefault="005F486F" w:rsidP="006D6AFA">
            <w:pPr>
              <w:pStyle w:val="TableCenter"/>
              <w:spacing w:before="0" w:after="0"/>
              <w:rPr>
                <w:sz w:val="22"/>
                <w:szCs w:val="22"/>
                <w:vertAlign w:val="superscript"/>
              </w:rPr>
            </w:pPr>
            <w:r w:rsidRPr="00CF4824">
              <w:rPr>
                <w:sz w:val="22"/>
                <w:szCs w:val="22"/>
              </w:rPr>
              <w:t xml:space="preserve">25 </w:t>
            </w:r>
            <w:proofErr w:type="spellStart"/>
            <w:r w:rsidRPr="00CF4824">
              <w:rPr>
                <w:sz w:val="22"/>
                <w:szCs w:val="22"/>
              </w:rPr>
              <w:t>mmol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</w:t>
            </w:r>
            <w:r>
              <w:rPr>
                <w:sz w:val="22"/>
                <w:szCs w:val="22"/>
                <w:vertAlign w:val="superscript"/>
              </w:rPr>
              <w:t>a,</w:t>
            </w:r>
            <w:r w:rsidRPr="00CF4824">
              <w:rPr>
                <w:sz w:val="22"/>
                <w:szCs w:val="22"/>
                <w:vertAlign w:val="superscript"/>
              </w:rPr>
              <w:t>b</w:t>
            </w:r>
            <w:proofErr w:type="spellEnd"/>
            <w:r w:rsidRPr="00CF4824">
              <w:rPr>
                <w:sz w:val="22"/>
                <w:szCs w:val="22"/>
              </w:rPr>
              <w:t xml:space="preserve"> </w:t>
            </w:r>
          </w:p>
        </w:tc>
      </w:tr>
      <w:tr w:rsidR="005F486F" w:rsidRPr="00CF4824" w14:paraId="3B98D3FD" w14:textId="77777777" w:rsidTr="00424E03">
        <w:trPr>
          <w:jc w:val="center"/>
        </w:trPr>
        <w:tc>
          <w:tcPr>
            <w:tcW w:w="2091" w:type="dxa"/>
            <w:shd w:val="clear" w:color="auto" w:fill="auto"/>
          </w:tcPr>
          <w:p w14:paraId="3636B2EC" w14:textId="27EEB1D4" w:rsidR="005F486F" w:rsidRPr="00CF4824" w:rsidRDefault="0034776E" w:rsidP="00424E03">
            <w:pPr>
              <w:pStyle w:val="TableCenter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5F486F" w:rsidRPr="00CF4824">
              <w:rPr>
                <w:sz w:val="22"/>
                <w:szCs w:val="22"/>
              </w:rPr>
              <w:t>rganické fosfáty</w:t>
            </w:r>
          </w:p>
        </w:tc>
        <w:tc>
          <w:tcPr>
            <w:tcW w:w="2009" w:type="dxa"/>
            <w:shd w:val="clear" w:color="auto" w:fill="auto"/>
          </w:tcPr>
          <w:p w14:paraId="6B7ACD1E" w14:textId="0B28E364" w:rsidR="005F486F" w:rsidRPr="002F3A72" w:rsidRDefault="005F486F" w:rsidP="006D6AFA">
            <w:pPr>
              <w:pStyle w:val="TableCenter"/>
              <w:spacing w:before="0" w:after="0"/>
              <w:rPr>
                <w:sz w:val="22"/>
                <w:szCs w:val="22"/>
                <w:vertAlign w:val="superscript"/>
              </w:rPr>
            </w:pPr>
            <w:r w:rsidRPr="00CF4824">
              <w:rPr>
                <w:sz w:val="22"/>
                <w:szCs w:val="22"/>
              </w:rPr>
              <w:t xml:space="preserve">15 </w:t>
            </w:r>
            <w:proofErr w:type="spellStart"/>
            <w:r w:rsidRPr="00CF4824">
              <w:rPr>
                <w:sz w:val="22"/>
                <w:szCs w:val="22"/>
              </w:rPr>
              <w:t>mmol</w:t>
            </w:r>
            <w:r w:rsidRPr="002F3A72">
              <w:rPr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2387" w:type="dxa"/>
            <w:vMerge/>
            <w:shd w:val="clear" w:color="auto" w:fill="auto"/>
          </w:tcPr>
          <w:p w14:paraId="611BD961" w14:textId="7F45E5B7" w:rsidR="005F486F" w:rsidRPr="00CF4824" w:rsidRDefault="005F486F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800" w:type="dxa"/>
            <w:vMerge/>
            <w:shd w:val="clear" w:color="auto" w:fill="auto"/>
          </w:tcPr>
          <w:p w14:paraId="046F4438" w14:textId="2CFE6DF6" w:rsidR="005F486F" w:rsidRPr="00CF4824" w:rsidRDefault="005F486F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</w:p>
        </w:tc>
      </w:tr>
      <w:tr w:rsidR="00B64E25" w:rsidRPr="00CF4824" w14:paraId="0EEFB4D8" w14:textId="77777777" w:rsidTr="00424E03">
        <w:trPr>
          <w:jc w:val="center"/>
        </w:trPr>
        <w:tc>
          <w:tcPr>
            <w:tcW w:w="9287" w:type="dxa"/>
            <w:gridSpan w:val="4"/>
            <w:shd w:val="clear" w:color="auto" w:fill="auto"/>
          </w:tcPr>
          <w:p w14:paraId="71095ADD" w14:textId="3AA830D8" w:rsidR="00B64E25" w:rsidRPr="00CF4824" w:rsidRDefault="00B64E25" w:rsidP="00424E03">
            <w:pPr>
              <w:pStyle w:val="TableCenter"/>
              <w:spacing w:before="0" w:after="120"/>
              <w:rPr>
                <w:b/>
                <w:sz w:val="22"/>
                <w:szCs w:val="22"/>
                <w:vertAlign w:val="superscript"/>
              </w:rPr>
            </w:pPr>
            <w:r w:rsidRPr="00CF4824">
              <w:rPr>
                <w:b/>
                <w:sz w:val="22"/>
                <w:szCs w:val="22"/>
              </w:rPr>
              <w:t xml:space="preserve">Ostatné </w:t>
            </w:r>
            <w:proofErr w:type="spellStart"/>
            <w:r w:rsidR="00E015DC">
              <w:rPr>
                <w:b/>
                <w:sz w:val="22"/>
                <w:szCs w:val="22"/>
              </w:rPr>
              <w:t>suplementy</w:t>
            </w:r>
            <w:proofErr w:type="spellEnd"/>
            <w:r w:rsidRPr="00CF4824">
              <w:rPr>
                <w:b/>
                <w:sz w:val="22"/>
                <w:szCs w:val="22"/>
              </w:rPr>
              <w:t xml:space="preserve"> (stopové prvky, vitamíny, selén a zinok)</w:t>
            </w:r>
            <w:r w:rsidRPr="00CF4824">
              <w:rPr>
                <w:b/>
                <w:sz w:val="22"/>
                <w:szCs w:val="22"/>
                <w:vertAlign w:val="superscript"/>
              </w:rPr>
              <w:t>c</w:t>
            </w:r>
          </w:p>
        </w:tc>
      </w:tr>
      <w:tr w:rsidR="00B64E25" w:rsidRPr="00CF4824" w14:paraId="4A522F00" w14:textId="77777777" w:rsidTr="00424E03">
        <w:trPr>
          <w:trHeight w:val="476"/>
          <w:jc w:val="center"/>
        </w:trPr>
        <w:tc>
          <w:tcPr>
            <w:tcW w:w="2091" w:type="dxa"/>
            <w:shd w:val="clear" w:color="auto" w:fill="auto"/>
          </w:tcPr>
          <w:p w14:paraId="1CF96CF5" w14:textId="3B0E87F7" w:rsidR="00B64E25" w:rsidRPr="002F3A72" w:rsidRDefault="00B0156B" w:rsidP="00424E03">
            <w:pPr>
              <w:pStyle w:val="TableCenter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B64E25" w:rsidRPr="00CF4824">
              <w:rPr>
                <w:sz w:val="22"/>
                <w:szCs w:val="22"/>
              </w:rPr>
              <w:t xml:space="preserve">topové prvky – </w:t>
            </w:r>
            <w:proofErr w:type="spellStart"/>
            <w:r w:rsidR="003F1DD5">
              <w:rPr>
                <w:sz w:val="22"/>
                <w:szCs w:val="22"/>
              </w:rPr>
              <w:t>Jun</w:t>
            </w:r>
            <w:r w:rsidR="00B64E25" w:rsidRPr="00CF4824">
              <w:rPr>
                <w:sz w:val="22"/>
                <w:szCs w:val="22"/>
              </w:rPr>
              <w:t>yelt</w:t>
            </w:r>
            <w:r w:rsidR="00B64E25" w:rsidRPr="00CF4824">
              <w:rPr>
                <w:sz w:val="22"/>
                <w:szCs w:val="22"/>
                <w:vertAlign w:val="superscript"/>
              </w:rPr>
              <w:t>d</w:t>
            </w:r>
            <w:proofErr w:type="spellEnd"/>
          </w:p>
        </w:tc>
        <w:tc>
          <w:tcPr>
            <w:tcW w:w="7196" w:type="dxa"/>
            <w:gridSpan w:val="3"/>
            <w:shd w:val="clear" w:color="auto" w:fill="auto"/>
          </w:tcPr>
          <w:p w14:paraId="27D5A61B" w14:textId="756A586C" w:rsidR="00B64E25" w:rsidRPr="002F3A72" w:rsidRDefault="00653A9E" w:rsidP="00424E03">
            <w:pPr>
              <w:pStyle w:val="TableCenter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3F1DD5">
              <w:rPr>
                <w:sz w:val="22"/>
                <w:szCs w:val="22"/>
              </w:rPr>
              <w:t>injekčná liekovka</w:t>
            </w:r>
            <w:r w:rsidR="00B64E25" w:rsidRPr="002F3A72">
              <w:rPr>
                <w:sz w:val="22"/>
                <w:szCs w:val="22"/>
              </w:rPr>
              <w:t xml:space="preserve"> na vak (10 ml koncentrát</w:t>
            </w:r>
            <w:r w:rsidR="00DF55C9">
              <w:rPr>
                <w:sz w:val="22"/>
                <w:szCs w:val="22"/>
              </w:rPr>
              <w:t>u</w:t>
            </w:r>
            <w:r w:rsidR="00B64E25" w:rsidRPr="002F3A72">
              <w:rPr>
                <w:sz w:val="22"/>
                <w:szCs w:val="22"/>
              </w:rPr>
              <w:t xml:space="preserve"> roztok</w:t>
            </w:r>
            <w:r w:rsidR="003F1DD5">
              <w:rPr>
                <w:sz w:val="22"/>
                <w:szCs w:val="22"/>
              </w:rPr>
              <w:t>u</w:t>
            </w:r>
            <w:r w:rsidR="00B64E25" w:rsidRPr="002F3A72">
              <w:rPr>
                <w:sz w:val="22"/>
                <w:szCs w:val="22"/>
              </w:rPr>
              <w:t>)</w:t>
            </w:r>
          </w:p>
        </w:tc>
      </w:tr>
      <w:tr w:rsidR="00B64E25" w:rsidRPr="00CF4824" w14:paraId="0F788146" w14:textId="77777777" w:rsidTr="00424E03">
        <w:trPr>
          <w:jc w:val="center"/>
        </w:trPr>
        <w:tc>
          <w:tcPr>
            <w:tcW w:w="2091" w:type="dxa"/>
            <w:shd w:val="clear" w:color="auto" w:fill="auto"/>
          </w:tcPr>
          <w:p w14:paraId="4DE200FF" w14:textId="34299A53" w:rsidR="00B64E25" w:rsidRPr="002F3A72" w:rsidRDefault="00B0156B" w:rsidP="00424E03">
            <w:pPr>
              <w:pStyle w:val="TableCenter"/>
              <w:spacing w:before="0" w:after="0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</w:t>
            </w:r>
            <w:r w:rsidR="00B64E25" w:rsidRPr="00CF4824">
              <w:rPr>
                <w:sz w:val="22"/>
                <w:szCs w:val="22"/>
              </w:rPr>
              <w:t>itamíny</w:t>
            </w:r>
            <w:r w:rsidR="003F1DD5">
              <w:rPr>
                <w:sz w:val="22"/>
                <w:szCs w:val="22"/>
                <w:vertAlign w:val="superscript"/>
              </w:rPr>
              <w:t>e</w:t>
            </w:r>
            <w:proofErr w:type="spellEnd"/>
            <w:r w:rsidR="00B64E25" w:rsidRPr="00CF4824">
              <w:rPr>
                <w:sz w:val="22"/>
                <w:szCs w:val="22"/>
              </w:rPr>
              <w:t xml:space="preserve">  </w:t>
            </w:r>
          </w:p>
        </w:tc>
        <w:tc>
          <w:tcPr>
            <w:tcW w:w="7196" w:type="dxa"/>
            <w:gridSpan w:val="3"/>
            <w:shd w:val="clear" w:color="auto" w:fill="auto"/>
          </w:tcPr>
          <w:p w14:paraId="724D02FC" w14:textId="4EE062D5" w:rsidR="00B64E25" w:rsidRPr="002F3A72" w:rsidRDefault="00B64E25" w:rsidP="00424E03">
            <w:pPr>
              <w:pStyle w:val="TableCenter"/>
              <w:spacing w:before="0" w:after="0"/>
              <w:jc w:val="left"/>
              <w:rPr>
                <w:sz w:val="22"/>
                <w:szCs w:val="22"/>
              </w:rPr>
            </w:pPr>
            <w:r w:rsidRPr="002F3A72">
              <w:rPr>
                <w:sz w:val="22"/>
                <w:szCs w:val="22"/>
              </w:rPr>
              <w:t xml:space="preserve">1 </w:t>
            </w:r>
            <w:r w:rsidR="00653A9E">
              <w:rPr>
                <w:sz w:val="22"/>
                <w:szCs w:val="22"/>
              </w:rPr>
              <w:t xml:space="preserve">injekčná </w:t>
            </w:r>
            <w:r w:rsidRPr="002F3A72">
              <w:rPr>
                <w:sz w:val="22"/>
                <w:szCs w:val="22"/>
              </w:rPr>
              <w:t>liekovka (</w:t>
            </w:r>
            <w:proofErr w:type="spellStart"/>
            <w:r w:rsidRPr="002F3A72">
              <w:rPr>
                <w:sz w:val="22"/>
                <w:szCs w:val="22"/>
              </w:rPr>
              <w:t>lyofilizát</w:t>
            </w:r>
            <w:proofErr w:type="spellEnd"/>
            <w:r w:rsidRPr="002F3A72">
              <w:rPr>
                <w:sz w:val="22"/>
                <w:szCs w:val="22"/>
              </w:rPr>
              <w:t>)</w:t>
            </w:r>
          </w:p>
        </w:tc>
      </w:tr>
      <w:tr w:rsidR="00B64E25" w:rsidRPr="00CF4824" w14:paraId="62953DA9" w14:textId="77777777" w:rsidTr="00424E03">
        <w:trPr>
          <w:jc w:val="center"/>
        </w:trPr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</w:tcPr>
          <w:p w14:paraId="1D041A7F" w14:textId="3B122F2E" w:rsidR="00B64E25" w:rsidRPr="00CF4824" w:rsidRDefault="00B0156B" w:rsidP="00424E03">
            <w:pPr>
              <w:pStyle w:val="TableCenter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B64E25" w:rsidRPr="00CF4824">
              <w:rPr>
                <w:sz w:val="22"/>
                <w:szCs w:val="22"/>
              </w:rPr>
              <w:t>elén</w:t>
            </w:r>
          </w:p>
        </w:tc>
        <w:tc>
          <w:tcPr>
            <w:tcW w:w="719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179393A" w14:textId="43A8C70F" w:rsidR="00B64E25" w:rsidRPr="00CF4824" w:rsidRDefault="00653A9E" w:rsidP="00424E03">
            <w:pPr>
              <w:pStyle w:val="TableCenter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B64E25" w:rsidRPr="00CF4824">
              <w:rPr>
                <w:sz w:val="22"/>
                <w:szCs w:val="22"/>
              </w:rPr>
              <w:t xml:space="preserve">0 </w:t>
            </w:r>
            <w:proofErr w:type="spellStart"/>
            <w:r w:rsidR="00971CDB">
              <w:rPr>
                <w:sz w:val="22"/>
                <w:szCs w:val="22"/>
              </w:rPr>
              <w:t>mikrogramov</w:t>
            </w:r>
            <w:proofErr w:type="spellEnd"/>
            <w:r w:rsidR="00B64E25" w:rsidRPr="00CF4824">
              <w:rPr>
                <w:sz w:val="22"/>
                <w:szCs w:val="22"/>
              </w:rPr>
              <w:t xml:space="preserve"> na vak</w:t>
            </w:r>
          </w:p>
        </w:tc>
      </w:tr>
      <w:tr w:rsidR="00B64E25" w:rsidRPr="00CF4824" w14:paraId="131F1D12" w14:textId="77777777" w:rsidTr="00424E03">
        <w:trPr>
          <w:jc w:val="center"/>
        </w:trPr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6B6333" w14:textId="3CE97200" w:rsidR="00B64E25" w:rsidRPr="00CF4824" w:rsidRDefault="00B0156B" w:rsidP="00424E03">
            <w:pPr>
              <w:pStyle w:val="TableCenter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="00B64E25" w:rsidRPr="00CF4824">
              <w:rPr>
                <w:sz w:val="22"/>
                <w:szCs w:val="22"/>
              </w:rPr>
              <w:t>inok</w:t>
            </w:r>
          </w:p>
        </w:tc>
        <w:tc>
          <w:tcPr>
            <w:tcW w:w="719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C95719" w14:textId="56C9DA3C" w:rsidR="00B64E25" w:rsidRPr="00CF4824" w:rsidRDefault="00653A9E" w:rsidP="00424E03">
            <w:pPr>
              <w:pStyle w:val="TableCenter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64E25" w:rsidRPr="00CF4824">
              <w:rPr>
                <w:sz w:val="22"/>
                <w:szCs w:val="22"/>
              </w:rPr>
              <w:t xml:space="preserve"> mg na vak</w:t>
            </w:r>
          </w:p>
        </w:tc>
      </w:tr>
      <w:tr w:rsidR="00B64E25" w:rsidRPr="00CF4824" w14:paraId="49F1EB42" w14:textId="77777777" w:rsidTr="00424E03">
        <w:trPr>
          <w:jc w:val="center"/>
        </w:trPr>
        <w:tc>
          <w:tcPr>
            <w:tcW w:w="928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BAAFDDA" w14:textId="5A344B50" w:rsidR="00B64E25" w:rsidRPr="00BA6A2E" w:rsidRDefault="006D6AFA" w:rsidP="00D91F70">
            <w:pPr>
              <w:pStyle w:val="TableFootnoteLetter"/>
              <w:numPr>
                <w:ilvl w:val="0"/>
                <w:numId w:val="30"/>
              </w:numPr>
              <w:spacing w:before="0" w:after="0"/>
            </w:pPr>
            <w:bookmarkStart w:id="43" w:name="_Ref495667160"/>
            <w:r>
              <w:t>Vrátane</w:t>
            </w:r>
            <w:r w:rsidR="005F486F">
              <w:t xml:space="preserve"> f</w:t>
            </w:r>
            <w:r w:rsidR="00B64E25" w:rsidRPr="00BA6A2E">
              <w:t>osfát</w:t>
            </w:r>
            <w:r>
              <w:t>u</w:t>
            </w:r>
            <w:r w:rsidR="00B64E25" w:rsidRPr="00BA6A2E">
              <w:t xml:space="preserve"> </w:t>
            </w:r>
            <w:r>
              <w:t>z</w:t>
            </w:r>
            <w:r w:rsidR="00E743D8">
              <w:t> </w:t>
            </w:r>
            <w:proofErr w:type="spellStart"/>
            <w:r w:rsidR="00E743D8">
              <w:t>lipidovej</w:t>
            </w:r>
            <w:proofErr w:type="spellEnd"/>
            <w:r w:rsidR="00E743D8">
              <w:t xml:space="preserve"> </w:t>
            </w:r>
            <w:r w:rsidR="00B64E25" w:rsidRPr="00BA6A2E">
              <w:t>emulzi</w:t>
            </w:r>
            <w:r>
              <w:t>e</w:t>
            </w:r>
            <w:bookmarkEnd w:id="43"/>
            <w:r w:rsidR="00F73360">
              <w:t>.</w:t>
            </w:r>
          </w:p>
          <w:p w14:paraId="59D96484" w14:textId="71BA49AB" w:rsidR="00B64E25" w:rsidRPr="00BA6A2E" w:rsidRDefault="005F486F" w:rsidP="00D91F70">
            <w:pPr>
              <w:pStyle w:val="TableFootnoteLetter"/>
              <w:numPr>
                <w:ilvl w:val="0"/>
                <w:numId w:val="30"/>
              </w:numPr>
              <w:spacing w:before="0" w:after="0"/>
            </w:pPr>
            <w:bookmarkStart w:id="44" w:name="_Ref495667173"/>
            <w:r>
              <w:t>Pi – anorganický fosfát</w:t>
            </w:r>
            <w:r w:rsidR="0009181E">
              <w:t xml:space="preserve"> (</w:t>
            </w:r>
            <w:proofErr w:type="spellStart"/>
            <w:r w:rsidR="0009181E">
              <w:t>inorganic</w:t>
            </w:r>
            <w:proofErr w:type="spellEnd"/>
            <w:r w:rsidR="0009181E">
              <w:t xml:space="preserve"> </w:t>
            </w:r>
            <w:proofErr w:type="spellStart"/>
            <w:r w:rsidR="0009181E">
              <w:t>phosphate</w:t>
            </w:r>
            <w:proofErr w:type="spellEnd"/>
            <w:r w:rsidR="0009181E">
              <w:t>)</w:t>
            </w:r>
            <w:r>
              <w:rPr>
                <w:lang w:val="en-US"/>
              </w:rPr>
              <w:t>;</w:t>
            </w:r>
            <w:r>
              <w:t xml:space="preserve"> Po – organický fosfát</w:t>
            </w:r>
            <w:r w:rsidR="0009181E">
              <w:t xml:space="preserve"> (</w:t>
            </w:r>
            <w:proofErr w:type="spellStart"/>
            <w:r w:rsidR="0009181E">
              <w:t>organic</w:t>
            </w:r>
            <w:proofErr w:type="spellEnd"/>
            <w:r w:rsidR="0009181E">
              <w:t xml:space="preserve"> </w:t>
            </w:r>
            <w:proofErr w:type="spellStart"/>
            <w:r w:rsidR="0009181E">
              <w:t>phosphate</w:t>
            </w:r>
            <w:proofErr w:type="spellEnd"/>
            <w:r w:rsidR="0009181E">
              <w:t>)</w:t>
            </w:r>
            <w:r w:rsidR="00F73360">
              <w:t>.</w:t>
            </w:r>
            <w:bookmarkEnd w:id="44"/>
          </w:p>
          <w:p w14:paraId="03F2115F" w14:textId="0058F25F" w:rsidR="00B64E25" w:rsidRPr="00BA6A2E" w:rsidRDefault="00B64E25" w:rsidP="00D91F70">
            <w:pPr>
              <w:pStyle w:val="TableFootnoteLetter"/>
              <w:numPr>
                <w:ilvl w:val="0"/>
                <w:numId w:val="30"/>
              </w:numPr>
              <w:spacing w:before="0" w:after="0"/>
            </w:pPr>
            <w:bookmarkStart w:id="45" w:name="_Ref495667233"/>
            <w:r w:rsidRPr="00BA6A2E">
              <w:t xml:space="preserve">Pre </w:t>
            </w:r>
            <w:r w:rsidR="000140B9" w:rsidRPr="00BA6A2E">
              <w:t>všetky veľkosti vaku</w:t>
            </w:r>
            <w:r w:rsidRPr="00BA6A2E">
              <w:t xml:space="preserve"> môže byť pridané množstvo stopových prvkov, vitamínov, selénu a zinku rovnaké ako pre vak s objemom 1 liter</w:t>
            </w:r>
            <w:r w:rsidR="00F73360">
              <w:t>.</w:t>
            </w:r>
          </w:p>
          <w:p w14:paraId="78910ED3" w14:textId="6F56E67F" w:rsidR="00B64E25" w:rsidRPr="00BA6A2E" w:rsidRDefault="00B64E25" w:rsidP="00D91F70">
            <w:pPr>
              <w:pStyle w:val="TableFootnoteLetter"/>
              <w:numPr>
                <w:ilvl w:val="0"/>
                <w:numId w:val="30"/>
              </w:numPr>
              <w:spacing w:before="0" w:after="0"/>
            </w:pPr>
            <w:r w:rsidRPr="00BA6A2E">
              <w:t xml:space="preserve"> </w:t>
            </w:r>
            <w:bookmarkEnd w:id="45"/>
            <w:proofErr w:type="spellStart"/>
            <w:r w:rsidR="000140B9" w:rsidRPr="00BA6A2E">
              <w:t>Jun</w:t>
            </w:r>
            <w:r w:rsidRPr="00BA6A2E">
              <w:t>yelt</w:t>
            </w:r>
            <w:proofErr w:type="spellEnd"/>
            <w:r w:rsidRPr="00BA6A2E">
              <w:t xml:space="preserve"> </w:t>
            </w:r>
            <w:r w:rsidRPr="00BA6A2E">
              <w:rPr>
                <w:iCs/>
              </w:rPr>
              <w:t xml:space="preserve">(zloženie na </w:t>
            </w:r>
            <w:r w:rsidR="000049F7" w:rsidRPr="00BA6A2E">
              <w:rPr>
                <w:iCs/>
              </w:rPr>
              <w:t xml:space="preserve">injekčnú </w:t>
            </w:r>
            <w:r w:rsidRPr="00BA6A2E">
              <w:rPr>
                <w:iCs/>
              </w:rPr>
              <w:t>liekovku: zinok 15</w:t>
            </w:r>
            <w:r w:rsidR="000049F7" w:rsidRPr="00BA6A2E">
              <w:rPr>
                <w:iCs/>
              </w:rPr>
              <w:t>,</w:t>
            </w:r>
            <w:r w:rsidRPr="00BA6A2E">
              <w:rPr>
                <w:iCs/>
              </w:rPr>
              <w:t>3</w:t>
            </w:r>
            <w:r w:rsidR="000049F7" w:rsidRPr="00BA6A2E">
              <w:rPr>
                <w:iCs/>
              </w:rPr>
              <w:t>0</w:t>
            </w:r>
            <w:r w:rsidRPr="00BA6A2E">
              <w:rPr>
                <w:iCs/>
              </w:rPr>
              <w:t xml:space="preserve"> µmol; </w:t>
            </w:r>
            <w:r w:rsidRPr="00BA6A2E">
              <w:t xml:space="preserve">meď </w:t>
            </w:r>
            <w:r w:rsidR="000049F7" w:rsidRPr="00BA6A2E">
              <w:t>3,15</w:t>
            </w:r>
            <w:r w:rsidRPr="00BA6A2E">
              <w:t xml:space="preserve"> µmol; mangán </w:t>
            </w:r>
            <w:r w:rsidR="000049F7" w:rsidRPr="00BA6A2E">
              <w:t>0,091</w:t>
            </w:r>
            <w:r w:rsidRPr="00BA6A2E">
              <w:t xml:space="preserve"> µmol; jód </w:t>
            </w:r>
            <w:r w:rsidR="000049F7" w:rsidRPr="00BA6A2E">
              <w:t>0,079 µmol;</w:t>
            </w:r>
            <w:r w:rsidR="002922D8">
              <w:t xml:space="preserve"> </w:t>
            </w:r>
            <w:r w:rsidRPr="00BA6A2E">
              <w:t>selén 0,</w:t>
            </w:r>
            <w:r w:rsidR="000049F7" w:rsidRPr="00BA6A2E">
              <w:t>253</w:t>
            </w:r>
            <w:r w:rsidRPr="00BA6A2E">
              <w:t xml:space="preserve"> µmol</w:t>
            </w:r>
            <w:r w:rsidR="000049F7" w:rsidRPr="00BA6A2E">
              <w:t>)</w:t>
            </w:r>
            <w:r w:rsidR="00F73360">
              <w:t>.</w:t>
            </w:r>
          </w:p>
          <w:p w14:paraId="6FF2A006" w14:textId="73D59AFC" w:rsidR="004C1EFA" w:rsidRPr="004C1EFA" w:rsidRDefault="00A6687D" w:rsidP="004C1EFA">
            <w:pPr>
              <w:pStyle w:val="TableFootnoteLetter"/>
              <w:numPr>
                <w:ilvl w:val="0"/>
                <w:numId w:val="30"/>
              </w:numPr>
              <w:spacing w:before="0" w:after="0"/>
              <w:rPr>
                <w:sz w:val="22"/>
                <w:szCs w:val="22"/>
              </w:rPr>
            </w:pPr>
            <w:r w:rsidRPr="00BA6A2E">
              <w:rPr>
                <w:iCs/>
              </w:rPr>
              <w:t xml:space="preserve">Kombinácia </w:t>
            </w:r>
            <w:r w:rsidR="000A70FE" w:rsidRPr="00BA6A2E">
              <w:rPr>
                <w:iCs/>
              </w:rPr>
              <w:t>multivitamínov</w:t>
            </w:r>
            <w:r w:rsidRPr="00BA6A2E">
              <w:rPr>
                <w:iCs/>
              </w:rPr>
              <w:t xml:space="preserve"> v 1 </w:t>
            </w:r>
            <w:r w:rsidR="00686BE0" w:rsidRPr="00BA6A2E">
              <w:rPr>
                <w:iCs/>
              </w:rPr>
              <w:t xml:space="preserve">injekčnej </w:t>
            </w:r>
            <w:r w:rsidRPr="00BA6A2E">
              <w:rPr>
                <w:iCs/>
              </w:rPr>
              <w:t xml:space="preserve">liekovke </w:t>
            </w:r>
            <w:r w:rsidR="00B64E25" w:rsidRPr="00BA6A2E">
              <w:rPr>
                <w:iCs/>
              </w:rPr>
              <w:t xml:space="preserve">(zloženie na </w:t>
            </w:r>
            <w:r w:rsidR="00686BE0" w:rsidRPr="00BA6A2E">
              <w:rPr>
                <w:iCs/>
              </w:rPr>
              <w:t xml:space="preserve">injekčnú </w:t>
            </w:r>
            <w:r w:rsidR="00B64E25" w:rsidRPr="00BA6A2E">
              <w:rPr>
                <w:iCs/>
              </w:rPr>
              <w:t xml:space="preserve">liekovku: </w:t>
            </w:r>
            <w:proofErr w:type="spellStart"/>
            <w:r w:rsidR="00B64E25" w:rsidRPr="00BA6A2E">
              <w:t>vit</w:t>
            </w:r>
            <w:proofErr w:type="spellEnd"/>
            <w:r w:rsidR="00B64E25" w:rsidRPr="00BA6A2E">
              <w:t>. B1 (</w:t>
            </w:r>
            <w:proofErr w:type="spellStart"/>
            <w:r w:rsidR="00B64E25" w:rsidRPr="00BA6A2E">
              <w:t>tiamín</w:t>
            </w:r>
            <w:proofErr w:type="spellEnd"/>
            <w:r w:rsidR="00B64E25" w:rsidRPr="00BA6A2E">
              <w:t xml:space="preserve">) </w:t>
            </w:r>
            <w:r w:rsidR="000A70FE" w:rsidRPr="00BA6A2E">
              <w:t>2,5</w:t>
            </w:r>
            <w:r w:rsidR="00B64E25" w:rsidRPr="00BA6A2E">
              <w:t xml:space="preserve"> mg, </w:t>
            </w:r>
            <w:proofErr w:type="spellStart"/>
            <w:r w:rsidR="00B64E25" w:rsidRPr="00BA6A2E">
              <w:t>vit</w:t>
            </w:r>
            <w:proofErr w:type="spellEnd"/>
            <w:r w:rsidR="00B64E25" w:rsidRPr="00BA6A2E">
              <w:t>. B2 (</w:t>
            </w:r>
            <w:proofErr w:type="spellStart"/>
            <w:r w:rsidR="00B64E25" w:rsidRPr="00BA6A2E">
              <w:t>riboflavín</w:t>
            </w:r>
            <w:proofErr w:type="spellEnd"/>
            <w:r w:rsidR="00B64E25" w:rsidRPr="00BA6A2E">
              <w:t xml:space="preserve">) </w:t>
            </w:r>
            <w:r w:rsidR="000A70FE" w:rsidRPr="00BA6A2E">
              <w:t xml:space="preserve">3,6 </w:t>
            </w:r>
            <w:r w:rsidR="00B64E25" w:rsidRPr="00BA6A2E">
              <w:t xml:space="preserve"> mg, </w:t>
            </w:r>
            <w:proofErr w:type="spellStart"/>
            <w:r w:rsidR="00B64E25" w:rsidRPr="00BA6A2E">
              <w:t>vit</w:t>
            </w:r>
            <w:proofErr w:type="spellEnd"/>
            <w:r w:rsidR="00B64E25" w:rsidRPr="00BA6A2E">
              <w:t>. B6 (</w:t>
            </w:r>
            <w:proofErr w:type="spellStart"/>
            <w:r w:rsidR="00B64E25" w:rsidRPr="00BA6A2E">
              <w:t>pyridoxín</w:t>
            </w:r>
            <w:proofErr w:type="spellEnd"/>
            <w:r w:rsidR="00B64E25" w:rsidRPr="00BA6A2E">
              <w:t>) 4,</w:t>
            </w:r>
            <w:r w:rsidR="000A70FE" w:rsidRPr="00BA6A2E">
              <w:t>0</w:t>
            </w:r>
            <w:r w:rsidR="00B64E25" w:rsidRPr="00BA6A2E">
              <w:t xml:space="preserve"> mg, </w:t>
            </w:r>
            <w:proofErr w:type="spellStart"/>
            <w:r w:rsidR="00B64E25" w:rsidRPr="00BA6A2E">
              <w:t>vit</w:t>
            </w:r>
            <w:proofErr w:type="spellEnd"/>
            <w:r w:rsidR="00B64E25" w:rsidRPr="00BA6A2E">
              <w:t xml:space="preserve">. B5 (kyselina </w:t>
            </w:r>
            <w:proofErr w:type="spellStart"/>
            <w:r w:rsidR="00B64E25" w:rsidRPr="00BA6A2E">
              <w:t>pantoténová</w:t>
            </w:r>
            <w:proofErr w:type="spellEnd"/>
            <w:r w:rsidR="00B64E25" w:rsidRPr="00BA6A2E">
              <w:t xml:space="preserve">) 15 mg, </w:t>
            </w:r>
            <w:proofErr w:type="spellStart"/>
            <w:r w:rsidR="00855EAD" w:rsidRPr="00BA6A2E">
              <w:t>vit</w:t>
            </w:r>
            <w:proofErr w:type="spellEnd"/>
            <w:r w:rsidR="00855EAD" w:rsidRPr="00BA6A2E">
              <w:t xml:space="preserve">. C (kyselina askorbová) 100 mg, </w:t>
            </w:r>
            <w:proofErr w:type="spellStart"/>
            <w:r w:rsidR="00B64E25" w:rsidRPr="00BA6A2E">
              <w:t>vit</w:t>
            </w:r>
            <w:proofErr w:type="spellEnd"/>
            <w:r w:rsidR="00B64E25" w:rsidRPr="00BA6A2E">
              <w:t>. B8 (</w:t>
            </w:r>
            <w:proofErr w:type="spellStart"/>
            <w:r w:rsidR="00B64E25" w:rsidRPr="00BA6A2E">
              <w:t>biotín</w:t>
            </w:r>
            <w:proofErr w:type="spellEnd"/>
            <w:r w:rsidR="00B64E25" w:rsidRPr="00BA6A2E">
              <w:t xml:space="preserve">) </w:t>
            </w:r>
            <w:r w:rsidR="00855EAD" w:rsidRPr="00BA6A2E">
              <w:t>0,06 mg</w:t>
            </w:r>
            <w:r w:rsidR="00B64E25" w:rsidRPr="00BA6A2E">
              <w:t xml:space="preserve">, </w:t>
            </w:r>
            <w:proofErr w:type="spellStart"/>
            <w:r w:rsidR="00855EAD" w:rsidRPr="00BA6A2E">
              <w:t>vit</w:t>
            </w:r>
            <w:proofErr w:type="spellEnd"/>
            <w:r w:rsidR="00855EAD" w:rsidRPr="00BA6A2E">
              <w:t xml:space="preserve">. B9 (kyselina listová) 0,4 mg, </w:t>
            </w:r>
            <w:proofErr w:type="spellStart"/>
            <w:r w:rsidR="00855EAD" w:rsidRPr="00BA6A2E">
              <w:t>vit</w:t>
            </w:r>
            <w:proofErr w:type="spellEnd"/>
            <w:r w:rsidR="00855EAD" w:rsidRPr="00BA6A2E">
              <w:t>. B12 (</w:t>
            </w:r>
            <w:proofErr w:type="spellStart"/>
            <w:r w:rsidR="00855EAD" w:rsidRPr="00BA6A2E">
              <w:t>kyanokobalamín</w:t>
            </w:r>
            <w:proofErr w:type="spellEnd"/>
            <w:r w:rsidR="00855EAD" w:rsidRPr="00BA6A2E">
              <w:t xml:space="preserve">) 0,005 mg, </w:t>
            </w:r>
            <w:proofErr w:type="spellStart"/>
            <w:r w:rsidR="00B64E25" w:rsidRPr="00BA6A2E">
              <w:t>vit</w:t>
            </w:r>
            <w:proofErr w:type="spellEnd"/>
            <w:r w:rsidR="00B64E25" w:rsidRPr="00BA6A2E">
              <w:t>. PP (</w:t>
            </w:r>
            <w:proofErr w:type="spellStart"/>
            <w:r w:rsidR="00B64E25" w:rsidRPr="00BA6A2E">
              <w:t>nikotínamid</w:t>
            </w:r>
            <w:proofErr w:type="spellEnd"/>
            <w:r w:rsidR="00B64E25" w:rsidRPr="00BA6A2E">
              <w:t>) 4</w:t>
            </w:r>
            <w:r w:rsidR="00855EAD" w:rsidRPr="00BA6A2E">
              <w:t>0</w:t>
            </w:r>
            <w:r w:rsidR="00B64E25" w:rsidRPr="00BA6A2E">
              <w:t xml:space="preserve"> mg)</w:t>
            </w:r>
            <w:r w:rsidR="00855EAD" w:rsidRPr="00BA6A2E">
              <w:t xml:space="preserve"> a multivitamínov v 1 </w:t>
            </w:r>
            <w:r w:rsidR="00686BE0" w:rsidRPr="00BA6A2E">
              <w:t xml:space="preserve">injekčnej </w:t>
            </w:r>
            <w:r w:rsidR="00855EAD" w:rsidRPr="00BA6A2E">
              <w:t xml:space="preserve">liekovke (zloženie na injekčnú liekovku: </w:t>
            </w:r>
            <w:proofErr w:type="spellStart"/>
            <w:r w:rsidR="00855EAD" w:rsidRPr="00BA6A2E">
              <w:t>vit</w:t>
            </w:r>
            <w:proofErr w:type="spellEnd"/>
            <w:r w:rsidR="00855EAD" w:rsidRPr="00BA6A2E">
              <w:t xml:space="preserve">. A (ako </w:t>
            </w:r>
            <w:proofErr w:type="spellStart"/>
            <w:r w:rsidR="00855EAD" w:rsidRPr="00BA6A2E">
              <w:t>retinolpalmitát</w:t>
            </w:r>
            <w:proofErr w:type="spellEnd"/>
            <w:r w:rsidR="00855EAD" w:rsidRPr="00BA6A2E">
              <w:t>)</w:t>
            </w:r>
            <w:r w:rsidR="00686BE0" w:rsidRPr="00BA6A2E">
              <w:t xml:space="preserve"> </w:t>
            </w:r>
            <w:r w:rsidR="00855EAD" w:rsidRPr="00BA6A2E">
              <w:t xml:space="preserve">2300 IU, </w:t>
            </w:r>
            <w:proofErr w:type="spellStart"/>
            <w:r w:rsidR="00855EAD" w:rsidRPr="00BA6A2E">
              <w:t>vit</w:t>
            </w:r>
            <w:proofErr w:type="spellEnd"/>
            <w:r w:rsidR="00855EAD" w:rsidRPr="00BA6A2E">
              <w:t>. D (</w:t>
            </w:r>
            <w:r w:rsidR="00686BE0" w:rsidRPr="00BA6A2E">
              <w:t xml:space="preserve">ako </w:t>
            </w:r>
            <w:proofErr w:type="spellStart"/>
            <w:r w:rsidR="00855EAD" w:rsidRPr="00BA6A2E">
              <w:t>ergokalciferol</w:t>
            </w:r>
            <w:proofErr w:type="spellEnd"/>
            <w:r w:rsidR="00855EAD" w:rsidRPr="00BA6A2E">
              <w:t xml:space="preserve">) 400 IU, </w:t>
            </w:r>
            <w:proofErr w:type="spellStart"/>
            <w:r w:rsidR="00855EAD" w:rsidRPr="00BA6A2E">
              <w:t>vit</w:t>
            </w:r>
            <w:proofErr w:type="spellEnd"/>
            <w:r w:rsidR="00855EAD" w:rsidRPr="00BA6A2E">
              <w:t>. E (</w:t>
            </w:r>
            <w:proofErr w:type="spellStart"/>
            <w:r w:rsidR="00855EAD" w:rsidRPr="00BA6A2E">
              <w:t>alfa-tokoferol</w:t>
            </w:r>
            <w:proofErr w:type="spellEnd"/>
            <w:r w:rsidR="00855EAD" w:rsidRPr="00BA6A2E">
              <w:t xml:space="preserve">) </w:t>
            </w:r>
            <w:r w:rsidR="002A4CFB" w:rsidRPr="00BA6A2E">
              <w:t xml:space="preserve">6,4 mg, </w:t>
            </w:r>
            <w:proofErr w:type="spellStart"/>
            <w:r w:rsidR="002A4CFB" w:rsidRPr="00BA6A2E">
              <w:t>vit</w:t>
            </w:r>
            <w:proofErr w:type="spellEnd"/>
            <w:r w:rsidR="002A4CFB" w:rsidRPr="00BA6A2E">
              <w:t>. K (</w:t>
            </w:r>
            <w:proofErr w:type="spellStart"/>
            <w:r w:rsidR="002A4CFB" w:rsidRPr="00BA6A2E">
              <w:t>fytomenadión</w:t>
            </w:r>
            <w:proofErr w:type="spellEnd"/>
            <w:r w:rsidR="002A4CFB" w:rsidRPr="00BA6A2E">
              <w:t>) 200 µg)</w:t>
            </w:r>
            <w:r w:rsidR="00F73360">
              <w:t>.</w:t>
            </w:r>
          </w:p>
        </w:tc>
      </w:tr>
    </w:tbl>
    <w:p w14:paraId="2C621163" w14:textId="17B15BE0" w:rsidR="00F104F7" w:rsidRDefault="00F104F7" w:rsidP="00D91F70">
      <w:pPr>
        <w:rPr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1"/>
        <w:gridCol w:w="2009"/>
        <w:gridCol w:w="2529"/>
        <w:gridCol w:w="2658"/>
      </w:tblGrid>
      <w:tr w:rsidR="004C1EFA" w:rsidRPr="002E05C5" w14:paraId="6304F41C" w14:textId="77777777" w:rsidTr="00424E03">
        <w:trPr>
          <w:cantSplit/>
          <w:tblHeader/>
          <w:jc w:val="center"/>
        </w:trPr>
        <w:tc>
          <w:tcPr>
            <w:tcW w:w="9287" w:type="dxa"/>
            <w:gridSpan w:val="4"/>
            <w:shd w:val="clear" w:color="auto" w:fill="auto"/>
          </w:tcPr>
          <w:p w14:paraId="62975782" w14:textId="7E20B1DC" w:rsidR="004C1EFA" w:rsidRPr="004C1EFA" w:rsidRDefault="00AA787E" w:rsidP="00424E03">
            <w:pPr>
              <w:pStyle w:val="TableTitle"/>
              <w:pageBreakBefore/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Možné </w:t>
            </w:r>
            <w:proofErr w:type="spellStart"/>
            <w:r>
              <w:rPr>
                <w:sz w:val="22"/>
                <w:szCs w:val="22"/>
              </w:rPr>
              <w:t>suplementy</w:t>
            </w:r>
            <w:proofErr w:type="spellEnd"/>
            <w:r w:rsidR="004C1EFA" w:rsidRPr="004C1EFA">
              <w:rPr>
                <w:sz w:val="22"/>
                <w:szCs w:val="22"/>
              </w:rPr>
              <w:t xml:space="preserve"> </w:t>
            </w:r>
            <w:r w:rsidR="0011147B">
              <w:rPr>
                <w:sz w:val="22"/>
                <w:szCs w:val="22"/>
              </w:rPr>
              <w:t>na</w:t>
            </w:r>
            <w:r w:rsidR="0011147B" w:rsidRPr="004C1EFA">
              <w:rPr>
                <w:sz w:val="22"/>
                <w:szCs w:val="22"/>
              </w:rPr>
              <w:t xml:space="preserve"> </w:t>
            </w:r>
            <w:r w:rsidR="004C1EFA" w:rsidRPr="004C1EFA">
              <w:rPr>
                <w:sz w:val="22"/>
                <w:szCs w:val="22"/>
              </w:rPr>
              <w:t>1</w:t>
            </w:r>
            <w:r w:rsidR="0011147B">
              <w:rPr>
                <w:sz w:val="22"/>
                <w:szCs w:val="22"/>
              </w:rPr>
              <w:t> </w:t>
            </w:r>
            <w:r w:rsidR="004C1EFA" w:rsidRPr="004C1EFA">
              <w:rPr>
                <w:sz w:val="22"/>
                <w:szCs w:val="22"/>
              </w:rPr>
              <w:t>000 ml OLIMEL</w:t>
            </w:r>
            <w:r w:rsidR="0011147B">
              <w:rPr>
                <w:sz w:val="22"/>
                <w:szCs w:val="22"/>
              </w:rPr>
              <w:t>U</w:t>
            </w:r>
            <w:r w:rsidR="004C1EFA" w:rsidRPr="004C1EFA">
              <w:rPr>
                <w:sz w:val="22"/>
                <w:szCs w:val="22"/>
              </w:rPr>
              <w:t xml:space="preserve"> N12E (pre dospelých)</w:t>
            </w:r>
          </w:p>
        </w:tc>
      </w:tr>
      <w:tr w:rsidR="004C1EFA" w:rsidRPr="002E05C5" w14:paraId="6B608D81" w14:textId="77777777" w:rsidTr="00424E03">
        <w:trPr>
          <w:jc w:val="center"/>
        </w:trPr>
        <w:tc>
          <w:tcPr>
            <w:tcW w:w="2091" w:type="dxa"/>
            <w:shd w:val="clear" w:color="auto" w:fill="auto"/>
          </w:tcPr>
          <w:p w14:paraId="5015C6DD" w14:textId="77777777" w:rsidR="004C1EFA" w:rsidRPr="004C1EFA" w:rsidRDefault="004C1EFA" w:rsidP="00D86D67">
            <w:pPr>
              <w:pStyle w:val="TableCente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6E7AED51" w14:textId="77777777" w:rsidR="004C1EFA" w:rsidRPr="00424E03" w:rsidRDefault="004C1EFA" w:rsidP="00D86D67">
            <w:pPr>
              <w:pStyle w:val="TableCenter"/>
              <w:spacing w:before="0" w:after="0"/>
              <w:rPr>
                <w:b/>
                <w:sz w:val="22"/>
                <w:szCs w:val="22"/>
              </w:rPr>
            </w:pPr>
            <w:r w:rsidRPr="00424E03">
              <w:rPr>
                <w:b/>
                <w:sz w:val="22"/>
                <w:szCs w:val="22"/>
              </w:rPr>
              <w:t>Obsiahnuté množstvo</w:t>
            </w:r>
          </w:p>
        </w:tc>
        <w:tc>
          <w:tcPr>
            <w:tcW w:w="2529" w:type="dxa"/>
            <w:shd w:val="clear" w:color="auto" w:fill="auto"/>
          </w:tcPr>
          <w:p w14:paraId="7CEF1EE1" w14:textId="77777777" w:rsidR="004C1EFA" w:rsidRPr="00424E03" w:rsidRDefault="004C1EFA" w:rsidP="00D86D67">
            <w:pPr>
              <w:pStyle w:val="TableCenter"/>
              <w:spacing w:before="0" w:after="0"/>
              <w:rPr>
                <w:b/>
                <w:sz w:val="22"/>
                <w:szCs w:val="22"/>
              </w:rPr>
            </w:pPr>
            <w:r w:rsidRPr="00424E03">
              <w:rPr>
                <w:b/>
                <w:sz w:val="22"/>
                <w:szCs w:val="22"/>
              </w:rPr>
              <w:t>Maximálne pridané množstvo</w:t>
            </w:r>
          </w:p>
        </w:tc>
        <w:tc>
          <w:tcPr>
            <w:tcW w:w="2658" w:type="dxa"/>
            <w:shd w:val="clear" w:color="auto" w:fill="auto"/>
          </w:tcPr>
          <w:p w14:paraId="7C8091A6" w14:textId="77777777" w:rsidR="004C1EFA" w:rsidRPr="00424E03" w:rsidRDefault="004C1EFA" w:rsidP="00D86D67">
            <w:pPr>
              <w:pStyle w:val="TableCenter"/>
              <w:spacing w:before="0" w:after="0"/>
              <w:rPr>
                <w:b/>
                <w:sz w:val="22"/>
                <w:szCs w:val="22"/>
              </w:rPr>
            </w:pPr>
            <w:r w:rsidRPr="00424E03">
              <w:rPr>
                <w:b/>
                <w:sz w:val="22"/>
                <w:szCs w:val="22"/>
              </w:rPr>
              <w:t>Maximálne celkové množstvo</w:t>
            </w:r>
          </w:p>
        </w:tc>
      </w:tr>
      <w:tr w:rsidR="004C1EFA" w:rsidRPr="002E05C5" w14:paraId="5639FFD1" w14:textId="77777777" w:rsidTr="00424E03">
        <w:trPr>
          <w:jc w:val="center"/>
        </w:trPr>
        <w:tc>
          <w:tcPr>
            <w:tcW w:w="2091" w:type="dxa"/>
            <w:shd w:val="clear" w:color="auto" w:fill="auto"/>
          </w:tcPr>
          <w:p w14:paraId="722185F8" w14:textId="4754510A" w:rsidR="004C1EFA" w:rsidRPr="004C1EFA" w:rsidRDefault="00244135" w:rsidP="00424E03">
            <w:pPr>
              <w:pStyle w:val="TableCenter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4C1EFA" w:rsidRPr="004C1EFA">
              <w:rPr>
                <w:sz w:val="22"/>
                <w:szCs w:val="22"/>
              </w:rPr>
              <w:t>odík</w:t>
            </w:r>
          </w:p>
        </w:tc>
        <w:tc>
          <w:tcPr>
            <w:tcW w:w="2009" w:type="dxa"/>
            <w:shd w:val="clear" w:color="auto" w:fill="auto"/>
          </w:tcPr>
          <w:p w14:paraId="0B1D81E5" w14:textId="77777777" w:rsidR="004C1EFA" w:rsidRPr="00895DE4" w:rsidRDefault="004C1EFA" w:rsidP="00D86D67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895DE4">
              <w:rPr>
                <w:sz w:val="22"/>
                <w:szCs w:val="22"/>
              </w:rPr>
              <w:t xml:space="preserve">35 </w:t>
            </w:r>
            <w:proofErr w:type="spellStart"/>
            <w:r w:rsidRPr="00895DE4">
              <w:rPr>
                <w:sz w:val="22"/>
                <w:szCs w:val="22"/>
              </w:rPr>
              <w:t>mmol</w:t>
            </w:r>
            <w:proofErr w:type="spellEnd"/>
          </w:p>
        </w:tc>
        <w:tc>
          <w:tcPr>
            <w:tcW w:w="2529" w:type="dxa"/>
            <w:shd w:val="clear" w:color="auto" w:fill="auto"/>
          </w:tcPr>
          <w:p w14:paraId="060CD8FB" w14:textId="77777777" w:rsidR="004C1EFA" w:rsidRPr="00DF55C9" w:rsidRDefault="004C1EFA" w:rsidP="00D86D67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DF55C9">
              <w:rPr>
                <w:sz w:val="22"/>
                <w:szCs w:val="22"/>
              </w:rPr>
              <w:t xml:space="preserve">115 </w:t>
            </w:r>
            <w:proofErr w:type="spellStart"/>
            <w:r w:rsidRPr="00DF55C9">
              <w:rPr>
                <w:sz w:val="22"/>
                <w:szCs w:val="22"/>
              </w:rPr>
              <w:t>mmol</w:t>
            </w:r>
            <w:proofErr w:type="spellEnd"/>
          </w:p>
        </w:tc>
        <w:tc>
          <w:tcPr>
            <w:tcW w:w="2658" w:type="dxa"/>
            <w:shd w:val="clear" w:color="auto" w:fill="auto"/>
          </w:tcPr>
          <w:p w14:paraId="35ECBDCC" w14:textId="77777777" w:rsidR="004C1EFA" w:rsidRPr="009D3F48" w:rsidRDefault="004C1EFA" w:rsidP="00D86D67">
            <w:pPr>
              <w:pStyle w:val="TableCenter"/>
              <w:spacing w:before="0" w:after="0"/>
              <w:rPr>
                <w:sz w:val="22"/>
                <w:szCs w:val="22"/>
                <w:lang w:val="fr-FR"/>
              </w:rPr>
            </w:pPr>
            <w:r w:rsidRPr="009D3F48">
              <w:rPr>
                <w:sz w:val="22"/>
                <w:szCs w:val="22"/>
              </w:rPr>
              <w:t xml:space="preserve">150 </w:t>
            </w:r>
            <w:proofErr w:type="spellStart"/>
            <w:r w:rsidRPr="009D3F48">
              <w:rPr>
                <w:sz w:val="22"/>
                <w:szCs w:val="22"/>
              </w:rPr>
              <w:t>mmol</w:t>
            </w:r>
            <w:proofErr w:type="spellEnd"/>
          </w:p>
        </w:tc>
      </w:tr>
      <w:tr w:rsidR="004C1EFA" w:rsidRPr="002E05C5" w14:paraId="08081A6F" w14:textId="77777777" w:rsidTr="00424E03">
        <w:trPr>
          <w:jc w:val="center"/>
        </w:trPr>
        <w:tc>
          <w:tcPr>
            <w:tcW w:w="2091" w:type="dxa"/>
            <w:shd w:val="clear" w:color="auto" w:fill="auto"/>
          </w:tcPr>
          <w:p w14:paraId="0A17E46C" w14:textId="08B5B9BD" w:rsidR="004C1EFA" w:rsidRPr="004C1EFA" w:rsidRDefault="00244135" w:rsidP="00424E03">
            <w:pPr>
              <w:pStyle w:val="TableCenter"/>
              <w:spacing w:before="0" w:after="0"/>
              <w:jc w:val="lef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</w:rPr>
              <w:t>d</w:t>
            </w:r>
            <w:r w:rsidR="004C1EFA" w:rsidRPr="004C1EFA">
              <w:rPr>
                <w:sz w:val="22"/>
                <w:szCs w:val="22"/>
              </w:rPr>
              <w:t>raslík</w:t>
            </w:r>
          </w:p>
        </w:tc>
        <w:tc>
          <w:tcPr>
            <w:tcW w:w="2009" w:type="dxa"/>
            <w:shd w:val="clear" w:color="auto" w:fill="auto"/>
          </w:tcPr>
          <w:p w14:paraId="51A2C180" w14:textId="77777777" w:rsidR="004C1EFA" w:rsidRPr="00895DE4" w:rsidRDefault="004C1EFA" w:rsidP="00D86D67">
            <w:pPr>
              <w:pStyle w:val="TableCenter"/>
              <w:spacing w:before="0" w:after="0"/>
              <w:rPr>
                <w:sz w:val="22"/>
                <w:szCs w:val="22"/>
                <w:lang w:val="fr-FR"/>
              </w:rPr>
            </w:pPr>
            <w:r w:rsidRPr="00895DE4">
              <w:rPr>
                <w:sz w:val="22"/>
                <w:szCs w:val="22"/>
              </w:rPr>
              <w:t xml:space="preserve">30 </w:t>
            </w:r>
            <w:proofErr w:type="spellStart"/>
            <w:r w:rsidRPr="00895DE4">
              <w:rPr>
                <w:sz w:val="22"/>
                <w:szCs w:val="22"/>
              </w:rPr>
              <w:t>mmol</w:t>
            </w:r>
            <w:proofErr w:type="spellEnd"/>
          </w:p>
        </w:tc>
        <w:tc>
          <w:tcPr>
            <w:tcW w:w="2529" w:type="dxa"/>
            <w:shd w:val="clear" w:color="auto" w:fill="auto"/>
          </w:tcPr>
          <w:p w14:paraId="6BE6232A" w14:textId="77777777" w:rsidR="004C1EFA" w:rsidRPr="00DF55C9" w:rsidRDefault="004C1EFA" w:rsidP="00D86D67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DF55C9">
              <w:rPr>
                <w:sz w:val="22"/>
                <w:szCs w:val="22"/>
              </w:rPr>
              <w:t xml:space="preserve">120 </w:t>
            </w:r>
            <w:proofErr w:type="spellStart"/>
            <w:r w:rsidRPr="00DF55C9">
              <w:rPr>
                <w:sz w:val="22"/>
                <w:szCs w:val="22"/>
              </w:rPr>
              <w:t>mmol</w:t>
            </w:r>
            <w:proofErr w:type="spellEnd"/>
          </w:p>
        </w:tc>
        <w:tc>
          <w:tcPr>
            <w:tcW w:w="2658" w:type="dxa"/>
            <w:shd w:val="clear" w:color="auto" w:fill="auto"/>
          </w:tcPr>
          <w:p w14:paraId="76DFF006" w14:textId="77777777" w:rsidR="004C1EFA" w:rsidRPr="009D3F48" w:rsidRDefault="004C1EFA" w:rsidP="00D86D67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9D3F48">
              <w:rPr>
                <w:sz w:val="22"/>
                <w:szCs w:val="22"/>
              </w:rPr>
              <w:t xml:space="preserve">150 </w:t>
            </w:r>
            <w:proofErr w:type="spellStart"/>
            <w:r w:rsidRPr="009D3F48">
              <w:rPr>
                <w:sz w:val="22"/>
                <w:szCs w:val="22"/>
              </w:rPr>
              <w:t>mmol</w:t>
            </w:r>
            <w:proofErr w:type="spellEnd"/>
          </w:p>
        </w:tc>
      </w:tr>
      <w:tr w:rsidR="004C1EFA" w:rsidRPr="002E05C5" w14:paraId="221A79FF" w14:textId="77777777" w:rsidTr="00424E03">
        <w:trPr>
          <w:jc w:val="center"/>
        </w:trPr>
        <w:tc>
          <w:tcPr>
            <w:tcW w:w="2091" w:type="dxa"/>
            <w:shd w:val="clear" w:color="auto" w:fill="auto"/>
          </w:tcPr>
          <w:p w14:paraId="39EAB85E" w14:textId="3EA3379D" w:rsidR="004C1EFA" w:rsidRPr="004C1EFA" w:rsidRDefault="00244135" w:rsidP="00424E03">
            <w:pPr>
              <w:pStyle w:val="TableCenter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</w:t>
            </w:r>
            <w:r w:rsidR="004C1EFA" w:rsidRPr="004C1EFA">
              <w:rPr>
                <w:sz w:val="22"/>
                <w:szCs w:val="22"/>
              </w:rPr>
              <w:t>orčík</w:t>
            </w:r>
          </w:p>
        </w:tc>
        <w:tc>
          <w:tcPr>
            <w:tcW w:w="2009" w:type="dxa"/>
            <w:shd w:val="clear" w:color="auto" w:fill="auto"/>
          </w:tcPr>
          <w:p w14:paraId="7CAFAFC8" w14:textId="77777777" w:rsidR="004C1EFA" w:rsidRPr="00895DE4" w:rsidRDefault="004C1EFA" w:rsidP="00D86D67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895DE4">
              <w:rPr>
                <w:sz w:val="22"/>
                <w:szCs w:val="22"/>
              </w:rPr>
              <w:t xml:space="preserve">4,0 </w:t>
            </w:r>
            <w:proofErr w:type="spellStart"/>
            <w:r w:rsidRPr="00895DE4">
              <w:rPr>
                <w:sz w:val="22"/>
                <w:szCs w:val="22"/>
              </w:rPr>
              <w:t>mmol</w:t>
            </w:r>
            <w:proofErr w:type="spellEnd"/>
          </w:p>
        </w:tc>
        <w:tc>
          <w:tcPr>
            <w:tcW w:w="2529" w:type="dxa"/>
            <w:shd w:val="clear" w:color="auto" w:fill="auto"/>
          </w:tcPr>
          <w:p w14:paraId="7AF7905A" w14:textId="77777777" w:rsidR="004C1EFA" w:rsidRPr="00DF55C9" w:rsidRDefault="004C1EFA" w:rsidP="00D86D67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DF55C9">
              <w:rPr>
                <w:sz w:val="22"/>
                <w:szCs w:val="22"/>
              </w:rPr>
              <w:t xml:space="preserve">1,6 </w:t>
            </w:r>
            <w:proofErr w:type="spellStart"/>
            <w:r w:rsidRPr="00DF55C9">
              <w:rPr>
                <w:sz w:val="22"/>
                <w:szCs w:val="22"/>
              </w:rPr>
              <w:t>mmol</w:t>
            </w:r>
            <w:proofErr w:type="spellEnd"/>
          </w:p>
        </w:tc>
        <w:tc>
          <w:tcPr>
            <w:tcW w:w="2658" w:type="dxa"/>
            <w:shd w:val="clear" w:color="auto" w:fill="auto"/>
          </w:tcPr>
          <w:p w14:paraId="0669C0EA" w14:textId="77777777" w:rsidR="004C1EFA" w:rsidRPr="009D3F48" w:rsidRDefault="004C1EFA" w:rsidP="00D86D67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9D3F48">
              <w:rPr>
                <w:sz w:val="22"/>
                <w:szCs w:val="22"/>
              </w:rPr>
              <w:t xml:space="preserve">5,6 </w:t>
            </w:r>
            <w:proofErr w:type="spellStart"/>
            <w:r w:rsidRPr="009D3F48">
              <w:rPr>
                <w:sz w:val="22"/>
                <w:szCs w:val="22"/>
              </w:rPr>
              <w:t>mmol</w:t>
            </w:r>
            <w:proofErr w:type="spellEnd"/>
          </w:p>
        </w:tc>
      </w:tr>
      <w:tr w:rsidR="004C1EFA" w:rsidRPr="002E05C5" w14:paraId="47D57ECA" w14:textId="77777777" w:rsidTr="00424E03">
        <w:trPr>
          <w:trHeight w:val="393"/>
          <w:jc w:val="center"/>
        </w:trPr>
        <w:tc>
          <w:tcPr>
            <w:tcW w:w="2091" w:type="dxa"/>
            <w:shd w:val="clear" w:color="auto" w:fill="auto"/>
          </w:tcPr>
          <w:p w14:paraId="6CC6ECD2" w14:textId="16996578" w:rsidR="004C1EFA" w:rsidRPr="004C1EFA" w:rsidRDefault="00244135" w:rsidP="00424E03">
            <w:pPr>
              <w:pStyle w:val="TableCenter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4C1EFA" w:rsidRPr="004C1EFA">
              <w:rPr>
                <w:sz w:val="22"/>
                <w:szCs w:val="22"/>
              </w:rPr>
              <w:t>ápnik</w:t>
            </w:r>
          </w:p>
        </w:tc>
        <w:tc>
          <w:tcPr>
            <w:tcW w:w="2009" w:type="dxa"/>
            <w:shd w:val="clear" w:color="auto" w:fill="auto"/>
          </w:tcPr>
          <w:p w14:paraId="2678358B" w14:textId="77777777" w:rsidR="004C1EFA" w:rsidRPr="00895DE4" w:rsidRDefault="004C1EFA" w:rsidP="00D86D67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895DE4">
              <w:rPr>
                <w:sz w:val="22"/>
                <w:szCs w:val="22"/>
              </w:rPr>
              <w:t xml:space="preserve">3,5 </w:t>
            </w:r>
            <w:proofErr w:type="spellStart"/>
            <w:r w:rsidRPr="00895DE4">
              <w:rPr>
                <w:sz w:val="22"/>
                <w:szCs w:val="22"/>
              </w:rPr>
              <w:t>mmol</w:t>
            </w:r>
            <w:proofErr w:type="spellEnd"/>
          </w:p>
        </w:tc>
        <w:tc>
          <w:tcPr>
            <w:tcW w:w="2529" w:type="dxa"/>
            <w:shd w:val="clear" w:color="auto" w:fill="auto"/>
          </w:tcPr>
          <w:p w14:paraId="6CAAD5B5" w14:textId="77777777" w:rsidR="004C1EFA" w:rsidRPr="00DF55C9" w:rsidRDefault="004C1EFA" w:rsidP="00D86D67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DF55C9">
              <w:rPr>
                <w:sz w:val="22"/>
                <w:szCs w:val="22"/>
              </w:rPr>
              <w:t xml:space="preserve">1,5 </w:t>
            </w:r>
            <w:proofErr w:type="spellStart"/>
            <w:r w:rsidRPr="00DF55C9">
              <w:rPr>
                <w:sz w:val="22"/>
                <w:szCs w:val="22"/>
              </w:rPr>
              <w:t>mmol</w:t>
            </w:r>
            <w:proofErr w:type="spellEnd"/>
          </w:p>
        </w:tc>
        <w:tc>
          <w:tcPr>
            <w:tcW w:w="2658" w:type="dxa"/>
            <w:shd w:val="clear" w:color="auto" w:fill="auto"/>
          </w:tcPr>
          <w:p w14:paraId="70D57424" w14:textId="77777777" w:rsidR="004C1EFA" w:rsidRPr="009D3F48" w:rsidRDefault="004C1EFA" w:rsidP="00D86D67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9D3F48">
              <w:rPr>
                <w:sz w:val="22"/>
                <w:szCs w:val="22"/>
              </w:rPr>
              <w:t xml:space="preserve">5,0 </w:t>
            </w:r>
            <w:proofErr w:type="spellStart"/>
            <w:r w:rsidRPr="009D3F48">
              <w:rPr>
                <w:sz w:val="22"/>
                <w:szCs w:val="22"/>
              </w:rPr>
              <w:t>mmol</w:t>
            </w:r>
            <w:proofErr w:type="spellEnd"/>
          </w:p>
        </w:tc>
      </w:tr>
      <w:tr w:rsidR="005F486F" w:rsidRPr="002E05C5" w14:paraId="34812D21" w14:textId="77777777" w:rsidTr="00424E03">
        <w:trPr>
          <w:jc w:val="center"/>
        </w:trPr>
        <w:tc>
          <w:tcPr>
            <w:tcW w:w="2091" w:type="dxa"/>
            <w:shd w:val="clear" w:color="auto" w:fill="auto"/>
          </w:tcPr>
          <w:p w14:paraId="646DF302" w14:textId="15D6617F" w:rsidR="005F486F" w:rsidRPr="004C1EFA" w:rsidRDefault="00244135" w:rsidP="00424E03">
            <w:pPr>
              <w:pStyle w:val="TableCenter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5F486F">
              <w:rPr>
                <w:sz w:val="22"/>
                <w:szCs w:val="22"/>
              </w:rPr>
              <w:t>n</w:t>
            </w:r>
            <w:r w:rsidR="005F486F" w:rsidRPr="004C1EFA">
              <w:rPr>
                <w:sz w:val="22"/>
                <w:szCs w:val="22"/>
              </w:rPr>
              <w:t>organické fosfáty</w:t>
            </w:r>
          </w:p>
        </w:tc>
        <w:tc>
          <w:tcPr>
            <w:tcW w:w="2009" w:type="dxa"/>
            <w:shd w:val="clear" w:color="auto" w:fill="auto"/>
          </w:tcPr>
          <w:p w14:paraId="69107595" w14:textId="77777777" w:rsidR="005F486F" w:rsidRPr="00895DE4" w:rsidRDefault="005F486F" w:rsidP="00D86D67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895DE4">
              <w:rPr>
                <w:sz w:val="22"/>
                <w:szCs w:val="22"/>
              </w:rPr>
              <w:t xml:space="preserve">0 </w:t>
            </w:r>
            <w:proofErr w:type="spellStart"/>
            <w:r w:rsidRPr="00895DE4">
              <w:rPr>
                <w:sz w:val="22"/>
                <w:szCs w:val="22"/>
              </w:rPr>
              <w:t>mmol</w:t>
            </w:r>
            <w:proofErr w:type="spellEnd"/>
          </w:p>
        </w:tc>
        <w:tc>
          <w:tcPr>
            <w:tcW w:w="2529" w:type="dxa"/>
            <w:vMerge w:val="restart"/>
            <w:shd w:val="clear" w:color="auto" w:fill="auto"/>
          </w:tcPr>
          <w:p w14:paraId="0DBAE90D" w14:textId="76BB20ED" w:rsidR="005F486F" w:rsidRDefault="005F486F" w:rsidP="00D86D67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DF55C9">
              <w:rPr>
                <w:sz w:val="22"/>
                <w:szCs w:val="22"/>
              </w:rPr>
              <w:t xml:space="preserve">10 </w:t>
            </w:r>
            <w:proofErr w:type="spellStart"/>
            <w:r w:rsidRPr="00DF55C9">
              <w:rPr>
                <w:sz w:val="22"/>
                <w:szCs w:val="22"/>
              </w:rPr>
              <w:t>mmol</w:t>
            </w:r>
            <w:proofErr w:type="spellEnd"/>
            <w:r w:rsidRPr="00DF55C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Pi</w:t>
            </w:r>
          </w:p>
          <w:p w14:paraId="2CD91107" w14:textId="3794CBF0" w:rsidR="005F486F" w:rsidRPr="005F486F" w:rsidRDefault="005F486F" w:rsidP="00D86D67">
            <w:pPr>
              <w:pStyle w:val="TableCenter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alebo</w:t>
            </w:r>
          </w:p>
          <w:p w14:paraId="377BB783" w14:textId="6E2FF77A" w:rsidR="005F486F" w:rsidRPr="00DF55C9" w:rsidRDefault="005F486F" w:rsidP="00244135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DF55C9">
              <w:rPr>
                <w:sz w:val="22"/>
                <w:szCs w:val="22"/>
              </w:rPr>
              <w:t xml:space="preserve">10 </w:t>
            </w:r>
            <w:proofErr w:type="spellStart"/>
            <w:r w:rsidRPr="00DF55C9">
              <w:rPr>
                <w:sz w:val="22"/>
                <w:szCs w:val="22"/>
              </w:rPr>
              <w:t>mmol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</w:t>
            </w:r>
            <w:r w:rsidRPr="00DF55C9">
              <w:rPr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2658" w:type="dxa"/>
            <w:vMerge w:val="restart"/>
            <w:shd w:val="clear" w:color="auto" w:fill="auto"/>
          </w:tcPr>
          <w:p w14:paraId="4355DC72" w14:textId="4DFBB6D4" w:rsidR="005F486F" w:rsidRDefault="005F486F" w:rsidP="00D86D67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9D3F48">
              <w:rPr>
                <w:sz w:val="22"/>
                <w:szCs w:val="22"/>
              </w:rPr>
              <w:t xml:space="preserve">10 </w:t>
            </w:r>
            <w:proofErr w:type="spellStart"/>
            <w:r w:rsidRPr="009D3F48">
              <w:rPr>
                <w:sz w:val="22"/>
                <w:szCs w:val="22"/>
              </w:rPr>
              <w:t>mmol</w:t>
            </w:r>
            <w:proofErr w:type="spellEnd"/>
            <w:r>
              <w:rPr>
                <w:sz w:val="22"/>
                <w:szCs w:val="22"/>
              </w:rPr>
              <w:t xml:space="preserve"> Pi + 15 </w:t>
            </w:r>
            <w:proofErr w:type="spellStart"/>
            <w:r>
              <w:rPr>
                <w:sz w:val="22"/>
                <w:szCs w:val="22"/>
              </w:rPr>
              <w:t>mmol</w:t>
            </w:r>
            <w:proofErr w:type="spellEnd"/>
            <w:r>
              <w:rPr>
                <w:sz w:val="22"/>
                <w:szCs w:val="22"/>
              </w:rPr>
              <w:t xml:space="preserve"> Po</w:t>
            </w:r>
          </w:p>
          <w:p w14:paraId="080A0CD3" w14:textId="47B0F2BE" w:rsidR="005F486F" w:rsidRPr="00424E03" w:rsidRDefault="005F486F" w:rsidP="00D86D67">
            <w:pPr>
              <w:pStyle w:val="TableCenter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alebo</w:t>
            </w:r>
          </w:p>
          <w:p w14:paraId="203BE306" w14:textId="74B44545" w:rsidR="005F486F" w:rsidRPr="009D3F48" w:rsidRDefault="005F486F" w:rsidP="00244135">
            <w:pPr>
              <w:pStyle w:val="TableCenter"/>
              <w:spacing w:before="0" w:after="0"/>
              <w:rPr>
                <w:sz w:val="22"/>
                <w:szCs w:val="22"/>
                <w:vertAlign w:val="superscript"/>
              </w:rPr>
            </w:pPr>
            <w:r w:rsidRPr="00DF55C9">
              <w:rPr>
                <w:sz w:val="22"/>
                <w:szCs w:val="22"/>
              </w:rPr>
              <w:t xml:space="preserve">25 </w:t>
            </w:r>
            <w:proofErr w:type="spellStart"/>
            <w:r w:rsidRPr="00DF55C9">
              <w:rPr>
                <w:sz w:val="22"/>
                <w:szCs w:val="22"/>
              </w:rPr>
              <w:t>mmol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</w:t>
            </w:r>
            <w:r>
              <w:rPr>
                <w:sz w:val="22"/>
                <w:szCs w:val="22"/>
                <w:vertAlign w:val="superscript"/>
              </w:rPr>
              <w:t>a,</w:t>
            </w:r>
            <w:r w:rsidRPr="00DF55C9">
              <w:rPr>
                <w:sz w:val="22"/>
                <w:szCs w:val="22"/>
                <w:vertAlign w:val="superscript"/>
              </w:rPr>
              <w:t>b</w:t>
            </w:r>
            <w:proofErr w:type="spellEnd"/>
            <w:r w:rsidRPr="00DF55C9">
              <w:rPr>
                <w:sz w:val="22"/>
                <w:szCs w:val="22"/>
              </w:rPr>
              <w:t xml:space="preserve"> </w:t>
            </w:r>
          </w:p>
        </w:tc>
      </w:tr>
      <w:tr w:rsidR="005F486F" w:rsidRPr="002E05C5" w14:paraId="330F10FC" w14:textId="77777777" w:rsidTr="00424E03">
        <w:trPr>
          <w:jc w:val="center"/>
        </w:trPr>
        <w:tc>
          <w:tcPr>
            <w:tcW w:w="2091" w:type="dxa"/>
            <w:shd w:val="clear" w:color="auto" w:fill="auto"/>
          </w:tcPr>
          <w:p w14:paraId="5AAD1D8F" w14:textId="42D25D67" w:rsidR="005F486F" w:rsidRPr="004C1EFA" w:rsidRDefault="00244135" w:rsidP="00424E03">
            <w:pPr>
              <w:pStyle w:val="TableCenter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5F486F" w:rsidRPr="004C1EFA">
              <w:rPr>
                <w:sz w:val="22"/>
                <w:szCs w:val="22"/>
              </w:rPr>
              <w:t>rganické fosfáty</w:t>
            </w:r>
          </w:p>
        </w:tc>
        <w:tc>
          <w:tcPr>
            <w:tcW w:w="2009" w:type="dxa"/>
            <w:shd w:val="clear" w:color="auto" w:fill="auto"/>
          </w:tcPr>
          <w:p w14:paraId="3E53D73C" w14:textId="1B56237E" w:rsidR="005F486F" w:rsidRPr="00895DE4" w:rsidRDefault="005F486F" w:rsidP="00244135">
            <w:pPr>
              <w:pStyle w:val="TableCenter"/>
              <w:spacing w:before="0" w:after="0"/>
              <w:rPr>
                <w:sz w:val="22"/>
                <w:szCs w:val="22"/>
                <w:vertAlign w:val="superscript"/>
              </w:rPr>
            </w:pPr>
            <w:r w:rsidRPr="00895DE4">
              <w:rPr>
                <w:sz w:val="22"/>
                <w:szCs w:val="22"/>
              </w:rPr>
              <w:t xml:space="preserve">15 </w:t>
            </w:r>
            <w:proofErr w:type="spellStart"/>
            <w:r w:rsidRPr="00895DE4">
              <w:rPr>
                <w:sz w:val="22"/>
                <w:szCs w:val="22"/>
              </w:rPr>
              <w:t>mmol</w:t>
            </w:r>
            <w:r w:rsidRPr="00895DE4">
              <w:rPr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2529" w:type="dxa"/>
            <w:vMerge/>
            <w:shd w:val="clear" w:color="auto" w:fill="auto"/>
          </w:tcPr>
          <w:p w14:paraId="3174DBEF" w14:textId="2B0C30DA" w:rsidR="005F486F" w:rsidRPr="00DF55C9" w:rsidRDefault="005F486F" w:rsidP="00D86D67">
            <w:pPr>
              <w:pStyle w:val="TableCente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658" w:type="dxa"/>
            <w:vMerge/>
            <w:shd w:val="clear" w:color="auto" w:fill="auto"/>
          </w:tcPr>
          <w:p w14:paraId="6B263012" w14:textId="60FC1F9E" w:rsidR="005F486F" w:rsidRPr="00DF55C9" w:rsidRDefault="005F486F" w:rsidP="00D86D67">
            <w:pPr>
              <w:pStyle w:val="TableCenter"/>
              <w:spacing w:before="0" w:after="0"/>
              <w:rPr>
                <w:sz w:val="22"/>
                <w:szCs w:val="22"/>
              </w:rPr>
            </w:pPr>
          </w:p>
        </w:tc>
      </w:tr>
      <w:tr w:rsidR="004C1EFA" w:rsidRPr="002E05C5" w14:paraId="23F4D1B6" w14:textId="77777777" w:rsidTr="00424E03">
        <w:trPr>
          <w:jc w:val="center"/>
        </w:trPr>
        <w:tc>
          <w:tcPr>
            <w:tcW w:w="9287" w:type="dxa"/>
            <w:gridSpan w:val="4"/>
            <w:shd w:val="clear" w:color="auto" w:fill="auto"/>
          </w:tcPr>
          <w:p w14:paraId="640B637E" w14:textId="6C755490" w:rsidR="004C1EFA" w:rsidRPr="004C1EFA" w:rsidRDefault="00DF55C9" w:rsidP="00D86D67">
            <w:pPr>
              <w:pStyle w:val="TableCenter"/>
              <w:spacing w:before="0" w:after="0"/>
              <w:rPr>
                <w:b/>
                <w:sz w:val="22"/>
                <w:szCs w:val="22"/>
                <w:vertAlign w:val="superscript"/>
              </w:rPr>
            </w:pPr>
            <w:r>
              <w:rPr>
                <w:b/>
                <w:sz w:val="22"/>
                <w:szCs w:val="22"/>
              </w:rPr>
              <w:t xml:space="preserve">Ostatné </w:t>
            </w:r>
            <w:proofErr w:type="spellStart"/>
            <w:r>
              <w:rPr>
                <w:b/>
                <w:sz w:val="22"/>
                <w:szCs w:val="22"/>
              </w:rPr>
              <w:t>suplementy</w:t>
            </w:r>
            <w:proofErr w:type="spellEnd"/>
            <w:r w:rsidR="004C1EFA" w:rsidRPr="004C1EFA">
              <w:rPr>
                <w:b/>
                <w:sz w:val="22"/>
                <w:szCs w:val="22"/>
              </w:rPr>
              <w:t xml:space="preserve"> (stopové prvky, vitamíny, selén a zinok) </w:t>
            </w:r>
            <w:r w:rsidR="004C1EFA" w:rsidRPr="004C1EFA">
              <w:rPr>
                <w:b/>
                <w:sz w:val="22"/>
                <w:szCs w:val="22"/>
                <w:vertAlign w:val="superscript"/>
              </w:rPr>
              <w:t>c</w:t>
            </w:r>
          </w:p>
        </w:tc>
      </w:tr>
      <w:tr w:rsidR="004C1EFA" w:rsidRPr="002E05C5" w14:paraId="219C64D2" w14:textId="77777777" w:rsidTr="00424E03">
        <w:trPr>
          <w:trHeight w:val="476"/>
          <w:jc w:val="center"/>
        </w:trPr>
        <w:tc>
          <w:tcPr>
            <w:tcW w:w="2091" w:type="dxa"/>
            <w:shd w:val="clear" w:color="auto" w:fill="auto"/>
          </w:tcPr>
          <w:p w14:paraId="021DED0A" w14:textId="529C61E7" w:rsidR="004C1EFA" w:rsidRPr="00895DE4" w:rsidRDefault="00244135" w:rsidP="00424E03">
            <w:pPr>
              <w:pStyle w:val="TableCenter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4C1EFA" w:rsidRPr="004C1EFA">
              <w:rPr>
                <w:sz w:val="22"/>
                <w:szCs w:val="22"/>
              </w:rPr>
              <w:t xml:space="preserve">topové prvky – </w:t>
            </w:r>
            <w:proofErr w:type="spellStart"/>
            <w:r w:rsidR="004C1EFA" w:rsidRPr="004C1EFA">
              <w:rPr>
                <w:sz w:val="22"/>
                <w:szCs w:val="22"/>
              </w:rPr>
              <w:t>Nutryelt</w:t>
            </w:r>
            <w:proofErr w:type="spellEnd"/>
            <w:r w:rsidR="004C1EFA" w:rsidRPr="004C1EFA">
              <w:rPr>
                <w:sz w:val="22"/>
                <w:szCs w:val="22"/>
              </w:rPr>
              <w:t xml:space="preserve"> </w:t>
            </w:r>
            <w:r w:rsidR="004C1EFA" w:rsidRPr="00895DE4">
              <w:rPr>
                <w:sz w:val="22"/>
                <w:szCs w:val="22"/>
                <w:vertAlign w:val="superscript"/>
              </w:rPr>
              <w:t>d</w:t>
            </w:r>
          </w:p>
        </w:tc>
        <w:tc>
          <w:tcPr>
            <w:tcW w:w="7196" w:type="dxa"/>
            <w:gridSpan w:val="3"/>
            <w:shd w:val="clear" w:color="auto" w:fill="auto"/>
          </w:tcPr>
          <w:p w14:paraId="511B5BC5" w14:textId="3AFBEF78" w:rsidR="004C1EFA" w:rsidRPr="00DF55C9" w:rsidRDefault="004C1EFA" w:rsidP="00424E03">
            <w:pPr>
              <w:pStyle w:val="TableCenter"/>
              <w:spacing w:before="0" w:after="0"/>
              <w:jc w:val="left"/>
              <w:rPr>
                <w:sz w:val="22"/>
                <w:szCs w:val="22"/>
              </w:rPr>
            </w:pPr>
            <w:r w:rsidRPr="00DF55C9">
              <w:rPr>
                <w:sz w:val="22"/>
                <w:szCs w:val="22"/>
              </w:rPr>
              <w:t xml:space="preserve">2 </w:t>
            </w:r>
            <w:r w:rsidR="00DF55C9">
              <w:rPr>
                <w:sz w:val="22"/>
                <w:szCs w:val="22"/>
              </w:rPr>
              <w:t xml:space="preserve">injekčné </w:t>
            </w:r>
            <w:r w:rsidRPr="00DF55C9">
              <w:rPr>
                <w:sz w:val="22"/>
                <w:szCs w:val="22"/>
              </w:rPr>
              <w:t>liekovky na vak (10 ml koncentrát</w:t>
            </w:r>
            <w:r w:rsidR="00DF55C9">
              <w:rPr>
                <w:sz w:val="22"/>
                <w:szCs w:val="22"/>
              </w:rPr>
              <w:t>u</w:t>
            </w:r>
            <w:r w:rsidRPr="00DF55C9">
              <w:rPr>
                <w:sz w:val="22"/>
                <w:szCs w:val="22"/>
              </w:rPr>
              <w:t xml:space="preserve"> roztok</w:t>
            </w:r>
            <w:r w:rsidR="00DF55C9">
              <w:rPr>
                <w:sz w:val="22"/>
                <w:szCs w:val="22"/>
              </w:rPr>
              <w:t>u</w:t>
            </w:r>
            <w:r w:rsidRPr="00DF55C9">
              <w:rPr>
                <w:sz w:val="22"/>
                <w:szCs w:val="22"/>
              </w:rPr>
              <w:t>)</w:t>
            </w:r>
          </w:p>
        </w:tc>
      </w:tr>
      <w:tr w:rsidR="004C1EFA" w:rsidRPr="002E05C5" w14:paraId="2C7D861D" w14:textId="77777777" w:rsidTr="00424E03">
        <w:trPr>
          <w:jc w:val="center"/>
        </w:trPr>
        <w:tc>
          <w:tcPr>
            <w:tcW w:w="2091" w:type="dxa"/>
            <w:shd w:val="clear" w:color="auto" w:fill="auto"/>
          </w:tcPr>
          <w:p w14:paraId="07D48503" w14:textId="5464BF8C" w:rsidR="004C1EFA" w:rsidRPr="00895DE4" w:rsidRDefault="00244135" w:rsidP="00424E03">
            <w:pPr>
              <w:pStyle w:val="TableCenter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4C1EFA" w:rsidRPr="004C1EFA">
              <w:rPr>
                <w:sz w:val="22"/>
                <w:szCs w:val="22"/>
              </w:rPr>
              <w:t xml:space="preserve">itamíny – </w:t>
            </w:r>
            <w:r>
              <w:rPr>
                <w:sz w:val="22"/>
                <w:szCs w:val="22"/>
              </w:rPr>
              <w:br/>
            </w:r>
            <w:proofErr w:type="spellStart"/>
            <w:r w:rsidR="004C1EFA" w:rsidRPr="004C1EFA">
              <w:rPr>
                <w:sz w:val="22"/>
                <w:szCs w:val="22"/>
              </w:rPr>
              <w:t>Cernevit</w:t>
            </w:r>
            <w:proofErr w:type="spellEnd"/>
            <w:r w:rsidR="004C1EFA" w:rsidRPr="004C1EFA">
              <w:rPr>
                <w:sz w:val="22"/>
                <w:szCs w:val="22"/>
              </w:rPr>
              <w:t xml:space="preserve"> </w:t>
            </w:r>
            <w:r w:rsidR="004C1EFA" w:rsidRPr="00895DE4">
              <w:rPr>
                <w:sz w:val="22"/>
                <w:szCs w:val="22"/>
                <w:vertAlign w:val="superscript"/>
              </w:rPr>
              <w:t>e</w:t>
            </w:r>
          </w:p>
        </w:tc>
        <w:tc>
          <w:tcPr>
            <w:tcW w:w="7196" w:type="dxa"/>
            <w:gridSpan w:val="3"/>
            <w:shd w:val="clear" w:color="auto" w:fill="auto"/>
          </w:tcPr>
          <w:p w14:paraId="7EFF8AD2" w14:textId="27984E5D" w:rsidR="004C1EFA" w:rsidRPr="00DF55C9" w:rsidRDefault="004C1EFA" w:rsidP="00424E03">
            <w:pPr>
              <w:pStyle w:val="TableCenter"/>
              <w:spacing w:before="0" w:after="0"/>
              <w:jc w:val="left"/>
              <w:rPr>
                <w:sz w:val="22"/>
                <w:szCs w:val="22"/>
              </w:rPr>
            </w:pPr>
            <w:r w:rsidRPr="00DF55C9">
              <w:rPr>
                <w:sz w:val="22"/>
                <w:szCs w:val="22"/>
              </w:rPr>
              <w:t xml:space="preserve">1 </w:t>
            </w:r>
            <w:r w:rsidR="00DF55C9">
              <w:rPr>
                <w:sz w:val="22"/>
                <w:szCs w:val="22"/>
              </w:rPr>
              <w:t xml:space="preserve">injekčná </w:t>
            </w:r>
            <w:r w:rsidRPr="00DF55C9">
              <w:rPr>
                <w:sz w:val="22"/>
                <w:szCs w:val="22"/>
              </w:rPr>
              <w:t xml:space="preserve">liekovka (5 ml </w:t>
            </w:r>
            <w:proofErr w:type="spellStart"/>
            <w:r w:rsidRPr="00DF55C9">
              <w:rPr>
                <w:sz w:val="22"/>
                <w:szCs w:val="22"/>
              </w:rPr>
              <w:t>lyofilizát</w:t>
            </w:r>
            <w:r w:rsidR="00DF55C9">
              <w:rPr>
                <w:sz w:val="22"/>
                <w:szCs w:val="22"/>
              </w:rPr>
              <w:t>u</w:t>
            </w:r>
            <w:proofErr w:type="spellEnd"/>
            <w:r w:rsidRPr="00DF55C9">
              <w:rPr>
                <w:sz w:val="22"/>
                <w:szCs w:val="22"/>
              </w:rPr>
              <w:t>)</w:t>
            </w:r>
          </w:p>
        </w:tc>
      </w:tr>
      <w:tr w:rsidR="004C1EFA" w:rsidRPr="002E05C5" w14:paraId="005EE2CE" w14:textId="77777777" w:rsidTr="00424E03">
        <w:trPr>
          <w:jc w:val="center"/>
        </w:trPr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</w:tcPr>
          <w:p w14:paraId="668EC8B2" w14:textId="38153587" w:rsidR="004C1EFA" w:rsidRPr="004C1EFA" w:rsidRDefault="00244135" w:rsidP="00424E03">
            <w:pPr>
              <w:pStyle w:val="TableCenter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4C1EFA" w:rsidRPr="004C1EFA">
              <w:rPr>
                <w:sz w:val="22"/>
                <w:szCs w:val="22"/>
              </w:rPr>
              <w:t>elén</w:t>
            </w:r>
          </w:p>
        </w:tc>
        <w:tc>
          <w:tcPr>
            <w:tcW w:w="719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EB63D6B" w14:textId="20B34374" w:rsidR="004C1EFA" w:rsidRPr="00895DE4" w:rsidRDefault="004C1EFA" w:rsidP="00424E03">
            <w:pPr>
              <w:pStyle w:val="TableCenter"/>
              <w:spacing w:before="0" w:after="0"/>
              <w:jc w:val="left"/>
              <w:rPr>
                <w:sz w:val="22"/>
                <w:szCs w:val="22"/>
              </w:rPr>
            </w:pPr>
            <w:r w:rsidRPr="00895DE4">
              <w:rPr>
                <w:sz w:val="22"/>
                <w:szCs w:val="22"/>
              </w:rPr>
              <w:t xml:space="preserve">500 </w:t>
            </w:r>
            <w:proofErr w:type="spellStart"/>
            <w:r w:rsidR="002F1C39">
              <w:rPr>
                <w:sz w:val="22"/>
                <w:szCs w:val="22"/>
              </w:rPr>
              <w:t>mikrogramov</w:t>
            </w:r>
            <w:proofErr w:type="spellEnd"/>
            <w:r w:rsidRPr="00895DE4">
              <w:rPr>
                <w:sz w:val="22"/>
                <w:szCs w:val="22"/>
              </w:rPr>
              <w:t xml:space="preserve"> na vak</w:t>
            </w:r>
          </w:p>
        </w:tc>
      </w:tr>
      <w:tr w:rsidR="004C1EFA" w:rsidRPr="002E05C5" w14:paraId="3F6DA5D5" w14:textId="77777777" w:rsidTr="00424E03">
        <w:trPr>
          <w:jc w:val="center"/>
        </w:trPr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2F9D66" w14:textId="182F7097" w:rsidR="004C1EFA" w:rsidRPr="004C1EFA" w:rsidRDefault="00244135" w:rsidP="00424E03">
            <w:pPr>
              <w:pStyle w:val="TableCenter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="004C1EFA" w:rsidRPr="004C1EFA">
              <w:rPr>
                <w:sz w:val="22"/>
                <w:szCs w:val="22"/>
              </w:rPr>
              <w:t>inok</w:t>
            </w:r>
          </w:p>
        </w:tc>
        <w:tc>
          <w:tcPr>
            <w:tcW w:w="719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B64478" w14:textId="2F5A40D4" w:rsidR="004C1EFA" w:rsidRPr="00895DE4" w:rsidRDefault="002F1C39" w:rsidP="00424E03">
            <w:pPr>
              <w:pStyle w:val="TableCenter"/>
              <w:spacing w:before="0" w:after="0"/>
              <w:ind w:left="36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 </w:t>
            </w:r>
            <w:r w:rsidR="004C1EFA" w:rsidRPr="00895DE4">
              <w:rPr>
                <w:sz w:val="22"/>
                <w:szCs w:val="22"/>
              </w:rPr>
              <w:t>g na vak</w:t>
            </w:r>
          </w:p>
        </w:tc>
      </w:tr>
      <w:tr w:rsidR="004C1EFA" w:rsidRPr="002E05C5" w14:paraId="5DD99F84" w14:textId="77777777" w:rsidTr="00424E03">
        <w:trPr>
          <w:jc w:val="center"/>
        </w:trPr>
        <w:tc>
          <w:tcPr>
            <w:tcW w:w="928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0AAF149" w14:textId="59A23EF7" w:rsidR="00F07F9E" w:rsidRPr="00BA6A2E" w:rsidRDefault="009D3F48" w:rsidP="004A2946">
            <w:pPr>
              <w:pStyle w:val="TableFootnoteLetter"/>
              <w:numPr>
                <w:ilvl w:val="0"/>
                <w:numId w:val="0"/>
              </w:numPr>
              <w:spacing w:before="0" w:after="0"/>
              <w:ind w:left="115" w:hanging="115"/>
            </w:pPr>
            <w:r w:rsidRPr="00BA6A2E">
              <w:rPr>
                <w:vertAlign w:val="superscript"/>
              </w:rPr>
              <w:t>a</w:t>
            </w:r>
            <w:r w:rsidRPr="00BA6A2E">
              <w:t xml:space="preserve"> </w:t>
            </w:r>
            <w:r w:rsidR="00ED3B6D">
              <w:t>Vrátane</w:t>
            </w:r>
            <w:r w:rsidR="005F486F">
              <w:t xml:space="preserve"> f</w:t>
            </w:r>
            <w:r w:rsidR="004C1EFA" w:rsidRPr="00BA6A2E">
              <w:t>osfát</w:t>
            </w:r>
            <w:r w:rsidR="00ED3B6D">
              <w:t>u</w:t>
            </w:r>
            <w:r w:rsidR="004C1EFA" w:rsidRPr="00BA6A2E">
              <w:t xml:space="preserve"> </w:t>
            </w:r>
            <w:r w:rsidR="00ED3B6D">
              <w:t>z</w:t>
            </w:r>
            <w:r w:rsidR="00E743D8">
              <w:t> </w:t>
            </w:r>
            <w:proofErr w:type="spellStart"/>
            <w:r w:rsidR="00E743D8">
              <w:t>lipidovej</w:t>
            </w:r>
            <w:proofErr w:type="spellEnd"/>
            <w:r w:rsidR="00E743D8">
              <w:t xml:space="preserve"> </w:t>
            </w:r>
            <w:r w:rsidR="004C1EFA" w:rsidRPr="00BA6A2E">
              <w:t>emulzi</w:t>
            </w:r>
            <w:r w:rsidR="00ED3B6D">
              <w:t>e</w:t>
            </w:r>
            <w:r w:rsidR="00F73360">
              <w:t>.</w:t>
            </w:r>
          </w:p>
          <w:p w14:paraId="31CEECEA" w14:textId="32BA4BAB" w:rsidR="00F07F9E" w:rsidRPr="00BA6A2E" w:rsidRDefault="00F07F9E" w:rsidP="004A2946">
            <w:pPr>
              <w:pStyle w:val="TableFootnoteLetter"/>
              <w:numPr>
                <w:ilvl w:val="0"/>
                <w:numId w:val="0"/>
              </w:numPr>
              <w:spacing w:before="0" w:after="0"/>
              <w:ind w:left="115" w:hanging="115"/>
            </w:pPr>
            <w:r w:rsidRPr="00BA6A2E">
              <w:rPr>
                <w:vertAlign w:val="superscript"/>
              </w:rPr>
              <w:t>b</w:t>
            </w:r>
            <w:r w:rsidRPr="00BA6A2E">
              <w:t xml:space="preserve"> </w:t>
            </w:r>
            <w:r w:rsidR="005F486F">
              <w:t>Pi – anorganický fosfát</w:t>
            </w:r>
            <w:r w:rsidR="00AF047C">
              <w:t xml:space="preserve"> (</w:t>
            </w:r>
            <w:proofErr w:type="spellStart"/>
            <w:r w:rsidR="00AF047C">
              <w:t>inorganic</w:t>
            </w:r>
            <w:proofErr w:type="spellEnd"/>
            <w:r w:rsidR="00AF047C">
              <w:t xml:space="preserve"> </w:t>
            </w:r>
            <w:proofErr w:type="spellStart"/>
            <w:r w:rsidR="00AF047C">
              <w:t>phosphate</w:t>
            </w:r>
            <w:proofErr w:type="spellEnd"/>
            <w:r w:rsidR="00AF047C">
              <w:t>)</w:t>
            </w:r>
            <w:r w:rsidR="005F486F">
              <w:rPr>
                <w:lang w:val="en-US"/>
              </w:rPr>
              <w:t>;</w:t>
            </w:r>
            <w:r w:rsidR="005F486F">
              <w:t xml:space="preserve"> Po – organický fosfát</w:t>
            </w:r>
            <w:r w:rsidR="00AF047C">
              <w:t xml:space="preserve"> (</w:t>
            </w:r>
            <w:proofErr w:type="spellStart"/>
            <w:r w:rsidR="00AF047C">
              <w:t>organic</w:t>
            </w:r>
            <w:proofErr w:type="spellEnd"/>
            <w:r w:rsidR="00AF047C">
              <w:t xml:space="preserve"> </w:t>
            </w:r>
            <w:proofErr w:type="spellStart"/>
            <w:r w:rsidR="00AF047C">
              <w:t>phosphate</w:t>
            </w:r>
            <w:proofErr w:type="spellEnd"/>
            <w:r w:rsidR="00AF047C">
              <w:t>)</w:t>
            </w:r>
            <w:r w:rsidR="00F73360">
              <w:t>.</w:t>
            </w:r>
          </w:p>
          <w:p w14:paraId="64151CA6" w14:textId="2FF5A628" w:rsidR="00F07F9E" w:rsidRPr="00BA6A2E" w:rsidRDefault="00F07F9E" w:rsidP="004A2946">
            <w:pPr>
              <w:pStyle w:val="TableFootnoteLetter"/>
              <w:numPr>
                <w:ilvl w:val="0"/>
                <w:numId w:val="0"/>
              </w:numPr>
              <w:spacing w:before="0" w:after="0"/>
              <w:ind w:left="115" w:hanging="115"/>
            </w:pPr>
            <w:r w:rsidRPr="00BA6A2E">
              <w:rPr>
                <w:vertAlign w:val="superscript"/>
              </w:rPr>
              <w:t>c</w:t>
            </w:r>
            <w:r w:rsidRPr="00BA6A2E">
              <w:t xml:space="preserve"> </w:t>
            </w:r>
            <w:r w:rsidR="004C1EFA" w:rsidRPr="00BA6A2E">
              <w:t xml:space="preserve">Pre </w:t>
            </w:r>
            <w:r w:rsidR="00DF55C9" w:rsidRPr="00BA6A2E">
              <w:t>všetky veľkosti vaku</w:t>
            </w:r>
            <w:r w:rsidR="004C1EFA" w:rsidRPr="00BA6A2E">
              <w:t xml:space="preserve"> môže byť pridané množstvo stopových prvkov, selénu a zinku rovnaké ako pre vak s</w:t>
            </w:r>
            <w:r w:rsidR="005F30FD">
              <w:t> </w:t>
            </w:r>
            <w:r w:rsidR="004C1EFA" w:rsidRPr="00BA6A2E">
              <w:t>objemom 1 liter</w:t>
            </w:r>
            <w:r w:rsidR="00DF55C9" w:rsidRPr="00BA6A2E">
              <w:t xml:space="preserve">; </w:t>
            </w:r>
            <w:proofErr w:type="spellStart"/>
            <w:r w:rsidR="00DF55C9" w:rsidRPr="00BA6A2E">
              <w:t>suplementácia</w:t>
            </w:r>
            <w:proofErr w:type="spellEnd"/>
            <w:r w:rsidR="00DF55C9" w:rsidRPr="00BA6A2E">
              <w:t xml:space="preserve"> vitamínov je na 1 liter emulzie</w:t>
            </w:r>
            <w:r w:rsidR="00F73360">
              <w:t>.</w:t>
            </w:r>
          </w:p>
          <w:p w14:paraId="188C043F" w14:textId="469238C9" w:rsidR="004C1EFA" w:rsidRPr="00BA6A2E" w:rsidRDefault="00F07F9E" w:rsidP="004A2946">
            <w:pPr>
              <w:pStyle w:val="TableFootnoteLetter"/>
              <w:numPr>
                <w:ilvl w:val="0"/>
                <w:numId w:val="0"/>
              </w:numPr>
              <w:spacing w:before="0" w:after="0"/>
              <w:ind w:left="115" w:hanging="115"/>
            </w:pPr>
            <w:r w:rsidRPr="00BA6A2E">
              <w:rPr>
                <w:vertAlign w:val="superscript"/>
              </w:rPr>
              <w:t>d</w:t>
            </w:r>
            <w:r w:rsidR="004C1EFA" w:rsidRPr="00BA6A2E">
              <w:t xml:space="preserve"> </w:t>
            </w:r>
            <w:proofErr w:type="spellStart"/>
            <w:r w:rsidR="004C1EFA" w:rsidRPr="00BA6A2E">
              <w:t>Nutryelt</w:t>
            </w:r>
            <w:proofErr w:type="spellEnd"/>
            <w:r w:rsidR="004C1EFA" w:rsidRPr="00BA6A2E">
              <w:t xml:space="preserve"> </w:t>
            </w:r>
            <w:r w:rsidR="004C1EFA" w:rsidRPr="00BA6A2E">
              <w:rPr>
                <w:iCs/>
              </w:rPr>
              <w:t xml:space="preserve">(zloženie na </w:t>
            </w:r>
            <w:r w:rsidR="00DF55C9" w:rsidRPr="00BA6A2E">
              <w:rPr>
                <w:iCs/>
              </w:rPr>
              <w:t xml:space="preserve">injekčnú </w:t>
            </w:r>
            <w:r w:rsidR="004C1EFA" w:rsidRPr="00BA6A2E">
              <w:rPr>
                <w:iCs/>
              </w:rPr>
              <w:t xml:space="preserve">liekovku: zinok 153 µmol; </w:t>
            </w:r>
            <w:r w:rsidR="004C1EFA" w:rsidRPr="00BA6A2E">
              <w:t>meď 4,7 µmol; mangán 1,0 µmol; fluór 50 µmol; jód 1,0 µmol; selén 0,9 µmol; molybdén 0,21 µmol; chróm 0,19 µmol; železo 18 µmol)</w:t>
            </w:r>
            <w:r w:rsidR="00F73360">
              <w:t>.</w:t>
            </w:r>
          </w:p>
          <w:p w14:paraId="4E8BA22E" w14:textId="72995D98" w:rsidR="004C1EFA" w:rsidRPr="00DF55C9" w:rsidRDefault="00F07F9E" w:rsidP="004A2946">
            <w:pPr>
              <w:pStyle w:val="TableFootnoteLetter"/>
              <w:numPr>
                <w:ilvl w:val="0"/>
                <w:numId w:val="0"/>
              </w:numPr>
              <w:spacing w:before="0" w:after="0"/>
              <w:ind w:left="115" w:hanging="115"/>
              <w:rPr>
                <w:sz w:val="22"/>
                <w:szCs w:val="22"/>
              </w:rPr>
            </w:pPr>
            <w:r w:rsidRPr="00BA6A2E">
              <w:rPr>
                <w:iCs/>
                <w:vertAlign w:val="superscript"/>
              </w:rPr>
              <w:t>e</w:t>
            </w:r>
            <w:r w:rsidRPr="00BA6A2E">
              <w:rPr>
                <w:iCs/>
              </w:rPr>
              <w:t xml:space="preserve"> </w:t>
            </w:r>
            <w:proofErr w:type="spellStart"/>
            <w:r w:rsidR="004C1EFA" w:rsidRPr="00BA6A2E">
              <w:rPr>
                <w:iCs/>
              </w:rPr>
              <w:t>Cernevit</w:t>
            </w:r>
            <w:proofErr w:type="spellEnd"/>
            <w:r w:rsidR="004C1EFA" w:rsidRPr="00BA6A2E">
              <w:rPr>
                <w:iCs/>
              </w:rPr>
              <w:t xml:space="preserve"> (zloženie na </w:t>
            </w:r>
            <w:r w:rsidR="00DF55C9" w:rsidRPr="00BA6A2E">
              <w:rPr>
                <w:iCs/>
              </w:rPr>
              <w:t xml:space="preserve">injekčnú </w:t>
            </w:r>
            <w:r w:rsidR="005A7D88" w:rsidRPr="00BA6A2E">
              <w:rPr>
                <w:iCs/>
              </w:rPr>
              <w:t xml:space="preserve">liekovku: </w:t>
            </w:r>
            <w:proofErr w:type="spellStart"/>
            <w:r w:rsidR="005A7D88" w:rsidRPr="00BA6A2E">
              <w:rPr>
                <w:iCs/>
              </w:rPr>
              <w:t>vit</w:t>
            </w:r>
            <w:proofErr w:type="spellEnd"/>
            <w:r w:rsidR="005A7D88" w:rsidRPr="00BA6A2E">
              <w:rPr>
                <w:iCs/>
              </w:rPr>
              <w:t xml:space="preserve">. A (ako </w:t>
            </w:r>
            <w:proofErr w:type="spellStart"/>
            <w:r w:rsidR="005A7D88" w:rsidRPr="00BA6A2E">
              <w:rPr>
                <w:iCs/>
              </w:rPr>
              <w:t>retinol</w:t>
            </w:r>
            <w:r w:rsidR="004C1EFA" w:rsidRPr="00BA6A2E">
              <w:rPr>
                <w:iCs/>
              </w:rPr>
              <w:t>palmitát</w:t>
            </w:r>
            <w:proofErr w:type="spellEnd"/>
            <w:r w:rsidR="004C1EFA" w:rsidRPr="00BA6A2E">
              <w:rPr>
                <w:iCs/>
              </w:rPr>
              <w:t xml:space="preserve">) 3 500 IU, </w:t>
            </w:r>
            <w:proofErr w:type="spellStart"/>
            <w:r w:rsidR="004C1EFA" w:rsidRPr="00BA6A2E">
              <w:rPr>
                <w:iCs/>
              </w:rPr>
              <w:t>vit</w:t>
            </w:r>
            <w:proofErr w:type="spellEnd"/>
            <w:r w:rsidR="004C1EFA" w:rsidRPr="00BA6A2E">
              <w:rPr>
                <w:iCs/>
              </w:rPr>
              <w:t>. D3 (</w:t>
            </w:r>
            <w:proofErr w:type="spellStart"/>
            <w:r w:rsidR="004C1EFA" w:rsidRPr="00BA6A2E">
              <w:t>cholekalciferol</w:t>
            </w:r>
            <w:proofErr w:type="spellEnd"/>
            <w:r w:rsidR="004C1EFA" w:rsidRPr="00BA6A2E">
              <w:t xml:space="preserve">) 220 IU, </w:t>
            </w:r>
            <w:proofErr w:type="spellStart"/>
            <w:r w:rsidR="004C1EFA" w:rsidRPr="00BA6A2E">
              <w:t>vit</w:t>
            </w:r>
            <w:proofErr w:type="spellEnd"/>
            <w:r w:rsidR="004C1EFA" w:rsidRPr="00BA6A2E">
              <w:t>. E (</w:t>
            </w:r>
            <w:proofErr w:type="spellStart"/>
            <w:r w:rsidR="004C1EFA" w:rsidRPr="00BA6A2E">
              <w:t>alfa-tokoferol</w:t>
            </w:r>
            <w:proofErr w:type="spellEnd"/>
            <w:r w:rsidR="004C1EFA" w:rsidRPr="00BA6A2E">
              <w:t xml:space="preserve">) 11,2 IU, </w:t>
            </w:r>
            <w:proofErr w:type="spellStart"/>
            <w:r w:rsidR="004C1EFA" w:rsidRPr="00BA6A2E">
              <w:t>vit</w:t>
            </w:r>
            <w:proofErr w:type="spellEnd"/>
            <w:r w:rsidR="004C1EFA" w:rsidRPr="00BA6A2E">
              <w:t xml:space="preserve">. C (kyselina askorbová) 125 mg, </w:t>
            </w:r>
            <w:proofErr w:type="spellStart"/>
            <w:r w:rsidR="004C1EFA" w:rsidRPr="00BA6A2E">
              <w:t>vit</w:t>
            </w:r>
            <w:proofErr w:type="spellEnd"/>
            <w:r w:rsidR="004C1EFA" w:rsidRPr="00BA6A2E">
              <w:t>. B1 (</w:t>
            </w:r>
            <w:proofErr w:type="spellStart"/>
            <w:r w:rsidR="004C1EFA" w:rsidRPr="00BA6A2E">
              <w:t>tiamín</w:t>
            </w:r>
            <w:proofErr w:type="spellEnd"/>
            <w:r w:rsidR="004C1EFA" w:rsidRPr="00BA6A2E">
              <w:t xml:space="preserve">) 3,51 mg, </w:t>
            </w:r>
            <w:proofErr w:type="spellStart"/>
            <w:r w:rsidR="004C1EFA" w:rsidRPr="00BA6A2E">
              <w:t>vit</w:t>
            </w:r>
            <w:proofErr w:type="spellEnd"/>
            <w:r w:rsidR="004C1EFA" w:rsidRPr="00BA6A2E">
              <w:t>. B2 (</w:t>
            </w:r>
            <w:proofErr w:type="spellStart"/>
            <w:r w:rsidR="004C1EFA" w:rsidRPr="00BA6A2E">
              <w:t>riboflavín</w:t>
            </w:r>
            <w:proofErr w:type="spellEnd"/>
            <w:r w:rsidR="004C1EFA" w:rsidRPr="00BA6A2E">
              <w:t xml:space="preserve">) 4,14 mg, </w:t>
            </w:r>
            <w:proofErr w:type="spellStart"/>
            <w:r w:rsidR="004C1EFA" w:rsidRPr="00BA6A2E">
              <w:t>vit</w:t>
            </w:r>
            <w:proofErr w:type="spellEnd"/>
            <w:r w:rsidR="004C1EFA" w:rsidRPr="00BA6A2E">
              <w:t>. B6 (</w:t>
            </w:r>
            <w:proofErr w:type="spellStart"/>
            <w:r w:rsidR="004C1EFA" w:rsidRPr="00BA6A2E">
              <w:t>pyridoxín</w:t>
            </w:r>
            <w:proofErr w:type="spellEnd"/>
            <w:r w:rsidR="004C1EFA" w:rsidRPr="00BA6A2E">
              <w:t xml:space="preserve">) 4,53 mg, </w:t>
            </w:r>
            <w:proofErr w:type="spellStart"/>
            <w:r w:rsidR="004C1EFA" w:rsidRPr="00BA6A2E">
              <w:t>vit</w:t>
            </w:r>
            <w:proofErr w:type="spellEnd"/>
            <w:r w:rsidR="004C1EFA" w:rsidRPr="00BA6A2E">
              <w:t>. B12 (</w:t>
            </w:r>
            <w:proofErr w:type="spellStart"/>
            <w:r w:rsidR="004C1EFA" w:rsidRPr="00BA6A2E">
              <w:t>kyanokobalamín</w:t>
            </w:r>
            <w:proofErr w:type="spellEnd"/>
            <w:r w:rsidR="004C1EFA" w:rsidRPr="00BA6A2E">
              <w:t xml:space="preserve">) 6 µg, </w:t>
            </w:r>
            <w:proofErr w:type="spellStart"/>
            <w:r w:rsidR="004C1EFA" w:rsidRPr="00BA6A2E">
              <w:t>vit</w:t>
            </w:r>
            <w:proofErr w:type="spellEnd"/>
            <w:r w:rsidR="004C1EFA" w:rsidRPr="00BA6A2E">
              <w:t xml:space="preserve">. B9 (kyselina listová) 414 µg, </w:t>
            </w:r>
            <w:proofErr w:type="spellStart"/>
            <w:r w:rsidR="004C1EFA" w:rsidRPr="00BA6A2E">
              <w:t>vit</w:t>
            </w:r>
            <w:proofErr w:type="spellEnd"/>
            <w:r w:rsidR="004C1EFA" w:rsidRPr="00BA6A2E">
              <w:t xml:space="preserve">. B5 (kyselina </w:t>
            </w:r>
            <w:proofErr w:type="spellStart"/>
            <w:r w:rsidR="004C1EFA" w:rsidRPr="00BA6A2E">
              <w:t>pantoténová</w:t>
            </w:r>
            <w:proofErr w:type="spellEnd"/>
            <w:r w:rsidR="004C1EFA" w:rsidRPr="00BA6A2E">
              <w:t xml:space="preserve">) 17,25 mg, </w:t>
            </w:r>
            <w:proofErr w:type="spellStart"/>
            <w:r w:rsidR="004C1EFA" w:rsidRPr="00BA6A2E">
              <w:t>vit</w:t>
            </w:r>
            <w:proofErr w:type="spellEnd"/>
            <w:r w:rsidR="004C1EFA" w:rsidRPr="00BA6A2E">
              <w:t>. B8 (</w:t>
            </w:r>
            <w:proofErr w:type="spellStart"/>
            <w:r w:rsidR="004C1EFA" w:rsidRPr="00BA6A2E">
              <w:t>biotín</w:t>
            </w:r>
            <w:proofErr w:type="spellEnd"/>
            <w:r w:rsidR="004C1EFA" w:rsidRPr="00BA6A2E">
              <w:t xml:space="preserve">) 69 µg, </w:t>
            </w:r>
            <w:proofErr w:type="spellStart"/>
            <w:r w:rsidR="004C1EFA" w:rsidRPr="00BA6A2E">
              <w:t>vit</w:t>
            </w:r>
            <w:proofErr w:type="spellEnd"/>
            <w:r w:rsidR="004C1EFA" w:rsidRPr="00BA6A2E">
              <w:t>. PP (</w:t>
            </w:r>
            <w:proofErr w:type="spellStart"/>
            <w:r w:rsidR="004C1EFA" w:rsidRPr="00BA6A2E">
              <w:t>nikotínamid</w:t>
            </w:r>
            <w:proofErr w:type="spellEnd"/>
            <w:r w:rsidR="004C1EFA" w:rsidRPr="00BA6A2E">
              <w:t>) 46 mg)</w:t>
            </w:r>
            <w:r w:rsidR="00F73360">
              <w:t>.</w:t>
            </w:r>
          </w:p>
        </w:tc>
      </w:tr>
    </w:tbl>
    <w:p w14:paraId="4E064BD0" w14:textId="77777777" w:rsidR="004C1EFA" w:rsidRPr="00CF4824" w:rsidRDefault="004C1EFA" w:rsidP="00D91F70">
      <w:pPr>
        <w:rPr>
          <w:sz w:val="22"/>
          <w:szCs w:val="22"/>
        </w:rPr>
      </w:pPr>
    </w:p>
    <w:p w14:paraId="05117D1C" w14:textId="77777777" w:rsidR="007C7CA1" w:rsidRPr="002F3A72" w:rsidRDefault="007C7CA1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2F3A72">
        <w:rPr>
          <w:sz w:val="22"/>
          <w:szCs w:val="22"/>
        </w:rPr>
        <w:t xml:space="preserve">Pridanie </w:t>
      </w:r>
      <w:proofErr w:type="spellStart"/>
      <w:r w:rsidRPr="002F3A72">
        <w:rPr>
          <w:sz w:val="22"/>
          <w:szCs w:val="22"/>
        </w:rPr>
        <w:t>aditív</w:t>
      </w:r>
      <w:proofErr w:type="spellEnd"/>
      <w:r w:rsidRPr="002F3A72">
        <w:rPr>
          <w:sz w:val="22"/>
          <w:szCs w:val="22"/>
        </w:rPr>
        <w:t>:</w:t>
      </w:r>
    </w:p>
    <w:p w14:paraId="0AF94A75" w14:textId="77777777" w:rsidR="007C7CA1" w:rsidRPr="00CF4824" w:rsidRDefault="007C7CA1" w:rsidP="00924BC1">
      <w:pPr>
        <w:pStyle w:val="Zoznamsodrkami2"/>
        <w:tabs>
          <w:tab w:val="clear" w:pos="1080"/>
        </w:tabs>
        <w:spacing w:before="0" w:after="0" w:line="240" w:lineRule="auto"/>
        <w:ind w:left="567" w:hanging="567"/>
        <w:rPr>
          <w:sz w:val="22"/>
          <w:szCs w:val="22"/>
        </w:rPr>
      </w:pPr>
      <w:r w:rsidRPr="00CF4824">
        <w:rPr>
          <w:sz w:val="22"/>
          <w:szCs w:val="22"/>
        </w:rPr>
        <w:t>Musia sa dodržiavať aseptické podmienky.</w:t>
      </w:r>
    </w:p>
    <w:p w14:paraId="18AA0F39" w14:textId="77777777" w:rsidR="007C7CA1" w:rsidRPr="00CF4824" w:rsidRDefault="007C7CA1" w:rsidP="00924BC1">
      <w:pPr>
        <w:pStyle w:val="Zoznamsodrkami2"/>
        <w:tabs>
          <w:tab w:val="clear" w:pos="1080"/>
        </w:tabs>
        <w:spacing w:before="0" w:after="0" w:line="240" w:lineRule="auto"/>
        <w:ind w:left="567" w:hanging="567"/>
        <w:rPr>
          <w:sz w:val="22"/>
          <w:szCs w:val="22"/>
        </w:rPr>
      </w:pPr>
      <w:r w:rsidRPr="00CF4824">
        <w:rPr>
          <w:sz w:val="22"/>
          <w:szCs w:val="22"/>
        </w:rPr>
        <w:t>Pripravte si injekčný port vaku.</w:t>
      </w:r>
    </w:p>
    <w:p w14:paraId="4F16B155" w14:textId="77777777" w:rsidR="007C7CA1" w:rsidRPr="00CF4824" w:rsidRDefault="007C7CA1" w:rsidP="00924BC1">
      <w:pPr>
        <w:pStyle w:val="Zoznamsodrkami2"/>
        <w:tabs>
          <w:tab w:val="clear" w:pos="1080"/>
        </w:tabs>
        <w:spacing w:before="0" w:after="0" w:line="240" w:lineRule="auto"/>
        <w:ind w:left="567" w:hanging="567"/>
        <w:rPr>
          <w:sz w:val="22"/>
          <w:szCs w:val="22"/>
        </w:rPr>
      </w:pPr>
      <w:r w:rsidRPr="00CF4824">
        <w:rPr>
          <w:sz w:val="22"/>
          <w:szCs w:val="22"/>
        </w:rPr>
        <w:t xml:space="preserve">Prepichnite injekčný port a vstreknite </w:t>
      </w:r>
      <w:proofErr w:type="spellStart"/>
      <w:r w:rsidRPr="00CF4824">
        <w:rPr>
          <w:sz w:val="22"/>
          <w:szCs w:val="22"/>
        </w:rPr>
        <w:t>aditíva</w:t>
      </w:r>
      <w:proofErr w:type="spellEnd"/>
      <w:r w:rsidRPr="00CF4824">
        <w:rPr>
          <w:sz w:val="22"/>
          <w:szCs w:val="22"/>
        </w:rPr>
        <w:t xml:space="preserve"> s použitím injekčnej ihly alebo pomôcky na prípravu.</w:t>
      </w:r>
    </w:p>
    <w:p w14:paraId="349DE97D" w14:textId="4FD07B81" w:rsidR="007C7CA1" w:rsidRPr="00CF4824" w:rsidRDefault="007C7CA1" w:rsidP="00924BC1">
      <w:pPr>
        <w:pStyle w:val="Zoznamsodrkami2"/>
        <w:tabs>
          <w:tab w:val="clear" w:pos="1080"/>
        </w:tabs>
        <w:spacing w:before="0" w:after="0" w:line="240" w:lineRule="auto"/>
        <w:ind w:left="567" w:hanging="567"/>
        <w:rPr>
          <w:sz w:val="22"/>
          <w:szCs w:val="22"/>
        </w:rPr>
      </w:pPr>
      <w:r w:rsidRPr="00CF4824">
        <w:rPr>
          <w:sz w:val="22"/>
          <w:szCs w:val="22"/>
        </w:rPr>
        <w:t xml:space="preserve">Zmiešajte obsah vaku a </w:t>
      </w:r>
      <w:proofErr w:type="spellStart"/>
      <w:r w:rsidRPr="00CF4824">
        <w:rPr>
          <w:sz w:val="22"/>
          <w:szCs w:val="22"/>
        </w:rPr>
        <w:t>aditíva</w:t>
      </w:r>
      <w:proofErr w:type="spellEnd"/>
      <w:r w:rsidRPr="00CF4824">
        <w:rPr>
          <w:sz w:val="22"/>
          <w:szCs w:val="22"/>
        </w:rPr>
        <w:t>.</w:t>
      </w:r>
    </w:p>
    <w:p w14:paraId="0C1EE6D9" w14:textId="77777777" w:rsidR="007444AE" w:rsidRPr="00CF4824" w:rsidRDefault="007444AE" w:rsidP="00D91F70">
      <w:pPr>
        <w:pStyle w:val="Zoznamsodrkami2"/>
        <w:numPr>
          <w:ilvl w:val="0"/>
          <w:numId w:val="0"/>
        </w:numPr>
        <w:spacing w:before="0" w:after="0" w:line="240" w:lineRule="auto"/>
        <w:ind w:left="360"/>
        <w:rPr>
          <w:sz w:val="22"/>
          <w:szCs w:val="22"/>
        </w:rPr>
      </w:pPr>
    </w:p>
    <w:p w14:paraId="606109EC" w14:textId="3563618A" w:rsidR="007C7CA1" w:rsidRPr="00424E03" w:rsidRDefault="007C7CA1" w:rsidP="00D91F70">
      <w:pPr>
        <w:pStyle w:val="Heading2Unnumbered"/>
        <w:spacing w:before="0" w:after="0"/>
        <w:rPr>
          <w:b w:val="0"/>
          <w:sz w:val="22"/>
          <w:szCs w:val="22"/>
          <w:u w:val="single"/>
        </w:rPr>
      </w:pPr>
      <w:bookmarkStart w:id="46" w:name="_ISIW_UH_35"/>
      <w:r w:rsidRPr="00424E03">
        <w:rPr>
          <w:b w:val="0"/>
          <w:sz w:val="22"/>
          <w:szCs w:val="22"/>
          <w:u w:val="single"/>
        </w:rPr>
        <w:t>Príprava infúzie</w:t>
      </w:r>
    </w:p>
    <w:p w14:paraId="40A1BBAE" w14:textId="77777777" w:rsidR="007444AE" w:rsidRPr="004A2946" w:rsidRDefault="007444AE" w:rsidP="00D91F70">
      <w:pPr>
        <w:pStyle w:val="Paragraph"/>
        <w:spacing w:before="0" w:after="0" w:line="240" w:lineRule="auto"/>
        <w:rPr>
          <w:sz w:val="22"/>
          <w:szCs w:val="22"/>
        </w:rPr>
      </w:pPr>
    </w:p>
    <w:bookmarkEnd w:id="46"/>
    <w:p w14:paraId="05C68DD0" w14:textId="77777777" w:rsidR="007C7CA1" w:rsidRPr="00CF4824" w:rsidRDefault="007C7CA1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>Musia sa dodržiavať aseptické podmienky.</w:t>
      </w:r>
    </w:p>
    <w:p w14:paraId="2D3B0755" w14:textId="77777777" w:rsidR="007C7CA1" w:rsidRPr="00CF4824" w:rsidRDefault="007C7CA1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>Zaveste vak.</w:t>
      </w:r>
    </w:p>
    <w:p w14:paraId="4C950625" w14:textId="774ED8C8" w:rsidR="007C7CA1" w:rsidRPr="002F3A72" w:rsidRDefault="007C7CA1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2F3A72">
        <w:rPr>
          <w:sz w:val="22"/>
          <w:szCs w:val="22"/>
        </w:rPr>
        <w:t xml:space="preserve">Z aplikačného vývodu odstráňte </w:t>
      </w:r>
      <w:r w:rsidR="00CE3462">
        <w:rPr>
          <w:sz w:val="22"/>
          <w:szCs w:val="22"/>
        </w:rPr>
        <w:t>plastový</w:t>
      </w:r>
      <w:r w:rsidRPr="002F3A72">
        <w:rPr>
          <w:sz w:val="22"/>
          <w:szCs w:val="22"/>
        </w:rPr>
        <w:t xml:space="preserve"> ochranný kryt.</w:t>
      </w:r>
    </w:p>
    <w:p w14:paraId="0C19911C" w14:textId="17A9E62B" w:rsidR="007C7CA1" w:rsidRPr="00CF4824" w:rsidRDefault="007C7CA1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 xml:space="preserve">Hrot </w:t>
      </w:r>
      <w:proofErr w:type="spellStart"/>
      <w:r w:rsidRPr="00CF4824">
        <w:rPr>
          <w:sz w:val="22"/>
          <w:szCs w:val="22"/>
        </w:rPr>
        <w:t>infúznej</w:t>
      </w:r>
      <w:proofErr w:type="spellEnd"/>
      <w:r w:rsidRPr="00CF4824">
        <w:rPr>
          <w:sz w:val="22"/>
          <w:szCs w:val="22"/>
        </w:rPr>
        <w:t xml:space="preserve"> súpravy pevne zapichnite do aplikačného vývodu.</w:t>
      </w:r>
    </w:p>
    <w:p w14:paraId="6BEFBEEF" w14:textId="77777777" w:rsidR="007444AE" w:rsidRPr="00CF4824" w:rsidRDefault="007444AE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04635994" w14:textId="26DF792D" w:rsidR="007C7CA1" w:rsidRPr="00424E03" w:rsidRDefault="007C7CA1" w:rsidP="00D91F70">
      <w:pPr>
        <w:pStyle w:val="Heading2Unnumbered"/>
        <w:spacing w:before="0" w:after="0"/>
        <w:rPr>
          <w:b w:val="0"/>
          <w:sz w:val="22"/>
          <w:szCs w:val="22"/>
          <w:u w:val="single"/>
        </w:rPr>
      </w:pPr>
      <w:bookmarkStart w:id="47" w:name="_ISIW_UH_36"/>
      <w:r w:rsidRPr="00424E03">
        <w:rPr>
          <w:b w:val="0"/>
          <w:sz w:val="22"/>
          <w:szCs w:val="22"/>
          <w:u w:val="single"/>
        </w:rPr>
        <w:t>Podávani</w:t>
      </w:r>
      <w:r w:rsidR="00CE3462" w:rsidRPr="00424E03">
        <w:rPr>
          <w:b w:val="0"/>
          <w:sz w:val="22"/>
          <w:szCs w:val="22"/>
          <w:u w:val="single"/>
        </w:rPr>
        <w:t>e</w:t>
      </w:r>
    </w:p>
    <w:p w14:paraId="0E0B4F4F" w14:textId="77777777" w:rsidR="007444AE" w:rsidRPr="004A2946" w:rsidRDefault="007444AE" w:rsidP="00D91F70">
      <w:pPr>
        <w:pStyle w:val="Paragraph"/>
        <w:spacing w:before="0" w:after="0" w:line="240" w:lineRule="auto"/>
        <w:rPr>
          <w:sz w:val="22"/>
          <w:szCs w:val="22"/>
        </w:rPr>
      </w:pPr>
    </w:p>
    <w:bookmarkEnd w:id="47"/>
    <w:p w14:paraId="72704620" w14:textId="77777777" w:rsidR="007C7CA1" w:rsidRPr="00CF4824" w:rsidRDefault="007C7CA1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>Len na jednorazové použitie.</w:t>
      </w:r>
    </w:p>
    <w:p w14:paraId="49340CF3" w14:textId="77777777" w:rsidR="00D91F70" w:rsidRPr="00CF4824" w:rsidRDefault="00D91F70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088C9A87" w14:textId="49A7E61F" w:rsidR="007C7CA1" w:rsidRPr="002F3A72" w:rsidRDefault="007C7CA1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2F3A72">
        <w:rPr>
          <w:sz w:val="22"/>
          <w:szCs w:val="22"/>
        </w:rPr>
        <w:t>Liek podávajte až po pretrhnutí tesniacich švov medzi tromi komorami a zmiešaní obsahu všetkých troch komôr.</w:t>
      </w:r>
    </w:p>
    <w:p w14:paraId="29383482" w14:textId="77777777" w:rsidR="00D91F70" w:rsidRPr="00CF4824" w:rsidRDefault="00D91F70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4442B753" w14:textId="689D3F3A" w:rsidR="007C7CA1" w:rsidRPr="00CF4824" w:rsidRDefault="007C7CA1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 xml:space="preserve">Uistite sa, že </w:t>
      </w:r>
      <w:r w:rsidR="00B83D90">
        <w:rPr>
          <w:sz w:val="22"/>
          <w:szCs w:val="22"/>
        </w:rPr>
        <w:t>finálna</w:t>
      </w:r>
      <w:r w:rsidRPr="00CF4824">
        <w:rPr>
          <w:sz w:val="22"/>
          <w:szCs w:val="22"/>
        </w:rPr>
        <w:t xml:space="preserve"> </w:t>
      </w:r>
      <w:proofErr w:type="spellStart"/>
      <w:r w:rsidRPr="00CF4824">
        <w:rPr>
          <w:sz w:val="22"/>
          <w:szCs w:val="22"/>
        </w:rPr>
        <w:t>infúzna</w:t>
      </w:r>
      <w:proofErr w:type="spellEnd"/>
      <w:r w:rsidRPr="00CF4824">
        <w:rPr>
          <w:sz w:val="22"/>
          <w:szCs w:val="22"/>
        </w:rPr>
        <w:t xml:space="preserve"> emulzia nevykazuje známky separácie</w:t>
      </w:r>
      <w:r w:rsidR="00B83D90">
        <w:rPr>
          <w:sz w:val="22"/>
          <w:szCs w:val="22"/>
        </w:rPr>
        <w:t xml:space="preserve"> fáz</w:t>
      </w:r>
      <w:r w:rsidRPr="00CF4824">
        <w:rPr>
          <w:sz w:val="22"/>
          <w:szCs w:val="22"/>
        </w:rPr>
        <w:t>.</w:t>
      </w:r>
    </w:p>
    <w:p w14:paraId="6819A80E" w14:textId="77777777" w:rsidR="00D91F70" w:rsidRPr="00CF4824" w:rsidRDefault="00D91F70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158183C9" w14:textId="6C432CC6" w:rsidR="007C7CA1" w:rsidRPr="00CF4824" w:rsidRDefault="007C7CA1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>Po otvorení vaku sa musí obsah ihneď spotrebovať. Otvorený vak sa nesmie nikdy uchovávať pre následnú infúziu. Čiastočne použitý vak opätovne nepripájajte.</w:t>
      </w:r>
    </w:p>
    <w:p w14:paraId="3037FF6C" w14:textId="77777777" w:rsidR="00D91F70" w:rsidRPr="00CF4824" w:rsidRDefault="00D91F70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1506FEDE" w14:textId="66388B63" w:rsidR="007C7CA1" w:rsidRPr="00CF4824" w:rsidRDefault="007C7CA1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>Vaky neprep</w:t>
      </w:r>
      <w:r w:rsidR="00A330B7">
        <w:rPr>
          <w:sz w:val="22"/>
          <w:szCs w:val="22"/>
        </w:rPr>
        <w:t>ája</w:t>
      </w:r>
      <w:r w:rsidRPr="00CF4824">
        <w:rPr>
          <w:sz w:val="22"/>
          <w:szCs w:val="22"/>
        </w:rPr>
        <w:t>jte do série, aby sa zabránilo možnosti vzduchovej embólie spôsobenej vzduchom, ktorý je obsiahnutý v primárnom vaku.</w:t>
      </w:r>
    </w:p>
    <w:p w14:paraId="3524097E" w14:textId="77777777" w:rsidR="00D91F70" w:rsidRPr="00CF4824" w:rsidRDefault="00D91F70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7E35E529" w14:textId="22483F37" w:rsidR="007C7CA1" w:rsidRPr="00CF4824" w:rsidRDefault="007C7CA1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>Všetok ne</w:t>
      </w:r>
      <w:r w:rsidR="00A330B7">
        <w:rPr>
          <w:sz w:val="22"/>
          <w:szCs w:val="22"/>
        </w:rPr>
        <w:t>použitý</w:t>
      </w:r>
      <w:r w:rsidRPr="00CF4824">
        <w:rPr>
          <w:sz w:val="22"/>
          <w:szCs w:val="22"/>
        </w:rPr>
        <w:t xml:space="preserve"> liek alebo odpad vzniknutý z lieku a všetko potrebné príslušenstvo sa musí zlikvidovať.</w:t>
      </w:r>
    </w:p>
    <w:p w14:paraId="3651D93A" w14:textId="7D074994" w:rsidR="00D91F70" w:rsidRPr="00CF4824" w:rsidRDefault="00D91F70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1B9EA5DC" w14:textId="77777777" w:rsidR="00D91F70" w:rsidRPr="00CF4824" w:rsidRDefault="00D91F70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05A871A0" w14:textId="1AC353D1" w:rsidR="00A75283" w:rsidRPr="00CF4824" w:rsidRDefault="00576F5C" w:rsidP="004A2946">
      <w:pPr>
        <w:pStyle w:val="Nadpis1"/>
        <w:tabs>
          <w:tab w:val="left" w:pos="709"/>
        </w:tabs>
        <w:spacing w:before="0" w:after="0"/>
        <w:rPr>
          <w:sz w:val="22"/>
          <w:szCs w:val="22"/>
        </w:rPr>
      </w:pPr>
      <w:bookmarkStart w:id="48" w:name="_ISIW_UH_37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94003" w:rsidRPr="00CF4824">
        <w:rPr>
          <w:sz w:val="22"/>
          <w:szCs w:val="22"/>
        </w:rPr>
        <w:t>DRŽITEĽ ROZHODNUTIA O</w:t>
      </w:r>
      <w:r w:rsidR="00D91F70" w:rsidRPr="00CF4824">
        <w:rPr>
          <w:sz w:val="22"/>
          <w:szCs w:val="22"/>
        </w:rPr>
        <w:t> </w:t>
      </w:r>
      <w:r w:rsidR="00C94003" w:rsidRPr="00CF4824">
        <w:rPr>
          <w:sz w:val="22"/>
          <w:szCs w:val="22"/>
        </w:rPr>
        <w:t>REGISTRÁCII</w:t>
      </w:r>
    </w:p>
    <w:p w14:paraId="5DC77D36" w14:textId="77777777" w:rsidR="00D91F70" w:rsidRPr="004A2946" w:rsidRDefault="00D91F70" w:rsidP="00D91F70">
      <w:pPr>
        <w:keepNext/>
        <w:keepLines/>
        <w:rPr>
          <w:caps/>
          <w:sz w:val="22"/>
          <w:szCs w:val="22"/>
        </w:rPr>
      </w:pPr>
    </w:p>
    <w:p w14:paraId="7AF57CEA" w14:textId="48ADEA2F" w:rsidR="00D91F70" w:rsidRPr="004A2946" w:rsidRDefault="00D91F70" w:rsidP="00D91F70">
      <w:pPr>
        <w:keepNext/>
        <w:keepLines/>
        <w:rPr>
          <w:sz w:val="22"/>
          <w:szCs w:val="22"/>
        </w:rPr>
      </w:pPr>
      <w:r w:rsidRPr="004A2946">
        <w:rPr>
          <w:caps/>
          <w:sz w:val="22"/>
          <w:szCs w:val="22"/>
        </w:rPr>
        <w:t xml:space="preserve">BAXTER CZECH </w:t>
      </w:r>
      <w:r w:rsidRPr="004A2946">
        <w:rPr>
          <w:sz w:val="22"/>
          <w:szCs w:val="22"/>
        </w:rPr>
        <w:t>spol. s</w:t>
      </w:r>
      <w:r w:rsidR="003B3FC4">
        <w:rPr>
          <w:sz w:val="22"/>
          <w:szCs w:val="22"/>
        </w:rPr>
        <w:t>.</w:t>
      </w:r>
      <w:r w:rsidRPr="004A2946">
        <w:rPr>
          <w:sz w:val="22"/>
          <w:szCs w:val="22"/>
        </w:rPr>
        <w:t>r.o.</w:t>
      </w:r>
    </w:p>
    <w:p w14:paraId="36C60BC1" w14:textId="77777777" w:rsidR="00D91F70" w:rsidRPr="004A2946" w:rsidRDefault="00D91F70" w:rsidP="00D91F70">
      <w:pPr>
        <w:keepNext/>
        <w:keepLines/>
        <w:rPr>
          <w:sz w:val="22"/>
          <w:szCs w:val="22"/>
        </w:rPr>
      </w:pPr>
      <w:r w:rsidRPr="004A2946">
        <w:rPr>
          <w:sz w:val="22"/>
          <w:szCs w:val="22"/>
        </w:rPr>
        <w:t xml:space="preserve">Karla </w:t>
      </w:r>
      <w:proofErr w:type="spellStart"/>
      <w:r w:rsidRPr="004A2946">
        <w:rPr>
          <w:sz w:val="22"/>
          <w:szCs w:val="22"/>
        </w:rPr>
        <w:t>Engliše</w:t>
      </w:r>
      <w:proofErr w:type="spellEnd"/>
      <w:r w:rsidRPr="004A2946">
        <w:rPr>
          <w:sz w:val="22"/>
          <w:szCs w:val="22"/>
        </w:rPr>
        <w:t xml:space="preserve"> 3201/6</w:t>
      </w:r>
    </w:p>
    <w:p w14:paraId="66BDB092" w14:textId="02B7E7B7" w:rsidR="00D91F70" w:rsidRPr="004A2946" w:rsidRDefault="00D835EC" w:rsidP="00D91F70">
      <w:pPr>
        <w:keepNext/>
        <w:keepLines/>
        <w:rPr>
          <w:sz w:val="22"/>
          <w:szCs w:val="22"/>
        </w:rPr>
      </w:pPr>
      <w:r>
        <w:rPr>
          <w:sz w:val="22"/>
          <w:szCs w:val="22"/>
        </w:rPr>
        <w:t xml:space="preserve">15000 </w:t>
      </w:r>
      <w:r w:rsidR="00D91F70" w:rsidRPr="004A2946">
        <w:rPr>
          <w:sz w:val="22"/>
          <w:szCs w:val="22"/>
        </w:rPr>
        <w:t>Praha 5</w:t>
      </w:r>
    </w:p>
    <w:p w14:paraId="162BB97E" w14:textId="77777777" w:rsidR="00D91F70" w:rsidRPr="004A2946" w:rsidRDefault="00D91F70" w:rsidP="00D91F70">
      <w:pPr>
        <w:keepNext/>
        <w:keepLines/>
        <w:rPr>
          <w:caps/>
          <w:sz w:val="22"/>
          <w:szCs w:val="22"/>
        </w:rPr>
      </w:pPr>
      <w:r w:rsidRPr="004A2946">
        <w:rPr>
          <w:sz w:val="22"/>
          <w:szCs w:val="22"/>
        </w:rPr>
        <w:t>Česká republika</w:t>
      </w:r>
    </w:p>
    <w:p w14:paraId="195E07F9" w14:textId="4BB158DE" w:rsidR="00D91F70" w:rsidRPr="004A2946" w:rsidRDefault="00D91F70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6DAB1E81" w14:textId="77777777" w:rsidR="00D91F70" w:rsidRPr="004A2946" w:rsidRDefault="00D91F70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724107A7" w14:textId="52FDF8AC" w:rsidR="00A75283" w:rsidRPr="00CF4824" w:rsidRDefault="003B3FC4" w:rsidP="004A2946">
      <w:pPr>
        <w:pStyle w:val="Nadpis1"/>
        <w:tabs>
          <w:tab w:val="left" w:pos="709"/>
        </w:tabs>
        <w:spacing w:before="0" w:after="0"/>
        <w:rPr>
          <w:sz w:val="22"/>
          <w:szCs w:val="22"/>
        </w:rPr>
      </w:pPr>
      <w:bookmarkStart w:id="49" w:name="_ISIW_UH_38"/>
      <w:bookmarkEnd w:id="48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94003" w:rsidRPr="00CF4824">
        <w:rPr>
          <w:sz w:val="22"/>
          <w:szCs w:val="22"/>
        </w:rPr>
        <w:t xml:space="preserve">REGISTRAČNÉ ČÍSLO </w:t>
      </w:r>
    </w:p>
    <w:p w14:paraId="1062E215" w14:textId="3C880157" w:rsidR="00D91F70" w:rsidRDefault="00D91F70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2BAAFBB0" w14:textId="1282ED96" w:rsidR="00292B68" w:rsidRPr="004A2946" w:rsidRDefault="00292B68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292B68">
        <w:rPr>
          <w:sz w:val="22"/>
          <w:szCs w:val="22"/>
        </w:rPr>
        <w:t>76/0276/19-S</w:t>
      </w:r>
    </w:p>
    <w:p w14:paraId="110540F8" w14:textId="77777777" w:rsidR="00D91F70" w:rsidRDefault="00D91F70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43E13D01" w14:textId="77777777" w:rsidR="00292B68" w:rsidRPr="004A2946" w:rsidRDefault="00292B68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184DE075" w14:textId="273E026B" w:rsidR="00A75283" w:rsidRPr="00CF4824" w:rsidRDefault="003B3FC4" w:rsidP="004A2946">
      <w:pPr>
        <w:pStyle w:val="Nadpis1"/>
        <w:tabs>
          <w:tab w:val="left" w:pos="709"/>
        </w:tabs>
        <w:spacing w:before="0" w:after="0"/>
        <w:rPr>
          <w:sz w:val="22"/>
          <w:szCs w:val="22"/>
        </w:rPr>
      </w:pPr>
      <w:bookmarkStart w:id="50" w:name="_ISIW_UH_39"/>
      <w:bookmarkEnd w:id="49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75283" w:rsidRPr="00CF4824">
        <w:rPr>
          <w:sz w:val="22"/>
          <w:szCs w:val="22"/>
        </w:rPr>
        <w:t>DÁTUM PRVEJ REGISTRÁCIE/PREDĹŽENIA REGISTRÁCIE</w:t>
      </w:r>
    </w:p>
    <w:p w14:paraId="6FAD477E" w14:textId="77777777" w:rsidR="00D91F70" w:rsidRPr="00CF4824" w:rsidRDefault="00D91F70" w:rsidP="00D91F70">
      <w:pPr>
        <w:rPr>
          <w:sz w:val="22"/>
          <w:szCs w:val="22"/>
        </w:rPr>
      </w:pPr>
    </w:p>
    <w:p w14:paraId="6DF861DD" w14:textId="0D6D02CF" w:rsidR="00D91F70" w:rsidRPr="00CF4824" w:rsidRDefault="00D91F70" w:rsidP="00D91F70">
      <w:pPr>
        <w:rPr>
          <w:caps/>
          <w:sz w:val="22"/>
          <w:szCs w:val="22"/>
        </w:rPr>
      </w:pPr>
      <w:r w:rsidRPr="002F3A72">
        <w:rPr>
          <w:sz w:val="22"/>
          <w:szCs w:val="22"/>
        </w:rPr>
        <w:t xml:space="preserve">Dátum prvej registrácie: </w:t>
      </w:r>
      <w:r w:rsidR="00924BC1">
        <w:rPr>
          <w:sz w:val="22"/>
          <w:szCs w:val="22"/>
        </w:rPr>
        <w:t>18. januára 2019</w:t>
      </w:r>
    </w:p>
    <w:p w14:paraId="6CCF4070" w14:textId="44D31985" w:rsidR="00D91F70" w:rsidRPr="00CF4824" w:rsidRDefault="00D91F70" w:rsidP="00D91F70">
      <w:pPr>
        <w:rPr>
          <w:caps/>
          <w:sz w:val="22"/>
          <w:szCs w:val="22"/>
        </w:rPr>
      </w:pPr>
      <w:r w:rsidRPr="00CF4824">
        <w:rPr>
          <w:sz w:val="22"/>
          <w:szCs w:val="22"/>
        </w:rPr>
        <w:t xml:space="preserve">Dátum posledného predĺženia registrácie: </w:t>
      </w:r>
    </w:p>
    <w:p w14:paraId="65E7EAEB" w14:textId="77777777" w:rsidR="00D91F70" w:rsidRPr="00CF4824" w:rsidRDefault="00D91F70" w:rsidP="00D91F70">
      <w:pPr>
        <w:rPr>
          <w:caps/>
          <w:sz w:val="22"/>
          <w:szCs w:val="22"/>
        </w:rPr>
      </w:pPr>
    </w:p>
    <w:p w14:paraId="6F763162" w14:textId="77777777" w:rsidR="00D91F70" w:rsidRPr="00CF4824" w:rsidRDefault="00D91F70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0DE2A1FA" w14:textId="02131842" w:rsidR="00A75283" w:rsidRPr="00CF4824" w:rsidRDefault="003B3FC4" w:rsidP="004A2946">
      <w:pPr>
        <w:pStyle w:val="Nadpis1"/>
        <w:tabs>
          <w:tab w:val="left" w:pos="709"/>
        </w:tabs>
        <w:spacing w:before="0" w:after="0"/>
        <w:rPr>
          <w:sz w:val="22"/>
          <w:szCs w:val="22"/>
        </w:rPr>
      </w:pPr>
      <w:bookmarkStart w:id="51" w:name="_ISIW_UH_40"/>
      <w:bookmarkEnd w:id="50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A75283" w:rsidRPr="00CF4824">
        <w:rPr>
          <w:sz w:val="22"/>
          <w:szCs w:val="22"/>
        </w:rPr>
        <w:t>DÁTUM REVÍZIE TEXTU</w:t>
      </w:r>
    </w:p>
    <w:bookmarkEnd w:id="51"/>
    <w:p w14:paraId="45831E78" w14:textId="7186CCBE" w:rsidR="00A75283" w:rsidRDefault="00A75283" w:rsidP="00D91F70">
      <w:pPr>
        <w:pStyle w:val="Paragraph"/>
        <w:spacing w:before="0" w:after="0" w:line="240" w:lineRule="auto"/>
        <w:rPr>
          <w:noProof/>
          <w:sz w:val="22"/>
          <w:szCs w:val="22"/>
        </w:rPr>
      </w:pPr>
    </w:p>
    <w:p w14:paraId="5E1E8D61" w14:textId="64444679" w:rsidR="003B3FC4" w:rsidRPr="00CF4824" w:rsidRDefault="005528F2" w:rsidP="00D91F70">
      <w:pPr>
        <w:pStyle w:val="Paragraph"/>
        <w:spacing w:before="0" w:after="0" w:line="24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>01/2021</w:t>
      </w:r>
    </w:p>
    <w:sectPr w:rsidR="003B3FC4" w:rsidRPr="00CF4824" w:rsidSect="004A294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endnotePr>
        <w:numFmt w:val="decimal"/>
      </w:endnotePr>
      <w:pgSz w:w="11907" w:h="16839" w:code="9"/>
      <w:pgMar w:top="1134" w:right="1418" w:bottom="1134" w:left="1418" w:header="737" w:footer="73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BFD127" w14:textId="77777777" w:rsidR="006347C5" w:rsidRDefault="006347C5">
      <w:r>
        <w:separator/>
      </w:r>
    </w:p>
  </w:endnote>
  <w:endnote w:type="continuationSeparator" w:id="0">
    <w:p w14:paraId="04B606B4" w14:textId="77777777" w:rsidR="006347C5" w:rsidRDefault="006347C5">
      <w:r>
        <w:continuationSeparator/>
      </w:r>
    </w:p>
  </w:endnote>
  <w:endnote w:type="continuationNotice" w:id="1">
    <w:p w14:paraId="6DBA19D3" w14:textId="77777777" w:rsidR="006347C5" w:rsidRDefault="006347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E9E48A" w14:textId="77777777" w:rsidR="003A7423" w:rsidRDefault="003A7423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52" w:name="ISISiteFooterStd" w:displacedByCustomXml="next"/>
  <w:sdt>
    <w:sdtPr>
      <w:id w:val="-37986564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809F984" w14:textId="3C6F9E15" w:rsidR="00BC42E4" w:rsidRPr="009C0D8D" w:rsidRDefault="00BC42E4" w:rsidP="00424E03">
        <w:pPr>
          <w:pStyle w:val="Pta"/>
          <w:jc w:val="center"/>
        </w:pPr>
        <w:r w:rsidRPr="004A2946">
          <w:rPr>
            <w:sz w:val="18"/>
            <w:szCs w:val="18"/>
          </w:rPr>
          <w:fldChar w:fldCharType="begin"/>
        </w:r>
        <w:r w:rsidRPr="004A2946">
          <w:rPr>
            <w:sz w:val="18"/>
            <w:szCs w:val="18"/>
          </w:rPr>
          <w:instrText>PAGE   \* MERGEFORMAT</w:instrText>
        </w:r>
        <w:r w:rsidRPr="004A2946">
          <w:rPr>
            <w:sz w:val="18"/>
            <w:szCs w:val="18"/>
          </w:rPr>
          <w:fldChar w:fldCharType="separate"/>
        </w:r>
        <w:r w:rsidR="00424E03">
          <w:rPr>
            <w:noProof/>
            <w:sz w:val="18"/>
            <w:szCs w:val="18"/>
          </w:rPr>
          <w:t>17</w:t>
        </w:r>
        <w:r w:rsidRPr="004A2946">
          <w:rPr>
            <w:sz w:val="18"/>
            <w:szCs w:val="18"/>
          </w:rPr>
          <w:fldChar w:fldCharType="end"/>
        </w:r>
      </w:p>
    </w:sdtContent>
  </w:sdt>
  <w:bookmarkEnd w:id="52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A9A9A1" w14:textId="77777777" w:rsidR="00BC42E4" w:rsidRDefault="00BC42E4" w:rsidP="00462328">
    <w:pPr>
      <w:pStyle w:val="Pta"/>
      <w:pBdr>
        <w:top w:val="single" w:sz="4" w:space="1" w:color="auto"/>
      </w:pBdr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sz w:val="18"/>
      </w:rPr>
      <w:t>Dôverný dokument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81F15F" w14:textId="77777777" w:rsidR="006347C5" w:rsidRDefault="006347C5">
      <w:r>
        <w:separator/>
      </w:r>
    </w:p>
  </w:footnote>
  <w:footnote w:type="continuationSeparator" w:id="0">
    <w:p w14:paraId="5F7F9B09" w14:textId="77777777" w:rsidR="006347C5" w:rsidRDefault="006347C5">
      <w:r>
        <w:continuationSeparator/>
      </w:r>
    </w:p>
  </w:footnote>
  <w:footnote w:type="continuationNotice" w:id="1">
    <w:p w14:paraId="63AFB835" w14:textId="77777777" w:rsidR="006347C5" w:rsidRDefault="006347C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F0EC1C" w14:textId="77777777" w:rsidR="003A7423" w:rsidRDefault="003A7423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318CE8" w14:textId="2A5074BD" w:rsidR="00BC42E4" w:rsidRDefault="00BC42E4" w:rsidP="002E05C5">
    <w:pPr>
      <w:tabs>
        <w:tab w:val="center" w:pos="4320"/>
        <w:tab w:val="left" w:pos="4965"/>
      </w:tabs>
      <w:rPr>
        <w:rFonts w:eastAsia="Times New Roman"/>
        <w:sz w:val="18"/>
        <w:szCs w:val="18"/>
        <w:lang w:eastAsia="en-US" w:bidi="ar-SA"/>
      </w:rPr>
    </w:pPr>
    <w:r w:rsidRPr="002E05C5">
      <w:rPr>
        <w:rFonts w:eastAsia="Times New Roman"/>
        <w:sz w:val="18"/>
        <w:szCs w:val="18"/>
        <w:lang w:eastAsia="en-US" w:bidi="ar-SA"/>
      </w:rPr>
      <w:t>Schválený text k rozhodnutiu o </w:t>
    </w:r>
    <w:r w:rsidR="003A7423">
      <w:rPr>
        <w:rFonts w:eastAsia="Times New Roman"/>
        <w:sz w:val="18"/>
        <w:szCs w:val="18"/>
        <w:lang w:eastAsia="en-US" w:bidi="ar-SA"/>
      </w:rPr>
      <w:t>zmene</w:t>
    </w:r>
    <w:r w:rsidRPr="002E05C5">
      <w:rPr>
        <w:rFonts w:eastAsia="Times New Roman"/>
        <w:sz w:val="18"/>
        <w:szCs w:val="18"/>
        <w:lang w:eastAsia="en-US" w:bidi="ar-SA"/>
      </w:rPr>
      <w:t>, ev. č.:</w:t>
    </w:r>
    <w:r>
      <w:rPr>
        <w:rFonts w:eastAsia="Times New Roman"/>
        <w:sz w:val="18"/>
        <w:szCs w:val="18"/>
        <w:lang w:eastAsia="en-US" w:bidi="ar-SA"/>
      </w:rPr>
      <w:t xml:space="preserve"> </w:t>
    </w:r>
    <w:r w:rsidRPr="00D13417">
      <w:rPr>
        <w:rFonts w:eastAsia="Times New Roman"/>
        <w:sz w:val="18"/>
        <w:szCs w:val="18"/>
        <w:lang w:eastAsia="en-US" w:bidi="ar-SA"/>
      </w:rPr>
      <w:t>2019/05259-ZME</w:t>
    </w:r>
  </w:p>
  <w:p w14:paraId="551BBF99" w14:textId="6B9B35E6" w:rsidR="00BC42E4" w:rsidRPr="002E05C5" w:rsidRDefault="00BC42E4" w:rsidP="00424E03">
    <w:pPr>
      <w:tabs>
        <w:tab w:val="left" w:pos="851"/>
        <w:tab w:val="center" w:pos="4320"/>
        <w:tab w:val="left" w:pos="4965"/>
      </w:tabs>
      <w:rPr>
        <w:rFonts w:eastAsia="Times New Roman"/>
        <w:sz w:val="18"/>
        <w:szCs w:val="18"/>
        <w:lang w:eastAsia="en-US" w:bidi="ar-S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9D611A" w14:textId="0D0B2597" w:rsidR="00BC42E4" w:rsidRDefault="00BC42E4" w:rsidP="003A45B8">
    <w:pPr>
      <w:pStyle w:val="Hlavika"/>
      <w:tabs>
        <w:tab w:val="right" w:pos="9072"/>
      </w:tabs>
    </w:pPr>
    <w:proofErr w:type="spellStart"/>
    <w:r>
      <w:t>Olimel</w:t>
    </w:r>
    <w:proofErr w:type="spellEnd"/>
    <w:r>
      <w:t>/</w:t>
    </w:r>
    <w:proofErr w:type="spellStart"/>
    <w:r>
      <w:t>Periolimel</w:t>
    </w:r>
    <w:proofErr w:type="spellEnd"/>
    <w:r>
      <w:t xml:space="preserve"> - FR/H/0419/001-006/MR</w:t>
    </w:r>
    <w:r>
      <w:tab/>
    </w:r>
    <w:r>
      <w:tab/>
      <w:t xml:space="preserve">Strana </w:t>
    </w:r>
    <w:r>
      <w:fldChar w:fldCharType="begin"/>
    </w:r>
    <w:r w:rsidRPr="0050566D">
      <w:instrText xml:space="preserve"> PAGE </w:instrText>
    </w:r>
    <w:r>
      <w:fldChar w:fldCharType="separate"/>
    </w:r>
    <w:r>
      <w:rPr>
        <w:noProof/>
      </w:rPr>
      <w:t>4</w:t>
    </w:r>
    <w:r>
      <w:fldChar w:fldCharType="end"/>
    </w:r>
    <w:r>
      <w:t xml:space="preserve"> z </w:t>
    </w:r>
    <w:r>
      <w:rPr>
        <w:noProof/>
      </w:rPr>
      <w:fldChar w:fldCharType="begin"/>
    </w:r>
    <w:r>
      <w:rPr>
        <w:noProof/>
      </w:rPr>
      <w:instrText xml:space="preserve"> NUMPAGES  </w:instrText>
    </w:r>
    <w:r>
      <w:rPr>
        <w:noProof/>
      </w:rPr>
      <w:fldChar w:fldCharType="separate"/>
    </w:r>
    <w:r>
      <w:rPr>
        <w:noProof/>
      </w:rPr>
      <w:t>16</w:t>
    </w:r>
    <w:r>
      <w:rPr>
        <w:noProof/>
      </w:rPr>
      <w:fldChar w:fldCharType="end"/>
    </w:r>
  </w:p>
  <w:p w14:paraId="3CA32532" w14:textId="77777777" w:rsidR="00BC42E4" w:rsidRPr="00462328" w:rsidRDefault="00BC42E4" w:rsidP="00462328">
    <w:pPr>
      <w:pStyle w:val="Hlavika"/>
      <w:pBdr>
        <w:bottom w:val="single" w:sz="4" w:space="1" w:color="auto"/>
      </w:pBdr>
      <w:tabs>
        <w:tab w:val="right" w:pos="9072"/>
      </w:tabs>
    </w:pPr>
    <w:r>
      <w:t>Konsolidovaný štandardný súhrn charakteristických vlastností lieku</w:t>
    </w:r>
    <w:r>
      <w:tab/>
    </w:r>
    <w:r>
      <w:tab/>
    </w:r>
    <w:r>
      <w:rPr>
        <w:sz w:val="18"/>
      </w:rPr>
      <w:t>január 2014</w:t>
    </w:r>
  </w:p>
  <w:p w14:paraId="59D6C7A7" w14:textId="77777777" w:rsidR="00BC42E4" w:rsidRDefault="00BC42E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22458"/>
    <w:multiLevelType w:val="hybridMultilevel"/>
    <w:tmpl w:val="94086A72"/>
    <w:name w:val="BXAR52"/>
    <w:lvl w:ilvl="0" w:tplc="03760562">
      <w:start w:val="1"/>
      <w:numFmt w:val="decimal"/>
      <w:lvlText w:val="%1."/>
      <w:lvlJc w:val="left"/>
      <w:pPr>
        <w:tabs>
          <w:tab w:val="num" w:pos="1944"/>
        </w:tabs>
        <w:ind w:left="1944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7">
      <w:start w:val="1"/>
      <w:numFmt w:val="lowerLetter"/>
      <w:lvlText w:val="%3)"/>
      <w:lvlJc w:val="left"/>
      <w:pPr>
        <w:tabs>
          <w:tab w:val="num" w:pos="3564"/>
        </w:tabs>
        <w:ind w:left="3564" w:hanging="360"/>
      </w:pPr>
    </w:lvl>
    <w:lvl w:ilvl="3" w:tplc="8D568FFE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24"/>
        </w:tabs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44"/>
        </w:tabs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64"/>
        </w:tabs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84"/>
        </w:tabs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04"/>
        </w:tabs>
        <w:ind w:left="7704" w:hanging="180"/>
      </w:pPr>
    </w:lvl>
  </w:abstractNum>
  <w:abstractNum w:abstractNumId="1">
    <w:nsid w:val="04DF054B"/>
    <w:multiLevelType w:val="hybridMultilevel"/>
    <w:tmpl w:val="52BE9D2C"/>
    <w:lvl w:ilvl="0" w:tplc="33D267F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623F4"/>
    <w:multiLevelType w:val="singleLevel"/>
    <w:tmpl w:val="67CA28C0"/>
    <w:lvl w:ilvl="0">
      <w:start w:val="1"/>
      <w:numFmt w:val="lowerLetter"/>
      <w:lvlText w:val="%1"/>
      <w:lvlJc w:val="left"/>
      <w:pPr>
        <w:tabs>
          <w:tab w:val="num" w:pos="115"/>
        </w:tabs>
        <w:ind w:left="115" w:hanging="115"/>
      </w:pPr>
      <w:rPr>
        <w:rFonts w:ascii="Times New Roman" w:hAnsi="Times New Roman" w:cs="Times New Roman"/>
        <w:b w:val="0"/>
        <w:i w:val="0"/>
        <w:caps w:val="0"/>
        <w:sz w:val="20"/>
        <w:u w:val="none"/>
        <w:vertAlign w:val="superscript"/>
      </w:rPr>
    </w:lvl>
  </w:abstractNum>
  <w:abstractNum w:abstractNumId="3">
    <w:nsid w:val="09275BEC"/>
    <w:multiLevelType w:val="singleLevel"/>
    <w:tmpl w:val="9912AC80"/>
    <w:name w:val="WWln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4">
    <w:nsid w:val="09E84AB7"/>
    <w:multiLevelType w:val="singleLevel"/>
    <w:tmpl w:val="26FCE1E4"/>
    <w:name w:val="BXTFL"/>
    <w:lvl w:ilvl="0">
      <w:start w:val="1"/>
      <w:numFmt w:val="lowerLetter"/>
      <w:pStyle w:val="TableFootnoteLetter"/>
      <w:lvlText w:val="%1"/>
      <w:lvlJc w:val="left"/>
      <w:pPr>
        <w:tabs>
          <w:tab w:val="num" w:pos="115"/>
        </w:tabs>
        <w:ind w:left="115" w:hanging="115"/>
      </w:pPr>
      <w:rPr>
        <w:rFonts w:ascii="Times New Roman" w:hAnsi="Times New Roman" w:cs="Times New Roman"/>
        <w:sz w:val="20"/>
        <w:vertAlign w:val="superscript"/>
      </w:rPr>
    </w:lvl>
  </w:abstractNum>
  <w:abstractNum w:abstractNumId="5">
    <w:nsid w:val="0A422582"/>
    <w:multiLevelType w:val="singleLevel"/>
    <w:tmpl w:val="3AEE35D4"/>
    <w:name w:val="BXLB"/>
    <w:lvl w:ilvl="0">
      <w:start w:val="1"/>
      <w:numFmt w:val="bullet"/>
      <w:pStyle w:val="Zoznamsodrkami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2"/>
      </w:rPr>
    </w:lvl>
  </w:abstractNum>
  <w:abstractNum w:abstractNumId="6">
    <w:nsid w:val="0BD64BF2"/>
    <w:multiLevelType w:val="singleLevel"/>
    <w:tmpl w:val="8CEE0092"/>
    <w:name w:val="BXTF"/>
    <w:lvl w:ilvl="0">
      <w:start w:val="1"/>
      <w:numFmt w:val="decimal"/>
      <w:pStyle w:val="TableFootnote"/>
      <w:lvlText w:val="%1"/>
      <w:lvlJc w:val="left"/>
      <w:pPr>
        <w:tabs>
          <w:tab w:val="num" w:pos="115"/>
        </w:tabs>
        <w:ind w:left="115" w:hanging="115"/>
      </w:pPr>
      <w:rPr>
        <w:rFonts w:ascii="Times New Roman" w:hAnsi="Times New Roman" w:cs="Times New Roman"/>
        <w:sz w:val="20"/>
        <w:vertAlign w:val="superscript"/>
      </w:rPr>
    </w:lvl>
  </w:abstractNum>
  <w:abstractNum w:abstractNumId="7">
    <w:nsid w:val="0D45551E"/>
    <w:multiLevelType w:val="singleLevel"/>
    <w:tmpl w:val="0E2AA3F8"/>
    <w:name w:val="BXAP"/>
    <w:lvl w:ilvl="0">
      <w:start w:val="1"/>
      <w:numFmt w:val="decimal"/>
      <w:pStyle w:val="Appendix"/>
      <w:suff w:val="space"/>
      <w:lvlText w:val="Appendix 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4"/>
      </w:rPr>
    </w:lvl>
  </w:abstractNum>
  <w:abstractNum w:abstractNumId="8">
    <w:nsid w:val="10A81D59"/>
    <w:multiLevelType w:val="singleLevel"/>
    <w:tmpl w:val="6AE6694E"/>
    <w:name w:val="BXAR5"/>
    <w:lvl w:ilvl="0">
      <w:start w:val="1"/>
      <w:numFmt w:val="bullet"/>
      <w:lvlText w:val="►"/>
      <w:lvlJc w:val="left"/>
      <w:pPr>
        <w:tabs>
          <w:tab w:val="num" w:pos="1584"/>
        </w:tabs>
        <w:ind w:left="1584" w:hanging="360"/>
      </w:pPr>
      <w:rPr>
        <w:rFonts w:ascii="Times New Roman" w:hAnsi="Times New Roman" w:cs="Times New Roman"/>
        <w:sz w:val="24"/>
      </w:rPr>
    </w:lvl>
  </w:abstractNum>
  <w:abstractNum w:abstractNumId="9">
    <w:nsid w:val="12C53CC9"/>
    <w:multiLevelType w:val="singleLevel"/>
    <w:tmpl w:val="C338B01C"/>
    <w:name w:val="BXLL4"/>
    <w:lvl w:ilvl="0">
      <w:start w:val="1"/>
      <w:numFmt w:val="lowerLetter"/>
      <w:lvlText w:val="%1."/>
      <w:lvlJc w:val="left"/>
      <w:pPr>
        <w:tabs>
          <w:tab w:val="num" w:pos="1296"/>
        </w:tabs>
        <w:ind w:left="1296" w:hanging="288"/>
      </w:pPr>
      <w:rPr>
        <w:rFonts w:ascii="Times New Roman" w:hAnsi="Times New Roman" w:cs="Times New Roman"/>
        <w:sz w:val="24"/>
      </w:rPr>
    </w:lvl>
  </w:abstractNum>
  <w:abstractNum w:abstractNumId="10">
    <w:nsid w:val="14E95D6A"/>
    <w:multiLevelType w:val="multilevel"/>
    <w:tmpl w:val="E220680A"/>
    <w:lvl w:ilvl="0">
      <w:start w:val="1"/>
      <w:numFmt w:val="decimal"/>
      <w:pStyle w:val="Nadpis1"/>
      <w:suff w:val="space"/>
      <w:lvlText w:val="%1."/>
      <w:lvlJc w:val="left"/>
      <w:pPr>
        <w:tabs>
          <w:tab w:val="num" w:pos="0"/>
        </w:tabs>
        <w:ind w:left="288" w:hanging="288"/>
      </w:pPr>
      <w:rPr>
        <w:rFonts w:ascii="Times New Roman" w:hAnsi="Times New Roman" w:cs="Times New Roman"/>
        <w:b/>
        <w:sz w:val="22"/>
        <w:szCs w:val="22"/>
      </w:rPr>
    </w:lvl>
    <w:lvl w:ilvl="1">
      <w:start w:val="1"/>
      <w:numFmt w:val="decimal"/>
      <w:pStyle w:val="Nadpis2"/>
      <w:suff w:val="space"/>
      <w:lvlText w:val="%1.%2"/>
      <w:lvlJc w:val="left"/>
      <w:pPr>
        <w:tabs>
          <w:tab w:val="num" w:pos="0"/>
        </w:tabs>
        <w:ind w:left="460" w:hanging="460"/>
      </w:pPr>
      <w:rPr>
        <w:rFonts w:ascii="Times New Roman" w:hAnsi="Times New Roman" w:cs="Times New Roman"/>
        <w:b/>
        <w:sz w:val="22"/>
        <w:szCs w:val="22"/>
      </w:rPr>
    </w:lvl>
    <w:lvl w:ilvl="2">
      <w:start w:val="1"/>
      <w:numFmt w:val="decimal"/>
      <w:pStyle w:val="Nadpis3"/>
      <w:suff w:val="space"/>
      <w:lvlText w:val="%1.%2.%3"/>
      <w:lvlJc w:val="left"/>
      <w:pPr>
        <w:tabs>
          <w:tab w:val="num" w:pos="0"/>
        </w:tabs>
        <w:ind w:left="680" w:hanging="680"/>
      </w:pPr>
      <w:rPr>
        <w:rFonts w:ascii="Times New Roman" w:hAnsi="Times New Roman" w:cs="Times New Roman"/>
        <w:b/>
        <w:sz w:val="24"/>
      </w:rPr>
    </w:lvl>
    <w:lvl w:ilvl="3">
      <w:start w:val="1"/>
      <w:numFmt w:val="decimal"/>
      <w:pStyle w:val="Nadpis4"/>
      <w:suff w:val="space"/>
      <w:lvlText w:val="%1.%2.%3.%4"/>
      <w:lvlJc w:val="left"/>
      <w:pPr>
        <w:tabs>
          <w:tab w:val="num" w:pos="0"/>
        </w:tabs>
        <w:ind w:left="840" w:hanging="840"/>
      </w:pPr>
      <w:rPr>
        <w:rFonts w:ascii="Times New Roman" w:hAnsi="Times New Roman" w:cs="Times New Roman"/>
        <w:b/>
        <w:sz w:val="24"/>
      </w:rPr>
    </w:lvl>
    <w:lvl w:ilvl="4">
      <w:start w:val="1"/>
      <w:numFmt w:val="decimal"/>
      <w:pStyle w:val="Nadpis5"/>
      <w:suff w:val="space"/>
      <w:lvlText w:val="%1.%2.%3.%4.%5"/>
      <w:lvlJc w:val="left"/>
      <w:pPr>
        <w:tabs>
          <w:tab w:val="num" w:pos="0"/>
        </w:tabs>
        <w:ind w:left="1020" w:hanging="1020"/>
      </w:pPr>
      <w:rPr>
        <w:rFonts w:ascii="Times New Roman" w:hAnsi="Times New Roman" w:cs="Times New Roman"/>
        <w:b/>
        <w:sz w:val="24"/>
      </w:rPr>
    </w:lvl>
    <w:lvl w:ilvl="5">
      <w:start w:val="1"/>
      <w:numFmt w:val="decimal"/>
      <w:pStyle w:val="Nadpis6"/>
      <w:suff w:val="space"/>
      <w:lvlText w:val="%1.%2.%3.%4.%5.%6"/>
      <w:lvlJc w:val="left"/>
      <w:pPr>
        <w:tabs>
          <w:tab w:val="num" w:pos="0"/>
        </w:tabs>
        <w:ind w:left="1140" w:hanging="1140"/>
      </w:pPr>
      <w:rPr>
        <w:rFonts w:ascii="Times New Roman" w:hAnsi="Times New Roman" w:cs="Times New Roman"/>
        <w:b/>
        <w:sz w:val="24"/>
      </w:rPr>
    </w:lvl>
    <w:lvl w:ilvl="6">
      <w:start w:val="1"/>
      <w:numFmt w:val="decimal"/>
      <w:pStyle w:val="Nadpis7"/>
      <w:suff w:val="space"/>
      <w:lvlText w:val="%1.%2.%3.%4.%5.%6.%7"/>
      <w:lvlJc w:val="left"/>
      <w:pPr>
        <w:tabs>
          <w:tab w:val="num" w:pos="0"/>
        </w:tabs>
        <w:ind w:left="1320" w:hanging="1320"/>
      </w:pPr>
      <w:rPr>
        <w:rFonts w:ascii="Times New Roman" w:hAnsi="Times New Roman" w:cs="Times New Roman"/>
        <w:b w:val="0"/>
        <w:sz w:val="24"/>
      </w:rPr>
    </w:lvl>
    <w:lvl w:ilvl="7">
      <w:start w:val="1"/>
      <w:numFmt w:val="decimal"/>
      <w:pStyle w:val="Nadpis8"/>
      <w:suff w:val="space"/>
      <w:lvlText w:val="%1.%2.%3.%4.%5.%6.%7.%8"/>
      <w:lvlJc w:val="left"/>
      <w:pPr>
        <w:tabs>
          <w:tab w:val="num" w:pos="0"/>
        </w:tabs>
        <w:ind w:left="1520" w:hanging="1520"/>
      </w:pPr>
      <w:rPr>
        <w:rFonts w:ascii="Times New Roman" w:hAnsi="Times New Roman" w:cs="Times New Roman"/>
        <w:b w:val="0"/>
        <w:sz w:val="24"/>
      </w:rPr>
    </w:lvl>
    <w:lvl w:ilvl="8">
      <w:start w:val="1"/>
      <w:numFmt w:val="decimal"/>
      <w:pStyle w:val="Nadpis9"/>
      <w:suff w:val="space"/>
      <w:lvlText w:val="%1.%2.%3.%4.%5.%6.%7.%8.%9"/>
      <w:lvlJc w:val="left"/>
      <w:pPr>
        <w:tabs>
          <w:tab w:val="num" w:pos="0"/>
        </w:tabs>
        <w:ind w:left="1660" w:hanging="1660"/>
      </w:pPr>
      <w:rPr>
        <w:rFonts w:ascii="Times New Roman" w:hAnsi="Times New Roman" w:cs="Times New Roman"/>
        <w:b w:val="0"/>
        <w:sz w:val="24"/>
      </w:rPr>
    </w:lvl>
  </w:abstractNum>
  <w:abstractNum w:abstractNumId="11">
    <w:nsid w:val="1619636A"/>
    <w:multiLevelType w:val="singleLevel"/>
    <w:tmpl w:val="F9A03268"/>
    <w:name w:val="BXLN2"/>
    <w:lvl w:ilvl="0">
      <w:start w:val="1"/>
      <w:numFmt w:val="decimal"/>
      <w:pStyle w:val="slovanzoznam2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</w:rPr>
    </w:lvl>
  </w:abstractNum>
  <w:abstractNum w:abstractNumId="12">
    <w:nsid w:val="16C71795"/>
    <w:multiLevelType w:val="singleLevel"/>
    <w:tmpl w:val="5D0E60D2"/>
    <w:name w:val="BXLB3"/>
    <w:lvl w:ilvl="0">
      <w:start w:val="1"/>
      <w:numFmt w:val="bullet"/>
      <w:pStyle w:val="Zoznamsodrkami3"/>
      <w:lvlText w:val="◦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32"/>
      </w:rPr>
    </w:lvl>
  </w:abstractNum>
  <w:abstractNum w:abstractNumId="13">
    <w:nsid w:val="1A3A58D4"/>
    <w:multiLevelType w:val="singleLevel"/>
    <w:tmpl w:val="4C4C86F2"/>
    <w:name w:val="BXAR3"/>
    <w:lvl w:ilvl="0">
      <w:start w:val="1"/>
      <w:numFmt w:val="bullet"/>
      <w:pStyle w:val="ListArrow3"/>
      <w:lvlText w:val="▶"/>
      <w:lvlJc w:val="left"/>
      <w:pPr>
        <w:tabs>
          <w:tab w:val="num" w:pos="1440"/>
        </w:tabs>
        <w:ind w:left="1440" w:hanging="360"/>
      </w:pPr>
      <w:rPr>
        <w:rFonts w:ascii="Arial Unicode MS" w:eastAsia="Arial Unicode MS" w:hAnsi="Arial Unicode MS" w:cs="Arial Unicode MS" w:hint="eastAsia"/>
        <w:sz w:val="24"/>
      </w:rPr>
    </w:lvl>
  </w:abstractNum>
  <w:abstractNum w:abstractNumId="14">
    <w:nsid w:val="1DEB7390"/>
    <w:multiLevelType w:val="singleLevel"/>
    <w:tmpl w:val="DBA63290"/>
    <w:name w:val="BXLR2"/>
    <w:lvl w:ilvl="0">
      <w:start w:val="1"/>
      <w:numFmt w:val="bullet"/>
      <w:pStyle w:val="ListCircle2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32"/>
      </w:rPr>
    </w:lvl>
  </w:abstractNum>
  <w:abstractNum w:abstractNumId="15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6">
    <w:nsid w:val="29ED2E37"/>
    <w:multiLevelType w:val="singleLevel"/>
    <w:tmpl w:val="9D041348"/>
    <w:name w:val="BXRE"/>
    <w:lvl w:ilvl="0">
      <w:start w:val="1"/>
      <w:numFmt w:val="decimal"/>
      <w:pStyle w:val="References"/>
      <w:lvlText w:val="%1.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sz w:val="24"/>
      </w:rPr>
    </w:lvl>
  </w:abstractNum>
  <w:abstractNum w:abstractNumId="17">
    <w:nsid w:val="2A7F000A"/>
    <w:multiLevelType w:val="singleLevel"/>
    <w:tmpl w:val="25440286"/>
    <w:name w:val="BXLN"/>
    <w:lvl w:ilvl="0">
      <w:start w:val="1"/>
      <w:numFmt w:val="decimal"/>
      <w:pStyle w:val="slovanzoznam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</w:rPr>
    </w:lvl>
  </w:abstractNum>
  <w:abstractNum w:abstractNumId="18">
    <w:nsid w:val="30434484"/>
    <w:multiLevelType w:val="singleLevel"/>
    <w:tmpl w:val="7BB443E2"/>
    <w:name w:val="BXLR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caps w:val="0"/>
        <w:sz w:val="32"/>
        <w:u w:val="none"/>
        <w:vertAlign w:val="baseline"/>
      </w:rPr>
    </w:lvl>
  </w:abstractNum>
  <w:abstractNum w:abstractNumId="19">
    <w:nsid w:val="38EF59A3"/>
    <w:multiLevelType w:val="singleLevel"/>
    <w:tmpl w:val="E76CCF98"/>
    <w:name w:val="BXLB2"/>
    <w:lvl w:ilvl="0">
      <w:start w:val="1"/>
      <w:numFmt w:val="bullet"/>
      <w:pStyle w:val="Zoznamsodrkami2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</w:rPr>
    </w:lvl>
  </w:abstractNum>
  <w:abstractNum w:abstractNumId="20">
    <w:nsid w:val="39A82B74"/>
    <w:multiLevelType w:val="singleLevel"/>
    <w:tmpl w:val="30440518"/>
    <w:name w:val="BXAR2"/>
    <w:lvl w:ilvl="0">
      <w:start w:val="1"/>
      <w:numFmt w:val="bullet"/>
      <w:pStyle w:val="ListArrow2"/>
      <w:lvlText w:val="▶"/>
      <w:lvlJc w:val="left"/>
      <w:pPr>
        <w:tabs>
          <w:tab w:val="num" w:pos="1080"/>
        </w:tabs>
        <w:ind w:left="1080" w:hanging="360"/>
      </w:pPr>
      <w:rPr>
        <w:rFonts w:ascii="Arial Unicode MS" w:eastAsia="Arial Unicode MS" w:hAnsi="Arial Unicode MS" w:cs="Arial Unicode MS" w:hint="eastAsia"/>
        <w:sz w:val="24"/>
      </w:rPr>
    </w:lvl>
  </w:abstractNum>
  <w:abstractNum w:abstractNumId="21">
    <w:nsid w:val="3C8465CA"/>
    <w:multiLevelType w:val="singleLevel"/>
    <w:tmpl w:val="DE6EA6C6"/>
    <w:name w:val="BXLL"/>
    <w:lvl w:ilvl="0">
      <w:start w:val="1"/>
      <w:numFmt w:val="lowerLetter"/>
      <w:pStyle w:val="List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</w:rPr>
    </w:lvl>
  </w:abstractNum>
  <w:abstractNum w:abstractNumId="22">
    <w:nsid w:val="442178E2"/>
    <w:multiLevelType w:val="singleLevel"/>
    <w:tmpl w:val="074C3C10"/>
    <w:name w:val="BXAR4"/>
    <w:lvl w:ilvl="0">
      <w:start w:val="1"/>
      <w:numFmt w:val="bullet"/>
      <w:lvlText w:val="►"/>
      <w:lvlJc w:val="left"/>
      <w:pPr>
        <w:tabs>
          <w:tab w:val="num" w:pos="1296"/>
        </w:tabs>
        <w:ind w:left="1296" w:hanging="360"/>
      </w:pPr>
      <w:rPr>
        <w:rFonts w:ascii="Times New Roman" w:hAnsi="Times New Roman" w:cs="Times New Roman"/>
        <w:sz w:val="24"/>
      </w:rPr>
    </w:lvl>
  </w:abstractNum>
  <w:abstractNum w:abstractNumId="23">
    <w:nsid w:val="51EC01C4"/>
    <w:multiLevelType w:val="singleLevel"/>
    <w:tmpl w:val="ABDE1942"/>
    <w:name w:val="BXLR3"/>
    <w:lvl w:ilvl="0">
      <w:start w:val="1"/>
      <w:numFmt w:val="bullet"/>
      <w:pStyle w:val="ListCircle3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32"/>
      </w:rPr>
    </w:lvl>
  </w:abstractNum>
  <w:abstractNum w:abstractNumId="24">
    <w:nsid w:val="5221024B"/>
    <w:multiLevelType w:val="singleLevel"/>
    <w:tmpl w:val="06262696"/>
    <w:name w:val="Wwll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25">
    <w:nsid w:val="54D408A5"/>
    <w:multiLevelType w:val="singleLevel"/>
    <w:tmpl w:val="F7A412B4"/>
    <w:name w:val="BXLB4"/>
    <w:lvl w:ilvl="0">
      <w:start w:val="1"/>
      <w:numFmt w:val="bullet"/>
      <w:lvlText w:val="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sz w:val="24"/>
      </w:rPr>
    </w:lvl>
  </w:abstractNum>
  <w:abstractNum w:abstractNumId="26">
    <w:nsid w:val="564B3DA2"/>
    <w:multiLevelType w:val="singleLevel"/>
    <w:tmpl w:val="8BAA94B4"/>
    <w:name w:val="BXLL3"/>
    <w:lvl w:ilvl="0">
      <w:start w:val="1"/>
      <w:numFmt w:val="lowerLetter"/>
      <w:pStyle w:val="ListLetter3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</w:rPr>
    </w:lvl>
  </w:abstractNum>
  <w:abstractNum w:abstractNumId="27">
    <w:nsid w:val="58917A0B"/>
    <w:multiLevelType w:val="singleLevel"/>
    <w:tmpl w:val="C01A1548"/>
    <w:name w:val="BXLL5"/>
    <w:lvl w:ilvl="0">
      <w:start w:val="1"/>
      <w:numFmt w:val="lowerLetter"/>
      <w:lvlText w:val="%1."/>
      <w:lvlJc w:val="left"/>
      <w:pPr>
        <w:tabs>
          <w:tab w:val="num" w:pos="1584"/>
        </w:tabs>
        <w:ind w:left="1584" w:hanging="288"/>
      </w:pPr>
      <w:rPr>
        <w:rFonts w:ascii="Times New Roman" w:hAnsi="Times New Roman" w:cs="Times New Roman"/>
        <w:sz w:val="24"/>
      </w:rPr>
    </w:lvl>
  </w:abstractNum>
  <w:abstractNum w:abstractNumId="28">
    <w:nsid w:val="59DD4D74"/>
    <w:multiLevelType w:val="singleLevel"/>
    <w:tmpl w:val="63C29114"/>
    <w:name w:val="BXLL2"/>
    <w:lvl w:ilvl="0">
      <w:start w:val="1"/>
      <w:numFmt w:val="lowerLetter"/>
      <w:pStyle w:val="ListLetter2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</w:rPr>
    </w:lvl>
  </w:abstractNum>
  <w:abstractNum w:abstractNumId="29">
    <w:nsid w:val="64055D4D"/>
    <w:multiLevelType w:val="singleLevel"/>
    <w:tmpl w:val="EFD43370"/>
    <w:name w:val="Wwll3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30">
    <w:nsid w:val="65F7028F"/>
    <w:multiLevelType w:val="singleLevel"/>
    <w:tmpl w:val="44887BF8"/>
    <w:name w:val="BXLB5"/>
    <w:lvl w:ilvl="0">
      <w:start w:val="1"/>
      <w:numFmt w:val="bullet"/>
      <w:lvlText w:val="·"/>
      <w:lvlJc w:val="left"/>
      <w:pPr>
        <w:tabs>
          <w:tab w:val="num" w:pos="1584"/>
        </w:tabs>
        <w:ind w:left="1584" w:hanging="360"/>
      </w:pPr>
      <w:rPr>
        <w:rFonts w:ascii="Symbol" w:hAnsi="Symbol" w:hint="default"/>
        <w:sz w:val="24"/>
      </w:rPr>
    </w:lvl>
  </w:abstractNum>
  <w:abstractNum w:abstractNumId="31">
    <w:nsid w:val="66DA05CF"/>
    <w:multiLevelType w:val="singleLevel"/>
    <w:tmpl w:val="2D604802"/>
    <w:name w:val="BXTLB"/>
    <w:lvl w:ilvl="0">
      <w:start w:val="1"/>
      <w:numFmt w:val="bullet"/>
      <w:pStyle w:val="TableListBullet"/>
      <w:lvlText w:val="•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/>
        <w:sz w:val="28"/>
      </w:rPr>
    </w:lvl>
  </w:abstractNum>
  <w:abstractNum w:abstractNumId="32">
    <w:nsid w:val="671C5E70"/>
    <w:multiLevelType w:val="singleLevel"/>
    <w:tmpl w:val="ADA63982"/>
    <w:name w:val="BXLR1"/>
    <w:lvl w:ilvl="0">
      <w:start w:val="1"/>
      <w:numFmt w:val="bullet"/>
      <w:pStyle w:val="ListCircle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32"/>
      </w:rPr>
    </w:lvl>
  </w:abstractNum>
  <w:abstractNum w:abstractNumId="33">
    <w:nsid w:val="68461DAA"/>
    <w:multiLevelType w:val="singleLevel"/>
    <w:tmpl w:val="67884BB8"/>
    <w:name w:val="BXLN5"/>
    <w:lvl w:ilvl="0">
      <w:start w:val="1"/>
      <w:numFmt w:val="decimal"/>
      <w:lvlText w:val="%1."/>
      <w:lvlJc w:val="left"/>
      <w:pPr>
        <w:tabs>
          <w:tab w:val="num" w:pos="1584"/>
        </w:tabs>
        <w:ind w:left="1584" w:hanging="288"/>
      </w:pPr>
      <w:rPr>
        <w:rFonts w:ascii="Times New Roman" w:hAnsi="Times New Roman" w:cs="Times New Roman"/>
        <w:sz w:val="24"/>
      </w:rPr>
    </w:lvl>
  </w:abstractNum>
  <w:abstractNum w:abstractNumId="34">
    <w:nsid w:val="6A2023CD"/>
    <w:multiLevelType w:val="singleLevel"/>
    <w:tmpl w:val="E612EB08"/>
    <w:name w:val="BXAR1"/>
    <w:lvl w:ilvl="0">
      <w:start w:val="1"/>
      <w:numFmt w:val="bullet"/>
      <w:pStyle w:val="ListArrow1"/>
      <w:lvlText w:val="▶"/>
      <w:lvlJc w:val="left"/>
      <w:pPr>
        <w:tabs>
          <w:tab w:val="num" w:pos="720"/>
        </w:tabs>
        <w:ind w:left="720" w:hanging="360"/>
      </w:pPr>
      <w:rPr>
        <w:rFonts w:ascii="Arial Unicode MS" w:eastAsia="Arial Unicode MS" w:hAnsi="Arial Unicode MS" w:cs="Arial Unicode MS" w:hint="eastAsia"/>
        <w:sz w:val="24"/>
      </w:rPr>
    </w:lvl>
  </w:abstractNum>
  <w:abstractNum w:abstractNumId="35">
    <w:nsid w:val="6AE35F65"/>
    <w:multiLevelType w:val="singleLevel"/>
    <w:tmpl w:val="67FA452C"/>
    <w:name w:val="BXTLL"/>
    <w:lvl w:ilvl="0">
      <w:start w:val="1"/>
      <w:numFmt w:val="lowerLetter"/>
      <w:pStyle w:val="TableListLetter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/>
        <w:sz w:val="20"/>
      </w:rPr>
    </w:lvl>
  </w:abstractNum>
  <w:abstractNum w:abstractNumId="36">
    <w:nsid w:val="6AF340B2"/>
    <w:multiLevelType w:val="singleLevel"/>
    <w:tmpl w:val="CF68857E"/>
    <w:name w:val="WWln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37">
    <w:nsid w:val="6E0C08C6"/>
    <w:multiLevelType w:val="singleLevel"/>
    <w:tmpl w:val="FD7AD3CC"/>
    <w:name w:val="BXLN3"/>
    <w:lvl w:ilvl="0">
      <w:start w:val="1"/>
      <w:numFmt w:val="decimal"/>
      <w:pStyle w:val="slovanzoznam3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</w:rPr>
    </w:lvl>
  </w:abstractNum>
  <w:abstractNum w:abstractNumId="38">
    <w:nsid w:val="7348522D"/>
    <w:multiLevelType w:val="singleLevel"/>
    <w:tmpl w:val="323EFC44"/>
    <w:name w:val="BXLN4"/>
    <w:lvl w:ilvl="0">
      <w:start w:val="1"/>
      <w:numFmt w:val="decimal"/>
      <w:lvlText w:val="%1."/>
      <w:lvlJc w:val="left"/>
      <w:pPr>
        <w:tabs>
          <w:tab w:val="num" w:pos="1296"/>
        </w:tabs>
        <w:ind w:left="1296" w:hanging="288"/>
      </w:pPr>
      <w:rPr>
        <w:rFonts w:ascii="Times New Roman" w:hAnsi="Times New Roman" w:cs="Times New Roman" w:hint="default"/>
        <w:sz w:val="24"/>
      </w:rPr>
    </w:lvl>
  </w:abstractNum>
  <w:abstractNum w:abstractNumId="39">
    <w:nsid w:val="76AB606A"/>
    <w:multiLevelType w:val="singleLevel"/>
    <w:tmpl w:val="BD504D60"/>
    <w:name w:val="WWtfl"/>
    <w:lvl w:ilvl="0">
      <w:start w:val="1"/>
      <w:numFmt w:val="lowerLetter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z w:val="20"/>
        <w:u w:val="none"/>
        <w:vertAlign w:val="superscript"/>
      </w:rPr>
    </w:lvl>
  </w:abstractNum>
  <w:abstractNum w:abstractNumId="40">
    <w:nsid w:val="7FCF0FB8"/>
    <w:multiLevelType w:val="singleLevel"/>
    <w:tmpl w:val="DAEE944E"/>
    <w:name w:val="BXTLN"/>
    <w:lvl w:ilvl="0">
      <w:start w:val="1"/>
      <w:numFmt w:val="decimal"/>
      <w:pStyle w:val="TableListNumber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/>
        <w:sz w:val="20"/>
      </w:rPr>
    </w:lvl>
  </w:abstractNum>
  <w:num w:numId="1">
    <w:abstractNumId w:val="15"/>
  </w:num>
  <w:num w:numId="2">
    <w:abstractNumId w:val="7"/>
  </w:num>
  <w:num w:numId="3">
    <w:abstractNumId w:val="16"/>
  </w:num>
  <w:num w:numId="4">
    <w:abstractNumId w:val="6"/>
  </w:num>
  <w:num w:numId="5">
    <w:abstractNumId w:val="19"/>
  </w:num>
  <w:num w:numId="6">
    <w:abstractNumId w:val="20"/>
  </w:num>
  <w:num w:numId="7">
    <w:abstractNumId w:val="12"/>
  </w:num>
  <w:num w:numId="8">
    <w:abstractNumId w:val="13"/>
  </w:num>
  <w:num w:numId="9">
    <w:abstractNumId w:val="17"/>
  </w:num>
  <w:num w:numId="10">
    <w:abstractNumId w:val="34"/>
  </w:num>
  <w:num w:numId="11">
    <w:abstractNumId w:val="21"/>
  </w:num>
  <w:num w:numId="12">
    <w:abstractNumId w:val="10"/>
  </w:num>
  <w:num w:numId="13">
    <w:abstractNumId w:val="5"/>
  </w:num>
  <w:num w:numId="14">
    <w:abstractNumId w:val="4"/>
  </w:num>
  <w:num w:numId="15">
    <w:abstractNumId w:val="11"/>
  </w:num>
  <w:num w:numId="16">
    <w:abstractNumId w:val="37"/>
  </w:num>
  <w:num w:numId="17">
    <w:abstractNumId w:val="28"/>
  </w:num>
  <w:num w:numId="18">
    <w:abstractNumId w:val="26"/>
  </w:num>
  <w:num w:numId="19">
    <w:abstractNumId w:val="14"/>
  </w:num>
  <w:num w:numId="20">
    <w:abstractNumId w:val="23"/>
  </w:num>
  <w:num w:numId="21">
    <w:abstractNumId w:val="40"/>
  </w:num>
  <w:num w:numId="22">
    <w:abstractNumId w:val="35"/>
  </w:num>
  <w:num w:numId="23">
    <w:abstractNumId w:val="31"/>
  </w:num>
  <w:num w:numId="24">
    <w:abstractNumId w:val="32"/>
  </w:num>
  <w:num w:numId="25">
    <w:abstractNumId w:val="4"/>
    <w:lvlOverride w:ilvl="0">
      <w:startOverride w:val="1"/>
    </w:lvlOverride>
  </w:num>
  <w:num w:numId="26">
    <w:abstractNumId w:val="4"/>
    <w:lvlOverride w:ilvl="0">
      <w:startOverride w:val="1"/>
    </w:lvlOverride>
  </w:num>
  <w:num w:numId="27">
    <w:abstractNumId w:val="4"/>
    <w:lvlOverride w:ilvl="0">
      <w:startOverride w:val="1"/>
    </w:lvlOverride>
  </w:num>
  <w:num w:numId="28">
    <w:abstractNumId w:val="4"/>
    <w:lvlOverride w:ilvl="0">
      <w:startOverride w:val="1"/>
    </w:lvlOverride>
  </w:num>
  <w:num w:numId="29">
    <w:abstractNumId w:val="4"/>
    <w:lvlOverride w:ilvl="0">
      <w:startOverride w:val="1"/>
    </w:lvlOverride>
  </w:num>
  <w:num w:numId="30">
    <w:abstractNumId w:val="2"/>
  </w:num>
  <w:num w:numId="31">
    <w:abstractNumId w:val="1"/>
  </w:num>
  <w:num w:numId="32">
    <w:abstractNumId w:val="19"/>
  </w:num>
  <w:numIdMacAtCleanup w:val="2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ajicek, Stanislav">
    <w15:presenceInfo w15:providerId="AD" w15:userId="S::stanislav_vajicek@baxter.com::aef58249-781e-4c32-b1ae-3173c10b7f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proofState w:spelling="clean" w:grammar="clean"/>
  <w:attachedTemplate r:id="rId1"/>
  <w:trackRevisions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ppendixPageHiding" w:val="0"/>
    <w:docVar w:name="CaptionContinued" w:val="(continued)"/>
    <w:docVar w:name="CaptionIndent" w:val="0"/>
    <w:docVar w:name="CaptionNumberMethod" w:val="1"/>
    <w:docVar w:name="CaptionSeparator" w:val="0"/>
    <w:docVar w:name="CaptionStyle" w:val="0"/>
    <w:docVar w:name="CaptionWithSpaceAndTab" w:val="True"/>
    <w:docVar w:name="CitationStyle" w:val="1"/>
    <w:docVar w:name="ContentTemplateDate" w:val="23/10/2017"/>
    <w:docVar w:name="CurrentVersion" w:val="3.0"/>
    <w:docVar w:name="CustomBullet" w:val="CustomType-Bullet|StyleName-List Arrow 1|SchemaID-3|Code-BX|Suffix-AR1|NumberStyle-23|IndentValue--1|ParaStyleName-List Arrow 1|IsSuperscripted-False|BulletCharacter-9654|FontName-Arial Unicode MS|FontSize-|;CustomType-Bullet|StyleName-List Arrow 2|SchemaID-3|Code-BX|Suffix-AR2|NumberStyle-23|IndentValue--1|ParaStyleName-List Arrow 2|IsSuperscripted-False|BulletCharacter-9654|FontName-Arial Unicode MS|FontSize-|;CustomType-Bullet|StyleName-List Arrow 3|SchemaID-3|Code-BX|Suffix-AR3|NumberStyle-23|IndentValue--1|ParaStyleName-List Arrow 3|IsSuperscripted-False|BulletCharacter-9654|FontName-Arial Unicode MS|FontSize-|;CustomType-Bullet|StyleName-List Bullet|SchemaID-3|Code-BX|Suffix-LB|NumberStyle-23|IndentValue-0|ParaStyleName--49|IsSuperscripted-False|BulletCharacter-8226|FontName-Times New Roman|FontSize-16|;CustomType-Bullet|StyleName-List Bullet 2|SchemaID-3|Code-BX|Suffix-LB2|NumberStyle-23|IndentValue-0|ParaStyleName--55|IsSuperscripted-False|BulletCharacter-45|FontName-|FontSize-|;CustomType-Bullet|StyleName-List Bullet 3|SchemaID-3|Code-BX|Suffix-LB3|NumberStyle-23|IndentValue-0|ParaStyleName--56|IsSuperscripted-False|BulletCharacter-9702|FontName-|FontSize-16|;CustomType-Bullet|StyleName-List Circle|SchemaID-3|Code-BX|Suffix-LR|NumberStyle-23|IndentValue--1|ParaStyleName-List Circle|IsSuperscripted-False|BulletCharacter-8226|FontName-|FontSize-16|;CustomType-Bullet|StyleName-List Circle 2|SchemaID-3|Code-BX|Suffix-LR2|NumberStyle-23|IndentValue--1|ParaStyleName-List Circle 2|IsSuperscripted-False|BulletCharacter-8226|FontName-|FontSize-16|;CustomType-Bullet|StyleName-List Circle 3|SchemaID-3|Code-BX|Suffix-LR3|NumberStyle-23|IndentValue--1|ParaStyleName-List Circle 3|IsSuperscripted-False|BulletCharacter-8226|FontName-|FontSize-16|;CustomType-Bullet|StyleName-Table List Bullet|SchemaID-3|Code-BX|Suffix-TLB|NumberStyle-23|IndentValue--1|ParaStyleName-Table List Bullet|IsSuperscripted-False|BulletCharacter-8226|FontName-|FontSize-14|;"/>
    <w:docVar w:name="CustomListTemplate" w:val="Baxter"/>
    <w:docVar w:name="CustomNumber" w:val="CustomType-Number|StyleName-Appendix|SchemaID-3|Code-BX|Suffix-AP|NumberStyle-0|IndentValue-0|ParaStyleName-Appendix|PictureString-1, 2, 3|CustomFormat-Appendix %1|Separator-1|Superscript-False|NumberPosition-Left|SingleNumbered-1|;CustomType-Number|StyleName-List Letter|SchemaID-3|Code-BX|Suffix-LL|NumberStyle-4|IndentValue-0|ParaStyleName-List Letter|PictureString-a, b, c|CustomFormat-%1.|Separator-0|Superscript-False|NumberPosition-Left|SingleNumbered-0|;CustomType-Number|StyleName-List Letter 2|SchemaID-3|Code-BX|Suffix-LL2|NumberStyle-4|IndentValue-0|ParaStyleName-List Letter 2|PictureString-a, b, c|CustomFormat-%1.|Separator-0|Superscript-False|NumberPosition-Left|SingleNumbered-0|;CustomType-Number|StyleName-List Letter 3|SchemaID-3|Code-BX|Suffix-LL3|NumberStyle-4|IndentValue-0|ParaStyleName-List Letter 3|PictureString-a, b, c|CustomFormat-%1.|Separator-0|Superscript-False|NumberPosition-Left|SingleNumbered-0|;CustomType-Number|StyleName-List Number|SchemaID-3|Code-BX|Suffix-LN|NumberStyle-0|IndentValue-0|ParaStyleName--50|PictureString-1, 2, 3|CustomFormat-%1.|Separator-0|Superscript-False|NumberPosition-Left|SingleNumbered-0|;CustomType-Number|StyleName-List Number 2|SchemaID-3|Code-BX|Suffix-LN2|NumberStyle-0|IndentValue-0|ParaStyleName--59|PictureString-1, 2, 3|CustomFormat-%1.|Separator-0|Superscript-False|NumberPosition-Left|SingleNumbered-0|;CustomType-Number|StyleName-List Number 3|SchemaID-3|Code-BX|Suffix-LN3|NumberStyle-0|IndentValue-0|ParaStyleName--60|PictureString-1, 2, 3|CustomFormat-%1.|Separator-0|Superscript-False|NumberPosition-Left|SingleNumbered-0|;CustomType-Number|StyleName-References|SchemaID-3|Code-BX|Suffix-RE|NumberStyle-0|IndentValue-0|ParaStyleName-References|PictureString-1, 2, 3|CustomFormat-%1.|Separator-0|Superscript-False|NumberPosition-Left|SingleNumbered-0|;CustomType-Number|StyleName-Table Footnote|SchemaID-3|Code-BX|Suffix-TF|NumberStyle-0|IndentValue-0|ParaStyleName-Table Footnote|PictureString-1, 2, 3|CustomFormat-%1|Separator-0|Superscript-True|NumberPosition-Left|SingleNumbered-0|;CustomType-Number|StyleName-Table Footnote Letter|SchemaID-3|Code-BX|Suffix-TFL|NumberStyle-4|IndentValue-0|ParaStyleName-Table Footnote Letter|PictureString-a, b, c|CustomFormat-%1|Separator-0|Superscript-True|NumberPosition-Left|SingleNumbered-0|;CustomType-Number|StyleName-Table List Letter|SchemaID-3|Code-BX|Suffix-TLL|NumberStyle-4|IndentValue--1|ParaStyleName-Table List Letter|PictureString-a, b, c|CustomFormat-%1.|Separator-0|Superscript-False|NumberPosition-Left|SingleNumbered-0|;CustomType-Number|StyleName-Table List Number|SchemaID-3|Code-BX|Suffix-TLN|NumberStyle-0|IndentValue--1|ParaStyleName-Table List Number|PictureString-1, 2, 3|CustomFormat-%1.|Separator-0|Superscript-False|NumberPosition-Left|SingleNumbered-0|;"/>
    <w:docVar w:name="CustomOutline" w:val="CustomType-Outline|StyleName-Heading 1|SchemaID-3|Code-BX|Suffix-H|NumberStyle-0|IndentValue-0|ParaStyleName--2|LinkLevel-1|PictureString-1, 2, 3|CustomFormat-%1.|FontName-|IsLegal-0|Separator-1|NumberPosition-Left|;CustomType-Outline|StyleName-Heading 2|SchemaID-3|Code-BX|Suffix-H|NumberStyle-0|IndentValue-0|ParaStyleName--3|LinkLevel-2|PictureString-1, 2, 3|CustomFormat-%1.%2|FontName-|IsLegal-0|Separator-1|NumberPosition-Left|;CustomType-Outline|StyleName-Heading 3|SchemaID-3|Code-BX|Suffix-H|NumberStyle-0|IndentValue-0|ParaStyleName--4|LinkLevel-3|PictureString-1, 2, 3|CustomFormat-%1.%2.%3|FontName-|IsLegal-0|Separator-1|NumberPosition-Left|;CustomType-Outline|StyleName-Heading 4|SchemaID-3|Code-BX|Suffix-H|NumberStyle-0|IndentValue-0|ParaStyleName--5|LinkLevel-4|PictureString-1, 2, 3|CustomFormat-%1.%2.%3.%4|FontName-|IsLegal-0|Separator-1|NumberPosition-Left|;CustomType-Outline|StyleName-Heading 5|SchemaID-3|Code-BX|Suffix-H|NumberStyle-0|IndentValue-0|ParaStyleName--6|LinkLevel-5|PictureString-1, 2, 3|CustomFormat-%1.%2.%3.%4.%5|FontName-|IsLegal-0|Separator-1|NumberPosition-Left|;CustomType-Outline|StyleName-Heading 6|SchemaID-3|Code-BX|Suffix-H|NumberStyle-0|IndentValue-0|ParaStyleName--7|LinkLevel-6|PictureString-1, 2, 3|CustomFormat-%1.%2.%3.%4.%5.%6|FontName-|IsLegal-0|Separator-1|NumberPosition-Left|;CustomType-Outline|StyleName-Heading 7|SchemaID-3|Code-BX|Suffix-H|NumberStyle-0|IndentValue-0|ParaStyleName--8|LinkLevel-7|PictureString-1, 2, 3|CustomFormat-%1.%2.%3.%4.%5.%6.%7|FontName-|IsLegal-0|Separator-1|NumberPosition-Left|;CustomType-Outline|StyleName-Heading 8|SchemaID-3|Code-BX|Suffix-H|NumberStyle-0|IndentValue-0|ParaStyleName--9|LinkLevel-8|PictureString-1, 2, 3|CustomFormat-%1.%2.%3.%4.%5.%6.%7.%8|FontName-|IsLegal-0|Separator-1|NumberPosition-Left|;CustomType-Outline|StyleName-Heading 9|SchemaID-3|Code-BX|Suffix-H|NumberStyle-0|IndentValue-0|ParaStyleName--10|LinkLevel-9|PictureString-1, 2, 3|CustomFormat-%1.%2.%3.%4.%5.%6.%7.%8.%9|FontName-|IsLegal-0|Separator-1|NumberPosition-Left|;"/>
    <w:docVar w:name="CustomStyleMenuScheme" w:val="Baxter"/>
    <w:docVar w:name="DateFormat" w:val="YYYY MMM DD"/>
    <w:docVar w:name="DefaultTableFont" w:val="Times New Roman"/>
    <w:docVar w:name="DefaultTableFontSize" w:val="10"/>
    <w:docVar w:name="DefaultTableMajGridSize" w:val="6"/>
    <w:docVar w:name="DefaultTableMajLineType" w:val="1"/>
    <w:docVar w:name="DefaultTableMinGridSize" w:val="6"/>
    <w:docVar w:name="DefaultTableMinLineType" w:val="1"/>
    <w:docVar w:name="FieldList" w:val="BXProductID;Product ID|DocumentType;Document Type|Footer;Footer Part 1+XR|Footer2;Footer Part 2+XR|"/>
    <w:docVar w:name="FigureCaptionAbove" w:val="1"/>
    <w:docVar w:name="HeadingLevels" w:val="9"/>
    <w:docVar w:name="IsCustomized" w:val="YES"/>
    <w:docVar w:name="IWInspectorDiscovery" w:val="False|||False|0||0||0"/>
    <w:docVar w:name="NoIndentIncrease" w:val="0"/>
    <w:docVar w:name="OverrideEvenOdd" w:val="N"/>
    <w:docVar w:name="PeriodAfter" w:val="1"/>
    <w:docVar w:name="PromptInformation" w:val="When Opened"/>
    <w:docVar w:name="RefListStyle" w:val="2"/>
    <w:docVar w:name="Registered" w:val="-1"/>
    <w:docVar w:name="SiteTemplate" w:val="C:\users\atanasg\appdata\roaming\microsoft\templates\ISIWriter Site Template.doc"/>
    <w:docVar w:name="SiteTime" w:val="7/05/2015 16:04:00"/>
    <w:docVar w:name="SuppressPrefix" w:val="0"/>
    <w:docVar w:name="TableAlign" w:val="2"/>
    <w:docVar w:name="TableBodyCellStyle" w:val="Table Center"/>
    <w:docVar w:name="TableCaptionAsRow" w:val="1"/>
    <w:docVar w:name="TableColumnHeadingStyle" w:val="Table Head"/>
    <w:docVar w:name="TableFootnoteType" w:val="Letter"/>
    <w:docVar w:name="TableGridOption" w:val="FullGrid"/>
    <w:docVar w:name="TableLockedSettings" w:val="1"/>
    <w:docVar w:name="TableRowHeadingStyle" w:val="Table Left"/>
    <w:docVar w:name="TOCCaption" w:val="Table of Contents"/>
    <w:docVar w:name="TOCLevels" w:val="4"/>
    <w:docVar w:name="TOCStyles" w:val="1|List of In-Text Tables|Table Title|ISISiteLoTables+1|List of In-Text Figures|Figure Title|ISISiteLoFigures+1|List of End-Of-Text Tables|Table Summary Title;Table End of Text Title|ISISiteLoEOTTables+1|List of End-Of-Text Figures|Figure Summary Title;Figure End of Text Title|ISISiteLoEOTFigures+1|List of Appendices|Appendix|ISISiteLoAppendices"/>
    <w:docVar w:name="UnlinkObjects" w:val="0"/>
    <w:docVar w:name="UseLocalCaptionLabel" w:val="False"/>
    <w:docVar w:name="Version" w:val="0"/>
  </w:docVars>
  <w:rsids>
    <w:rsidRoot w:val="00D03440"/>
    <w:rsid w:val="00002747"/>
    <w:rsid w:val="00003467"/>
    <w:rsid w:val="000049F7"/>
    <w:rsid w:val="00007D1E"/>
    <w:rsid w:val="000104D2"/>
    <w:rsid w:val="00010ABD"/>
    <w:rsid w:val="0001368E"/>
    <w:rsid w:val="000140B9"/>
    <w:rsid w:val="00020618"/>
    <w:rsid w:val="00024262"/>
    <w:rsid w:val="00025A1A"/>
    <w:rsid w:val="00025EE7"/>
    <w:rsid w:val="00027241"/>
    <w:rsid w:val="00031EDF"/>
    <w:rsid w:val="00034BD2"/>
    <w:rsid w:val="000355CF"/>
    <w:rsid w:val="0004132E"/>
    <w:rsid w:val="0004176B"/>
    <w:rsid w:val="0004187C"/>
    <w:rsid w:val="00041B8C"/>
    <w:rsid w:val="00042913"/>
    <w:rsid w:val="000435E4"/>
    <w:rsid w:val="00052451"/>
    <w:rsid w:val="000534E7"/>
    <w:rsid w:val="0005430B"/>
    <w:rsid w:val="000563BE"/>
    <w:rsid w:val="00062DD6"/>
    <w:rsid w:val="000639DA"/>
    <w:rsid w:val="000644F7"/>
    <w:rsid w:val="0006769B"/>
    <w:rsid w:val="00067CAE"/>
    <w:rsid w:val="000713A5"/>
    <w:rsid w:val="00072F5F"/>
    <w:rsid w:val="0007344F"/>
    <w:rsid w:val="0007358B"/>
    <w:rsid w:val="00074332"/>
    <w:rsid w:val="00081D45"/>
    <w:rsid w:val="00083807"/>
    <w:rsid w:val="000844B0"/>
    <w:rsid w:val="00084D44"/>
    <w:rsid w:val="0009159E"/>
    <w:rsid w:val="0009181E"/>
    <w:rsid w:val="00096709"/>
    <w:rsid w:val="000A047C"/>
    <w:rsid w:val="000A0F82"/>
    <w:rsid w:val="000A1164"/>
    <w:rsid w:val="000A37C0"/>
    <w:rsid w:val="000A3956"/>
    <w:rsid w:val="000A4E10"/>
    <w:rsid w:val="000A70FE"/>
    <w:rsid w:val="000B17A0"/>
    <w:rsid w:val="000B2E46"/>
    <w:rsid w:val="000B3587"/>
    <w:rsid w:val="000B509F"/>
    <w:rsid w:val="000B7280"/>
    <w:rsid w:val="000C1388"/>
    <w:rsid w:val="000C2C28"/>
    <w:rsid w:val="000C308B"/>
    <w:rsid w:val="000C355C"/>
    <w:rsid w:val="000D29E4"/>
    <w:rsid w:val="000D5265"/>
    <w:rsid w:val="000D71F9"/>
    <w:rsid w:val="000E0BBC"/>
    <w:rsid w:val="000E4C60"/>
    <w:rsid w:val="000E5C71"/>
    <w:rsid w:val="000E7B90"/>
    <w:rsid w:val="000F15F0"/>
    <w:rsid w:val="000F1903"/>
    <w:rsid w:val="000F482F"/>
    <w:rsid w:val="000F683A"/>
    <w:rsid w:val="000F7966"/>
    <w:rsid w:val="001029B6"/>
    <w:rsid w:val="00102E22"/>
    <w:rsid w:val="00104278"/>
    <w:rsid w:val="001045D6"/>
    <w:rsid w:val="00104939"/>
    <w:rsid w:val="00104D31"/>
    <w:rsid w:val="00104F0F"/>
    <w:rsid w:val="0010567E"/>
    <w:rsid w:val="00110871"/>
    <w:rsid w:val="0011147B"/>
    <w:rsid w:val="00112B7C"/>
    <w:rsid w:val="00114398"/>
    <w:rsid w:val="00115761"/>
    <w:rsid w:val="00121A75"/>
    <w:rsid w:val="00121B4A"/>
    <w:rsid w:val="00123EB1"/>
    <w:rsid w:val="00125AA0"/>
    <w:rsid w:val="001264F7"/>
    <w:rsid w:val="001275E9"/>
    <w:rsid w:val="00127BF4"/>
    <w:rsid w:val="00130134"/>
    <w:rsid w:val="00130314"/>
    <w:rsid w:val="001307F3"/>
    <w:rsid w:val="0013201A"/>
    <w:rsid w:val="00132F5A"/>
    <w:rsid w:val="0013323F"/>
    <w:rsid w:val="00134486"/>
    <w:rsid w:val="001351A9"/>
    <w:rsid w:val="00135C11"/>
    <w:rsid w:val="00137241"/>
    <w:rsid w:val="00140F44"/>
    <w:rsid w:val="001435FC"/>
    <w:rsid w:val="00146CE1"/>
    <w:rsid w:val="001515DE"/>
    <w:rsid w:val="001523EA"/>
    <w:rsid w:val="0015377C"/>
    <w:rsid w:val="0016437E"/>
    <w:rsid w:val="001655C2"/>
    <w:rsid w:val="001727BB"/>
    <w:rsid w:val="00172DAF"/>
    <w:rsid w:val="00175E92"/>
    <w:rsid w:val="0018087B"/>
    <w:rsid w:val="00181289"/>
    <w:rsid w:val="0018692F"/>
    <w:rsid w:val="00187E24"/>
    <w:rsid w:val="00192659"/>
    <w:rsid w:val="00193B15"/>
    <w:rsid w:val="001A2BDA"/>
    <w:rsid w:val="001A44F5"/>
    <w:rsid w:val="001A4948"/>
    <w:rsid w:val="001A529F"/>
    <w:rsid w:val="001B09D2"/>
    <w:rsid w:val="001B1435"/>
    <w:rsid w:val="001B17A2"/>
    <w:rsid w:val="001B29B4"/>
    <w:rsid w:val="001B57F5"/>
    <w:rsid w:val="001B5CB6"/>
    <w:rsid w:val="001C2CD3"/>
    <w:rsid w:val="001C5763"/>
    <w:rsid w:val="001C6774"/>
    <w:rsid w:val="001C73EC"/>
    <w:rsid w:val="001D1C19"/>
    <w:rsid w:val="001D5D1D"/>
    <w:rsid w:val="001D7B88"/>
    <w:rsid w:val="001E333B"/>
    <w:rsid w:val="001E392A"/>
    <w:rsid w:val="001E4E3E"/>
    <w:rsid w:val="001F0FA0"/>
    <w:rsid w:val="001F2C3D"/>
    <w:rsid w:val="001F47BD"/>
    <w:rsid w:val="001F5CA5"/>
    <w:rsid w:val="001F5D46"/>
    <w:rsid w:val="001F6C7E"/>
    <w:rsid w:val="0020118E"/>
    <w:rsid w:val="00202514"/>
    <w:rsid w:val="00207389"/>
    <w:rsid w:val="00213716"/>
    <w:rsid w:val="00216BCC"/>
    <w:rsid w:val="002170AF"/>
    <w:rsid w:val="00221C1B"/>
    <w:rsid w:val="00221CAC"/>
    <w:rsid w:val="00222272"/>
    <w:rsid w:val="0022247F"/>
    <w:rsid w:val="0022721F"/>
    <w:rsid w:val="0022765C"/>
    <w:rsid w:val="0023162E"/>
    <w:rsid w:val="00231AA1"/>
    <w:rsid w:val="00231B71"/>
    <w:rsid w:val="00235517"/>
    <w:rsid w:val="00237D9C"/>
    <w:rsid w:val="00241DAC"/>
    <w:rsid w:val="00241F4C"/>
    <w:rsid w:val="00243A5F"/>
    <w:rsid w:val="00244135"/>
    <w:rsid w:val="002464AF"/>
    <w:rsid w:val="002464FD"/>
    <w:rsid w:val="002513CA"/>
    <w:rsid w:val="00251D85"/>
    <w:rsid w:val="00255D38"/>
    <w:rsid w:val="00255E3A"/>
    <w:rsid w:val="00257EBC"/>
    <w:rsid w:val="0026104D"/>
    <w:rsid w:val="0026596C"/>
    <w:rsid w:val="0027221A"/>
    <w:rsid w:val="002754F0"/>
    <w:rsid w:val="00275EB7"/>
    <w:rsid w:val="00276FEA"/>
    <w:rsid w:val="00280951"/>
    <w:rsid w:val="002813E8"/>
    <w:rsid w:val="00283B47"/>
    <w:rsid w:val="00283C53"/>
    <w:rsid w:val="00286013"/>
    <w:rsid w:val="00290249"/>
    <w:rsid w:val="0029177D"/>
    <w:rsid w:val="002922D8"/>
    <w:rsid w:val="00292B68"/>
    <w:rsid w:val="00294831"/>
    <w:rsid w:val="00295959"/>
    <w:rsid w:val="00296053"/>
    <w:rsid w:val="00297549"/>
    <w:rsid w:val="002A34F9"/>
    <w:rsid w:val="002A4CFB"/>
    <w:rsid w:val="002A5C75"/>
    <w:rsid w:val="002A79BE"/>
    <w:rsid w:val="002A7FA8"/>
    <w:rsid w:val="002B14B7"/>
    <w:rsid w:val="002B1F16"/>
    <w:rsid w:val="002B23A3"/>
    <w:rsid w:val="002B3162"/>
    <w:rsid w:val="002B6E70"/>
    <w:rsid w:val="002C0342"/>
    <w:rsid w:val="002C161F"/>
    <w:rsid w:val="002C3DCE"/>
    <w:rsid w:val="002C4B1E"/>
    <w:rsid w:val="002D3429"/>
    <w:rsid w:val="002D594C"/>
    <w:rsid w:val="002D6002"/>
    <w:rsid w:val="002E05C5"/>
    <w:rsid w:val="002E14AF"/>
    <w:rsid w:val="002E1B00"/>
    <w:rsid w:val="002E35DF"/>
    <w:rsid w:val="002E4C92"/>
    <w:rsid w:val="002E5DB1"/>
    <w:rsid w:val="002E782B"/>
    <w:rsid w:val="002F1C39"/>
    <w:rsid w:val="002F32C5"/>
    <w:rsid w:val="002F38F3"/>
    <w:rsid w:val="002F3A72"/>
    <w:rsid w:val="002F3E16"/>
    <w:rsid w:val="002F4A60"/>
    <w:rsid w:val="002F574B"/>
    <w:rsid w:val="002F762D"/>
    <w:rsid w:val="002F7938"/>
    <w:rsid w:val="00300CAA"/>
    <w:rsid w:val="00303556"/>
    <w:rsid w:val="003042A4"/>
    <w:rsid w:val="0030453F"/>
    <w:rsid w:val="0030695C"/>
    <w:rsid w:val="00307252"/>
    <w:rsid w:val="00307EAA"/>
    <w:rsid w:val="00311286"/>
    <w:rsid w:val="00313659"/>
    <w:rsid w:val="003161EB"/>
    <w:rsid w:val="003169A1"/>
    <w:rsid w:val="00320301"/>
    <w:rsid w:val="00324574"/>
    <w:rsid w:val="003252C4"/>
    <w:rsid w:val="0033185E"/>
    <w:rsid w:val="003334A9"/>
    <w:rsid w:val="00333648"/>
    <w:rsid w:val="00336D9F"/>
    <w:rsid w:val="00337C2C"/>
    <w:rsid w:val="00344807"/>
    <w:rsid w:val="00344F73"/>
    <w:rsid w:val="003457FB"/>
    <w:rsid w:val="00345BC0"/>
    <w:rsid w:val="00346FEA"/>
    <w:rsid w:val="0034776E"/>
    <w:rsid w:val="00351BBE"/>
    <w:rsid w:val="00353B6F"/>
    <w:rsid w:val="003615F6"/>
    <w:rsid w:val="00361E9D"/>
    <w:rsid w:val="0036324F"/>
    <w:rsid w:val="00364C24"/>
    <w:rsid w:val="00365B6D"/>
    <w:rsid w:val="00366BC2"/>
    <w:rsid w:val="003677DB"/>
    <w:rsid w:val="0037012E"/>
    <w:rsid w:val="0037390A"/>
    <w:rsid w:val="00375B75"/>
    <w:rsid w:val="0037654B"/>
    <w:rsid w:val="00376D33"/>
    <w:rsid w:val="003813C1"/>
    <w:rsid w:val="003865D2"/>
    <w:rsid w:val="00386C58"/>
    <w:rsid w:val="00386E28"/>
    <w:rsid w:val="00387484"/>
    <w:rsid w:val="0039131E"/>
    <w:rsid w:val="00392D4C"/>
    <w:rsid w:val="00397D2E"/>
    <w:rsid w:val="003A45B8"/>
    <w:rsid w:val="003A468C"/>
    <w:rsid w:val="003A7423"/>
    <w:rsid w:val="003A778F"/>
    <w:rsid w:val="003B1C04"/>
    <w:rsid w:val="003B1DA7"/>
    <w:rsid w:val="003B33AF"/>
    <w:rsid w:val="003B3FC4"/>
    <w:rsid w:val="003B4161"/>
    <w:rsid w:val="003B4F67"/>
    <w:rsid w:val="003B54C0"/>
    <w:rsid w:val="003C021F"/>
    <w:rsid w:val="003C2B47"/>
    <w:rsid w:val="003C2FD8"/>
    <w:rsid w:val="003C4CBE"/>
    <w:rsid w:val="003D12F0"/>
    <w:rsid w:val="003D1681"/>
    <w:rsid w:val="003D40F4"/>
    <w:rsid w:val="003D5323"/>
    <w:rsid w:val="003D54F0"/>
    <w:rsid w:val="003D60F2"/>
    <w:rsid w:val="003D7E95"/>
    <w:rsid w:val="003E0B13"/>
    <w:rsid w:val="003E270E"/>
    <w:rsid w:val="003E5510"/>
    <w:rsid w:val="003E7F6C"/>
    <w:rsid w:val="003F14FD"/>
    <w:rsid w:val="003F1DD5"/>
    <w:rsid w:val="003F219C"/>
    <w:rsid w:val="003F4050"/>
    <w:rsid w:val="003F4809"/>
    <w:rsid w:val="003F5217"/>
    <w:rsid w:val="003F6BBD"/>
    <w:rsid w:val="00400CF0"/>
    <w:rsid w:val="004013F0"/>
    <w:rsid w:val="0040190B"/>
    <w:rsid w:val="0040228C"/>
    <w:rsid w:val="00403469"/>
    <w:rsid w:val="00403BD2"/>
    <w:rsid w:val="00410C25"/>
    <w:rsid w:val="00415339"/>
    <w:rsid w:val="004159AB"/>
    <w:rsid w:val="00416405"/>
    <w:rsid w:val="0041794D"/>
    <w:rsid w:val="00421F80"/>
    <w:rsid w:val="00424087"/>
    <w:rsid w:val="00424E03"/>
    <w:rsid w:val="00426290"/>
    <w:rsid w:val="00430C58"/>
    <w:rsid w:val="0043402A"/>
    <w:rsid w:val="00434D31"/>
    <w:rsid w:val="00436894"/>
    <w:rsid w:val="004424ED"/>
    <w:rsid w:val="00442725"/>
    <w:rsid w:val="00445236"/>
    <w:rsid w:val="0044620B"/>
    <w:rsid w:val="0045320A"/>
    <w:rsid w:val="00457833"/>
    <w:rsid w:val="00457B5E"/>
    <w:rsid w:val="00462328"/>
    <w:rsid w:val="00464779"/>
    <w:rsid w:val="00464A19"/>
    <w:rsid w:val="00464A7B"/>
    <w:rsid w:val="00466378"/>
    <w:rsid w:val="00467CDD"/>
    <w:rsid w:val="004700AE"/>
    <w:rsid w:val="00470CC7"/>
    <w:rsid w:val="004723DA"/>
    <w:rsid w:val="00473E91"/>
    <w:rsid w:val="00475AA9"/>
    <w:rsid w:val="00477896"/>
    <w:rsid w:val="0048199C"/>
    <w:rsid w:val="0048270F"/>
    <w:rsid w:val="00484480"/>
    <w:rsid w:val="00492951"/>
    <w:rsid w:val="00494936"/>
    <w:rsid w:val="00494A37"/>
    <w:rsid w:val="004A14B3"/>
    <w:rsid w:val="004A2946"/>
    <w:rsid w:val="004A2A64"/>
    <w:rsid w:val="004A3D3B"/>
    <w:rsid w:val="004A48B0"/>
    <w:rsid w:val="004A6E38"/>
    <w:rsid w:val="004A72FC"/>
    <w:rsid w:val="004B23AF"/>
    <w:rsid w:val="004B2429"/>
    <w:rsid w:val="004B27FE"/>
    <w:rsid w:val="004B2F89"/>
    <w:rsid w:val="004B3ACB"/>
    <w:rsid w:val="004B549C"/>
    <w:rsid w:val="004B6D70"/>
    <w:rsid w:val="004B753E"/>
    <w:rsid w:val="004C152B"/>
    <w:rsid w:val="004C1EFA"/>
    <w:rsid w:val="004C49B7"/>
    <w:rsid w:val="004D1248"/>
    <w:rsid w:val="004D21C7"/>
    <w:rsid w:val="004D28E7"/>
    <w:rsid w:val="004D2D16"/>
    <w:rsid w:val="004D330B"/>
    <w:rsid w:val="004D6C18"/>
    <w:rsid w:val="004E30E0"/>
    <w:rsid w:val="004E5D04"/>
    <w:rsid w:val="004E7AF3"/>
    <w:rsid w:val="004F02DB"/>
    <w:rsid w:val="004F70E5"/>
    <w:rsid w:val="004F72FA"/>
    <w:rsid w:val="00501A6C"/>
    <w:rsid w:val="0050566D"/>
    <w:rsid w:val="00511486"/>
    <w:rsid w:val="0051356B"/>
    <w:rsid w:val="00515562"/>
    <w:rsid w:val="00515BC0"/>
    <w:rsid w:val="00523C35"/>
    <w:rsid w:val="005255B2"/>
    <w:rsid w:val="0052593E"/>
    <w:rsid w:val="00525FA3"/>
    <w:rsid w:val="00530E00"/>
    <w:rsid w:val="005326B9"/>
    <w:rsid w:val="00532B37"/>
    <w:rsid w:val="00532EA8"/>
    <w:rsid w:val="00533F4C"/>
    <w:rsid w:val="00534ED1"/>
    <w:rsid w:val="0053792C"/>
    <w:rsid w:val="00537E1A"/>
    <w:rsid w:val="00537E46"/>
    <w:rsid w:val="00543BB9"/>
    <w:rsid w:val="00545A08"/>
    <w:rsid w:val="00547E37"/>
    <w:rsid w:val="00550CE2"/>
    <w:rsid w:val="00551C90"/>
    <w:rsid w:val="005528F2"/>
    <w:rsid w:val="00553003"/>
    <w:rsid w:val="00555202"/>
    <w:rsid w:val="005563E2"/>
    <w:rsid w:val="0055653B"/>
    <w:rsid w:val="0055692F"/>
    <w:rsid w:val="00557D46"/>
    <w:rsid w:val="00561311"/>
    <w:rsid w:val="005618FF"/>
    <w:rsid w:val="00562DB3"/>
    <w:rsid w:val="00565692"/>
    <w:rsid w:val="00565E46"/>
    <w:rsid w:val="00566510"/>
    <w:rsid w:val="00571317"/>
    <w:rsid w:val="00572784"/>
    <w:rsid w:val="005748E4"/>
    <w:rsid w:val="005759A9"/>
    <w:rsid w:val="00575D54"/>
    <w:rsid w:val="00576F5C"/>
    <w:rsid w:val="005829AB"/>
    <w:rsid w:val="00583D33"/>
    <w:rsid w:val="00583D6F"/>
    <w:rsid w:val="005863BE"/>
    <w:rsid w:val="00587DFB"/>
    <w:rsid w:val="0059185E"/>
    <w:rsid w:val="005A0291"/>
    <w:rsid w:val="005A0C70"/>
    <w:rsid w:val="005A1C0C"/>
    <w:rsid w:val="005A7D88"/>
    <w:rsid w:val="005B17D4"/>
    <w:rsid w:val="005B27FA"/>
    <w:rsid w:val="005B3D93"/>
    <w:rsid w:val="005B5D5F"/>
    <w:rsid w:val="005C008B"/>
    <w:rsid w:val="005C43BF"/>
    <w:rsid w:val="005C5A70"/>
    <w:rsid w:val="005C641B"/>
    <w:rsid w:val="005D0481"/>
    <w:rsid w:val="005D1EF7"/>
    <w:rsid w:val="005D324C"/>
    <w:rsid w:val="005D3884"/>
    <w:rsid w:val="005D754D"/>
    <w:rsid w:val="005D7987"/>
    <w:rsid w:val="005E0B11"/>
    <w:rsid w:val="005E1DE4"/>
    <w:rsid w:val="005E2443"/>
    <w:rsid w:val="005E4BE8"/>
    <w:rsid w:val="005E5523"/>
    <w:rsid w:val="005E59F4"/>
    <w:rsid w:val="005F137B"/>
    <w:rsid w:val="005F215D"/>
    <w:rsid w:val="005F30FD"/>
    <w:rsid w:val="005F486F"/>
    <w:rsid w:val="005F6215"/>
    <w:rsid w:val="005F791F"/>
    <w:rsid w:val="005F796E"/>
    <w:rsid w:val="0060069A"/>
    <w:rsid w:val="00601D38"/>
    <w:rsid w:val="00602416"/>
    <w:rsid w:val="00602628"/>
    <w:rsid w:val="00605135"/>
    <w:rsid w:val="00605DE2"/>
    <w:rsid w:val="00606E7C"/>
    <w:rsid w:val="00607F1E"/>
    <w:rsid w:val="00611AF4"/>
    <w:rsid w:val="00614CE5"/>
    <w:rsid w:val="0061651E"/>
    <w:rsid w:val="00621A1F"/>
    <w:rsid w:val="00624346"/>
    <w:rsid w:val="00627ED9"/>
    <w:rsid w:val="0063058D"/>
    <w:rsid w:val="00631932"/>
    <w:rsid w:val="00632AFC"/>
    <w:rsid w:val="00632B3C"/>
    <w:rsid w:val="006347C5"/>
    <w:rsid w:val="00634D70"/>
    <w:rsid w:val="006355E2"/>
    <w:rsid w:val="006367F6"/>
    <w:rsid w:val="006372A1"/>
    <w:rsid w:val="00643723"/>
    <w:rsid w:val="00644EFF"/>
    <w:rsid w:val="00646968"/>
    <w:rsid w:val="00652D60"/>
    <w:rsid w:val="00653A9E"/>
    <w:rsid w:val="00656A84"/>
    <w:rsid w:val="006574AD"/>
    <w:rsid w:val="00660C38"/>
    <w:rsid w:val="0066543A"/>
    <w:rsid w:val="00667370"/>
    <w:rsid w:val="0067024C"/>
    <w:rsid w:val="006728CB"/>
    <w:rsid w:val="00672C44"/>
    <w:rsid w:val="00673FEF"/>
    <w:rsid w:val="00675B47"/>
    <w:rsid w:val="00680045"/>
    <w:rsid w:val="00684A62"/>
    <w:rsid w:val="00686853"/>
    <w:rsid w:val="00686BE0"/>
    <w:rsid w:val="00686F69"/>
    <w:rsid w:val="00690289"/>
    <w:rsid w:val="00690AEF"/>
    <w:rsid w:val="00693B8B"/>
    <w:rsid w:val="006A0268"/>
    <w:rsid w:val="006A1AB0"/>
    <w:rsid w:val="006A45A3"/>
    <w:rsid w:val="006A55DB"/>
    <w:rsid w:val="006B0110"/>
    <w:rsid w:val="006B134C"/>
    <w:rsid w:val="006B2C8F"/>
    <w:rsid w:val="006B6E47"/>
    <w:rsid w:val="006B7054"/>
    <w:rsid w:val="006B71C9"/>
    <w:rsid w:val="006C053F"/>
    <w:rsid w:val="006C1229"/>
    <w:rsid w:val="006C22BE"/>
    <w:rsid w:val="006C32C7"/>
    <w:rsid w:val="006C45B6"/>
    <w:rsid w:val="006D54CE"/>
    <w:rsid w:val="006D6AFA"/>
    <w:rsid w:val="006D6FB7"/>
    <w:rsid w:val="006D7075"/>
    <w:rsid w:val="006D76FA"/>
    <w:rsid w:val="006E116B"/>
    <w:rsid w:val="006E182C"/>
    <w:rsid w:val="006E1DBF"/>
    <w:rsid w:val="006E1E50"/>
    <w:rsid w:val="006E40EA"/>
    <w:rsid w:val="006E5BFF"/>
    <w:rsid w:val="006E69C5"/>
    <w:rsid w:val="006F04DA"/>
    <w:rsid w:val="006F5C54"/>
    <w:rsid w:val="0070344C"/>
    <w:rsid w:val="00705B08"/>
    <w:rsid w:val="00707FAA"/>
    <w:rsid w:val="0071039E"/>
    <w:rsid w:val="00721965"/>
    <w:rsid w:val="00721CFF"/>
    <w:rsid w:val="007228BA"/>
    <w:rsid w:val="00724F94"/>
    <w:rsid w:val="00726402"/>
    <w:rsid w:val="007277FB"/>
    <w:rsid w:val="00727E0D"/>
    <w:rsid w:val="00731DA2"/>
    <w:rsid w:val="007348A6"/>
    <w:rsid w:val="0073724F"/>
    <w:rsid w:val="00737588"/>
    <w:rsid w:val="0073781F"/>
    <w:rsid w:val="00737E2C"/>
    <w:rsid w:val="00740F9C"/>
    <w:rsid w:val="00740FF1"/>
    <w:rsid w:val="00742BE8"/>
    <w:rsid w:val="007444AE"/>
    <w:rsid w:val="007454D4"/>
    <w:rsid w:val="00751A2D"/>
    <w:rsid w:val="00752A80"/>
    <w:rsid w:val="007544D6"/>
    <w:rsid w:val="0075528E"/>
    <w:rsid w:val="00755B35"/>
    <w:rsid w:val="007602F9"/>
    <w:rsid w:val="00760AAE"/>
    <w:rsid w:val="0076159E"/>
    <w:rsid w:val="007623CF"/>
    <w:rsid w:val="007640EA"/>
    <w:rsid w:val="00766A8F"/>
    <w:rsid w:val="00771240"/>
    <w:rsid w:val="00771E36"/>
    <w:rsid w:val="00772DBC"/>
    <w:rsid w:val="00780D4C"/>
    <w:rsid w:val="00784206"/>
    <w:rsid w:val="007854A3"/>
    <w:rsid w:val="00791B61"/>
    <w:rsid w:val="0079380B"/>
    <w:rsid w:val="00793E77"/>
    <w:rsid w:val="00794616"/>
    <w:rsid w:val="00795A2D"/>
    <w:rsid w:val="007A031B"/>
    <w:rsid w:val="007A2549"/>
    <w:rsid w:val="007A28FB"/>
    <w:rsid w:val="007A3A10"/>
    <w:rsid w:val="007A5EE4"/>
    <w:rsid w:val="007B2E8D"/>
    <w:rsid w:val="007B420A"/>
    <w:rsid w:val="007B670A"/>
    <w:rsid w:val="007C2677"/>
    <w:rsid w:val="007C287D"/>
    <w:rsid w:val="007C4F40"/>
    <w:rsid w:val="007C789C"/>
    <w:rsid w:val="007C7CA1"/>
    <w:rsid w:val="007D0258"/>
    <w:rsid w:val="007D1A44"/>
    <w:rsid w:val="007D2102"/>
    <w:rsid w:val="007D3D9F"/>
    <w:rsid w:val="007D5C34"/>
    <w:rsid w:val="007E23AD"/>
    <w:rsid w:val="007E5344"/>
    <w:rsid w:val="007F2663"/>
    <w:rsid w:val="007F3D32"/>
    <w:rsid w:val="007F7B27"/>
    <w:rsid w:val="00802247"/>
    <w:rsid w:val="008067E1"/>
    <w:rsid w:val="00807E84"/>
    <w:rsid w:val="00810021"/>
    <w:rsid w:val="0081307A"/>
    <w:rsid w:val="00813CE1"/>
    <w:rsid w:val="00814DE8"/>
    <w:rsid w:val="008226EF"/>
    <w:rsid w:val="00822BEF"/>
    <w:rsid w:val="008255D1"/>
    <w:rsid w:val="00825C8E"/>
    <w:rsid w:val="00825DA1"/>
    <w:rsid w:val="00826C3F"/>
    <w:rsid w:val="0083124F"/>
    <w:rsid w:val="00832E87"/>
    <w:rsid w:val="008343B2"/>
    <w:rsid w:val="0083468C"/>
    <w:rsid w:val="00836B9F"/>
    <w:rsid w:val="0084400D"/>
    <w:rsid w:val="00844684"/>
    <w:rsid w:val="00844E0E"/>
    <w:rsid w:val="008458D9"/>
    <w:rsid w:val="0084670A"/>
    <w:rsid w:val="0084739D"/>
    <w:rsid w:val="00847F38"/>
    <w:rsid w:val="00850B12"/>
    <w:rsid w:val="00851220"/>
    <w:rsid w:val="00853910"/>
    <w:rsid w:val="00853E00"/>
    <w:rsid w:val="0085532F"/>
    <w:rsid w:val="00855EAD"/>
    <w:rsid w:val="00862312"/>
    <w:rsid w:val="00863C56"/>
    <w:rsid w:val="00864A44"/>
    <w:rsid w:val="00865925"/>
    <w:rsid w:val="008705F5"/>
    <w:rsid w:val="00872A3E"/>
    <w:rsid w:val="008731B0"/>
    <w:rsid w:val="00874A27"/>
    <w:rsid w:val="00876E3F"/>
    <w:rsid w:val="00877A4C"/>
    <w:rsid w:val="0088312A"/>
    <w:rsid w:val="00883C6C"/>
    <w:rsid w:val="00891AEB"/>
    <w:rsid w:val="00893B4A"/>
    <w:rsid w:val="00893DAB"/>
    <w:rsid w:val="00895DE4"/>
    <w:rsid w:val="00895F3B"/>
    <w:rsid w:val="00897B66"/>
    <w:rsid w:val="008A4D7D"/>
    <w:rsid w:val="008A5C7A"/>
    <w:rsid w:val="008B0288"/>
    <w:rsid w:val="008B0897"/>
    <w:rsid w:val="008B3EFE"/>
    <w:rsid w:val="008B5A15"/>
    <w:rsid w:val="008B73AA"/>
    <w:rsid w:val="008C268D"/>
    <w:rsid w:val="008C3643"/>
    <w:rsid w:val="008C41E1"/>
    <w:rsid w:val="008C6A96"/>
    <w:rsid w:val="008C7216"/>
    <w:rsid w:val="008D1334"/>
    <w:rsid w:val="008D4375"/>
    <w:rsid w:val="008D451B"/>
    <w:rsid w:val="008D468F"/>
    <w:rsid w:val="008D79A9"/>
    <w:rsid w:val="008E0D68"/>
    <w:rsid w:val="008E2710"/>
    <w:rsid w:val="008E2AB4"/>
    <w:rsid w:val="008E2C60"/>
    <w:rsid w:val="008E410F"/>
    <w:rsid w:val="008E515A"/>
    <w:rsid w:val="008E5DC2"/>
    <w:rsid w:val="008F0290"/>
    <w:rsid w:val="008F084D"/>
    <w:rsid w:val="008F1EEC"/>
    <w:rsid w:val="008F2CCB"/>
    <w:rsid w:val="008F2EBE"/>
    <w:rsid w:val="008F709A"/>
    <w:rsid w:val="008F7B8E"/>
    <w:rsid w:val="00901062"/>
    <w:rsid w:val="00901545"/>
    <w:rsid w:val="00902109"/>
    <w:rsid w:val="00905329"/>
    <w:rsid w:val="0090634C"/>
    <w:rsid w:val="00906D6E"/>
    <w:rsid w:val="0090716C"/>
    <w:rsid w:val="0091116E"/>
    <w:rsid w:val="00913A5D"/>
    <w:rsid w:val="00915C70"/>
    <w:rsid w:val="0091617E"/>
    <w:rsid w:val="00916BBF"/>
    <w:rsid w:val="009172A0"/>
    <w:rsid w:val="009172CF"/>
    <w:rsid w:val="00920D52"/>
    <w:rsid w:val="00921BDF"/>
    <w:rsid w:val="00922B81"/>
    <w:rsid w:val="0092303B"/>
    <w:rsid w:val="009233C4"/>
    <w:rsid w:val="009236D3"/>
    <w:rsid w:val="00923ECE"/>
    <w:rsid w:val="009247BC"/>
    <w:rsid w:val="00924BC1"/>
    <w:rsid w:val="00926386"/>
    <w:rsid w:val="00926B33"/>
    <w:rsid w:val="00927FCC"/>
    <w:rsid w:val="009331A0"/>
    <w:rsid w:val="00934424"/>
    <w:rsid w:val="00937976"/>
    <w:rsid w:val="00942142"/>
    <w:rsid w:val="00943635"/>
    <w:rsid w:val="0094686B"/>
    <w:rsid w:val="00947B1E"/>
    <w:rsid w:val="00954F85"/>
    <w:rsid w:val="009555F4"/>
    <w:rsid w:val="0095675E"/>
    <w:rsid w:val="00956B2F"/>
    <w:rsid w:val="00960517"/>
    <w:rsid w:val="00960DBF"/>
    <w:rsid w:val="00966D4B"/>
    <w:rsid w:val="00970E2F"/>
    <w:rsid w:val="00971358"/>
    <w:rsid w:val="00971CDB"/>
    <w:rsid w:val="0098032D"/>
    <w:rsid w:val="00980A98"/>
    <w:rsid w:val="00980EC2"/>
    <w:rsid w:val="00981B66"/>
    <w:rsid w:val="009827E1"/>
    <w:rsid w:val="00982E6C"/>
    <w:rsid w:val="00983C0A"/>
    <w:rsid w:val="00983DEC"/>
    <w:rsid w:val="00983ED1"/>
    <w:rsid w:val="00984221"/>
    <w:rsid w:val="00985E0D"/>
    <w:rsid w:val="00986502"/>
    <w:rsid w:val="00986BA3"/>
    <w:rsid w:val="00993247"/>
    <w:rsid w:val="009942B4"/>
    <w:rsid w:val="009947A5"/>
    <w:rsid w:val="009956DC"/>
    <w:rsid w:val="009A07BF"/>
    <w:rsid w:val="009A2617"/>
    <w:rsid w:val="009A6332"/>
    <w:rsid w:val="009A6A07"/>
    <w:rsid w:val="009B5FDC"/>
    <w:rsid w:val="009C0D8D"/>
    <w:rsid w:val="009C2252"/>
    <w:rsid w:val="009C3136"/>
    <w:rsid w:val="009C4AF3"/>
    <w:rsid w:val="009C7059"/>
    <w:rsid w:val="009D2C04"/>
    <w:rsid w:val="009D3678"/>
    <w:rsid w:val="009D3F48"/>
    <w:rsid w:val="009D5139"/>
    <w:rsid w:val="009D74CC"/>
    <w:rsid w:val="009E1DD5"/>
    <w:rsid w:val="009E6826"/>
    <w:rsid w:val="009E779E"/>
    <w:rsid w:val="009F02FB"/>
    <w:rsid w:val="00A02815"/>
    <w:rsid w:val="00A02E2D"/>
    <w:rsid w:val="00A03F7C"/>
    <w:rsid w:val="00A04164"/>
    <w:rsid w:val="00A04CA3"/>
    <w:rsid w:val="00A0667D"/>
    <w:rsid w:val="00A1138E"/>
    <w:rsid w:val="00A1221F"/>
    <w:rsid w:val="00A12954"/>
    <w:rsid w:val="00A21017"/>
    <w:rsid w:val="00A330B7"/>
    <w:rsid w:val="00A33D27"/>
    <w:rsid w:val="00A346DD"/>
    <w:rsid w:val="00A4574E"/>
    <w:rsid w:val="00A462E6"/>
    <w:rsid w:val="00A52D6C"/>
    <w:rsid w:val="00A552DB"/>
    <w:rsid w:val="00A569C3"/>
    <w:rsid w:val="00A56EE5"/>
    <w:rsid w:val="00A57762"/>
    <w:rsid w:val="00A578B6"/>
    <w:rsid w:val="00A62C7B"/>
    <w:rsid w:val="00A6435D"/>
    <w:rsid w:val="00A648C7"/>
    <w:rsid w:val="00A64F61"/>
    <w:rsid w:val="00A6687D"/>
    <w:rsid w:val="00A67B0E"/>
    <w:rsid w:val="00A70061"/>
    <w:rsid w:val="00A72589"/>
    <w:rsid w:val="00A729B6"/>
    <w:rsid w:val="00A72E2C"/>
    <w:rsid w:val="00A74F36"/>
    <w:rsid w:val="00A75283"/>
    <w:rsid w:val="00A75727"/>
    <w:rsid w:val="00A7589E"/>
    <w:rsid w:val="00A759AC"/>
    <w:rsid w:val="00A76578"/>
    <w:rsid w:val="00A8436E"/>
    <w:rsid w:val="00A86222"/>
    <w:rsid w:val="00A86FAB"/>
    <w:rsid w:val="00A92450"/>
    <w:rsid w:val="00A97FA6"/>
    <w:rsid w:val="00AA285F"/>
    <w:rsid w:val="00AA787E"/>
    <w:rsid w:val="00AA7A8D"/>
    <w:rsid w:val="00AB0707"/>
    <w:rsid w:val="00AB518D"/>
    <w:rsid w:val="00AB7BCA"/>
    <w:rsid w:val="00AC1235"/>
    <w:rsid w:val="00AC2059"/>
    <w:rsid w:val="00AC22CC"/>
    <w:rsid w:val="00AC2D44"/>
    <w:rsid w:val="00AC38F0"/>
    <w:rsid w:val="00AC4C16"/>
    <w:rsid w:val="00AC63B9"/>
    <w:rsid w:val="00AC655A"/>
    <w:rsid w:val="00AC73A8"/>
    <w:rsid w:val="00AC75A5"/>
    <w:rsid w:val="00AD0177"/>
    <w:rsid w:val="00AD0D38"/>
    <w:rsid w:val="00AD1C6C"/>
    <w:rsid w:val="00AD2073"/>
    <w:rsid w:val="00AD27DD"/>
    <w:rsid w:val="00AD3EB2"/>
    <w:rsid w:val="00AD5A4B"/>
    <w:rsid w:val="00AD7121"/>
    <w:rsid w:val="00AE0DE0"/>
    <w:rsid w:val="00AE109D"/>
    <w:rsid w:val="00AE27FF"/>
    <w:rsid w:val="00AF0403"/>
    <w:rsid w:val="00AF047C"/>
    <w:rsid w:val="00AF38D9"/>
    <w:rsid w:val="00AF3CD8"/>
    <w:rsid w:val="00AF6561"/>
    <w:rsid w:val="00B009DC"/>
    <w:rsid w:val="00B0156B"/>
    <w:rsid w:val="00B02A4B"/>
    <w:rsid w:val="00B1101D"/>
    <w:rsid w:val="00B1371B"/>
    <w:rsid w:val="00B13BF8"/>
    <w:rsid w:val="00B15231"/>
    <w:rsid w:val="00B175B4"/>
    <w:rsid w:val="00B24794"/>
    <w:rsid w:val="00B27466"/>
    <w:rsid w:val="00B33EB3"/>
    <w:rsid w:val="00B35D6D"/>
    <w:rsid w:val="00B36EB2"/>
    <w:rsid w:val="00B37191"/>
    <w:rsid w:val="00B37CB3"/>
    <w:rsid w:val="00B40B84"/>
    <w:rsid w:val="00B41CBD"/>
    <w:rsid w:val="00B43A5B"/>
    <w:rsid w:val="00B43C0B"/>
    <w:rsid w:val="00B43F4F"/>
    <w:rsid w:val="00B46C42"/>
    <w:rsid w:val="00B4744B"/>
    <w:rsid w:val="00B518C2"/>
    <w:rsid w:val="00B51F43"/>
    <w:rsid w:val="00B55455"/>
    <w:rsid w:val="00B56D31"/>
    <w:rsid w:val="00B575F7"/>
    <w:rsid w:val="00B6013C"/>
    <w:rsid w:val="00B606B0"/>
    <w:rsid w:val="00B61089"/>
    <w:rsid w:val="00B61F47"/>
    <w:rsid w:val="00B621F6"/>
    <w:rsid w:val="00B64BB5"/>
    <w:rsid w:val="00B64E25"/>
    <w:rsid w:val="00B6782C"/>
    <w:rsid w:val="00B70A6C"/>
    <w:rsid w:val="00B72E51"/>
    <w:rsid w:val="00B75D83"/>
    <w:rsid w:val="00B75EAF"/>
    <w:rsid w:val="00B82A3E"/>
    <w:rsid w:val="00B82B2E"/>
    <w:rsid w:val="00B83B0F"/>
    <w:rsid w:val="00B83D90"/>
    <w:rsid w:val="00B870E5"/>
    <w:rsid w:val="00B874FA"/>
    <w:rsid w:val="00B87569"/>
    <w:rsid w:val="00B93671"/>
    <w:rsid w:val="00BA0731"/>
    <w:rsid w:val="00BA28CC"/>
    <w:rsid w:val="00BA3CBF"/>
    <w:rsid w:val="00BA4B26"/>
    <w:rsid w:val="00BA592D"/>
    <w:rsid w:val="00BA6A2E"/>
    <w:rsid w:val="00BB3B3E"/>
    <w:rsid w:val="00BB4A62"/>
    <w:rsid w:val="00BB4F6C"/>
    <w:rsid w:val="00BB7F53"/>
    <w:rsid w:val="00BC0ADE"/>
    <w:rsid w:val="00BC23C7"/>
    <w:rsid w:val="00BC42E4"/>
    <w:rsid w:val="00BC5E53"/>
    <w:rsid w:val="00BD15DA"/>
    <w:rsid w:val="00BD5760"/>
    <w:rsid w:val="00BD7407"/>
    <w:rsid w:val="00BD7857"/>
    <w:rsid w:val="00BE2676"/>
    <w:rsid w:val="00BE3A1F"/>
    <w:rsid w:val="00BE49EE"/>
    <w:rsid w:val="00BE61E2"/>
    <w:rsid w:val="00BE6D79"/>
    <w:rsid w:val="00BF111C"/>
    <w:rsid w:val="00BF35C0"/>
    <w:rsid w:val="00BF5A54"/>
    <w:rsid w:val="00BF7637"/>
    <w:rsid w:val="00C0145B"/>
    <w:rsid w:val="00C02120"/>
    <w:rsid w:val="00C10517"/>
    <w:rsid w:val="00C12048"/>
    <w:rsid w:val="00C14A45"/>
    <w:rsid w:val="00C20144"/>
    <w:rsid w:val="00C225BD"/>
    <w:rsid w:val="00C229CB"/>
    <w:rsid w:val="00C2308B"/>
    <w:rsid w:val="00C31E4F"/>
    <w:rsid w:val="00C347A2"/>
    <w:rsid w:val="00C37678"/>
    <w:rsid w:val="00C37E91"/>
    <w:rsid w:val="00C41AD6"/>
    <w:rsid w:val="00C42AF1"/>
    <w:rsid w:val="00C43C3D"/>
    <w:rsid w:val="00C442B9"/>
    <w:rsid w:val="00C45D70"/>
    <w:rsid w:val="00C463E8"/>
    <w:rsid w:val="00C500F3"/>
    <w:rsid w:val="00C511B9"/>
    <w:rsid w:val="00C5187C"/>
    <w:rsid w:val="00C532A0"/>
    <w:rsid w:val="00C55817"/>
    <w:rsid w:val="00C57420"/>
    <w:rsid w:val="00C61F2F"/>
    <w:rsid w:val="00C62990"/>
    <w:rsid w:val="00C65DD1"/>
    <w:rsid w:val="00C67CB0"/>
    <w:rsid w:val="00C71E7B"/>
    <w:rsid w:val="00C730F0"/>
    <w:rsid w:val="00C73156"/>
    <w:rsid w:val="00C77D20"/>
    <w:rsid w:val="00C77F65"/>
    <w:rsid w:val="00C77FA1"/>
    <w:rsid w:val="00C81180"/>
    <w:rsid w:val="00C821F7"/>
    <w:rsid w:val="00C83FEC"/>
    <w:rsid w:val="00C84C60"/>
    <w:rsid w:val="00C86676"/>
    <w:rsid w:val="00C87269"/>
    <w:rsid w:val="00C9065E"/>
    <w:rsid w:val="00C90E0E"/>
    <w:rsid w:val="00C924F6"/>
    <w:rsid w:val="00C94003"/>
    <w:rsid w:val="00C953CD"/>
    <w:rsid w:val="00C977E2"/>
    <w:rsid w:val="00CA075E"/>
    <w:rsid w:val="00CA40B5"/>
    <w:rsid w:val="00CA663B"/>
    <w:rsid w:val="00CB0005"/>
    <w:rsid w:val="00CB0890"/>
    <w:rsid w:val="00CB0B7B"/>
    <w:rsid w:val="00CB3296"/>
    <w:rsid w:val="00CB3484"/>
    <w:rsid w:val="00CB69EC"/>
    <w:rsid w:val="00CB706B"/>
    <w:rsid w:val="00CC2C33"/>
    <w:rsid w:val="00CC3D20"/>
    <w:rsid w:val="00CD15E7"/>
    <w:rsid w:val="00CD1799"/>
    <w:rsid w:val="00CD39E2"/>
    <w:rsid w:val="00CD505D"/>
    <w:rsid w:val="00CD5333"/>
    <w:rsid w:val="00CD6CD4"/>
    <w:rsid w:val="00CD7515"/>
    <w:rsid w:val="00CE2550"/>
    <w:rsid w:val="00CE3462"/>
    <w:rsid w:val="00CE3B95"/>
    <w:rsid w:val="00CE66DB"/>
    <w:rsid w:val="00CE6B1C"/>
    <w:rsid w:val="00CF1E28"/>
    <w:rsid w:val="00CF2484"/>
    <w:rsid w:val="00CF248F"/>
    <w:rsid w:val="00CF4824"/>
    <w:rsid w:val="00CF765D"/>
    <w:rsid w:val="00D02150"/>
    <w:rsid w:val="00D025ED"/>
    <w:rsid w:val="00D03440"/>
    <w:rsid w:val="00D037F3"/>
    <w:rsid w:val="00D110C4"/>
    <w:rsid w:val="00D11AA7"/>
    <w:rsid w:val="00D13417"/>
    <w:rsid w:val="00D13941"/>
    <w:rsid w:val="00D14249"/>
    <w:rsid w:val="00D14EF0"/>
    <w:rsid w:val="00D16646"/>
    <w:rsid w:val="00D22403"/>
    <w:rsid w:val="00D23183"/>
    <w:rsid w:val="00D24995"/>
    <w:rsid w:val="00D24FE9"/>
    <w:rsid w:val="00D26565"/>
    <w:rsid w:val="00D270EC"/>
    <w:rsid w:val="00D306B1"/>
    <w:rsid w:val="00D30E07"/>
    <w:rsid w:val="00D4058C"/>
    <w:rsid w:val="00D40911"/>
    <w:rsid w:val="00D41792"/>
    <w:rsid w:val="00D41C7F"/>
    <w:rsid w:val="00D4437B"/>
    <w:rsid w:val="00D467BC"/>
    <w:rsid w:val="00D47336"/>
    <w:rsid w:val="00D50B44"/>
    <w:rsid w:val="00D50DB1"/>
    <w:rsid w:val="00D518AC"/>
    <w:rsid w:val="00D54CB0"/>
    <w:rsid w:val="00D6022C"/>
    <w:rsid w:val="00D63559"/>
    <w:rsid w:val="00D64CDE"/>
    <w:rsid w:val="00D65D69"/>
    <w:rsid w:val="00D671E2"/>
    <w:rsid w:val="00D677C4"/>
    <w:rsid w:val="00D70A91"/>
    <w:rsid w:val="00D72077"/>
    <w:rsid w:val="00D72C18"/>
    <w:rsid w:val="00D73962"/>
    <w:rsid w:val="00D7418A"/>
    <w:rsid w:val="00D835EC"/>
    <w:rsid w:val="00D86D67"/>
    <w:rsid w:val="00D877CC"/>
    <w:rsid w:val="00D91A93"/>
    <w:rsid w:val="00D91F70"/>
    <w:rsid w:val="00D944F2"/>
    <w:rsid w:val="00D971F6"/>
    <w:rsid w:val="00DA00E9"/>
    <w:rsid w:val="00DA1393"/>
    <w:rsid w:val="00DA344A"/>
    <w:rsid w:val="00DA5682"/>
    <w:rsid w:val="00DA693F"/>
    <w:rsid w:val="00DA7B4C"/>
    <w:rsid w:val="00DB0369"/>
    <w:rsid w:val="00DB0B55"/>
    <w:rsid w:val="00DB1109"/>
    <w:rsid w:val="00DB7688"/>
    <w:rsid w:val="00DB77C2"/>
    <w:rsid w:val="00DB7A51"/>
    <w:rsid w:val="00DB7B9D"/>
    <w:rsid w:val="00DC3108"/>
    <w:rsid w:val="00DC75BC"/>
    <w:rsid w:val="00DD613E"/>
    <w:rsid w:val="00DE0FF5"/>
    <w:rsid w:val="00DE3992"/>
    <w:rsid w:val="00DE50E9"/>
    <w:rsid w:val="00DE5F4E"/>
    <w:rsid w:val="00DF01DE"/>
    <w:rsid w:val="00DF1AAC"/>
    <w:rsid w:val="00DF1DE9"/>
    <w:rsid w:val="00DF55C9"/>
    <w:rsid w:val="00DF630D"/>
    <w:rsid w:val="00DF6AE8"/>
    <w:rsid w:val="00DF7DE6"/>
    <w:rsid w:val="00E015DC"/>
    <w:rsid w:val="00E02BC7"/>
    <w:rsid w:val="00E03152"/>
    <w:rsid w:val="00E05650"/>
    <w:rsid w:val="00E0580F"/>
    <w:rsid w:val="00E06E4F"/>
    <w:rsid w:val="00E107CB"/>
    <w:rsid w:val="00E13289"/>
    <w:rsid w:val="00E1410B"/>
    <w:rsid w:val="00E15122"/>
    <w:rsid w:val="00E200D0"/>
    <w:rsid w:val="00E21309"/>
    <w:rsid w:val="00E223DC"/>
    <w:rsid w:val="00E254CE"/>
    <w:rsid w:val="00E31D70"/>
    <w:rsid w:val="00E3207F"/>
    <w:rsid w:val="00E32FE7"/>
    <w:rsid w:val="00E3351E"/>
    <w:rsid w:val="00E36858"/>
    <w:rsid w:val="00E3790A"/>
    <w:rsid w:val="00E42C69"/>
    <w:rsid w:val="00E439E9"/>
    <w:rsid w:val="00E45B96"/>
    <w:rsid w:val="00E46E00"/>
    <w:rsid w:val="00E474DE"/>
    <w:rsid w:val="00E478E6"/>
    <w:rsid w:val="00E511CB"/>
    <w:rsid w:val="00E53E79"/>
    <w:rsid w:val="00E54362"/>
    <w:rsid w:val="00E55BD2"/>
    <w:rsid w:val="00E56EB5"/>
    <w:rsid w:val="00E57B63"/>
    <w:rsid w:val="00E606D2"/>
    <w:rsid w:val="00E6216A"/>
    <w:rsid w:val="00E6433F"/>
    <w:rsid w:val="00E7396A"/>
    <w:rsid w:val="00E73BF3"/>
    <w:rsid w:val="00E743D8"/>
    <w:rsid w:val="00E839B9"/>
    <w:rsid w:val="00E849E4"/>
    <w:rsid w:val="00E8628B"/>
    <w:rsid w:val="00E864AF"/>
    <w:rsid w:val="00E92F46"/>
    <w:rsid w:val="00E9418F"/>
    <w:rsid w:val="00E9776C"/>
    <w:rsid w:val="00EA025C"/>
    <w:rsid w:val="00EA4696"/>
    <w:rsid w:val="00EA51DF"/>
    <w:rsid w:val="00EB2E6A"/>
    <w:rsid w:val="00EB6BE9"/>
    <w:rsid w:val="00EC18E3"/>
    <w:rsid w:val="00EC31C0"/>
    <w:rsid w:val="00EC34FB"/>
    <w:rsid w:val="00EC3BA4"/>
    <w:rsid w:val="00EC4356"/>
    <w:rsid w:val="00EC7A64"/>
    <w:rsid w:val="00ED088B"/>
    <w:rsid w:val="00ED264B"/>
    <w:rsid w:val="00ED2F2A"/>
    <w:rsid w:val="00ED3B6D"/>
    <w:rsid w:val="00ED603D"/>
    <w:rsid w:val="00ED6E1C"/>
    <w:rsid w:val="00ED78CD"/>
    <w:rsid w:val="00EE3524"/>
    <w:rsid w:val="00EE3712"/>
    <w:rsid w:val="00EE42AC"/>
    <w:rsid w:val="00EE48E0"/>
    <w:rsid w:val="00EE5290"/>
    <w:rsid w:val="00EE5647"/>
    <w:rsid w:val="00EF08A3"/>
    <w:rsid w:val="00EF0CCB"/>
    <w:rsid w:val="00EF2BDB"/>
    <w:rsid w:val="00EF36FF"/>
    <w:rsid w:val="00EF7898"/>
    <w:rsid w:val="00F0237A"/>
    <w:rsid w:val="00F03494"/>
    <w:rsid w:val="00F0697F"/>
    <w:rsid w:val="00F07471"/>
    <w:rsid w:val="00F07F9E"/>
    <w:rsid w:val="00F104F7"/>
    <w:rsid w:val="00F11D3A"/>
    <w:rsid w:val="00F1213A"/>
    <w:rsid w:val="00F16973"/>
    <w:rsid w:val="00F17819"/>
    <w:rsid w:val="00F17A71"/>
    <w:rsid w:val="00F213C9"/>
    <w:rsid w:val="00F228F0"/>
    <w:rsid w:val="00F2555E"/>
    <w:rsid w:val="00F27B56"/>
    <w:rsid w:val="00F27D98"/>
    <w:rsid w:val="00F27DE9"/>
    <w:rsid w:val="00F335C8"/>
    <w:rsid w:val="00F3511F"/>
    <w:rsid w:val="00F42B22"/>
    <w:rsid w:val="00F435B4"/>
    <w:rsid w:val="00F43FB4"/>
    <w:rsid w:val="00F5115F"/>
    <w:rsid w:val="00F53931"/>
    <w:rsid w:val="00F6219F"/>
    <w:rsid w:val="00F6743F"/>
    <w:rsid w:val="00F70060"/>
    <w:rsid w:val="00F70E90"/>
    <w:rsid w:val="00F71622"/>
    <w:rsid w:val="00F722A9"/>
    <w:rsid w:val="00F722D8"/>
    <w:rsid w:val="00F723C6"/>
    <w:rsid w:val="00F73360"/>
    <w:rsid w:val="00F75E8B"/>
    <w:rsid w:val="00F8051A"/>
    <w:rsid w:val="00F841DA"/>
    <w:rsid w:val="00F866AC"/>
    <w:rsid w:val="00F879BC"/>
    <w:rsid w:val="00F94146"/>
    <w:rsid w:val="00FA1CBB"/>
    <w:rsid w:val="00FA1D73"/>
    <w:rsid w:val="00FA25AD"/>
    <w:rsid w:val="00FA42F7"/>
    <w:rsid w:val="00FA46EA"/>
    <w:rsid w:val="00FA5078"/>
    <w:rsid w:val="00FA68A9"/>
    <w:rsid w:val="00FA731B"/>
    <w:rsid w:val="00FB2601"/>
    <w:rsid w:val="00FB4998"/>
    <w:rsid w:val="00FB525D"/>
    <w:rsid w:val="00FC032E"/>
    <w:rsid w:val="00FC1BB3"/>
    <w:rsid w:val="00FC2453"/>
    <w:rsid w:val="00FD06EA"/>
    <w:rsid w:val="00FD2553"/>
    <w:rsid w:val="00FD60A4"/>
    <w:rsid w:val="00FE0AA1"/>
    <w:rsid w:val="00FE1D29"/>
    <w:rsid w:val="00FE2E73"/>
    <w:rsid w:val="00FE5F42"/>
    <w:rsid w:val="00FE6510"/>
    <w:rsid w:val="00FE7753"/>
    <w:rsid w:val="00FF186F"/>
    <w:rsid w:val="00FF19DF"/>
    <w:rsid w:val="00FF3534"/>
    <w:rsid w:val="00FF6BB7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88DD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sk-SK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footer" w:uiPriority="99"/>
    <w:lsdException w:name="index heading" w:uiPriority="99"/>
    <w:lsdException w:name="caption" w:qFormat="1"/>
    <w:lsdException w:name="table of figures" w:uiPriority="99"/>
    <w:lsdException w:name="envelope address" w:uiPriority="99"/>
    <w:lsdException w:name="envelope return" w:uiPriority="99"/>
    <w:lsdException w:name="table of authorities" w:uiPriority="99"/>
    <w:lsdException w:name="toa heading" w:uiPriority="99"/>
    <w:lsdException w:name="Title" w:semiHidden="0" w:unhideWhenUsed="0" w:qFormat="1"/>
    <w:lsdException w:name="Closing" w:uiPriority="99"/>
    <w:lsdException w:name="Signature" w:uiPriority="99"/>
    <w:lsdException w:name="Default Paragraph Font" w:uiPriority="1"/>
    <w:lsdException w:name="Message Header" w:uiPriority="99"/>
    <w:lsdException w:name="Subtitle" w:semiHidden="0" w:uiPriority="11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Block Text" w:uiPriority="99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E-mail Signature" w:uiPriority="99"/>
    <w:lsdException w:name="HTML Top of Form" w:uiPriority="99"/>
    <w:lsdException w:name="HTML Bottom of Form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semiHidden="0" w:uiPriority="99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02514"/>
    <w:rPr>
      <w:rFonts w:eastAsia="MS Mincho"/>
      <w:sz w:val="24"/>
      <w:szCs w:val="24"/>
    </w:rPr>
  </w:style>
  <w:style w:type="paragraph" w:styleId="Nadpis1">
    <w:name w:val="heading 1"/>
    <w:next w:val="Paragraph"/>
    <w:link w:val="Nadpis1Char"/>
    <w:qFormat/>
    <w:rsid w:val="00202514"/>
    <w:pPr>
      <w:keepNext/>
      <w:numPr>
        <w:numId w:val="12"/>
      </w:numPr>
      <w:spacing w:before="120" w:after="120"/>
      <w:outlineLvl w:val="0"/>
    </w:pPr>
    <w:rPr>
      <w:rFonts w:eastAsia="MS Mincho"/>
      <w:b/>
      <w:bCs/>
      <w:caps/>
      <w:sz w:val="24"/>
      <w:szCs w:val="24"/>
    </w:rPr>
  </w:style>
  <w:style w:type="paragraph" w:styleId="Nadpis2">
    <w:name w:val="heading 2"/>
    <w:next w:val="Paragraph"/>
    <w:qFormat/>
    <w:rsid w:val="00202514"/>
    <w:pPr>
      <w:keepNext/>
      <w:numPr>
        <w:ilvl w:val="1"/>
        <w:numId w:val="12"/>
      </w:numPr>
      <w:spacing w:before="120" w:after="120"/>
      <w:outlineLvl w:val="1"/>
    </w:pPr>
    <w:rPr>
      <w:rFonts w:eastAsia="MS Mincho"/>
      <w:b/>
      <w:bCs/>
      <w:sz w:val="24"/>
      <w:szCs w:val="24"/>
    </w:rPr>
  </w:style>
  <w:style w:type="paragraph" w:styleId="Nadpis3">
    <w:name w:val="heading 3"/>
    <w:next w:val="Paragraph"/>
    <w:qFormat/>
    <w:rsid w:val="00202514"/>
    <w:pPr>
      <w:keepNext/>
      <w:numPr>
        <w:ilvl w:val="2"/>
        <w:numId w:val="12"/>
      </w:numPr>
      <w:spacing w:before="120" w:after="120"/>
      <w:outlineLvl w:val="2"/>
    </w:pPr>
    <w:rPr>
      <w:rFonts w:eastAsia="MS Mincho"/>
      <w:b/>
      <w:bCs/>
      <w:sz w:val="24"/>
      <w:szCs w:val="24"/>
    </w:rPr>
  </w:style>
  <w:style w:type="paragraph" w:styleId="Nadpis4">
    <w:name w:val="heading 4"/>
    <w:next w:val="Paragraph"/>
    <w:link w:val="Nadpis4Char"/>
    <w:qFormat/>
    <w:rsid w:val="00202514"/>
    <w:pPr>
      <w:keepNext/>
      <w:numPr>
        <w:ilvl w:val="3"/>
        <w:numId w:val="12"/>
      </w:numPr>
      <w:spacing w:before="120" w:after="120"/>
      <w:outlineLvl w:val="3"/>
    </w:pPr>
    <w:rPr>
      <w:rFonts w:eastAsia="MS Mincho"/>
      <w:b/>
      <w:bCs/>
      <w:sz w:val="24"/>
      <w:szCs w:val="24"/>
    </w:rPr>
  </w:style>
  <w:style w:type="paragraph" w:styleId="Nadpis5">
    <w:name w:val="heading 5"/>
    <w:next w:val="Paragraph"/>
    <w:link w:val="Nadpis5Char"/>
    <w:qFormat/>
    <w:rsid w:val="00202514"/>
    <w:pPr>
      <w:keepNext/>
      <w:numPr>
        <w:ilvl w:val="4"/>
        <w:numId w:val="12"/>
      </w:numPr>
      <w:spacing w:before="120" w:after="120"/>
      <w:outlineLvl w:val="4"/>
    </w:pPr>
    <w:rPr>
      <w:rFonts w:eastAsia="MS Mincho"/>
      <w:b/>
      <w:bCs/>
      <w:sz w:val="24"/>
      <w:szCs w:val="24"/>
    </w:rPr>
  </w:style>
  <w:style w:type="paragraph" w:styleId="Nadpis6">
    <w:name w:val="heading 6"/>
    <w:next w:val="Paragraph"/>
    <w:link w:val="Nadpis6Char"/>
    <w:qFormat/>
    <w:rsid w:val="00202514"/>
    <w:pPr>
      <w:keepNext/>
      <w:numPr>
        <w:ilvl w:val="5"/>
        <w:numId w:val="12"/>
      </w:numPr>
      <w:spacing w:before="120" w:after="120"/>
      <w:outlineLvl w:val="5"/>
    </w:pPr>
    <w:rPr>
      <w:rFonts w:eastAsia="MS Mincho"/>
      <w:b/>
      <w:sz w:val="24"/>
      <w:szCs w:val="24"/>
    </w:rPr>
  </w:style>
  <w:style w:type="paragraph" w:styleId="Nadpis7">
    <w:name w:val="heading 7"/>
    <w:next w:val="Paragraph"/>
    <w:link w:val="Nadpis7Char"/>
    <w:qFormat/>
    <w:rsid w:val="00202514"/>
    <w:pPr>
      <w:keepNext/>
      <w:numPr>
        <w:ilvl w:val="6"/>
        <w:numId w:val="12"/>
      </w:numPr>
      <w:spacing w:before="120" w:after="120"/>
      <w:outlineLvl w:val="6"/>
    </w:pPr>
    <w:rPr>
      <w:rFonts w:eastAsia="MS Mincho"/>
      <w:sz w:val="24"/>
      <w:szCs w:val="24"/>
    </w:rPr>
  </w:style>
  <w:style w:type="paragraph" w:styleId="Nadpis8">
    <w:name w:val="heading 8"/>
    <w:next w:val="Paragraph"/>
    <w:link w:val="Nadpis8Char"/>
    <w:qFormat/>
    <w:rsid w:val="00202514"/>
    <w:pPr>
      <w:keepNext/>
      <w:numPr>
        <w:ilvl w:val="7"/>
        <w:numId w:val="12"/>
      </w:numPr>
      <w:spacing w:before="120" w:after="120"/>
      <w:outlineLvl w:val="7"/>
    </w:pPr>
    <w:rPr>
      <w:rFonts w:eastAsia="MS Mincho"/>
      <w:sz w:val="24"/>
      <w:szCs w:val="24"/>
    </w:rPr>
  </w:style>
  <w:style w:type="paragraph" w:styleId="Nadpis9">
    <w:name w:val="heading 9"/>
    <w:next w:val="Paragraph"/>
    <w:link w:val="Nadpis9Char"/>
    <w:qFormat/>
    <w:rsid w:val="00202514"/>
    <w:pPr>
      <w:keepNext/>
      <w:numPr>
        <w:ilvl w:val="8"/>
        <w:numId w:val="12"/>
      </w:numPr>
      <w:spacing w:before="120" w:after="120"/>
      <w:outlineLvl w:val="8"/>
    </w:pPr>
    <w:rPr>
      <w:rFonts w:eastAsia="MS Mincho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link w:val="HlavikaChar"/>
    <w:rsid w:val="00202514"/>
    <w:pPr>
      <w:tabs>
        <w:tab w:val="right" w:pos="8640"/>
      </w:tabs>
    </w:pPr>
    <w:rPr>
      <w:rFonts w:eastAsia="MS Mincho"/>
    </w:rPr>
  </w:style>
  <w:style w:type="paragraph" w:styleId="Pta">
    <w:name w:val="footer"/>
    <w:link w:val="PtaChar"/>
    <w:uiPriority w:val="99"/>
    <w:rsid w:val="00202514"/>
    <w:pPr>
      <w:tabs>
        <w:tab w:val="center" w:pos="4320"/>
        <w:tab w:val="right" w:pos="8640"/>
      </w:tabs>
    </w:pPr>
    <w:rPr>
      <w:rFonts w:eastAsia="MS Mincho"/>
    </w:rPr>
  </w:style>
  <w:style w:type="character" w:styleId="slostrany">
    <w:name w:val="page number"/>
    <w:basedOn w:val="Predvolenpsmoodseku"/>
    <w:unhideWhenUsed/>
    <w:rsid w:val="00202514"/>
  </w:style>
  <w:style w:type="paragraph" w:styleId="Zarkazkladnhotextu">
    <w:name w:val="Body Text Indent"/>
    <w:basedOn w:val="Normlny"/>
    <w:link w:val="ZarkazkladnhotextuChar"/>
    <w:semiHidden/>
    <w:pPr>
      <w:autoSpaceDE w:val="0"/>
      <w:autoSpaceDN w:val="0"/>
      <w:adjustRightInd w:val="0"/>
      <w:ind w:left="720"/>
      <w:jc w:val="both"/>
    </w:pPr>
    <w:rPr>
      <w:szCs w:val="22"/>
    </w:rPr>
  </w:style>
  <w:style w:type="paragraph" w:styleId="Zkladntext3">
    <w:name w:val="Body Text 3"/>
    <w:basedOn w:val="Normlny"/>
    <w:link w:val="Zkladntext3Char"/>
    <w:semiHidden/>
    <w:pPr>
      <w:autoSpaceDE w:val="0"/>
      <w:autoSpaceDN w:val="0"/>
      <w:adjustRightInd w:val="0"/>
      <w:jc w:val="both"/>
    </w:pPr>
    <w:rPr>
      <w:color w:val="0000FF"/>
      <w:szCs w:val="22"/>
    </w:rPr>
  </w:style>
  <w:style w:type="paragraph" w:styleId="Zarkazkladnhotextu2">
    <w:name w:val="Body Text Indent 2"/>
    <w:basedOn w:val="Normlny"/>
    <w:link w:val="Zarkazkladnhotextu2Char"/>
    <w:semiHidden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semiHidden/>
    <w:rPr>
      <w:i/>
      <w:color w:val="008000"/>
    </w:rPr>
  </w:style>
  <w:style w:type="paragraph" w:styleId="Zkladntext2">
    <w:name w:val="Body Text 2"/>
    <w:basedOn w:val="Normlny"/>
    <w:link w:val="Zkladntext2Char"/>
    <w:semiHidden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basedOn w:val="Predvolenpsmoodseku"/>
    <w:semiHidden/>
    <w:rsid w:val="00280951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280951"/>
    <w:rPr>
      <w:sz w:val="20"/>
      <w:szCs w:val="20"/>
    </w:rPr>
  </w:style>
  <w:style w:type="paragraph" w:customStyle="1" w:styleId="TableRowHead">
    <w:name w:val="Table Row Head"/>
    <w:semiHidden/>
    <w:rsid w:val="00202514"/>
    <w:pPr>
      <w:tabs>
        <w:tab w:val="left" w:pos="360"/>
      </w:tabs>
      <w:spacing w:after="60"/>
    </w:pPr>
    <w:rPr>
      <w:sz w:val="24"/>
    </w:rPr>
  </w:style>
  <w:style w:type="paragraph" w:styleId="truktradokumentu">
    <w:name w:val="Document Map"/>
    <w:basedOn w:val="Normlny"/>
    <w:link w:val="truktradokumentuChar"/>
    <w:semiHidden/>
    <w:rsid w:val="00280951"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uiPriority w:val="99"/>
    <w:rsid w:val="00202514"/>
    <w:rPr>
      <w:color w:val="0000FF"/>
      <w:u w:val="none"/>
    </w:rPr>
  </w:style>
  <w:style w:type="paragraph" w:customStyle="1" w:styleId="AHeader1">
    <w:name w:val="AHeader 1"/>
    <w:basedOn w:val="Normlny"/>
    <w:pPr>
      <w:numPr>
        <w:numId w:val="1"/>
      </w:numPr>
      <w:spacing w:after="120"/>
    </w:pPr>
    <w:rPr>
      <w:rFonts w:ascii="Arial" w:hAnsi="Arial" w:cs="Arial"/>
      <w:b/>
      <w:bCs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link w:val="Zarkazkladnhotextu3Char"/>
    <w:semiHidden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sid w:val="00202514"/>
    <w:rPr>
      <w:color w:val="800080"/>
      <w:u w:val="none"/>
    </w:rPr>
  </w:style>
  <w:style w:type="paragraph" w:styleId="Textbubliny">
    <w:name w:val="Balloon Text"/>
    <w:basedOn w:val="Normlny"/>
    <w:link w:val="TextbublinyChar"/>
    <w:rsid w:val="00202514"/>
    <w:rPr>
      <w:rFonts w:ascii="Tahoma" w:hAnsi="Tahoma" w:cs="Tahoma"/>
      <w:sz w:val="16"/>
      <w:szCs w:val="16"/>
    </w:rPr>
  </w:style>
  <w:style w:type="character" w:customStyle="1" w:styleId="HlavikaChar">
    <w:name w:val="Hlavička Char"/>
    <w:link w:val="Hlavika"/>
    <w:rsid w:val="00AC655A"/>
    <w:rPr>
      <w:rFonts w:eastAsia="MS Mincho"/>
    </w:rPr>
  </w:style>
  <w:style w:type="paragraph" w:styleId="Revzia">
    <w:name w:val="Revision"/>
    <w:hidden/>
    <w:uiPriority w:val="99"/>
    <w:semiHidden/>
    <w:rsid w:val="00DF7DE6"/>
    <w:rPr>
      <w:sz w:val="22"/>
    </w:rPr>
  </w:style>
  <w:style w:type="paragraph" w:styleId="Odsekzoznamu">
    <w:name w:val="List Paragraph"/>
    <w:basedOn w:val="Normlny"/>
    <w:uiPriority w:val="34"/>
    <w:qFormat/>
    <w:rsid w:val="001435FC"/>
    <w:pPr>
      <w:ind w:left="720"/>
    </w:pPr>
    <w:rPr>
      <w:rFonts w:ascii="Calibri" w:eastAsia="Calibri" w:hAnsi="Calibri"/>
      <w:szCs w:val="22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280951"/>
    <w:rPr>
      <w:b/>
      <w:bCs/>
    </w:rPr>
  </w:style>
  <w:style w:type="character" w:customStyle="1" w:styleId="TextkomentraChar">
    <w:name w:val="Text komentára Char"/>
    <w:link w:val="Textkomentra"/>
    <w:rsid w:val="008D4375"/>
  </w:style>
  <w:style w:type="character" w:customStyle="1" w:styleId="PredmetkomentraChar">
    <w:name w:val="Predmet komentára Char"/>
    <w:link w:val="Predmetkomentra"/>
    <w:semiHidden/>
    <w:rsid w:val="008D4375"/>
    <w:rPr>
      <w:b/>
      <w:bCs/>
    </w:rPr>
  </w:style>
  <w:style w:type="paragraph" w:styleId="Nzov">
    <w:name w:val="Title"/>
    <w:link w:val="NzovChar"/>
    <w:qFormat/>
    <w:rsid w:val="00202514"/>
    <w:pPr>
      <w:spacing w:before="400" w:after="400"/>
      <w:jc w:val="center"/>
    </w:pPr>
    <w:rPr>
      <w:b/>
      <w:bCs/>
      <w:sz w:val="24"/>
      <w:szCs w:val="24"/>
    </w:rPr>
  </w:style>
  <w:style w:type="character" w:customStyle="1" w:styleId="NzovChar">
    <w:name w:val="Názov Char"/>
    <w:basedOn w:val="Predvolenpsmoodseku"/>
    <w:link w:val="Nzov"/>
    <w:rsid w:val="00966D4B"/>
    <w:rPr>
      <w:b/>
      <w:bCs/>
      <w:sz w:val="24"/>
      <w:szCs w:val="24"/>
    </w:rPr>
  </w:style>
  <w:style w:type="character" w:customStyle="1" w:styleId="TextbublinyChar">
    <w:name w:val="Text bubliny Char"/>
    <w:link w:val="Textbubliny"/>
    <w:rsid w:val="00202514"/>
    <w:rPr>
      <w:rFonts w:ascii="Tahoma" w:eastAsia="MS Mincho" w:hAnsi="Tahoma" w:cs="Tahoma"/>
      <w:sz w:val="16"/>
      <w:szCs w:val="16"/>
    </w:rPr>
  </w:style>
  <w:style w:type="character" w:customStyle="1" w:styleId="PtaChar">
    <w:name w:val="Päta Char"/>
    <w:link w:val="Pta"/>
    <w:uiPriority w:val="99"/>
    <w:rsid w:val="00966D4B"/>
    <w:rPr>
      <w:rFonts w:eastAsia="MS Mincho"/>
    </w:rPr>
  </w:style>
  <w:style w:type="character" w:customStyle="1" w:styleId="Nadpis4Char">
    <w:name w:val="Nadpis 4 Char"/>
    <w:link w:val="Nadpis4"/>
    <w:rsid w:val="00966D4B"/>
    <w:rPr>
      <w:rFonts w:eastAsia="MS Mincho"/>
      <w:b/>
      <w:bCs/>
      <w:sz w:val="24"/>
      <w:szCs w:val="24"/>
    </w:rPr>
  </w:style>
  <w:style w:type="character" w:customStyle="1" w:styleId="Nadpis5Char">
    <w:name w:val="Nadpis 5 Char"/>
    <w:link w:val="Nadpis5"/>
    <w:rsid w:val="00966D4B"/>
    <w:rPr>
      <w:rFonts w:eastAsia="MS Mincho"/>
      <w:b/>
      <w:bCs/>
      <w:sz w:val="24"/>
      <w:szCs w:val="24"/>
    </w:rPr>
  </w:style>
  <w:style w:type="character" w:customStyle="1" w:styleId="Nadpis6Char">
    <w:name w:val="Nadpis 6 Char"/>
    <w:link w:val="Nadpis6"/>
    <w:rsid w:val="00966D4B"/>
    <w:rPr>
      <w:rFonts w:eastAsia="MS Mincho"/>
      <w:b/>
      <w:sz w:val="24"/>
      <w:szCs w:val="24"/>
    </w:rPr>
  </w:style>
  <w:style w:type="character" w:customStyle="1" w:styleId="Nadpis7Char">
    <w:name w:val="Nadpis 7 Char"/>
    <w:link w:val="Nadpis7"/>
    <w:rsid w:val="00966D4B"/>
    <w:rPr>
      <w:rFonts w:eastAsia="MS Mincho"/>
      <w:sz w:val="24"/>
      <w:szCs w:val="24"/>
    </w:rPr>
  </w:style>
  <w:style w:type="character" w:customStyle="1" w:styleId="Nadpis8Char">
    <w:name w:val="Nadpis 8 Char"/>
    <w:link w:val="Nadpis8"/>
    <w:rsid w:val="00966D4B"/>
    <w:rPr>
      <w:rFonts w:eastAsia="MS Mincho"/>
      <w:sz w:val="24"/>
      <w:szCs w:val="24"/>
    </w:rPr>
  </w:style>
  <w:style w:type="character" w:customStyle="1" w:styleId="Nadpis9Char">
    <w:name w:val="Nadpis 9 Char"/>
    <w:link w:val="Nadpis9"/>
    <w:rsid w:val="00966D4B"/>
    <w:rPr>
      <w:rFonts w:eastAsia="MS Mincho"/>
      <w:sz w:val="24"/>
      <w:szCs w:val="24"/>
    </w:rPr>
  </w:style>
  <w:style w:type="character" w:customStyle="1" w:styleId="ZarkazkladnhotextuChar">
    <w:name w:val="Zarážka základného textu Char"/>
    <w:link w:val="Zarkazkladnhotextu"/>
    <w:semiHidden/>
    <w:rsid w:val="00966D4B"/>
    <w:rPr>
      <w:sz w:val="22"/>
      <w:szCs w:val="22"/>
    </w:rPr>
  </w:style>
  <w:style w:type="character" w:customStyle="1" w:styleId="Zkladntext3Char">
    <w:name w:val="Základný text 3 Char"/>
    <w:link w:val="Zkladntext3"/>
    <w:semiHidden/>
    <w:rsid w:val="00966D4B"/>
    <w:rPr>
      <w:color w:val="0000FF"/>
      <w:sz w:val="22"/>
      <w:szCs w:val="22"/>
    </w:rPr>
  </w:style>
  <w:style w:type="character" w:customStyle="1" w:styleId="Zarkazkladnhotextu2Char">
    <w:name w:val="Zarážka základného textu 2 Char"/>
    <w:link w:val="Zarkazkladnhotextu2"/>
    <w:semiHidden/>
    <w:rsid w:val="00966D4B"/>
    <w:rPr>
      <w:b/>
      <w:bCs/>
      <w:color w:val="0000FF"/>
      <w:sz w:val="22"/>
      <w:szCs w:val="22"/>
    </w:rPr>
  </w:style>
  <w:style w:type="character" w:customStyle="1" w:styleId="Zkladntext2Char">
    <w:name w:val="Základný text 2 Char"/>
    <w:link w:val="Zkladntext2"/>
    <w:semiHidden/>
    <w:rsid w:val="00966D4B"/>
    <w:rPr>
      <w:b/>
      <w:bCs/>
      <w:color w:val="0000FF"/>
      <w:sz w:val="22"/>
      <w:szCs w:val="22"/>
      <w:u w:val="single"/>
    </w:rPr>
  </w:style>
  <w:style w:type="character" w:customStyle="1" w:styleId="truktradokumentuChar">
    <w:name w:val="Štruktúra dokumentu Char"/>
    <w:link w:val="truktradokumentu"/>
    <w:semiHidden/>
    <w:rsid w:val="00966D4B"/>
    <w:rPr>
      <w:rFonts w:ascii="Tahoma" w:hAnsi="Tahoma" w:cs="Tahoma"/>
      <w:sz w:val="24"/>
      <w:szCs w:val="24"/>
      <w:shd w:val="clear" w:color="auto" w:fill="000080"/>
    </w:rPr>
  </w:style>
  <w:style w:type="character" w:customStyle="1" w:styleId="Zarkazkladnhotextu3Char">
    <w:name w:val="Zarážka základného textu 3 Char"/>
    <w:link w:val="Zarkazkladnhotextu3"/>
    <w:semiHidden/>
    <w:rsid w:val="00966D4B"/>
    <w:rPr>
      <w:sz w:val="22"/>
      <w:szCs w:val="21"/>
    </w:rPr>
  </w:style>
  <w:style w:type="paragraph" w:styleId="Popis">
    <w:name w:val="caption"/>
    <w:next w:val="Paragraph"/>
    <w:qFormat/>
    <w:rsid w:val="00202514"/>
    <w:pPr>
      <w:keepNext/>
      <w:spacing w:before="120" w:after="120"/>
      <w:jc w:val="center"/>
    </w:pPr>
    <w:rPr>
      <w:rFonts w:eastAsia="MS Mincho"/>
      <w:b/>
      <w:bCs/>
      <w:sz w:val="24"/>
      <w:szCs w:val="24"/>
    </w:rPr>
  </w:style>
  <w:style w:type="paragraph" w:customStyle="1" w:styleId="HeaderLandscape">
    <w:name w:val="HeaderLandscape"/>
    <w:rsid w:val="00202514"/>
    <w:pPr>
      <w:tabs>
        <w:tab w:val="right" w:pos="12600"/>
      </w:tabs>
    </w:pPr>
    <w:rPr>
      <w:rFonts w:eastAsia="MS Mincho"/>
    </w:rPr>
  </w:style>
  <w:style w:type="paragraph" w:customStyle="1" w:styleId="FooterLandscape">
    <w:name w:val="FooterLandscape"/>
    <w:rsid w:val="00202514"/>
    <w:pPr>
      <w:tabs>
        <w:tab w:val="center" w:pos="6300"/>
        <w:tab w:val="right" w:pos="12600"/>
      </w:tabs>
    </w:pPr>
    <w:rPr>
      <w:rFonts w:eastAsia="MS Mincho"/>
    </w:rPr>
  </w:style>
  <w:style w:type="character" w:customStyle="1" w:styleId="UserTips">
    <w:name w:val="User Tips"/>
    <w:rsid w:val="00202514"/>
    <w:rPr>
      <w:i/>
      <w:vanish/>
      <w:color w:val="FF6600"/>
    </w:rPr>
  </w:style>
  <w:style w:type="paragraph" w:customStyle="1" w:styleId="TableCenter">
    <w:name w:val="Table Center"/>
    <w:rsid w:val="00202514"/>
    <w:pPr>
      <w:spacing w:before="60" w:after="60"/>
      <w:jc w:val="center"/>
    </w:pPr>
  </w:style>
  <w:style w:type="paragraph" w:customStyle="1" w:styleId="TableLeft">
    <w:name w:val="Table Left"/>
    <w:rsid w:val="00202514"/>
    <w:pPr>
      <w:spacing w:before="60" w:after="60"/>
    </w:pPr>
  </w:style>
  <w:style w:type="paragraph" w:customStyle="1" w:styleId="TableFixedWidth">
    <w:name w:val="Table Fixed Width"/>
    <w:rsid w:val="00280951"/>
    <w:pPr>
      <w:spacing w:before="60"/>
    </w:pPr>
    <w:rPr>
      <w:rFonts w:ascii="Courier New" w:hAnsi="Courier New"/>
    </w:rPr>
  </w:style>
  <w:style w:type="paragraph" w:customStyle="1" w:styleId="TableFootnoteSymbol">
    <w:name w:val="Table Footnote Symbol"/>
    <w:rsid w:val="00202514"/>
    <w:pPr>
      <w:tabs>
        <w:tab w:val="left" w:pos="115"/>
      </w:tabs>
      <w:spacing w:before="60" w:after="60"/>
    </w:pPr>
  </w:style>
  <w:style w:type="paragraph" w:customStyle="1" w:styleId="TableFootnoteLetter">
    <w:name w:val="Table Footnote Letter"/>
    <w:rsid w:val="00202514"/>
    <w:pPr>
      <w:numPr>
        <w:numId w:val="14"/>
      </w:numPr>
      <w:spacing w:before="60" w:after="60"/>
    </w:pPr>
  </w:style>
  <w:style w:type="paragraph" w:customStyle="1" w:styleId="TableEndofTextTitle">
    <w:name w:val="Table End of Text Title"/>
    <w:next w:val="TableHead"/>
    <w:rsid w:val="00202514"/>
    <w:pPr>
      <w:keepNext/>
      <w:spacing w:before="120" w:after="120"/>
      <w:jc w:val="center"/>
    </w:pPr>
    <w:rPr>
      <w:b/>
      <w:bCs/>
      <w:sz w:val="24"/>
      <w:szCs w:val="24"/>
    </w:rPr>
  </w:style>
  <w:style w:type="paragraph" w:customStyle="1" w:styleId="TableTitleContinued">
    <w:name w:val="Table Title Continued"/>
    <w:next w:val="Paragraph"/>
    <w:rsid w:val="00202514"/>
    <w:pPr>
      <w:keepNext/>
      <w:spacing w:before="120" w:after="120"/>
      <w:jc w:val="center"/>
    </w:pPr>
    <w:rPr>
      <w:rFonts w:eastAsia="MS Mincho"/>
      <w:b/>
      <w:bCs/>
      <w:sz w:val="24"/>
      <w:szCs w:val="24"/>
    </w:rPr>
  </w:style>
  <w:style w:type="paragraph" w:customStyle="1" w:styleId="FigureEndofTextTitle">
    <w:name w:val="Figure End of Text Title"/>
    <w:next w:val="Figure"/>
    <w:rsid w:val="00202514"/>
    <w:pPr>
      <w:keepNext/>
      <w:spacing w:before="120" w:after="120"/>
      <w:jc w:val="center"/>
    </w:pPr>
    <w:rPr>
      <w:b/>
      <w:bCs/>
      <w:sz w:val="24"/>
      <w:szCs w:val="24"/>
    </w:rPr>
  </w:style>
  <w:style w:type="paragraph" w:styleId="slovanzoznam2">
    <w:name w:val="List Number 2"/>
    <w:rsid w:val="00202514"/>
    <w:pPr>
      <w:numPr>
        <w:numId w:val="15"/>
      </w:numPr>
      <w:spacing w:before="60" w:after="60" w:line="360" w:lineRule="exact"/>
    </w:pPr>
    <w:rPr>
      <w:sz w:val="24"/>
      <w:szCs w:val="24"/>
    </w:rPr>
  </w:style>
  <w:style w:type="paragraph" w:styleId="slovanzoznam3">
    <w:name w:val="List Number 3"/>
    <w:rsid w:val="00202514"/>
    <w:pPr>
      <w:numPr>
        <w:numId w:val="16"/>
      </w:numPr>
      <w:spacing w:before="60" w:after="60" w:line="360" w:lineRule="exact"/>
    </w:pPr>
    <w:rPr>
      <w:sz w:val="24"/>
      <w:szCs w:val="24"/>
    </w:rPr>
  </w:style>
  <w:style w:type="paragraph" w:customStyle="1" w:styleId="ListLetter2">
    <w:name w:val="List Letter 2"/>
    <w:rsid w:val="00202514"/>
    <w:pPr>
      <w:numPr>
        <w:numId w:val="17"/>
      </w:numPr>
      <w:spacing w:before="60" w:after="60" w:line="360" w:lineRule="exact"/>
    </w:pPr>
    <w:rPr>
      <w:sz w:val="24"/>
      <w:szCs w:val="24"/>
    </w:rPr>
  </w:style>
  <w:style w:type="paragraph" w:customStyle="1" w:styleId="ListLetter3">
    <w:name w:val="List Letter 3"/>
    <w:rsid w:val="00202514"/>
    <w:pPr>
      <w:numPr>
        <w:numId w:val="18"/>
      </w:numPr>
      <w:spacing w:before="60" w:after="60" w:line="360" w:lineRule="exact"/>
    </w:pPr>
    <w:rPr>
      <w:sz w:val="24"/>
      <w:szCs w:val="24"/>
    </w:rPr>
  </w:style>
  <w:style w:type="paragraph" w:customStyle="1" w:styleId="Equation">
    <w:name w:val="Equation"/>
    <w:next w:val="Paragraph"/>
    <w:rsid w:val="00202514"/>
    <w:pPr>
      <w:keepLines/>
      <w:spacing w:before="120" w:after="240" w:line="288" w:lineRule="auto"/>
      <w:jc w:val="center"/>
    </w:pPr>
    <w:rPr>
      <w:rFonts w:eastAsia="MS Mincho"/>
      <w:sz w:val="24"/>
      <w:szCs w:val="24"/>
    </w:rPr>
  </w:style>
  <w:style w:type="paragraph" w:customStyle="1" w:styleId="EquationTitle">
    <w:name w:val="Equation Title"/>
    <w:next w:val="Paragraph"/>
    <w:rsid w:val="00202514"/>
    <w:pPr>
      <w:keepNext/>
      <w:spacing w:before="120" w:after="120"/>
      <w:jc w:val="center"/>
    </w:pPr>
    <w:rPr>
      <w:rFonts w:eastAsia="MS Mincho"/>
      <w:b/>
      <w:bCs/>
      <w:sz w:val="24"/>
      <w:szCs w:val="24"/>
    </w:rPr>
  </w:style>
  <w:style w:type="paragraph" w:customStyle="1" w:styleId="CaptionContinued">
    <w:name w:val="Caption Continued"/>
    <w:next w:val="Paragraph"/>
    <w:rsid w:val="00202514"/>
    <w:pPr>
      <w:keepNext/>
      <w:spacing w:before="120" w:after="120"/>
      <w:jc w:val="center"/>
    </w:pPr>
    <w:rPr>
      <w:rFonts w:eastAsia="MS Mincho"/>
      <w:b/>
      <w:bCs/>
      <w:sz w:val="24"/>
      <w:szCs w:val="24"/>
    </w:rPr>
  </w:style>
  <w:style w:type="paragraph" w:customStyle="1" w:styleId="Paragraph">
    <w:name w:val="Paragraph"/>
    <w:link w:val="ParagraphChar"/>
    <w:rsid w:val="00202514"/>
    <w:pPr>
      <w:spacing w:before="120" w:after="240" w:line="288" w:lineRule="auto"/>
    </w:pPr>
    <w:rPr>
      <w:rFonts w:eastAsia="MS Mincho"/>
      <w:sz w:val="24"/>
      <w:szCs w:val="24"/>
    </w:rPr>
  </w:style>
  <w:style w:type="paragraph" w:customStyle="1" w:styleId="Appendix">
    <w:name w:val="Appendix"/>
    <w:next w:val="Paragraph"/>
    <w:rsid w:val="00202514"/>
    <w:pPr>
      <w:keepNext/>
      <w:pageBreakBefore/>
      <w:numPr>
        <w:numId w:val="2"/>
      </w:numPr>
      <w:spacing w:before="120" w:after="120"/>
    </w:pPr>
    <w:rPr>
      <w:rFonts w:eastAsia="MS Mincho"/>
      <w:b/>
      <w:bCs/>
      <w:sz w:val="24"/>
      <w:szCs w:val="24"/>
    </w:rPr>
  </w:style>
  <w:style w:type="paragraph" w:customStyle="1" w:styleId="Approval">
    <w:name w:val="Approval"/>
    <w:rsid w:val="00202514"/>
    <w:pPr>
      <w:tabs>
        <w:tab w:val="left" w:pos="1080"/>
        <w:tab w:val="left" w:pos="5040"/>
        <w:tab w:val="left" w:pos="5760"/>
        <w:tab w:val="left" w:pos="6480"/>
        <w:tab w:val="left" w:pos="8640"/>
      </w:tabs>
    </w:pPr>
    <w:rPr>
      <w:rFonts w:eastAsia="MS Mincho"/>
      <w:sz w:val="24"/>
      <w:szCs w:val="24"/>
    </w:rPr>
  </w:style>
  <w:style w:type="character" w:customStyle="1" w:styleId="Citation">
    <w:name w:val="Citation"/>
    <w:rsid w:val="00202514"/>
    <w:rPr>
      <w:color w:val="auto"/>
      <w:vertAlign w:val="superscript"/>
    </w:rPr>
  </w:style>
  <w:style w:type="paragraph" w:customStyle="1" w:styleId="Confidentiality">
    <w:name w:val="Confidentiality"/>
    <w:rsid w:val="00202514"/>
    <w:pPr>
      <w:ind w:left="720"/>
    </w:pPr>
    <w:rPr>
      <w:rFonts w:eastAsia="MS Mincho"/>
      <w:sz w:val="24"/>
      <w:szCs w:val="24"/>
    </w:rPr>
  </w:style>
  <w:style w:type="character" w:styleId="Odkaznavysvetlivku">
    <w:name w:val="endnote reference"/>
    <w:semiHidden/>
    <w:rsid w:val="00202514"/>
    <w:rPr>
      <w:color w:val="auto"/>
      <w:vertAlign w:val="superscript"/>
    </w:rPr>
  </w:style>
  <w:style w:type="paragraph" w:styleId="Textvysvetlivky">
    <w:name w:val="endnote text"/>
    <w:link w:val="TextvysvetlivkyChar"/>
    <w:semiHidden/>
    <w:rsid w:val="00202514"/>
    <w:rPr>
      <w:rFonts w:eastAsia="MS Mincho"/>
    </w:rPr>
  </w:style>
  <w:style w:type="character" w:customStyle="1" w:styleId="TextvysvetlivkyChar">
    <w:name w:val="Text vysvetlivky Char"/>
    <w:basedOn w:val="Predvolenpsmoodseku"/>
    <w:link w:val="Textvysvetlivky"/>
    <w:semiHidden/>
    <w:rsid w:val="009C0D8D"/>
    <w:rPr>
      <w:rFonts w:eastAsia="MS Mincho"/>
    </w:rPr>
  </w:style>
  <w:style w:type="paragraph" w:customStyle="1" w:styleId="Figure">
    <w:name w:val="Figure"/>
    <w:next w:val="ListEnd"/>
    <w:rsid w:val="00202514"/>
    <w:pPr>
      <w:spacing w:before="120" w:after="240" w:line="288" w:lineRule="auto"/>
      <w:jc w:val="center"/>
    </w:pPr>
    <w:rPr>
      <w:rFonts w:eastAsia="MS Mincho"/>
      <w:sz w:val="24"/>
      <w:szCs w:val="24"/>
    </w:rPr>
  </w:style>
  <w:style w:type="paragraph" w:customStyle="1" w:styleId="FigureTitle">
    <w:name w:val="Figure Title"/>
    <w:next w:val="Paragraph"/>
    <w:rsid w:val="00202514"/>
    <w:pPr>
      <w:keepNext/>
      <w:spacing w:before="120" w:after="120"/>
      <w:jc w:val="center"/>
    </w:pPr>
    <w:rPr>
      <w:rFonts w:eastAsia="MS Mincho"/>
      <w:b/>
      <w:bCs/>
      <w:sz w:val="24"/>
      <w:szCs w:val="24"/>
    </w:rPr>
  </w:style>
  <w:style w:type="paragraph" w:customStyle="1" w:styleId="TableTitle">
    <w:name w:val="Table Title"/>
    <w:next w:val="Paragraph"/>
    <w:rsid w:val="00202514"/>
    <w:pPr>
      <w:keepNext/>
      <w:spacing w:before="120" w:after="120"/>
      <w:jc w:val="center"/>
    </w:pPr>
    <w:rPr>
      <w:rFonts w:eastAsia="MS Mincho"/>
      <w:b/>
      <w:bCs/>
      <w:sz w:val="24"/>
      <w:szCs w:val="24"/>
    </w:rPr>
  </w:style>
  <w:style w:type="character" w:styleId="Odkaznapoznmkupodiarou">
    <w:name w:val="footnote reference"/>
    <w:semiHidden/>
    <w:rsid w:val="00202514"/>
    <w:rPr>
      <w:color w:val="auto"/>
      <w:sz w:val="20"/>
      <w:vertAlign w:val="superscript"/>
    </w:rPr>
  </w:style>
  <w:style w:type="paragraph" w:styleId="Textpoznmkypodiarou">
    <w:name w:val="footnote text"/>
    <w:link w:val="TextpoznmkypodiarouChar"/>
    <w:semiHidden/>
    <w:rsid w:val="00202514"/>
    <w:rPr>
      <w:rFonts w:eastAsia="MS Mincho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9C0D8D"/>
    <w:rPr>
      <w:rFonts w:eastAsia="MS Mincho"/>
    </w:rPr>
  </w:style>
  <w:style w:type="character" w:customStyle="1" w:styleId="Instructions">
    <w:name w:val="Instructions"/>
    <w:rsid w:val="00202514"/>
    <w:rPr>
      <w:rFonts w:ascii="Arial" w:eastAsia="MS Gothic" w:hAnsi="Arial" w:cs="Arial"/>
      <w:i/>
      <w:vanish/>
      <w:color w:val="008080"/>
      <w:sz w:val="20"/>
    </w:rPr>
  </w:style>
  <w:style w:type="paragraph" w:customStyle="1" w:styleId="ListEnd">
    <w:name w:val="List End"/>
    <w:next w:val="Paragraph"/>
    <w:rsid w:val="00202514"/>
    <w:rPr>
      <w:rFonts w:eastAsia="MS Mincho"/>
      <w:sz w:val="24"/>
      <w:szCs w:val="24"/>
    </w:rPr>
  </w:style>
  <w:style w:type="paragraph" w:customStyle="1" w:styleId="References">
    <w:name w:val="References"/>
    <w:rsid w:val="00202514"/>
    <w:pPr>
      <w:keepLines/>
      <w:numPr>
        <w:numId w:val="3"/>
      </w:numPr>
      <w:spacing w:after="240" w:line="288" w:lineRule="auto"/>
    </w:pPr>
    <w:rPr>
      <w:rFonts w:eastAsia="MS Mincho"/>
      <w:sz w:val="24"/>
      <w:szCs w:val="24"/>
    </w:rPr>
  </w:style>
  <w:style w:type="paragraph" w:customStyle="1" w:styleId="ListCircle">
    <w:name w:val="List Circle"/>
    <w:rsid w:val="00202514"/>
    <w:pPr>
      <w:numPr>
        <w:numId w:val="24"/>
      </w:numPr>
      <w:spacing w:before="60" w:after="60" w:line="360" w:lineRule="exact"/>
    </w:pPr>
    <w:rPr>
      <w:rFonts w:eastAsia="MS Mincho"/>
      <w:sz w:val="24"/>
      <w:szCs w:val="24"/>
    </w:rPr>
  </w:style>
  <w:style w:type="paragraph" w:customStyle="1" w:styleId="TableHead">
    <w:name w:val="Table Head"/>
    <w:rsid w:val="00202514"/>
    <w:pPr>
      <w:keepNext/>
      <w:spacing w:before="60" w:after="60"/>
      <w:jc w:val="center"/>
    </w:pPr>
    <w:rPr>
      <w:rFonts w:eastAsia="MS Mincho"/>
      <w:b/>
    </w:rPr>
  </w:style>
  <w:style w:type="paragraph" w:customStyle="1" w:styleId="TableFootnote">
    <w:name w:val="Table Footnote"/>
    <w:rsid w:val="00202514"/>
    <w:pPr>
      <w:numPr>
        <w:numId w:val="4"/>
      </w:numPr>
      <w:spacing w:before="60" w:after="60"/>
    </w:pPr>
    <w:rPr>
      <w:rFonts w:eastAsia="MS Mincho"/>
    </w:rPr>
  </w:style>
  <w:style w:type="paragraph" w:styleId="Obsah1">
    <w:name w:val="toc 1"/>
    <w:uiPriority w:val="39"/>
    <w:rsid w:val="00202514"/>
    <w:pPr>
      <w:tabs>
        <w:tab w:val="left" w:pos="245"/>
        <w:tab w:val="right" w:leader="dot" w:pos="8640"/>
      </w:tabs>
      <w:spacing w:before="360" w:after="120"/>
      <w:ind w:left="245" w:right="360" w:hanging="245"/>
    </w:pPr>
    <w:rPr>
      <w:rFonts w:eastAsia="MS Mincho"/>
      <w:b/>
      <w:bCs/>
      <w:caps/>
      <w:noProof/>
      <w:sz w:val="24"/>
      <w:szCs w:val="24"/>
    </w:rPr>
  </w:style>
  <w:style w:type="paragraph" w:styleId="Obsah2">
    <w:name w:val="toc 2"/>
    <w:uiPriority w:val="39"/>
    <w:rsid w:val="00202514"/>
    <w:pPr>
      <w:tabs>
        <w:tab w:val="left" w:pos="605"/>
        <w:tab w:val="right" w:leader="dot" w:pos="8640"/>
      </w:tabs>
      <w:ind w:left="605" w:right="360" w:hanging="360"/>
    </w:pPr>
    <w:rPr>
      <w:rFonts w:eastAsia="MS Mincho"/>
      <w:b/>
      <w:bCs/>
      <w:noProof/>
      <w:sz w:val="24"/>
      <w:szCs w:val="24"/>
    </w:rPr>
  </w:style>
  <w:style w:type="paragraph" w:styleId="Obsah3">
    <w:name w:val="toc 3"/>
    <w:uiPriority w:val="39"/>
    <w:rsid w:val="00202514"/>
    <w:pPr>
      <w:tabs>
        <w:tab w:val="left" w:pos="1051"/>
        <w:tab w:val="right" w:leader="dot" w:pos="8640"/>
      </w:tabs>
      <w:ind w:left="1052" w:right="360" w:hanging="562"/>
    </w:pPr>
    <w:rPr>
      <w:rFonts w:eastAsia="MS Mincho"/>
      <w:b/>
      <w:bCs/>
      <w:noProof/>
      <w:sz w:val="24"/>
      <w:szCs w:val="24"/>
    </w:rPr>
  </w:style>
  <w:style w:type="paragraph" w:styleId="Obsah4">
    <w:name w:val="toc 4"/>
    <w:uiPriority w:val="39"/>
    <w:rsid w:val="00202514"/>
    <w:pPr>
      <w:tabs>
        <w:tab w:val="left" w:pos="1454"/>
        <w:tab w:val="right" w:leader="dot" w:pos="8640"/>
      </w:tabs>
      <w:ind w:left="1454" w:right="360" w:hanging="720"/>
    </w:pPr>
    <w:rPr>
      <w:rFonts w:eastAsia="MS Mincho"/>
      <w:b/>
      <w:bCs/>
      <w:noProof/>
      <w:sz w:val="24"/>
      <w:szCs w:val="24"/>
    </w:rPr>
  </w:style>
  <w:style w:type="paragraph" w:styleId="Obsah5">
    <w:name w:val="toc 5"/>
    <w:rsid w:val="00202514"/>
    <w:pPr>
      <w:tabs>
        <w:tab w:val="left" w:pos="1670"/>
        <w:tab w:val="right" w:leader="dot" w:pos="8640"/>
      </w:tabs>
      <w:ind w:left="1670" w:right="360" w:hanging="720"/>
    </w:pPr>
    <w:rPr>
      <w:rFonts w:eastAsia="MS Mincho"/>
      <w:noProof/>
      <w:sz w:val="24"/>
      <w:szCs w:val="24"/>
    </w:rPr>
  </w:style>
  <w:style w:type="paragraph" w:styleId="Obsah6">
    <w:name w:val="toc 6"/>
    <w:rsid w:val="00202514"/>
    <w:pPr>
      <w:tabs>
        <w:tab w:val="left" w:pos="2275"/>
        <w:tab w:val="right" w:leader="dot" w:pos="8640"/>
      </w:tabs>
      <w:ind w:left="2275" w:right="360" w:hanging="1080"/>
    </w:pPr>
    <w:rPr>
      <w:rFonts w:eastAsia="MS Mincho"/>
      <w:noProof/>
      <w:sz w:val="24"/>
      <w:szCs w:val="24"/>
    </w:rPr>
  </w:style>
  <w:style w:type="paragraph" w:styleId="Obsah7">
    <w:name w:val="toc 7"/>
    <w:semiHidden/>
    <w:rsid w:val="00202514"/>
    <w:pPr>
      <w:tabs>
        <w:tab w:val="left" w:pos="2736"/>
        <w:tab w:val="right" w:leader="dot" w:pos="8640"/>
      </w:tabs>
      <w:ind w:left="2736" w:right="360" w:hanging="1296"/>
    </w:pPr>
    <w:rPr>
      <w:rFonts w:eastAsia="MS Mincho"/>
      <w:noProof/>
      <w:sz w:val="24"/>
      <w:szCs w:val="24"/>
    </w:rPr>
  </w:style>
  <w:style w:type="paragraph" w:styleId="Obsah8">
    <w:name w:val="toc 8"/>
    <w:semiHidden/>
    <w:rsid w:val="00202514"/>
    <w:pPr>
      <w:tabs>
        <w:tab w:val="left" w:pos="3139"/>
        <w:tab w:val="right" w:leader="dot" w:pos="8640"/>
      </w:tabs>
      <w:ind w:left="3139" w:right="360" w:hanging="1454"/>
    </w:pPr>
    <w:rPr>
      <w:rFonts w:eastAsia="MS Mincho"/>
      <w:noProof/>
      <w:sz w:val="24"/>
      <w:szCs w:val="24"/>
    </w:rPr>
  </w:style>
  <w:style w:type="paragraph" w:styleId="Obsah9">
    <w:name w:val="toc 9"/>
    <w:semiHidden/>
    <w:rsid w:val="00202514"/>
    <w:pPr>
      <w:tabs>
        <w:tab w:val="left" w:pos="3586"/>
        <w:tab w:val="right" w:leader="dot" w:pos="8640"/>
      </w:tabs>
      <w:ind w:left="3586" w:right="360" w:hanging="1656"/>
    </w:pPr>
    <w:rPr>
      <w:rFonts w:eastAsia="MS Mincho"/>
      <w:noProof/>
      <w:sz w:val="24"/>
      <w:szCs w:val="24"/>
    </w:rPr>
  </w:style>
  <w:style w:type="paragraph" w:styleId="Zoznamobrzkov">
    <w:name w:val="table of figures"/>
    <w:uiPriority w:val="99"/>
    <w:rsid w:val="00202514"/>
    <w:pPr>
      <w:tabs>
        <w:tab w:val="left" w:pos="475"/>
        <w:tab w:val="right" w:leader="dot" w:pos="8640"/>
      </w:tabs>
      <w:spacing w:after="120"/>
      <w:ind w:left="475" w:right="360" w:hanging="475"/>
    </w:pPr>
    <w:rPr>
      <w:rFonts w:eastAsia="MS Mincho"/>
      <w:b/>
      <w:bCs/>
      <w:noProof/>
      <w:sz w:val="24"/>
      <w:szCs w:val="24"/>
    </w:rPr>
  </w:style>
  <w:style w:type="paragraph" w:customStyle="1" w:styleId="TOCSection">
    <w:name w:val="TOC Section"/>
    <w:next w:val="Zoznamobrzkov"/>
    <w:rsid w:val="00202514"/>
    <w:pPr>
      <w:keepNext/>
    </w:pPr>
    <w:rPr>
      <w:rFonts w:eastAsia="MS Mincho"/>
      <w:b/>
      <w:bCs/>
      <w:sz w:val="28"/>
      <w:szCs w:val="28"/>
    </w:rPr>
  </w:style>
  <w:style w:type="paragraph" w:customStyle="1" w:styleId="TOCTitle">
    <w:name w:val="TOC Title"/>
    <w:next w:val="Obsah1"/>
    <w:rsid w:val="00202514"/>
    <w:pPr>
      <w:keepNext/>
      <w:spacing w:before="120" w:after="120"/>
    </w:pPr>
    <w:rPr>
      <w:rFonts w:eastAsia="MS Mincho"/>
      <w:b/>
      <w:bCs/>
      <w:sz w:val="28"/>
      <w:szCs w:val="28"/>
    </w:rPr>
  </w:style>
  <w:style w:type="paragraph" w:customStyle="1" w:styleId="ListArrow1">
    <w:name w:val="List Arrow 1"/>
    <w:rsid w:val="00202514"/>
    <w:pPr>
      <w:numPr>
        <w:numId w:val="10"/>
      </w:numPr>
      <w:spacing w:before="60" w:after="60" w:line="360" w:lineRule="exact"/>
    </w:pPr>
    <w:rPr>
      <w:rFonts w:eastAsia="MS Mincho"/>
      <w:sz w:val="24"/>
      <w:szCs w:val="24"/>
    </w:rPr>
  </w:style>
  <w:style w:type="paragraph" w:styleId="Zoznamsodrkami">
    <w:name w:val="List Bullet"/>
    <w:rsid w:val="00202514"/>
    <w:pPr>
      <w:numPr>
        <w:numId w:val="13"/>
      </w:numPr>
      <w:spacing w:before="60" w:after="60" w:line="360" w:lineRule="exact"/>
    </w:pPr>
    <w:rPr>
      <w:rFonts w:eastAsia="MS Mincho"/>
      <w:sz w:val="24"/>
      <w:szCs w:val="24"/>
    </w:rPr>
  </w:style>
  <w:style w:type="paragraph" w:customStyle="1" w:styleId="ListArrow2">
    <w:name w:val="List Arrow 2"/>
    <w:rsid w:val="00202514"/>
    <w:pPr>
      <w:numPr>
        <w:numId w:val="6"/>
      </w:numPr>
      <w:spacing w:before="60" w:after="60" w:line="360" w:lineRule="exact"/>
    </w:pPr>
    <w:rPr>
      <w:rFonts w:eastAsia="MS Mincho"/>
      <w:sz w:val="24"/>
      <w:szCs w:val="24"/>
    </w:rPr>
  </w:style>
  <w:style w:type="paragraph" w:styleId="Zoznamsodrkami2">
    <w:name w:val="List Bullet 2"/>
    <w:rsid w:val="00202514"/>
    <w:pPr>
      <w:numPr>
        <w:numId w:val="5"/>
      </w:numPr>
      <w:spacing w:before="60" w:after="60" w:line="360" w:lineRule="exact"/>
    </w:pPr>
    <w:rPr>
      <w:rFonts w:eastAsia="MS Mincho"/>
      <w:sz w:val="24"/>
      <w:szCs w:val="24"/>
    </w:rPr>
  </w:style>
  <w:style w:type="paragraph" w:customStyle="1" w:styleId="ListArrow3">
    <w:name w:val="List Arrow 3"/>
    <w:rsid w:val="00202514"/>
    <w:pPr>
      <w:numPr>
        <w:numId w:val="8"/>
      </w:numPr>
      <w:spacing w:before="60" w:after="60" w:line="360" w:lineRule="exact"/>
    </w:pPr>
    <w:rPr>
      <w:rFonts w:eastAsia="MS Mincho"/>
      <w:sz w:val="24"/>
      <w:szCs w:val="24"/>
    </w:rPr>
  </w:style>
  <w:style w:type="paragraph" w:styleId="Zoznamsodrkami3">
    <w:name w:val="List Bullet 3"/>
    <w:rsid w:val="00202514"/>
    <w:pPr>
      <w:numPr>
        <w:numId w:val="7"/>
      </w:numPr>
      <w:spacing w:before="60" w:after="60" w:line="360" w:lineRule="exact"/>
    </w:pPr>
    <w:rPr>
      <w:rFonts w:eastAsia="MS Mincho"/>
      <w:sz w:val="24"/>
      <w:szCs w:val="24"/>
    </w:rPr>
  </w:style>
  <w:style w:type="paragraph" w:styleId="slovanzoznam">
    <w:name w:val="List Number"/>
    <w:rsid w:val="00202514"/>
    <w:pPr>
      <w:numPr>
        <w:numId w:val="9"/>
      </w:numPr>
      <w:spacing w:before="60" w:after="60" w:line="360" w:lineRule="exact"/>
    </w:pPr>
    <w:rPr>
      <w:rFonts w:eastAsia="MS Mincho"/>
      <w:sz w:val="24"/>
      <w:szCs w:val="24"/>
    </w:rPr>
  </w:style>
  <w:style w:type="paragraph" w:customStyle="1" w:styleId="ListLetter">
    <w:name w:val="List Letter"/>
    <w:rsid w:val="00202514"/>
    <w:pPr>
      <w:numPr>
        <w:numId w:val="11"/>
      </w:numPr>
      <w:spacing w:before="60" w:after="60" w:line="360" w:lineRule="exact"/>
    </w:pPr>
    <w:rPr>
      <w:rFonts w:eastAsia="MS Mincho"/>
      <w:sz w:val="24"/>
      <w:szCs w:val="24"/>
    </w:rPr>
  </w:style>
  <w:style w:type="paragraph" w:customStyle="1" w:styleId="Heading1Unnumbered">
    <w:name w:val="Heading 1 Unnumbered"/>
    <w:next w:val="Paragraph"/>
    <w:rsid w:val="00202514"/>
    <w:pPr>
      <w:keepNext/>
      <w:spacing w:before="120" w:after="120"/>
      <w:outlineLvl w:val="0"/>
    </w:pPr>
    <w:rPr>
      <w:rFonts w:eastAsia="MS Mincho"/>
      <w:b/>
      <w:bCs/>
      <w:caps/>
      <w:sz w:val="24"/>
      <w:szCs w:val="24"/>
    </w:rPr>
  </w:style>
  <w:style w:type="paragraph" w:customStyle="1" w:styleId="Heading2Unnumbered">
    <w:name w:val="Heading 2 Unnumbered"/>
    <w:next w:val="Paragraph"/>
    <w:rsid w:val="00202514"/>
    <w:pPr>
      <w:keepNext/>
      <w:spacing w:before="120" w:after="120"/>
      <w:outlineLvl w:val="1"/>
    </w:pPr>
    <w:rPr>
      <w:rFonts w:eastAsia="MS Mincho"/>
      <w:b/>
      <w:bCs/>
      <w:sz w:val="24"/>
      <w:szCs w:val="24"/>
    </w:rPr>
  </w:style>
  <w:style w:type="paragraph" w:customStyle="1" w:styleId="Heading3Unnumbered">
    <w:name w:val="Heading 3 Unnumbered"/>
    <w:next w:val="Paragraph"/>
    <w:rsid w:val="00202514"/>
    <w:pPr>
      <w:keepNext/>
      <w:spacing w:before="120" w:after="120"/>
      <w:outlineLvl w:val="2"/>
    </w:pPr>
    <w:rPr>
      <w:rFonts w:eastAsia="MS Mincho"/>
      <w:b/>
      <w:bCs/>
      <w:i/>
      <w:iCs/>
      <w:sz w:val="24"/>
      <w:szCs w:val="24"/>
    </w:rPr>
  </w:style>
  <w:style w:type="paragraph" w:customStyle="1" w:styleId="Heading4Unnumbered">
    <w:name w:val="Heading 4 Unnumbered"/>
    <w:next w:val="Paragraph"/>
    <w:rsid w:val="00202514"/>
    <w:pPr>
      <w:keepNext/>
      <w:spacing w:before="120" w:after="120"/>
      <w:outlineLvl w:val="3"/>
    </w:pPr>
    <w:rPr>
      <w:rFonts w:eastAsia="MS Mincho"/>
      <w:i/>
      <w:iCs/>
      <w:sz w:val="24"/>
      <w:szCs w:val="24"/>
    </w:rPr>
  </w:style>
  <w:style w:type="paragraph" w:customStyle="1" w:styleId="Heading1NoTOC">
    <w:name w:val="Heading 1 No TOC"/>
    <w:next w:val="Paragraph"/>
    <w:rsid w:val="00202514"/>
    <w:pPr>
      <w:keepNext/>
      <w:spacing w:before="120" w:after="120"/>
    </w:pPr>
    <w:rPr>
      <w:rFonts w:eastAsia="MS Mincho"/>
      <w:b/>
      <w:bCs/>
      <w:caps/>
      <w:sz w:val="24"/>
      <w:szCs w:val="24"/>
    </w:rPr>
  </w:style>
  <w:style w:type="paragraph" w:customStyle="1" w:styleId="Heading2NoTOC">
    <w:name w:val="Heading 2 No TOC"/>
    <w:next w:val="Paragraph"/>
    <w:rsid w:val="00202514"/>
    <w:pPr>
      <w:keepNext/>
      <w:spacing w:before="120" w:after="120"/>
    </w:pPr>
    <w:rPr>
      <w:rFonts w:eastAsia="MS Mincho"/>
      <w:b/>
      <w:bCs/>
      <w:sz w:val="24"/>
      <w:szCs w:val="24"/>
    </w:rPr>
  </w:style>
  <w:style w:type="paragraph" w:customStyle="1" w:styleId="Heading3NoTOC">
    <w:name w:val="Heading 3 No TOC"/>
    <w:next w:val="Paragraph"/>
    <w:rsid w:val="00202514"/>
    <w:pPr>
      <w:keepNext/>
      <w:spacing w:before="120" w:after="120"/>
    </w:pPr>
    <w:rPr>
      <w:rFonts w:eastAsia="MS Mincho"/>
      <w:b/>
      <w:bCs/>
      <w:i/>
      <w:iCs/>
      <w:sz w:val="24"/>
      <w:szCs w:val="24"/>
    </w:rPr>
  </w:style>
  <w:style w:type="paragraph" w:customStyle="1" w:styleId="Heading4NoTOC">
    <w:name w:val="Heading 4 No TOC"/>
    <w:next w:val="Paragraph"/>
    <w:rsid w:val="00202514"/>
    <w:pPr>
      <w:keepNext/>
      <w:spacing w:before="120" w:after="120"/>
    </w:pPr>
    <w:rPr>
      <w:rFonts w:eastAsia="MS Mincho"/>
      <w:i/>
      <w:iCs/>
      <w:sz w:val="24"/>
      <w:szCs w:val="24"/>
    </w:rPr>
  </w:style>
  <w:style w:type="table" w:styleId="Mriekatabuky">
    <w:name w:val="Table Grid"/>
    <w:basedOn w:val="Normlnatabuka"/>
    <w:semiHidden/>
    <w:rsid w:val="00202514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sozarkami">
    <w:name w:val="Normal Indent"/>
    <w:basedOn w:val="Normlny"/>
    <w:rsid w:val="00202514"/>
    <w:pPr>
      <w:tabs>
        <w:tab w:val="left" w:pos="1800"/>
        <w:tab w:val="right" w:leader="dot" w:pos="8640"/>
      </w:tabs>
      <w:ind w:left="720"/>
    </w:pPr>
  </w:style>
  <w:style w:type="paragraph" w:customStyle="1" w:styleId="ListCircle2">
    <w:name w:val="List Circle 2"/>
    <w:rsid w:val="00202514"/>
    <w:pPr>
      <w:numPr>
        <w:numId w:val="19"/>
      </w:numPr>
      <w:spacing w:before="60" w:after="60" w:line="360" w:lineRule="exact"/>
    </w:pPr>
    <w:rPr>
      <w:rFonts w:eastAsia="MS Mincho"/>
      <w:sz w:val="24"/>
      <w:szCs w:val="24"/>
    </w:rPr>
  </w:style>
  <w:style w:type="paragraph" w:customStyle="1" w:styleId="ListCircle3">
    <w:name w:val="List Circle 3"/>
    <w:rsid w:val="00202514"/>
    <w:pPr>
      <w:numPr>
        <w:numId w:val="20"/>
      </w:numPr>
      <w:spacing w:before="60" w:after="60" w:line="360" w:lineRule="exact"/>
    </w:pPr>
    <w:rPr>
      <w:rFonts w:eastAsia="MS Mincho"/>
      <w:sz w:val="24"/>
      <w:szCs w:val="24"/>
    </w:rPr>
  </w:style>
  <w:style w:type="character" w:customStyle="1" w:styleId="LinkBlue">
    <w:name w:val="Link Blue"/>
    <w:uiPriority w:val="1"/>
    <w:rsid w:val="00202514"/>
    <w:rPr>
      <w:color w:val="0000FF"/>
    </w:rPr>
  </w:style>
  <w:style w:type="paragraph" w:customStyle="1" w:styleId="ParagraphIndent">
    <w:name w:val="Paragraph Indent"/>
    <w:rsid w:val="00202514"/>
    <w:pPr>
      <w:spacing w:before="120" w:after="240"/>
      <w:ind w:left="720"/>
    </w:pPr>
    <w:rPr>
      <w:sz w:val="24"/>
      <w:szCs w:val="24"/>
    </w:rPr>
  </w:style>
  <w:style w:type="paragraph" w:customStyle="1" w:styleId="TableRight">
    <w:name w:val="Table Right"/>
    <w:rsid w:val="00202514"/>
    <w:pPr>
      <w:spacing w:before="60" w:after="60"/>
      <w:jc w:val="right"/>
    </w:pPr>
  </w:style>
  <w:style w:type="paragraph" w:customStyle="1" w:styleId="TableLeftIndent">
    <w:name w:val="Table Left Indent"/>
    <w:rsid w:val="00202514"/>
    <w:pPr>
      <w:spacing w:before="60" w:after="60"/>
      <w:ind w:left="360"/>
    </w:pPr>
  </w:style>
  <w:style w:type="paragraph" w:customStyle="1" w:styleId="TableLeft9pt">
    <w:name w:val="Table Left 9pt"/>
    <w:rsid w:val="00202514"/>
    <w:pPr>
      <w:spacing w:before="60" w:after="60"/>
    </w:pPr>
    <w:rPr>
      <w:sz w:val="18"/>
      <w:szCs w:val="18"/>
    </w:rPr>
  </w:style>
  <w:style w:type="paragraph" w:customStyle="1" w:styleId="TableCenter9pt">
    <w:name w:val="Table Center 9pt"/>
    <w:rsid w:val="00202514"/>
    <w:pPr>
      <w:spacing w:before="60" w:after="60"/>
      <w:jc w:val="center"/>
    </w:pPr>
    <w:rPr>
      <w:sz w:val="18"/>
      <w:szCs w:val="18"/>
    </w:rPr>
  </w:style>
  <w:style w:type="paragraph" w:customStyle="1" w:styleId="TableRight9pt">
    <w:name w:val="Table Right 9pt"/>
    <w:rsid w:val="00202514"/>
    <w:pPr>
      <w:spacing w:before="60" w:after="60"/>
      <w:jc w:val="right"/>
    </w:pPr>
    <w:rPr>
      <w:sz w:val="18"/>
      <w:szCs w:val="18"/>
    </w:rPr>
  </w:style>
  <w:style w:type="paragraph" w:customStyle="1" w:styleId="TableLeftIndent9pt">
    <w:name w:val="Table Left Indent 9pt"/>
    <w:rsid w:val="00202514"/>
    <w:pPr>
      <w:spacing w:before="60" w:after="60"/>
      <w:ind w:left="360"/>
    </w:pPr>
    <w:rPr>
      <w:sz w:val="18"/>
      <w:szCs w:val="18"/>
    </w:rPr>
  </w:style>
  <w:style w:type="paragraph" w:customStyle="1" w:styleId="TableListNumber">
    <w:name w:val="Table List Number"/>
    <w:rsid w:val="00202514"/>
    <w:pPr>
      <w:numPr>
        <w:numId w:val="21"/>
      </w:numPr>
      <w:spacing w:before="60" w:after="60"/>
    </w:pPr>
  </w:style>
  <w:style w:type="paragraph" w:customStyle="1" w:styleId="TableListLetter">
    <w:name w:val="Table List Letter"/>
    <w:rsid w:val="00202514"/>
    <w:pPr>
      <w:numPr>
        <w:numId w:val="22"/>
      </w:numPr>
      <w:spacing w:before="60" w:after="60"/>
    </w:pPr>
  </w:style>
  <w:style w:type="paragraph" w:customStyle="1" w:styleId="TableListBullet">
    <w:name w:val="Table List Bullet"/>
    <w:rsid w:val="00202514"/>
    <w:pPr>
      <w:numPr>
        <w:numId w:val="23"/>
      </w:numPr>
      <w:spacing w:before="60" w:after="60"/>
    </w:pPr>
  </w:style>
  <w:style w:type="character" w:styleId="Textzstupnhosymbolu">
    <w:name w:val="Placeholder Text"/>
    <w:uiPriority w:val="99"/>
    <w:semiHidden/>
    <w:rsid w:val="00202514"/>
    <w:rPr>
      <w:color w:val="808080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202514"/>
    <w:pPr>
      <w:numPr>
        <w:numId w:val="0"/>
      </w:numPr>
      <w:spacing w:before="240" w:after="60"/>
      <w:outlineLvl w:val="9"/>
    </w:pPr>
    <w:rPr>
      <w:rFonts w:ascii="Cambria" w:eastAsia="Times New Roman" w:hAnsi="Cambria"/>
      <w:caps w:val="0"/>
      <w:kern w:val="32"/>
      <w:sz w:val="32"/>
      <w:szCs w:val="32"/>
    </w:rPr>
  </w:style>
  <w:style w:type="character" w:styleId="sloriadka">
    <w:name w:val="line number"/>
    <w:basedOn w:val="Predvolenpsmoodseku"/>
    <w:semiHidden/>
    <w:rsid w:val="00280951"/>
  </w:style>
  <w:style w:type="paragraph" w:styleId="Zoznam">
    <w:name w:val="List"/>
    <w:basedOn w:val="Normlny"/>
    <w:semiHidden/>
    <w:rsid w:val="00280951"/>
    <w:pPr>
      <w:ind w:left="360" w:hanging="360"/>
    </w:pPr>
  </w:style>
  <w:style w:type="paragraph" w:styleId="Zoznam2">
    <w:name w:val="List 2"/>
    <w:basedOn w:val="Normlny"/>
    <w:semiHidden/>
    <w:rsid w:val="00280951"/>
    <w:pPr>
      <w:ind w:left="720" w:hanging="360"/>
    </w:pPr>
  </w:style>
  <w:style w:type="paragraph" w:styleId="Zoznam3">
    <w:name w:val="List 3"/>
    <w:basedOn w:val="Normlny"/>
    <w:semiHidden/>
    <w:rsid w:val="00280951"/>
    <w:pPr>
      <w:ind w:left="1080" w:hanging="360"/>
    </w:pPr>
  </w:style>
  <w:style w:type="paragraph" w:styleId="Zoznam4">
    <w:name w:val="List 4"/>
    <w:basedOn w:val="Normlny"/>
    <w:semiHidden/>
    <w:rsid w:val="00280951"/>
    <w:pPr>
      <w:ind w:left="1440" w:hanging="360"/>
    </w:pPr>
  </w:style>
  <w:style w:type="paragraph" w:styleId="Zoznam5">
    <w:name w:val="List 5"/>
    <w:basedOn w:val="Normlny"/>
    <w:semiHidden/>
    <w:rsid w:val="00280951"/>
    <w:pPr>
      <w:ind w:left="1800" w:hanging="360"/>
    </w:pPr>
  </w:style>
  <w:style w:type="paragraph" w:styleId="Zoznamsodrkami4">
    <w:name w:val="List Bullet 4"/>
    <w:basedOn w:val="Normlny"/>
    <w:semiHidden/>
    <w:rsid w:val="00280951"/>
    <w:pPr>
      <w:tabs>
        <w:tab w:val="num" w:pos="1440"/>
      </w:tabs>
      <w:ind w:left="1440" w:hanging="360"/>
    </w:pPr>
  </w:style>
  <w:style w:type="paragraph" w:styleId="Zoznamsodrkami5">
    <w:name w:val="List Bullet 5"/>
    <w:basedOn w:val="Normlny"/>
    <w:semiHidden/>
    <w:rsid w:val="00280951"/>
    <w:pPr>
      <w:tabs>
        <w:tab w:val="num" w:pos="1800"/>
      </w:tabs>
      <w:ind w:left="1800" w:hanging="360"/>
    </w:pPr>
  </w:style>
  <w:style w:type="paragraph" w:styleId="Pokraovaniezoznamu">
    <w:name w:val="List Continue"/>
    <w:basedOn w:val="Normlny"/>
    <w:semiHidden/>
    <w:rsid w:val="00280951"/>
    <w:pPr>
      <w:spacing w:after="120"/>
      <w:ind w:left="360"/>
    </w:pPr>
  </w:style>
  <w:style w:type="paragraph" w:styleId="Pokraovaniezoznamu2">
    <w:name w:val="List Continue 2"/>
    <w:basedOn w:val="Normlny"/>
    <w:semiHidden/>
    <w:rsid w:val="00280951"/>
    <w:pPr>
      <w:spacing w:after="120"/>
      <w:ind w:left="720"/>
    </w:pPr>
  </w:style>
  <w:style w:type="paragraph" w:styleId="Pokraovaniezoznamu3">
    <w:name w:val="List Continue 3"/>
    <w:basedOn w:val="Normlny"/>
    <w:semiHidden/>
    <w:rsid w:val="00280951"/>
    <w:pPr>
      <w:spacing w:after="120"/>
      <w:ind w:left="1080"/>
    </w:pPr>
  </w:style>
  <w:style w:type="paragraph" w:styleId="Pokraovaniezoznamu4">
    <w:name w:val="List Continue 4"/>
    <w:basedOn w:val="Normlny"/>
    <w:semiHidden/>
    <w:rsid w:val="00280951"/>
    <w:pPr>
      <w:spacing w:after="120"/>
      <w:ind w:left="1440"/>
    </w:pPr>
  </w:style>
  <w:style w:type="paragraph" w:styleId="Pokraovaniezoznamu5">
    <w:name w:val="List Continue 5"/>
    <w:basedOn w:val="Normlny"/>
    <w:semiHidden/>
    <w:rsid w:val="00280951"/>
    <w:pPr>
      <w:spacing w:after="120"/>
      <w:ind w:left="1800"/>
    </w:pPr>
  </w:style>
  <w:style w:type="paragraph" w:styleId="slovanzoznam4">
    <w:name w:val="List Number 4"/>
    <w:basedOn w:val="Normlny"/>
    <w:semiHidden/>
    <w:rsid w:val="00280951"/>
    <w:pPr>
      <w:tabs>
        <w:tab w:val="num" w:pos="1440"/>
      </w:tabs>
      <w:ind w:left="1440" w:hanging="360"/>
    </w:pPr>
  </w:style>
  <w:style w:type="paragraph" w:styleId="slovanzoznam5">
    <w:name w:val="List Number 5"/>
    <w:basedOn w:val="Normlny"/>
    <w:semiHidden/>
    <w:rsid w:val="00280951"/>
    <w:pPr>
      <w:tabs>
        <w:tab w:val="num" w:pos="1800"/>
      </w:tabs>
      <w:ind w:left="1800" w:hanging="360"/>
    </w:pPr>
  </w:style>
  <w:style w:type="paragraph" w:styleId="Textmakra">
    <w:name w:val="macro"/>
    <w:link w:val="TextmakraChar"/>
    <w:semiHidden/>
    <w:rsid w:val="0028095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/>
    </w:pPr>
    <w:rPr>
      <w:rFonts w:ascii="Courier New" w:hAnsi="Courier New" w:cs="Courier New"/>
    </w:rPr>
  </w:style>
  <w:style w:type="character" w:customStyle="1" w:styleId="TextmakraChar">
    <w:name w:val="Text makra Char"/>
    <w:basedOn w:val="Predvolenpsmoodseku"/>
    <w:link w:val="Textmakra"/>
    <w:semiHidden/>
    <w:rsid w:val="00280951"/>
    <w:rPr>
      <w:rFonts w:ascii="Courier New" w:hAnsi="Courier New" w:cs="Courier New"/>
    </w:rPr>
  </w:style>
  <w:style w:type="paragraph" w:styleId="Nadpispoznmky">
    <w:name w:val="Note Heading"/>
    <w:basedOn w:val="Normlny"/>
    <w:next w:val="Normlny"/>
    <w:link w:val="NadpispoznmkyChar"/>
    <w:semiHidden/>
    <w:rsid w:val="00280951"/>
  </w:style>
  <w:style w:type="character" w:customStyle="1" w:styleId="NadpispoznmkyChar">
    <w:name w:val="Nadpis poznámky Char"/>
    <w:basedOn w:val="Predvolenpsmoodseku"/>
    <w:link w:val="Nadpispoznmky"/>
    <w:semiHidden/>
    <w:rsid w:val="00280951"/>
    <w:rPr>
      <w:sz w:val="24"/>
      <w:szCs w:val="24"/>
    </w:rPr>
  </w:style>
  <w:style w:type="table" w:styleId="Tabukaspriestorovmiefektmi1">
    <w:name w:val="Table 3D effects 1"/>
    <w:basedOn w:val="Normlnatabuka"/>
    <w:semiHidden/>
    <w:rsid w:val="00280951"/>
    <w:pPr>
      <w:spacing w:before="6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kaspriestorovmiefektmi2">
    <w:name w:val="Table 3D effects 2"/>
    <w:basedOn w:val="Normlnatabuka"/>
    <w:semiHidden/>
    <w:rsid w:val="00280951"/>
    <w:pPr>
      <w:spacing w:before="6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spriestorovmiefektmi3">
    <w:name w:val="Table 3D effects 3"/>
    <w:basedOn w:val="Normlnatabuka"/>
    <w:semiHidden/>
    <w:rsid w:val="00280951"/>
    <w:pPr>
      <w:spacing w:before="6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1">
    <w:name w:val="Table Classic 1"/>
    <w:basedOn w:val="Normlnatabuka"/>
    <w:semiHidden/>
    <w:rsid w:val="00280951"/>
    <w:pPr>
      <w:spacing w:before="6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2">
    <w:name w:val="Table Classic 2"/>
    <w:basedOn w:val="Normlnatabuka"/>
    <w:semiHidden/>
    <w:rsid w:val="00280951"/>
    <w:pPr>
      <w:spacing w:before="6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3">
    <w:name w:val="Table Classic 3"/>
    <w:basedOn w:val="Normlnatabuka"/>
    <w:semiHidden/>
    <w:rsid w:val="00280951"/>
    <w:pPr>
      <w:spacing w:before="6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4">
    <w:name w:val="Table Classic 4"/>
    <w:basedOn w:val="Normlnatabuka"/>
    <w:semiHidden/>
    <w:rsid w:val="00280951"/>
    <w:pPr>
      <w:spacing w:before="6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1">
    <w:name w:val="Table Colorful 1"/>
    <w:basedOn w:val="Normlnatabuka"/>
    <w:semiHidden/>
    <w:rsid w:val="00280951"/>
    <w:pPr>
      <w:spacing w:before="6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2">
    <w:name w:val="Table Colorful 2"/>
    <w:basedOn w:val="Normlnatabuka"/>
    <w:semiHidden/>
    <w:rsid w:val="00280951"/>
    <w:pPr>
      <w:spacing w:before="6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3">
    <w:name w:val="Table Colorful 3"/>
    <w:basedOn w:val="Normlnatabuka"/>
    <w:semiHidden/>
    <w:rsid w:val="00280951"/>
    <w:pPr>
      <w:spacing w:before="6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pcetabuky1">
    <w:name w:val="Table Columns 1"/>
    <w:basedOn w:val="Normlnatabuka"/>
    <w:semiHidden/>
    <w:rsid w:val="00280951"/>
    <w:pPr>
      <w:spacing w:before="6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2">
    <w:name w:val="Table Columns 2"/>
    <w:basedOn w:val="Normlnatabuka"/>
    <w:semiHidden/>
    <w:rsid w:val="00280951"/>
    <w:pPr>
      <w:spacing w:before="6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3">
    <w:name w:val="Table Columns 3"/>
    <w:basedOn w:val="Normlnatabuka"/>
    <w:semiHidden/>
    <w:rsid w:val="00280951"/>
    <w:pPr>
      <w:spacing w:before="6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4">
    <w:name w:val="Table Columns 4"/>
    <w:basedOn w:val="Normlnatabuka"/>
    <w:semiHidden/>
    <w:rsid w:val="00280951"/>
    <w:pPr>
      <w:spacing w:before="6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tpcetabuky5">
    <w:name w:val="Table Columns 5"/>
    <w:basedOn w:val="Normlnatabuka"/>
    <w:semiHidden/>
    <w:rsid w:val="00280951"/>
    <w:pPr>
      <w:spacing w:before="6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ka">
    <w:name w:val="Table Contemporary"/>
    <w:basedOn w:val="Normlnatabuka"/>
    <w:semiHidden/>
    <w:rsid w:val="00280951"/>
    <w:pPr>
      <w:spacing w:before="6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ka">
    <w:name w:val="Table Elegant"/>
    <w:basedOn w:val="Normlnatabuka"/>
    <w:semiHidden/>
    <w:rsid w:val="00280951"/>
    <w:pPr>
      <w:spacing w:before="6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1">
    <w:name w:val="Table Grid 1"/>
    <w:basedOn w:val="Normlnatabuka"/>
    <w:semiHidden/>
    <w:rsid w:val="00280951"/>
    <w:pPr>
      <w:spacing w:before="6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2">
    <w:name w:val="Table Grid 2"/>
    <w:basedOn w:val="Normlnatabuka"/>
    <w:semiHidden/>
    <w:rsid w:val="00280951"/>
    <w:pPr>
      <w:spacing w:before="6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3">
    <w:name w:val="Table Grid 3"/>
    <w:basedOn w:val="Normlnatabuka"/>
    <w:semiHidden/>
    <w:rsid w:val="00280951"/>
    <w:pPr>
      <w:spacing w:before="6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4">
    <w:name w:val="Table Grid 4"/>
    <w:basedOn w:val="Normlnatabuka"/>
    <w:semiHidden/>
    <w:rsid w:val="00280951"/>
    <w:pPr>
      <w:spacing w:before="6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5">
    <w:name w:val="Table Grid 5"/>
    <w:basedOn w:val="Normlnatabuka"/>
    <w:semiHidden/>
    <w:rsid w:val="00280951"/>
    <w:pPr>
      <w:spacing w:before="6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6">
    <w:name w:val="Table Grid 6"/>
    <w:basedOn w:val="Normlnatabuka"/>
    <w:semiHidden/>
    <w:rsid w:val="00280951"/>
    <w:pPr>
      <w:spacing w:before="6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7">
    <w:name w:val="Table Grid 7"/>
    <w:basedOn w:val="Normlnatabuka"/>
    <w:semiHidden/>
    <w:rsid w:val="00280951"/>
    <w:pPr>
      <w:spacing w:before="6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8">
    <w:name w:val="Table Grid 8"/>
    <w:basedOn w:val="Normlnatabuka"/>
    <w:semiHidden/>
    <w:rsid w:val="00280951"/>
    <w:pPr>
      <w:spacing w:before="6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1">
    <w:name w:val="Table List 1"/>
    <w:basedOn w:val="Normlnatabuka"/>
    <w:semiHidden/>
    <w:rsid w:val="00280951"/>
    <w:pPr>
      <w:spacing w:before="6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2">
    <w:name w:val="Table List 2"/>
    <w:basedOn w:val="Normlnatabuka"/>
    <w:semiHidden/>
    <w:rsid w:val="00280951"/>
    <w:pPr>
      <w:spacing w:before="6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3">
    <w:name w:val="Table List 3"/>
    <w:basedOn w:val="Normlnatabuka"/>
    <w:semiHidden/>
    <w:rsid w:val="00280951"/>
    <w:pPr>
      <w:spacing w:before="6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4">
    <w:name w:val="Table List 4"/>
    <w:basedOn w:val="Normlnatabuka"/>
    <w:semiHidden/>
    <w:rsid w:val="00280951"/>
    <w:pPr>
      <w:spacing w:before="6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kaakozoznam5">
    <w:name w:val="Table List 5"/>
    <w:basedOn w:val="Normlnatabuka"/>
    <w:semiHidden/>
    <w:rsid w:val="00280951"/>
    <w:pPr>
      <w:spacing w:before="6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6">
    <w:name w:val="Table List 6"/>
    <w:basedOn w:val="Normlnatabuka"/>
    <w:semiHidden/>
    <w:rsid w:val="00280951"/>
    <w:pPr>
      <w:spacing w:before="6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kaakozoznam7">
    <w:name w:val="Table List 7"/>
    <w:basedOn w:val="Normlnatabuka"/>
    <w:semiHidden/>
    <w:rsid w:val="00280951"/>
    <w:pPr>
      <w:spacing w:before="6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kaakozoznam8">
    <w:name w:val="Table List 8"/>
    <w:basedOn w:val="Normlnatabuka"/>
    <w:semiHidden/>
    <w:rsid w:val="00280951"/>
    <w:pPr>
      <w:spacing w:before="6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Profesionlnatabuka">
    <w:name w:val="Table Professional"/>
    <w:basedOn w:val="Normlnatabuka"/>
    <w:semiHidden/>
    <w:rsid w:val="00280951"/>
    <w:pPr>
      <w:spacing w:before="6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ka1">
    <w:name w:val="Table Simple 1"/>
    <w:basedOn w:val="Normlnatabuka"/>
    <w:semiHidden/>
    <w:rsid w:val="00280951"/>
    <w:pPr>
      <w:spacing w:before="6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ka2">
    <w:name w:val="Table Simple 2"/>
    <w:basedOn w:val="Normlnatabuka"/>
    <w:semiHidden/>
    <w:rsid w:val="00280951"/>
    <w:pPr>
      <w:spacing w:before="6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ka3">
    <w:name w:val="Table Simple 3"/>
    <w:basedOn w:val="Normlnatabuka"/>
    <w:semiHidden/>
    <w:rsid w:val="00280951"/>
    <w:pPr>
      <w:spacing w:before="6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etailntabuka1">
    <w:name w:val="Table Subtle 1"/>
    <w:basedOn w:val="Normlnatabuka"/>
    <w:semiHidden/>
    <w:rsid w:val="00280951"/>
    <w:pPr>
      <w:spacing w:before="6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etailntabuka2">
    <w:name w:val="Table Subtle 2"/>
    <w:basedOn w:val="Normlnatabuka"/>
    <w:semiHidden/>
    <w:rsid w:val="00280951"/>
    <w:pPr>
      <w:spacing w:before="6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vtabuky">
    <w:name w:val="Table Theme"/>
    <w:basedOn w:val="Normlnatabuka"/>
    <w:semiHidden/>
    <w:rsid w:val="00280951"/>
    <w:pPr>
      <w:spacing w:before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ka1">
    <w:name w:val="Table Web 1"/>
    <w:basedOn w:val="Normlnatabuka"/>
    <w:semiHidden/>
    <w:rsid w:val="00280951"/>
    <w:pPr>
      <w:spacing w:before="6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ka2">
    <w:name w:val="Table Web 2"/>
    <w:basedOn w:val="Normlnatabuka"/>
    <w:semiHidden/>
    <w:rsid w:val="00280951"/>
    <w:pPr>
      <w:spacing w:before="6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ka3">
    <w:name w:val="Table Web 3"/>
    <w:basedOn w:val="Normlnatabuka"/>
    <w:semiHidden/>
    <w:rsid w:val="00280951"/>
    <w:pPr>
      <w:spacing w:before="6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ParagraphChar">
    <w:name w:val="Paragraph Char"/>
    <w:basedOn w:val="Predvolenpsmoodseku"/>
    <w:link w:val="Paragraph"/>
    <w:rsid w:val="00280951"/>
    <w:rPr>
      <w:rFonts w:eastAsia="MS Mincho"/>
      <w:sz w:val="24"/>
      <w:szCs w:val="24"/>
    </w:rPr>
  </w:style>
  <w:style w:type="character" w:customStyle="1" w:styleId="Nadpis1Char">
    <w:name w:val="Nadpis 1 Char"/>
    <w:basedOn w:val="Predvolenpsmoodseku"/>
    <w:link w:val="Nadpis1"/>
    <w:rsid w:val="002E05C5"/>
    <w:rPr>
      <w:rFonts w:eastAsia="MS Mincho"/>
      <w:b/>
      <w:bCs/>
      <w:cap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sk-SK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footer" w:uiPriority="99"/>
    <w:lsdException w:name="index heading" w:uiPriority="99"/>
    <w:lsdException w:name="caption" w:qFormat="1"/>
    <w:lsdException w:name="table of figures" w:uiPriority="99"/>
    <w:lsdException w:name="envelope address" w:uiPriority="99"/>
    <w:lsdException w:name="envelope return" w:uiPriority="99"/>
    <w:lsdException w:name="table of authorities" w:uiPriority="99"/>
    <w:lsdException w:name="toa heading" w:uiPriority="99"/>
    <w:lsdException w:name="Title" w:semiHidden="0" w:unhideWhenUsed="0" w:qFormat="1"/>
    <w:lsdException w:name="Closing" w:uiPriority="99"/>
    <w:lsdException w:name="Signature" w:uiPriority="99"/>
    <w:lsdException w:name="Default Paragraph Font" w:uiPriority="1"/>
    <w:lsdException w:name="Message Header" w:uiPriority="99"/>
    <w:lsdException w:name="Subtitle" w:semiHidden="0" w:uiPriority="11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Block Text" w:uiPriority="99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E-mail Signature" w:uiPriority="99"/>
    <w:lsdException w:name="HTML Top of Form" w:uiPriority="99"/>
    <w:lsdException w:name="HTML Bottom of Form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semiHidden="0" w:uiPriority="99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02514"/>
    <w:rPr>
      <w:rFonts w:eastAsia="MS Mincho"/>
      <w:sz w:val="24"/>
      <w:szCs w:val="24"/>
    </w:rPr>
  </w:style>
  <w:style w:type="paragraph" w:styleId="Nadpis1">
    <w:name w:val="heading 1"/>
    <w:next w:val="Paragraph"/>
    <w:link w:val="Nadpis1Char"/>
    <w:qFormat/>
    <w:rsid w:val="00202514"/>
    <w:pPr>
      <w:keepNext/>
      <w:numPr>
        <w:numId w:val="12"/>
      </w:numPr>
      <w:spacing w:before="120" w:after="120"/>
      <w:outlineLvl w:val="0"/>
    </w:pPr>
    <w:rPr>
      <w:rFonts w:eastAsia="MS Mincho"/>
      <w:b/>
      <w:bCs/>
      <w:caps/>
      <w:sz w:val="24"/>
      <w:szCs w:val="24"/>
    </w:rPr>
  </w:style>
  <w:style w:type="paragraph" w:styleId="Nadpis2">
    <w:name w:val="heading 2"/>
    <w:next w:val="Paragraph"/>
    <w:qFormat/>
    <w:rsid w:val="00202514"/>
    <w:pPr>
      <w:keepNext/>
      <w:numPr>
        <w:ilvl w:val="1"/>
        <w:numId w:val="12"/>
      </w:numPr>
      <w:spacing w:before="120" w:after="120"/>
      <w:outlineLvl w:val="1"/>
    </w:pPr>
    <w:rPr>
      <w:rFonts w:eastAsia="MS Mincho"/>
      <w:b/>
      <w:bCs/>
      <w:sz w:val="24"/>
      <w:szCs w:val="24"/>
    </w:rPr>
  </w:style>
  <w:style w:type="paragraph" w:styleId="Nadpis3">
    <w:name w:val="heading 3"/>
    <w:next w:val="Paragraph"/>
    <w:qFormat/>
    <w:rsid w:val="00202514"/>
    <w:pPr>
      <w:keepNext/>
      <w:numPr>
        <w:ilvl w:val="2"/>
        <w:numId w:val="12"/>
      </w:numPr>
      <w:spacing w:before="120" w:after="120"/>
      <w:outlineLvl w:val="2"/>
    </w:pPr>
    <w:rPr>
      <w:rFonts w:eastAsia="MS Mincho"/>
      <w:b/>
      <w:bCs/>
      <w:sz w:val="24"/>
      <w:szCs w:val="24"/>
    </w:rPr>
  </w:style>
  <w:style w:type="paragraph" w:styleId="Nadpis4">
    <w:name w:val="heading 4"/>
    <w:next w:val="Paragraph"/>
    <w:link w:val="Nadpis4Char"/>
    <w:qFormat/>
    <w:rsid w:val="00202514"/>
    <w:pPr>
      <w:keepNext/>
      <w:numPr>
        <w:ilvl w:val="3"/>
        <w:numId w:val="12"/>
      </w:numPr>
      <w:spacing w:before="120" w:after="120"/>
      <w:outlineLvl w:val="3"/>
    </w:pPr>
    <w:rPr>
      <w:rFonts w:eastAsia="MS Mincho"/>
      <w:b/>
      <w:bCs/>
      <w:sz w:val="24"/>
      <w:szCs w:val="24"/>
    </w:rPr>
  </w:style>
  <w:style w:type="paragraph" w:styleId="Nadpis5">
    <w:name w:val="heading 5"/>
    <w:next w:val="Paragraph"/>
    <w:link w:val="Nadpis5Char"/>
    <w:qFormat/>
    <w:rsid w:val="00202514"/>
    <w:pPr>
      <w:keepNext/>
      <w:numPr>
        <w:ilvl w:val="4"/>
        <w:numId w:val="12"/>
      </w:numPr>
      <w:spacing w:before="120" w:after="120"/>
      <w:outlineLvl w:val="4"/>
    </w:pPr>
    <w:rPr>
      <w:rFonts w:eastAsia="MS Mincho"/>
      <w:b/>
      <w:bCs/>
      <w:sz w:val="24"/>
      <w:szCs w:val="24"/>
    </w:rPr>
  </w:style>
  <w:style w:type="paragraph" w:styleId="Nadpis6">
    <w:name w:val="heading 6"/>
    <w:next w:val="Paragraph"/>
    <w:link w:val="Nadpis6Char"/>
    <w:qFormat/>
    <w:rsid w:val="00202514"/>
    <w:pPr>
      <w:keepNext/>
      <w:numPr>
        <w:ilvl w:val="5"/>
        <w:numId w:val="12"/>
      </w:numPr>
      <w:spacing w:before="120" w:after="120"/>
      <w:outlineLvl w:val="5"/>
    </w:pPr>
    <w:rPr>
      <w:rFonts w:eastAsia="MS Mincho"/>
      <w:b/>
      <w:sz w:val="24"/>
      <w:szCs w:val="24"/>
    </w:rPr>
  </w:style>
  <w:style w:type="paragraph" w:styleId="Nadpis7">
    <w:name w:val="heading 7"/>
    <w:next w:val="Paragraph"/>
    <w:link w:val="Nadpis7Char"/>
    <w:qFormat/>
    <w:rsid w:val="00202514"/>
    <w:pPr>
      <w:keepNext/>
      <w:numPr>
        <w:ilvl w:val="6"/>
        <w:numId w:val="12"/>
      </w:numPr>
      <w:spacing w:before="120" w:after="120"/>
      <w:outlineLvl w:val="6"/>
    </w:pPr>
    <w:rPr>
      <w:rFonts w:eastAsia="MS Mincho"/>
      <w:sz w:val="24"/>
      <w:szCs w:val="24"/>
    </w:rPr>
  </w:style>
  <w:style w:type="paragraph" w:styleId="Nadpis8">
    <w:name w:val="heading 8"/>
    <w:next w:val="Paragraph"/>
    <w:link w:val="Nadpis8Char"/>
    <w:qFormat/>
    <w:rsid w:val="00202514"/>
    <w:pPr>
      <w:keepNext/>
      <w:numPr>
        <w:ilvl w:val="7"/>
        <w:numId w:val="12"/>
      </w:numPr>
      <w:spacing w:before="120" w:after="120"/>
      <w:outlineLvl w:val="7"/>
    </w:pPr>
    <w:rPr>
      <w:rFonts w:eastAsia="MS Mincho"/>
      <w:sz w:val="24"/>
      <w:szCs w:val="24"/>
    </w:rPr>
  </w:style>
  <w:style w:type="paragraph" w:styleId="Nadpis9">
    <w:name w:val="heading 9"/>
    <w:next w:val="Paragraph"/>
    <w:link w:val="Nadpis9Char"/>
    <w:qFormat/>
    <w:rsid w:val="00202514"/>
    <w:pPr>
      <w:keepNext/>
      <w:numPr>
        <w:ilvl w:val="8"/>
        <w:numId w:val="12"/>
      </w:numPr>
      <w:spacing w:before="120" w:after="120"/>
      <w:outlineLvl w:val="8"/>
    </w:pPr>
    <w:rPr>
      <w:rFonts w:eastAsia="MS Mincho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link w:val="HlavikaChar"/>
    <w:rsid w:val="00202514"/>
    <w:pPr>
      <w:tabs>
        <w:tab w:val="right" w:pos="8640"/>
      </w:tabs>
    </w:pPr>
    <w:rPr>
      <w:rFonts w:eastAsia="MS Mincho"/>
    </w:rPr>
  </w:style>
  <w:style w:type="paragraph" w:styleId="Pta">
    <w:name w:val="footer"/>
    <w:link w:val="PtaChar"/>
    <w:uiPriority w:val="99"/>
    <w:rsid w:val="00202514"/>
    <w:pPr>
      <w:tabs>
        <w:tab w:val="center" w:pos="4320"/>
        <w:tab w:val="right" w:pos="8640"/>
      </w:tabs>
    </w:pPr>
    <w:rPr>
      <w:rFonts w:eastAsia="MS Mincho"/>
    </w:rPr>
  </w:style>
  <w:style w:type="character" w:styleId="slostrany">
    <w:name w:val="page number"/>
    <w:basedOn w:val="Predvolenpsmoodseku"/>
    <w:unhideWhenUsed/>
    <w:rsid w:val="00202514"/>
  </w:style>
  <w:style w:type="paragraph" w:styleId="Zarkazkladnhotextu">
    <w:name w:val="Body Text Indent"/>
    <w:basedOn w:val="Normlny"/>
    <w:link w:val="ZarkazkladnhotextuChar"/>
    <w:semiHidden/>
    <w:pPr>
      <w:autoSpaceDE w:val="0"/>
      <w:autoSpaceDN w:val="0"/>
      <w:adjustRightInd w:val="0"/>
      <w:ind w:left="720"/>
      <w:jc w:val="both"/>
    </w:pPr>
    <w:rPr>
      <w:szCs w:val="22"/>
    </w:rPr>
  </w:style>
  <w:style w:type="paragraph" w:styleId="Zkladntext3">
    <w:name w:val="Body Text 3"/>
    <w:basedOn w:val="Normlny"/>
    <w:link w:val="Zkladntext3Char"/>
    <w:semiHidden/>
    <w:pPr>
      <w:autoSpaceDE w:val="0"/>
      <w:autoSpaceDN w:val="0"/>
      <w:adjustRightInd w:val="0"/>
      <w:jc w:val="both"/>
    </w:pPr>
    <w:rPr>
      <w:color w:val="0000FF"/>
      <w:szCs w:val="22"/>
    </w:rPr>
  </w:style>
  <w:style w:type="paragraph" w:styleId="Zarkazkladnhotextu2">
    <w:name w:val="Body Text Indent 2"/>
    <w:basedOn w:val="Normlny"/>
    <w:link w:val="Zarkazkladnhotextu2Char"/>
    <w:semiHidden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semiHidden/>
    <w:rPr>
      <w:i/>
      <w:color w:val="008000"/>
    </w:rPr>
  </w:style>
  <w:style w:type="paragraph" w:styleId="Zkladntext2">
    <w:name w:val="Body Text 2"/>
    <w:basedOn w:val="Normlny"/>
    <w:link w:val="Zkladntext2Char"/>
    <w:semiHidden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basedOn w:val="Predvolenpsmoodseku"/>
    <w:semiHidden/>
    <w:rsid w:val="00280951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280951"/>
    <w:rPr>
      <w:sz w:val="20"/>
      <w:szCs w:val="20"/>
    </w:rPr>
  </w:style>
  <w:style w:type="paragraph" w:customStyle="1" w:styleId="TableRowHead">
    <w:name w:val="Table Row Head"/>
    <w:semiHidden/>
    <w:rsid w:val="00202514"/>
    <w:pPr>
      <w:tabs>
        <w:tab w:val="left" w:pos="360"/>
      </w:tabs>
      <w:spacing w:after="60"/>
    </w:pPr>
    <w:rPr>
      <w:sz w:val="24"/>
    </w:rPr>
  </w:style>
  <w:style w:type="paragraph" w:styleId="truktradokumentu">
    <w:name w:val="Document Map"/>
    <w:basedOn w:val="Normlny"/>
    <w:link w:val="truktradokumentuChar"/>
    <w:semiHidden/>
    <w:rsid w:val="00280951"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uiPriority w:val="99"/>
    <w:rsid w:val="00202514"/>
    <w:rPr>
      <w:color w:val="0000FF"/>
      <w:u w:val="none"/>
    </w:rPr>
  </w:style>
  <w:style w:type="paragraph" w:customStyle="1" w:styleId="AHeader1">
    <w:name w:val="AHeader 1"/>
    <w:basedOn w:val="Normlny"/>
    <w:pPr>
      <w:numPr>
        <w:numId w:val="1"/>
      </w:numPr>
      <w:spacing w:after="120"/>
    </w:pPr>
    <w:rPr>
      <w:rFonts w:ascii="Arial" w:hAnsi="Arial" w:cs="Arial"/>
      <w:b/>
      <w:bCs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link w:val="Zarkazkladnhotextu3Char"/>
    <w:semiHidden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sid w:val="00202514"/>
    <w:rPr>
      <w:color w:val="800080"/>
      <w:u w:val="none"/>
    </w:rPr>
  </w:style>
  <w:style w:type="paragraph" w:styleId="Textbubliny">
    <w:name w:val="Balloon Text"/>
    <w:basedOn w:val="Normlny"/>
    <w:link w:val="TextbublinyChar"/>
    <w:rsid w:val="00202514"/>
    <w:rPr>
      <w:rFonts w:ascii="Tahoma" w:hAnsi="Tahoma" w:cs="Tahoma"/>
      <w:sz w:val="16"/>
      <w:szCs w:val="16"/>
    </w:rPr>
  </w:style>
  <w:style w:type="character" w:customStyle="1" w:styleId="HlavikaChar">
    <w:name w:val="Hlavička Char"/>
    <w:link w:val="Hlavika"/>
    <w:rsid w:val="00AC655A"/>
    <w:rPr>
      <w:rFonts w:eastAsia="MS Mincho"/>
    </w:rPr>
  </w:style>
  <w:style w:type="paragraph" w:styleId="Revzia">
    <w:name w:val="Revision"/>
    <w:hidden/>
    <w:uiPriority w:val="99"/>
    <w:semiHidden/>
    <w:rsid w:val="00DF7DE6"/>
    <w:rPr>
      <w:sz w:val="22"/>
    </w:rPr>
  </w:style>
  <w:style w:type="paragraph" w:styleId="Odsekzoznamu">
    <w:name w:val="List Paragraph"/>
    <w:basedOn w:val="Normlny"/>
    <w:uiPriority w:val="34"/>
    <w:qFormat/>
    <w:rsid w:val="001435FC"/>
    <w:pPr>
      <w:ind w:left="720"/>
    </w:pPr>
    <w:rPr>
      <w:rFonts w:ascii="Calibri" w:eastAsia="Calibri" w:hAnsi="Calibri"/>
      <w:szCs w:val="22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280951"/>
    <w:rPr>
      <w:b/>
      <w:bCs/>
    </w:rPr>
  </w:style>
  <w:style w:type="character" w:customStyle="1" w:styleId="TextkomentraChar">
    <w:name w:val="Text komentára Char"/>
    <w:link w:val="Textkomentra"/>
    <w:rsid w:val="008D4375"/>
  </w:style>
  <w:style w:type="character" w:customStyle="1" w:styleId="PredmetkomentraChar">
    <w:name w:val="Predmet komentára Char"/>
    <w:link w:val="Predmetkomentra"/>
    <w:semiHidden/>
    <w:rsid w:val="008D4375"/>
    <w:rPr>
      <w:b/>
      <w:bCs/>
    </w:rPr>
  </w:style>
  <w:style w:type="paragraph" w:styleId="Nzov">
    <w:name w:val="Title"/>
    <w:link w:val="NzovChar"/>
    <w:qFormat/>
    <w:rsid w:val="00202514"/>
    <w:pPr>
      <w:spacing w:before="400" w:after="400"/>
      <w:jc w:val="center"/>
    </w:pPr>
    <w:rPr>
      <w:b/>
      <w:bCs/>
      <w:sz w:val="24"/>
      <w:szCs w:val="24"/>
    </w:rPr>
  </w:style>
  <w:style w:type="character" w:customStyle="1" w:styleId="NzovChar">
    <w:name w:val="Názov Char"/>
    <w:basedOn w:val="Predvolenpsmoodseku"/>
    <w:link w:val="Nzov"/>
    <w:rsid w:val="00966D4B"/>
    <w:rPr>
      <w:b/>
      <w:bCs/>
      <w:sz w:val="24"/>
      <w:szCs w:val="24"/>
    </w:rPr>
  </w:style>
  <w:style w:type="character" w:customStyle="1" w:styleId="TextbublinyChar">
    <w:name w:val="Text bubliny Char"/>
    <w:link w:val="Textbubliny"/>
    <w:rsid w:val="00202514"/>
    <w:rPr>
      <w:rFonts w:ascii="Tahoma" w:eastAsia="MS Mincho" w:hAnsi="Tahoma" w:cs="Tahoma"/>
      <w:sz w:val="16"/>
      <w:szCs w:val="16"/>
    </w:rPr>
  </w:style>
  <w:style w:type="character" w:customStyle="1" w:styleId="PtaChar">
    <w:name w:val="Päta Char"/>
    <w:link w:val="Pta"/>
    <w:uiPriority w:val="99"/>
    <w:rsid w:val="00966D4B"/>
    <w:rPr>
      <w:rFonts w:eastAsia="MS Mincho"/>
    </w:rPr>
  </w:style>
  <w:style w:type="character" w:customStyle="1" w:styleId="Nadpis4Char">
    <w:name w:val="Nadpis 4 Char"/>
    <w:link w:val="Nadpis4"/>
    <w:rsid w:val="00966D4B"/>
    <w:rPr>
      <w:rFonts w:eastAsia="MS Mincho"/>
      <w:b/>
      <w:bCs/>
      <w:sz w:val="24"/>
      <w:szCs w:val="24"/>
    </w:rPr>
  </w:style>
  <w:style w:type="character" w:customStyle="1" w:styleId="Nadpis5Char">
    <w:name w:val="Nadpis 5 Char"/>
    <w:link w:val="Nadpis5"/>
    <w:rsid w:val="00966D4B"/>
    <w:rPr>
      <w:rFonts w:eastAsia="MS Mincho"/>
      <w:b/>
      <w:bCs/>
      <w:sz w:val="24"/>
      <w:szCs w:val="24"/>
    </w:rPr>
  </w:style>
  <w:style w:type="character" w:customStyle="1" w:styleId="Nadpis6Char">
    <w:name w:val="Nadpis 6 Char"/>
    <w:link w:val="Nadpis6"/>
    <w:rsid w:val="00966D4B"/>
    <w:rPr>
      <w:rFonts w:eastAsia="MS Mincho"/>
      <w:b/>
      <w:sz w:val="24"/>
      <w:szCs w:val="24"/>
    </w:rPr>
  </w:style>
  <w:style w:type="character" w:customStyle="1" w:styleId="Nadpis7Char">
    <w:name w:val="Nadpis 7 Char"/>
    <w:link w:val="Nadpis7"/>
    <w:rsid w:val="00966D4B"/>
    <w:rPr>
      <w:rFonts w:eastAsia="MS Mincho"/>
      <w:sz w:val="24"/>
      <w:szCs w:val="24"/>
    </w:rPr>
  </w:style>
  <w:style w:type="character" w:customStyle="1" w:styleId="Nadpis8Char">
    <w:name w:val="Nadpis 8 Char"/>
    <w:link w:val="Nadpis8"/>
    <w:rsid w:val="00966D4B"/>
    <w:rPr>
      <w:rFonts w:eastAsia="MS Mincho"/>
      <w:sz w:val="24"/>
      <w:szCs w:val="24"/>
    </w:rPr>
  </w:style>
  <w:style w:type="character" w:customStyle="1" w:styleId="Nadpis9Char">
    <w:name w:val="Nadpis 9 Char"/>
    <w:link w:val="Nadpis9"/>
    <w:rsid w:val="00966D4B"/>
    <w:rPr>
      <w:rFonts w:eastAsia="MS Mincho"/>
      <w:sz w:val="24"/>
      <w:szCs w:val="24"/>
    </w:rPr>
  </w:style>
  <w:style w:type="character" w:customStyle="1" w:styleId="ZarkazkladnhotextuChar">
    <w:name w:val="Zarážka základného textu Char"/>
    <w:link w:val="Zarkazkladnhotextu"/>
    <w:semiHidden/>
    <w:rsid w:val="00966D4B"/>
    <w:rPr>
      <w:sz w:val="22"/>
      <w:szCs w:val="22"/>
    </w:rPr>
  </w:style>
  <w:style w:type="character" w:customStyle="1" w:styleId="Zkladntext3Char">
    <w:name w:val="Základný text 3 Char"/>
    <w:link w:val="Zkladntext3"/>
    <w:semiHidden/>
    <w:rsid w:val="00966D4B"/>
    <w:rPr>
      <w:color w:val="0000FF"/>
      <w:sz w:val="22"/>
      <w:szCs w:val="22"/>
    </w:rPr>
  </w:style>
  <w:style w:type="character" w:customStyle="1" w:styleId="Zarkazkladnhotextu2Char">
    <w:name w:val="Zarážka základného textu 2 Char"/>
    <w:link w:val="Zarkazkladnhotextu2"/>
    <w:semiHidden/>
    <w:rsid w:val="00966D4B"/>
    <w:rPr>
      <w:b/>
      <w:bCs/>
      <w:color w:val="0000FF"/>
      <w:sz w:val="22"/>
      <w:szCs w:val="22"/>
    </w:rPr>
  </w:style>
  <w:style w:type="character" w:customStyle="1" w:styleId="Zkladntext2Char">
    <w:name w:val="Základný text 2 Char"/>
    <w:link w:val="Zkladntext2"/>
    <w:semiHidden/>
    <w:rsid w:val="00966D4B"/>
    <w:rPr>
      <w:b/>
      <w:bCs/>
      <w:color w:val="0000FF"/>
      <w:sz w:val="22"/>
      <w:szCs w:val="22"/>
      <w:u w:val="single"/>
    </w:rPr>
  </w:style>
  <w:style w:type="character" w:customStyle="1" w:styleId="truktradokumentuChar">
    <w:name w:val="Štruktúra dokumentu Char"/>
    <w:link w:val="truktradokumentu"/>
    <w:semiHidden/>
    <w:rsid w:val="00966D4B"/>
    <w:rPr>
      <w:rFonts w:ascii="Tahoma" w:hAnsi="Tahoma" w:cs="Tahoma"/>
      <w:sz w:val="24"/>
      <w:szCs w:val="24"/>
      <w:shd w:val="clear" w:color="auto" w:fill="000080"/>
    </w:rPr>
  </w:style>
  <w:style w:type="character" w:customStyle="1" w:styleId="Zarkazkladnhotextu3Char">
    <w:name w:val="Zarážka základného textu 3 Char"/>
    <w:link w:val="Zarkazkladnhotextu3"/>
    <w:semiHidden/>
    <w:rsid w:val="00966D4B"/>
    <w:rPr>
      <w:sz w:val="22"/>
      <w:szCs w:val="21"/>
    </w:rPr>
  </w:style>
  <w:style w:type="paragraph" w:styleId="Popis">
    <w:name w:val="caption"/>
    <w:next w:val="Paragraph"/>
    <w:qFormat/>
    <w:rsid w:val="00202514"/>
    <w:pPr>
      <w:keepNext/>
      <w:spacing w:before="120" w:after="120"/>
      <w:jc w:val="center"/>
    </w:pPr>
    <w:rPr>
      <w:rFonts w:eastAsia="MS Mincho"/>
      <w:b/>
      <w:bCs/>
      <w:sz w:val="24"/>
      <w:szCs w:val="24"/>
    </w:rPr>
  </w:style>
  <w:style w:type="paragraph" w:customStyle="1" w:styleId="HeaderLandscape">
    <w:name w:val="HeaderLandscape"/>
    <w:rsid w:val="00202514"/>
    <w:pPr>
      <w:tabs>
        <w:tab w:val="right" w:pos="12600"/>
      </w:tabs>
    </w:pPr>
    <w:rPr>
      <w:rFonts w:eastAsia="MS Mincho"/>
    </w:rPr>
  </w:style>
  <w:style w:type="paragraph" w:customStyle="1" w:styleId="FooterLandscape">
    <w:name w:val="FooterLandscape"/>
    <w:rsid w:val="00202514"/>
    <w:pPr>
      <w:tabs>
        <w:tab w:val="center" w:pos="6300"/>
        <w:tab w:val="right" w:pos="12600"/>
      </w:tabs>
    </w:pPr>
    <w:rPr>
      <w:rFonts w:eastAsia="MS Mincho"/>
    </w:rPr>
  </w:style>
  <w:style w:type="character" w:customStyle="1" w:styleId="UserTips">
    <w:name w:val="User Tips"/>
    <w:rsid w:val="00202514"/>
    <w:rPr>
      <w:i/>
      <w:vanish/>
      <w:color w:val="FF6600"/>
    </w:rPr>
  </w:style>
  <w:style w:type="paragraph" w:customStyle="1" w:styleId="TableCenter">
    <w:name w:val="Table Center"/>
    <w:rsid w:val="00202514"/>
    <w:pPr>
      <w:spacing w:before="60" w:after="60"/>
      <w:jc w:val="center"/>
    </w:pPr>
  </w:style>
  <w:style w:type="paragraph" w:customStyle="1" w:styleId="TableLeft">
    <w:name w:val="Table Left"/>
    <w:rsid w:val="00202514"/>
    <w:pPr>
      <w:spacing w:before="60" w:after="60"/>
    </w:pPr>
  </w:style>
  <w:style w:type="paragraph" w:customStyle="1" w:styleId="TableFixedWidth">
    <w:name w:val="Table Fixed Width"/>
    <w:rsid w:val="00280951"/>
    <w:pPr>
      <w:spacing w:before="60"/>
    </w:pPr>
    <w:rPr>
      <w:rFonts w:ascii="Courier New" w:hAnsi="Courier New"/>
    </w:rPr>
  </w:style>
  <w:style w:type="paragraph" w:customStyle="1" w:styleId="TableFootnoteSymbol">
    <w:name w:val="Table Footnote Symbol"/>
    <w:rsid w:val="00202514"/>
    <w:pPr>
      <w:tabs>
        <w:tab w:val="left" w:pos="115"/>
      </w:tabs>
      <w:spacing w:before="60" w:after="60"/>
    </w:pPr>
  </w:style>
  <w:style w:type="paragraph" w:customStyle="1" w:styleId="TableFootnoteLetter">
    <w:name w:val="Table Footnote Letter"/>
    <w:rsid w:val="00202514"/>
    <w:pPr>
      <w:numPr>
        <w:numId w:val="14"/>
      </w:numPr>
      <w:spacing w:before="60" w:after="60"/>
    </w:pPr>
  </w:style>
  <w:style w:type="paragraph" w:customStyle="1" w:styleId="TableEndofTextTitle">
    <w:name w:val="Table End of Text Title"/>
    <w:next w:val="TableHead"/>
    <w:rsid w:val="00202514"/>
    <w:pPr>
      <w:keepNext/>
      <w:spacing w:before="120" w:after="120"/>
      <w:jc w:val="center"/>
    </w:pPr>
    <w:rPr>
      <w:b/>
      <w:bCs/>
      <w:sz w:val="24"/>
      <w:szCs w:val="24"/>
    </w:rPr>
  </w:style>
  <w:style w:type="paragraph" w:customStyle="1" w:styleId="TableTitleContinued">
    <w:name w:val="Table Title Continued"/>
    <w:next w:val="Paragraph"/>
    <w:rsid w:val="00202514"/>
    <w:pPr>
      <w:keepNext/>
      <w:spacing w:before="120" w:after="120"/>
      <w:jc w:val="center"/>
    </w:pPr>
    <w:rPr>
      <w:rFonts w:eastAsia="MS Mincho"/>
      <w:b/>
      <w:bCs/>
      <w:sz w:val="24"/>
      <w:szCs w:val="24"/>
    </w:rPr>
  </w:style>
  <w:style w:type="paragraph" w:customStyle="1" w:styleId="FigureEndofTextTitle">
    <w:name w:val="Figure End of Text Title"/>
    <w:next w:val="Figure"/>
    <w:rsid w:val="00202514"/>
    <w:pPr>
      <w:keepNext/>
      <w:spacing w:before="120" w:after="120"/>
      <w:jc w:val="center"/>
    </w:pPr>
    <w:rPr>
      <w:b/>
      <w:bCs/>
      <w:sz w:val="24"/>
      <w:szCs w:val="24"/>
    </w:rPr>
  </w:style>
  <w:style w:type="paragraph" w:styleId="slovanzoznam2">
    <w:name w:val="List Number 2"/>
    <w:rsid w:val="00202514"/>
    <w:pPr>
      <w:numPr>
        <w:numId w:val="15"/>
      </w:numPr>
      <w:spacing w:before="60" w:after="60" w:line="360" w:lineRule="exact"/>
    </w:pPr>
    <w:rPr>
      <w:sz w:val="24"/>
      <w:szCs w:val="24"/>
    </w:rPr>
  </w:style>
  <w:style w:type="paragraph" w:styleId="slovanzoznam3">
    <w:name w:val="List Number 3"/>
    <w:rsid w:val="00202514"/>
    <w:pPr>
      <w:numPr>
        <w:numId w:val="16"/>
      </w:numPr>
      <w:spacing w:before="60" w:after="60" w:line="360" w:lineRule="exact"/>
    </w:pPr>
    <w:rPr>
      <w:sz w:val="24"/>
      <w:szCs w:val="24"/>
    </w:rPr>
  </w:style>
  <w:style w:type="paragraph" w:customStyle="1" w:styleId="ListLetter2">
    <w:name w:val="List Letter 2"/>
    <w:rsid w:val="00202514"/>
    <w:pPr>
      <w:numPr>
        <w:numId w:val="17"/>
      </w:numPr>
      <w:spacing w:before="60" w:after="60" w:line="360" w:lineRule="exact"/>
    </w:pPr>
    <w:rPr>
      <w:sz w:val="24"/>
      <w:szCs w:val="24"/>
    </w:rPr>
  </w:style>
  <w:style w:type="paragraph" w:customStyle="1" w:styleId="ListLetter3">
    <w:name w:val="List Letter 3"/>
    <w:rsid w:val="00202514"/>
    <w:pPr>
      <w:numPr>
        <w:numId w:val="18"/>
      </w:numPr>
      <w:spacing w:before="60" w:after="60" w:line="360" w:lineRule="exact"/>
    </w:pPr>
    <w:rPr>
      <w:sz w:val="24"/>
      <w:szCs w:val="24"/>
    </w:rPr>
  </w:style>
  <w:style w:type="paragraph" w:customStyle="1" w:styleId="Equation">
    <w:name w:val="Equation"/>
    <w:next w:val="Paragraph"/>
    <w:rsid w:val="00202514"/>
    <w:pPr>
      <w:keepLines/>
      <w:spacing w:before="120" w:after="240" w:line="288" w:lineRule="auto"/>
      <w:jc w:val="center"/>
    </w:pPr>
    <w:rPr>
      <w:rFonts w:eastAsia="MS Mincho"/>
      <w:sz w:val="24"/>
      <w:szCs w:val="24"/>
    </w:rPr>
  </w:style>
  <w:style w:type="paragraph" w:customStyle="1" w:styleId="EquationTitle">
    <w:name w:val="Equation Title"/>
    <w:next w:val="Paragraph"/>
    <w:rsid w:val="00202514"/>
    <w:pPr>
      <w:keepNext/>
      <w:spacing w:before="120" w:after="120"/>
      <w:jc w:val="center"/>
    </w:pPr>
    <w:rPr>
      <w:rFonts w:eastAsia="MS Mincho"/>
      <w:b/>
      <w:bCs/>
      <w:sz w:val="24"/>
      <w:szCs w:val="24"/>
    </w:rPr>
  </w:style>
  <w:style w:type="paragraph" w:customStyle="1" w:styleId="CaptionContinued">
    <w:name w:val="Caption Continued"/>
    <w:next w:val="Paragraph"/>
    <w:rsid w:val="00202514"/>
    <w:pPr>
      <w:keepNext/>
      <w:spacing w:before="120" w:after="120"/>
      <w:jc w:val="center"/>
    </w:pPr>
    <w:rPr>
      <w:rFonts w:eastAsia="MS Mincho"/>
      <w:b/>
      <w:bCs/>
      <w:sz w:val="24"/>
      <w:szCs w:val="24"/>
    </w:rPr>
  </w:style>
  <w:style w:type="paragraph" w:customStyle="1" w:styleId="Paragraph">
    <w:name w:val="Paragraph"/>
    <w:link w:val="ParagraphChar"/>
    <w:rsid w:val="00202514"/>
    <w:pPr>
      <w:spacing w:before="120" w:after="240" w:line="288" w:lineRule="auto"/>
    </w:pPr>
    <w:rPr>
      <w:rFonts w:eastAsia="MS Mincho"/>
      <w:sz w:val="24"/>
      <w:szCs w:val="24"/>
    </w:rPr>
  </w:style>
  <w:style w:type="paragraph" w:customStyle="1" w:styleId="Appendix">
    <w:name w:val="Appendix"/>
    <w:next w:val="Paragraph"/>
    <w:rsid w:val="00202514"/>
    <w:pPr>
      <w:keepNext/>
      <w:pageBreakBefore/>
      <w:numPr>
        <w:numId w:val="2"/>
      </w:numPr>
      <w:spacing w:before="120" w:after="120"/>
    </w:pPr>
    <w:rPr>
      <w:rFonts w:eastAsia="MS Mincho"/>
      <w:b/>
      <w:bCs/>
      <w:sz w:val="24"/>
      <w:szCs w:val="24"/>
    </w:rPr>
  </w:style>
  <w:style w:type="paragraph" w:customStyle="1" w:styleId="Approval">
    <w:name w:val="Approval"/>
    <w:rsid w:val="00202514"/>
    <w:pPr>
      <w:tabs>
        <w:tab w:val="left" w:pos="1080"/>
        <w:tab w:val="left" w:pos="5040"/>
        <w:tab w:val="left" w:pos="5760"/>
        <w:tab w:val="left" w:pos="6480"/>
        <w:tab w:val="left" w:pos="8640"/>
      </w:tabs>
    </w:pPr>
    <w:rPr>
      <w:rFonts w:eastAsia="MS Mincho"/>
      <w:sz w:val="24"/>
      <w:szCs w:val="24"/>
    </w:rPr>
  </w:style>
  <w:style w:type="character" w:customStyle="1" w:styleId="Citation">
    <w:name w:val="Citation"/>
    <w:rsid w:val="00202514"/>
    <w:rPr>
      <w:color w:val="auto"/>
      <w:vertAlign w:val="superscript"/>
    </w:rPr>
  </w:style>
  <w:style w:type="paragraph" w:customStyle="1" w:styleId="Confidentiality">
    <w:name w:val="Confidentiality"/>
    <w:rsid w:val="00202514"/>
    <w:pPr>
      <w:ind w:left="720"/>
    </w:pPr>
    <w:rPr>
      <w:rFonts w:eastAsia="MS Mincho"/>
      <w:sz w:val="24"/>
      <w:szCs w:val="24"/>
    </w:rPr>
  </w:style>
  <w:style w:type="character" w:styleId="Odkaznavysvetlivku">
    <w:name w:val="endnote reference"/>
    <w:semiHidden/>
    <w:rsid w:val="00202514"/>
    <w:rPr>
      <w:color w:val="auto"/>
      <w:vertAlign w:val="superscript"/>
    </w:rPr>
  </w:style>
  <w:style w:type="paragraph" w:styleId="Textvysvetlivky">
    <w:name w:val="endnote text"/>
    <w:link w:val="TextvysvetlivkyChar"/>
    <w:semiHidden/>
    <w:rsid w:val="00202514"/>
    <w:rPr>
      <w:rFonts w:eastAsia="MS Mincho"/>
    </w:rPr>
  </w:style>
  <w:style w:type="character" w:customStyle="1" w:styleId="TextvysvetlivkyChar">
    <w:name w:val="Text vysvetlivky Char"/>
    <w:basedOn w:val="Predvolenpsmoodseku"/>
    <w:link w:val="Textvysvetlivky"/>
    <w:semiHidden/>
    <w:rsid w:val="009C0D8D"/>
    <w:rPr>
      <w:rFonts w:eastAsia="MS Mincho"/>
    </w:rPr>
  </w:style>
  <w:style w:type="paragraph" w:customStyle="1" w:styleId="Figure">
    <w:name w:val="Figure"/>
    <w:next w:val="ListEnd"/>
    <w:rsid w:val="00202514"/>
    <w:pPr>
      <w:spacing w:before="120" w:after="240" w:line="288" w:lineRule="auto"/>
      <w:jc w:val="center"/>
    </w:pPr>
    <w:rPr>
      <w:rFonts w:eastAsia="MS Mincho"/>
      <w:sz w:val="24"/>
      <w:szCs w:val="24"/>
    </w:rPr>
  </w:style>
  <w:style w:type="paragraph" w:customStyle="1" w:styleId="FigureTitle">
    <w:name w:val="Figure Title"/>
    <w:next w:val="Paragraph"/>
    <w:rsid w:val="00202514"/>
    <w:pPr>
      <w:keepNext/>
      <w:spacing w:before="120" w:after="120"/>
      <w:jc w:val="center"/>
    </w:pPr>
    <w:rPr>
      <w:rFonts w:eastAsia="MS Mincho"/>
      <w:b/>
      <w:bCs/>
      <w:sz w:val="24"/>
      <w:szCs w:val="24"/>
    </w:rPr>
  </w:style>
  <w:style w:type="paragraph" w:customStyle="1" w:styleId="TableTitle">
    <w:name w:val="Table Title"/>
    <w:next w:val="Paragraph"/>
    <w:rsid w:val="00202514"/>
    <w:pPr>
      <w:keepNext/>
      <w:spacing w:before="120" w:after="120"/>
      <w:jc w:val="center"/>
    </w:pPr>
    <w:rPr>
      <w:rFonts w:eastAsia="MS Mincho"/>
      <w:b/>
      <w:bCs/>
      <w:sz w:val="24"/>
      <w:szCs w:val="24"/>
    </w:rPr>
  </w:style>
  <w:style w:type="character" w:styleId="Odkaznapoznmkupodiarou">
    <w:name w:val="footnote reference"/>
    <w:semiHidden/>
    <w:rsid w:val="00202514"/>
    <w:rPr>
      <w:color w:val="auto"/>
      <w:sz w:val="20"/>
      <w:vertAlign w:val="superscript"/>
    </w:rPr>
  </w:style>
  <w:style w:type="paragraph" w:styleId="Textpoznmkypodiarou">
    <w:name w:val="footnote text"/>
    <w:link w:val="TextpoznmkypodiarouChar"/>
    <w:semiHidden/>
    <w:rsid w:val="00202514"/>
    <w:rPr>
      <w:rFonts w:eastAsia="MS Mincho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9C0D8D"/>
    <w:rPr>
      <w:rFonts w:eastAsia="MS Mincho"/>
    </w:rPr>
  </w:style>
  <w:style w:type="character" w:customStyle="1" w:styleId="Instructions">
    <w:name w:val="Instructions"/>
    <w:rsid w:val="00202514"/>
    <w:rPr>
      <w:rFonts w:ascii="Arial" w:eastAsia="MS Gothic" w:hAnsi="Arial" w:cs="Arial"/>
      <w:i/>
      <w:vanish/>
      <w:color w:val="008080"/>
      <w:sz w:val="20"/>
    </w:rPr>
  </w:style>
  <w:style w:type="paragraph" w:customStyle="1" w:styleId="ListEnd">
    <w:name w:val="List End"/>
    <w:next w:val="Paragraph"/>
    <w:rsid w:val="00202514"/>
    <w:rPr>
      <w:rFonts w:eastAsia="MS Mincho"/>
      <w:sz w:val="24"/>
      <w:szCs w:val="24"/>
    </w:rPr>
  </w:style>
  <w:style w:type="paragraph" w:customStyle="1" w:styleId="References">
    <w:name w:val="References"/>
    <w:rsid w:val="00202514"/>
    <w:pPr>
      <w:keepLines/>
      <w:numPr>
        <w:numId w:val="3"/>
      </w:numPr>
      <w:spacing w:after="240" w:line="288" w:lineRule="auto"/>
    </w:pPr>
    <w:rPr>
      <w:rFonts w:eastAsia="MS Mincho"/>
      <w:sz w:val="24"/>
      <w:szCs w:val="24"/>
    </w:rPr>
  </w:style>
  <w:style w:type="paragraph" w:customStyle="1" w:styleId="ListCircle">
    <w:name w:val="List Circle"/>
    <w:rsid w:val="00202514"/>
    <w:pPr>
      <w:numPr>
        <w:numId w:val="24"/>
      </w:numPr>
      <w:spacing w:before="60" w:after="60" w:line="360" w:lineRule="exact"/>
    </w:pPr>
    <w:rPr>
      <w:rFonts w:eastAsia="MS Mincho"/>
      <w:sz w:val="24"/>
      <w:szCs w:val="24"/>
    </w:rPr>
  </w:style>
  <w:style w:type="paragraph" w:customStyle="1" w:styleId="TableHead">
    <w:name w:val="Table Head"/>
    <w:rsid w:val="00202514"/>
    <w:pPr>
      <w:keepNext/>
      <w:spacing w:before="60" w:after="60"/>
      <w:jc w:val="center"/>
    </w:pPr>
    <w:rPr>
      <w:rFonts w:eastAsia="MS Mincho"/>
      <w:b/>
    </w:rPr>
  </w:style>
  <w:style w:type="paragraph" w:customStyle="1" w:styleId="TableFootnote">
    <w:name w:val="Table Footnote"/>
    <w:rsid w:val="00202514"/>
    <w:pPr>
      <w:numPr>
        <w:numId w:val="4"/>
      </w:numPr>
      <w:spacing w:before="60" w:after="60"/>
    </w:pPr>
    <w:rPr>
      <w:rFonts w:eastAsia="MS Mincho"/>
    </w:rPr>
  </w:style>
  <w:style w:type="paragraph" w:styleId="Obsah1">
    <w:name w:val="toc 1"/>
    <w:uiPriority w:val="39"/>
    <w:rsid w:val="00202514"/>
    <w:pPr>
      <w:tabs>
        <w:tab w:val="left" w:pos="245"/>
        <w:tab w:val="right" w:leader="dot" w:pos="8640"/>
      </w:tabs>
      <w:spacing w:before="360" w:after="120"/>
      <w:ind w:left="245" w:right="360" w:hanging="245"/>
    </w:pPr>
    <w:rPr>
      <w:rFonts w:eastAsia="MS Mincho"/>
      <w:b/>
      <w:bCs/>
      <w:caps/>
      <w:noProof/>
      <w:sz w:val="24"/>
      <w:szCs w:val="24"/>
    </w:rPr>
  </w:style>
  <w:style w:type="paragraph" w:styleId="Obsah2">
    <w:name w:val="toc 2"/>
    <w:uiPriority w:val="39"/>
    <w:rsid w:val="00202514"/>
    <w:pPr>
      <w:tabs>
        <w:tab w:val="left" w:pos="605"/>
        <w:tab w:val="right" w:leader="dot" w:pos="8640"/>
      </w:tabs>
      <w:ind w:left="605" w:right="360" w:hanging="360"/>
    </w:pPr>
    <w:rPr>
      <w:rFonts w:eastAsia="MS Mincho"/>
      <w:b/>
      <w:bCs/>
      <w:noProof/>
      <w:sz w:val="24"/>
      <w:szCs w:val="24"/>
    </w:rPr>
  </w:style>
  <w:style w:type="paragraph" w:styleId="Obsah3">
    <w:name w:val="toc 3"/>
    <w:uiPriority w:val="39"/>
    <w:rsid w:val="00202514"/>
    <w:pPr>
      <w:tabs>
        <w:tab w:val="left" w:pos="1051"/>
        <w:tab w:val="right" w:leader="dot" w:pos="8640"/>
      </w:tabs>
      <w:ind w:left="1052" w:right="360" w:hanging="562"/>
    </w:pPr>
    <w:rPr>
      <w:rFonts w:eastAsia="MS Mincho"/>
      <w:b/>
      <w:bCs/>
      <w:noProof/>
      <w:sz w:val="24"/>
      <w:szCs w:val="24"/>
    </w:rPr>
  </w:style>
  <w:style w:type="paragraph" w:styleId="Obsah4">
    <w:name w:val="toc 4"/>
    <w:uiPriority w:val="39"/>
    <w:rsid w:val="00202514"/>
    <w:pPr>
      <w:tabs>
        <w:tab w:val="left" w:pos="1454"/>
        <w:tab w:val="right" w:leader="dot" w:pos="8640"/>
      </w:tabs>
      <w:ind w:left="1454" w:right="360" w:hanging="720"/>
    </w:pPr>
    <w:rPr>
      <w:rFonts w:eastAsia="MS Mincho"/>
      <w:b/>
      <w:bCs/>
      <w:noProof/>
      <w:sz w:val="24"/>
      <w:szCs w:val="24"/>
    </w:rPr>
  </w:style>
  <w:style w:type="paragraph" w:styleId="Obsah5">
    <w:name w:val="toc 5"/>
    <w:rsid w:val="00202514"/>
    <w:pPr>
      <w:tabs>
        <w:tab w:val="left" w:pos="1670"/>
        <w:tab w:val="right" w:leader="dot" w:pos="8640"/>
      </w:tabs>
      <w:ind w:left="1670" w:right="360" w:hanging="720"/>
    </w:pPr>
    <w:rPr>
      <w:rFonts w:eastAsia="MS Mincho"/>
      <w:noProof/>
      <w:sz w:val="24"/>
      <w:szCs w:val="24"/>
    </w:rPr>
  </w:style>
  <w:style w:type="paragraph" w:styleId="Obsah6">
    <w:name w:val="toc 6"/>
    <w:rsid w:val="00202514"/>
    <w:pPr>
      <w:tabs>
        <w:tab w:val="left" w:pos="2275"/>
        <w:tab w:val="right" w:leader="dot" w:pos="8640"/>
      </w:tabs>
      <w:ind w:left="2275" w:right="360" w:hanging="1080"/>
    </w:pPr>
    <w:rPr>
      <w:rFonts w:eastAsia="MS Mincho"/>
      <w:noProof/>
      <w:sz w:val="24"/>
      <w:szCs w:val="24"/>
    </w:rPr>
  </w:style>
  <w:style w:type="paragraph" w:styleId="Obsah7">
    <w:name w:val="toc 7"/>
    <w:semiHidden/>
    <w:rsid w:val="00202514"/>
    <w:pPr>
      <w:tabs>
        <w:tab w:val="left" w:pos="2736"/>
        <w:tab w:val="right" w:leader="dot" w:pos="8640"/>
      </w:tabs>
      <w:ind w:left="2736" w:right="360" w:hanging="1296"/>
    </w:pPr>
    <w:rPr>
      <w:rFonts w:eastAsia="MS Mincho"/>
      <w:noProof/>
      <w:sz w:val="24"/>
      <w:szCs w:val="24"/>
    </w:rPr>
  </w:style>
  <w:style w:type="paragraph" w:styleId="Obsah8">
    <w:name w:val="toc 8"/>
    <w:semiHidden/>
    <w:rsid w:val="00202514"/>
    <w:pPr>
      <w:tabs>
        <w:tab w:val="left" w:pos="3139"/>
        <w:tab w:val="right" w:leader="dot" w:pos="8640"/>
      </w:tabs>
      <w:ind w:left="3139" w:right="360" w:hanging="1454"/>
    </w:pPr>
    <w:rPr>
      <w:rFonts w:eastAsia="MS Mincho"/>
      <w:noProof/>
      <w:sz w:val="24"/>
      <w:szCs w:val="24"/>
    </w:rPr>
  </w:style>
  <w:style w:type="paragraph" w:styleId="Obsah9">
    <w:name w:val="toc 9"/>
    <w:semiHidden/>
    <w:rsid w:val="00202514"/>
    <w:pPr>
      <w:tabs>
        <w:tab w:val="left" w:pos="3586"/>
        <w:tab w:val="right" w:leader="dot" w:pos="8640"/>
      </w:tabs>
      <w:ind w:left="3586" w:right="360" w:hanging="1656"/>
    </w:pPr>
    <w:rPr>
      <w:rFonts w:eastAsia="MS Mincho"/>
      <w:noProof/>
      <w:sz w:val="24"/>
      <w:szCs w:val="24"/>
    </w:rPr>
  </w:style>
  <w:style w:type="paragraph" w:styleId="Zoznamobrzkov">
    <w:name w:val="table of figures"/>
    <w:uiPriority w:val="99"/>
    <w:rsid w:val="00202514"/>
    <w:pPr>
      <w:tabs>
        <w:tab w:val="left" w:pos="475"/>
        <w:tab w:val="right" w:leader="dot" w:pos="8640"/>
      </w:tabs>
      <w:spacing w:after="120"/>
      <w:ind w:left="475" w:right="360" w:hanging="475"/>
    </w:pPr>
    <w:rPr>
      <w:rFonts w:eastAsia="MS Mincho"/>
      <w:b/>
      <w:bCs/>
      <w:noProof/>
      <w:sz w:val="24"/>
      <w:szCs w:val="24"/>
    </w:rPr>
  </w:style>
  <w:style w:type="paragraph" w:customStyle="1" w:styleId="TOCSection">
    <w:name w:val="TOC Section"/>
    <w:next w:val="Zoznamobrzkov"/>
    <w:rsid w:val="00202514"/>
    <w:pPr>
      <w:keepNext/>
    </w:pPr>
    <w:rPr>
      <w:rFonts w:eastAsia="MS Mincho"/>
      <w:b/>
      <w:bCs/>
      <w:sz w:val="28"/>
      <w:szCs w:val="28"/>
    </w:rPr>
  </w:style>
  <w:style w:type="paragraph" w:customStyle="1" w:styleId="TOCTitle">
    <w:name w:val="TOC Title"/>
    <w:next w:val="Obsah1"/>
    <w:rsid w:val="00202514"/>
    <w:pPr>
      <w:keepNext/>
      <w:spacing w:before="120" w:after="120"/>
    </w:pPr>
    <w:rPr>
      <w:rFonts w:eastAsia="MS Mincho"/>
      <w:b/>
      <w:bCs/>
      <w:sz w:val="28"/>
      <w:szCs w:val="28"/>
    </w:rPr>
  </w:style>
  <w:style w:type="paragraph" w:customStyle="1" w:styleId="ListArrow1">
    <w:name w:val="List Arrow 1"/>
    <w:rsid w:val="00202514"/>
    <w:pPr>
      <w:numPr>
        <w:numId w:val="10"/>
      </w:numPr>
      <w:spacing w:before="60" w:after="60" w:line="360" w:lineRule="exact"/>
    </w:pPr>
    <w:rPr>
      <w:rFonts w:eastAsia="MS Mincho"/>
      <w:sz w:val="24"/>
      <w:szCs w:val="24"/>
    </w:rPr>
  </w:style>
  <w:style w:type="paragraph" w:styleId="Zoznamsodrkami">
    <w:name w:val="List Bullet"/>
    <w:rsid w:val="00202514"/>
    <w:pPr>
      <w:numPr>
        <w:numId w:val="13"/>
      </w:numPr>
      <w:spacing w:before="60" w:after="60" w:line="360" w:lineRule="exact"/>
    </w:pPr>
    <w:rPr>
      <w:rFonts w:eastAsia="MS Mincho"/>
      <w:sz w:val="24"/>
      <w:szCs w:val="24"/>
    </w:rPr>
  </w:style>
  <w:style w:type="paragraph" w:customStyle="1" w:styleId="ListArrow2">
    <w:name w:val="List Arrow 2"/>
    <w:rsid w:val="00202514"/>
    <w:pPr>
      <w:numPr>
        <w:numId w:val="6"/>
      </w:numPr>
      <w:spacing w:before="60" w:after="60" w:line="360" w:lineRule="exact"/>
    </w:pPr>
    <w:rPr>
      <w:rFonts w:eastAsia="MS Mincho"/>
      <w:sz w:val="24"/>
      <w:szCs w:val="24"/>
    </w:rPr>
  </w:style>
  <w:style w:type="paragraph" w:styleId="Zoznamsodrkami2">
    <w:name w:val="List Bullet 2"/>
    <w:rsid w:val="00202514"/>
    <w:pPr>
      <w:numPr>
        <w:numId w:val="5"/>
      </w:numPr>
      <w:spacing w:before="60" w:after="60" w:line="360" w:lineRule="exact"/>
    </w:pPr>
    <w:rPr>
      <w:rFonts w:eastAsia="MS Mincho"/>
      <w:sz w:val="24"/>
      <w:szCs w:val="24"/>
    </w:rPr>
  </w:style>
  <w:style w:type="paragraph" w:customStyle="1" w:styleId="ListArrow3">
    <w:name w:val="List Arrow 3"/>
    <w:rsid w:val="00202514"/>
    <w:pPr>
      <w:numPr>
        <w:numId w:val="8"/>
      </w:numPr>
      <w:spacing w:before="60" w:after="60" w:line="360" w:lineRule="exact"/>
    </w:pPr>
    <w:rPr>
      <w:rFonts w:eastAsia="MS Mincho"/>
      <w:sz w:val="24"/>
      <w:szCs w:val="24"/>
    </w:rPr>
  </w:style>
  <w:style w:type="paragraph" w:styleId="Zoznamsodrkami3">
    <w:name w:val="List Bullet 3"/>
    <w:rsid w:val="00202514"/>
    <w:pPr>
      <w:numPr>
        <w:numId w:val="7"/>
      </w:numPr>
      <w:spacing w:before="60" w:after="60" w:line="360" w:lineRule="exact"/>
    </w:pPr>
    <w:rPr>
      <w:rFonts w:eastAsia="MS Mincho"/>
      <w:sz w:val="24"/>
      <w:szCs w:val="24"/>
    </w:rPr>
  </w:style>
  <w:style w:type="paragraph" w:styleId="slovanzoznam">
    <w:name w:val="List Number"/>
    <w:rsid w:val="00202514"/>
    <w:pPr>
      <w:numPr>
        <w:numId w:val="9"/>
      </w:numPr>
      <w:spacing w:before="60" w:after="60" w:line="360" w:lineRule="exact"/>
    </w:pPr>
    <w:rPr>
      <w:rFonts w:eastAsia="MS Mincho"/>
      <w:sz w:val="24"/>
      <w:szCs w:val="24"/>
    </w:rPr>
  </w:style>
  <w:style w:type="paragraph" w:customStyle="1" w:styleId="ListLetter">
    <w:name w:val="List Letter"/>
    <w:rsid w:val="00202514"/>
    <w:pPr>
      <w:numPr>
        <w:numId w:val="11"/>
      </w:numPr>
      <w:spacing w:before="60" w:after="60" w:line="360" w:lineRule="exact"/>
    </w:pPr>
    <w:rPr>
      <w:rFonts w:eastAsia="MS Mincho"/>
      <w:sz w:val="24"/>
      <w:szCs w:val="24"/>
    </w:rPr>
  </w:style>
  <w:style w:type="paragraph" w:customStyle="1" w:styleId="Heading1Unnumbered">
    <w:name w:val="Heading 1 Unnumbered"/>
    <w:next w:val="Paragraph"/>
    <w:rsid w:val="00202514"/>
    <w:pPr>
      <w:keepNext/>
      <w:spacing w:before="120" w:after="120"/>
      <w:outlineLvl w:val="0"/>
    </w:pPr>
    <w:rPr>
      <w:rFonts w:eastAsia="MS Mincho"/>
      <w:b/>
      <w:bCs/>
      <w:caps/>
      <w:sz w:val="24"/>
      <w:szCs w:val="24"/>
    </w:rPr>
  </w:style>
  <w:style w:type="paragraph" w:customStyle="1" w:styleId="Heading2Unnumbered">
    <w:name w:val="Heading 2 Unnumbered"/>
    <w:next w:val="Paragraph"/>
    <w:rsid w:val="00202514"/>
    <w:pPr>
      <w:keepNext/>
      <w:spacing w:before="120" w:after="120"/>
      <w:outlineLvl w:val="1"/>
    </w:pPr>
    <w:rPr>
      <w:rFonts w:eastAsia="MS Mincho"/>
      <w:b/>
      <w:bCs/>
      <w:sz w:val="24"/>
      <w:szCs w:val="24"/>
    </w:rPr>
  </w:style>
  <w:style w:type="paragraph" w:customStyle="1" w:styleId="Heading3Unnumbered">
    <w:name w:val="Heading 3 Unnumbered"/>
    <w:next w:val="Paragraph"/>
    <w:rsid w:val="00202514"/>
    <w:pPr>
      <w:keepNext/>
      <w:spacing w:before="120" w:after="120"/>
      <w:outlineLvl w:val="2"/>
    </w:pPr>
    <w:rPr>
      <w:rFonts w:eastAsia="MS Mincho"/>
      <w:b/>
      <w:bCs/>
      <w:i/>
      <w:iCs/>
      <w:sz w:val="24"/>
      <w:szCs w:val="24"/>
    </w:rPr>
  </w:style>
  <w:style w:type="paragraph" w:customStyle="1" w:styleId="Heading4Unnumbered">
    <w:name w:val="Heading 4 Unnumbered"/>
    <w:next w:val="Paragraph"/>
    <w:rsid w:val="00202514"/>
    <w:pPr>
      <w:keepNext/>
      <w:spacing w:before="120" w:after="120"/>
      <w:outlineLvl w:val="3"/>
    </w:pPr>
    <w:rPr>
      <w:rFonts w:eastAsia="MS Mincho"/>
      <w:i/>
      <w:iCs/>
      <w:sz w:val="24"/>
      <w:szCs w:val="24"/>
    </w:rPr>
  </w:style>
  <w:style w:type="paragraph" w:customStyle="1" w:styleId="Heading1NoTOC">
    <w:name w:val="Heading 1 No TOC"/>
    <w:next w:val="Paragraph"/>
    <w:rsid w:val="00202514"/>
    <w:pPr>
      <w:keepNext/>
      <w:spacing w:before="120" w:after="120"/>
    </w:pPr>
    <w:rPr>
      <w:rFonts w:eastAsia="MS Mincho"/>
      <w:b/>
      <w:bCs/>
      <w:caps/>
      <w:sz w:val="24"/>
      <w:szCs w:val="24"/>
    </w:rPr>
  </w:style>
  <w:style w:type="paragraph" w:customStyle="1" w:styleId="Heading2NoTOC">
    <w:name w:val="Heading 2 No TOC"/>
    <w:next w:val="Paragraph"/>
    <w:rsid w:val="00202514"/>
    <w:pPr>
      <w:keepNext/>
      <w:spacing w:before="120" w:after="120"/>
    </w:pPr>
    <w:rPr>
      <w:rFonts w:eastAsia="MS Mincho"/>
      <w:b/>
      <w:bCs/>
      <w:sz w:val="24"/>
      <w:szCs w:val="24"/>
    </w:rPr>
  </w:style>
  <w:style w:type="paragraph" w:customStyle="1" w:styleId="Heading3NoTOC">
    <w:name w:val="Heading 3 No TOC"/>
    <w:next w:val="Paragraph"/>
    <w:rsid w:val="00202514"/>
    <w:pPr>
      <w:keepNext/>
      <w:spacing w:before="120" w:after="120"/>
    </w:pPr>
    <w:rPr>
      <w:rFonts w:eastAsia="MS Mincho"/>
      <w:b/>
      <w:bCs/>
      <w:i/>
      <w:iCs/>
      <w:sz w:val="24"/>
      <w:szCs w:val="24"/>
    </w:rPr>
  </w:style>
  <w:style w:type="paragraph" w:customStyle="1" w:styleId="Heading4NoTOC">
    <w:name w:val="Heading 4 No TOC"/>
    <w:next w:val="Paragraph"/>
    <w:rsid w:val="00202514"/>
    <w:pPr>
      <w:keepNext/>
      <w:spacing w:before="120" w:after="120"/>
    </w:pPr>
    <w:rPr>
      <w:rFonts w:eastAsia="MS Mincho"/>
      <w:i/>
      <w:iCs/>
      <w:sz w:val="24"/>
      <w:szCs w:val="24"/>
    </w:rPr>
  </w:style>
  <w:style w:type="table" w:styleId="Mriekatabuky">
    <w:name w:val="Table Grid"/>
    <w:basedOn w:val="Normlnatabuka"/>
    <w:semiHidden/>
    <w:rsid w:val="00202514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sozarkami">
    <w:name w:val="Normal Indent"/>
    <w:basedOn w:val="Normlny"/>
    <w:rsid w:val="00202514"/>
    <w:pPr>
      <w:tabs>
        <w:tab w:val="left" w:pos="1800"/>
        <w:tab w:val="right" w:leader="dot" w:pos="8640"/>
      </w:tabs>
      <w:ind w:left="720"/>
    </w:pPr>
  </w:style>
  <w:style w:type="paragraph" w:customStyle="1" w:styleId="ListCircle2">
    <w:name w:val="List Circle 2"/>
    <w:rsid w:val="00202514"/>
    <w:pPr>
      <w:numPr>
        <w:numId w:val="19"/>
      </w:numPr>
      <w:spacing w:before="60" w:after="60" w:line="360" w:lineRule="exact"/>
    </w:pPr>
    <w:rPr>
      <w:rFonts w:eastAsia="MS Mincho"/>
      <w:sz w:val="24"/>
      <w:szCs w:val="24"/>
    </w:rPr>
  </w:style>
  <w:style w:type="paragraph" w:customStyle="1" w:styleId="ListCircle3">
    <w:name w:val="List Circle 3"/>
    <w:rsid w:val="00202514"/>
    <w:pPr>
      <w:numPr>
        <w:numId w:val="20"/>
      </w:numPr>
      <w:spacing w:before="60" w:after="60" w:line="360" w:lineRule="exact"/>
    </w:pPr>
    <w:rPr>
      <w:rFonts w:eastAsia="MS Mincho"/>
      <w:sz w:val="24"/>
      <w:szCs w:val="24"/>
    </w:rPr>
  </w:style>
  <w:style w:type="character" w:customStyle="1" w:styleId="LinkBlue">
    <w:name w:val="Link Blue"/>
    <w:uiPriority w:val="1"/>
    <w:rsid w:val="00202514"/>
    <w:rPr>
      <w:color w:val="0000FF"/>
    </w:rPr>
  </w:style>
  <w:style w:type="paragraph" w:customStyle="1" w:styleId="ParagraphIndent">
    <w:name w:val="Paragraph Indent"/>
    <w:rsid w:val="00202514"/>
    <w:pPr>
      <w:spacing w:before="120" w:after="240"/>
      <w:ind w:left="720"/>
    </w:pPr>
    <w:rPr>
      <w:sz w:val="24"/>
      <w:szCs w:val="24"/>
    </w:rPr>
  </w:style>
  <w:style w:type="paragraph" w:customStyle="1" w:styleId="TableRight">
    <w:name w:val="Table Right"/>
    <w:rsid w:val="00202514"/>
    <w:pPr>
      <w:spacing w:before="60" w:after="60"/>
      <w:jc w:val="right"/>
    </w:pPr>
  </w:style>
  <w:style w:type="paragraph" w:customStyle="1" w:styleId="TableLeftIndent">
    <w:name w:val="Table Left Indent"/>
    <w:rsid w:val="00202514"/>
    <w:pPr>
      <w:spacing w:before="60" w:after="60"/>
      <w:ind w:left="360"/>
    </w:pPr>
  </w:style>
  <w:style w:type="paragraph" w:customStyle="1" w:styleId="TableLeft9pt">
    <w:name w:val="Table Left 9pt"/>
    <w:rsid w:val="00202514"/>
    <w:pPr>
      <w:spacing w:before="60" w:after="60"/>
    </w:pPr>
    <w:rPr>
      <w:sz w:val="18"/>
      <w:szCs w:val="18"/>
    </w:rPr>
  </w:style>
  <w:style w:type="paragraph" w:customStyle="1" w:styleId="TableCenter9pt">
    <w:name w:val="Table Center 9pt"/>
    <w:rsid w:val="00202514"/>
    <w:pPr>
      <w:spacing w:before="60" w:after="60"/>
      <w:jc w:val="center"/>
    </w:pPr>
    <w:rPr>
      <w:sz w:val="18"/>
      <w:szCs w:val="18"/>
    </w:rPr>
  </w:style>
  <w:style w:type="paragraph" w:customStyle="1" w:styleId="TableRight9pt">
    <w:name w:val="Table Right 9pt"/>
    <w:rsid w:val="00202514"/>
    <w:pPr>
      <w:spacing w:before="60" w:after="60"/>
      <w:jc w:val="right"/>
    </w:pPr>
    <w:rPr>
      <w:sz w:val="18"/>
      <w:szCs w:val="18"/>
    </w:rPr>
  </w:style>
  <w:style w:type="paragraph" w:customStyle="1" w:styleId="TableLeftIndent9pt">
    <w:name w:val="Table Left Indent 9pt"/>
    <w:rsid w:val="00202514"/>
    <w:pPr>
      <w:spacing w:before="60" w:after="60"/>
      <w:ind w:left="360"/>
    </w:pPr>
    <w:rPr>
      <w:sz w:val="18"/>
      <w:szCs w:val="18"/>
    </w:rPr>
  </w:style>
  <w:style w:type="paragraph" w:customStyle="1" w:styleId="TableListNumber">
    <w:name w:val="Table List Number"/>
    <w:rsid w:val="00202514"/>
    <w:pPr>
      <w:numPr>
        <w:numId w:val="21"/>
      </w:numPr>
      <w:spacing w:before="60" w:after="60"/>
    </w:pPr>
  </w:style>
  <w:style w:type="paragraph" w:customStyle="1" w:styleId="TableListLetter">
    <w:name w:val="Table List Letter"/>
    <w:rsid w:val="00202514"/>
    <w:pPr>
      <w:numPr>
        <w:numId w:val="22"/>
      </w:numPr>
      <w:spacing w:before="60" w:after="60"/>
    </w:pPr>
  </w:style>
  <w:style w:type="paragraph" w:customStyle="1" w:styleId="TableListBullet">
    <w:name w:val="Table List Bullet"/>
    <w:rsid w:val="00202514"/>
    <w:pPr>
      <w:numPr>
        <w:numId w:val="23"/>
      </w:numPr>
      <w:spacing w:before="60" w:after="60"/>
    </w:pPr>
  </w:style>
  <w:style w:type="character" w:styleId="Textzstupnhosymbolu">
    <w:name w:val="Placeholder Text"/>
    <w:uiPriority w:val="99"/>
    <w:semiHidden/>
    <w:rsid w:val="00202514"/>
    <w:rPr>
      <w:color w:val="808080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202514"/>
    <w:pPr>
      <w:numPr>
        <w:numId w:val="0"/>
      </w:numPr>
      <w:spacing w:before="240" w:after="60"/>
      <w:outlineLvl w:val="9"/>
    </w:pPr>
    <w:rPr>
      <w:rFonts w:ascii="Cambria" w:eastAsia="Times New Roman" w:hAnsi="Cambria"/>
      <w:caps w:val="0"/>
      <w:kern w:val="32"/>
      <w:sz w:val="32"/>
      <w:szCs w:val="32"/>
    </w:rPr>
  </w:style>
  <w:style w:type="character" w:styleId="sloriadka">
    <w:name w:val="line number"/>
    <w:basedOn w:val="Predvolenpsmoodseku"/>
    <w:semiHidden/>
    <w:rsid w:val="00280951"/>
  </w:style>
  <w:style w:type="paragraph" w:styleId="Zoznam">
    <w:name w:val="List"/>
    <w:basedOn w:val="Normlny"/>
    <w:semiHidden/>
    <w:rsid w:val="00280951"/>
    <w:pPr>
      <w:ind w:left="360" w:hanging="360"/>
    </w:pPr>
  </w:style>
  <w:style w:type="paragraph" w:styleId="Zoznam2">
    <w:name w:val="List 2"/>
    <w:basedOn w:val="Normlny"/>
    <w:semiHidden/>
    <w:rsid w:val="00280951"/>
    <w:pPr>
      <w:ind w:left="720" w:hanging="360"/>
    </w:pPr>
  </w:style>
  <w:style w:type="paragraph" w:styleId="Zoznam3">
    <w:name w:val="List 3"/>
    <w:basedOn w:val="Normlny"/>
    <w:semiHidden/>
    <w:rsid w:val="00280951"/>
    <w:pPr>
      <w:ind w:left="1080" w:hanging="360"/>
    </w:pPr>
  </w:style>
  <w:style w:type="paragraph" w:styleId="Zoznam4">
    <w:name w:val="List 4"/>
    <w:basedOn w:val="Normlny"/>
    <w:semiHidden/>
    <w:rsid w:val="00280951"/>
    <w:pPr>
      <w:ind w:left="1440" w:hanging="360"/>
    </w:pPr>
  </w:style>
  <w:style w:type="paragraph" w:styleId="Zoznam5">
    <w:name w:val="List 5"/>
    <w:basedOn w:val="Normlny"/>
    <w:semiHidden/>
    <w:rsid w:val="00280951"/>
    <w:pPr>
      <w:ind w:left="1800" w:hanging="360"/>
    </w:pPr>
  </w:style>
  <w:style w:type="paragraph" w:styleId="Zoznamsodrkami4">
    <w:name w:val="List Bullet 4"/>
    <w:basedOn w:val="Normlny"/>
    <w:semiHidden/>
    <w:rsid w:val="00280951"/>
    <w:pPr>
      <w:tabs>
        <w:tab w:val="num" w:pos="1440"/>
      </w:tabs>
      <w:ind w:left="1440" w:hanging="360"/>
    </w:pPr>
  </w:style>
  <w:style w:type="paragraph" w:styleId="Zoznamsodrkami5">
    <w:name w:val="List Bullet 5"/>
    <w:basedOn w:val="Normlny"/>
    <w:semiHidden/>
    <w:rsid w:val="00280951"/>
    <w:pPr>
      <w:tabs>
        <w:tab w:val="num" w:pos="1800"/>
      </w:tabs>
      <w:ind w:left="1800" w:hanging="360"/>
    </w:pPr>
  </w:style>
  <w:style w:type="paragraph" w:styleId="Pokraovaniezoznamu">
    <w:name w:val="List Continue"/>
    <w:basedOn w:val="Normlny"/>
    <w:semiHidden/>
    <w:rsid w:val="00280951"/>
    <w:pPr>
      <w:spacing w:after="120"/>
      <w:ind w:left="360"/>
    </w:pPr>
  </w:style>
  <w:style w:type="paragraph" w:styleId="Pokraovaniezoznamu2">
    <w:name w:val="List Continue 2"/>
    <w:basedOn w:val="Normlny"/>
    <w:semiHidden/>
    <w:rsid w:val="00280951"/>
    <w:pPr>
      <w:spacing w:after="120"/>
      <w:ind w:left="720"/>
    </w:pPr>
  </w:style>
  <w:style w:type="paragraph" w:styleId="Pokraovaniezoznamu3">
    <w:name w:val="List Continue 3"/>
    <w:basedOn w:val="Normlny"/>
    <w:semiHidden/>
    <w:rsid w:val="00280951"/>
    <w:pPr>
      <w:spacing w:after="120"/>
      <w:ind w:left="1080"/>
    </w:pPr>
  </w:style>
  <w:style w:type="paragraph" w:styleId="Pokraovaniezoznamu4">
    <w:name w:val="List Continue 4"/>
    <w:basedOn w:val="Normlny"/>
    <w:semiHidden/>
    <w:rsid w:val="00280951"/>
    <w:pPr>
      <w:spacing w:after="120"/>
      <w:ind w:left="1440"/>
    </w:pPr>
  </w:style>
  <w:style w:type="paragraph" w:styleId="Pokraovaniezoznamu5">
    <w:name w:val="List Continue 5"/>
    <w:basedOn w:val="Normlny"/>
    <w:semiHidden/>
    <w:rsid w:val="00280951"/>
    <w:pPr>
      <w:spacing w:after="120"/>
      <w:ind w:left="1800"/>
    </w:pPr>
  </w:style>
  <w:style w:type="paragraph" w:styleId="slovanzoznam4">
    <w:name w:val="List Number 4"/>
    <w:basedOn w:val="Normlny"/>
    <w:semiHidden/>
    <w:rsid w:val="00280951"/>
    <w:pPr>
      <w:tabs>
        <w:tab w:val="num" w:pos="1440"/>
      </w:tabs>
      <w:ind w:left="1440" w:hanging="360"/>
    </w:pPr>
  </w:style>
  <w:style w:type="paragraph" w:styleId="slovanzoznam5">
    <w:name w:val="List Number 5"/>
    <w:basedOn w:val="Normlny"/>
    <w:semiHidden/>
    <w:rsid w:val="00280951"/>
    <w:pPr>
      <w:tabs>
        <w:tab w:val="num" w:pos="1800"/>
      </w:tabs>
      <w:ind w:left="1800" w:hanging="360"/>
    </w:pPr>
  </w:style>
  <w:style w:type="paragraph" w:styleId="Textmakra">
    <w:name w:val="macro"/>
    <w:link w:val="TextmakraChar"/>
    <w:semiHidden/>
    <w:rsid w:val="0028095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/>
    </w:pPr>
    <w:rPr>
      <w:rFonts w:ascii="Courier New" w:hAnsi="Courier New" w:cs="Courier New"/>
    </w:rPr>
  </w:style>
  <w:style w:type="character" w:customStyle="1" w:styleId="TextmakraChar">
    <w:name w:val="Text makra Char"/>
    <w:basedOn w:val="Predvolenpsmoodseku"/>
    <w:link w:val="Textmakra"/>
    <w:semiHidden/>
    <w:rsid w:val="00280951"/>
    <w:rPr>
      <w:rFonts w:ascii="Courier New" w:hAnsi="Courier New" w:cs="Courier New"/>
    </w:rPr>
  </w:style>
  <w:style w:type="paragraph" w:styleId="Nadpispoznmky">
    <w:name w:val="Note Heading"/>
    <w:basedOn w:val="Normlny"/>
    <w:next w:val="Normlny"/>
    <w:link w:val="NadpispoznmkyChar"/>
    <w:semiHidden/>
    <w:rsid w:val="00280951"/>
  </w:style>
  <w:style w:type="character" w:customStyle="1" w:styleId="NadpispoznmkyChar">
    <w:name w:val="Nadpis poznámky Char"/>
    <w:basedOn w:val="Predvolenpsmoodseku"/>
    <w:link w:val="Nadpispoznmky"/>
    <w:semiHidden/>
    <w:rsid w:val="00280951"/>
    <w:rPr>
      <w:sz w:val="24"/>
      <w:szCs w:val="24"/>
    </w:rPr>
  </w:style>
  <w:style w:type="table" w:styleId="Tabukaspriestorovmiefektmi1">
    <w:name w:val="Table 3D effects 1"/>
    <w:basedOn w:val="Normlnatabuka"/>
    <w:semiHidden/>
    <w:rsid w:val="00280951"/>
    <w:pPr>
      <w:spacing w:before="6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kaspriestorovmiefektmi2">
    <w:name w:val="Table 3D effects 2"/>
    <w:basedOn w:val="Normlnatabuka"/>
    <w:semiHidden/>
    <w:rsid w:val="00280951"/>
    <w:pPr>
      <w:spacing w:before="6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spriestorovmiefektmi3">
    <w:name w:val="Table 3D effects 3"/>
    <w:basedOn w:val="Normlnatabuka"/>
    <w:semiHidden/>
    <w:rsid w:val="00280951"/>
    <w:pPr>
      <w:spacing w:before="6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1">
    <w:name w:val="Table Classic 1"/>
    <w:basedOn w:val="Normlnatabuka"/>
    <w:semiHidden/>
    <w:rsid w:val="00280951"/>
    <w:pPr>
      <w:spacing w:before="6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2">
    <w:name w:val="Table Classic 2"/>
    <w:basedOn w:val="Normlnatabuka"/>
    <w:semiHidden/>
    <w:rsid w:val="00280951"/>
    <w:pPr>
      <w:spacing w:before="6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3">
    <w:name w:val="Table Classic 3"/>
    <w:basedOn w:val="Normlnatabuka"/>
    <w:semiHidden/>
    <w:rsid w:val="00280951"/>
    <w:pPr>
      <w:spacing w:before="6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4">
    <w:name w:val="Table Classic 4"/>
    <w:basedOn w:val="Normlnatabuka"/>
    <w:semiHidden/>
    <w:rsid w:val="00280951"/>
    <w:pPr>
      <w:spacing w:before="6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1">
    <w:name w:val="Table Colorful 1"/>
    <w:basedOn w:val="Normlnatabuka"/>
    <w:semiHidden/>
    <w:rsid w:val="00280951"/>
    <w:pPr>
      <w:spacing w:before="6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2">
    <w:name w:val="Table Colorful 2"/>
    <w:basedOn w:val="Normlnatabuka"/>
    <w:semiHidden/>
    <w:rsid w:val="00280951"/>
    <w:pPr>
      <w:spacing w:before="6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3">
    <w:name w:val="Table Colorful 3"/>
    <w:basedOn w:val="Normlnatabuka"/>
    <w:semiHidden/>
    <w:rsid w:val="00280951"/>
    <w:pPr>
      <w:spacing w:before="6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pcetabuky1">
    <w:name w:val="Table Columns 1"/>
    <w:basedOn w:val="Normlnatabuka"/>
    <w:semiHidden/>
    <w:rsid w:val="00280951"/>
    <w:pPr>
      <w:spacing w:before="6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2">
    <w:name w:val="Table Columns 2"/>
    <w:basedOn w:val="Normlnatabuka"/>
    <w:semiHidden/>
    <w:rsid w:val="00280951"/>
    <w:pPr>
      <w:spacing w:before="6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3">
    <w:name w:val="Table Columns 3"/>
    <w:basedOn w:val="Normlnatabuka"/>
    <w:semiHidden/>
    <w:rsid w:val="00280951"/>
    <w:pPr>
      <w:spacing w:before="6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4">
    <w:name w:val="Table Columns 4"/>
    <w:basedOn w:val="Normlnatabuka"/>
    <w:semiHidden/>
    <w:rsid w:val="00280951"/>
    <w:pPr>
      <w:spacing w:before="6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tpcetabuky5">
    <w:name w:val="Table Columns 5"/>
    <w:basedOn w:val="Normlnatabuka"/>
    <w:semiHidden/>
    <w:rsid w:val="00280951"/>
    <w:pPr>
      <w:spacing w:before="6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ka">
    <w:name w:val="Table Contemporary"/>
    <w:basedOn w:val="Normlnatabuka"/>
    <w:semiHidden/>
    <w:rsid w:val="00280951"/>
    <w:pPr>
      <w:spacing w:before="6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ka">
    <w:name w:val="Table Elegant"/>
    <w:basedOn w:val="Normlnatabuka"/>
    <w:semiHidden/>
    <w:rsid w:val="00280951"/>
    <w:pPr>
      <w:spacing w:before="6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1">
    <w:name w:val="Table Grid 1"/>
    <w:basedOn w:val="Normlnatabuka"/>
    <w:semiHidden/>
    <w:rsid w:val="00280951"/>
    <w:pPr>
      <w:spacing w:before="6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2">
    <w:name w:val="Table Grid 2"/>
    <w:basedOn w:val="Normlnatabuka"/>
    <w:semiHidden/>
    <w:rsid w:val="00280951"/>
    <w:pPr>
      <w:spacing w:before="6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3">
    <w:name w:val="Table Grid 3"/>
    <w:basedOn w:val="Normlnatabuka"/>
    <w:semiHidden/>
    <w:rsid w:val="00280951"/>
    <w:pPr>
      <w:spacing w:before="6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4">
    <w:name w:val="Table Grid 4"/>
    <w:basedOn w:val="Normlnatabuka"/>
    <w:semiHidden/>
    <w:rsid w:val="00280951"/>
    <w:pPr>
      <w:spacing w:before="6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5">
    <w:name w:val="Table Grid 5"/>
    <w:basedOn w:val="Normlnatabuka"/>
    <w:semiHidden/>
    <w:rsid w:val="00280951"/>
    <w:pPr>
      <w:spacing w:before="6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6">
    <w:name w:val="Table Grid 6"/>
    <w:basedOn w:val="Normlnatabuka"/>
    <w:semiHidden/>
    <w:rsid w:val="00280951"/>
    <w:pPr>
      <w:spacing w:before="6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7">
    <w:name w:val="Table Grid 7"/>
    <w:basedOn w:val="Normlnatabuka"/>
    <w:semiHidden/>
    <w:rsid w:val="00280951"/>
    <w:pPr>
      <w:spacing w:before="6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8">
    <w:name w:val="Table Grid 8"/>
    <w:basedOn w:val="Normlnatabuka"/>
    <w:semiHidden/>
    <w:rsid w:val="00280951"/>
    <w:pPr>
      <w:spacing w:before="6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1">
    <w:name w:val="Table List 1"/>
    <w:basedOn w:val="Normlnatabuka"/>
    <w:semiHidden/>
    <w:rsid w:val="00280951"/>
    <w:pPr>
      <w:spacing w:before="6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2">
    <w:name w:val="Table List 2"/>
    <w:basedOn w:val="Normlnatabuka"/>
    <w:semiHidden/>
    <w:rsid w:val="00280951"/>
    <w:pPr>
      <w:spacing w:before="6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3">
    <w:name w:val="Table List 3"/>
    <w:basedOn w:val="Normlnatabuka"/>
    <w:semiHidden/>
    <w:rsid w:val="00280951"/>
    <w:pPr>
      <w:spacing w:before="6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4">
    <w:name w:val="Table List 4"/>
    <w:basedOn w:val="Normlnatabuka"/>
    <w:semiHidden/>
    <w:rsid w:val="00280951"/>
    <w:pPr>
      <w:spacing w:before="6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kaakozoznam5">
    <w:name w:val="Table List 5"/>
    <w:basedOn w:val="Normlnatabuka"/>
    <w:semiHidden/>
    <w:rsid w:val="00280951"/>
    <w:pPr>
      <w:spacing w:before="6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6">
    <w:name w:val="Table List 6"/>
    <w:basedOn w:val="Normlnatabuka"/>
    <w:semiHidden/>
    <w:rsid w:val="00280951"/>
    <w:pPr>
      <w:spacing w:before="6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kaakozoznam7">
    <w:name w:val="Table List 7"/>
    <w:basedOn w:val="Normlnatabuka"/>
    <w:semiHidden/>
    <w:rsid w:val="00280951"/>
    <w:pPr>
      <w:spacing w:before="6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kaakozoznam8">
    <w:name w:val="Table List 8"/>
    <w:basedOn w:val="Normlnatabuka"/>
    <w:semiHidden/>
    <w:rsid w:val="00280951"/>
    <w:pPr>
      <w:spacing w:before="6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Profesionlnatabuka">
    <w:name w:val="Table Professional"/>
    <w:basedOn w:val="Normlnatabuka"/>
    <w:semiHidden/>
    <w:rsid w:val="00280951"/>
    <w:pPr>
      <w:spacing w:before="6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ka1">
    <w:name w:val="Table Simple 1"/>
    <w:basedOn w:val="Normlnatabuka"/>
    <w:semiHidden/>
    <w:rsid w:val="00280951"/>
    <w:pPr>
      <w:spacing w:before="6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ka2">
    <w:name w:val="Table Simple 2"/>
    <w:basedOn w:val="Normlnatabuka"/>
    <w:semiHidden/>
    <w:rsid w:val="00280951"/>
    <w:pPr>
      <w:spacing w:before="6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ka3">
    <w:name w:val="Table Simple 3"/>
    <w:basedOn w:val="Normlnatabuka"/>
    <w:semiHidden/>
    <w:rsid w:val="00280951"/>
    <w:pPr>
      <w:spacing w:before="6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etailntabuka1">
    <w:name w:val="Table Subtle 1"/>
    <w:basedOn w:val="Normlnatabuka"/>
    <w:semiHidden/>
    <w:rsid w:val="00280951"/>
    <w:pPr>
      <w:spacing w:before="6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etailntabuka2">
    <w:name w:val="Table Subtle 2"/>
    <w:basedOn w:val="Normlnatabuka"/>
    <w:semiHidden/>
    <w:rsid w:val="00280951"/>
    <w:pPr>
      <w:spacing w:before="6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vtabuky">
    <w:name w:val="Table Theme"/>
    <w:basedOn w:val="Normlnatabuka"/>
    <w:semiHidden/>
    <w:rsid w:val="00280951"/>
    <w:pPr>
      <w:spacing w:before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ka1">
    <w:name w:val="Table Web 1"/>
    <w:basedOn w:val="Normlnatabuka"/>
    <w:semiHidden/>
    <w:rsid w:val="00280951"/>
    <w:pPr>
      <w:spacing w:before="6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ka2">
    <w:name w:val="Table Web 2"/>
    <w:basedOn w:val="Normlnatabuka"/>
    <w:semiHidden/>
    <w:rsid w:val="00280951"/>
    <w:pPr>
      <w:spacing w:before="6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ka3">
    <w:name w:val="Table Web 3"/>
    <w:basedOn w:val="Normlnatabuka"/>
    <w:semiHidden/>
    <w:rsid w:val="00280951"/>
    <w:pPr>
      <w:spacing w:before="6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ParagraphChar">
    <w:name w:val="Paragraph Char"/>
    <w:basedOn w:val="Predvolenpsmoodseku"/>
    <w:link w:val="Paragraph"/>
    <w:rsid w:val="00280951"/>
    <w:rPr>
      <w:rFonts w:eastAsia="MS Mincho"/>
      <w:sz w:val="24"/>
      <w:szCs w:val="24"/>
    </w:rPr>
  </w:style>
  <w:style w:type="character" w:customStyle="1" w:styleId="Nadpis1Char">
    <w:name w:val="Nadpis 1 Char"/>
    <w:basedOn w:val="Predvolenpsmoodseku"/>
    <w:link w:val="Nadpis1"/>
    <w:rsid w:val="002E05C5"/>
    <w:rPr>
      <w:rFonts w:eastAsia="MS Mincho"/>
      <w:b/>
      <w:bCs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://www.ema.europa.eu/docs/en_GB/document_library/Template_or_form/2013/03/WC500139752.doc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microsoft.com/office/2011/relationships/people" Target="people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jices\AppData\Roaming\Microsoft\Templates\ISIWrite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5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4750FD5-8605-4101-AC9F-5932DE22A0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9D92CA-317C-46BF-9CDE-9F9896C6F6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7C49782-21E7-4A7B-8B88-E2239ADB8D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F8A6B72-87AE-4400-B7F0-AF69C444C95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1654FAB-5CA2-4BB1-A146-7A450A183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ISIWriter.dotm</Template>
  <TotalTime>1</TotalTime>
  <Pages>1</Pages>
  <Words>6457</Words>
  <Characters>36810</Characters>
  <Application>Microsoft Office Word</Application>
  <DocSecurity>0</DocSecurity>
  <Lines>306</Lines>
  <Paragraphs>86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PERIOLIMEL N4E, emulsion for infusion</vt:lpstr>
      <vt:lpstr>PERIOLIMEL N4E, emulsion for infusion</vt:lpstr>
      <vt:lpstr>PERIOLIMEL N4E, emulsion for infusion</vt:lpstr>
    </vt:vector>
  </TitlesOfParts>
  <Company>EMEA</Company>
  <LinksUpToDate>false</LinksUpToDate>
  <CharactersWithSpaces>43181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PERIOLIMEL N4E, emulsion for infusion</dc:title>
  <dc:subject>General-EMEA/378973/2008</dc:subject>
  <dc:creator>Rigal, Florence</dc:creator>
  <cp:lastModifiedBy>Ševčeková Lucia</cp:lastModifiedBy>
  <cp:revision>4</cp:revision>
  <cp:lastPrinted>2015-10-16T11:35:00Z</cp:lastPrinted>
  <dcterms:created xsi:type="dcterms:W3CDTF">2021-01-21T13:52:00Z</dcterms:created>
  <dcterms:modified xsi:type="dcterms:W3CDTF">2021-01-21T13:52:00Z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General-EMEA/378973/2008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Hreferralspcen</vt:lpwstr>
  </property>
  <property fmtid="{D5CDD505-2E9C-101B-9397-08002B2CF9AE}" pid="9" name="DM_Owner">
    <vt:lpwstr>Prizzi Monica</vt:lpwstr>
  </property>
  <property fmtid="{D5CDD505-2E9C-101B-9397-08002B2CF9AE}" pid="10" name="DM_Creation_Date">
    <vt:lpwstr>24/07/2008 16:45:39</vt:lpwstr>
  </property>
  <property fmtid="{D5CDD505-2E9C-101B-9397-08002B2CF9AE}" pid="11" name="DM_Creator_Name">
    <vt:lpwstr>Cantatore Kira</vt:lpwstr>
  </property>
  <property fmtid="{D5CDD505-2E9C-101B-9397-08002B2CF9AE}" pid="12" name="DM_Modifer_Name">
    <vt:lpwstr>Cantatore Kira</vt:lpwstr>
  </property>
  <property fmtid="{D5CDD505-2E9C-101B-9397-08002B2CF9AE}" pid="13" name="DM_Modified_Date">
    <vt:lpwstr>24/07/2008 16:45:39</vt:lpwstr>
  </property>
  <property fmtid="{D5CDD505-2E9C-101B-9397-08002B2CF9AE}" pid="14" name="DM_Type">
    <vt:lpwstr>emea_document</vt:lpwstr>
  </property>
  <property fmtid="{D5CDD505-2E9C-101B-9397-08002B2CF9AE}" pid="15" name="DM_Version">
    <vt:lpwstr>0.2, CURRENT</vt:lpwstr>
  </property>
  <property fmtid="{D5CDD505-2E9C-101B-9397-08002B2CF9AE}" pid="16" name="DM_emea_doc_ref_id">
    <vt:lpwstr>EMEA/378973/2008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378973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2008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  <property fmtid="{D5CDD505-2E9C-101B-9397-08002B2CF9AE}" pid="34" name="DM_emea_meeting_hyperlink">
    <vt:lpwstr/>
  </property>
  <property fmtid="{D5CDD505-2E9C-101B-9397-08002B2CF9AE}" pid="35" name="DM_emea_meeting_title">
    <vt:lpwstr/>
  </property>
  <property fmtid="{D5CDD505-2E9C-101B-9397-08002B2CF9AE}" pid="36" name="DM_emea_meeting_ref">
    <vt:lpwstr/>
  </property>
  <property fmtid="{D5CDD505-2E9C-101B-9397-08002B2CF9AE}" pid="37" name="DM_emea_meeting_flags">
    <vt:lpwstr/>
  </property>
  <property fmtid="{D5CDD505-2E9C-101B-9397-08002B2CF9AE}" pid="38" name="Module">
    <vt:lpwstr>a5a67093-a9b6-4b84-b858-0a373d576f7c</vt:lpwstr>
  </property>
</Properties>
</file>