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19703" w14:textId="77777777" w:rsidR="00AE0CBE" w:rsidRPr="004A3357" w:rsidRDefault="00FD04A3">
      <w:pPr>
        <w:pStyle w:val="SPCnadpis"/>
        <w:rPr>
          <w:rFonts w:cs="Times New Roman"/>
          <w:lang w:val="sk-SK"/>
        </w:rPr>
      </w:pPr>
      <w:r w:rsidRPr="004A3357">
        <w:rPr>
          <w:rFonts w:cs="Times New Roman"/>
          <w:lang w:val="sk-SK"/>
        </w:rPr>
        <w:t>SÚHRN CHARAKTERISTICKÝCH VLASTNOSTÍ LIEKU</w:t>
      </w:r>
    </w:p>
    <w:p w14:paraId="7D2B05E8" w14:textId="77777777" w:rsidR="00AE0CBE" w:rsidRPr="00EA7DCD" w:rsidRDefault="00AE0CBE">
      <w:pPr>
        <w:pStyle w:val="SPCnadpis"/>
        <w:rPr>
          <w:lang w:val="sk-SK"/>
        </w:rPr>
      </w:pPr>
    </w:p>
    <w:p w14:paraId="768EA1D8" w14:textId="77777777" w:rsidR="00AE0CBE" w:rsidRPr="00EA7DCD" w:rsidRDefault="00AE0CBE">
      <w:pPr>
        <w:pStyle w:val="SPCnadpis"/>
        <w:rPr>
          <w:lang w:val="sk-SK"/>
        </w:rPr>
      </w:pPr>
      <w:bookmarkStart w:id="0" w:name="_GoBack"/>
      <w:bookmarkEnd w:id="0"/>
    </w:p>
    <w:p w14:paraId="58E3D261" w14:textId="77777777" w:rsidR="00AE0CBE" w:rsidRPr="00EA7DCD" w:rsidRDefault="00FD04A3">
      <w:pPr>
        <w:pStyle w:val="Styl10"/>
      </w:pPr>
      <w:r w:rsidRPr="00EA7DCD">
        <w:t>Názov lieku</w:t>
      </w:r>
    </w:p>
    <w:p w14:paraId="370AB745" w14:textId="77777777" w:rsidR="00AE0CBE" w:rsidRPr="00EA7DCD" w:rsidRDefault="00AE0CBE" w:rsidP="00F8723B">
      <w:pPr>
        <w:pStyle w:val="Normlndobloku"/>
      </w:pPr>
    </w:p>
    <w:p w14:paraId="3125985A" w14:textId="77777777" w:rsidR="00AE0CBE" w:rsidRPr="00EA7DCD" w:rsidRDefault="00FD04A3" w:rsidP="00F8723B">
      <w:pPr>
        <w:pStyle w:val="Normlndobloku"/>
      </w:pPr>
      <w:r w:rsidRPr="00EA7DCD">
        <w:t>GYRABLOCK 400 mg</w:t>
      </w:r>
    </w:p>
    <w:p w14:paraId="0A5276B6" w14:textId="77777777" w:rsidR="00AE0CBE" w:rsidRPr="00EA7DCD" w:rsidRDefault="00302A67">
      <w:pPr>
        <w:rPr>
          <w:lang w:val="sk-SK"/>
        </w:rPr>
      </w:pPr>
      <w:r w:rsidRPr="00EA7DCD">
        <w:rPr>
          <w:lang w:val="sk-SK"/>
        </w:rPr>
        <w:t>filmom obalené tablety</w:t>
      </w:r>
    </w:p>
    <w:p w14:paraId="18A0D892" w14:textId="77777777" w:rsidR="00AE0CBE" w:rsidRPr="00EA7DCD" w:rsidRDefault="00AE0CBE" w:rsidP="00F8723B">
      <w:pPr>
        <w:pStyle w:val="Normlndobloku"/>
      </w:pPr>
    </w:p>
    <w:p w14:paraId="6DA11235" w14:textId="77777777" w:rsidR="00AE0CBE" w:rsidRPr="00EA7DCD" w:rsidRDefault="00AE0CBE" w:rsidP="00F8723B">
      <w:pPr>
        <w:pStyle w:val="Normlndobloku"/>
      </w:pPr>
    </w:p>
    <w:p w14:paraId="57446BCC" w14:textId="77777777" w:rsidR="00AE0CBE" w:rsidRPr="00EA7DCD" w:rsidRDefault="00FD04A3">
      <w:pPr>
        <w:pStyle w:val="Styl10"/>
      </w:pPr>
      <w:r w:rsidRPr="00EA7DCD">
        <w:t>Kvantitatívne a kvalitatívne zloženie</w:t>
      </w:r>
    </w:p>
    <w:p w14:paraId="76E8445A" w14:textId="77777777" w:rsidR="00AE0CBE" w:rsidRPr="00EA7DCD" w:rsidRDefault="00AE0CBE" w:rsidP="00F8723B">
      <w:pPr>
        <w:pStyle w:val="Normlndobloku"/>
      </w:pPr>
    </w:p>
    <w:p w14:paraId="47932954" w14:textId="77777777" w:rsidR="00AE0CBE" w:rsidRPr="00EA7DCD" w:rsidRDefault="00302A67" w:rsidP="00F8723B">
      <w:pPr>
        <w:pStyle w:val="Normlndobloku"/>
      </w:pPr>
      <w:r w:rsidRPr="00EA7DCD">
        <w:t>Jedna</w:t>
      </w:r>
      <w:r w:rsidR="00FD04A3" w:rsidRPr="00EA7DCD">
        <w:t xml:space="preserve"> filmom obalená tableta obsahuje 400 mg</w:t>
      </w:r>
      <w:r w:rsidR="00DB4EA0" w:rsidRPr="00EA7DCD">
        <w:t xml:space="preserve"> norfloxacínu</w:t>
      </w:r>
      <w:r w:rsidR="00FD04A3" w:rsidRPr="00EA7DCD">
        <w:t>.</w:t>
      </w:r>
    </w:p>
    <w:p w14:paraId="73A5666F" w14:textId="77777777" w:rsidR="00AE0CBE" w:rsidRPr="00EA7DCD" w:rsidRDefault="00AE0CBE" w:rsidP="00F8723B">
      <w:pPr>
        <w:pStyle w:val="Normlndobloku"/>
      </w:pPr>
    </w:p>
    <w:p w14:paraId="7976B495" w14:textId="77777777" w:rsidR="00555704" w:rsidRPr="00EA7DCD" w:rsidRDefault="00555704" w:rsidP="00F8723B">
      <w:pPr>
        <w:pStyle w:val="Normlndobloku"/>
      </w:pPr>
      <w:r w:rsidRPr="00EA7DCD">
        <w:t>Pomocné látky so známym účinkom:</w:t>
      </w:r>
    </w:p>
    <w:p w14:paraId="00539FAA" w14:textId="23BB56B4" w:rsidR="00555704" w:rsidRPr="00EA7DCD" w:rsidRDefault="00555704" w:rsidP="00F8723B">
      <w:pPr>
        <w:pStyle w:val="Normlndobloku"/>
      </w:pPr>
      <w:r w:rsidRPr="00EA7DCD">
        <w:t>Jedna filmom obalená tableta obsahuje</w:t>
      </w:r>
      <w:r w:rsidR="00413977" w:rsidRPr="00EA7DCD">
        <w:t xml:space="preserve"> </w:t>
      </w:r>
      <w:r w:rsidR="00DA0770" w:rsidRPr="00EA7DCD">
        <w:t>1,25 mg chinolínovej žlt</w:t>
      </w:r>
      <w:r w:rsidR="00694DDA" w:rsidRPr="00EA7DCD">
        <w:t>e</w:t>
      </w:r>
      <w:r w:rsidR="00B549AA" w:rsidRPr="00EA7DCD">
        <w:t xml:space="preserve"> (E104)</w:t>
      </w:r>
    </w:p>
    <w:p w14:paraId="2B57B83F" w14:textId="59FAA9DE" w:rsidR="00AE0CBE" w:rsidRPr="00EA7DCD" w:rsidRDefault="00302A67" w:rsidP="00F8723B">
      <w:pPr>
        <w:pStyle w:val="Normlndobloku"/>
      </w:pPr>
      <w:r w:rsidRPr="00EA7DCD">
        <w:t>Úplný zoznam pomocných látok, pozri časť 6.1.</w:t>
      </w:r>
    </w:p>
    <w:p w14:paraId="5F440F8B" w14:textId="77777777" w:rsidR="00AE0CBE" w:rsidRPr="00EA7DCD" w:rsidRDefault="00AE0CBE" w:rsidP="00F8723B">
      <w:pPr>
        <w:pStyle w:val="Normlndobloku"/>
      </w:pPr>
    </w:p>
    <w:p w14:paraId="51152C59" w14:textId="4CC3F459" w:rsidR="00AE0CBE" w:rsidRPr="00EA7DCD" w:rsidRDefault="00563487" w:rsidP="00F8723B">
      <w:pPr>
        <w:pStyle w:val="Normlndobloku"/>
      </w:pPr>
      <w:r w:rsidRPr="00EA7DCD">
        <w:tab/>
      </w:r>
    </w:p>
    <w:p w14:paraId="34533EE7" w14:textId="77777777" w:rsidR="00AE0CBE" w:rsidRPr="00EA7DCD" w:rsidRDefault="00FD04A3">
      <w:pPr>
        <w:pStyle w:val="Styl10"/>
      </w:pPr>
      <w:r w:rsidRPr="00EA7DCD">
        <w:t>Lieková forma</w:t>
      </w:r>
    </w:p>
    <w:p w14:paraId="78A10552" w14:textId="77777777" w:rsidR="00AE0CBE" w:rsidRPr="00EA7DCD" w:rsidRDefault="00AE0CBE" w:rsidP="00F8723B">
      <w:pPr>
        <w:pStyle w:val="Normlndobloku"/>
      </w:pPr>
    </w:p>
    <w:p w14:paraId="54562016" w14:textId="77777777" w:rsidR="00AE0CBE" w:rsidRPr="00EA7DCD" w:rsidRDefault="00FD04A3" w:rsidP="00F8723B">
      <w:pPr>
        <w:pStyle w:val="Normlndobloku"/>
      </w:pPr>
      <w:r w:rsidRPr="00EA7DCD">
        <w:t>Filmom obalená tableta</w:t>
      </w:r>
    </w:p>
    <w:p w14:paraId="0719CB3B" w14:textId="77777777" w:rsidR="00AE0CBE" w:rsidRPr="00EA7DCD" w:rsidRDefault="00AE0CBE" w:rsidP="00F8723B">
      <w:pPr>
        <w:pStyle w:val="Normlndobloku"/>
      </w:pPr>
    </w:p>
    <w:p w14:paraId="039644BE" w14:textId="77777777" w:rsidR="00AE0CBE" w:rsidRPr="00EA7DCD" w:rsidRDefault="00554031" w:rsidP="00F8723B">
      <w:pPr>
        <w:pStyle w:val="Normlndobloku"/>
      </w:pPr>
      <w:r w:rsidRPr="00EA7DCD">
        <w:t xml:space="preserve">Žltá oválna bikonvexná tableta </w:t>
      </w:r>
      <w:r w:rsidR="00FD04A3" w:rsidRPr="00EA7DCD">
        <w:t xml:space="preserve">s deliacou ryhou na jednej strane, 14 x </w:t>
      </w:r>
      <w:smartTag w:uri="urn:schemas-microsoft-com:office:smarttags" w:element="metricconverter">
        <w:smartTagPr>
          <w:attr w:name="ProductID" w:val="8 mm"/>
        </w:smartTagPr>
        <w:r w:rsidR="00FD04A3" w:rsidRPr="00EA7DCD">
          <w:t>8 mm</w:t>
        </w:r>
      </w:smartTag>
      <w:r w:rsidR="00FD04A3" w:rsidRPr="00EA7DCD">
        <w:t>.</w:t>
      </w:r>
    </w:p>
    <w:p w14:paraId="36D7EA3E" w14:textId="77777777" w:rsidR="00AE0CBE" w:rsidRPr="00EA7DCD" w:rsidRDefault="00AE0CBE" w:rsidP="00F8723B">
      <w:pPr>
        <w:pStyle w:val="Normlndobloku"/>
      </w:pPr>
    </w:p>
    <w:p w14:paraId="14420F5D" w14:textId="77777777" w:rsidR="00AE0CBE" w:rsidRPr="00EA7DCD" w:rsidRDefault="00FD04A3" w:rsidP="00F8723B">
      <w:pPr>
        <w:pStyle w:val="Normlndobloku"/>
      </w:pPr>
      <w:r w:rsidRPr="00EA7DCD">
        <w:t>Deliaca ryha iba pomáha rozlomiť tabletu</w:t>
      </w:r>
      <w:r w:rsidR="007C407D" w:rsidRPr="00EA7DCD">
        <w:t>, aby sa dala ľahšie preh</w:t>
      </w:r>
      <w:r w:rsidR="00302A67" w:rsidRPr="00EA7DCD">
        <w:t>l</w:t>
      </w:r>
      <w:r w:rsidR="007C407D" w:rsidRPr="00EA7DCD">
        <w:t>tnúť</w:t>
      </w:r>
      <w:r w:rsidRPr="00EA7DCD">
        <w:t xml:space="preserve"> a neslúži na rozdelenie na rovnaké dávky.</w:t>
      </w:r>
    </w:p>
    <w:p w14:paraId="45541729" w14:textId="77777777" w:rsidR="00AE0CBE" w:rsidRPr="00EA7DCD" w:rsidRDefault="00AE0CBE" w:rsidP="00F8723B">
      <w:pPr>
        <w:pStyle w:val="Normlndobloku"/>
      </w:pPr>
    </w:p>
    <w:p w14:paraId="46095876" w14:textId="77777777" w:rsidR="00AE0CBE" w:rsidRPr="00EA7DCD" w:rsidRDefault="00AE0CBE" w:rsidP="00F8723B">
      <w:pPr>
        <w:pStyle w:val="Normlndobloku"/>
      </w:pPr>
    </w:p>
    <w:p w14:paraId="6F93752A" w14:textId="77777777" w:rsidR="00AE0CBE" w:rsidRPr="00EA7DCD" w:rsidRDefault="00FD04A3">
      <w:pPr>
        <w:pStyle w:val="Styl10"/>
      </w:pPr>
      <w:r w:rsidRPr="00EA7DCD">
        <w:t>Klinické údaje</w:t>
      </w:r>
    </w:p>
    <w:p w14:paraId="0702C559" w14:textId="77777777" w:rsidR="00AE0CBE" w:rsidRPr="00EA7DCD" w:rsidRDefault="00AE0CBE" w:rsidP="00F8723B">
      <w:pPr>
        <w:pStyle w:val="Normlndobloku"/>
      </w:pPr>
    </w:p>
    <w:p w14:paraId="105988D4" w14:textId="77777777" w:rsidR="00AE0CBE" w:rsidRPr="00EA7DCD" w:rsidRDefault="00FD04A3">
      <w:pPr>
        <w:pStyle w:val="Styl2"/>
      </w:pPr>
      <w:r w:rsidRPr="00EA7DCD">
        <w:t>Terapeutické indikácie</w:t>
      </w:r>
    </w:p>
    <w:p w14:paraId="55E2E7E9" w14:textId="77777777" w:rsidR="00AE0CBE" w:rsidRPr="00EA7DCD" w:rsidRDefault="00AE0CBE" w:rsidP="00F8723B">
      <w:pPr>
        <w:pStyle w:val="Normlndobloku"/>
      </w:pPr>
    </w:p>
    <w:p w14:paraId="7CE7A6A3" w14:textId="3D18C71E" w:rsidR="00AE0CBE" w:rsidRPr="00EA7DCD" w:rsidRDefault="00FD04A3" w:rsidP="00F8723B">
      <w:pPr>
        <w:pStyle w:val="Normlndobloku"/>
      </w:pPr>
      <w:r w:rsidRPr="00EA7DCD">
        <w:t>GYRABLOCK 400 mg je chinolónové chemoterapeutikum indikované na liečbu</w:t>
      </w:r>
      <w:r w:rsidR="00AA6D9B" w:rsidRPr="00EA7DCD">
        <w:t xml:space="preserve"> akútnej a chronickej</w:t>
      </w:r>
      <w:r w:rsidRPr="00EA7DCD">
        <w:t xml:space="preserve"> </w:t>
      </w:r>
      <w:r w:rsidR="00AA6D9B" w:rsidRPr="00EA7DCD">
        <w:t>nekomplikovanej a komplikovanej</w:t>
      </w:r>
      <w:r w:rsidR="00990994" w:rsidRPr="00EA7DCD">
        <w:t xml:space="preserve"> </w:t>
      </w:r>
      <w:r w:rsidRPr="00EA7DCD">
        <w:t xml:space="preserve">infekcie </w:t>
      </w:r>
      <w:r w:rsidR="00AA6D9B" w:rsidRPr="00EA7DCD">
        <w:t xml:space="preserve">horných a dolných močových ciest </w:t>
      </w:r>
      <w:r w:rsidRPr="00EA7DCD">
        <w:t>spôsobenej baktériami citlivými na norfloxacín. Ide o</w:t>
      </w:r>
      <w:r w:rsidR="00302A67" w:rsidRPr="00EA7DCD">
        <w:t> </w:t>
      </w:r>
      <w:r w:rsidRPr="00EA7DCD">
        <w:t>tieto infekcie:</w:t>
      </w:r>
    </w:p>
    <w:p w14:paraId="0C557AFC" w14:textId="77777777" w:rsidR="00E45B5A" w:rsidRPr="00EA7DCD" w:rsidRDefault="00E45B5A" w:rsidP="00F8723B">
      <w:pPr>
        <w:pStyle w:val="Normlndobloku"/>
      </w:pPr>
    </w:p>
    <w:p w14:paraId="33AAB18B" w14:textId="2BE83F4F" w:rsidR="00E45B5A" w:rsidRPr="00EA7DCD" w:rsidRDefault="00E45B5A" w:rsidP="009A3EFC">
      <w:pPr>
        <w:pStyle w:val="Normlndoblokusodrkami"/>
        <w:rPr>
          <w:lang w:val="sk-SK"/>
        </w:rPr>
      </w:pPr>
      <w:r w:rsidRPr="00EA7DCD">
        <w:rPr>
          <w:lang w:val="sk-SK"/>
        </w:rPr>
        <w:t>infekcie, ktoré vznikli v súvislosti s urologickým chirurgickým zákrokom</w:t>
      </w:r>
    </w:p>
    <w:p w14:paraId="79E2C6B7" w14:textId="77777777" w:rsidR="0060785C" w:rsidRPr="00EA7DCD" w:rsidRDefault="0060785C" w:rsidP="009A3EFC">
      <w:pPr>
        <w:pStyle w:val="Normlndoblokusodrkami"/>
        <w:rPr>
          <w:lang w:val="sk-SK"/>
        </w:rPr>
      </w:pPr>
      <w:r w:rsidRPr="00EA7DCD">
        <w:rPr>
          <w:lang w:val="sk-SK"/>
        </w:rPr>
        <w:t>bakteriálna prostatitída</w:t>
      </w:r>
    </w:p>
    <w:p w14:paraId="0BEE6507" w14:textId="00124F64" w:rsidR="0060785C" w:rsidRPr="00EA7DCD" w:rsidRDefault="0060785C" w:rsidP="009A3EFC">
      <w:pPr>
        <w:pStyle w:val="Normlndoblokusodrkami"/>
        <w:rPr>
          <w:lang w:val="sk-SK"/>
        </w:rPr>
      </w:pPr>
      <w:r w:rsidRPr="00EA7DCD">
        <w:rPr>
          <w:lang w:val="sk-SK"/>
        </w:rPr>
        <w:t>akútna nekomplikovaná cystitída; pri akútnej nekomplikovanej cystitíde sa má GYRABLOCK použiť len vtedy, ak sa použitie iných antibakteriálnych látok, obvykle odporúčaných na liečbu týchto infekcií, považuje za nevhodné</w:t>
      </w:r>
    </w:p>
    <w:p w14:paraId="53A68267" w14:textId="2DAAE027" w:rsidR="0060785C" w:rsidRPr="00EA7DCD" w:rsidRDefault="0060785C" w:rsidP="009A3EFC">
      <w:pPr>
        <w:pStyle w:val="Normlndoblokusodrkami"/>
        <w:rPr>
          <w:lang w:val="sk-SK"/>
        </w:rPr>
      </w:pPr>
      <w:r w:rsidRPr="00EA7DCD">
        <w:rPr>
          <w:lang w:val="sk-SK"/>
        </w:rPr>
        <w:t>akútna komplikovaná cystitída</w:t>
      </w:r>
    </w:p>
    <w:p w14:paraId="779B47DB" w14:textId="77777777" w:rsidR="00E45B5A" w:rsidRPr="00EA7DCD" w:rsidRDefault="00E45B5A" w:rsidP="009A3EFC">
      <w:pPr>
        <w:pStyle w:val="Normlndoblokusodrkami"/>
        <w:rPr>
          <w:lang w:val="sk-SK"/>
        </w:rPr>
      </w:pPr>
      <w:r w:rsidRPr="00EA7DCD">
        <w:rPr>
          <w:lang w:val="sk-SK"/>
        </w:rPr>
        <w:t>pyelitída</w:t>
      </w:r>
    </w:p>
    <w:p w14:paraId="0F65FDC8" w14:textId="77777777" w:rsidR="00E45B5A" w:rsidRPr="00EA7DCD" w:rsidRDefault="00E45B5A" w:rsidP="009A3EFC">
      <w:pPr>
        <w:pStyle w:val="Normlndobloku"/>
      </w:pPr>
    </w:p>
    <w:p w14:paraId="610107BD" w14:textId="77777777" w:rsidR="0060785C" w:rsidRPr="00EA7DCD" w:rsidRDefault="0060785C" w:rsidP="00F8723B">
      <w:pPr>
        <w:pStyle w:val="Normlndobloku"/>
        <w:rPr>
          <w:rFonts w:eastAsia="Calibri"/>
        </w:rPr>
      </w:pPr>
    </w:p>
    <w:p w14:paraId="787AE9F9" w14:textId="2E7710DE" w:rsidR="00AE0CBE" w:rsidRPr="00EA7DCD" w:rsidRDefault="0060785C" w:rsidP="00F8723B">
      <w:pPr>
        <w:pStyle w:val="Normlndobloku"/>
      </w:pPr>
      <w:r w:rsidRPr="00EA7DCD">
        <w:t>Je potrebné zohľadniť oficiálne odporúčania týkajúce sa správneho používania antibakteriálnych látok.</w:t>
      </w:r>
    </w:p>
    <w:p w14:paraId="5D4E42DD" w14:textId="77777777" w:rsidR="0060785C" w:rsidRPr="00EA7DCD" w:rsidRDefault="0060785C" w:rsidP="00F8723B">
      <w:pPr>
        <w:pStyle w:val="Normlndobloku"/>
      </w:pPr>
    </w:p>
    <w:p w14:paraId="1E6EE840" w14:textId="77777777" w:rsidR="00AE0CBE" w:rsidRPr="00EA7DCD" w:rsidRDefault="00FD04A3">
      <w:pPr>
        <w:pStyle w:val="Styl2"/>
      </w:pPr>
      <w:r w:rsidRPr="00EA7DCD">
        <w:t>Dávkovanie a spôsob podávania</w:t>
      </w:r>
    </w:p>
    <w:p w14:paraId="1FD09D38" w14:textId="77777777" w:rsidR="00AE0CBE" w:rsidRPr="00EA7DCD" w:rsidRDefault="00AE0CBE" w:rsidP="00E43482">
      <w:pPr>
        <w:pStyle w:val="Styl3"/>
      </w:pPr>
    </w:p>
    <w:p w14:paraId="212C2924" w14:textId="77777777" w:rsidR="00AE0CBE" w:rsidRPr="00EA7DCD" w:rsidRDefault="00302A67" w:rsidP="00E43482">
      <w:pPr>
        <w:pStyle w:val="Styl3"/>
      </w:pPr>
      <w:r w:rsidRPr="00EA7DCD">
        <w:t>Dávkovanie</w:t>
      </w:r>
    </w:p>
    <w:p w14:paraId="3632FB9B" w14:textId="77777777" w:rsidR="00AE0CBE" w:rsidRPr="00EA7DCD" w:rsidRDefault="00AE0CBE" w:rsidP="00E43482">
      <w:pPr>
        <w:pStyle w:val="Styl3"/>
      </w:pPr>
    </w:p>
    <w:p w14:paraId="5CEB459E" w14:textId="77777777" w:rsidR="00AE0CBE" w:rsidRPr="00EA7DCD" w:rsidRDefault="00F64A65" w:rsidP="00F8723B">
      <w:pPr>
        <w:pStyle w:val="tl4"/>
      </w:pPr>
      <w:r w:rsidRPr="00EA7DCD">
        <w:t>Dospelí</w:t>
      </w:r>
    </w:p>
    <w:p w14:paraId="098CFA1B" w14:textId="77777777" w:rsidR="00AE0CBE" w:rsidRPr="00EA7DCD" w:rsidRDefault="00FD04A3" w:rsidP="00F8723B">
      <w:pPr>
        <w:pStyle w:val="Normlndobloku"/>
      </w:pPr>
      <w:r w:rsidRPr="00EA7DCD">
        <w:t>Infekcie dolných močových ciest, nekomplikované: 400 mg dvakrát denne počas troch dní.</w:t>
      </w:r>
    </w:p>
    <w:p w14:paraId="0063920A" w14:textId="77777777" w:rsidR="00B014F1" w:rsidRPr="00EA7DCD" w:rsidRDefault="00B014F1" w:rsidP="00F8723B">
      <w:pPr>
        <w:pStyle w:val="Normlndobloku"/>
      </w:pPr>
    </w:p>
    <w:p w14:paraId="06E62DE7" w14:textId="6A80F70C" w:rsidR="00DE5BF0" w:rsidRPr="00EA7DCD" w:rsidRDefault="00F64A65" w:rsidP="00F8723B">
      <w:pPr>
        <w:pStyle w:val="Normlndobloku"/>
      </w:pPr>
      <w:r w:rsidRPr="00EA7DCD">
        <w:t>Infekcie močových ciest</w:t>
      </w:r>
    </w:p>
    <w:p w14:paraId="477BA719" w14:textId="77777777" w:rsidR="00AE0CBE" w:rsidRPr="00EA7DCD" w:rsidRDefault="00FD04A3" w:rsidP="00F8723B">
      <w:pPr>
        <w:pStyle w:val="Normlndobloku"/>
      </w:pPr>
      <w:r w:rsidRPr="00EA7DCD">
        <w:lastRenderedPageBreak/>
        <w:t>400 mg dvakrát denne počas siedmich až desiatich dní.</w:t>
      </w:r>
    </w:p>
    <w:p w14:paraId="6DC64A6E" w14:textId="77777777" w:rsidR="00B014F1" w:rsidRPr="00EA7DCD" w:rsidRDefault="00B014F1" w:rsidP="00F8723B">
      <w:pPr>
        <w:pStyle w:val="Normlndobloku"/>
      </w:pPr>
    </w:p>
    <w:p w14:paraId="6B223F24" w14:textId="5F2F0D3E" w:rsidR="00DE5BF0" w:rsidRPr="00EA7DCD" w:rsidRDefault="00F64A65" w:rsidP="00F8723B">
      <w:pPr>
        <w:pStyle w:val="Normlndobloku"/>
      </w:pPr>
      <w:r w:rsidRPr="00EA7DCD">
        <w:t>Chronické a relabujúce infekcie močových ciest</w:t>
      </w:r>
    </w:p>
    <w:p w14:paraId="1BDD388C" w14:textId="77777777" w:rsidR="00DB38D7" w:rsidRPr="00EA7DCD" w:rsidRDefault="00FD04A3" w:rsidP="00F8723B">
      <w:pPr>
        <w:pStyle w:val="Normlndobloku"/>
      </w:pPr>
      <w:r w:rsidRPr="00EA7DCD">
        <w:t>400 mg dvakrát denne až počas dvanástich týždňov. Ak sa počas prvých štyroch týždňov dosiahne adekvátna klinická a</w:t>
      </w:r>
      <w:r w:rsidR="00302A67" w:rsidRPr="00EA7DCD">
        <w:t> </w:t>
      </w:r>
      <w:r w:rsidRPr="00EA7DCD">
        <w:t>bakteriologická supresia, dávka sa môže znížiť na 400 mg denne.</w:t>
      </w:r>
    </w:p>
    <w:p w14:paraId="10CF1F11" w14:textId="77777777" w:rsidR="00DB38D7" w:rsidRPr="00EA7DCD" w:rsidRDefault="00DB38D7" w:rsidP="00F8723B">
      <w:pPr>
        <w:pStyle w:val="tl4"/>
      </w:pPr>
    </w:p>
    <w:p w14:paraId="6EFC8450" w14:textId="28CECE6B" w:rsidR="00AE0CBE" w:rsidRPr="00EA7DCD" w:rsidRDefault="00FD04A3" w:rsidP="00F8723B">
      <w:pPr>
        <w:pStyle w:val="Normlndobloku"/>
      </w:pPr>
      <w:r w:rsidRPr="00EA7DCD">
        <w:rPr>
          <w:i/>
          <w:u w:val="single"/>
        </w:rPr>
        <w:t>Starší pacienti</w:t>
      </w:r>
    </w:p>
    <w:p w14:paraId="686CEE44" w14:textId="77777777" w:rsidR="00AE0CBE" w:rsidRPr="00EA7DCD" w:rsidRDefault="00FD04A3" w:rsidP="00F8723B">
      <w:pPr>
        <w:pStyle w:val="Normlndobloku"/>
      </w:pPr>
      <w:r w:rsidRPr="00EA7DCD">
        <w:t>Polčas norfloxacínu môže byť bezvýznamne predĺžený, ale nie je potrebná zmena dávkovacieho režimu, ak nie je prítomné zároveň aj poškodenie obličiek.</w:t>
      </w:r>
    </w:p>
    <w:p w14:paraId="35FD94A0" w14:textId="77777777" w:rsidR="00AE0CBE" w:rsidRPr="00EA7DCD" w:rsidRDefault="00AE0CBE" w:rsidP="00F8723B">
      <w:pPr>
        <w:pStyle w:val="Normlndobloku"/>
      </w:pPr>
    </w:p>
    <w:p w14:paraId="5C3B8382" w14:textId="77777777" w:rsidR="00AE0CBE" w:rsidRPr="00EA7DCD" w:rsidRDefault="009313DF" w:rsidP="00F8723B">
      <w:pPr>
        <w:pStyle w:val="tl4"/>
      </w:pPr>
      <w:r w:rsidRPr="00EA7DCD">
        <w:t>Porucha funkcie obličiek</w:t>
      </w:r>
    </w:p>
    <w:p w14:paraId="5B024CA8" w14:textId="77777777" w:rsidR="00AE0CBE" w:rsidRPr="00EA7DCD" w:rsidRDefault="00866CB6" w:rsidP="00F8723B">
      <w:pPr>
        <w:pStyle w:val="Normlndobloku"/>
      </w:pPr>
      <w:r w:rsidRPr="00EA7DCD">
        <w:t>U</w:t>
      </w:r>
      <w:r w:rsidR="00302A67" w:rsidRPr="00EA7DCD">
        <w:t> </w:t>
      </w:r>
      <w:r w:rsidR="00FD04A3" w:rsidRPr="00EA7DCD">
        <w:t>pacientov s</w:t>
      </w:r>
      <w:r w:rsidR="00554031" w:rsidRPr="00EA7DCD">
        <w:t xml:space="preserve"> poruchou funkcie </w:t>
      </w:r>
      <w:r w:rsidR="00FD04A3" w:rsidRPr="00EA7DCD">
        <w:t>oblič</w:t>
      </w:r>
      <w:r w:rsidR="00554031" w:rsidRPr="00EA7DCD">
        <w:t>ie</w:t>
      </w:r>
      <w:r w:rsidR="00FD04A3" w:rsidRPr="00EA7DCD">
        <w:t>k, ak je klírens kreatinínu menej ako 30 ml/minútu, polčas norfloxacínu je približne dvojnásobný (8 hodín). Preto je odporúčaná dávka 200 mg dvakrát denne alebo 400 mg raz denne.</w:t>
      </w:r>
    </w:p>
    <w:p w14:paraId="0243A413" w14:textId="77777777" w:rsidR="00AE0CBE" w:rsidRPr="00EA7DCD" w:rsidRDefault="00AE0CBE" w:rsidP="00F8723B">
      <w:pPr>
        <w:pStyle w:val="Normlndobloku"/>
      </w:pPr>
    </w:p>
    <w:p w14:paraId="77FA149C" w14:textId="77777777" w:rsidR="00AE0CBE" w:rsidRPr="00EA7DCD" w:rsidRDefault="009313DF" w:rsidP="00F8723B">
      <w:pPr>
        <w:pStyle w:val="Normlndobloku"/>
      </w:pPr>
      <w:r w:rsidRPr="00EA7DCD">
        <w:t>Porucha funkcie pečene</w:t>
      </w:r>
    </w:p>
    <w:p w14:paraId="4FF5AF37" w14:textId="77777777" w:rsidR="00AE0CBE" w:rsidRPr="00EA7DCD" w:rsidRDefault="00FD04A3" w:rsidP="00F8723B">
      <w:pPr>
        <w:pStyle w:val="Normlndobloku"/>
      </w:pPr>
      <w:r w:rsidRPr="00EA7DCD">
        <w:t>Nie sú známe údaje o</w:t>
      </w:r>
      <w:r w:rsidR="00302A67" w:rsidRPr="00EA7DCD">
        <w:t> </w:t>
      </w:r>
      <w:r w:rsidRPr="00EA7DCD">
        <w:t xml:space="preserve">používaní norfloxacínu pri </w:t>
      </w:r>
      <w:r w:rsidR="00554031" w:rsidRPr="00EA7DCD">
        <w:t>poruche funkcie pečene</w:t>
      </w:r>
      <w:r w:rsidRPr="00EA7DCD">
        <w:t>, odporúča sa opatrnosť.</w:t>
      </w:r>
    </w:p>
    <w:p w14:paraId="1F4FBC35" w14:textId="77777777" w:rsidR="00AE0CBE" w:rsidRPr="00EA7DCD" w:rsidRDefault="00AE0CBE" w:rsidP="00F8723B">
      <w:pPr>
        <w:pStyle w:val="Normlndobloku"/>
      </w:pPr>
    </w:p>
    <w:p w14:paraId="50F3EDF5" w14:textId="77777777" w:rsidR="00AE0CBE" w:rsidRPr="00EA7DCD" w:rsidRDefault="00F64A65" w:rsidP="00F8723B">
      <w:pPr>
        <w:pStyle w:val="tl4"/>
      </w:pPr>
      <w:r w:rsidRPr="00EA7DCD">
        <w:t>Pediatrická populácia</w:t>
      </w:r>
    </w:p>
    <w:p w14:paraId="38FCAC64" w14:textId="77777777" w:rsidR="00AE0CBE" w:rsidRPr="00EA7DCD" w:rsidRDefault="00615A20" w:rsidP="00F8723B">
      <w:pPr>
        <w:pStyle w:val="Normlndobloku"/>
      </w:pPr>
      <w:r w:rsidRPr="00EA7DCD">
        <w:t>K dispozícii nie sú žiadne údaje</w:t>
      </w:r>
      <w:r w:rsidR="00FD04A3" w:rsidRPr="00EA7DCD">
        <w:t xml:space="preserve"> o</w:t>
      </w:r>
      <w:r w:rsidR="001B6FD7" w:rsidRPr="00EA7DCD">
        <w:t> </w:t>
      </w:r>
      <w:r w:rsidR="007C407D" w:rsidRPr="00EA7DCD">
        <w:t>bezpečnosti pri používaní u pediatrickej populácie.</w:t>
      </w:r>
    </w:p>
    <w:p w14:paraId="506E50BE" w14:textId="77777777" w:rsidR="00AE0CBE" w:rsidRPr="00EA7DCD" w:rsidRDefault="00615A20" w:rsidP="00F8723B">
      <w:pPr>
        <w:pStyle w:val="Normlndobloku"/>
      </w:pPr>
      <w:r w:rsidRPr="00EA7DCD">
        <w:t>GYRABLOCK 400 mg</w:t>
      </w:r>
      <w:r w:rsidR="00FD04A3" w:rsidRPr="00EA7DCD">
        <w:t xml:space="preserve"> je </w:t>
      </w:r>
      <w:r w:rsidRPr="00EA7DCD">
        <w:t xml:space="preserve">kontraindikovaný u pediatrickej populácie </w:t>
      </w:r>
      <w:r w:rsidR="00FD04A3" w:rsidRPr="00EA7DCD">
        <w:t xml:space="preserve">(pozri </w:t>
      </w:r>
      <w:r w:rsidRPr="00EA7DCD">
        <w:t>časť 4.3 a 4.4.</w:t>
      </w:r>
      <w:r w:rsidR="00FD04A3" w:rsidRPr="00EA7DCD">
        <w:t>).</w:t>
      </w:r>
    </w:p>
    <w:p w14:paraId="331C6FC0" w14:textId="77777777" w:rsidR="00AE0CBE" w:rsidRPr="00EA7DCD" w:rsidRDefault="00AE0CBE" w:rsidP="00E43482">
      <w:pPr>
        <w:pStyle w:val="Styl3"/>
      </w:pPr>
    </w:p>
    <w:p w14:paraId="174D7A97" w14:textId="20D1BA70" w:rsidR="00AE0CBE" w:rsidRPr="00EA7DCD" w:rsidRDefault="001B6FD7" w:rsidP="009A3EFC">
      <w:pPr>
        <w:pStyle w:val="Styl3"/>
      </w:pPr>
      <w:r w:rsidRPr="00EA7DCD">
        <w:t>Spôsob podávania</w:t>
      </w:r>
    </w:p>
    <w:p w14:paraId="1264B4CC" w14:textId="77777777" w:rsidR="00AE0CBE" w:rsidRPr="00EA7DCD" w:rsidRDefault="001B6FD7" w:rsidP="00F8723B">
      <w:pPr>
        <w:pStyle w:val="Normlndobloku"/>
      </w:pPr>
      <w:r w:rsidRPr="00EA7DCD">
        <w:t>Pôvodcovia infekcie sa môžu testovať na citlivosť voči norfloxacínu, ale liečba musí začať predtým ako sú známe výsledky.</w:t>
      </w:r>
    </w:p>
    <w:p w14:paraId="3C78A397" w14:textId="77777777" w:rsidR="00AE0CBE" w:rsidRPr="00EA7DCD" w:rsidRDefault="00AE0CBE" w:rsidP="00F8723B">
      <w:pPr>
        <w:pStyle w:val="Normlndobloku"/>
      </w:pPr>
    </w:p>
    <w:p w14:paraId="7B28BB82" w14:textId="77777777" w:rsidR="00AE0CBE" w:rsidRPr="00EA7DCD" w:rsidRDefault="001B6FD7" w:rsidP="00F8723B">
      <w:pPr>
        <w:pStyle w:val="Normlndobloku"/>
      </w:pPr>
      <w:r w:rsidRPr="00EA7DCD">
        <w:t>Tablety sú len na perorálne použitie.</w:t>
      </w:r>
    </w:p>
    <w:p w14:paraId="64AE5A64" w14:textId="77777777" w:rsidR="00AE0CBE" w:rsidRPr="00EA7DCD" w:rsidRDefault="00AE0CBE" w:rsidP="00F8723B">
      <w:pPr>
        <w:pStyle w:val="Normlndobloku"/>
      </w:pPr>
    </w:p>
    <w:p w14:paraId="0FCEAB63" w14:textId="77777777" w:rsidR="00AE0CBE" w:rsidRPr="00EA7DCD" w:rsidRDefault="00FD04A3">
      <w:pPr>
        <w:pStyle w:val="Styl2"/>
      </w:pPr>
      <w:r w:rsidRPr="00EA7DCD">
        <w:t>Kontraindikácie</w:t>
      </w:r>
    </w:p>
    <w:p w14:paraId="0691AE83" w14:textId="77777777" w:rsidR="00AE0CBE" w:rsidRPr="00EA7DCD" w:rsidRDefault="00AE0CBE" w:rsidP="00F8723B">
      <w:pPr>
        <w:pStyle w:val="Normlndobloku"/>
      </w:pPr>
    </w:p>
    <w:p w14:paraId="1DE09E40" w14:textId="77777777" w:rsidR="00AE0CBE" w:rsidRPr="00EA7DCD" w:rsidRDefault="00FD04A3" w:rsidP="00F8723B">
      <w:pPr>
        <w:pStyle w:val="Normlndobloku"/>
      </w:pPr>
      <w:r w:rsidRPr="00EA7DCD">
        <w:t>Precitlivenosť na norfloxacín, chemicky príbuzné chinolónové antib</w:t>
      </w:r>
      <w:r w:rsidR="003475A8" w:rsidRPr="00EA7DCD">
        <w:t>iotiká alebo na ktorúkoľvek z pomocných látok uvedených v časti 6.1</w:t>
      </w:r>
      <w:r w:rsidRPr="00EA7DCD">
        <w:t>.</w:t>
      </w:r>
    </w:p>
    <w:p w14:paraId="4D23BBBD" w14:textId="77777777" w:rsidR="00AE0CBE" w:rsidRPr="00EA7DCD" w:rsidRDefault="00AE0CBE" w:rsidP="00F8723B">
      <w:pPr>
        <w:pStyle w:val="Normlndobloku"/>
      </w:pPr>
    </w:p>
    <w:p w14:paraId="6EE62E3B" w14:textId="77777777" w:rsidR="00AE0CBE" w:rsidRPr="00EA7DCD" w:rsidRDefault="00FD04A3" w:rsidP="00F8723B">
      <w:pPr>
        <w:pStyle w:val="Normlndobloku"/>
      </w:pPr>
      <w:r w:rsidRPr="00EA7DCD">
        <w:t>Použitie u</w:t>
      </w:r>
      <w:r w:rsidR="001B6FD7" w:rsidRPr="00EA7DCD">
        <w:t> </w:t>
      </w:r>
      <w:r w:rsidRPr="00EA7DCD">
        <w:t xml:space="preserve">detí predpubertálneho alebo pubertálneho veku (pozri </w:t>
      </w:r>
      <w:r w:rsidR="00615A20" w:rsidRPr="00EA7DCD">
        <w:t>časť 4.4</w:t>
      </w:r>
      <w:r w:rsidRPr="00EA7DCD">
        <w:t>).</w:t>
      </w:r>
    </w:p>
    <w:p w14:paraId="0F886ED8" w14:textId="77777777" w:rsidR="00AE0CBE" w:rsidRPr="00EA7DCD" w:rsidRDefault="00AE0CBE" w:rsidP="00F8723B">
      <w:pPr>
        <w:pStyle w:val="Normlndobloku"/>
      </w:pPr>
    </w:p>
    <w:p w14:paraId="00110D0B" w14:textId="77777777" w:rsidR="00AE0CBE" w:rsidRPr="00EA7DCD" w:rsidRDefault="00FD04A3">
      <w:pPr>
        <w:pStyle w:val="Styl2"/>
      </w:pPr>
      <w:r w:rsidRPr="00EA7DCD">
        <w:t>Osobitné upozornenia a</w:t>
      </w:r>
      <w:r w:rsidR="001B6FD7" w:rsidRPr="00EA7DCD">
        <w:t> </w:t>
      </w:r>
      <w:r w:rsidRPr="00EA7DCD">
        <w:t>opatrenia pri používaní</w:t>
      </w:r>
    </w:p>
    <w:p w14:paraId="292E17CB" w14:textId="77777777" w:rsidR="00AE0CBE" w:rsidRPr="00EA7DCD" w:rsidRDefault="00AE0CBE" w:rsidP="00F8723B">
      <w:pPr>
        <w:pStyle w:val="Normlndobloku"/>
      </w:pPr>
    </w:p>
    <w:p w14:paraId="68539472" w14:textId="77777777" w:rsidR="001C7143" w:rsidRPr="00EA7DCD" w:rsidRDefault="00776D90" w:rsidP="00F8723B">
      <w:pPr>
        <w:pStyle w:val="Normlndobloku"/>
      </w:pPr>
      <w:r w:rsidRPr="00EA7DCD">
        <w:t>U pacientov, u ktorých sa v minulosti pri používaní liekov obsahujúcich chinolón alebo fluórchinolón vyskytli závažné nežiaduce reakcie, je potrebné vyhnúť sa používaniu norfloxacínu (pozri časť 4.8). U</w:t>
      </w:r>
      <w:r w:rsidR="00E973AF" w:rsidRPr="00EA7DCD">
        <w:t> </w:t>
      </w:r>
      <w:r w:rsidRPr="00EA7DCD">
        <w:t>týchto pacientov sa má liečba norfloxacínom začať len vtedy, ak nie sú dostupné alternatívne možnosti liečby a po dôkladnom posúdení prínosu/rizika (pozri tiež časť 4.3).</w:t>
      </w:r>
    </w:p>
    <w:p w14:paraId="6972CEC0" w14:textId="77777777" w:rsidR="00776D90" w:rsidRPr="00EA7DCD" w:rsidRDefault="00776D90" w:rsidP="00F8723B">
      <w:pPr>
        <w:pStyle w:val="Normlndobloku"/>
        <w:rPr>
          <w:highlight w:val="yellow"/>
        </w:rPr>
      </w:pPr>
    </w:p>
    <w:p w14:paraId="2494375B" w14:textId="77777777" w:rsidR="005C7CE8" w:rsidRPr="00EA7DCD" w:rsidRDefault="005C7CE8" w:rsidP="00EA7DCD">
      <w:pPr>
        <w:pStyle w:val="Styl3"/>
      </w:pPr>
      <w:r w:rsidRPr="00EA7DCD">
        <w:t>Aneuryzma aorty a disekcia aorty a regurgitácia/nedomykavosť srdcovej chlopne</w:t>
      </w:r>
    </w:p>
    <w:p w14:paraId="1AF7FD42" w14:textId="3A3A7795" w:rsidR="009727A3" w:rsidRPr="00EA7DCD" w:rsidRDefault="00A6321A" w:rsidP="00A6321A">
      <w:pPr>
        <w:pStyle w:val="Normlndobloku"/>
      </w:pPr>
      <w:r w:rsidRPr="00EA7DCD">
        <w:t>V epidemiologických štúdiách bolo zistené zvýšené riziko aneuryzmy aorty a disekcie aorty predovšetkým u starších pacientov, a regurgitácie aortálnej a mitrálnej chlopne po použití fluórchinolónov. U pacientov používajúcich fluórchinolóny boli hlásené prípady aneuryzmy a disekcie aorty, niekedy komplikované ruptúrou (vrátane smrteľných prípadov), a prípady regurgitácie/nedomykavosti niektorej zo srdcových chlopní (pozri časť 4.8).</w:t>
      </w:r>
    </w:p>
    <w:p w14:paraId="49F500DA" w14:textId="77777777" w:rsidR="005C7CE8" w:rsidRPr="00EA7DCD" w:rsidRDefault="005C7CE8" w:rsidP="005C7CE8">
      <w:pPr>
        <w:pStyle w:val="Normlndobloku"/>
      </w:pPr>
    </w:p>
    <w:p w14:paraId="0A5F8739" w14:textId="28E62A9A" w:rsidR="005C7CE8" w:rsidRPr="00EA7DCD" w:rsidRDefault="005C7CE8" w:rsidP="005C7CE8">
      <w:pPr>
        <w:pStyle w:val="Normlndobloku"/>
      </w:pPr>
      <w:r w:rsidRPr="00EA7DCD">
        <w:t>Preto sa fluórchinolóny majú používať len po starostlivom vyhodnotení prínosu a rizika a po zvážení iných terapeutických možností u pacientov s pozitívnou rodinnou anamnézou ochorenia aneuryzmy alebo kongenitálnym ochorením srdcovej chlopne alebo u pacientov s diagnostikovanou už existujúcou aneuryzmou aorty a/alebo disekciou aorty alebo ochorením srdcovej chlopne alebo v prípade výskytu iných rizikových faktorov alebo stavov, ktoré sú predispozíciou k</w:t>
      </w:r>
      <w:r w:rsidR="00DD3932" w:rsidRPr="00EA7DCD">
        <w:t> </w:t>
      </w:r>
      <w:r w:rsidRPr="00EA7DCD">
        <w:t>vzniku</w:t>
      </w:r>
      <w:r w:rsidR="00DD3932" w:rsidRPr="00EA7DCD">
        <w:t>:</w:t>
      </w:r>
    </w:p>
    <w:p w14:paraId="0DD33B1A" w14:textId="6EE31A93" w:rsidR="005C7CE8" w:rsidRPr="00EA7DCD" w:rsidRDefault="005C7CE8" w:rsidP="00EA7DCD">
      <w:pPr>
        <w:pStyle w:val="Normlndoblokusodrkami"/>
        <w:rPr>
          <w:lang w:val="sk-SK"/>
        </w:rPr>
      </w:pPr>
      <w:r w:rsidRPr="00EA7DCD">
        <w:rPr>
          <w:lang w:val="sk-SK"/>
        </w:rPr>
        <w:lastRenderedPageBreak/>
        <w:t>aneuryzmy aorty a disekcie aorty ako aj regurgitácie/nedomykavosti srdcovej chlopne (napr. ochorenia spojivového tkaniva, ako je Marfanov syndróm alebo Ehlers-Danlosov syndróm, Turnerov syndróm, Behçetova choroba, hypertenzia, reumatoidná artritída alebo aj</w:t>
      </w:r>
    </w:p>
    <w:p w14:paraId="7B8EFA0E" w14:textId="0FA5EFAD" w:rsidR="005C7CE8" w:rsidRPr="00EA7DCD" w:rsidRDefault="005C7CE8" w:rsidP="00EA7DCD">
      <w:pPr>
        <w:pStyle w:val="Normlndoblokusodrkami"/>
        <w:rPr>
          <w:lang w:val="sk-SK"/>
        </w:rPr>
      </w:pPr>
      <w:r w:rsidRPr="00EA7DCD">
        <w:rPr>
          <w:lang w:val="sk-SK"/>
        </w:rPr>
        <w:t>aneuryzmy aorty a disekcie aorty (napr. vaskulárne ochorenia, ako je Takayasuova arteritída alebo obrovskobunková arteritída, prípadne známa ateroskleróza alebo Sjögrenov syndróm) alebo aj</w:t>
      </w:r>
    </w:p>
    <w:p w14:paraId="371BF255" w14:textId="31D31ECE" w:rsidR="005C7CE8" w:rsidRPr="00EA7DCD" w:rsidRDefault="005C7CE8" w:rsidP="00EA7DCD">
      <w:pPr>
        <w:pStyle w:val="Normlndoblokusodrkami"/>
        <w:rPr>
          <w:lang w:val="sk-SK"/>
        </w:rPr>
      </w:pPr>
      <w:r w:rsidRPr="00EA7DCD">
        <w:rPr>
          <w:lang w:val="sk-SK"/>
        </w:rPr>
        <w:t>regurgitácie/nedomykavosti srdcovej chlopne (napr. infekčná endokarditída).</w:t>
      </w:r>
    </w:p>
    <w:p w14:paraId="51F8ADAA" w14:textId="77777777" w:rsidR="00A6321A" w:rsidRPr="00EA7DCD" w:rsidRDefault="00A6321A" w:rsidP="005C7CE8">
      <w:pPr>
        <w:pStyle w:val="Normlndobloku"/>
      </w:pPr>
    </w:p>
    <w:p w14:paraId="716BA9C7" w14:textId="2E9F1E11" w:rsidR="009727A3" w:rsidRPr="00EA7DCD" w:rsidRDefault="005C7CE8" w:rsidP="00F8723B">
      <w:pPr>
        <w:pStyle w:val="Normlndobloku"/>
      </w:pPr>
      <w:r w:rsidRPr="00EA7DCD">
        <w:t>Riziko aneuryzmy aorty a disekcie aorty a jej ruptúry môže byť zvýšené aj u pacientov súbežne liečených systémovými kortikosteroidmi.</w:t>
      </w:r>
      <w:r w:rsidR="009727A3" w:rsidRPr="00EA7DCD">
        <w:t xml:space="preserve"> </w:t>
      </w:r>
    </w:p>
    <w:p w14:paraId="71610056" w14:textId="77777777" w:rsidR="009727A3" w:rsidRPr="00EA7DCD" w:rsidRDefault="009727A3" w:rsidP="00F8723B">
      <w:pPr>
        <w:pStyle w:val="Normlndobloku"/>
      </w:pPr>
    </w:p>
    <w:p w14:paraId="284E78E1" w14:textId="55802E2D" w:rsidR="00A6321A" w:rsidRPr="00EA7DCD" w:rsidRDefault="00A6321A" w:rsidP="00F8723B">
      <w:pPr>
        <w:pStyle w:val="Normlndobloku"/>
      </w:pPr>
      <w:r w:rsidRPr="00EA7DCD">
        <w:t>V prípade náhlej bolesti brucha, hrudníka alebo chrbta je potrebné pacientom odporučiť, aby sa bezodkladne obrátili na lekára na pohotovosti.</w:t>
      </w:r>
    </w:p>
    <w:p w14:paraId="38ED7627" w14:textId="03D9A3F5" w:rsidR="00A6321A" w:rsidRPr="00EA7DCD" w:rsidRDefault="00A6321A" w:rsidP="00F8723B">
      <w:pPr>
        <w:pStyle w:val="Normlndobloku"/>
      </w:pPr>
    </w:p>
    <w:p w14:paraId="092FD25C" w14:textId="1AD6F0CF" w:rsidR="00233572" w:rsidRPr="00EA7DCD" w:rsidRDefault="005C7CE8" w:rsidP="00F8723B">
      <w:pPr>
        <w:pStyle w:val="Normlndobloku"/>
      </w:pPr>
      <w:r w:rsidRPr="00EA7DCD">
        <w:t>Pacientov je potrebné informovať o tom, aby v prípade akútneho dyspnoe, novovzniknutých srdcových palpitácií alebo vzniku brušného edému alebo edému dolných končatín ihneď vyhľadali lekársku pomoc.</w:t>
      </w:r>
    </w:p>
    <w:p w14:paraId="42E0EF6B" w14:textId="77777777" w:rsidR="005C7CE8" w:rsidRPr="00EA7DCD" w:rsidRDefault="005C7CE8" w:rsidP="00F8723B">
      <w:pPr>
        <w:pStyle w:val="Normlndobloku"/>
      </w:pPr>
    </w:p>
    <w:p w14:paraId="0AA5B764" w14:textId="77777777" w:rsidR="00AE0CBE" w:rsidRPr="00EA7DCD" w:rsidRDefault="003F626E" w:rsidP="00E43482">
      <w:pPr>
        <w:pStyle w:val="Styl3"/>
        <w:rPr>
          <w:noProof/>
        </w:rPr>
      </w:pPr>
      <w:r w:rsidRPr="00EA7DCD">
        <w:t>Pediatrická populácia</w:t>
      </w:r>
    </w:p>
    <w:p w14:paraId="12793200" w14:textId="77777777" w:rsidR="00AE0CBE" w:rsidRPr="00EA7DCD" w:rsidRDefault="001B6FD7" w:rsidP="00F8723B">
      <w:pPr>
        <w:pStyle w:val="Normlndobloku"/>
      </w:pPr>
      <w:r w:rsidRPr="00EA7DCD">
        <w:t>Rovnako</w:t>
      </w:r>
      <w:r w:rsidR="00FD04A3" w:rsidRPr="00EA7DCD">
        <w:t xml:space="preserve"> ako iné chinolóny, používan</w:t>
      </w:r>
      <w:r w:rsidRPr="00EA7DCD">
        <w:t>ie</w:t>
      </w:r>
      <w:r w:rsidR="00FD04A3" w:rsidRPr="00EA7DCD">
        <w:t xml:space="preserve"> norfloxacínu u</w:t>
      </w:r>
      <w:r w:rsidRPr="00EA7DCD">
        <w:t> </w:t>
      </w:r>
      <w:r w:rsidR="00FD04A3" w:rsidRPr="00EA7DCD">
        <w:t>nedospelých zvierat spôsoboval</w:t>
      </w:r>
      <w:r w:rsidRPr="00EA7DCD">
        <w:t>o</w:t>
      </w:r>
      <w:r w:rsidR="00FD04A3" w:rsidRPr="00EA7DCD">
        <w:t xml:space="preserve"> artropatie. Bezpečnosť norfloxacínu nebola dostačujúco prešetrená u</w:t>
      </w:r>
      <w:r w:rsidRPr="00EA7DCD">
        <w:t> </w:t>
      </w:r>
      <w:r w:rsidR="00FD04A3" w:rsidRPr="00EA7DCD">
        <w:t>detí a</w:t>
      </w:r>
      <w:r w:rsidRPr="00EA7DCD">
        <w:t> </w:t>
      </w:r>
      <w:r w:rsidR="00FD04A3" w:rsidRPr="00EA7DCD">
        <w:t>jeho použitie u detí predpubertálneho alebo pubertálneho veku je kontraindikované.</w:t>
      </w:r>
    </w:p>
    <w:p w14:paraId="4E7FE618" w14:textId="77777777" w:rsidR="00AE0CBE" w:rsidRPr="00EA7DCD" w:rsidRDefault="00AE0CBE" w:rsidP="00F8723B">
      <w:pPr>
        <w:pStyle w:val="Normlndobloku"/>
      </w:pPr>
    </w:p>
    <w:p w14:paraId="1BAAF41F" w14:textId="77777777" w:rsidR="00AE0CBE" w:rsidRPr="00EA7DCD" w:rsidRDefault="00FD04A3" w:rsidP="00F8723B">
      <w:pPr>
        <w:pStyle w:val="Normlndobloku"/>
      </w:pPr>
      <w:r w:rsidRPr="00EA7DCD">
        <w:t>Zriedkavo sa vyskytujú údaje o</w:t>
      </w:r>
      <w:r w:rsidR="001B5918" w:rsidRPr="00EA7DCD">
        <w:t> </w:t>
      </w:r>
      <w:r w:rsidRPr="00EA7DCD">
        <w:t>kŕčoch v</w:t>
      </w:r>
      <w:r w:rsidR="001B5918" w:rsidRPr="00EA7DCD">
        <w:t> </w:t>
      </w:r>
      <w:r w:rsidRPr="00EA7DCD">
        <w:t>spojitosti s</w:t>
      </w:r>
      <w:r w:rsidR="001B5918" w:rsidRPr="00EA7DCD">
        <w:t> </w:t>
      </w:r>
      <w:r w:rsidRPr="00EA7DCD">
        <w:t xml:space="preserve">norfloxacínom, avšak ich príčinná súvislosť sa nedokázala. Norfloxacín sa nesmie podávať pacientom </w:t>
      </w:r>
      <w:r w:rsidR="00223E4C" w:rsidRPr="00EA7DCD">
        <w:t>s kŕčmi</w:t>
      </w:r>
      <w:r w:rsidRPr="00EA7DCD">
        <w:t xml:space="preserve"> alebo so známymi predispozičnými faktormi v</w:t>
      </w:r>
      <w:r w:rsidR="001B5918" w:rsidRPr="00EA7DCD">
        <w:t> </w:t>
      </w:r>
      <w:r w:rsidRPr="00EA7DCD">
        <w:t>anamnéze.</w:t>
      </w:r>
    </w:p>
    <w:p w14:paraId="7F54F4BB" w14:textId="77777777" w:rsidR="00AE0CBE" w:rsidRPr="00EA7DCD" w:rsidRDefault="00AE0CBE" w:rsidP="00F8723B">
      <w:pPr>
        <w:pStyle w:val="Normlndobloku"/>
      </w:pPr>
    </w:p>
    <w:p w14:paraId="793DA531" w14:textId="77777777" w:rsidR="00AE0CBE" w:rsidRPr="00EA7DCD" w:rsidRDefault="00FD04A3" w:rsidP="00F8723B">
      <w:pPr>
        <w:pStyle w:val="Normlndobloku"/>
      </w:pPr>
      <w:r w:rsidRPr="00EA7DCD">
        <w:t>Počas liečby chinolónmi sú známe fotosenzitívne reakcie u</w:t>
      </w:r>
      <w:r w:rsidR="001B5918" w:rsidRPr="00EA7DCD">
        <w:t> </w:t>
      </w:r>
      <w:r w:rsidRPr="00EA7DCD">
        <w:t>pacientov vystavených zvýšenému slnečnému žiareniu. Pacienti sa musia vyhnúť zvýšenému slnečnému žiareniu, ak sa objaví fotosenzitívna reakcia, liečba norfloxacínom sa musí prerušiť.</w:t>
      </w:r>
    </w:p>
    <w:p w14:paraId="4CF731ED" w14:textId="77777777" w:rsidR="00AE0CBE" w:rsidRPr="00EA7DCD" w:rsidRDefault="00AE0CBE" w:rsidP="00F8723B">
      <w:pPr>
        <w:pStyle w:val="Normlndobloku"/>
      </w:pPr>
    </w:p>
    <w:p w14:paraId="424324F1" w14:textId="77777777" w:rsidR="00AE0CBE" w:rsidRPr="00EA7DCD" w:rsidRDefault="00FD04A3" w:rsidP="00F8723B">
      <w:pPr>
        <w:pStyle w:val="Normlndobloku"/>
      </w:pPr>
      <w:r w:rsidRPr="00EA7DCD">
        <w:t>U</w:t>
      </w:r>
      <w:r w:rsidR="001B5918" w:rsidRPr="00EA7DCD">
        <w:t> </w:t>
      </w:r>
      <w:r w:rsidRPr="00EA7DCD">
        <w:t>pacientov s</w:t>
      </w:r>
      <w:r w:rsidR="001B5918" w:rsidRPr="00EA7DCD">
        <w:t> </w:t>
      </w:r>
      <w:r w:rsidRPr="00EA7DCD">
        <w:t>latentnou alebo aktuálnou poruchou glukozo-6-fosfát dehydrogenázy, ktorí užívali chinolóny vrátane norfloxacínu, sa objavili zriedkavé hemolytické reakcie.</w:t>
      </w:r>
    </w:p>
    <w:p w14:paraId="24ED1535" w14:textId="77777777" w:rsidR="00AE0CBE" w:rsidRPr="00EA7DCD" w:rsidRDefault="00AE0CBE" w:rsidP="00F8723B">
      <w:pPr>
        <w:pStyle w:val="Normlndobloku"/>
      </w:pPr>
    </w:p>
    <w:p w14:paraId="36535C0F" w14:textId="77777777" w:rsidR="00776D90" w:rsidRPr="00EA7DCD" w:rsidRDefault="001B5918" w:rsidP="009A3EFC">
      <w:pPr>
        <w:pStyle w:val="Styl3"/>
      </w:pPr>
      <w:r w:rsidRPr="00EA7DCD">
        <w:t>Poruchy zraku</w:t>
      </w:r>
    </w:p>
    <w:p w14:paraId="36FF8211" w14:textId="77C95314" w:rsidR="00AE0CBE" w:rsidRPr="00EA7DCD" w:rsidRDefault="00776D90" w:rsidP="00F8723B">
      <w:pPr>
        <w:pStyle w:val="Normlndobloku"/>
      </w:pPr>
      <w:r w:rsidRPr="00EA7DCD">
        <w:t>P</w:t>
      </w:r>
      <w:r w:rsidR="001B5918" w:rsidRPr="00EA7DCD">
        <w:t>okiaľ dôjde k zhoršeniu zraku alebo akémukoľvek vplyvu na oči, je nevyhnutné okamžite konzultovať očného lekára.</w:t>
      </w:r>
    </w:p>
    <w:p w14:paraId="032D9F1F" w14:textId="77777777" w:rsidR="00AE0CBE" w:rsidRPr="00EA7DCD" w:rsidRDefault="00AE0CBE" w:rsidP="00F8723B">
      <w:pPr>
        <w:pStyle w:val="Normlndobloku"/>
      </w:pPr>
    </w:p>
    <w:p w14:paraId="083E0CAE" w14:textId="77777777" w:rsidR="00776D90" w:rsidRPr="00EA7DCD" w:rsidRDefault="00776D90" w:rsidP="009A3EFC">
      <w:pPr>
        <w:pStyle w:val="Styl3"/>
      </w:pPr>
      <w:r w:rsidRPr="00EA7DCD">
        <w:t>Dysglykémia</w:t>
      </w:r>
    </w:p>
    <w:p w14:paraId="4F792D54" w14:textId="01851910" w:rsidR="00776D90" w:rsidRPr="00EA7DCD" w:rsidRDefault="00776D90" w:rsidP="00F8723B">
      <w:pPr>
        <w:pStyle w:val="Normlndobloku"/>
      </w:pPr>
      <w:r w:rsidRPr="00EA7DCD">
        <w:t>Tak ako pri všetkých chinolónoch, boli hlásené poruchy hladiny glukózy v krvi, vrátane hypoglykémie a hyperglykémie,</w:t>
      </w:r>
      <w:r w:rsidR="00862147" w:rsidRPr="00EA7DCD">
        <w:t xml:space="preserve"> (pozri časť 4.8)</w:t>
      </w:r>
      <w:r w:rsidRPr="00EA7DCD">
        <w:t xml:space="preserve"> predovšetkým u diabetických pacientov súbežne liečených perorálnymi </w:t>
      </w:r>
      <w:r w:rsidR="00D56832" w:rsidRPr="00EA7DCD">
        <w:t>antidiabetika</w:t>
      </w:r>
      <w:r w:rsidRPr="00EA7DCD">
        <w:t>mi (napr. glibenklamidom) alebo inzulínom. Boli hlásené prípady hypoglykemickej kómy. U diabetických pacientov sa odporúča starostlivé sledovanie hladiny glukózy v krvi.</w:t>
      </w:r>
    </w:p>
    <w:p w14:paraId="76CCD03C" w14:textId="77777777" w:rsidR="00776D90" w:rsidRPr="00EA7DCD" w:rsidRDefault="00776D90" w:rsidP="00F8723B">
      <w:pPr>
        <w:pStyle w:val="Normlndobloku"/>
      </w:pPr>
    </w:p>
    <w:p w14:paraId="2A5D91D2" w14:textId="598F1749" w:rsidR="00776D90" w:rsidRPr="00EA7DCD" w:rsidRDefault="00776D90" w:rsidP="009A3EFC">
      <w:pPr>
        <w:pStyle w:val="Styl3"/>
      </w:pPr>
      <w:r w:rsidRPr="00EA7DCD">
        <w:t xml:space="preserve">Dlhotrvajúce, </w:t>
      </w:r>
      <w:r w:rsidR="009C5D99" w:rsidRPr="00EA7DCD">
        <w:t>invalidi</w:t>
      </w:r>
      <w:r w:rsidRPr="00EA7DCD">
        <w:t>zujúce a potenciálne ireverzibilné závažné nežiaduce liekové reakcie</w:t>
      </w:r>
    </w:p>
    <w:p w14:paraId="62B00139" w14:textId="6A1F1DF4" w:rsidR="00776D90" w:rsidRPr="00EA7DCD" w:rsidRDefault="00776D90" w:rsidP="00F8723B">
      <w:pPr>
        <w:pStyle w:val="Normlndobloku"/>
      </w:pPr>
      <w:r w:rsidRPr="00EA7DCD">
        <w:t xml:space="preserve">U pacientov liečených chinolónmi a fluórchinolónmi, boli nezávisle od ich veku a už existujúcich rizikových faktorov hlásené veľmi zriedkavé prípady dlhotrvajúcich (pokračujúcich mesiace alebo roky), </w:t>
      </w:r>
      <w:r w:rsidR="009C5D99" w:rsidRPr="00EA7DCD">
        <w:t>invalidi</w:t>
      </w:r>
      <w:r w:rsidRPr="00EA7DCD">
        <w:t>zujúcich a potenciálne ireverzibilných závažných nežiaducich liekových reakcií postihujúcich rôzne, niekedy viaceré telesné systémy (muskuloskeletálny, nervový, psychický a</w:t>
      </w:r>
      <w:r w:rsidR="0098708B" w:rsidRPr="00EA7DCD">
        <w:t> </w:t>
      </w:r>
      <w:r w:rsidRPr="00EA7DCD">
        <w:t xml:space="preserve">zmyslový). Pri prvých prejavoch alebo príznakoch akejkoľvek závažnej nežiaducej reakcie sa má používanie </w:t>
      </w:r>
      <w:r w:rsidR="0098708B" w:rsidRPr="00EA7DCD">
        <w:t>norfloxacínu</w:t>
      </w:r>
      <w:r w:rsidRPr="00EA7DCD">
        <w:t xml:space="preserve"> ihneď prerušiť a pacientom sa má odporučiť, aby kontaktovali svojho predpisujúceho lekára.</w:t>
      </w:r>
    </w:p>
    <w:p w14:paraId="152BE30B" w14:textId="77777777" w:rsidR="00776D90" w:rsidRPr="00EA7DCD" w:rsidRDefault="00776D90" w:rsidP="00F8723B">
      <w:pPr>
        <w:pStyle w:val="Normlndobloku"/>
      </w:pPr>
    </w:p>
    <w:p w14:paraId="611AACC0" w14:textId="77777777" w:rsidR="00531044" w:rsidRDefault="00531044">
      <w:pPr>
        <w:ind w:left="0" w:firstLine="0"/>
        <w:rPr>
          <w:szCs w:val="24"/>
          <w:u w:val="single"/>
          <w:lang w:val="sk-SK" w:eastAsia="cs-CZ"/>
        </w:rPr>
      </w:pPr>
      <w:r>
        <w:br w:type="page"/>
      </w:r>
    </w:p>
    <w:p w14:paraId="4FB1CFB9" w14:textId="2613CFE1" w:rsidR="00776D90" w:rsidRPr="00EA7DCD" w:rsidRDefault="00776D90" w:rsidP="009A3EFC">
      <w:pPr>
        <w:pStyle w:val="Styl3"/>
      </w:pPr>
      <w:proofErr w:type="spellStart"/>
      <w:r w:rsidRPr="00EA7DCD">
        <w:lastRenderedPageBreak/>
        <w:t>Tendinitída</w:t>
      </w:r>
      <w:proofErr w:type="spellEnd"/>
      <w:r w:rsidRPr="00EA7DCD">
        <w:t xml:space="preserve"> a ruptúra šľachy</w:t>
      </w:r>
    </w:p>
    <w:p w14:paraId="737AC4EB" w14:textId="40BC6646" w:rsidR="00776D90" w:rsidRPr="00EA7DCD" w:rsidRDefault="00776D90" w:rsidP="00F8723B">
      <w:pPr>
        <w:pStyle w:val="Normlndobloku"/>
      </w:pPr>
      <w:r w:rsidRPr="00EA7DCD">
        <w:t xml:space="preserve">Tendinitída a ruptúra šľachy (najmä, ale nie výlučne Achillovej šľachy), niekedy bilaterálne, sa môžu vyskytnúť už v priebehu 48 hodín po začatí liečby chinolónmi a fluórchinolónmi a ich výskyt bol hlásený aj po dobu niekoľkých mesiacov po </w:t>
      </w:r>
      <w:r w:rsidR="002D17CC" w:rsidRPr="00EA7DCD">
        <w:t>ukončení</w:t>
      </w:r>
      <w:r w:rsidRPr="00EA7DCD">
        <w:t xml:space="preserve"> liečby. Riziko tendinitídy a ruptúry šľachy je zvýšené u</w:t>
      </w:r>
      <w:r w:rsidR="0098708B" w:rsidRPr="00EA7DCD">
        <w:t> </w:t>
      </w:r>
      <w:r w:rsidRPr="00EA7DCD">
        <w:t>starších pacientov, u</w:t>
      </w:r>
      <w:r w:rsidR="0098708B" w:rsidRPr="00EA7DCD">
        <w:t> </w:t>
      </w:r>
      <w:r w:rsidRPr="00EA7DCD">
        <w:t>pacientov s</w:t>
      </w:r>
      <w:r w:rsidR="0098708B" w:rsidRPr="00EA7DCD">
        <w:t> </w:t>
      </w:r>
      <w:r w:rsidRPr="00EA7DCD">
        <w:t>poruchou funkcie obličiek, u pacientov s</w:t>
      </w:r>
      <w:r w:rsidR="00E87082" w:rsidRPr="00EA7DCD">
        <w:t> </w:t>
      </w:r>
      <w:r w:rsidRPr="00EA7DCD">
        <w:t>transplantovanými orgánmi a u pacientov súbežne liečených kortikosteroidmi. Preto je potrebné vyhnúť sa súbežnému používaniu kortikosteroidov.</w:t>
      </w:r>
    </w:p>
    <w:p w14:paraId="47E16DF9" w14:textId="16AC730F" w:rsidR="00776D90" w:rsidRPr="00EA7DCD" w:rsidRDefault="00776D90" w:rsidP="00F8723B">
      <w:pPr>
        <w:pStyle w:val="Normlndobloku"/>
      </w:pPr>
      <w:r w:rsidRPr="00EA7DCD">
        <w:t xml:space="preserve">Pri prvom prejave tendinitídy (napr. bolestivý opuch, zápal) sa má liečba </w:t>
      </w:r>
      <w:r w:rsidR="0098708B" w:rsidRPr="00EA7DCD">
        <w:t>norfloxacínom</w:t>
      </w:r>
      <w:r w:rsidRPr="00EA7DCD">
        <w:t xml:space="preserve"> </w:t>
      </w:r>
      <w:r w:rsidR="00293F92" w:rsidRPr="00EA7DCD">
        <w:t>ukonč</w:t>
      </w:r>
      <w:r w:rsidRPr="00EA7DCD">
        <w:t>iť a má sa zvážiť alternatívna liečba. Postihnutá (postihnuté) končatina (končatiny) sa má (majú) príslušne liečiť (napr. imobilizáciou). Pri výskyte prejavov tendinopatie sa kortikosteroidy nemajú používať.</w:t>
      </w:r>
    </w:p>
    <w:p w14:paraId="2E44B403" w14:textId="77777777" w:rsidR="00776D90" w:rsidRPr="00EA7DCD" w:rsidRDefault="00776D90" w:rsidP="00F8723B">
      <w:pPr>
        <w:pStyle w:val="Normlndobloku"/>
      </w:pPr>
    </w:p>
    <w:p w14:paraId="1CBAA6AB" w14:textId="77777777" w:rsidR="00776D90" w:rsidRPr="00EA7DCD" w:rsidRDefault="00776D90" w:rsidP="009A3EFC">
      <w:pPr>
        <w:pStyle w:val="Styl3"/>
      </w:pPr>
      <w:r w:rsidRPr="00EA7DCD">
        <w:t>Periférna neuropatia</w:t>
      </w:r>
    </w:p>
    <w:p w14:paraId="3F989DDA" w14:textId="77777777" w:rsidR="00776D90" w:rsidRPr="00EA7DCD" w:rsidRDefault="00776D90" w:rsidP="00F8723B">
      <w:pPr>
        <w:pStyle w:val="Normlndobloku"/>
      </w:pPr>
      <w:r w:rsidRPr="00EA7DCD">
        <w:t xml:space="preserve">U pacientov liečených chinolónmi a fluórchinolónmi boli hlásené prípady senzorickej alebo senzomotorickej polyneuropatie vedúce k parestézii, hypestézii, dyzestézii alebo slabosti. Pacientom liečeným </w:t>
      </w:r>
      <w:r w:rsidR="0098708B" w:rsidRPr="00EA7DCD">
        <w:t>norfloxacínom</w:t>
      </w:r>
      <w:r w:rsidRPr="00EA7DCD">
        <w:t xml:space="preserve"> sa má odporučiť, aby pred pokračovaním liečby informovali svojho lekára, ak sa u nich vyskytnú symptómy neuropatie, napríklad bolesť, pálenie, brnenie, necitlivosť alebo slabosť, aby sa zabránilo rozvinutiu potenciálne ireverzibilného stavu (pozri časť 4.8).</w:t>
      </w:r>
    </w:p>
    <w:p w14:paraId="0C1A20B0" w14:textId="77777777" w:rsidR="006558DB" w:rsidRPr="00EA7DCD" w:rsidRDefault="006558DB" w:rsidP="00F8723B">
      <w:pPr>
        <w:pStyle w:val="Normlndobloku"/>
      </w:pPr>
    </w:p>
    <w:p w14:paraId="5CEC82B8" w14:textId="347C4BEF" w:rsidR="00776D90" w:rsidRPr="00EA7DCD" w:rsidRDefault="006558DB" w:rsidP="00F8723B">
      <w:pPr>
        <w:pStyle w:val="Normlndobloku"/>
      </w:pPr>
      <w:r w:rsidRPr="00EA7DCD">
        <w:t xml:space="preserve">GYRABLOCK obsahuje azofarbivo chinolínovú žlť (E104). </w:t>
      </w:r>
    </w:p>
    <w:p w14:paraId="6164B31D" w14:textId="5B570589" w:rsidR="006558DB" w:rsidRPr="00EA7DCD" w:rsidRDefault="006558DB" w:rsidP="00F8723B">
      <w:pPr>
        <w:pStyle w:val="Normlndobloku"/>
      </w:pPr>
      <w:r w:rsidRPr="00EA7DCD">
        <w:t>Môže vyvolať alergické reakcie.</w:t>
      </w:r>
    </w:p>
    <w:p w14:paraId="785FB477" w14:textId="77777777" w:rsidR="00776D90" w:rsidRPr="00EA7DCD" w:rsidRDefault="00776D90" w:rsidP="00F8723B">
      <w:pPr>
        <w:pStyle w:val="Normlndobloku"/>
      </w:pPr>
    </w:p>
    <w:p w14:paraId="0A9B4174" w14:textId="77777777" w:rsidR="00AE0CBE" w:rsidRPr="00EA7DCD" w:rsidRDefault="00FD04A3">
      <w:pPr>
        <w:pStyle w:val="Styl2"/>
      </w:pPr>
      <w:r w:rsidRPr="00EA7DCD">
        <w:t>Liekové a</w:t>
      </w:r>
      <w:r w:rsidR="001B5918" w:rsidRPr="00EA7DCD">
        <w:t> </w:t>
      </w:r>
      <w:r w:rsidRPr="00EA7DCD">
        <w:t>iné interakcie</w:t>
      </w:r>
    </w:p>
    <w:p w14:paraId="012ABB50" w14:textId="77777777" w:rsidR="00AE0CBE" w:rsidRPr="00EA7DCD" w:rsidRDefault="00AE0CBE" w:rsidP="00F8723B">
      <w:pPr>
        <w:pStyle w:val="Normlndobloku"/>
      </w:pPr>
    </w:p>
    <w:p w14:paraId="5F609A11" w14:textId="77777777" w:rsidR="00AE0CBE" w:rsidRPr="00EA7DCD" w:rsidRDefault="00FD04A3" w:rsidP="00F8723B">
      <w:pPr>
        <w:pStyle w:val="Normlndobloku"/>
      </w:pPr>
      <w:r w:rsidRPr="00EA7DCD">
        <w:rPr>
          <w:i/>
        </w:rPr>
        <w:t>Antacidá</w:t>
      </w:r>
      <w:r w:rsidR="00F64A65" w:rsidRPr="00EA7DCD">
        <w:rPr>
          <w:i/>
        </w:rPr>
        <w:t>:</w:t>
      </w:r>
      <w:r w:rsidRPr="00EA7DCD">
        <w:t xml:space="preserve"> Nesmú sa podávať súčasne alebo do dvoch hodín pred užitím alebo dve hodiny po užití norfloxacínu, pretože interferujú jeho absorpciu a</w:t>
      </w:r>
      <w:r w:rsidR="001B5918" w:rsidRPr="00EA7DCD">
        <w:t> </w:t>
      </w:r>
      <w:r w:rsidRPr="00EA7DCD">
        <w:t>znižujú sérovo/močovú hladinu norfloxacínu.</w:t>
      </w:r>
    </w:p>
    <w:p w14:paraId="18036C40" w14:textId="77777777" w:rsidR="00AE0CBE" w:rsidRPr="00EA7DCD" w:rsidRDefault="00AE0CBE" w:rsidP="00F8723B">
      <w:pPr>
        <w:pStyle w:val="Normlndobloku"/>
      </w:pPr>
    </w:p>
    <w:p w14:paraId="565C8BAC" w14:textId="77777777" w:rsidR="00AE0CBE" w:rsidRPr="00EA7DCD" w:rsidRDefault="00FD04A3" w:rsidP="00F8723B">
      <w:pPr>
        <w:pStyle w:val="Normlndobloku"/>
      </w:pPr>
      <w:r w:rsidRPr="00EA7DCD">
        <w:rPr>
          <w:i/>
        </w:rPr>
        <w:t>Kofeín</w:t>
      </w:r>
      <w:r w:rsidR="00F64A65" w:rsidRPr="00EA7DCD">
        <w:rPr>
          <w:i/>
        </w:rPr>
        <w:t>:</w:t>
      </w:r>
      <w:r w:rsidRPr="00EA7DCD">
        <w:t xml:space="preserve"> Norfloxacín interferuje s</w:t>
      </w:r>
      <w:r w:rsidR="001B5918" w:rsidRPr="00EA7DCD">
        <w:t> </w:t>
      </w:r>
      <w:r w:rsidRPr="00EA7DCD">
        <w:t>kofeínovým metabolizmom, čo spôsobuje zníženie kofeínového klírensu a</w:t>
      </w:r>
      <w:r w:rsidR="001B5918" w:rsidRPr="00EA7DCD">
        <w:t> </w:t>
      </w:r>
      <w:r w:rsidRPr="00EA7DCD">
        <w:t>predĺženie polčasu kofeínu.</w:t>
      </w:r>
    </w:p>
    <w:p w14:paraId="376716B5" w14:textId="77777777" w:rsidR="00AE0CBE" w:rsidRPr="00EA7DCD" w:rsidRDefault="00AE0CBE" w:rsidP="00F8723B">
      <w:pPr>
        <w:pStyle w:val="Normlndobloku"/>
      </w:pPr>
    </w:p>
    <w:p w14:paraId="08DEF3B3" w14:textId="77777777" w:rsidR="00AE0CBE" w:rsidRPr="00EA7DCD" w:rsidRDefault="00FD04A3" w:rsidP="00F8723B">
      <w:pPr>
        <w:pStyle w:val="Normlndobloku"/>
      </w:pPr>
      <w:r w:rsidRPr="00EA7DCD">
        <w:rPr>
          <w:i/>
        </w:rPr>
        <w:t>Cyklosporín</w:t>
      </w:r>
      <w:r w:rsidR="00F64A65" w:rsidRPr="00EA7DCD">
        <w:rPr>
          <w:i/>
        </w:rPr>
        <w:t>:</w:t>
      </w:r>
      <w:r w:rsidRPr="00EA7DCD">
        <w:t xml:space="preserve"> Súčasne podávaný s</w:t>
      </w:r>
      <w:r w:rsidR="001B5918" w:rsidRPr="00EA7DCD">
        <w:t> </w:t>
      </w:r>
      <w:r w:rsidRPr="00EA7DCD">
        <w:t>norfloxacínom spôsobuje zvýšenie plazmatických hladín cyklosporínu. Hladiny cyklosporínu sa majú monitorovať s</w:t>
      </w:r>
      <w:r w:rsidR="001B5918" w:rsidRPr="00EA7DCD">
        <w:t> </w:t>
      </w:r>
      <w:r w:rsidRPr="00EA7DCD">
        <w:t>primeranou úpravou dávkovania.</w:t>
      </w:r>
    </w:p>
    <w:p w14:paraId="6C37DA9D" w14:textId="77777777" w:rsidR="00AE0CBE" w:rsidRPr="00EA7DCD" w:rsidRDefault="00AE0CBE" w:rsidP="00F8723B">
      <w:pPr>
        <w:pStyle w:val="Normlndobloku"/>
      </w:pPr>
    </w:p>
    <w:p w14:paraId="35CAA8E7" w14:textId="77777777" w:rsidR="00AE0CBE" w:rsidRPr="00EA7DCD" w:rsidRDefault="00FD04A3" w:rsidP="00F8723B">
      <w:pPr>
        <w:pStyle w:val="Normlndobloku"/>
      </w:pPr>
      <w:r w:rsidRPr="00EA7DCD">
        <w:rPr>
          <w:i/>
        </w:rPr>
        <w:t>Fenbufén</w:t>
      </w:r>
      <w:r w:rsidR="00F64A65" w:rsidRPr="00EA7DCD">
        <w:rPr>
          <w:i/>
        </w:rPr>
        <w:t>:</w:t>
      </w:r>
      <w:r w:rsidRPr="00EA7DCD">
        <w:t xml:space="preserve"> Podávanie spolu s</w:t>
      </w:r>
      <w:r w:rsidR="001B5918" w:rsidRPr="00EA7DCD">
        <w:t> </w:t>
      </w:r>
      <w:r w:rsidRPr="00EA7DCD">
        <w:t>chinolónmi viedlo u</w:t>
      </w:r>
      <w:r w:rsidR="001B5918" w:rsidRPr="00EA7DCD">
        <w:t> </w:t>
      </w:r>
      <w:r w:rsidRPr="00EA7DCD">
        <w:t>zvierat k</w:t>
      </w:r>
      <w:r w:rsidR="001B5918" w:rsidRPr="00EA7DCD">
        <w:t> </w:t>
      </w:r>
      <w:r w:rsidRPr="00EA7DCD">
        <w:t>výskytu kŕčov. Používanie tejto kombinácie je zakázané.</w:t>
      </w:r>
    </w:p>
    <w:p w14:paraId="3ABE871A" w14:textId="77777777" w:rsidR="00AE0CBE" w:rsidRPr="00EA7DCD" w:rsidRDefault="00AE0CBE" w:rsidP="00F8723B">
      <w:pPr>
        <w:pStyle w:val="Normlndobloku"/>
      </w:pPr>
    </w:p>
    <w:p w14:paraId="3A51BA7A" w14:textId="77777777" w:rsidR="00AE0CBE" w:rsidRPr="00EA7DCD" w:rsidRDefault="00FD04A3" w:rsidP="00F8723B">
      <w:pPr>
        <w:pStyle w:val="Normlndobloku"/>
      </w:pPr>
      <w:r w:rsidRPr="00EA7DCD">
        <w:rPr>
          <w:i/>
        </w:rPr>
        <w:t>Železo:</w:t>
      </w:r>
      <w:r w:rsidRPr="00EA7DCD">
        <w:t xml:space="preserve"> Látky obsahujúce železo sa nesmú podávať súčasne alebo do dvoch hodín pred užitím alebo dve hodiny po užití norfloxacínu, pretože ovplyvňujú absorpciu a</w:t>
      </w:r>
      <w:r w:rsidR="001B5918" w:rsidRPr="00EA7DCD">
        <w:t> </w:t>
      </w:r>
      <w:r w:rsidRPr="00EA7DCD">
        <w:t>znižujú sérovo/močovú hladinu norfloxacínu.</w:t>
      </w:r>
    </w:p>
    <w:p w14:paraId="6C6B9F7A" w14:textId="77777777" w:rsidR="00AE0CBE" w:rsidRPr="00EA7DCD" w:rsidRDefault="00AE0CBE" w:rsidP="00F8723B">
      <w:pPr>
        <w:pStyle w:val="Normlndobloku"/>
      </w:pPr>
    </w:p>
    <w:p w14:paraId="77D1FE42" w14:textId="77777777" w:rsidR="00AE0CBE" w:rsidRPr="00EA7DCD" w:rsidRDefault="00FD04A3" w:rsidP="00F8723B">
      <w:pPr>
        <w:pStyle w:val="Normlndobloku"/>
      </w:pPr>
      <w:r w:rsidRPr="00EA7DCD">
        <w:rPr>
          <w:i/>
        </w:rPr>
        <w:t>Multivitamíny</w:t>
      </w:r>
      <w:r w:rsidR="00F64A65" w:rsidRPr="00EA7DCD">
        <w:rPr>
          <w:i/>
        </w:rPr>
        <w:t>:</w:t>
      </w:r>
      <w:r w:rsidRPr="00EA7DCD">
        <w:t xml:space="preserve"> Nesmú sa podávať súčasne alebo do dvoch hodín pred užitím alebo dve hodiny po užití norfloxacínu, pretože interferujú s</w:t>
      </w:r>
      <w:r w:rsidR="001B5918" w:rsidRPr="00EA7DCD">
        <w:t> </w:t>
      </w:r>
      <w:r w:rsidRPr="00EA7DCD">
        <w:t>jeho absorpciou a</w:t>
      </w:r>
      <w:r w:rsidR="001B5918" w:rsidRPr="00EA7DCD">
        <w:t> </w:t>
      </w:r>
      <w:r w:rsidRPr="00EA7DCD">
        <w:t>znižujú sérovú/močovú hladinu norfloxacínu.</w:t>
      </w:r>
    </w:p>
    <w:p w14:paraId="4E141C64" w14:textId="77777777" w:rsidR="00AE0CBE" w:rsidRPr="00EA7DCD" w:rsidRDefault="00AE0CBE" w:rsidP="00F8723B">
      <w:pPr>
        <w:pStyle w:val="Normlndobloku"/>
      </w:pPr>
    </w:p>
    <w:p w14:paraId="74921040" w14:textId="77777777" w:rsidR="00AE0CBE" w:rsidRPr="00EA7DCD" w:rsidRDefault="00FD04A3" w:rsidP="00F8723B">
      <w:pPr>
        <w:pStyle w:val="Normlndobloku"/>
      </w:pPr>
      <w:r w:rsidRPr="00EA7DCD">
        <w:rPr>
          <w:i/>
        </w:rPr>
        <w:t>Nitrofurantoín</w:t>
      </w:r>
      <w:r w:rsidR="00F64A65" w:rsidRPr="00EA7DCD">
        <w:rPr>
          <w:i/>
        </w:rPr>
        <w:t>:</w:t>
      </w:r>
      <w:r w:rsidRPr="00EA7DCD">
        <w:t xml:space="preserve"> </w:t>
      </w:r>
      <w:r w:rsidR="00A64E61" w:rsidRPr="00EA7DCD">
        <w:rPr>
          <w:i/>
        </w:rPr>
        <w:t>in vitro</w:t>
      </w:r>
      <w:r w:rsidR="00F64A65" w:rsidRPr="00EA7DCD">
        <w:t xml:space="preserve"> </w:t>
      </w:r>
      <w:r w:rsidRPr="00EA7DCD">
        <w:t>sa dokumentoval antagonizmus.</w:t>
      </w:r>
    </w:p>
    <w:p w14:paraId="228664FB" w14:textId="77777777" w:rsidR="00AE0CBE" w:rsidRPr="00EA7DCD" w:rsidRDefault="00AE0CBE" w:rsidP="00F8723B">
      <w:pPr>
        <w:pStyle w:val="Normlndobloku"/>
      </w:pPr>
    </w:p>
    <w:p w14:paraId="18DCC33C" w14:textId="77777777" w:rsidR="00AE0CBE" w:rsidRPr="00EA7DCD" w:rsidRDefault="00FD04A3" w:rsidP="00F8723B">
      <w:pPr>
        <w:pStyle w:val="Normlndobloku"/>
      </w:pPr>
      <w:r w:rsidRPr="00EA7DCD">
        <w:rPr>
          <w:i/>
        </w:rPr>
        <w:t>Probenecid:</w:t>
      </w:r>
      <w:r w:rsidRPr="00EA7DCD">
        <w:t xml:space="preserve"> Sérová hladina norfloxacínu pri súčasnom podávaní probenecidu nie je ovplyvnená, ale poklesla jeho močová exkrécia.</w:t>
      </w:r>
    </w:p>
    <w:p w14:paraId="683A844D" w14:textId="77777777" w:rsidR="00AE0CBE" w:rsidRPr="00EA7DCD" w:rsidRDefault="00AE0CBE" w:rsidP="00F8723B">
      <w:pPr>
        <w:pStyle w:val="Normlndobloku"/>
      </w:pPr>
    </w:p>
    <w:p w14:paraId="27F25DF5" w14:textId="77777777" w:rsidR="00AE0CBE" w:rsidRPr="00EA7DCD" w:rsidRDefault="00FD04A3" w:rsidP="00F8723B">
      <w:pPr>
        <w:pStyle w:val="Normlndobloku"/>
      </w:pPr>
      <w:r w:rsidRPr="00EA7DCD">
        <w:rPr>
          <w:i/>
        </w:rPr>
        <w:t>Sukralfát</w:t>
      </w:r>
      <w:r w:rsidR="00F64A65" w:rsidRPr="00EA7DCD">
        <w:rPr>
          <w:i/>
        </w:rPr>
        <w:t>:</w:t>
      </w:r>
      <w:r w:rsidRPr="00EA7DCD">
        <w:t xml:space="preserve"> Nemajú sa podávať súčasne alebo do dvoch hodín pred užitím alebo dve hodiny po užití norfloxacínu, pretože interferujú jeho absorpciu a</w:t>
      </w:r>
      <w:r w:rsidR="001B5918" w:rsidRPr="00EA7DCD">
        <w:t> </w:t>
      </w:r>
      <w:r w:rsidRPr="00EA7DCD">
        <w:t>znižujú sérovú/močovú hladinu norfloxacínu.</w:t>
      </w:r>
    </w:p>
    <w:p w14:paraId="180B4DA2" w14:textId="77777777" w:rsidR="00AE0CBE" w:rsidRPr="00EA7DCD" w:rsidRDefault="00AE0CBE" w:rsidP="00F8723B">
      <w:pPr>
        <w:pStyle w:val="Normlndobloku"/>
      </w:pPr>
    </w:p>
    <w:p w14:paraId="04ADFA3A" w14:textId="77777777" w:rsidR="00AE0CBE" w:rsidRPr="00EA7DCD" w:rsidRDefault="00FD04A3" w:rsidP="00F8723B">
      <w:pPr>
        <w:pStyle w:val="Normlndobloku"/>
      </w:pPr>
      <w:r w:rsidRPr="00EA7DCD">
        <w:rPr>
          <w:i/>
        </w:rPr>
        <w:t>Teofylín:</w:t>
      </w:r>
      <w:r w:rsidRPr="00EA7DCD">
        <w:t xml:space="preserve"> Súčasná liečba môže viesť k</w:t>
      </w:r>
      <w:r w:rsidR="001B5918" w:rsidRPr="00EA7DCD">
        <w:t> </w:t>
      </w:r>
      <w:r w:rsidRPr="00EA7DCD">
        <w:t>zvýšeniu hladiny teofylínu a</w:t>
      </w:r>
      <w:r w:rsidR="001B5918" w:rsidRPr="00EA7DCD">
        <w:t> </w:t>
      </w:r>
      <w:r w:rsidRPr="00EA7DCD">
        <w:t>tým nežiaducich účinkov, preto sa musia hladiny teofylínu monitorovať a</w:t>
      </w:r>
      <w:r w:rsidR="001B5918" w:rsidRPr="00EA7DCD">
        <w:t> </w:t>
      </w:r>
      <w:r w:rsidRPr="00EA7DCD">
        <w:t>dávka upravovať podľa potreby.</w:t>
      </w:r>
    </w:p>
    <w:p w14:paraId="2165234B" w14:textId="77777777" w:rsidR="00AE0CBE" w:rsidRPr="00EA7DCD" w:rsidRDefault="00AE0CBE" w:rsidP="00F8723B">
      <w:pPr>
        <w:pStyle w:val="Normlndobloku"/>
      </w:pPr>
    </w:p>
    <w:p w14:paraId="4007ABC5" w14:textId="77777777" w:rsidR="00AE0CBE" w:rsidRPr="00EA7DCD" w:rsidRDefault="00FD04A3" w:rsidP="00F8723B">
      <w:pPr>
        <w:pStyle w:val="Normlndobloku"/>
      </w:pPr>
      <w:r w:rsidRPr="00EA7DCD">
        <w:rPr>
          <w:i/>
        </w:rPr>
        <w:lastRenderedPageBreak/>
        <w:t>Warfarín</w:t>
      </w:r>
      <w:r w:rsidR="00F64A65" w:rsidRPr="00EA7DCD">
        <w:rPr>
          <w:i/>
        </w:rPr>
        <w:t>:</w:t>
      </w:r>
      <w:r w:rsidRPr="00EA7DCD">
        <w:t xml:space="preserve"> Norfloxacín môže signifikantne zvýšiť antikoagulačný efekt warfarínu alebo jeho derivátov kvôli jeho vytesňovaniu zo sérových väzbových miest. Ak je potrebná súčasná liečba, protrombínový čas alebo iné koagulačné testy sa musia kontrolovať a v prípade potreby upraviť dávkovanie.</w:t>
      </w:r>
    </w:p>
    <w:p w14:paraId="01556EE6" w14:textId="77777777" w:rsidR="00AE0CBE" w:rsidRPr="00EA7DCD" w:rsidRDefault="00AE0CBE" w:rsidP="00F8723B">
      <w:pPr>
        <w:pStyle w:val="Normlndobloku"/>
      </w:pPr>
    </w:p>
    <w:p w14:paraId="458C2839" w14:textId="77777777" w:rsidR="00AE0CBE" w:rsidRPr="00EA7DCD" w:rsidRDefault="00FD04A3" w:rsidP="00F8723B">
      <w:pPr>
        <w:pStyle w:val="Normlndobloku"/>
      </w:pPr>
      <w:r w:rsidRPr="00EA7DCD">
        <w:rPr>
          <w:i/>
        </w:rPr>
        <w:t>Zinok:</w:t>
      </w:r>
      <w:r w:rsidRPr="00EA7DCD">
        <w:t xml:space="preserve"> Látky obsahujúce zinok sa nesmú podávať súčasne alebo do dvoch hodín pred užitím alebo dve hodiny po užití norfloxacínu, pretože ovplyvňujú absorpciu a</w:t>
      </w:r>
      <w:r w:rsidR="001B5918" w:rsidRPr="00EA7DCD">
        <w:t> </w:t>
      </w:r>
      <w:r w:rsidRPr="00EA7DCD">
        <w:t>znižujú sérovo/močovú hladinu norfloxacínu.</w:t>
      </w:r>
    </w:p>
    <w:p w14:paraId="2CEFF52A" w14:textId="77777777" w:rsidR="00AE0CBE" w:rsidRPr="00EA7DCD" w:rsidRDefault="00AE0CBE" w:rsidP="00F8723B">
      <w:pPr>
        <w:pStyle w:val="Normlndobloku"/>
      </w:pPr>
    </w:p>
    <w:p w14:paraId="0C9D2520" w14:textId="77777777" w:rsidR="00AE0CBE" w:rsidRPr="00EA7DCD" w:rsidRDefault="00732313">
      <w:pPr>
        <w:pStyle w:val="Styl2"/>
      </w:pPr>
      <w:r w:rsidRPr="00EA7DCD">
        <w:t>Fertilita, g</w:t>
      </w:r>
      <w:r w:rsidR="00FD04A3" w:rsidRPr="00EA7DCD">
        <w:t>ravidita a</w:t>
      </w:r>
      <w:r w:rsidR="001B5918" w:rsidRPr="00EA7DCD">
        <w:t> </w:t>
      </w:r>
      <w:r w:rsidR="00FD04A3" w:rsidRPr="00EA7DCD">
        <w:t>laktácia</w:t>
      </w:r>
    </w:p>
    <w:p w14:paraId="03A60070" w14:textId="77777777" w:rsidR="00AE0CBE" w:rsidRPr="00EA7DCD" w:rsidRDefault="00AE0CBE" w:rsidP="00E43482">
      <w:pPr>
        <w:pStyle w:val="Styl3"/>
      </w:pPr>
    </w:p>
    <w:p w14:paraId="126B8AED" w14:textId="77777777" w:rsidR="00AE0CBE" w:rsidRPr="00EA7DCD" w:rsidRDefault="00606BEF" w:rsidP="00E43482">
      <w:pPr>
        <w:pStyle w:val="Styl3"/>
      </w:pPr>
      <w:r w:rsidRPr="00EA7DCD">
        <w:t>Gravidita</w:t>
      </w:r>
    </w:p>
    <w:p w14:paraId="42BD6F74" w14:textId="77777777" w:rsidR="00AE0CBE" w:rsidRPr="00EA7DCD" w:rsidRDefault="00496023" w:rsidP="00F8723B">
      <w:pPr>
        <w:pStyle w:val="Normlndobloku"/>
      </w:pPr>
      <w:r w:rsidRPr="00EA7DCD">
        <w:t>GYRABLOCK 400 mg sa ne</w:t>
      </w:r>
      <w:r w:rsidR="00E360AB" w:rsidRPr="00EA7DCD">
        <w:t>odporúča</w:t>
      </w:r>
      <w:r w:rsidRPr="00EA7DCD">
        <w:t xml:space="preserve"> užívať počas gravidity, n</w:t>
      </w:r>
      <w:r w:rsidR="00FD04A3" w:rsidRPr="00EA7DCD">
        <w:t xml:space="preserve">akoľko </w:t>
      </w:r>
      <w:r w:rsidRPr="00EA7DCD">
        <w:t>údaje o</w:t>
      </w:r>
      <w:r w:rsidR="00FD04A3" w:rsidRPr="00EA7DCD">
        <w:t xml:space="preserve"> bezpečnosti používania lieku </w:t>
      </w:r>
      <w:r w:rsidR="00DD3668" w:rsidRPr="00EA7DCD">
        <w:t xml:space="preserve">počas </w:t>
      </w:r>
      <w:r w:rsidR="00E360AB" w:rsidRPr="00EA7DCD">
        <w:t>gravidit</w:t>
      </w:r>
      <w:r w:rsidR="00DD3668" w:rsidRPr="00EA7DCD">
        <w:t>y</w:t>
      </w:r>
      <w:r w:rsidR="00E360AB" w:rsidRPr="00EA7DCD">
        <w:t xml:space="preserve"> nie sú dostatočné</w:t>
      </w:r>
      <w:r w:rsidR="00FD04A3" w:rsidRPr="00EA7DCD">
        <w:t>.</w:t>
      </w:r>
    </w:p>
    <w:p w14:paraId="7869884F" w14:textId="77777777" w:rsidR="00AE0CBE" w:rsidRPr="00EA7DCD" w:rsidRDefault="00AE0CBE" w:rsidP="00F8723B">
      <w:pPr>
        <w:pStyle w:val="Normlndobloku"/>
      </w:pPr>
    </w:p>
    <w:p w14:paraId="039F305F" w14:textId="77777777" w:rsidR="00AE0CBE" w:rsidRPr="00EA7DCD" w:rsidRDefault="00606BEF" w:rsidP="00E43482">
      <w:pPr>
        <w:pStyle w:val="Styl3"/>
      </w:pPr>
      <w:r w:rsidRPr="00EA7DCD">
        <w:t>Dojčenie</w:t>
      </w:r>
    </w:p>
    <w:p w14:paraId="0D0F4EC2" w14:textId="77777777" w:rsidR="00AE0CBE" w:rsidRPr="00EA7DCD" w:rsidRDefault="00FD04A3" w:rsidP="00F8723B">
      <w:pPr>
        <w:pStyle w:val="Normlndobloku"/>
      </w:pPr>
      <w:r w:rsidRPr="00EA7DCD">
        <w:t xml:space="preserve">Nie sú dostatočné </w:t>
      </w:r>
      <w:r w:rsidR="00DD3668" w:rsidRPr="00EA7DCD">
        <w:t xml:space="preserve">informácie </w:t>
      </w:r>
      <w:r w:rsidRPr="00EA7DCD">
        <w:t xml:space="preserve">o vylučovaní norfloxacínu </w:t>
      </w:r>
      <w:r w:rsidR="00DD3668" w:rsidRPr="00EA7DCD">
        <w:t>do ľudského</w:t>
      </w:r>
      <w:r w:rsidRPr="00EA7DCD">
        <w:t xml:space="preserve"> </w:t>
      </w:r>
      <w:r w:rsidR="00DD3668" w:rsidRPr="00EA7DCD">
        <w:t>mlieka</w:t>
      </w:r>
      <w:r w:rsidRPr="00EA7DCD">
        <w:t>, a</w:t>
      </w:r>
      <w:r w:rsidR="001B5918" w:rsidRPr="00EA7DCD">
        <w:t> </w:t>
      </w:r>
      <w:r w:rsidRPr="00EA7DCD">
        <w:t xml:space="preserve">preto </w:t>
      </w:r>
      <w:r w:rsidR="00DD3668" w:rsidRPr="00EA7DCD">
        <w:t xml:space="preserve">sa </w:t>
      </w:r>
      <w:r w:rsidRPr="00EA7DCD">
        <w:t>užívanie počas dojčenia neodporúča.</w:t>
      </w:r>
    </w:p>
    <w:p w14:paraId="58011AE0" w14:textId="77777777" w:rsidR="00AE0CBE" w:rsidRPr="00EA7DCD" w:rsidRDefault="00AE0CBE" w:rsidP="00F8723B">
      <w:pPr>
        <w:pStyle w:val="Normlndobloku"/>
      </w:pPr>
    </w:p>
    <w:p w14:paraId="6C4490AA" w14:textId="77777777" w:rsidR="00AE0CBE" w:rsidRPr="00EA7DCD" w:rsidRDefault="00FD04A3">
      <w:pPr>
        <w:pStyle w:val="Styl2"/>
      </w:pPr>
      <w:r w:rsidRPr="00EA7DCD">
        <w:t>Ovplyvnenie schopnosti viesť vozidlá a obsluhovať stroje</w:t>
      </w:r>
    </w:p>
    <w:p w14:paraId="1D6EB4E8" w14:textId="77777777" w:rsidR="00DD3668" w:rsidRPr="00EA7DCD" w:rsidRDefault="00DD3668" w:rsidP="00F8723B">
      <w:pPr>
        <w:pStyle w:val="Normlndobloku"/>
      </w:pPr>
    </w:p>
    <w:p w14:paraId="3B1EF888" w14:textId="77777777" w:rsidR="00AE0CBE" w:rsidRPr="00EA7DCD" w:rsidRDefault="00C77947" w:rsidP="00F8723B">
      <w:pPr>
        <w:pStyle w:val="Normlndobloku"/>
      </w:pPr>
      <w:r w:rsidRPr="00EA7DCD">
        <w:t>K dispozícii nie sú</w:t>
      </w:r>
      <w:r w:rsidR="00FD04A3" w:rsidRPr="00EA7DCD">
        <w:t xml:space="preserve"> údaje o</w:t>
      </w:r>
      <w:r w:rsidR="001B5918" w:rsidRPr="00EA7DCD">
        <w:t> </w:t>
      </w:r>
      <w:r w:rsidRPr="00EA7DCD">
        <w:t>konkrétnom</w:t>
      </w:r>
      <w:r w:rsidR="00FD04A3" w:rsidRPr="00EA7DCD">
        <w:t xml:space="preserve"> ovplyvnení liekom. Niektorí pacienti môžu mať skúsenosti so závratmi alebo podobnými nežiaducimi účinkami. Pacienti </w:t>
      </w:r>
      <w:r w:rsidR="001B5918" w:rsidRPr="00EA7DCD">
        <w:t>musia byť upozornení</w:t>
      </w:r>
      <w:r w:rsidR="00FD04A3" w:rsidRPr="00EA7DCD">
        <w:t>, aby neviedli motorové vozidlo a</w:t>
      </w:r>
      <w:r w:rsidR="001B5918" w:rsidRPr="00EA7DCD">
        <w:t> </w:t>
      </w:r>
      <w:r w:rsidR="00FD04A3" w:rsidRPr="00EA7DCD">
        <w:t>neobsluhovali stroje, ak sú ovplyvnení účinkom lieku.</w:t>
      </w:r>
    </w:p>
    <w:p w14:paraId="2E31417D" w14:textId="77777777" w:rsidR="00AE0CBE" w:rsidRPr="00EA7DCD" w:rsidRDefault="00AE0CBE" w:rsidP="00F8723B">
      <w:pPr>
        <w:pStyle w:val="Normlndobloku"/>
      </w:pPr>
    </w:p>
    <w:p w14:paraId="32AA2836" w14:textId="77777777" w:rsidR="00AE0CBE" w:rsidRPr="00EA7DCD" w:rsidRDefault="00FD04A3">
      <w:pPr>
        <w:pStyle w:val="Styl2"/>
      </w:pPr>
      <w:r w:rsidRPr="00EA7DCD">
        <w:t>Nežiaduce účinky</w:t>
      </w:r>
    </w:p>
    <w:p w14:paraId="4B92633E" w14:textId="77777777" w:rsidR="00CB52C3" w:rsidRPr="00EA7DCD" w:rsidRDefault="00CB52C3" w:rsidP="00F8723B">
      <w:pPr>
        <w:pStyle w:val="Normlndobloku"/>
      </w:pPr>
    </w:p>
    <w:p w14:paraId="674E5980" w14:textId="01111A88" w:rsidR="00AE0CBE" w:rsidRPr="00EA7DCD" w:rsidRDefault="00CB52C3" w:rsidP="00F8723B">
      <w:pPr>
        <w:pStyle w:val="Normlndobloku"/>
      </w:pPr>
      <w:r w:rsidRPr="00EA7DCD">
        <w:t>N</w:t>
      </w:r>
      <w:r w:rsidR="00FD04A3" w:rsidRPr="00EA7DCD">
        <w:t>ajčastejšími nežiaducimi účinkami boli gastrointestinálne, neuropsychiatrické a kožné reakcie a zahŕňali nauzeu, bolesť hlavy, závrat, vyrážku, pálenie záhy, bolesť brucha/kŕče a hnačku.</w:t>
      </w:r>
    </w:p>
    <w:p w14:paraId="43CC74DE" w14:textId="77777777" w:rsidR="00AE0CBE" w:rsidRPr="00EA7DCD" w:rsidRDefault="00AE0CBE" w:rsidP="00F8723B">
      <w:pPr>
        <w:pStyle w:val="Normlndobloku"/>
      </w:pPr>
    </w:p>
    <w:p w14:paraId="15AC3BAC" w14:textId="77777777" w:rsidR="00FD04A3" w:rsidRPr="00EA7DCD" w:rsidRDefault="00FD04A3" w:rsidP="00F8723B">
      <w:pPr>
        <w:pStyle w:val="Normlndobloku"/>
      </w:pPr>
      <w:r w:rsidRPr="00EA7DCD">
        <w:t>Menej často sa vyskytovalo nechutenstvo, poruchy spánku, depresia, úzkosť/nervozita, podráždenosť, eufória, dezorientácia, halucinácia, tinnitus a epifora.</w:t>
      </w:r>
    </w:p>
    <w:p w14:paraId="0B79F2DB" w14:textId="77777777" w:rsidR="00476C6E" w:rsidRPr="00EA7DCD" w:rsidRDefault="00476C6E" w:rsidP="00F8723B">
      <w:pPr>
        <w:pStyle w:val="Normlndobloku"/>
      </w:pPr>
    </w:p>
    <w:p w14:paraId="606665F7" w14:textId="77777777" w:rsidR="00FD04A3" w:rsidRPr="00EA7DCD" w:rsidRDefault="00F64A65" w:rsidP="00F8723B">
      <w:pPr>
        <w:pStyle w:val="Normlndobloku"/>
      </w:pPr>
      <w:r w:rsidRPr="00EA7DCD">
        <w:rPr>
          <w:u w:val="single"/>
        </w:rPr>
        <w:t>Laboratórne a funkčné vyšetrenia:</w:t>
      </w:r>
      <w:r w:rsidR="00606BEF" w:rsidRPr="00EA7DCD">
        <w:t xml:space="preserve"> a</w:t>
      </w:r>
      <w:r w:rsidR="00FD04A3" w:rsidRPr="00EA7DCD">
        <w:t>bnormálne laboratórne nežiaduce účinky pozorované počas klinických štúdií boli: leukopénia, zvýšenie ALT, AST, eozinofília, neutropénia, trombocytopénia</w:t>
      </w:r>
    </w:p>
    <w:p w14:paraId="674C79FA" w14:textId="77777777" w:rsidR="00CB52C3" w:rsidRPr="00EA7DCD" w:rsidRDefault="00CB52C3" w:rsidP="00F8723B">
      <w:pPr>
        <w:pStyle w:val="Normlndobloku"/>
      </w:pPr>
    </w:p>
    <w:p w14:paraId="5362AD97" w14:textId="31B0D0F1" w:rsidR="00FD04A3" w:rsidRPr="00EA7DCD" w:rsidRDefault="00FD04A3" w:rsidP="00F8723B">
      <w:pPr>
        <w:pStyle w:val="Normlndobloku"/>
      </w:pPr>
      <w:r w:rsidRPr="00EA7DCD">
        <w:t>Počas rozsiahlejšieho používania sa zaznamenali nasledovné nežiaduce účinky:</w:t>
      </w:r>
    </w:p>
    <w:p w14:paraId="0BAA532C" w14:textId="77777777" w:rsidR="00476C6E" w:rsidRPr="00EA7DCD" w:rsidRDefault="00476C6E" w:rsidP="00F8723B">
      <w:pPr>
        <w:pStyle w:val="Normlndobloku"/>
      </w:pPr>
    </w:p>
    <w:p w14:paraId="2045863E" w14:textId="08337700" w:rsidR="00FD04A3" w:rsidRPr="00EA7DCD" w:rsidRDefault="0098708B" w:rsidP="00F8723B">
      <w:pPr>
        <w:pStyle w:val="Normlndobloku"/>
      </w:pPr>
      <w:r w:rsidRPr="00EA7DCD">
        <w:rPr>
          <w:u w:val="single"/>
        </w:rPr>
        <w:t>Celkové poruchy a reakcie v mieste podania*</w:t>
      </w:r>
      <w:r w:rsidR="00F64A65" w:rsidRPr="00EA7DCD">
        <w:rPr>
          <w:u w:val="single"/>
        </w:rPr>
        <w:t>:</w:t>
      </w:r>
      <w:r w:rsidR="00FD04A3" w:rsidRPr="00EA7DCD">
        <w:t xml:space="preserve"> hypersenzitívne reakcie vrátane anafylaxie, angioedému, dyspnoe, vaskulitídy, urtikárie, artritídy, myalgie, artralgie a intersticiálnej nefritídy</w:t>
      </w:r>
    </w:p>
    <w:p w14:paraId="263BC866" w14:textId="77777777" w:rsidR="00476C6E" w:rsidRPr="00EA7DCD" w:rsidRDefault="00476C6E" w:rsidP="00F8723B">
      <w:pPr>
        <w:pStyle w:val="Normlndobloku"/>
      </w:pPr>
    </w:p>
    <w:p w14:paraId="5E83BCA8" w14:textId="77777777" w:rsidR="00FD04A3" w:rsidRPr="00EA7DCD" w:rsidRDefault="00F64A65" w:rsidP="00F8723B">
      <w:pPr>
        <w:pStyle w:val="Normlndobloku"/>
      </w:pPr>
      <w:r w:rsidRPr="00EA7DCD">
        <w:rPr>
          <w:u w:val="single"/>
        </w:rPr>
        <w:t>Poruchy gastrointestinálneho traktu</w:t>
      </w:r>
      <w:r w:rsidRPr="00EA7DCD">
        <w:t>:</w:t>
      </w:r>
      <w:r w:rsidR="00FD04A3" w:rsidRPr="00EA7DCD">
        <w:t xml:space="preserve"> pseudomembranózna kolitída, zriedkavo pankreatitída, hepatitída, žltačka vrátane cholestatickej žltačky a zvýšenie hodnôt pečeňových enzýmov</w:t>
      </w:r>
      <w:r w:rsidR="007F6A58" w:rsidRPr="00EA7DCD">
        <w:t>, dysgeúzia</w:t>
      </w:r>
    </w:p>
    <w:p w14:paraId="7EE95D6F" w14:textId="77777777" w:rsidR="00476C6E" w:rsidRPr="00EA7DCD" w:rsidRDefault="00476C6E" w:rsidP="00F8723B">
      <w:pPr>
        <w:pStyle w:val="Normlndobloku"/>
      </w:pPr>
    </w:p>
    <w:p w14:paraId="59B25473" w14:textId="0B2CA901" w:rsidR="00B014F1" w:rsidRPr="00EA7DCD" w:rsidRDefault="00B014F1" w:rsidP="00F8723B">
      <w:pPr>
        <w:pStyle w:val="Normlndobloku"/>
      </w:pPr>
      <w:r w:rsidRPr="00EA7DCD">
        <w:rPr>
          <w:u w:val="single"/>
        </w:rPr>
        <w:t>Poruchy endokrinného systému</w:t>
      </w:r>
      <w:r w:rsidRPr="00EA7DCD">
        <w:t xml:space="preserve">: </w:t>
      </w:r>
      <w:r w:rsidR="00E973AF" w:rsidRPr="00EA7DCD">
        <w:t xml:space="preserve">frekvencia neznáma - </w:t>
      </w:r>
      <w:r w:rsidRPr="00EA7DCD">
        <w:t>syndróm neprimeranej sekrécie antidiuretického hormónu (syndrome of inappropriate secretion of antidiuretic hormone, SIADH)</w:t>
      </w:r>
      <w:r w:rsidR="00CB52C3" w:rsidRPr="00EA7DCD" w:rsidDel="00CB52C3">
        <w:t xml:space="preserve"> </w:t>
      </w:r>
    </w:p>
    <w:p w14:paraId="295E93A0" w14:textId="67CF78CC" w:rsidR="00B014F1" w:rsidRPr="00EA7DCD" w:rsidRDefault="00B014F1" w:rsidP="00F8723B">
      <w:pPr>
        <w:pStyle w:val="Normlndobloku"/>
      </w:pPr>
    </w:p>
    <w:p w14:paraId="1D5A1F00" w14:textId="35D6C116" w:rsidR="00B72CD0" w:rsidRPr="00EA7DCD" w:rsidRDefault="00B72CD0" w:rsidP="00F8723B">
      <w:pPr>
        <w:pStyle w:val="Normlndobloku"/>
      </w:pPr>
      <w:r w:rsidRPr="00EA7DCD">
        <w:rPr>
          <w:u w:val="single"/>
        </w:rPr>
        <w:t>Poruchy metabolizmu a výživy</w:t>
      </w:r>
      <w:r w:rsidRPr="00EA7DCD">
        <w:t>:</w:t>
      </w:r>
      <w:r w:rsidR="00297848" w:rsidRPr="00EA7DCD">
        <w:t xml:space="preserve"> frekvencia výskytu je neznáma - </w:t>
      </w:r>
      <w:r w:rsidRPr="00EA7DCD">
        <w:t>hypoglykemická kóma (po</w:t>
      </w:r>
      <w:r w:rsidR="001C7533" w:rsidRPr="00EA7DCD">
        <w:t>z</w:t>
      </w:r>
      <w:r w:rsidRPr="00EA7DCD">
        <w:t xml:space="preserve">ri časť 4.4) </w:t>
      </w:r>
    </w:p>
    <w:p w14:paraId="3B77059B" w14:textId="77777777" w:rsidR="00834587" w:rsidRPr="00EA7DCD" w:rsidRDefault="00834587" w:rsidP="00F8723B">
      <w:pPr>
        <w:pStyle w:val="Normlndobloku"/>
      </w:pPr>
    </w:p>
    <w:p w14:paraId="2C521E6B" w14:textId="77777777" w:rsidR="00FD04A3" w:rsidRPr="00EA7DCD" w:rsidRDefault="00F64A65" w:rsidP="00F8723B">
      <w:pPr>
        <w:pStyle w:val="Normlndobloku"/>
      </w:pPr>
      <w:r w:rsidRPr="00EA7DCD">
        <w:rPr>
          <w:u w:val="single"/>
        </w:rPr>
        <w:t>Poruchy kostrovej a svalovej sústavy a spojivového tkaniva</w:t>
      </w:r>
      <w:r w:rsidR="0098708B" w:rsidRPr="00EA7DCD">
        <w:rPr>
          <w:u w:val="single"/>
        </w:rPr>
        <w:t>*</w:t>
      </w:r>
      <w:r w:rsidRPr="00EA7DCD">
        <w:t>:</w:t>
      </w:r>
      <w:r w:rsidR="00FD04A3" w:rsidRPr="00EA7DCD">
        <w:t xml:space="preserve"> tendinitída, ruptúra šľachy, exacerbácia myasténie gravis, zvýšené hodnoty kreatinínkinázy (CK)</w:t>
      </w:r>
    </w:p>
    <w:p w14:paraId="6565B8AC" w14:textId="77777777" w:rsidR="00476C6E" w:rsidRPr="00EA7DCD" w:rsidRDefault="00476C6E" w:rsidP="00F8723B">
      <w:pPr>
        <w:pStyle w:val="Normlndobloku"/>
      </w:pPr>
    </w:p>
    <w:p w14:paraId="0A6A9B78" w14:textId="77777777" w:rsidR="00FD04A3" w:rsidRPr="00EA7DCD" w:rsidRDefault="00F64A65" w:rsidP="00F8723B">
      <w:pPr>
        <w:pStyle w:val="Normlndobloku"/>
      </w:pPr>
      <w:r w:rsidRPr="00EA7DCD">
        <w:rPr>
          <w:u w:val="single"/>
        </w:rPr>
        <w:t>Poruchy krvi a lymfatického systému</w:t>
      </w:r>
      <w:r w:rsidRPr="00EA7DCD">
        <w:t>:</w:t>
      </w:r>
      <w:r w:rsidR="00FD04A3" w:rsidRPr="00EA7DCD">
        <w:t xml:space="preserve"> hemolytická anémia niekedy spojená s</w:t>
      </w:r>
      <w:r w:rsidR="007F6A58" w:rsidRPr="00EA7DCD">
        <w:t> </w:t>
      </w:r>
      <w:r w:rsidR="00FD04A3" w:rsidRPr="00EA7DCD">
        <w:t>poruchou glukózo-6-fosfátdehydrogenázy</w:t>
      </w:r>
    </w:p>
    <w:p w14:paraId="36DAFD2C" w14:textId="77777777" w:rsidR="00476C6E" w:rsidRPr="00EA7DCD" w:rsidRDefault="00476C6E" w:rsidP="00F8723B">
      <w:pPr>
        <w:pStyle w:val="Normlndobloku"/>
      </w:pPr>
    </w:p>
    <w:p w14:paraId="0A2F4BC4" w14:textId="77777777" w:rsidR="00FD04A3" w:rsidRPr="00EA7DCD" w:rsidRDefault="00F64A65" w:rsidP="00F8723B">
      <w:pPr>
        <w:pStyle w:val="Normlndobloku"/>
      </w:pPr>
      <w:r w:rsidRPr="00EA7DCD">
        <w:rPr>
          <w:u w:val="single"/>
        </w:rPr>
        <w:lastRenderedPageBreak/>
        <w:t>Poruchy nervového systému</w:t>
      </w:r>
      <w:r w:rsidR="0098708B" w:rsidRPr="00EA7DCD">
        <w:rPr>
          <w:u w:val="single"/>
        </w:rPr>
        <w:t>*</w:t>
      </w:r>
      <w:r w:rsidR="00FD04A3" w:rsidRPr="00EA7DCD">
        <w:t>: polyneuropatia vrátane Guillainovho-Barrého syndrómu, zmätenosť, parestézia, kŕče, tremor, myoklónia</w:t>
      </w:r>
    </w:p>
    <w:p w14:paraId="537A5C51" w14:textId="77777777" w:rsidR="00476C6E" w:rsidRPr="00EA7DCD" w:rsidRDefault="00476C6E" w:rsidP="00F8723B">
      <w:pPr>
        <w:pStyle w:val="Normlndobloku"/>
      </w:pPr>
    </w:p>
    <w:p w14:paraId="18347F85" w14:textId="77777777" w:rsidR="00714C44" w:rsidRPr="00EA7DCD" w:rsidRDefault="00714C44" w:rsidP="00F8723B">
      <w:pPr>
        <w:pStyle w:val="Normlndobloku"/>
      </w:pPr>
      <w:r w:rsidRPr="00EA7DCD">
        <w:rPr>
          <w:u w:val="single"/>
        </w:rPr>
        <w:t>Psychické poruchy</w:t>
      </w:r>
      <w:r w:rsidR="0098708B" w:rsidRPr="00EA7DCD">
        <w:rPr>
          <w:u w:val="single"/>
        </w:rPr>
        <w:t>*</w:t>
      </w:r>
      <w:r w:rsidRPr="00EA7DCD">
        <w:t>: psychotické reakcie</w:t>
      </w:r>
    </w:p>
    <w:p w14:paraId="310CE0F7" w14:textId="77777777" w:rsidR="00476C6E" w:rsidRPr="00EA7DCD" w:rsidRDefault="00476C6E" w:rsidP="00F8723B">
      <w:pPr>
        <w:pStyle w:val="Normlndobloku"/>
      </w:pPr>
    </w:p>
    <w:p w14:paraId="561F40CA" w14:textId="77777777" w:rsidR="00FD04A3" w:rsidRPr="00EA7DCD" w:rsidRDefault="00F64A65" w:rsidP="00F8723B">
      <w:pPr>
        <w:pStyle w:val="Normlndobloku"/>
      </w:pPr>
      <w:r w:rsidRPr="00EA7DCD">
        <w:rPr>
          <w:u w:val="single"/>
        </w:rPr>
        <w:t>Poruchy kože a podkožného tkaniva</w:t>
      </w:r>
      <w:r w:rsidR="00FD04A3" w:rsidRPr="00EA7DCD">
        <w:t>: fotosenzitivita, exfoliatívna dermatitída, toxická epidermálna nekrolýza, multiformný erytém, pruritus, Stevensov-Johnsonov syndróm</w:t>
      </w:r>
    </w:p>
    <w:p w14:paraId="1A947C0A" w14:textId="77777777" w:rsidR="00CB52C3" w:rsidRPr="00EA7DCD" w:rsidRDefault="00CB52C3" w:rsidP="00F8723B">
      <w:pPr>
        <w:pStyle w:val="Normlndobloku"/>
      </w:pPr>
    </w:p>
    <w:p w14:paraId="08057627" w14:textId="5240CA0F" w:rsidR="00FD04A3" w:rsidRPr="00EA7DCD" w:rsidRDefault="00F64A65" w:rsidP="00F8723B">
      <w:pPr>
        <w:pStyle w:val="Normlndobloku"/>
      </w:pPr>
      <w:r w:rsidRPr="00EA7DCD">
        <w:rPr>
          <w:u w:val="single"/>
        </w:rPr>
        <w:t>Poruchy obličiek a močových ciest</w:t>
      </w:r>
      <w:r w:rsidR="00FD04A3" w:rsidRPr="00EA7DCD">
        <w:t>: renálne zlyhanie</w:t>
      </w:r>
    </w:p>
    <w:p w14:paraId="549277CE" w14:textId="77777777" w:rsidR="00476C6E" w:rsidRPr="00EA7DCD" w:rsidRDefault="00476C6E" w:rsidP="00F8723B">
      <w:pPr>
        <w:pStyle w:val="Normlndobloku"/>
      </w:pPr>
    </w:p>
    <w:p w14:paraId="120AF82C" w14:textId="19D24049" w:rsidR="00FD04A3" w:rsidRPr="00EA7DCD" w:rsidRDefault="00F64A65" w:rsidP="00F8723B">
      <w:pPr>
        <w:pStyle w:val="Normlndobloku"/>
      </w:pPr>
      <w:r w:rsidRPr="00EA7DCD">
        <w:rPr>
          <w:u w:val="single"/>
        </w:rPr>
        <w:t>Poruchy srdca a srdcovej činnosti</w:t>
      </w:r>
      <w:r w:rsidR="00054803" w:rsidRPr="00EA7DCD">
        <w:rPr>
          <w:u w:val="single"/>
        </w:rPr>
        <w:t>**</w:t>
      </w:r>
      <w:r w:rsidRPr="00EA7DCD">
        <w:t>:</w:t>
      </w:r>
      <w:r w:rsidR="00FD04A3" w:rsidRPr="00EA7DCD">
        <w:t xml:space="preserve"> veľmi zriedkavo: predĺženie QTc intervalu a ventrikulárna arytmia (vrátane </w:t>
      </w:r>
      <w:r w:rsidR="00DE566B" w:rsidRPr="00EA7DCD">
        <w:rPr>
          <w:i/>
        </w:rPr>
        <w:t xml:space="preserve">torsade </w:t>
      </w:r>
      <w:r w:rsidR="009313DF" w:rsidRPr="00EA7DCD">
        <w:rPr>
          <w:i/>
        </w:rPr>
        <w:t>de pointes</w:t>
      </w:r>
      <w:r w:rsidR="00FD04A3" w:rsidRPr="00EA7DCD">
        <w:t>)</w:t>
      </w:r>
    </w:p>
    <w:p w14:paraId="75F75C6D" w14:textId="77777777" w:rsidR="00054803" w:rsidRPr="00EA7DCD" w:rsidRDefault="00054803" w:rsidP="00F8723B">
      <w:pPr>
        <w:pStyle w:val="Normlndobloku"/>
      </w:pPr>
    </w:p>
    <w:p w14:paraId="783CF224" w14:textId="4F73B21D" w:rsidR="00E973AF" w:rsidRPr="00EA7DCD" w:rsidRDefault="00F64A65" w:rsidP="00694DDA">
      <w:pPr>
        <w:pStyle w:val="Normlndobloku"/>
        <w:tabs>
          <w:tab w:val="clear" w:pos="6067"/>
          <w:tab w:val="left" w:pos="3870"/>
        </w:tabs>
      </w:pPr>
      <w:r w:rsidRPr="00EA7DCD">
        <w:rPr>
          <w:u w:val="single"/>
        </w:rPr>
        <w:t>Poruchy oka</w:t>
      </w:r>
      <w:r w:rsidR="0098708B" w:rsidRPr="00EA7DCD">
        <w:rPr>
          <w:u w:val="single"/>
        </w:rPr>
        <w:t>*</w:t>
      </w:r>
      <w:r w:rsidRPr="00EA7DCD">
        <w:rPr>
          <w:u w:val="single"/>
        </w:rPr>
        <w:t>:</w:t>
      </w:r>
      <w:r w:rsidRPr="00EA7DCD">
        <w:t xml:space="preserve"> poruchy videnia</w:t>
      </w:r>
    </w:p>
    <w:p w14:paraId="55225413" w14:textId="77777777" w:rsidR="00476C6E" w:rsidRPr="00EA7DCD" w:rsidRDefault="00476C6E" w:rsidP="00F8723B">
      <w:pPr>
        <w:pStyle w:val="Normlndobloku"/>
      </w:pPr>
    </w:p>
    <w:p w14:paraId="210046A1" w14:textId="77777777" w:rsidR="00714C44" w:rsidRPr="00EA7DCD" w:rsidRDefault="00F64A65" w:rsidP="00F8723B">
      <w:pPr>
        <w:pStyle w:val="Normlndobloku"/>
      </w:pPr>
      <w:r w:rsidRPr="00EA7DCD">
        <w:rPr>
          <w:u w:val="single"/>
        </w:rPr>
        <w:t>Infekcie a nákazy</w:t>
      </w:r>
      <w:r w:rsidRPr="00EA7DCD">
        <w:t>: vaginálna kandidóza</w:t>
      </w:r>
    </w:p>
    <w:p w14:paraId="22A24D48" w14:textId="77777777" w:rsidR="0098708B" w:rsidRPr="00EA7DCD" w:rsidRDefault="0098708B" w:rsidP="00F8723B">
      <w:pPr>
        <w:pStyle w:val="Normlndobloku"/>
      </w:pPr>
    </w:p>
    <w:p w14:paraId="477B7EE0" w14:textId="0A8B339B" w:rsidR="0098708B" w:rsidRPr="00EA7DCD" w:rsidRDefault="0098708B" w:rsidP="00F8723B">
      <w:pPr>
        <w:pStyle w:val="Normlndobloku"/>
      </w:pPr>
      <w:r w:rsidRPr="00EA7DCD">
        <w:t xml:space="preserve">*V súvislosti s používaním chinolónov a fluórchinolónov boli hlásené, v niektorých prípadoch bez ohľadu na existujúce rizikové faktory, veľmi zriedkavé prípady dlhotrvajúcich (až mesiace alebo roky), </w:t>
      </w:r>
      <w:r w:rsidR="00862147" w:rsidRPr="00EA7DCD">
        <w:t>invalidi</w:t>
      </w:r>
      <w:r w:rsidRPr="00EA7DCD">
        <w:t>zujúcich a potenciálne ireverzibilných závažných nežiaducich liekových reakcií postihujúcich rôzne, niekedy viaceré triedy orgánových systémov a zmysly (vrátane reakcií ako je tend</w:t>
      </w:r>
      <w:r w:rsidR="00862147" w:rsidRPr="00EA7DCD">
        <w:t>i</w:t>
      </w:r>
      <w:r w:rsidRPr="00EA7DCD">
        <w:t>nitída, ruptúra šľachy, artralgia, bolesť končatín, porucha chôdze, neuropatie spojené s parestéziou, depresia, únava, porucha pamäte, poruchy spánku a porucha sluchu, zraku, chuti a čuchu) (pozri časť 4.4).</w:t>
      </w:r>
    </w:p>
    <w:p w14:paraId="1947698C" w14:textId="77777777" w:rsidR="0084763D" w:rsidRPr="00EA7DCD" w:rsidRDefault="0084763D" w:rsidP="00F8723B">
      <w:pPr>
        <w:pStyle w:val="Normlndobloku"/>
      </w:pPr>
    </w:p>
    <w:p w14:paraId="67BF284C" w14:textId="66C38D1C" w:rsidR="00AE0CBE" w:rsidRPr="00EA7DCD" w:rsidRDefault="0084763D" w:rsidP="00F8723B">
      <w:pPr>
        <w:pStyle w:val="Normlndobloku"/>
      </w:pPr>
      <w:r w:rsidRPr="00EA7DCD">
        <w:t>**U pacientov používajúcich fluórchinolóny boli hlásené prípady aneuryzmy a disekcie aorty, niekedy komplikované ruptúrou (vrátane smrteľných prípadov), a prípady regurgitácie/nedomykavosti niektorej zo srdcových chlopní (pozri časť 4.4).</w:t>
      </w:r>
    </w:p>
    <w:p w14:paraId="77095471" w14:textId="3BF97B1F" w:rsidR="0084763D" w:rsidRPr="00EA7DCD" w:rsidRDefault="0084763D" w:rsidP="00F8723B">
      <w:pPr>
        <w:pStyle w:val="Normlndobloku"/>
      </w:pPr>
    </w:p>
    <w:p w14:paraId="6CF528B4" w14:textId="77777777" w:rsidR="0084763D" w:rsidRPr="00EA7DCD" w:rsidRDefault="0084763D" w:rsidP="00F8723B">
      <w:pPr>
        <w:pStyle w:val="Normlndobloku"/>
      </w:pPr>
    </w:p>
    <w:p w14:paraId="2B79CC0B" w14:textId="77777777" w:rsidR="00AE0CBE" w:rsidRPr="00EA7DCD" w:rsidRDefault="00DB789E" w:rsidP="00E43482">
      <w:pPr>
        <w:pStyle w:val="Styl3"/>
      </w:pPr>
      <w:r w:rsidRPr="00EA7DCD">
        <w:t>Hlásenie podozrení na nežiaduce reakcie</w:t>
      </w:r>
    </w:p>
    <w:p w14:paraId="7A959311" w14:textId="77777777" w:rsidR="00AE0CBE" w:rsidRPr="00EA7DCD" w:rsidRDefault="00DB789E" w:rsidP="00F8723B">
      <w:pPr>
        <w:pStyle w:val="Normlndobloku"/>
      </w:pPr>
      <w:r w:rsidRPr="00EA7DCD">
        <w:t>Hlásenie podozrení na nežiaduce reakcie po registrácii lieku je dôležité. Umožňuje priebežné</w:t>
      </w:r>
      <w:r w:rsidR="00C7045E" w:rsidRPr="00EA7DCD">
        <w:t xml:space="preserve"> </w:t>
      </w:r>
      <w:r w:rsidRPr="00EA7DCD">
        <w:t>monitorovanie pomeru prínosu a rizika lieku. Od zdravotníckych pracovníkov sa vyžaduje, aby hlásili akékoľvek podozreni</w:t>
      </w:r>
      <w:r w:rsidR="00ED7065" w:rsidRPr="00EA7DCD">
        <w:t>a</w:t>
      </w:r>
      <w:r w:rsidRPr="00EA7DCD">
        <w:t xml:space="preserve"> na nežiaduce reakcie </w:t>
      </w:r>
      <w:r w:rsidR="004925BF" w:rsidRPr="00EA7DCD">
        <w:t>na</w:t>
      </w:r>
      <w:r w:rsidRPr="00EA7DCD">
        <w:t xml:space="preserve"> </w:t>
      </w:r>
      <w:r w:rsidRPr="00EA7DCD">
        <w:rPr>
          <w:highlight w:val="lightGray"/>
        </w:rPr>
        <w:t xml:space="preserve">národné </w:t>
      </w:r>
      <w:r w:rsidR="004925BF" w:rsidRPr="00EA7DCD">
        <w:rPr>
          <w:highlight w:val="lightGray"/>
        </w:rPr>
        <w:t>centrum</w:t>
      </w:r>
      <w:r w:rsidRPr="00EA7DCD">
        <w:rPr>
          <w:highlight w:val="lightGray"/>
        </w:rPr>
        <w:t xml:space="preserve"> hlásenia uvedené v </w:t>
      </w:r>
      <w:hyperlink r:id="rId11" w:history="1">
        <w:r w:rsidRPr="00EA7DCD">
          <w:rPr>
            <w:color w:val="0000FF"/>
            <w:highlight w:val="lightGray"/>
          </w:rPr>
          <w:t>Prílohe V</w:t>
        </w:r>
      </w:hyperlink>
      <w:r w:rsidRPr="00EA7DCD">
        <w:t>.</w:t>
      </w:r>
    </w:p>
    <w:p w14:paraId="5737E18B" w14:textId="77777777" w:rsidR="00AE0CBE" w:rsidRPr="00EA7DCD" w:rsidRDefault="00AE0CBE" w:rsidP="00F8723B">
      <w:pPr>
        <w:pStyle w:val="Normlndobloku"/>
      </w:pPr>
    </w:p>
    <w:p w14:paraId="15D480C4" w14:textId="77777777" w:rsidR="00AE0CBE" w:rsidRPr="00EA7DCD" w:rsidRDefault="00FD04A3">
      <w:pPr>
        <w:pStyle w:val="Styl2"/>
      </w:pPr>
      <w:r w:rsidRPr="00EA7DCD">
        <w:t>Predávkovanie</w:t>
      </w:r>
    </w:p>
    <w:p w14:paraId="145CAEEE" w14:textId="77777777" w:rsidR="00AE0CBE" w:rsidRPr="00EA7DCD" w:rsidRDefault="00AE0CBE" w:rsidP="00F8723B">
      <w:pPr>
        <w:pStyle w:val="Normlndobloku"/>
      </w:pPr>
    </w:p>
    <w:p w14:paraId="42AF9E21" w14:textId="77777777" w:rsidR="00AE0CBE" w:rsidRPr="00EA7DCD" w:rsidRDefault="00FD04A3" w:rsidP="00F8723B">
      <w:pPr>
        <w:pStyle w:val="Normlndobloku"/>
      </w:pPr>
      <w:r w:rsidRPr="00EA7DCD">
        <w:t>Nie sú známe dostatočné údaje týkajúce sa predávkovania. Po požití lieku v krátkom čase je potrebné žalúdok vyprázdniť vracaním alebo urobiť výplach žalúdka. Pacienti sa musia starostlivo sledovať a</w:t>
      </w:r>
      <w:r w:rsidR="00ED7065" w:rsidRPr="00EA7DCD">
        <w:t> </w:t>
      </w:r>
      <w:r w:rsidRPr="00EA7DCD">
        <w:t>liečba musí byť symptomatická a podporná. Zabezpečí sa adekvátna hydratácia.</w:t>
      </w:r>
    </w:p>
    <w:p w14:paraId="66521E45" w14:textId="77777777" w:rsidR="00AE0CBE" w:rsidRPr="00EA7DCD" w:rsidRDefault="00AE0CBE" w:rsidP="00F8723B">
      <w:pPr>
        <w:pStyle w:val="Normlndobloku"/>
      </w:pPr>
    </w:p>
    <w:p w14:paraId="77602570" w14:textId="77777777" w:rsidR="00AE0CBE" w:rsidRPr="00EA7DCD" w:rsidRDefault="00AE0CBE" w:rsidP="00F8723B">
      <w:pPr>
        <w:pStyle w:val="Normlndobloku"/>
      </w:pPr>
    </w:p>
    <w:p w14:paraId="31A40FD2" w14:textId="36462004" w:rsidR="00DE5BF0" w:rsidRPr="00EA7DCD" w:rsidRDefault="00FD04A3">
      <w:pPr>
        <w:pStyle w:val="Styl10"/>
      </w:pPr>
      <w:r w:rsidRPr="00EA7DCD">
        <w:t>Farmakologické vlastnosti</w:t>
      </w:r>
    </w:p>
    <w:p w14:paraId="7DFFB577" w14:textId="77777777" w:rsidR="00AE0CBE" w:rsidRPr="00EA7DCD" w:rsidRDefault="00AE0CBE" w:rsidP="0060785C">
      <w:pPr>
        <w:pStyle w:val="Styl10"/>
        <w:numPr>
          <w:ilvl w:val="0"/>
          <w:numId w:val="0"/>
        </w:numPr>
      </w:pPr>
    </w:p>
    <w:p w14:paraId="55E18FB0" w14:textId="77777777" w:rsidR="00AE0CBE" w:rsidRPr="00EA7DCD" w:rsidRDefault="00FD04A3">
      <w:pPr>
        <w:pStyle w:val="Styl2"/>
      </w:pPr>
      <w:r w:rsidRPr="00EA7DCD">
        <w:t>Farmakodynamické vlastnosti</w:t>
      </w:r>
    </w:p>
    <w:p w14:paraId="49523DB6" w14:textId="17095495" w:rsidR="00AE0CBE" w:rsidRPr="00EA7DCD" w:rsidRDefault="00FD04A3" w:rsidP="00F8723B">
      <w:pPr>
        <w:pStyle w:val="Normlndobloku"/>
      </w:pPr>
      <w:r w:rsidRPr="00EA7DCD">
        <w:t>Farmakoterapeutická skupina</w:t>
      </w:r>
      <w:r w:rsidR="00F64A65" w:rsidRPr="00EA7DCD">
        <w:t>:</w:t>
      </w:r>
      <w:r w:rsidRPr="00EA7DCD">
        <w:t xml:space="preserve"> </w:t>
      </w:r>
      <w:r w:rsidR="008A2B02" w:rsidRPr="00EA7DCD">
        <w:t xml:space="preserve">antibiotiká na systémové použitie, </w:t>
      </w:r>
      <w:r w:rsidR="004D7ED8" w:rsidRPr="00EA7DCD">
        <w:t>flu</w:t>
      </w:r>
      <w:r w:rsidR="00825696" w:rsidRPr="00EA7DCD">
        <w:t>ó</w:t>
      </w:r>
      <w:r w:rsidR="004D7ED8" w:rsidRPr="00EA7DCD">
        <w:t>rchinolóny</w:t>
      </w:r>
    </w:p>
    <w:p w14:paraId="731642BC" w14:textId="77777777" w:rsidR="00AE0CBE" w:rsidRPr="00EA7DCD" w:rsidRDefault="00FD04A3" w:rsidP="00F8723B">
      <w:pPr>
        <w:pStyle w:val="Normlndobloku"/>
      </w:pPr>
      <w:r w:rsidRPr="00EA7DCD">
        <w:t>ATC kód</w:t>
      </w:r>
      <w:r w:rsidR="00F64A65" w:rsidRPr="00EA7DCD">
        <w:t>:</w:t>
      </w:r>
      <w:r w:rsidRPr="00EA7DCD">
        <w:t xml:space="preserve"> J01MA06</w:t>
      </w:r>
    </w:p>
    <w:p w14:paraId="380B1B69" w14:textId="77777777" w:rsidR="00AE0CBE" w:rsidRPr="00EA7DCD" w:rsidRDefault="00AE0CBE" w:rsidP="00F8723B">
      <w:pPr>
        <w:pStyle w:val="Normlndobloku"/>
      </w:pPr>
    </w:p>
    <w:p w14:paraId="1D276164" w14:textId="77777777" w:rsidR="00AE0CBE" w:rsidRPr="00EA7DCD" w:rsidRDefault="00FD04A3" w:rsidP="00F8723B">
      <w:pPr>
        <w:pStyle w:val="Normlndobloku"/>
      </w:pPr>
      <w:r w:rsidRPr="00EA7DCD">
        <w:t>Norfloxacín je baktericídne antib</w:t>
      </w:r>
      <w:r w:rsidR="00346642" w:rsidRPr="00EA7DCD">
        <w:t>iotikum</w:t>
      </w:r>
      <w:r w:rsidRPr="00EA7DCD">
        <w:t xml:space="preserve"> močových ciest a</w:t>
      </w:r>
      <w:r w:rsidR="008A2B02" w:rsidRPr="00EA7DCD">
        <w:t> </w:t>
      </w:r>
      <w:r w:rsidRPr="00EA7DCD">
        <w:t xml:space="preserve">účinkuje inhibíciou syntézy bakteriálnej deoxyribonukleovej kyseliny (DNA). Štúdie na </w:t>
      </w:r>
      <w:r w:rsidR="009313DF" w:rsidRPr="00EA7DCD">
        <w:rPr>
          <w:i/>
        </w:rPr>
        <w:t>E. coli</w:t>
      </w:r>
      <w:r w:rsidRPr="00EA7DCD">
        <w:t xml:space="preserve"> ukázali, že norfloxacín inhibuje na ATP závislú DNA stáčaciu reakciu, ktorá je katalyzovaná DNA gyrázou, inhibuje obnovu dvojvláknovej špirálovej DNA a</w:t>
      </w:r>
      <w:r w:rsidR="008A2B02" w:rsidRPr="00EA7DCD">
        <w:t> </w:t>
      </w:r>
      <w:r w:rsidRPr="00EA7DCD">
        <w:t>podporuje deštrukciu oboch vlákien DNA.</w:t>
      </w:r>
    </w:p>
    <w:p w14:paraId="0ACFEF6E" w14:textId="77777777" w:rsidR="00AE0CBE" w:rsidRPr="00EA7DCD" w:rsidRDefault="00AE0CBE" w:rsidP="00F8723B">
      <w:pPr>
        <w:pStyle w:val="Normlndobloku"/>
      </w:pPr>
    </w:p>
    <w:p w14:paraId="662107FB" w14:textId="77777777" w:rsidR="00AE0CBE" w:rsidRPr="00EA7DCD" w:rsidRDefault="00FD04A3" w:rsidP="00F8723B">
      <w:pPr>
        <w:pStyle w:val="Normlndobloku"/>
      </w:pPr>
      <w:r w:rsidRPr="00EA7DCD">
        <w:t>Norfloxacín má široké spektrum antimikrobiálnej aktivity voči grampozitívnym a</w:t>
      </w:r>
      <w:r w:rsidR="008A2B02" w:rsidRPr="00EA7DCD">
        <w:t> </w:t>
      </w:r>
      <w:r w:rsidRPr="00EA7DCD">
        <w:t xml:space="preserve">gramnegatívnym mikroorganizmom. Aktivita </w:t>
      </w:r>
      <w:r w:rsidR="009313DF" w:rsidRPr="00EA7DCD">
        <w:rPr>
          <w:i/>
        </w:rPr>
        <w:t>in vivo</w:t>
      </w:r>
      <w:r w:rsidRPr="00EA7DCD">
        <w:t xml:space="preserve"> je účinná proti nasledujúcim gramnegatívnym mikroorganizmom:</w:t>
      </w:r>
    </w:p>
    <w:p w14:paraId="1C3C0ACB" w14:textId="77777777" w:rsidR="00AE0CBE" w:rsidRPr="00EA7DCD" w:rsidRDefault="00F64A65" w:rsidP="00F8723B">
      <w:pPr>
        <w:pStyle w:val="Normlndobloku"/>
        <w:rPr>
          <w:i/>
          <w:iCs/>
        </w:rPr>
      </w:pPr>
      <w:r w:rsidRPr="00EA7DCD">
        <w:rPr>
          <w:i/>
          <w:iCs/>
        </w:rPr>
        <w:lastRenderedPageBreak/>
        <w:t>Alcaligenes sp., Citrobacter sp., Citrobacter diversus, Citrobacter freundii, Edwardsiella tarda, Enterobacter cloacae, Escherichia coli, Flavobacterium sp., Hafnia sp., Klebsiella sp., Klebsiella oxytoca, Klebsiella pneumoniae, Morganella morganii, indol pozitívny Proteus sp., Proteus mirabilis, Proteus vulgaris, Providencia sp., Providencia rettgeri, Providencia stuartii, Pseudomonas aeruginosa, Pseudomonas cepacia, Pseudomonas fluorescens, Serratia sp., Serratia marcescens</w:t>
      </w:r>
      <w:r w:rsidR="00FD04A3" w:rsidRPr="00EA7DCD">
        <w:rPr>
          <w:i/>
          <w:iCs/>
        </w:rPr>
        <w:t>.</w:t>
      </w:r>
    </w:p>
    <w:p w14:paraId="5518F6CB" w14:textId="77777777" w:rsidR="00AE0CBE" w:rsidRPr="00EA7DCD" w:rsidRDefault="00FD04A3" w:rsidP="00F8723B">
      <w:pPr>
        <w:pStyle w:val="Normlndobloku"/>
      </w:pPr>
      <w:r w:rsidRPr="00EA7DCD">
        <w:t>Norfloxacín je tiež účinný voči nasledujúcim grampozitívnym mikroorganizmom:</w:t>
      </w:r>
    </w:p>
    <w:p w14:paraId="39C09D71" w14:textId="77777777" w:rsidR="00AE0CBE" w:rsidRPr="00EA7DCD" w:rsidRDefault="00F64A65" w:rsidP="00F8723B">
      <w:pPr>
        <w:pStyle w:val="Normlndobloku"/>
      </w:pPr>
      <w:r w:rsidRPr="00EA7DCD">
        <w:rPr>
          <w:i/>
        </w:rPr>
        <w:t>Enterococci, Staphylococcus sp.</w:t>
      </w:r>
      <w:r w:rsidR="00FD04A3" w:rsidRPr="00EA7DCD">
        <w:t xml:space="preserve">, koaguláza negatívny </w:t>
      </w:r>
      <w:r w:rsidRPr="00EA7DCD">
        <w:rPr>
          <w:i/>
        </w:rPr>
        <w:t>Staphylococcus, Staphylococcus aureus,</w:t>
      </w:r>
      <w:r w:rsidR="00FD04A3" w:rsidRPr="00EA7DCD">
        <w:t xml:space="preserve"> vrátane producentov penicilinázy a</w:t>
      </w:r>
      <w:r w:rsidR="008A2B02" w:rsidRPr="00EA7DCD">
        <w:t> </w:t>
      </w:r>
      <w:r w:rsidR="00FD04A3" w:rsidRPr="00EA7DCD">
        <w:t xml:space="preserve">väčšiny meticilín rezistentných kmeňov, </w:t>
      </w:r>
      <w:r w:rsidRPr="00EA7DCD">
        <w:rPr>
          <w:i/>
        </w:rPr>
        <w:t>Staphylococcus epidermidis, Staphylococcus saphrophyticus,</w:t>
      </w:r>
      <w:r w:rsidR="00FD04A3" w:rsidRPr="00EA7DCD">
        <w:t xml:space="preserve"> streptokoky skupiny B, streptokoky skupiny D vrátane </w:t>
      </w:r>
      <w:r w:rsidRPr="00EA7DCD">
        <w:rPr>
          <w:i/>
        </w:rPr>
        <w:t>Enterococcus faecalis</w:t>
      </w:r>
      <w:r w:rsidR="00FD04A3" w:rsidRPr="00EA7DCD">
        <w:t>, streptokoky skupiny G a</w:t>
      </w:r>
      <w:r w:rsidR="008A2B02" w:rsidRPr="00EA7DCD">
        <w:t> </w:t>
      </w:r>
      <w:r w:rsidRPr="00EA7DCD">
        <w:rPr>
          <w:i/>
        </w:rPr>
        <w:t>Streptococcus viridans</w:t>
      </w:r>
      <w:r w:rsidR="00FD04A3" w:rsidRPr="00EA7DCD">
        <w:t>.</w:t>
      </w:r>
    </w:p>
    <w:p w14:paraId="2D64CDC5" w14:textId="77777777" w:rsidR="00AE0CBE" w:rsidRPr="00EA7DCD" w:rsidRDefault="00AE0CBE" w:rsidP="00F8723B">
      <w:pPr>
        <w:pStyle w:val="Normlndobloku"/>
      </w:pPr>
    </w:p>
    <w:p w14:paraId="0F36D09E" w14:textId="77777777" w:rsidR="00AE0CBE" w:rsidRPr="00EA7DCD" w:rsidRDefault="00FD04A3" w:rsidP="00F8723B">
      <w:pPr>
        <w:pStyle w:val="Normlndobloku"/>
      </w:pPr>
      <w:r w:rsidRPr="00EA7DCD">
        <w:t xml:space="preserve">Norfloxacín je tiež účinný voči </w:t>
      </w:r>
      <w:r w:rsidR="00F64A65" w:rsidRPr="00EA7DCD">
        <w:rPr>
          <w:i/>
          <w:iCs/>
        </w:rPr>
        <w:t>Bacillus cereus, Haemophilus influenzae, Neisseria gonorrhoea</w:t>
      </w:r>
      <w:r w:rsidRPr="00EA7DCD">
        <w:rPr>
          <w:i/>
          <w:iCs/>
        </w:rPr>
        <w:t xml:space="preserve"> a</w:t>
      </w:r>
      <w:r w:rsidR="008A2B02" w:rsidRPr="00EA7DCD">
        <w:rPr>
          <w:i/>
          <w:iCs/>
        </w:rPr>
        <w:t> </w:t>
      </w:r>
      <w:r w:rsidR="00F64A65" w:rsidRPr="00EA7DCD">
        <w:rPr>
          <w:i/>
          <w:iCs/>
        </w:rPr>
        <w:t>Ureaplasma urealyticum</w:t>
      </w:r>
      <w:r w:rsidRPr="00EA7DCD">
        <w:t xml:space="preserve">. Nie je účinný proti anaeróbom vynímajúc </w:t>
      </w:r>
      <w:r w:rsidR="00F64A65" w:rsidRPr="00EA7DCD">
        <w:rPr>
          <w:i/>
          <w:iCs/>
        </w:rPr>
        <w:t>Clostridium perfringens</w:t>
      </w:r>
      <w:r w:rsidRPr="00EA7DCD">
        <w:t>.</w:t>
      </w:r>
    </w:p>
    <w:p w14:paraId="44EDECE7" w14:textId="77777777" w:rsidR="00AE0CBE" w:rsidRPr="00EA7DCD" w:rsidRDefault="00AE0CBE" w:rsidP="00F8723B">
      <w:pPr>
        <w:pStyle w:val="Normlndobloku"/>
      </w:pPr>
    </w:p>
    <w:p w14:paraId="76A639E6" w14:textId="77777777" w:rsidR="00AE0CBE" w:rsidRPr="00EA7DCD" w:rsidRDefault="00FD04A3" w:rsidP="00F8723B">
      <w:pPr>
        <w:pStyle w:val="Normlndobloku"/>
      </w:pPr>
      <w:r w:rsidRPr="00EA7DCD">
        <w:t>Skrížená rezistencia voči norfloxacínu a</w:t>
      </w:r>
      <w:r w:rsidR="008A2B02" w:rsidRPr="00EA7DCD">
        <w:t> </w:t>
      </w:r>
      <w:r w:rsidRPr="00EA7DCD">
        <w:t>iným štrukturálne nepríbuzným antibiotikám neexistuje.</w:t>
      </w:r>
    </w:p>
    <w:p w14:paraId="6208208B" w14:textId="77777777" w:rsidR="00AE0CBE" w:rsidRPr="00EA7DCD" w:rsidRDefault="00AE0CBE" w:rsidP="00F8723B">
      <w:pPr>
        <w:pStyle w:val="Normlndobloku"/>
      </w:pPr>
    </w:p>
    <w:p w14:paraId="6CD5553A" w14:textId="77777777" w:rsidR="00AE0CBE" w:rsidRPr="00EA7DCD" w:rsidRDefault="00FD04A3">
      <w:pPr>
        <w:pStyle w:val="Styl2"/>
      </w:pPr>
      <w:r w:rsidRPr="00EA7DCD">
        <w:t>Farmakokinetické vlastnosti</w:t>
      </w:r>
    </w:p>
    <w:p w14:paraId="4F337F04" w14:textId="77777777" w:rsidR="00AE0CBE" w:rsidRPr="00EA7DCD" w:rsidRDefault="00AE0CBE" w:rsidP="00E43482">
      <w:pPr>
        <w:pStyle w:val="Styl3"/>
      </w:pPr>
    </w:p>
    <w:p w14:paraId="059C9A7E" w14:textId="77777777" w:rsidR="00AE0CBE" w:rsidRPr="00EA7DCD" w:rsidRDefault="008A2B02" w:rsidP="00E43482">
      <w:pPr>
        <w:pStyle w:val="Styl3"/>
      </w:pPr>
      <w:r w:rsidRPr="00EA7DCD">
        <w:t>Absopcia</w:t>
      </w:r>
    </w:p>
    <w:p w14:paraId="63DF85AC" w14:textId="77777777" w:rsidR="00AE0CBE" w:rsidRPr="00EA7DCD" w:rsidRDefault="00FD04A3" w:rsidP="00F8723B">
      <w:pPr>
        <w:pStyle w:val="Normlndobloku"/>
      </w:pPr>
      <w:r w:rsidRPr="00EA7DCD">
        <w:t>Absorpcia norfloxacínu po perorálnom podaní je rýchla, vrchol sérovej koncentrácie sa dosiahne po približne jednej hodine. Absorbovaných je 30</w:t>
      </w:r>
      <w:r w:rsidR="008A2B02" w:rsidRPr="00EA7DCD">
        <w:t> </w:t>
      </w:r>
      <w:r w:rsidR="00C7045E" w:rsidRPr="00EA7DCD">
        <w:t>–</w:t>
      </w:r>
      <w:r w:rsidR="008A2B02" w:rsidRPr="00EA7DCD">
        <w:t> </w:t>
      </w:r>
      <w:r w:rsidRPr="00EA7DCD">
        <w:t>40</w:t>
      </w:r>
      <w:r w:rsidR="008A2B02" w:rsidRPr="00EA7DCD">
        <w:t> </w:t>
      </w:r>
      <w:r w:rsidRPr="00EA7DCD">
        <w:t>% dávky, sérový polčas je približne štyri hodiny a</w:t>
      </w:r>
      <w:r w:rsidR="008A2B02" w:rsidRPr="00EA7DCD">
        <w:t> </w:t>
      </w:r>
      <w:r w:rsidRPr="00EA7DCD">
        <w:t>závisí od dávky. Pri obličkovom zlyhaní je polčas predĺžený na približne osem hodín</w:t>
      </w:r>
      <w:r w:rsidR="001F434B" w:rsidRPr="00EA7DCD">
        <w:t>.</w:t>
      </w:r>
    </w:p>
    <w:p w14:paraId="111816A4" w14:textId="77777777" w:rsidR="00AE0CBE" w:rsidRPr="00EA7DCD" w:rsidRDefault="00AE0CBE" w:rsidP="00F8723B">
      <w:pPr>
        <w:pStyle w:val="Normlndobloku"/>
      </w:pPr>
    </w:p>
    <w:p w14:paraId="64294E6B" w14:textId="77777777" w:rsidR="00AE0CBE" w:rsidRPr="00EA7DCD" w:rsidRDefault="001F434B" w:rsidP="00E43482">
      <w:pPr>
        <w:pStyle w:val="Styl3"/>
      </w:pPr>
      <w:r w:rsidRPr="00EA7DCD">
        <w:t>Distribúcia</w:t>
      </w:r>
    </w:p>
    <w:p w14:paraId="1FB24B98" w14:textId="77777777" w:rsidR="00AE0CBE" w:rsidRPr="00EA7DCD" w:rsidRDefault="001F434B" w:rsidP="00F8723B">
      <w:pPr>
        <w:pStyle w:val="Normlndobloku"/>
      </w:pPr>
      <w:r w:rsidRPr="00EA7DCD">
        <w:t>Norfloxacín preniká do obličkového parenchýmu, prostaty, testes, maternice, krčku a žlče. Väzba na bielkoviny je menej ako 15 %.</w:t>
      </w:r>
    </w:p>
    <w:p w14:paraId="160ACF34" w14:textId="77777777" w:rsidR="00AE0CBE" w:rsidRPr="00EA7DCD" w:rsidRDefault="00AE0CBE" w:rsidP="00F8723B">
      <w:pPr>
        <w:pStyle w:val="Normlndobloku"/>
      </w:pPr>
    </w:p>
    <w:p w14:paraId="37BBAE38" w14:textId="77777777" w:rsidR="00AE0CBE" w:rsidRPr="00EA7DCD" w:rsidRDefault="008A2B02" w:rsidP="00E43482">
      <w:pPr>
        <w:pStyle w:val="Styl3"/>
      </w:pPr>
      <w:r w:rsidRPr="00EA7DCD">
        <w:t>Biotransformácia</w:t>
      </w:r>
    </w:p>
    <w:p w14:paraId="36177A41" w14:textId="77777777" w:rsidR="00AE0CBE" w:rsidRPr="00EA7DCD" w:rsidRDefault="00FD04A3" w:rsidP="00F8723B">
      <w:pPr>
        <w:pStyle w:val="Normlndobloku"/>
      </w:pPr>
      <w:r w:rsidRPr="00EA7DCD">
        <w:t>Norfloxacín je metabolizovaný a</w:t>
      </w:r>
      <w:r w:rsidR="008A2B02" w:rsidRPr="00EA7DCD">
        <w:t> </w:t>
      </w:r>
      <w:r w:rsidRPr="00EA7DCD">
        <w:t>vylučovaný žlčovou a</w:t>
      </w:r>
      <w:r w:rsidR="008A2B02" w:rsidRPr="00EA7DCD">
        <w:t> </w:t>
      </w:r>
      <w:r w:rsidRPr="00EA7DCD">
        <w:t>obličkovou exkréciou.</w:t>
      </w:r>
    </w:p>
    <w:p w14:paraId="3DB9D645" w14:textId="77777777" w:rsidR="00AE0CBE" w:rsidRPr="00EA7DCD" w:rsidRDefault="00AE0CBE" w:rsidP="00F8723B">
      <w:pPr>
        <w:pStyle w:val="Normlndobloku"/>
      </w:pPr>
    </w:p>
    <w:p w14:paraId="1D5DF9EC" w14:textId="77777777" w:rsidR="00AE0CBE" w:rsidRPr="00EA7DCD" w:rsidRDefault="001F434B" w:rsidP="00E43482">
      <w:pPr>
        <w:pStyle w:val="Styl3"/>
      </w:pPr>
      <w:r w:rsidRPr="00EA7DCD">
        <w:t>Eliminácia</w:t>
      </w:r>
    </w:p>
    <w:p w14:paraId="394998F1" w14:textId="77777777" w:rsidR="00AE0CBE" w:rsidRPr="00EA7DCD" w:rsidRDefault="00FD04A3" w:rsidP="00F8723B">
      <w:pPr>
        <w:pStyle w:val="Normlndobloku"/>
      </w:pPr>
      <w:r w:rsidRPr="00EA7DCD">
        <w:t>Obličkové vylučovanie je oboma spôsobmi tubulárnou sekréciou a</w:t>
      </w:r>
      <w:r w:rsidR="008A2B02" w:rsidRPr="00EA7DCD">
        <w:t> </w:t>
      </w:r>
      <w:r w:rsidRPr="00EA7DCD">
        <w:t>glomerulárnou filtráciou. Obličkové vylučovanie norfloxacínu a</w:t>
      </w:r>
      <w:r w:rsidR="008A2B02" w:rsidRPr="00EA7DCD">
        <w:t> </w:t>
      </w:r>
      <w:r w:rsidRPr="00EA7DCD">
        <w:t>jeho 6 metabolitov s</w:t>
      </w:r>
      <w:r w:rsidR="008A2B02" w:rsidRPr="00EA7DCD">
        <w:t> </w:t>
      </w:r>
      <w:r w:rsidRPr="00EA7DCD">
        <w:t>nižšou antimikrobiálnou aktivitou je viac ako 70</w:t>
      </w:r>
      <w:r w:rsidR="008A2B02" w:rsidRPr="00EA7DCD">
        <w:t> </w:t>
      </w:r>
      <w:r w:rsidRPr="00EA7DCD">
        <w:t>%. Hodnota pH moču neovplyvňuje aktivitu.</w:t>
      </w:r>
    </w:p>
    <w:p w14:paraId="577D36F5" w14:textId="77777777" w:rsidR="00AE0CBE" w:rsidRPr="00EA7DCD" w:rsidRDefault="00AE0CBE" w:rsidP="00F8723B">
      <w:pPr>
        <w:pStyle w:val="Normlndobloku"/>
      </w:pPr>
    </w:p>
    <w:p w14:paraId="79B233EF" w14:textId="77777777" w:rsidR="00AE0CBE" w:rsidRPr="00EA7DCD" w:rsidRDefault="00FD04A3">
      <w:pPr>
        <w:pStyle w:val="Styl2"/>
      </w:pPr>
      <w:r w:rsidRPr="00EA7DCD">
        <w:t>Predklinické údaje o bezpečnosti</w:t>
      </w:r>
    </w:p>
    <w:p w14:paraId="447F5D59" w14:textId="77777777" w:rsidR="00AE0CBE" w:rsidRPr="00EA7DCD" w:rsidRDefault="00AE0CBE" w:rsidP="00F8723B">
      <w:pPr>
        <w:pStyle w:val="Normlndobloku"/>
      </w:pPr>
    </w:p>
    <w:p w14:paraId="652CED2E" w14:textId="18AAF92E" w:rsidR="00AE0CBE" w:rsidRPr="00EA7DCD" w:rsidRDefault="00FD04A3" w:rsidP="00F8723B">
      <w:pPr>
        <w:pStyle w:val="Normlndobloku"/>
      </w:pPr>
      <w:r w:rsidRPr="00EA7DCD">
        <w:t>Tri až päť mesiacov staré psy, ktoré dostávali norfloxacín v</w:t>
      </w:r>
      <w:r w:rsidR="00BD79C5" w:rsidRPr="00EA7DCD">
        <w:t> </w:t>
      </w:r>
      <w:r w:rsidRPr="00EA7DCD">
        <w:t xml:space="preserve">dávke </w:t>
      </w:r>
      <w:r w:rsidR="00EB2736" w:rsidRPr="00EA7DCD">
        <w:t>po kto</w:t>
      </w:r>
      <w:r w:rsidR="002923A1" w:rsidRPr="00EA7DCD">
        <w:t xml:space="preserve">rej sa </w:t>
      </w:r>
      <w:r w:rsidRPr="00EA7DCD">
        <w:t>dosah</w:t>
      </w:r>
      <w:r w:rsidR="002923A1" w:rsidRPr="00EA7DCD">
        <w:t xml:space="preserve">ovali hladiny zodpovedajúce </w:t>
      </w:r>
      <w:r w:rsidRPr="00EA7DCD">
        <w:t>štvor- a</w:t>
      </w:r>
      <w:r w:rsidR="00BD79C5" w:rsidRPr="00EA7DCD">
        <w:t> </w:t>
      </w:r>
      <w:r w:rsidRPr="00EA7DCD">
        <w:t>viacnásobk</w:t>
      </w:r>
      <w:r w:rsidR="002923A1" w:rsidRPr="00EA7DCD">
        <w:t>u</w:t>
      </w:r>
      <w:r w:rsidRPr="00EA7DCD">
        <w:t xml:space="preserve"> hladín </w:t>
      </w:r>
      <w:r w:rsidR="002923A1" w:rsidRPr="00EA7DCD">
        <w:t xml:space="preserve">u ľudí, </w:t>
      </w:r>
      <w:r w:rsidRPr="00EA7DCD">
        <w:t>trpeli na vytvorenie lézií na chrupkách nosných kĺbov. Psy staršie ako 6 mesiacov neboli takto postihnutí.</w:t>
      </w:r>
    </w:p>
    <w:p w14:paraId="0793F35A" w14:textId="77777777" w:rsidR="00AE0CBE" w:rsidRPr="00EA7DCD" w:rsidRDefault="00FD04A3" w:rsidP="00F8723B">
      <w:pPr>
        <w:pStyle w:val="Normlndobloku"/>
      </w:pPr>
      <w:r w:rsidRPr="00EA7DCD">
        <w:t>Pri teratogenných štúdiách na myšiach a</w:t>
      </w:r>
      <w:r w:rsidR="00BD79C5" w:rsidRPr="00EA7DCD">
        <w:t> </w:t>
      </w:r>
      <w:r w:rsidRPr="00EA7DCD">
        <w:t>potkanoch a</w:t>
      </w:r>
      <w:r w:rsidR="00BD79C5" w:rsidRPr="00EA7DCD">
        <w:t> </w:t>
      </w:r>
      <w:r w:rsidRPr="00EA7DCD">
        <w:t>fertilných štúdiách na myšiach sa nepozoroval teratogénny alebo fetotoxický vplyv, pri používaní dávky 30 až 50 násobne prevyšujúcej zvyčajné dávky u</w:t>
      </w:r>
      <w:r w:rsidR="00BD79C5" w:rsidRPr="00EA7DCD">
        <w:t> </w:t>
      </w:r>
      <w:r w:rsidRPr="00EA7DCD">
        <w:t>ľudí. U</w:t>
      </w:r>
      <w:r w:rsidR="00BD79C5" w:rsidRPr="00EA7DCD">
        <w:t> </w:t>
      </w:r>
      <w:r w:rsidRPr="00EA7DCD">
        <w:t>králikov pri dávke 100 mg/kg/deň sa pozorovala po toxicite na matku sekundárna embryotoxicita. Je to nešpecifický antimikrobiálny efekt u</w:t>
      </w:r>
      <w:r w:rsidR="00BD79C5" w:rsidRPr="00EA7DCD">
        <w:t> </w:t>
      </w:r>
      <w:r w:rsidRPr="00EA7DCD">
        <w:t>králikov spôsobený senzitivitou na zmeny črevnej flóry.</w:t>
      </w:r>
    </w:p>
    <w:p w14:paraId="51EB7DEA" w14:textId="77777777" w:rsidR="00AE0CBE" w:rsidRPr="00EA7DCD" w:rsidRDefault="00FD04A3" w:rsidP="00F8723B">
      <w:pPr>
        <w:pStyle w:val="Normlndobloku"/>
      </w:pPr>
      <w:r w:rsidRPr="00EA7DCD">
        <w:t>U</w:t>
      </w:r>
      <w:r w:rsidR="00BD79C5" w:rsidRPr="00EA7DCD">
        <w:t> </w:t>
      </w:r>
      <w:r w:rsidRPr="00EA7DCD">
        <w:t>opíc, ktoré dostávali niekoľkokrát ľudskú dávku, sa nepozorovala teratogenita, ale zvýšená potratovosť. Význam týchto štúdií na zvieratách pre človeka nie je známy.</w:t>
      </w:r>
    </w:p>
    <w:p w14:paraId="524A5904" w14:textId="77777777" w:rsidR="00AE0CBE" w:rsidRPr="00EA7DCD" w:rsidRDefault="00AE0CBE" w:rsidP="00F8723B">
      <w:pPr>
        <w:pStyle w:val="Normlndobloku"/>
      </w:pPr>
    </w:p>
    <w:p w14:paraId="0945D496" w14:textId="77777777" w:rsidR="00AE0CBE" w:rsidRPr="00EA7DCD" w:rsidRDefault="00AE0CBE" w:rsidP="00F8723B">
      <w:pPr>
        <w:pStyle w:val="Normlndobloku"/>
      </w:pPr>
    </w:p>
    <w:p w14:paraId="56F921B5" w14:textId="77777777" w:rsidR="00AE0CBE" w:rsidRPr="00EA7DCD" w:rsidRDefault="00FD04A3">
      <w:pPr>
        <w:pStyle w:val="Styl10"/>
      </w:pPr>
      <w:r w:rsidRPr="00EA7DCD">
        <w:t>Farmaceutické informácie</w:t>
      </w:r>
    </w:p>
    <w:p w14:paraId="2E8F04D5" w14:textId="77777777" w:rsidR="00AE0CBE" w:rsidRPr="00EA7DCD" w:rsidRDefault="00AE0CBE" w:rsidP="00476C6E">
      <w:pPr>
        <w:rPr>
          <w:lang w:val="sk-SK"/>
        </w:rPr>
      </w:pPr>
    </w:p>
    <w:p w14:paraId="3FB91E52" w14:textId="77777777" w:rsidR="00AE0CBE" w:rsidRPr="00EA7DCD" w:rsidRDefault="00FD04A3">
      <w:pPr>
        <w:pStyle w:val="Styl2"/>
      </w:pPr>
      <w:r w:rsidRPr="00EA7DCD">
        <w:t>Zoznam pomocných látok</w:t>
      </w:r>
    </w:p>
    <w:p w14:paraId="3BCCF972" w14:textId="77777777" w:rsidR="0071681A" w:rsidRPr="00EA7DCD" w:rsidRDefault="0071681A" w:rsidP="00F8723B">
      <w:pPr>
        <w:pStyle w:val="Normlndobloku"/>
      </w:pPr>
    </w:p>
    <w:p w14:paraId="418A5318" w14:textId="77777777" w:rsidR="00AE0CBE" w:rsidRPr="00EA7DCD" w:rsidRDefault="00F64A65" w:rsidP="00E43482">
      <w:pPr>
        <w:pStyle w:val="Styl3"/>
      </w:pPr>
      <w:r w:rsidRPr="00EA7DCD">
        <w:t>Jadro tablety</w:t>
      </w:r>
    </w:p>
    <w:p w14:paraId="72A2A0E6" w14:textId="77777777" w:rsidR="00AE0CBE" w:rsidRPr="00EA7DCD" w:rsidRDefault="00175E3A" w:rsidP="00F8723B">
      <w:pPr>
        <w:pStyle w:val="Normlndobloku"/>
      </w:pPr>
      <w:r w:rsidRPr="00EA7DCD">
        <w:t>s</w:t>
      </w:r>
      <w:r w:rsidR="003475A8" w:rsidRPr="00EA7DCD">
        <w:t>odná soľ kroskarmelózy</w:t>
      </w:r>
    </w:p>
    <w:p w14:paraId="640387F2" w14:textId="77777777" w:rsidR="00AE0CBE" w:rsidRPr="00EA7DCD" w:rsidRDefault="00175E3A" w:rsidP="00F8723B">
      <w:pPr>
        <w:pStyle w:val="Normlndobloku"/>
      </w:pPr>
      <w:r w:rsidRPr="00EA7DCD">
        <w:lastRenderedPageBreak/>
        <w:t>p</w:t>
      </w:r>
      <w:r w:rsidR="003475A8" w:rsidRPr="00EA7DCD">
        <w:t>ovidón</w:t>
      </w:r>
    </w:p>
    <w:p w14:paraId="76833A6F" w14:textId="77777777" w:rsidR="00AE0CBE" w:rsidRPr="00EA7DCD" w:rsidRDefault="00175E3A" w:rsidP="00F8723B">
      <w:pPr>
        <w:pStyle w:val="Normlndobloku"/>
      </w:pPr>
      <w:r w:rsidRPr="00EA7DCD">
        <w:t>m</w:t>
      </w:r>
      <w:r w:rsidR="003475A8" w:rsidRPr="00EA7DCD">
        <w:t>ikrokryštalická celulóza</w:t>
      </w:r>
    </w:p>
    <w:p w14:paraId="2365A744" w14:textId="245E4403" w:rsidR="00AE0CBE" w:rsidRPr="00EA7DCD" w:rsidRDefault="003475A8" w:rsidP="00F8723B">
      <w:pPr>
        <w:pStyle w:val="Normlndobloku"/>
      </w:pPr>
      <w:r w:rsidRPr="00EA7DCD">
        <w:t>stearát</w:t>
      </w:r>
      <w:r w:rsidR="002923A1" w:rsidRPr="00EA7DCD">
        <w:t xml:space="preserve"> horečnatý</w:t>
      </w:r>
    </w:p>
    <w:p w14:paraId="0DCEA7C2" w14:textId="77777777" w:rsidR="00AE0CBE" w:rsidRPr="00EA7DCD" w:rsidRDefault="00AE0CBE" w:rsidP="00F8723B">
      <w:pPr>
        <w:pStyle w:val="Normlndobloku"/>
      </w:pPr>
    </w:p>
    <w:p w14:paraId="4C067EF7" w14:textId="77777777" w:rsidR="00AE0CBE" w:rsidRPr="00EA7DCD" w:rsidRDefault="00324687" w:rsidP="00E43482">
      <w:pPr>
        <w:pStyle w:val="Styl3"/>
      </w:pPr>
      <w:r w:rsidRPr="00EA7DCD">
        <w:t>Filmový obal tablety</w:t>
      </w:r>
    </w:p>
    <w:p w14:paraId="30419A21" w14:textId="77777777" w:rsidR="00AE0CBE" w:rsidRPr="00EA7DCD" w:rsidRDefault="00175E3A" w:rsidP="00F8723B">
      <w:pPr>
        <w:pStyle w:val="Normlndobloku"/>
      </w:pPr>
      <w:r w:rsidRPr="00EA7DCD">
        <w:t>h</w:t>
      </w:r>
      <w:r w:rsidR="003475A8" w:rsidRPr="00EA7DCD">
        <w:t>ypromelóza</w:t>
      </w:r>
    </w:p>
    <w:p w14:paraId="5FC2BA01" w14:textId="77777777" w:rsidR="00AE0CBE" w:rsidRPr="00EA7DCD" w:rsidRDefault="00175E3A" w:rsidP="00F8723B">
      <w:pPr>
        <w:pStyle w:val="Normlndobloku"/>
      </w:pPr>
      <w:r w:rsidRPr="00EA7DCD">
        <w:t>o</w:t>
      </w:r>
      <w:r w:rsidR="003475A8" w:rsidRPr="00EA7DCD">
        <w:t>xid titaničitý (E</w:t>
      </w:r>
      <w:r w:rsidR="001C7920" w:rsidRPr="00EA7DCD">
        <w:t> </w:t>
      </w:r>
      <w:r w:rsidR="003475A8" w:rsidRPr="00EA7DCD">
        <w:t>171)</w:t>
      </w:r>
    </w:p>
    <w:p w14:paraId="4C66A648" w14:textId="77777777" w:rsidR="00AE0CBE" w:rsidRPr="00EA7DCD" w:rsidRDefault="00175E3A" w:rsidP="00F8723B">
      <w:pPr>
        <w:pStyle w:val="Normlndobloku"/>
      </w:pPr>
      <w:r w:rsidRPr="00EA7DCD">
        <w:t>m</w:t>
      </w:r>
      <w:r w:rsidR="003475A8" w:rsidRPr="00EA7DCD">
        <w:t>akrogol 400</w:t>
      </w:r>
    </w:p>
    <w:p w14:paraId="190603E8" w14:textId="757A132B" w:rsidR="00C42324" w:rsidRPr="00EA7DCD" w:rsidRDefault="00175E3A" w:rsidP="00F8723B">
      <w:pPr>
        <w:pStyle w:val="Normlndobloku"/>
      </w:pPr>
      <w:r w:rsidRPr="00EA7DCD">
        <w:t>ž</w:t>
      </w:r>
      <w:r w:rsidR="00C42324" w:rsidRPr="00EA7DCD">
        <w:t>lť chinol</w:t>
      </w:r>
      <w:r w:rsidR="00694DDA" w:rsidRPr="00EA7DCD">
        <w:t>í</w:t>
      </w:r>
      <w:r w:rsidR="00C42324" w:rsidRPr="00EA7DCD">
        <w:t>nová – hliníkový lak (E 104)</w:t>
      </w:r>
    </w:p>
    <w:p w14:paraId="16D09667" w14:textId="77777777" w:rsidR="00AE0CBE" w:rsidRPr="00EA7DCD" w:rsidRDefault="00175E3A" w:rsidP="00F8723B">
      <w:pPr>
        <w:pStyle w:val="Normlndobloku"/>
      </w:pPr>
      <w:r w:rsidRPr="00EA7DCD">
        <w:t>m</w:t>
      </w:r>
      <w:r w:rsidR="003475A8" w:rsidRPr="00EA7DCD">
        <w:t>akrogol 6</w:t>
      </w:r>
      <w:r w:rsidR="0071681A" w:rsidRPr="00EA7DCD">
        <w:t> </w:t>
      </w:r>
      <w:r w:rsidR="003475A8" w:rsidRPr="00EA7DCD">
        <w:t>000</w:t>
      </w:r>
    </w:p>
    <w:p w14:paraId="5B26ACF5" w14:textId="77777777" w:rsidR="00AE0CBE" w:rsidRPr="00EA7DCD" w:rsidRDefault="00AE0CBE" w:rsidP="00F8723B">
      <w:pPr>
        <w:pStyle w:val="Normlndobloku"/>
      </w:pPr>
    </w:p>
    <w:p w14:paraId="75C60E0A" w14:textId="77777777" w:rsidR="00AE0CBE" w:rsidRPr="00EA7DCD" w:rsidRDefault="00FD04A3">
      <w:pPr>
        <w:pStyle w:val="Styl2"/>
      </w:pPr>
      <w:r w:rsidRPr="00EA7DCD">
        <w:t>Inkompatibility</w:t>
      </w:r>
    </w:p>
    <w:p w14:paraId="4A158A12" w14:textId="77777777" w:rsidR="00AE0CBE" w:rsidRPr="00EA7DCD" w:rsidRDefault="00AE0CBE" w:rsidP="00F8723B">
      <w:pPr>
        <w:pStyle w:val="Normlndobloku"/>
      </w:pPr>
    </w:p>
    <w:p w14:paraId="375EB8DE" w14:textId="77777777" w:rsidR="00AE0CBE" w:rsidRPr="00EA7DCD" w:rsidRDefault="00FD04A3" w:rsidP="00F8723B">
      <w:pPr>
        <w:pStyle w:val="Normlndobloku"/>
      </w:pPr>
      <w:r w:rsidRPr="00EA7DCD">
        <w:t>N</w:t>
      </w:r>
      <w:r w:rsidR="0071681A" w:rsidRPr="00EA7DCD">
        <w:t>eaplikovateľné</w:t>
      </w:r>
      <w:r w:rsidRPr="00EA7DCD">
        <w:t>.</w:t>
      </w:r>
    </w:p>
    <w:p w14:paraId="47E6FECE" w14:textId="77777777" w:rsidR="00AE0CBE" w:rsidRPr="00EA7DCD" w:rsidRDefault="00AE0CBE" w:rsidP="00F8723B">
      <w:pPr>
        <w:pStyle w:val="Normlndobloku"/>
      </w:pPr>
    </w:p>
    <w:p w14:paraId="03C9FCBB" w14:textId="77777777" w:rsidR="00AE0CBE" w:rsidRPr="00EA7DCD" w:rsidRDefault="00FD04A3">
      <w:pPr>
        <w:pStyle w:val="Styl2"/>
      </w:pPr>
      <w:r w:rsidRPr="00EA7DCD">
        <w:t>Čas použiteľnosti</w:t>
      </w:r>
    </w:p>
    <w:p w14:paraId="76F147E1" w14:textId="77777777" w:rsidR="00AE0CBE" w:rsidRPr="00EA7DCD" w:rsidRDefault="00AE0CBE" w:rsidP="00F8723B">
      <w:pPr>
        <w:pStyle w:val="Normlndobloku"/>
      </w:pPr>
    </w:p>
    <w:p w14:paraId="215F7A8D" w14:textId="77777777" w:rsidR="00AE0CBE" w:rsidRPr="00EA7DCD" w:rsidRDefault="00FD04A3" w:rsidP="00F8723B">
      <w:pPr>
        <w:pStyle w:val="Normlndobloku"/>
      </w:pPr>
      <w:r w:rsidRPr="00EA7DCD">
        <w:t>3 roky</w:t>
      </w:r>
    </w:p>
    <w:p w14:paraId="66ED37C8" w14:textId="77777777" w:rsidR="00AE0CBE" w:rsidRPr="00EA7DCD" w:rsidRDefault="00AE0CBE" w:rsidP="00F8723B">
      <w:pPr>
        <w:pStyle w:val="Normlndobloku"/>
      </w:pPr>
    </w:p>
    <w:p w14:paraId="3581D537" w14:textId="77777777" w:rsidR="00AE0CBE" w:rsidRPr="00EA7DCD" w:rsidRDefault="00FD04A3">
      <w:pPr>
        <w:pStyle w:val="Styl2"/>
      </w:pPr>
      <w:r w:rsidRPr="00EA7DCD">
        <w:t>Špeciálne upozornenia na uchovávanie</w:t>
      </w:r>
    </w:p>
    <w:p w14:paraId="50DD657D" w14:textId="77777777" w:rsidR="00AE0CBE" w:rsidRPr="00EA7DCD" w:rsidRDefault="00AE0CBE" w:rsidP="00F8723B">
      <w:pPr>
        <w:pStyle w:val="Normlndobloku"/>
      </w:pPr>
    </w:p>
    <w:p w14:paraId="588B4353" w14:textId="77777777" w:rsidR="00AE0CBE" w:rsidRPr="00EA7DCD" w:rsidRDefault="00FD04A3" w:rsidP="00F8723B">
      <w:pPr>
        <w:pStyle w:val="Normlndobloku"/>
      </w:pPr>
      <w:r w:rsidRPr="00EA7DCD">
        <w:t xml:space="preserve">Uchovávajte </w:t>
      </w:r>
      <w:r w:rsidR="00513D2E" w:rsidRPr="00EA7DCD">
        <w:t>pri teplote do 25</w:t>
      </w:r>
      <w:r w:rsidR="001C7920" w:rsidRPr="00EA7DCD">
        <w:t> </w:t>
      </w:r>
      <w:r w:rsidRPr="00EA7DCD">
        <w:t>°C v pôvodnom obale na ochranu pred svetlom a</w:t>
      </w:r>
      <w:r w:rsidR="0071681A" w:rsidRPr="00EA7DCD">
        <w:t> </w:t>
      </w:r>
      <w:r w:rsidRPr="00EA7DCD">
        <w:t>vlhkosťou.</w:t>
      </w:r>
    </w:p>
    <w:p w14:paraId="71A2BBF6" w14:textId="77777777" w:rsidR="00AE0CBE" w:rsidRPr="00EA7DCD" w:rsidRDefault="00AE0CBE" w:rsidP="00F8723B">
      <w:pPr>
        <w:pStyle w:val="Normlndobloku"/>
      </w:pPr>
    </w:p>
    <w:p w14:paraId="0B11D364" w14:textId="77777777" w:rsidR="00AE0CBE" w:rsidRPr="00EA7DCD" w:rsidRDefault="00FD04A3">
      <w:pPr>
        <w:pStyle w:val="Styl2"/>
      </w:pPr>
      <w:r w:rsidRPr="00EA7DCD">
        <w:t>Druh obalu a obsah balenia</w:t>
      </w:r>
    </w:p>
    <w:p w14:paraId="45E76318" w14:textId="77777777" w:rsidR="00AE0CBE" w:rsidRPr="00EA7DCD" w:rsidRDefault="00AE0CBE" w:rsidP="00F8723B">
      <w:pPr>
        <w:pStyle w:val="Normlndobloku"/>
      </w:pPr>
    </w:p>
    <w:p w14:paraId="58D1594C" w14:textId="77777777" w:rsidR="00AE0CBE" w:rsidRPr="00EA7DCD" w:rsidRDefault="00E56272" w:rsidP="00E43482">
      <w:pPr>
        <w:pStyle w:val="Styl3"/>
      </w:pPr>
      <w:r w:rsidRPr="00EA7DCD">
        <w:t>Balenie</w:t>
      </w:r>
      <w:r w:rsidR="001D7A30" w:rsidRPr="00EA7DCD">
        <w:t xml:space="preserve"> 14, 30 a</w:t>
      </w:r>
      <w:r w:rsidR="001C7920" w:rsidRPr="00EA7DCD">
        <w:t> </w:t>
      </w:r>
      <w:r w:rsidR="001D7A30" w:rsidRPr="00EA7DCD">
        <w:t>50 tabl</w:t>
      </w:r>
      <w:r w:rsidRPr="00EA7DCD">
        <w:t>i</w:t>
      </w:r>
      <w:r w:rsidR="00F87EE4" w:rsidRPr="00EA7DCD">
        <w:t>et</w:t>
      </w:r>
    </w:p>
    <w:p w14:paraId="725BA0AF" w14:textId="77777777" w:rsidR="00AE0CBE" w:rsidRPr="00EA7DCD" w:rsidRDefault="00F87EE4" w:rsidP="00F8723B">
      <w:pPr>
        <w:pStyle w:val="Normlndobloku"/>
      </w:pPr>
      <w:r w:rsidRPr="00EA7DCD">
        <w:t>Šedá fľaška</w:t>
      </w:r>
      <w:r w:rsidR="00E56272" w:rsidRPr="00EA7DCD">
        <w:t xml:space="preserve"> z plastickej</w:t>
      </w:r>
      <w:r w:rsidR="00DC0EF8" w:rsidRPr="00EA7DCD">
        <w:t xml:space="preserve"> hmoty </w:t>
      </w:r>
      <w:r w:rsidR="00E56272" w:rsidRPr="00EA7DCD">
        <w:t>s</w:t>
      </w:r>
      <w:r w:rsidR="001C7920" w:rsidRPr="00EA7DCD">
        <w:t> </w:t>
      </w:r>
      <w:r w:rsidR="00E56272" w:rsidRPr="00EA7DCD">
        <w:t>bielym bezpečnostným uzáverom (PE)</w:t>
      </w:r>
    </w:p>
    <w:p w14:paraId="40303EE1" w14:textId="77777777" w:rsidR="00AE0CBE" w:rsidRPr="00EA7DCD" w:rsidRDefault="00AE0CBE" w:rsidP="00F8723B">
      <w:pPr>
        <w:pStyle w:val="Normlndobloku"/>
      </w:pPr>
    </w:p>
    <w:p w14:paraId="15E90765" w14:textId="77777777" w:rsidR="00AE0CBE" w:rsidRPr="00EA7DCD" w:rsidRDefault="00E56272" w:rsidP="00E43482">
      <w:pPr>
        <w:pStyle w:val="Styl3"/>
      </w:pPr>
      <w:r w:rsidRPr="00EA7DCD">
        <w:t>Balenie</w:t>
      </w:r>
      <w:r w:rsidR="001D7A30" w:rsidRPr="00EA7DCD">
        <w:t xml:space="preserve"> 100, 500 a</w:t>
      </w:r>
      <w:r w:rsidR="001C7920" w:rsidRPr="00EA7DCD">
        <w:t> </w:t>
      </w:r>
      <w:r w:rsidR="001D7A30" w:rsidRPr="00EA7DCD">
        <w:t>1000 tabl</w:t>
      </w:r>
      <w:r w:rsidRPr="00EA7DCD">
        <w:t>i</w:t>
      </w:r>
      <w:r w:rsidR="00F87EE4" w:rsidRPr="00EA7DCD">
        <w:t>et</w:t>
      </w:r>
    </w:p>
    <w:p w14:paraId="27CD7660" w14:textId="77777777" w:rsidR="00AE0CBE" w:rsidRPr="00EA7DCD" w:rsidRDefault="00F87EE4" w:rsidP="00F8723B">
      <w:pPr>
        <w:pStyle w:val="Normlndobloku"/>
      </w:pPr>
      <w:r w:rsidRPr="00EA7DCD">
        <w:t>Šedá fľaška</w:t>
      </w:r>
      <w:r w:rsidR="00E56272" w:rsidRPr="00EA7DCD">
        <w:t xml:space="preserve"> z</w:t>
      </w:r>
      <w:r w:rsidR="001C7920" w:rsidRPr="00EA7DCD">
        <w:t> </w:t>
      </w:r>
      <w:r w:rsidR="00E56272" w:rsidRPr="00EA7DCD">
        <w:t>plastickej</w:t>
      </w:r>
      <w:r w:rsidR="00DC0EF8" w:rsidRPr="00EA7DCD">
        <w:t xml:space="preserve"> hmoty </w:t>
      </w:r>
      <w:r w:rsidR="00E56272" w:rsidRPr="00EA7DCD">
        <w:t>s</w:t>
      </w:r>
      <w:r w:rsidR="001C7920" w:rsidRPr="00EA7DCD">
        <w:t> </w:t>
      </w:r>
      <w:r w:rsidR="00E56272" w:rsidRPr="00EA7DCD">
        <w:t>bielym bezpečnostným uzáverom</w:t>
      </w:r>
      <w:r w:rsidR="001D7A30" w:rsidRPr="00EA7DCD">
        <w:t xml:space="preserve"> (PE)</w:t>
      </w:r>
    </w:p>
    <w:p w14:paraId="1E6FD36B" w14:textId="77777777" w:rsidR="00CB52C3" w:rsidRPr="00EA7DCD" w:rsidRDefault="00CB52C3" w:rsidP="00F8723B">
      <w:pPr>
        <w:pStyle w:val="Normlndobloku"/>
      </w:pPr>
    </w:p>
    <w:p w14:paraId="1042FBB2" w14:textId="61A5530C" w:rsidR="00AE0CBE" w:rsidRPr="00EA7DCD" w:rsidRDefault="00E56272" w:rsidP="00F8723B">
      <w:pPr>
        <w:pStyle w:val="Normlndobloku"/>
      </w:pPr>
      <w:r w:rsidRPr="00EA7DCD">
        <w:t>Na trh nemusia byť uvedené všetky veľkosti balenia</w:t>
      </w:r>
      <w:r w:rsidR="00FD04A3" w:rsidRPr="00EA7DCD">
        <w:t>.</w:t>
      </w:r>
    </w:p>
    <w:p w14:paraId="74BEA5B1" w14:textId="77777777" w:rsidR="00AE0CBE" w:rsidRPr="00EA7DCD" w:rsidRDefault="00AE0CBE" w:rsidP="00F8723B">
      <w:pPr>
        <w:pStyle w:val="Normlndobloku"/>
      </w:pPr>
    </w:p>
    <w:p w14:paraId="50E762D2" w14:textId="77777777" w:rsidR="00AE0CBE" w:rsidRPr="00EA7DCD" w:rsidRDefault="00513D2E">
      <w:pPr>
        <w:pStyle w:val="Styl2"/>
      </w:pPr>
      <w:r w:rsidRPr="00EA7DCD">
        <w:t>Š</w:t>
      </w:r>
      <w:r w:rsidR="00732313" w:rsidRPr="00EA7DCD">
        <w:t>peciálne o</w:t>
      </w:r>
      <w:r w:rsidR="00FD04A3" w:rsidRPr="00EA7DCD">
        <w:t>patrenia na likvidáciu a</w:t>
      </w:r>
      <w:r w:rsidR="00335201" w:rsidRPr="00EA7DCD">
        <w:t> </w:t>
      </w:r>
      <w:r w:rsidR="00FD04A3" w:rsidRPr="00EA7DCD">
        <w:t>iné zaobchádzanie s</w:t>
      </w:r>
      <w:r w:rsidR="0071681A" w:rsidRPr="00EA7DCD">
        <w:t> </w:t>
      </w:r>
      <w:r w:rsidR="00FD04A3" w:rsidRPr="00EA7DCD">
        <w:t>liekom</w:t>
      </w:r>
    </w:p>
    <w:p w14:paraId="57C7054E" w14:textId="77777777" w:rsidR="00AE0CBE" w:rsidRPr="00EA7DCD" w:rsidRDefault="00AE0CBE" w:rsidP="00F8723B">
      <w:pPr>
        <w:pStyle w:val="Normlndobloku"/>
      </w:pPr>
    </w:p>
    <w:p w14:paraId="09235436" w14:textId="77777777" w:rsidR="00AE0CBE" w:rsidRPr="00EA7DCD" w:rsidRDefault="00FD04A3" w:rsidP="00F8723B">
      <w:pPr>
        <w:pStyle w:val="Normlndobloku"/>
      </w:pPr>
      <w:r w:rsidRPr="00EA7DCD">
        <w:t>Žiadne zvláštne požiadavky.</w:t>
      </w:r>
    </w:p>
    <w:p w14:paraId="2B624B0C" w14:textId="77777777" w:rsidR="00AE0CBE" w:rsidRPr="00EA7DCD" w:rsidRDefault="00AE0CBE" w:rsidP="00F8723B">
      <w:pPr>
        <w:pStyle w:val="Normlndobloku"/>
      </w:pPr>
    </w:p>
    <w:p w14:paraId="74E5E45F" w14:textId="77777777" w:rsidR="00AE0CBE" w:rsidRPr="00EA7DCD" w:rsidRDefault="00AE0CBE" w:rsidP="00F8723B">
      <w:pPr>
        <w:pStyle w:val="Normlndobloku"/>
      </w:pPr>
    </w:p>
    <w:p w14:paraId="3277089F" w14:textId="77777777" w:rsidR="00AE0CBE" w:rsidRPr="00EA7DCD" w:rsidRDefault="00FD04A3">
      <w:pPr>
        <w:pStyle w:val="Styl10"/>
      </w:pPr>
      <w:r w:rsidRPr="00EA7DCD">
        <w:t>Držiteľ rozhodnutia o registrácii</w:t>
      </w:r>
    </w:p>
    <w:p w14:paraId="1B929C32" w14:textId="77777777" w:rsidR="00AE0CBE" w:rsidRPr="00EA7DCD" w:rsidRDefault="00AE0CBE" w:rsidP="00F8723B">
      <w:pPr>
        <w:pStyle w:val="Normlndobloku"/>
      </w:pPr>
    </w:p>
    <w:p w14:paraId="627EFB3C" w14:textId="77777777" w:rsidR="00AE0CBE" w:rsidRPr="00EA7DCD" w:rsidRDefault="00FD04A3" w:rsidP="00F8723B">
      <w:pPr>
        <w:pStyle w:val="Normlndobloku"/>
      </w:pPr>
      <w:r w:rsidRPr="00EA7DCD">
        <w:t xml:space="preserve">MEDOCHEMIE Ltd., </w:t>
      </w:r>
      <w:r w:rsidR="001C7920" w:rsidRPr="00EA7DCD">
        <w:t>1-10 Constantinoupoleos Street</w:t>
      </w:r>
      <w:r w:rsidR="00C7045E" w:rsidRPr="00EA7DCD">
        <w:t>,</w:t>
      </w:r>
      <w:r w:rsidR="001C7920" w:rsidRPr="00EA7DCD">
        <w:t xml:space="preserve"> </w:t>
      </w:r>
      <w:r w:rsidR="00C7045E" w:rsidRPr="00EA7DCD">
        <w:t xml:space="preserve">3011 </w:t>
      </w:r>
      <w:r w:rsidRPr="00EA7DCD">
        <w:t>Limassol, Cyprus</w:t>
      </w:r>
    </w:p>
    <w:p w14:paraId="3C791B2B" w14:textId="77777777" w:rsidR="00AE0CBE" w:rsidRPr="00EA7DCD" w:rsidRDefault="00AE0CBE" w:rsidP="00F8723B">
      <w:pPr>
        <w:pStyle w:val="Normlndobloku"/>
      </w:pPr>
    </w:p>
    <w:p w14:paraId="0D140974" w14:textId="77777777" w:rsidR="00AE0CBE" w:rsidRPr="00EA7DCD" w:rsidRDefault="00AE0CBE" w:rsidP="00F8723B">
      <w:pPr>
        <w:pStyle w:val="Normlndobloku"/>
      </w:pPr>
    </w:p>
    <w:p w14:paraId="54BB6FE5" w14:textId="77777777" w:rsidR="00AE0CBE" w:rsidRPr="00EA7DCD" w:rsidRDefault="00FD04A3">
      <w:pPr>
        <w:pStyle w:val="Styl10"/>
      </w:pPr>
      <w:r w:rsidRPr="00EA7DCD">
        <w:t>Registračné číslo</w:t>
      </w:r>
    </w:p>
    <w:p w14:paraId="35C08C58" w14:textId="77777777" w:rsidR="00AE0CBE" w:rsidRPr="00EA7DCD" w:rsidRDefault="00AE0CBE" w:rsidP="00F8723B">
      <w:pPr>
        <w:pStyle w:val="Normlndobloku"/>
      </w:pPr>
    </w:p>
    <w:p w14:paraId="36D4D1E1" w14:textId="77777777" w:rsidR="00AE0CBE" w:rsidRPr="00EA7DCD" w:rsidRDefault="00FD04A3" w:rsidP="00F8723B">
      <w:pPr>
        <w:pStyle w:val="Normlndobloku"/>
      </w:pPr>
      <w:r w:rsidRPr="00EA7DCD">
        <w:t>42/0647/94-S</w:t>
      </w:r>
    </w:p>
    <w:p w14:paraId="1D846A46" w14:textId="77777777" w:rsidR="00AE0CBE" w:rsidRPr="00EA7DCD" w:rsidRDefault="00AE0CBE" w:rsidP="00F8723B">
      <w:pPr>
        <w:pStyle w:val="Normlndobloku"/>
      </w:pPr>
    </w:p>
    <w:p w14:paraId="7BEDC87B" w14:textId="77777777" w:rsidR="00AE0CBE" w:rsidRPr="00EA7DCD" w:rsidRDefault="00AE0CBE" w:rsidP="00F8723B">
      <w:pPr>
        <w:pStyle w:val="Normlndobloku"/>
      </w:pPr>
    </w:p>
    <w:p w14:paraId="6C311AB4" w14:textId="49CF6448" w:rsidR="00AE0CBE" w:rsidRPr="00EA7DCD" w:rsidRDefault="00FD04A3">
      <w:pPr>
        <w:pStyle w:val="Styl10"/>
      </w:pPr>
      <w:r w:rsidRPr="00EA7DCD">
        <w:t>Dátum PRVEJ registrácie/predĺženia registrácie</w:t>
      </w:r>
    </w:p>
    <w:p w14:paraId="32DA6DB1" w14:textId="77777777" w:rsidR="0071681A" w:rsidRPr="00EA7DCD" w:rsidRDefault="0071681A" w:rsidP="00732313">
      <w:pPr>
        <w:rPr>
          <w:noProof/>
          <w:lang w:val="sk-SK"/>
        </w:rPr>
      </w:pPr>
    </w:p>
    <w:p w14:paraId="00AEF459" w14:textId="77777777" w:rsidR="00732313" w:rsidRPr="00EA7DCD" w:rsidRDefault="00E56272" w:rsidP="00732313">
      <w:pPr>
        <w:rPr>
          <w:noProof/>
          <w:lang w:val="sk-SK"/>
        </w:rPr>
      </w:pPr>
      <w:r w:rsidRPr="00EA7DCD">
        <w:rPr>
          <w:noProof/>
          <w:lang w:val="sk-SK"/>
        </w:rPr>
        <w:t xml:space="preserve">Dátum prvej registrácie: 26. októbra </w:t>
      </w:r>
      <w:r w:rsidR="00732313" w:rsidRPr="00EA7DCD">
        <w:rPr>
          <w:noProof/>
          <w:lang w:val="sk-SK"/>
        </w:rPr>
        <w:t>1994</w:t>
      </w:r>
    </w:p>
    <w:p w14:paraId="52E0B407" w14:textId="3446EEA1" w:rsidR="00AE0CBE" w:rsidRPr="00EA7DCD" w:rsidRDefault="00732313">
      <w:pPr>
        <w:rPr>
          <w:lang w:val="sk-SK"/>
        </w:rPr>
      </w:pPr>
      <w:r w:rsidRPr="00EA7DCD">
        <w:rPr>
          <w:noProof/>
          <w:lang w:val="sk-SK"/>
        </w:rPr>
        <w:t xml:space="preserve">Dátum posledného predĺženia registrácie: </w:t>
      </w:r>
      <w:r w:rsidR="00E56272" w:rsidRPr="00EA7DCD">
        <w:rPr>
          <w:noProof/>
          <w:lang w:val="sk-SK"/>
        </w:rPr>
        <w:t>16. októbra 2006</w:t>
      </w:r>
    </w:p>
    <w:p w14:paraId="11674524" w14:textId="77777777" w:rsidR="00AE0CBE" w:rsidRPr="00EA7DCD" w:rsidRDefault="00AE0CBE">
      <w:pPr>
        <w:rPr>
          <w:lang w:val="sk-SK"/>
        </w:rPr>
      </w:pPr>
    </w:p>
    <w:p w14:paraId="41D437CA" w14:textId="77777777" w:rsidR="00AE0CBE" w:rsidRPr="00EA7DCD" w:rsidRDefault="00AE0CBE">
      <w:pPr>
        <w:rPr>
          <w:lang w:val="sk-SK"/>
        </w:rPr>
      </w:pPr>
    </w:p>
    <w:p w14:paraId="056D25B1" w14:textId="77777777" w:rsidR="00AE0CBE" w:rsidRPr="00EA7DCD" w:rsidRDefault="00FD04A3">
      <w:pPr>
        <w:pStyle w:val="Styl10"/>
      </w:pPr>
      <w:r w:rsidRPr="00EA7DCD">
        <w:lastRenderedPageBreak/>
        <w:t>Dátum revízie textu</w:t>
      </w:r>
    </w:p>
    <w:p w14:paraId="474B9A98" w14:textId="77777777" w:rsidR="00AE0CBE" w:rsidRPr="00EA7DCD" w:rsidRDefault="00AE0CBE" w:rsidP="00F8723B">
      <w:pPr>
        <w:pStyle w:val="Normlndobloku"/>
      </w:pPr>
    </w:p>
    <w:p w14:paraId="3A7681E6" w14:textId="380E6509" w:rsidR="00031236" w:rsidRPr="00EA7DCD" w:rsidRDefault="00376F6F" w:rsidP="00F8723B">
      <w:pPr>
        <w:pStyle w:val="Normlndobloku"/>
      </w:pPr>
      <w:r w:rsidRPr="00EA7DCD">
        <w:t>01/2021</w:t>
      </w:r>
    </w:p>
    <w:sectPr w:rsidR="00031236" w:rsidRPr="00EA7DCD" w:rsidSect="00952E49">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B986A" w14:textId="77777777" w:rsidR="0047535A" w:rsidRDefault="0047535A">
      <w:r>
        <w:separator/>
      </w:r>
    </w:p>
    <w:p w14:paraId="4282F792" w14:textId="77777777" w:rsidR="0047535A" w:rsidRDefault="0047535A"/>
  </w:endnote>
  <w:endnote w:type="continuationSeparator" w:id="0">
    <w:p w14:paraId="5000213D" w14:textId="77777777" w:rsidR="0047535A" w:rsidRDefault="0047535A">
      <w:r>
        <w:continuationSeparator/>
      </w:r>
    </w:p>
    <w:p w14:paraId="3007F036" w14:textId="77777777" w:rsidR="0047535A" w:rsidRDefault="00475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98FA0" w14:textId="77777777" w:rsidR="004A3357" w:rsidRDefault="004A3357" w:rsidP="00940DD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737DD5F" w14:textId="77777777" w:rsidR="004A3357" w:rsidRDefault="004A3357">
    <w:pPr>
      <w:pStyle w:val="Pta"/>
    </w:pPr>
  </w:p>
  <w:p w14:paraId="25343CE3" w14:textId="77777777" w:rsidR="004A3357" w:rsidRDefault="004A33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7668"/>
      <w:docPartObj>
        <w:docPartGallery w:val="Page Numbers (Bottom of Page)"/>
        <w:docPartUnique/>
      </w:docPartObj>
    </w:sdtPr>
    <w:sdtEndPr>
      <w:rPr>
        <w:rFonts w:ascii="Times New Roman" w:hAnsi="Times New Roman"/>
        <w:sz w:val="18"/>
        <w:szCs w:val="18"/>
      </w:rPr>
    </w:sdtEndPr>
    <w:sdtContent>
      <w:p w14:paraId="75F896D4" w14:textId="77777777" w:rsidR="004A3357" w:rsidRPr="00554031" w:rsidRDefault="004A3357" w:rsidP="00554031">
        <w:pPr>
          <w:pStyle w:val="Pta"/>
          <w:jc w:val="center"/>
          <w:rPr>
            <w:rFonts w:ascii="Times New Roman" w:hAnsi="Times New Roman"/>
            <w:sz w:val="18"/>
            <w:szCs w:val="18"/>
          </w:rPr>
        </w:pPr>
        <w:r w:rsidRPr="00F64A65">
          <w:rPr>
            <w:rFonts w:ascii="Times New Roman" w:hAnsi="Times New Roman"/>
            <w:sz w:val="18"/>
            <w:szCs w:val="18"/>
          </w:rPr>
          <w:fldChar w:fldCharType="begin"/>
        </w:r>
        <w:r w:rsidRPr="00F64A65">
          <w:rPr>
            <w:rFonts w:ascii="Times New Roman" w:hAnsi="Times New Roman"/>
            <w:sz w:val="18"/>
            <w:szCs w:val="18"/>
          </w:rPr>
          <w:instrText xml:space="preserve"> PAGE   \* MERGEFORMAT </w:instrText>
        </w:r>
        <w:r w:rsidRPr="00F64A65">
          <w:rPr>
            <w:rFonts w:ascii="Times New Roman" w:hAnsi="Times New Roman"/>
            <w:sz w:val="18"/>
            <w:szCs w:val="18"/>
          </w:rPr>
          <w:fldChar w:fldCharType="separate"/>
        </w:r>
        <w:r w:rsidR="008976D7">
          <w:rPr>
            <w:rFonts w:ascii="Times New Roman" w:hAnsi="Times New Roman"/>
            <w:noProof/>
            <w:sz w:val="18"/>
            <w:szCs w:val="18"/>
          </w:rPr>
          <w:t>1</w:t>
        </w:r>
        <w:r w:rsidRPr="00F64A65">
          <w:rPr>
            <w:rFonts w:ascii="Times New Roman" w:hAnsi="Times New Roman"/>
            <w:sz w:val="18"/>
            <w:szCs w:val="18"/>
          </w:rPr>
          <w:fldChar w:fldCharType="end"/>
        </w:r>
      </w:p>
    </w:sdtContent>
  </w:sdt>
  <w:p w14:paraId="5CBF4B15" w14:textId="77777777" w:rsidR="004A3357" w:rsidRDefault="004A33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7658"/>
      <w:docPartObj>
        <w:docPartGallery w:val="Page Numbers (Bottom of Page)"/>
        <w:docPartUnique/>
      </w:docPartObj>
    </w:sdtPr>
    <w:sdtEndPr>
      <w:rPr>
        <w:rFonts w:ascii="Times New Roman" w:hAnsi="Times New Roman"/>
        <w:sz w:val="18"/>
        <w:szCs w:val="18"/>
      </w:rPr>
    </w:sdtEndPr>
    <w:sdtContent>
      <w:p w14:paraId="28B8E8EF" w14:textId="77777777" w:rsidR="004A3357" w:rsidRPr="00554031" w:rsidRDefault="004A3357" w:rsidP="00554031">
        <w:pPr>
          <w:pStyle w:val="Pta"/>
          <w:jc w:val="center"/>
          <w:rPr>
            <w:rFonts w:ascii="Times New Roman" w:hAnsi="Times New Roman"/>
            <w:sz w:val="18"/>
            <w:szCs w:val="18"/>
          </w:rPr>
        </w:pPr>
        <w:r w:rsidRPr="00F64A65">
          <w:rPr>
            <w:rFonts w:ascii="Times New Roman" w:hAnsi="Times New Roman"/>
            <w:sz w:val="18"/>
            <w:szCs w:val="18"/>
          </w:rPr>
          <w:fldChar w:fldCharType="begin"/>
        </w:r>
        <w:r w:rsidRPr="00F64A65">
          <w:rPr>
            <w:rFonts w:ascii="Times New Roman" w:hAnsi="Times New Roman"/>
            <w:sz w:val="18"/>
            <w:szCs w:val="18"/>
          </w:rPr>
          <w:instrText xml:space="preserve"> PAGE   \* MERGEFORMAT </w:instrText>
        </w:r>
        <w:r w:rsidRPr="00F64A65">
          <w:rPr>
            <w:rFonts w:ascii="Times New Roman" w:hAnsi="Times New Roman"/>
            <w:sz w:val="18"/>
            <w:szCs w:val="18"/>
          </w:rPr>
          <w:fldChar w:fldCharType="separate"/>
        </w:r>
        <w:r>
          <w:rPr>
            <w:rFonts w:ascii="Times New Roman" w:hAnsi="Times New Roman"/>
            <w:noProof/>
            <w:sz w:val="18"/>
            <w:szCs w:val="18"/>
          </w:rPr>
          <w:t>1</w:t>
        </w:r>
        <w:r w:rsidRPr="00F64A65">
          <w:rPr>
            <w:rFonts w:ascii="Times New Roman" w:hAnsi="Times New Roman"/>
            <w:sz w:val="18"/>
            <w:szCs w:val="18"/>
          </w:rPr>
          <w:fldChar w:fldCharType="end"/>
        </w:r>
      </w:p>
    </w:sdtContent>
  </w:sdt>
  <w:p w14:paraId="58CCE5ED" w14:textId="77777777" w:rsidR="004A3357" w:rsidRDefault="004A33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60D28" w14:textId="77777777" w:rsidR="0047535A" w:rsidRDefault="0047535A">
      <w:r>
        <w:separator/>
      </w:r>
    </w:p>
    <w:p w14:paraId="2D13B556" w14:textId="77777777" w:rsidR="0047535A" w:rsidRDefault="0047535A"/>
  </w:footnote>
  <w:footnote w:type="continuationSeparator" w:id="0">
    <w:p w14:paraId="416F3EDA" w14:textId="77777777" w:rsidR="0047535A" w:rsidRDefault="0047535A">
      <w:r>
        <w:continuationSeparator/>
      </w:r>
    </w:p>
    <w:p w14:paraId="63CB15AC" w14:textId="77777777" w:rsidR="0047535A" w:rsidRDefault="00475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1D9C" w14:textId="559504A5" w:rsidR="004A3357" w:rsidRDefault="004A3357">
    <w:pPr>
      <w:pStyle w:val="Hlavika"/>
      <w:rPr>
        <w:sz w:val="18"/>
        <w:szCs w:val="18"/>
      </w:rPr>
    </w:pPr>
  </w:p>
  <w:p w14:paraId="0347CAB5" w14:textId="303A5EA5" w:rsidR="004A3357" w:rsidRDefault="004A3357">
    <w:pPr>
      <w:pStyle w:val="Hlavika"/>
    </w:pPr>
    <w:r w:rsidRPr="00F64A65">
      <w:rPr>
        <w:sz w:val="18"/>
        <w:szCs w:val="18"/>
      </w:rPr>
      <w:t>Príloha č.</w:t>
    </w:r>
    <w:r>
      <w:rPr>
        <w:sz w:val="18"/>
        <w:szCs w:val="18"/>
      </w:rPr>
      <w:t xml:space="preserve"> </w:t>
    </w:r>
    <w:r w:rsidRPr="00F64A65">
      <w:rPr>
        <w:sz w:val="18"/>
        <w:szCs w:val="18"/>
      </w:rPr>
      <w:t>1 k notifikácii o zmene, ev. č</w:t>
    </w:r>
    <w:r w:rsidRPr="00E43482">
      <w:rPr>
        <w:sz w:val="18"/>
        <w:szCs w:val="18"/>
      </w:rPr>
      <w:t xml:space="preserve">.: </w:t>
    </w:r>
    <w:r>
      <w:rPr>
        <w:sz w:val="18"/>
        <w:szCs w:val="18"/>
      </w:rPr>
      <w:t>2020/06223-Z1A</w:t>
    </w:r>
  </w:p>
  <w:p w14:paraId="74383DD8" w14:textId="77777777" w:rsidR="004A3357" w:rsidRDefault="004A33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30FB" w14:textId="77777777" w:rsidR="004A3357" w:rsidRPr="00B67644" w:rsidRDefault="004A3357">
    <w:pPr>
      <w:pStyle w:val="Hlavika"/>
      <w:rPr>
        <w:sz w:val="18"/>
        <w:szCs w:val="18"/>
      </w:rPr>
    </w:pPr>
    <w:r w:rsidRPr="00F64A65">
      <w:rPr>
        <w:sz w:val="18"/>
        <w:szCs w:val="18"/>
      </w:rPr>
      <w:t>Príloha č.1 k notifikácii o zmene, ev. č.:</w:t>
    </w:r>
  </w:p>
  <w:p w14:paraId="477E0D29" w14:textId="77777777" w:rsidR="004A3357" w:rsidRDefault="004A33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E83"/>
    <w:multiLevelType w:val="hybridMultilevel"/>
    <w:tmpl w:val="EA4E6A1E"/>
    <w:lvl w:ilvl="0" w:tplc="93D4B298">
      <w:start w:val="1"/>
      <w:numFmt w:val="bullet"/>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797"/>
        </w:tabs>
        <w:ind w:left="1797" w:hanging="360"/>
      </w:pPr>
      <w:rPr>
        <w:rFonts w:ascii="Courier New" w:hAnsi="Courier New" w:cs="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cs="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cs="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74C7DB5"/>
    <w:multiLevelType w:val="hybridMultilevel"/>
    <w:tmpl w:val="BE1602A4"/>
    <w:lvl w:ilvl="0" w:tplc="CF9C386A">
      <w:start w:val="1"/>
      <w:numFmt w:val="bullet"/>
      <w:pStyle w:val="Normlndoblokusodrkami"/>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255041"/>
    <w:multiLevelType w:val="hybridMultilevel"/>
    <w:tmpl w:val="249CB9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9B54D4A"/>
    <w:multiLevelType w:val="hybridMultilevel"/>
    <w:tmpl w:val="0498BB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D11EA2"/>
    <w:multiLevelType w:val="hybridMultilevel"/>
    <w:tmpl w:val="B81A5A26"/>
    <w:lvl w:ilvl="0" w:tplc="ABEE7FB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1CE5EF6"/>
    <w:multiLevelType w:val="multilevel"/>
    <w:tmpl w:val="5AB0A838"/>
    <w:lvl w:ilvl="0">
      <w:start w:val="1"/>
      <w:numFmt w:val="decimal"/>
      <w:pStyle w:val="STYL1"/>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400"/>
        </w:tabs>
        <w:ind w:left="5400" w:hanging="2160"/>
      </w:pPr>
      <w:rPr>
        <w:rFonts w:hint="default"/>
      </w:rPr>
    </w:lvl>
  </w:abstractNum>
  <w:abstractNum w:abstractNumId="6" w15:restartNumberingAfterBreak="0">
    <w:nsid w:val="6AAD4AA7"/>
    <w:multiLevelType w:val="multilevel"/>
    <w:tmpl w:val="42D432D8"/>
    <w:lvl w:ilvl="0">
      <w:start w:val="1"/>
      <w:numFmt w:val="decimal"/>
      <w:pStyle w:val="Styl10"/>
      <w:lvlText w:val="%1."/>
      <w:lvlJc w:val="left"/>
      <w:pPr>
        <w:tabs>
          <w:tab w:val="num" w:pos="360"/>
        </w:tabs>
        <w:ind w:left="360" w:hanging="360"/>
      </w:pPr>
      <w:rPr>
        <w:rFonts w:hint="default"/>
      </w:rPr>
    </w:lvl>
    <w:lvl w:ilvl="1">
      <w:start w:val="1"/>
      <w:numFmt w:val="decimal"/>
      <w:pStyle w:val="Styl2"/>
      <w:lvlText w:val="%1.%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5"/>
  </w:num>
  <w:num w:numId="3">
    <w:abstractNumId w:val="6"/>
  </w:num>
  <w:num w:numId="4">
    <w:abstractNumId w:val="6"/>
    <w:lvlOverride w:ilvl="0">
      <w:startOverride w:val="6"/>
    </w:lvlOverride>
    <w:lvlOverride w:ilvl="1">
      <w:startOverride w:val="6"/>
    </w:lvlOverride>
  </w:num>
  <w:num w:numId="5">
    <w:abstractNumId w:val="6"/>
    <w:lvlOverride w:ilvl="0">
      <w:startOverride w:val="6"/>
    </w:lvlOverride>
    <w:lvlOverride w:ilvl="1">
      <w:startOverride w:val="6"/>
    </w:lvlOverride>
  </w:num>
  <w:num w:numId="6">
    <w:abstractNumId w:val="1"/>
  </w:num>
  <w:num w:numId="7">
    <w:abstractNumId w:val="6"/>
  </w:num>
  <w:num w:numId="8">
    <w:abstractNumId w:val="6"/>
  </w:num>
  <w:num w:numId="9">
    <w:abstractNumId w:val="6"/>
  </w:num>
  <w:num w:numId="10">
    <w:abstractNumId w:val="6"/>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A3"/>
    <w:rsid w:val="00000FD3"/>
    <w:rsid w:val="00004D4B"/>
    <w:rsid w:val="00005840"/>
    <w:rsid w:val="0000690A"/>
    <w:rsid w:val="000075B0"/>
    <w:rsid w:val="00007CAD"/>
    <w:rsid w:val="0001636A"/>
    <w:rsid w:val="00020564"/>
    <w:rsid w:val="000245E1"/>
    <w:rsid w:val="000247FE"/>
    <w:rsid w:val="00026E13"/>
    <w:rsid w:val="00027D23"/>
    <w:rsid w:val="00031236"/>
    <w:rsid w:val="000313AA"/>
    <w:rsid w:val="000323A4"/>
    <w:rsid w:val="000332CC"/>
    <w:rsid w:val="000336A9"/>
    <w:rsid w:val="00033DE9"/>
    <w:rsid w:val="00036EC5"/>
    <w:rsid w:val="00037372"/>
    <w:rsid w:val="00037815"/>
    <w:rsid w:val="0004148F"/>
    <w:rsid w:val="00043D45"/>
    <w:rsid w:val="00043D98"/>
    <w:rsid w:val="00045089"/>
    <w:rsid w:val="0005017A"/>
    <w:rsid w:val="00050BCC"/>
    <w:rsid w:val="00051EA4"/>
    <w:rsid w:val="0005296F"/>
    <w:rsid w:val="000545B0"/>
    <w:rsid w:val="00054803"/>
    <w:rsid w:val="00055468"/>
    <w:rsid w:val="00060DB6"/>
    <w:rsid w:val="00060E73"/>
    <w:rsid w:val="00064B69"/>
    <w:rsid w:val="00065A6B"/>
    <w:rsid w:val="00066058"/>
    <w:rsid w:val="00070035"/>
    <w:rsid w:val="00070973"/>
    <w:rsid w:val="0007122B"/>
    <w:rsid w:val="00073087"/>
    <w:rsid w:val="000804FD"/>
    <w:rsid w:val="00085D4B"/>
    <w:rsid w:val="00097464"/>
    <w:rsid w:val="000975D8"/>
    <w:rsid w:val="000A2511"/>
    <w:rsid w:val="000B036F"/>
    <w:rsid w:val="000B08FF"/>
    <w:rsid w:val="000B2BCE"/>
    <w:rsid w:val="000B2FA9"/>
    <w:rsid w:val="000B2FCA"/>
    <w:rsid w:val="000B484E"/>
    <w:rsid w:val="000B72EB"/>
    <w:rsid w:val="000B7C09"/>
    <w:rsid w:val="000C0B4F"/>
    <w:rsid w:val="000C0D89"/>
    <w:rsid w:val="000C2219"/>
    <w:rsid w:val="000D2142"/>
    <w:rsid w:val="000D3327"/>
    <w:rsid w:val="000D3EBB"/>
    <w:rsid w:val="000D3F47"/>
    <w:rsid w:val="000D52BE"/>
    <w:rsid w:val="000E14E4"/>
    <w:rsid w:val="000E1FEA"/>
    <w:rsid w:val="000E57C4"/>
    <w:rsid w:val="000F0761"/>
    <w:rsid w:val="000F1C04"/>
    <w:rsid w:val="000F1E71"/>
    <w:rsid w:val="000F250C"/>
    <w:rsid w:val="000F365E"/>
    <w:rsid w:val="000F390E"/>
    <w:rsid w:val="000F3CE3"/>
    <w:rsid w:val="000F6012"/>
    <w:rsid w:val="0010029F"/>
    <w:rsid w:val="00101BCF"/>
    <w:rsid w:val="00105E12"/>
    <w:rsid w:val="00106AFF"/>
    <w:rsid w:val="00106EF8"/>
    <w:rsid w:val="00112041"/>
    <w:rsid w:val="001126E6"/>
    <w:rsid w:val="00113318"/>
    <w:rsid w:val="00113780"/>
    <w:rsid w:val="00116078"/>
    <w:rsid w:val="0011659F"/>
    <w:rsid w:val="00116718"/>
    <w:rsid w:val="0011676E"/>
    <w:rsid w:val="00116D9A"/>
    <w:rsid w:val="00116E97"/>
    <w:rsid w:val="00123A88"/>
    <w:rsid w:val="00124BEC"/>
    <w:rsid w:val="00127ADA"/>
    <w:rsid w:val="00127EB3"/>
    <w:rsid w:val="00130A1D"/>
    <w:rsid w:val="00131963"/>
    <w:rsid w:val="00137F15"/>
    <w:rsid w:val="001401CE"/>
    <w:rsid w:val="00140D15"/>
    <w:rsid w:val="00140F30"/>
    <w:rsid w:val="0014296E"/>
    <w:rsid w:val="001431A3"/>
    <w:rsid w:val="001440DC"/>
    <w:rsid w:val="001441AA"/>
    <w:rsid w:val="001465A7"/>
    <w:rsid w:val="00147332"/>
    <w:rsid w:val="00150486"/>
    <w:rsid w:val="00150F06"/>
    <w:rsid w:val="00152890"/>
    <w:rsid w:val="001558CF"/>
    <w:rsid w:val="001600CE"/>
    <w:rsid w:val="00164C84"/>
    <w:rsid w:val="00165BDF"/>
    <w:rsid w:val="001710FD"/>
    <w:rsid w:val="0017355C"/>
    <w:rsid w:val="00175E3A"/>
    <w:rsid w:val="00176355"/>
    <w:rsid w:val="00177AEE"/>
    <w:rsid w:val="00177F90"/>
    <w:rsid w:val="00181631"/>
    <w:rsid w:val="00182395"/>
    <w:rsid w:val="0018303E"/>
    <w:rsid w:val="00185324"/>
    <w:rsid w:val="00185E02"/>
    <w:rsid w:val="00185EEF"/>
    <w:rsid w:val="0018689E"/>
    <w:rsid w:val="00187CF6"/>
    <w:rsid w:val="00190647"/>
    <w:rsid w:val="001924E5"/>
    <w:rsid w:val="00195B44"/>
    <w:rsid w:val="001A1601"/>
    <w:rsid w:val="001A36BF"/>
    <w:rsid w:val="001A40D7"/>
    <w:rsid w:val="001A76B7"/>
    <w:rsid w:val="001B12EC"/>
    <w:rsid w:val="001B23F9"/>
    <w:rsid w:val="001B4DD9"/>
    <w:rsid w:val="001B5918"/>
    <w:rsid w:val="001B64C8"/>
    <w:rsid w:val="001B6FD7"/>
    <w:rsid w:val="001C0607"/>
    <w:rsid w:val="001C5B47"/>
    <w:rsid w:val="001C7143"/>
    <w:rsid w:val="001C7533"/>
    <w:rsid w:val="001C7920"/>
    <w:rsid w:val="001D529A"/>
    <w:rsid w:val="001D75F9"/>
    <w:rsid w:val="001D7A30"/>
    <w:rsid w:val="001E0D6D"/>
    <w:rsid w:val="001E0EA0"/>
    <w:rsid w:val="001E330A"/>
    <w:rsid w:val="001E48BC"/>
    <w:rsid w:val="001E6108"/>
    <w:rsid w:val="001E632C"/>
    <w:rsid w:val="001E6359"/>
    <w:rsid w:val="001E6FD6"/>
    <w:rsid w:val="001F0466"/>
    <w:rsid w:val="001F06F2"/>
    <w:rsid w:val="001F0CEE"/>
    <w:rsid w:val="001F14D3"/>
    <w:rsid w:val="001F434B"/>
    <w:rsid w:val="001F6374"/>
    <w:rsid w:val="00200074"/>
    <w:rsid w:val="00201775"/>
    <w:rsid w:val="002038DE"/>
    <w:rsid w:val="00204C12"/>
    <w:rsid w:val="00205893"/>
    <w:rsid w:val="00206126"/>
    <w:rsid w:val="00206FCB"/>
    <w:rsid w:val="00210299"/>
    <w:rsid w:val="00211FAE"/>
    <w:rsid w:val="002132E6"/>
    <w:rsid w:val="00216133"/>
    <w:rsid w:val="002168BD"/>
    <w:rsid w:val="00217058"/>
    <w:rsid w:val="00223E4C"/>
    <w:rsid w:val="0022761C"/>
    <w:rsid w:val="00231DE8"/>
    <w:rsid w:val="002323FC"/>
    <w:rsid w:val="00233572"/>
    <w:rsid w:val="00235ED7"/>
    <w:rsid w:val="0024194C"/>
    <w:rsid w:val="0024396E"/>
    <w:rsid w:val="00246C07"/>
    <w:rsid w:val="00247A33"/>
    <w:rsid w:val="002502B8"/>
    <w:rsid w:val="002545D3"/>
    <w:rsid w:val="0025579D"/>
    <w:rsid w:val="00261FC5"/>
    <w:rsid w:val="0026232E"/>
    <w:rsid w:val="00262DC6"/>
    <w:rsid w:val="00263ABE"/>
    <w:rsid w:val="00263AD2"/>
    <w:rsid w:val="00264548"/>
    <w:rsid w:val="00266923"/>
    <w:rsid w:val="00266E19"/>
    <w:rsid w:val="0027005F"/>
    <w:rsid w:val="00270728"/>
    <w:rsid w:val="00270CBC"/>
    <w:rsid w:val="002728E4"/>
    <w:rsid w:val="002731C8"/>
    <w:rsid w:val="00274672"/>
    <w:rsid w:val="00274DAC"/>
    <w:rsid w:val="0027760D"/>
    <w:rsid w:val="0027795B"/>
    <w:rsid w:val="00277BD6"/>
    <w:rsid w:val="00282BC0"/>
    <w:rsid w:val="00285808"/>
    <w:rsid w:val="002908BB"/>
    <w:rsid w:val="00291CEE"/>
    <w:rsid w:val="002923A1"/>
    <w:rsid w:val="00293F92"/>
    <w:rsid w:val="002951B0"/>
    <w:rsid w:val="00297848"/>
    <w:rsid w:val="00297F2A"/>
    <w:rsid w:val="002A46F6"/>
    <w:rsid w:val="002A5DF9"/>
    <w:rsid w:val="002A6FCA"/>
    <w:rsid w:val="002B22EE"/>
    <w:rsid w:val="002B3159"/>
    <w:rsid w:val="002B3187"/>
    <w:rsid w:val="002B3EE0"/>
    <w:rsid w:val="002B581E"/>
    <w:rsid w:val="002B6B2E"/>
    <w:rsid w:val="002B6EA1"/>
    <w:rsid w:val="002B737C"/>
    <w:rsid w:val="002C0CE0"/>
    <w:rsid w:val="002C2347"/>
    <w:rsid w:val="002C325A"/>
    <w:rsid w:val="002C3BE2"/>
    <w:rsid w:val="002C47E9"/>
    <w:rsid w:val="002C522B"/>
    <w:rsid w:val="002C5892"/>
    <w:rsid w:val="002C5C8F"/>
    <w:rsid w:val="002D0117"/>
    <w:rsid w:val="002D17CC"/>
    <w:rsid w:val="002D3941"/>
    <w:rsid w:val="002D56BA"/>
    <w:rsid w:val="002D5B2C"/>
    <w:rsid w:val="002D65C9"/>
    <w:rsid w:val="002D65CE"/>
    <w:rsid w:val="002D7507"/>
    <w:rsid w:val="002E031E"/>
    <w:rsid w:val="002E3BD9"/>
    <w:rsid w:val="002E5256"/>
    <w:rsid w:val="002F1F7A"/>
    <w:rsid w:val="002F1FDD"/>
    <w:rsid w:val="002F524B"/>
    <w:rsid w:val="002F5D0E"/>
    <w:rsid w:val="002F6978"/>
    <w:rsid w:val="002F7ED9"/>
    <w:rsid w:val="00300856"/>
    <w:rsid w:val="003012C7"/>
    <w:rsid w:val="00301A11"/>
    <w:rsid w:val="00302665"/>
    <w:rsid w:val="0030280F"/>
    <w:rsid w:val="00302A67"/>
    <w:rsid w:val="00304528"/>
    <w:rsid w:val="00310F95"/>
    <w:rsid w:val="0031671E"/>
    <w:rsid w:val="00316995"/>
    <w:rsid w:val="00316C1C"/>
    <w:rsid w:val="00321547"/>
    <w:rsid w:val="00323C1F"/>
    <w:rsid w:val="00324687"/>
    <w:rsid w:val="00324DDA"/>
    <w:rsid w:val="00331584"/>
    <w:rsid w:val="00331AF9"/>
    <w:rsid w:val="003346CB"/>
    <w:rsid w:val="00335201"/>
    <w:rsid w:val="00341381"/>
    <w:rsid w:val="00343977"/>
    <w:rsid w:val="003443A9"/>
    <w:rsid w:val="00344B48"/>
    <w:rsid w:val="003455B7"/>
    <w:rsid w:val="00346642"/>
    <w:rsid w:val="00347094"/>
    <w:rsid w:val="003475A8"/>
    <w:rsid w:val="003475DC"/>
    <w:rsid w:val="00351476"/>
    <w:rsid w:val="003537E7"/>
    <w:rsid w:val="003539D8"/>
    <w:rsid w:val="00356A1C"/>
    <w:rsid w:val="003629B2"/>
    <w:rsid w:val="003630E6"/>
    <w:rsid w:val="00364981"/>
    <w:rsid w:val="00364AE2"/>
    <w:rsid w:val="00367A51"/>
    <w:rsid w:val="00367DB9"/>
    <w:rsid w:val="003747B6"/>
    <w:rsid w:val="003749E8"/>
    <w:rsid w:val="00375590"/>
    <w:rsid w:val="00376F6F"/>
    <w:rsid w:val="00377F4E"/>
    <w:rsid w:val="00380E28"/>
    <w:rsid w:val="00383986"/>
    <w:rsid w:val="003848C0"/>
    <w:rsid w:val="00385F4F"/>
    <w:rsid w:val="00392382"/>
    <w:rsid w:val="00392D2A"/>
    <w:rsid w:val="003A1332"/>
    <w:rsid w:val="003A1789"/>
    <w:rsid w:val="003A1B35"/>
    <w:rsid w:val="003A2A8B"/>
    <w:rsid w:val="003A3FD6"/>
    <w:rsid w:val="003A55AD"/>
    <w:rsid w:val="003A5817"/>
    <w:rsid w:val="003A7934"/>
    <w:rsid w:val="003B03FF"/>
    <w:rsid w:val="003B2A4B"/>
    <w:rsid w:val="003B4CE8"/>
    <w:rsid w:val="003B72BE"/>
    <w:rsid w:val="003C00C7"/>
    <w:rsid w:val="003C0293"/>
    <w:rsid w:val="003C21F6"/>
    <w:rsid w:val="003C3811"/>
    <w:rsid w:val="003C40D0"/>
    <w:rsid w:val="003C491E"/>
    <w:rsid w:val="003C5333"/>
    <w:rsid w:val="003C5AE7"/>
    <w:rsid w:val="003C6582"/>
    <w:rsid w:val="003C6734"/>
    <w:rsid w:val="003D3984"/>
    <w:rsid w:val="003D40F5"/>
    <w:rsid w:val="003D434A"/>
    <w:rsid w:val="003E237B"/>
    <w:rsid w:val="003E3AE4"/>
    <w:rsid w:val="003E592A"/>
    <w:rsid w:val="003F3DF2"/>
    <w:rsid w:val="003F43A1"/>
    <w:rsid w:val="003F5EA5"/>
    <w:rsid w:val="003F626E"/>
    <w:rsid w:val="003F6816"/>
    <w:rsid w:val="00402056"/>
    <w:rsid w:val="0040579B"/>
    <w:rsid w:val="00405AAA"/>
    <w:rsid w:val="0040649A"/>
    <w:rsid w:val="00406568"/>
    <w:rsid w:val="004103E5"/>
    <w:rsid w:val="0041245A"/>
    <w:rsid w:val="00413977"/>
    <w:rsid w:val="00415B1D"/>
    <w:rsid w:val="00417602"/>
    <w:rsid w:val="004211E2"/>
    <w:rsid w:val="00423C4D"/>
    <w:rsid w:val="004242CF"/>
    <w:rsid w:val="00426ADA"/>
    <w:rsid w:val="00430E79"/>
    <w:rsid w:val="0043400E"/>
    <w:rsid w:val="00435818"/>
    <w:rsid w:val="00435937"/>
    <w:rsid w:val="0043799A"/>
    <w:rsid w:val="00437B29"/>
    <w:rsid w:val="00437C13"/>
    <w:rsid w:val="00440EC0"/>
    <w:rsid w:val="004438ED"/>
    <w:rsid w:val="00443E12"/>
    <w:rsid w:val="004441E0"/>
    <w:rsid w:val="004448E0"/>
    <w:rsid w:val="00444CEF"/>
    <w:rsid w:val="004475AB"/>
    <w:rsid w:val="0045447D"/>
    <w:rsid w:val="00455D95"/>
    <w:rsid w:val="0046008A"/>
    <w:rsid w:val="004611E5"/>
    <w:rsid w:val="00462D26"/>
    <w:rsid w:val="00462DFA"/>
    <w:rsid w:val="004655BE"/>
    <w:rsid w:val="0047535A"/>
    <w:rsid w:val="004769FD"/>
    <w:rsid w:val="00476C6E"/>
    <w:rsid w:val="00480B98"/>
    <w:rsid w:val="00480E55"/>
    <w:rsid w:val="00481901"/>
    <w:rsid w:val="00485804"/>
    <w:rsid w:val="00486F5E"/>
    <w:rsid w:val="00487885"/>
    <w:rsid w:val="004925BF"/>
    <w:rsid w:val="00496023"/>
    <w:rsid w:val="004A1D3F"/>
    <w:rsid w:val="004A3357"/>
    <w:rsid w:val="004A67AE"/>
    <w:rsid w:val="004A79AE"/>
    <w:rsid w:val="004B236A"/>
    <w:rsid w:val="004B3F7E"/>
    <w:rsid w:val="004B5D72"/>
    <w:rsid w:val="004B6699"/>
    <w:rsid w:val="004C00DD"/>
    <w:rsid w:val="004C18C4"/>
    <w:rsid w:val="004C233F"/>
    <w:rsid w:val="004C33B3"/>
    <w:rsid w:val="004C403A"/>
    <w:rsid w:val="004C4CB8"/>
    <w:rsid w:val="004C4E63"/>
    <w:rsid w:val="004C55FB"/>
    <w:rsid w:val="004D120F"/>
    <w:rsid w:val="004D21A5"/>
    <w:rsid w:val="004D590F"/>
    <w:rsid w:val="004D7ED8"/>
    <w:rsid w:val="004E3502"/>
    <w:rsid w:val="004E48D8"/>
    <w:rsid w:val="004E668C"/>
    <w:rsid w:val="004F05E2"/>
    <w:rsid w:val="004F1926"/>
    <w:rsid w:val="004F19EE"/>
    <w:rsid w:val="004F24FD"/>
    <w:rsid w:val="004F27CF"/>
    <w:rsid w:val="004F2A9B"/>
    <w:rsid w:val="004F57DA"/>
    <w:rsid w:val="005004EA"/>
    <w:rsid w:val="00505B80"/>
    <w:rsid w:val="00506D9B"/>
    <w:rsid w:val="005138E8"/>
    <w:rsid w:val="00513D2E"/>
    <w:rsid w:val="00514AB3"/>
    <w:rsid w:val="00515752"/>
    <w:rsid w:val="00516119"/>
    <w:rsid w:val="00517A0F"/>
    <w:rsid w:val="00517C20"/>
    <w:rsid w:val="005228FA"/>
    <w:rsid w:val="005229F3"/>
    <w:rsid w:val="005237CB"/>
    <w:rsid w:val="00523834"/>
    <w:rsid w:val="00525B96"/>
    <w:rsid w:val="00527212"/>
    <w:rsid w:val="005278C0"/>
    <w:rsid w:val="005278E5"/>
    <w:rsid w:val="00530C9E"/>
    <w:rsid w:val="00531044"/>
    <w:rsid w:val="00531374"/>
    <w:rsid w:val="0053142E"/>
    <w:rsid w:val="0053158F"/>
    <w:rsid w:val="00536C3B"/>
    <w:rsid w:val="00541650"/>
    <w:rsid w:val="005416ED"/>
    <w:rsid w:val="00542C38"/>
    <w:rsid w:val="00547B7E"/>
    <w:rsid w:val="005508B7"/>
    <w:rsid w:val="005510C7"/>
    <w:rsid w:val="00551452"/>
    <w:rsid w:val="00552A87"/>
    <w:rsid w:val="00554031"/>
    <w:rsid w:val="00554DD0"/>
    <w:rsid w:val="00554F5D"/>
    <w:rsid w:val="00555704"/>
    <w:rsid w:val="00555869"/>
    <w:rsid w:val="005606FB"/>
    <w:rsid w:val="0056136A"/>
    <w:rsid w:val="00563007"/>
    <w:rsid w:val="00563487"/>
    <w:rsid w:val="00563A4B"/>
    <w:rsid w:val="005653A2"/>
    <w:rsid w:val="00565F05"/>
    <w:rsid w:val="005678D8"/>
    <w:rsid w:val="005705E0"/>
    <w:rsid w:val="005716DD"/>
    <w:rsid w:val="00571B54"/>
    <w:rsid w:val="00572400"/>
    <w:rsid w:val="00573E8A"/>
    <w:rsid w:val="0057505A"/>
    <w:rsid w:val="00575F60"/>
    <w:rsid w:val="005769EB"/>
    <w:rsid w:val="00576FD3"/>
    <w:rsid w:val="00577236"/>
    <w:rsid w:val="00580444"/>
    <w:rsid w:val="005855CD"/>
    <w:rsid w:val="00586579"/>
    <w:rsid w:val="005868F2"/>
    <w:rsid w:val="0059051A"/>
    <w:rsid w:val="005915CE"/>
    <w:rsid w:val="00594950"/>
    <w:rsid w:val="005952FF"/>
    <w:rsid w:val="00595692"/>
    <w:rsid w:val="005956FC"/>
    <w:rsid w:val="00596398"/>
    <w:rsid w:val="00597DC4"/>
    <w:rsid w:val="005A2A4C"/>
    <w:rsid w:val="005A3425"/>
    <w:rsid w:val="005B1063"/>
    <w:rsid w:val="005B3305"/>
    <w:rsid w:val="005B3345"/>
    <w:rsid w:val="005B534D"/>
    <w:rsid w:val="005B5B20"/>
    <w:rsid w:val="005B6388"/>
    <w:rsid w:val="005B765D"/>
    <w:rsid w:val="005B7FD6"/>
    <w:rsid w:val="005C6662"/>
    <w:rsid w:val="005C6994"/>
    <w:rsid w:val="005C72FE"/>
    <w:rsid w:val="005C7CE8"/>
    <w:rsid w:val="005D2855"/>
    <w:rsid w:val="005D3956"/>
    <w:rsid w:val="005D6245"/>
    <w:rsid w:val="005E08C9"/>
    <w:rsid w:val="005E398A"/>
    <w:rsid w:val="005E3C89"/>
    <w:rsid w:val="005E49A2"/>
    <w:rsid w:val="005E5F8A"/>
    <w:rsid w:val="005E7E2F"/>
    <w:rsid w:val="005F1638"/>
    <w:rsid w:val="005F19FE"/>
    <w:rsid w:val="005F1CCF"/>
    <w:rsid w:val="005F2F53"/>
    <w:rsid w:val="0060059C"/>
    <w:rsid w:val="00601F54"/>
    <w:rsid w:val="00604FAD"/>
    <w:rsid w:val="00606BEF"/>
    <w:rsid w:val="0060785C"/>
    <w:rsid w:val="0061125F"/>
    <w:rsid w:val="006116CA"/>
    <w:rsid w:val="0061224C"/>
    <w:rsid w:val="00612B7A"/>
    <w:rsid w:val="00613437"/>
    <w:rsid w:val="006140A6"/>
    <w:rsid w:val="00615A20"/>
    <w:rsid w:val="00615CA2"/>
    <w:rsid w:val="00616E58"/>
    <w:rsid w:val="0062329B"/>
    <w:rsid w:val="006233CA"/>
    <w:rsid w:val="00627B74"/>
    <w:rsid w:val="00630270"/>
    <w:rsid w:val="00633635"/>
    <w:rsid w:val="006343A6"/>
    <w:rsid w:val="00636EE0"/>
    <w:rsid w:val="00642DD1"/>
    <w:rsid w:val="00643C1E"/>
    <w:rsid w:val="00643CA5"/>
    <w:rsid w:val="0064597F"/>
    <w:rsid w:val="00653E15"/>
    <w:rsid w:val="006558DB"/>
    <w:rsid w:val="00656086"/>
    <w:rsid w:val="00660BB5"/>
    <w:rsid w:val="00667CE9"/>
    <w:rsid w:val="00673AD2"/>
    <w:rsid w:val="00676BAD"/>
    <w:rsid w:val="00680383"/>
    <w:rsid w:val="00680B9D"/>
    <w:rsid w:val="00683F85"/>
    <w:rsid w:val="0068403E"/>
    <w:rsid w:val="006865C4"/>
    <w:rsid w:val="00686BBD"/>
    <w:rsid w:val="006876FD"/>
    <w:rsid w:val="0068781E"/>
    <w:rsid w:val="00690F51"/>
    <w:rsid w:val="00694DDA"/>
    <w:rsid w:val="006A2092"/>
    <w:rsid w:val="006A3203"/>
    <w:rsid w:val="006A3D32"/>
    <w:rsid w:val="006A4445"/>
    <w:rsid w:val="006A6C5E"/>
    <w:rsid w:val="006A7024"/>
    <w:rsid w:val="006B4FEE"/>
    <w:rsid w:val="006B525C"/>
    <w:rsid w:val="006B6392"/>
    <w:rsid w:val="006B6C4C"/>
    <w:rsid w:val="006C584B"/>
    <w:rsid w:val="006D1231"/>
    <w:rsid w:val="006D1DFA"/>
    <w:rsid w:val="006D2445"/>
    <w:rsid w:val="006D2BEF"/>
    <w:rsid w:val="006D46D3"/>
    <w:rsid w:val="006D5DE6"/>
    <w:rsid w:val="006D6885"/>
    <w:rsid w:val="006E1B2A"/>
    <w:rsid w:val="006E31E0"/>
    <w:rsid w:val="006E3329"/>
    <w:rsid w:val="006E6568"/>
    <w:rsid w:val="006F3EA9"/>
    <w:rsid w:val="006F68F5"/>
    <w:rsid w:val="007002F0"/>
    <w:rsid w:val="00701680"/>
    <w:rsid w:val="00702466"/>
    <w:rsid w:val="007033AF"/>
    <w:rsid w:val="00704335"/>
    <w:rsid w:val="0071143A"/>
    <w:rsid w:val="007116ED"/>
    <w:rsid w:val="00712A24"/>
    <w:rsid w:val="00714C44"/>
    <w:rsid w:val="00714FFC"/>
    <w:rsid w:val="00715291"/>
    <w:rsid w:val="0071681A"/>
    <w:rsid w:val="00722878"/>
    <w:rsid w:val="0072371C"/>
    <w:rsid w:val="007306F1"/>
    <w:rsid w:val="00732313"/>
    <w:rsid w:val="007331AE"/>
    <w:rsid w:val="0073400A"/>
    <w:rsid w:val="007351EA"/>
    <w:rsid w:val="007354BC"/>
    <w:rsid w:val="00736383"/>
    <w:rsid w:val="00736A73"/>
    <w:rsid w:val="00740CC4"/>
    <w:rsid w:val="00753644"/>
    <w:rsid w:val="0075708E"/>
    <w:rsid w:val="00760671"/>
    <w:rsid w:val="00762987"/>
    <w:rsid w:val="007643A6"/>
    <w:rsid w:val="007674DB"/>
    <w:rsid w:val="00770996"/>
    <w:rsid w:val="0077443B"/>
    <w:rsid w:val="00776582"/>
    <w:rsid w:val="00776D90"/>
    <w:rsid w:val="00777949"/>
    <w:rsid w:val="00781948"/>
    <w:rsid w:val="00783E28"/>
    <w:rsid w:val="00784595"/>
    <w:rsid w:val="00786F7A"/>
    <w:rsid w:val="0078762C"/>
    <w:rsid w:val="007879C0"/>
    <w:rsid w:val="00791138"/>
    <w:rsid w:val="00791B45"/>
    <w:rsid w:val="007933D9"/>
    <w:rsid w:val="007973F1"/>
    <w:rsid w:val="007A0B88"/>
    <w:rsid w:val="007A331A"/>
    <w:rsid w:val="007A5E14"/>
    <w:rsid w:val="007B083B"/>
    <w:rsid w:val="007B0C84"/>
    <w:rsid w:val="007B5191"/>
    <w:rsid w:val="007B7829"/>
    <w:rsid w:val="007B7878"/>
    <w:rsid w:val="007C0DC8"/>
    <w:rsid w:val="007C2DD7"/>
    <w:rsid w:val="007C3B3E"/>
    <w:rsid w:val="007C3EAA"/>
    <w:rsid w:val="007C407D"/>
    <w:rsid w:val="007D3D12"/>
    <w:rsid w:val="007D459D"/>
    <w:rsid w:val="007D4CC4"/>
    <w:rsid w:val="007E07C2"/>
    <w:rsid w:val="007E194C"/>
    <w:rsid w:val="007E1E15"/>
    <w:rsid w:val="007E2BD2"/>
    <w:rsid w:val="007E66AF"/>
    <w:rsid w:val="007E70F9"/>
    <w:rsid w:val="007E770A"/>
    <w:rsid w:val="007E7E72"/>
    <w:rsid w:val="007F045A"/>
    <w:rsid w:val="007F0BD5"/>
    <w:rsid w:val="007F5702"/>
    <w:rsid w:val="007F5880"/>
    <w:rsid w:val="007F5D0B"/>
    <w:rsid w:val="007F6A58"/>
    <w:rsid w:val="007F7BF7"/>
    <w:rsid w:val="008016E1"/>
    <w:rsid w:val="00801956"/>
    <w:rsid w:val="008065D1"/>
    <w:rsid w:val="00806F85"/>
    <w:rsid w:val="00807B99"/>
    <w:rsid w:val="008120FA"/>
    <w:rsid w:val="0081376B"/>
    <w:rsid w:val="00813A10"/>
    <w:rsid w:val="008145BF"/>
    <w:rsid w:val="00817359"/>
    <w:rsid w:val="00822020"/>
    <w:rsid w:val="00822371"/>
    <w:rsid w:val="0082238F"/>
    <w:rsid w:val="008229D5"/>
    <w:rsid w:val="00823300"/>
    <w:rsid w:val="00825696"/>
    <w:rsid w:val="008300E2"/>
    <w:rsid w:val="00830FB8"/>
    <w:rsid w:val="0083268C"/>
    <w:rsid w:val="00834587"/>
    <w:rsid w:val="0084081A"/>
    <w:rsid w:val="008437D3"/>
    <w:rsid w:val="0084501B"/>
    <w:rsid w:val="0084649E"/>
    <w:rsid w:val="00846FCC"/>
    <w:rsid w:val="0084763D"/>
    <w:rsid w:val="008501FB"/>
    <w:rsid w:val="00857072"/>
    <w:rsid w:val="00862147"/>
    <w:rsid w:val="008632A0"/>
    <w:rsid w:val="00863686"/>
    <w:rsid w:val="00864722"/>
    <w:rsid w:val="008666D6"/>
    <w:rsid w:val="00866CB6"/>
    <w:rsid w:val="00867106"/>
    <w:rsid w:val="00867912"/>
    <w:rsid w:val="00870084"/>
    <w:rsid w:val="00870D0E"/>
    <w:rsid w:val="00872FFF"/>
    <w:rsid w:val="00873297"/>
    <w:rsid w:val="00874396"/>
    <w:rsid w:val="0087644E"/>
    <w:rsid w:val="008778A4"/>
    <w:rsid w:val="008805C6"/>
    <w:rsid w:val="00880710"/>
    <w:rsid w:val="008814BF"/>
    <w:rsid w:val="0088279E"/>
    <w:rsid w:val="008840A5"/>
    <w:rsid w:val="0088576E"/>
    <w:rsid w:val="0089288D"/>
    <w:rsid w:val="00892D86"/>
    <w:rsid w:val="00895BD1"/>
    <w:rsid w:val="008971FB"/>
    <w:rsid w:val="008976D7"/>
    <w:rsid w:val="008A2B02"/>
    <w:rsid w:val="008A4C78"/>
    <w:rsid w:val="008A7275"/>
    <w:rsid w:val="008B156D"/>
    <w:rsid w:val="008B157E"/>
    <w:rsid w:val="008B17C6"/>
    <w:rsid w:val="008B2327"/>
    <w:rsid w:val="008B3049"/>
    <w:rsid w:val="008B4ABE"/>
    <w:rsid w:val="008B5A2D"/>
    <w:rsid w:val="008B6D1C"/>
    <w:rsid w:val="008C322B"/>
    <w:rsid w:val="008C419F"/>
    <w:rsid w:val="008C5FE8"/>
    <w:rsid w:val="008D47A7"/>
    <w:rsid w:val="008D663B"/>
    <w:rsid w:val="008D68A7"/>
    <w:rsid w:val="008E067D"/>
    <w:rsid w:val="008E49D1"/>
    <w:rsid w:val="008E5CEB"/>
    <w:rsid w:val="008E70F2"/>
    <w:rsid w:val="008F17C5"/>
    <w:rsid w:val="008F3426"/>
    <w:rsid w:val="008F397C"/>
    <w:rsid w:val="008F5DC5"/>
    <w:rsid w:val="008F611D"/>
    <w:rsid w:val="00907C69"/>
    <w:rsid w:val="00913318"/>
    <w:rsid w:val="0091470B"/>
    <w:rsid w:val="00917BA9"/>
    <w:rsid w:val="00920115"/>
    <w:rsid w:val="00925316"/>
    <w:rsid w:val="00925921"/>
    <w:rsid w:val="00925CEE"/>
    <w:rsid w:val="009307E4"/>
    <w:rsid w:val="009313DF"/>
    <w:rsid w:val="00932226"/>
    <w:rsid w:val="0093284D"/>
    <w:rsid w:val="00932B4A"/>
    <w:rsid w:val="009331AE"/>
    <w:rsid w:val="009340EF"/>
    <w:rsid w:val="00935642"/>
    <w:rsid w:val="00936F1C"/>
    <w:rsid w:val="00940DDB"/>
    <w:rsid w:val="00941FEE"/>
    <w:rsid w:val="00942E62"/>
    <w:rsid w:val="00943420"/>
    <w:rsid w:val="00945C4D"/>
    <w:rsid w:val="009463BF"/>
    <w:rsid w:val="00952E49"/>
    <w:rsid w:val="00954ACA"/>
    <w:rsid w:val="00956361"/>
    <w:rsid w:val="0095738B"/>
    <w:rsid w:val="00960C87"/>
    <w:rsid w:val="0096180A"/>
    <w:rsid w:val="00961B20"/>
    <w:rsid w:val="009624B6"/>
    <w:rsid w:val="0096292E"/>
    <w:rsid w:val="00964896"/>
    <w:rsid w:val="00966A37"/>
    <w:rsid w:val="00971C4F"/>
    <w:rsid w:val="00971CC6"/>
    <w:rsid w:val="009727A3"/>
    <w:rsid w:val="00972E0B"/>
    <w:rsid w:val="00972EC3"/>
    <w:rsid w:val="00973A3E"/>
    <w:rsid w:val="009752EA"/>
    <w:rsid w:val="00975EC7"/>
    <w:rsid w:val="00976A7C"/>
    <w:rsid w:val="009852C1"/>
    <w:rsid w:val="00986046"/>
    <w:rsid w:val="0098708B"/>
    <w:rsid w:val="00990994"/>
    <w:rsid w:val="00990EC0"/>
    <w:rsid w:val="009928CD"/>
    <w:rsid w:val="00992944"/>
    <w:rsid w:val="00992F01"/>
    <w:rsid w:val="009979C1"/>
    <w:rsid w:val="009A3EFC"/>
    <w:rsid w:val="009A54D3"/>
    <w:rsid w:val="009A6580"/>
    <w:rsid w:val="009A6662"/>
    <w:rsid w:val="009A7AE3"/>
    <w:rsid w:val="009B4224"/>
    <w:rsid w:val="009C1505"/>
    <w:rsid w:val="009C41FB"/>
    <w:rsid w:val="009C4DB5"/>
    <w:rsid w:val="009C5ABA"/>
    <w:rsid w:val="009C5D99"/>
    <w:rsid w:val="009C63CC"/>
    <w:rsid w:val="009C72A1"/>
    <w:rsid w:val="009D01EB"/>
    <w:rsid w:val="009D2652"/>
    <w:rsid w:val="009D5027"/>
    <w:rsid w:val="009D7646"/>
    <w:rsid w:val="009E0874"/>
    <w:rsid w:val="009E1C86"/>
    <w:rsid w:val="009E5C2F"/>
    <w:rsid w:val="009E6036"/>
    <w:rsid w:val="009E63C8"/>
    <w:rsid w:val="009F0585"/>
    <w:rsid w:val="009F1945"/>
    <w:rsid w:val="009F4E49"/>
    <w:rsid w:val="009F67F0"/>
    <w:rsid w:val="00A03B81"/>
    <w:rsid w:val="00A04CB9"/>
    <w:rsid w:val="00A055DD"/>
    <w:rsid w:val="00A06F4D"/>
    <w:rsid w:val="00A075B8"/>
    <w:rsid w:val="00A119F3"/>
    <w:rsid w:val="00A1217A"/>
    <w:rsid w:val="00A12F66"/>
    <w:rsid w:val="00A16118"/>
    <w:rsid w:val="00A16887"/>
    <w:rsid w:val="00A22485"/>
    <w:rsid w:val="00A228C8"/>
    <w:rsid w:val="00A23DCA"/>
    <w:rsid w:val="00A30783"/>
    <w:rsid w:val="00A346F2"/>
    <w:rsid w:val="00A34B0E"/>
    <w:rsid w:val="00A355F6"/>
    <w:rsid w:val="00A37165"/>
    <w:rsid w:val="00A376E6"/>
    <w:rsid w:val="00A37A55"/>
    <w:rsid w:val="00A47A81"/>
    <w:rsid w:val="00A518AB"/>
    <w:rsid w:val="00A51E1F"/>
    <w:rsid w:val="00A52010"/>
    <w:rsid w:val="00A527B8"/>
    <w:rsid w:val="00A55554"/>
    <w:rsid w:val="00A55DE7"/>
    <w:rsid w:val="00A5689C"/>
    <w:rsid w:val="00A576BA"/>
    <w:rsid w:val="00A613FC"/>
    <w:rsid w:val="00A61FDB"/>
    <w:rsid w:val="00A62DF9"/>
    <w:rsid w:val="00A6321A"/>
    <w:rsid w:val="00A63E50"/>
    <w:rsid w:val="00A64E61"/>
    <w:rsid w:val="00A64F79"/>
    <w:rsid w:val="00A70BAE"/>
    <w:rsid w:val="00A725C1"/>
    <w:rsid w:val="00A76F5C"/>
    <w:rsid w:val="00A817D3"/>
    <w:rsid w:val="00A83151"/>
    <w:rsid w:val="00A83176"/>
    <w:rsid w:val="00A87BA8"/>
    <w:rsid w:val="00A90211"/>
    <w:rsid w:val="00A905A7"/>
    <w:rsid w:val="00A934C4"/>
    <w:rsid w:val="00A96AF1"/>
    <w:rsid w:val="00A96D15"/>
    <w:rsid w:val="00A97793"/>
    <w:rsid w:val="00AA0A59"/>
    <w:rsid w:val="00AA17BB"/>
    <w:rsid w:val="00AA1A7A"/>
    <w:rsid w:val="00AA2393"/>
    <w:rsid w:val="00AA2F2D"/>
    <w:rsid w:val="00AA3794"/>
    <w:rsid w:val="00AA512C"/>
    <w:rsid w:val="00AA6449"/>
    <w:rsid w:val="00AA6D9B"/>
    <w:rsid w:val="00AB004A"/>
    <w:rsid w:val="00AB31A6"/>
    <w:rsid w:val="00AC1658"/>
    <w:rsid w:val="00AC1C7E"/>
    <w:rsid w:val="00AC260F"/>
    <w:rsid w:val="00AC354B"/>
    <w:rsid w:val="00AC3DB8"/>
    <w:rsid w:val="00AC7DDF"/>
    <w:rsid w:val="00AC7F1A"/>
    <w:rsid w:val="00AD0688"/>
    <w:rsid w:val="00AD0FE8"/>
    <w:rsid w:val="00AD12BB"/>
    <w:rsid w:val="00AD13C3"/>
    <w:rsid w:val="00AD7486"/>
    <w:rsid w:val="00AE0CBE"/>
    <w:rsid w:val="00AE1253"/>
    <w:rsid w:val="00AE1945"/>
    <w:rsid w:val="00AE366E"/>
    <w:rsid w:val="00AE4604"/>
    <w:rsid w:val="00AE51F0"/>
    <w:rsid w:val="00AE6BD8"/>
    <w:rsid w:val="00AE7CB6"/>
    <w:rsid w:val="00AF090B"/>
    <w:rsid w:val="00AF1B61"/>
    <w:rsid w:val="00AF1DD7"/>
    <w:rsid w:val="00AF786E"/>
    <w:rsid w:val="00B014F1"/>
    <w:rsid w:val="00B1080A"/>
    <w:rsid w:val="00B12667"/>
    <w:rsid w:val="00B12755"/>
    <w:rsid w:val="00B148BA"/>
    <w:rsid w:val="00B15F71"/>
    <w:rsid w:val="00B21293"/>
    <w:rsid w:val="00B23D02"/>
    <w:rsid w:val="00B24BA1"/>
    <w:rsid w:val="00B24F24"/>
    <w:rsid w:val="00B260B2"/>
    <w:rsid w:val="00B26E90"/>
    <w:rsid w:val="00B26EB8"/>
    <w:rsid w:val="00B279AC"/>
    <w:rsid w:val="00B3080E"/>
    <w:rsid w:val="00B3116B"/>
    <w:rsid w:val="00B31D71"/>
    <w:rsid w:val="00B346ED"/>
    <w:rsid w:val="00B37208"/>
    <w:rsid w:val="00B374AC"/>
    <w:rsid w:val="00B4120E"/>
    <w:rsid w:val="00B42579"/>
    <w:rsid w:val="00B427C9"/>
    <w:rsid w:val="00B4431B"/>
    <w:rsid w:val="00B50F92"/>
    <w:rsid w:val="00B51011"/>
    <w:rsid w:val="00B51E3D"/>
    <w:rsid w:val="00B549AA"/>
    <w:rsid w:val="00B556D5"/>
    <w:rsid w:val="00B56489"/>
    <w:rsid w:val="00B612E2"/>
    <w:rsid w:val="00B61E38"/>
    <w:rsid w:val="00B6643F"/>
    <w:rsid w:val="00B67644"/>
    <w:rsid w:val="00B72CD0"/>
    <w:rsid w:val="00B7538B"/>
    <w:rsid w:val="00B76F68"/>
    <w:rsid w:val="00B82FD6"/>
    <w:rsid w:val="00B83397"/>
    <w:rsid w:val="00B83437"/>
    <w:rsid w:val="00B834C2"/>
    <w:rsid w:val="00B84B9E"/>
    <w:rsid w:val="00B85FC2"/>
    <w:rsid w:val="00B90444"/>
    <w:rsid w:val="00B93736"/>
    <w:rsid w:val="00B94EB8"/>
    <w:rsid w:val="00B95972"/>
    <w:rsid w:val="00B97007"/>
    <w:rsid w:val="00BA05A2"/>
    <w:rsid w:val="00BA5106"/>
    <w:rsid w:val="00BA7DFA"/>
    <w:rsid w:val="00BB25F0"/>
    <w:rsid w:val="00BC01AC"/>
    <w:rsid w:val="00BC2638"/>
    <w:rsid w:val="00BC2C7D"/>
    <w:rsid w:val="00BC557A"/>
    <w:rsid w:val="00BD0ABA"/>
    <w:rsid w:val="00BD2A70"/>
    <w:rsid w:val="00BD33FC"/>
    <w:rsid w:val="00BD48D5"/>
    <w:rsid w:val="00BD4BBB"/>
    <w:rsid w:val="00BD593C"/>
    <w:rsid w:val="00BD5F6D"/>
    <w:rsid w:val="00BD79C5"/>
    <w:rsid w:val="00BE107A"/>
    <w:rsid w:val="00BE266F"/>
    <w:rsid w:val="00BE4A67"/>
    <w:rsid w:val="00BE6899"/>
    <w:rsid w:val="00BE75B6"/>
    <w:rsid w:val="00BF0A21"/>
    <w:rsid w:val="00BF2551"/>
    <w:rsid w:val="00C0126A"/>
    <w:rsid w:val="00C01709"/>
    <w:rsid w:val="00C04937"/>
    <w:rsid w:val="00C04C62"/>
    <w:rsid w:val="00C053DC"/>
    <w:rsid w:val="00C108A7"/>
    <w:rsid w:val="00C1091D"/>
    <w:rsid w:val="00C115C3"/>
    <w:rsid w:val="00C11D4F"/>
    <w:rsid w:val="00C12F73"/>
    <w:rsid w:val="00C1387E"/>
    <w:rsid w:val="00C151F8"/>
    <w:rsid w:val="00C1529A"/>
    <w:rsid w:val="00C15E8C"/>
    <w:rsid w:val="00C171A3"/>
    <w:rsid w:val="00C205BF"/>
    <w:rsid w:val="00C22604"/>
    <w:rsid w:val="00C23FBB"/>
    <w:rsid w:val="00C262CA"/>
    <w:rsid w:val="00C301C4"/>
    <w:rsid w:val="00C31852"/>
    <w:rsid w:val="00C32B00"/>
    <w:rsid w:val="00C32F1B"/>
    <w:rsid w:val="00C34023"/>
    <w:rsid w:val="00C348AE"/>
    <w:rsid w:val="00C34DAC"/>
    <w:rsid w:val="00C42324"/>
    <w:rsid w:val="00C45376"/>
    <w:rsid w:val="00C46A6D"/>
    <w:rsid w:val="00C47A68"/>
    <w:rsid w:val="00C50118"/>
    <w:rsid w:val="00C5314E"/>
    <w:rsid w:val="00C5383A"/>
    <w:rsid w:val="00C56BBC"/>
    <w:rsid w:val="00C60411"/>
    <w:rsid w:val="00C62C50"/>
    <w:rsid w:val="00C63873"/>
    <w:rsid w:val="00C651DC"/>
    <w:rsid w:val="00C6692E"/>
    <w:rsid w:val="00C66DAF"/>
    <w:rsid w:val="00C7045E"/>
    <w:rsid w:val="00C728FC"/>
    <w:rsid w:val="00C764F4"/>
    <w:rsid w:val="00C77947"/>
    <w:rsid w:val="00C8141E"/>
    <w:rsid w:val="00C82833"/>
    <w:rsid w:val="00C82BF7"/>
    <w:rsid w:val="00C860BC"/>
    <w:rsid w:val="00C86F21"/>
    <w:rsid w:val="00C91950"/>
    <w:rsid w:val="00C91DE1"/>
    <w:rsid w:val="00C91FD8"/>
    <w:rsid w:val="00C94BDB"/>
    <w:rsid w:val="00C954DC"/>
    <w:rsid w:val="00C95845"/>
    <w:rsid w:val="00C976F5"/>
    <w:rsid w:val="00CA2546"/>
    <w:rsid w:val="00CA2C4A"/>
    <w:rsid w:val="00CA6BEE"/>
    <w:rsid w:val="00CB303F"/>
    <w:rsid w:val="00CB52C3"/>
    <w:rsid w:val="00CC0741"/>
    <w:rsid w:val="00CC2F80"/>
    <w:rsid w:val="00CC3CB4"/>
    <w:rsid w:val="00CC409E"/>
    <w:rsid w:val="00CC4183"/>
    <w:rsid w:val="00CC68B6"/>
    <w:rsid w:val="00CC6D79"/>
    <w:rsid w:val="00CC70C3"/>
    <w:rsid w:val="00CD1EB5"/>
    <w:rsid w:val="00CD45A7"/>
    <w:rsid w:val="00CD5E90"/>
    <w:rsid w:val="00CD78B3"/>
    <w:rsid w:val="00CE363D"/>
    <w:rsid w:val="00CE5675"/>
    <w:rsid w:val="00CF1AD4"/>
    <w:rsid w:val="00CF22F1"/>
    <w:rsid w:val="00CF3537"/>
    <w:rsid w:val="00CF56DE"/>
    <w:rsid w:val="00D04A49"/>
    <w:rsid w:val="00D04CCA"/>
    <w:rsid w:val="00D11ED4"/>
    <w:rsid w:val="00D1203F"/>
    <w:rsid w:val="00D1327E"/>
    <w:rsid w:val="00D16D8A"/>
    <w:rsid w:val="00D23397"/>
    <w:rsid w:val="00D24EC4"/>
    <w:rsid w:val="00D27B73"/>
    <w:rsid w:val="00D30A91"/>
    <w:rsid w:val="00D34D8A"/>
    <w:rsid w:val="00D408E7"/>
    <w:rsid w:val="00D42C23"/>
    <w:rsid w:val="00D442D6"/>
    <w:rsid w:val="00D46064"/>
    <w:rsid w:val="00D51D80"/>
    <w:rsid w:val="00D5224F"/>
    <w:rsid w:val="00D56832"/>
    <w:rsid w:val="00D600DB"/>
    <w:rsid w:val="00D61ACF"/>
    <w:rsid w:val="00D624C7"/>
    <w:rsid w:val="00D63279"/>
    <w:rsid w:val="00D7022B"/>
    <w:rsid w:val="00D705CB"/>
    <w:rsid w:val="00D719BF"/>
    <w:rsid w:val="00D72377"/>
    <w:rsid w:val="00D74D50"/>
    <w:rsid w:val="00D75D77"/>
    <w:rsid w:val="00D912AC"/>
    <w:rsid w:val="00D92A80"/>
    <w:rsid w:val="00D945E8"/>
    <w:rsid w:val="00D9461B"/>
    <w:rsid w:val="00D95587"/>
    <w:rsid w:val="00D9666F"/>
    <w:rsid w:val="00DA0770"/>
    <w:rsid w:val="00DA316B"/>
    <w:rsid w:val="00DA7BB4"/>
    <w:rsid w:val="00DB0B6E"/>
    <w:rsid w:val="00DB2313"/>
    <w:rsid w:val="00DB38D7"/>
    <w:rsid w:val="00DB4EA0"/>
    <w:rsid w:val="00DB6CFF"/>
    <w:rsid w:val="00DB789E"/>
    <w:rsid w:val="00DC0EF8"/>
    <w:rsid w:val="00DC2D54"/>
    <w:rsid w:val="00DC734A"/>
    <w:rsid w:val="00DC7C0B"/>
    <w:rsid w:val="00DD3668"/>
    <w:rsid w:val="00DD3932"/>
    <w:rsid w:val="00DD5622"/>
    <w:rsid w:val="00DD58BB"/>
    <w:rsid w:val="00DE08A6"/>
    <w:rsid w:val="00DE1363"/>
    <w:rsid w:val="00DE42E2"/>
    <w:rsid w:val="00DE566B"/>
    <w:rsid w:val="00DE5BF0"/>
    <w:rsid w:val="00DE683F"/>
    <w:rsid w:val="00DE71A7"/>
    <w:rsid w:val="00DF1BD6"/>
    <w:rsid w:val="00DF3A72"/>
    <w:rsid w:val="00DF3E9C"/>
    <w:rsid w:val="00DF447C"/>
    <w:rsid w:val="00DF45C1"/>
    <w:rsid w:val="00DF5EE9"/>
    <w:rsid w:val="00E01E27"/>
    <w:rsid w:val="00E043A8"/>
    <w:rsid w:val="00E0504E"/>
    <w:rsid w:val="00E066FA"/>
    <w:rsid w:val="00E06B9C"/>
    <w:rsid w:val="00E07296"/>
    <w:rsid w:val="00E134B8"/>
    <w:rsid w:val="00E14A85"/>
    <w:rsid w:val="00E17D95"/>
    <w:rsid w:val="00E23FDD"/>
    <w:rsid w:val="00E2501C"/>
    <w:rsid w:val="00E254D5"/>
    <w:rsid w:val="00E26A89"/>
    <w:rsid w:val="00E27033"/>
    <w:rsid w:val="00E326FF"/>
    <w:rsid w:val="00E33EFE"/>
    <w:rsid w:val="00E34919"/>
    <w:rsid w:val="00E360AB"/>
    <w:rsid w:val="00E36D3C"/>
    <w:rsid w:val="00E36F77"/>
    <w:rsid w:val="00E42B21"/>
    <w:rsid w:val="00E43482"/>
    <w:rsid w:val="00E43D07"/>
    <w:rsid w:val="00E4440E"/>
    <w:rsid w:val="00E45B5A"/>
    <w:rsid w:val="00E505B7"/>
    <w:rsid w:val="00E50968"/>
    <w:rsid w:val="00E54FA7"/>
    <w:rsid w:val="00E56272"/>
    <w:rsid w:val="00E63870"/>
    <w:rsid w:val="00E64203"/>
    <w:rsid w:val="00E66866"/>
    <w:rsid w:val="00E67282"/>
    <w:rsid w:val="00E70A31"/>
    <w:rsid w:val="00E716EA"/>
    <w:rsid w:val="00E71995"/>
    <w:rsid w:val="00E72755"/>
    <w:rsid w:val="00E80D60"/>
    <w:rsid w:val="00E80D71"/>
    <w:rsid w:val="00E81906"/>
    <w:rsid w:val="00E82802"/>
    <w:rsid w:val="00E86E73"/>
    <w:rsid w:val="00E87082"/>
    <w:rsid w:val="00E951FA"/>
    <w:rsid w:val="00E973AF"/>
    <w:rsid w:val="00EA5782"/>
    <w:rsid w:val="00EA5936"/>
    <w:rsid w:val="00EA6BB4"/>
    <w:rsid w:val="00EA75E8"/>
    <w:rsid w:val="00EA7DCD"/>
    <w:rsid w:val="00EB0AA2"/>
    <w:rsid w:val="00EB2736"/>
    <w:rsid w:val="00EB57AC"/>
    <w:rsid w:val="00EB6E0D"/>
    <w:rsid w:val="00EC015E"/>
    <w:rsid w:val="00EC0F45"/>
    <w:rsid w:val="00EC15AB"/>
    <w:rsid w:val="00EC2FC1"/>
    <w:rsid w:val="00EC3F78"/>
    <w:rsid w:val="00EC51A2"/>
    <w:rsid w:val="00EC58FD"/>
    <w:rsid w:val="00EC5F7B"/>
    <w:rsid w:val="00ED1C87"/>
    <w:rsid w:val="00ED4BFF"/>
    <w:rsid w:val="00ED68F5"/>
    <w:rsid w:val="00ED7065"/>
    <w:rsid w:val="00ED7900"/>
    <w:rsid w:val="00EE0C78"/>
    <w:rsid w:val="00EE1AAF"/>
    <w:rsid w:val="00EE4CD3"/>
    <w:rsid w:val="00EE760D"/>
    <w:rsid w:val="00EE7A73"/>
    <w:rsid w:val="00EF0928"/>
    <w:rsid w:val="00EF280D"/>
    <w:rsid w:val="00EF4B19"/>
    <w:rsid w:val="00EF591B"/>
    <w:rsid w:val="00F02ADE"/>
    <w:rsid w:val="00F02DFB"/>
    <w:rsid w:val="00F05936"/>
    <w:rsid w:val="00F05E01"/>
    <w:rsid w:val="00F067CF"/>
    <w:rsid w:val="00F13955"/>
    <w:rsid w:val="00F1694C"/>
    <w:rsid w:val="00F22B62"/>
    <w:rsid w:val="00F23069"/>
    <w:rsid w:val="00F25875"/>
    <w:rsid w:val="00F26279"/>
    <w:rsid w:val="00F2653D"/>
    <w:rsid w:val="00F2705C"/>
    <w:rsid w:val="00F27DA1"/>
    <w:rsid w:val="00F33C56"/>
    <w:rsid w:val="00F3496D"/>
    <w:rsid w:val="00F37604"/>
    <w:rsid w:val="00F46C5E"/>
    <w:rsid w:val="00F47766"/>
    <w:rsid w:val="00F50BEF"/>
    <w:rsid w:val="00F50CC2"/>
    <w:rsid w:val="00F5165A"/>
    <w:rsid w:val="00F53BD3"/>
    <w:rsid w:val="00F56DE1"/>
    <w:rsid w:val="00F600C7"/>
    <w:rsid w:val="00F616DA"/>
    <w:rsid w:val="00F62CE8"/>
    <w:rsid w:val="00F64A65"/>
    <w:rsid w:val="00F66A30"/>
    <w:rsid w:val="00F67CEA"/>
    <w:rsid w:val="00F727D8"/>
    <w:rsid w:val="00F73021"/>
    <w:rsid w:val="00F73FD9"/>
    <w:rsid w:val="00F75CE1"/>
    <w:rsid w:val="00F80152"/>
    <w:rsid w:val="00F833DC"/>
    <w:rsid w:val="00F8723B"/>
    <w:rsid w:val="00F87EE4"/>
    <w:rsid w:val="00F9104B"/>
    <w:rsid w:val="00F91A4B"/>
    <w:rsid w:val="00F978EE"/>
    <w:rsid w:val="00FA07DB"/>
    <w:rsid w:val="00FA0DC4"/>
    <w:rsid w:val="00FB0CB9"/>
    <w:rsid w:val="00FB19D1"/>
    <w:rsid w:val="00FB1D81"/>
    <w:rsid w:val="00FB210A"/>
    <w:rsid w:val="00FB39F5"/>
    <w:rsid w:val="00FB40CB"/>
    <w:rsid w:val="00FB55B7"/>
    <w:rsid w:val="00FC14ED"/>
    <w:rsid w:val="00FC2848"/>
    <w:rsid w:val="00FC2B9C"/>
    <w:rsid w:val="00FC3DE4"/>
    <w:rsid w:val="00FC4EA2"/>
    <w:rsid w:val="00FC63B1"/>
    <w:rsid w:val="00FC796A"/>
    <w:rsid w:val="00FC7EB7"/>
    <w:rsid w:val="00FD029C"/>
    <w:rsid w:val="00FD04A3"/>
    <w:rsid w:val="00FD302B"/>
    <w:rsid w:val="00FD3EB9"/>
    <w:rsid w:val="00FE1292"/>
    <w:rsid w:val="00FE3415"/>
    <w:rsid w:val="00FE4018"/>
    <w:rsid w:val="00FF0298"/>
    <w:rsid w:val="00FF1809"/>
    <w:rsid w:val="00FF2EE6"/>
    <w:rsid w:val="00FF54B1"/>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8B9CCC2"/>
  <w15:docId w15:val="{3C9F940F-90E7-421E-8748-16185DF8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3572"/>
    <w:pPr>
      <w:ind w:left="567" w:hanging="567"/>
    </w:pPr>
    <w:rPr>
      <w:sz w:val="22"/>
      <w:lang w:eastAsia="en-US"/>
    </w:rPr>
  </w:style>
  <w:style w:type="paragraph" w:styleId="Nadpis1">
    <w:name w:val="heading 1"/>
    <w:basedOn w:val="Normlny"/>
    <w:next w:val="Normlny"/>
    <w:qFormat/>
    <w:rsid w:val="00FD04A3"/>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PCnadpis">
    <w:name w:val="SPC nadpis"/>
    <w:basedOn w:val="Nadpis1"/>
    <w:rsid w:val="00476C6E"/>
    <w:pPr>
      <w:spacing w:before="0" w:after="0"/>
      <w:jc w:val="center"/>
    </w:pPr>
    <w:rPr>
      <w:rFonts w:ascii="Times New Roman" w:hAnsi="Times New Roman"/>
      <w:sz w:val="22"/>
    </w:rPr>
  </w:style>
  <w:style w:type="paragraph" w:customStyle="1" w:styleId="Normlndobloku">
    <w:name w:val="Normální do bloku"/>
    <w:basedOn w:val="Normlny"/>
    <w:link w:val="NormlndoblokuChar"/>
    <w:autoRedefine/>
    <w:rsid w:val="00F8723B"/>
    <w:pPr>
      <w:tabs>
        <w:tab w:val="left" w:pos="6067"/>
      </w:tabs>
      <w:ind w:left="0" w:firstLine="0"/>
      <w:jc w:val="both"/>
    </w:pPr>
    <w:rPr>
      <w:lang w:val="sk-SK"/>
    </w:rPr>
  </w:style>
  <w:style w:type="paragraph" w:customStyle="1" w:styleId="Normlndoblokusodrkami">
    <w:name w:val="Normální do bloku s odrážkami"/>
    <w:basedOn w:val="Normlndobloku"/>
    <w:next w:val="Normlndobloku"/>
    <w:autoRedefine/>
    <w:qFormat/>
    <w:rsid w:val="009A3EFC"/>
    <w:pPr>
      <w:numPr>
        <w:numId w:val="6"/>
      </w:numPr>
      <w:suppressAutoHyphens/>
      <w:ind w:left="720"/>
    </w:pPr>
    <w:rPr>
      <w:rFonts w:eastAsia="Calibri"/>
      <w:noProof/>
      <w:szCs w:val="24"/>
      <w:lang w:val="cs-CZ"/>
    </w:rPr>
  </w:style>
  <w:style w:type="paragraph" w:customStyle="1" w:styleId="STYL1">
    <w:name w:val="STYL1"/>
    <w:basedOn w:val="Normlndoblokusodrkami"/>
    <w:autoRedefine/>
    <w:rsid w:val="00FD04A3"/>
    <w:pPr>
      <w:numPr>
        <w:numId w:val="2"/>
      </w:numPr>
      <w:tabs>
        <w:tab w:val="clear" w:pos="720"/>
        <w:tab w:val="num" w:pos="360"/>
      </w:tabs>
      <w:spacing w:before="240"/>
      <w:ind w:left="1077"/>
      <w:jc w:val="left"/>
    </w:pPr>
    <w:rPr>
      <w:b/>
    </w:rPr>
  </w:style>
  <w:style w:type="paragraph" w:styleId="Pta">
    <w:name w:val="footer"/>
    <w:basedOn w:val="Normlny"/>
    <w:link w:val="PtaChar"/>
    <w:uiPriority w:val="99"/>
    <w:rsid w:val="00FD04A3"/>
    <w:pPr>
      <w:tabs>
        <w:tab w:val="center" w:pos="4536"/>
        <w:tab w:val="center" w:pos="8930"/>
      </w:tabs>
    </w:pPr>
    <w:rPr>
      <w:rFonts w:ascii="Helvetica" w:hAnsi="Helvetica"/>
      <w:sz w:val="16"/>
    </w:rPr>
  </w:style>
  <w:style w:type="character" w:customStyle="1" w:styleId="PtaChar">
    <w:name w:val="Päta Char"/>
    <w:link w:val="Pta"/>
    <w:uiPriority w:val="99"/>
    <w:rsid w:val="00FD04A3"/>
    <w:rPr>
      <w:rFonts w:ascii="Helvetica" w:hAnsi="Helvetica"/>
      <w:sz w:val="16"/>
      <w:lang w:val="cs-CZ" w:eastAsia="en-US" w:bidi="ar-SA"/>
    </w:rPr>
  </w:style>
  <w:style w:type="character" w:styleId="slostrany">
    <w:name w:val="page number"/>
    <w:basedOn w:val="Predvolenpsmoodseku"/>
    <w:rsid w:val="00FD04A3"/>
  </w:style>
  <w:style w:type="character" w:customStyle="1" w:styleId="NormlndoblokuChar">
    <w:name w:val="Normální do bloku Char"/>
    <w:link w:val="Normlndobloku"/>
    <w:rsid w:val="00F8723B"/>
    <w:rPr>
      <w:sz w:val="22"/>
      <w:lang w:val="sk-SK" w:eastAsia="en-US"/>
    </w:rPr>
  </w:style>
  <w:style w:type="paragraph" w:customStyle="1" w:styleId="Styl10">
    <w:name w:val="Styl1"/>
    <w:basedOn w:val="Normlny"/>
    <w:autoRedefine/>
    <w:rsid w:val="00233572"/>
    <w:pPr>
      <w:keepNext/>
      <w:numPr>
        <w:numId w:val="3"/>
      </w:numPr>
      <w:tabs>
        <w:tab w:val="left" w:pos="567"/>
      </w:tabs>
      <w:ind w:left="357" w:hanging="357"/>
    </w:pPr>
    <w:rPr>
      <w:b/>
      <w:bCs/>
      <w:caps/>
      <w:szCs w:val="24"/>
      <w:lang w:val="sk-SK"/>
    </w:rPr>
  </w:style>
  <w:style w:type="paragraph" w:customStyle="1" w:styleId="Styl2">
    <w:name w:val="Styl2"/>
    <w:basedOn w:val="Normlny"/>
    <w:autoRedefine/>
    <w:rsid w:val="00233572"/>
    <w:pPr>
      <w:keepNext/>
      <w:numPr>
        <w:ilvl w:val="1"/>
        <w:numId w:val="3"/>
      </w:numPr>
      <w:tabs>
        <w:tab w:val="left" w:pos="567"/>
      </w:tabs>
      <w:suppressAutoHyphens/>
      <w:ind w:left="539" w:hanging="539"/>
    </w:pPr>
    <w:rPr>
      <w:b/>
      <w:bCs/>
      <w:szCs w:val="22"/>
      <w:lang w:val="sk-SK"/>
    </w:rPr>
  </w:style>
  <w:style w:type="paragraph" w:customStyle="1" w:styleId="Styl3">
    <w:name w:val="Styl3"/>
    <w:basedOn w:val="Normlny"/>
    <w:autoRedefine/>
    <w:rsid w:val="00E43482"/>
    <w:pPr>
      <w:suppressAutoHyphens/>
      <w:ind w:left="0" w:firstLine="0"/>
      <w:jc w:val="both"/>
    </w:pPr>
    <w:rPr>
      <w:szCs w:val="24"/>
      <w:u w:val="single"/>
      <w:lang w:val="sk-SK" w:eastAsia="cs-CZ"/>
    </w:rPr>
  </w:style>
  <w:style w:type="paragraph" w:styleId="Textpoznmkypodiarou">
    <w:name w:val="footnote text"/>
    <w:basedOn w:val="Normlny"/>
    <w:link w:val="TextpoznmkypodiarouChar"/>
    <w:rsid w:val="00FD04A3"/>
    <w:rPr>
      <w:sz w:val="20"/>
    </w:rPr>
  </w:style>
  <w:style w:type="character" w:customStyle="1" w:styleId="TextpoznmkypodiarouChar">
    <w:name w:val="Text poznámky pod čiarou Char"/>
    <w:link w:val="Textpoznmkypodiarou"/>
    <w:rsid w:val="00FD04A3"/>
    <w:rPr>
      <w:lang w:eastAsia="en-US"/>
    </w:rPr>
  </w:style>
  <w:style w:type="paragraph" w:styleId="Hlavika">
    <w:name w:val="header"/>
    <w:basedOn w:val="Normlny"/>
    <w:rsid w:val="00FD04A3"/>
    <w:pPr>
      <w:tabs>
        <w:tab w:val="center" w:pos="4536"/>
        <w:tab w:val="right" w:pos="9072"/>
      </w:tabs>
    </w:pPr>
  </w:style>
  <w:style w:type="paragraph" w:styleId="Textbubliny">
    <w:name w:val="Balloon Text"/>
    <w:basedOn w:val="Normlny"/>
    <w:link w:val="TextbublinyChar"/>
    <w:rsid w:val="00866CB6"/>
    <w:rPr>
      <w:rFonts w:ascii="Tahoma" w:hAnsi="Tahoma" w:cs="Tahoma"/>
      <w:sz w:val="16"/>
      <w:szCs w:val="16"/>
    </w:rPr>
  </w:style>
  <w:style w:type="paragraph" w:customStyle="1" w:styleId="Default">
    <w:name w:val="Default"/>
    <w:rsid w:val="00732313"/>
    <w:pPr>
      <w:widowControl w:val="0"/>
      <w:autoSpaceDE w:val="0"/>
      <w:autoSpaceDN w:val="0"/>
      <w:adjustRightInd w:val="0"/>
    </w:pPr>
    <w:rPr>
      <w:color w:val="000000"/>
      <w:sz w:val="24"/>
      <w:szCs w:val="24"/>
    </w:rPr>
  </w:style>
  <w:style w:type="paragraph" w:styleId="Normlnywebov">
    <w:name w:val="Normal (Web)"/>
    <w:basedOn w:val="Normlny"/>
    <w:uiPriority w:val="99"/>
    <w:unhideWhenUsed/>
    <w:rsid w:val="001D7A30"/>
    <w:pPr>
      <w:spacing w:before="96" w:after="96"/>
      <w:ind w:left="0" w:firstLine="0"/>
    </w:pPr>
    <w:rPr>
      <w:sz w:val="24"/>
      <w:szCs w:val="24"/>
      <w:lang w:val="sk-SK" w:eastAsia="sk-SK"/>
    </w:rPr>
  </w:style>
  <w:style w:type="character" w:customStyle="1" w:styleId="TextbublinyChar">
    <w:name w:val="Text bubliny Char"/>
    <w:link w:val="Textbubliny"/>
    <w:rsid w:val="00866CB6"/>
    <w:rPr>
      <w:rFonts w:ascii="Tahoma" w:hAnsi="Tahoma" w:cs="Tahoma"/>
      <w:sz w:val="16"/>
      <w:szCs w:val="16"/>
      <w:lang w:val="cs-CZ" w:eastAsia="en-US"/>
    </w:rPr>
  </w:style>
  <w:style w:type="paragraph" w:customStyle="1" w:styleId="tl4">
    <w:name w:val="Štýl4"/>
    <w:basedOn w:val="Normlndobloku"/>
    <w:qFormat/>
    <w:rsid w:val="00866CB6"/>
    <w:rPr>
      <w:i/>
      <w:u w:val="single"/>
    </w:rPr>
  </w:style>
  <w:style w:type="paragraph" w:customStyle="1" w:styleId="StylNormlndoblokusodrkami12bDoleva">
    <w:name w:val="Styl Normální do bloku s odrážkami + 12 b. Doleva"/>
    <w:basedOn w:val="Normlndoblokusodrkami"/>
    <w:rsid w:val="00C7045E"/>
    <w:pPr>
      <w:jc w:val="left"/>
    </w:pPr>
  </w:style>
  <w:style w:type="paragraph" w:styleId="Revzia">
    <w:name w:val="Revision"/>
    <w:hidden/>
    <w:uiPriority w:val="99"/>
    <w:semiHidden/>
    <w:rsid w:val="00B556D5"/>
    <w:rPr>
      <w:sz w:val="22"/>
      <w:lang w:eastAsia="en-US"/>
    </w:rPr>
  </w:style>
  <w:style w:type="character" w:styleId="Odkaznakomentr">
    <w:name w:val="annotation reference"/>
    <w:basedOn w:val="Predvolenpsmoodseku"/>
    <w:rsid w:val="004925BF"/>
    <w:rPr>
      <w:sz w:val="16"/>
      <w:szCs w:val="16"/>
    </w:rPr>
  </w:style>
  <w:style w:type="paragraph" w:styleId="Textkomentra">
    <w:name w:val="annotation text"/>
    <w:basedOn w:val="Normlny"/>
    <w:link w:val="TextkomentraChar"/>
    <w:rsid w:val="004925BF"/>
    <w:rPr>
      <w:sz w:val="20"/>
    </w:rPr>
  </w:style>
  <w:style w:type="character" w:customStyle="1" w:styleId="TextkomentraChar">
    <w:name w:val="Text komentára Char"/>
    <w:basedOn w:val="Predvolenpsmoodseku"/>
    <w:link w:val="Textkomentra"/>
    <w:rsid w:val="004925BF"/>
    <w:rPr>
      <w:lang w:eastAsia="en-US"/>
    </w:rPr>
  </w:style>
  <w:style w:type="paragraph" w:styleId="Predmetkomentra">
    <w:name w:val="annotation subject"/>
    <w:basedOn w:val="Textkomentra"/>
    <w:next w:val="Textkomentra"/>
    <w:link w:val="PredmetkomentraChar"/>
    <w:rsid w:val="004925BF"/>
    <w:rPr>
      <w:b/>
      <w:bCs/>
    </w:rPr>
  </w:style>
  <w:style w:type="character" w:customStyle="1" w:styleId="PredmetkomentraChar">
    <w:name w:val="Predmet komentára Char"/>
    <w:basedOn w:val="TextkomentraChar"/>
    <w:link w:val="Predmetkomentra"/>
    <w:rsid w:val="004925B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24652">
      <w:bodyDiv w:val="1"/>
      <w:marLeft w:val="0"/>
      <w:marRight w:val="0"/>
      <w:marTop w:val="0"/>
      <w:marBottom w:val="0"/>
      <w:divBdr>
        <w:top w:val="none" w:sz="0" w:space="0" w:color="auto"/>
        <w:left w:val="none" w:sz="0" w:space="0" w:color="auto"/>
        <w:bottom w:val="none" w:sz="0" w:space="0" w:color="auto"/>
        <w:right w:val="none" w:sz="0" w:space="0" w:color="auto"/>
      </w:divBdr>
    </w:div>
    <w:div w:id="19233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3B4CB25EC88E4C9867E49B2E17F013" ma:contentTypeVersion="4" ma:contentTypeDescription="Create a new document." ma:contentTypeScope="" ma:versionID="00d1e59ed87943e7070d215477190cf6">
  <xsd:schema xmlns:xsd="http://www.w3.org/2001/XMLSchema" xmlns:xs="http://www.w3.org/2001/XMLSchema" xmlns:p="http://schemas.microsoft.com/office/2006/metadata/properties" xmlns:ns2="8e8fad69-d1d4-4493-8f45-79ef38c7087d" targetNamespace="http://schemas.microsoft.com/office/2006/metadata/properties" ma:root="true" ma:fieldsID="88ded89460e712c4e29d402b62ae9e81" ns2:_="">
    <xsd:import namespace="8e8fad69-d1d4-4493-8f45-79ef38c708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ad69-d1d4-4493-8f45-79ef38c70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EC91-A8EA-4D1C-98ED-9D0E0406173A}">
  <ds:schemaRefs>
    <ds:schemaRef ds:uri="http://schemas.microsoft.com/sharepoint/v3/contenttype/forms"/>
  </ds:schemaRefs>
</ds:datastoreItem>
</file>

<file path=customXml/itemProps2.xml><?xml version="1.0" encoding="utf-8"?>
<ds:datastoreItem xmlns:ds="http://schemas.openxmlformats.org/officeDocument/2006/customXml" ds:itemID="{D83CD2B0-7DCB-4645-A2FE-39199D5C7A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773F51-1BA9-4A26-9F16-9C10299FD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ad69-d1d4-4493-8f45-79ef38c7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C69A9-5F5C-49E4-9178-2EC7B698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2529</Words>
  <Characters>17465</Characters>
  <Application>Microsoft Office Word</Application>
  <DocSecurity>0</DocSecurity>
  <Lines>145</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SUKL</Company>
  <LinksUpToDate>false</LinksUpToDate>
  <CharactersWithSpaces>19955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stratinska</dc:creator>
  <cp:lastModifiedBy>Repiščáková, Janka</cp:lastModifiedBy>
  <cp:revision>8</cp:revision>
  <cp:lastPrinted>2020-10-20T14:02:00Z</cp:lastPrinted>
  <dcterms:created xsi:type="dcterms:W3CDTF">2021-01-08T09:05:00Z</dcterms:created>
  <dcterms:modified xsi:type="dcterms:W3CDTF">2021-01-20T09:13:00Z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0x010100EF3B4CB25EC88E4C9867E49B2E17F013</vt:lpwstr>
  </property>
</Properties>
</file>