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0E726" w14:textId="77777777" w:rsidR="00CF3670" w:rsidRPr="00B4462C" w:rsidRDefault="00CF3670" w:rsidP="000125D9">
      <w:pPr>
        <w:jc w:val="center"/>
        <w:outlineLvl w:val="0"/>
        <w:rPr>
          <w:b/>
          <w:sz w:val="18"/>
          <w:szCs w:val="18"/>
          <w:lang w:val="sk-SK"/>
        </w:rPr>
      </w:pPr>
    </w:p>
    <w:p w14:paraId="3A305693" w14:textId="77777777" w:rsidR="00CF3670" w:rsidRPr="00B4462C" w:rsidRDefault="00CF3670" w:rsidP="000125D9">
      <w:pPr>
        <w:jc w:val="center"/>
        <w:rPr>
          <w:b/>
          <w:szCs w:val="22"/>
          <w:lang w:val="sk-SK"/>
        </w:rPr>
      </w:pPr>
    </w:p>
    <w:p w14:paraId="6B7620F6" w14:textId="77777777" w:rsidR="00CF3670" w:rsidRPr="00B4462C" w:rsidRDefault="00CF3670" w:rsidP="000125D9">
      <w:pPr>
        <w:jc w:val="center"/>
        <w:outlineLvl w:val="0"/>
        <w:rPr>
          <w:b/>
          <w:caps/>
          <w:sz w:val="22"/>
          <w:szCs w:val="22"/>
          <w:lang w:val="sk-SK"/>
        </w:rPr>
      </w:pPr>
      <w:r w:rsidRPr="00B4462C">
        <w:rPr>
          <w:b/>
          <w:caps/>
          <w:sz w:val="22"/>
          <w:szCs w:val="22"/>
          <w:lang w:val="sk-SK"/>
        </w:rPr>
        <w:t>Súhrn charakteristických vlastností lieku</w:t>
      </w:r>
    </w:p>
    <w:p w14:paraId="2DDB7C39" w14:textId="77777777" w:rsidR="00CF3670" w:rsidRPr="00B4462C" w:rsidRDefault="00CF3670" w:rsidP="000125D9">
      <w:pPr>
        <w:tabs>
          <w:tab w:val="left" w:pos="-1440"/>
          <w:tab w:val="left" w:pos="-720"/>
        </w:tabs>
        <w:jc w:val="center"/>
        <w:rPr>
          <w:szCs w:val="22"/>
          <w:lang w:val="sk-SK"/>
        </w:rPr>
      </w:pPr>
    </w:p>
    <w:p w14:paraId="58395E1D" w14:textId="77777777" w:rsidR="00CF3670" w:rsidRPr="00B4462C" w:rsidRDefault="00CF3670" w:rsidP="000125D9">
      <w:pPr>
        <w:pStyle w:val="DocumentHeading"/>
        <w:tabs>
          <w:tab w:val="left" w:pos="567"/>
        </w:tabs>
        <w:rPr>
          <w:bCs/>
          <w:sz w:val="22"/>
          <w:szCs w:val="22"/>
          <w:lang w:val="sk-SK"/>
        </w:rPr>
      </w:pPr>
      <w:bookmarkStart w:id="0" w:name="Indication"/>
      <w:bookmarkStart w:id="1" w:name="Posology"/>
      <w:bookmarkStart w:id="2" w:name="ContraInd"/>
      <w:bookmarkStart w:id="3" w:name="Warning"/>
      <w:bookmarkStart w:id="4" w:name="Interaction"/>
      <w:bookmarkStart w:id="5" w:name="Pregnancy"/>
      <w:bookmarkStart w:id="6" w:name="Drive"/>
      <w:bookmarkStart w:id="7" w:name="Undesirable"/>
      <w:bookmarkStart w:id="8" w:name="Dynamic"/>
      <w:bookmarkStart w:id="9" w:name="Kinetic"/>
      <w:bookmarkStart w:id="10" w:name="Preclinical"/>
      <w:bookmarkEnd w:id="0"/>
      <w:bookmarkEnd w:id="1"/>
      <w:bookmarkEnd w:id="2"/>
      <w:bookmarkEnd w:id="3"/>
      <w:bookmarkEnd w:id="4"/>
      <w:bookmarkEnd w:id="5"/>
      <w:bookmarkEnd w:id="6"/>
      <w:bookmarkEnd w:id="7"/>
      <w:bookmarkEnd w:id="8"/>
      <w:bookmarkEnd w:id="9"/>
      <w:bookmarkEnd w:id="10"/>
      <w:r w:rsidRPr="00B4462C">
        <w:rPr>
          <w:sz w:val="22"/>
          <w:szCs w:val="22"/>
          <w:lang w:val="sk-SK"/>
        </w:rPr>
        <w:t>1.</w:t>
      </w:r>
      <w:r w:rsidRPr="00B4462C">
        <w:rPr>
          <w:sz w:val="22"/>
          <w:szCs w:val="22"/>
          <w:lang w:val="sk-SK"/>
        </w:rPr>
        <w:tab/>
      </w:r>
      <w:r w:rsidRPr="00B4462C">
        <w:rPr>
          <w:bCs/>
          <w:sz w:val="22"/>
          <w:szCs w:val="22"/>
          <w:lang w:val="sk-SK"/>
        </w:rPr>
        <w:t>NÁZOV LIEKU</w:t>
      </w:r>
      <w:r w:rsidRPr="00B4462C">
        <w:rPr>
          <w:sz w:val="22"/>
          <w:szCs w:val="22"/>
          <w:lang w:val="sk-SK"/>
        </w:rPr>
        <w:t xml:space="preserve"> </w:t>
      </w:r>
    </w:p>
    <w:p w14:paraId="2BDC5C59" w14:textId="77777777" w:rsidR="00CF3670" w:rsidRPr="00B4462C" w:rsidRDefault="00CF3670" w:rsidP="00B65191">
      <w:pPr>
        <w:widowControl w:val="0"/>
        <w:rPr>
          <w:sz w:val="22"/>
          <w:szCs w:val="22"/>
          <w:lang w:val="sk-SK"/>
        </w:rPr>
      </w:pPr>
    </w:p>
    <w:p w14:paraId="3FCF85B1" w14:textId="77777777" w:rsidR="00CF3670" w:rsidRPr="00B4462C" w:rsidRDefault="00CF3670" w:rsidP="00B65191">
      <w:pPr>
        <w:widowControl w:val="0"/>
        <w:rPr>
          <w:sz w:val="22"/>
          <w:szCs w:val="22"/>
          <w:lang w:val="sk-SK"/>
        </w:rPr>
      </w:pPr>
      <w:r w:rsidRPr="00B4462C">
        <w:rPr>
          <w:sz w:val="22"/>
          <w:szCs w:val="22"/>
          <w:lang w:val="sk-SK"/>
        </w:rPr>
        <w:t>Ciprofloxacin-Teva 250 mg filmom obalené tablety</w:t>
      </w:r>
    </w:p>
    <w:p w14:paraId="1748BC75" w14:textId="77777777" w:rsidR="00CF3670" w:rsidRPr="00B4462C" w:rsidRDefault="00CF3670" w:rsidP="00B65191">
      <w:pPr>
        <w:widowControl w:val="0"/>
        <w:rPr>
          <w:sz w:val="22"/>
          <w:szCs w:val="22"/>
          <w:lang w:val="sk-SK"/>
        </w:rPr>
      </w:pPr>
      <w:r w:rsidRPr="00B4462C">
        <w:rPr>
          <w:sz w:val="22"/>
          <w:szCs w:val="22"/>
          <w:lang w:val="sk-SK"/>
        </w:rPr>
        <w:t>Ciprofloxacin-Teva 500 mg filmom obalené tablety</w:t>
      </w:r>
    </w:p>
    <w:p w14:paraId="5C729038" w14:textId="77777777" w:rsidR="00CF3670" w:rsidRPr="00B4462C" w:rsidRDefault="00CF3670" w:rsidP="00B65191">
      <w:pPr>
        <w:widowControl w:val="0"/>
        <w:rPr>
          <w:sz w:val="22"/>
          <w:szCs w:val="22"/>
          <w:lang w:val="sk-SK"/>
        </w:rPr>
      </w:pPr>
      <w:r w:rsidRPr="00B4462C">
        <w:rPr>
          <w:sz w:val="22"/>
          <w:szCs w:val="22"/>
          <w:lang w:val="sk-SK"/>
        </w:rPr>
        <w:t>Ciprofloxacin-Teva 750 mg filmom obalené tablety</w:t>
      </w:r>
    </w:p>
    <w:p w14:paraId="3213ABA1" w14:textId="77777777" w:rsidR="00CF3670" w:rsidRPr="00B4462C" w:rsidRDefault="00CF3670" w:rsidP="00B65191">
      <w:pPr>
        <w:widowControl w:val="0"/>
        <w:rPr>
          <w:b/>
          <w:bCs/>
          <w:sz w:val="22"/>
          <w:szCs w:val="22"/>
          <w:lang w:val="sk-SK"/>
        </w:rPr>
      </w:pPr>
    </w:p>
    <w:p w14:paraId="37AC1FEC" w14:textId="77777777" w:rsidR="00CF3670" w:rsidRPr="00B4462C" w:rsidRDefault="00CF3670" w:rsidP="00B65191">
      <w:pPr>
        <w:widowControl w:val="0"/>
        <w:rPr>
          <w:b/>
          <w:bCs/>
          <w:sz w:val="22"/>
          <w:szCs w:val="22"/>
          <w:lang w:val="sk-SK"/>
        </w:rPr>
      </w:pPr>
    </w:p>
    <w:p w14:paraId="615171CE" w14:textId="77777777" w:rsidR="00CF3670" w:rsidRPr="00B4462C" w:rsidRDefault="00CF3670" w:rsidP="000125D9">
      <w:pPr>
        <w:widowControl w:val="0"/>
        <w:tabs>
          <w:tab w:val="left" w:pos="567"/>
        </w:tabs>
        <w:ind w:left="567" w:hanging="567"/>
        <w:rPr>
          <w:b/>
          <w:bCs/>
          <w:sz w:val="22"/>
          <w:szCs w:val="22"/>
          <w:lang w:val="sk-SK"/>
        </w:rPr>
      </w:pPr>
      <w:r w:rsidRPr="00B4462C">
        <w:rPr>
          <w:b/>
          <w:sz w:val="22"/>
          <w:szCs w:val="22"/>
          <w:lang w:val="sk-SK"/>
        </w:rPr>
        <w:t>2.</w:t>
      </w:r>
      <w:r w:rsidRPr="00B4462C">
        <w:rPr>
          <w:b/>
          <w:sz w:val="22"/>
          <w:szCs w:val="22"/>
          <w:lang w:val="sk-SK"/>
        </w:rPr>
        <w:tab/>
        <w:t xml:space="preserve">KVALITATÍVNE A KVANTITATÍVNE ZLOŽENIE </w:t>
      </w:r>
    </w:p>
    <w:p w14:paraId="0C87DA35" w14:textId="77777777" w:rsidR="00CF3670" w:rsidRPr="00B4462C" w:rsidRDefault="00CF3670" w:rsidP="00B65191">
      <w:pPr>
        <w:widowControl w:val="0"/>
        <w:rPr>
          <w:sz w:val="22"/>
          <w:szCs w:val="22"/>
          <w:highlight w:val="lightGray"/>
          <w:lang w:val="sk-SK"/>
        </w:rPr>
      </w:pPr>
    </w:p>
    <w:p w14:paraId="52CAEC15" w14:textId="1ADD2D0B" w:rsidR="00CF3670" w:rsidRPr="00B4462C" w:rsidRDefault="00CF3670" w:rsidP="00B65191">
      <w:pPr>
        <w:widowControl w:val="0"/>
        <w:rPr>
          <w:b/>
          <w:sz w:val="22"/>
          <w:szCs w:val="22"/>
          <w:lang w:val="sk-SK"/>
        </w:rPr>
      </w:pPr>
      <w:r w:rsidRPr="00B4462C">
        <w:rPr>
          <w:sz w:val="22"/>
          <w:szCs w:val="22"/>
          <w:lang w:val="sk-SK"/>
        </w:rPr>
        <w:t>250 mg: Každá tableta obsahuje 250 mg ciprofloxacínu vo forme ciprofloxacínium</w:t>
      </w:r>
      <w:r w:rsidR="00922907">
        <w:rPr>
          <w:sz w:val="22"/>
          <w:szCs w:val="22"/>
          <w:lang w:val="sk-SK"/>
        </w:rPr>
        <w:t>-</w:t>
      </w:r>
      <w:r w:rsidRPr="00B4462C">
        <w:rPr>
          <w:sz w:val="22"/>
          <w:szCs w:val="22"/>
          <w:lang w:val="sk-SK"/>
        </w:rPr>
        <w:t>chloridu.</w:t>
      </w:r>
    </w:p>
    <w:p w14:paraId="4DCFD0BF" w14:textId="3215B7DE" w:rsidR="00CF3670" w:rsidRPr="00B4462C" w:rsidRDefault="00CF3670" w:rsidP="00B65191">
      <w:pPr>
        <w:widowControl w:val="0"/>
        <w:rPr>
          <w:sz w:val="22"/>
          <w:szCs w:val="22"/>
          <w:lang w:val="sk-SK"/>
        </w:rPr>
      </w:pPr>
      <w:r w:rsidRPr="00B4462C">
        <w:rPr>
          <w:sz w:val="22"/>
          <w:szCs w:val="22"/>
          <w:lang w:val="sk-SK"/>
        </w:rPr>
        <w:t>500 mg: Každá tableta obsahuje 500 mg ciprofloxacínu vo forme ciprofloxacínium</w:t>
      </w:r>
      <w:r w:rsidR="00922907">
        <w:rPr>
          <w:sz w:val="22"/>
          <w:szCs w:val="22"/>
          <w:lang w:val="sk-SK"/>
        </w:rPr>
        <w:t>-</w:t>
      </w:r>
      <w:r w:rsidRPr="00B4462C">
        <w:rPr>
          <w:sz w:val="22"/>
          <w:szCs w:val="22"/>
          <w:lang w:val="sk-SK"/>
        </w:rPr>
        <w:t>chloridu.</w:t>
      </w:r>
    </w:p>
    <w:p w14:paraId="3888178A" w14:textId="063B9452" w:rsidR="00CF3670" w:rsidRPr="00B4462C" w:rsidRDefault="00CF3670" w:rsidP="00B65191">
      <w:pPr>
        <w:widowControl w:val="0"/>
        <w:rPr>
          <w:sz w:val="22"/>
          <w:szCs w:val="22"/>
          <w:lang w:val="sk-SK"/>
        </w:rPr>
      </w:pPr>
      <w:r w:rsidRPr="00B4462C">
        <w:rPr>
          <w:sz w:val="22"/>
          <w:szCs w:val="22"/>
          <w:lang w:val="sk-SK"/>
        </w:rPr>
        <w:t>750 mg: Každá tableta obsahuje 750 mg ciprofloxacínu vo forme ciprofloxacínium</w:t>
      </w:r>
      <w:r w:rsidR="00922907">
        <w:rPr>
          <w:sz w:val="22"/>
          <w:szCs w:val="22"/>
          <w:lang w:val="sk-SK"/>
        </w:rPr>
        <w:t>-</w:t>
      </w:r>
      <w:r w:rsidRPr="00B4462C">
        <w:rPr>
          <w:sz w:val="22"/>
          <w:szCs w:val="22"/>
          <w:lang w:val="sk-SK"/>
        </w:rPr>
        <w:t>chloridu.</w:t>
      </w:r>
    </w:p>
    <w:p w14:paraId="57FBCF0A" w14:textId="77777777" w:rsidR="00CF3670" w:rsidRPr="00B4462C" w:rsidRDefault="00CF3670" w:rsidP="00B65191">
      <w:pPr>
        <w:widowControl w:val="0"/>
        <w:rPr>
          <w:sz w:val="22"/>
          <w:szCs w:val="22"/>
          <w:lang w:val="sk-SK"/>
        </w:rPr>
      </w:pPr>
    </w:p>
    <w:p w14:paraId="72429E87" w14:textId="77777777" w:rsidR="002414BF" w:rsidRDefault="002414BF" w:rsidP="00B65191">
      <w:pPr>
        <w:widowControl w:val="0"/>
        <w:rPr>
          <w:sz w:val="22"/>
          <w:szCs w:val="22"/>
          <w:lang w:val="sk-SK"/>
        </w:rPr>
      </w:pPr>
      <w:r>
        <w:rPr>
          <w:sz w:val="22"/>
          <w:szCs w:val="22"/>
          <w:lang w:val="sk-SK"/>
        </w:rPr>
        <w:t>Pomocná látka zo známym účinkom:</w:t>
      </w:r>
    </w:p>
    <w:p w14:paraId="00C89077" w14:textId="77777777" w:rsidR="002414BF" w:rsidRDefault="002414BF" w:rsidP="00B65191">
      <w:pPr>
        <w:widowControl w:val="0"/>
        <w:rPr>
          <w:sz w:val="22"/>
          <w:szCs w:val="22"/>
          <w:lang w:val="sk-SK"/>
        </w:rPr>
      </w:pPr>
      <w:r>
        <w:rPr>
          <w:sz w:val="22"/>
          <w:szCs w:val="22"/>
          <w:lang w:val="sk-SK"/>
        </w:rPr>
        <w:t>Tento liek obsahuje menej ako 1 mmol sodíka (23 mg) v jednej tablete, tj. V podstate zanedbateľné množstvo sodíka.</w:t>
      </w:r>
    </w:p>
    <w:p w14:paraId="295ADC9B" w14:textId="77777777" w:rsidR="00CF3670" w:rsidRPr="00B4462C" w:rsidRDefault="00CF3670" w:rsidP="00B65191">
      <w:pPr>
        <w:widowControl w:val="0"/>
        <w:rPr>
          <w:sz w:val="22"/>
          <w:szCs w:val="22"/>
          <w:lang w:val="sk-SK"/>
        </w:rPr>
      </w:pPr>
      <w:r w:rsidRPr="00B4462C">
        <w:rPr>
          <w:sz w:val="22"/>
          <w:szCs w:val="22"/>
          <w:lang w:val="sk-SK"/>
        </w:rPr>
        <w:t>Úplný zoznam pomocných látok, pozri časť</w:t>
      </w:r>
      <w:r w:rsidRPr="00B4462C">
        <w:rPr>
          <w:szCs w:val="22"/>
          <w:lang w:val="sk-SK"/>
        </w:rPr>
        <w:t xml:space="preserve"> </w:t>
      </w:r>
      <w:r w:rsidRPr="00B4462C">
        <w:rPr>
          <w:sz w:val="22"/>
          <w:szCs w:val="22"/>
          <w:lang w:val="sk-SK"/>
        </w:rPr>
        <w:t>6.1.</w:t>
      </w:r>
    </w:p>
    <w:p w14:paraId="1DCDE2B4" w14:textId="77777777" w:rsidR="00CF3670" w:rsidRPr="00B4462C" w:rsidRDefault="00CF3670" w:rsidP="00B65191">
      <w:pPr>
        <w:widowControl w:val="0"/>
        <w:rPr>
          <w:sz w:val="22"/>
          <w:szCs w:val="22"/>
          <w:lang w:val="sk-SK"/>
        </w:rPr>
      </w:pPr>
    </w:p>
    <w:p w14:paraId="7E7EE1CD" w14:textId="77777777" w:rsidR="00CF3670" w:rsidRPr="00B4462C" w:rsidRDefault="00CF3670" w:rsidP="00B65191">
      <w:pPr>
        <w:widowControl w:val="0"/>
        <w:rPr>
          <w:sz w:val="22"/>
          <w:szCs w:val="22"/>
          <w:lang w:val="sk-SK"/>
        </w:rPr>
      </w:pPr>
      <w:bookmarkStart w:id="11" w:name="_GoBack"/>
      <w:bookmarkEnd w:id="11"/>
    </w:p>
    <w:p w14:paraId="64A965D3" w14:textId="77777777" w:rsidR="00CF3670" w:rsidRPr="00B4462C" w:rsidRDefault="00CF3670" w:rsidP="00B65191">
      <w:pPr>
        <w:widowControl w:val="0"/>
        <w:tabs>
          <w:tab w:val="left" w:pos="567"/>
        </w:tabs>
        <w:rPr>
          <w:b/>
          <w:sz w:val="22"/>
          <w:szCs w:val="22"/>
          <w:lang w:val="sk-SK"/>
        </w:rPr>
      </w:pPr>
      <w:r w:rsidRPr="00B4462C">
        <w:rPr>
          <w:b/>
          <w:sz w:val="22"/>
          <w:szCs w:val="22"/>
          <w:lang w:val="sk-SK"/>
        </w:rPr>
        <w:t>3.</w:t>
      </w:r>
      <w:r w:rsidRPr="00B4462C">
        <w:rPr>
          <w:b/>
          <w:sz w:val="22"/>
          <w:szCs w:val="22"/>
          <w:lang w:val="sk-SK"/>
        </w:rPr>
        <w:tab/>
      </w:r>
      <w:r w:rsidRPr="00B4462C">
        <w:rPr>
          <w:b/>
          <w:caps/>
          <w:sz w:val="22"/>
          <w:szCs w:val="22"/>
          <w:lang w:val="sk-SK"/>
        </w:rPr>
        <w:t>Lieková forma</w:t>
      </w:r>
    </w:p>
    <w:p w14:paraId="51B44AE9" w14:textId="77777777" w:rsidR="00CF3670" w:rsidRPr="00B4462C" w:rsidRDefault="00CF3670" w:rsidP="00B65191">
      <w:pPr>
        <w:widowControl w:val="0"/>
        <w:rPr>
          <w:sz w:val="22"/>
          <w:szCs w:val="22"/>
          <w:lang w:val="sk-SK"/>
        </w:rPr>
      </w:pPr>
    </w:p>
    <w:p w14:paraId="0CAA9EC5" w14:textId="77777777" w:rsidR="00CF3670" w:rsidRPr="00B4462C" w:rsidRDefault="00CF3670" w:rsidP="00B65191">
      <w:pPr>
        <w:widowControl w:val="0"/>
        <w:rPr>
          <w:bCs/>
          <w:sz w:val="22"/>
          <w:szCs w:val="22"/>
          <w:lang w:val="sk-SK"/>
        </w:rPr>
      </w:pPr>
      <w:r w:rsidRPr="00B4462C">
        <w:rPr>
          <w:sz w:val="22"/>
          <w:szCs w:val="22"/>
          <w:lang w:val="sk-SK"/>
        </w:rPr>
        <w:t>Filmom obalená tableta.</w:t>
      </w:r>
    </w:p>
    <w:p w14:paraId="0899A20B" w14:textId="77777777" w:rsidR="00CF3670" w:rsidRPr="00B4462C" w:rsidRDefault="00CF3670" w:rsidP="00B65191">
      <w:pPr>
        <w:widowControl w:val="0"/>
        <w:suppressAutoHyphens/>
        <w:rPr>
          <w:sz w:val="22"/>
          <w:szCs w:val="22"/>
          <w:highlight w:val="lightGray"/>
          <w:lang w:val="sk-SK"/>
        </w:rPr>
      </w:pPr>
    </w:p>
    <w:p w14:paraId="08EA3580" w14:textId="77777777" w:rsidR="00CF3670" w:rsidRPr="00B4462C" w:rsidRDefault="00CF3670" w:rsidP="00B65191">
      <w:pPr>
        <w:widowControl w:val="0"/>
        <w:suppressAutoHyphens/>
        <w:rPr>
          <w:sz w:val="22"/>
          <w:szCs w:val="22"/>
          <w:lang w:val="sk-SK"/>
        </w:rPr>
      </w:pPr>
      <w:r w:rsidRPr="00B4462C">
        <w:rPr>
          <w:sz w:val="22"/>
          <w:szCs w:val="22"/>
          <w:lang w:val="sk-SK"/>
        </w:rPr>
        <w:t xml:space="preserve">250 mg: Biele, bikonvexné, okrúhle filmom obalené tablety s označením “CIP </w:t>
      </w:r>
      <w:smartTag w:uri="urn:schemas-microsoft-com:office:smarttags" w:element="metricconverter">
        <w:smartTagPr>
          <w:attr w:name="ProductID" w:val="250”"/>
        </w:smartTagPr>
        <w:r w:rsidRPr="00B4462C">
          <w:rPr>
            <w:sz w:val="22"/>
            <w:szCs w:val="22"/>
            <w:lang w:val="sk-SK"/>
          </w:rPr>
          <w:t>250”</w:t>
        </w:r>
      </w:smartTag>
      <w:r w:rsidRPr="00B4462C">
        <w:rPr>
          <w:sz w:val="22"/>
          <w:szCs w:val="22"/>
          <w:lang w:val="sk-SK"/>
        </w:rPr>
        <w:t xml:space="preserve"> a deliacou ryhou na jednej strane a bez označenia na druhej strane.</w:t>
      </w:r>
    </w:p>
    <w:p w14:paraId="1C131724" w14:textId="77777777" w:rsidR="00CF3670" w:rsidRPr="00B4462C" w:rsidRDefault="00CF3670" w:rsidP="00B65191">
      <w:pPr>
        <w:widowControl w:val="0"/>
        <w:suppressAutoHyphens/>
        <w:rPr>
          <w:sz w:val="22"/>
          <w:szCs w:val="22"/>
          <w:lang w:val="sk-SK"/>
        </w:rPr>
      </w:pPr>
      <w:r w:rsidRPr="00B4462C">
        <w:rPr>
          <w:sz w:val="22"/>
          <w:szCs w:val="22"/>
          <w:lang w:val="sk-SK"/>
        </w:rPr>
        <w:t>Tableta sa môže rozdeliť na rovnaké polovice.</w:t>
      </w:r>
    </w:p>
    <w:p w14:paraId="236B76ED" w14:textId="77777777" w:rsidR="00CF3670" w:rsidRPr="00B4462C" w:rsidRDefault="00CF3670" w:rsidP="00B65191">
      <w:pPr>
        <w:widowControl w:val="0"/>
        <w:suppressAutoHyphens/>
        <w:rPr>
          <w:sz w:val="22"/>
          <w:szCs w:val="22"/>
          <w:lang w:val="sk-SK"/>
        </w:rPr>
      </w:pPr>
    </w:p>
    <w:p w14:paraId="6CBE3A70" w14:textId="77777777" w:rsidR="00CF3670" w:rsidRPr="00B4462C" w:rsidRDefault="00CF3670" w:rsidP="00B65191">
      <w:pPr>
        <w:widowControl w:val="0"/>
        <w:suppressAutoHyphens/>
        <w:rPr>
          <w:sz w:val="22"/>
          <w:szCs w:val="22"/>
          <w:lang w:val="sk-SK"/>
        </w:rPr>
      </w:pPr>
      <w:r w:rsidRPr="00B4462C">
        <w:rPr>
          <w:sz w:val="22"/>
          <w:szCs w:val="22"/>
          <w:lang w:val="sk-SK"/>
        </w:rPr>
        <w:t xml:space="preserve">500 mg: Biele, oválne filmom obalené tablety s označením “CIP </w:t>
      </w:r>
      <w:smartTag w:uri="urn:schemas-microsoft-com:office:smarttags" w:element="metricconverter">
        <w:smartTagPr>
          <w:attr w:name="ProductID" w:val="500”"/>
        </w:smartTagPr>
        <w:r w:rsidRPr="00B4462C">
          <w:rPr>
            <w:sz w:val="22"/>
            <w:szCs w:val="22"/>
            <w:lang w:val="sk-SK"/>
          </w:rPr>
          <w:t>500”</w:t>
        </w:r>
      </w:smartTag>
      <w:r w:rsidRPr="00B4462C">
        <w:rPr>
          <w:sz w:val="22"/>
          <w:szCs w:val="22"/>
          <w:lang w:val="sk-SK"/>
        </w:rPr>
        <w:t xml:space="preserve"> a deliacou ryhou na jednej strane a bez označenia na druhej strane.</w:t>
      </w:r>
    </w:p>
    <w:p w14:paraId="58D4BA72" w14:textId="77777777" w:rsidR="00CF3670" w:rsidRPr="00B4462C" w:rsidRDefault="00CF3670" w:rsidP="00B65191">
      <w:pPr>
        <w:widowControl w:val="0"/>
        <w:suppressAutoHyphens/>
        <w:rPr>
          <w:sz w:val="22"/>
          <w:szCs w:val="22"/>
          <w:lang w:val="sk-SK"/>
        </w:rPr>
      </w:pPr>
      <w:r w:rsidRPr="00B4462C">
        <w:rPr>
          <w:sz w:val="22"/>
          <w:szCs w:val="22"/>
          <w:lang w:val="sk-SK"/>
        </w:rPr>
        <w:t>Tableta sa môže rozdeliť na rovnaké polovice.</w:t>
      </w:r>
    </w:p>
    <w:p w14:paraId="740186A5" w14:textId="77777777" w:rsidR="00CF3670" w:rsidRPr="00B4462C" w:rsidRDefault="00CF3670" w:rsidP="00B65191">
      <w:pPr>
        <w:widowControl w:val="0"/>
        <w:suppressAutoHyphens/>
        <w:rPr>
          <w:sz w:val="22"/>
          <w:szCs w:val="22"/>
          <w:lang w:val="sk-SK"/>
        </w:rPr>
      </w:pPr>
    </w:p>
    <w:p w14:paraId="799762F8" w14:textId="77777777" w:rsidR="00CF3670" w:rsidRPr="00B4462C" w:rsidRDefault="00CF3670" w:rsidP="00B65191">
      <w:pPr>
        <w:widowControl w:val="0"/>
        <w:suppressAutoHyphens/>
        <w:rPr>
          <w:sz w:val="22"/>
          <w:szCs w:val="22"/>
          <w:lang w:val="sk-SK"/>
        </w:rPr>
      </w:pPr>
      <w:r w:rsidRPr="00B4462C">
        <w:rPr>
          <w:sz w:val="22"/>
          <w:szCs w:val="22"/>
          <w:lang w:val="sk-SK"/>
        </w:rPr>
        <w:t xml:space="preserve">750 mg: Biele, oválne filmom obalené tablety s označením “CIP </w:t>
      </w:r>
      <w:smartTag w:uri="urn:schemas-microsoft-com:office:smarttags" w:element="metricconverter">
        <w:smartTagPr>
          <w:attr w:name="ProductID" w:val="750”"/>
        </w:smartTagPr>
        <w:r w:rsidRPr="00B4462C">
          <w:rPr>
            <w:sz w:val="22"/>
            <w:szCs w:val="22"/>
            <w:lang w:val="sk-SK"/>
          </w:rPr>
          <w:t>750”</w:t>
        </w:r>
      </w:smartTag>
      <w:r w:rsidRPr="00B4462C">
        <w:rPr>
          <w:sz w:val="22"/>
          <w:szCs w:val="22"/>
          <w:lang w:val="sk-SK"/>
        </w:rPr>
        <w:t xml:space="preserve"> na jednej strane a bez označenia na druhej strane.</w:t>
      </w:r>
    </w:p>
    <w:p w14:paraId="3FBCCE30" w14:textId="77777777" w:rsidR="00CF3670" w:rsidRPr="00B4462C" w:rsidRDefault="00CF3670" w:rsidP="00B65191">
      <w:pPr>
        <w:widowControl w:val="0"/>
        <w:rPr>
          <w:b/>
          <w:sz w:val="22"/>
          <w:szCs w:val="22"/>
          <w:lang w:val="sk-SK"/>
        </w:rPr>
      </w:pPr>
    </w:p>
    <w:p w14:paraId="493ED849" w14:textId="77777777" w:rsidR="00CF3670" w:rsidRPr="00B4462C" w:rsidRDefault="00CF3670" w:rsidP="00B65191">
      <w:pPr>
        <w:widowControl w:val="0"/>
        <w:rPr>
          <w:b/>
          <w:sz w:val="22"/>
          <w:szCs w:val="22"/>
          <w:lang w:val="sk-SK"/>
        </w:rPr>
      </w:pPr>
    </w:p>
    <w:p w14:paraId="0AFC41FD" w14:textId="77777777" w:rsidR="00CF3670" w:rsidRPr="00B4462C" w:rsidRDefault="00CF3670" w:rsidP="000125D9">
      <w:pPr>
        <w:ind w:left="567" w:hanging="567"/>
        <w:rPr>
          <w:caps/>
          <w:sz w:val="22"/>
          <w:szCs w:val="22"/>
          <w:lang w:val="sk-SK"/>
        </w:rPr>
      </w:pPr>
      <w:r w:rsidRPr="00B4462C">
        <w:rPr>
          <w:b/>
          <w:sz w:val="22"/>
          <w:szCs w:val="22"/>
          <w:lang w:val="sk-SK"/>
        </w:rPr>
        <w:t>4.</w:t>
      </w:r>
      <w:r w:rsidRPr="00B4462C">
        <w:rPr>
          <w:b/>
          <w:sz w:val="22"/>
          <w:szCs w:val="22"/>
          <w:lang w:val="sk-SK"/>
        </w:rPr>
        <w:tab/>
      </w:r>
      <w:r w:rsidRPr="00B4462C">
        <w:rPr>
          <w:b/>
          <w:caps/>
          <w:sz w:val="22"/>
          <w:szCs w:val="22"/>
          <w:lang w:val="sk-SK"/>
        </w:rPr>
        <w:t>KLINICKÉ ÚDAJE</w:t>
      </w:r>
    </w:p>
    <w:p w14:paraId="0A7C35BE" w14:textId="77777777" w:rsidR="00CF3670" w:rsidRPr="00B4462C" w:rsidRDefault="00CF3670" w:rsidP="000125D9">
      <w:pPr>
        <w:keepNext/>
        <w:widowControl w:val="0"/>
        <w:tabs>
          <w:tab w:val="left" w:pos="567"/>
        </w:tabs>
        <w:ind w:left="567" w:hanging="567"/>
        <w:rPr>
          <w:b/>
          <w:sz w:val="22"/>
          <w:szCs w:val="22"/>
          <w:lang w:val="sk-SK"/>
        </w:rPr>
      </w:pPr>
    </w:p>
    <w:p w14:paraId="5A2681A7" w14:textId="77777777" w:rsidR="00CF3670" w:rsidRPr="00B4462C" w:rsidRDefault="00CF3670" w:rsidP="000125D9">
      <w:pPr>
        <w:keepNext/>
        <w:widowControl w:val="0"/>
        <w:tabs>
          <w:tab w:val="left" w:pos="567"/>
        </w:tabs>
        <w:ind w:left="567" w:hanging="567"/>
        <w:rPr>
          <w:sz w:val="22"/>
          <w:szCs w:val="22"/>
          <w:lang w:val="sk-SK"/>
        </w:rPr>
      </w:pPr>
      <w:r w:rsidRPr="00B4462C">
        <w:rPr>
          <w:b/>
          <w:sz w:val="22"/>
          <w:szCs w:val="22"/>
          <w:lang w:val="sk-SK"/>
        </w:rPr>
        <w:t>4.1</w:t>
      </w:r>
      <w:r w:rsidRPr="00B4462C">
        <w:rPr>
          <w:b/>
          <w:sz w:val="22"/>
          <w:szCs w:val="22"/>
          <w:lang w:val="sk-SK"/>
        </w:rPr>
        <w:tab/>
        <w:t>Terapeutické indikácie</w:t>
      </w:r>
    </w:p>
    <w:p w14:paraId="1248D663" w14:textId="77777777" w:rsidR="00CF3670" w:rsidRPr="00B4462C" w:rsidRDefault="00CF3670" w:rsidP="00B65191">
      <w:pPr>
        <w:widowControl w:val="0"/>
        <w:rPr>
          <w:i/>
          <w:sz w:val="22"/>
          <w:szCs w:val="22"/>
          <w:lang w:val="sk-SK"/>
        </w:rPr>
      </w:pPr>
    </w:p>
    <w:p w14:paraId="0F554AF7" w14:textId="77777777" w:rsidR="00CF3670" w:rsidRPr="00B4462C" w:rsidRDefault="00CF3670" w:rsidP="00B4462C">
      <w:pPr>
        <w:pStyle w:val="Zkladntext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Ciprofloxacin-Teva filmom obalené tablety sú indikované na liečbu nasledujúcich infekcií (pozri časti 4.4 a 5.1). Pred začatím liečby sa má venovať zvláštna pozornosť dostupným informáciám o rezistencii voči ciprofloxacínu.</w:t>
      </w:r>
    </w:p>
    <w:p w14:paraId="5629A5A5" w14:textId="77777777" w:rsidR="00CF3670" w:rsidRPr="00B4462C" w:rsidRDefault="00CF3670" w:rsidP="00B4462C">
      <w:pPr>
        <w:pStyle w:val="Zkladntext2"/>
        <w:jc w:val="left"/>
        <w:rPr>
          <w:rFonts w:ascii="Times New Roman" w:hAnsi="Times New Roman" w:cs="Times New Roman"/>
          <w:b w:val="0"/>
          <w:bCs w:val="0"/>
          <w:sz w:val="22"/>
          <w:szCs w:val="22"/>
          <w:lang w:val="sk-SK"/>
        </w:rPr>
      </w:pPr>
    </w:p>
    <w:p w14:paraId="6AD9A34B" w14:textId="77777777" w:rsidR="00CF3670" w:rsidRPr="00B4462C" w:rsidRDefault="00CF3670" w:rsidP="00B4462C">
      <w:pPr>
        <w:widowControl w:val="0"/>
        <w:rPr>
          <w:i/>
          <w:sz w:val="22"/>
          <w:szCs w:val="22"/>
          <w:lang w:val="sk-SK"/>
        </w:rPr>
      </w:pPr>
      <w:r w:rsidRPr="00B4462C">
        <w:rPr>
          <w:i/>
          <w:sz w:val="22"/>
          <w:szCs w:val="22"/>
          <w:lang w:val="sk-SK"/>
        </w:rPr>
        <w:t>Dospelí</w:t>
      </w:r>
    </w:p>
    <w:p w14:paraId="3A5A5D39" w14:textId="030F9A57" w:rsidR="00CF3670" w:rsidRPr="00B4462C" w:rsidRDefault="00CF3670" w:rsidP="00A75C0F">
      <w:pPr>
        <w:pStyle w:val="Zkladntext2"/>
        <w:numPr>
          <w:ilvl w:val="0"/>
          <w:numId w:val="11"/>
        </w:numPr>
        <w:tabs>
          <w:tab w:val="left" w:pos="142"/>
        </w:tabs>
        <w:ind w:hanging="86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 xml:space="preserve">Infekcie dolných dýchacích ciest vyvolané gramnegatívnymi baktériami. </w:t>
      </w:r>
    </w:p>
    <w:p w14:paraId="37B7199E" w14:textId="1AA338EA" w:rsidR="00CF3670" w:rsidRPr="00576641" w:rsidRDefault="00EC1E68" w:rsidP="00A75C0F">
      <w:pPr>
        <w:pStyle w:val="Zkladntext2"/>
        <w:tabs>
          <w:tab w:val="left" w:pos="142"/>
          <w:tab w:val="left" w:pos="284"/>
        </w:tabs>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ab/>
        <w:t xml:space="preserve">  </w:t>
      </w:r>
      <w:r w:rsidR="00CF3670" w:rsidRPr="00B4462C">
        <w:rPr>
          <w:rFonts w:ascii="Times New Roman" w:hAnsi="Times New Roman" w:cs="Times New Roman"/>
          <w:b w:val="0"/>
          <w:bCs w:val="0"/>
          <w:sz w:val="22"/>
          <w:szCs w:val="22"/>
          <w:lang w:val="sk-SK"/>
        </w:rPr>
        <w:t>-</w:t>
      </w:r>
      <w:r>
        <w:rPr>
          <w:rFonts w:ascii="Times New Roman" w:hAnsi="Times New Roman" w:cs="Times New Roman"/>
          <w:b w:val="0"/>
          <w:bCs w:val="0"/>
          <w:sz w:val="22"/>
          <w:szCs w:val="22"/>
          <w:lang w:val="sk-SK"/>
        </w:rPr>
        <w:t xml:space="preserve"> </w:t>
      </w:r>
      <w:r w:rsidRPr="00576641">
        <w:rPr>
          <w:rFonts w:ascii="Times New Roman" w:hAnsi="Times New Roman" w:cs="Times New Roman"/>
          <w:b w:val="0"/>
          <w:bCs w:val="0"/>
          <w:sz w:val="22"/>
          <w:szCs w:val="22"/>
          <w:lang w:val="sk-SK"/>
        </w:rPr>
        <w:t>e</w:t>
      </w:r>
      <w:r w:rsidR="00CF3670" w:rsidRPr="00576641">
        <w:rPr>
          <w:rFonts w:ascii="Times New Roman" w:hAnsi="Times New Roman" w:cs="Times New Roman"/>
          <w:b w:val="0"/>
          <w:bCs w:val="0"/>
          <w:sz w:val="22"/>
          <w:szCs w:val="22"/>
          <w:lang w:val="sk-SK"/>
        </w:rPr>
        <w:t>xacerbácie chronick</w:t>
      </w:r>
      <w:r w:rsidR="001842E7" w:rsidRPr="00576641">
        <w:rPr>
          <w:rFonts w:ascii="Times New Roman" w:hAnsi="Times New Roman" w:cs="Times New Roman"/>
          <w:b w:val="0"/>
          <w:bCs w:val="0"/>
          <w:sz w:val="22"/>
          <w:szCs w:val="22"/>
          <w:lang w:val="sk-SK"/>
        </w:rPr>
        <w:t>ej</w:t>
      </w:r>
      <w:r w:rsidR="00CF3670" w:rsidRPr="00576641">
        <w:rPr>
          <w:rFonts w:ascii="Times New Roman" w:hAnsi="Times New Roman" w:cs="Times New Roman"/>
          <w:b w:val="0"/>
          <w:bCs w:val="0"/>
          <w:sz w:val="22"/>
          <w:szCs w:val="22"/>
          <w:lang w:val="sk-SK"/>
        </w:rPr>
        <w:t xml:space="preserve"> obštrukčn</w:t>
      </w:r>
      <w:r w:rsidR="001842E7" w:rsidRPr="00576641">
        <w:rPr>
          <w:rFonts w:ascii="Times New Roman" w:hAnsi="Times New Roman" w:cs="Times New Roman"/>
          <w:b w:val="0"/>
          <w:bCs w:val="0"/>
          <w:sz w:val="22"/>
          <w:szCs w:val="22"/>
          <w:lang w:val="sk-SK"/>
        </w:rPr>
        <w:t>ej</w:t>
      </w:r>
      <w:r w:rsidR="00CF3670" w:rsidRPr="00576641">
        <w:rPr>
          <w:rFonts w:ascii="Times New Roman" w:hAnsi="Times New Roman" w:cs="Times New Roman"/>
          <w:b w:val="0"/>
          <w:bCs w:val="0"/>
          <w:sz w:val="22"/>
          <w:szCs w:val="22"/>
          <w:lang w:val="sk-SK"/>
        </w:rPr>
        <w:t xml:space="preserve"> </w:t>
      </w:r>
      <w:r w:rsidR="001842E7" w:rsidRPr="00576641">
        <w:rPr>
          <w:rFonts w:ascii="Times New Roman" w:hAnsi="Times New Roman" w:cs="Times New Roman"/>
          <w:b w:val="0"/>
          <w:bCs w:val="0"/>
          <w:sz w:val="22"/>
          <w:szCs w:val="22"/>
          <w:lang w:val="sk-SK"/>
        </w:rPr>
        <w:t>choroby pľúc</w:t>
      </w:r>
    </w:p>
    <w:p w14:paraId="065E87F0" w14:textId="06DB9F5D" w:rsidR="00EC1E68" w:rsidRDefault="00EC1E68" w:rsidP="00A75C0F">
      <w:pPr>
        <w:pStyle w:val="Zkladntext2"/>
        <w:tabs>
          <w:tab w:val="left" w:pos="142"/>
        </w:tabs>
        <w:ind w:left="142"/>
        <w:jc w:val="left"/>
        <w:rPr>
          <w:rFonts w:ascii="Times New Roman" w:hAnsi="Times New Roman" w:cs="Times New Roman"/>
          <w:b w:val="0"/>
          <w:bCs w:val="0"/>
          <w:sz w:val="22"/>
          <w:szCs w:val="22"/>
          <w:lang w:val="sk-SK"/>
        </w:rPr>
      </w:pPr>
      <w:r w:rsidRPr="00576641">
        <w:rPr>
          <w:rFonts w:ascii="Times New Roman" w:hAnsi="Times New Roman" w:cs="Times New Roman"/>
          <w:b w:val="0"/>
          <w:bCs w:val="0"/>
          <w:sz w:val="22"/>
          <w:szCs w:val="22"/>
          <w:lang w:val="sk-SK"/>
        </w:rPr>
        <w:t xml:space="preserve">  Pri exacerbáciách chronick</w:t>
      </w:r>
      <w:r w:rsidR="001842E7" w:rsidRPr="00576641">
        <w:rPr>
          <w:rFonts w:ascii="Times New Roman" w:hAnsi="Times New Roman" w:cs="Times New Roman"/>
          <w:b w:val="0"/>
          <w:bCs w:val="0"/>
          <w:sz w:val="22"/>
          <w:szCs w:val="22"/>
          <w:lang w:val="sk-SK"/>
        </w:rPr>
        <w:t>ej</w:t>
      </w:r>
      <w:r w:rsidRPr="00576641">
        <w:rPr>
          <w:rFonts w:ascii="Times New Roman" w:hAnsi="Times New Roman" w:cs="Times New Roman"/>
          <w:b w:val="0"/>
          <w:bCs w:val="0"/>
          <w:sz w:val="22"/>
          <w:szCs w:val="22"/>
          <w:lang w:val="sk-SK"/>
        </w:rPr>
        <w:t xml:space="preserve"> obštrukčn</w:t>
      </w:r>
      <w:r w:rsidR="001842E7" w:rsidRPr="00576641">
        <w:rPr>
          <w:rFonts w:ascii="Times New Roman" w:hAnsi="Times New Roman" w:cs="Times New Roman"/>
          <w:b w:val="0"/>
          <w:bCs w:val="0"/>
          <w:sz w:val="22"/>
          <w:szCs w:val="22"/>
          <w:lang w:val="sk-SK"/>
        </w:rPr>
        <w:t>ej</w:t>
      </w:r>
      <w:r w:rsidRPr="00576641">
        <w:rPr>
          <w:rFonts w:ascii="Times New Roman" w:hAnsi="Times New Roman" w:cs="Times New Roman"/>
          <w:b w:val="0"/>
          <w:bCs w:val="0"/>
          <w:sz w:val="22"/>
          <w:szCs w:val="22"/>
          <w:lang w:val="sk-SK"/>
        </w:rPr>
        <w:t xml:space="preserve">  chor</w:t>
      </w:r>
      <w:r w:rsidR="001842E7" w:rsidRPr="00576641">
        <w:rPr>
          <w:rFonts w:ascii="Times New Roman" w:hAnsi="Times New Roman" w:cs="Times New Roman"/>
          <w:b w:val="0"/>
          <w:bCs w:val="0"/>
          <w:sz w:val="22"/>
          <w:szCs w:val="22"/>
          <w:lang w:val="sk-SK"/>
        </w:rPr>
        <w:t>oby pľúc</w:t>
      </w:r>
      <w:r w:rsidRPr="00576641">
        <w:rPr>
          <w:rFonts w:ascii="Times New Roman" w:hAnsi="Times New Roman" w:cs="Times New Roman"/>
          <w:b w:val="0"/>
          <w:bCs w:val="0"/>
          <w:sz w:val="22"/>
          <w:szCs w:val="22"/>
          <w:lang w:val="sk-SK"/>
        </w:rPr>
        <w:t xml:space="preserve"> sa má Ciprofloxacin-Teva</w:t>
      </w:r>
      <w:r w:rsidRPr="00B4462C">
        <w:rPr>
          <w:rFonts w:ascii="Times New Roman" w:hAnsi="Times New Roman" w:cs="Times New Roman"/>
          <w:b w:val="0"/>
          <w:bCs w:val="0"/>
          <w:sz w:val="22"/>
          <w:szCs w:val="22"/>
          <w:lang w:val="sk-SK"/>
        </w:rPr>
        <w:t xml:space="preserve"> </w:t>
      </w:r>
      <w:r>
        <w:rPr>
          <w:rFonts w:ascii="Times New Roman" w:hAnsi="Times New Roman" w:cs="Times New Roman"/>
          <w:b w:val="0"/>
          <w:bCs w:val="0"/>
          <w:sz w:val="22"/>
          <w:szCs w:val="22"/>
          <w:lang w:val="sk-SK"/>
        </w:rPr>
        <w:t xml:space="preserve">  </w:t>
      </w:r>
    </w:p>
    <w:p w14:paraId="7391A4E0" w14:textId="77777777" w:rsidR="00EC1E68" w:rsidRDefault="00EC1E68" w:rsidP="00A75C0F">
      <w:pPr>
        <w:pStyle w:val="Zkladntext2"/>
        <w:tabs>
          <w:tab w:val="left" w:pos="142"/>
        </w:tabs>
        <w:ind w:left="142"/>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w:t>
      </w:r>
      <w:r w:rsidRPr="00EC1E68">
        <w:rPr>
          <w:rFonts w:ascii="Times New Roman" w:hAnsi="Times New Roman" w:cs="Times New Roman"/>
          <w:b w:val="0"/>
          <w:bCs w:val="0"/>
          <w:sz w:val="22"/>
          <w:szCs w:val="22"/>
          <w:lang w:val="sk-SK"/>
        </w:rPr>
        <w:t xml:space="preserve">použiť len vtedy, ak sa použitie iných antibakteriálnych látok, obvykle odporúčaných na liečbu </w:t>
      </w:r>
      <w:r>
        <w:rPr>
          <w:rFonts w:ascii="Times New Roman" w:hAnsi="Times New Roman" w:cs="Times New Roman"/>
          <w:b w:val="0"/>
          <w:bCs w:val="0"/>
          <w:sz w:val="22"/>
          <w:szCs w:val="22"/>
          <w:lang w:val="sk-SK"/>
        </w:rPr>
        <w:t xml:space="preserve"> </w:t>
      </w:r>
    </w:p>
    <w:p w14:paraId="356F2966" w14:textId="77777777" w:rsidR="00EC1E68" w:rsidRPr="00B4462C" w:rsidRDefault="00EC1E68" w:rsidP="00A75C0F">
      <w:pPr>
        <w:pStyle w:val="Zkladntext2"/>
        <w:tabs>
          <w:tab w:val="left" w:pos="142"/>
        </w:tabs>
        <w:ind w:left="142"/>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w:t>
      </w:r>
      <w:r w:rsidRPr="00EC1E68">
        <w:rPr>
          <w:rFonts w:ascii="Times New Roman" w:hAnsi="Times New Roman" w:cs="Times New Roman"/>
          <w:b w:val="0"/>
          <w:bCs w:val="0"/>
          <w:sz w:val="22"/>
          <w:szCs w:val="22"/>
          <w:lang w:val="sk-SK"/>
        </w:rPr>
        <w:t>týchto infekcií, považuje za nevhodné.</w:t>
      </w:r>
    </w:p>
    <w:p w14:paraId="049409FF" w14:textId="117AF67D" w:rsidR="00CF3670" w:rsidRPr="00B4462C" w:rsidRDefault="00EC1E68" w:rsidP="00A75C0F">
      <w:pPr>
        <w:pStyle w:val="Zkladntext2"/>
        <w:tabs>
          <w:tab w:val="left" w:pos="284"/>
        </w:tabs>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ab/>
      </w:r>
      <w:r w:rsidR="00CF3670" w:rsidRPr="00B4462C">
        <w:rPr>
          <w:rFonts w:ascii="Times New Roman" w:hAnsi="Times New Roman" w:cs="Times New Roman"/>
          <w:b w:val="0"/>
          <w:bCs w:val="0"/>
          <w:sz w:val="22"/>
          <w:szCs w:val="22"/>
          <w:lang w:val="sk-SK"/>
        </w:rPr>
        <w:t>-</w:t>
      </w:r>
      <w:r>
        <w:rPr>
          <w:rFonts w:ascii="Times New Roman" w:hAnsi="Times New Roman" w:cs="Times New Roman"/>
          <w:b w:val="0"/>
          <w:bCs w:val="0"/>
          <w:sz w:val="22"/>
          <w:szCs w:val="22"/>
          <w:lang w:val="sk-SK"/>
        </w:rPr>
        <w:t xml:space="preserve"> b</w:t>
      </w:r>
      <w:r w:rsidR="00CF3670" w:rsidRPr="00B4462C">
        <w:rPr>
          <w:rFonts w:ascii="Times New Roman" w:hAnsi="Times New Roman" w:cs="Times New Roman"/>
          <w:b w:val="0"/>
          <w:bCs w:val="0"/>
          <w:sz w:val="22"/>
          <w:szCs w:val="22"/>
          <w:lang w:val="sk-SK"/>
        </w:rPr>
        <w:t>roncho-pulmonálne infekcie pri cystickej fibróze alebo pri bronchiektázii</w:t>
      </w:r>
    </w:p>
    <w:p w14:paraId="2471659D" w14:textId="6798C91D" w:rsidR="009C4407" w:rsidRDefault="00CF3670" w:rsidP="00A75C0F">
      <w:pPr>
        <w:pStyle w:val="Zkladntext2"/>
        <w:tabs>
          <w:tab w:val="left" w:pos="142"/>
        </w:tabs>
        <w:ind w:left="284"/>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w:t>
      </w:r>
      <w:r w:rsidR="00EC1E68">
        <w:rPr>
          <w:rFonts w:ascii="Times New Roman" w:hAnsi="Times New Roman" w:cs="Times New Roman"/>
          <w:b w:val="0"/>
          <w:bCs w:val="0"/>
          <w:sz w:val="22"/>
          <w:szCs w:val="22"/>
          <w:lang w:val="sk-SK"/>
        </w:rPr>
        <w:t xml:space="preserve"> p</w:t>
      </w:r>
      <w:r w:rsidRPr="00B4462C">
        <w:rPr>
          <w:rFonts w:ascii="Times New Roman" w:hAnsi="Times New Roman" w:cs="Times New Roman"/>
          <w:b w:val="0"/>
          <w:bCs w:val="0"/>
          <w:sz w:val="22"/>
          <w:szCs w:val="22"/>
          <w:lang w:val="sk-SK"/>
        </w:rPr>
        <w:t>neumónia</w:t>
      </w:r>
    </w:p>
    <w:p w14:paraId="2D5410C0" w14:textId="77777777" w:rsidR="00EC1E68" w:rsidRPr="00B4462C" w:rsidRDefault="00EC1E68" w:rsidP="00A75C0F">
      <w:pPr>
        <w:pStyle w:val="Zkladntext2"/>
        <w:tabs>
          <w:tab w:val="left" w:pos="142"/>
        </w:tabs>
        <w:ind w:left="284"/>
        <w:jc w:val="left"/>
        <w:rPr>
          <w:rFonts w:ascii="Times New Roman" w:hAnsi="Times New Roman" w:cs="Times New Roman"/>
          <w:b w:val="0"/>
          <w:bCs w:val="0"/>
          <w:sz w:val="22"/>
          <w:szCs w:val="22"/>
          <w:lang w:val="sk-SK"/>
        </w:rPr>
      </w:pPr>
    </w:p>
    <w:p w14:paraId="3E08C164" w14:textId="1B34CC1D" w:rsidR="009C4407" w:rsidRDefault="00CF3670" w:rsidP="00A75C0F">
      <w:pPr>
        <w:pStyle w:val="Zkladntext2"/>
        <w:numPr>
          <w:ilvl w:val="0"/>
          <w:numId w:val="11"/>
        </w:numPr>
        <w:tabs>
          <w:tab w:val="left" w:pos="142"/>
        </w:tabs>
        <w:ind w:hanging="86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Chronický supuratívny zápal otitis media</w:t>
      </w:r>
    </w:p>
    <w:p w14:paraId="70EFE1EE" w14:textId="77777777" w:rsidR="00EC1E68" w:rsidRPr="00B4462C" w:rsidRDefault="00EC1E68" w:rsidP="00A75C0F">
      <w:pPr>
        <w:pStyle w:val="Zkladntext2"/>
        <w:tabs>
          <w:tab w:val="left" w:pos="142"/>
        </w:tabs>
        <w:ind w:left="720"/>
        <w:jc w:val="left"/>
        <w:rPr>
          <w:rFonts w:ascii="Times New Roman" w:hAnsi="Times New Roman" w:cs="Times New Roman"/>
          <w:b w:val="0"/>
          <w:bCs w:val="0"/>
          <w:sz w:val="22"/>
          <w:szCs w:val="22"/>
          <w:lang w:val="sk-SK"/>
        </w:rPr>
      </w:pPr>
    </w:p>
    <w:p w14:paraId="3DBB680A" w14:textId="53873D4A" w:rsidR="00CF3670" w:rsidRDefault="00CF3670" w:rsidP="00A75C0F">
      <w:pPr>
        <w:pStyle w:val="Zkladntext2"/>
        <w:numPr>
          <w:ilvl w:val="0"/>
          <w:numId w:val="11"/>
        </w:numPr>
        <w:tabs>
          <w:tab w:val="left" w:pos="142"/>
        </w:tabs>
        <w:ind w:hanging="862"/>
        <w:jc w:val="left"/>
        <w:rPr>
          <w:rFonts w:ascii="Times New Roman" w:hAnsi="Times New Roman" w:cs="Times New Roman"/>
          <w:b w:val="0"/>
          <w:bCs w:val="0"/>
          <w:sz w:val="22"/>
          <w:szCs w:val="22"/>
          <w:lang w:val="sk-SK"/>
        </w:rPr>
      </w:pPr>
      <w:r w:rsidRPr="00EC1E68">
        <w:rPr>
          <w:rFonts w:ascii="Times New Roman" w:hAnsi="Times New Roman" w:cs="Times New Roman"/>
          <w:b w:val="0"/>
          <w:bCs w:val="0"/>
          <w:sz w:val="22"/>
          <w:szCs w:val="22"/>
          <w:lang w:val="sk-SK"/>
        </w:rPr>
        <w:t>Akútna exacerbácia chronickej sínusitídy, najmä vyvolanej gramnegatívnymi baktériami</w:t>
      </w:r>
    </w:p>
    <w:p w14:paraId="599315C8" w14:textId="77777777" w:rsidR="009C4407" w:rsidRDefault="009C4407" w:rsidP="00A75C0F">
      <w:pPr>
        <w:pStyle w:val="Zkladntext2"/>
        <w:tabs>
          <w:tab w:val="left" w:pos="142"/>
        </w:tabs>
        <w:ind w:left="720"/>
        <w:jc w:val="left"/>
        <w:rPr>
          <w:rFonts w:ascii="Times New Roman" w:hAnsi="Times New Roman" w:cs="Times New Roman"/>
          <w:b w:val="0"/>
          <w:bCs w:val="0"/>
          <w:sz w:val="22"/>
          <w:szCs w:val="22"/>
          <w:lang w:val="sk-SK"/>
        </w:rPr>
      </w:pPr>
    </w:p>
    <w:p w14:paraId="7AB784CD" w14:textId="77777777" w:rsidR="00EC1E68" w:rsidRPr="00EC1E68" w:rsidRDefault="00EC1E68" w:rsidP="00A75C0F">
      <w:pPr>
        <w:pStyle w:val="Zkladntext2"/>
        <w:numPr>
          <w:ilvl w:val="0"/>
          <w:numId w:val="11"/>
        </w:numPr>
        <w:tabs>
          <w:tab w:val="left" w:pos="142"/>
        </w:tabs>
        <w:ind w:hanging="862"/>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Akútna nekomplikovaná </w:t>
      </w:r>
      <w:r w:rsidRPr="00EC1E68">
        <w:rPr>
          <w:rFonts w:ascii="Times New Roman" w:hAnsi="Times New Roman" w:cs="Times New Roman"/>
          <w:b w:val="0"/>
          <w:bCs w:val="0"/>
          <w:sz w:val="22"/>
          <w:szCs w:val="22"/>
          <w:lang w:val="sk-SK"/>
        </w:rPr>
        <w:t>cystitída</w:t>
      </w:r>
    </w:p>
    <w:p w14:paraId="486D8B68" w14:textId="72D7A72D" w:rsidR="00EC1E68" w:rsidRDefault="00EC1E68" w:rsidP="007913A0">
      <w:pPr>
        <w:pStyle w:val="Zkladntext2"/>
        <w:tabs>
          <w:tab w:val="left" w:pos="142"/>
        </w:tabs>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Pri akútnej nekomplikovanej cystitíde sa má </w:t>
      </w:r>
      <w:r w:rsidRPr="00B4462C">
        <w:rPr>
          <w:rFonts w:ascii="Times New Roman" w:hAnsi="Times New Roman" w:cs="Times New Roman"/>
          <w:b w:val="0"/>
          <w:bCs w:val="0"/>
          <w:sz w:val="22"/>
          <w:szCs w:val="22"/>
          <w:lang w:val="sk-SK"/>
        </w:rPr>
        <w:t>Ciprofloxacin-Teva</w:t>
      </w:r>
      <w:r>
        <w:rPr>
          <w:rFonts w:ascii="Times New Roman" w:hAnsi="Times New Roman" w:cs="Times New Roman"/>
          <w:b w:val="0"/>
          <w:bCs w:val="0"/>
          <w:sz w:val="22"/>
          <w:szCs w:val="22"/>
          <w:lang w:val="sk-SK"/>
        </w:rPr>
        <w:t xml:space="preserve"> </w:t>
      </w:r>
      <w:r w:rsidRPr="00EC1E68">
        <w:rPr>
          <w:rFonts w:ascii="Times New Roman" w:hAnsi="Times New Roman" w:cs="Times New Roman"/>
          <w:b w:val="0"/>
          <w:bCs w:val="0"/>
          <w:sz w:val="22"/>
          <w:szCs w:val="22"/>
          <w:lang w:val="sk-SK"/>
        </w:rPr>
        <w:t xml:space="preserve">použiť len vtedy, ak sa použitie </w:t>
      </w:r>
      <w:r>
        <w:rPr>
          <w:rFonts w:ascii="Times New Roman" w:hAnsi="Times New Roman" w:cs="Times New Roman"/>
          <w:b w:val="0"/>
          <w:bCs w:val="0"/>
          <w:sz w:val="22"/>
          <w:szCs w:val="22"/>
          <w:lang w:val="sk-SK"/>
        </w:rPr>
        <w:t xml:space="preserve">  </w:t>
      </w:r>
    </w:p>
    <w:p w14:paraId="2D89F3DE" w14:textId="77777777" w:rsidR="00EC1E68" w:rsidRDefault="00EC1E68" w:rsidP="007913A0">
      <w:pPr>
        <w:pStyle w:val="Zkladntext2"/>
        <w:tabs>
          <w:tab w:val="left" w:pos="142"/>
        </w:tabs>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w:t>
      </w:r>
      <w:r w:rsidRPr="00EC1E68">
        <w:rPr>
          <w:rFonts w:ascii="Times New Roman" w:hAnsi="Times New Roman" w:cs="Times New Roman"/>
          <w:b w:val="0"/>
          <w:bCs w:val="0"/>
          <w:sz w:val="22"/>
          <w:szCs w:val="22"/>
          <w:lang w:val="sk-SK"/>
        </w:rPr>
        <w:t xml:space="preserve">iných antibakteriálnych látok, obvykle odporúčaných na liečbu týchto infekcií, považuje za </w:t>
      </w:r>
      <w:r>
        <w:rPr>
          <w:rFonts w:ascii="Times New Roman" w:hAnsi="Times New Roman" w:cs="Times New Roman"/>
          <w:b w:val="0"/>
          <w:bCs w:val="0"/>
          <w:sz w:val="22"/>
          <w:szCs w:val="22"/>
          <w:lang w:val="sk-SK"/>
        </w:rPr>
        <w:t xml:space="preserve">  </w:t>
      </w:r>
    </w:p>
    <w:p w14:paraId="205D5262" w14:textId="77777777" w:rsidR="00EC1E68" w:rsidRDefault="00EC1E68" w:rsidP="007913A0">
      <w:pPr>
        <w:pStyle w:val="Zkladntext2"/>
        <w:tabs>
          <w:tab w:val="left" w:pos="142"/>
        </w:tabs>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w:t>
      </w:r>
      <w:r w:rsidRPr="00EC1E68">
        <w:rPr>
          <w:rFonts w:ascii="Times New Roman" w:hAnsi="Times New Roman" w:cs="Times New Roman"/>
          <w:b w:val="0"/>
          <w:bCs w:val="0"/>
          <w:sz w:val="22"/>
          <w:szCs w:val="22"/>
          <w:lang w:val="sk-SK"/>
        </w:rPr>
        <w:t>nevhodné.</w:t>
      </w:r>
    </w:p>
    <w:p w14:paraId="372E3F10" w14:textId="77777777" w:rsidR="006373AA" w:rsidRDefault="006373AA" w:rsidP="007913A0">
      <w:pPr>
        <w:pStyle w:val="Zkladntext2"/>
        <w:tabs>
          <w:tab w:val="left" w:pos="142"/>
        </w:tabs>
        <w:jc w:val="left"/>
        <w:rPr>
          <w:rFonts w:ascii="Times New Roman" w:hAnsi="Times New Roman" w:cs="Times New Roman"/>
          <w:b w:val="0"/>
          <w:bCs w:val="0"/>
          <w:sz w:val="22"/>
          <w:szCs w:val="22"/>
          <w:lang w:val="sk-SK"/>
        </w:rPr>
      </w:pPr>
    </w:p>
    <w:p w14:paraId="04360AE7" w14:textId="395A6D36" w:rsidR="00EC1E68" w:rsidRPr="00576641" w:rsidRDefault="00EC1E68" w:rsidP="00A75C0F">
      <w:pPr>
        <w:pStyle w:val="Zkladntext2"/>
        <w:numPr>
          <w:ilvl w:val="0"/>
          <w:numId w:val="12"/>
        </w:numPr>
        <w:tabs>
          <w:tab w:val="left" w:pos="142"/>
        </w:tabs>
        <w:ind w:hanging="862"/>
        <w:jc w:val="left"/>
        <w:rPr>
          <w:rFonts w:ascii="Times New Roman" w:hAnsi="Times New Roman" w:cs="Times New Roman"/>
          <w:b w:val="0"/>
          <w:bCs w:val="0"/>
          <w:sz w:val="22"/>
          <w:szCs w:val="22"/>
          <w:lang w:val="sk-SK"/>
        </w:rPr>
      </w:pPr>
      <w:r w:rsidRPr="00EC1E68">
        <w:rPr>
          <w:rFonts w:ascii="Times New Roman" w:hAnsi="Times New Roman" w:cs="Times New Roman"/>
          <w:b w:val="0"/>
          <w:bCs w:val="0"/>
          <w:sz w:val="22"/>
          <w:szCs w:val="22"/>
          <w:lang w:val="sk-SK"/>
        </w:rPr>
        <w:t xml:space="preserve">Akútna </w:t>
      </w:r>
      <w:r w:rsidRPr="00576641">
        <w:rPr>
          <w:rFonts w:ascii="Times New Roman" w:hAnsi="Times New Roman" w:cs="Times New Roman"/>
          <w:b w:val="0"/>
          <w:bCs w:val="0"/>
          <w:sz w:val="22"/>
          <w:szCs w:val="22"/>
          <w:lang w:val="sk-SK"/>
        </w:rPr>
        <w:t>pyelonefritída</w:t>
      </w:r>
    </w:p>
    <w:p w14:paraId="284CFB56" w14:textId="77777777" w:rsidR="006373AA" w:rsidRDefault="006373AA" w:rsidP="00A75C0F">
      <w:pPr>
        <w:pStyle w:val="Zkladntext2"/>
        <w:tabs>
          <w:tab w:val="left" w:pos="142"/>
        </w:tabs>
        <w:ind w:left="720"/>
        <w:jc w:val="left"/>
        <w:rPr>
          <w:rFonts w:ascii="Times New Roman" w:hAnsi="Times New Roman" w:cs="Times New Roman"/>
          <w:b w:val="0"/>
          <w:bCs w:val="0"/>
          <w:sz w:val="22"/>
          <w:szCs w:val="22"/>
          <w:lang w:val="sk-SK"/>
        </w:rPr>
      </w:pPr>
    </w:p>
    <w:p w14:paraId="2C52EDA8" w14:textId="77777777" w:rsidR="006373AA" w:rsidRDefault="006373AA" w:rsidP="00A75C0F">
      <w:pPr>
        <w:pStyle w:val="Zkladntext2"/>
        <w:numPr>
          <w:ilvl w:val="0"/>
          <w:numId w:val="12"/>
        </w:numPr>
        <w:tabs>
          <w:tab w:val="left" w:pos="142"/>
        </w:tabs>
        <w:ind w:hanging="862"/>
        <w:jc w:val="left"/>
        <w:rPr>
          <w:rFonts w:ascii="Times New Roman" w:hAnsi="Times New Roman" w:cs="Times New Roman"/>
          <w:b w:val="0"/>
          <w:bCs w:val="0"/>
          <w:sz w:val="22"/>
          <w:szCs w:val="22"/>
          <w:lang w:val="sk-SK"/>
        </w:rPr>
      </w:pPr>
      <w:r w:rsidRPr="006373AA">
        <w:rPr>
          <w:rFonts w:ascii="Times New Roman" w:hAnsi="Times New Roman" w:cs="Times New Roman"/>
          <w:b w:val="0"/>
          <w:bCs w:val="0"/>
          <w:sz w:val="22"/>
          <w:szCs w:val="22"/>
          <w:lang w:val="sk-SK"/>
        </w:rPr>
        <w:t>Komplikované infekcie močových ciest</w:t>
      </w:r>
    </w:p>
    <w:p w14:paraId="04741097" w14:textId="77777777" w:rsidR="006373AA" w:rsidRDefault="006373AA" w:rsidP="00A75C0F">
      <w:pPr>
        <w:pStyle w:val="Odsekzoznamu"/>
        <w:rPr>
          <w:sz w:val="22"/>
          <w:szCs w:val="22"/>
          <w:lang w:val="sk-SK"/>
        </w:rPr>
      </w:pPr>
    </w:p>
    <w:p w14:paraId="73AD1A10" w14:textId="77777777" w:rsidR="006373AA" w:rsidRDefault="006373AA" w:rsidP="00A75C0F">
      <w:pPr>
        <w:pStyle w:val="Zkladntext2"/>
        <w:numPr>
          <w:ilvl w:val="0"/>
          <w:numId w:val="12"/>
        </w:numPr>
        <w:tabs>
          <w:tab w:val="left" w:pos="142"/>
        </w:tabs>
        <w:ind w:hanging="862"/>
        <w:jc w:val="left"/>
        <w:rPr>
          <w:rFonts w:ascii="Times New Roman" w:hAnsi="Times New Roman" w:cs="Times New Roman"/>
          <w:b w:val="0"/>
          <w:bCs w:val="0"/>
          <w:sz w:val="22"/>
          <w:szCs w:val="22"/>
          <w:lang w:val="sk-SK"/>
        </w:rPr>
      </w:pPr>
      <w:r w:rsidRPr="006373AA">
        <w:rPr>
          <w:rFonts w:ascii="Times New Roman" w:hAnsi="Times New Roman" w:cs="Times New Roman"/>
          <w:b w:val="0"/>
          <w:bCs w:val="0"/>
          <w:sz w:val="22"/>
          <w:szCs w:val="22"/>
          <w:lang w:val="sk-SK"/>
        </w:rPr>
        <w:t>Bakteriálna prostatitída</w:t>
      </w:r>
    </w:p>
    <w:p w14:paraId="52CDD444" w14:textId="77777777" w:rsidR="006373AA" w:rsidRDefault="006373AA" w:rsidP="00A75C0F">
      <w:pPr>
        <w:pStyle w:val="Odsekzoznamu"/>
        <w:rPr>
          <w:sz w:val="22"/>
          <w:szCs w:val="22"/>
          <w:lang w:val="sk-SK"/>
        </w:rPr>
      </w:pPr>
    </w:p>
    <w:p w14:paraId="072C4D5B" w14:textId="64167D28" w:rsidR="009C4407" w:rsidRDefault="00CF3670" w:rsidP="00A75C0F">
      <w:pPr>
        <w:pStyle w:val="Zkladntext2"/>
        <w:numPr>
          <w:ilvl w:val="0"/>
          <w:numId w:val="12"/>
        </w:numPr>
        <w:tabs>
          <w:tab w:val="left" w:pos="142"/>
        </w:tabs>
        <w:ind w:hanging="86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Gonokoková uretritída a</w:t>
      </w:r>
      <w:r>
        <w:rPr>
          <w:rFonts w:ascii="Times New Roman" w:hAnsi="Times New Roman" w:cs="Times New Roman"/>
          <w:b w:val="0"/>
          <w:bCs w:val="0"/>
          <w:sz w:val="22"/>
          <w:szCs w:val="22"/>
          <w:lang w:val="sk-SK"/>
        </w:rPr>
        <w:t> </w:t>
      </w:r>
      <w:r w:rsidRPr="00B4462C">
        <w:rPr>
          <w:rFonts w:ascii="Times New Roman" w:hAnsi="Times New Roman" w:cs="Times New Roman"/>
          <w:b w:val="0"/>
          <w:bCs w:val="0"/>
          <w:sz w:val="22"/>
          <w:szCs w:val="22"/>
          <w:lang w:val="sk-SK"/>
        </w:rPr>
        <w:t>cervicitída</w:t>
      </w:r>
      <w:r>
        <w:rPr>
          <w:rFonts w:ascii="Times New Roman" w:hAnsi="Times New Roman" w:cs="Times New Roman"/>
          <w:b w:val="0"/>
          <w:bCs w:val="0"/>
          <w:sz w:val="22"/>
          <w:szCs w:val="22"/>
          <w:lang w:val="sk-SK"/>
        </w:rPr>
        <w:t xml:space="preserve"> </w:t>
      </w:r>
      <w:r w:rsidR="009C4407" w:rsidRPr="009C4407">
        <w:rPr>
          <w:rFonts w:ascii="Times New Roman" w:hAnsi="Times New Roman" w:cs="Times New Roman"/>
          <w:b w:val="0"/>
          <w:bCs w:val="0"/>
          <w:sz w:val="22"/>
          <w:szCs w:val="22"/>
          <w:lang w:val="sk-SK"/>
        </w:rPr>
        <w:t>spôsobená citlivými baktériami</w:t>
      </w:r>
      <w:r w:rsidR="009C4407" w:rsidRPr="009C4407" w:rsidDel="009C4407">
        <w:rPr>
          <w:rFonts w:ascii="Times New Roman" w:hAnsi="Times New Roman" w:cs="Times New Roman"/>
          <w:b w:val="0"/>
          <w:bCs w:val="0"/>
          <w:sz w:val="22"/>
          <w:szCs w:val="22"/>
          <w:lang w:val="sk-SK"/>
        </w:rPr>
        <w:t xml:space="preserve"> </w:t>
      </w:r>
      <w:r w:rsidR="00FF42B8" w:rsidRPr="00FF42B8">
        <w:rPr>
          <w:rFonts w:ascii="Times New Roman" w:hAnsi="Times New Roman" w:cs="Times New Roman"/>
          <w:b w:val="0"/>
          <w:bCs w:val="0"/>
          <w:i/>
          <w:sz w:val="22"/>
          <w:szCs w:val="22"/>
          <w:lang w:val="sk-SK"/>
        </w:rPr>
        <w:t>Neisseria gonorrhoeae</w:t>
      </w:r>
    </w:p>
    <w:p w14:paraId="49A0536E" w14:textId="77777777" w:rsidR="009C4407" w:rsidRPr="00B4462C" w:rsidRDefault="009C4407" w:rsidP="00A75C0F">
      <w:pPr>
        <w:pStyle w:val="Zkladntext2"/>
        <w:tabs>
          <w:tab w:val="left" w:pos="142"/>
        </w:tabs>
        <w:ind w:left="720"/>
        <w:jc w:val="left"/>
        <w:rPr>
          <w:rFonts w:ascii="Times New Roman" w:hAnsi="Times New Roman" w:cs="Times New Roman"/>
          <w:b w:val="0"/>
          <w:bCs w:val="0"/>
          <w:sz w:val="22"/>
          <w:szCs w:val="22"/>
          <w:lang w:val="sk-SK"/>
        </w:rPr>
      </w:pPr>
    </w:p>
    <w:p w14:paraId="69EFA6C1" w14:textId="315EDAE4" w:rsidR="009C4407" w:rsidRDefault="00CF3670" w:rsidP="00A75C0F">
      <w:pPr>
        <w:pStyle w:val="Zkladntext2"/>
        <w:numPr>
          <w:ilvl w:val="0"/>
          <w:numId w:val="12"/>
        </w:numPr>
        <w:tabs>
          <w:tab w:val="left" w:pos="142"/>
        </w:tabs>
        <w:ind w:hanging="862"/>
        <w:jc w:val="left"/>
        <w:rPr>
          <w:rFonts w:ascii="Times New Roman" w:hAnsi="Times New Roman" w:cs="Times New Roman"/>
          <w:b w:val="0"/>
          <w:bCs w:val="0"/>
          <w:sz w:val="22"/>
          <w:szCs w:val="22"/>
          <w:lang w:val="sk-SK"/>
        </w:rPr>
      </w:pPr>
      <w:r w:rsidRPr="009C4407">
        <w:rPr>
          <w:rFonts w:ascii="Times New Roman" w:hAnsi="Times New Roman" w:cs="Times New Roman"/>
          <w:b w:val="0"/>
          <w:bCs w:val="0"/>
          <w:sz w:val="22"/>
          <w:szCs w:val="22"/>
          <w:lang w:val="sk-SK"/>
        </w:rPr>
        <w:t xml:space="preserve">Epididymálna orchitída zahŕňajúca prípady vyvolané druhom </w:t>
      </w:r>
      <w:r w:rsidRPr="009C4407">
        <w:rPr>
          <w:rFonts w:ascii="Times New Roman" w:hAnsi="Times New Roman" w:cs="Times New Roman"/>
          <w:b w:val="0"/>
          <w:bCs w:val="0"/>
          <w:i/>
          <w:sz w:val="22"/>
          <w:szCs w:val="22"/>
          <w:lang w:val="sk-SK"/>
        </w:rPr>
        <w:t>Neisseria gonorrhoaea</w:t>
      </w:r>
    </w:p>
    <w:p w14:paraId="29DD1BD2" w14:textId="77777777" w:rsidR="009C4407" w:rsidRPr="009C4407" w:rsidRDefault="009C4407" w:rsidP="00A75C0F">
      <w:pPr>
        <w:pStyle w:val="Zkladntext2"/>
        <w:tabs>
          <w:tab w:val="left" w:pos="142"/>
        </w:tabs>
        <w:ind w:left="720"/>
        <w:jc w:val="left"/>
        <w:rPr>
          <w:rFonts w:ascii="Times New Roman" w:hAnsi="Times New Roman" w:cs="Times New Roman"/>
          <w:b w:val="0"/>
          <w:bCs w:val="0"/>
          <w:sz w:val="22"/>
          <w:szCs w:val="22"/>
          <w:lang w:val="sk-SK"/>
        </w:rPr>
      </w:pPr>
    </w:p>
    <w:p w14:paraId="22811BBC" w14:textId="1F0021B1" w:rsidR="00CF3670" w:rsidRPr="009C4407" w:rsidRDefault="00CF3670" w:rsidP="00A75C0F">
      <w:pPr>
        <w:pStyle w:val="Zkladntext2"/>
        <w:numPr>
          <w:ilvl w:val="0"/>
          <w:numId w:val="12"/>
        </w:numPr>
        <w:tabs>
          <w:tab w:val="left" w:pos="142"/>
        </w:tabs>
        <w:ind w:hanging="862"/>
        <w:jc w:val="left"/>
        <w:rPr>
          <w:rFonts w:ascii="Times New Roman" w:hAnsi="Times New Roman" w:cs="Times New Roman"/>
          <w:b w:val="0"/>
          <w:bCs w:val="0"/>
          <w:sz w:val="22"/>
          <w:szCs w:val="22"/>
          <w:lang w:val="sk-SK"/>
        </w:rPr>
      </w:pPr>
      <w:r w:rsidRPr="009C4407">
        <w:rPr>
          <w:rFonts w:ascii="Times New Roman" w:hAnsi="Times New Roman" w:cs="Times New Roman"/>
          <w:b w:val="0"/>
          <w:bCs w:val="0"/>
          <w:sz w:val="22"/>
          <w:szCs w:val="22"/>
          <w:lang w:val="sk-SK"/>
        </w:rPr>
        <w:t xml:space="preserve">Zápalové ochorenie panvy, vrátane prípadov spôsobených druhom </w:t>
      </w:r>
      <w:r w:rsidRPr="009C4407">
        <w:rPr>
          <w:rFonts w:ascii="Times New Roman" w:hAnsi="Times New Roman" w:cs="Times New Roman"/>
          <w:b w:val="0"/>
          <w:bCs w:val="0"/>
          <w:i/>
          <w:sz w:val="22"/>
          <w:szCs w:val="22"/>
          <w:lang w:val="sk-SK"/>
        </w:rPr>
        <w:t>Neisseria gonorrhoeae</w:t>
      </w:r>
    </w:p>
    <w:p w14:paraId="4E11C9F9" w14:textId="77777777" w:rsidR="00CF3670" w:rsidRDefault="00CF3670" w:rsidP="007913A0">
      <w:pPr>
        <w:pStyle w:val="Zkladntext2"/>
        <w:tabs>
          <w:tab w:val="left" w:pos="142"/>
        </w:tabs>
        <w:ind w:left="142" w:hanging="14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ab/>
        <w:t xml:space="preserve">V prípadoch, že sú vyššie uvedené infekcie pohlavných orgánov pravdepodobne vyvolané druhom </w:t>
      </w:r>
      <w:r w:rsidRPr="00B4462C">
        <w:rPr>
          <w:rFonts w:ascii="Times New Roman" w:hAnsi="Times New Roman" w:cs="Times New Roman"/>
          <w:b w:val="0"/>
          <w:bCs w:val="0"/>
          <w:i/>
          <w:sz w:val="22"/>
          <w:szCs w:val="22"/>
          <w:lang w:val="sk-SK"/>
        </w:rPr>
        <w:t>Neisseria gonorrhoeae</w:t>
      </w:r>
      <w:r w:rsidRPr="00B4462C">
        <w:rPr>
          <w:rFonts w:ascii="Times New Roman" w:hAnsi="Times New Roman" w:cs="Times New Roman"/>
          <w:b w:val="0"/>
          <w:bCs w:val="0"/>
          <w:sz w:val="22"/>
          <w:szCs w:val="22"/>
          <w:lang w:val="sk-SK"/>
        </w:rPr>
        <w:t xml:space="preserve"> alebo je patogén potvrdený, je obzvlášť dôležité získať miestne informácie o prevalencii rezistencie voči ciprofloxacínu a potvrdiť citlivosť na základe laboratórnych testov.</w:t>
      </w:r>
    </w:p>
    <w:p w14:paraId="1B7E24A9" w14:textId="77777777" w:rsidR="009C4407" w:rsidRDefault="009C4407" w:rsidP="007913A0">
      <w:pPr>
        <w:pStyle w:val="Zkladntext2"/>
        <w:tabs>
          <w:tab w:val="left" w:pos="142"/>
        </w:tabs>
        <w:ind w:left="142" w:hanging="142"/>
        <w:jc w:val="left"/>
        <w:rPr>
          <w:rFonts w:ascii="Times New Roman" w:hAnsi="Times New Roman" w:cs="Times New Roman"/>
          <w:b w:val="0"/>
          <w:bCs w:val="0"/>
          <w:sz w:val="22"/>
          <w:szCs w:val="22"/>
          <w:lang w:val="sk-SK"/>
        </w:rPr>
      </w:pPr>
    </w:p>
    <w:p w14:paraId="2BE70B4B" w14:textId="58ECE6C0" w:rsidR="009C4407" w:rsidRDefault="00CF3670" w:rsidP="00A75C0F">
      <w:pPr>
        <w:pStyle w:val="Zkladntext2"/>
        <w:numPr>
          <w:ilvl w:val="0"/>
          <w:numId w:val="13"/>
        </w:numPr>
        <w:tabs>
          <w:tab w:val="left" w:pos="142"/>
        </w:tabs>
        <w:ind w:hanging="862"/>
        <w:jc w:val="left"/>
        <w:rPr>
          <w:rFonts w:ascii="Times New Roman" w:hAnsi="Times New Roman" w:cs="Times New Roman"/>
          <w:b w:val="0"/>
          <w:bCs w:val="0"/>
          <w:sz w:val="22"/>
          <w:szCs w:val="22"/>
          <w:lang w:val="sk-SK"/>
        </w:rPr>
      </w:pPr>
      <w:r w:rsidRPr="009C4407">
        <w:rPr>
          <w:rFonts w:ascii="Times New Roman" w:hAnsi="Times New Roman" w:cs="Times New Roman"/>
          <w:b w:val="0"/>
          <w:bCs w:val="0"/>
          <w:sz w:val="22"/>
          <w:szCs w:val="22"/>
          <w:lang w:val="sk-SK"/>
        </w:rPr>
        <w:t>Infekcie gastrointestinálneho traktu (napr. cestovateľská hnačka)</w:t>
      </w:r>
    </w:p>
    <w:p w14:paraId="59A90959" w14:textId="77777777" w:rsidR="009C4407" w:rsidRPr="009C4407" w:rsidRDefault="009C4407" w:rsidP="00A75C0F">
      <w:pPr>
        <w:pStyle w:val="Zkladntext2"/>
        <w:tabs>
          <w:tab w:val="left" w:pos="142"/>
        </w:tabs>
        <w:ind w:left="720"/>
        <w:jc w:val="left"/>
        <w:rPr>
          <w:rFonts w:ascii="Times New Roman" w:hAnsi="Times New Roman" w:cs="Times New Roman"/>
          <w:b w:val="0"/>
          <w:bCs w:val="0"/>
          <w:sz w:val="22"/>
          <w:szCs w:val="22"/>
          <w:lang w:val="sk-SK"/>
        </w:rPr>
      </w:pPr>
    </w:p>
    <w:p w14:paraId="44D871A6" w14:textId="135D2C2B" w:rsidR="00CF3670" w:rsidRDefault="00CF3670" w:rsidP="00A75C0F">
      <w:pPr>
        <w:pStyle w:val="Zkladntext2"/>
        <w:numPr>
          <w:ilvl w:val="0"/>
          <w:numId w:val="13"/>
        </w:numPr>
        <w:tabs>
          <w:tab w:val="left" w:pos="142"/>
        </w:tabs>
        <w:ind w:hanging="862"/>
        <w:jc w:val="left"/>
        <w:rPr>
          <w:rFonts w:ascii="Times New Roman" w:hAnsi="Times New Roman" w:cs="Times New Roman"/>
          <w:b w:val="0"/>
          <w:bCs w:val="0"/>
          <w:sz w:val="22"/>
          <w:szCs w:val="22"/>
          <w:lang w:val="sk-SK"/>
        </w:rPr>
      </w:pPr>
      <w:r w:rsidRPr="009C4407">
        <w:rPr>
          <w:rFonts w:ascii="Times New Roman" w:hAnsi="Times New Roman" w:cs="Times New Roman"/>
          <w:b w:val="0"/>
          <w:bCs w:val="0"/>
          <w:sz w:val="22"/>
          <w:szCs w:val="22"/>
          <w:lang w:val="sk-SK"/>
        </w:rPr>
        <w:t>Intraabdominálne infekcie</w:t>
      </w:r>
    </w:p>
    <w:p w14:paraId="3E8CD0BC" w14:textId="77777777" w:rsidR="009C4407" w:rsidRDefault="009C4407" w:rsidP="00A75C0F">
      <w:pPr>
        <w:pStyle w:val="Zkladntext2"/>
        <w:tabs>
          <w:tab w:val="left" w:pos="142"/>
        </w:tabs>
        <w:ind w:left="720"/>
        <w:jc w:val="left"/>
        <w:rPr>
          <w:rFonts w:ascii="Times New Roman" w:hAnsi="Times New Roman" w:cs="Times New Roman"/>
          <w:b w:val="0"/>
          <w:bCs w:val="0"/>
          <w:sz w:val="22"/>
          <w:szCs w:val="22"/>
          <w:lang w:val="sk-SK"/>
        </w:rPr>
      </w:pPr>
    </w:p>
    <w:p w14:paraId="10292148" w14:textId="1C14F783" w:rsidR="009C4407" w:rsidRDefault="00CF3670" w:rsidP="00A75C0F">
      <w:pPr>
        <w:pStyle w:val="Zkladntext2"/>
        <w:numPr>
          <w:ilvl w:val="0"/>
          <w:numId w:val="13"/>
        </w:numPr>
        <w:tabs>
          <w:tab w:val="left" w:pos="142"/>
        </w:tabs>
        <w:ind w:hanging="862"/>
        <w:jc w:val="left"/>
        <w:rPr>
          <w:rFonts w:ascii="Times New Roman" w:hAnsi="Times New Roman" w:cs="Times New Roman"/>
          <w:b w:val="0"/>
          <w:bCs w:val="0"/>
          <w:sz w:val="22"/>
          <w:szCs w:val="22"/>
          <w:lang w:val="sk-SK"/>
        </w:rPr>
      </w:pPr>
      <w:r w:rsidRPr="009C4407">
        <w:rPr>
          <w:rFonts w:ascii="Times New Roman" w:hAnsi="Times New Roman" w:cs="Times New Roman"/>
          <w:b w:val="0"/>
          <w:bCs w:val="0"/>
          <w:sz w:val="22"/>
          <w:szCs w:val="22"/>
          <w:lang w:val="sk-SK"/>
        </w:rPr>
        <w:t>Infekcie kože a mäkkých tkanív vyvolané gramnegatívnymi baktériami</w:t>
      </w:r>
    </w:p>
    <w:p w14:paraId="14EE7624" w14:textId="77777777" w:rsidR="009C4407" w:rsidRPr="009C4407" w:rsidRDefault="009C4407" w:rsidP="00A75C0F">
      <w:pPr>
        <w:pStyle w:val="Zkladntext2"/>
        <w:tabs>
          <w:tab w:val="left" w:pos="142"/>
        </w:tabs>
        <w:ind w:left="720"/>
        <w:jc w:val="left"/>
        <w:rPr>
          <w:rFonts w:ascii="Times New Roman" w:hAnsi="Times New Roman" w:cs="Times New Roman"/>
          <w:b w:val="0"/>
          <w:bCs w:val="0"/>
          <w:sz w:val="22"/>
          <w:szCs w:val="22"/>
          <w:lang w:val="sk-SK"/>
        </w:rPr>
      </w:pPr>
    </w:p>
    <w:p w14:paraId="25F99EA2" w14:textId="15340BB5" w:rsidR="009C4407" w:rsidRPr="009C4407" w:rsidRDefault="00CF3670" w:rsidP="00A75C0F">
      <w:pPr>
        <w:pStyle w:val="Zkladntext2"/>
        <w:numPr>
          <w:ilvl w:val="0"/>
          <w:numId w:val="13"/>
        </w:numPr>
        <w:tabs>
          <w:tab w:val="left" w:pos="142"/>
        </w:tabs>
        <w:ind w:hanging="862"/>
        <w:jc w:val="left"/>
        <w:rPr>
          <w:rFonts w:ascii="Times New Roman" w:hAnsi="Times New Roman" w:cs="Times New Roman"/>
          <w:b w:val="0"/>
          <w:bCs w:val="0"/>
          <w:sz w:val="22"/>
          <w:szCs w:val="22"/>
          <w:lang w:val="sk-SK"/>
        </w:rPr>
      </w:pPr>
      <w:r w:rsidRPr="009C4407">
        <w:rPr>
          <w:rFonts w:ascii="Times New Roman" w:hAnsi="Times New Roman" w:cs="Times New Roman"/>
          <w:b w:val="0"/>
          <w:bCs w:val="0"/>
          <w:sz w:val="22"/>
          <w:szCs w:val="22"/>
          <w:lang w:val="sk-SK"/>
        </w:rPr>
        <w:t>Malígny zápal vonkajšieho ucha</w:t>
      </w:r>
    </w:p>
    <w:p w14:paraId="74476498" w14:textId="77777777" w:rsidR="00C57C73" w:rsidRDefault="00C57C73" w:rsidP="00A75C0F">
      <w:pPr>
        <w:pStyle w:val="Zkladntext2"/>
        <w:tabs>
          <w:tab w:val="left" w:pos="142"/>
        </w:tabs>
        <w:ind w:left="720"/>
        <w:jc w:val="left"/>
        <w:rPr>
          <w:rFonts w:ascii="Times New Roman" w:hAnsi="Times New Roman" w:cs="Times New Roman"/>
          <w:b w:val="0"/>
          <w:bCs w:val="0"/>
          <w:sz w:val="22"/>
          <w:szCs w:val="22"/>
          <w:lang w:val="sk-SK"/>
        </w:rPr>
      </w:pPr>
    </w:p>
    <w:p w14:paraId="71EB20D0" w14:textId="2C7E4935" w:rsidR="00CF3670" w:rsidRDefault="00CF3670" w:rsidP="00A75C0F">
      <w:pPr>
        <w:pStyle w:val="Zkladntext2"/>
        <w:numPr>
          <w:ilvl w:val="0"/>
          <w:numId w:val="13"/>
        </w:numPr>
        <w:tabs>
          <w:tab w:val="left" w:pos="142"/>
        </w:tabs>
        <w:ind w:hanging="86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Infekcie kostí a</w:t>
      </w:r>
      <w:r w:rsidR="00C57C73">
        <w:rPr>
          <w:rFonts w:ascii="Times New Roman" w:hAnsi="Times New Roman" w:cs="Times New Roman"/>
          <w:b w:val="0"/>
          <w:bCs w:val="0"/>
          <w:sz w:val="22"/>
          <w:szCs w:val="22"/>
          <w:lang w:val="sk-SK"/>
        </w:rPr>
        <w:t> </w:t>
      </w:r>
      <w:r w:rsidRPr="00B4462C">
        <w:rPr>
          <w:rFonts w:ascii="Times New Roman" w:hAnsi="Times New Roman" w:cs="Times New Roman"/>
          <w:b w:val="0"/>
          <w:bCs w:val="0"/>
          <w:sz w:val="22"/>
          <w:szCs w:val="22"/>
          <w:lang w:val="sk-SK"/>
        </w:rPr>
        <w:t>kĺbov</w:t>
      </w:r>
    </w:p>
    <w:p w14:paraId="6456C6AB" w14:textId="77777777" w:rsidR="00C57C73" w:rsidRDefault="00C57C73" w:rsidP="00A75C0F">
      <w:pPr>
        <w:pStyle w:val="Zkladntext2"/>
        <w:tabs>
          <w:tab w:val="left" w:pos="142"/>
        </w:tabs>
        <w:ind w:left="720"/>
        <w:jc w:val="left"/>
        <w:rPr>
          <w:rFonts w:ascii="Times New Roman" w:hAnsi="Times New Roman" w:cs="Times New Roman"/>
          <w:b w:val="0"/>
          <w:bCs w:val="0"/>
          <w:sz w:val="22"/>
          <w:szCs w:val="22"/>
          <w:lang w:val="sk-SK"/>
        </w:rPr>
      </w:pPr>
    </w:p>
    <w:p w14:paraId="701078BE" w14:textId="77777777" w:rsidR="00C57C73" w:rsidRDefault="00C57C73" w:rsidP="00A75C0F">
      <w:pPr>
        <w:pStyle w:val="Zkladntext2"/>
        <w:numPr>
          <w:ilvl w:val="0"/>
          <w:numId w:val="13"/>
        </w:numPr>
        <w:tabs>
          <w:tab w:val="left" w:pos="142"/>
        </w:tabs>
        <w:ind w:hanging="862"/>
        <w:jc w:val="left"/>
        <w:rPr>
          <w:rFonts w:ascii="Times New Roman" w:hAnsi="Times New Roman" w:cs="Times New Roman"/>
          <w:b w:val="0"/>
          <w:bCs w:val="0"/>
          <w:sz w:val="22"/>
          <w:szCs w:val="22"/>
          <w:lang w:val="sk-SK"/>
        </w:rPr>
      </w:pPr>
      <w:r w:rsidRPr="00C57C73">
        <w:rPr>
          <w:rFonts w:ascii="Times New Roman" w:hAnsi="Times New Roman" w:cs="Times New Roman"/>
          <w:b w:val="0"/>
          <w:bCs w:val="0"/>
          <w:sz w:val="22"/>
          <w:szCs w:val="22"/>
          <w:lang w:val="sk-SK"/>
        </w:rPr>
        <w:t>Ciprofloxacín</w:t>
      </w:r>
      <w:r>
        <w:rPr>
          <w:rFonts w:ascii="Times New Roman" w:hAnsi="Times New Roman" w:cs="Times New Roman"/>
          <w:b w:val="0"/>
          <w:bCs w:val="0"/>
          <w:sz w:val="22"/>
          <w:szCs w:val="22"/>
          <w:lang w:val="sk-SK"/>
        </w:rPr>
        <w:t xml:space="preserve"> Teva</w:t>
      </w:r>
      <w:r w:rsidRPr="00C57C73">
        <w:rPr>
          <w:rFonts w:ascii="Times New Roman" w:hAnsi="Times New Roman" w:cs="Times New Roman"/>
          <w:b w:val="0"/>
          <w:bCs w:val="0"/>
          <w:sz w:val="22"/>
          <w:szCs w:val="22"/>
          <w:lang w:val="sk-SK"/>
        </w:rPr>
        <w:t xml:space="preserve"> sa môže použiť na liečbu pacientov s neutropéniou s horúčkou, ak sa </w:t>
      </w:r>
    </w:p>
    <w:p w14:paraId="4B9D72AE" w14:textId="03CB30C7" w:rsidR="00250496" w:rsidRPr="00B4462C" w:rsidRDefault="00C57C73" w:rsidP="00250496">
      <w:pPr>
        <w:pStyle w:val="Zkladntext2"/>
        <w:tabs>
          <w:tab w:val="left" w:pos="142"/>
        </w:tabs>
        <w:jc w:val="left"/>
        <w:rPr>
          <w:rFonts w:ascii="Times New Roman" w:hAnsi="Times New Roman" w:cs="Times New Roman"/>
          <w:b w:val="0"/>
          <w:bCs w:val="0"/>
          <w:sz w:val="22"/>
          <w:szCs w:val="22"/>
          <w:lang w:val="sk-SK"/>
        </w:rPr>
      </w:pPr>
      <w:r>
        <w:rPr>
          <w:rFonts w:ascii="Times New Roman" w:hAnsi="Times New Roman" w:cs="Times New Roman"/>
          <w:sz w:val="22"/>
          <w:szCs w:val="22"/>
          <w:lang w:val="sk-SK"/>
        </w:rPr>
        <w:t xml:space="preserve">   </w:t>
      </w:r>
      <w:r w:rsidRPr="00C57C73">
        <w:rPr>
          <w:rFonts w:ascii="Times New Roman" w:hAnsi="Times New Roman" w:cs="Times New Roman"/>
          <w:b w:val="0"/>
          <w:bCs w:val="0"/>
          <w:sz w:val="22"/>
          <w:szCs w:val="22"/>
          <w:lang w:val="sk-SK"/>
        </w:rPr>
        <w:t>predpokladá, že je spôsobená bakteriálnou infekciou</w:t>
      </w:r>
    </w:p>
    <w:p w14:paraId="6A966EF8" w14:textId="77777777" w:rsidR="00250496" w:rsidRPr="00C57C73" w:rsidRDefault="00250496" w:rsidP="00C57C73">
      <w:pPr>
        <w:pStyle w:val="Zkladntext2"/>
        <w:tabs>
          <w:tab w:val="left" w:pos="142"/>
        </w:tabs>
        <w:jc w:val="left"/>
        <w:rPr>
          <w:rFonts w:ascii="Times New Roman" w:hAnsi="Times New Roman" w:cs="Times New Roman"/>
          <w:b w:val="0"/>
          <w:bCs w:val="0"/>
          <w:sz w:val="22"/>
          <w:szCs w:val="22"/>
          <w:lang w:val="sk-SK"/>
        </w:rPr>
      </w:pPr>
    </w:p>
    <w:p w14:paraId="282C0746" w14:textId="00E59751" w:rsidR="00CF3670" w:rsidRDefault="00CF3670" w:rsidP="00A75C0F">
      <w:pPr>
        <w:pStyle w:val="Zkladntext2"/>
        <w:numPr>
          <w:ilvl w:val="0"/>
          <w:numId w:val="14"/>
        </w:numPr>
        <w:tabs>
          <w:tab w:val="left" w:pos="142"/>
        </w:tabs>
        <w:ind w:hanging="86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Profylaxia infekcií u neutropenických pacientov</w:t>
      </w:r>
    </w:p>
    <w:p w14:paraId="3C1FC07A" w14:textId="77777777" w:rsidR="00250496" w:rsidRDefault="00250496" w:rsidP="00A75C0F">
      <w:pPr>
        <w:pStyle w:val="Zkladntext2"/>
        <w:tabs>
          <w:tab w:val="left" w:pos="142"/>
        </w:tabs>
        <w:ind w:left="720"/>
        <w:jc w:val="left"/>
        <w:rPr>
          <w:rFonts w:ascii="Times New Roman" w:hAnsi="Times New Roman" w:cs="Times New Roman"/>
          <w:b w:val="0"/>
          <w:bCs w:val="0"/>
          <w:sz w:val="22"/>
          <w:szCs w:val="22"/>
          <w:lang w:val="sk-SK"/>
        </w:rPr>
      </w:pPr>
    </w:p>
    <w:p w14:paraId="7958995B" w14:textId="02EAB20E" w:rsidR="00CF3670" w:rsidRPr="00A75C0F" w:rsidRDefault="00CF3670" w:rsidP="00A75C0F">
      <w:pPr>
        <w:pStyle w:val="Zkladntext2"/>
        <w:numPr>
          <w:ilvl w:val="0"/>
          <w:numId w:val="14"/>
        </w:numPr>
        <w:tabs>
          <w:tab w:val="left" w:pos="142"/>
        </w:tabs>
        <w:ind w:hanging="862"/>
        <w:jc w:val="left"/>
        <w:rPr>
          <w:rFonts w:ascii="Times New Roman" w:hAnsi="Times New Roman" w:cs="Times New Roman"/>
          <w:b w:val="0"/>
          <w:bCs w:val="0"/>
          <w:sz w:val="22"/>
          <w:szCs w:val="22"/>
          <w:lang w:val="sk-SK"/>
        </w:rPr>
      </w:pPr>
      <w:r w:rsidRPr="00250496">
        <w:rPr>
          <w:rFonts w:ascii="Times New Roman" w:hAnsi="Times New Roman" w:cs="Times New Roman"/>
          <w:b w:val="0"/>
          <w:bCs w:val="0"/>
          <w:sz w:val="22"/>
          <w:szCs w:val="22"/>
          <w:lang w:val="sk-SK"/>
        </w:rPr>
        <w:t xml:space="preserve">Profylaxia invazívnych infekcií vyvolaných druhom </w:t>
      </w:r>
      <w:r w:rsidRPr="00250496">
        <w:rPr>
          <w:rFonts w:ascii="Times New Roman" w:hAnsi="Times New Roman" w:cs="Times New Roman"/>
          <w:b w:val="0"/>
          <w:bCs w:val="0"/>
          <w:i/>
          <w:sz w:val="22"/>
          <w:szCs w:val="22"/>
          <w:lang w:val="sk-SK"/>
        </w:rPr>
        <w:t>Neisseria meningitidis</w:t>
      </w:r>
    </w:p>
    <w:p w14:paraId="57004380" w14:textId="77777777" w:rsidR="00763901" w:rsidRPr="00A75C0F" w:rsidRDefault="00763901" w:rsidP="00A75C0F">
      <w:pPr>
        <w:pStyle w:val="Zkladntext2"/>
        <w:tabs>
          <w:tab w:val="left" w:pos="142"/>
        </w:tabs>
        <w:ind w:left="720"/>
        <w:jc w:val="left"/>
        <w:rPr>
          <w:rFonts w:ascii="Times New Roman" w:hAnsi="Times New Roman" w:cs="Times New Roman"/>
          <w:b w:val="0"/>
          <w:bCs w:val="0"/>
          <w:sz w:val="22"/>
          <w:szCs w:val="22"/>
          <w:lang w:val="sk-SK"/>
        </w:rPr>
      </w:pPr>
    </w:p>
    <w:p w14:paraId="34CC1BF3" w14:textId="0057A588" w:rsidR="00CF3670" w:rsidRPr="00763901" w:rsidRDefault="00CF3670" w:rsidP="00A75C0F">
      <w:pPr>
        <w:pStyle w:val="Zkladntext2"/>
        <w:numPr>
          <w:ilvl w:val="0"/>
          <w:numId w:val="14"/>
        </w:numPr>
        <w:tabs>
          <w:tab w:val="left" w:pos="142"/>
        </w:tabs>
        <w:ind w:hanging="862"/>
        <w:jc w:val="left"/>
        <w:rPr>
          <w:rFonts w:ascii="Times New Roman" w:hAnsi="Times New Roman" w:cs="Times New Roman"/>
          <w:b w:val="0"/>
          <w:bCs w:val="0"/>
          <w:sz w:val="22"/>
          <w:szCs w:val="22"/>
          <w:lang w:val="sk-SK"/>
        </w:rPr>
      </w:pPr>
      <w:r w:rsidRPr="00763901">
        <w:rPr>
          <w:rFonts w:ascii="Times New Roman" w:hAnsi="Times New Roman" w:cs="Times New Roman"/>
          <w:b w:val="0"/>
          <w:bCs w:val="0"/>
          <w:sz w:val="22"/>
          <w:szCs w:val="22"/>
          <w:lang w:val="sk-SK"/>
        </w:rPr>
        <w:t xml:space="preserve">Inhalácia antraxu (profylaxia </w:t>
      </w:r>
      <w:r w:rsidR="005700E1" w:rsidRPr="00763901">
        <w:rPr>
          <w:rFonts w:ascii="Times New Roman" w:hAnsi="Times New Roman" w:cs="Times New Roman"/>
          <w:b w:val="0"/>
          <w:bCs w:val="0"/>
          <w:sz w:val="22"/>
          <w:szCs w:val="22"/>
          <w:lang w:val="sk-SK"/>
        </w:rPr>
        <w:t xml:space="preserve">po expozícii </w:t>
      </w:r>
      <w:r w:rsidRPr="00763901">
        <w:rPr>
          <w:rFonts w:ascii="Times New Roman" w:hAnsi="Times New Roman" w:cs="Times New Roman"/>
          <w:b w:val="0"/>
          <w:bCs w:val="0"/>
          <w:sz w:val="22"/>
          <w:szCs w:val="22"/>
          <w:lang w:val="sk-SK"/>
        </w:rPr>
        <w:t>a liečba ).</w:t>
      </w:r>
    </w:p>
    <w:p w14:paraId="15591538" w14:textId="77777777" w:rsidR="00CF3670" w:rsidRPr="00B4462C" w:rsidRDefault="00CF3670" w:rsidP="00B4462C">
      <w:pPr>
        <w:widowControl w:val="0"/>
        <w:rPr>
          <w:sz w:val="22"/>
          <w:szCs w:val="22"/>
          <w:lang w:val="sk-SK"/>
        </w:rPr>
      </w:pPr>
      <w:r w:rsidRPr="00B4462C">
        <w:rPr>
          <w:sz w:val="22"/>
          <w:szCs w:val="22"/>
          <w:lang w:val="sk-SK"/>
        </w:rPr>
        <w:t>     </w:t>
      </w:r>
    </w:p>
    <w:p w14:paraId="158FB3F4" w14:textId="77777777" w:rsidR="00763901" w:rsidRDefault="00763901" w:rsidP="00B4462C">
      <w:pPr>
        <w:keepNext/>
        <w:widowControl w:val="0"/>
        <w:rPr>
          <w:i/>
          <w:sz w:val="22"/>
          <w:szCs w:val="22"/>
          <w:lang w:val="sk-SK"/>
        </w:rPr>
      </w:pPr>
    </w:p>
    <w:p w14:paraId="44F74A5E" w14:textId="3D75F2AC" w:rsidR="00CF3670" w:rsidRPr="00B4462C" w:rsidRDefault="00CF3670" w:rsidP="00B4462C">
      <w:pPr>
        <w:keepNext/>
        <w:widowControl w:val="0"/>
        <w:rPr>
          <w:i/>
          <w:sz w:val="22"/>
          <w:szCs w:val="22"/>
          <w:lang w:val="sk-SK"/>
        </w:rPr>
      </w:pPr>
      <w:r w:rsidRPr="00B4462C">
        <w:rPr>
          <w:i/>
          <w:sz w:val="22"/>
          <w:szCs w:val="22"/>
          <w:lang w:val="sk-SK"/>
        </w:rPr>
        <w:t>Deti a </w:t>
      </w:r>
      <w:r w:rsidR="00434B06">
        <w:rPr>
          <w:i/>
          <w:sz w:val="22"/>
          <w:szCs w:val="22"/>
          <w:lang w:val="sk-SK"/>
        </w:rPr>
        <w:t>dospievajúci</w:t>
      </w:r>
    </w:p>
    <w:p w14:paraId="5DECD0DD" w14:textId="70EB826E" w:rsidR="00763901" w:rsidRDefault="00763901" w:rsidP="00A75C0F">
      <w:pPr>
        <w:pStyle w:val="Zkladntext2"/>
        <w:numPr>
          <w:ilvl w:val="0"/>
          <w:numId w:val="15"/>
        </w:numPr>
        <w:ind w:hanging="862"/>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w:t>
      </w:r>
      <w:r w:rsidR="00CF3670" w:rsidRPr="00B4462C">
        <w:rPr>
          <w:rFonts w:ascii="Times New Roman" w:hAnsi="Times New Roman" w:cs="Times New Roman"/>
          <w:b w:val="0"/>
          <w:bCs w:val="0"/>
          <w:sz w:val="22"/>
          <w:szCs w:val="22"/>
          <w:lang w:val="sk-SK"/>
        </w:rPr>
        <w:t xml:space="preserve">Broncho-pulmonálne infekcie </w:t>
      </w:r>
      <w:r w:rsidRPr="00763901">
        <w:rPr>
          <w:rFonts w:ascii="Times New Roman" w:hAnsi="Times New Roman" w:cs="Times New Roman"/>
          <w:b w:val="0"/>
          <w:bCs w:val="0"/>
          <w:sz w:val="22"/>
          <w:szCs w:val="22"/>
          <w:lang w:val="sk-SK"/>
        </w:rPr>
        <w:t xml:space="preserve">spôsobené baktériami Pseudomonas aeruginosa u pacientov s </w:t>
      </w:r>
      <w:r>
        <w:rPr>
          <w:rFonts w:ascii="Times New Roman" w:hAnsi="Times New Roman" w:cs="Times New Roman"/>
          <w:b w:val="0"/>
          <w:bCs w:val="0"/>
          <w:sz w:val="22"/>
          <w:szCs w:val="22"/>
          <w:lang w:val="sk-SK"/>
        </w:rPr>
        <w:t xml:space="preserve"> </w:t>
      </w:r>
    </w:p>
    <w:p w14:paraId="61158A85" w14:textId="77777777" w:rsidR="00763901" w:rsidRDefault="00763901" w:rsidP="00B4462C">
      <w:pPr>
        <w:pStyle w:val="Zkladntext2"/>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w:t>
      </w:r>
      <w:r w:rsidRPr="00763901">
        <w:rPr>
          <w:rFonts w:ascii="Times New Roman" w:hAnsi="Times New Roman" w:cs="Times New Roman"/>
          <w:b w:val="0"/>
          <w:bCs w:val="0"/>
          <w:sz w:val="22"/>
          <w:szCs w:val="22"/>
          <w:lang w:val="sk-SK"/>
        </w:rPr>
        <w:t>cystickou fibrózou</w:t>
      </w:r>
      <w:r w:rsidRPr="00763901" w:rsidDel="00763901">
        <w:rPr>
          <w:rFonts w:ascii="Times New Roman" w:hAnsi="Times New Roman" w:cs="Times New Roman"/>
          <w:b w:val="0"/>
          <w:bCs w:val="0"/>
          <w:sz w:val="22"/>
          <w:szCs w:val="22"/>
          <w:lang w:val="sk-SK"/>
        </w:rPr>
        <w:t xml:space="preserve"> </w:t>
      </w:r>
    </w:p>
    <w:p w14:paraId="12700129" w14:textId="77777777" w:rsidR="00763901" w:rsidRDefault="00763901" w:rsidP="00B4462C">
      <w:pPr>
        <w:pStyle w:val="Zkladntext2"/>
        <w:jc w:val="left"/>
        <w:rPr>
          <w:rFonts w:ascii="Times New Roman" w:hAnsi="Times New Roman" w:cs="Times New Roman"/>
          <w:b w:val="0"/>
          <w:bCs w:val="0"/>
          <w:sz w:val="22"/>
          <w:szCs w:val="22"/>
          <w:lang w:val="sk-SK"/>
        </w:rPr>
      </w:pPr>
    </w:p>
    <w:p w14:paraId="6DE94A7F" w14:textId="77777777" w:rsidR="00763901" w:rsidRDefault="00763901" w:rsidP="00A75C0F">
      <w:pPr>
        <w:pStyle w:val="Zkladntext2"/>
        <w:numPr>
          <w:ilvl w:val="0"/>
          <w:numId w:val="15"/>
        </w:numPr>
        <w:ind w:hanging="862"/>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w:t>
      </w:r>
      <w:r w:rsidRPr="00B4462C">
        <w:rPr>
          <w:rFonts w:ascii="Times New Roman" w:hAnsi="Times New Roman" w:cs="Times New Roman"/>
          <w:b w:val="0"/>
          <w:bCs w:val="0"/>
          <w:sz w:val="22"/>
          <w:szCs w:val="22"/>
          <w:lang w:val="sk-SK"/>
        </w:rPr>
        <w:t>Komplikované infekcie močových ciest a</w:t>
      </w:r>
      <w:r>
        <w:rPr>
          <w:rFonts w:ascii="Times New Roman" w:hAnsi="Times New Roman" w:cs="Times New Roman"/>
          <w:b w:val="0"/>
          <w:bCs w:val="0"/>
          <w:sz w:val="22"/>
          <w:szCs w:val="22"/>
          <w:lang w:val="sk-SK"/>
        </w:rPr>
        <w:t xml:space="preserve"> akútna </w:t>
      </w:r>
      <w:r w:rsidRPr="00B4462C">
        <w:rPr>
          <w:rFonts w:ascii="Times New Roman" w:hAnsi="Times New Roman" w:cs="Times New Roman"/>
          <w:b w:val="0"/>
          <w:bCs w:val="0"/>
          <w:sz w:val="22"/>
          <w:szCs w:val="22"/>
          <w:lang w:val="sk-SK"/>
        </w:rPr>
        <w:t>pyelonefritída</w:t>
      </w:r>
    </w:p>
    <w:p w14:paraId="29DBEAB7" w14:textId="77777777" w:rsidR="00763901" w:rsidRDefault="00763901" w:rsidP="00A75C0F">
      <w:pPr>
        <w:pStyle w:val="Zkladntext2"/>
        <w:ind w:left="720"/>
        <w:jc w:val="left"/>
        <w:rPr>
          <w:rFonts w:ascii="Times New Roman" w:hAnsi="Times New Roman" w:cs="Times New Roman"/>
          <w:b w:val="0"/>
          <w:bCs w:val="0"/>
          <w:sz w:val="22"/>
          <w:szCs w:val="22"/>
          <w:lang w:val="sk-SK"/>
        </w:rPr>
      </w:pPr>
    </w:p>
    <w:p w14:paraId="74C83CA1" w14:textId="77777777" w:rsidR="00763901" w:rsidRPr="00763901" w:rsidRDefault="00763901" w:rsidP="00A75C0F">
      <w:pPr>
        <w:pStyle w:val="Zkladntext2"/>
        <w:numPr>
          <w:ilvl w:val="0"/>
          <w:numId w:val="15"/>
        </w:numPr>
        <w:ind w:hanging="862"/>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  </w:t>
      </w:r>
      <w:r w:rsidRPr="00763901">
        <w:rPr>
          <w:rFonts w:ascii="Times New Roman" w:hAnsi="Times New Roman" w:cs="Times New Roman"/>
          <w:b w:val="0"/>
          <w:bCs w:val="0"/>
          <w:sz w:val="22"/>
          <w:szCs w:val="22"/>
          <w:lang w:val="sk-SK"/>
        </w:rPr>
        <w:t>Inhalácia antraxu (profylaxia a liečba stavov po expozícii).</w:t>
      </w:r>
    </w:p>
    <w:p w14:paraId="40CAD7A3" w14:textId="77777777" w:rsidR="00763901" w:rsidRPr="00763901" w:rsidRDefault="00763901" w:rsidP="00A75C0F">
      <w:pPr>
        <w:pStyle w:val="Zkladntext2"/>
        <w:ind w:left="720"/>
        <w:jc w:val="left"/>
        <w:rPr>
          <w:rFonts w:ascii="Times New Roman" w:hAnsi="Times New Roman" w:cs="Times New Roman"/>
          <w:b w:val="0"/>
          <w:bCs w:val="0"/>
          <w:sz w:val="22"/>
          <w:szCs w:val="22"/>
          <w:lang w:val="sk-SK"/>
        </w:rPr>
      </w:pPr>
    </w:p>
    <w:p w14:paraId="71E6FBEB" w14:textId="77777777" w:rsidR="00CF3670" w:rsidRPr="00B4462C" w:rsidRDefault="00CF3670" w:rsidP="00B4462C">
      <w:pPr>
        <w:pStyle w:val="Zkladntext2"/>
        <w:jc w:val="left"/>
        <w:rPr>
          <w:rFonts w:ascii="Times New Roman" w:hAnsi="Times New Roman" w:cs="Times New Roman"/>
          <w:b w:val="0"/>
          <w:bCs w:val="0"/>
          <w:sz w:val="22"/>
          <w:szCs w:val="22"/>
          <w:lang w:val="sk-SK"/>
        </w:rPr>
      </w:pPr>
    </w:p>
    <w:p w14:paraId="455B4EE5" w14:textId="1780F884" w:rsidR="00CF3670" w:rsidRPr="00B4462C" w:rsidRDefault="00CF3670" w:rsidP="00B4462C">
      <w:pPr>
        <w:pStyle w:val="Zkladntext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t>Ciprofloxacín sa môže použiť na liečbu závažných infekcií u detí a </w:t>
      </w:r>
      <w:r w:rsidR="00434B06">
        <w:rPr>
          <w:rFonts w:ascii="Times New Roman" w:hAnsi="Times New Roman" w:cs="Times New Roman"/>
          <w:b w:val="0"/>
          <w:bCs w:val="0"/>
          <w:sz w:val="22"/>
          <w:szCs w:val="22"/>
          <w:lang w:val="sk-SK"/>
        </w:rPr>
        <w:t>dospievajúcich</w:t>
      </w:r>
      <w:r w:rsidRPr="00B4462C">
        <w:rPr>
          <w:rFonts w:ascii="Times New Roman" w:hAnsi="Times New Roman" w:cs="Times New Roman"/>
          <w:b w:val="0"/>
          <w:bCs w:val="0"/>
          <w:sz w:val="22"/>
          <w:szCs w:val="22"/>
          <w:lang w:val="sk-SK"/>
        </w:rPr>
        <w:t>, ak je to nevyhnutné.</w:t>
      </w:r>
    </w:p>
    <w:p w14:paraId="5AEE9004" w14:textId="77777777" w:rsidR="00CF3670" w:rsidRPr="00B4462C" w:rsidRDefault="00CF3670" w:rsidP="00B4462C">
      <w:pPr>
        <w:pStyle w:val="Zkladntext2"/>
        <w:jc w:val="left"/>
        <w:rPr>
          <w:rFonts w:ascii="Times New Roman" w:hAnsi="Times New Roman" w:cs="Times New Roman"/>
          <w:b w:val="0"/>
          <w:bCs w:val="0"/>
          <w:sz w:val="22"/>
          <w:szCs w:val="22"/>
          <w:lang w:val="sk-SK"/>
        </w:rPr>
      </w:pPr>
    </w:p>
    <w:p w14:paraId="0D17C7B7" w14:textId="49CA9527" w:rsidR="00CF3670" w:rsidRDefault="00CF3670" w:rsidP="00B4462C">
      <w:pPr>
        <w:pStyle w:val="Zkladntext2"/>
        <w:jc w:val="left"/>
        <w:rPr>
          <w:rFonts w:ascii="Times New Roman" w:hAnsi="Times New Roman" w:cs="Times New Roman"/>
          <w:b w:val="0"/>
          <w:bCs w:val="0"/>
          <w:sz w:val="22"/>
          <w:szCs w:val="22"/>
          <w:lang w:val="sk-SK"/>
        </w:rPr>
      </w:pPr>
      <w:r w:rsidRPr="00B4462C">
        <w:rPr>
          <w:rFonts w:ascii="Times New Roman" w:hAnsi="Times New Roman" w:cs="Times New Roman"/>
          <w:b w:val="0"/>
          <w:bCs w:val="0"/>
          <w:sz w:val="22"/>
          <w:szCs w:val="22"/>
          <w:lang w:val="sk-SK"/>
        </w:rPr>
        <w:lastRenderedPageBreak/>
        <w:t>Terapiu má začať len lekár so skúsenosťami s liečbou cystickej fibrózy a/alebo závažných infekcií u detí a </w:t>
      </w:r>
      <w:r w:rsidR="00434B06">
        <w:rPr>
          <w:rFonts w:ascii="Times New Roman" w:hAnsi="Times New Roman" w:cs="Times New Roman"/>
          <w:b w:val="0"/>
          <w:bCs w:val="0"/>
          <w:sz w:val="22"/>
          <w:szCs w:val="22"/>
          <w:lang w:val="sk-SK"/>
        </w:rPr>
        <w:t>dospievajúcich</w:t>
      </w:r>
      <w:r w:rsidR="00434B06" w:rsidRPr="00B4462C">
        <w:rPr>
          <w:rFonts w:ascii="Times New Roman" w:hAnsi="Times New Roman" w:cs="Times New Roman"/>
          <w:b w:val="0"/>
          <w:bCs w:val="0"/>
          <w:sz w:val="22"/>
          <w:szCs w:val="22"/>
          <w:lang w:val="sk-SK"/>
        </w:rPr>
        <w:t xml:space="preserve"> </w:t>
      </w:r>
      <w:r w:rsidRPr="00B4462C">
        <w:rPr>
          <w:rFonts w:ascii="Times New Roman" w:hAnsi="Times New Roman" w:cs="Times New Roman"/>
          <w:b w:val="0"/>
          <w:bCs w:val="0"/>
          <w:sz w:val="22"/>
          <w:szCs w:val="22"/>
          <w:lang w:val="sk-SK"/>
        </w:rPr>
        <w:t xml:space="preserve">(pozri časti 4.4 a 5.1). </w:t>
      </w:r>
    </w:p>
    <w:p w14:paraId="64557E49" w14:textId="77777777" w:rsidR="00D65AAE" w:rsidRDefault="00D65AAE" w:rsidP="00B4462C">
      <w:pPr>
        <w:pStyle w:val="Zkladntext2"/>
        <w:jc w:val="left"/>
        <w:rPr>
          <w:rFonts w:ascii="Times New Roman" w:hAnsi="Times New Roman" w:cs="Times New Roman"/>
          <w:b w:val="0"/>
          <w:bCs w:val="0"/>
          <w:sz w:val="22"/>
          <w:szCs w:val="22"/>
          <w:lang w:val="sk-SK"/>
        </w:rPr>
      </w:pPr>
    </w:p>
    <w:p w14:paraId="3EDAA94F" w14:textId="77777777" w:rsidR="00D65AAE" w:rsidRPr="00B4462C" w:rsidRDefault="00D65AAE" w:rsidP="00B4462C">
      <w:pPr>
        <w:pStyle w:val="Zkladntext2"/>
        <w:jc w:val="left"/>
        <w:rPr>
          <w:rFonts w:ascii="Times New Roman" w:hAnsi="Times New Roman" w:cs="Times New Roman"/>
          <w:b w:val="0"/>
          <w:bCs w:val="0"/>
          <w:sz w:val="22"/>
          <w:szCs w:val="22"/>
          <w:lang w:val="sk-SK"/>
        </w:rPr>
      </w:pPr>
      <w:r w:rsidRPr="00D65AAE">
        <w:rPr>
          <w:rFonts w:ascii="Times New Roman" w:hAnsi="Times New Roman" w:cs="Times New Roman"/>
          <w:b w:val="0"/>
          <w:bCs w:val="0"/>
          <w:sz w:val="22"/>
          <w:szCs w:val="22"/>
          <w:lang w:val="sk-SK"/>
        </w:rPr>
        <w:t>Je potrebné zohľadniť oficiálne odporúčania týkajúce sa správneho používania antibakteriálnych látok.</w:t>
      </w:r>
    </w:p>
    <w:p w14:paraId="659E2007" w14:textId="77777777" w:rsidR="00CF3670" w:rsidRPr="00B4462C" w:rsidRDefault="00CF3670" w:rsidP="00B4462C">
      <w:pPr>
        <w:widowControl w:val="0"/>
        <w:rPr>
          <w:sz w:val="22"/>
          <w:szCs w:val="22"/>
          <w:lang w:val="sk-SK"/>
        </w:rPr>
      </w:pPr>
    </w:p>
    <w:p w14:paraId="7E3F8EB2" w14:textId="77777777" w:rsidR="00CF3670" w:rsidRPr="00B4462C" w:rsidRDefault="00CF3670" w:rsidP="00B65191">
      <w:pPr>
        <w:keepNext/>
        <w:widowControl w:val="0"/>
        <w:tabs>
          <w:tab w:val="left" w:pos="567"/>
        </w:tabs>
        <w:rPr>
          <w:b/>
          <w:sz w:val="22"/>
          <w:szCs w:val="22"/>
          <w:lang w:val="sk-SK"/>
        </w:rPr>
      </w:pPr>
      <w:r w:rsidRPr="00B4462C">
        <w:rPr>
          <w:b/>
          <w:sz w:val="22"/>
          <w:szCs w:val="22"/>
          <w:lang w:val="sk-SK"/>
        </w:rPr>
        <w:t>4.2</w:t>
      </w:r>
      <w:r w:rsidRPr="00B4462C">
        <w:rPr>
          <w:b/>
          <w:sz w:val="22"/>
          <w:szCs w:val="22"/>
          <w:lang w:val="sk-SK"/>
        </w:rPr>
        <w:tab/>
        <w:t>Dávkovanie a spôsob podávania</w:t>
      </w:r>
    </w:p>
    <w:p w14:paraId="675240EB" w14:textId="77777777" w:rsidR="00CF3670" w:rsidRDefault="00CF3670" w:rsidP="00B65191">
      <w:pPr>
        <w:widowControl w:val="0"/>
        <w:rPr>
          <w:sz w:val="22"/>
          <w:szCs w:val="22"/>
          <w:lang w:val="sk-SK"/>
        </w:rPr>
      </w:pPr>
    </w:p>
    <w:p w14:paraId="599153C2" w14:textId="77777777" w:rsidR="00CF3670" w:rsidRPr="00FC60DC" w:rsidRDefault="00CF3670" w:rsidP="00B65191">
      <w:pPr>
        <w:widowControl w:val="0"/>
        <w:rPr>
          <w:i/>
          <w:sz w:val="22"/>
          <w:szCs w:val="22"/>
          <w:lang w:val="sk-SK"/>
        </w:rPr>
      </w:pPr>
      <w:r w:rsidRPr="008928B7">
        <w:rPr>
          <w:i/>
          <w:sz w:val="22"/>
          <w:szCs w:val="22"/>
          <w:lang w:val="sk-SK"/>
        </w:rPr>
        <w:t>Dávkovanie</w:t>
      </w:r>
    </w:p>
    <w:p w14:paraId="374711E5" w14:textId="77777777" w:rsidR="00CF3670" w:rsidRPr="00B4462C" w:rsidRDefault="00CF3670" w:rsidP="00B65191">
      <w:pPr>
        <w:widowControl w:val="0"/>
        <w:rPr>
          <w:sz w:val="22"/>
          <w:szCs w:val="22"/>
          <w:lang w:val="sk-SK"/>
        </w:rPr>
      </w:pPr>
    </w:p>
    <w:p w14:paraId="3C863E8E" w14:textId="77777777" w:rsidR="00CF3670" w:rsidRPr="00B4462C" w:rsidRDefault="00CF3670" w:rsidP="00953B3C">
      <w:pPr>
        <w:pStyle w:val="Normlnywebov"/>
        <w:spacing w:before="0" w:beforeAutospacing="0" w:after="0" w:afterAutospacing="0"/>
        <w:rPr>
          <w:sz w:val="22"/>
          <w:szCs w:val="22"/>
          <w:lang w:val="sk-SK"/>
        </w:rPr>
      </w:pPr>
      <w:r w:rsidRPr="00B4462C">
        <w:rPr>
          <w:sz w:val="22"/>
          <w:szCs w:val="22"/>
          <w:lang w:val="sk-SK"/>
        </w:rPr>
        <w:t>Dávkovanie závisí od indikácie, závažnosti a miesta infekcie, citlivosti organizmu (organizmov) na ciprofloxacín, renálnej funkcie pacienta a u detí a adolescentov od ich telesnej hmotnosti.</w:t>
      </w:r>
    </w:p>
    <w:p w14:paraId="051AA88E" w14:textId="77777777" w:rsidR="00CF3670" w:rsidRPr="00B4462C" w:rsidRDefault="00CF3670" w:rsidP="00953B3C">
      <w:pPr>
        <w:pStyle w:val="Normlnywebov"/>
        <w:spacing w:before="0" w:beforeAutospacing="0" w:after="0" w:afterAutospacing="0"/>
        <w:rPr>
          <w:sz w:val="22"/>
          <w:szCs w:val="22"/>
          <w:lang w:val="sk-SK"/>
        </w:rPr>
      </w:pPr>
      <w:r w:rsidRPr="00B4462C">
        <w:rPr>
          <w:sz w:val="22"/>
          <w:szCs w:val="22"/>
          <w:lang w:val="sk-SK"/>
        </w:rPr>
        <w:t xml:space="preserve">Dĺžka liečby závisí od závažnosti ochorenia a od klinického i bakteriologického postupu. </w:t>
      </w:r>
    </w:p>
    <w:p w14:paraId="6AC0F054" w14:textId="77777777" w:rsidR="00CF3670" w:rsidRPr="00B4462C" w:rsidRDefault="00CF3670" w:rsidP="00953B3C">
      <w:pPr>
        <w:pStyle w:val="Normlnywebov"/>
        <w:spacing w:before="0" w:beforeAutospacing="0" w:after="0" w:afterAutospacing="0"/>
        <w:rPr>
          <w:sz w:val="22"/>
          <w:szCs w:val="22"/>
          <w:lang w:val="sk-SK"/>
        </w:rPr>
      </w:pPr>
      <w:r w:rsidRPr="00B4462C">
        <w:rPr>
          <w:sz w:val="22"/>
          <w:szCs w:val="22"/>
          <w:lang w:val="sk-SK"/>
        </w:rPr>
        <w:t xml:space="preserve">Liečba infekcií vyvolaných určitými baktériami (napr. </w:t>
      </w:r>
      <w:r w:rsidRPr="00B4462C">
        <w:rPr>
          <w:i/>
          <w:sz w:val="22"/>
          <w:szCs w:val="22"/>
          <w:lang w:val="sk-SK"/>
        </w:rPr>
        <w:t>Pseudomonas aeruginosa, Acinetobacter</w:t>
      </w:r>
      <w:r w:rsidRPr="00B4462C">
        <w:rPr>
          <w:sz w:val="22"/>
          <w:szCs w:val="22"/>
          <w:lang w:val="sk-SK"/>
        </w:rPr>
        <w:t xml:space="preserve"> alebo </w:t>
      </w:r>
      <w:r w:rsidRPr="00B4462C">
        <w:rPr>
          <w:i/>
          <w:sz w:val="22"/>
          <w:szCs w:val="22"/>
          <w:lang w:val="sk-SK"/>
        </w:rPr>
        <w:t>Staphylococci</w:t>
      </w:r>
      <w:r w:rsidRPr="00B4462C">
        <w:rPr>
          <w:sz w:val="22"/>
          <w:szCs w:val="22"/>
          <w:lang w:val="sk-SK"/>
        </w:rPr>
        <w:t>) môže vyžadovať vyššie dávky ciprofloxacínu a súbežné podávanie iných vhodných antibiotík.</w:t>
      </w:r>
    </w:p>
    <w:p w14:paraId="06D0AED2" w14:textId="77777777" w:rsidR="00CF3670" w:rsidRPr="00B4462C" w:rsidRDefault="00CF3670" w:rsidP="00953B3C">
      <w:pPr>
        <w:pStyle w:val="Normlnywebov"/>
        <w:spacing w:before="0" w:beforeAutospacing="0" w:after="0" w:afterAutospacing="0"/>
        <w:rPr>
          <w:sz w:val="22"/>
          <w:szCs w:val="22"/>
          <w:lang w:val="sk-SK"/>
        </w:rPr>
      </w:pPr>
    </w:p>
    <w:p w14:paraId="0ECF5BC6" w14:textId="77777777" w:rsidR="00CF3670" w:rsidRPr="00B4462C" w:rsidRDefault="00CF3670" w:rsidP="00953B3C">
      <w:pPr>
        <w:pStyle w:val="Normlnywebov"/>
        <w:spacing w:before="0" w:beforeAutospacing="0" w:after="0" w:afterAutospacing="0"/>
        <w:rPr>
          <w:sz w:val="22"/>
          <w:szCs w:val="22"/>
          <w:lang w:val="sk-SK"/>
        </w:rPr>
      </w:pPr>
      <w:r w:rsidRPr="00B4462C">
        <w:rPr>
          <w:sz w:val="22"/>
          <w:szCs w:val="22"/>
          <w:lang w:val="sk-SK"/>
        </w:rPr>
        <w:t>Liečba niektorých infekcií (napr. zápalové ochorenie panvy, intraabdominálne infekcie, infekcie u neutropenických pacientov a infekcie kostí a kĺbov) môže vyžadovať súbežné podávanie iných vhodných antibiotík v závislosti od konkrétnych patogénov.</w:t>
      </w:r>
    </w:p>
    <w:p w14:paraId="44007839" w14:textId="77777777" w:rsidR="00CF3670" w:rsidRPr="00B4462C" w:rsidRDefault="00CF3670" w:rsidP="00B65191">
      <w:pPr>
        <w:widowControl w:val="0"/>
        <w:rPr>
          <w:i/>
          <w:sz w:val="22"/>
          <w:szCs w:val="22"/>
          <w:lang w:val="sk-SK"/>
        </w:rPr>
      </w:pPr>
    </w:p>
    <w:p w14:paraId="6110EC82" w14:textId="77777777" w:rsidR="00CF3670" w:rsidRPr="00B4462C" w:rsidRDefault="00CF3670" w:rsidP="00B65191">
      <w:pPr>
        <w:widowControl w:val="0"/>
        <w:rPr>
          <w:sz w:val="22"/>
          <w:szCs w:val="22"/>
          <w:lang w:val="sk-SK"/>
        </w:rPr>
      </w:pPr>
      <w:r w:rsidRPr="00B4462C">
        <w:rPr>
          <w:i/>
          <w:sz w:val="22"/>
          <w:szCs w:val="22"/>
          <w:lang w:val="sk-SK"/>
        </w:rPr>
        <w:t>Dospelí:</w:t>
      </w:r>
      <w:r w:rsidRPr="00B4462C">
        <w:rPr>
          <w:b/>
          <w:sz w:val="22"/>
          <w:szCs w:val="22"/>
          <w:lang w:val="sk-SK"/>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835"/>
        <w:gridCol w:w="2976"/>
      </w:tblGrid>
      <w:tr w:rsidR="00CF3670" w:rsidRPr="00B4462C" w14:paraId="21DAC808" w14:textId="77777777">
        <w:tc>
          <w:tcPr>
            <w:tcW w:w="3261" w:type="dxa"/>
          </w:tcPr>
          <w:p w14:paraId="614E3435" w14:textId="77777777" w:rsidR="00CF3670" w:rsidRPr="00B4462C" w:rsidRDefault="00CF3670" w:rsidP="003A5431">
            <w:pPr>
              <w:widowControl w:val="0"/>
              <w:rPr>
                <w:b/>
                <w:sz w:val="22"/>
                <w:szCs w:val="22"/>
                <w:lang w:val="sk-SK"/>
              </w:rPr>
            </w:pPr>
            <w:r w:rsidRPr="00B4462C">
              <w:rPr>
                <w:b/>
                <w:sz w:val="22"/>
                <w:szCs w:val="22"/>
                <w:lang w:val="sk-SK"/>
              </w:rPr>
              <w:t>Indikácie</w:t>
            </w:r>
          </w:p>
        </w:tc>
        <w:tc>
          <w:tcPr>
            <w:tcW w:w="2835" w:type="dxa"/>
          </w:tcPr>
          <w:p w14:paraId="1035AE32" w14:textId="77777777" w:rsidR="00CF3670" w:rsidRPr="00B4462C" w:rsidRDefault="00CF3670" w:rsidP="003A5431">
            <w:pPr>
              <w:widowControl w:val="0"/>
              <w:rPr>
                <w:b/>
                <w:sz w:val="22"/>
                <w:szCs w:val="22"/>
                <w:lang w:val="sk-SK"/>
              </w:rPr>
            </w:pPr>
            <w:r w:rsidRPr="00B4462C">
              <w:rPr>
                <w:b/>
                <w:sz w:val="22"/>
                <w:szCs w:val="22"/>
                <w:lang w:val="sk-SK"/>
              </w:rPr>
              <w:t>Denná dávka v mg</w:t>
            </w:r>
          </w:p>
        </w:tc>
        <w:tc>
          <w:tcPr>
            <w:tcW w:w="2976" w:type="dxa"/>
          </w:tcPr>
          <w:p w14:paraId="76687EF1" w14:textId="77777777" w:rsidR="00CF3670" w:rsidRPr="00B4462C" w:rsidRDefault="00CF3670" w:rsidP="003A5431">
            <w:pPr>
              <w:widowControl w:val="0"/>
              <w:rPr>
                <w:b/>
                <w:sz w:val="22"/>
                <w:szCs w:val="22"/>
                <w:lang w:val="sk-SK"/>
              </w:rPr>
            </w:pPr>
            <w:r w:rsidRPr="00B4462C">
              <w:rPr>
                <w:b/>
                <w:sz w:val="22"/>
                <w:szCs w:val="22"/>
                <w:lang w:val="sk-SK"/>
              </w:rPr>
              <w:t>Celková dĺžka liečby (prípadne zahŕňajúca počiatočnú parenterálnu liečbu ciprofloxacínom)</w:t>
            </w:r>
          </w:p>
        </w:tc>
      </w:tr>
      <w:tr w:rsidR="00CF3670" w:rsidRPr="00B4462C" w14:paraId="2544AED1" w14:textId="77777777">
        <w:tc>
          <w:tcPr>
            <w:tcW w:w="3261" w:type="dxa"/>
          </w:tcPr>
          <w:p w14:paraId="6138A4B5" w14:textId="77777777" w:rsidR="00CF3670" w:rsidRPr="00B4462C" w:rsidRDefault="00CF3670" w:rsidP="003A5431">
            <w:pPr>
              <w:widowControl w:val="0"/>
              <w:rPr>
                <w:sz w:val="22"/>
                <w:szCs w:val="22"/>
                <w:lang w:val="sk-SK"/>
              </w:rPr>
            </w:pPr>
            <w:r w:rsidRPr="00B4462C">
              <w:rPr>
                <w:sz w:val="22"/>
                <w:szCs w:val="22"/>
                <w:lang w:val="sk-SK"/>
              </w:rPr>
              <w:t xml:space="preserve">Infekcie dolných dýchacích ciest </w:t>
            </w:r>
          </w:p>
        </w:tc>
        <w:tc>
          <w:tcPr>
            <w:tcW w:w="2835" w:type="dxa"/>
          </w:tcPr>
          <w:p w14:paraId="5513B0BC" w14:textId="77777777" w:rsidR="00CF3670" w:rsidRPr="00B4462C" w:rsidRDefault="00CF3670" w:rsidP="003A5431">
            <w:pPr>
              <w:widowControl w:val="0"/>
              <w:rPr>
                <w:sz w:val="22"/>
                <w:szCs w:val="22"/>
                <w:lang w:val="sk-SK"/>
              </w:rPr>
            </w:pPr>
            <w:r w:rsidRPr="00B4462C">
              <w:rPr>
                <w:sz w:val="22"/>
                <w:szCs w:val="22"/>
                <w:lang w:val="sk-SK"/>
              </w:rPr>
              <w:t>500 mg dvakrát denne až 750 mg dvakrát denne</w:t>
            </w:r>
          </w:p>
        </w:tc>
        <w:tc>
          <w:tcPr>
            <w:tcW w:w="2976" w:type="dxa"/>
          </w:tcPr>
          <w:p w14:paraId="6F6FF53C" w14:textId="77777777" w:rsidR="00CF3670" w:rsidRPr="00B4462C" w:rsidRDefault="00CF3670" w:rsidP="003A5431">
            <w:pPr>
              <w:widowControl w:val="0"/>
              <w:rPr>
                <w:sz w:val="22"/>
                <w:szCs w:val="22"/>
                <w:lang w:val="sk-SK"/>
              </w:rPr>
            </w:pPr>
            <w:r w:rsidRPr="00B4462C">
              <w:rPr>
                <w:sz w:val="22"/>
                <w:szCs w:val="22"/>
                <w:lang w:val="sk-SK"/>
              </w:rPr>
              <w:t>7 až 14 dní</w:t>
            </w:r>
          </w:p>
          <w:p w14:paraId="351FEFF1" w14:textId="77777777" w:rsidR="00CF3670" w:rsidRPr="00B4462C" w:rsidRDefault="00CF3670" w:rsidP="003A5431">
            <w:pPr>
              <w:widowControl w:val="0"/>
              <w:rPr>
                <w:sz w:val="22"/>
                <w:szCs w:val="22"/>
                <w:lang w:val="sk-SK"/>
              </w:rPr>
            </w:pPr>
          </w:p>
        </w:tc>
      </w:tr>
    </w:tbl>
    <w:p w14:paraId="56F35F97" w14:textId="77777777" w:rsidR="00CF3670" w:rsidRPr="00672462" w:rsidRDefault="00CF3670" w:rsidP="00672462">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85"/>
        <w:gridCol w:w="2835"/>
        <w:gridCol w:w="3083"/>
      </w:tblGrid>
      <w:tr w:rsidR="00CF3670" w:rsidRPr="00672462" w14:paraId="72810FE7" w14:textId="77777777" w:rsidTr="00C4346F">
        <w:tc>
          <w:tcPr>
            <w:tcW w:w="1276" w:type="dxa"/>
            <w:vMerge w:val="restart"/>
          </w:tcPr>
          <w:p w14:paraId="51A711A0" w14:textId="77777777" w:rsidR="00CF3670" w:rsidRPr="00672462" w:rsidRDefault="00CF3670" w:rsidP="00672462">
            <w:pPr>
              <w:autoSpaceDE w:val="0"/>
              <w:autoSpaceDN w:val="0"/>
              <w:adjustRightInd w:val="0"/>
              <w:spacing w:after="240"/>
              <w:ind w:hanging="29"/>
              <w:rPr>
                <w:sz w:val="22"/>
                <w:szCs w:val="22"/>
                <w:lang w:val="sk-SK"/>
              </w:rPr>
            </w:pPr>
            <w:r w:rsidRPr="00672462">
              <w:rPr>
                <w:sz w:val="22"/>
                <w:szCs w:val="22"/>
                <w:lang w:val="sk-SK"/>
              </w:rPr>
              <w:t>Infekcie horných dýchacích ciest</w:t>
            </w:r>
          </w:p>
        </w:tc>
        <w:tc>
          <w:tcPr>
            <w:tcW w:w="1985" w:type="dxa"/>
          </w:tcPr>
          <w:p w14:paraId="115C04F0"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Akútna exacerbácia chronickej sínusitídy</w:t>
            </w:r>
          </w:p>
        </w:tc>
        <w:tc>
          <w:tcPr>
            <w:tcW w:w="2835" w:type="dxa"/>
          </w:tcPr>
          <w:p w14:paraId="12362E8D"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500 mg dvakrát denne až 750 mg dvakrát denne</w:t>
            </w:r>
          </w:p>
        </w:tc>
        <w:tc>
          <w:tcPr>
            <w:tcW w:w="3083" w:type="dxa"/>
          </w:tcPr>
          <w:p w14:paraId="43A49603"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7 až 14 dní</w:t>
            </w:r>
          </w:p>
          <w:p w14:paraId="1C1BD32C"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74C13D9E" w14:textId="77777777" w:rsidTr="00C4346F">
        <w:tc>
          <w:tcPr>
            <w:tcW w:w="1276" w:type="dxa"/>
            <w:vMerge/>
          </w:tcPr>
          <w:p w14:paraId="5C4C17B6" w14:textId="77777777" w:rsidR="00CF3670" w:rsidRPr="00672462" w:rsidRDefault="00CF3670" w:rsidP="00672462">
            <w:pPr>
              <w:spacing w:after="240"/>
              <w:ind w:left="567" w:hanging="567"/>
              <w:rPr>
                <w:sz w:val="22"/>
                <w:szCs w:val="22"/>
                <w:lang w:val="sk-SK"/>
              </w:rPr>
            </w:pPr>
          </w:p>
        </w:tc>
        <w:tc>
          <w:tcPr>
            <w:tcW w:w="1985" w:type="dxa"/>
          </w:tcPr>
          <w:p w14:paraId="6E3698A0"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Chronický supuratívny zápal stredného ucha</w:t>
            </w:r>
          </w:p>
        </w:tc>
        <w:tc>
          <w:tcPr>
            <w:tcW w:w="2835" w:type="dxa"/>
          </w:tcPr>
          <w:p w14:paraId="3F8A2777"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500 mg dvakrát denne až 750 mg dvakrát denne</w:t>
            </w:r>
          </w:p>
        </w:tc>
        <w:tc>
          <w:tcPr>
            <w:tcW w:w="3083" w:type="dxa"/>
          </w:tcPr>
          <w:p w14:paraId="3218C517"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7 až 14 dní</w:t>
            </w:r>
          </w:p>
          <w:p w14:paraId="7B4DDA6B"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7D0DA3FB" w14:textId="77777777" w:rsidTr="00C4346F">
        <w:tc>
          <w:tcPr>
            <w:tcW w:w="1276" w:type="dxa"/>
            <w:vMerge/>
          </w:tcPr>
          <w:p w14:paraId="3465D541" w14:textId="77777777" w:rsidR="00CF3670" w:rsidRPr="00672462" w:rsidRDefault="00CF3670" w:rsidP="00672462">
            <w:pPr>
              <w:spacing w:after="240"/>
              <w:ind w:left="567" w:hanging="567"/>
              <w:rPr>
                <w:sz w:val="22"/>
                <w:szCs w:val="22"/>
                <w:lang w:val="sk-SK"/>
              </w:rPr>
            </w:pPr>
          </w:p>
        </w:tc>
        <w:tc>
          <w:tcPr>
            <w:tcW w:w="1985" w:type="dxa"/>
          </w:tcPr>
          <w:p w14:paraId="41B2E605"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Malígny zápal vonkajšieho ucha</w:t>
            </w:r>
          </w:p>
        </w:tc>
        <w:tc>
          <w:tcPr>
            <w:tcW w:w="2835" w:type="dxa"/>
          </w:tcPr>
          <w:p w14:paraId="072F2BA1"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750 mg dvakrát denne</w:t>
            </w:r>
          </w:p>
        </w:tc>
        <w:tc>
          <w:tcPr>
            <w:tcW w:w="3083" w:type="dxa"/>
          </w:tcPr>
          <w:p w14:paraId="37A982DA"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28 dní až 3 mesiace</w:t>
            </w:r>
          </w:p>
        </w:tc>
      </w:tr>
      <w:tr w:rsidR="00CF3670" w:rsidRPr="00672462" w14:paraId="3ED009D0" w14:textId="77777777" w:rsidTr="00C4346F">
        <w:tc>
          <w:tcPr>
            <w:tcW w:w="1276" w:type="dxa"/>
            <w:vMerge w:val="restart"/>
          </w:tcPr>
          <w:p w14:paraId="0F58DCA2"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Infekcie močových ciest</w:t>
            </w:r>
          </w:p>
          <w:p w14:paraId="5F14DD7C" w14:textId="77777777" w:rsidR="00CF3670" w:rsidRPr="00672462" w:rsidRDefault="00CF3670" w:rsidP="00672462">
            <w:pPr>
              <w:autoSpaceDE w:val="0"/>
              <w:autoSpaceDN w:val="0"/>
              <w:adjustRightInd w:val="0"/>
              <w:spacing w:after="240"/>
              <w:ind w:left="567" w:hanging="567"/>
              <w:rPr>
                <w:sz w:val="22"/>
                <w:szCs w:val="22"/>
                <w:lang w:val="sk-SK"/>
              </w:rPr>
            </w:pPr>
          </w:p>
        </w:tc>
        <w:tc>
          <w:tcPr>
            <w:tcW w:w="1985" w:type="dxa"/>
            <w:vMerge w:val="restart"/>
          </w:tcPr>
          <w:p w14:paraId="3E81C573" w14:textId="77777777" w:rsidR="00CF3670" w:rsidRPr="00672462" w:rsidRDefault="00CF3670" w:rsidP="00672462">
            <w:pPr>
              <w:autoSpaceDE w:val="0"/>
              <w:autoSpaceDN w:val="0"/>
              <w:adjustRightInd w:val="0"/>
              <w:spacing w:after="240"/>
              <w:ind w:left="34" w:hanging="34"/>
              <w:rPr>
                <w:sz w:val="22"/>
                <w:szCs w:val="22"/>
                <w:lang w:val="sk-SK"/>
              </w:rPr>
            </w:pPr>
            <w:r w:rsidRPr="00672462">
              <w:rPr>
                <w:sz w:val="22"/>
                <w:szCs w:val="22"/>
                <w:lang w:val="sk-SK"/>
              </w:rPr>
              <w:t>Nekomplikovaná cystitída</w:t>
            </w:r>
          </w:p>
        </w:tc>
        <w:tc>
          <w:tcPr>
            <w:tcW w:w="2835" w:type="dxa"/>
          </w:tcPr>
          <w:p w14:paraId="138099BB"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250 mg dvakrát denne až 500 mg dvakrát denne</w:t>
            </w:r>
          </w:p>
        </w:tc>
        <w:tc>
          <w:tcPr>
            <w:tcW w:w="3083" w:type="dxa"/>
          </w:tcPr>
          <w:p w14:paraId="47966350"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 xml:space="preserve">3 dni </w:t>
            </w:r>
          </w:p>
          <w:p w14:paraId="6F6CDFBB"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55606B98" w14:textId="77777777" w:rsidTr="00C4346F">
        <w:tc>
          <w:tcPr>
            <w:tcW w:w="1276" w:type="dxa"/>
            <w:vMerge/>
          </w:tcPr>
          <w:p w14:paraId="4E153439" w14:textId="77777777" w:rsidR="00CF3670" w:rsidRPr="00672462" w:rsidRDefault="00CF3670" w:rsidP="00672462">
            <w:pPr>
              <w:spacing w:after="240"/>
              <w:ind w:left="567" w:hanging="567"/>
              <w:rPr>
                <w:sz w:val="22"/>
                <w:szCs w:val="22"/>
                <w:lang w:val="sk-SK"/>
              </w:rPr>
            </w:pPr>
          </w:p>
        </w:tc>
        <w:tc>
          <w:tcPr>
            <w:tcW w:w="1985" w:type="dxa"/>
            <w:vMerge/>
          </w:tcPr>
          <w:p w14:paraId="1E81495F" w14:textId="77777777" w:rsidR="00CF3670" w:rsidRPr="00672462" w:rsidRDefault="00CF3670" w:rsidP="00672462">
            <w:pPr>
              <w:spacing w:after="240"/>
              <w:ind w:left="567" w:hanging="567"/>
              <w:rPr>
                <w:sz w:val="22"/>
                <w:szCs w:val="22"/>
                <w:lang w:val="sk-SK"/>
              </w:rPr>
            </w:pPr>
          </w:p>
        </w:tc>
        <w:tc>
          <w:tcPr>
            <w:tcW w:w="5918" w:type="dxa"/>
            <w:gridSpan w:val="2"/>
          </w:tcPr>
          <w:p w14:paraId="60E8931B"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U premenopauzálnych žien sa môže použiť jednorazová dávka 500 mg</w:t>
            </w:r>
          </w:p>
        </w:tc>
      </w:tr>
      <w:tr w:rsidR="00CF3670" w:rsidRPr="00672462" w14:paraId="21095901" w14:textId="77777777" w:rsidTr="00C4346F">
        <w:tc>
          <w:tcPr>
            <w:tcW w:w="1276" w:type="dxa"/>
            <w:vMerge/>
          </w:tcPr>
          <w:p w14:paraId="6F0C7890" w14:textId="77777777" w:rsidR="00CF3670" w:rsidRPr="00672462" w:rsidRDefault="00CF3670" w:rsidP="00672462">
            <w:pPr>
              <w:spacing w:after="240"/>
              <w:ind w:left="567" w:hanging="567"/>
              <w:rPr>
                <w:sz w:val="22"/>
                <w:szCs w:val="22"/>
                <w:lang w:val="sk-SK"/>
              </w:rPr>
            </w:pPr>
          </w:p>
        </w:tc>
        <w:tc>
          <w:tcPr>
            <w:tcW w:w="1985" w:type="dxa"/>
          </w:tcPr>
          <w:p w14:paraId="4C7A1E0E" w14:textId="77777777" w:rsidR="00CF3670" w:rsidRPr="00672462" w:rsidRDefault="00CF3670" w:rsidP="00672462">
            <w:pPr>
              <w:autoSpaceDE w:val="0"/>
              <w:autoSpaceDN w:val="0"/>
              <w:adjustRightInd w:val="0"/>
              <w:spacing w:after="240"/>
              <w:ind w:left="34" w:hanging="34"/>
              <w:rPr>
                <w:sz w:val="22"/>
                <w:szCs w:val="22"/>
                <w:lang w:val="sk-SK"/>
              </w:rPr>
            </w:pPr>
            <w:r w:rsidRPr="00672462">
              <w:rPr>
                <w:sz w:val="22"/>
                <w:szCs w:val="22"/>
                <w:lang w:val="sk-SK"/>
              </w:rPr>
              <w:t>Komplikovaná cystitída,</w:t>
            </w:r>
          </w:p>
          <w:p w14:paraId="03DFCEBD"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nekomplikovaná pyelonefritída</w:t>
            </w:r>
          </w:p>
        </w:tc>
        <w:tc>
          <w:tcPr>
            <w:tcW w:w="2835" w:type="dxa"/>
          </w:tcPr>
          <w:p w14:paraId="3C0ADF5C"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500 mg dvakrát denne</w:t>
            </w:r>
          </w:p>
        </w:tc>
        <w:tc>
          <w:tcPr>
            <w:tcW w:w="3083" w:type="dxa"/>
          </w:tcPr>
          <w:p w14:paraId="082796D4"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7 dní</w:t>
            </w:r>
          </w:p>
          <w:p w14:paraId="71D204A6"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23CE1039" w14:textId="77777777" w:rsidTr="00C4346F">
        <w:tc>
          <w:tcPr>
            <w:tcW w:w="1276" w:type="dxa"/>
            <w:vMerge/>
          </w:tcPr>
          <w:p w14:paraId="7EA84936" w14:textId="77777777" w:rsidR="00CF3670" w:rsidRPr="00672462" w:rsidRDefault="00CF3670" w:rsidP="00672462">
            <w:pPr>
              <w:spacing w:after="240"/>
              <w:ind w:left="567" w:hanging="567"/>
              <w:rPr>
                <w:sz w:val="22"/>
                <w:szCs w:val="22"/>
                <w:lang w:val="sk-SK"/>
              </w:rPr>
            </w:pPr>
          </w:p>
        </w:tc>
        <w:tc>
          <w:tcPr>
            <w:tcW w:w="1985" w:type="dxa"/>
          </w:tcPr>
          <w:p w14:paraId="190D9242"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Komplikovaná pyelonefritída</w:t>
            </w:r>
          </w:p>
          <w:p w14:paraId="38B0A859" w14:textId="77777777" w:rsidR="00CF3670" w:rsidRPr="00672462" w:rsidRDefault="00CF3670" w:rsidP="00672462">
            <w:pPr>
              <w:autoSpaceDE w:val="0"/>
              <w:autoSpaceDN w:val="0"/>
              <w:adjustRightInd w:val="0"/>
              <w:spacing w:after="240"/>
              <w:ind w:left="567" w:hanging="567"/>
              <w:rPr>
                <w:sz w:val="22"/>
                <w:szCs w:val="22"/>
                <w:lang w:val="sk-SK"/>
              </w:rPr>
            </w:pPr>
          </w:p>
        </w:tc>
        <w:tc>
          <w:tcPr>
            <w:tcW w:w="2835" w:type="dxa"/>
          </w:tcPr>
          <w:p w14:paraId="6C3724EA"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500 mg dvakrát denne až 750 mg dvakrát denne</w:t>
            </w:r>
          </w:p>
          <w:p w14:paraId="1A9002E5" w14:textId="77777777" w:rsidR="00CF3670" w:rsidRPr="00672462" w:rsidRDefault="00CF3670" w:rsidP="00672462">
            <w:pPr>
              <w:autoSpaceDE w:val="0"/>
              <w:autoSpaceDN w:val="0"/>
              <w:adjustRightInd w:val="0"/>
              <w:spacing w:after="240"/>
              <w:ind w:left="567" w:hanging="567"/>
              <w:rPr>
                <w:sz w:val="22"/>
                <w:szCs w:val="22"/>
                <w:lang w:val="sk-SK"/>
              </w:rPr>
            </w:pPr>
          </w:p>
        </w:tc>
        <w:tc>
          <w:tcPr>
            <w:tcW w:w="3083" w:type="dxa"/>
          </w:tcPr>
          <w:p w14:paraId="21CBD599"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minimálne 10 dní, za určitých zvláštnych okolností (ako je absces) môže liečba pokračovať dlhšie ako 21 dní</w:t>
            </w:r>
          </w:p>
        </w:tc>
      </w:tr>
      <w:tr w:rsidR="00CF3670" w:rsidRPr="00672462" w14:paraId="75484635" w14:textId="77777777" w:rsidTr="00C4346F">
        <w:tc>
          <w:tcPr>
            <w:tcW w:w="1276" w:type="dxa"/>
            <w:vMerge/>
          </w:tcPr>
          <w:p w14:paraId="335112AE" w14:textId="77777777" w:rsidR="00CF3670" w:rsidRPr="00672462" w:rsidRDefault="00CF3670" w:rsidP="00672462">
            <w:pPr>
              <w:spacing w:after="240"/>
              <w:ind w:left="567" w:hanging="567"/>
              <w:rPr>
                <w:sz w:val="22"/>
                <w:szCs w:val="22"/>
                <w:lang w:val="sk-SK"/>
              </w:rPr>
            </w:pPr>
          </w:p>
        </w:tc>
        <w:tc>
          <w:tcPr>
            <w:tcW w:w="1985" w:type="dxa"/>
          </w:tcPr>
          <w:p w14:paraId="48466AFC"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Prostatitída</w:t>
            </w:r>
          </w:p>
        </w:tc>
        <w:tc>
          <w:tcPr>
            <w:tcW w:w="2835" w:type="dxa"/>
          </w:tcPr>
          <w:p w14:paraId="50833437"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500 mg dvakrát denne až 750 mg dvakrát denne</w:t>
            </w:r>
          </w:p>
        </w:tc>
        <w:tc>
          <w:tcPr>
            <w:tcW w:w="3083" w:type="dxa"/>
          </w:tcPr>
          <w:p w14:paraId="547706AF"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2 až 4 týždne (akútna), 4 až 6 týždňov (chronická)</w:t>
            </w:r>
          </w:p>
        </w:tc>
      </w:tr>
      <w:tr w:rsidR="00CF3670" w:rsidRPr="00672462" w14:paraId="1ED7946D" w14:textId="77777777" w:rsidTr="00C4346F">
        <w:tc>
          <w:tcPr>
            <w:tcW w:w="1276" w:type="dxa"/>
            <w:vMerge w:val="restart"/>
          </w:tcPr>
          <w:p w14:paraId="70BA48E6"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Infekcie pohlavných orgánov</w:t>
            </w:r>
          </w:p>
          <w:p w14:paraId="358BA441" w14:textId="77777777" w:rsidR="00CF3670" w:rsidRPr="00672462" w:rsidRDefault="00CF3670" w:rsidP="00672462">
            <w:pPr>
              <w:autoSpaceDE w:val="0"/>
              <w:autoSpaceDN w:val="0"/>
              <w:adjustRightInd w:val="0"/>
              <w:spacing w:after="240"/>
              <w:ind w:left="567" w:hanging="567"/>
              <w:rPr>
                <w:sz w:val="22"/>
                <w:szCs w:val="22"/>
                <w:lang w:val="sk-SK"/>
              </w:rPr>
            </w:pPr>
          </w:p>
        </w:tc>
        <w:tc>
          <w:tcPr>
            <w:tcW w:w="1985" w:type="dxa"/>
          </w:tcPr>
          <w:p w14:paraId="49291F77"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Gonokoková uretritída a cervicitída</w:t>
            </w:r>
          </w:p>
        </w:tc>
        <w:tc>
          <w:tcPr>
            <w:tcW w:w="2835" w:type="dxa"/>
          </w:tcPr>
          <w:p w14:paraId="49A8E781"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 xml:space="preserve">jednorazová dávka 500 mg </w:t>
            </w:r>
          </w:p>
        </w:tc>
        <w:tc>
          <w:tcPr>
            <w:tcW w:w="3083" w:type="dxa"/>
          </w:tcPr>
          <w:p w14:paraId="6FC62071"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1 deň (jednorazová dávka)</w:t>
            </w:r>
          </w:p>
        </w:tc>
      </w:tr>
      <w:tr w:rsidR="00CF3670" w:rsidRPr="00672462" w14:paraId="2B90784E" w14:textId="77777777" w:rsidTr="00C4346F">
        <w:tc>
          <w:tcPr>
            <w:tcW w:w="1276" w:type="dxa"/>
            <w:vMerge/>
          </w:tcPr>
          <w:p w14:paraId="4F65D95C" w14:textId="77777777" w:rsidR="00CF3670" w:rsidRPr="00672462" w:rsidRDefault="00CF3670" w:rsidP="00672462">
            <w:pPr>
              <w:spacing w:after="240"/>
              <w:ind w:left="567" w:hanging="567"/>
              <w:rPr>
                <w:sz w:val="22"/>
                <w:szCs w:val="22"/>
                <w:lang w:val="sk-SK"/>
              </w:rPr>
            </w:pPr>
          </w:p>
        </w:tc>
        <w:tc>
          <w:tcPr>
            <w:tcW w:w="1985" w:type="dxa"/>
          </w:tcPr>
          <w:p w14:paraId="11508E5E"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Epididymálna orchititída a zápalové ochorenie panvy</w:t>
            </w:r>
          </w:p>
        </w:tc>
        <w:tc>
          <w:tcPr>
            <w:tcW w:w="2835" w:type="dxa"/>
          </w:tcPr>
          <w:p w14:paraId="5A726DDC"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500 mg dvakrát denne až 750 mg dvakrát denne</w:t>
            </w:r>
          </w:p>
          <w:p w14:paraId="72ED7639" w14:textId="77777777" w:rsidR="00CF3670" w:rsidRPr="00672462" w:rsidRDefault="00CF3670" w:rsidP="00672462">
            <w:pPr>
              <w:autoSpaceDE w:val="0"/>
              <w:autoSpaceDN w:val="0"/>
              <w:adjustRightInd w:val="0"/>
              <w:spacing w:after="240"/>
              <w:ind w:left="567" w:hanging="567"/>
              <w:rPr>
                <w:sz w:val="22"/>
                <w:szCs w:val="22"/>
                <w:lang w:val="sk-SK"/>
              </w:rPr>
            </w:pPr>
          </w:p>
        </w:tc>
        <w:tc>
          <w:tcPr>
            <w:tcW w:w="3083" w:type="dxa"/>
          </w:tcPr>
          <w:p w14:paraId="1ADD58BA"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minimálne 14 dní</w:t>
            </w:r>
          </w:p>
          <w:p w14:paraId="38A1A054"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2E7C95C2" w14:textId="77777777" w:rsidTr="00C4346F">
        <w:tc>
          <w:tcPr>
            <w:tcW w:w="1276" w:type="dxa"/>
            <w:vMerge w:val="restart"/>
          </w:tcPr>
          <w:p w14:paraId="60640E3E"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Infekcie gastrointestinálneho traktu a intraabdominálne infekcie</w:t>
            </w:r>
          </w:p>
          <w:p w14:paraId="79834C6B" w14:textId="77777777" w:rsidR="00CF3670" w:rsidRPr="00672462" w:rsidRDefault="00CF3670" w:rsidP="00672462">
            <w:pPr>
              <w:autoSpaceDE w:val="0"/>
              <w:autoSpaceDN w:val="0"/>
              <w:adjustRightInd w:val="0"/>
              <w:spacing w:after="240"/>
              <w:ind w:left="567" w:hanging="567"/>
              <w:rPr>
                <w:sz w:val="22"/>
                <w:szCs w:val="22"/>
                <w:lang w:val="sk-SK"/>
              </w:rPr>
            </w:pPr>
          </w:p>
        </w:tc>
        <w:tc>
          <w:tcPr>
            <w:tcW w:w="1985" w:type="dxa"/>
          </w:tcPr>
          <w:p w14:paraId="3D17944A"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 xml:space="preserve">Hnačka vyvolaná patogénmi, vrátane druhov </w:t>
            </w:r>
            <w:r w:rsidRPr="00672462">
              <w:rPr>
                <w:i/>
                <w:sz w:val="22"/>
                <w:szCs w:val="22"/>
                <w:lang w:val="sk-SK"/>
              </w:rPr>
              <w:t>Shigella</w:t>
            </w:r>
            <w:r w:rsidRPr="00672462">
              <w:rPr>
                <w:sz w:val="22"/>
                <w:szCs w:val="22"/>
                <w:lang w:val="sk-SK"/>
              </w:rPr>
              <w:t xml:space="preserve"> inými ako </w:t>
            </w:r>
            <w:r w:rsidRPr="00672462">
              <w:rPr>
                <w:i/>
                <w:sz w:val="22"/>
                <w:szCs w:val="22"/>
                <w:lang w:val="sk-SK"/>
              </w:rPr>
              <w:t>Shigella</w:t>
            </w:r>
            <w:r w:rsidRPr="00672462">
              <w:rPr>
                <w:sz w:val="22"/>
                <w:szCs w:val="22"/>
                <w:lang w:val="sk-SK"/>
              </w:rPr>
              <w:t xml:space="preserve"> </w:t>
            </w:r>
            <w:r w:rsidRPr="00672462">
              <w:rPr>
                <w:i/>
                <w:sz w:val="22"/>
                <w:szCs w:val="22"/>
                <w:lang w:val="sk-SK"/>
              </w:rPr>
              <w:t>dysenteriae</w:t>
            </w:r>
            <w:r w:rsidRPr="00672462">
              <w:rPr>
                <w:sz w:val="22"/>
                <w:szCs w:val="22"/>
                <w:lang w:val="sk-SK"/>
              </w:rPr>
              <w:t xml:space="preserve"> typ </w:t>
            </w:r>
            <w:smartTag w:uri="urn:schemas-microsoft-com:office:smarttags" w:element="metricconverter">
              <w:smartTagPr>
                <w:attr w:name="ProductID" w:val="1 a"/>
              </w:smartTagPr>
              <w:r w:rsidRPr="00672462">
                <w:rPr>
                  <w:sz w:val="22"/>
                  <w:szCs w:val="22"/>
                  <w:lang w:val="sk-SK"/>
                </w:rPr>
                <w:t>1 a</w:t>
              </w:r>
            </w:smartTag>
            <w:r w:rsidRPr="00672462">
              <w:rPr>
                <w:sz w:val="22"/>
                <w:szCs w:val="22"/>
                <w:lang w:val="sk-SK"/>
              </w:rPr>
              <w:t xml:space="preserve"> empirická liečba závažnej cestovateľskej hnačky</w:t>
            </w:r>
          </w:p>
        </w:tc>
        <w:tc>
          <w:tcPr>
            <w:tcW w:w="2835" w:type="dxa"/>
          </w:tcPr>
          <w:p w14:paraId="4CA0B89E"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500 mg dvakrát denne</w:t>
            </w:r>
          </w:p>
        </w:tc>
        <w:tc>
          <w:tcPr>
            <w:tcW w:w="3083" w:type="dxa"/>
          </w:tcPr>
          <w:p w14:paraId="4CD76827"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1 deň</w:t>
            </w:r>
          </w:p>
          <w:p w14:paraId="7EC38970"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4255060A" w14:textId="77777777" w:rsidTr="00C4346F">
        <w:tc>
          <w:tcPr>
            <w:tcW w:w="1276" w:type="dxa"/>
            <w:vMerge/>
          </w:tcPr>
          <w:p w14:paraId="7C8A07EB" w14:textId="77777777" w:rsidR="00CF3670" w:rsidRPr="00672462" w:rsidRDefault="00CF3670" w:rsidP="00672462">
            <w:pPr>
              <w:spacing w:after="240"/>
              <w:ind w:left="567" w:hanging="567"/>
              <w:rPr>
                <w:sz w:val="22"/>
                <w:szCs w:val="22"/>
                <w:lang w:val="sk-SK"/>
              </w:rPr>
            </w:pPr>
          </w:p>
        </w:tc>
        <w:tc>
          <w:tcPr>
            <w:tcW w:w="1985" w:type="dxa"/>
          </w:tcPr>
          <w:p w14:paraId="565EB768"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 xml:space="preserve">Hnačka vyvolaná druhom </w:t>
            </w:r>
            <w:r w:rsidRPr="00672462">
              <w:rPr>
                <w:i/>
                <w:sz w:val="22"/>
                <w:szCs w:val="22"/>
                <w:lang w:val="sk-SK"/>
              </w:rPr>
              <w:t xml:space="preserve">Shigella dysenteriae </w:t>
            </w:r>
            <w:r w:rsidRPr="00672462">
              <w:rPr>
                <w:sz w:val="22"/>
                <w:szCs w:val="22"/>
                <w:lang w:val="sk-SK"/>
              </w:rPr>
              <w:t>typ 1</w:t>
            </w:r>
          </w:p>
        </w:tc>
        <w:tc>
          <w:tcPr>
            <w:tcW w:w="2835" w:type="dxa"/>
          </w:tcPr>
          <w:p w14:paraId="0AAF067F"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500 mg dvakrát denne</w:t>
            </w:r>
          </w:p>
        </w:tc>
        <w:tc>
          <w:tcPr>
            <w:tcW w:w="3083" w:type="dxa"/>
          </w:tcPr>
          <w:p w14:paraId="7798F752"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 dní</w:t>
            </w:r>
          </w:p>
        </w:tc>
      </w:tr>
      <w:tr w:rsidR="00CF3670" w:rsidRPr="00672462" w14:paraId="3DADAA1F" w14:textId="77777777" w:rsidTr="00C4346F">
        <w:tc>
          <w:tcPr>
            <w:tcW w:w="1276" w:type="dxa"/>
            <w:vMerge/>
          </w:tcPr>
          <w:p w14:paraId="52D59435" w14:textId="77777777" w:rsidR="00CF3670" w:rsidRPr="00672462" w:rsidRDefault="00CF3670" w:rsidP="00672462">
            <w:pPr>
              <w:spacing w:after="240"/>
              <w:ind w:left="567" w:hanging="567"/>
              <w:rPr>
                <w:sz w:val="22"/>
                <w:szCs w:val="22"/>
                <w:lang w:val="sk-SK"/>
              </w:rPr>
            </w:pPr>
          </w:p>
        </w:tc>
        <w:tc>
          <w:tcPr>
            <w:tcW w:w="1985" w:type="dxa"/>
          </w:tcPr>
          <w:p w14:paraId="66A3A8A4"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 xml:space="preserve">Hnačka vyvolaná druhom </w:t>
            </w:r>
            <w:r w:rsidRPr="00672462">
              <w:rPr>
                <w:i/>
                <w:sz w:val="22"/>
                <w:szCs w:val="22"/>
                <w:lang w:val="sk-SK"/>
              </w:rPr>
              <w:t>Vibrio cholerae</w:t>
            </w:r>
          </w:p>
        </w:tc>
        <w:tc>
          <w:tcPr>
            <w:tcW w:w="2835" w:type="dxa"/>
          </w:tcPr>
          <w:p w14:paraId="2F89914B"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500 mg dvakrát denne</w:t>
            </w:r>
          </w:p>
        </w:tc>
        <w:tc>
          <w:tcPr>
            <w:tcW w:w="3083" w:type="dxa"/>
          </w:tcPr>
          <w:p w14:paraId="4B97AB6F"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3 dni</w:t>
            </w:r>
          </w:p>
          <w:p w14:paraId="14989C37"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7CC0DFE4" w14:textId="77777777" w:rsidTr="00C4346F">
        <w:tc>
          <w:tcPr>
            <w:tcW w:w="1276" w:type="dxa"/>
            <w:vMerge/>
          </w:tcPr>
          <w:p w14:paraId="4A642D52" w14:textId="77777777" w:rsidR="00CF3670" w:rsidRPr="00672462" w:rsidRDefault="00CF3670" w:rsidP="00672462">
            <w:pPr>
              <w:spacing w:after="240"/>
              <w:ind w:left="567" w:hanging="567"/>
              <w:rPr>
                <w:sz w:val="22"/>
                <w:szCs w:val="22"/>
                <w:lang w:val="sk-SK"/>
              </w:rPr>
            </w:pPr>
          </w:p>
        </w:tc>
        <w:tc>
          <w:tcPr>
            <w:tcW w:w="1985" w:type="dxa"/>
          </w:tcPr>
          <w:p w14:paraId="002B7643"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Tyfózna horúčka</w:t>
            </w:r>
          </w:p>
        </w:tc>
        <w:tc>
          <w:tcPr>
            <w:tcW w:w="2835" w:type="dxa"/>
          </w:tcPr>
          <w:p w14:paraId="1E64A928" w14:textId="77777777" w:rsidR="00CF3670" w:rsidRPr="00672462" w:rsidRDefault="00CF3670" w:rsidP="00672462">
            <w:pPr>
              <w:autoSpaceDE w:val="0"/>
              <w:autoSpaceDN w:val="0"/>
              <w:adjustRightInd w:val="0"/>
              <w:spacing w:after="240"/>
              <w:ind w:left="567" w:hanging="567"/>
              <w:rPr>
                <w:sz w:val="22"/>
                <w:szCs w:val="22"/>
                <w:lang w:val="sk-SK"/>
              </w:rPr>
            </w:pPr>
            <w:smartTag w:uri="urn:schemas-microsoft-com:office:smarttags" w:element="metricconverter">
              <w:smartTagPr>
                <w:attr w:name="ProductID" w:val="500ﾠg"/>
              </w:smartTagPr>
              <w:r w:rsidRPr="00672462">
                <w:rPr>
                  <w:sz w:val="22"/>
                  <w:szCs w:val="22"/>
                  <w:lang w:val="sk-SK"/>
                </w:rPr>
                <w:t>500 g</w:t>
              </w:r>
            </w:smartTag>
            <w:r w:rsidRPr="00672462">
              <w:rPr>
                <w:sz w:val="22"/>
                <w:szCs w:val="22"/>
                <w:lang w:val="sk-SK"/>
              </w:rPr>
              <w:t xml:space="preserve"> dvakrát denne</w:t>
            </w:r>
          </w:p>
        </w:tc>
        <w:tc>
          <w:tcPr>
            <w:tcW w:w="3083" w:type="dxa"/>
          </w:tcPr>
          <w:p w14:paraId="16BA1B95"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7 dní</w:t>
            </w:r>
          </w:p>
        </w:tc>
      </w:tr>
      <w:tr w:rsidR="00CF3670" w:rsidRPr="00672462" w14:paraId="24DFE566" w14:textId="77777777" w:rsidTr="00C4346F">
        <w:tc>
          <w:tcPr>
            <w:tcW w:w="1276" w:type="dxa"/>
            <w:vMerge/>
          </w:tcPr>
          <w:p w14:paraId="0E5A39F3" w14:textId="77777777" w:rsidR="00CF3670" w:rsidRPr="00672462" w:rsidRDefault="00CF3670" w:rsidP="00672462">
            <w:pPr>
              <w:spacing w:after="240"/>
              <w:ind w:left="567" w:hanging="567"/>
              <w:rPr>
                <w:sz w:val="22"/>
                <w:szCs w:val="22"/>
                <w:lang w:val="sk-SK"/>
              </w:rPr>
            </w:pPr>
          </w:p>
        </w:tc>
        <w:tc>
          <w:tcPr>
            <w:tcW w:w="1985" w:type="dxa"/>
          </w:tcPr>
          <w:p w14:paraId="366DC62B"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Intraabdominálne infekcie vyvolané gramnegatívnymi baktériami</w:t>
            </w:r>
          </w:p>
        </w:tc>
        <w:tc>
          <w:tcPr>
            <w:tcW w:w="2835" w:type="dxa"/>
          </w:tcPr>
          <w:p w14:paraId="2C581D83"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500 mg dvakrát denne až 750 mg dvakrát denne</w:t>
            </w:r>
          </w:p>
          <w:p w14:paraId="4B7105C7" w14:textId="77777777" w:rsidR="00CF3670" w:rsidRPr="00672462" w:rsidRDefault="00CF3670" w:rsidP="00672462">
            <w:pPr>
              <w:autoSpaceDE w:val="0"/>
              <w:autoSpaceDN w:val="0"/>
              <w:adjustRightInd w:val="0"/>
              <w:spacing w:after="240"/>
              <w:ind w:left="567" w:hanging="567"/>
              <w:rPr>
                <w:sz w:val="22"/>
                <w:szCs w:val="22"/>
                <w:lang w:val="sk-SK"/>
              </w:rPr>
            </w:pPr>
          </w:p>
        </w:tc>
        <w:tc>
          <w:tcPr>
            <w:tcW w:w="3083" w:type="dxa"/>
          </w:tcPr>
          <w:p w14:paraId="49F77F4E"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 až 14 dní</w:t>
            </w:r>
          </w:p>
          <w:p w14:paraId="36DBAF46"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4EA1861D" w14:textId="77777777" w:rsidTr="00C4346F">
        <w:tc>
          <w:tcPr>
            <w:tcW w:w="3261" w:type="dxa"/>
            <w:gridSpan w:val="2"/>
          </w:tcPr>
          <w:p w14:paraId="3C705325"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Infekcie kože a mäkkých tkanív</w:t>
            </w:r>
          </w:p>
        </w:tc>
        <w:tc>
          <w:tcPr>
            <w:tcW w:w="2835" w:type="dxa"/>
          </w:tcPr>
          <w:p w14:paraId="3C328B28"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500 mg dvakrát denne až 750 mg dvakrát denne</w:t>
            </w:r>
          </w:p>
        </w:tc>
        <w:tc>
          <w:tcPr>
            <w:tcW w:w="3083" w:type="dxa"/>
          </w:tcPr>
          <w:p w14:paraId="7A1159C4"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7 až 14 dní</w:t>
            </w:r>
          </w:p>
          <w:p w14:paraId="06ADA50D"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1094CC8E" w14:textId="77777777" w:rsidTr="00C4346F">
        <w:tc>
          <w:tcPr>
            <w:tcW w:w="3261" w:type="dxa"/>
            <w:gridSpan w:val="2"/>
          </w:tcPr>
          <w:p w14:paraId="25A2EEB0"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Infekcie kostí a kĺbov</w:t>
            </w:r>
          </w:p>
        </w:tc>
        <w:tc>
          <w:tcPr>
            <w:tcW w:w="2835" w:type="dxa"/>
          </w:tcPr>
          <w:p w14:paraId="76AB9BD8"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500 mg dvakrát denne až 750 mg dvakrát denne</w:t>
            </w:r>
          </w:p>
        </w:tc>
        <w:tc>
          <w:tcPr>
            <w:tcW w:w="3083" w:type="dxa"/>
          </w:tcPr>
          <w:p w14:paraId="3086995E"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maximálne 3 mesiace</w:t>
            </w:r>
          </w:p>
          <w:p w14:paraId="36B67434"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7FBBDA62" w14:textId="77777777" w:rsidTr="00C4346F">
        <w:tc>
          <w:tcPr>
            <w:tcW w:w="3261" w:type="dxa"/>
            <w:gridSpan w:val="2"/>
          </w:tcPr>
          <w:p w14:paraId="37781903" w14:textId="77777777" w:rsidR="00CF3670" w:rsidRDefault="00CF3670" w:rsidP="00672462">
            <w:pPr>
              <w:autoSpaceDE w:val="0"/>
              <w:autoSpaceDN w:val="0"/>
              <w:adjustRightInd w:val="0"/>
              <w:spacing w:after="240"/>
              <w:rPr>
                <w:sz w:val="22"/>
                <w:szCs w:val="22"/>
                <w:lang w:val="sk-SK"/>
              </w:rPr>
            </w:pPr>
            <w:r>
              <w:rPr>
                <w:sz w:val="22"/>
                <w:szCs w:val="22"/>
                <w:lang w:val="sk-SK"/>
              </w:rPr>
              <w:t xml:space="preserve"> Neutropenickí pacienti s horúčkou , ktorá je pravdepodobne  dôsledkom bakteriálnej infekcie.</w:t>
            </w:r>
          </w:p>
          <w:p w14:paraId="15644F20" w14:textId="77777777" w:rsidR="00CF3670" w:rsidRPr="00672462" w:rsidRDefault="00CF3670" w:rsidP="00672462">
            <w:pPr>
              <w:autoSpaceDE w:val="0"/>
              <w:autoSpaceDN w:val="0"/>
              <w:adjustRightInd w:val="0"/>
              <w:spacing w:after="240"/>
              <w:rPr>
                <w:sz w:val="22"/>
                <w:szCs w:val="22"/>
                <w:lang w:val="sk-SK"/>
              </w:rPr>
            </w:pPr>
            <w:r>
              <w:rPr>
                <w:sz w:val="22"/>
                <w:szCs w:val="22"/>
                <w:lang w:val="sk-SK"/>
              </w:rPr>
              <w:t>C</w:t>
            </w:r>
            <w:r w:rsidRPr="00672462">
              <w:rPr>
                <w:sz w:val="22"/>
                <w:szCs w:val="22"/>
                <w:lang w:val="sk-SK"/>
              </w:rPr>
              <w:t xml:space="preserve">iprofloxacín </w:t>
            </w:r>
            <w:r>
              <w:rPr>
                <w:sz w:val="22"/>
                <w:szCs w:val="22"/>
                <w:lang w:val="sk-SK"/>
              </w:rPr>
              <w:t xml:space="preserve">sa má </w:t>
            </w:r>
            <w:r w:rsidRPr="00672462">
              <w:rPr>
                <w:sz w:val="22"/>
                <w:szCs w:val="22"/>
                <w:lang w:val="sk-SK"/>
              </w:rPr>
              <w:t>podávať súbežne s vhodným antibiotikom (antibiotikami) podľa oficiálnych odporúčaní.</w:t>
            </w:r>
          </w:p>
        </w:tc>
        <w:tc>
          <w:tcPr>
            <w:tcW w:w="2835" w:type="dxa"/>
          </w:tcPr>
          <w:p w14:paraId="443C3998"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 xml:space="preserve">500 mg dvakrát denne až 750 mg dvakrát denne </w:t>
            </w:r>
          </w:p>
        </w:tc>
        <w:tc>
          <w:tcPr>
            <w:tcW w:w="3083" w:type="dxa"/>
          </w:tcPr>
          <w:p w14:paraId="557A542F"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Terapia má pokračovať počas celého obdobia trvania neutropénie</w:t>
            </w:r>
          </w:p>
          <w:p w14:paraId="50FC725A"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7DBC45BC" w14:textId="77777777" w:rsidTr="00C4346F">
        <w:tc>
          <w:tcPr>
            <w:tcW w:w="3261" w:type="dxa"/>
            <w:gridSpan w:val="2"/>
          </w:tcPr>
          <w:p w14:paraId="64B5CCD2"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 xml:space="preserve">Profylaxia invazívnych infekcií vyvolaných druhom </w:t>
            </w:r>
            <w:r w:rsidRPr="00672462">
              <w:rPr>
                <w:i/>
                <w:sz w:val="22"/>
                <w:szCs w:val="22"/>
                <w:lang w:val="sk-SK"/>
              </w:rPr>
              <w:t>Neisseria meningitidis</w:t>
            </w:r>
          </w:p>
        </w:tc>
        <w:tc>
          <w:tcPr>
            <w:tcW w:w="2835" w:type="dxa"/>
          </w:tcPr>
          <w:p w14:paraId="2D7F91CC"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jednorazová dávka 500 mg</w:t>
            </w:r>
          </w:p>
        </w:tc>
        <w:tc>
          <w:tcPr>
            <w:tcW w:w="3083" w:type="dxa"/>
          </w:tcPr>
          <w:p w14:paraId="1208FC1B"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1 deň (jednorazová dávka)</w:t>
            </w:r>
          </w:p>
        </w:tc>
      </w:tr>
      <w:tr w:rsidR="00CF3670" w:rsidRPr="00672462" w14:paraId="5305EC96" w14:textId="77777777" w:rsidTr="00C4346F">
        <w:tc>
          <w:tcPr>
            <w:tcW w:w="3261" w:type="dxa"/>
            <w:gridSpan w:val="2"/>
          </w:tcPr>
          <w:p w14:paraId="3ACC4AC3"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Inhalácia antraxu, profylaxia po expozícii a liečba ľudí, ktorým je možné podávať liek perorálne, ak je to klinicky vhodné. Podávanie lieku má začať hneď ako je to možné po suspektnej alebo potvrdenej expozícii.</w:t>
            </w:r>
          </w:p>
        </w:tc>
        <w:tc>
          <w:tcPr>
            <w:tcW w:w="2835" w:type="dxa"/>
          </w:tcPr>
          <w:p w14:paraId="4A5CF248"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500 mg dvakrát denne</w:t>
            </w:r>
          </w:p>
        </w:tc>
        <w:tc>
          <w:tcPr>
            <w:tcW w:w="3083" w:type="dxa"/>
          </w:tcPr>
          <w:p w14:paraId="6AC78D05"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 xml:space="preserve">60 dní po potvrdení expozície druhu </w:t>
            </w:r>
            <w:r w:rsidRPr="00672462">
              <w:rPr>
                <w:i/>
                <w:sz w:val="22"/>
                <w:szCs w:val="22"/>
                <w:lang w:val="sk-SK"/>
              </w:rPr>
              <w:t>Bacillus anthracis</w:t>
            </w:r>
            <w:r w:rsidRPr="00672462">
              <w:rPr>
                <w:sz w:val="22"/>
                <w:szCs w:val="22"/>
                <w:lang w:val="sk-SK"/>
              </w:rPr>
              <w:t xml:space="preserve"> </w:t>
            </w:r>
          </w:p>
          <w:p w14:paraId="0479E2FE" w14:textId="77777777" w:rsidR="00CF3670" w:rsidRPr="00672462" w:rsidRDefault="00CF3670" w:rsidP="00672462">
            <w:pPr>
              <w:autoSpaceDE w:val="0"/>
              <w:autoSpaceDN w:val="0"/>
              <w:adjustRightInd w:val="0"/>
              <w:spacing w:after="240"/>
              <w:ind w:left="567" w:hanging="567"/>
              <w:rPr>
                <w:sz w:val="22"/>
                <w:szCs w:val="22"/>
                <w:lang w:val="sk-SK"/>
              </w:rPr>
            </w:pPr>
          </w:p>
        </w:tc>
      </w:tr>
    </w:tbl>
    <w:p w14:paraId="255206D1" w14:textId="77777777" w:rsidR="00CF3670" w:rsidRDefault="00CF3670" w:rsidP="00B4462C">
      <w:pPr>
        <w:widowControl w:val="0"/>
        <w:rPr>
          <w:sz w:val="22"/>
          <w:szCs w:val="22"/>
          <w:lang w:val="sk-SK"/>
        </w:rPr>
      </w:pPr>
    </w:p>
    <w:p w14:paraId="56DC4EF9" w14:textId="77777777" w:rsidR="00CF3670" w:rsidRPr="00FC60DC" w:rsidRDefault="00CF3670" w:rsidP="00B4462C">
      <w:pPr>
        <w:widowControl w:val="0"/>
        <w:rPr>
          <w:sz w:val="22"/>
          <w:szCs w:val="22"/>
          <w:lang w:val="sk-SK"/>
        </w:rPr>
      </w:pPr>
      <w:r w:rsidRPr="000F4320">
        <w:rPr>
          <w:sz w:val="22"/>
          <w:szCs w:val="22"/>
          <w:lang w:val="sk-SK"/>
        </w:rPr>
        <w:t>Osobitné populácie</w:t>
      </w:r>
    </w:p>
    <w:p w14:paraId="5CCE987F" w14:textId="77777777" w:rsidR="00CF3670" w:rsidRPr="00FC60DC" w:rsidRDefault="00CF3670" w:rsidP="00B4462C">
      <w:pPr>
        <w:widowControl w:val="0"/>
        <w:rPr>
          <w:sz w:val="22"/>
          <w:szCs w:val="22"/>
          <w:lang w:val="sk-SK"/>
        </w:rPr>
      </w:pPr>
    </w:p>
    <w:p w14:paraId="7CBD2B81" w14:textId="77777777" w:rsidR="00CF3670" w:rsidRPr="00B4462C" w:rsidRDefault="00CF3670" w:rsidP="00B4462C">
      <w:pPr>
        <w:autoSpaceDE w:val="0"/>
        <w:autoSpaceDN w:val="0"/>
        <w:adjustRightInd w:val="0"/>
        <w:rPr>
          <w:i/>
          <w:sz w:val="22"/>
          <w:szCs w:val="22"/>
          <w:lang w:val="sk-SK"/>
        </w:rPr>
      </w:pPr>
      <w:r w:rsidRPr="00FC60DC">
        <w:rPr>
          <w:i/>
          <w:sz w:val="22"/>
          <w:szCs w:val="22"/>
          <w:lang w:val="sk-SK"/>
        </w:rPr>
        <w:t>Pediatrická populácia</w:t>
      </w:r>
    </w:p>
    <w:p w14:paraId="003AFF3C" w14:textId="77777777" w:rsidR="00CF3670" w:rsidRPr="00B4462C" w:rsidRDefault="00CF3670" w:rsidP="00B4462C">
      <w:pPr>
        <w:widowControl w:val="0"/>
        <w:rPr>
          <w:sz w:val="22"/>
          <w:szCs w:val="22"/>
          <w:lang w:val="sk-SK"/>
        </w:rPr>
      </w:pPr>
    </w:p>
    <w:tbl>
      <w:tblPr>
        <w:tblW w:w="0" w:type="auto"/>
        <w:tblLook w:val="01E0" w:firstRow="1" w:lastRow="1" w:firstColumn="1" w:lastColumn="1" w:noHBand="0" w:noVBand="0"/>
      </w:tblPr>
      <w:tblGrid>
        <w:gridCol w:w="2807"/>
        <w:gridCol w:w="3384"/>
        <w:gridCol w:w="3096"/>
      </w:tblGrid>
      <w:tr w:rsidR="00CF3670" w:rsidRPr="00672462" w14:paraId="090DA8BB" w14:textId="77777777" w:rsidTr="00672462">
        <w:tc>
          <w:tcPr>
            <w:tcW w:w="2808" w:type="dxa"/>
            <w:tcBorders>
              <w:top w:val="single" w:sz="4" w:space="0" w:color="auto"/>
              <w:left w:val="single" w:sz="4" w:space="0" w:color="auto"/>
              <w:bottom w:val="single" w:sz="4" w:space="0" w:color="auto"/>
              <w:right w:val="single" w:sz="4" w:space="0" w:color="auto"/>
            </w:tcBorders>
          </w:tcPr>
          <w:p w14:paraId="725E4E93" w14:textId="77777777" w:rsidR="00CF3670" w:rsidRPr="00672462" w:rsidRDefault="00CF3670" w:rsidP="00672462">
            <w:pPr>
              <w:autoSpaceDE w:val="0"/>
              <w:autoSpaceDN w:val="0"/>
              <w:adjustRightInd w:val="0"/>
              <w:spacing w:after="240"/>
              <w:ind w:left="567" w:hanging="567"/>
              <w:rPr>
                <w:b/>
                <w:sz w:val="22"/>
                <w:szCs w:val="22"/>
                <w:lang w:val="sk-SK"/>
              </w:rPr>
            </w:pPr>
            <w:r w:rsidRPr="00672462">
              <w:rPr>
                <w:b/>
                <w:sz w:val="22"/>
                <w:szCs w:val="22"/>
                <w:lang w:val="sk-SK"/>
              </w:rPr>
              <w:t>Indikácie</w:t>
            </w:r>
          </w:p>
        </w:tc>
        <w:tc>
          <w:tcPr>
            <w:tcW w:w="3384" w:type="dxa"/>
            <w:tcBorders>
              <w:top w:val="single" w:sz="4" w:space="0" w:color="auto"/>
              <w:left w:val="single" w:sz="4" w:space="0" w:color="auto"/>
              <w:bottom w:val="single" w:sz="4" w:space="0" w:color="auto"/>
              <w:right w:val="single" w:sz="4" w:space="0" w:color="auto"/>
            </w:tcBorders>
          </w:tcPr>
          <w:p w14:paraId="26F95CEF" w14:textId="77777777" w:rsidR="00CF3670" w:rsidRPr="00672462" w:rsidRDefault="00CF3670" w:rsidP="00672462">
            <w:pPr>
              <w:autoSpaceDE w:val="0"/>
              <w:autoSpaceDN w:val="0"/>
              <w:adjustRightInd w:val="0"/>
              <w:spacing w:after="240"/>
              <w:ind w:left="567" w:hanging="567"/>
              <w:rPr>
                <w:b/>
                <w:sz w:val="22"/>
                <w:szCs w:val="22"/>
                <w:lang w:val="sk-SK"/>
              </w:rPr>
            </w:pPr>
            <w:r w:rsidRPr="00672462">
              <w:rPr>
                <w:b/>
                <w:sz w:val="22"/>
                <w:szCs w:val="22"/>
                <w:lang w:val="sk-SK"/>
              </w:rPr>
              <w:t>Denná dávka v mg</w:t>
            </w:r>
          </w:p>
        </w:tc>
        <w:tc>
          <w:tcPr>
            <w:tcW w:w="3096" w:type="dxa"/>
            <w:tcBorders>
              <w:top w:val="single" w:sz="4" w:space="0" w:color="auto"/>
              <w:left w:val="single" w:sz="4" w:space="0" w:color="auto"/>
              <w:bottom w:val="single" w:sz="4" w:space="0" w:color="auto"/>
              <w:right w:val="single" w:sz="4" w:space="0" w:color="auto"/>
            </w:tcBorders>
          </w:tcPr>
          <w:p w14:paraId="476F0488" w14:textId="77777777" w:rsidR="00CF3670" w:rsidRPr="00672462" w:rsidRDefault="00CF3670" w:rsidP="00672462">
            <w:pPr>
              <w:autoSpaceDE w:val="0"/>
              <w:autoSpaceDN w:val="0"/>
              <w:adjustRightInd w:val="0"/>
              <w:spacing w:after="240"/>
              <w:rPr>
                <w:b/>
                <w:sz w:val="22"/>
                <w:szCs w:val="22"/>
                <w:lang w:val="sk-SK"/>
              </w:rPr>
            </w:pPr>
            <w:r w:rsidRPr="00672462">
              <w:rPr>
                <w:b/>
                <w:sz w:val="22"/>
                <w:szCs w:val="22"/>
                <w:lang w:val="sk-SK"/>
              </w:rPr>
              <w:t>Celková dĺžka liečby (prípadne zahŕňajúca počiatočnú parenterálnu liečbu ciprofloxacínom)</w:t>
            </w:r>
          </w:p>
        </w:tc>
      </w:tr>
      <w:tr w:rsidR="00CF3670" w:rsidRPr="00672462" w14:paraId="1ED8681C" w14:textId="77777777" w:rsidTr="00672462">
        <w:tc>
          <w:tcPr>
            <w:tcW w:w="2808" w:type="dxa"/>
            <w:tcBorders>
              <w:top w:val="single" w:sz="4" w:space="0" w:color="auto"/>
              <w:left w:val="single" w:sz="4" w:space="0" w:color="auto"/>
              <w:bottom w:val="single" w:sz="4" w:space="0" w:color="auto"/>
              <w:right w:val="single" w:sz="4" w:space="0" w:color="auto"/>
            </w:tcBorders>
          </w:tcPr>
          <w:p w14:paraId="6C0EC0CF"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Cystická fibróza</w:t>
            </w:r>
          </w:p>
          <w:p w14:paraId="0D07ABDB" w14:textId="77777777" w:rsidR="00CF3670" w:rsidRPr="00672462" w:rsidRDefault="00CF3670" w:rsidP="00672462">
            <w:pPr>
              <w:autoSpaceDE w:val="0"/>
              <w:autoSpaceDN w:val="0"/>
              <w:adjustRightInd w:val="0"/>
              <w:spacing w:after="240"/>
              <w:ind w:left="567" w:hanging="567"/>
              <w:rPr>
                <w:sz w:val="22"/>
                <w:szCs w:val="22"/>
                <w:lang w:val="sk-SK"/>
              </w:rPr>
            </w:pPr>
          </w:p>
        </w:tc>
        <w:tc>
          <w:tcPr>
            <w:tcW w:w="3384" w:type="dxa"/>
            <w:tcBorders>
              <w:top w:val="single" w:sz="4" w:space="0" w:color="auto"/>
              <w:left w:val="single" w:sz="4" w:space="0" w:color="auto"/>
              <w:bottom w:val="single" w:sz="4" w:space="0" w:color="auto"/>
              <w:right w:val="single" w:sz="4" w:space="0" w:color="auto"/>
            </w:tcBorders>
          </w:tcPr>
          <w:p w14:paraId="7A589E56"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20 mg/kg telesnej hmotnosti dvakrát denne s maximálnou jednorazovou dávkou 750 mg</w:t>
            </w:r>
          </w:p>
        </w:tc>
        <w:tc>
          <w:tcPr>
            <w:tcW w:w="3096" w:type="dxa"/>
            <w:tcBorders>
              <w:top w:val="single" w:sz="4" w:space="0" w:color="auto"/>
              <w:left w:val="single" w:sz="4" w:space="0" w:color="auto"/>
              <w:bottom w:val="single" w:sz="4" w:space="0" w:color="auto"/>
              <w:right w:val="single" w:sz="4" w:space="0" w:color="auto"/>
            </w:tcBorders>
          </w:tcPr>
          <w:p w14:paraId="34BF48C5"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10 až 14 dní</w:t>
            </w:r>
          </w:p>
          <w:p w14:paraId="29578D67"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11CD6ADD" w14:textId="77777777" w:rsidTr="00672462">
        <w:tc>
          <w:tcPr>
            <w:tcW w:w="2808" w:type="dxa"/>
            <w:tcBorders>
              <w:top w:val="single" w:sz="4" w:space="0" w:color="auto"/>
              <w:left w:val="single" w:sz="4" w:space="0" w:color="auto"/>
              <w:bottom w:val="single" w:sz="4" w:space="0" w:color="auto"/>
              <w:right w:val="single" w:sz="4" w:space="0" w:color="auto"/>
            </w:tcBorders>
          </w:tcPr>
          <w:p w14:paraId="6F1EBCC8"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Komplikované infekcie močových ciest a pyelonefritída</w:t>
            </w:r>
          </w:p>
          <w:p w14:paraId="093D30DB" w14:textId="77777777" w:rsidR="00CF3670" w:rsidRPr="00672462" w:rsidRDefault="00CF3670" w:rsidP="00672462">
            <w:pPr>
              <w:autoSpaceDE w:val="0"/>
              <w:autoSpaceDN w:val="0"/>
              <w:adjustRightInd w:val="0"/>
              <w:spacing w:after="240"/>
              <w:ind w:left="567" w:hanging="567"/>
              <w:rPr>
                <w:sz w:val="22"/>
                <w:szCs w:val="22"/>
                <w:lang w:val="sk-SK"/>
              </w:rPr>
            </w:pPr>
          </w:p>
        </w:tc>
        <w:tc>
          <w:tcPr>
            <w:tcW w:w="3384" w:type="dxa"/>
            <w:tcBorders>
              <w:top w:val="single" w:sz="4" w:space="0" w:color="auto"/>
              <w:left w:val="single" w:sz="4" w:space="0" w:color="auto"/>
              <w:bottom w:val="single" w:sz="4" w:space="0" w:color="auto"/>
              <w:right w:val="single" w:sz="4" w:space="0" w:color="auto"/>
            </w:tcBorders>
          </w:tcPr>
          <w:p w14:paraId="0B880021"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10 mg/kg telesnej hmotnosti dvakrát denne až 20 mg/kg telesnej hmotnosti dvakrát denne s maximálnou jednorazovou dávkou 750 mg.</w:t>
            </w:r>
          </w:p>
        </w:tc>
        <w:tc>
          <w:tcPr>
            <w:tcW w:w="3096" w:type="dxa"/>
            <w:tcBorders>
              <w:top w:val="single" w:sz="4" w:space="0" w:color="auto"/>
              <w:left w:val="single" w:sz="4" w:space="0" w:color="auto"/>
              <w:bottom w:val="single" w:sz="4" w:space="0" w:color="auto"/>
              <w:right w:val="single" w:sz="4" w:space="0" w:color="auto"/>
            </w:tcBorders>
          </w:tcPr>
          <w:p w14:paraId="7B7998CC"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10 až 21 dní</w:t>
            </w:r>
          </w:p>
          <w:p w14:paraId="02E7CDC3"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02E53AF5" w14:textId="77777777" w:rsidTr="00672462">
        <w:tc>
          <w:tcPr>
            <w:tcW w:w="2808" w:type="dxa"/>
            <w:tcBorders>
              <w:top w:val="single" w:sz="4" w:space="0" w:color="auto"/>
              <w:left w:val="single" w:sz="4" w:space="0" w:color="auto"/>
              <w:bottom w:val="single" w:sz="4" w:space="0" w:color="auto"/>
              <w:right w:val="single" w:sz="4" w:space="0" w:color="auto"/>
            </w:tcBorders>
          </w:tcPr>
          <w:p w14:paraId="10895C88"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Inhalácia antraxu, profylaxia po expozícii a liečba ľudí, ktorým je možné podávať liek perorálne, ak je to klinicky vhodné. Podávanie lieku má začať hneď ako je to možné po suspektnej alebo potvrdenej expozícii.</w:t>
            </w:r>
          </w:p>
        </w:tc>
        <w:tc>
          <w:tcPr>
            <w:tcW w:w="3384" w:type="dxa"/>
            <w:tcBorders>
              <w:top w:val="single" w:sz="4" w:space="0" w:color="auto"/>
              <w:left w:val="single" w:sz="4" w:space="0" w:color="auto"/>
              <w:bottom w:val="single" w:sz="4" w:space="0" w:color="auto"/>
              <w:right w:val="single" w:sz="4" w:space="0" w:color="auto"/>
            </w:tcBorders>
          </w:tcPr>
          <w:p w14:paraId="00AF9963" w14:textId="77777777" w:rsidR="00CF3670" w:rsidRPr="00672462" w:rsidRDefault="00CF3670" w:rsidP="00672462">
            <w:pPr>
              <w:autoSpaceDE w:val="0"/>
              <w:autoSpaceDN w:val="0"/>
              <w:adjustRightInd w:val="0"/>
              <w:spacing w:after="240"/>
              <w:ind w:left="28" w:hanging="28"/>
              <w:rPr>
                <w:sz w:val="22"/>
                <w:szCs w:val="22"/>
                <w:lang w:val="sk-SK"/>
              </w:rPr>
            </w:pPr>
            <w:r w:rsidRPr="00672462">
              <w:rPr>
                <w:sz w:val="22"/>
                <w:szCs w:val="22"/>
                <w:lang w:val="sk-SK"/>
              </w:rPr>
              <w:t>10 mg/kg telesnej hmotnosti dvakrát denne až 15 mg/kg telesnej hmotnosti dvakrát denne s maximálnou jednorazovou dávkou 500 mg.</w:t>
            </w:r>
          </w:p>
          <w:p w14:paraId="6B9C257B" w14:textId="77777777" w:rsidR="00CF3670" w:rsidRPr="00672462" w:rsidRDefault="00CF3670" w:rsidP="00672462">
            <w:pPr>
              <w:autoSpaceDE w:val="0"/>
              <w:autoSpaceDN w:val="0"/>
              <w:adjustRightInd w:val="0"/>
              <w:spacing w:after="240"/>
              <w:ind w:left="567" w:hanging="567"/>
              <w:rPr>
                <w:sz w:val="22"/>
                <w:szCs w:val="22"/>
                <w:lang w:val="sk-SK"/>
              </w:rPr>
            </w:pPr>
          </w:p>
        </w:tc>
        <w:tc>
          <w:tcPr>
            <w:tcW w:w="3096" w:type="dxa"/>
            <w:tcBorders>
              <w:top w:val="single" w:sz="4" w:space="0" w:color="auto"/>
              <w:left w:val="single" w:sz="4" w:space="0" w:color="auto"/>
              <w:bottom w:val="single" w:sz="4" w:space="0" w:color="auto"/>
              <w:right w:val="single" w:sz="4" w:space="0" w:color="auto"/>
            </w:tcBorders>
          </w:tcPr>
          <w:p w14:paraId="6056DA91" w14:textId="77777777" w:rsidR="00CF3670" w:rsidRPr="00672462" w:rsidRDefault="00CF3670" w:rsidP="00672462">
            <w:pPr>
              <w:autoSpaceDE w:val="0"/>
              <w:autoSpaceDN w:val="0"/>
              <w:adjustRightInd w:val="0"/>
              <w:spacing w:after="240"/>
              <w:rPr>
                <w:sz w:val="22"/>
                <w:szCs w:val="22"/>
                <w:lang w:val="sk-SK"/>
              </w:rPr>
            </w:pPr>
            <w:r w:rsidRPr="00672462">
              <w:rPr>
                <w:sz w:val="22"/>
                <w:szCs w:val="22"/>
                <w:lang w:val="sk-SK"/>
              </w:rPr>
              <w:t xml:space="preserve">60 dní po potvrdení expozície druhu </w:t>
            </w:r>
            <w:r w:rsidRPr="00672462">
              <w:rPr>
                <w:i/>
                <w:sz w:val="22"/>
                <w:szCs w:val="22"/>
                <w:lang w:val="sk-SK"/>
              </w:rPr>
              <w:t>Bacillus anthracis</w:t>
            </w:r>
            <w:r w:rsidRPr="00672462">
              <w:rPr>
                <w:sz w:val="22"/>
                <w:szCs w:val="22"/>
                <w:lang w:val="sk-SK"/>
              </w:rPr>
              <w:t xml:space="preserve"> </w:t>
            </w:r>
          </w:p>
          <w:p w14:paraId="7F0BCDDB" w14:textId="77777777" w:rsidR="00CF3670" w:rsidRPr="00672462" w:rsidRDefault="00CF3670" w:rsidP="00672462">
            <w:pPr>
              <w:autoSpaceDE w:val="0"/>
              <w:autoSpaceDN w:val="0"/>
              <w:adjustRightInd w:val="0"/>
              <w:spacing w:after="240"/>
              <w:ind w:left="567" w:hanging="567"/>
              <w:rPr>
                <w:sz w:val="22"/>
                <w:szCs w:val="22"/>
                <w:lang w:val="sk-SK"/>
              </w:rPr>
            </w:pPr>
          </w:p>
        </w:tc>
      </w:tr>
      <w:tr w:rsidR="00CF3670" w:rsidRPr="00672462" w14:paraId="7EAE92F2" w14:textId="77777777" w:rsidTr="00672462">
        <w:tc>
          <w:tcPr>
            <w:tcW w:w="2808" w:type="dxa"/>
            <w:tcBorders>
              <w:top w:val="single" w:sz="4" w:space="0" w:color="auto"/>
              <w:left w:val="single" w:sz="4" w:space="0" w:color="auto"/>
              <w:bottom w:val="single" w:sz="4" w:space="0" w:color="auto"/>
              <w:right w:val="single" w:sz="4" w:space="0" w:color="auto"/>
            </w:tcBorders>
          </w:tcPr>
          <w:p w14:paraId="2F1367CD"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Iné závažné infekcie</w:t>
            </w:r>
          </w:p>
          <w:p w14:paraId="1681F00E" w14:textId="77777777" w:rsidR="00CF3670" w:rsidRPr="00672462" w:rsidRDefault="00CF3670" w:rsidP="00672462">
            <w:pPr>
              <w:autoSpaceDE w:val="0"/>
              <w:autoSpaceDN w:val="0"/>
              <w:adjustRightInd w:val="0"/>
              <w:spacing w:after="240"/>
              <w:ind w:left="567" w:hanging="567"/>
              <w:rPr>
                <w:sz w:val="22"/>
                <w:szCs w:val="22"/>
                <w:lang w:val="sk-SK"/>
              </w:rPr>
            </w:pPr>
          </w:p>
        </w:tc>
        <w:tc>
          <w:tcPr>
            <w:tcW w:w="3384" w:type="dxa"/>
            <w:tcBorders>
              <w:top w:val="single" w:sz="4" w:space="0" w:color="auto"/>
              <w:left w:val="single" w:sz="4" w:space="0" w:color="auto"/>
              <w:bottom w:val="single" w:sz="4" w:space="0" w:color="auto"/>
              <w:right w:val="single" w:sz="4" w:space="0" w:color="auto"/>
            </w:tcBorders>
          </w:tcPr>
          <w:p w14:paraId="11E305A2" w14:textId="77777777" w:rsidR="00CF3670" w:rsidRPr="00672462" w:rsidRDefault="00CF3670" w:rsidP="00672462">
            <w:pPr>
              <w:autoSpaceDE w:val="0"/>
              <w:autoSpaceDN w:val="0"/>
              <w:adjustRightInd w:val="0"/>
              <w:spacing w:after="240"/>
              <w:ind w:left="28" w:hanging="28"/>
              <w:rPr>
                <w:sz w:val="22"/>
                <w:szCs w:val="22"/>
                <w:lang w:val="sk-SK"/>
              </w:rPr>
            </w:pPr>
            <w:r w:rsidRPr="00672462">
              <w:rPr>
                <w:sz w:val="22"/>
                <w:szCs w:val="22"/>
                <w:lang w:val="sk-SK"/>
              </w:rPr>
              <w:t>20 mg/kg telesnej hmotnosti dvakrát denne s maximálnou jednorazovou dávkou 750 mg.</w:t>
            </w:r>
          </w:p>
        </w:tc>
        <w:tc>
          <w:tcPr>
            <w:tcW w:w="3096" w:type="dxa"/>
            <w:tcBorders>
              <w:top w:val="single" w:sz="4" w:space="0" w:color="auto"/>
              <w:left w:val="single" w:sz="4" w:space="0" w:color="auto"/>
              <w:bottom w:val="single" w:sz="4" w:space="0" w:color="auto"/>
              <w:right w:val="single" w:sz="4" w:space="0" w:color="auto"/>
            </w:tcBorders>
          </w:tcPr>
          <w:p w14:paraId="4D5BC256" w14:textId="77777777" w:rsidR="00CF3670" w:rsidRPr="00672462" w:rsidRDefault="00CF3670" w:rsidP="00672462">
            <w:pPr>
              <w:autoSpaceDE w:val="0"/>
              <w:autoSpaceDN w:val="0"/>
              <w:adjustRightInd w:val="0"/>
              <w:spacing w:after="240"/>
              <w:ind w:left="567" w:hanging="567"/>
              <w:rPr>
                <w:sz w:val="22"/>
                <w:szCs w:val="22"/>
                <w:lang w:val="sk-SK"/>
              </w:rPr>
            </w:pPr>
            <w:r w:rsidRPr="00672462">
              <w:rPr>
                <w:sz w:val="22"/>
                <w:szCs w:val="22"/>
                <w:lang w:val="sk-SK"/>
              </w:rPr>
              <w:t>podľa typu infekcie</w:t>
            </w:r>
          </w:p>
          <w:p w14:paraId="543B36B5" w14:textId="77777777" w:rsidR="00CF3670" w:rsidRPr="00672462" w:rsidRDefault="00CF3670" w:rsidP="00672462">
            <w:pPr>
              <w:autoSpaceDE w:val="0"/>
              <w:autoSpaceDN w:val="0"/>
              <w:adjustRightInd w:val="0"/>
              <w:spacing w:after="240"/>
              <w:ind w:left="567" w:hanging="567"/>
              <w:rPr>
                <w:sz w:val="22"/>
                <w:szCs w:val="22"/>
                <w:lang w:val="sk-SK"/>
              </w:rPr>
            </w:pPr>
          </w:p>
        </w:tc>
      </w:tr>
    </w:tbl>
    <w:p w14:paraId="0A483BEA" w14:textId="77777777" w:rsidR="00CF3670" w:rsidRPr="00B4462C" w:rsidRDefault="00CF3670" w:rsidP="00B65191">
      <w:pPr>
        <w:widowControl w:val="0"/>
        <w:rPr>
          <w:i/>
          <w:sz w:val="22"/>
          <w:szCs w:val="22"/>
          <w:lang w:val="sk-SK"/>
        </w:rPr>
      </w:pPr>
    </w:p>
    <w:p w14:paraId="102F2600" w14:textId="77777777" w:rsidR="00CF3670" w:rsidRPr="00B4462C" w:rsidRDefault="00CF3670" w:rsidP="003A5431">
      <w:pPr>
        <w:rPr>
          <w:b/>
          <w:color w:val="000000"/>
          <w:sz w:val="22"/>
          <w:szCs w:val="22"/>
          <w:lang w:val="sk-SK"/>
        </w:rPr>
      </w:pPr>
      <w:r>
        <w:rPr>
          <w:i/>
          <w:sz w:val="22"/>
          <w:szCs w:val="22"/>
          <w:lang w:val="sk-SK"/>
        </w:rPr>
        <w:t>Starší</w:t>
      </w:r>
      <w:r w:rsidRPr="00B4462C">
        <w:rPr>
          <w:i/>
          <w:color w:val="000000"/>
          <w:sz w:val="22"/>
          <w:szCs w:val="22"/>
          <w:lang w:val="sk-SK"/>
        </w:rPr>
        <w:t xml:space="preserve"> pacienti</w:t>
      </w:r>
    </w:p>
    <w:p w14:paraId="7BD184FE" w14:textId="77777777" w:rsidR="00CF3670" w:rsidRPr="00B4462C" w:rsidRDefault="00CF3670" w:rsidP="003A5431">
      <w:pPr>
        <w:rPr>
          <w:i/>
          <w:color w:val="000000"/>
          <w:sz w:val="22"/>
          <w:szCs w:val="22"/>
          <w:lang w:val="sk-SK"/>
        </w:rPr>
      </w:pPr>
      <w:r w:rsidRPr="00B4462C">
        <w:rPr>
          <w:color w:val="000000"/>
          <w:sz w:val="22"/>
          <w:szCs w:val="22"/>
          <w:lang w:val="sk-SK"/>
        </w:rPr>
        <w:t xml:space="preserve">Starší pacienti majú dostávať dávky v závislosti od závažnosti infekcie a od klírensu kreatinínu. </w:t>
      </w:r>
      <w:r w:rsidRPr="00B4462C">
        <w:rPr>
          <w:color w:val="000000"/>
          <w:sz w:val="22"/>
          <w:szCs w:val="22"/>
          <w:lang w:val="sk-SK"/>
        </w:rPr>
        <w:br/>
      </w:r>
      <w:r w:rsidRPr="00B4462C">
        <w:rPr>
          <w:color w:val="000000"/>
          <w:sz w:val="22"/>
          <w:szCs w:val="22"/>
          <w:lang w:val="sk-SK"/>
        </w:rPr>
        <w:br/>
      </w:r>
      <w:r w:rsidRPr="00B4462C">
        <w:rPr>
          <w:i/>
          <w:color w:val="000000"/>
          <w:sz w:val="22"/>
          <w:szCs w:val="22"/>
          <w:lang w:val="sk-SK"/>
        </w:rPr>
        <w:t xml:space="preserve">Poškodenie funkcie obličiek </w:t>
      </w:r>
    </w:p>
    <w:p w14:paraId="2FE810EA" w14:textId="77777777" w:rsidR="00CF3670" w:rsidRPr="00B4462C" w:rsidRDefault="00CF3670" w:rsidP="003A5431">
      <w:pPr>
        <w:rPr>
          <w:color w:val="000000"/>
          <w:sz w:val="22"/>
          <w:szCs w:val="22"/>
          <w:lang w:val="sk-SK"/>
        </w:rPr>
      </w:pPr>
      <w:r w:rsidRPr="00B4462C">
        <w:rPr>
          <w:color w:val="000000"/>
          <w:sz w:val="22"/>
          <w:szCs w:val="22"/>
          <w:lang w:val="sk-SK"/>
        </w:rPr>
        <w:t>Odporúčané začiatočné a udržiavacie dávky u pacientov s poruchou funkcie obličiek:</w:t>
      </w:r>
    </w:p>
    <w:p w14:paraId="74DDB899" w14:textId="77777777" w:rsidR="00CF3670" w:rsidRPr="00B4462C" w:rsidRDefault="00CF3670" w:rsidP="00B65191">
      <w:pPr>
        <w:widowControl w:val="0"/>
        <w:rPr>
          <w:sz w:val="22"/>
          <w:szCs w:val="22"/>
          <w:u w:val="single"/>
          <w:lang w:val="sk-SK"/>
        </w:rPr>
      </w:pPr>
    </w:p>
    <w:tbl>
      <w:tblPr>
        <w:tblW w:w="0" w:type="auto"/>
        <w:tblLook w:val="01E0" w:firstRow="1" w:lastRow="1" w:firstColumn="1" w:lastColumn="1" w:noHBand="0" w:noVBand="0"/>
      </w:tblPr>
      <w:tblGrid>
        <w:gridCol w:w="3095"/>
        <w:gridCol w:w="3096"/>
        <w:gridCol w:w="3096"/>
      </w:tblGrid>
      <w:tr w:rsidR="00CF3670" w:rsidRPr="00672462" w14:paraId="45140BE2" w14:textId="77777777" w:rsidTr="00672462">
        <w:tc>
          <w:tcPr>
            <w:tcW w:w="3096" w:type="dxa"/>
            <w:tcBorders>
              <w:top w:val="single" w:sz="4" w:space="0" w:color="auto"/>
              <w:left w:val="single" w:sz="4" w:space="0" w:color="auto"/>
              <w:bottom w:val="single" w:sz="4" w:space="0" w:color="auto"/>
              <w:right w:val="single" w:sz="4" w:space="0" w:color="auto"/>
            </w:tcBorders>
          </w:tcPr>
          <w:p w14:paraId="78FFAC61" w14:textId="77777777" w:rsidR="00CF3670" w:rsidRPr="00672462" w:rsidRDefault="00CF3670" w:rsidP="00672462">
            <w:pPr>
              <w:autoSpaceDE w:val="0"/>
              <w:autoSpaceDN w:val="0"/>
              <w:adjustRightInd w:val="0"/>
              <w:spacing w:after="240"/>
              <w:ind w:left="567" w:hanging="567"/>
              <w:jc w:val="both"/>
              <w:rPr>
                <w:b/>
                <w:bCs/>
                <w:sz w:val="22"/>
                <w:szCs w:val="22"/>
                <w:lang w:val="sk-SK"/>
              </w:rPr>
            </w:pPr>
            <w:r w:rsidRPr="00672462">
              <w:rPr>
                <w:b/>
                <w:bCs/>
                <w:sz w:val="22"/>
                <w:szCs w:val="22"/>
                <w:lang w:val="sk-SK"/>
              </w:rPr>
              <w:t>Klírens kreatinínu</w:t>
            </w:r>
          </w:p>
          <w:p w14:paraId="03850D89" w14:textId="77777777" w:rsidR="00CF3670" w:rsidRPr="00672462" w:rsidRDefault="00CF3670" w:rsidP="00672462">
            <w:pPr>
              <w:autoSpaceDE w:val="0"/>
              <w:autoSpaceDN w:val="0"/>
              <w:adjustRightInd w:val="0"/>
              <w:spacing w:after="240"/>
              <w:ind w:left="567" w:hanging="567"/>
              <w:jc w:val="both"/>
              <w:rPr>
                <w:b/>
                <w:bCs/>
                <w:sz w:val="22"/>
                <w:szCs w:val="22"/>
                <w:lang w:val="sk-SK"/>
              </w:rPr>
            </w:pPr>
            <w:r w:rsidRPr="00672462">
              <w:rPr>
                <w:b/>
                <w:bCs/>
                <w:sz w:val="22"/>
                <w:szCs w:val="22"/>
                <w:lang w:val="sk-SK"/>
              </w:rPr>
              <w:t>(ml/min/1,73 m²)</w:t>
            </w:r>
          </w:p>
        </w:tc>
        <w:tc>
          <w:tcPr>
            <w:tcW w:w="3096" w:type="dxa"/>
            <w:tcBorders>
              <w:top w:val="single" w:sz="4" w:space="0" w:color="auto"/>
              <w:left w:val="single" w:sz="4" w:space="0" w:color="auto"/>
              <w:bottom w:val="single" w:sz="4" w:space="0" w:color="auto"/>
              <w:right w:val="single" w:sz="4" w:space="0" w:color="auto"/>
            </w:tcBorders>
          </w:tcPr>
          <w:p w14:paraId="226503D5" w14:textId="77777777" w:rsidR="00CF3670" w:rsidRPr="00672462" w:rsidRDefault="00CF3670" w:rsidP="00672462">
            <w:pPr>
              <w:autoSpaceDE w:val="0"/>
              <w:autoSpaceDN w:val="0"/>
              <w:adjustRightInd w:val="0"/>
              <w:spacing w:after="240"/>
              <w:ind w:left="567" w:hanging="567"/>
              <w:rPr>
                <w:b/>
                <w:bCs/>
                <w:sz w:val="22"/>
                <w:szCs w:val="22"/>
                <w:lang w:val="sk-SK"/>
              </w:rPr>
            </w:pPr>
            <w:r w:rsidRPr="00672462">
              <w:rPr>
                <w:b/>
                <w:bCs/>
                <w:sz w:val="22"/>
                <w:szCs w:val="22"/>
                <w:lang w:val="sk-SK"/>
              </w:rPr>
              <w:t>sérový kreatinín</w:t>
            </w:r>
          </w:p>
          <w:p w14:paraId="1850CBA9" w14:textId="77777777" w:rsidR="00CF3670" w:rsidRPr="00672462" w:rsidRDefault="00CF3670" w:rsidP="00672462">
            <w:pPr>
              <w:autoSpaceDE w:val="0"/>
              <w:autoSpaceDN w:val="0"/>
              <w:adjustRightInd w:val="0"/>
              <w:spacing w:after="240"/>
              <w:ind w:left="567" w:hanging="567"/>
              <w:rPr>
                <w:b/>
                <w:bCs/>
                <w:sz w:val="22"/>
                <w:szCs w:val="22"/>
                <w:lang w:val="sk-SK"/>
              </w:rPr>
            </w:pPr>
            <w:r w:rsidRPr="00672462">
              <w:rPr>
                <w:b/>
                <w:bCs/>
                <w:sz w:val="22"/>
                <w:szCs w:val="22"/>
                <w:lang w:val="sk-SK"/>
              </w:rPr>
              <w:t>(µmol/l)</w:t>
            </w:r>
          </w:p>
        </w:tc>
        <w:tc>
          <w:tcPr>
            <w:tcW w:w="3096" w:type="dxa"/>
            <w:tcBorders>
              <w:top w:val="single" w:sz="4" w:space="0" w:color="auto"/>
              <w:left w:val="single" w:sz="4" w:space="0" w:color="auto"/>
              <w:bottom w:val="single" w:sz="4" w:space="0" w:color="auto"/>
              <w:right w:val="single" w:sz="4" w:space="0" w:color="auto"/>
            </w:tcBorders>
          </w:tcPr>
          <w:p w14:paraId="6EA1DE98" w14:textId="77777777" w:rsidR="00CF3670" w:rsidRPr="00672462" w:rsidRDefault="00CF3670" w:rsidP="00672462">
            <w:pPr>
              <w:autoSpaceDE w:val="0"/>
              <w:autoSpaceDN w:val="0"/>
              <w:adjustRightInd w:val="0"/>
              <w:spacing w:after="240"/>
              <w:ind w:left="567" w:hanging="567"/>
              <w:jc w:val="both"/>
              <w:rPr>
                <w:b/>
                <w:bCs/>
                <w:sz w:val="22"/>
                <w:szCs w:val="22"/>
                <w:lang w:val="sk-SK"/>
              </w:rPr>
            </w:pPr>
            <w:r w:rsidRPr="00672462">
              <w:rPr>
                <w:b/>
                <w:bCs/>
                <w:sz w:val="22"/>
                <w:szCs w:val="22"/>
                <w:lang w:val="sk-SK"/>
              </w:rPr>
              <w:t>perorálna dávka</w:t>
            </w:r>
          </w:p>
          <w:p w14:paraId="52E56301" w14:textId="77777777" w:rsidR="00CF3670" w:rsidRPr="00672462" w:rsidRDefault="00CF3670" w:rsidP="00672462">
            <w:pPr>
              <w:autoSpaceDE w:val="0"/>
              <w:autoSpaceDN w:val="0"/>
              <w:adjustRightInd w:val="0"/>
              <w:spacing w:after="240"/>
              <w:ind w:left="567" w:hanging="567"/>
              <w:jc w:val="both"/>
              <w:rPr>
                <w:b/>
                <w:bCs/>
                <w:sz w:val="22"/>
                <w:szCs w:val="22"/>
                <w:lang w:val="sk-SK"/>
              </w:rPr>
            </w:pPr>
            <w:r w:rsidRPr="00672462">
              <w:rPr>
                <w:b/>
                <w:bCs/>
                <w:sz w:val="22"/>
                <w:szCs w:val="22"/>
                <w:lang w:val="sk-SK"/>
              </w:rPr>
              <w:t>(mg)</w:t>
            </w:r>
          </w:p>
        </w:tc>
      </w:tr>
      <w:tr w:rsidR="00CF3670" w:rsidRPr="00672462" w14:paraId="13FF3DFF" w14:textId="77777777" w:rsidTr="00672462">
        <w:tc>
          <w:tcPr>
            <w:tcW w:w="3096" w:type="dxa"/>
            <w:tcBorders>
              <w:top w:val="single" w:sz="4" w:space="0" w:color="auto"/>
              <w:left w:val="single" w:sz="4" w:space="0" w:color="auto"/>
              <w:bottom w:val="single" w:sz="4" w:space="0" w:color="auto"/>
              <w:right w:val="single" w:sz="4" w:space="0" w:color="auto"/>
            </w:tcBorders>
          </w:tcPr>
          <w:p w14:paraId="2D18B3DF" w14:textId="77777777" w:rsidR="00CF3670" w:rsidRPr="00672462" w:rsidRDefault="00CF3670" w:rsidP="00672462">
            <w:pPr>
              <w:autoSpaceDE w:val="0"/>
              <w:autoSpaceDN w:val="0"/>
              <w:adjustRightInd w:val="0"/>
              <w:spacing w:after="240"/>
              <w:ind w:left="567" w:hanging="567"/>
              <w:jc w:val="center"/>
              <w:rPr>
                <w:b/>
                <w:bCs/>
                <w:sz w:val="22"/>
                <w:szCs w:val="22"/>
                <w:lang w:val="sk-SK"/>
              </w:rPr>
            </w:pPr>
            <w:r w:rsidRPr="00672462">
              <w:rPr>
                <w:sz w:val="22"/>
                <w:szCs w:val="22"/>
                <w:lang w:val="sk-SK"/>
              </w:rPr>
              <w:t>&gt; 60</w:t>
            </w:r>
          </w:p>
        </w:tc>
        <w:tc>
          <w:tcPr>
            <w:tcW w:w="3096" w:type="dxa"/>
            <w:tcBorders>
              <w:top w:val="single" w:sz="4" w:space="0" w:color="auto"/>
              <w:left w:val="single" w:sz="4" w:space="0" w:color="auto"/>
              <w:bottom w:val="single" w:sz="4" w:space="0" w:color="auto"/>
              <w:right w:val="single" w:sz="4" w:space="0" w:color="auto"/>
            </w:tcBorders>
          </w:tcPr>
          <w:p w14:paraId="27B93287" w14:textId="77777777" w:rsidR="00CF3670" w:rsidRPr="00672462" w:rsidRDefault="00CF3670" w:rsidP="00672462">
            <w:pPr>
              <w:autoSpaceDE w:val="0"/>
              <w:autoSpaceDN w:val="0"/>
              <w:adjustRightInd w:val="0"/>
              <w:spacing w:after="240"/>
              <w:ind w:left="567" w:hanging="567"/>
              <w:jc w:val="center"/>
              <w:rPr>
                <w:b/>
                <w:bCs/>
                <w:sz w:val="22"/>
                <w:szCs w:val="22"/>
                <w:lang w:val="sk-SK"/>
              </w:rPr>
            </w:pPr>
            <w:r w:rsidRPr="00672462">
              <w:rPr>
                <w:sz w:val="22"/>
                <w:szCs w:val="22"/>
                <w:lang w:val="sk-SK"/>
              </w:rPr>
              <w:t>&lt; 124</w:t>
            </w:r>
          </w:p>
        </w:tc>
        <w:tc>
          <w:tcPr>
            <w:tcW w:w="3096" w:type="dxa"/>
            <w:tcBorders>
              <w:top w:val="single" w:sz="4" w:space="0" w:color="auto"/>
              <w:left w:val="single" w:sz="4" w:space="0" w:color="auto"/>
              <w:bottom w:val="single" w:sz="4" w:space="0" w:color="auto"/>
              <w:right w:val="single" w:sz="4" w:space="0" w:color="auto"/>
            </w:tcBorders>
          </w:tcPr>
          <w:p w14:paraId="06D42795" w14:textId="77777777" w:rsidR="00CF3670" w:rsidRPr="00672462" w:rsidRDefault="00CF3670" w:rsidP="00672462">
            <w:pPr>
              <w:tabs>
                <w:tab w:val="left" w:pos="0"/>
                <w:tab w:val="left" w:pos="1172"/>
              </w:tabs>
              <w:autoSpaceDE w:val="0"/>
              <w:autoSpaceDN w:val="0"/>
              <w:adjustRightInd w:val="0"/>
              <w:spacing w:after="240"/>
              <w:rPr>
                <w:sz w:val="22"/>
                <w:szCs w:val="22"/>
                <w:lang w:val="sk-SK"/>
              </w:rPr>
            </w:pPr>
            <w:r w:rsidRPr="00672462">
              <w:rPr>
                <w:sz w:val="22"/>
                <w:szCs w:val="22"/>
                <w:lang w:val="sk-SK"/>
              </w:rPr>
              <w:t>pozri zvyčajné dávkovanie</w:t>
            </w:r>
          </w:p>
        </w:tc>
      </w:tr>
      <w:tr w:rsidR="00CF3670" w:rsidRPr="00672462" w14:paraId="3968DC54" w14:textId="77777777" w:rsidTr="00672462">
        <w:tc>
          <w:tcPr>
            <w:tcW w:w="3096" w:type="dxa"/>
            <w:tcBorders>
              <w:top w:val="single" w:sz="4" w:space="0" w:color="auto"/>
              <w:left w:val="single" w:sz="4" w:space="0" w:color="auto"/>
              <w:bottom w:val="single" w:sz="4" w:space="0" w:color="auto"/>
              <w:right w:val="single" w:sz="4" w:space="0" w:color="auto"/>
            </w:tcBorders>
          </w:tcPr>
          <w:p w14:paraId="41FA2253" w14:textId="77777777" w:rsidR="00CF3670" w:rsidRPr="00672462" w:rsidRDefault="00CF3670" w:rsidP="00672462">
            <w:pPr>
              <w:autoSpaceDE w:val="0"/>
              <w:autoSpaceDN w:val="0"/>
              <w:adjustRightInd w:val="0"/>
              <w:spacing w:after="240"/>
              <w:ind w:left="567" w:hanging="567"/>
              <w:jc w:val="center"/>
              <w:rPr>
                <w:bCs/>
                <w:sz w:val="22"/>
                <w:szCs w:val="22"/>
                <w:lang w:val="sk-SK"/>
              </w:rPr>
            </w:pPr>
            <w:r w:rsidRPr="00672462">
              <w:rPr>
                <w:bCs/>
                <w:sz w:val="22"/>
                <w:szCs w:val="22"/>
                <w:lang w:val="sk-SK"/>
              </w:rPr>
              <w:t>30-60</w:t>
            </w:r>
          </w:p>
        </w:tc>
        <w:tc>
          <w:tcPr>
            <w:tcW w:w="3096" w:type="dxa"/>
            <w:tcBorders>
              <w:top w:val="single" w:sz="4" w:space="0" w:color="auto"/>
              <w:left w:val="single" w:sz="4" w:space="0" w:color="auto"/>
              <w:bottom w:val="single" w:sz="4" w:space="0" w:color="auto"/>
              <w:right w:val="single" w:sz="4" w:space="0" w:color="auto"/>
            </w:tcBorders>
          </w:tcPr>
          <w:p w14:paraId="340396F4" w14:textId="77777777" w:rsidR="00CF3670" w:rsidRPr="00672462" w:rsidRDefault="00CF3670" w:rsidP="00672462">
            <w:pPr>
              <w:autoSpaceDE w:val="0"/>
              <w:autoSpaceDN w:val="0"/>
              <w:adjustRightInd w:val="0"/>
              <w:spacing w:after="240"/>
              <w:ind w:left="567" w:hanging="567"/>
              <w:jc w:val="center"/>
              <w:rPr>
                <w:b/>
                <w:bCs/>
                <w:sz w:val="22"/>
                <w:szCs w:val="22"/>
                <w:lang w:val="sk-SK"/>
              </w:rPr>
            </w:pPr>
            <w:r w:rsidRPr="00672462">
              <w:rPr>
                <w:sz w:val="22"/>
                <w:szCs w:val="22"/>
                <w:lang w:val="sk-SK"/>
              </w:rPr>
              <w:t>124 až 168</w:t>
            </w:r>
          </w:p>
        </w:tc>
        <w:tc>
          <w:tcPr>
            <w:tcW w:w="3096" w:type="dxa"/>
            <w:tcBorders>
              <w:top w:val="single" w:sz="4" w:space="0" w:color="auto"/>
              <w:left w:val="single" w:sz="4" w:space="0" w:color="auto"/>
              <w:bottom w:val="single" w:sz="4" w:space="0" w:color="auto"/>
              <w:right w:val="single" w:sz="4" w:space="0" w:color="auto"/>
            </w:tcBorders>
          </w:tcPr>
          <w:p w14:paraId="08C2EF74" w14:textId="77777777" w:rsidR="00CF3670" w:rsidRPr="00672462" w:rsidRDefault="00CF3670" w:rsidP="00672462">
            <w:pPr>
              <w:tabs>
                <w:tab w:val="left" w:pos="0"/>
              </w:tabs>
              <w:autoSpaceDE w:val="0"/>
              <w:autoSpaceDN w:val="0"/>
              <w:adjustRightInd w:val="0"/>
              <w:spacing w:after="240"/>
              <w:rPr>
                <w:b/>
                <w:bCs/>
                <w:sz w:val="22"/>
                <w:szCs w:val="22"/>
                <w:lang w:val="sk-SK"/>
              </w:rPr>
            </w:pPr>
            <w:r w:rsidRPr="00672462">
              <w:rPr>
                <w:sz w:val="22"/>
                <w:szCs w:val="22"/>
                <w:lang w:val="sk-SK"/>
              </w:rPr>
              <w:t>250-500 mg každých 12 hodín</w:t>
            </w:r>
          </w:p>
        </w:tc>
      </w:tr>
      <w:tr w:rsidR="00CF3670" w:rsidRPr="00672462" w14:paraId="2847D12D" w14:textId="77777777" w:rsidTr="00672462">
        <w:tc>
          <w:tcPr>
            <w:tcW w:w="3096" w:type="dxa"/>
            <w:tcBorders>
              <w:top w:val="single" w:sz="4" w:space="0" w:color="auto"/>
              <w:left w:val="single" w:sz="4" w:space="0" w:color="auto"/>
              <w:bottom w:val="single" w:sz="4" w:space="0" w:color="auto"/>
              <w:right w:val="single" w:sz="4" w:space="0" w:color="auto"/>
            </w:tcBorders>
          </w:tcPr>
          <w:p w14:paraId="06D95C49" w14:textId="77777777" w:rsidR="00CF3670" w:rsidRPr="00672462" w:rsidRDefault="00CF3670" w:rsidP="00672462">
            <w:pPr>
              <w:autoSpaceDE w:val="0"/>
              <w:autoSpaceDN w:val="0"/>
              <w:adjustRightInd w:val="0"/>
              <w:spacing w:after="240"/>
              <w:ind w:left="567" w:hanging="567"/>
              <w:jc w:val="center"/>
              <w:rPr>
                <w:b/>
                <w:bCs/>
                <w:sz w:val="22"/>
                <w:szCs w:val="22"/>
                <w:lang w:val="sk-SK"/>
              </w:rPr>
            </w:pPr>
            <w:r w:rsidRPr="00672462">
              <w:rPr>
                <w:sz w:val="22"/>
                <w:szCs w:val="22"/>
                <w:lang w:val="sk-SK"/>
              </w:rPr>
              <w:t>&lt; 30</w:t>
            </w:r>
          </w:p>
        </w:tc>
        <w:tc>
          <w:tcPr>
            <w:tcW w:w="3096" w:type="dxa"/>
            <w:tcBorders>
              <w:top w:val="single" w:sz="4" w:space="0" w:color="auto"/>
              <w:left w:val="single" w:sz="4" w:space="0" w:color="auto"/>
              <w:bottom w:val="single" w:sz="4" w:space="0" w:color="auto"/>
              <w:right w:val="single" w:sz="4" w:space="0" w:color="auto"/>
            </w:tcBorders>
          </w:tcPr>
          <w:p w14:paraId="5BB600DC" w14:textId="77777777" w:rsidR="00CF3670" w:rsidRPr="00672462" w:rsidRDefault="00CF3670" w:rsidP="00672462">
            <w:pPr>
              <w:autoSpaceDE w:val="0"/>
              <w:autoSpaceDN w:val="0"/>
              <w:adjustRightInd w:val="0"/>
              <w:spacing w:after="240"/>
              <w:ind w:left="567" w:hanging="567"/>
              <w:jc w:val="center"/>
              <w:rPr>
                <w:b/>
                <w:bCs/>
                <w:sz w:val="22"/>
                <w:szCs w:val="22"/>
                <w:lang w:val="sk-SK"/>
              </w:rPr>
            </w:pPr>
            <w:r w:rsidRPr="00672462">
              <w:rPr>
                <w:sz w:val="22"/>
                <w:szCs w:val="22"/>
                <w:lang w:val="sk-SK"/>
              </w:rPr>
              <w:t>&gt; 169</w:t>
            </w:r>
          </w:p>
        </w:tc>
        <w:tc>
          <w:tcPr>
            <w:tcW w:w="3096" w:type="dxa"/>
            <w:tcBorders>
              <w:top w:val="single" w:sz="4" w:space="0" w:color="auto"/>
              <w:left w:val="single" w:sz="4" w:space="0" w:color="auto"/>
              <w:bottom w:val="single" w:sz="4" w:space="0" w:color="auto"/>
              <w:right w:val="single" w:sz="4" w:space="0" w:color="auto"/>
            </w:tcBorders>
          </w:tcPr>
          <w:p w14:paraId="704BD56E" w14:textId="77777777" w:rsidR="00CF3670" w:rsidRPr="00672462" w:rsidRDefault="00CF3670" w:rsidP="00672462">
            <w:pPr>
              <w:tabs>
                <w:tab w:val="left" w:pos="0"/>
                <w:tab w:val="left" w:pos="1172"/>
              </w:tabs>
              <w:autoSpaceDE w:val="0"/>
              <w:autoSpaceDN w:val="0"/>
              <w:adjustRightInd w:val="0"/>
              <w:spacing w:after="240"/>
              <w:rPr>
                <w:sz w:val="22"/>
                <w:szCs w:val="22"/>
                <w:lang w:val="sk-SK"/>
              </w:rPr>
            </w:pPr>
            <w:r w:rsidRPr="00672462">
              <w:rPr>
                <w:sz w:val="22"/>
                <w:szCs w:val="22"/>
                <w:lang w:val="sk-SK"/>
              </w:rPr>
              <w:t>250-500 mg každých 24 hodín</w:t>
            </w:r>
          </w:p>
        </w:tc>
      </w:tr>
      <w:tr w:rsidR="00CF3670" w:rsidRPr="00672462" w14:paraId="76017939" w14:textId="77777777" w:rsidTr="00672462">
        <w:tc>
          <w:tcPr>
            <w:tcW w:w="3096" w:type="dxa"/>
            <w:tcBorders>
              <w:top w:val="single" w:sz="4" w:space="0" w:color="auto"/>
              <w:left w:val="single" w:sz="4" w:space="0" w:color="auto"/>
              <w:bottom w:val="single" w:sz="4" w:space="0" w:color="auto"/>
              <w:right w:val="single" w:sz="4" w:space="0" w:color="auto"/>
            </w:tcBorders>
          </w:tcPr>
          <w:p w14:paraId="66307AB2" w14:textId="77777777" w:rsidR="00CF3670" w:rsidRPr="00672462" w:rsidRDefault="00CF3670" w:rsidP="00672462">
            <w:pPr>
              <w:autoSpaceDE w:val="0"/>
              <w:autoSpaceDN w:val="0"/>
              <w:adjustRightInd w:val="0"/>
              <w:spacing w:after="240"/>
              <w:ind w:left="567" w:hanging="567"/>
              <w:jc w:val="center"/>
              <w:rPr>
                <w:b/>
                <w:bCs/>
                <w:sz w:val="22"/>
                <w:szCs w:val="22"/>
                <w:lang w:val="sk-SK"/>
              </w:rPr>
            </w:pPr>
            <w:r w:rsidRPr="00672462">
              <w:rPr>
                <w:sz w:val="22"/>
                <w:szCs w:val="22"/>
                <w:lang w:val="sk-SK"/>
              </w:rPr>
              <w:t>pacienti na hemodialýze</w:t>
            </w:r>
          </w:p>
        </w:tc>
        <w:tc>
          <w:tcPr>
            <w:tcW w:w="3096" w:type="dxa"/>
            <w:tcBorders>
              <w:top w:val="single" w:sz="4" w:space="0" w:color="auto"/>
              <w:left w:val="single" w:sz="4" w:space="0" w:color="auto"/>
              <w:bottom w:val="single" w:sz="4" w:space="0" w:color="auto"/>
              <w:right w:val="single" w:sz="4" w:space="0" w:color="auto"/>
            </w:tcBorders>
          </w:tcPr>
          <w:p w14:paraId="6CDFE636" w14:textId="77777777" w:rsidR="00CF3670" w:rsidRPr="00672462" w:rsidRDefault="00CF3670" w:rsidP="00672462">
            <w:pPr>
              <w:autoSpaceDE w:val="0"/>
              <w:autoSpaceDN w:val="0"/>
              <w:adjustRightInd w:val="0"/>
              <w:spacing w:after="240"/>
              <w:ind w:left="567" w:hanging="567"/>
              <w:jc w:val="center"/>
              <w:rPr>
                <w:b/>
                <w:bCs/>
                <w:sz w:val="22"/>
                <w:szCs w:val="22"/>
                <w:lang w:val="sk-SK"/>
              </w:rPr>
            </w:pPr>
            <w:r w:rsidRPr="00672462">
              <w:rPr>
                <w:sz w:val="22"/>
                <w:szCs w:val="22"/>
                <w:lang w:val="sk-SK"/>
              </w:rPr>
              <w:t>&gt; 169</w:t>
            </w:r>
          </w:p>
        </w:tc>
        <w:tc>
          <w:tcPr>
            <w:tcW w:w="3096" w:type="dxa"/>
            <w:tcBorders>
              <w:top w:val="single" w:sz="4" w:space="0" w:color="auto"/>
              <w:left w:val="single" w:sz="4" w:space="0" w:color="auto"/>
              <w:bottom w:val="single" w:sz="4" w:space="0" w:color="auto"/>
              <w:right w:val="single" w:sz="4" w:space="0" w:color="auto"/>
            </w:tcBorders>
          </w:tcPr>
          <w:p w14:paraId="648FA6DE" w14:textId="77777777" w:rsidR="00CF3670" w:rsidRPr="00672462" w:rsidRDefault="00CF3670" w:rsidP="00672462">
            <w:pPr>
              <w:tabs>
                <w:tab w:val="left" w:pos="0"/>
                <w:tab w:val="left" w:pos="1172"/>
              </w:tabs>
              <w:autoSpaceDE w:val="0"/>
              <w:autoSpaceDN w:val="0"/>
              <w:adjustRightInd w:val="0"/>
              <w:spacing w:after="240"/>
              <w:rPr>
                <w:b/>
                <w:bCs/>
                <w:sz w:val="22"/>
                <w:szCs w:val="22"/>
                <w:lang w:val="sk-SK"/>
              </w:rPr>
            </w:pPr>
            <w:r w:rsidRPr="00672462">
              <w:rPr>
                <w:sz w:val="22"/>
                <w:szCs w:val="22"/>
                <w:lang w:val="sk-SK"/>
              </w:rPr>
              <w:t>250-500 mg každých 24 hodín (po dialýze)</w:t>
            </w:r>
          </w:p>
        </w:tc>
      </w:tr>
      <w:tr w:rsidR="00CF3670" w:rsidRPr="00672462" w14:paraId="7713307A" w14:textId="77777777" w:rsidTr="00672462">
        <w:tc>
          <w:tcPr>
            <w:tcW w:w="3096" w:type="dxa"/>
            <w:tcBorders>
              <w:top w:val="single" w:sz="4" w:space="0" w:color="auto"/>
              <w:left w:val="single" w:sz="4" w:space="0" w:color="auto"/>
              <w:bottom w:val="single" w:sz="4" w:space="0" w:color="auto"/>
              <w:right w:val="single" w:sz="4" w:space="0" w:color="auto"/>
            </w:tcBorders>
          </w:tcPr>
          <w:p w14:paraId="31947319" w14:textId="77777777" w:rsidR="00CF3670" w:rsidRPr="00672462" w:rsidRDefault="00CF3670" w:rsidP="00672462">
            <w:pPr>
              <w:autoSpaceDE w:val="0"/>
              <w:autoSpaceDN w:val="0"/>
              <w:adjustRightInd w:val="0"/>
              <w:spacing w:after="240"/>
              <w:jc w:val="center"/>
              <w:rPr>
                <w:b/>
                <w:bCs/>
                <w:sz w:val="22"/>
                <w:szCs w:val="22"/>
                <w:lang w:val="sk-SK"/>
              </w:rPr>
            </w:pPr>
            <w:r w:rsidRPr="00672462">
              <w:rPr>
                <w:sz w:val="22"/>
                <w:szCs w:val="22"/>
                <w:lang w:val="sk-SK"/>
              </w:rPr>
              <w:t>pacienti na peritoneálnej dialýze</w:t>
            </w:r>
          </w:p>
        </w:tc>
        <w:tc>
          <w:tcPr>
            <w:tcW w:w="3096" w:type="dxa"/>
            <w:tcBorders>
              <w:top w:val="single" w:sz="4" w:space="0" w:color="auto"/>
              <w:left w:val="single" w:sz="4" w:space="0" w:color="auto"/>
              <w:bottom w:val="single" w:sz="4" w:space="0" w:color="auto"/>
              <w:right w:val="single" w:sz="4" w:space="0" w:color="auto"/>
            </w:tcBorders>
          </w:tcPr>
          <w:p w14:paraId="2710556F" w14:textId="77777777" w:rsidR="00CF3670" w:rsidRPr="00672462" w:rsidRDefault="00CF3670" w:rsidP="00672462">
            <w:pPr>
              <w:autoSpaceDE w:val="0"/>
              <w:autoSpaceDN w:val="0"/>
              <w:adjustRightInd w:val="0"/>
              <w:spacing w:after="240"/>
              <w:ind w:left="567" w:hanging="567"/>
              <w:jc w:val="center"/>
              <w:rPr>
                <w:b/>
                <w:bCs/>
                <w:sz w:val="22"/>
                <w:szCs w:val="22"/>
                <w:lang w:val="sk-SK"/>
              </w:rPr>
            </w:pPr>
            <w:r w:rsidRPr="00672462">
              <w:rPr>
                <w:sz w:val="22"/>
                <w:szCs w:val="22"/>
                <w:lang w:val="sk-SK"/>
              </w:rPr>
              <w:t>&gt; 169</w:t>
            </w:r>
          </w:p>
        </w:tc>
        <w:tc>
          <w:tcPr>
            <w:tcW w:w="3096" w:type="dxa"/>
            <w:tcBorders>
              <w:top w:val="single" w:sz="4" w:space="0" w:color="auto"/>
              <w:left w:val="single" w:sz="4" w:space="0" w:color="auto"/>
              <w:bottom w:val="single" w:sz="4" w:space="0" w:color="auto"/>
              <w:right w:val="single" w:sz="4" w:space="0" w:color="auto"/>
            </w:tcBorders>
          </w:tcPr>
          <w:p w14:paraId="38AA4483" w14:textId="77777777" w:rsidR="00CF3670" w:rsidRPr="00672462" w:rsidRDefault="00CF3670" w:rsidP="00672462">
            <w:pPr>
              <w:tabs>
                <w:tab w:val="left" w:pos="0"/>
                <w:tab w:val="left" w:pos="1172"/>
              </w:tabs>
              <w:autoSpaceDE w:val="0"/>
              <w:autoSpaceDN w:val="0"/>
              <w:adjustRightInd w:val="0"/>
              <w:spacing w:after="240"/>
              <w:rPr>
                <w:b/>
                <w:bCs/>
                <w:sz w:val="22"/>
                <w:szCs w:val="22"/>
                <w:lang w:val="sk-SK"/>
              </w:rPr>
            </w:pPr>
            <w:r w:rsidRPr="00672462">
              <w:rPr>
                <w:sz w:val="22"/>
                <w:szCs w:val="22"/>
                <w:lang w:val="sk-SK"/>
              </w:rPr>
              <w:t>250-500 mg každých 24 hodín</w:t>
            </w:r>
          </w:p>
        </w:tc>
      </w:tr>
    </w:tbl>
    <w:p w14:paraId="36379ED3" w14:textId="77777777" w:rsidR="00CF3670" w:rsidRDefault="00CF3670" w:rsidP="00B65191">
      <w:pPr>
        <w:widowControl w:val="0"/>
        <w:rPr>
          <w:sz w:val="22"/>
          <w:szCs w:val="22"/>
          <w:u w:val="single"/>
          <w:lang w:val="sk-SK"/>
        </w:rPr>
      </w:pPr>
    </w:p>
    <w:p w14:paraId="0ED4CAB7" w14:textId="77777777" w:rsidR="00CF3670" w:rsidRPr="00B4462C" w:rsidRDefault="00CF3670" w:rsidP="00B65191">
      <w:pPr>
        <w:widowControl w:val="0"/>
        <w:rPr>
          <w:sz w:val="22"/>
          <w:szCs w:val="22"/>
          <w:u w:val="single"/>
          <w:lang w:val="sk-SK"/>
        </w:rPr>
      </w:pPr>
      <w:r w:rsidRPr="00B4462C">
        <w:rPr>
          <w:i/>
          <w:color w:val="000000"/>
          <w:sz w:val="22"/>
          <w:szCs w:val="22"/>
          <w:lang w:val="sk-SK"/>
        </w:rPr>
        <w:t>Poškodenie funkcie</w:t>
      </w:r>
      <w:r>
        <w:rPr>
          <w:i/>
          <w:color w:val="000000"/>
          <w:sz w:val="22"/>
          <w:szCs w:val="22"/>
          <w:lang w:val="sk-SK"/>
        </w:rPr>
        <w:t xml:space="preserve"> pečene</w:t>
      </w:r>
    </w:p>
    <w:p w14:paraId="14717B97" w14:textId="77777777" w:rsidR="00CF3670" w:rsidRPr="00B4462C" w:rsidRDefault="00CF3670" w:rsidP="003A5431">
      <w:pPr>
        <w:rPr>
          <w:sz w:val="22"/>
          <w:szCs w:val="22"/>
          <w:lang w:val="sk-SK"/>
        </w:rPr>
      </w:pPr>
      <w:r w:rsidRPr="00B4462C">
        <w:rPr>
          <w:sz w:val="22"/>
          <w:szCs w:val="22"/>
          <w:lang w:val="sk-SK"/>
        </w:rPr>
        <w:t>U pacientov s poškodením funkcie pečene nie je potrebná žiadna úprava dávkovania.</w:t>
      </w:r>
    </w:p>
    <w:p w14:paraId="609F10AB" w14:textId="77777777" w:rsidR="00CF3670" w:rsidRPr="00B4462C" w:rsidRDefault="00CF3670" w:rsidP="003A5431">
      <w:pPr>
        <w:rPr>
          <w:sz w:val="22"/>
          <w:szCs w:val="22"/>
          <w:lang w:val="sk-SK"/>
        </w:rPr>
      </w:pPr>
    </w:p>
    <w:p w14:paraId="514F4E88" w14:textId="77777777" w:rsidR="00CF3670" w:rsidRPr="00B4462C" w:rsidRDefault="00CF3670" w:rsidP="003A5431">
      <w:pPr>
        <w:rPr>
          <w:sz w:val="22"/>
          <w:szCs w:val="22"/>
          <w:lang w:val="sk-SK"/>
        </w:rPr>
      </w:pPr>
      <w:r w:rsidRPr="00B4462C">
        <w:rPr>
          <w:sz w:val="22"/>
          <w:szCs w:val="22"/>
          <w:lang w:val="sk-SK"/>
        </w:rPr>
        <w:t>Dávkovanie u detí s poškodenou funkciou obličiek a/alebo pečene nebolo študované.</w:t>
      </w:r>
    </w:p>
    <w:p w14:paraId="6A848C26" w14:textId="77777777" w:rsidR="00CF3670" w:rsidRPr="00B4462C" w:rsidRDefault="00CF3670" w:rsidP="003A5431">
      <w:pPr>
        <w:rPr>
          <w:sz w:val="22"/>
          <w:szCs w:val="22"/>
          <w:lang w:val="sk-SK"/>
        </w:rPr>
      </w:pPr>
    </w:p>
    <w:p w14:paraId="7A017859" w14:textId="77777777" w:rsidR="00CF3670" w:rsidRPr="00B4462C" w:rsidRDefault="00CF3670" w:rsidP="003A5431">
      <w:pPr>
        <w:rPr>
          <w:b/>
          <w:sz w:val="22"/>
          <w:szCs w:val="22"/>
          <w:lang w:val="sk-SK"/>
        </w:rPr>
      </w:pPr>
      <w:r w:rsidRPr="00B4462C">
        <w:rPr>
          <w:i/>
          <w:sz w:val="22"/>
          <w:szCs w:val="22"/>
          <w:lang w:val="sk-SK"/>
        </w:rPr>
        <w:t>Spôsob</w:t>
      </w:r>
      <w:r w:rsidRPr="00B4462C">
        <w:rPr>
          <w:b/>
          <w:i/>
          <w:sz w:val="22"/>
          <w:szCs w:val="22"/>
          <w:lang w:val="sk-SK"/>
        </w:rPr>
        <w:t xml:space="preserve"> </w:t>
      </w:r>
      <w:r w:rsidRPr="00B4462C">
        <w:rPr>
          <w:i/>
          <w:sz w:val="22"/>
          <w:szCs w:val="22"/>
          <w:lang w:val="sk-SK"/>
        </w:rPr>
        <w:t>podávania</w:t>
      </w:r>
    </w:p>
    <w:p w14:paraId="2572F9C7" w14:textId="77777777" w:rsidR="00CF3670" w:rsidRPr="00B4462C" w:rsidRDefault="00CF3670" w:rsidP="003A5431">
      <w:pPr>
        <w:rPr>
          <w:sz w:val="22"/>
          <w:szCs w:val="22"/>
          <w:lang w:val="sk-SK"/>
        </w:rPr>
      </w:pPr>
      <w:r w:rsidRPr="00B4462C">
        <w:rPr>
          <w:sz w:val="22"/>
          <w:szCs w:val="22"/>
          <w:lang w:val="sk-SK"/>
        </w:rPr>
        <w:t>Tablety sa nemajú žuť, majú sa prehĺtať spolu s tekutinou. Môžu sa užívať v akomkoľvek čase, nezávisle od jedla. Užívanie nalačno urýchľuje absorpciu liečiva. Ciprofloxacín tablety sa nemajú užívať s mliečnymi výrobkami (napr. mlieko, jogurt) alebo ovocným džúsom s obsahom minerálov (napr. pomarančový džús obsahujúci kalcium) (pozri časť 4.5).</w:t>
      </w:r>
    </w:p>
    <w:p w14:paraId="46E4FC1E" w14:textId="77777777" w:rsidR="00CF3670" w:rsidRPr="00B4462C" w:rsidRDefault="00CF3670" w:rsidP="003A5431">
      <w:pPr>
        <w:rPr>
          <w:sz w:val="22"/>
          <w:szCs w:val="22"/>
          <w:lang w:val="sk-SK"/>
        </w:rPr>
      </w:pPr>
    </w:p>
    <w:p w14:paraId="59A8E6E9" w14:textId="77777777" w:rsidR="00CF3670" w:rsidRPr="00B4462C" w:rsidRDefault="00CF3670" w:rsidP="003A5431">
      <w:pPr>
        <w:rPr>
          <w:sz w:val="22"/>
          <w:szCs w:val="22"/>
          <w:lang w:val="sk-SK"/>
        </w:rPr>
      </w:pPr>
      <w:r w:rsidRPr="00B4462C">
        <w:rPr>
          <w:sz w:val="22"/>
          <w:szCs w:val="22"/>
          <w:lang w:val="sk-SK"/>
        </w:rPr>
        <w:t>V závažných prípadoch alebo ak pacient nie je schopný užívať tablety (napr. pacienti dostávajúci umelú výživu) sa odporúča začať liečbu ciprofloxacínom intravenózne a pokračovať s intravenóznym podávaním, kým nie je možný prechod na perorálnu formu.</w:t>
      </w:r>
    </w:p>
    <w:p w14:paraId="3FAF5495" w14:textId="77777777" w:rsidR="00CF3670" w:rsidRPr="00B4462C" w:rsidRDefault="00CF3670" w:rsidP="00B65191">
      <w:pPr>
        <w:widowControl w:val="0"/>
        <w:rPr>
          <w:b/>
          <w:sz w:val="22"/>
          <w:szCs w:val="22"/>
          <w:lang w:val="sk-SK"/>
        </w:rPr>
      </w:pPr>
    </w:p>
    <w:p w14:paraId="444CAD19" w14:textId="77777777" w:rsidR="00CF3670" w:rsidRPr="00B4462C" w:rsidRDefault="00CF3670" w:rsidP="00B65191">
      <w:pPr>
        <w:widowControl w:val="0"/>
        <w:tabs>
          <w:tab w:val="left" w:pos="567"/>
        </w:tabs>
        <w:rPr>
          <w:b/>
          <w:bCs/>
          <w:sz w:val="22"/>
          <w:szCs w:val="22"/>
          <w:lang w:val="sk-SK"/>
        </w:rPr>
      </w:pPr>
      <w:r w:rsidRPr="00B4462C">
        <w:rPr>
          <w:b/>
          <w:sz w:val="22"/>
          <w:szCs w:val="22"/>
          <w:lang w:val="sk-SK"/>
        </w:rPr>
        <w:t>4.3</w:t>
      </w:r>
      <w:r w:rsidRPr="00B4462C">
        <w:rPr>
          <w:b/>
          <w:sz w:val="22"/>
          <w:szCs w:val="22"/>
          <w:lang w:val="sk-SK"/>
        </w:rPr>
        <w:tab/>
        <w:t>Kontraindikácie</w:t>
      </w:r>
    </w:p>
    <w:p w14:paraId="4C99712C" w14:textId="77777777" w:rsidR="00CF3670" w:rsidRPr="00B4462C" w:rsidRDefault="00CF3670" w:rsidP="00B65191">
      <w:pPr>
        <w:widowControl w:val="0"/>
        <w:rPr>
          <w:b/>
          <w:sz w:val="22"/>
          <w:szCs w:val="22"/>
          <w:lang w:val="sk-SK"/>
        </w:rPr>
      </w:pPr>
    </w:p>
    <w:p w14:paraId="35977DB3" w14:textId="77777777" w:rsidR="00CF3670" w:rsidRPr="00FC60DC" w:rsidRDefault="00CF3670" w:rsidP="003A5431">
      <w:pPr>
        <w:numPr>
          <w:ilvl w:val="0"/>
          <w:numId w:val="8"/>
        </w:numPr>
        <w:tabs>
          <w:tab w:val="num" w:pos="540"/>
        </w:tabs>
        <w:ind w:left="540" w:hanging="540"/>
        <w:rPr>
          <w:color w:val="000000"/>
          <w:sz w:val="22"/>
          <w:szCs w:val="22"/>
          <w:lang w:val="sk-SK"/>
        </w:rPr>
      </w:pPr>
      <w:r w:rsidRPr="00B4462C">
        <w:rPr>
          <w:color w:val="000000"/>
          <w:sz w:val="22"/>
          <w:szCs w:val="22"/>
          <w:lang w:val="sk-SK"/>
        </w:rPr>
        <w:t xml:space="preserve">Precitlivenosť na liečivo, iné chinolóny alebo na ktorúkoľvek z pomocných </w:t>
      </w:r>
      <w:r w:rsidRPr="000F4320">
        <w:rPr>
          <w:color w:val="000000"/>
          <w:sz w:val="22"/>
          <w:szCs w:val="22"/>
          <w:lang w:val="sk-SK"/>
        </w:rPr>
        <w:t xml:space="preserve">látok </w:t>
      </w:r>
      <w:r w:rsidRPr="00F30477">
        <w:rPr>
          <w:color w:val="000000"/>
          <w:sz w:val="22"/>
          <w:szCs w:val="22"/>
          <w:lang w:val="sk-SK"/>
        </w:rPr>
        <w:t xml:space="preserve">uvedených v časti </w:t>
      </w:r>
      <w:r w:rsidRPr="00FC60DC">
        <w:rPr>
          <w:color w:val="000000"/>
          <w:sz w:val="22"/>
          <w:szCs w:val="22"/>
          <w:lang w:val="sk-SK"/>
        </w:rPr>
        <w:t>6.1.</w:t>
      </w:r>
    </w:p>
    <w:p w14:paraId="0FBE1844" w14:textId="77777777" w:rsidR="00CF3670" w:rsidRPr="00B4462C" w:rsidRDefault="00CF3670" w:rsidP="00FC60DC">
      <w:pPr>
        <w:tabs>
          <w:tab w:val="left" w:pos="540"/>
        </w:tabs>
        <w:rPr>
          <w:b/>
          <w:sz w:val="22"/>
          <w:szCs w:val="22"/>
          <w:lang w:val="sk-SK"/>
        </w:rPr>
      </w:pPr>
      <w:r w:rsidRPr="00B4462C">
        <w:rPr>
          <w:color w:val="000000"/>
          <w:sz w:val="22"/>
          <w:szCs w:val="22"/>
          <w:lang w:val="sk-SK"/>
        </w:rPr>
        <w:t>-</w:t>
      </w:r>
      <w:r w:rsidRPr="00B4462C">
        <w:rPr>
          <w:color w:val="000000"/>
          <w:sz w:val="22"/>
          <w:szCs w:val="22"/>
          <w:lang w:val="sk-SK"/>
        </w:rPr>
        <w:tab/>
        <w:t>Súbežné podávanie ciprofloxacínu a tizanidínu (pozri časť 4.5).</w:t>
      </w:r>
      <w:r w:rsidRPr="00B4462C">
        <w:rPr>
          <w:color w:val="000000"/>
          <w:sz w:val="22"/>
          <w:szCs w:val="22"/>
          <w:lang w:val="sk-SK"/>
        </w:rPr>
        <w:br/>
      </w:r>
    </w:p>
    <w:p w14:paraId="0AB5B32F" w14:textId="77777777" w:rsidR="00CF3670" w:rsidRPr="00B4462C" w:rsidRDefault="00CF3670" w:rsidP="00B65191">
      <w:pPr>
        <w:keepNext/>
        <w:widowControl w:val="0"/>
        <w:tabs>
          <w:tab w:val="left" w:pos="567"/>
        </w:tabs>
        <w:rPr>
          <w:b/>
          <w:sz w:val="22"/>
          <w:szCs w:val="22"/>
          <w:lang w:val="sk-SK"/>
        </w:rPr>
      </w:pPr>
      <w:r w:rsidRPr="00B4462C">
        <w:rPr>
          <w:b/>
          <w:sz w:val="22"/>
          <w:szCs w:val="22"/>
          <w:lang w:val="sk-SK"/>
        </w:rPr>
        <w:t>4.4</w:t>
      </w:r>
      <w:r w:rsidRPr="00B4462C">
        <w:rPr>
          <w:b/>
          <w:sz w:val="22"/>
          <w:szCs w:val="22"/>
          <w:lang w:val="sk-SK"/>
        </w:rPr>
        <w:tab/>
        <w:t>Osobitné upozornenia a opatrenia pri používaní</w:t>
      </w:r>
    </w:p>
    <w:p w14:paraId="77A7DAAD" w14:textId="77777777" w:rsidR="00CF3670" w:rsidRDefault="00CF3670" w:rsidP="00B65191">
      <w:pPr>
        <w:widowControl w:val="0"/>
        <w:rPr>
          <w:sz w:val="22"/>
          <w:szCs w:val="22"/>
          <w:lang w:val="sk-SK"/>
        </w:rPr>
      </w:pPr>
    </w:p>
    <w:p w14:paraId="7D7D1F6C" w14:textId="6D3B46FD" w:rsidR="00261F62" w:rsidRDefault="00261F62" w:rsidP="00B65191">
      <w:pPr>
        <w:widowControl w:val="0"/>
        <w:rPr>
          <w:sz w:val="22"/>
          <w:szCs w:val="22"/>
          <w:lang w:val="sk-SK"/>
        </w:rPr>
      </w:pPr>
      <w:r w:rsidRPr="00261F62">
        <w:rPr>
          <w:sz w:val="22"/>
          <w:szCs w:val="22"/>
          <w:lang w:val="sk-SK"/>
        </w:rPr>
        <w:t xml:space="preserve">U pacientov, u ktorých sa v minulosti pri používaní liekov obsahujúcich chinolón alebo fluórchinolón vyskytli závažné nežiaduce reakcie, je potrebné vyhnúť sa </w:t>
      </w:r>
      <w:r w:rsidRPr="00576641">
        <w:rPr>
          <w:sz w:val="22"/>
          <w:szCs w:val="22"/>
          <w:lang w:val="sk-SK"/>
        </w:rPr>
        <w:t xml:space="preserve">používaniu </w:t>
      </w:r>
      <w:r w:rsidR="008718F2" w:rsidRPr="00576641">
        <w:rPr>
          <w:sz w:val="22"/>
          <w:szCs w:val="22"/>
          <w:lang w:val="sk-SK"/>
        </w:rPr>
        <w:t xml:space="preserve">ciprofloxacínu </w:t>
      </w:r>
      <w:r w:rsidRPr="00576641">
        <w:rPr>
          <w:sz w:val="22"/>
          <w:szCs w:val="22"/>
          <w:lang w:val="sk-SK"/>
        </w:rPr>
        <w:t>(</w:t>
      </w:r>
      <w:r w:rsidRPr="00261F62">
        <w:rPr>
          <w:sz w:val="22"/>
          <w:szCs w:val="22"/>
          <w:lang w:val="sk-SK"/>
        </w:rPr>
        <w:t xml:space="preserve">pozri časť 4.8). U týchto pacientov sa má liečba </w:t>
      </w:r>
      <w:r w:rsidR="00B32D6A">
        <w:rPr>
          <w:sz w:val="22"/>
          <w:szCs w:val="22"/>
          <w:lang w:val="sk-SK"/>
        </w:rPr>
        <w:t xml:space="preserve">ciprofloxacínom </w:t>
      </w:r>
      <w:r w:rsidRPr="00261F62">
        <w:rPr>
          <w:sz w:val="22"/>
          <w:szCs w:val="22"/>
          <w:lang w:val="sk-SK"/>
        </w:rPr>
        <w:t>začať len vtedy, ak nie sú dostupné alternatívne možnosti liečby a po dôkladnom posúdení prínosu/rizika (pozri tiež časť 4.3).</w:t>
      </w:r>
    </w:p>
    <w:p w14:paraId="442B66BF" w14:textId="77777777" w:rsidR="00261F62" w:rsidRPr="00B4462C" w:rsidRDefault="00261F62" w:rsidP="00B65191">
      <w:pPr>
        <w:widowControl w:val="0"/>
        <w:rPr>
          <w:sz w:val="22"/>
          <w:szCs w:val="22"/>
          <w:lang w:val="sk-SK"/>
        </w:rPr>
      </w:pPr>
    </w:p>
    <w:p w14:paraId="5011989C" w14:textId="77777777" w:rsidR="00CF3670" w:rsidRPr="00B4462C" w:rsidRDefault="00CF3670" w:rsidP="003A5431">
      <w:pPr>
        <w:rPr>
          <w:i/>
          <w:sz w:val="22"/>
          <w:szCs w:val="22"/>
          <w:lang w:val="sk-SK"/>
        </w:rPr>
      </w:pPr>
      <w:r w:rsidRPr="00B4462C">
        <w:rPr>
          <w:i/>
          <w:sz w:val="22"/>
          <w:szCs w:val="22"/>
          <w:lang w:val="sk-SK"/>
        </w:rPr>
        <w:t>Závažné infekcie a zmiešané infekcie vyvolané grampozitívnymi a anaeróbnymi patogénmi</w:t>
      </w:r>
    </w:p>
    <w:p w14:paraId="4E186FBD" w14:textId="77777777" w:rsidR="00CF3670" w:rsidRPr="00B4462C" w:rsidRDefault="00CF3670" w:rsidP="003A5431">
      <w:pPr>
        <w:rPr>
          <w:sz w:val="22"/>
          <w:szCs w:val="22"/>
          <w:lang w:val="sk-SK"/>
        </w:rPr>
      </w:pPr>
      <w:r w:rsidRPr="00B4462C">
        <w:rPr>
          <w:sz w:val="22"/>
          <w:szCs w:val="22"/>
          <w:lang w:val="sk-SK"/>
        </w:rPr>
        <w:t>Monoterapia ciprofloxacínom nie je vhodná na liečbu závažných infekcií a infekcií, ktoré mohli byť vyvolané grampozitívnymi alebo anaeróbnymi patogénmi. Pri týchto infekciách sa má ciprofloxacín podávať súbežne s ďalšími vhodnými antibiotikami.</w:t>
      </w:r>
    </w:p>
    <w:p w14:paraId="1A83820D" w14:textId="77777777" w:rsidR="00CF3670" w:rsidRPr="00B4462C" w:rsidRDefault="00CF3670" w:rsidP="003A5431">
      <w:pPr>
        <w:rPr>
          <w:sz w:val="22"/>
          <w:szCs w:val="22"/>
          <w:lang w:val="sk-SK"/>
        </w:rPr>
      </w:pPr>
    </w:p>
    <w:p w14:paraId="4220DEC6" w14:textId="77777777" w:rsidR="00CF3670" w:rsidRPr="00B4462C" w:rsidRDefault="00CF3670" w:rsidP="003A5431">
      <w:pPr>
        <w:rPr>
          <w:sz w:val="22"/>
          <w:szCs w:val="22"/>
          <w:lang w:val="sk-SK"/>
        </w:rPr>
      </w:pPr>
      <w:r w:rsidRPr="00B4462C">
        <w:rPr>
          <w:i/>
          <w:sz w:val="22"/>
          <w:szCs w:val="22"/>
          <w:lang w:val="sk-SK"/>
        </w:rPr>
        <w:t>Streptokokové infekcie (vrátane infekcií vyvolaných Streptococcus pneumoniae</w:t>
      </w:r>
      <w:r w:rsidRPr="00B4462C">
        <w:rPr>
          <w:sz w:val="22"/>
          <w:szCs w:val="22"/>
          <w:lang w:val="sk-SK"/>
        </w:rPr>
        <w:t>)</w:t>
      </w:r>
    </w:p>
    <w:p w14:paraId="020F38A9" w14:textId="77777777" w:rsidR="00CF3670" w:rsidRPr="00B4462C" w:rsidRDefault="00CF3670" w:rsidP="003A5431">
      <w:pPr>
        <w:rPr>
          <w:sz w:val="22"/>
          <w:szCs w:val="22"/>
          <w:lang w:val="sk-SK"/>
        </w:rPr>
      </w:pPr>
      <w:r w:rsidRPr="00B4462C">
        <w:rPr>
          <w:sz w:val="22"/>
          <w:szCs w:val="22"/>
          <w:lang w:val="sk-SK"/>
        </w:rPr>
        <w:t>Ciprofloxacín sa neodporúča podávať na liečbu streptokokových infekcií kvôli nedostatočnej účinnosti.</w:t>
      </w:r>
    </w:p>
    <w:p w14:paraId="1CFD5FFF" w14:textId="77777777" w:rsidR="00CF3670" w:rsidRPr="00B4462C" w:rsidRDefault="00CF3670" w:rsidP="003A5431">
      <w:pPr>
        <w:rPr>
          <w:sz w:val="22"/>
          <w:szCs w:val="22"/>
          <w:lang w:val="sk-SK"/>
        </w:rPr>
      </w:pPr>
    </w:p>
    <w:p w14:paraId="3F5880BF" w14:textId="77777777" w:rsidR="00CF3670" w:rsidRPr="00B4462C" w:rsidRDefault="00CF3670" w:rsidP="003A5431">
      <w:pPr>
        <w:rPr>
          <w:i/>
          <w:sz w:val="22"/>
          <w:szCs w:val="22"/>
          <w:lang w:val="sk-SK"/>
        </w:rPr>
      </w:pPr>
      <w:r w:rsidRPr="00B4462C">
        <w:rPr>
          <w:i/>
          <w:sz w:val="22"/>
          <w:szCs w:val="22"/>
          <w:lang w:val="sk-SK"/>
        </w:rPr>
        <w:t>Infekcie pohlavných orgánov</w:t>
      </w:r>
    </w:p>
    <w:p w14:paraId="414FF854" w14:textId="161F3CB2" w:rsidR="00CF3670" w:rsidRDefault="00CF3670" w:rsidP="003A5431">
      <w:pPr>
        <w:rPr>
          <w:sz w:val="22"/>
          <w:szCs w:val="22"/>
          <w:lang w:val="sk-SK"/>
        </w:rPr>
      </w:pPr>
      <w:r>
        <w:rPr>
          <w:sz w:val="22"/>
          <w:szCs w:val="22"/>
          <w:lang w:val="sk-SK"/>
        </w:rPr>
        <w:t>Gonokoková uretritída, cervicitída, epididymo-orchitída a panvové zápalové ochorenia môžu byť spôsobené izolátmi</w:t>
      </w:r>
      <w:r w:rsidRPr="00705429">
        <w:rPr>
          <w:sz w:val="22"/>
          <w:szCs w:val="22"/>
          <w:lang w:val="sk-SK"/>
        </w:rPr>
        <w:t xml:space="preserve"> </w:t>
      </w:r>
      <w:r w:rsidR="00FF42B8" w:rsidRPr="00FF42B8">
        <w:rPr>
          <w:sz w:val="22"/>
          <w:szCs w:val="22"/>
          <w:lang w:val="sk-SK"/>
        </w:rPr>
        <w:t>Neisseria gonorrhoeae</w:t>
      </w:r>
      <w:r>
        <w:rPr>
          <w:sz w:val="22"/>
          <w:szCs w:val="22"/>
          <w:lang w:val="sk-SK"/>
        </w:rPr>
        <w:t xml:space="preserve"> rezistentnými na </w:t>
      </w:r>
      <w:r w:rsidR="00DA279A">
        <w:rPr>
          <w:sz w:val="22"/>
          <w:szCs w:val="22"/>
          <w:lang w:val="sk-SK"/>
        </w:rPr>
        <w:t>fluórchin</w:t>
      </w:r>
      <w:r>
        <w:rPr>
          <w:sz w:val="22"/>
          <w:szCs w:val="22"/>
          <w:lang w:val="sk-SK"/>
        </w:rPr>
        <w:t>olony.</w:t>
      </w:r>
    </w:p>
    <w:p w14:paraId="33F6794C" w14:textId="77777777" w:rsidR="00CF3670" w:rsidRDefault="00CF3670" w:rsidP="003A5431">
      <w:pPr>
        <w:rPr>
          <w:sz w:val="22"/>
          <w:szCs w:val="22"/>
          <w:lang w:val="sk-SK"/>
        </w:rPr>
      </w:pPr>
    </w:p>
    <w:p w14:paraId="119816BA" w14:textId="77777777" w:rsidR="00CF3670" w:rsidRDefault="00CF3670" w:rsidP="003A5431">
      <w:pPr>
        <w:rPr>
          <w:sz w:val="22"/>
          <w:szCs w:val="22"/>
          <w:lang w:val="sk-SK"/>
        </w:rPr>
      </w:pPr>
      <w:r>
        <w:rPr>
          <w:sz w:val="22"/>
          <w:szCs w:val="22"/>
          <w:lang w:val="sk-SK"/>
        </w:rPr>
        <w:t>Z toho dôvodu, sa má ciprofloxacín  podávať na liečbu gonokokovej uretritídy alebo cervicitídy iba ak prítomnosť</w:t>
      </w:r>
      <w:r w:rsidR="00FF42B8" w:rsidRPr="00FF42B8">
        <w:rPr>
          <w:sz w:val="22"/>
          <w:szCs w:val="22"/>
          <w:lang w:val="sk-SK"/>
        </w:rPr>
        <w:t>ciprofloxac</w:t>
      </w:r>
      <w:r>
        <w:rPr>
          <w:sz w:val="22"/>
          <w:szCs w:val="22"/>
          <w:lang w:val="sk-SK"/>
        </w:rPr>
        <w:t>í</w:t>
      </w:r>
      <w:r w:rsidR="00FF42B8" w:rsidRPr="00FF42B8">
        <w:rPr>
          <w:sz w:val="22"/>
          <w:szCs w:val="22"/>
          <w:lang w:val="sk-SK"/>
        </w:rPr>
        <w:t>n-re</w:t>
      </w:r>
      <w:r>
        <w:rPr>
          <w:sz w:val="22"/>
          <w:szCs w:val="22"/>
          <w:lang w:val="sk-SK"/>
        </w:rPr>
        <w:t>z</w:t>
      </w:r>
      <w:r w:rsidR="00FF42B8" w:rsidRPr="00FF42B8">
        <w:rPr>
          <w:sz w:val="22"/>
          <w:szCs w:val="22"/>
          <w:lang w:val="sk-SK"/>
        </w:rPr>
        <w:t>ist</w:t>
      </w:r>
      <w:r w:rsidR="001118D8">
        <w:rPr>
          <w:sz w:val="22"/>
          <w:szCs w:val="22"/>
          <w:lang w:val="sk-SK"/>
        </w:rPr>
        <w:t>e</w:t>
      </w:r>
      <w:r w:rsidR="00FF42B8" w:rsidRPr="00FF42B8">
        <w:rPr>
          <w:sz w:val="22"/>
          <w:szCs w:val="22"/>
          <w:lang w:val="sk-SK"/>
        </w:rPr>
        <w:t>nt</w:t>
      </w:r>
      <w:r>
        <w:rPr>
          <w:sz w:val="22"/>
          <w:szCs w:val="22"/>
          <w:lang w:val="sk-SK"/>
        </w:rPr>
        <w:t xml:space="preserve">ných </w:t>
      </w:r>
      <w:r w:rsidR="00FF42B8" w:rsidRPr="00FF42B8">
        <w:rPr>
          <w:sz w:val="22"/>
          <w:szCs w:val="22"/>
          <w:lang w:val="sk-SK"/>
        </w:rPr>
        <w:t xml:space="preserve"> Neisseria gonorrhoeae</w:t>
      </w:r>
      <w:r>
        <w:rPr>
          <w:sz w:val="22"/>
          <w:szCs w:val="22"/>
          <w:lang w:val="sk-SK"/>
        </w:rPr>
        <w:t xml:space="preserve"> môže byť vylúčená.</w:t>
      </w:r>
    </w:p>
    <w:p w14:paraId="12ACA74E" w14:textId="77777777" w:rsidR="00CF3670" w:rsidRDefault="00CF3670" w:rsidP="003A5431">
      <w:pPr>
        <w:rPr>
          <w:sz w:val="22"/>
          <w:szCs w:val="22"/>
          <w:lang w:val="sk-SK"/>
        </w:rPr>
      </w:pPr>
    </w:p>
    <w:p w14:paraId="049B04A0" w14:textId="77777777" w:rsidR="00CF3670" w:rsidRDefault="00CF3670" w:rsidP="003A5431">
      <w:pPr>
        <w:rPr>
          <w:sz w:val="22"/>
          <w:szCs w:val="22"/>
          <w:lang w:val="sk-SK"/>
        </w:rPr>
      </w:pPr>
      <w:r>
        <w:rPr>
          <w:sz w:val="22"/>
          <w:szCs w:val="22"/>
          <w:lang w:val="sk-SK"/>
        </w:rPr>
        <w:t>Pre epididymo-orchitídu a panvové zápalové ochorenia, empirické podanie ciprofloxacínu sa má  zvážiť iba v kombinácii s inou vhodnou antibakteriálnou  látkou (napr. cefalosporínom)</w:t>
      </w:r>
      <w:r w:rsidR="001118D8">
        <w:rPr>
          <w:sz w:val="22"/>
          <w:szCs w:val="22"/>
          <w:lang w:val="sk-SK"/>
        </w:rPr>
        <w:t>,</w:t>
      </w:r>
      <w:r>
        <w:rPr>
          <w:sz w:val="22"/>
          <w:szCs w:val="22"/>
          <w:lang w:val="sk-SK"/>
        </w:rPr>
        <w:t xml:space="preserve"> pokiaľ prítomnosť </w:t>
      </w:r>
      <w:r w:rsidR="00FF42B8" w:rsidRPr="00FF42B8">
        <w:rPr>
          <w:sz w:val="22"/>
          <w:szCs w:val="22"/>
          <w:lang w:val="sk-SK"/>
        </w:rPr>
        <w:t>ciprofloxac</w:t>
      </w:r>
      <w:r>
        <w:rPr>
          <w:sz w:val="22"/>
          <w:szCs w:val="22"/>
          <w:lang w:val="sk-SK"/>
        </w:rPr>
        <w:t>í</w:t>
      </w:r>
      <w:r w:rsidR="00FF42B8" w:rsidRPr="00FF42B8">
        <w:rPr>
          <w:sz w:val="22"/>
          <w:szCs w:val="22"/>
          <w:lang w:val="sk-SK"/>
        </w:rPr>
        <w:t>n-re</w:t>
      </w:r>
      <w:r>
        <w:rPr>
          <w:sz w:val="22"/>
          <w:szCs w:val="22"/>
          <w:lang w:val="sk-SK"/>
        </w:rPr>
        <w:t>z</w:t>
      </w:r>
      <w:r w:rsidR="00FF42B8" w:rsidRPr="00FF42B8">
        <w:rPr>
          <w:sz w:val="22"/>
          <w:szCs w:val="22"/>
          <w:lang w:val="sk-SK"/>
        </w:rPr>
        <w:t>ist</w:t>
      </w:r>
      <w:r>
        <w:rPr>
          <w:sz w:val="22"/>
          <w:szCs w:val="22"/>
          <w:lang w:val="sk-SK"/>
        </w:rPr>
        <w:t>e</w:t>
      </w:r>
      <w:r w:rsidR="00FF42B8" w:rsidRPr="00FF42B8">
        <w:rPr>
          <w:sz w:val="22"/>
          <w:szCs w:val="22"/>
          <w:lang w:val="sk-SK"/>
        </w:rPr>
        <w:t>nt</w:t>
      </w:r>
      <w:r>
        <w:rPr>
          <w:sz w:val="22"/>
          <w:szCs w:val="22"/>
          <w:lang w:val="sk-SK"/>
        </w:rPr>
        <w:t>ných</w:t>
      </w:r>
      <w:r w:rsidR="00FF42B8" w:rsidRPr="00FF42B8">
        <w:rPr>
          <w:sz w:val="22"/>
          <w:szCs w:val="22"/>
          <w:lang w:val="sk-SK"/>
        </w:rPr>
        <w:t xml:space="preserve"> Neisseria gonorrhoeae</w:t>
      </w:r>
      <w:r>
        <w:rPr>
          <w:sz w:val="22"/>
          <w:szCs w:val="22"/>
          <w:lang w:val="sk-SK"/>
        </w:rPr>
        <w:t xml:space="preserve"> môže byť vylúčená. Ak sa nedosiahne klinické zlepšenie po 3 dňoch liečby, liečbu je nutné prehodnotiť.</w:t>
      </w:r>
    </w:p>
    <w:p w14:paraId="4A0D24D3" w14:textId="77777777" w:rsidR="00CF3670" w:rsidRDefault="00CF3670" w:rsidP="003A5431">
      <w:pPr>
        <w:rPr>
          <w:sz w:val="22"/>
          <w:szCs w:val="22"/>
          <w:lang w:val="sk-SK"/>
        </w:rPr>
      </w:pPr>
    </w:p>
    <w:p w14:paraId="754A7D0E" w14:textId="77777777" w:rsidR="00CF3670" w:rsidRDefault="00FF42B8" w:rsidP="003A5431">
      <w:pPr>
        <w:rPr>
          <w:i/>
          <w:sz w:val="22"/>
          <w:szCs w:val="22"/>
          <w:lang w:val="sk-SK"/>
        </w:rPr>
      </w:pPr>
      <w:r w:rsidRPr="00FF42B8">
        <w:rPr>
          <w:i/>
          <w:sz w:val="22"/>
          <w:szCs w:val="22"/>
          <w:lang w:val="sk-SK"/>
        </w:rPr>
        <w:t>Infekcie močových ciest</w:t>
      </w:r>
    </w:p>
    <w:p w14:paraId="45AC6A16" w14:textId="77777777" w:rsidR="00CF3670" w:rsidRDefault="00CF3670" w:rsidP="003A5431">
      <w:pPr>
        <w:rPr>
          <w:sz w:val="22"/>
          <w:szCs w:val="22"/>
          <w:lang w:val="sk-SK"/>
        </w:rPr>
      </w:pPr>
      <w:r>
        <w:rPr>
          <w:sz w:val="22"/>
          <w:szCs w:val="22"/>
          <w:lang w:val="sk-SK"/>
        </w:rPr>
        <w:t xml:space="preserve">Výskyt rezistencie na fluorichinolóny u bakterie </w:t>
      </w:r>
      <w:r w:rsidR="00FF42B8" w:rsidRPr="00FF42B8">
        <w:rPr>
          <w:sz w:val="22"/>
          <w:szCs w:val="22"/>
          <w:lang w:val="sk-SK"/>
        </w:rPr>
        <w:t>Escherichia coli</w:t>
      </w:r>
      <w:r>
        <w:rPr>
          <w:sz w:val="22"/>
          <w:szCs w:val="22"/>
          <w:lang w:val="sk-SK"/>
        </w:rPr>
        <w:t xml:space="preserve">, ktorá je najčastejším  patogénom , podieľajúcim sa na infekciách močových ciest, sa v krajinách Európskej únie odlišuje. Lekárom sa odporúča vziať do úvahy lokálnu prevalenciu rezistencie </w:t>
      </w:r>
      <w:r w:rsidR="00FF42B8" w:rsidRPr="00FF42B8">
        <w:rPr>
          <w:sz w:val="22"/>
          <w:szCs w:val="22"/>
          <w:lang w:val="sk-SK"/>
        </w:rPr>
        <w:t>Escherichia coli</w:t>
      </w:r>
      <w:r>
        <w:rPr>
          <w:sz w:val="22"/>
          <w:szCs w:val="22"/>
          <w:lang w:val="sk-SK"/>
        </w:rPr>
        <w:t xml:space="preserve"> na fluórochinolóny.</w:t>
      </w:r>
    </w:p>
    <w:p w14:paraId="026EAC55" w14:textId="77777777" w:rsidR="00CF3670" w:rsidRDefault="00CF3670" w:rsidP="003A5431">
      <w:pPr>
        <w:rPr>
          <w:sz w:val="22"/>
          <w:szCs w:val="22"/>
          <w:lang w:val="sk-SK"/>
        </w:rPr>
      </w:pPr>
    </w:p>
    <w:p w14:paraId="6AD5E04A" w14:textId="77777777" w:rsidR="00CF3670" w:rsidRPr="00F30310" w:rsidRDefault="00CF3670" w:rsidP="003A5431">
      <w:pPr>
        <w:rPr>
          <w:sz w:val="22"/>
          <w:szCs w:val="22"/>
          <w:lang w:val="sk-SK"/>
        </w:rPr>
      </w:pPr>
      <w:r>
        <w:rPr>
          <w:sz w:val="22"/>
          <w:szCs w:val="22"/>
          <w:lang w:val="sk-SK"/>
        </w:rPr>
        <w:t xml:space="preserve">Pri jednorázovej dávke ciprofloxacínu, ktorá môže byť použitá pri nekomplikovanej cystitíde  u pre-menopauzálnych žien sa predpokladá  nižšia účinnosť ako pri dlhšom  trvaní liečby. Uvedené je potrebné vziať do úvahy o to viac, pokiaľ ide o zvyšujúcu sa  rezistenciu </w:t>
      </w:r>
      <w:r w:rsidR="00FF42B8" w:rsidRPr="00FF42B8">
        <w:rPr>
          <w:sz w:val="22"/>
          <w:szCs w:val="22"/>
          <w:lang w:val="sk-SK"/>
        </w:rPr>
        <w:t>Escherichia coli</w:t>
      </w:r>
      <w:r>
        <w:rPr>
          <w:sz w:val="22"/>
          <w:szCs w:val="22"/>
          <w:lang w:val="sk-SK"/>
        </w:rPr>
        <w:t xml:space="preserve"> na fluorichinolóny.</w:t>
      </w:r>
    </w:p>
    <w:p w14:paraId="2A0A658E" w14:textId="77777777" w:rsidR="00CF3670" w:rsidRPr="00B4462C" w:rsidRDefault="00CF3670" w:rsidP="003A5431">
      <w:pPr>
        <w:rPr>
          <w:sz w:val="22"/>
          <w:szCs w:val="22"/>
          <w:lang w:val="sk-SK"/>
        </w:rPr>
      </w:pPr>
      <w:r>
        <w:rPr>
          <w:sz w:val="22"/>
          <w:szCs w:val="22"/>
          <w:lang w:val="sk-SK"/>
        </w:rPr>
        <w:t xml:space="preserve">  </w:t>
      </w:r>
    </w:p>
    <w:p w14:paraId="6BE6CDED" w14:textId="77777777" w:rsidR="00CF3670" w:rsidRPr="00B4462C" w:rsidRDefault="00CF3670" w:rsidP="003A5431">
      <w:pPr>
        <w:rPr>
          <w:i/>
          <w:sz w:val="22"/>
          <w:szCs w:val="22"/>
          <w:lang w:val="sk-SK"/>
        </w:rPr>
      </w:pPr>
      <w:r w:rsidRPr="00B4462C">
        <w:rPr>
          <w:i/>
          <w:sz w:val="22"/>
          <w:szCs w:val="22"/>
          <w:lang w:val="sk-SK"/>
        </w:rPr>
        <w:t>Intraabdominálne infekcie</w:t>
      </w:r>
    </w:p>
    <w:p w14:paraId="1076F908" w14:textId="77777777" w:rsidR="00CF3670" w:rsidRPr="00B4462C" w:rsidRDefault="00CF3670" w:rsidP="003A5431">
      <w:pPr>
        <w:rPr>
          <w:sz w:val="22"/>
          <w:szCs w:val="22"/>
          <w:lang w:val="sk-SK"/>
        </w:rPr>
      </w:pPr>
      <w:r w:rsidRPr="00B4462C">
        <w:rPr>
          <w:sz w:val="22"/>
          <w:szCs w:val="22"/>
          <w:lang w:val="sk-SK"/>
        </w:rPr>
        <w:t>O účinnosti ciprofloxacínu v liečbe intraabdominálnych infekcií po chirurgickom výkone sú len obmedzené údaje.</w:t>
      </w:r>
    </w:p>
    <w:p w14:paraId="3F3C6C2B" w14:textId="77777777" w:rsidR="00CF3670" w:rsidRPr="00B4462C" w:rsidRDefault="00CF3670" w:rsidP="003A5431">
      <w:pPr>
        <w:rPr>
          <w:sz w:val="22"/>
          <w:szCs w:val="22"/>
          <w:lang w:val="sk-SK"/>
        </w:rPr>
      </w:pPr>
    </w:p>
    <w:p w14:paraId="0C0E734F" w14:textId="77777777" w:rsidR="00CF3670" w:rsidRPr="00B4462C" w:rsidRDefault="00CF3670" w:rsidP="003A5431">
      <w:pPr>
        <w:rPr>
          <w:i/>
          <w:sz w:val="22"/>
          <w:szCs w:val="22"/>
          <w:lang w:val="sk-SK"/>
        </w:rPr>
      </w:pPr>
      <w:r w:rsidRPr="00B4462C">
        <w:rPr>
          <w:i/>
          <w:sz w:val="22"/>
          <w:szCs w:val="22"/>
          <w:lang w:val="sk-SK"/>
        </w:rPr>
        <w:t>Cestovateľská hnačka</w:t>
      </w:r>
    </w:p>
    <w:p w14:paraId="216A4E54" w14:textId="77777777" w:rsidR="00CF3670" w:rsidRPr="00B4462C" w:rsidRDefault="00CF3670" w:rsidP="003A5431">
      <w:pPr>
        <w:rPr>
          <w:sz w:val="22"/>
          <w:szCs w:val="22"/>
          <w:lang w:val="sk-SK"/>
        </w:rPr>
      </w:pPr>
      <w:r w:rsidRPr="00B4462C">
        <w:rPr>
          <w:sz w:val="22"/>
          <w:szCs w:val="22"/>
          <w:lang w:val="sk-SK"/>
        </w:rPr>
        <w:t>Pri voľbe liečby ciprofloxacínom sa má zohľadniť informácia o rezistencii ciprofloxacínu na patogény vyskytujúce sa v danej krajine.</w:t>
      </w:r>
    </w:p>
    <w:p w14:paraId="064BC1F0" w14:textId="77777777" w:rsidR="00CF3670" w:rsidRPr="00B4462C" w:rsidRDefault="00CF3670" w:rsidP="003A5431">
      <w:pPr>
        <w:rPr>
          <w:sz w:val="22"/>
          <w:szCs w:val="22"/>
          <w:lang w:val="sk-SK"/>
        </w:rPr>
      </w:pPr>
    </w:p>
    <w:p w14:paraId="235BCA5D" w14:textId="77777777" w:rsidR="00CF3670" w:rsidRPr="00B4462C" w:rsidRDefault="00CF3670" w:rsidP="003A5431">
      <w:pPr>
        <w:rPr>
          <w:i/>
          <w:sz w:val="22"/>
          <w:szCs w:val="22"/>
          <w:lang w:val="sk-SK"/>
        </w:rPr>
      </w:pPr>
      <w:r w:rsidRPr="00B4462C">
        <w:rPr>
          <w:i/>
          <w:sz w:val="22"/>
          <w:szCs w:val="22"/>
          <w:lang w:val="sk-SK"/>
        </w:rPr>
        <w:t>Infekcie kostí a kĺbov</w:t>
      </w:r>
    </w:p>
    <w:p w14:paraId="136F11C7" w14:textId="77777777" w:rsidR="00CF3670" w:rsidRPr="00B4462C" w:rsidRDefault="00CF3670" w:rsidP="003A5431">
      <w:pPr>
        <w:rPr>
          <w:sz w:val="22"/>
          <w:szCs w:val="22"/>
          <w:lang w:val="sk-SK"/>
        </w:rPr>
      </w:pPr>
      <w:r w:rsidRPr="00B4462C">
        <w:rPr>
          <w:sz w:val="22"/>
          <w:szCs w:val="22"/>
          <w:lang w:val="sk-SK"/>
        </w:rPr>
        <w:t xml:space="preserve">Ciprofloxacín sa má použiť v kombinácii s inými antibiotikami v závislosti od výsledkov mikrobiológie. </w:t>
      </w:r>
    </w:p>
    <w:p w14:paraId="2709B76B" w14:textId="77777777" w:rsidR="00CF3670" w:rsidRPr="00B4462C" w:rsidRDefault="00CF3670" w:rsidP="003A5431">
      <w:pPr>
        <w:rPr>
          <w:sz w:val="22"/>
          <w:szCs w:val="22"/>
          <w:lang w:val="sk-SK"/>
        </w:rPr>
      </w:pPr>
    </w:p>
    <w:p w14:paraId="3ACE3938" w14:textId="77777777" w:rsidR="00CF3670" w:rsidRPr="00B4462C" w:rsidRDefault="00CF3670" w:rsidP="003A5431">
      <w:pPr>
        <w:rPr>
          <w:i/>
          <w:sz w:val="22"/>
          <w:szCs w:val="22"/>
          <w:lang w:val="sk-SK"/>
        </w:rPr>
      </w:pPr>
      <w:r w:rsidRPr="00B4462C">
        <w:rPr>
          <w:i/>
          <w:sz w:val="22"/>
          <w:szCs w:val="22"/>
          <w:lang w:val="sk-SK"/>
        </w:rPr>
        <w:t>Inhalácia antraxu</w:t>
      </w:r>
    </w:p>
    <w:p w14:paraId="1475FFC6" w14:textId="77777777" w:rsidR="00CF3670" w:rsidRPr="00B4462C" w:rsidRDefault="00CF3670" w:rsidP="003A5431">
      <w:pPr>
        <w:rPr>
          <w:sz w:val="22"/>
          <w:szCs w:val="22"/>
          <w:lang w:val="sk-SK"/>
        </w:rPr>
      </w:pPr>
      <w:r w:rsidRPr="00B4462C">
        <w:rPr>
          <w:sz w:val="22"/>
          <w:szCs w:val="22"/>
          <w:lang w:val="sk-SK"/>
        </w:rPr>
        <w:t xml:space="preserve">Použitie u ľudí je založené na údajoch o citlivosti získaných </w:t>
      </w:r>
      <w:r w:rsidRPr="00B4462C">
        <w:rPr>
          <w:i/>
          <w:sz w:val="22"/>
          <w:szCs w:val="22"/>
          <w:lang w:val="sk-SK"/>
        </w:rPr>
        <w:t>in vitro</w:t>
      </w:r>
      <w:r w:rsidRPr="00B4462C">
        <w:rPr>
          <w:sz w:val="22"/>
          <w:szCs w:val="22"/>
          <w:lang w:val="sk-SK"/>
        </w:rPr>
        <w:t xml:space="preserve"> a experimentálnych údajoch na zvieratách spolu s obmedzenými údajmi u ľudí. Ošetrujúci lekári majú postupovať podľa národne a/alebo medzinárodne dohodnutých dokumentov týkajúcich sa liečby infekcie vyvolanej inhaláciou antraxu.</w:t>
      </w:r>
    </w:p>
    <w:p w14:paraId="0DE20E06" w14:textId="77777777" w:rsidR="00CF3670" w:rsidRPr="00B4462C" w:rsidRDefault="00CF3670" w:rsidP="00B65191">
      <w:pPr>
        <w:widowControl w:val="0"/>
        <w:rPr>
          <w:b/>
          <w:sz w:val="22"/>
          <w:szCs w:val="22"/>
          <w:lang w:val="sk-SK"/>
        </w:rPr>
      </w:pPr>
    </w:p>
    <w:p w14:paraId="3440AD69" w14:textId="77777777" w:rsidR="00CF3670" w:rsidRPr="00B4462C" w:rsidRDefault="00CF3670" w:rsidP="003A5431">
      <w:pPr>
        <w:rPr>
          <w:i/>
          <w:sz w:val="22"/>
          <w:szCs w:val="22"/>
          <w:lang w:val="sk-SK"/>
        </w:rPr>
      </w:pPr>
      <w:r w:rsidRPr="000F4320">
        <w:rPr>
          <w:i/>
          <w:sz w:val="22"/>
          <w:szCs w:val="22"/>
          <w:lang w:val="sk-SK"/>
        </w:rPr>
        <w:t>Pediatrická populácia</w:t>
      </w:r>
    </w:p>
    <w:p w14:paraId="30495596" w14:textId="77777777" w:rsidR="00CF3670" w:rsidRPr="00B4462C" w:rsidRDefault="00CF3670" w:rsidP="003A5431">
      <w:pPr>
        <w:rPr>
          <w:sz w:val="22"/>
          <w:szCs w:val="22"/>
          <w:lang w:val="sk-SK"/>
        </w:rPr>
      </w:pPr>
      <w:r w:rsidRPr="00B4462C">
        <w:rPr>
          <w:sz w:val="22"/>
          <w:szCs w:val="22"/>
          <w:lang w:val="sk-SK"/>
        </w:rPr>
        <w:t>Použitie ciprofloxacínu u detí a adolescentov má postupovať podľa dostupných oficiálnych odporúčaní.</w:t>
      </w:r>
    </w:p>
    <w:p w14:paraId="08651710" w14:textId="77777777" w:rsidR="00CF3670" w:rsidRPr="00B4462C" w:rsidRDefault="00CF3670" w:rsidP="003A5431">
      <w:pPr>
        <w:rPr>
          <w:sz w:val="22"/>
          <w:szCs w:val="22"/>
          <w:lang w:val="sk-SK"/>
        </w:rPr>
      </w:pPr>
      <w:r w:rsidRPr="00B4462C">
        <w:rPr>
          <w:sz w:val="22"/>
          <w:szCs w:val="22"/>
          <w:lang w:val="sk-SK"/>
        </w:rPr>
        <w:t>Liečbu ciprofloxacínom má začať len lekár so skúsenosťami s liečbou cystickej fibrózy a/alebo závažných infekcií u detí a adolescentov.</w:t>
      </w:r>
    </w:p>
    <w:p w14:paraId="293283CD" w14:textId="77777777" w:rsidR="00CF3670" w:rsidRPr="00B4462C" w:rsidRDefault="00CF3670" w:rsidP="003A5431">
      <w:pPr>
        <w:rPr>
          <w:sz w:val="22"/>
          <w:szCs w:val="22"/>
          <w:lang w:val="sk-SK"/>
        </w:rPr>
      </w:pPr>
    </w:p>
    <w:p w14:paraId="11F711CA" w14:textId="77777777" w:rsidR="00CF3670" w:rsidRPr="00B4462C" w:rsidRDefault="00CF3670" w:rsidP="003A5431">
      <w:pPr>
        <w:widowControl w:val="0"/>
        <w:rPr>
          <w:rFonts w:eastAsia="TimesNewRoman"/>
          <w:color w:val="000000"/>
          <w:sz w:val="22"/>
          <w:szCs w:val="22"/>
          <w:lang w:val="sk-SK"/>
        </w:rPr>
      </w:pPr>
      <w:r w:rsidRPr="00B4462C">
        <w:rPr>
          <w:sz w:val="22"/>
          <w:szCs w:val="22"/>
          <w:lang w:val="sk-SK"/>
        </w:rPr>
        <w:t>Dokázalo sa, že ciproflo</w:t>
      </w:r>
      <w:r w:rsidRPr="00B4462C">
        <w:rPr>
          <w:rFonts w:eastAsia="TimesNewRoman"/>
          <w:sz w:val="22"/>
          <w:szCs w:val="22"/>
          <w:lang w:val="sk-SK"/>
        </w:rPr>
        <w:t>xacín spôsobuje artropatiu v nosných kĺboch juvenilných zvierat</w:t>
      </w:r>
      <w:r w:rsidRPr="00B4462C">
        <w:rPr>
          <w:rFonts w:eastAsia="TimesNewRoman"/>
          <w:color w:val="000000"/>
          <w:sz w:val="22"/>
          <w:szCs w:val="22"/>
          <w:lang w:val="sk-SK"/>
        </w:rPr>
        <w:t>. Údaje o bezpečnosti z randomizovanej, dvojito zaslepenej štúdie zameranej na použitie ciprofloxacínu u detí (ciprofloxacín: n=335, priemerný vek = 6,3 rokov; porovnávacie lieky: n=349, priemerný vek = 6,2 rokov; vekové rozmedzie = 1 až 17 rokov) odhalili výskyt suspektnej s liečivom súvisiacej artropatie (rozpoznanej z klinických znakov a symptómov spojených s kĺbmi) ku dňu +42 u 7,2</w:t>
      </w:r>
      <w:r>
        <w:rPr>
          <w:rFonts w:eastAsia="TimesNewRoman"/>
          <w:color w:val="000000"/>
          <w:sz w:val="22"/>
          <w:szCs w:val="22"/>
          <w:lang w:val="sk-SK"/>
        </w:rPr>
        <w:t> </w:t>
      </w:r>
      <w:r w:rsidRPr="00B4462C">
        <w:rPr>
          <w:rFonts w:eastAsia="TimesNewRoman"/>
          <w:color w:val="000000"/>
          <w:sz w:val="22"/>
          <w:szCs w:val="22"/>
          <w:lang w:val="sk-SK"/>
        </w:rPr>
        <w:t>% a 4,6</w:t>
      </w:r>
      <w:r>
        <w:rPr>
          <w:rFonts w:eastAsia="TimesNewRoman"/>
          <w:color w:val="000000"/>
          <w:sz w:val="22"/>
          <w:szCs w:val="22"/>
          <w:lang w:val="sk-SK"/>
        </w:rPr>
        <w:t> </w:t>
      </w:r>
      <w:r w:rsidRPr="00B4462C">
        <w:rPr>
          <w:rFonts w:eastAsia="TimesNewRoman"/>
          <w:color w:val="000000"/>
          <w:sz w:val="22"/>
          <w:szCs w:val="22"/>
          <w:lang w:val="sk-SK"/>
        </w:rPr>
        <w:t>%. Výskyt artropatie súvisiacej s liečivom bol počas 1-ročného sledovania 9,0</w:t>
      </w:r>
      <w:r>
        <w:rPr>
          <w:rFonts w:eastAsia="TimesNewRoman"/>
          <w:color w:val="000000"/>
          <w:sz w:val="22"/>
          <w:szCs w:val="22"/>
          <w:lang w:val="sk-SK"/>
        </w:rPr>
        <w:t> </w:t>
      </w:r>
      <w:r w:rsidRPr="00B4462C">
        <w:rPr>
          <w:rFonts w:eastAsia="TimesNewRoman"/>
          <w:color w:val="000000"/>
          <w:sz w:val="22"/>
          <w:szCs w:val="22"/>
          <w:lang w:val="sk-SK"/>
        </w:rPr>
        <w:t>% a 5,7</w:t>
      </w:r>
      <w:r>
        <w:rPr>
          <w:rFonts w:eastAsia="TimesNewRoman"/>
          <w:color w:val="000000"/>
          <w:sz w:val="22"/>
          <w:szCs w:val="22"/>
          <w:lang w:val="sk-SK"/>
        </w:rPr>
        <w:t> </w:t>
      </w:r>
      <w:r w:rsidRPr="00B4462C">
        <w:rPr>
          <w:rFonts w:eastAsia="TimesNewRoman"/>
          <w:color w:val="000000"/>
          <w:sz w:val="22"/>
          <w:szCs w:val="22"/>
          <w:lang w:val="sk-SK"/>
        </w:rPr>
        <w:t>%. Zvýšenie výskytu suspektnej s liečivom súvisiacej artropatie v čase nebolo medzi skupinami štatisticky významné. Liečba má začať len po starostlivom zvážení prínosu oproti riziku, z dôvodu možných nežiaducich udalostí súvisiacich s kĺbmi a/alebo s okolitým tkanivom</w:t>
      </w:r>
      <w:r>
        <w:rPr>
          <w:rFonts w:eastAsia="TimesNewRoman"/>
          <w:color w:val="000000"/>
          <w:sz w:val="22"/>
          <w:szCs w:val="22"/>
          <w:lang w:val="sk-SK"/>
        </w:rPr>
        <w:t xml:space="preserve"> (pozri časť 4.8)</w:t>
      </w:r>
      <w:r w:rsidRPr="00B4462C">
        <w:rPr>
          <w:rFonts w:eastAsia="TimesNewRoman"/>
          <w:color w:val="000000"/>
          <w:sz w:val="22"/>
          <w:szCs w:val="22"/>
          <w:lang w:val="sk-SK"/>
        </w:rPr>
        <w:t>.</w:t>
      </w:r>
    </w:p>
    <w:p w14:paraId="4E721C58" w14:textId="77777777" w:rsidR="00CF3670" w:rsidRPr="00B4462C" w:rsidRDefault="00CF3670" w:rsidP="003A5431">
      <w:pPr>
        <w:rPr>
          <w:sz w:val="22"/>
          <w:szCs w:val="22"/>
          <w:lang w:val="sk-SK"/>
        </w:rPr>
      </w:pPr>
    </w:p>
    <w:p w14:paraId="0AB62B06" w14:textId="77777777" w:rsidR="00CF3670" w:rsidRPr="00B4462C" w:rsidRDefault="00CF3670" w:rsidP="003A5431">
      <w:pPr>
        <w:widowControl w:val="0"/>
        <w:rPr>
          <w:rFonts w:eastAsia="TimesNewRoman"/>
          <w:i/>
          <w:color w:val="000000"/>
          <w:sz w:val="22"/>
          <w:szCs w:val="22"/>
          <w:lang w:val="sk-SK"/>
        </w:rPr>
      </w:pPr>
      <w:r w:rsidRPr="00B4462C">
        <w:rPr>
          <w:rFonts w:eastAsia="TimesNewRoman"/>
          <w:i/>
          <w:color w:val="000000"/>
          <w:sz w:val="22"/>
          <w:szCs w:val="22"/>
          <w:lang w:val="sk-SK"/>
        </w:rPr>
        <w:t>Broncho-pulmonálne infekcie pri cystickej fibróze</w:t>
      </w:r>
    </w:p>
    <w:p w14:paraId="099D2A7F" w14:textId="77777777" w:rsidR="00CF3670" w:rsidRPr="00B4462C" w:rsidRDefault="00CF3670" w:rsidP="003A5431">
      <w:pPr>
        <w:widowControl w:val="0"/>
        <w:rPr>
          <w:rFonts w:eastAsia="TimesNewRoman"/>
          <w:color w:val="000000"/>
          <w:sz w:val="22"/>
          <w:szCs w:val="22"/>
          <w:lang w:val="sk-SK"/>
        </w:rPr>
      </w:pPr>
      <w:r w:rsidRPr="00B4462C">
        <w:rPr>
          <w:rFonts w:eastAsia="TimesNewRoman"/>
          <w:color w:val="000000"/>
          <w:sz w:val="22"/>
          <w:szCs w:val="22"/>
          <w:lang w:val="sk-SK"/>
        </w:rPr>
        <w:t>Klinické skúšania zahŕňali deti a adolescentov vo veku 5</w:t>
      </w:r>
      <w:r w:rsidRPr="00B4462C">
        <w:rPr>
          <w:rFonts w:eastAsia="TimesNewRoman"/>
          <w:color w:val="000000"/>
          <w:sz w:val="22"/>
          <w:szCs w:val="22"/>
          <w:lang w:val="sk-SK"/>
        </w:rPr>
        <w:noBreakHyphen/>
        <w:t xml:space="preserve">17 rokov. Obmedzenejšie skúsenosti sú s liečbou detí vo veku medzi 1 a 5 rokov. </w:t>
      </w:r>
    </w:p>
    <w:p w14:paraId="6D740F25" w14:textId="77777777" w:rsidR="00CF3670" w:rsidRPr="00B4462C" w:rsidRDefault="00CF3670" w:rsidP="003A5431">
      <w:pPr>
        <w:widowControl w:val="0"/>
        <w:rPr>
          <w:rFonts w:eastAsia="TimesNewRoman"/>
          <w:color w:val="000000"/>
          <w:sz w:val="22"/>
          <w:szCs w:val="22"/>
          <w:lang w:val="sk-SK"/>
        </w:rPr>
      </w:pPr>
    </w:p>
    <w:p w14:paraId="1875E373" w14:textId="77777777" w:rsidR="00CF3670" w:rsidRPr="00B4462C" w:rsidRDefault="00CF3670" w:rsidP="003A5431">
      <w:pPr>
        <w:widowControl w:val="0"/>
        <w:rPr>
          <w:rFonts w:eastAsia="TimesNewRoman"/>
          <w:i/>
          <w:color w:val="000000"/>
          <w:sz w:val="22"/>
          <w:szCs w:val="22"/>
          <w:lang w:val="sk-SK"/>
        </w:rPr>
      </w:pPr>
      <w:r w:rsidRPr="00B4462C">
        <w:rPr>
          <w:rFonts w:eastAsia="TimesNewRoman"/>
          <w:i/>
          <w:color w:val="000000"/>
          <w:sz w:val="22"/>
          <w:szCs w:val="22"/>
          <w:lang w:val="sk-SK"/>
        </w:rPr>
        <w:t>Komplikované infekcie močových ciest a pyelonefritída</w:t>
      </w:r>
    </w:p>
    <w:p w14:paraId="7DA3608E" w14:textId="77777777" w:rsidR="00CF3670" w:rsidRPr="00B4462C" w:rsidRDefault="00CF3670" w:rsidP="003A5431">
      <w:pPr>
        <w:widowControl w:val="0"/>
        <w:rPr>
          <w:rFonts w:eastAsia="TimesNewRoman"/>
          <w:color w:val="000000"/>
          <w:sz w:val="22"/>
          <w:szCs w:val="22"/>
          <w:lang w:val="sk-SK"/>
        </w:rPr>
      </w:pPr>
      <w:r w:rsidRPr="00B4462C">
        <w:rPr>
          <w:rFonts w:eastAsia="TimesNewRoman"/>
          <w:color w:val="000000"/>
          <w:sz w:val="22"/>
          <w:szCs w:val="22"/>
          <w:lang w:val="sk-SK"/>
        </w:rPr>
        <w:t>O liečbe infekcií močových ciest s ciprofloxacínom sa má uvažovať keď nie je možné použiť iné liečby a liečba má byť založená na výsledkoch mikrobiológie. Klinické skúšania zahŕňali deti a adolescentov vo veku 1</w:t>
      </w:r>
      <w:r w:rsidRPr="00B4462C">
        <w:rPr>
          <w:rFonts w:eastAsia="TimesNewRoman"/>
          <w:color w:val="000000"/>
          <w:sz w:val="22"/>
          <w:szCs w:val="22"/>
          <w:lang w:val="sk-SK"/>
        </w:rPr>
        <w:noBreakHyphen/>
        <w:t>17 rokov.</w:t>
      </w:r>
    </w:p>
    <w:p w14:paraId="7FBC271C" w14:textId="77777777" w:rsidR="00CF3670" w:rsidRPr="00B4462C" w:rsidRDefault="00CF3670" w:rsidP="003A5431">
      <w:pPr>
        <w:widowControl w:val="0"/>
        <w:rPr>
          <w:rFonts w:eastAsia="TimesNewRoman"/>
          <w:color w:val="000000"/>
          <w:sz w:val="22"/>
          <w:szCs w:val="22"/>
          <w:lang w:val="sk-SK"/>
        </w:rPr>
      </w:pPr>
    </w:p>
    <w:p w14:paraId="14B958D6" w14:textId="77777777" w:rsidR="00A479C2" w:rsidRDefault="00A479C2">
      <w:pPr>
        <w:rPr>
          <w:rFonts w:eastAsia="TimesNewRoman"/>
          <w:i/>
          <w:color w:val="000000"/>
          <w:sz w:val="22"/>
          <w:szCs w:val="22"/>
          <w:lang w:val="sk-SK"/>
        </w:rPr>
      </w:pPr>
      <w:r>
        <w:rPr>
          <w:rFonts w:eastAsia="TimesNewRoman"/>
          <w:i/>
          <w:color w:val="000000"/>
          <w:sz w:val="22"/>
          <w:szCs w:val="22"/>
          <w:lang w:val="sk-SK"/>
        </w:rPr>
        <w:br w:type="page"/>
      </w:r>
    </w:p>
    <w:p w14:paraId="7035635E" w14:textId="63963698" w:rsidR="00CF3670" w:rsidRPr="00B4462C" w:rsidRDefault="00CF3670" w:rsidP="003A5431">
      <w:pPr>
        <w:widowControl w:val="0"/>
        <w:rPr>
          <w:rFonts w:eastAsia="TimesNewRoman"/>
          <w:i/>
          <w:color w:val="000000"/>
          <w:sz w:val="22"/>
          <w:szCs w:val="22"/>
          <w:lang w:val="sk-SK"/>
        </w:rPr>
      </w:pPr>
      <w:r w:rsidRPr="00B4462C">
        <w:rPr>
          <w:rFonts w:eastAsia="TimesNewRoman"/>
          <w:i/>
          <w:color w:val="000000"/>
          <w:sz w:val="22"/>
          <w:szCs w:val="22"/>
          <w:lang w:val="sk-SK"/>
        </w:rPr>
        <w:t xml:space="preserve">Iné špecifické závažné infekcie </w:t>
      </w:r>
    </w:p>
    <w:p w14:paraId="4B31F346" w14:textId="77777777" w:rsidR="00CF3670" w:rsidRPr="00B4462C" w:rsidRDefault="00CF3670" w:rsidP="003A5431">
      <w:pPr>
        <w:widowControl w:val="0"/>
        <w:rPr>
          <w:rFonts w:eastAsia="TimesNewRoman"/>
          <w:color w:val="000000"/>
          <w:sz w:val="22"/>
          <w:szCs w:val="22"/>
          <w:lang w:val="sk-SK"/>
        </w:rPr>
      </w:pPr>
      <w:r w:rsidRPr="00B4462C">
        <w:rPr>
          <w:rFonts w:eastAsia="TimesNewRoman"/>
          <w:color w:val="000000"/>
          <w:sz w:val="22"/>
          <w:szCs w:val="22"/>
          <w:lang w:val="sk-SK"/>
        </w:rPr>
        <w:t>Iné závažné infekcie sa majú liečiť podľa oficiálnych odporúčaní alebo po starostlivom zvážení pomeru rizika a prínosu, keď iné liečby nie je možné aplikovať alebo po zlyhaní konvenčnej liečby a ak mikrobiologické výsledky potvrdia použitie ciprofloxacínu.</w:t>
      </w:r>
    </w:p>
    <w:p w14:paraId="564EB472" w14:textId="77777777" w:rsidR="00CF3670" w:rsidRPr="00B4462C" w:rsidRDefault="00CF3670" w:rsidP="003A5431">
      <w:pPr>
        <w:widowControl w:val="0"/>
        <w:rPr>
          <w:rFonts w:eastAsia="TimesNewRoman"/>
          <w:color w:val="000000"/>
          <w:sz w:val="22"/>
          <w:szCs w:val="22"/>
          <w:lang w:val="sk-SK"/>
        </w:rPr>
      </w:pPr>
      <w:r w:rsidRPr="00B4462C">
        <w:rPr>
          <w:rFonts w:eastAsia="TimesNewRoman"/>
          <w:color w:val="000000"/>
          <w:sz w:val="22"/>
          <w:szCs w:val="22"/>
          <w:lang w:val="sk-SK"/>
        </w:rPr>
        <w:t>V klinických skúšaniach sa nehodnotilo použitie ciprofloxacínu na liečbu iných infekcií než sú vyššie uvedené a klinické skúsenosti sú obmedzené. Pri liečbe pacientov s týmito infekciami sa odporúča opatrnosť.</w:t>
      </w:r>
    </w:p>
    <w:p w14:paraId="246D6876" w14:textId="77777777" w:rsidR="00CF3670" w:rsidRDefault="00CF3670" w:rsidP="003A5431">
      <w:pPr>
        <w:widowControl w:val="0"/>
        <w:rPr>
          <w:rFonts w:eastAsia="TimesNewRoman"/>
          <w:color w:val="000000"/>
          <w:sz w:val="22"/>
          <w:szCs w:val="22"/>
          <w:lang w:val="sk-SK"/>
        </w:rPr>
      </w:pPr>
    </w:p>
    <w:p w14:paraId="144D31B0" w14:textId="77777777" w:rsidR="00A21337" w:rsidRDefault="00A21337" w:rsidP="00A21337">
      <w:pPr>
        <w:widowControl w:val="0"/>
        <w:rPr>
          <w:rFonts w:eastAsia="TimesNewRoman"/>
          <w:i/>
          <w:color w:val="000000"/>
          <w:sz w:val="22"/>
          <w:szCs w:val="22"/>
          <w:u w:val="single"/>
          <w:lang w:val="sk-SK"/>
        </w:rPr>
      </w:pPr>
    </w:p>
    <w:p w14:paraId="7077F6F7" w14:textId="4768288B" w:rsidR="00A21337" w:rsidRPr="00A75C0F" w:rsidRDefault="00A21337" w:rsidP="00A21337">
      <w:pPr>
        <w:widowControl w:val="0"/>
        <w:rPr>
          <w:rFonts w:eastAsia="TimesNewRoman"/>
          <w:i/>
          <w:color w:val="000000"/>
          <w:sz w:val="22"/>
          <w:szCs w:val="22"/>
          <w:u w:val="single"/>
          <w:lang w:val="sk-SK"/>
        </w:rPr>
      </w:pPr>
      <w:r w:rsidRPr="00A75C0F">
        <w:rPr>
          <w:rFonts w:eastAsia="TimesNewRoman"/>
          <w:i/>
          <w:color w:val="000000"/>
          <w:sz w:val="22"/>
          <w:szCs w:val="22"/>
          <w:u w:val="single"/>
          <w:lang w:val="sk-SK"/>
        </w:rPr>
        <w:t xml:space="preserve">Dlhotrvajúce, </w:t>
      </w:r>
      <w:r w:rsidR="00B32D6A" w:rsidRPr="00576641">
        <w:rPr>
          <w:rFonts w:eastAsia="TimesNewRoman"/>
          <w:i/>
          <w:color w:val="000000"/>
          <w:sz w:val="22"/>
          <w:szCs w:val="22"/>
          <w:u w:val="single"/>
          <w:lang w:val="sk-SK"/>
        </w:rPr>
        <w:t>invalidizujúce</w:t>
      </w:r>
      <w:r w:rsidRPr="00A75C0F">
        <w:rPr>
          <w:rFonts w:eastAsia="TimesNewRoman"/>
          <w:i/>
          <w:color w:val="000000"/>
          <w:sz w:val="22"/>
          <w:szCs w:val="22"/>
          <w:u w:val="single"/>
          <w:lang w:val="sk-SK"/>
        </w:rPr>
        <w:t xml:space="preserve"> a potenciálne ireverzibilné závažné nežiaduce liekové reakcie</w:t>
      </w:r>
    </w:p>
    <w:p w14:paraId="1E1A218B" w14:textId="12AEAA4D" w:rsidR="008718F2" w:rsidRPr="00A75C0F" w:rsidRDefault="00A21337" w:rsidP="008718F2">
      <w:pPr>
        <w:pStyle w:val="BodytextAgency"/>
        <w:rPr>
          <w:rFonts w:ascii="Times New Roman" w:hAnsi="Times New Roman" w:cs="Times New Roman"/>
          <w:sz w:val="22"/>
          <w:szCs w:val="22"/>
          <w:lang w:val="sk-SK"/>
        </w:rPr>
      </w:pPr>
      <w:r w:rsidRPr="00A75C0F">
        <w:rPr>
          <w:rFonts w:ascii="Times New Roman" w:eastAsia="TimesNewRoman" w:hAnsi="Times New Roman" w:cs="Times New Roman"/>
          <w:color w:val="000000"/>
          <w:sz w:val="22"/>
          <w:szCs w:val="22"/>
          <w:lang w:val="sk-SK"/>
        </w:rPr>
        <w:t xml:space="preserve">U pacientov liečených chinolónmi a fluórchinolónmi, boli nezávisle od ich veku a už existujúcich rizikových faktorov hlásené veľmi zriedkavé prípady dlhotrvajúcich (pokračujúcich mesiace alebo roky), </w:t>
      </w:r>
      <w:r w:rsidR="00B32D6A" w:rsidRPr="00A75C0F">
        <w:rPr>
          <w:rFonts w:ascii="Times New Roman" w:eastAsia="TimesNewRoman" w:hAnsi="Times New Roman" w:cs="Times New Roman"/>
          <w:color w:val="000000"/>
          <w:sz w:val="22"/>
          <w:szCs w:val="22"/>
          <w:lang w:val="sk-SK"/>
        </w:rPr>
        <w:t>invalidizujúcich</w:t>
      </w:r>
      <w:r w:rsidRPr="00A75C0F">
        <w:rPr>
          <w:rFonts w:ascii="Times New Roman" w:eastAsia="TimesNewRoman" w:hAnsi="Times New Roman" w:cs="Times New Roman"/>
          <w:color w:val="000000"/>
          <w:sz w:val="22"/>
          <w:szCs w:val="22"/>
          <w:lang w:val="sk-SK"/>
        </w:rPr>
        <w:t xml:space="preserve"> a potenciálne ireverzibilných závažných nežiaducich liekových reakcií postihujúcich rôzne, niekedy viaceré telesné systémy (muskuloskeletálny, nervový, psychický a zmyslový). Pri prvých prejavoch alebo príznakoch akejkoľvek závažnej nežiaducej reakcie sa má používanie </w:t>
      </w:r>
      <w:r w:rsidR="008718F2" w:rsidRPr="00A75C0F">
        <w:rPr>
          <w:rFonts w:ascii="Times New Roman" w:eastAsia="TimesNewRoman" w:hAnsi="Times New Roman" w:cs="Times New Roman"/>
          <w:color w:val="000000"/>
          <w:sz w:val="22"/>
          <w:szCs w:val="22"/>
          <w:lang w:val="sk-SK"/>
        </w:rPr>
        <w:t>c</w:t>
      </w:r>
      <w:r w:rsidRPr="00A75C0F">
        <w:rPr>
          <w:rFonts w:ascii="Times New Roman" w:eastAsia="TimesNewRoman" w:hAnsi="Times New Roman" w:cs="Times New Roman"/>
          <w:color w:val="000000"/>
          <w:sz w:val="22"/>
          <w:szCs w:val="22"/>
          <w:lang w:val="sk-SK"/>
        </w:rPr>
        <w:t xml:space="preserve">iproloxacinu ihneď </w:t>
      </w:r>
      <w:r w:rsidR="008537C0" w:rsidRPr="00A75C0F">
        <w:rPr>
          <w:rFonts w:ascii="Times New Roman" w:eastAsia="TimesNewRoman" w:hAnsi="Times New Roman" w:cs="Times New Roman"/>
          <w:color w:val="000000"/>
          <w:sz w:val="22"/>
          <w:szCs w:val="22"/>
          <w:lang w:val="sk-SK"/>
        </w:rPr>
        <w:t>ukonč</w:t>
      </w:r>
      <w:r w:rsidRPr="00A75C0F">
        <w:rPr>
          <w:rFonts w:ascii="Times New Roman" w:eastAsia="TimesNewRoman" w:hAnsi="Times New Roman" w:cs="Times New Roman"/>
          <w:color w:val="000000"/>
          <w:sz w:val="22"/>
          <w:szCs w:val="22"/>
          <w:lang w:val="sk-SK"/>
        </w:rPr>
        <w:t>iť</w:t>
      </w:r>
      <w:r w:rsidR="008718F2" w:rsidRPr="00A75C0F">
        <w:rPr>
          <w:rFonts w:ascii="Times New Roman" w:eastAsia="TimesNewRoman" w:hAnsi="Times New Roman" w:cs="Times New Roman"/>
          <w:color w:val="000000"/>
          <w:sz w:val="22"/>
          <w:szCs w:val="22"/>
          <w:lang w:val="sk-SK"/>
        </w:rPr>
        <w:t xml:space="preserve"> </w:t>
      </w:r>
      <w:r w:rsidR="008718F2" w:rsidRPr="00A75C0F">
        <w:rPr>
          <w:rFonts w:ascii="Times New Roman" w:hAnsi="Times New Roman" w:cs="Times New Roman"/>
          <w:color w:val="000000"/>
          <w:sz w:val="22"/>
          <w:szCs w:val="22"/>
          <w:lang w:val="sk-SK"/>
        </w:rPr>
        <w:t>a pacientom sa má odporučiť, aby kontaktovali svojho predpisujúceho lekára.</w:t>
      </w:r>
    </w:p>
    <w:p w14:paraId="454A4D41" w14:textId="78277E03" w:rsidR="00A21337" w:rsidRDefault="00A21337" w:rsidP="00A21337">
      <w:pPr>
        <w:widowControl w:val="0"/>
        <w:rPr>
          <w:rFonts w:eastAsia="TimesNewRoman"/>
          <w:color w:val="000000"/>
          <w:sz w:val="22"/>
          <w:szCs w:val="22"/>
          <w:lang w:val="sk-SK"/>
        </w:rPr>
      </w:pPr>
    </w:p>
    <w:p w14:paraId="4E828344" w14:textId="77777777" w:rsidR="00A21337" w:rsidRPr="00B4462C" w:rsidRDefault="00A21337" w:rsidP="00A21337">
      <w:pPr>
        <w:widowControl w:val="0"/>
        <w:rPr>
          <w:rFonts w:eastAsia="TimesNewRoman"/>
          <w:color w:val="000000"/>
          <w:sz w:val="22"/>
          <w:szCs w:val="22"/>
          <w:lang w:val="sk-SK"/>
        </w:rPr>
      </w:pPr>
    </w:p>
    <w:p w14:paraId="7FF29A92" w14:textId="77777777" w:rsidR="00CF3670" w:rsidRPr="00B4462C" w:rsidRDefault="00CF3670" w:rsidP="003A5431">
      <w:pPr>
        <w:widowControl w:val="0"/>
        <w:rPr>
          <w:rFonts w:eastAsia="TimesNewRoman"/>
          <w:i/>
          <w:color w:val="000000"/>
          <w:sz w:val="22"/>
          <w:szCs w:val="22"/>
          <w:lang w:val="sk-SK"/>
        </w:rPr>
      </w:pPr>
      <w:r w:rsidRPr="00B4462C">
        <w:rPr>
          <w:rFonts w:eastAsia="TimesNewRoman"/>
          <w:i/>
          <w:color w:val="000000"/>
          <w:sz w:val="22"/>
          <w:szCs w:val="22"/>
          <w:lang w:val="sk-SK"/>
        </w:rPr>
        <w:t>Hypersenzitivita</w:t>
      </w:r>
    </w:p>
    <w:p w14:paraId="1920CF33" w14:textId="77777777" w:rsidR="00CF3670" w:rsidRPr="00B4462C" w:rsidRDefault="00CF3670" w:rsidP="003A5431">
      <w:pPr>
        <w:widowControl w:val="0"/>
        <w:rPr>
          <w:color w:val="000000"/>
          <w:sz w:val="22"/>
          <w:szCs w:val="22"/>
          <w:lang w:val="sk-SK"/>
        </w:rPr>
      </w:pPr>
      <w:r w:rsidRPr="00B4462C">
        <w:rPr>
          <w:color w:val="000000"/>
          <w:sz w:val="22"/>
          <w:szCs w:val="22"/>
          <w:lang w:val="sk-SK"/>
        </w:rPr>
        <w:t>Po podaní jednorazovej dávky sa môže vyskytnúť hypersenzitivita a alergické reakcie, vrátane anafylaxie a anafylaktoidných reakcií (pozri časť 4.8) a tieto môžu byť život ohrozujúce. Ak sa takéto reakcie vyskytnú má sa liečba ciprofloxacínom prerušiť a má za začať s adekvátnou medicínskou liečbou.</w:t>
      </w:r>
    </w:p>
    <w:p w14:paraId="1AB98A42" w14:textId="77777777" w:rsidR="00CF3670" w:rsidRDefault="00CF3670" w:rsidP="003A5431">
      <w:pPr>
        <w:widowControl w:val="0"/>
        <w:rPr>
          <w:color w:val="000000"/>
          <w:sz w:val="22"/>
          <w:szCs w:val="22"/>
          <w:lang w:val="sk-SK"/>
        </w:rPr>
      </w:pPr>
    </w:p>
    <w:p w14:paraId="5AF9B854" w14:textId="77777777" w:rsidR="00CF3670" w:rsidRPr="00B4462C" w:rsidRDefault="00CF3670" w:rsidP="003A5431">
      <w:pPr>
        <w:widowControl w:val="0"/>
        <w:rPr>
          <w:rFonts w:eastAsia="TimesNewRoman"/>
          <w:i/>
          <w:color w:val="000000"/>
          <w:sz w:val="22"/>
          <w:szCs w:val="22"/>
          <w:lang w:val="sk-SK"/>
        </w:rPr>
      </w:pPr>
      <w:r w:rsidRPr="00B4462C">
        <w:rPr>
          <w:rFonts w:eastAsia="TimesNewRoman"/>
          <w:i/>
          <w:color w:val="000000"/>
          <w:sz w:val="22"/>
          <w:szCs w:val="22"/>
          <w:lang w:val="sk-SK"/>
        </w:rPr>
        <w:t>Muskuloskeletálny systém</w:t>
      </w:r>
    </w:p>
    <w:p w14:paraId="3D97E9CD" w14:textId="77777777" w:rsidR="00CF3670" w:rsidRDefault="00CF3670" w:rsidP="003A5431">
      <w:pPr>
        <w:rPr>
          <w:color w:val="000000"/>
          <w:sz w:val="22"/>
          <w:szCs w:val="22"/>
          <w:lang w:val="sk-SK"/>
        </w:rPr>
      </w:pPr>
      <w:r w:rsidRPr="00B4462C">
        <w:rPr>
          <w:color w:val="000000"/>
          <w:sz w:val="22"/>
          <w:szCs w:val="22"/>
          <w:lang w:val="sk-SK"/>
        </w:rPr>
        <w:t>Ciprofloxacín sa má používať s opatrnosťou u pacientov s</w:t>
      </w:r>
      <w:r>
        <w:rPr>
          <w:color w:val="000000"/>
          <w:sz w:val="22"/>
          <w:szCs w:val="22"/>
          <w:lang w:val="sk-SK"/>
        </w:rPr>
        <w:t> myastenia gravis, pretože symptómy sa môžu zhoršovať</w:t>
      </w:r>
      <w:r w:rsidRPr="00B4462C">
        <w:rPr>
          <w:color w:val="000000"/>
          <w:sz w:val="22"/>
          <w:szCs w:val="22"/>
          <w:lang w:val="sk-SK"/>
        </w:rPr>
        <w:t xml:space="preserve"> (pozri časť 4.8).</w:t>
      </w:r>
    </w:p>
    <w:p w14:paraId="07F12243" w14:textId="77777777" w:rsidR="00A00392" w:rsidRDefault="00A00392" w:rsidP="003A5431">
      <w:pPr>
        <w:rPr>
          <w:color w:val="000000"/>
          <w:sz w:val="22"/>
          <w:szCs w:val="22"/>
          <w:lang w:val="sk-SK"/>
        </w:rPr>
      </w:pPr>
    </w:p>
    <w:p w14:paraId="48BC0E13" w14:textId="77777777" w:rsidR="00A00392" w:rsidRPr="00A75C0F" w:rsidRDefault="00A00392" w:rsidP="00A00392">
      <w:pPr>
        <w:rPr>
          <w:i/>
          <w:color w:val="000000"/>
          <w:sz w:val="22"/>
          <w:szCs w:val="22"/>
          <w:lang w:val="sk-SK"/>
        </w:rPr>
      </w:pPr>
      <w:r w:rsidRPr="00A75C0F">
        <w:rPr>
          <w:i/>
          <w:color w:val="000000"/>
          <w:sz w:val="22"/>
          <w:szCs w:val="22"/>
          <w:lang w:val="sk-SK"/>
        </w:rPr>
        <w:t>Tendinitída a ruptúra šľachy</w:t>
      </w:r>
    </w:p>
    <w:p w14:paraId="7174CF68" w14:textId="77777777" w:rsidR="00A00392" w:rsidRPr="00A00392" w:rsidRDefault="00A00392" w:rsidP="00A00392">
      <w:pPr>
        <w:rPr>
          <w:color w:val="000000"/>
          <w:sz w:val="22"/>
          <w:szCs w:val="22"/>
          <w:lang w:val="sk-SK"/>
        </w:rPr>
      </w:pPr>
      <w:r w:rsidRPr="00A00392">
        <w:rPr>
          <w:color w:val="000000"/>
          <w:sz w:val="22"/>
          <w:szCs w:val="22"/>
          <w:lang w:val="sk-SK"/>
        </w:rPr>
        <w:t xml:space="preserve">Tendinitída a ruptúra šľachy (najmä, ale nie výlučne Achillovej šľachy), niekedy bilaterálne, sa môžu vyskytnúť už v priebehu 48 hodín po začatí liečby chinolónmi a fluórchinolónmi a ich výskyt bol hlásený aj po dobu niekoľkých mesiacov po prerušení liečby. Riziko tendinitídy a ruptúry šľachy je zvýšené u starších pacientov, u pacientov s poruchou </w:t>
      </w:r>
      <w:r>
        <w:rPr>
          <w:color w:val="000000"/>
          <w:sz w:val="22"/>
          <w:szCs w:val="22"/>
          <w:lang w:val="sk-SK"/>
        </w:rPr>
        <w:t xml:space="preserve">funkcie obličiek, u pacientov s </w:t>
      </w:r>
      <w:r w:rsidRPr="00A00392">
        <w:rPr>
          <w:color w:val="000000"/>
          <w:sz w:val="22"/>
          <w:szCs w:val="22"/>
          <w:lang w:val="sk-SK"/>
        </w:rPr>
        <w:t>transplantovanými orgánmi a u pacientov súbežne liečených kortikosteroidmi. Preto je potrebné vyhnúť sa súbežnému používaniu kortikosteroidov.</w:t>
      </w:r>
    </w:p>
    <w:p w14:paraId="2945C730" w14:textId="246DD31E" w:rsidR="00A00392" w:rsidRPr="00B4462C" w:rsidRDefault="00A00392" w:rsidP="00A00392">
      <w:pPr>
        <w:rPr>
          <w:color w:val="000000"/>
          <w:sz w:val="22"/>
          <w:szCs w:val="22"/>
          <w:lang w:val="sk-SK"/>
        </w:rPr>
      </w:pPr>
      <w:r w:rsidRPr="00A00392">
        <w:rPr>
          <w:color w:val="000000"/>
          <w:sz w:val="22"/>
          <w:szCs w:val="22"/>
          <w:lang w:val="sk-SK"/>
        </w:rPr>
        <w:t xml:space="preserve">Pri prvom prejave tendinitídy (napr. bolestivý opuch, zápal) sa má liečba </w:t>
      </w:r>
      <w:r w:rsidR="008718F2">
        <w:rPr>
          <w:color w:val="000000"/>
          <w:sz w:val="22"/>
          <w:szCs w:val="22"/>
          <w:lang w:val="sk-SK"/>
        </w:rPr>
        <w:t>ciprofloxacínom</w:t>
      </w:r>
      <w:r w:rsidRPr="00A00392">
        <w:rPr>
          <w:color w:val="000000"/>
          <w:sz w:val="22"/>
          <w:szCs w:val="22"/>
          <w:lang w:val="sk-SK"/>
        </w:rPr>
        <w:t xml:space="preserve"> </w:t>
      </w:r>
      <w:r w:rsidR="008718F2">
        <w:rPr>
          <w:color w:val="000000"/>
          <w:sz w:val="22"/>
          <w:szCs w:val="22"/>
          <w:lang w:val="sk-SK"/>
        </w:rPr>
        <w:t>ukonč</w:t>
      </w:r>
      <w:r w:rsidRPr="00A00392">
        <w:rPr>
          <w:color w:val="000000"/>
          <w:sz w:val="22"/>
          <w:szCs w:val="22"/>
          <w:lang w:val="sk-SK"/>
        </w:rPr>
        <w:t>iť a má sa zvážiť alternatívna liečba. Postihnutá (postihnuté) končatina (končatiny) sa má (majú) príslušne liečiť (napr. imobilizáciou). Pri výskyte prejavov tendinopatie sa kortikosteroidy nemajú používať.</w:t>
      </w:r>
    </w:p>
    <w:p w14:paraId="74F74065" w14:textId="77777777" w:rsidR="00CF3670" w:rsidRDefault="00CF3670" w:rsidP="003A5431">
      <w:pPr>
        <w:rPr>
          <w:color w:val="000000"/>
          <w:sz w:val="22"/>
          <w:szCs w:val="22"/>
          <w:lang w:val="sk-SK"/>
        </w:rPr>
      </w:pPr>
    </w:p>
    <w:p w14:paraId="4C6E593A" w14:textId="77777777" w:rsidR="00CF3670" w:rsidRPr="0010065E" w:rsidRDefault="00CF3670" w:rsidP="00C941DC">
      <w:pPr>
        <w:widowControl w:val="0"/>
        <w:rPr>
          <w:color w:val="000000"/>
          <w:sz w:val="22"/>
          <w:szCs w:val="22"/>
          <w:lang w:val="sk-SK"/>
        </w:rPr>
      </w:pPr>
      <w:r w:rsidRPr="00A75C0F">
        <w:rPr>
          <w:i/>
          <w:color w:val="000000"/>
          <w:sz w:val="22"/>
          <w:szCs w:val="22"/>
          <w:lang w:val="sk-SK"/>
        </w:rPr>
        <w:t>Poruchy videnia</w:t>
      </w:r>
    </w:p>
    <w:p w14:paraId="4061EDB2" w14:textId="77777777" w:rsidR="00CF3670" w:rsidRPr="00D97AEC" w:rsidRDefault="00CF3670" w:rsidP="00C941DC">
      <w:pPr>
        <w:widowControl w:val="0"/>
        <w:rPr>
          <w:color w:val="000000"/>
          <w:sz w:val="22"/>
          <w:szCs w:val="22"/>
          <w:lang w:val="sk-SK"/>
        </w:rPr>
      </w:pPr>
      <w:r w:rsidRPr="00FC60DC">
        <w:rPr>
          <w:color w:val="000000"/>
          <w:sz w:val="22"/>
          <w:szCs w:val="22"/>
          <w:lang w:val="sk-SK"/>
        </w:rPr>
        <w:t>Pri zhoršení videnia alebo pri spozorovaní akýchkoľvek účinkov na oči je potrebné sa okamžite poradiť s očným lekárom (pozri časť 4.8).</w:t>
      </w:r>
    </w:p>
    <w:p w14:paraId="07E8A786" w14:textId="77777777" w:rsidR="00CF3670" w:rsidRPr="00B4462C" w:rsidRDefault="00CF3670" w:rsidP="003A5431">
      <w:pPr>
        <w:rPr>
          <w:color w:val="000000"/>
          <w:sz w:val="22"/>
          <w:szCs w:val="22"/>
          <w:lang w:val="sk-SK"/>
        </w:rPr>
      </w:pPr>
    </w:p>
    <w:p w14:paraId="036F7BB4" w14:textId="77777777" w:rsidR="00CF3670" w:rsidRPr="00B4462C" w:rsidRDefault="00CF3670" w:rsidP="003A5431">
      <w:pPr>
        <w:rPr>
          <w:i/>
          <w:color w:val="000000"/>
          <w:sz w:val="22"/>
          <w:szCs w:val="22"/>
          <w:lang w:val="sk-SK"/>
        </w:rPr>
      </w:pPr>
      <w:r w:rsidRPr="00B4462C">
        <w:rPr>
          <w:i/>
          <w:color w:val="000000"/>
          <w:sz w:val="22"/>
          <w:szCs w:val="22"/>
          <w:lang w:val="sk-SK"/>
        </w:rPr>
        <w:t>Fotosenzitivita</w:t>
      </w:r>
    </w:p>
    <w:p w14:paraId="66E94875" w14:textId="77777777" w:rsidR="00CF3670" w:rsidRPr="00B4462C" w:rsidRDefault="00CF3670" w:rsidP="003A5431">
      <w:pPr>
        <w:rPr>
          <w:color w:val="000000"/>
          <w:sz w:val="22"/>
          <w:szCs w:val="22"/>
          <w:lang w:val="sk-SK"/>
        </w:rPr>
      </w:pPr>
      <w:r w:rsidRPr="00B4462C">
        <w:rPr>
          <w:color w:val="000000"/>
          <w:sz w:val="22"/>
          <w:szCs w:val="22"/>
          <w:lang w:val="sk-SK"/>
        </w:rPr>
        <w:t>Preukázalo sa, že ciprofloxacín vyvoláva fotosenzitívne reakcie. Pacienti užívajúci ciprofloxacín majú byť poučení, aby sa počas liečby ciprofloxacínom vyhli dlhšiemu vystavovaniu sa slnečným lúčom alebo UV žiareniu (pozri časť 4.8).</w:t>
      </w:r>
    </w:p>
    <w:p w14:paraId="1E8DA6D1" w14:textId="77777777" w:rsidR="00CF3670" w:rsidRPr="00B4462C" w:rsidRDefault="00CF3670" w:rsidP="003A5431">
      <w:pPr>
        <w:rPr>
          <w:color w:val="000000"/>
          <w:sz w:val="22"/>
          <w:szCs w:val="22"/>
          <w:lang w:val="sk-SK"/>
        </w:rPr>
      </w:pPr>
    </w:p>
    <w:p w14:paraId="3B45727F" w14:textId="77777777" w:rsidR="00CF3670" w:rsidRPr="00B4462C" w:rsidRDefault="00CF3670" w:rsidP="003A5431">
      <w:pPr>
        <w:rPr>
          <w:i/>
          <w:color w:val="000000"/>
          <w:sz w:val="22"/>
          <w:szCs w:val="22"/>
          <w:lang w:val="sk-SK"/>
        </w:rPr>
      </w:pPr>
      <w:r w:rsidRPr="00B4462C">
        <w:rPr>
          <w:i/>
          <w:color w:val="000000"/>
          <w:sz w:val="22"/>
          <w:szCs w:val="22"/>
          <w:lang w:val="sk-SK"/>
        </w:rPr>
        <w:t>Centrálny nervový systém (CNS)</w:t>
      </w:r>
    </w:p>
    <w:p w14:paraId="7246526B" w14:textId="77777777" w:rsidR="00CF3670" w:rsidRDefault="00CF3670" w:rsidP="003A5431">
      <w:pPr>
        <w:rPr>
          <w:color w:val="000000"/>
          <w:sz w:val="22"/>
          <w:szCs w:val="22"/>
          <w:lang w:val="sk-SK"/>
        </w:rPr>
      </w:pPr>
      <w:r w:rsidRPr="00B4462C">
        <w:rPr>
          <w:color w:val="000000"/>
          <w:sz w:val="22"/>
          <w:szCs w:val="22"/>
          <w:lang w:val="sk-SK"/>
        </w:rPr>
        <w:t>O</w:t>
      </w:r>
      <w:r>
        <w:rPr>
          <w:color w:val="000000"/>
          <w:sz w:val="22"/>
          <w:szCs w:val="22"/>
          <w:lang w:val="sk-SK"/>
        </w:rPr>
        <w:t> </w:t>
      </w:r>
      <w:r w:rsidRPr="00B4462C">
        <w:rPr>
          <w:color w:val="000000"/>
          <w:sz w:val="22"/>
          <w:szCs w:val="22"/>
          <w:lang w:val="sk-SK"/>
        </w:rPr>
        <w:t>ciprofloxacíne</w:t>
      </w:r>
      <w:r>
        <w:rPr>
          <w:color w:val="000000"/>
          <w:sz w:val="22"/>
          <w:szCs w:val="22"/>
          <w:lang w:val="sk-SK"/>
        </w:rPr>
        <w:t>,</w:t>
      </w:r>
      <w:r w:rsidRPr="00B4462C">
        <w:rPr>
          <w:color w:val="000000"/>
          <w:sz w:val="22"/>
          <w:szCs w:val="22"/>
          <w:lang w:val="sk-SK"/>
        </w:rPr>
        <w:t xml:space="preserve"> podobne ako pri iných chinolónoch</w:t>
      </w:r>
      <w:r>
        <w:rPr>
          <w:color w:val="000000"/>
          <w:sz w:val="22"/>
          <w:szCs w:val="22"/>
          <w:lang w:val="sk-SK"/>
        </w:rPr>
        <w:t>,</w:t>
      </w:r>
      <w:r w:rsidRPr="00B4462C">
        <w:rPr>
          <w:color w:val="000000"/>
          <w:sz w:val="22"/>
          <w:szCs w:val="22"/>
          <w:lang w:val="sk-SK"/>
        </w:rPr>
        <w:t xml:space="preserve"> je známe, že vyvolávajú záchvaty alebo znižujú prah záchvatov. Boli hlásené prípady status epilepticus.</w:t>
      </w:r>
      <w:r w:rsidRPr="00B4462C">
        <w:rPr>
          <w:lang w:val="sk-SK"/>
        </w:rPr>
        <w:t xml:space="preserve"> </w:t>
      </w:r>
      <w:r w:rsidRPr="00B4462C">
        <w:rPr>
          <w:color w:val="000000"/>
          <w:sz w:val="22"/>
          <w:szCs w:val="22"/>
          <w:lang w:val="sk-SK"/>
        </w:rPr>
        <w:t xml:space="preserve">Ciprofloxacín sa má používať s opatrnosťou u pacientov s poruchami CNS, ktoré by mohli viesť k záchvatom. Ak sa objavia záchvaty, liečba ciprofloxacínom sa má ukončiť (pozri časť 4.8). Psychické reakcie sa môžu vyskytnúť už po prvom podaní ciprofloxacínu. V zriedkavých prípadoch môžu depresia a psychóza viesť k suicidálnym predstavám/myšlienkám kulminujúcim do samovražedných pokusov a dokonanej samovraždy. Pri výskyte takýchto prípadoch sa musí liečba ciprofloxacínom prerušiť. </w:t>
      </w:r>
    </w:p>
    <w:p w14:paraId="0ED4BC60" w14:textId="77777777" w:rsidR="003B482C" w:rsidRDefault="003B482C" w:rsidP="003A5431">
      <w:pPr>
        <w:rPr>
          <w:color w:val="000000"/>
          <w:sz w:val="22"/>
          <w:szCs w:val="22"/>
          <w:lang w:val="sk-SK"/>
        </w:rPr>
      </w:pPr>
    </w:p>
    <w:p w14:paraId="124B58C3" w14:textId="77777777" w:rsidR="003B482C" w:rsidRPr="00A75C0F" w:rsidRDefault="003B482C" w:rsidP="003B482C">
      <w:pPr>
        <w:rPr>
          <w:i/>
          <w:color w:val="000000"/>
          <w:sz w:val="22"/>
          <w:szCs w:val="22"/>
          <w:lang w:val="sk-SK"/>
        </w:rPr>
      </w:pPr>
      <w:r w:rsidRPr="00A75C0F">
        <w:rPr>
          <w:i/>
          <w:color w:val="000000"/>
          <w:sz w:val="22"/>
          <w:szCs w:val="22"/>
          <w:lang w:val="sk-SK"/>
        </w:rPr>
        <w:t>Periférna neuropatia</w:t>
      </w:r>
    </w:p>
    <w:p w14:paraId="6F98F8EB" w14:textId="2448EBA9" w:rsidR="003B482C" w:rsidRPr="00B4462C" w:rsidRDefault="003B482C" w:rsidP="003B482C">
      <w:pPr>
        <w:rPr>
          <w:color w:val="000000"/>
          <w:sz w:val="22"/>
          <w:szCs w:val="22"/>
          <w:lang w:val="sk-SK"/>
        </w:rPr>
      </w:pPr>
      <w:r w:rsidRPr="003B482C">
        <w:rPr>
          <w:color w:val="000000"/>
          <w:sz w:val="22"/>
          <w:szCs w:val="22"/>
          <w:lang w:val="sk-SK"/>
        </w:rPr>
        <w:t xml:space="preserve">U pacientov liečených chinolónmi a fluórchinolónmi boli hlásené prípady senzorickej alebo senzomotorickej polyneuropatie vedúce k parestézii, hypestézii, dyzestézii alebo slabosti. Pacientom liečeným </w:t>
      </w:r>
      <w:r w:rsidR="008718F2">
        <w:rPr>
          <w:color w:val="000000"/>
          <w:sz w:val="22"/>
          <w:szCs w:val="22"/>
          <w:lang w:val="sk-SK"/>
        </w:rPr>
        <w:t>ciproflaxacínom</w:t>
      </w:r>
      <w:r w:rsidRPr="003B482C">
        <w:rPr>
          <w:color w:val="000000"/>
          <w:sz w:val="22"/>
          <w:szCs w:val="22"/>
          <w:lang w:val="sk-SK"/>
        </w:rPr>
        <w:t xml:space="preserve"> sa má odporučiť, aby pred pokračovaním liečby informovali svojho lekára, ak sa u nich vyskytnú symptómy neuropatie, napríklad bolesť, pálenie, brnenie, necitlivosť alebo slabosť, aby sa zabránilo rozvinutiu potenciálne ireverzibilného stavu (pozri časť 4.8).</w:t>
      </w:r>
    </w:p>
    <w:p w14:paraId="7C4900CF" w14:textId="77777777" w:rsidR="003B482C" w:rsidRDefault="003B482C" w:rsidP="0022149B">
      <w:pPr>
        <w:rPr>
          <w:i/>
          <w:color w:val="000000"/>
          <w:sz w:val="22"/>
          <w:szCs w:val="22"/>
          <w:lang w:val="sk-SK"/>
        </w:rPr>
      </w:pPr>
    </w:p>
    <w:p w14:paraId="17B11032" w14:textId="77777777" w:rsidR="00CF3670" w:rsidRPr="00B4462C" w:rsidRDefault="00CF3670" w:rsidP="0022149B">
      <w:pPr>
        <w:rPr>
          <w:i/>
          <w:color w:val="000000"/>
          <w:sz w:val="22"/>
          <w:szCs w:val="22"/>
          <w:lang w:val="sk-SK"/>
        </w:rPr>
      </w:pPr>
      <w:r w:rsidRPr="00B4462C">
        <w:rPr>
          <w:i/>
          <w:color w:val="000000"/>
          <w:sz w:val="22"/>
          <w:szCs w:val="22"/>
          <w:lang w:val="sk-SK"/>
        </w:rPr>
        <w:t>Poruchy srdca a srdcovej činnosti</w:t>
      </w:r>
    </w:p>
    <w:p w14:paraId="7EC6FF8A" w14:textId="4448EBF3" w:rsidR="00CF3670" w:rsidRPr="00B4462C" w:rsidRDefault="00CF3670" w:rsidP="0022149B">
      <w:pPr>
        <w:rPr>
          <w:color w:val="000000"/>
          <w:sz w:val="22"/>
          <w:szCs w:val="22"/>
          <w:lang w:val="sk-SK"/>
        </w:rPr>
      </w:pPr>
      <w:r w:rsidRPr="00B4462C">
        <w:rPr>
          <w:color w:val="000000"/>
          <w:sz w:val="22"/>
          <w:szCs w:val="22"/>
          <w:lang w:val="sk-SK"/>
        </w:rPr>
        <w:t xml:space="preserve">Treba byť opatrný pri užívaní </w:t>
      </w:r>
      <w:r w:rsidR="00DA279A">
        <w:rPr>
          <w:color w:val="000000"/>
          <w:sz w:val="22"/>
          <w:szCs w:val="22"/>
          <w:lang w:val="sk-SK"/>
        </w:rPr>
        <w:t>fluórchin</w:t>
      </w:r>
      <w:r w:rsidRPr="00B4462C">
        <w:rPr>
          <w:color w:val="000000"/>
          <w:sz w:val="22"/>
          <w:szCs w:val="22"/>
          <w:lang w:val="sk-SK"/>
        </w:rPr>
        <w:t>olónov, vrátane ciprofloxacínu, u pacientov so známymi rizikovými faktormi pre predĺženie QT intervalu, ako sú napríklad:</w:t>
      </w:r>
    </w:p>
    <w:p w14:paraId="334645DF" w14:textId="77777777" w:rsidR="00CF3670" w:rsidRPr="00B4462C" w:rsidRDefault="00CF3670" w:rsidP="0022149B">
      <w:pPr>
        <w:numPr>
          <w:ilvl w:val="0"/>
          <w:numId w:val="8"/>
        </w:numPr>
        <w:rPr>
          <w:color w:val="000000"/>
          <w:sz w:val="22"/>
          <w:szCs w:val="22"/>
          <w:lang w:val="sk-SK"/>
        </w:rPr>
      </w:pPr>
      <w:r w:rsidRPr="00B4462C">
        <w:rPr>
          <w:color w:val="000000"/>
          <w:sz w:val="22"/>
          <w:szCs w:val="22"/>
          <w:lang w:val="sk-SK"/>
        </w:rPr>
        <w:t>vrodený dlhý QT syndróm</w:t>
      </w:r>
      <w:r>
        <w:rPr>
          <w:color w:val="000000"/>
          <w:sz w:val="22"/>
          <w:szCs w:val="22"/>
          <w:lang w:val="sk-SK"/>
        </w:rPr>
        <w:t>,</w:t>
      </w:r>
    </w:p>
    <w:p w14:paraId="29F355DA" w14:textId="77777777" w:rsidR="00CF3670" w:rsidRPr="00B4462C" w:rsidRDefault="00CF3670" w:rsidP="0022149B">
      <w:pPr>
        <w:numPr>
          <w:ilvl w:val="0"/>
          <w:numId w:val="8"/>
        </w:numPr>
        <w:rPr>
          <w:color w:val="000000"/>
          <w:sz w:val="22"/>
          <w:szCs w:val="22"/>
          <w:lang w:val="sk-SK"/>
        </w:rPr>
      </w:pPr>
      <w:r w:rsidRPr="00B4462C">
        <w:rPr>
          <w:color w:val="000000"/>
          <w:sz w:val="22"/>
          <w:szCs w:val="22"/>
          <w:lang w:val="sk-SK"/>
        </w:rPr>
        <w:t>súbežné užívanie liekov o ktorých je známe, že predlžujú QT interval (napr. trieda IA a III, antiarytmiká, tricyklické antidepresíva, makrolidy, antipsychotiká)</w:t>
      </w:r>
      <w:r>
        <w:rPr>
          <w:color w:val="000000"/>
          <w:sz w:val="22"/>
          <w:szCs w:val="22"/>
          <w:lang w:val="sk-SK"/>
        </w:rPr>
        <w:t>,</w:t>
      </w:r>
    </w:p>
    <w:p w14:paraId="77315DDD" w14:textId="77777777" w:rsidR="00CF3670" w:rsidRPr="00B4462C" w:rsidRDefault="00CF3670" w:rsidP="0022149B">
      <w:pPr>
        <w:numPr>
          <w:ilvl w:val="0"/>
          <w:numId w:val="8"/>
        </w:numPr>
        <w:rPr>
          <w:color w:val="000000"/>
          <w:sz w:val="22"/>
          <w:szCs w:val="22"/>
          <w:lang w:val="sk-SK"/>
        </w:rPr>
      </w:pPr>
      <w:r w:rsidRPr="00B4462C">
        <w:rPr>
          <w:color w:val="000000"/>
          <w:sz w:val="22"/>
          <w:szCs w:val="22"/>
          <w:lang w:val="sk-SK"/>
        </w:rPr>
        <w:t>nekorigovaná nerovnováha elektrolytov (napr. hypokaliémia, hypomagneziémia)</w:t>
      </w:r>
      <w:r>
        <w:rPr>
          <w:color w:val="000000"/>
          <w:sz w:val="22"/>
          <w:szCs w:val="22"/>
          <w:lang w:val="sk-SK"/>
        </w:rPr>
        <w:t>,</w:t>
      </w:r>
    </w:p>
    <w:p w14:paraId="3BEAE70A" w14:textId="77777777" w:rsidR="00CF3670" w:rsidRPr="00B4462C" w:rsidRDefault="00CF3670" w:rsidP="0022149B">
      <w:pPr>
        <w:numPr>
          <w:ilvl w:val="0"/>
          <w:numId w:val="8"/>
        </w:numPr>
        <w:rPr>
          <w:color w:val="000000"/>
          <w:sz w:val="22"/>
          <w:szCs w:val="22"/>
          <w:lang w:val="sk-SK"/>
        </w:rPr>
      </w:pPr>
      <w:r w:rsidRPr="00B4462C">
        <w:rPr>
          <w:color w:val="000000"/>
          <w:sz w:val="22"/>
          <w:szCs w:val="22"/>
          <w:lang w:val="sk-SK"/>
        </w:rPr>
        <w:t>ochorenie srdca (napr. srdcové zlyhanie, infarkt myokardu, bradykardia)</w:t>
      </w:r>
      <w:r>
        <w:rPr>
          <w:color w:val="000000"/>
          <w:sz w:val="22"/>
          <w:szCs w:val="22"/>
          <w:lang w:val="sk-SK"/>
        </w:rPr>
        <w:t>.</w:t>
      </w:r>
    </w:p>
    <w:p w14:paraId="3DAE38EF" w14:textId="77777777" w:rsidR="00CF3670" w:rsidRPr="00B4462C" w:rsidRDefault="00CF3670" w:rsidP="0022149B">
      <w:pPr>
        <w:ind w:left="360"/>
        <w:rPr>
          <w:color w:val="000000"/>
          <w:sz w:val="22"/>
          <w:szCs w:val="22"/>
          <w:lang w:val="sk-SK"/>
        </w:rPr>
      </w:pPr>
    </w:p>
    <w:p w14:paraId="5FCAFB8B" w14:textId="3C90AC1C" w:rsidR="00CF3670" w:rsidRDefault="00CF3670" w:rsidP="00221A4C">
      <w:pPr>
        <w:rPr>
          <w:color w:val="000000"/>
          <w:sz w:val="22"/>
          <w:szCs w:val="22"/>
          <w:lang w:val="sk-SK"/>
        </w:rPr>
      </w:pPr>
      <w:r w:rsidRPr="00F30477">
        <w:rPr>
          <w:color w:val="000000"/>
          <w:sz w:val="22"/>
          <w:szCs w:val="22"/>
          <w:lang w:val="sk-SK"/>
        </w:rPr>
        <w:t xml:space="preserve">Starší </w:t>
      </w:r>
      <w:r>
        <w:rPr>
          <w:color w:val="000000"/>
          <w:sz w:val="22"/>
          <w:szCs w:val="22"/>
          <w:lang w:val="sk-SK"/>
        </w:rPr>
        <w:t>pacienti</w:t>
      </w:r>
      <w:r w:rsidRPr="00FC60DC">
        <w:rPr>
          <w:color w:val="000000"/>
          <w:sz w:val="22"/>
          <w:szCs w:val="22"/>
          <w:lang w:val="sk-SK"/>
        </w:rPr>
        <w:t xml:space="preserve"> a ženy môžu byť citlivejší na lieky predlžujúce QTc. Preto je potrebná opatrnosť pri užívaní </w:t>
      </w:r>
      <w:r w:rsidR="00DA279A">
        <w:rPr>
          <w:color w:val="000000"/>
          <w:sz w:val="22"/>
          <w:szCs w:val="22"/>
          <w:lang w:val="sk-SK"/>
        </w:rPr>
        <w:t>fluórchin</w:t>
      </w:r>
      <w:r w:rsidRPr="00FC60DC">
        <w:rPr>
          <w:color w:val="000000"/>
          <w:sz w:val="22"/>
          <w:szCs w:val="22"/>
          <w:lang w:val="sk-SK"/>
        </w:rPr>
        <w:t>olónov, vrátane ciprofloxacinu, u tejto populácie</w:t>
      </w:r>
      <w:r w:rsidRPr="00FC60DC" w:rsidDel="00D9147F">
        <w:rPr>
          <w:color w:val="000000"/>
          <w:sz w:val="22"/>
          <w:szCs w:val="22"/>
          <w:lang w:val="sk-SK"/>
        </w:rPr>
        <w:t xml:space="preserve"> </w:t>
      </w:r>
      <w:r w:rsidRPr="00FC60DC">
        <w:rPr>
          <w:color w:val="000000"/>
          <w:sz w:val="22"/>
          <w:szCs w:val="22"/>
          <w:lang w:val="sk-SK"/>
        </w:rPr>
        <w:t>(pozri čas</w:t>
      </w:r>
      <w:r>
        <w:rPr>
          <w:color w:val="000000"/>
          <w:sz w:val="22"/>
          <w:szCs w:val="22"/>
          <w:lang w:val="sk-SK"/>
        </w:rPr>
        <w:t>ť</w:t>
      </w:r>
      <w:r w:rsidRPr="00FC60DC">
        <w:rPr>
          <w:color w:val="000000"/>
          <w:sz w:val="22"/>
          <w:szCs w:val="22"/>
          <w:lang w:val="sk-SK"/>
        </w:rPr>
        <w:t xml:space="preserve"> 4.2 </w:t>
      </w:r>
      <w:r>
        <w:rPr>
          <w:i/>
          <w:color w:val="000000"/>
          <w:sz w:val="22"/>
          <w:szCs w:val="22"/>
          <w:lang w:val="sk-SK"/>
        </w:rPr>
        <w:t>Starš</w:t>
      </w:r>
      <w:r w:rsidRPr="00FC60DC">
        <w:rPr>
          <w:i/>
          <w:color w:val="000000"/>
          <w:sz w:val="22"/>
          <w:szCs w:val="22"/>
          <w:lang w:val="sk-SK"/>
        </w:rPr>
        <w:t>í pacienti</w:t>
      </w:r>
      <w:r w:rsidRPr="00F30477">
        <w:rPr>
          <w:color w:val="000000"/>
          <w:sz w:val="22"/>
          <w:szCs w:val="22"/>
          <w:lang w:val="sk-SK"/>
        </w:rPr>
        <w:t xml:space="preserve">, </w:t>
      </w:r>
      <w:r>
        <w:rPr>
          <w:color w:val="000000"/>
          <w:sz w:val="22"/>
          <w:szCs w:val="22"/>
          <w:lang w:val="sk-SK"/>
        </w:rPr>
        <w:t>časť</w:t>
      </w:r>
      <w:r w:rsidRPr="00FC60DC">
        <w:rPr>
          <w:color w:val="000000"/>
          <w:sz w:val="22"/>
          <w:szCs w:val="22"/>
          <w:lang w:val="sk-SK"/>
        </w:rPr>
        <w:t xml:space="preserve">4.5, </w:t>
      </w:r>
      <w:r>
        <w:rPr>
          <w:color w:val="000000"/>
          <w:sz w:val="22"/>
          <w:szCs w:val="22"/>
          <w:lang w:val="sk-SK"/>
        </w:rPr>
        <w:t>časť</w:t>
      </w:r>
      <w:r w:rsidRPr="00FC60DC">
        <w:rPr>
          <w:color w:val="000000"/>
          <w:sz w:val="22"/>
          <w:szCs w:val="22"/>
          <w:lang w:val="sk-SK"/>
        </w:rPr>
        <w:t>4.8 a</w:t>
      </w:r>
      <w:r>
        <w:rPr>
          <w:color w:val="000000"/>
          <w:sz w:val="22"/>
          <w:szCs w:val="22"/>
          <w:lang w:val="sk-SK"/>
        </w:rPr>
        <w:t xml:space="preserve"> časť</w:t>
      </w:r>
      <w:r w:rsidRPr="00FC60DC">
        <w:rPr>
          <w:color w:val="000000"/>
          <w:sz w:val="22"/>
          <w:szCs w:val="22"/>
          <w:lang w:val="sk-SK"/>
        </w:rPr>
        <w:t xml:space="preserve"> 4.9).</w:t>
      </w:r>
    </w:p>
    <w:p w14:paraId="0920F1B8" w14:textId="77777777" w:rsidR="002D5E33" w:rsidRDefault="002D5E33" w:rsidP="00221A4C">
      <w:pPr>
        <w:rPr>
          <w:color w:val="000000"/>
          <w:sz w:val="22"/>
          <w:szCs w:val="22"/>
          <w:lang w:val="sk-SK"/>
        </w:rPr>
      </w:pPr>
    </w:p>
    <w:p w14:paraId="06354B17" w14:textId="77777777" w:rsidR="00BD48C2" w:rsidRPr="00BD48C2" w:rsidRDefault="00BD48C2" w:rsidP="00BD48C2">
      <w:pPr>
        <w:rPr>
          <w:i/>
          <w:color w:val="000000"/>
          <w:sz w:val="22"/>
          <w:szCs w:val="22"/>
          <w:u w:val="single"/>
          <w:lang w:val="sk-SK"/>
        </w:rPr>
      </w:pPr>
      <w:r w:rsidRPr="00BD48C2">
        <w:rPr>
          <w:i/>
          <w:color w:val="000000"/>
          <w:sz w:val="22"/>
          <w:szCs w:val="22"/>
          <w:u w:val="single"/>
          <w:lang w:val="sk-SK"/>
        </w:rPr>
        <w:t xml:space="preserve">Aneuryzma aorty a disekcia aorty a </w:t>
      </w:r>
      <w:r w:rsidRPr="00A479C2">
        <w:rPr>
          <w:bCs/>
          <w:color w:val="000000"/>
          <w:sz w:val="22"/>
          <w:szCs w:val="22"/>
          <w:u w:val="single"/>
          <w:lang w:val="sk-SK"/>
        </w:rPr>
        <w:t>regurgitácia/nedomykavosť srdcovej chlopne</w:t>
      </w:r>
      <w:r w:rsidRPr="00BD48C2">
        <w:rPr>
          <w:b/>
          <w:bCs/>
          <w:i/>
          <w:color w:val="000000"/>
          <w:sz w:val="22"/>
          <w:szCs w:val="22"/>
          <w:u w:val="single"/>
          <w:lang w:val="sk-SK"/>
        </w:rPr>
        <w:t xml:space="preserve"> </w:t>
      </w:r>
    </w:p>
    <w:p w14:paraId="458E691A" w14:textId="6307A708" w:rsidR="00BD48C2" w:rsidRPr="00A479C2" w:rsidRDefault="00BD48C2" w:rsidP="00BD48C2">
      <w:pPr>
        <w:rPr>
          <w:bCs/>
          <w:color w:val="000000"/>
          <w:sz w:val="22"/>
          <w:szCs w:val="22"/>
          <w:lang w:val="sk-SK"/>
        </w:rPr>
      </w:pPr>
      <w:r w:rsidRPr="00A479C2">
        <w:rPr>
          <w:color w:val="000000"/>
          <w:sz w:val="22"/>
          <w:szCs w:val="22"/>
          <w:lang w:val="sk-SK"/>
        </w:rPr>
        <w:t xml:space="preserve">V epidemiologických štúdiách bolo zistené zvýšené riziko aneuryzmy aorty a disekcie aorty, </w:t>
      </w:r>
      <w:r w:rsidRPr="00A479C2">
        <w:rPr>
          <w:bCs/>
          <w:color w:val="000000"/>
          <w:sz w:val="22"/>
          <w:szCs w:val="22"/>
          <w:lang w:val="sk-SK"/>
        </w:rPr>
        <w:t xml:space="preserve">predovšetkým u starších pacientov, a regurgitácie aortálnej a mitrálnej chlopne </w:t>
      </w:r>
      <w:r w:rsidRPr="00A479C2">
        <w:rPr>
          <w:color w:val="000000"/>
          <w:sz w:val="22"/>
          <w:szCs w:val="22"/>
          <w:lang w:val="sk-SK"/>
        </w:rPr>
        <w:t xml:space="preserve">po použití fluórchinolónov. </w:t>
      </w:r>
      <w:r w:rsidRPr="00A479C2">
        <w:rPr>
          <w:bCs/>
          <w:color w:val="000000"/>
          <w:sz w:val="22"/>
          <w:szCs w:val="22"/>
          <w:lang w:val="sk-SK"/>
        </w:rPr>
        <w:t xml:space="preserve">U pacientov používajúcich fluórchinolóny boli hlásené prípady aneuryzmy a disekcie aorty, niekedy komplikované ruptúrou (vrátane smrteľných prípadov), a prípady regurgitácie/nedomykavosti niektorej zo srdcových chlopní (pozri časť 4.8). </w:t>
      </w:r>
    </w:p>
    <w:p w14:paraId="176810DC" w14:textId="77777777" w:rsidR="00BD48C2" w:rsidRPr="00A479C2" w:rsidRDefault="00BD48C2" w:rsidP="00BD48C2">
      <w:pPr>
        <w:rPr>
          <w:color w:val="000000"/>
          <w:sz w:val="22"/>
          <w:szCs w:val="22"/>
          <w:lang w:val="sk-SK"/>
        </w:rPr>
      </w:pPr>
    </w:p>
    <w:p w14:paraId="58D826A6" w14:textId="6035F896" w:rsidR="002D5E33" w:rsidRPr="002D5E33" w:rsidRDefault="00BD48C2" w:rsidP="002D5E33">
      <w:pPr>
        <w:rPr>
          <w:color w:val="000000"/>
          <w:sz w:val="22"/>
          <w:szCs w:val="22"/>
          <w:lang w:val="sk-SK"/>
        </w:rPr>
      </w:pPr>
      <w:r w:rsidRPr="00A479C2">
        <w:rPr>
          <w:color w:val="000000"/>
          <w:sz w:val="22"/>
          <w:szCs w:val="22"/>
          <w:lang w:val="sk-SK"/>
        </w:rPr>
        <w:t xml:space="preserve">Preto sa fluórchinolóny majú používať len po starostlivom vyhodnotení prínosu a rizika a po zvážení iných terapeutických možností u pacientov s pozitívnou rodinnou anamnézou ochorenia aneuryzmy </w:t>
      </w:r>
      <w:r w:rsidRPr="00A479C2">
        <w:rPr>
          <w:bCs/>
          <w:color w:val="000000"/>
          <w:sz w:val="22"/>
          <w:szCs w:val="22"/>
          <w:lang w:val="sk-SK"/>
        </w:rPr>
        <w:t xml:space="preserve">alebo kongenitálnym ochorením srdcovej chlopne </w:t>
      </w:r>
      <w:r w:rsidRPr="00A479C2">
        <w:rPr>
          <w:color w:val="000000"/>
          <w:sz w:val="22"/>
          <w:szCs w:val="22"/>
          <w:lang w:val="sk-SK"/>
        </w:rPr>
        <w:t xml:space="preserve">alebo u pacientov s diagnostikovanou už existujúcou aneuryzmou aorty a/alebo disekciou aorty </w:t>
      </w:r>
      <w:r w:rsidRPr="00A479C2">
        <w:rPr>
          <w:bCs/>
          <w:color w:val="000000"/>
          <w:sz w:val="22"/>
          <w:szCs w:val="22"/>
          <w:lang w:val="sk-SK"/>
        </w:rPr>
        <w:t xml:space="preserve">alebo ochorením srdcovej chlopne </w:t>
      </w:r>
      <w:r w:rsidRPr="00A479C2">
        <w:rPr>
          <w:color w:val="000000"/>
          <w:sz w:val="22"/>
          <w:szCs w:val="22"/>
          <w:lang w:val="sk-SK"/>
        </w:rPr>
        <w:t>alebo v prípade výskytu iných rizikových faktorov alebo stavov, ktoré sú predispozíciou k vzniku</w:t>
      </w:r>
      <w:r w:rsidRPr="00BD48C2">
        <w:rPr>
          <w:i/>
          <w:color w:val="000000"/>
          <w:sz w:val="22"/>
          <w:szCs w:val="22"/>
          <w:u w:val="single"/>
          <w:lang w:val="sk-SK"/>
        </w:rPr>
        <w:t xml:space="preserve"> </w:t>
      </w:r>
    </w:p>
    <w:p w14:paraId="3DB9AE7F" w14:textId="77777777" w:rsidR="00BD48C2" w:rsidRDefault="00BD48C2" w:rsidP="002D5E33">
      <w:pPr>
        <w:rPr>
          <w:color w:val="000000"/>
          <w:sz w:val="22"/>
          <w:szCs w:val="22"/>
          <w:lang w:val="sk-SK"/>
        </w:rPr>
      </w:pPr>
    </w:p>
    <w:p w14:paraId="6A813508" w14:textId="77777777" w:rsidR="00BD48C2" w:rsidRDefault="00BD48C2" w:rsidP="00BD48C2">
      <w:pPr>
        <w:tabs>
          <w:tab w:val="left" w:pos="567"/>
        </w:tabs>
        <w:spacing w:line="260" w:lineRule="exact"/>
        <w:rPr>
          <w:sz w:val="22"/>
          <w:lang w:eastAsia="en-US"/>
        </w:rPr>
      </w:pPr>
      <w:r>
        <w:rPr>
          <w:sz w:val="22"/>
          <w:lang w:eastAsia="en-US"/>
        </w:rPr>
        <w:tab/>
      </w:r>
      <w:r w:rsidRPr="00BD48C2">
        <w:rPr>
          <w:sz w:val="22"/>
          <w:lang w:eastAsia="en-US"/>
        </w:rPr>
        <w:t xml:space="preserve">- </w:t>
      </w:r>
      <w:r>
        <w:rPr>
          <w:sz w:val="22"/>
          <w:lang w:eastAsia="en-US"/>
        </w:rPr>
        <w:tab/>
      </w:r>
      <w:r>
        <w:rPr>
          <w:sz w:val="22"/>
          <w:lang w:eastAsia="en-US"/>
        </w:rPr>
        <w:tab/>
      </w:r>
      <w:r w:rsidRPr="00BD48C2">
        <w:rPr>
          <w:sz w:val="22"/>
          <w:lang w:eastAsia="en-US"/>
        </w:rPr>
        <w:t xml:space="preserve">aneuryzmy aorty a disekcie aorty ako aj regurgitácie/nedomykavosti srdcovej chlopne </w:t>
      </w:r>
    </w:p>
    <w:p w14:paraId="0AF73F65" w14:textId="74D12B3C" w:rsidR="00BD48C2" w:rsidRDefault="00BD48C2" w:rsidP="00BD48C2">
      <w:pPr>
        <w:tabs>
          <w:tab w:val="left" w:pos="567"/>
        </w:tabs>
        <w:spacing w:line="260" w:lineRule="exact"/>
        <w:rPr>
          <w:sz w:val="22"/>
          <w:lang w:eastAsia="en-US"/>
        </w:rPr>
      </w:pPr>
      <w:r>
        <w:rPr>
          <w:sz w:val="22"/>
          <w:lang w:eastAsia="en-US"/>
        </w:rPr>
        <w:tab/>
      </w:r>
      <w:r>
        <w:rPr>
          <w:sz w:val="22"/>
          <w:lang w:eastAsia="en-US"/>
        </w:rPr>
        <w:tab/>
      </w:r>
      <w:r>
        <w:rPr>
          <w:sz w:val="22"/>
          <w:lang w:eastAsia="en-US"/>
        </w:rPr>
        <w:tab/>
      </w:r>
      <w:r w:rsidRPr="00BD48C2">
        <w:rPr>
          <w:sz w:val="22"/>
          <w:lang w:eastAsia="en-US"/>
        </w:rPr>
        <w:t>(napr. ochorenia spojivového tkaniva, ako je Marfanov syndróm alebo Ehlers</w:t>
      </w:r>
      <w:r w:rsidR="000F4FD3">
        <w:rPr>
          <w:sz w:val="22"/>
          <w:lang w:eastAsia="en-US"/>
        </w:rPr>
        <w:t>ov</w:t>
      </w:r>
      <w:r w:rsidRPr="00BD48C2">
        <w:rPr>
          <w:sz w:val="22"/>
          <w:lang w:eastAsia="en-US"/>
        </w:rPr>
        <w:t>-</w:t>
      </w:r>
      <w:r>
        <w:rPr>
          <w:sz w:val="22"/>
          <w:lang w:eastAsia="en-US"/>
        </w:rPr>
        <w:t xml:space="preserve"> </w:t>
      </w:r>
    </w:p>
    <w:p w14:paraId="5E668242" w14:textId="77777777" w:rsidR="00BD48C2" w:rsidRDefault="00BD48C2" w:rsidP="00BD48C2">
      <w:pPr>
        <w:tabs>
          <w:tab w:val="left" w:pos="567"/>
        </w:tabs>
        <w:spacing w:line="260" w:lineRule="exact"/>
        <w:rPr>
          <w:sz w:val="22"/>
          <w:lang w:eastAsia="en-US"/>
        </w:rPr>
      </w:pPr>
      <w:r>
        <w:rPr>
          <w:sz w:val="22"/>
          <w:lang w:eastAsia="en-US"/>
        </w:rPr>
        <w:t xml:space="preserve">                          </w:t>
      </w:r>
      <w:r w:rsidRPr="00BD48C2">
        <w:rPr>
          <w:sz w:val="22"/>
          <w:lang w:eastAsia="en-US"/>
        </w:rPr>
        <w:t xml:space="preserve">Danlosov syndróm, Turnerov syndróm, Behçetova choroba, hypertenzia, reumatoidná </w:t>
      </w:r>
    </w:p>
    <w:p w14:paraId="6320C1C7" w14:textId="2C234266" w:rsidR="00BD48C2" w:rsidRPr="00BD48C2" w:rsidRDefault="00BD48C2" w:rsidP="00BD48C2">
      <w:pPr>
        <w:tabs>
          <w:tab w:val="left" w:pos="567"/>
        </w:tabs>
        <w:spacing w:line="260" w:lineRule="exact"/>
        <w:rPr>
          <w:sz w:val="22"/>
          <w:lang w:eastAsia="en-US"/>
        </w:rPr>
      </w:pPr>
      <w:r>
        <w:rPr>
          <w:sz w:val="22"/>
          <w:lang w:eastAsia="en-US"/>
        </w:rPr>
        <w:t xml:space="preserve">                          </w:t>
      </w:r>
      <w:r w:rsidRPr="00BD48C2">
        <w:rPr>
          <w:sz w:val="22"/>
          <w:lang w:eastAsia="en-US"/>
        </w:rPr>
        <w:t>artritída známa ateroskleróza) alebo aj</w:t>
      </w:r>
    </w:p>
    <w:p w14:paraId="29039DF9" w14:textId="77777777" w:rsidR="00BD48C2" w:rsidRDefault="00BD48C2" w:rsidP="00BD48C2">
      <w:pPr>
        <w:tabs>
          <w:tab w:val="left" w:pos="567"/>
        </w:tabs>
        <w:spacing w:line="260" w:lineRule="exact"/>
        <w:rPr>
          <w:sz w:val="22"/>
          <w:lang w:eastAsia="en-US"/>
        </w:rPr>
      </w:pPr>
      <w:r>
        <w:rPr>
          <w:sz w:val="22"/>
          <w:lang w:eastAsia="en-US"/>
        </w:rPr>
        <w:tab/>
      </w:r>
      <w:r w:rsidRPr="00BD48C2">
        <w:rPr>
          <w:sz w:val="22"/>
          <w:lang w:eastAsia="en-US"/>
        </w:rPr>
        <w:t xml:space="preserve">- </w:t>
      </w:r>
      <w:r>
        <w:rPr>
          <w:sz w:val="22"/>
          <w:lang w:eastAsia="en-US"/>
        </w:rPr>
        <w:tab/>
      </w:r>
      <w:r>
        <w:rPr>
          <w:sz w:val="22"/>
          <w:lang w:eastAsia="en-US"/>
        </w:rPr>
        <w:tab/>
      </w:r>
      <w:r w:rsidRPr="00BD48C2">
        <w:rPr>
          <w:sz w:val="22"/>
          <w:lang w:eastAsia="en-US"/>
        </w:rPr>
        <w:t xml:space="preserve">aneuryzmy aorty a disekcie aorty (napr. vaskulárne ochorenia, ako je Takayasuova </w:t>
      </w:r>
    </w:p>
    <w:p w14:paraId="79BC06B0" w14:textId="77777777" w:rsidR="00BD48C2" w:rsidRDefault="00BD48C2" w:rsidP="00BD48C2">
      <w:pPr>
        <w:tabs>
          <w:tab w:val="left" w:pos="567"/>
        </w:tabs>
        <w:spacing w:line="260" w:lineRule="exact"/>
        <w:rPr>
          <w:sz w:val="22"/>
          <w:lang w:eastAsia="en-US"/>
        </w:rPr>
      </w:pPr>
      <w:r>
        <w:rPr>
          <w:sz w:val="22"/>
          <w:lang w:eastAsia="en-US"/>
        </w:rPr>
        <w:tab/>
      </w:r>
      <w:r>
        <w:rPr>
          <w:sz w:val="22"/>
          <w:lang w:eastAsia="en-US"/>
        </w:rPr>
        <w:tab/>
      </w:r>
      <w:r>
        <w:rPr>
          <w:sz w:val="22"/>
          <w:lang w:eastAsia="en-US"/>
        </w:rPr>
        <w:tab/>
      </w:r>
      <w:r w:rsidRPr="00BD48C2">
        <w:rPr>
          <w:sz w:val="22"/>
          <w:lang w:eastAsia="en-US"/>
        </w:rPr>
        <w:t xml:space="preserve">arteritída alebo obrovskobunková arteritída, prípadne známa ateroskleróza alebo </w:t>
      </w:r>
    </w:p>
    <w:p w14:paraId="56B887B1" w14:textId="5251482F" w:rsidR="00BD48C2" w:rsidRPr="00BD48C2" w:rsidRDefault="00BD48C2" w:rsidP="00BD48C2">
      <w:pPr>
        <w:tabs>
          <w:tab w:val="left" w:pos="567"/>
        </w:tabs>
        <w:spacing w:line="260" w:lineRule="exact"/>
        <w:rPr>
          <w:sz w:val="22"/>
          <w:lang w:eastAsia="en-US"/>
        </w:rPr>
      </w:pPr>
      <w:r>
        <w:rPr>
          <w:sz w:val="22"/>
          <w:lang w:eastAsia="en-US"/>
        </w:rPr>
        <w:tab/>
      </w:r>
      <w:r>
        <w:rPr>
          <w:sz w:val="22"/>
          <w:lang w:eastAsia="en-US"/>
        </w:rPr>
        <w:tab/>
      </w:r>
      <w:r>
        <w:rPr>
          <w:sz w:val="22"/>
          <w:lang w:eastAsia="en-US"/>
        </w:rPr>
        <w:tab/>
      </w:r>
      <w:r w:rsidRPr="00BD48C2">
        <w:rPr>
          <w:sz w:val="22"/>
          <w:lang w:eastAsia="en-US"/>
        </w:rPr>
        <w:t>Sjögrenov syndróm) alebo aj</w:t>
      </w:r>
    </w:p>
    <w:p w14:paraId="003A6A3F" w14:textId="444EDB3F" w:rsidR="00BD48C2" w:rsidRPr="00BD48C2" w:rsidRDefault="00BD48C2" w:rsidP="00BD48C2">
      <w:pPr>
        <w:tabs>
          <w:tab w:val="left" w:pos="567"/>
        </w:tabs>
        <w:spacing w:line="260" w:lineRule="exact"/>
        <w:rPr>
          <w:sz w:val="22"/>
          <w:lang w:eastAsia="en-US"/>
        </w:rPr>
      </w:pPr>
      <w:r>
        <w:rPr>
          <w:sz w:val="22"/>
          <w:lang w:eastAsia="en-US"/>
        </w:rPr>
        <w:tab/>
      </w:r>
      <w:r w:rsidRPr="00BD48C2">
        <w:rPr>
          <w:sz w:val="22"/>
          <w:lang w:eastAsia="en-US"/>
        </w:rPr>
        <w:t xml:space="preserve">- </w:t>
      </w:r>
      <w:r>
        <w:rPr>
          <w:sz w:val="22"/>
          <w:lang w:eastAsia="en-US"/>
        </w:rPr>
        <w:tab/>
      </w:r>
      <w:r>
        <w:rPr>
          <w:sz w:val="22"/>
          <w:lang w:eastAsia="en-US"/>
        </w:rPr>
        <w:tab/>
      </w:r>
      <w:r w:rsidRPr="00BD48C2">
        <w:rPr>
          <w:sz w:val="22"/>
          <w:lang w:eastAsia="en-US"/>
        </w:rPr>
        <w:t>regurgitácie/nedomykavosti srdcovej chlopne (napr. infekčná endokarditída).</w:t>
      </w:r>
    </w:p>
    <w:p w14:paraId="08A730FD" w14:textId="77777777" w:rsidR="00BD48C2" w:rsidRDefault="00BD48C2" w:rsidP="002D5E33">
      <w:pPr>
        <w:rPr>
          <w:color w:val="000000"/>
          <w:sz w:val="22"/>
          <w:szCs w:val="22"/>
          <w:lang w:val="sk-SK"/>
        </w:rPr>
      </w:pPr>
    </w:p>
    <w:p w14:paraId="5EA7250B" w14:textId="77777777" w:rsidR="00BD48C2" w:rsidRPr="00BD48C2" w:rsidRDefault="00BD48C2" w:rsidP="00BD48C2">
      <w:pPr>
        <w:rPr>
          <w:color w:val="000000"/>
          <w:sz w:val="22"/>
          <w:szCs w:val="22"/>
          <w:lang w:val="sk-SK"/>
        </w:rPr>
      </w:pPr>
      <w:r w:rsidRPr="00A479C2">
        <w:rPr>
          <w:bCs/>
          <w:color w:val="000000"/>
          <w:sz w:val="22"/>
          <w:szCs w:val="22"/>
          <w:lang w:val="sk-SK"/>
        </w:rPr>
        <w:t xml:space="preserve">Riziko aneuryzmy aorty a disekcie aorty a jej ruptúry môže byť zvýšené aj u pacientov súbežne liečených systémovými kortikosteroidmi. </w:t>
      </w:r>
    </w:p>
    <w:p w14:paraId="4D44F781" w14:textId="77777777" w:rsidR="00BD48C2" w:rsidRPr="00BD48C2" w:rsidRDefault="00BD48C2" w:rsidP="00BD48C2">
      <w:pPr>
        <w:rPr>
          <w:color w:val="000000"/>
          <w:sz w:val="22"/>
          <w:szCs w:val="22"/>
          <w:lang w:val="sk-SK"/>
        </w:rPr>
      </w:pPr>
      <w:r w:rsidRPr="00BD48C2">
        <w:rPr>
          <w:color w:val="000000"/>
          <w:sz w:val="22"/>
          <w:szCs w:val="22"/>
          <w:lang w:val="sk-SK"/>
        </w:rPr>
        <w:t xml:space="preserve">V prípade náhlej bolesti brucha, hrudníka alebo chrbta je potrebné pacientom odporučiť, aby sa bezodkladne obrátili na lekára na pohotovosti. </w:t>
      </w:r>
    </w:p>
    <w:p w14:paraId="405D171E" w14:textId="77777777" w:rsidR="00BD48C2" w:rsidRPr="00A479C2" w:rsidRDefault="00BD48C2" w:rsidP="003A5431">
      <w:pPr>
        <w:rPr>
          <w:bCs/>
          <w:color w:val="000000"/>
          <w:sz w:val="22"/>
          <w:szCs w:val="22"/>
          <w:lang w:val="sk-SK"/>
        </w:rPr>
      </w:pPr>
      <w:r w:rsidRPr="00A479C2">
        <w:rPr>
          <w:bCs/>
          <w:color w:val="000000"/>
          <w:sz w:val="22"/>
          <w:szCs w:val="22"/>
          <w:lang w:val="sk-SK"/>
        </w:rPr>
        <w:t xml:space="preserve">Pacientov je potrebné informovať o tom, aby v prípade akútneho dyspnoe, novovzniknutých srdcových palpitácií alebo vzniku brušného edému alebo edému dolných končatín ihneď vyhľadali lekársku pomoc. </w:t>
      </w:r>
    </w:p>
    <w:p w14:paraId="3DDCD7C8" w14:textId="77777777" w:rsidR="00CF3670" w:rsidRDefault="00CF3670" w:rsidP="003A5431">
      <w:pPr>
        <w:rPr>
          <w:color w:val="000000"/>
          <w:sz w:val="22"/>
          <w:szCs w:val="22"/>
          <w:lang w:val="sk-SK"/>
        </w:rPr>
      </w:pPr>
    </w:p>
    <w:p w14:paraId="5C4EF4E9" w14:textId="77777777" w:rsidR="003D6473" w:rsidRPr="00CE4BA7" w:rsidRDefault="003D6473" w:rsidP="003D6473">
      <w:pPr>
        <w:rPr>
          <w:i/>
          <w:color w:val="000000"/>
          <w:sz w:val="22"/>
          <w:szCs w:val="22"/>
          <w:lang w:val="sk-SK"/>
        </w:rPr>
      </w:pPr>
      <w:r w:rsidRPr="00CE4BA7">
        <w:rPr>
          <w:i/>
          <w:color w:val="000000"/>
          <w:sz w:val="22"/>
          <w:szCs w:val="22"/>
          <w:lang w:val="sk-SK"/>
        </w:rPr>
        <w:t>Dysgly</w:t>
      </w:r>
      <w:r>
        <w:rPr>
          <w:i/>
          <w:color w:val="000000"/>
          <w:sz w:val="22"/>
          <w:szCs w:val="22"/>
          <w:lang w:val="sk-SK"/>
        </w:rPr>
        <w:t>kémia</w:t>
      </w:r>
    </w:p>
    <w:p w14:paraId="5C168601" w14:textId="7B5446E8" w:rsidR="003D6473" w:rsidRPr="003D6473" w:rsidRDefault="003D6473" w:rsidP="003D6473">
      <w:pPr>
        <w:rPr>
          <w:color w:val="000000"/>
          <w:sz w:val="22"/>
          <w:szCs w:val="22"/>
          <w:lang w:val="sk-SK"/>
        </w:rPr>
      </w:pPr>
      <w:r w:rsidRPr="00A75C0F">
        <w:rPr>
          <w:color w:val="000000"/>
          <w:sz w:val="22"/>
          <w:szCs w:val="22"/>
          <w:lang w:val="sk-SK"/>
        </w:rPr>
        <w:t>Tak ako pri všetkých chinolónoch boli hlásené poruchy hladiny glukózy v krvi vrátane hypoglykémie a</w:t>
      </w:r>
      <w:r w:rsidR="00192092">
        <w:rPr>
          <w:color w:val="000000"/>
          <w:sz w:val="22"/>
          <w:szCs w:val="22"/>
          <w:lang w:val="sk-SK"/>
        </w:rPr>
        <w:t> </w:t>
      </w:r>
      <w:r w:rsidRPr="00A75C0F">
        <w:rPr>
          <w:color w:val="000000"/>
          <w:sz w:val="22"/>
          <w:szCs w:val="22"/>
          <w:lang w:val="sk-SK"/>
        </w:rPr>
        <w:t>hyperglykémie</w:t>
      </w:r>
      <w:r w:rsidR="00192092">
        <w:rPr>
          <w:color w:val="000000"/>
          <w:sz w:val="22"/>
          <w:szCs w:val="22"/>
          <w:lang w:val="sk-SK"/>
        </w:rPr>
        <w:t xml:space="preserve"> </w:t>
      </w:r>
      <w:r w:rsidR="00192092" w:rsidRPr="00A75C0F">
        <w:rPr>
          <w:color w:val="000000"/>
          <w:sz w:val="22"/>
          <w:szCs w:val="22"/>
          <w:lang w:val="sk-SK"/>
        </w:rPr>
        <w:t>(pozri časť 4.8)</w:t>
      </w:r>
      <w:r w:rsidRPr="00A75C0F">
        <w:rPr>
          <w:color w:val="000000"/>
          <w:sz w:val="22"/>
          <w:szCs w:val="22"/>
          <w:lang w:val="sk-SK"/>
        </w:rPr>
        <w:t xml:space="preserve">, obvykle u diabetických pacientov, súbežne liečených  perorálnymi </w:t>
      </w:r>
      <w:r w:rsidR="00736E0C" w:rsidRPr="00A75C0F">
        <w:rPr>
          <w:color w:val="000000"/>
          <w:sz w:val="22"/>
          <w:szCs w:val="22"/>
          <w:lang w:val="sk-SK"/>
        </w:rPr>
        <w:t>antidiabetikami</w:t>
      </w:r>
      <w:r w:rsidRPr="00A75C0F">
        <w:rPr>
          <w:color w:val="000000"/>
          <w:sz w:val="22"/>
          <w:szCs w:val="22"/>
          <w:lang w:val="sk-SK"/>
        </w:rPr>
        <w:t xml:space="preserve"> (napr. glibenklamidom) alebo inzulínom. Boli hlásené prípady hypoglykemickej kómy. U diabetických pacientov sa odporúča starostlivé sledovanie hladiny glukózy v krvi.</w:t>
      </w:r>
    </w:p>
    <w:p w14:paraId="25E595EA" w14:textId="77777777" w:rsidR="00CF3670" w:rsidRPr="00B4462C" w:rsidRDefault="00CF3670" w:rsidP="003A5431">
      <w:pPr>
        <w:rPr>
          <w:color w:val="000000"/>
          <w:sz w:val="22"/>
          <w:szCs w:val="22"/>
          <w:lang w:val="sk-SK"/>
        </w:rPr>
      </w:pPr>
    </w:p>
    <w:p w14:paraId="73B4F750" w14:textId="77777777" w:rsidR="00CF3670" w:rsidRPr="00B4462C" w:rsidRDefault="00CF3670" w:rsidP="003A5431">
      <w:pPr>
        <w:rPr>
          <w:i/>
          <w:color w:val="000000"/>
          <w:sz w:val="22"/>
          <w:szCs w:val="22"/>
          <w:lang w:val="sk-SK"/>
        </w:rPr>
      </w:pPr>
      <w:r w:rsidRPr="00B4462C">
        <w:rPr>
          <w:i/>
          <w:color w:val="000000"/>
          <w:sz w:val="22"/>
          <w:szCs w:val="22"/>
          <w:lang w:val="sk-SK"/>
        </w:rPr>
        <w:t>Poruchy gastrointestinálneho traktu</w:t>
      </w:r>
    </w:p>
    <w:p w14:paraId="0080B8F1" w14:textId="77777777" w:rsidR="00CF3670" w:rsidRPr="00B4462C" w:rsidRDefault="00CF3670" w:rsidP="003A5431">
      <w:pPr>
        <w:rPr>
          <w:color w:val="000000"/>
          <w:sz w:val="22"/>
          <w:szCs w:val="22"/>
          <w:lang w:val="sk-SK"/>
        </w:rPr>
      </w:pPr>
      <w:r w:rsidRPr="00B4462C">
        <w:rPr>
          <w:color w:val="000000"/>
          <w:sz w:val="22"/>
          <w:szCs w:val="22"/>
          <w:lang w:val="sk-SK"/>
        </w:rPr>
        <w:t xml:space="preserve">Výskyt závažnej a pretrvávajúcej hnačky počas liečby alebo po liečbe (aj niekoľko týždňov po liečbe) môže naznačovať kolitídu súvisiacu s podávaním antibiotika (život ohrozujúca až fatálna). Tento stav vyžaduje okamžitú liečbu (pozri časť 4.8). V takýchto prípadoch sa má liečba ciprofloxacínom ihneď prerušiť a má sa začať vhodná liečba. Za týchto okolností sú antiperistaltiká kontraindikované. </w:t>
      </w:r>
    </w:p>
    <w:p w14:paraId="6543B936" w14:textId="77777777" w:rsidR="00CF3670" w:rsidRPr="00B4462C" w:rsidRDefault="00CF3670" w:rsidP="003A5431">
      <w:pPr>
        <w:rPr>
          <w:color w:val="000000"/>
          <w:sz w:val="22"/>
          <w:szCs w:val="22"/>
          <w:lang w:val="sk-SK"/>
        </w:rPr>
      </w:pPr>
    </w:p>
    <w:p w14:paraId="72252747" w14:textId="77777777" w:rsidR="00CF3670" w:rsidRPr="00B4462C" w:rsidRDefault="00CF3670" w:rsidP="003A5431">
      <w:pPr>
        <w:rPr>
          <w:i/>
          <w:color w:val="000000"/>
          <w:sz w:val="22"/>
          <w:szCs w:val="22"/>
          <w:lang w:val="sk-SK"/>
        </w:rPr>
      </w:pPr>
      <w:r w:rsidRPr="00B4462C">
        <w:rPr>
          <w:i/>
          <w:color w:val="000000"/>
          <w:sz w:val="22"/>
          <w:szCs w:val="22"/>
          <w:lang w:val="sk-SK"/>
        </w:rPr>
        <w:t>Poruchy obličiek a močových ciest</w:t>
      </w:r>
    </w:p>
    <w:p w14:paraId="1660D238" w14:textId="77777777" w:rsidR="00CF3670" w:rsidRPr="00B4462C" w:rsidRDefault="00CF3670" w:rsidP="003A5431">
      <w:pPr>
        <w:rPr>
          <w:color w:val="000000"/>
          <w:sz w:val="22"/>
          <w:szCs w:val="22"/>
          <w:lang w:val="sk-SK"/>
        </w:rPr>
      </w:pPr>
      <w:r w:rsidRPr="00B4462C">
        <w:rPr>
          <w:color w:val="000000"/>
          <w:sz w:val="22"/>
          <w:szCs w:val="22"/>
          <w:lang w:val="sk-SK"/>
        </w:rPr>
        <w:t>V súvislosti s používaním ciprofloxacínu bola hlásená kryštalúria (pozri časť 4.8). Pacienti dostávajúci ciprofloxacín majú byť dostatočne hydratovaní a má sa vyhnúť nadmernej alkalite moču.</w:t>
      </w:r>
    </w:p>
    <w:p w14:paraId="1B6D78E6" w14:textId="77777777" w:rsidR="00CF3670" w:rsidRPr="00B4462C" w:rsidRDefault="00CF3670" w:rsidP="003A5431">
      <w:pPr>
        <w:rPr>
          <w:color w:val="000000"/>
          <w:sz w:val="22"/>
          <w:szCs w:val="22"/>
          <w:lang w:val="sk-SK"/>
        </w:rPr>
      </w:pPr>
    </w:p>
    <w:p w14:paraId="51C3DF21" w14:textId="77777777" w:rsidR="00CF3670" w:rsidRPr="00B4462C" w:rsidRDefault="00CF3670" w:rsidP="003A5431">
      <w:pPr>
        <w:rPr>
          <w:i/>
          <w:color w:val="000000"/>
          <w:sz w:val="22"/>
          <w:szCs w:val="22"/>
          <w:lang w:val="sk-SK"/>
        </w:rPr>
      </w:pPr>
      <w:r w:rsidRPr="00B4462C">
        <w:rPr>
          <w:i/>
          <w:color w:val="000000"/>
          <w:sz w:val="22"/>
          <w:szCs w:val="22"/>
          <w:lang w:val="sk-SK"/>
        </w:rPr>
        <w:t>Porucha funkcie obličiek</w:t>
      </w:r>
    </w:p>
    <w:p w14:paraId="6253CB14" w14:textId="77777777" w:rsidR="00CF3670" w:rsidRPr="00B4462C" w:rsidRDefault="00CF3670" w:rsidP="003A5431">
      <w:pPr>
        <w:rPr>
          <w:color w:val="000000"/>
          <w:sz w:val="22"/>
          <w:szCs w:val="22"/>
          <w:lang w:val="sk-SK"/>
        </w:rPr>
      </w:pPr>
      <w:r w:rsidRPr="00B4462C">
        <w:rPr>
          <w:color w:val="000000"/>
          <w:sz w:val="22"/>
          <w:szCs w:val="22"/>
          <w:lang w:val="sk-SK"/>
        </w:rPr>
        <w:t>Keďže ciprofloxacin je vo veľkej miere vylučovaný nezmenený obličkami</w:t>
      </w:r>
      <w:r>
        <w:rPr>
          <w:color w:val="000000"/>
          <w:sz w:val="22"/>
          <w:szCs w:val="22"/>
          <w:lang w:val="sk-SK"/>
        </w:rPr>
        <w:t>,</w:t>
      </w:r>
      <w:r w:rsidRPr="00B4462C">
        <w:rPr>
          <w:color w:val="000000"/>
          <w:sz w:val="22"/>
          <w:szCs w:val="22"/>
          <w:lang w:val="sk-SK"/>
        </w:rPr>
        <w:t xml:space="preserve"> je potrebná úprava dávky u pacientov s poruchou funkcie obličiek ako je opísané v časti 4.2</w:t>
      </w:r>
      <w:r>
        <w:rPr>
          <w:color w:val="000000"/>
          <w:sz w:val="22"/>
          <w:szCs w:val="22"/>
          <w:lang w:val="sk-SK"/>
        </w:rPr>
        <w:t>,</w:t>
      </w:r>
      <w:r w:rsidRPr="00B4462C">
        <w:rPr>
          <w:color w:val="000000"/>
          <w:sz w:val="22"/>
          <w:szCs w:val="22"/>
          <w:lang w:val="sk-SK"/>
        </w:rPr>
        <w:t xml:space="preserve"> aby sa zabránilo zvýšeniu </w:t>
      </w:r>
      <w:r>
        <w:rPr>
          <w:color w:val="000000"/>
          <w:sz w:val="22"/>
          <w:szCs w:val="22"/>
          <w:lang w:val="sk-SK"/>
        </w:rPr>
        <w:t xml:space="preserve">výskytu </w:t>
      </w:r>
      <w:r w:rsidRPr="00B4462C">
        <w:rPr>
          <w:color w:val="000000"/>
          <w:sz w:val="22"/>
          <w:szCs w:val="22"/>
          <w:lang w:val="sk-SK"/>
        </w:rPr>
        <w:t>nežiaducich reakcií vzhľadom k akumulácii ciprofloxacínu.</w:t>
      </w:r>
    </w:p>
    <w:p w14:paraId="43A2B327" w14:textId="77777777" w:rsidR="00CF3670" w:rsidRPr="00B4462C" w:rsidRDefault="00CF3670" w:rsidP="003A5431">
      <w:pPr>
        <w:rPr>
          <w:color w:val="000000"/>
          <w:sz w:val="22"/>
          <w:szCs w:val="22"/>
          <w:lang w:val="sk-SK"/>
        </w:rPr>
      </w:pPr>
    </w:p>
    <w:p w14:paraId="53BFC6CB" w14:textId="77777777" w:rsidR="00CF3670" w:rsidRPr="00B4462C" w:rsidRDefault="00CF3670" w:rsidP="003A5431">
      <w:pPr>
        <w:rPr>
          <w:i/>
          <w:color w:val="000000"/>
          <w:sz w:val="22"/>
          <w:szCs w:val="22"/>
          <w:lang w:val="sk-SK"/>
        </w:rPr>
      </w:pPr>
      <w:r w:rsidRPr="00B4462C">
        <w:rPr>
          <w:i/>
          <w:color w:val="000000"/>
          <w:sz w:val="22"/>
          <w:szCs w:val="22"/>
          <w:lang w:val="sk-SK"/>
        </w:rPr>
        <w:t>Poruchy pečene a žlčových ciest</w:t>
      </w:r>
    </w:p>
    <w:p w14:paraId="7F3A3B99" w14:textId="77777777" w:rsidR="00CF3670" w:rsidRPr="00B4462C" w:rsidRDefault="00CF3670" w:rsidP="003A5431">
      <w:pPr>
        <w:rPr>
          <w:color w:val="000000"/>
          <w:sz w:val="22"/>
          <w:szCs w:val="22"/>
          <w:lang w:val="sk-SK"/>
        </w:rPr>
      </w:pPr>
      <w:r w:rsidRPr="00B4462C">
        <w:rPr>
          <w:color w:val="000000"/>
          <w:sz w:val="22"/>
          <w:szCs w:val="22"/>
          <w:lang w:val="sk-SK"/>
        </w:rPr>
        <w:t>Počas užívania ciprofloxacínu boli hlásené prípady hepatálnej nekrózy až život ohrozujúceho hepatálneho zlyhania (pozri časť 4.8). Ak sa objavia znaky a symptómy ochorenia pečene (ako sú anorexia, žltačka, tmavý moč, pruritus alebo citlivé brucho) liečba sa má ukončiť.</w:t>
      </w:r>
    </w:p>
    <w:p w14:paraId="780D6553" w14:textId="77777777" w:rsidR="00CF3670" w:rsidRPr="00B4462C" w:rsidRDefault="00CF3670" w:rsidP="003A5431">
      <w:pPr>
        <w:rPr>
          <w:color w:val="000000"/>
          <w:sz w:val="22"/>
          <w:szCs w:val="22"/>
          <w:lang w:val="sk-SK"/>
        </w:rPr>
      </w:pPr>
    </w:p>
    <w:p w14:paraId="34F50E06" w14:textId="77777777" w:rsidR="00CF3670" w:rsidRPr="00B4462C" w:rsidRDefault="00CF3670" w:rsidP="003A5431">
      <w:pPr>
        <w:rPr>
          <w:i/>
          <w:color w:val="000000"/>
          <w:sz w:val="22"/>
          <w:szCs w:val="22"/>
          <w:lang w:val="sk-SK"/>
        </w:rPr>
      </w:pPr>
      <w:r w:rsidRPr="00B4462C">
        <w:rPr>
          <w:i/>
          <w:color w:val="000000"/>
          <w:sz w:val="22"/>
          <w:szCs w:val="22"/>
          <w:lang w:val="sk-SK"/>
        </w:rPr>
        <w:t>Deficit glukóza-6-fosfátdehydrogenázy</w:t>
      </w:r>
    </w:p>
    <w:p w14:paraId="3827D32C" w14:textId="77777777" w:rsidR="00CF3670" w:rsidRPr="00B4462C" w:rsidRDefault="00CF3670" w:rsidP="003A5431">
      <w:pPr>
        <w:rPr>
          <w:color w:val="000000"/>
          <w:sz w:val="22"/>
          <w:szCs w:val="22"/>
          <w:lang w:val="sk-SK"/>
        </w:rPr>
      </w:pPr>
      <w:r w:rsidRPr="00B4462C">
        <w:rPr>
          <w:color w:val="000000"/>
          <w:sz w:val="22"/>
          <w:szCs w:val="22"/>
          <w:lang w:val="sk-SK"/>
        </w:rPr>
        <w:t>U pacientov s poruchou činnosti glukóza-6-fosfátdehydrogenázy sa zaznamenali hemolytické reakcie. U týchto pacientov je potrebné sa vyhnúť podávaniu ciprofloxacínu pokiaľ potenciálny prínos neprevažuje možné riziko. V prípade liečby sa má monitorovať potenciálny výskyt hemolýzy.</w:t>
      </w:r>
    </w:p>
    <w:p w14:paraId="6ADD1466" w14:textId="77777777" w:rsidR="00CF3670" w:rsidRPr="00B4462C" w:rsidRDefault="00CF3670" w:rsidP="003A5431">
      <w:pPr>
        <w:rPr>
          <w:color w:val="000000"/>
          <w:sz w:val="22"/>
          <w:szCs w:val="22"/>
          <w:lang w:val="sk-SK"/>
        </w:rPr>
      </w:pPr>
    </w:p>
    <w:p w14:paraId="3E648FF4" w14:textId="77777777" w:rsidR="00CF3670" w:rsidRPr="00B4462C" w:rsidRDefault="00CF3670" w:rsidP="003A5431">
      <w:pPr>
        <w:rPr>
          <w:i/>
          <w:color w:val="000000"/>
          <w:sz w:val="22"/>
          <w:szCs w:val="22"/>
          <w:lang w:val="sk-SK"/>
        </w:rPr>
      </w:pPr>
      <w:r w:rsidRPr="00B4462C">
        <w:rPr>
          <w:i/>
          <w:color w:val="000000"/>
          <w:sz w:val="22"/>
          <w:szCs w:val="22"/>
          <w:lang w:val="sk-SK"/>
        </w:rPr>
        <w:t>Rezistencia</w:t>
      </w:r>
    </w:p>
    <w:p w14:paraId="32F36A12" w14:textId="77777777" w:rsidR="00CF3670" w:rsidRPr="00B4462C" w:rsidRDefault="00CF3670" w:rsidP="003A5431">
      <w:pPr>
        <w:rPr>
          <w:sz w:val="22"/>
          <w:szCs w:val="22"/>
          <w:lang w:val="sk-SK"/>
        </w:rPr>
      </w:pPr>
      <w:r w:rsidRPr="00B4462C">
        <w:rPr>
          <w:color w:val="000000"/>
          <w:sz w:val="22"/>
          <w:szCs w:val="22"/>
          <w:lang w:val="sk-SK"/>
        </w:rPr>
        <w:t xml:space="preserve">Počas liečby a po liečbe ciprofloxacínom sa môžu zistiť baktérie rezistentné na ciprofloxacín s alebo bez klinických prejavov superinfekcie. Obzvlášť počas dlhodobej liečby a pri liečbe nozokomiálnych infekcií a/alebo infekcií vyvolaných druhmi </w:t>
      </w:r>
      <w:r w:rsidRPr="00B4462C">
        <w:rPr>
          <w:i/>
          <w:color w:val="000000"/>
          <w:sz w:val="22"/>
          <w:szCs w:val="22"/>
          <w:lang w:val="sk-SK"/>
        </w:rPr>
        <w:t>Staphylococcus</w:t>
      </w:r>
      <w:r w:rsidRPr="00B4462C">
        <w:rPr>
          <w:color w:val="000000"/>
          <w:sz w:val="22"/>
          <w:szCs w:val="22"/>
          <w:lang w:val="sk-SK"/>
        </w:rPr>
        <w:t xml:space="preserve"> a </w:t>
      </w:r>
      <w:r w:rsidRPr="00B4462C">
        <w:rPr>
          <w:i/>
          <w:color w:val="000000"/>
          <w:sz w:val="22"/>
          <w:szCs w:val="22"/>
          <w:lang w:val="sk-SK"/>
        </w:rPr>
        <w:t>Pseudomonas aeruginosa</w:t>
      </w:r>
      <w:r w:rsidRPr="00B4462C">
        <w:rPr>
          <w:color w:val="000000"/>
          <w:sz w:val="22"/>
          <w:szCs w:val="22"/>
          <w:lang w:val="sk-SK"/>
        </w:rPr>
        <w:t xml:space="preserve"> existuje riziko pri selekcii baktérií rezistentných voči ciprofloxacínu. </w:t>
      </w:r>
    </w:p>
    <w:p w14:paraId="3F38F3A1" w14:textId="77777777" w:rsidR="00CF3670" w:rsidRPr="00B4462C" w:rsidRDefault="00CF3670" w:rsidP="003A5431">
      <w:pPr>
        <w:rPr>
          <w:color w:val="000000"/>
          <w:sz w:val="22"/>
          <w:szCs w:val="22"/>
          <w:lang w:val="sk-SK"/>
        </w:rPr>
      </w:pPr>
    </w:p>
    <w:p w14:paraId="06E73F15" w14:textId="77777777" w:rsidR="00CF3670" w:rsidRPr="00B4462C" w:rsidRDefault="00CF3670" w:rsidP="003A5431">
      <w:pPr>
        <w:rPr>
          <w:i/>
          <w:color w:val="000000"/>
          <w:sz w:val="22"/>
          <w:szCs w:val="22"/>
          <w:lang w:val="sk-SK"/>
        </w:rPr>
      </w:pPr>
      <w:r w:rsidRPr="00B4462C">
        <w:rPr>
          <w:i/>
          <w:color w:val="000000"/>
          <w:sz w:val="22"/>
          <w:szCs w:val="22"/>
          <w:lang w:val="sk-SK"/>
        </w:rPr>
        <w:t>Cytochróm P450</w:t>
      </w:r>
    </w:p>
    <w:p w14:paraId="706BC911" w14:textId="77777777" w:rsidR="00CF3670" w:rsidRPr="00B4462C" w:rsidRDefault="00CF3670" w:rsidP="003A5431">
      <w:pPr>
        <w:rPr>
          <w:color w:val="000000"/>
          <w:sz w:val="22"/>
          <w:szCs w:val="22"/>
          <w:lang w:val="sk-SK"/>
        </w:rPr>
      </w:pPr>
      <w:r w:rsidRPr="00B4462C">
        <w:rPr>
          <w:color w:val="000000"/>
          <w:sz w:val="22"/>
          <w:szCs w:val="22"/>
          <w:lang w:val="sk-SK"/>
        </w:rPr>
        <w:t>Ciprofloxacín inhibuje enzým CYP1A2 a tým môže spôsobiť zvýšenie sérovej  koncentrácie súbežne podávaných liečiv, ktoré sú metabolizované týmto enzýmom (napr. teofylín, klozapín, olanzapín, ropinirol, tizanidín, duloxetín</w:t>
      </w:r>
      <w:r>
        <w:rPr>
          <w:color w:val="000000"/>
          <w:sz w:val="22"/>
          <w:szCs w:val="22"/>
          <w:lang w:val="sk-SK"/>
        </w:rPr>
        <w:t>, agomelatín</w:t>
      </w:r>
      <w:r w:rsidRPr="00B4462C">
        <w:rPr>
          <w:color w:val="000000"/>
          <w:sz w:val="22"/>
          <w:szCs w:val="22"/>
          <w:lang w:val="sk-SK"/>
        </w:rPr>
        <w:t>). Súbežné podávanie ciprofloxacínu s tizanidínom je kontraindikované. Z tohto dôvodu majú byť pacienti užívajúci vyššie uvedené liečivá súbežne s ciprofloxacínom pozorne sledovaní pre klinické príznaky predávkovania a môže byť potrebné stanoviť koncentrácie týchto liečiv v sére, najmä teofylínu (pozri časť 4.5).</w:t>
      </w:r>
    </w:p>
    <w:p w14:paraId="720D731B" w14:textId="77777777" w:rsidR="00CF3670" w:rsidRPr="00B4462C" w:rsidRDefault="00CF3670" w:rsidP="003A5431">
      <w:pPr>
        <w:rPr>
          <w:i/>
          <w:color w:val="000000"/>
          <w:sz w:val="22"/>
          <w:szCs w:val="22"/>
          <w:lang w:val="sk-SK"/>
        </w:rPr>
      </w:pPr>
    </w:p>
    <w:p w14:paraId="0905BC3D" w14:textId="77777777" w:rsidR="00CF3670" w:rsidRPr="00B4462C" w:rsidRDefault="00CF3670" w:rsidP="003A5431">
      <w:pPr>
        <w:rPr>
          <w:i/>
          <w:color w:val="000000"/>
          <w:sz w:val="22"/>
          <w:szCs w:val="22"/>
          <w:lang w:val="sk-SK"/>
        </w:rPr>
      </w:pPr>
      <w:r w:rsidRPr="00B4462C">
        <w:rPr>
          <w:i/>
          <w:color w:val="000000"/>
          <w:sz w:val="22"/>
          <w:szCs w:val="22"/>
          <w:lang w:val="sk-SK"/>
        </w:rPr>
        <w:t xml:space="preserve">Metotrexát </w:t>
      </w:r>
    </w:p>
    <w:p w14:paraId="3C131327" w14:textId="77777777" w:rsidR="00CF3670" w:rsidRPr="00B4462C" w:rsidRDefault="00CF3670" w:rsidP="003A5431">
      <w:pPr>
        <w:rPr>
          <w:color w:val="000000"/>
          <w:sz w:val="22"/>
          <w:szCs w:val="22"/>
          <w:lang w:val="sk-SK"/>
        </w:rPr>
      </w:pPr>
      <w:r w:rsidRPr="00B4462C">
        <w:rPr>
          <w:color w:val="000000"/>
          <w:sz w:val="22"/>
          <w:szCs w:val="22"/>
          <w:lang w:val="sk-SK"/>
        </w:rPr>
        <w:t>Súbežné použitie ciprofloxacínu s metotrexátom sa neodporúča (pozri časť 4.5).</w:t>
      </w:r>
    </w:p>
    <w:p w14:paraId="42D29257" w14:textId="77777777" w:rsidR="00CF3670" w:rsidRPr="00B4462C" w:rsidRDefault="00CF3670" w:rsidP="003A5431">
      <w:pPr>
        <w:rPr>
          <w:color w:val="000000"/>
          <w:sz w:val="22"/>
          <w:szCs w:val="22"/>
          <w:lang w:val="sk-SK"/>
        </w:rPr>
      </w:pPr>
    </w:p>
    <w:p w14:paraId="2344DEE9" w14:textId="77777777" w:rsidR="00CF3670" w:rsidRPr="00B4462C" w:rsidRDefault="00CF3670" w:rsidP="003A5431">
      <w:pPr>
        <w:rPr>
          <w:i/>
          <w:color w:val="000000"/>
          <w:sz w:val="22"/>
          <w:szCs w:val="22"/>
          <w:lang w:val="sk-SK"/>
        </w:rPr>
      </w:pPr>
      <w:r w:rsidRPr="00B4462C">
        <w:rPr>
          <w:i/>
          <w:color w:val="000000"/>
          <w:sz w:val="22"/>
          <w:szCs w:val="22"/>
          <w:lang w:val="sk-SK"/>
        </w:rPr>
        <w:t>Interakcie s laboratórnymi vyšetreniami</w:t>
      </w:r>
    </w:p>
    <w:p w14:paraId="2428592D" w14:textId="77777777" w:rsidR="00CF3670" w:rsidRDefault="00CF3670" w:rsidP="003A5431">
      <w:pPr>
        <w:rPr>
          <w:color w:val="000000"/>
          <w:sz w:val="22"/>
          <w:szCs w:val="22"/>
          <w:lang w:val="sk-SK"/>
        </w:rPr>
      </w:pPr>
      <w:r w:rsidRPr="00B4462C">
        <w:rPr>
          <w:i/>
          <w:color w:val="000000"/>
          <w:sz w:val="22"/>
          <w:szCs w:val="22"/>
          <w:lang w:val="sk-SK"/>
        </w:rPr>
        <w:t>In-vitro</w:t>
      </w:r>
      <w:r w:rsidRPr="00B4462C">
        <w:rPr>
          <w:color w:val="000000"/>
          <w:sz w:val="22"/>
          <w:szCs w:val="22"/>
          <w:lang w:val="sk-SK"/>
        </w:rPr>
        <w:t xml:space="preserve"> účinok ciprofloxacínu proti </w:t>
      </w:r>
      <w:r w:rsidRPr="00B4462C">
        <w:rPr>
          <w:i/>
          <w:color w:val="000000"/>
          <w:sz w:val="22"/>
          <w:szCs w:val="22"/>
          <w:lang w:val="sk-SK"/>
        </w:rPr>
        <w:t>Mycobacterium tuberculosis</w:t>
      </w:r>
      <w:r w:rsidRPr="00B4462C">
        <w:rPr>
          <w:color w:val="000000"/>
          <w:sz w:val="22"/>
          <w:szCs w:val="22"/>
          <w:lang w:val="sk-SK"/>
        </w:rPr>
        <w:t xml:space="preserve"> môže viesť k falošne negatívnym výsledkom mikrobiologických testov na vzorkách od pacientov liečených ciprofloxacínom. </w:t>
      </w:r>
    </w:p>
    <w:p w14:paraId="3AF1E698" w14:textId="77777777" w:rsidR="003B482C" w:rsidRDefault="003B482C" w:rsidP="003A5431">
      <w:pPr>
        <w:rPr>
          <w:color w:val="000000"/>
          <w:sz w:val="22"/>
          <w:szCs w:val="22"/>
          <w:lang w:val="sk-SK"/>
        </w:rPr>
      </w:pPr>
    </w:p>
    <w:p w14:paraId="6D28277D" w14:textId="77777777" w:rsidR="003B482C" w:rsidRPr="00A75C0F" w:rsidRDefault="003B482C" w:rsidP="003B482C">
      <w:pPr>
        <w:rPr>
          <w:i/>
          <w:color w:val="000000"/>
          <w:sz w:val="22"/>
          <w:szCs w:val="22"/>
          <w:lang w:val="sk-SK"/>
        </w:rPr>
      </w:pPr>
      <w:r w:rsidRPr="00A75C0F">
        <w:rPr>
          <w:i/>
          <w:color w:val="000000"/>
          <w:sz w:val="22"/>
          <w:szCs w:val="22"/>
          <w:lang w:val="sk-SK"/>
        </w:rPr>
        <w:t>Pomocné látky</w:t>
      </w:r>
    </w:p>
    <w:p w14:paraId="1A88CBC6" w14:textId="77777777" w:rsidR="003B482C" w:rsidRPr="003B482C" w:rsidRDefault="003B482C" w:rsidP="003B482C">
      <w:pPr>
        <w:rPr>
          <w:color w:val="000000"/>
          <w:sz w:val="22"/>
          <w:szCs w:val="22"/>
          <w:lang w:val="sk-SK"/>
        </w:rPr>
      </w:pPr>
      <w:r>
        <w:rPr>
          <w:color w:val="000000"/>
          <w:sz w:val="22"/>
          <w:szCs w:val="22"/>
          <w:lang w:val="sk-SK"/>
        </w:rPr>
        <w:t>S</w:t>
      </w:r>
      <w:r w:rsidRPr="003B482C">
        <w:rPr>
          <w:color w:val="000000"/>
          <w:sz w:val="22"/>
          <w:szCs w:val="22"/>
          <w:lang w:val="sk-SK"/>
        </w:rPr>
        <w:t>odík</w:t>
      </w:r>
    </w:p>
    <w:p w14:paraId="0B433492" w14:textId="77777777" w:rsidR="00CF3670" w:rsidRPr="00A75C0F" w:rsidRDefault="003B482C" w:rsidP="003B482C">
      <w:pPr>
        <w:widowControl w:val="0"/>
        <w:rPr>
          <w:sz w:val="22"/>
          <w:szCs w:val="22"/>
          <w:lang w:val="sk-SK"/>
        </w:rPr>
      </w:pPr>
      <w:r w:rsidRPr="00A75C0F">
        <w:rPr>
          <w:sz w:val="22"/>
          <w:szCs w:val="22"/>
          <w:lang w:val="sk-SK"/>
        </w:rPr>
        <w:t>Tento liek obsahuje menej ako 1 mmol sodíka (23 mg) t.j. v podstate zanedbateľné množstvo sodíka.</w:t>
      </w:r>
    </w:p>
    <w:p w14:paraId="2C44748C" w14:textId="2591C7A3" w:rsidR="00A479C2" w:rsidRDefault="00A479C2">
      <w:pPr>
        <w:rPr>
          <w:b/>
          <w:sz w:val="22"/>
          <w:szCs w:val="22"/>
          <w:lang w:val="sk-SK"/>
        </w:rPr>
      </w:pPr>
      <w:r>
        <w:rPr>
          <w:b/>
          <w:sz w:val="22"/>
          <w:szCs w:val="22"/>
          <w:lang w:val="sk-SK"/>
        </w:rPr>
        <w:br w:type="page"/>
      </w:r>
    </w:p>
    <w:p w14:paraId="64A46D0A" w14:textId="77777777" w:rsidR="003B482C" w:rsidRPr="00B4462C" w:rsidRDefault="003B482C" w:rsidP="003B482C">
      <w:pPr>
        <w:widowControl w:val="0"/>
        <w:rPr>
          <w:b/>
          <w:sz w:val="22"/>
          <w:szCs w:val="22"/>
          <w:lang w:val="sk-SK"/>
        </w:rPr>
      </w:pPr>
    </w:p>
    <w:p w14:paraId="5937D87A" w14:textId="77777777" w:rsidR="00CF3670" w:rsidRPr="00B4462C" w:rsidRDefault="00CF3670" w:rsidP="00B65191">
      <w:pPr>
        <w:widowControl w:val="0"/>
        <w:tabs>
          <w:tab w:val="left" w:pos="567"/>
        </w:tabs>
        <w:rPr>
          <w:sz w:val="22"/>
          <w:szCs w:val="22"/>
          <w:lang w:val="sk-SK"/>
        </w:rPr>
      </w:pPr>
      <w:r w:rsidRPr="00B4462C">
        <w:rPr>
          <w:b/>
          <w:sz w:val="22"/>
          <w:szCs w:val="22"/>
          <w:lang w:val="sk-SK"/>
        </w:rPr>
        <w:t>4.5</w:t>
      </w:r>
      <w:r w:rsidRPr="00B4462C">
        <w:rPr>
          <w:b/>
          <w:sz w:val="22"/>
          <w:szCs w:val="22"/>
          <w:lang w:val="sk-SK"/>
        </w:rPr>
        <w:tab/>
        <w:t xml:space="preserve">Liekové a iné interakcie </w:t>
      </w:r>
    </w:p>
    <w:p w14:paraId="4E78B44F" w14:textId="77777777" w:rsidR="00CF3670" w:rsidRPr="00B4462C" w:rsidRDefault="00CF3670" w:rsidP="00B65191">
      <w:pPr>
        <w:widowControl w:val="0"/>
        <w:rPr>
          <w:sz w:val="22"/>
          <w:szCs w:val="22"/>
          <w:lang w:val="sk-SK"/>
        </w:rPr>
      </w:pPr>
    </w:p>
    <w:p w14:paraId="07AA1B6F" w14:textId="77777777" w:rsidR="00CF3670" w:rsidRPr="00B4462C" w:rsidRDefault="00CF3670" w:rsidP="00D824D9">
      <w:pPr>
        <w:tabs>
          <w:tab w:val="left" w:pos="8505"/>
        </w:tabs>
        <w:ind w:right="566"/>
        <w:rPr>
          <w:i/>
          <w:color w:val="000000"/>
          <w:sz w:val="22"/>
          <w:szCs w:val="22"/>
          <w:u w:val="single"/>
          <w:lang w:val="sk-SK"/>
        </w:rPr>
      </w:pPr>
      <w:r w:rsidRPr="00B4462C">
        <w:rPr>
          <w:i/>
          <w:color w:val="000000"/>
          <w:sz w:val="22"/>
          <w:szCs w:val="22"/>
          <w:u w:val="single"/>
          <w:lang w:val="sk-SK"/>
        </w:rPr>
        <w:t>Účinok iných liekov na ciprofloxacín:</w:t>
      </w:r>
    </w:p>
    <w:p w14:paraId="23EB37E9" w14:textId="77777777" w:rsidR="00CF3670" w:rsidRPr="00B4462C" w:rsidRDefault="00CF3670" w:rsidP="00D824D9">
      <w:pPr>
        <w:tabs>
          <w:tab w:val="left" w:pos="8505"/>
        </w:tabs>
        <w:ind w:right="566"/>
        <w:rPr>
          <w:i/>
          <w:color w:val="000000"/>
          <w:sz w:val="22"/>
          <w:szCs w:val="22"/>
          <w:lang w:val="sk-SK"/>
        </w:rPr>
      </w:pPr>
    </w:p>
    <w:p w14:paraId="71B644F2"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Tvorba chelátových komplexov</w:t>
      </w:r>
    </w:p>
    <w:p w14:paraId="787FFF4E" w14:textId="77777777" w:rsidR="00CF3670" w:rsidRPr="00B4462C" w:rsidRDefault="00CF3670" w:rsidP="00D824D9">
      <w:pPr>
        <w:tabs>
          <w:tab w:val="left" w:pos="8505"/>
        </w:tabs>
        <w:ind w:right="566"/>
        <w:rPr>
          <w:i/>
          <w:color w:val="000000"/>
          <w:sz w:val="22"/>
          <w:szCs w:val="22"/>
          <w:lang w:val="sk-SK"/>
        </w:rPr>
      </w:pPr>
      <w:r w:rsidRPr="00B4462C">
        <w:rPr>
          <w:color w:val="000000"/>
          <w:sz w:val="22"/>
          <w:szCs w:val="22"/>
          <w:lang w:val="sk-SK"/>
        </w:rPr>
        <w:t>Pri súbežnom p.o. podávaní ciprofloxacínu s liečivami a minerálnymi doplnkami obsahujúcimi polyvalentné katióny (napr. kalcium, magnézium, hliník, železo), polymérnymi viazačmi fosfátov (napr. sevelamer), sukralfátom alebo antacidami a vysoko pufrovanými liečivami (napr. tablety didanozínu) obsahujúcimi magnézium, hliník alebo kalcium je absorpcia ciprofloxacínu znížená. Ciprofloxacin-Teva sa má preto podávať buď 1-2 hodiny pred alebo minimálne 4 hodiny po užití vyššie uvedených liekov. Toto obmedzenie neplatí pre antacidá zo skupiny blokátorov H</w:t>
      </w:r>
      <w:r w:rsidRPr="00B4462C">
        <w:rPr>
          <w:color w:val="000000"/>
          <w:sz w:val="22"/>
          <w:szCs w:val="22"/>
          <w:vertAlign w:val="subscript"/>
          <w:lang w:val="sk-SK"/>
        </w:rPr>
        <w:t>2</w:t>
      </w:r>
      <w:r w:rsidRPr="00B4462C">
        <w:rPr>
          <w:color w:val="000000"/>
          <w:sz w:val="22"/>
          <w:szCs w:val="22"/>
          <w:lang w:val="sk-SK"/>
        </w:rPr>
        <w:t xml:space="preserve"> receptorov. </w:t>
      </w:r>
      <w:r w:rsidRPr="00B4462C">
        <w:rPr>
          <w:color w:val="000000"/>
          <w:sz w:val="22"/>
          <w:szCs w:val="22"/>
          <w:lang w:val="sk-SK"/>
        </w:rPr>
        <w:br/>
      </w:r>
      <w:r w:rsidRPr="00B4462C">
        <w:rPr>
          <w:color w:val="000000"/>
          <w:sz w:val="22"/>
          <w:szCs w:val="22"/>
          <w:lang w:val="sk-SK"/>
        </w:rPr>
        <w:br/>
      </w:r>
      <w:r w:rsidRPr="00B4462C">
        <w:rPr>
          <w:i/>
          <w:color w:val="000000"/>
          <w:sz w:val="22"/>
          <w:szCs w:val="22"/>
          <w:lang w:val="sk-SK"/>
        </w:rPr>
        <w:t>Jedlo a mliečne výrobky</w:t>
      </w:r>
    </w:p>
    <w:p w14:paraId="61725C3A"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Jedlo s obsahom kalcia významne neovplyvňuje absorpciu. Súbežnému podávaniu mliečnych výrobkov alebo nápojov bohatých na minerály (napr. mlieko, jogurt, pomarančový džús obsahujúci kalcium) s ciprofloxacín je však potrebné sa vyhnúť, pretože absorpcia ciprofloxacínu môže byť znížená.</w:t>
      </w:r>
    </w:p>
    <w:p w14:paraId="7B4917E0" w14:textId="77777777" w:rsidR="00CF3670" w:rsidRDefault="00CF3670" w:rsidP="00D824D9">
      <w:pPr>
        <w:tabs>
          <w:tab w:val="left" w:pos="8505"/>
        </w:tabs>
        <w:ind w:right="566"/>
        <w:rPr>
          <w:color w:val="000000"/>
          <w:sz w:val="22"/>
          <w:szCs w:val="22"/>
          <w:lang w:val="sk-SK"/>
        </w:rPr>
      </w:pPr>
    </w:p>
    <w:p w14:paraId="3E25E16A" w14:textId="77777777" w:rsidR="00CF3670" w:rsidRPr="00B4462C" w:rsidRDefault="00CF3670" w:rsidP="0063036B">
      <w:pPr>
        <w:widowControl w:val="0"/>
        <w:rPr>
          <w:i/>
          <w:sz w:val="22"/>
          <w:szCs w:val="22"/>
          <w:lang w:val="sk-SK"/>
        </w:rPr>
      </w:pPr>
      <w:r w:rsidRPr="00B4462C">
        <w:rPr>
          <w:i/>
          <w:sz w:val="22"/>
          <w:szCs w:val="22"/>
          <w:lang w:val="sk-SK"/>
        </w:rPr>
        <w:t>Lieky o ktorých je známe, že  predlžujú QT interval</w:t>
      </w:r>
    </w:p>
    <w:p w14:paraId="4E456EDB" w14:textId="2AAD7058" w:rsidR="00CF3670" w:rsidRPr="00B4462C" w:rsidRDefault="00CF3670" w:rsidP="0063036B">
      <w:pPr>
        <w:pStyle w:val="Text"/>
        <w:ind w:left="0"/>
        <w:rPr>
          <w:lang w:val="sk-SK"/>
        </w:rPr>
      </w:pPr>
      <w:r w:rsidRPr="00B4462C">
        <w:rPr>
          <w:lang w:val="sk-SK"/>
        </w:rPr>
        <w:t xml:space="preserve">Ciprofloxacin, podobne ako iné </w:t>
      </w:r>
      <w:r w:rsidR="00DA279A">
        <w:rPr>
          <w:lang w:val="sk-SK"/>
        </w:rPr>
        <w:t>fluórchin</w:t>
      </w:r>
      <w:r w:rsidRPr="00B4462C">
        <w:rPr>
          <w:lang w:val="sk-SK"/>
        </w:rPr>
        <w:t>olóny</w:t>
      </w:r>
      <w:r>
        <w:rPr>
          <w:lang w:val="sk-SK"/>
        </w:rPr>
        <w:t>,</w:t>
      </w:r>
      <w:r w:rsidRPr="00B4462C">
        <w:rPr>
          <w:lang w:val="sk-SK"/>
        </w:rPr>
        <w:t xml:space="preserve"> sa majú užívať s opatrnosťou u pacientov užívajúcich lieky</w:t>
      </w:r>
      <w:r>
        <w:rPr>
          <w:lang w:val="sk-SK"/>
        </w:rPr>
        <w:t>,</w:t>
      </w:r>
      <w:r w:rsidRPr="00B4462C">
        <w:rPr>
          <w:lang w:val="sk-SK"/>
        </w:rPr>
        <w:t xml:space="preserve"> o ktorých je známe, že predlžujú QT interval (napr. antiarytmiká triedy IA a III, tricyklické antidepresíva, makrolidy, antipsychotiká) (pozri časť 4.4).</w:t>
      </w:r>
    </w:p>
    <w:p w14:paraId="58BAAF1C" w14:textId="77777777" w:rsidR="00CF3670" w:rsidRPr="00B4462C" w:rsidRDefault="00CF3670" w:rsidP="0063036B">
      <w:pPr>
        <w:tabs>
          <w:tab w:val="left" w:pos="8505"/>
        </w:tabs>
        <w:ind w:right="566"/>
        <w:rPr>
          <w:i/>
          <w:color w:val="000000"/>
          <w:sz w:val="22"/>
          <w:szCs w:val="22"/>
          <w:lang w:val="sk-SK"/>
        </w:rPr>
      </w:pPr>
    </w:p>
    <w:p w14:paraId="0CDCA010" w14:textId="77777777" w:rsidR="00CF3670" w:rsidRPr="00B4462C" w:rsidRDefault="00CF3670" w:rsidP="00D824D9">
      <w:pPr>
        <w:tabs>
          <w:tab w:val="left" w:pos="8505"/>
        </w:tabs>
        <w:ind w:right="566"/>
        <w:rPr>
          <w:color w:val="000000"/>
          <w:sz w:val="22"/>
          <w:szCs w:val="22"/>
          <w:lang w:val="sk-SK"/>
        </w:rPr>
      </w:pPr>
    </w:p>
    <w:p w14:paraId="06F545F4" w14:textId="77777777" w:rsidR="00CF3670" w:rsidRPr="00B4462C" w:rsidRDefault="00CF3670" w:rsidP="00D824D9">
      <w:pPr>
        <w:tabs>
          <w:tab w:val="left" w:pos="8505"/>
        </w:tabs>
        <w:ind w:right="566"/>
        <w:rPr>
          <w:color w:val="000000"/>
          <w:sz w:val="22"/>
          <w:szCs w:val="22"/>
          <w:lang w:val="sk-SK"/>
        </w:rPr>
      </w:pPr>
      <w:r w:rsidRPr="00B4462C">
        <w:rPr>
          <w:i/>
          <w:color w:val="000000"/>
          <w:sz w:val="22"/>
          <w:szCs w:val="22"/>
          <w:lang w:val="sk-SK"/>
        </w:rPr>
        <w:t xml:space="preserve">Probenecid </w:t>
      </w:r>
      <w:r w:rsidRPr="00B4462C">
        <w:rPr>
          <w:color w:val="000000"/>
          <w:sz w:val="22"/>
          <w:szCs w:val="22"/>
          <w:lang w:val="sk-SK"/>
        </w:rPr>
        <w:br/>
        <w:t>Probenecid inhibuje vylučovanie ciprofloxacínu obličkami. Súbežné podávanie probenecidu a ciprofloxacínu zvyšuje sérové koncentrácie ciprofloxacínu.</w:t>
      </w:r>
    </w:p>
    <w:p w14:paraId="0A8967B4" w14:textId="77777777" w:rsidR="00CF3670" w:rsidRPr="00B4462C" w:rsidRDefault="00CF3670" w:rsidP="00D824D9">
      <w:pPr>
        <w:tabs>
          <w:tab w:val="left" w:pos="8505"/>
        </w:tabs>
        <w:ind w:right="566"/>
        <w:rPr>
          <w:color w:val="000000"/>
          <w:sz w:val="22"/>
          <w:szCs w:val="22"/>
          <w:lang w:val="sk-SK"/>
        </w:rPr>
      </w:pPr>
    </w:p>
    <w:p w14:paraId="545C117F"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Metoklopramid</w:t>
      </w:r>
    </w:p>
    <w:p w14:paraId="6B181C50"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Metoklopramid urýchľuje absorpciu ciprofloxacínu (perorálneho)</w:t>
      </w:r>
      <w:r>
        <w:rPr>
          <w:color w:val="000000"/>
          <w:sz w:val="22"/>
          <w:szCs w:val="22"/>
          <w:lang w:val="sk-SK"/>
        </w:rPr>
        <w:t xml:space="preserve">, čoho dôsledkom je kratší čas </w:t>
      </w:r>
      <w:r w:rsidRPr="00B4462C">
        <w:rPr>
          <w:color w:val="000000"/>
          <w:sz w:val="22"/>
          <w:szCs w:val="22"/>
          <w:lang w:val="sk-SK"/>
        </w:rPr>
        <w:t xml:space="preserve"> dosiahnutia maximálnych plazmatických koncentrácií. Žiadny účinok nebol pozorovaný na biodostupnosť ciprofloxacínu.</w:t>
      </w:r>
    </w:p>
    <w:p w14:paraId="1703077A" w14:textId="77777777" w:rsidR="00CF3670" w:rsidRPr="00B4462C" w:rsidRDefault="00CF3670" w:rsidP="00D824D9">
      <w:pPr>
        <w:tabs>
          <w:tab w:val="left" w:pos="8505"/>
        </w:tabs>
        <w:ind w:right="566"/>
        <w:rPr>
          <w:color w:val="000000"/>
          <w:sz w:val="22"/>
          <w:szCs w:val="22"/>
          <w:lang w:val="sk-SK"/>
        </w:rPr>
      </w:pPr>
    </w:p>
    <w:p w14:paraId="6A4281B3"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Omeprazol</w:t>
      </w:r>
    </w:p>
    <w:p w14:paraId="14769A94"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 xml:space="preserve">Súbežné podávanie </w:t>
      </w:r>
      <w:r>
        <w:rPr>
          <w:color w:val="000000"/>
          <w:sz w:val="22"/>
          <w:szCs w:val="22"/>
          <w:lang w:val="sk-SK"/>
        </w:rPr>
        <w:t xml:space="preserve">liekov obsahujúcich </w:t>
      </w:r>
      <w:r w:rsidRPr="00B4462C">
        <w:rPr>
          <w:color w:val="000000"/>
          <w:sz w:val="22"/>
          <w:szCs w:val="22"/>
          <w:lang w:val="sk-SK"/>
        </w:rPr>
        <w:t>ciprofloxacín a omeprazol ved</w:t>
      </w:r>
      <w:r>
        <w:rPr>
          <w:color w:val="000000"/>
          <w:sz w:val="22"/>
          <w:szCs w:val="22"/>
          <w:lang w:val="sk-SK"/>
        </w:rPr>
        <w:t>ie</w:t>
      </w:r>
      <w:r w:rsidRPr="00B4462C">
        <w:rPr>
          <w:color w:val="000000"/>
          <w:sz w:val="22"/>
          <w:szCs w:val="22"/>
          <w:lang w:val="sk-SK"/>
        </w:rPr>
        <w:t xml:space="preserve"> k miernemu zníženiu </w:t>
      </w:r>
      <w:r>
        <w:rPr>
          <w:color w:val="000000"/>
          <w:sz w:val="22"/>
          <w:szCs w:val="22"/>
          <w:lang w:val="sk-SK"/>
        </w:rPr>
        <w:t xml:space="preserve">hodnôt </w:t>
      </w:r>
      <w:r w:rsidRPr="00B4462C">
        <w:rPr>
          <w:color w:val="000000"/>
          <w:sz w:val="22"/>
          <w:szCs w:val="22"/>
          <w:lang w:val="sk-SK"/>
        </w:rPr>
        <w:t>C</w:t>
      </w:r>
      <w:r w:rsidRPr="00B4462C">
        <w:rPr>
          <w:color w:val="000000"/>
          <w:sz w:val="22"/>
          <w:szCs w:val="22"/>
          <w:vertAlign w:val="subscript"/>
          <w:lang w:val="sk-SK"/>
        </w:rPr>
        <w:t>max</w:t>
      </w:r>
      <w:r w:rsidRPr="00B4462C">
        <w:rPr>
          <w:color w:val="000000"/>
          <w:sz w:val="22"/>
          <w:szCs w:val="22"/>
          <w:lang w:val="sk-SK"/>
        </w:rPr>
        <w:t xml:space="preserve"> a AUC ciprofloxacínu.  </w:t>
      </w:r>
    </w:p>
    <w:p w14:paraId="2514DE7C" w14:textId="77777777" w:rsidR="00CF3670" w:rsidRPr="00B4462C" w:rsidRDefault="00CF3670" w:rsidP="00D824D9">
      <w:pPr>
        <w:tabs>
          <w:tab w:val="left" w:pos="8505"/>
        </w:tabs>
        <w:ind w:right="566"/>
        <w:rPr>
          <w:color w:val="000000"/>
          <w:sz w:val="22"/>
          <w:szCs w:val="22"/>
          <w:lang w:val="sk-SK"/>
        </w:rPr>
      </w:pPr>
    </w:p>
    <w:p w14:paraId="2CA7EFCC" w14:textId="77777777" w:rsidR="00CF3670" w:rsidRPr="00B4462C" w:rsidRDefault="00CF3670" w:rsidP="00D824D9">
      <w:pPr>
        <w:tabs>
          <w:tab w:val="left" w:pos="8505"/>
        </w:tabs>
        <w:ind w:right="566"/>
        <w:rPr>
          <w:i/>
          <w:color w:val="000000"/>
          <w:sz w:val="22"/>
          <w:szCs w:val="22"/>
          <w:u w:val="single"/>
          <w:lang w:val="sk-SK"/>
        </w:rPr>
      </w:pPr>
      <w:r w:rsidRPr="00B4462C">
        <w:rPr>
          <w:i/>
          <w:color w:val="000000"/>
          <w:sz w:val="22"/>
          <w:szCs w:val="22"/>
          <w:u w:val="single"/>
          <w:lang w:val="sk-SK"/>
        </w:rPr>
        <w:t>Účinok ciprofloxacínu na iné lieky:</w:t>
      </w:r>
    </w:p>
    <w:p w14:paraId="41A73A27" w14:textId="77777777" w:rsidR="00CF3670" w:rsidRPr="00B4462C" w:rsidRDefault="00CF3670" w:rsidP="00D824D9">
      <w:pPr>
        <w:tabs>
          <w:tab w:val="left" w:pos="8505"/>
        </w:tabs>
        <w:ind w:right="566"/>
        <w:rPr>
          <w:color w:val="000000"/>
          <w:sz w:val="22"/>
          <w:szCs w:val="22"/>
          <w:lang w:val="sk-SK"/>
        </w:rPr>
      </w:pPr>
    </w:p>
    <w:p w14:paraId="476ECA3A"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Tizanidín</w:t>
      </w:r>
    </w:p>
    <w:p w14:paraId="0050E7AB"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Tizanidín sa nesmie podávať spolu s ciprofloxacínom (pozri časť 4.3). V klinickej štúdii na zdravých osobách sa pri súbežnom podávaní s ciprofloxacínom pozorovalo zvýšenie sérovej koncentrácie tizanidínu (nárast C</w:t>
      </w:r>
      <w:r w:rsidRPr="00B4462C">
        <w:rPr>
          <w:color w:val="000000"/>
          <w:sz w:val="22"/>
          <w:szCs w:val="22"/>
          <w:vertAlign w:val="subscript"/>
          <w:lang w:val="sk-SK"/>
        </w:rPr>
        <w:t>max</w:t>
      </w:r>
      <w:r w:rsidRPr="00B4462C">
        <w:rPr>
          <w:color w:val="000000"/>
          <w:sz w:val="22"/>
          <w:szCs w:val="22"/>
          <w:lang w:val="sk-SK"/>
        </w:rPr>
        <w:t>: 7-násobný, rozsah: 4 až 21 násobne; nárast AUC:</w:t>
      </w:r>
    </w:p>
    <w:p w14:paraId="3AD4415F"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10-násobne, rozsah: 6 až 24- násobne). Zvýšenie sérovej koncentrácie tizanidínu môže viesť k zosilneniu hypotenzného a sedatívneho účinku.</w:t>
      </w:r>
    </w:p>
    <w:p w14:paraId="7BDCA078" w14:textId="77777777" w:rsidR="00CF3670" w:rsidRPr="00B4462C" w:rsidRDefault="00CF3670" w:rsidP="00D824D9">
      <w:pPr>
        <w:tabs>
          <w:tab w:val="left" w:pos="8505"/>
        </w:tabs>
        <w:ind w:right="566"/>
        <w:rPr>
          <w:color w:val="000000"/>
          <w:sz w:val="22"/>
          <w:szCs w:val="22"/>
          <w:lang w:val="sk-SK"/>
        </w:rPr>
      </w:pPr>
    </w:p>
    <w:p w14:paraId="5A050458"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Metotrexát</w:t>
      </w:r>
    </w:p>
    <w:p w14:paraId="0D847B6A"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Renálny tubulárny transport metotrexátu môže byť inhibovaný súbežným podávaním ciprofloxacínu, čo by mohlo viesť k zvýšeniu plazmatických hladín metotrexátu. To môže zvyšovať riziko toxických reakcií v súvislosti s metotrexátom. Súbežné podávanie sa neodporúča (pozri časť 4.4).</w:t>
      </w:r>
    </w:p>
    <w:p w14:paraId="2E7F4403" w14:textId="77777777" w:rsidR="00CF3670" w:rsidRPr="00B4462C" w:rsidRDefault="00CF3670" w:rsidP="00D824D9">
      <w:pPr>
        <w:tabs>
          <w:tab w:val="left" w:pos="8505"/>
        </w:tabs>
        <w:ind w:right="566"/>
        <w:rPr>
          <w:color w:val="000000"/>
          <w:sz w:val="22"/>
          <w:szCs w:val="22"/>
          <w:lang w:val="sk-SK"/>
        </w:rPr>
      </w:pPr>
    </w:p>
    <w:p w14:paraId="6360EAE6"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Teofylín</w:t>
      </w:r>
    </w:p>
    <w:p w14:paraId="18206228"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Súbežné podávanie ciprofloxacínu a teofylínu môže spôsobiť nežiaduce zvýšenie sérovej koncentrácie teofylínu. To môže viesť k vedľajším účinkom vyvolaných teofylínom, ktoré môžu byť v zriedkavých prípadoch život ohrozujúce alebo fatálne. Počas súbežného užívania sa majú kontrolovať sérové koncentrácie teofylínu a podľa potreby sa má znížiť dávka teofylínu (pozri časť 4.4).</w:t>
      </w:r>
    </w:p>
    <w:p w14:paraId="2D6261E3" w14:textId="77777777" w:rsidR="00CF3670" w:rsidRPr="00B4462C" w:rsidRDefault="00CF3670" w:rsidP="00D824D9">
      <w:pPr>
        <w:tabs>
          <w:tab w:val="left" w:pos="8505"/>
        </w:tabs>
        <w:ind w:right="566"/>
        <w:rPr>
          <w:color w:val="000000"/>
          <w:sz w:val="22"/>
          <w:szCs w:val="22"/>
          <w:lang w:val="sk-SK"/>
        </w:rPr>
      </w:pPr>
    </w:p>
    <w:p w14:paraId="325214A3"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Iné xantínové deriváty</w:t>
      </w:r>
    </w:p>
    <w:p w14:paraId="11EE7C85"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Počas súbežného podávania ciprofloxacínu a kofeínu alebo pentoxifylínu (oxpentifylínu) boli zaznamenané zvýšené sérové koncentrácie týchto xantínových derivátov.</w:t>
      </w:r>
    </w:p>
    <w:p w14:paraId="052BC2DA" w14:textId="77777777" w:rsidR="00CF3670" w:rsidRPr="00B4462C" w:rsidRDefault="00CF3670" w:rsidP="00B65191">
      <w:pPr>
        <w:widowControl w:val="0"/>
        <w:rPr>
          <w:i/>
          <w:sz w:val="22"/>
          <w:szCs w:val="22"/>
          <w:lang w:val="sk-SK"/>
        </w:rPr>
      </w:pPr>
    </w:p>
    <w:p w14:paraId="7ADED213" w14:textId="77777777" w:rsidR="00CF3670" w:rsidRPr="00B4462C" w:rsidRDefault="00CF3670" w:rsidP="00B65191">
      <w:pPr>
        <w:widowControl w:val="0"/>
        <w:rPr>
          <w:i/>
          <w:sz w:val="22"/>
          <w:szCs w:val="22"/>
          <w:lang w:val="sk-SK"/>
        </w:rPr>
      </w:pPr>
      <w:r w:rsidRPr="00B4462C">
        <w:rPr>
          <w:i/>
          <w:iCs/>
          <w:sz w:val="22"/>
          <w:szCs w:val="22"/>
          <w:lang w:val="sk-SK"/>
        </w:rPr>
        <w:t>Fenytoín</w:t>
      </w:r>
    </w:p>
    <w:p w14:paraId="512E1B89" w14:textId="77777777" w:rsidR="00CF3670" w:rsidRPr="00B4462C" w:rsidRDefault="00CF3670" w:rsidP="00B65191">
      <w:pPr>
        <w:widowControl w:val="0"/>
        <w:rPr>
          <w:iCs/>
          <w:sz w:val="22"/>
          <w:szCs w:val="22"/>
          <w:lang w:val="sk-SK"/>
        </w:rPr>
      </w:pPr>
      <w:r w:rsidRPr="00B4462C">
        <w:rPr>
          <w:sz w:val="22"/>
          <w:szCs w:val="22"/>
          <w:lang w:val="sk-SK"/>
        </w:rPr>
        <w:t xml:space="preserve">Súbežné podávanie ciprofloxacínu </w:t>
      </w:r>
      <w:r w:rsidRPr="00B4462C">
        <w:rPr>
          <w:iCs/>
          <w:sz w:val="22"/>
          <w:szCs w:val="22"/>
          <w:lang w:val="sk-SK"/>
        </w:rPr>
        <w:t>a fenytoínu môže mať za následok zvýšené alebo znížené hladiny fenytoínu v sére, a preto sa odporúča sledovanie hladín fenytoínu.</w:t>
      </w:r>
    </w:p>
    <w:p w14:paraId="70E341B1" w14:textId="77777777" w:rsidR="00CF3670" w:rsidRPr="00B4462C" w:rsidRDefault="00CF3670" w:rsidP="00B65191">
      <w:pPr>
        <w:widowControl w:val="0"/>
        <w:rPr>
          <w:iCs/>
          <w:sz w:val="22"/>
          <w:szCs w:val="22"/>
          <w:lang w:val="sk-SK"/>
        </w:rPr>
      </w:pPr>
    </w:p>
    <w:p w14:paraId="595C04DB" w14:textId="77777777" w:rsidR="00CF3670" w:rsidRPr="00B4462C" w:rsidRDefault="00CF3670" w:rsidP="00B65191">
      <w:pPr>
        <w:widowControl w:val="0"/>
        <w:rPr>
          <w:i/>
          <w:iCs/>
          <w:sz w:val="22"/>
          <w:szCs w:val="22"/>
          <w:lang w:val="sk-SK"/>
        </w:rPr>
      </w:pPr>
      <w:r w:rsidRPr="00B4462C">
        <w:rPr>
          <w:i/>
          <w:iCs/>
          <w:sz w:val="22"/>
          <w:szCs w:val="22"/>
          <w:lang w:val="sk-SK"/>
        </w:rPr>
        <w:t>Cyklosporín</w:t>
      </w:r>
    </w:p>
    <w:p w14:paraId="3A333294" w14:textId="77777777" w:rsidR="00CF3670" w:rsidRPr="00B4462C" w:rsidRDefault="00CF3670" w:rsidP="00B65191">
      <w:pPr>
        <w:widowControl w:val="0"/>
        <w:rPr>
          <w:sz w:val="22"/>
          <w:szCs w:val="22"/>
          <w:lang w:val="sk-SK"/>
        </w:rPr>
      </w:pPr>
      <w:r w:rsidRPr="00B4462C">
        <w:rPr>
          <w:sz w:val="22"/>
          <w:szCs w:val="22"/>
          <w:lang w:val="sk-SK"/>
        </w:rPr>
        <w:t>Prechodné zvýšenie koncentrácie sérového kreatinínu bolo pozorované</w:t>
      </w:r>
      <w:r>
        <w:rPr>
          <w:sz w:val="22"/>
          <w:szCs w:val="22"/>
          <w:lang w:val="sk-SK"/>
        </w:rPr>
        <w:t>,</w:t>
      </w:r>
      <w:r w:rsidRPr="00B4462C">
        <w:rPr>
          <w:sz w:val="22"/>
          <w:szCs w:val="22"/>
          <w:lang w:val="sk-SK"/>
        </w:rPr>
        <w:t xml:space="preserve"> keď sa lieky obsahujúce ciprofloxacín a cyklosporín podávali súbežne. Preto je u týchto pacientov </w:t>
      </w:r>
      <w:r>
        <w:rPr>
          <w:sz w:val="22"/>
          <w:szCs w:val="22"/>
          <w:lang w:val="sk-SK"/>
        </w:rPr>
        <w:t xml:space="preserve">potrebné </w:t>
      </w:r>
      <w:r w:rsidRPr="00B4462C">
        <w:rPr>
          <w:sz w:val="22"/>
          <w:szCs w:val="22"/>
          <w:lang w:val="sk-SK"/>
        </w:rPr>
        <w:t>často (dvakrát týždenne) kontrolovať koncentráciu sérového kreatinínu.</w:t>
      </w:r>
    </w:p>
    <w:p w14:paraId="59283C9E" w14:textId="77777777" w:rsidR="00CF3670" w:rsidRPr="00B4462C" w:rsidRDefault="00CF3670" w:rsidP="00B65191">
      <w:pPr>
        <w:widowControl w:val="0"/>
        <w:rPr>
          <w:sz w:val="22"/>
          <w:szCs w:val="22"/>
          <w:lang w:val="sk-SK"/>
        </w:rPr>
      </w:pPr>
      <w:r w:rsidRPr="00B4462C">
        <w:rPr>
          <w:sz w:val="22"/>
          <w:szCs w:val="22"/>
          <w:lang w:val="sk-SK"/>
        </w:rPr>
        <w:t xml:space="preserve"> </w:t>
      </w:r>
    </w:p>
    <w:p w14:paraId="77AA65F7" w14:textId="77777777" w:rsidR="00CF3670" w:rsidRPr="00B4462C" w:rsidRDefault="00CF3670" w:rsidP="00D824D9">
      <w:pPr>
        <w:tabs>
          <w:tab w:val="left" w:pos="8505"/>
        </w:tabs>
        <w:ind w:right="566"/>
        <w:rPr>
          <w:color w:val="000000"/>
          <w:sz w:val="22"/>
          <w:szCs w:val="22"/>
          <w:lang w:val="sk-SK"/>
        </w:rPr>
      </w:pPr>
      <w:r w:rsidRPr="00B4462C">
        <w:rPr>
          <w:i/>
          <w:color w:val="000000"/>
          <w:sz w:val="22"/>
          <w:szCs w:val="22"/>
          <w:lang w:val="sk-SK"/>
        </w:rPr>
        <w:t xml:space="preserve">Antagonisty vitamínu K </w:t>
      </w:r>
      <w:r w:rsidRPr="00B4462C">
        <w:rPr>
          <w:i/>
          <w:color w:val="000000"/>
          <w:sz w:val="22"/>
          <w:szCs w:val="22"/>
          <w:lang w:val="sk-SK"/>
        </w:rPr>
        <w:br/>
      </w:r>
      <w:r w:rsidRPr="00B4462C">
        <w:rPr>
          <w:color w:val="000000"/>
          <w:sz w:val="22"/>
          <w:szCs w:val="22"/>
          <w:lang w:val="sk-SK"/>
        </w:rPr>
        <w:t>Súbežné podávanie ciprofloxacínu s antagonistami vitamínu K môže zosilňovať jeho antikoagulačné účinky. Riziko závisí od základnej infekcie, veku a celkového stavu pacienta, preto je ťažké posúdiť, ako</w:t>
      </w:r>
      <w:r>
        <w:rPr>
          <w:color w:val="000000"/>
          <w:sz w:val="22"/>
          <w:szCs w:val="22"/>
          <w:lang w:val="sk-SK"/>
        </w:rPr>
        <w:t>u</w:t>
      </w:r>
      <w:r w:rsidRPr="00B4462C">
        <w:rPr>
          <w:color w:val="000000"/>
          <w:sz w:val="22"/>
          <w:szCs w:val="22"/>
          <w:lang w:val="sk-SK"/>
        </w:rPr>
        <w:t xml:space="preserve"> mierou prispieva ciprofloxacín k zvýšeniu INR (international normalized ratio). Počas liečby a krátko po súbežnom podávaní ciprofloxacínu s antagonistami vitamínu K (napr. warfarínom, acetokumarolom,</w:t>
      </w:r>
      <w:r>
        <w:rPr>
          <w:color w:val="000000"/>
          <w:sz w:val="22"/>
          <w:szCs w:val="22"/>
          <w:lang w:val="sk-SK"/>
        </w:rPr>
        <w:t xml:space="preserve"> </w:t>
      </w:r>
      <w:r w:rsidRPr="00B4462C">
        <w:rPr>
          <w:color w:val="000000"/>
          <w:sz w:val="22"/>
          <w:szCs w:val="22"/>
          <w:lang w:val="sk-SK"/>
        </w:rPr>
        <w:t xml:space="preserve">fenprokumonom alebo fluindionom) sa </w:t>
      </w:r>
      <w:r>
        <w:rPr>
          <w:color w:val="000000"/>
          <w:sz w:val="22"/>
          <w:szCs w:val="22"/>
          <w:lang w:val="sk-SK"/>
        </w:rPr>
        <w:t>má</w:t>
      </w:r>
      <w:r w:rsidRPr="00B4462C">
        <w:rPr>
          <w:color w:val="000000"/>
          <w:sz w:val="22"/>
          <w:szCs w:val="22"/>
          <w:lang w:val="sk-SK"/>
        </w:rPr>
        <w:t xml:space="preserve"> pravidelne monitorovať INR. </w:t>
      </w:r>
    </w:p>
    <w:p w14:paraId="5F16BC80" w14:textId="77777777" w:rsidR="00CF3670" w:rsidRPr="00B4462C" w:rsidRDefault="00CF3670" w:rsidP="00D824D9">
      <w:pPr>
        <w:tabs>
          <w:tab w:val="left" w:pos="8505"/>
        </w:tabs>
        <w:ind w:right="566"/>
        <w:rPr>
          <w:color w:val="000000"/>
          <w:sz w:val="22"/>
          <w:szCs w:val="22"/>
          <w:lang w:val="sk-SK"/>
        </w:rPr>
      </w:pPr>
    </w:p>
    <w:p w14:paraId="064A5970"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Glibenklamid</w:t>
      </w:r>
    </w:p>
    <w:p w14:paraId="6D55D67B"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V osobitných prípadoch súbežné podávanie liekov obsahujúcich ciprofloxacín a glibenklamid môže zintenzívniť účinok glibenklamidu (hypoglykémia).</w:t>
      </w:r>
    </w:p>
    <w:p w14:paraId="111220C0" w14:textId="77777777" w:rsidR="00CF3670" w:rsidRPr="00B4462C" w:rsidRDefault="00CF3670" w:rsidP="00D824D9">
      <w:pPr>
        <w:tabs>
          <w:tab w:val="left" w:pos="8505"/>
        </w:tabs>
        <w:ind w:right="566"/>
        <w:rPr>
          <w:color w:val="000000"/>
          <w:sz w:val="22"/>
          <w:szCs w:val="22"/>
          <w:lang w:val="sk-SK"/>
        </w:rPr>
      </w:pPr>
    </w:p>
    <w:p w14:paraId="7F7F2729"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Duloxetín</w:t>
      </w:r>
    </w:p>
    <w:p w14:paraId="4C0E3FB0"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V klinických štúdiách bolo preukázané, že súbežné užívanie duloxetínu so silnými inhibítormi izoenzýmu CYP450 1A2</w:t>
      </w:r>
      <w:r>
        <w:rPr>
          <w:color w:val="000000"/>
          <w:sz w:val="22"/>
          <w:szCs w:val="22"/>
          <w:lang w:val="sk-SK"/>
        </w:rPr>
        <w:t>,</w:t>
      </w:r>
      <w:r w:rsidRPr="00B4462C">
        <w:rPr>
          <w:color w:val="000000"/>
          <w:sz w:val="22"/>
          <w:szCs w:val="22"/>
          <w:lang w:val="sk-SK"/>
        </w:rPr>
        <w:t xml:space="preserve"> ako je fluvoxamín, môže viesť k zvýšeniu </w:t>
      </w:r>
      <w:r>
        <w:rPr>
          <w:color w:val="000000"/>
          <w:sz w:val="22"/>
          <w:szCs w:val="22"/>
          <w:lang w:val="sk-SK"/>
        </w:rPr>
        <w:t xml:space="preserve">hodnôt </w:t>
      </w:r>
      <w:r w:rsidRPr="00B4462C">
        <w:rPr>
          <w:color w:val="000000"/>
          <w:sz w:val="22"/>
          <w:szCs w:val="22"/>
          <w:lang w:val="sk-SK"/>
        </w:rPr>
        <w:t>AUC a C</w:t>
      </w:r>
      <w:r w:rsidRPr="00B4462C">
        <w:rPr>
          <w:color w:val="000000"/>
          <w:sz w:val="22"/>
          <w:szCs w:val="22"/>
          <w:vertAlign w:val="subscript"/>
          <w:lang w:val="sk-SK"/>
        </w:rPr>
        <w:t>max</w:t>
      </w:r>
      <w:r w:rsidRPr="00B4462C">
        <w:rPr>
          <w:color w:val="000000"/>
          <w:sz w:val="22"/>
          <w:szCs w:val="22"/>
          <w:lang w:val="sk-SK"/>
        </w:rPr>
        <w:t xml:space="preserve"> duloxetínu. Hoci nie sú dostupné údaje </w:t>
      </w:r>
      <w:r>
        <w:rPr>
          <w:color w:val="000000"/>
          <w:sz w:val="22"/>
          <w:szCs w:val="22"/>
          <w:lang w:val="sk-SK"/>
        </w:rPr>
        <w:t xml:space="preserve">o </w:t>
      </w:r>
      <w:r w:rsidRPr="00B4462C">
        <w:rPr>
          <w:color w:val="000000"/>
          <w:sz w:val="22"/>
          <w:szCs w:val="22"/>
          <w:lang w:val="sk-SK"/>
        </w:rPr>
        <w:t>možných interakci</w:t>
      </w:r>
      <w:r>
        <w:rPr>
          <w:color w:val="000000"/>
          <w:sz w:val="22"/>
          <w:szCs w:val="22"/>
          <w:lang w:val="sk-SK"/>
        </w:rPr>
        <w:t>ách</w:t>
      </w:r>
      <w:r w:rsidRPr="00B4462C">
        <w:rPr>
          <w:color w:val="000000"/>
          <w:sz w:val="22"/>
          <w:szCs w:val="22"/>
          <w:lang w:val="sk-SK"/>
        </w:rPr>
        <w:t xml:space="preserve"> s ciprofloxacínom,  podobné účinky možno očakávať pri súbežnom podaní (pozri časť 4.4).</w:t>
      </w:r>
    </w:p>
    <w:p w14:paraId="59AE1D13" w14:textId="77777777" w:rsidR="00CF3670" w:rsidRPr="00B4462C" w:rsidRDefault="00CF3670" w:rsidP="00D824D9">
      <w:pPr>
        <w:tabs>
          <w:tab w:val="left" w:pos="8505"/>
        </w:tabs>
        <w:ind w:right="566"/>
        <w:rPr>
          <w:color w:val="000000"/>
          <w:sz w:val="22"/>
          <w:szCs w:val="22"/>
          <w:lang w:val="sk-SK"/>
        </w:rPr>
      </w:pPr>
    </w:p>
    <w:p w14:paraId="079E4F74"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Ropinirol</w:t>
      </w:r>
    </w:p>
    <w:p w14:paraId="5F5AB7AE"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V klinickej štúdii sa preukázalo, že súbežné podávanie ropinirolu s ciprofloxacínom-stredne silný inhibítor izoenzýmu CYP450 1A2, vedie k zvýšeniu C</w:t>
      </w:r>
      <w:r w:rsidRPr="00B4462C">
        <w:rPr>
          <w:color w:val="000000"/>
          <w:sz w:val="22"/>
          <w:szCs w:val="22"/>
          <w:vertAlign w:val="subscript"/>
          <w:lang w:val="sk-SK"/>
        </w:rPr>
        <w:t>max</w:t>
      </w:r>
      <w:r w:rsidRPr="00B4462C">
        <w:rPr>
          <w:color w:val="000000"/>
          <w:sz w:val="22"/>
          <w:szCs w:val="22"/>
          <w:lang w:val="sk-SK"/>
        </w:rPr>
        <w:t xml:space="preserve"> ropinirolu o 60 % a AUC o</w:t>
      </w:r>
      <w:r>
        <w:rPr>
          <w:color w:val="000000"/>
          <w:sz w:val="22"/>
          <w:szCs w:val="22"/>
          <w:lang w:val="sk-SK"/>
        </w:rPr>
        <w:t> </w:t>
      </w:r>
      <w:r w:rsidRPr="00B4462C">
        <w:rPr>
          <w:color w:val="000000"/>
          <w:sz w:val="22"/>
          <w:szCs w:val="22"/>
          <w:lang w:val="sk-SK"/>
        </w:rPr>
        <w:t>84</w:t>
      </w:r>
      <w:r>
        <w:rPr>
          <w:color w:val="000000"/>
          <w:sz w:val="22"/>
          <w:szCs w:val="22"/>
          <w:lang w:val="sk-SK"/>
        </w:rPr>
        <w:t> </w:t>
      </w:r>
      <w:r w:rsidRPr="00B4462C">
        <w:rPr>
          <w:color w:val="000000"/>
          <w:sz w:val="22"/>
          <w:szCs w:val="22"/>
          <w:lang w:val="sk-SK"/>
        </w:rPr>
        <w:t>%. Počas súbežného podávania s ciprofloxacínom a krátko po súbežnej liečbe sa odporúča monitorovanie vedľajších účinkov súvisiacich s liečbou ropinirolom a podľa potreby úprava dávky (pozri časť 4.4).</w:t>
      </w:r>
    </w:p>
    <w:p w14:paraId="3645844D" w14:textId="77777777" w:rsidR="00CF3670" w:rsidRPr="00B4462C" w:rsidRDefault="00CF3670" w:rsidP="00D824D9">
      <w:pPr>
        <w:tabs>
          <w:tab w:val="left" w:pos="8505"/>
        </w:tabs>
        <w:ind w:right="566"/>
        <w:rPr>
          <w:color w:val="000000"/>
          <w:sz w:val="22"/>
          <w:szCs w:val="22"/>
          <w:lang w:val="sk-SK"/>
        </w:rPr>
      </w:pPr>
    </w:p>
    <w:p w14:paraId="23F13BA4"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Lidokain</w:t>
      </w:r>
    </w:p>
    <w:p w14:paraId="7889C8DC"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 xml:space="preserve">U zdravých jedincov </w:t>
      </w:r>
      <w:r>
        <w:rPr>
          <w:color w:val="000000"/>
          <w:sz w:val="22"/>
          <w:szCs w:val="22"/>
          <w:lang w:val="sk-SK"/>
        </w:rPr>
        <w:t>bolo</w:t>
      </w:r>
      <w:r w:rsidRPr="00B4462C">
        <w:rPr>
          <w:color w:val="000000"/>
          <w:sz w:val="22"/>
          <w:szCs w:val="22"/>
          <w:lang w:val="sk-SK"/>
        </w:rPr>
        <w:t xml:space="preserve"> preukázané, že súbežné užívanie liekov obsahujúcich lidokain s ciprofloxacínom, stredný</w:t>
      </w:r>
      <w:r>
        <w:rPr>
          <w:color w:val="000000"/>
          <w:sz w:val="22"/>
          <w:szCs w:val="22"/>
          <w:lang w:val="sk-SK"/>
        </w:rPr>
        <w:t>m</w:t>
      </w:r>
      <w:r w:rsidRPr="00B4462C">
        <w:rPr>
          <w:color w:val="000000"/>
          <w:sz w:val="22"/>
          <w:szCs w:val="22"/>
          <w:lang w:val="sk-SK"/>
        </w:rPr>
        <w:t xml:space="preserve"> inhib</w:t>
      </w:r>
      <w:r>
        <w:rPr>
          <w:color w:val="000000"/>
          <w:sz w:val="22"/>
          <w:szCs w:val="22"/>
          <w:lang w:val="sk-SK"/>
        </w:rPr>
        <w:t>í</w:t>
      </w:r>
      <w:r w:rsidRPr="00B4462C">
        <w:rPr>
          <w:color w:val="000000"/>
          <w:sz w:val="22"/>
          <w:szCs w:val="22"/>
          <w:lang w:val="sk-SK"/>
        </w:rPr>
        <w:t>tor</w:t>
      </w:r>
      <w:r>
        <w:rPr>
          <w:color w:val="000000"/>
          <w:sz w:val="22"/>
          <w:szCs w:val="22"/>
          <w:lang w:val="sk-SK"/>
        </w:rPr>
        <w:t>om</w:t>
      </w:r>
      <w:r w:rsidRPr="00B4462C">
        <w:rPr>
          <w:color w:val="000000"/>
          <w:sz w:val="22"/>
          <w:szCs w:val="22"/>
          <w:lang w:val="sk-SK"/>
        </w:rPr>
        <w:t xml:space="preserve"> izoenzýmu CYP450 1A2, znižuje klírens intravenózneho lidokaínu o</w:t>
      </w:r>
      <w:r>
        <w:rPr>
          <w:color w:val="000000"/>
          <w:sz w:val="22"/>
          <w:szCs w:val="22"/>
          <w:lang w:val="sk-SK"/>
        </w:rPr>
        <w:t> </w:t>
      </w:r>
      <w:r w:rsidRPr="00B4462C">
        <w:rPr>
          <w:color w:val="000000"/>
          <w:sz w:val="22"/>
          <w:szCs w:val="22"/>
          <w:lang w:val="sk-SK"/>
        </w:rPr>
        <w:t>22</w:t>
      </w:r>
      <w:r>
        <w:rPr>
          <w:color w:val="000000"/>
          <w:sz w:val="22"/>
          <w:szCs w:val="22"/>
          <w:lang w:val="sk-SK"/>
        </w:rPr>
        <w:t> </w:t>
      </w:r>
      <w:r w:rsidRPr="00B4462C">
        <w:rPr>
          <w:color w:val="000000"/>
          <w:sz w:val="22"/>
          <w:szCs w:val="22"/>
          <w:lang w:val="sk-SK"/>
        </w:rPr>
        <w:t xml:space="preserve">%. Hoci liečba lidokaínom bola dobre znášaná, </w:t>
      </w:r>
      <w:r w:rsidRPr="00F90D57">
        <w:rPr>
          <w:color w:val="000000"/>
          <w:sz w:val="22"/>
          <w:szCs w:val="22"/>
          <w:lang w:val="sk-SK"/>
        </w:rPr>
        <w:t>môžu sa po súbežnom užívaní vyskytnúť intera</w:t>
      </w:r>
      <w:r>
        <w:rPr>
          <w:color w:val="000000"/>
          <w:sz w:val="22"/>
          <w:szCs w:val="22"/>
          <w:lang w:val="sk-SK"/>
        </w:rPr>
        <w:t>k</w:t>
      </w:r>
      <w:r w:rsidRPr="00F90D57">
        <w:rPr>
          <w:color w:val="000000"/>
          <w:sz w:val="22"/>
          <w:szCs w:val="22"/>
          <w:lang w:val="sk-SK"/>
        </w:rPr>
        <w:t xml:space="preserve">cie s ciprofloxacínom, </w:t>
      </w:r>
      <w:r>
        <w:rPr>
          <w:color w:val="000000"/>
          <w:sz w:val="22"/>
          <w:szCs w:val="22"/>
          <w:lang w:val="sk-SK"/>
        </w:rPr>
        <w:t>súvisiace</w:t>
      </w:r>
      <w:r w:rsidRPr="00F90D57">
        <w:rPr>
          <w:color w:val="000000"/>
          <w:sz w:val="22"/>
          <w:szCs w:val="22"/>
          <w:lang w:val="sk-SK"/>
        </w:rPr>
        <w:t xml:space="preserve"> s nežiaducimi účinkami.</w:t>
      </w:r>
    </w:p>
    <w:p w14:paraId="58EB884C" w14:textId="77777777" w:rsidR="00CF3670" w:rsidRPr="00B4462C" w:rsidRDefault="00CF3670" w:rsidP="00D824D9">
      <w:pPr>
        <w:tabs>
          <w:tab w:val="left" w:pos="8505"/>
        </w:tabs>
        <w:ind w:right="566"/>
        <w:rPr>
          <w:color w:val="000000"/>
          <w:sz w:val="22"/>
          <w:szCs w:val="22"/>
          <w:lang w:val="sk-SK"/>
        </w:rPr>
      </w:pPr>
    </w:p>
    <w:p w14:paraId="5ED8A67F"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Klozapín</w:t>
      </w:r>
    </w:p>
    <w:p w14:paraId="38783CA4"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Po súbežnom podávaní 250 mg ciprofloxacínu s klozapínom počas 7 dní sa zvýšili sérové koncentrácie klozapínu o</w:t>
      </w:r>
      <w:r>
        <w:rPr>
          <w:color w:val="000000"/>
          <w:sz w:val="22"/>
          <w:szCs w:val="22"/>
          <w:lang w:val="sk-SK"/>
        </w:rPr>
        <w:t> </w:t>
      </w:r>
      <w:r w:rsidRPr="00B4462C">
        <w:rPr>
          <w:color w:val="000000"/>
          <w:sz w:val="22"/>
          <w:szCs w:val="22"/>
          <w:lang w:val="sk-SK"/>
        </w:rPr>
        <w:t>29</w:t>
      </w:r>
      <w:r>
        <w:rPr>
          <w:color w:val="000000"/>
          <w:sz w:val="22"/>
          <w:szCs w:val="22"/>
          <w:lang w:val="sk-SK"/>
        </w:rPr>
        <w:t> </w:t>
      </w:r>
      <w:r w:rsidRPr="00B4462C">
        <w:rPr>
          <w:color w:val="000000"/>
          <w:sz w:val="22"/>
          <w:szCs w:val="22"/>
          <w:lang w:val="sk-SK"/>
        </w:rPr>
        <w:t>% a N-desmetylklozapínu o</w:t>
      </w:r>
      <w:r>
        <w:rPr>
          <w:color w:val="000000"/>
          <w:sz w:val="22"/>
          <w:szCs w:val="22"/>
          <w:lang w:val="sk-SK"/>
        </w:rPr>
        <w:t> </w:t>
      </w:r>
      <w:r w:rsidRPr="00B4462C">
        <w:rPr>
          <w:color w:val="000000"/>
          <w:sz w:val="22"/>
          <w:szCs w:val="22"/>
          <w:lang w:val="sk-SK"/>
        </w:rPr>
        <w:t>31</w:t>
      </w:r>
      <w:r>
        <w:rPr>
          <w:color w:val="000000"/>
          <w:sz w:val="22"/>
          <w:szCs w:val="22"/>
          <w:lang w:val="sk-SK"/>
        </w:rPr>
        <w:t> </w:t>
      </w:r>
      <w:r w:rsidRPr="00B4462C">
        <w:rPr>
          <w:color w:val="000000"/>
          <w:sz w:val="22"/>
          <w:szCs w:val="22"/>
          <w:lang w:val="sk-SK"/>
        </w:rPr>
        <w:t>%. Odporúča sa klinické pozorovanie a primeraná úprava dávkovania klozapínu počas a krátko po súbežnej liečbe s ciprofloxacínom (pozri časť 4.4).</w:t>
      </w:r>
    </w:p>
    <w:p w14:paraId="77BB25A2" w14:textId="12F7F4A6" w:rsidR="00A479C2" w:rsidRDefault="00A479C2">
      <w:pPr>
        <w:rPr>
          <w:color w:val="000000"/>
          <w:sz w:val="22"/>
          <w:szCs w:val="22"/>
          <w:lang w:val="sk-SK"/>
        </w:rPr>
      </w:pPr>
      <w:r>
        <w:rPr>
          <w:color w:val="000000"/>
          <w:sz w:val="22"/>
          <w:szCs w:val="22"/>
          <w:lang w:val="sk-SK"/>
        </w:rPr>
        <w:br w:type="page"/>
      </w:r>
    </w:p>
    <w:p w14:paraId="4D7139E1" w14:textId="77777777" w:rsidR="00CF3670" w:rsidRPr="00B4462C" w:rsidRDefault="00CF3670" w:rsidP="00D824D9">
      <w:pPr>
        <w:tabs>
          <w:tab w:val="left" w:pos="8505"/>
        </w:tabs>
        <w:ind w:right="566"/>
        <w:rPr>
          <w:color w:val="000000"/>
          <w:sz w:val="22"/>
          <w:szCs w:val="22"/>
          <w:lang w:val="sk-SK"/>
        </w:rPr>
      </w:pPr>
    </w:p>
    <w:p w14:paraId="619FB1AF" w14:textId="77777777" w:rsidR="00CF3670" w:rsidRPr="00B4462C" w:rsidRDefault="00CF3670" w:rsidP="00D824D9">
      <w:pPr>
        <w:tabs>
          <w:tab w:val="left" w:pos="8505"/>
        </w:tabs>
        <w:ind w:right="566"/>
        <w:rPr>
          <w:i/>
          <w:color w:val="000000"/>
          <w:sz w:val="22"/>
          <w:szCs w:val="22"/>
          <w:lang w:val="sk-SK"/>
        </w:rPr>
      </w:pPr>
      <w:r w:rsidRPr="00B4462C">
        <w:rPr>
          <w:i/>
          <w:color w:val="000000"/>
          <w:sz w:val="22"/>
          <w:szCs w:val="22"/>
          <w:lang w:val="sk-SK"/>
        </w:rPr>
        <w:t>Sildenafil</w:t>
      </w:r>
    </w:p>
    <w:p w14:paraId="46706DE6" w14:textId="77777777" w:rsidR="00CF3670" w:rsidRPr="00B4462C" w:rsidRDefault="00CF3670" w:rsidP="00D824D9">
      <w:pPr>
        <w:tabs>
          <w:tab w:val="left" w:pos="8505"/>
        </w:tabs>
        <w:ind w:right="566"/>
        <w:rPr>
          <w:color w:val="000000"/>
          <w:sz w:val="22"/>
          <w:szCs w:val="22"/>
          <w:lang w:val="sk-SK"/>
        </w:rPr>
      </w:pPr>
      <w:r w:rsidRPr="00B4462C">
        <w:rPr>
          <w:color w:val="000000"/>
          <w:sz w:val="22"/>
          <w:szCs w:val="22"/>
          <w:lang w:val="sk-SK"/>
        </w:rPr>
        <w:t>U zdravých jedincov bolo C</w:t>
      </w:r>
      <w:r w:rsidRPr="00B4462C">
        <w:rPr>
          <w:color w:val="000000"/>
          <w:sz w:val="22"/>
          <w:szCs w:val="22"/>
          <w:vertAlign w:val="subscript"/>
          <w:lang w:val="sk-SK"/>
        </w:rPr>
        <w:t xml:space="preserve">max </w:t>
      </w:r>
      <w:r w:rsidRPr="00B4462C">
        <w:rPr>
          <w:color w:val="000000"/>
          <w:sz w:val="22"/>
          <w:szCs w:val="22"/>
          <w:lang w:val="sk-SK"/>
        </w:rPr>
        <w:t xml:space="preserve"> a AUC sildenafilu zvýšené približne dvojnásobne po perorálnej dávke 50 mg podávanej súbežne s 500 mg ciprofloxacínom. Preto je potrebná opatrnosť pri predpisovaní ciprofloxacínu súbežne so sildenafilom s prihliadnutím na riziká a prínosy.</w:t>
      </w:r>
    </w:p>
    <w:p w14:paraId="6234FCE6" w14:textId="77777777" w:rsidR="00CF3670" w:rsidRDefault="00CF3670" w:rsidP="00B65191">
      <w:pPr>
        <w:widowControl w:val="0"/>
        <w:rPr>
          <w:b/>
          <w:sz w:val="22"/>
          <w:szCs w:val="22"/>
          <w:lang w:val="sk-SK"/>
        </w:rPr>
      </w:pPr>
    </w:p>
    <w:p w14:paraId="25D6F66C" w14:textId="77777777" w:rsidR="00CF3670" w:rsidRDefault="00FF42B8" w:rsidP="00B65191">
      <w:pPr>
        <w:widowControl w:val="0"/>
        <w:rPr>
          <w:i/>
          <w:sz w:val="22"/>
          <w:szCs w:val="22"/>
          <w:lang w:val="sk-SK"/>
        </w:rPr>
      </w:pPr>
      <w:r w:rsidRPr="00FF42B8">
        <w:rPr>
          <w:i/>
          <w:sz w:val="22"/>
          <w:szCs w:val="22"/>
          <w:lang w:val="sk-SK"/>
        </w:rPr>
        <w:t>Agomelatín</w:t>
      </w:r>
    </w:p>
    <w:p w14:paraId="42B8522B" w14:textId="77777777" w:rsidR="00CF3670" w:rsidRPr="00CF3670" w:rsidRDefault="00CF3670" w:rsidP="00B65191">
      <w:pPr>
        <w:widowControl w:val="0"/>
        <w:rPr>
          <w:sz w:val="22"/>
          <w:szCs w:val="22"/>
          <w:lang w:val="sk-SK"/>
        </w:rPr>
      </w:pPr>
      <w:r>
        <w:rPr>
          <w:sz w:val="22"/>
          <w:szCs w:val="22"/>
          <w:lang w:val="sk-SK"/>
        </w:rPr>
        <w:t>V klinických štúdiách bolo preukázané, že fluvoxamín silný inhibítor  izoenzýmu CYP450 1A2 výrazne inhibuje metabolizmus agomelatínu, čo vedie k 60-násobnému zvýšeniu expozície agomelatínu. Hoci nie sú k dispozícií žiadne klinické údaje pre prípadné interakcie s ciprofloxacínom, stredne silným  inhibítorom CYP450 1A2, pri súbežnom podávaní  možno očakávať podobné účinky. (,,cytochróm P450" v časti 4.4).</w:t>
      </w:r>
    </w:p>
    <w:p w14:paraId="343519A8" w14:textId="77777777" w:rsidR="00CF3670" w:rsidRDefault="00CF3670" w:rsidP="00B65191">
      <w:pPr>
        <w:widowControl w:val="0"/>
        <w:rPr>
          <w:b/>
          <w:sz w:val="22"/>
          <w:szCs w:val="22"/>
          <w:lang w:val="sk-SK"/>
        </w:rPr>
      </w:pPr>
    </w:p>
    <w:p w14:paraId="74261A4B" w14:textId="77777777" w:rsidR="00CF3670" w:rsidRPr="00CF3670" w:rsidRDefault="00FF42B8" w:rsidP="00B65191">
      <w:pPr>
        <w:widowControl w:val="0"/>
        <w:rPr>
          <w:i/>
          <w:sz w:val="22"/>
          <w:szCs w:val="22"/>
          <w:lang w:val="sk-SK"/>
        </w:rPr>
      </w:pPr>
      <w:r w:rsidRPr="00FF42B8">
        <w:rPr>
          <w:i/>
          <w:sz w:val="22"/>
          <w:szCs w:val="22"/>
          <w:lang w:val="sk-SK"/>
        </w:rPr>
        <w:t>Zolpidem</w:t>
      </w:r>
    </w:p>
    <w:p w14:paraId="74CBAE66" w14:textId="77777777" w:rsidR="00CF3670" w:rsidRPr="00CF3670" w:rsidRDefault="00CF3670" w:rsidP="00B65191">
      <w:pPr>
        <w:widowControl w:val="0"/>
        <w:rPr>
          <w:sz w:val="22"/>
          <w:szCs w:val="22"/>
          <w:lang w:val="sk-SK"/>
        </w:rPr>
      </w:pPr>
      <w:r>
        <w:rPr>
          <w:sz w:val="22"/>
          <w:szCs w:val="22"/>
          <w:lang w:val="sk-SK"/>
        </w:rPr>
        <w:t>Súbežné podanie ciprofloxacínu môže zvýšiť hladinu zopidemu v krvi, súbežné užívanie sa neodporúča.</w:t>
      </w:r>
    </w:p>
    <w:p w14:paraId="44EE6256" w14:textId="77777777" w:rsidR="00CF3670" w:rsidRPr="00B4462C" w:rsidRDefault="00CF3670" w:rsidP="00B65191">
      <w:pPr>
        <w:widowControl w:val="0"/>
        <w:rPr>
          <w:b/>
          <w:sz w:val="22"/>
          <w:szCs w:val="22"/>
          <w:lang w:val="sk-SK"/>
        </w:rPr>
      </w:pPr>
    </w:p>
    <w:p w14:paraId="083F4AA6" w14:textId="77777777" w:rsidR="00CF3670" w:rsidRPr="00B4462C" w:rsidRDefault="00CF3670" w:rsidP="00B65191">
      <w:pPr>
        <w:keepNext/>
        <w:widowControl w:val="0"/>
        <w:tabs>
          <w:tab w:val="left" w:pos="567"/>
        </w:tabs>
        <w:rPr>
          <w:sz w:val="22"/>
          <w:szCs w:val="22"/>
          <w:lang w:val="sk-SK"/>
        </w:rPr>
      </w:pPr>
      <w:r w:rsidRPr="00B4462C">
        <w:rPr>
          <w:b/>
          <w:sz w:val="22"/>
          <w:szCs w:val="22"/>
          <w:lang w:val="sk-SK"/>
        </w:rPr>
        <w:t>4.6</w:t>
      </w:r>
      <w:r w:rsidRPr="00B4462C">
        <w:rPr>
          <w:b/>
          <w:sz w:val="22"/>
          <w:szCs w:val="22"/>
          <w:lang w:val="sk-SK"/>
        </w:rPr>
        <w:tab/>
      </w:r>
      <w:r w:rsidRPr="00A24719">
        <w:rPr>
          <w:b/>
          <w:sz w:val="22"/>
          <w:szCs w:val="22"/>
          <w:lang w:val="sk-SK"/>
        </w:rPr>
        <w:t xml:space="preserve">Fertilita, </w:t>
      </w:r>
      <w:r w:rsidRPr="00FC60DC">
        <w:rPr>
          <w:b/>
          <w:sz w:val="22"/>
          <w:szCs w:val="22"/>
          <w:lang w:val="sk-SK"/>
        </w:rPr>
        <w:t>gravidita</w:t>
      </w:r>
      <w:r w:rsidRPr="00B4462C">
        <w:rPr>
          <w:b/>
          <w:sz w:val="22"/>
          <w:szCs w:val="22"/>
          <w:lang w:val="sk-SK"/>
        </w:rPr>
        <w:t xml:space="preserve"> a laktácia</w:t>
      </w:r>
    </w:p>
    <w:p w14:paraId="7F1F67C4" w14:textId="77777777" w:rsidR="00CF3670" w:rsidRPr="00B4462C" w:rsidRDefault="00CF3670" w:rsidP="00B65191">
      <w:pPr>
        <w:widowControl w:val="0"/>
        <w:rPr>
          <w:sz w:val="22"/>
          <w:szCs w:val="22"/>
          <w:lang w:val="sk-SK"/>
        </w:rPr>
      </w:pPr>
    </w:p>
    <w:p w14:paraId="72DCC382" w14:textId="77777777" w:rsidR="00CF3670" w:rsidRPr="00B4462C" w:rsidRDefault="00CF3670" w:rsidP="007913A0">
      <w:pPr>
        <w:pStyle w:val="Zkladntext2"/>
        <w:jc w:val="left"/>
        <w:rPr>
          <w:rFonts w:ascii="Times New Roman" w:hAnsi="Times New Roman" w:cs="Times New Roman"/>
          <w:b w:val="0"/>
          <w:bCs w:val="0"/>
          <w:i/>
          <w:color w:val="000000"/>
          <w:sz w:val="22"/>
          <w:szCs w:val="22"/>
          <w:lang w:val="sk-SK"/>
        </w:rPr>
      </w:pPr>
      <w:r w:rsidRPr="00B4462C">
        <w:rPr>
          <w:rFonts w:ascii="Times New Roman" w:hAnsi="Times New Roman" w:cs="Times New Roman"/>
          <w:b w:val="0"/>
          <w:bCs w:val="0"/>
          <w:i/>
          <w:color w:val="000000"/>
          <w:sz w:val="22"/>
          <w:szCs w:val="22"/>
          <w:lang w:val="sk-SK"/>
        </w:rPr>
        <w:t>Gravidita</w:t>
      </w:r>
    </w:p>
    <w:p w14:paraId="1A45556E" w14:textId="77777777" w:rsidR="00CF3670" w:rsidRPr="00B4462C" w:rsidRDefault="00CF3670" w:rsidP="007913A0">
      <w:pPr>
        <w:pStyle w:val="Zkladntext2"/>
        <w:jc w:val="left"/>
        <w:rPr>
          <w:rFonts w:ascii="Times New Roman" w:hAnsi="Times New Roman" w:cs="Times New Roman"/>
          <w:b w:val="0"/>
          <w:bCs w:val="0"/>
          <w:color w:val="000000"/>
          <w:sz w:val="22"/>
          <w:szCs w:val="22"/>
          <w:lang w:val="sk-SK"/>
        </w:rPr>
      </w:pPr>
      <w:r w:rsidRPr="00B4462C">
        <w:rPr>
          <w:rFonts w:ascii="Times New Roman" w:hAnsi="Times New Roman" w:cs="Times New Roman"/>
          <w:b w:val="0"/>
          <w:bCs w:val="0"/>
          <w:color w:val="000000"/>
          <w:sz w:val="22"/>
          <w:szCs w:val="22"/>
          <w:lang w:val="sk-SK"/>
        </w:rPr>
        <w:t>Dostupné údaje o podávaní ciprofloxacínu gravidným ženám nenaznačujú malformačnú alebo feto/neonatálnu toxicitu ciprofloxacínu. Štúdie na zvieratách nepreukázali priame alebo nepriame škodlivé účinky na reprodukčnú toxicitu. U juvenilných a prenatálnych zvierat vystavených účinku chinolónov sa pozorovali účinky na nevyvinutú chrupku, a teda nie je možné vylúčiť, že liečivo by mohlo spôsobiť poškodenie kĺbovej chrupky u plodu (pozri časť 5.3). V rámci bezpečnostných opatrení sa odporúča vyhnúť používaniu ciprofloxacínu počas gravidity.</w:t>
      </w:r>
    </w:p>
    <w:p w14:paraId="70EB1288" w14:textId="77777777" w:rsidR="00CF3670" w:rsidRPr="00B4462C" w:rsidRDefault="00CF3670" w:rsidP="007913A0">
      <w:pPr>
        <w:pStyle w:val="Zkladntext2"/>
        <w:jc w:val="left"/>
        <w:rPr>
          <w:rFonts w:ascii="Times New Roman" w:hAnsi="Times New Roman" w:cs="Times New Roman"/>
          <w:b w:val="0"/>
          <w:bCs w:val="0"/>
          <w:color w:val="000000"/>
          <w:sz w:val="22"/>
          <w:szCs w:val="22"/>
          <w:lang w:val="sk-SK"/>
        </w:rPr>
      </w:pPr>
    </w:p>
    <w:p w14:paraId="6FB79F2E" w14:textId="77777777" w:rsidR="0010065E" w:rsidRDefault="0010065E" w:rsidP="007913A0">
      <w:pPr>
        <w:pStyle w:val="Zkladntext2"/>
        <w:jc w:val="left"/>
        <w:rPr>
          <w:rFonts w:ascii="Times New Roman" w:hAnsi="Times New Roman" w:cs="Times New Roman"/>
          <w:b w:val="0"/>
          <w:bCs w:val="0"/>
          <w:i/>
          <w:color w:val="000000"/>
          <w:sz w:val="22"/>
          <w:szCs w:val="22"/>
          <w:lang w:val="sk-SK"/>
        </w:rPr>
      </w:pPr>
    </w:p>
    <w:p w14:paraId="0532E6BE" w14:textId="77777777" w:rsidR="00CF3670" w:rsidRPr="00B4462C" w:rsidRDefault="00CF3670" w:rsidP="007913A0">
      <w:pPr>
        <w:pStyle w:val="Zkladntext2"/>
        <w:jc w:val="left"/>
        <w:rPr>
          <w:rFonts w:ascii="Times New Roman" w:hAnsi="Times New Roman" w:cs="Times New Roman"/>
          <w:b w:val="0"/>
          <w:bCs w:val="0"/>
          <w:i/>
          <w:color w:val="000000"/>
          <w:sz w:val="22"/>
          <w:szCs w:val="22"/>
          <w:lang w:val="sk-SK"/>
        </w:rPr>
      </w:pPr>
      <w:r w:rsidRPr="00B4462C">
        <w:rPr>
          <w:rFonts w:ascii="Times New Roman" w:hAnsi="Times New Roman" w:cs="Times New Roman"/>
          <w:b w:val="0"/>
          <w:bCs w:val="0"/>
          <w:i/>
          <w:color w:val="000000"/>
          <w:sz w:val="22"/>
          <w:szCs w:val="22"/>
          <w:lang w:val="sk-SK"/>
        </w:rPr>
        <w:t>Laktácia</w:t>
      </w:r>
    </w:p>
    <w:p w14:paraId="0CCAB9E7" w14:textId="77777777" w:rsidR="00CF3670" w:rsidRPr="00B4462C" w:rsidRDefault="00CF3670" w:rsidP="007913A0">
      <w:pPr>
        <w:pStyle w:val="Zkladntext2"/>
        <w:jc w:val="left"/>
        <w:rPr>
          <w:rFonts w:ascii="Times New Roman" w:hAnsi="Times New Roman" w:cs="Times New Roman"/>
          <w:b w:val="0"/>
          <w:bCs w:val="0"/>
          <w:color w:val="000000"/>
          <w:sz w:val="22"/>
          <w:szCs w:val="22"/>
          <w:lang w:val="sk-SK"/>
        </w:rPr>
      </w:pPr>
      <w:r w:rsidRPr="00B4462C">
        <w:rPr>
          <w:rFonts w:ascii="Times New Roman" w:hAnsi="Times New Roman" w:cs="Times New Roman"/>
          <w:b w:val="0"/>
          <w:bCs w:val="0"/>
          <w:color w:val="000000"/>
          <w:sz w:val="22"/>
          <w:szCs w:val="22"/>
          <w:lang w:val="sk-SK"/>
        </w:rPr>
        <w:t xml:space="preserve">Ciprofloxacín sa vylučuje do materského mlieka. Kvôli možnému riziku poškodenia kĺbov sa ciprofloxacín nesmie užívať počas dojčenia. </w:t>
      </w:r>
    </w:p>
    <w:p w14:paraId="584A9335" w14:textId="77777777" w:rsidR="00CF3670" w:rsidRPr="00B4462C" w:rsidRDefault="00CF3670" w:rsidP="007913A0">
      <w:pPr>
        <w:widowControl w:val="0"/>
        <w:rPr>
          <w:sz w:val="22"/>
          <w:szCs w:val="22"/>
          <w:lang w:val="sk-SK"/>
        </w:rPr>
      </w:pPr>
    </w:p>
    <w:p w14:paraId="3FFE2C40" w14:textId="77777777" w:rsidR="00CF3670" w:rsidRPr="00B4462C" w:rsidRDefault="00CF3670" w:rsidP="00B65191">
      <w:pPr>
        <w:widowControl w:val="0"/>
        <w:tabs>
          <w:tab w:val="left" w:pos="567"/>
        </w:tabs>
        <w:rPr>
          <w:sz w:val="22"/>
          <w:szCs w:val="22"/>
          <w:lang w:val="sk-SK"/>
        </w:rPr>
      </w:pPr>
      <w:r w:rsidRPr="00B4462C">
        <w:rPr>
          <w:b/>
          <w:sz w:val="22"/>
          <w:szCs w:val="22"/>
          <w:lang w:val="sk-SK"/>
        </w:rPr>
        <w:t>4.7</w:t>
      </w:r>
      <w:r w:rsidRPr="00B4462C">
        <w:rPr>
          <w:b/>
          <w:sz w:val="22"/>
          <w:szCs w:val="22"/>
          <w:lang w:val="sk-SK"/>
        </w:rPr>
        <w:tab/>
        <w:t>Ovplyvnenie schopnosti viesť vozidlá a obsluhovať stroje</w:t>
      </w:r>
    </w:p>
    <w:p w14:paraId="14F45E7B" w14:textId="77777777" w:rsidR="00CF3670" w:rsidRPr="00B4462C" w:rsidRDefault="00CF3670" w:rsidP="00B65191">
      <w:pPr>
        <w:widowControl w:val="0"/>
        <w:rPr>
          <w:sz w:val="22"/>
          <w:szCs w:val="22"/>
          <w:lang w:val="sk-SK"/>
        </w:rPr>
      </w:pPr>
    </w:p>
    <w:p w14:paraId="7DD9563E" w14:textId="77777777" w:rsidR="00CF3670" w:rsidRPr="00B4462C" w:rsidRDefault="00CF3670" w:rsidP="00D824D9">
      <w:pPr>
        <w:rPr>
          <w:color w:val="000000"/>
          <w:sz w:val="22"/>
          <w:szCs w:val="22"/>
          <w:lang w:val="sk-SK"/>
        </w:rPr>
      </w:pPr>
      <w:r w:rsidRPr="00B4462C">
        <w:rPr>
          <w:color w:val="000000"/>
          <w:sz w:val="22"/>
          <w:szCs w:val="22"/>
          <w:lang w:val="sk-SK"/>
        </w:rPr>
        <w:t>Kvôli svojim účinkom na nervovú sústavu môže ciprofloxacín ovplyvniť reakčný čas. Z tohto dôvodu môže byť schopnosť viesť vozidlá alebo obsluhovať stroje narušená.</w:t>
      </w:r>
    </w:p>
    <w:p w14:paraId="15CE8642" w14:textId="77777777" w:rsidR="00CF3670" w:rsidRPr="00B4462C" w:rsidRDefault="00CF3670" w:rsidP="00B65191">
      <w:pPr>
        <w:keepNext/>
        <w:widowControl w:val="0"/>
        <w:tabs>
          <w:tab w:val="left" w:pos="567"/>
        </w:tabs>
        <w:rPr>
          <w:sz w:val="22"/>
          <w:szCs w:val="22"/>
          <w:lang w:val="sk-SK"/>
        </w:rPr>
      </w:pPr>
    </w:p>
    <w:p w14:paraId="2F013DA9" w14:textId="77777777" w:rsidR="00CF3670" w:rsidRPr="00B4462C" w:rsidRDefault="00CF3670" w:rsidP="00B65191">
      <w:pPr>
        <w:keepNext/>
        <w:widowControl w:val="0"/>
        <w:tabs>
          <w:tab w:val="left" w:pos="567"/>
        </w:tabs>
        <w:rPr>
          <w:sz w:val="22"/>
          <w:szCs w:val="22"/>
          <w:lang w:val="sk-SK"/>
        </w:rPr>
      </w:pPr>
      <w:r w:rsidRPr="00B4462C">
        <w:rPr>
          <w:b/>
          <w:sz w:val="22"/>
          <w:szCs w:val="22"/>
          <w:lang w:val="sk-SK"/>
        </w:rPr>
        <w:t>4.8</w:t>
      </w:r>
      <w:r w:rsidRPr="00B4462C">
        <w:rPr>
          <w:b/>
          <w:sz w:val="22"/>
          <w:szCs w:val="22"/>
          <w:lang w:val="sk-SK"/>
        </w:rPr>
        <w:tab/>
        <w:t>Nežiaduce účinky</w:t>
      </w:r>
    </w:p>
    <w:p w14:paraId="5DA75243" w14:textId="77777777" w:rsidR="00CF3670" w:rsidRPr="00B4462C" w:rsidDel="00AE796A" w:rsidRDefault="00CF3670" w:rsidP="00B65191">
      <w:pPr>
        <w:widowControl w:val="0"/>
        <w:rPr>
          <w:sz w:val="22"/>
          <w:szCs w:val="22"/>
          <w:lang w:val="sk-SK"/>
        </w:rPr>
      </w:pPr>
    </w:p>
    <w:p w14:paraId="770BB452" w14:textId="77777777" w:rsidR="00CF3670" w:rsidRPr="00B4462C" w:rsidRDefault="00CF3670" w:rsidP="00D824D9">
      <w:pPr>
        <w:pStyle w:val="Normlnywebov"/>
        <w:spacing w:before="0" w:beforeAutospacing="0" w:after="0" w:afterAutospacing="0"/>
        <w:rPr>
          <w:color w:val="000000"/>
          <w:sz w:val="22"/>
          <w:szCs w:val="22"/>
          <w:lang w:val="sk-SK"/>
        </w:rPr>
      </w:pPr>
      <w:r w:rsidRPr="00B4462C">
        <w:rPr>
          <w:color w:val="000000"/>
          <w:sz w:val="22"/>
          <w:szCs w:val="22"/>
          <w:lang w:val="sk-SK"/>
        </w:rPr>
        <w:t>Najčastejšie hlásené nežiaduce reakcie lieku (ADR) sú nauzea a hnačka.</w:t>
      </w:r>
    </w:p>
    <w:p w14:paraId="1711A1C8" w14:textId="77777777" w:rsidR="00CF3670" w:rsidRPr="00B4462C" w:rsidRDefault="00CF3670" w:rsidP="00D824D9">
      <w:pPr>
        <w:pStyle w:val="Normlnywebov"/>
        <w:spacing w:before="0" w:beforeAutospacing="0" w:after="0" w:afterAutospacing="0"/>
        <w:rPr>
          <w:color w:val="000000"/>
          <w:sz w:val="22"/>
          <w:szCs w:val="22"/>
          <w:lang w:val="sk-SK"/>
        </w:rPr>
      </w:pPr>
    </w:p>
    <w:p w14:paraId="1A783007" w14:textId="77777777" w:rsidR="00CF3670" w:rsidRPr="00B4462C" w:rsidRDefault="00CF3670" w:rsidP="00D824D9">
      <w:pPr>
        <w:pStyle w:val="Normlnywebov"/>
        <w:spacing w:before="0" w:beforeAutospacing="0" w:after="0" w:afterAutospacing="0"/>
        <w:rPr>
          <w:color w:val="000000"/>
          <w:sz w:val="22"/>
          <w:szCs w:val="22"/>
          <w:lang w:val="sk-SK"/>
        </w:rPr>
      </w:pPr>
      <w:r w:rsidRPr="00B4462C">
        <w:rPr>
          <w:color w:val="000000"/>
          <w:sz w:val="22"/>
          <w:szCs w:val="22"/>
          <w:lang w:val="sk-SK"/>
        </w:rPr>
        <w:t>ADR získané z klinických štúdií a postmarketingového sledovania ciprofloxacínu (perorálna, intravenózna a sekvenčná liečba) zoradené podľa frekvencie výskytu sú uvedené nižšie. Analýza frekvencie výskytu zohľadňuje údaje získané pri perorálnom, ako aj intravenóznom podávaní.</w:t>
      </w:r>
    </w:p>
    <w:p w14:paraId="0FD74321" w14:textId="0BC641B6" w:rsidR="00A479C2" w:rsidRDefault="00A479C2">
      <w:pPr>
        <w:rPr>
          <w:color w:val="000000"/>
          <w:sz w:val="22"/>
          <w:szCs w:val="22"/>
          <w:lang w:val="sk-SK"/>
        </w:rPr>
      </w:pPr>
      <w:r>
        <w:rPr>
          <w:color w:val="000000"/>
          <w:sz w:val="22"/>
          <w:szCs w:val="22"/>
          <w:lang w:val="sk-SK"/>
        </w:rPr>
        <w:br w:type="page"/>
      </w:r>
    </w:p>
    <w:p w14:paraId="4FD395D8" w14:textId="77777777" w:rsidR="00CF3670" w:rsidRPr="00B4462C" w:rsidRDefault="00CF3670" w:rsidP="00D824D9">
      <w:pPr>
        <w:pStyle w:val="Normlnywebov"/>
        <w:spacing w:before="0" w:beforeAutospacing="0" w:after="0" w:afterAutospacing="0"/>
        <w:rPr>
          <w:color w:val="000000"/>
          <w:sz w:val="22"/>
          <w:szCs w:val="22"/>
          <w:lang w:val="sk-SK"/>
        </w:rPr>
      </w:pPr>
    </w:p>
    <w:p w14:paraId="50370082" w14:textId="77777777" w:rsidR="00CF3670" w:rsidRPr="00B4462C" w:rsidRDefault="00CF3670" w:rsidP="00B65191">
      <w:pPr>
        <w:widowControl w:val="0"/>
        <w:rPr>
          <w:sz w:val="22"/>
          <w:szCs w:val="22"/>
          <w:lang w:val="sk-SK"/>
        </w:rPr>
      </w:pPr>
    </w:p>
    <w:tbl>
      <w:tblPr>
        <w:tblW w:w="10428" w:type="dxa"/>
        <w:tblLook w:val="01E0" w:firstRow="1" w:lastRow="1" w:firstColumn="1" w:lastColumn="1" w:noHBand="0" w:noVBand="0"/>
      </w:tblPr>
      <w:tblGrid>
        <w:gridCol w:w="2123"/>
        <w:gridCol w:w="882"/>
        <w:gridCol w:w="1854"/>
        <w:gridCol w:w="1940"/>
        <w:gridCol w:w="1940"/>
        <w:gridCol w:w="1696"/>
      </w:tblGrid>
      <w:tr w:rsidR="00CF3670" w:rsidRPr="00672462" w14:paraId="47DD5CAF" w14:textId="77777777" w:rsidTr="003D6473">
        <w:tc>
          <w:tcPr>
            <w:tcW w:w="2123" w:type="dxa"/>
            <w:tcBorders>
              <w:top w:val="single" w:sz="4" w:space="0" w:color="auto"/>
              <w:left w:val="single" w:sz="4" w:space="0" w:color="auto"/>
              <w:bottom w:val="single" w:sz="4" w:space="0" w:color="auto"/>
              <w:right w:val="single" w:sz="4" w:space="0" w:color="auto"/>
            </w:tcBorders>
          </w:tcPr>
          <w:p w14:paraId="691B6BEB" w14:textId="77777777" w:rsidR="00CF3670" w:rsidRPr="00672462" w:rsidRDefault="00CF3670" w:rsidP="00672462">
            <w:pPr>
              <w:pStyle w:val="Normlnywebov"/>
              <w:spacing w:before="0" w:beforeAutospacing="0" w:after="0" w:afterAutospacing="0"/>
              <w:rPr>
                <w:b/>
                <w:color w:val="000000"/>
                <w:sz w:val="22"/>
                <w:szCs w:val="22"/>
                <w:lang w:val="sk-SK"/>
              </w:rPr>
            </w:pPr>
            <w:r w:rsidRPr="00672462">
              <w:rPr>
                <w:b/>
                <w:color w:val="000000"/>
                <w:sz w:val="22"/>
                <w:szCs w:val="22"/>
                <w:lang w:val="sk-SK"/>
              </w:rPr>
              <w:t>Trieda orgánových systémov</w:t>
            </w:r>
          </w:p>
        </w:tc>
        <w:tc>
          <w:tcPr>
            <w:tcW w:w="882" w:type="dxa"/>
            <w:tcBorders>
              <w:top w:val="single" w:sz="4" w:space="0" w:color="auto"/>
              <w:left w:val="single" w:sz="4" w:space="0" w:color="auto"/>
              <w:bottom w:val="single" w:sz="4" w:space="0" w:color="auto"/>
              <w:right w:val="single" w:sz="4" w:space="0" w:color="auto"/>
            </w:tcBorders>
          </w:tcPr>
          <w:p w14:paraId="5C07F767" w14:textId="77777777" w:rsidR="00CF3670" w:rsidRPr="00672462" w:rsidRDefault="00CF3670" w:rsidP="00672462">
            <w:pPr>
              <w:pStyle w:val="Normlnywebov"/>
              <w:spacing w:before="0" w:beforeAutospacing="0" w:after="0" w:afterAutospacing="0"/>
              <w:ind w:left="567" w:hanging="567"/>
              <w:rPr>
                <w:b/>
                <w:color w:val="000000"/>
                <w:sz w:val="22"/>
                <w:szCs w:val="22"/>
                <w:lang w:val="sk-SK"/>
              </w:rPr>
            </w:pPr>
            <w:r w:rsidRPr="00672462">
              <w:rPr>
                <w:b/>
                <w:color w:val="000000"/>
                <w:sz w:val="22"/>
                <w:szCs w:val="22"/>
                <w:lang w:val="sk-SK"/>
              </w:rPr>
              <w:t xml:space="preserve">Časté </w:t>
            </w:r>
          </w:p>
          <w:p w14:paraId="38AB0CE0" w14:textId="77777777" w:rsidR="00CF3670" w:rsidRPr="00672462" w:rsidRDefault="00CF3670" w:rsidP="00672462">
            <w:pPr>
              <w:pStyle w:val="Normlnywebov"/>
              <w:spacing w:before="0" w:beforeAutospacing="0" w:after="0" w:afterAutospacing="0"/>
              <w:ind w:left="4" w:hanging="4"/>
              <w:rPr>
                <w:color w:val="000000"/>
                <w:sz w:val="22"/>
                <w:szCs w:val="22"/>
                <w:lang w:val="sk-SK"/>
              </w:rPr>
            </w:pPr>
            <w:r w:rsidRPr="00672462">
              <w:rPr>
                <w:color w:val="000000"/>
                <w:sz w:val="22"/>
                <w:szCs w:val="22"/>
                <w:lang w:val="sk-SK"/>
              </w:rPr>
              <w:t>≥1/100 až &lt;1/10</w:t>
            </w:r>
          </w:p>
        </w:tc>
        <w:tc>
          <w:tcPr>
            <w:tcW w:w="1854" w:type="dxa"/>
            <w:tcBorders>
              <w:top w:val="single" w:sz="4" w:space="0" w:color="auto"/>
              <w:left w:val="single" w:sz="4" w:space="0" w:color="auto"/>
              <w:bottom w:val="single" w:sz="4" w:space="0" w:color="auto"/>
              <w:right w:val="single" w:sz="4" w:space="0" w:color="auto"/>
            </w:tcBorders>
          </w:tcPr>
          <w:p w14:paraId="1519BAC7"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b/>
                <w:color w:val="000000"/>
                <w:sz w:val="22"/>
                <w:szCs w:val="22"/>
                <w:lang w:val="sk-SK"/>
              </w:rPr>
              <w:t xml:space="preserve">Menej časté </w:t>
            </w:r>
            <w:r w:rsidRPr="00672462">
              <w:rPr>
                <w:color w:val="000000"/>
                <w:sz w:val="22"/>
                <w:szCs w:val="22"/>
                <w:lang w:val="sk-SK"/>
              </w:rPr>
              <w:t>≥1/1000 až &lt;1/100</w:t>
            </w:r>
          </w:p>
          <w:p w14:paraId="171F3020" w14:textId="77777777" w:rsidR="00CF3670" w:rsidRPr="00672462" w:rsidRDefault="00CF3670" w:rsidP="00672462">
            <w:pPr>
              <w:pStyle w:val="Normlnywebov"/>
              <w:spacing w:before="0" w:beforeAutospacing="0" w:after="0" w:afterAutospacing="0"/>
              <w:ind w:left="567" w:hanging="567"/>
              <w:rPr>
                <w:b/>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2285E836"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b/>
                <w:color w:val="000000"/>
                <w:sz w:val="22"/>
                <w:szCs w:val="22"/>
                <w:lang w:val="sk-SK"/>
              </w:rPr>
              <w:t xml:space="preserve">Zriedkavé </w:t>
            </w:r>
            <w:r w:rsidRPr="00672462">
              <w:rPr>
                <w:color w:val="000000"/>
                <w:sz w:val="22"/>
                <w:szCs w:val="22"/>
                <w:lang w:val="sk-SK"/>
              </w:rPr>
              <w:t>≥1/10 000 až &lt;1/1000</w:t>
            </w:r>
          </w:p>
          <w:p w14:paraId="062A1605" w14:textId="77777777" w:rsidR="00CF3670" w:rsidRPr="00672462" w:rsidRDefault="00CF3670" w:rsidP="00672462">
            <w:pPr>
              <w:pStyle w:val="Normlnywebov"/>
              <w:spacing w:before="0" w:beforeAutospacing="0" w:after="0" w:afterAutospacing="0"/>
              <w:ind w:left="567" w:hanging="567"/>
              <w:rPr>
                <w:b/>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179B6C5A" w14:textId="77777777" w:rsidR="00CF3670" w:rsidRPr="00672462" w:rsidRDefault="00CF3670" w:rsidP="00672462">
            <w:pPr>
              <w:pStyle w:val="Normlnywebov"/>
              <w:spacing w:before="0" w:beforeAutospacing="0" w:after="0" w:afterAutospacing="0"/>
              <w:rPr>
                <w:sz w:val="22"/>
                <w:szCs w:val="22"/>
                <w:lang w:val="sk-SK"/>
              </w:rPr>
            </w:pPr>
            <w:r w:rsidRPr="00672462">
              <w:rPr>
                <w:b/>
                <w:sz w:val="22"/>
                <w:szCs w:val="22"/>
                <w:lang w:val="sk-SK"/>
              </w:rPr>
              <w:t xml:space="preserve">Veľmi zriedkavé </w:t>
            </w:r>
            <w:r w:rsidRPr="00672462">
              <w:rPr>
                <w:sz w:val="22"/>
                <w:szCs w:val="22"/>
                <w:lang w:val="sk-SK"/>
              </w:rPr>
              <w:t>&lt; 1/10 000</w:t>
            </w:r>
          </w:p>
          <w:p w14:paraId="40986474" w14:textId="77777777" w:rsidR="00CF3670" w:rsidRPr="00672462" w:rsidRDefault="00CF3670" w:rsidP="00672462">
            <w:pPr>
              <w:pStyle w:val="Normlnywebov"/>
              <w:spacing w:before="0" w:beforeAutospacing="0" w:after="0" w:afterAutospacing="0"/>
              <w:ind w:left="567" w:hanging="567"/>
              <w:rPr>
                <w:b/>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315292FA" w14:textId="77777777" w:rsidR="00CF3670" w:rsidRPr="00672462" w:rsidRDefault="00CF3670" w:rsidP="00672462">
            <w:pPr>
              <w:pStyle w:val="Normlnywebov"/>
              <w:spacing w:before="0" w:beforeAutospacing="0" w:after="0" w:afterAutospacing="0"/>
              <w:rPr>
                <w:b/>
                <w:color w:val="000000"/>
                <w:sz w:val="22"/>
                <w:szCs w:val="22"/>
                <w:lang w:val="sk-SK"/>
              </w:rPr>
            </w:pPr>
            <w:r w:rsidRPr="00672462">
              <w:rPr>
                <w:b/>
                <w:color w:val="000000"/>
                <w:sz w:val="22"/>
                <w:szCs w:val="22"/>
                <w:lang w:val="sk-SK"/>
              </w:rPr>
              <w:t>Neznáme</w:t>
            </w:r>
            <w:r w:rsidRPr="00672462">
              <w:rPr>
                <w:color w:val="000000"/>
                <w:sz w:val="22"/>
                <w:szCs w:val="22"/>
                <w:lang w:val="sk-SK"/>
              </w:rPr>
              <w:t>(z dostupných údajov)</w:t>
            </w:r>
          </w:p>
        </w:tc>
      </w:tr>
      <w:tr w:rsidR="00CF3670" w:rsidRPr="00672462" w14:paraId="00398209" w14:textId="77777777" w:rsidTr="003D6473">
        <w:tc>
          <w:tcPr>
            <w:tcW w:w="2123" w:type="dxa"/>
            <w:tcBorders>
              <w:top w:val="single" w:sz="4" w:space="0" w:color="auto"/>
              <w:left w:val="single" w:sz="4" w:space="0" w:color="auto"/>
              <w:bottom w:val="single" w:sz="4" w:space="0" w:color="auto"/>
              <w:right w:val="single" w:sz="4" w:space="0" w:color="auto"/>
            </w:tcBorders>
          </w:tcPr>
          <w:p w14:paraId="12397394" w14:textId="77777777" w:rsidR="00CF3670" w:rsidRPr="00672462" w:rsidRDefault="00CF3670" w:rsidP="00672462">
            <w:pPr>
              <w:pStyle w:val="Normlnywebov"/>
              <w:spacing w:before="0" w:beforeAutospacing="0" w:after="0" w:afterAutospacing="0"/>
              <w:ind w:left="567" w:hanging="567"/>
              <w:rPr>
                <w:b/>
                <w:color w:val="000000"/>
                <w:sz w:val="22"/>
                <w:szCs w:val="22"/>
                <w:lang w:val="sk-SK"/>
              </w:rPr>
            </w:pPr>
            <w:r w:rsidRPr="00672462">
              <w:rPr>
                <w:b/>
                <w:color w:val="000000"/>
                <w:sz w:val="22"/>
                <w:szCs w:val="22"/>
                <w:lang w:val="sk-SK"/>
              </w:rPr>
              <w:t>Infekcie a nákazy</w:t>
            </w:r>
          </w:p>
          <w:p w14:paraId="4113AB9D" w14:textId="77777777" w:rsidR="00CF3670" w:rsidRPr="00672462" w:rsidRDefault="00CF3670" w:rsidP="00672462">
            <w:pPr>
              <w:pStyle w:val="Normlnywebov"/>
              <w:spacing w:before="0" w:beforeAutospacing="0" w:after="0" w:afterAutospacing="0"/>
              <w:ind w:left="567" w:hanging="567"/>
              <w:rPr>
                <w:b/>
                <w:color w:val="000000"/>
                <w:sz w:val="22"/>
                <w:szCs w:val="22"/>
                <w:lang w:val="sk-SK"/>
              </w:rPr>
            </w:pPr>
          </w:p>
        </w:tc>
        <w:tc>
          <w:tcPr>
            <w:tcW w:w="882" w:type="dxa"/>
            <w:tcBorders>
              <w:top w:val="single" w:sz="4" w:space="0" w:color="auto"/>
              <w:left w:val="single" w:sz="4" w:space="0" w:color="auto"/>
              <w:bottom w:val="single" w:sz="4" w:space="0" w:color="auto"/>
              <w:right w:val="single" w:sz="4" w:space="0" w:color="auto"/>
            </w:tcBorders>
          </w:tcPr>
          <w:p w14:paraId="2AAB7E61"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101C08A3"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r w:rsidRPr="00672462">
              <w:rPr>
                <w:color w:val="000000"/>
                <w:sz w:val="22"/>
                <w:szCs w:val="22"/>
                <w:lang w:val="sk-SK"/>
              </w:rPr>
              <w:t>Mykotické</w:t>
            </w:r>
          </w:p>
          <w:p w14:paraId="1E840DF0"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r w:rsidRPr="00672462">
              <w:rPr>
                <w:color w:val="000000"/>
                <w:sz w:val="22"/>
                <w:szCs w:val="22"/>
                <w:lang w:val="sk-SK"/>
              </w:rPr>
              <w:t>superinfekcie</w:t>
            </w:r>
          </w:p>
        </w:tc>
        <w:tc>
          <w:tcPr>
            <w:tcW w:w="1940" w:type="dxa"/>
            <w:tcBorders>
              <w:top w:val="single" w:sz="4" w:space="0" w:color="auto"/>
              <w:left w:val="single" w:sz="4" w:space="0" w:color="auto"/>
              <w:bottom w:val="single" w:sz="4" w:space="0" w:color="auto"/>
              <w:right w:val="single" w:sz="4" w:space="0" w:color="auto"/>
            </w:tcBorders>
          </w:tcPr>
          <w:p w14:paraId="4B1776EB" w14:textId="77777777" w:rsidR="00CF3670" w:rsidRPr="00672462" w:rsidRDefault="00CF3670" w:rsidP="00672462">
            <w:pPr>
              <w:pStyle w:val="Normlnywebov"/>
              <w:spacing w:before="0" w:beforeAutospacing="0" w:after="0" w:afterAutospacing="0"/>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5E3A0131"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724C9D40"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p>
        </w:tc>
      </w:tr>
      <w:tr w:rsidR="00CF3670" w:rsidRPr="00672462" w14:paraId="1CA28BB6" w14:textId="77777777" w:rsidTr="003D6473">
        <w:tc>
          <w:tcPr>
            <w:tcW w:w="2123" w:type="dxa"/>
            <w:tcBorders>
              <w:top w:val="single" w:sz="4" w:space="0" w:color="auto"/>
              <w:left w:val="single" w:sz="4" w:space="0" w:color="auto"/>
              <w:bottom w:val="single" w:sz="4" w:space="0" w:color="auto"/>
              <w:right w:val="single" w:sz="4" w:space="0" w:color="auto"/>
            </w:tcBorders>
          </w:tcPr>
          <w:p w14:paraId="393E4865" w14:textId="77777777" w:rsidR="00CF3670" w:rsidRPr="00672462" w:rsidRDefault="00CF3670"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krvi a lymfatického systému</w:t>
            </w:r>
          </w:p>
          <w:p w14:paraId="256C1C38" w14:textId="77777777" w:rsidR="00CF3670" w:rsidRPr="00672462" w:rsidRDefault="00CF3670" w:rsidP="00672462">
            <w:pPr>
              <w:pStyle w:val="Normlnywebov"/>
              <w:spacing w:before="0" w:beforeAutospacing="0" w:after="0" w:afterAutospacing="0"/>
              <w:ind w:left="567" w:hanging="567"/>
              <w:rPr>
                <w:b/>
                <w:color w:val="000000"/>
                <w:sz w:val="22"/>
                <w:szCs w:val="22"/>
                <w:lang w:val="sk-SK"/>
              </w:rPr>
            </w:pPr>
          </w:p>
        </w:tc>
        <w:tc>
          <w:tcPr>
            <w:tcW w:w="882" w:type="dxa"/>
            <w:tcBorders>
              <w:top w:val="single" w:sz="4" w:space="0" w:color="auto"/>
              <w:left w:val="single" w:sz="4" w:space="0" w:color="auto"/>
              <w:bottom w:val="single" w:sz="4" w:space="0" w:color="auto"/>
              <w:right w:val="single" w:sz="4" w:space="0" w:color="auto"/>
            </w:tcBorders>
          </w:tcPr>
          <w:p w14:paraId="3F8343D2"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29CDA0F6"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r w:rsidRPr="00672462">
              <w:rPr>
                <w:sz w:val="22"/>
                <w:szCs w:val="22"/>
                <w:lang w:val="sk-SK"/>
              </w:rPr>
              <w:t>e</w:t>
            </w:r>
            <w:r w:rsidRPr="00672462">
              <w:rPr>
                <w:color w:val="000000"/>
                <w:sz w:val="22"/>
                <w:szCs w:val="22"/>
                <w:lang w:val="sk-SK"/>
              </w:rPr>
              <w:t>ozinofília</w:t>
            </w:r>
          </w:p>
        </w:tc>
        <w:tc>
          <w:tcPr>
            <w:tcW w:w="1940" w:type="dxa"/>
            <w:tcBorders>
              <w:top w:val="single" w:sz="4" w:space="0" w:color="auto"/>
              <w:left w:val="single" w:sz="4" w:space="0" w:color="auto"/>
              <w:bottom w:val="single" w:sz="4" w:space="0" w:color="auto"/>
              <w:right w:val="single" w:sz="4" w:space="0" w:color="auto"/>
            </w:tcBorders>
          </w:tcPr>
          <w:p w14:paraId="50A4D6C2"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color w:val="000000"/>
                <w:sz w:val="22"/>
                <w:szCs w:val="22"/>
                <w:lang w:val="sk-SK"/>
              </w:rPr>
              <w:t xml:space="preserve">leukopénia, anémia, </w:t>
            </w:r>
          </w:p>
          <w:p w14:paraId="5ECF9EB3"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color w:val="000000"/>
                <w:sz w:val="22"/>
                <w:szCs w:val="22"/>
                <w:lang w:val="sk-SK"/>
              </w:rPr>
              <w:t>neutropénia, leukocytóza, trombocytopénia, trombocytémia</w:t>
            </w:r>
          </w:p>
        </w:tc>
        <w:tc>
          <w:tcPr>
            <w:tcW w:w="1940" w:type="dxa"/>
            <w:tcBorders>
              <w:top w:val="single" w:sz="4" w:space="0" w:color="auto"/>
              <w:left w:val="single" w:sz="4" w:space="0" w:color="auto"/>
              <w:bottom w:val="single" w:sz="4" w:space="0" w:color="auto"/>
              <w:right w:val="single" w:sz="4" w:space="0" w:color="auto"/>
            </w:tcBorders>
          </w:tcPr>
          <w:p w14:paraId="5E082B24"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color w:val="000000"/>
                <w:sz w:val="22"/>
                <w:szCs w:val="22"/>
                <w:lang w:val="sk-SK"/>
              </w:rPr>
              <w:t>hemolytická anémia, agranulocytóza, pancytopénia (život ohrozujúca),</w:t>
            </w:r>
          </w:p>
          <w:p w14:paraId="7A6BF66A"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color w:val="000000"/>
                <w:sz w:val="22"/>
                <w:szCs w:val="22"/>
                <w:lang w:val="sk-SK"/>
              </w:rPr>
              <w:t>útlm kostnej drene (život ohrozujúci)</w:t>
            </w:r>
          </w:p>
        </w:tc>
        <w:tc>
          <w:tcPr>
            <w:tcW w:w="1689" w:type="dxa"/>
            <w:tcBorders>
              <w:top w:val="single" w:sz="4" w:space="0" w:color="auto"/>
              <w:left w:val="single" w:sz="4" w:space="0" w:color="auto"/>
              <w:bottom w:val="single" w:sz="4" w:space="0" w:color="auto"/>
              <w:right w:val="single" w:sz="4" w:space="0" w:color="auto"/>
            </w:tcBorders>
          </w:tcPr>
          <w:p w14:paraId="1AD947C2"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p>
        </w:tc>
      </w:tr>
      <w:tr w:rsidR="00CF3670" w:rsidRPr="00672462" w14:paraId="15387C6E" w14:textId="77777777" w:rsidTr="003D6473">
        <w:tc>
          <w:tcPr>
            <w:tcW w:w="2123" w:type="dxa"/>
            <w:tcBorders>
              <w:top w:val="single" w:sz="4" w:space="0" w:color="auto"/>
              <w:left w:val="single" w:sz="4" w:space="0" w:color="auto"/>
              <w:bottom w:val="single" w:sz="4" w:space="0" w:color="auto"/>
              <w:right w:val="single" w:sz="4" w:space="0" w:color="auto"/>
            </w:tcBorders>
          </w:tcPr>
          <w:p w14:paraId="22D67B5E" w14:textId="77777777" w:rsidR="00CF3670" w:rsidRPr="00672462" w:rsidRDefault="00CF3670"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imunitného systému</w:t>
            </w:r>
          </w:p>
          <w:p w14:paraId="19478C1C" w14:textId="77777777" w:rsidR="00CF3670" w:rsidRPr="00672462" w:rsidRDefault="00CF3670" w:rsidP="00672462">
            <w:pPr>
              <w:pStyle w:val="Normlnywebov"/>
              <w:spacing w:before="0" w:beforeAutospacing="0" w:after="0" w:afterAutospacing="0"/>
              <w:ind w:left="567" w:hanging="567"/>
              <w:rPr>
                <w:b/>
                <w:color w:val="000000"/>
                <w:sz w:val="22"/>
                <w:szCs w:val="22"/>
                <w:lang w:val="sk-SK"/>
              </w:rPr>
            </w:pPr>
          </w:p>
        </w:tc>
        <w:tc>
          <w:tcPr>
            <w:tcW w:w="882" w:type="dxa"/>
            <w:tcBorders>
              <w:top w:val="single" w:sz="4" w:space="0" w:color="auto"/>
              <w:left w:val="single" w:sz="4" w:space="0" w:color="auto"/>
              <w:bottom w:val="single" w:sz="4" w:space="0" w:color="auto"/>
              <w:right w:val="single" w:sz="4" w:space="0" w:color="auto"/>
            </w:tcBorders>
          </w:tcPr>
          <w:p w14:paraId="68D6C22C"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11E3EE13"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70310B71"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color w:val="000000"/>
                <w:sz w:val="22"/>
                <w:szCs w:val="22"/>
                <w:lang w:val="sk-SK"/>
              </w:rPr>
              <w:t>alergická reakcia, alergický edém/angioedém</w:t>
            </w:r>
          </w:p>
        </w:tc>
        <w:tc>
          <w:tcPr>
            <w:tcW w:w="1940" w:type="dxa"/>
            <w:tcBorders>
              <w:top w:val="single" w:sz="4" w:space="0" w:color="auto"/>
              <w:left w:val="single" w:sz="4" w:space="0" w:color="auto"/>
              <w:bottom w:val="single" w:sz="4" w:space="0" w:color="auto"/>
              <w:right w:val="single" w:sz="4" w:space="0" w:color="auto"/>
            </w:tcBorders>
          </w:tcPr>
          <w:p w14:paraId="2490E544"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color w:val="000000"/>
                <w:sz w:val="22"/>
                <w:szCs w:val="22"/>
                <w:lang w:val="sk-SK"/>
              </w:rPr>
              <w:t>anafylaktická reakcia, anafylaktický šok (život ohrozujúci) (pozri časť 4.4),</w:t>
            </w:r>
          </w:p>
          <w:p w14:paraId="65B814E1" w14:textId="77777777" w:rsidR="00CF3670" w:rsidRPr="00672462" w:rsidRDefault="00CF3670" w:rsidP="00672462">
            <w:pPr>
              <w:pStyle w:val="Normlnywebov"/>
              <w:spacing w:before="0" w:beforeAutospacing="0" w:after="0" w:afterAutospacing="0"/>
              <w:rPr>
                <w:color w:val="000000"/>
                <w:sz w:val="22"/>
                <w:szCs w:val="22"/>
                <w:lang w:val="sk-SK"/>
              </w:rPr>
            </w:pPr>
            <w:r w:rsidRPr="00672462">
              <w:rPr>
                <w:color w:val="000000"/>
                <w:sz w:val="22"/>
                <w:szCs w:val="22"/>
                <w:lang w:val="sk-SK"/>
              </w:rPr>
              <w:t>reakcia podobná sérovej chorobe</w:t>
            </w:r>
          </w:p>
        </w:tc>
        <w:tc>
          <w:tcPr>
            <w:tcW w:w="1689" w:type="dxa"/>
            <w:tcBorders>
              <w:top w:val="single" w:sz="4" w:space="0" w:color="auto"/>
              <w:left w:val="single" w:sz="4" w:space="0" w:color="auto"/>
              <w:bottom w:val="single" w:sz="4" w:space="0" w:color="auto"/>
              <w:right w:val="single" w:sz="4" w:space="0" w:color="auto"/>
            </w:tcBorders>
          </w:tcPr>
          <w:p w14:paraId="6205D7E6" w14:textId="77777777" w:rsidR="00CF3670" w:rsidRPr="00672462" w:rsidRDefault="00CF3670" w:rsidP="00672462">
            <w:pPr>
              <w:pStyle w:val="Normlnywebov"/>
              <w:spacing w:before="0" w:beforeAutospacing="0" w:after="0" w:afterAutospacing="0"/>
              <w:ind w:left="567" w:hanging="567"/>
              <w:rPr>
                <w:color w:val="000000"/>
                <w:sz w:val="22"/>
                <w:szCs w:val="22"/>
                <w:lang w:val="sk-SK"/>
              </w:rPr>
            </w:pPr>
          </w:p>
        </w:tc>
      </w:tr>
      <w:tr w:rsidR="003D6473" w:rsidRPr="00672462" w14:paraId="75DB27BA" w14:textId="77777777" w:rsidTr="003D6473">
        <w:tc>
          <w:tcPr>
            <w:tcW w:w="2123" w:type="dxa"/>
            <w:tcBorders>
              <w:top w:val="single" w:sz="4" w:space="0" w:color="auto"/>
              <w:left w:val="single" w:sz="4" w:space="0" w:color="auto"/>
              <w:bottom w:val="single" w:sz="4" w:space="0" w:color="auto"/>
              <w:right w:val="single" w:sz="4" w:space="0" w:color="auto"/>
            </w:tcBorders>
          </w:tcPr>
          <w:p w14:paraId="330A54B0" w14:textId="77777777" w:rsidR="003D6473" w:rsidRPr="00672462" w:rsidRDefault="003D6473" w:rsidP="00672462">
            <w:pPr>
              <w:pStyle w:val="Normlnywebov"/>
              <w:spacing w:before="0" w:beforeAutospacing="0" w:after="0" w:afterAutospacing="0"/>
              <w:rPr>
                <w:b/>
                <w:color w:val="000000"/>
                <w:sz w:val="22"/>
                <w:szCs w:val="22"/>
                <w:lang w:val="sk-SK"/>
              </w:rPr>
            </w:pPr>
            <w:r>
              <w:rPr>
                <w:b/>
                <w:color w:val="000000"/>
                <w:sz w:val="22"/>
                <w:szCs w:val="22"/>
                <w:lang w:val="sk-SK"/>
              </w:rPr>
              <w:t>Poruchy endokrinného systému</w:t>
            </w:r>
          </w:p>
        </w:tc>
        <w:tc>
          <w:tcPr>
            <w:tcW w:w="882" w:type="dxa"/>
            <w:tcBorders>
              <w:top w:val="single" w:sz="4" w:space="0" w:color="auto"/>
              <w:left w:val="single" w:sz="4" w:space="0" w:color="auto"/>
              <w:bottom w:val="single" w:sz="4" w:space="0" w:color="auto"/>
              <w:right w:val="single" w:sz="4" w:space="0" w:color="auto"/>
            </w:tcBorders>
          </w:tcPr>
          <w:p w14:paraId="2E5FBDC7"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2A004CF7"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6895791E" w14:textId="77777777" w:rsidR="003D6473" w:rsidRPr="00672462" w:rsidRDefault="003D6473" w:rsidP="00672462">
            <w:pPr>
              <w:pStyle w:val="Normlnywebov"/>
              <w:spacing w:before="0" w:beforeAutospacing="0" w:after="0" w:afterAutospacing="0"/>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4954687D" w14:textId="77777777" w:rsidR="003D6473" w:rsidRPr="00672462" w:rsidRDefault="003D6473" w:rsidP="00672462">
            <w:pPr>
              <w:pStyle w:val="Normlnywebov"/>
              <w:spacing w:before="0" w:beforeAutospacing="0" w:after="0" w:afterAutospacing="0"/>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46394F2A" w14:textId="77777777" w:rsidR="003D6473" w:rsidRDefault="003D6473" w:rsidP="003D6473">
            <w:pPr>
              <w:pStyle w:val="Normlnywebov"/>
              <w:spacing w:before="0" w:beforeAutospacing="0" w:after="0" w:afterAutospacing="0"/>
              <w:ind w:left="567" w:hanging="567"/>
              <w:rPr>
                <w:color w:val="000000"/>
                <w:sz w:val="22"/>
                <w:szCs w:val="22"/>
                <w:lang w:val="sk-SK"/>
              </w:rPr>
            </w:pPr>
            <w:r>
              <w:rPr>
                <w:color w:val="000000"/>
                <w:sz w:val="22"/>
                <w:szCs w:val="22"/>
                <w:lang w:val="sk-SK"/>
              </w:rPr>
              <w:t>Syndróm</w:t>
            </w:r>
          </w:p>
          <w:p w14:paraId="1F9ECA3D" w14:textId="77777777" w:rsidR="003D6473" w:rsidRDefault="0014211D" w:rsidP="0014211D">
            <w:pPr>
              <w:pStyle w:val="Normlnywebov"/>
              <w:spacing w:before="0" w:beforeAutospacing="0" w:after="0" w:afterAutospacing="0"/>
              <w:ind w:left="50"/>
              <w:rPr>
                <w:color w:val="000000"/>
                <w:sz w:val="22"/>
                <w:szCs w:val="22"/>
                <w:lang w:val="sk-SK"/>
              </w:rPr>
            </w:pPr>
            <w:r>
              <w:rPr>
                <w:color w:val="000000"/>
                <w:sz w:val="22"/>
                <w:szCs w:val="22"/>
                <w:lang w:val="sk-SK"/>
              </w:rPr>
              <w:t>Neprimeranej sekrécie antidiuretického hormónu</w:t>
            </w:r>
          </w:p>
          <w:p w14:paraId="29C140AE" w14:textId="5ABBAB1F" w:rsidR="003D6473" w:rsidRPr="00672462" w:rsidRDefault="0014211D" w:rsidP="0014211D">
            <w:pPr>
              <w:pStyle w:val="Normlnywebov"/>
              <w:spacing w:before="0" w:beforeAutospacing="0" w:after="0" w:afterAutospacing="0"/>
              <w:ind w:left="50" w:hanging="50"/>
              <w:rPr>
                <w:color w:val="000000"/>
                <w:sz w:val="22"/>
                <w:szCs w:val="22"/>
                <w:lang w:val="sk-SK"/>
              </w:rPr>
            </w:pPr>
            <w:r>
              <w:t>(syndrome of inappropriate secretion of antidiuretic hormone,</w:t>
            </w:r>
            <w:r w:rsidR="003D6473" w:rsidRPr="001E11CD">
              <w:rPr>
                <w:color w:val="000000"/>
                <w:sz w:val="22"/>
                <w:szCs w:val="22"/>
                <w:lang w:val="sk-SK"/>
              </w:rPr>
              <w:t xml:space="preserve"> (SIADH)</w:t>
            </w:r>
          </w:p>
        </w:tc>
      </w:tr>
      <w:tr w:rsidR="003D6473" w:rsidRPr="00672462" w14:paraId="1E5FA6A9" w14:textId="77777777" w:rsidTr="003D6473">
        <w:tc>
          <w:tcPr>
            <w:tcW w:w="2123" w:type="dxa"/>
            <w:tcBorders>
              <w:top w:val="single" w:sz="4" w:space="0" w:color="auto"/>
              <w:left w:val="single" w:sz="4" w:space="0" w:color="auto"/>
              <w:bottom w:val="single" w:sz="4" w:space="0" w:color="auto"/>
              <w:right w:val="single" w:sz="4" w:space="0" w:color="auto"/>
            </w:tcBorders>
          </w:tcPr>
          <w:p w14:paraId="73900693"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metabolizmu a výživy</w:t>
            </w:r>
          </w:p>
          <w:p w14:paraId="775926EA" w14:textId="77777777" w:rsidR="003D6473" w:rsidRPr="00672462" w:rsidRDefault="003D6473" w:rsidP="00672462">
            <w:pPr>
              <w:pStyle w:val="Normlnywebov"/>
              <w:spacing w:before="0" w:beforeAutospacing="0" w:after="0" w:afterAutospacing="0"/>
              <w:ind w:left="567" w:hanging="567"/>
              <w:rPr>
                <w:b/>
                <w:color w:val="000000"/>
                <w:sz w:val="22"/>
                <w:szCs w:val="22"/>
                <w:lang w:val="sk-SK"/>
              </w:rPr>
            </w:pPr>
          </w:p>
        </w:tc>
        <w:tc>
          <w:tcPr>
            <w:tcW w:w="882" w:type="dxa"/>
            <w:tcBorders>
              <w:top w:val="single" w:sz="4" w:space="0" w:color="auto"/>
              <w:left w:val="single" w:sz="4" w:space="0" w:color="auto"/>
              <w:bottom w:val="single" w:sz="4" w:space="0" w:color="auto"/>
              <w:right w:val="single" w:sz="4" w:space="0" w:color="auto"/>
            </w:tcBorders>
          </w:tcPr>
          <w:p w14:paraId="3236E668"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7F31DFF2"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r w:rsidRPr="00672462">
              <w:rPr>
                <w:color w:val="000000"/>
                <w:sz w:val="22"/>
                <w:szCs w:val="22"/>
                <w:lang w:val="sk-SK"/>
              </w:rPr>
              <w:t>anorexia</w:t>
            </w:r>
          </w:p>
        </w:tc>
        <w:tc>
          <w:tcPr>
            <w:tcW w:w="1940" w:type="dxa"/>
            <w:tcBorders>
              <w:top w:val="single" w:sz="4" w:space="0" w:color="auto"/>
              <w:left w:val="single" w:sz="4" w:space="0" w:color="auto"/>
              <w:bottom w:val="single" w:sz="4" w:space="0" w:color="auto"/>
              <w:right w:val="single" w:sz="4" w:space="0" w:color="auto"/>
            </w:tcBorders>
          </w:tcPr>
          <w:p w14:paraId="376941A6" w14:textId="77777777" w:rsidR="003D6473" w:rsidRDefault="003D6473" w:rsidP="00672462">
            <w:pPr>
              <w:pStyle w:val="Normlnywebov"/>
              <w:spacing w:before="0" w:beforeAutospacing="0" w:after="0" w:afterAutospacing="0"/>
              <w:ind w:left="567" w:hanging="567"/>
              <w:rPr>
                <w:color w:val="000000"/>
                <w:sz w:val="22"/>
                <w:szCs w:val="22"/>
                <w:lang w:val="sk-SK"/>
              </w:rPr>
            </w:pPr>
            <w:r>
              <w:rPr>
                <w:color w:val="000000"/>
                <w:sz w:val="22"/>
                <w:szCs w:val="22"/>
                <w:lang w:val="sk-SK"/>
              </w:rPr>
              <w:t>h</w:t>
            </w:r>
            <w:r w:rsidRPr="00672462">
              <w:rPr>
                <w:color w:val="000000"/>
                <w:sz w:val="22"/>
                <w:szCs w:val="22"/>
                <w:lang w:val="sk-SK"/>
              </w:rPr>
              <w:t>yperglykémia</w:t>
            </w:r>
          </w:p>
          <w:p w14:paraId="5C084529"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r>
              <w:rPr>
                <w:color w:val="000000"/>
                <w:sz w:val="22"/>
                <w:szCs w:val="22"/>
                <w:lang w:val="sk-SK"/>
              </w:rPr>
              <w:t>hypoglykémia (pozri časť 4.4)</w:t>
            </w:r>
          </w:p>
        </w:tc>
        <w:tc>
          <w:tcPr>
            <w:tcW w:w="1940" w:type="dxa"/>
            <w:tcBorders>
              <w:top w:val="single" w:sz="4" w:space="0" w:color="auto"/>
              <w:left w:val="single" w:sz="4" w:space="0" w:color="auto"/>
              <w:bottom w:val="single" w:sz="4" w:space="0" w:color="auto"/>
              <w:right w:val="single" w:sz="4" w:space="0" w:color="auto"/>
            </w:tcBorders>
          </w:tcPr>
          <w:p w14:paraId="44521727"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600E5210" w14:textId="77777777" w:rsidR="004A669E" w:rsidRDefault="004A669E" w:rsidP="004A669E">
            <w:pPr>
              <w:pStyle w:val="Normlnywebov"/>
              <w:spacing w:before="0" w:beforeAutospacing="0" w:after="0" w:afterAutospacing="0"/>
              <w:ind w:left="567" w:hanging="567"/>
              <w:rPr>
                <w:color w:val="000000"/>
                <w:sz w:val="22"/>
                <w:szCs w:val="22"/>
                <w:lang w:val="sk-SK"/>
              </w:rPr>
            </w:pPr>
            <w:r>
              <w:rPr>
                <w:color w:val="000000"/>
                <w:sz w:val="22"/>
                <w:szCs w:val="22"/>
                <w:lang w:val="sk-SK"/>
              </w:rPr>
              <w:t>hypoglykemická</w:t>
            </w:r>
          </w:p>
          <w:p w14:paraId="206F1831" w14:textId="77777777" w:rsidR="004A669E" w:rsidRDefault="004A669E" w:rsidP="004A669E">
            <w:pPr>
              <w:pStyle w:val="Normlnywebov"/>
              <w:spacing w:before="0" w:beforeAutospacing="0" w:after="0" w:afterAutospacing="0"/>
              <w:ind w:left="567" w:hanging="567"/>
              <w:rPr>
                <w:color w:val="000000"/>
                <w:sz w:val="22"/>
                <w:szCs w:val="22"/>
                <w:lang w:val="sk-SK"/>
              </w:rPr>
            </w:pPr>
            <w:r>
              <w:rPr>
                <w:color w:val="000000"/>
                <w:sz w:val="22"/>
                <w:szCs w:val="22"/>
                <w:lang w:val="sk-SK"/>
              </w:rPr>
              <w:t>kóma (pozri</w:t>
            </w:r>
          </w:p>
          <w:p w14:paraId="1C4F042B" w14:textId="60FFC440" w:rsidR="003D6473" w:rsidRPr="00672462" w:rsidRDefault="004A669E" w:rsidP="004A669E">
            <w:pPr>
              <w:pStyle w:val="Normlnywebov"/>
              <w:spacing w:before="0" w:beforeAutospacing="0" w:after="0" w:afterAutospacing="0"/>
              <w:ind w:left="567" w:hanging="567"/>
              <w:rPr>
                <w:color w:val="000000"/>
                <w:sz w:val="22"/>
                <w:szCs w:val="22"/>
                <w:lang w:val="sk-SK"/>
              </w:rPr>
            </w:pPr>
            <w:r>
              <w:rPr>
                <w:color w:val="000000"/>
                <w:sz w:val="22"/>
                <w:szCs w:val="22"/>
                <w:lang w:val="sk-SK"/>
              </w:rPr>
              <w:t xml:space="preserve">časť </w:t>
            </w:r>
            <w:r w:rsidRPr="00E528E3">
              <w:rPr>
                <w:color w:val="000000"/>
                <w:sz w:val="22"/>
                <w:szCs w:val="22"/>
                <w:lang w:val="sk-SK"/>
              </w:rPr>
              <w:t>4.4)</w:t>
            </w:r>
          </w:p>
        </w:tc>
      </w:tr>
      <w:tr w:rsidR="003D6473" w:rsidRPr="00672462" w14:paraId="325775ED" w14:textId="77777777" w:rsidTr="003D6473">
        <w:tc>
          <w:tcPr>
            <w:tcW w:w="2123" w:type="dxa"/>
            <w:tcBorders>
              <w:top w:val="single" w:sz="4" w:space="0" w:color="auto"/>
              <w:left w:val="single" w:sz="4" w:space="0" w:color="auto"/>
              <w:bottom w:val="single" w:sz="4" w:space="0" w:color="auto"/>
              <w:right w:val="single" w:sz="4" w:space="0" w:color="auto"/>
            </w:tcBorders>
          </w:tcPr>
          <w:p w14:paraId="56896E58" w14:textId="77777777" w:rsidR="003D6473" w:rsidRPr="00672462" w:rsidRDefault="003D6473" w:rsidP="00672462">
            <w:pPr>
              <w:pStyle w:val="Normlnywebov"/>
              <w:spacing w:before="0" w:beforeAutospacing="0" w:after="0" w:afterAutospacing="0"/>
              <w:ind w:left="567" w:hanging="567"/>
              <w:rPr>
                <w:b/>
                <w:color w:val="000000"/>
                <w:sz w:val="22"/>
                <w:szCs w:val="22"/>
                <w:lang w:val="sk-SK"/>
              </w:rPr>
            </w:pPr>
            <w:r w:rsidRPr="00672462">
              <w:rPr>
                <w:b/>
                <w:color w:val="000000"/>
                <w:sz w:val="22"/>
                <w:szCs w:val="22"/>
                <w:lang w:val="sk-SK"/>
              </w:rPr>
              <w:t>Psychické poruchy</w:t>
            </w:r>
            <w:r w:rsidR="006812C3">
              <w:rPr>
                <w:lang w:val="en-GB"/>
              </w:rPr>
              <w:t>*</w:t>
            </w:r>
          </w:p>
          <w:p w14:paraId="715B14B6" w14:textId="77777777" w:rsidR="003D6473" w:rsidRPr="00672462" w:rsidRDefault="003D6473" w:rsidP="00672462">
            <w:pPr>
              <w:pStyle w:val="Normlnywebov"/>
              <w:spacing w:before="0" w:beforeAutospacing="0" w:after="0" w:afterAutospacing="0"/>
              <w:ind w:left="567" w:hanging="567"/>
              <w:rPr>
                <w:b/>
                <w:color w:val="000000"/>
                <w:sz w:val="22"/>
                <w:szCs w:val="22"/>
                <w:lang w:val="sk-SK"/>
              </w:rPr>
            </w:pPr>
          </w:p>
        </w:tc>
        <w:tc>
          <w:tcPr>
            <w:tcW w:w="882" w:type="dxa"/>
            <w:tcBorders>
              <w:top w:val="single" w:sz="4" w:space="0" w:color="auto"/>
              <w:left w:val="single" w:sz="4" w:space="0" w:color="auto"/>
              <w:bottom w:val="single" w:sz="4" w:space="0" w:color="auto"/>
              <w:right w:val="single" w:sz="4" w:space="0" w:color="auto"/>
            </w:tcBorders>
          </w:tcPr>
          <w:p w14:paraId="4E3675CA"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1A51A0F9"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psychomotorická hyperaktivita/ agitácia</w:t>
            </w:r>
          </w:p>
        </w:tc>
        <w:tc>
          <w:tcPr>
            <w:tcW w:w="1940" w:type="dxa"/>
            <w:tcBorders>
              <w:top w:val="single" w:sz="4" w:space="0" w:color="auto"/>
              <w:left w:val="single" w:sz="4" w:space="0" w:color="auto"/>
              <w:bottom w:val="single" w:sz="4" w:space="0" w:color="auto"/>
              <w:right w:val="single" w:sz="4" w:space="0" w:color="auto"/>
            </w:tcBorders>
          </w:tcPr>
          <w:p w14:paraId="48993B16"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zmätenosť a dezorientácia, reakcia úzkosti, abnormálne sny, depresia (potenciálne kulminujúce do suicidálnych predstáv/myšlienok alebo suicidálnych pokusov a dokonanej samovraždy (pozri časť 4.4), halucinácie</w:t>
            </w:r>
          </w:p>
        </w:tc>
        <w:tc>
          <w:tcPr>
            <w:tcW w:w="1940" w:type="dxa"/>
            <w:tcBorders>
              <w:top w:val="single" w:sz="4" w:space="0" w:color="auto"/>
              <w:left w:val="single" w:sz="4" w:space="0" w:color="auto"/>
              <w:bottom w:val="single" w:sz="4" w:space="0" w:color="auto"/>
              <w:right w:val="single" w:sz="4" w:space="0" w:color="auto"/>
            </w:tcBorders>
          </w:tcPr>
          <w:p w14:paraId="397C9189"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psychotické reakcie (potenciálne kulminujúce do suicidálnych predstáv/myšlienok alebo suicidálnych pokusov a dokonanej samovraždy) (pozri časť 4.4)</w:t>
            </w:r>
          </w:p>
        </w:tc>
        <w:tc>
          <w:tcPr>
            <w:tcW w:w="1689" w:type="dxa"/>
            <w:tcBorders>
              <w:top w:val="single" w:sz="4" w:space="0" w:color="auto"/>
              <w:left w:val="single" w:sz="4" w:space="0" w:color="auto"/>
              <w:bottom w:val="single" w:sz="4" w:space="0" w:color="auto"/>
              <w:right w:val="single" w:sz="4" w:space="0" w:color="auto"/>
            </w:tcBorders>
          </w:tcPr>
          <w:p w14:paraId="7AE806BD" w14:textId="77777777" w:rsidR="003D6473" w:rsidRDefault="003D6473">
            <w:pPr>
              <w:pStyle w:val="Normlnywebov"/>
              <w:spacing w:before="0" w:beforeAutospacing="0" w:after="0" w:afterAutospacing="0"/>
              <w:ind w:left="77" w:hanging="77"/>
              <w:rPr>
                <w:color w:val="000000"/>
                <w:sz w:val="22"/>
                <w:szCs w:val="22"/>
                <w:lang w:val="sk-SK"/>
              </w:rPr>
            </w:pPr>
            <w:r>
              <w:rPr>
                <w:color w:val="000000"/>
                <w:sz w:val="22"/>
                <w:szCs w:val="22"/>
                <w:lang w:val="sk-SK"/>
              </w:rPr>
              <w:t>mánia, hypománia</w:t>
            </w:r>
          </w:p>
        </w:tc>
      </w:tr>
      <w:tr w:rsidR="003D6473" w:rsidRPr="00672462" w14:paraId="4FFD4FBE" w14:textId="77777777" w:rsidTr="003D6473">
        <w:tc>
          <w:tcPr>
            <w:tcW w:w="2123" w:type="dxa"/>
            <w:tcBorders>
              <w:top w:val="single" w:sz="4" w:space="0" w:color="auto"/>
              <w:left w:val="single" w:sz="4" w:space="0" w:color="auto"/>
              <w:bottom w:val="single" w:sz="4" w:space="0" w:color="auto"/>
              <w:right w:val="single" w:sz="4" w:space="0" w:color="auto"/>
            </w:tcBorders>
          </w:tcPr>
          <w:p w14:paraId="6053C2E9"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nervového systému</w:t>
            </w:r>
            <w:r w:rsidR="006812C3">
              <w:rPr>
                <w:lang w:val="en-GB"/>
              </w:rPr>
              <w:t>*</w:t>
            </w:r>
          </w:p>
          <w:p w14:paraId="08695F3B" w14:textId="77777777" w:rsidR="003D6473" w:rsidRPr="00672462" w:rsidRDefault="003D6473" w:rsidP="00672462">
            <w:pPr>
              <w:pStyle w:val="Normlnywebov"/>
              <w:spacing w:before="0" w:beforeAutospacing="0" w:after="0" w:afterAutospacing="0"/>
              <w:ind w:left="567" w:hanging="567"/>
              <w:rPr>
                <w:b/>
                <w:color w:val="000000"/>
                <w:sz w:val="22"/>
                <w:szCs w:val="22"/>
                <w:lang w:val="sk-SK"/>
              </w:rPr>
            </w:pPr>
          </w:p>
        </w:tc>
        <w:tc>
          <w:tcPr>
            <w:tcW w:w="882" w:type="dxa"/>
            <w:tcBorders>
              <w:top w:val="single" w:sz="4" w:space="0" w:color="auto"/>
              <w:left w:val="single" w:sz="4" w:space="0" w:color="auto"/>
              <w:bottom w:val="single" w:sz="4" w:space="0" w:color="auto"/>
              <w:right w:val="single" w:sz="4" w:space="0" w:color="auto"/>
            </w:tcBorders>
          </w:tcPr>
          <w:p w14:paraId="4D771434"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6C4EEA73"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bolesť hlavy, závraty, poruchy spánku, poruchy chuti</w:t>
            </w:r>
          </w:p>
        </w:tc>
        <w:tc>
          <w:tcPr>
            <w:tcW w:w="1940" w:type="dxa"/>
            <w:tcBorders>
              <w:top w:val="single" w:sz="4" w:space="0" w:color="auto"/>
              <w:left w:val="single" w:sz="4" w:space="0" w:color="auto"/>
              <w:bottom w:val="single" w:sz="4" w:space="0" w:color="auto"/>
              <w:right w:val="single" w:sz="4" w:space="0" w:color="auto"/>
            </w:tcBorders>
          </w:tcPr>
          <w:p w14:paraId="2A853CA2"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parestézia, dyzastézia, hypoastézia, tras, záchvaty (vrátane status epilepticus pozri časť 4.4), vertigo</w:t>
            </w:r>
          </w:p>
        </w:tc>
        <w:tc>
          <w:tcPr>
            <w:tcW w:w="1940" w:type="dxa"/>
            <w:tcBorders>
              <w:top w:val="single" w:sz="4" w:space="0" w:color="auto"/>
              <w:left w:val="single" w:sz="4" w:space="0" w:color="auto"/>
              <w:bottom w:val="single" w:sz="4" w:space="0" w:color="auto"/>
              <w:right w:val="single" w:sz="4" w:space="0" w:color="auto"/>
            </w:tcBorders>
          </w:tcPr>
          <w:p w14:paraId="5473DA42"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migréna, poruchy koordinácie, poruchy chôdze, poruchy čuchového nervu, intrakraniálna hypertenzia</w:t>
            </w:r>
            <w:r>
              <w:rPr>
                <w:color w:val="000000"/>
                <w:sz w:val="22"/>
                <w:szCs w:val="22"/>
                <w:lang w:val="sk-SK"/>
              </w:rPr>
              <w:t xml:space="preserve"> a pseudotumor cerebri</w:t>
            </w:r>
          </w:p>
        </w:tc>
        <w:tc>
          <w:tcPr>
            <w:tcW w:w="1689" w:type="dxa"/>
            <w:tcBorders>
              <w:top w:val="single" w:sz="4" w:space="0" w:color="auto"/>
              <w:left w:val="single" w:sz="4" w:space="0" w:color="auto"/>
              <w:bottom w:val="single" w:sz="4" w:space="0" w:color="auto"/>
              <w:right w:val="single" w:sz="4" w:space="0" w:color="auto"/>
            </w:tcBorders>
          </w:tcPr>
          <w:p w14:paraId="7B88F3C9"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 xml:space="preserve">periférna neuropatia </w:t>
            </w:r>
            <w:r>
              <w:rPr>
                <w:color w:val="000000"/>
                <w:sz w:val="22"/>
                <w:szCs w:val="22"/>
                <w:lang w:val="sk-SK"/>
              </w:rPr>
              <w:t xml:space="preserve">a polyneuropatia </w:t>
            </w:r>
            <w:r w:rsidRPr="00672462">
              <w:rPr>
                <w:color w:val="000000"/>
                <w:sz w:val="22"/>
                <w:szCs w:val="22"/>
                <w:lang w:val="sk-SK"/>
              </w:rPr>
              <w:t>(pozri časť 4.4)</w:t>
            </w:r>
          </w:p>
        </w:tc>
      </w:tr>
      <w:tr w:rsidR="003D6473" w:rsidRPr="00672462" w14:paraId="39AB87EC" w14:textId="77777777" w:rsidTr="003D6473">
        <w:tc>
          <w:tcPr>
            <w:tcW w:w="2123" w:type="dxa"/>
            <w:tcBorders>
              <w:top w:val="single" w:sz="4" w:space="0" w:color="auto"/>
              <w:left w:val="single" w:sz="4" w:space="0" w:color="auto"/>
              <w:bottom w:val="single" w:sz="4" w:space="0" w:color="auto"/>
              <w:right w:val="single" w:sz="4" w:space="0" w:color="auto"/>
            </w:tcBorders>
          </w:tcPr>
          <w:p w14:paraId="43E91140" w14:textId="77777777" w:rsidR="003D6473" w:rsidRPr="00672462" w:rsidRDefault="003D6473" w:rsidP="00672462">
            <w:pPr>
              <w:pStyle w:val="Normlnywebov"/>
              <w:spacing w:before="0" w:beforeAutospacing="0" w:after="0" w:afterAutospacing="0"/>
              <w:ind w:left="567" w:hanging="567"/>
              <w:rPr>
                <w:b/>
                <w:color w:val="000000"/>
                <w:sz w:val="22"/>
                <w:szCs w:val="22"/>
                <w:lang w:val="sk-SK"/>
              </w:rPr>
            </w:pPr>
            <w:r w:rsidRPr="00672462">
              <w:rPr>
                <w:b/>
                <w:color w:val="000000"/>
                <w:sz w:val="22"/>
                <w:szCs w:val="22"/>
                <w:lang w:val="sk-SK"/>
              </w:rPr>
              <w:t>Poruchy oka</w:t>
            </w:r>
            <w:r w:rsidR="006812C3">
              <w:rPr>
                <w:lang w:val="en-GB"/>
              </w:rPr>
              <w:t>*</w:t>
            </w:r>
          </w:p>
          <w:p w14:paraId="5F47AD4C" w14:textId="77777777" w:rsidR="003D6473" w:rsidRPr="00672462" w:rsidRDefault="003D6473" w:rsidP="00672462">
            <w:pPr>
              <w:pStyle w:val="Normlnywebov"/>
              <w:spacing w:before="0" w:beforeAutospacing="0" w:after="0" w:afterAutospacing="0"/>
              <w:ind w:left="567" w:hanging="567"/>
              <w:rPr>
                <w:b/>
                <w:color w:val="000000"/>
                <w:sz w:val="22"/>
                <w:szCs w:val="22"/>
                <w:lang w:val="sk-SK"/>
              </w:rPr>
            </w:pPr>
          </w:p>
        </w:tc>
        <w:tc>
          <w:tcPr>
            <w:tcW w:w="882" w:type="dxa"/>
            <w:tcBorders>
              <w:top w:val="single" w:sz="4" w:space="0" w:color="auto"/>
              <w:left w:val="single" w:sz="4" w:space="0" w:color="auto"/>
              <w:bottom w:val="single" w:sz="4" w:space="0" w:color="auto"/>
              <w:right w:val="single" w:sz="4" w:space="0" w:color="auto"/>
            </w:tcBorders>
          </w:tcPr>
          <w:p w14:paraId="5BD02FC6"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5CC59FBC"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248DE337"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poruchy videnia (napr. diplopia)</w:t>
            </w:r>
          </w:p>
        </w:tc>
        <w:tc>
          <w:tcPr>
            <w:tcW w:w="1940" w:type="dxa"/>
            <w:tcBorders>
              <w:top w:val="single" w:sz="4" w:space="0" w:color="auto"/>
              <w:left w:val="single" w:sz="4" w:space="0" w:color="auto"/>
              <w:bottom w:val="single" w:sz="4" w:space="0" w:color="auto"/>
              <w:right w:val="single" w:sz="4" w:space="0" w:color="auto"/>
            </w:tcBorders>
          </w:tcPr>
          <w:p w14:paraId="72526861" w14:textId="77777777" w:rsidR="003D6473" w:rsidRPr="00672462" w:rsidRDefault="003D6473" w:rsidP="00672462">
            <w:pPr>
              <w:pStyle w:val="Normlnywebov"/>
              <w:spacing w:before="0" w:beforeAutospacing="0" w:after="0" w:afterAutospacing="0"/>
              <w:ind w:left="567" w:hanging="567"/>
              <w:rPr>
                <w:color w:val="000000"/>
                <w:sz w:val="22"/>
                <w:szCs w:val="22"/>
                <w:highlight w:val="magenta"/>
                <w:lang w:val="sk-SK"/>
              </w:rPr>
            </w:pPr>
            <w:r w:rsidRPr="00672462">
              <w:rPr>
                <w:color w:val="000000"/>
                <w:sz w:val="22"/>
                <w:szCs w:val="22"/>
                <w:lang w:val="sk-SK"/>
              </w:rPr>
              <w:t>distorzia farieb</w:t>
            </w:r>
          </w:p>
        </w:tc>
        <w:tc>
          <w:tcPr>
            <w:tcW w:w="1689" w:type="dxa"/>
            <w:tcBorders>
              <w:top w:val="single" w:sz="4" w:space="0" w:color="auto"/>
              <w:left w:val="single" w:sz="4" w:space="0" w:color="auto"/>
              <w:bottom w:val="single" w:sz="4" w:space="0" w:color="auto"/>
              <w:right w:val="single" w:sz="4" w:space="0" w:color="auto"/>
            </w:tcBorders>
          </w:tcPr>
          <w:p w14:paraId="5E7B424E"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775BAE40" w14:textId="77777777" w:rsidTr="003D6473">
        <w:tc>
          <w:tcPr>
            <w:tcW w:w="2123" w:type="dxa"/>
            <w:tcBorders>
              <w:top w:val="single" w:sz="4" w:space="0" w:color="auto"/>
              <w:left w:val="single" w:sz="4" w:space="0" w:color="auto"/>
              <w:bottom w:val="single" w:sz="4" w:space="0" w:color="auto"/>
              <w:right w:val="single" w:sz="4" w:space="0" w:color="auto"/>
            </w:tcBorders>
          </w:tcPr>
          <w:p w14:paraId="048A3D8F"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ucha a labyrintu</w:t>
            </w:r>
            <w:r w:rsidR="006812C3">
              <w:rPr>
                <w:lang w:val="en-GB"/>
              </w:rPr>
              <w:t>*</w:t>
            </w:r>
          </w:p>
        </w:tc>
        <w:tc>
          <w:tcPr>
            <w:tcW w:w="882" w:type="dxa"/>
            <w:tcBorders>
              <w:top w:val="single" w:sz="4" w:space="0" w:color="auto"/>
              <w:left w:val="single" w:sz="4" w:space="0" w:color="auto"/>
              <w:bottom w:val="single" w:sz="4" w:space="0" w:color="auto"/>
              <w:right w:val="single" w:sz="4" w:space="0" w:color="auto"/>
            </w:tcBorders>
          </w:tcPr>
          <w:p w14:paraId="46683BBD"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27C8A29F"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571362E3"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tinitus, strata/poškodenie sluchu</w:t>
            </w:r>
          </w:p>
        </w:tc>
        <w:tc>
          <w:tcPr>
            <w:tcW w:w="1940" w:type="dxa"/>
            <w:tcBorders>
              <w:top w:val="single" w:sz="4" w:space="0" w:color="auto"/>
              <w:left w:val="single" w:sz="4" w:space="0" w:color="auto"/>
              <w:bottom w:val="single" w:sz="4" w:space="0" w:color="auto"/>
              <w:right w:val="single" w:sz="4" w:space="0" w:color="auto"/>
            </w:tcBorders>
          </w:tcPr>
          <w:p w14:paraId="1DC56FFD"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3A66085D"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355BF955" w14:textId="77777777" w:rsidTr="003D6473">
        <w:tc>
          <w:tcPr>
            <w:tcW w:w="2123" w:type="dxa"/>
            <w:tcBorders>
              <w:top w:val="single" w:sz="4" w:space="0" w:color="auto"/>
              <w:left w:val="single" w:sz="4" w:space="0" w:color="auto"/>
              <w:bottom w:val="single" w:sz="4" w:space="0" w:color="auto"/>
              <w:right w:val="single" w:sz="4" w:space="0" w:color="auto"/>
            </w:tcBorders>
          </w:tcPr>
          <w:p w14:paraId="49181717" w14:textId="77777777" w:rsidR="00ED4EFD"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 xml:space="preserve">Poruchy srdca a srdcovej </w:t>
            </w:r>
          </w:p>
          <w:p w14:paraId="1338BE9F" w14:textId="3C3AA180" w:rsidR="00ED4EFD"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činnosti</w:t>
            </w:r>
            <w:r w:rsidR="00ED4EFD">
              <w:rPr>
                <w:lang w:val="en-GB"/>
              </w:rPr>
              <w:t>**</w:t>
            </w:r>
          </w:p>
        </w:tc>
        <w:tc>
          <w:tcPr>
            <w:tcW w:w="882" w:type="dxa"/>
            <w:tcBorders>
              <w:top w:val="single" w:sz="4" w:space="0" w:color="auto"/>
              <w:left w:val="single" w:sz="4" w:space="0" w:color="auto"/>
              <w:bottom w:val="single" w:sz="4" w:space="0" w:color="auto"/>
              <w:right w:val="single" w:sz="4" w:space="0" w:color="auto"/>
            </w:tcBorders>
          </w:tcPr>
          <w:p w14:paraId="02F5867F"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20357A79"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3EA8409D"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r w:rsidRPr="00672462">
              <w:rPr>
                <w:color w:val="000000"/>
                <w:sz w:val="22"/>
                <w:szCs w:val="22"/>
                <w:lang w:val="sk-SK"/>
              </w:rPr>
              <w:t>tachykardia</w:t>
            </w:r>
          </w:p>
        </w:tc>
        <w:tc>
          <w:tcPr>
            <w:tcW w:w="1940" w:type="dxa"/>
            <w:tcBorders>
              <w:top w:val="single" w:sz="4" w:space="0" w:color="auto"/>
              <w:left w:val="single" w:sz="4" w:space="0" w:color="auto"/>
              <w:bottom w:val="single" w:sz="4" w:space="0" w:color="auto"/>
              <w:right w:val="single" w:sz="4" w:space="0" w:color="auto"/>
            </w:tcBorders>
          </w:tcPr>
          <w:p w14:paraId="57C38A8B"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03A6E997" w14:textId="77777777" w:rsidR="003D6473" w:rsidRPr="00672462" w:rsidRDefault="003D6473" w:rsidP="000B4F7D">
            <w:pPr>
              <w:pStyle w:val="Normlnywebov"/>
              <w:spacing w:before="0" w:beforeAutospacing="0" w:after="0" w:afterAutospacing="0"/>
              <w:rPr>
                <w:color w:val="000000"/>
                <w:sz w:val="22"/>
                <w:szCs w:val="22"/>
                <w:lang w:val="sk-SK"/>
              </w:rPr>
            </w:pPr>
            <w:r w:rsidRPr="00672462">
              <w:rPr>
                <w:color w:val="000000"/>
                <w:sz w:val="22"/>
                <w:szCs w:val="22"/>
                <w:lang w:val="sk-SK"/>
              </w:rPr>
              <w:t xml:space="preserve">ventrikulárna arytmia, predĺženie QT intervalu, torsade de pointes (hlásené prevažne u pacientov s rizikovými faktormi pre QT predĺženie, EKG QT predĺženie (pozri časti 4.4 a 4.9) </w:t>
            </w:r>
          </w:p>
        </w:tc>
      </w:tr>
      <w:tr w:rsidR="003D6473" w:rsidRPr="00672462" w14:paraId="63F29C1E" w14:textId="77777777" w:rsidTr="003D6473">
        <w:tc>
          <w:tcPr>
            <w:tcW w:w="2123" w:type="dxa"/>
            <w:tcBorders>
              <w:top w:val="single" w:sz="4" w:space="0" w:color="auto"/>
              <w:left w:val="single" w:sz="4" w:space="0" w:color="auto"/>
              <w:bottom w:val="single" w:sz="4" w:space="0" w:color="auto"/>
              <w:right w:val="single" w:sz="4" w:space="0" w:color="auto"/>
            </w:tcBorders>
          </w:tcPr>
          <w:p w14:paraId="2479038E" w14:textId="0FA5AF7C" w:rsidR="003D6473" w:rsidRPr="00672462" w:rsidRDefault="003D6473" w:rsidP="00672462">
            <w:pPr>
              <w:pStyle w:val="Normlnywebov"/>
              <w:spacing w:before="0" w:beforeAutospacing="0" w:after="0" w:afterAutospacing="0"/>
              <w:ind w:left="567" w:hanging="567"/>
              <w:rPr>
                <w:b/>
                <w:color w:val="000000"/>
                <w:sz w:val="22"/>
                <w:szCs w:val="22"/>
                <w:lang w:val="sk-SK"/>
              </w:rPr>
            </w:pPr>
            <w:r w:rsidRPr="00672462">
              <w:rPr>
                <w:b/>
                <w:color w:val="000000"/>
                <w:sz w:val="22"/>
                <w:szCs w:val="22"/>
                <w:lang w:val="sk-SK"/>
              </w:rPr>
              <w:t>Poruchy ciev</w:t>
            </w:r>
            <w:r w:rsidR="00ED4EFD">
              <w:rPr>
                <w:lang w:val="en-GB"/>
              </w:rPr>
              <w:t>**</w:t>
            </w:r>
          </w:p>
        </w:tc>
        <w:tc>
          <w:tcPr>
            <w:tcW w:w="882" w:type="dxa"/>
            <w:tcBorders>
              <w:top w:val="single" w:sz="4" w:space="0" w:color="auto"/>
              <w:left w:val="single" w:sz="4" w:space="0" w:color="auto"/>
              <w:bottom w:val="single" w:sz="4" w:space="0" w:color="auto"/>
              <w:right w:val="single" w:sz="4" w:space="0" w:color="auto"/>
            </w:tcBorders>
          </w:tcPr>
          <w:p w14:paraId="518A119D"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38D28243"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7EDC1017"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vazodilatácia, hypotenzia, synkopa</w:t>
            </w:r>
          </w:p>
        </w:tc>
        <w:tc>
          <w:tcPr>
            <w:tcW w:w="1940" w:type="dxa"/>
            <w:tcBorders>
              <w:top w:val="single" w:sz="4" w:space="0" w:color="auto"/>
              <w:left w:val="single" w:sz="4" w:space="0" w:color="auto"/>
              <w:bottom w:val="single" w:sz="4" w:space="0" w:color="auto"/>
              <w:right w:val="single" w:sz="4" w:space="0" w:color="auto"/>
            </w:tcBorders>
          </w:tcPr>
          <w:p w14:paraId="5B6234B2"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r w:rsidRPr="00672462">
              <w:rPr>
                <w:color w:val="000000"/>
                <w:sz w:val="22"/>
                <w:szCs w:val="22"/>
                <w:lang w:val="sk-SK"/>
              </w:rPr>
              <w:t>vaskulitída</w:t>
            </w:r>
          </w:p>
        </w:tc>
        <w:tc>
          <w:tcPr>
            <w:tcW w:w="1689" w:type="dxa"/>
            <w:tcBorders>
              <w:top w:val="single" w:sz="4" w:space="0" w:color="auto"/>
              <w:left w:val="single" w:sz="4" w:space="0" w:color="auto"/>
              <w:bottom w:val="single" w:sz="4" w:space="0" w:color="auto"/>
              <w:right w:val="single" w:sz="4" w:space="0" w:color="auto"/>
            </w:tcBorders>
          </w:tcPr>
          <w:p w14:paraId="618C71B2"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4856C094" w14:textId="77777777" w:rsidTr="003D6473">
        <w:tc>
          <w:tcPr>
            <w:tcW w:w="2123" w:type="dxa"/>
            <w:tcBorders>
              <w:top w:val="single" w:sz="4" w:space="0" w:color="auto"/>
              <w:left w:val="single" w:sz="4" w:space="0" w:color="auto"/>
              <w:bottom w:val="single" w:sz="4" w:space="0" w:color="auto"/>
              <w:right w:val="single" w:sz="4" w:space="0" w:color="auto"/>
            </w:tcBorders>
          </w:tcPr>
          <w:p w14:paraId="6D5C1EA9"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dýchacej sústavy, hrudníka a mediastína</w:t>
            </w:r>
          </w:p>
        </w:tc>
        <w:tc>
          <w:tcPr>
            <w:tcW w:w="882" w:type="dxa"/>
            <w:tcBorders>
              <w:top w:val="single" w:sz="4" w:space="0" w:color="auto"/>
              <w:left w:val="single" w:sz="4" w:space="0" w:color="auto"/>
              <w:bottom w:val="single" w:sz="4" w:space="0" w:color="auto"/>
              <w:right w:val="single" w:sz="4" w:space="0" w:color="auto"/>
            </w:tcBorders>
          </w:tcPr>
          <w:p w14:paraId="02112B97"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67C1EC70"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940" w:type="dxa"/>
            <w:tcBorders>
              <w:top w:val="single" w:sz="4" w:space="0" w:color="auto"/>
              <w:left w:val="single" w:sz="4" w:space="0" w:color="auto"/>
              <w:bottom w:val="single" w:sz="4" w:space="0" w:color="auto"/>
              <w:right w:val="single" w:sz="4" w:space="0" w:color="auto"/>
            </w:tcBorders>
          </w:tcPr>
          <w:p w14:paraId="15986174"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dyspnoe (vrátane astmatického stavu)</w:t>
            </w:r>
          </w:p>
        </w:tc>
        <w:tc>
          <w:tcPr>
            <w:tcW w:w="1940" w:type="dxa"/>
            <w:tcBorders>
              <w:top w:val="single" w:sz="4" w:space="0" w:color="auto"/>
              <w:left w:val="single" w:sz="4" w:space="0" w:color="auto"/>
              <w:bottom w:val="single" w:sz="4" w:space="0" w:color="auto"/>
              <w:right w:val="single" w:sz="4" w:space="0" w:color="auto"/>
            </w:tcBorders>
          </w:tcPr>
          <w:p w14:paraId="11DF64AD"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422609E7"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746CFA66" w14:textId="77777777" w:rsidTr="003D6473">
        <w:tc>
          <w:tcPr>
            <w:tcW w:w="2123" w:type="dxa"/>
            <w:tcBorders>
              <w:top w:val="single" w:sz="4" w:space="0" w:color="auto"/>
              <w:left w:val="single" w:sz="4" w:space="0" w:color="auto"/>
              <w:bottom w:val="single" w:sz="4" w:space="0" w:color="auto"/>
              <w:right w:val="single" w:sz="4" w:space="0" w:color="auto"/>
            </w:tcBorders>
          </w:tcPr>
          <w:p w14:paraId="4326C98E"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gastrointestinálneho traktu</w:t>
            </w:r>
          </w:p>
        </w:tc>
        <w:tc>
          <w:tcPr>
            <w:tcW w:w="882" w:type="dxa"/>
            <w:tcBorders>
              <w:top w:val="single" w:sz="4" w:space="0" w:color="auto"/>
              <w:left w:val="single" w:sz="4" w:space="0" w:color="auto"/>
              <w:bottom w:val="single" w:sz="4" w:space="0" w:color="auto"/>
              <w:right w:val="single" w:sz="4" w:space="0" w:color="auto"/>
            </w:tcBorders>
          </w:tcPr>
          <w:p w14:paraId="420F139E" w14:textId="77777777" w:rsidR="003D6473" w:rsidRPr="00672462" w:rsidRDefault="003D6473" w:rsidP="00672462">
            <w:pPr>
              <w:pStyle w:val="Normlnywebov"/>
              <w:spacing w:before="0" w:beforeAutospacing="0" w:after="0" w:afterAutospacing="0"/>
              <w:ind w:left="4" w:hanging="4"/>
              <w:rPr>
                <w:color w:val="000000"/>
                <w:sz w:val="22"/>
                <w:szCs w:val="22"/>
                <w:lang w:val="sk-SK"/>
              </w:rPr>
            </w:pPr>
            <w:r w:rsidRPr="00672462">
              <w:rPr>
                <w:color w:val="000000"/>
                <w:sz w:val="22"/>
                <w:szCs w:val="22"/>
                <w:lang w:val="sk-SK"/>
              </w:rPr>
              <w:t>nauzea, hnačka</w:t>
            </w:r>
          </w:p>
        </w:tc>
        <w:tc>
          <w:tcPr>
            <w:tcW w:w="1854" w:type="dxa"/>
            <w:tcBorders>
              <w:top w:val="single" w:sz="4" w:space="0" w:color="auto"/>
              <w:left w:val="single" w:sz="4" w:space="0" w:color="auto"/>
              <w:bottom w:val="single" w:sz="4" w:space="0" w:color="auto"/>
              <w:right w:val="single" w:sz="4" w:space="0" w:color="auto"/>
            </w:tcBorders>
          </w:tcPr>
          <w:p w14:paraId="577075BB"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vracanie, gastrointestinálna a abdominálna bolesť, dyspepsia, flatulencia</w:t>
            </w:r>
          </w:p>
        </w:tc>
        <w:tc>
          <w:tcPr>
            <w:tcW w:w="1940" w:type="dxa"/>
            <w:tcBorders>
              <w:top w:val="single" w:sz="4" w:space="0" w:color="auto"/>
              <w:left w:val="single" w:sz="4" w:space="0" w:color="auto"/>
              <w:bottom w:val="single" w:sz="4" w:space="0" w:color="auto"/>
              <w:right w:val="single" w:sz="4" w:space="0" w:color="auto"/>
            </w:tcBorders>
          </w:tcPr>
          <w:p w14:paraId="10615EE7" w14:textId="77777777" w:rsidR="003D6473" w:rsidRDefault="003D6473">
            <w:pPr>
              <w:pStyle w:val="Normlnywebov"/>
              <w:spacing w:before="0" w:beforeAutospacing="0" w:after="0" w:afterAutospacing="0"/>
              <w:rPr>
                <w:color w:val="000000"/>
                <w:sz w:val="22"/>
                <w:szCs w:val="22"/>
                <w:lang w:val="sk-SK"/>
              </w:rPr>
            </w:pPr>
            <w:r>
              <w:rPr>
                <w:color w:val="000000"/>
                <w:sz w:val="22"/>
                <w:szCs w:val="22"/>
                <w:lang w:val="sk-SK"/>
              </w:rPr>
              <w:t>Kolitída vyvolaná antibiotikami (veľmi zriedkavo fatálna ) (pozri časť 4.4)</w:t>
            </w:r>
          </w:p>
        </w:tc>
        <w:tc>
          <w:tcPr>
            <w:tcW w:w="1940" w:type="dxa"/>
            <w:tcBorders>
              <w:top w:val="single" w:sz="4" w:space="0" w:color="auto"/>
              <w:left w:val="single" w:sz="4" w:space="0" w:color="auto"/>
              <w:bottom w:val="single" w:sz="4" w:space="0" w:color="auto"/>
              <w:right w:val="single" w:sz="4" w:space="0" w:color="auto"/>
            </w:tcBorders>
          </w:tcPr>
          <w:p w14:paraId="028280D7"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r w:rsidRPr="00672462">
              <w:rPr>
                <w:color w:val="000000"/>
                <w:sz w:val="22"/>
                <w:szCs w:val="22"/>
                <w:lang w:val="sk-SK"/>
              </w:rPr>
              <w:t>pankreatitída</w:t>
            </w:r>
          </w:p>
        </w:tc>
        <w:tc>
          <w:tcPr>
            <w:tcW w:w="1689" w:type="dxa"/>
            <w:tcBorders>
              <w:top w:val="single" w:sz="4" w:space="0" w:color="auto"/>
              <w:left w:val="single" w:sz="4" w:space="0" w:color="auto"/>
              <w:bottom w:val="single" w:sz="4" w:space="0" w:color="auto"/>
              <w:right w:val="single" w:sz="4" w:space="0" w:color="auto"/>
            </w:tcBorders>
          </w:tcPr>
          <w:p w14:paraId="63955F11"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1144EF39" w14:textId="77777777" w:rsidTr="003D6473">
        <w:tc>
          <w:tcPr>
            <w:tcW w:w="2123" w:type="dxa"/>
            <w:tcBorders>
              <w:top w:val="single" w:sz="4" w:space="0" w:color="auto"/>
              <w:left w:val="single" w:sz="4" w:space="0" w:color="auto"/>
              <w:bottom w:val="single" w:sz="4" w:space="0" w:color="auto"/>
              <w:right w:val="single" w:sz="4" w:space="0" w:color="auto"/>
            </w:tcBorders>
          </w:tcPr>
          <w:p w14:paraId="13CF0921"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pečene a žlčových ciest</w:t>
            </w:r>
          </w:p>
        </w:tc>
        <w:tc>
          <w:tcPr>
            <w:tcW w:w="882" w:type="dxa"/>
            <w:tcBorders>
              <w:top w:val="single" w:sz="4" w:space="0" w:color="auto"/>
              <w:left w:val="single" w:sz="4" w:space="0" w:color="auto"/>
              <w:bottom w:val="single" w:sz="4" w:space="0" w:color="auto"/>
              <w:right w:val="single" w:sz="4" w:space="0" w:color="auto"/>
            </w:tcBorders>
          </w:tcPr>
          <w:p w14:paraId="089DE406"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2C417407"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zvýšené hodnoty transamináz, zvýšená hodnota bilirubínu</w:t>
            </w:r>
          </w:p>
        </w:tc>
        <w:tc>
          <w:tcPr>
            <w:tcW w:w="1940" w:type="dxa"/>
            <w:tcBorders>
              <w:top w:val="single" w:sz="4" w:space="0" w:color="auto"/>
              <w:left w:val="single" w:sz="4" w:space="0" w:color="auto"/>
              <w:bottom w:val="single" w:sz="4" w:space="0" w:color="auto"/>
              <w:right w:val="single" w:sz="4" w:space="0" w:color="auto"/>
            </w:tcBorders>
          </w:tcPr>
          <w:p w14:paraId="660CECB5"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poškodenie funkcie pečene, cholestatická žltačka, hepatitída</w:t>
            </w:r>
          </w:p>
        </w:tc>
        <w:tc>
          <w:tcPr>
            <w:tcW w:w="1940" w:type="dxa"/>
            <w:tcBorders>
              <w:top w:val="single" w:sz="4" w:space="0" w:color="auto"/>
              <w:left w:val="single" w:sz="4" w:space="0" w:color="auto"/>
              <w:bottom w:val="single" w:sz="4" w:space="0" w:color="auto"/>
              <w:right w:val="single" w:sz="4" w:space="0" w:color="auto"/>
            </w:tcBorders>
          </w:tcPr>
          <w:p w14:paraId="18E1D67D"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nekróza pečene (veľmi zriedkavo až život ohrozujúce zlyhanie pečene) (pozri časť 4.4)</w:t>
            </w:r>
          </w:p>
        </w:tc>
        <w:tc>
          <w:tcPr>
            <w:tcW w:w="1689" w:type="dxa"/>
            <w:tcBorders>
              <w:top w:val="single" w:sz="4" w:space="0" w:color="auto"/>
              <w:left w:val="single" w:sz="4" w:space="0" w:color="auto"/>
              <w:bottom w:val="single" w:sz="4" w:space="0" w:color="auto"/>
              <w:right w:val="single" w:sz="4" w:space="0" w:color="auto"/>
            </w:tcBorders>
          </w:tcPr>
          <w:p w14:paraId="2AEE411E"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03E3AFE1" w14:textId="77777777" w:rsidTr="003D6473">
        <w:tc>
          <w:tcPr>
            <w:tcW w:w="2123" w:type="dxa"/>
            <w:tcBorders>
              <w:top w:val="single" w:sz="4" w:space="0" w:color="auto"/>
              <w:left w:val="single" w:sz="4" w:space="0" w:color="auto"/>
              <w:bottom w:val="single" w:sz="4" w:space="0" w:color="auto"/>
              <w:right w:val="single" w:sz="4" w:space="0" w:color="auto"/>
            </w:tcBorders>
          </w:tcPr>
          <w:p w14:paraId="1C9A1096"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kože a podkožného tkaniva</w:t>
            </w:r>
          </w:p>
        </w:tc>
        <w:tc>
          <w:tcPr>
            <w:tcW w:w="882" w:type="dxa"/>
            <w:tcBorders>
              <w:top w:val="single" w:sz="4" w:space="0" w:color="auto"/>
              <w:left w:val="single" w:sz="4" w:space="0" w:color="auto"/>
              <w:bottom w:val="single" w:sz="4" w:space="0" w:color="auto"/>
              <w:right w:val="single" w:sz="4" w:space="0" w:color="auto"/>
            </w:tcBorders>
          </w:tcPr>
          <w:p w14:paraId="5D7B0AC7"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54596EA6" w14:textId="77777777" w:rsidR="003D6473" w:rsidRPr="00672462" w:rsidRDefault="003D6473" w:rsidP="00672462">
            <w:pPr>
              <w:pStyle w:val="Normlnywebov"/>
              <w:spacing w:before="0" w:beforeAutospacing="0" w:after="0" w:afterAutospacing="0"/>
              <w:ind w:left="-28" w:firstLine="28"/>
              <w:rPr>
                <w:color w:val="000000"/>
                <w:sz w:val="22"/>
                <w:szCs w:val="22"/>
                <w:lang w:val="sk-SK"/>
              </w:rPr>
            </w:pPr>
            <w:r w:rsidRPr="00672462">
              <w:rPr>
                <w:color w:val="000000"/>
                <w:sz w:val="22"/>
                <w:szCs w:val="22"/>
                <w:lang w:val="sk-SK"/>
              </w:rPr>
              <w:t>vyrážka, pruritus, urtikária</w:t>
            </w:r>
          </w:p>
        </w:tc>
        <w:tc>
          <w:tcPr>
            <w:tcW w:w="1940" w:type="dxa"/>
            <w:tcBorders>
              <w:top w:val="single" w:sz="4" w:space="0" w:color="auto"/>
              <w:left w:val="single" w:sz="4" w:space="0" w:color="auto"/>
              <w:bottom w:val="single" w:sz="4" w:space="0" w:color="auto"/>
              <w:right w:val="single" w:sz="4" w:space="0" w:color="auto"/>
            </w:tcBorders>
          </w:tcPr>
          <w:p w14:paraId="05F6C7E6"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fotosenzitívne reakcie (pozri časť 4.4)</w:t>
            </w:r>
          </w:p>
        </w:tc>
        <w:tc>
          <w:tcPr>
            <w:tcW w:w="1940" w:type="dxa"/>
            <w:tcBorders>
              <w:top w:val="single" w:sz="4" w:space="0" w:color="auto"/>
              <w:left w:val="single" w:sz="4" w:space="0" w:color="auto"/>
              <w:bottom w:val="single" w:sz="4" w:space="0" w:color="auto"/>
              <w:right w:val="single" w:sz="4" w:space="0" w:color="auto"/>
            </w:tcBorders>
          </w:tcPr>
          <w:p w14:paraId="675F841D"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petechie, multiformný erytém, nodózny erytém, Stevensov-Johnsonov syndróm (potenciálne život ohrozujúci), toxická epidermálna nekrolýza (potenciálne život ohrozujúca)</w:t>
            </w:r>
          </w:p>
        </w:tc>
        <w:tc>
          <w:tcPr>
            <w:tcW w:w="1689" w:type="dxa"/>
            <w:tcBorders>
              <w:top w:val="single" w:sz="4" w:space="0" w:color="auto"/>
              <w:left w:val="single" w:sz="4" w:space="0" w:color="auto"/>
              <w:bottom w:val="single" w:sz="4" w:space="0" w:color="auto"/>
              <w:right w:val="single" w:sz="4" w:space="0" w:color="auto"/>
            </w:tcBorders>
          </w:tcPr>
          <w:p w14:paraId="565C4A44" w14:textId="77777777" w:rsidR="003D6473" w:rsidRDefault="003D6473" w:rsidP="00672462">
            <w:pPr>
              <w:pStyle w:val="Normlnywebov"/>
              <w:spacing w:before="0" w:beforeAutospacing="0" w:after="0" w:afterAutospacing="0"/>
              <w:rPr>
                <w:sz w:val="22"/>
                <w:szCs w:val="22"/>
                <w:lang w:val="sk-SK"/>
              </w:rPr>
            </w:pPr>
            <w:r w:rsidRPr="00672462">
              <w:rPr>
                <w:color w:val="000000"/>
                <w:sz w:val="22"/>
                <w:szCs w:val="22"/>
                <w:lang w:val="sk-SK"/>
              </w:rPr>
              <w:t xml:space="preserve">Akútna generalizovaná </w:t>
            </w:r>
            <w:r w:rsidRPr="00672462">
              <w:rPr>
                <w:sz w:val="22"/>
                <w:szCs w:val="22"/>
                <w:lang w:val="sk-SK"/>
              </w:rPr>
              <w:t>exanthematózna pustulóza (AGEP)</w:t>
            </w:r>
            <w:r>
              <w:rPr>
                <w:sz w:val="22"/>
                <w:szCs w:val="22"/>
                <w:lang w:val="sk-SK"/>
              </w:rPr>
              <w:t>,</w:t>
            </w:r>
          </w:p>
          <w:p w14:paraId="2D99E49A" w14:textId="77777777" w:rsidR="003D6473" w:rsidRPr="00672462" w:rsidRDefault="003D6473" w:rsidP="00672462">
            <w:pPr>
              <w:pStyle w:val="Normlnywebov"/>
              <w:spacing w:before="0" w:beforeAutospacing="0" w:after="0" w:afterAutospacing="0"/>
              <w:rPr>
                <w:color w:val="000000"/>
                <w:sz w:val="22"/>
                <w:szCs w:val="22"/>
                <w:lang w:val="sk-SK"/>
              </w:rPr>
            </w:pPr>
            <w:r>
              <w:rPr>
                <w:sz w:val="22"/>
                <w:szCs w:val="22"/>
                <w:lang w:val="sk-SK"/>
              </w:rPr>
              <w:t>lieková reakcia s eozinofíliou a systémovými príznakmi (DRESS)</w:t>
            </w:r>
          </w:p>
        </w:tc>
      </w:tr>
      <w:tr w:rsidR="003D6473" w:rsidRPr="00672462" w14:paraId="7649A945" w14:textId="77777777" w:rsidTr="003D6473">
        <w:tc>
          <w:tcPr>
            <w:tcW w:w="2123" w:type="dxa"/>
            <w:tcBorders>
              <w:top w:val="single" w:sz="4" w:space="0" w:color="auto"/>
              <w:left w:val="single" w:sz="4" w:space="0" w:color="auto"/>
              <w:bottom w:val="single" w:sz="4" w:space="0" w:color="auto"/>
              <w:right w:val="single" w:sz="4" w:space="0" w:color="auto"/>
            </w:tcBorders>
          </w:tcPr>
          <w:p w14:paraId="50DF0C99"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kostrovej a svalovej sústavy a spojivového tkaniva</w:t>
            </w:r>
            <w:r w:rsidR="006812C3">
              <w:rPr>
                <w:lang w:val="en-GB"/>
              </w:rPr>
              <w:t>*</w:t>
            </w:r>
          </w:p>
        </w:tc>
        <w:tc>
          <w:tcPr>
            <w:tcW w:w="882" w:type="dxa"/>
            <w:tcBorders>
              <w:top w:val="single" w:sz="4" w:space="0" w:color="auto"/>
              <w:left w:val="single" w:sz="4" w:space="0" w:color="auto"/>
              <w:bottom w:val="single" w:sz="4" w:space="0" w:color="auto"/>
              <w:right w:val="single" w:sz="4" w:space="0" w:color="auto"/>
            </w:tcBorders>
          </w:tcPr>
          <w:p w14:paraId="17F33CD3"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69712C10"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muskuloskeletálna bolesť (napr. bolesť končatín, bolesť chrbta, bolesť na hrudi), artralgia</w:t>
            </w:r>
          </w:p>
        </w:tc>
        <w:tc>
          <w:tcPr>
            <w:tcW w:w="1940" w:type="dxa"/>
            <w:tcBorders>
              <w:top w:val="single" w:sz="4" w:space="0" w:color="auto"/>
              <w:left w:val="single" w:sz="4" w:space="0" w:color="auto"/>
              <w:bottom w:val="single" w:sz="4" w:space="0" w:color="auto"/>
              <w:right w:val="single" w:sz="4" w:space="0" w:color="auto"/>
            </w:tcBorders>
          </w:tcPr>
          <w:p w14:paraId="35B4519B"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myalgia, artritída, zvýšený svalový tonus a kŕče</w:t>
            </w:r>
          </w:p>
        </w:tc>
        <w:tc>
          <w:tcPr>
            <w:tcW w:w="1940" w:type="dxa"/>
            <w:tcBorders>
              <w:top w:val="single" w:sz="4" w:space="0" w:color="auto"/>
              <w:left w:val="single" w:sz="4" w:space="0" w:color="auto"/>
              <w:bottom w:val="single" w:sz="4" w:space="0" w:color="auto"/>
              <w:right w:val="single" w:sz="4" w:space="0" w:color="auto"/>
            </w:tcBorders>
          </w:tcPr>
          <w:p w14:paraId="61AB8172"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svalová slabosť, tendinitída, ruptúra šliach (najmä Achillovej šľachy) (pozri časť 4.4), exacerbácia symptómov ťažkej myasténie (pozri časť 4.4)</w:t>
            </w:r>
          </w:p>
        </w:tc>
        <w:tc>
          <w:tcPr>
            <w:tcW w:w="1689" w:type="dxa"/>
            <w:tcBorders>
              <w:top w:val="single" w:sz="4" w:space="0" w:color="auto"/>
              <w:left w:val="single" w:sz="4" w:space="0" w:color="auto"/>
              <w:bottom w:val="single" w:sz="4" w:space="0" w:color="auto"/>
              <w:right w:val="single" w:sz="4" w:space="0" w:color="auto"/>
            </w:tcBorders>
          </w:tcPr>
          <w:p w14:paraId="0B91DFF6"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16A05462" w14:textId="77777777" w:rsidTr="003D6473">
        <w:tc>
          <w:tcPr>
            <w:tcW w:w="2123" w:type="dxa"/>
            <w:tcBorders>
              <w:top w:val="single" w:sz="4" w:space="0" w:color="auto"/>
              <w:left w:val="single" w:sz="4" w:space="0" w:color="auto"/>
              <w:bottom w:val="single" w:sz="4" w:space="0" w:color="auto"/>
              <w:right w:val="single" w:sz="4" w:space="0" w:color="auto"/>
            </w:tcBorders>
          </w:tcPr>
          <w:p w14:paraId="02EFB228"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Poruchy obličiek a močových ciest</w:t>
            </w:r>
          </w:p>
        </w:tc>
        <w:tc>
          <w:tcPr>
            <w:tcW w:w="882" w:type="dxa"/>
            <w:tcBorders>
              <w:top w:val="single" w:sz="4" w:space="0" w:color="auto"/>
              <w:left w:val="single" w:sz="4" w:space="0" w:color="auto"/>
              <w:bottom w:val="single" w:sz="4" w:space="0" w:color="auto"/>
              <w:right w:val="single" w:sz="4" w:space="0" w:color="auto"/>
            </w:tcBorders>
          </w:tcPr>
          <w:p w14:paraId="40926633"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4B6778D0"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poškodenie funkcie obličiek</w:t>
            </w:r>
          </w:p>
        </w:tc>
        <w:tc>
          <w:tcPr>
            <w:tcW w:w="1940" w:type="dxa"/>
            <w:tcBorders>
              <w:top w:val="single" w:sz="4" w:space="0" w:color="auto"/>
              <w:left w:val="single" w:sz="4" w:space="0" w:color="auto"/>
              <w:bottom w:val="single" w:sz="4" w:space="0" w:color="auto"/>
              <w:right w:val="single" w:sz="4" w:space="0" w:color="auto"/>
            </w:tcBorders>
          </w:tcPr>
          <w:p w14:paraId="5B929C93"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zlyhanie obličiek, hematúria, kryštalúria (pozri časť 4.4), tubulointersticiálna nefritída</w:t>
            </w:r>
          </w:p>
        </w:tc>
        <w:tc>
          <w:tcPr>
            <w:tcW w:w="1940" w:type="dxa"/>
            <w:tcBorders>
              <w:top w:val="single" w:sz="4" w:space="0" w:color="auto"/>
              <w:left w:val="single" w:sz="4" w:space="0" w:color="auto"/>
              <w:bottom w:val="single" w:sz="4" w:space="0" w:color="auto"/>
              <w:right w:val="single" w:sz="4" w:space="0" w:color="auto"/>
            </w:tcBorders>
          </w:tcPr>
          <w:p w14:paraId="228DAB84"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2FF9A0F3"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7E21CC03" w14:textId="77777777" w:rsidTr="003D6473">
        <w:tc>
          <w:tcPr>
            <w:tcW w:w="2123" w:type="dxa"/>
            <w:tcBorders>
              <w:top w:val="single" w:sz="4" w:space="0" w:color="auto"/>
              <w:left w:val="single" w:sz="4" w:space="0" w:color="auto"/>
              <w:bottom w:val="single" w:sz="4" w:space="0" w:color="auto"/>
              <w:right w:val="single" w:sz="4" w:space="0" w:color="auto"/>
            </w:tcBorders>
          </w:tcPr>
          <w:p w14:paraId="1FD1FFBB" w14:textId="466F5995"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Celkové poruchy a reakcie v mieste podania</w:t>
            </w:r>
            <w:r w:rsidR="00A70327">
              <w:rPr>
                <w:lang w:val="en-GB"/>
              </w:rPr>
              <w:t>*</w:t>
            </w:r>
          </w:p>
        </w:tc>
        <w:tc>
          <w:tcPr>
            <w:tcW w:w="882" w:type="dxa"/>
            <w:tcBorders>
              <w:top w:val="single" w:sz="4" w:space="0" w:color="auto"/>
              <w:left w:val="single" w:sz="4" w:space="0" w:color="auto"/>
              <w:bottom w:val="single" w:sz="4" w:space="0" w:color="auto"/>
              <w:right w:val="single" w:sz="4" w:space="0" w:color="auto"/>
            </w:tcBorders>
          </w:tcPr>
          <w:p w14:paraId="564C7163"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4DA6D59B"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r w:rsidRPr="00672462">
              <w:rPr>
                <w:color w:val="000000"/>
                <w:sz w:val="22"/>
                <w:szCs w:val="22"/>
                <w:lang w:val="sk-SK"/>
              </w:rPr>
              <w:t>asténia, horúčka</w:t>
            </w:r>
          </w:p>
        </w:tc>
        <w:tc>
          <w:tcPr>
            <w:tcW w:w="1940" w:type="dxa"/>
            <w:tcBorders>
              <w:top w:val="single" w:sz="4" w:space="0" w:color="auto"/>
              <w:left w:val="single" w:sz="4" w:space="0" w:color="auto"/>
              <w:bottom w:val="single" w:sz="4" w:space="0" w:color="auto"/>
              <w:right w:val="single" w:sz="4" w:space="0" w:color="auto"/>
            </w:tcBorders>
          </w:tcPr>
          <w:p w14:paraId="145D71B4"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edém, potenie (hyperhidróza)</w:t>
            </w:r>
          </w:p>
        </w:tc>
        <w:tc>
          <w:tcPr>
            <w:tcW w:w="1940" w:type="dxa"/>
            <w:tcBorders>
              <w:top w:val="single" w:sz="4" w:space="0" w:color="auto"/>
              <w:left w:val="single" w:sz="4" w:space="0" w:color="auto"/>
              <w:bottom w:val="single" w:sz="4" w:space="0" w:color="auto"/>
              <w:right w:val="single" w:sz="4" w:space="0" w:color="auto"/>
            </w:tcBorders>
          </w:tcPr>
          <w:p w14:paraId="5FDFCA6D"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27658EBE"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r>
      <w:tr w:rsidR="003D6473" w:rsidRPr="00672462" w14:paraId="698B655C" w14:textId="77777777" w:rsidTr="003D6473">
        <w:tc>
          <w:tcPr>
            <w:tcW w:w="2123" w:type="dxa"/>
            <w:tcBorders>
              <w:top w:val="single" w:sz="4" w:space="0" w:color="auto"/>
              <w:left w:val="single" w:sz="4" w:space="0" w:color="auto"/>
              <w:bottom w:val="single" w:sz="4" w:space="0" w:color="auto"/>
              <w:right w:val="single" w:sz="4" w:space="0" w:color="auto"/>
            </w:tcBorders>
          </w:tcPr>
          <w:p w14:paraId="719C89BF" w14:textId="77777777" w:rsidR="003D6473" w:rsidRPr="00672462" w:rsidRDefault="003D6473" w:rsidP="00672462">
            <w:pPr>
              <w:pStyle w:val="Normlnywebov"/>
              <w:spacing w:before="0" w:beforeAutospacing="0" w:after="0" w:afterAutospacing="0"/>
              <w:rPr>
                <w:b/>
                <w:color w:val="000000"/>
                <w:sz w:val="22"/>
                <w:szCs w:val="22"/>
                <w:lang w:val="sk-SK"/>
              </w:rPr>
            </w:pPr>
            <w:r w:rsidRPr="00672462">
              <w:rPr>
                <w:b/>
                <w:color w:val="000000"/>
                <w:sz w:val="22"/>
                <w:szCs w:val="22"/>
                <w:lang w:val="sk-SK"/>
              </w:rPr>
              <w:t>Laboratórne a funkčné vyšetrenia</w:t>
            </w:r>
          </w:p>
        </w:tc>
        <w:tc>
          <w:tcPr>
            <w:tcW w:w="882" w:type="dxa"/>
            <w:tcBorders>
              <w:top w:val="single" w:sz="4" w:space="0" w:color="auto"/>
              <w:left w:val="single" w:sz="4" w:space="0" w:color="auto"/>
              <w:bottom w:val="single" w:sz="4" w:space="0" w:color="auto"/>
              <w:right w:val="single" w:sz="4" w:space="0" w:color="auto"/>
            </w:tcBorders>
          </w:tcPr>
          <w:p w14:paraId="1D5D4B91"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854" w:type="dxa"/>
            <w:tcBorders>
              <w:top w:val="single" w:sz="4" w:space="0" w:color="auto"/>
              <w:left w:val="single" w:sz="4" w:space="0" w:color="auto"/>
              <w:bottom w:val="single" w:sz="4" w:space="0" w:color="auto"/>
              <w:right w:val="single" w:sz="4" w:space="0" w:color="auto"/>
            </w:tcBorders>
          </w:tcPr>
          <w:p w14:paraId="1F28B1CD"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zvýšenie hodnoty alkalickej fosfatázy v krvi</w:t>
            </w:r>
          </w:p>
        </w:tc>
        <w:tc>
          <w:tcPr>
            <w:tcW w:w="1940" w:type="dxa"/>
            <w:tcBorders>
              <w:top w:val="single" w:sz="4" w:space="0" w:color="auto"/>
              <w:left w:val="single" w:sz="4" w:space="0" w:color="auto"/>
              <w:bottom w:val="single" w:sz="4" w:space="0" w:color="auto"/>
              <w:right w:val="single" w:sz="4" w:space="0" w:color="auto"/>
            </w:tcBorders>
          </w:tcPr>
          <w:p w14:paraId="7739BAD2"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zvýšená hodnota amylázy</w:t>
            </w:r>
          </w:p>
        </w:tc>
        <w:tc>
          <w:tcPr>
            <w:tcW w:w="1940" w:type="dxa"/>
            <w:tcBorders>
              <w:top w:val="single" w:sz="4" w:space="0" w:color="auto"/>
              <w:left w:val="single" w:sz="4" w:space="0" w:color="auto"/>
              <w:bottom w:val="single" w:sz="4" w:space="0" w:color="auto"/>
              <w:right w:val="single" w:sz="4" w:space="0" w:color="auto"/>
            </w:tcBorders>
          </w:tcPr>
          <w:p w14:paraId="7CC0F0B6" w14:textId="77777777" w:rsidR="003D6473" w:rsidRPr="00672462" w:rsidRDefault="003D6473" w:rsidP="00672462">
            <w:pPr>
              <w:pStyle w:val="Normlnywebov"/>
              <w:spacing w:before="0" w:beforeAutospacing="0" w:after="0" w:afterAutospacing="0"/>
              <w:ind w:left="567" w:hanging="567"/>
              <w:rPr>
                <w:color w:val="000000"/>
                <w:sz w:val="22"/>
                <w:szCs w:val="22"/>
                <w:lang w:val="sk-SK"/>
              </w:rPr>
            </w:pPr>
          </w:p>
        </w:tc>
        <w:tc>
          <w:tcPr>
            <w:tcW w:w="1689" w:type="dxa"/>
            <w:tcBorders>
              <w:top w:val="single" w:sz="4" w:space="0" w:color="auto"/>
              <w:left w:val="single" w:sz="4" w:space="0" w:color="auto"/>
              <w:bottom w:val="single" w:sz="4" w:space="0" w:color="auto"/>
              <w:right w:val="single" w:sz="4" w:space="0" w:color="auto"/>
            </w:tcBorders>
          </w:tcPr>
          <w:p w14:paraId="10DF8203" w14:textId="77777777" w:rsidR="003D6473" w:rsidRPr="00672462" w:rsidRDefault="003D6473" w:rsidP="00672462">
            <w:pPr>
              <w:pStyle w:val="Normlnywebov"/>
              <w:spacing w:before="0" w:beforeAutospacing="0" w:after="0" w:afterAutospacing="0"/>
              <w:rPr>
                <w:color w:val="000000"/>
                <w:sz w:val="22"/>
                <w:szCs w:val="22"/>
                <w:lang w:val="sk-SK"/>
              </w:rPr>
            </w:pPr>
            <w:r w:rsidRPr="00672462">
              <w:rPr>
                <w:color w:val="000000"/>
                <w:sz w:val="22"/>
                <w:szCs w:val="22"/>
                <w:lang w:val="sk-SK"/>
              </w:rPr>
              <w:t>Zvýšené INR (</w:t>
            </w:r>
            <w:r w:rsidRPr="00672462">
              <w:rPr>
                <w:sz w:val="22"/>
                <w:szCs w:val="22"/>
                <w:lang w:val="sk-SK"/>
              </w:rPr>
              <w:t>International normalised ratio) (u pacientov liečených antagonistami vitamínu K)</w:t>
            </w:r>
            <w:r w:rsidRPr="00672462">
              <w:rPr>
                <w:lang w:val="sk-SK"/>
              </w:rPr>
              <w:t xml:space="preserve"> </w:t>
            </w:r>
          </w:p>
        </w:tc>
      </w:tr>
    </w:tbl>
    <w:p w14:paraId="23BC6413" w14:textId="77777777" w:rsidR="00CF3670" w:rsidRDefault="00CF3670" w:rsidP="00B65191">
      <w:pPr>
        <w:widowControl w:val="0"/>
        <w:rPr>
          <w:sz w:val="22"/>
          <w:szCs w:val="22"/>
          <w:lang w:val="sk-SK"/>
        </w:rPr>
      </w:pPr>
    </w:p>
    <w:p w14:paraId="0D57E4BA" w14:textId="69EF30D4" w:rsidR="006812C3" w:rsidRDefault="006812C3" w:rsidP="006812C3">
      <w:pPr>
        <w:widowControl w:val="0"/>
        <w:rPr>
          <w:sz w:val="22"/>
          <w:szCs w:val="22"/>
          <w:lang w:val="sk-SK"/>
        </w:rPr>
      </w:pPr>
      <w:r w:rsidRPr="006812C3">
        <w:rPr>
          <w:sz w:val="22"/>
          <w:szCs w:val="22"/>
          <w:lang w:val="sk-SK"/>
        </w:rPr>
        <w:t xml:space="preserve">*V súvislosti s používaním chinolónov a fluórchinolónov boli hlásené, v niektorých prípadoch bez ohľadu na existujúce rizikové faktory, veľmi zriedkavé prípady dlhotrvajúcich (až mesiace alebo roky), </w:t>
      </w:r>
      <w:r w:rsidR="0062525B" w:rsidRPr="00F76605">
        <w:rPr>
          <w:sz w:val="22"/>
          <w:szCs w:val="22"/>
          <w:lang w:val="sk-SK"/>
        </w:rPr>
        <w:t>invalidi</w:t>
      </w:r>
      <w:r w:rsidRPr="00F76605">
        <w:rPr>
          <w:sz w:val="22"/>
          <w:szCs w:val="22"/>
          <w:lang w:val="sk-SK"/>
        </w:rPr>
        <w:t>zujúcich a potenciálne ireverzibilných závažných nežiaducich liekových reakcií postihujúcich rôzne, niekedy viaceré triedy orgánových systémov a zmysly (vrátane reakcií ako je tend</w:t>
      </w:r>
      <w:r w:rsidR="0062525B" w:rsidRPr="00F76605">
        <w:rPr>
          <w:sz w:val="22"/>
          <w:szCs w:val="22"/>
          <w:lang w:val="sk-SK"/>
        </w:rPr>
        <w:t>i</w:t>
      </w:r>
      <w:r w:rsidRPr="00F76605">
        <w:rPr>
          <w:sz w:val="22"/>
          <w:szCs w:val="22"/>
          <w:lang w:val="sk-SK"/>
        </w:rPr>
        <w:t>nitída, ruptúra</w:t>
      </w:r>
      <w:r w:rsidRPr="006812C3">
        <w:rPr>
          <w:sz w:val="22"/>
          <w:szCs w:val="22"/>
          <w:lang w:val="sk-SK"/>
        </w:rPr>
        <w:t xml:space="preserve"> šľachy, artralgia, bolesť končatín, porucha</w:t>
      </w:r>
      <w:r>
        <w:rPr>
          <w:sz w:val="22"/>
          <w:szCs w:val="22"/>
          <w:lang w:val="sk-SK"/>
        </w:rPr>
        <w:t xml:space="preserve"> </w:t>
      </w:r>
      <w:r w:rsidRPr="006812C3">
        <w:rPr>
          <w:sz w:val="22"/>
          <w:szCs w:val="22"/>
          <w:lang w:val="sk-SK"/>
        </w:rPr>
        <w:t>chôdze, neuropatie spojené s parestéziou, depresia, únava, porucha pamäte, poruchy spánku a porucha sluchu, zraku, chuti a čuchu) (pozri časť 4.4).</w:t>
      </w:r>
    </w:p>
    <w:p w14:paraId="04A8AFE0" w14:textId="77777777" w:rsidR="001655CE" w:rsidRDefault="001655CE" w:rsidP="006812C3">
      <w:pPr>
        <w:widowControl w:val="0"/>
        <w:rPr>
          <w:sz w:val="22"/>
          <w:szCs w:val="22"/>
          <w:lang w:val="sk-SK"/>
        </w:rPr>
      </w:pPr>
    </w:p>
    <w:p w14:paraId="566FDBF9" w14:textId="49D7851B" w:rsidR="001655CE" w:rsidRPr="001655CE" w:rsidRDefault="001655CE" w:rsidP="006812C3">
      <w:pPr>
        <w:widowControl w:val="0"/>
        <w:rPr>
          <w:sz w:val="22"/>
          <w:szCs w:val="22"/>
          <w:lang w:val="sk-SK"/>
        </w:rPr>
      </w:pPr>
      <w:r w:rsidRPr="00A479C2">
        <w:rPr>
          <w:bCs/>
          <w:sz w:val="22"/>
          <w:szCs w:val="22"/>
          <w:lang w:val="sk-SK"/>
        </w:rPr>
        <w:t xml:space="preserve">** </w:t>
      </w:r>
      <w:r w:rsidRPr="00A479C2">
        <w:rPr>
          <w:sz w:val="22"/>
          <w:szCs w:val="22"/>
          <w:lang w:val="sk-SK"/>
        </w:rPr>
        <w:t>U pacientov používajúcich fluórchinolóny boli hlásené prípady aneuryzmy a disekcie aorty, niekedy komplikované ruptúrou (vrátane smrteľných prípadov), a prípady regurgitácie/nedomykavosti niektorej zo srdcových chlopní (pozri časť 4.4).</w:t>
      </w:r>
    </w:p>
    <w:p w14:paraId="7FEE7368" w14:textId="77777777" w:rsidR="006812C3" w:rsidRPr="00A479C2" w:rsidRDefault="006812C3" w:rsidP="00E5577B">
      <w:pPr>
        <w:pStyle w:val="Normlnywebov"/>
        <w:tabs>
          <w:tab w:val="left" w:pos="9071"/>
        </w:tabs>
        <w:spacing w:before="0" w:beforeAutospacing="0" w:after="0" w:afterAutospacing="0"/>
        <w:rPr>
          <w:sz w:val="22"/>
          <w:szCs w:val="22"/>
          <w:lang w:val="sk-SK"/>
        </w:rPr>
      </w:pPr>
    </w:p>
    <w:p w14:paraId="79CE53B0" w14:textId="77777777" w:rsidR="00CF3670" w:rsidRPr="00B4462C" w:rsidRDefault="00CF3670" w:rsidP="00E5577B">
      <w:pPr>
        <w:pStyle w:val="Normlnywebov"/>
        <w:tabs>
          <w:tab w:val="left" w:pos="9071"/>
        </w:tabs>
        <w:spacing w:before="0" w:beforeAutospacing="0" w:after="0" w:afterAutospacing="0"/>
        <w:rPr>
          <w:i/>
          <w:sz w:val="22"/>
          <w:szCs w:val="22"/>
          <w:lang w:val="sk-SK"/>
        </w:rPr>
      </w:pPr>
      <w:r w:rsidRPr="00FC60DC">
        <w:rPr>
          <w:i/>
          <w:sz w:val="22"/>
          <w:szCs w:val="22"/>
          <w:lang w:val="sk-SK"/>
        </w:rPr>
        <w:t>Pediatrická populácia</w:t>
      </w:r>
    </w:p>
    <w:p w14:paraId="7B6D9154" w14:textId="77777777" w:rsidR="00CF3670" w:rsidRDefault="00CF3670" w:rsidP="00E5577B">
      <w:pPr>
        <w:pStyle w:val="Normlnywebov"/>
        <w:tabs>
          <w:tab w:val="left" w:pos="9071"/>
        </w:tabs>
        <w:spacing w:before="0" w:beforeAutospacing="0" w:after="0" w:afterAutospacing="0"/>
        <w:rPr>
          <w:sz w:val="22"/>
          <w:szCs w:val="22"/>
          <w:lang w:val="sk-SK"/>
        </w:rPr>
      </w:pPr>
      <w:r w:rsidRPr="00B4462C">
        <w:rPr>
          <w:sz w:val="22"/>
          <w:szCs w:val="22"/>
          <w:lang w:val="sk-SK"/>
        </w:rPr>
        <w:t>Výskyt vyššie spomenutej artropatie sa vzťahuje na údaje zo štúdií na dospelých. U detí je často hlásený výskyt artropatie (pozri časť 4.4).</w:t>
      </w:r>
    </w:p>
    <w:p w14:paraId="356D303D" w14:textId="77777777" w:rsidR="00CF3670" w:rsidRDefault="00CF3670" w:rsidP="00E5577B">
      <w:pPr>
        <w:pStyle w:val="Normlnywebov"/>
        <w:tabs>
          <w:tab w:val="left" w:pos="9071"/>
        </w:tabs>
        <w:spacing w:before="0" w:beforeAutospacing="0" w:after="0" w:afterAutospacing="0"/>
        <w:rPr>
          <w:sz w:val="22"/>
          <w:szCs w:val="22"/>
          <w:lang w:val="sk-SK"/>
        </w:rPr>
      </w:pPr>
    </w:p>
    <w:p w14:paraId="38E05D37" w14:textId="77777777" w:rsidR="00CF3670" w:rsidRPr="00A97590" w:rsidRDefault="00CF3670" w:rsidP="00A97590">
      <w:pPr>
        <w:suppressLineNumbers/>
        <w:autoSpaceDE w:val="0"/>
        <w:autoSpaceDN w:val="0"/>
        <w:adjustRightInd w:val="0"/>
        <w:rPr>
          <w:sz w:val="22"/>
          <w:szCs w:val="22"/>
          <w:u w:val="single"/>
        </w:rPr>
      </w:pPr>
      <w:r w:rsidRPr="00A97590">
        <w:rPr>
          <w:noProof/>
          <w:sz w:val="22"/>
          <w:szCs w:val="22"/>
          <w:u w:val="single"/>
        </w:rPr>
        <w:t>Hlásenie podozrení na nežiaduce reakcie</w:t>
      </w:r>
    </w:p>
    <w:p w14:paraId="1264E4A5" w14:textId="77777777" w:rsidR="00CF3670" w:rsidRPr="00A97590" w:rsidRDefault="00CF3670" w:rsidP="00A97590">
      <w:pPr>
        <w:pStyle w:val="Normlnywebov"/>
        <w:tabs>
          <w:tab w:val="left" w:pos="9071"/>
        </w:tabs>
        <w:spacing w:before="0" w:beforeAutospacing="0" w:after="0" w:afterAutospacing="0"/>
        <w:rPr>
          <w:sz w:val="22"/>
          <w:szCs w:val="22"/>
          <w:lang w:val="sk-SK"/>
        </w:rPr>
      </w:pPr>
      <w:r w:rsidRPr="00A97590">
        <w:rPr>
          <w:noProof/>
          <w:sz w:val="22"/>
          <w:szCs w:val="22"/>
        </w:rPr>
        <w:t>Hlásenie podozrení na nežiaduce reakcie po registrácii lieku je dôležité.</w:t>
      </w:r>
      <w:r w:rsidRPr="00A97590">
        <w:rPr>
          <w:sz w:val="22"/>
          <w:szCs w:val="22"/>
        </w:rPr>
        <w:t xml:space="preserve"> </w:t>
      </w:r>
      <w:r w:rsidRPr="00A97590">
        <w:rPr>
          <w:noProof/>
          <w:sz w:val="22"/>
          <w:szCs w:val="22"/>
        </w:rPr>
        <w:t>Umožňuje priebežné monitorovanie pomeru prínosu a rizika lieku.</w:t>
      </w:r>
      <w:r w:rsidRPr="00A97590">
        <w:rPr>
          <w:sz w:val="22"/>
          <w:szCs w:val="22"/>
        </w:rPr>
        <w:t xml:space="preserve"> Od </w:t>
      </w:r>
      <w:r w:rsidRPr="00A97590">
        <w:rPr>
          <w:noProof/>
          <w:sz w:val="22"/>
          <w:szCs w:val="22"/>
        </w:rPr>
        <w:t xml:space="preserve">zdravotníckych pracovníkov sa vyžaduje, aby hlásili akékoľvek podozrenia na nežiaduce reakcie </w:t>
      </w:r>
      <w:r>
        <w:rPr>
          <w:noProof/>
          <w:sz w:val="22"/>
          <w:szCs w:val="22"/>
        </w:rPr>
        <w:t>na</w:t>
      </w:r>
      <w:r w:rsidRPr="00A97590">
        <w:rPr>
          <w:noProof/>
          <w:sz w:val="22"/>
          <w:szCs w:val="22"/>
        </w:rPr>
        <w:t xml:space="preserve"> </w:t>
      </w:r>
      <w:r w:rsidRPr="00A97590">
        <w:rPr>
          <w:noProof/>
          <w:sz w:val="22"/>
          <w:szCs w:val="22"/>
          <w:highlight w:val="lightGray"/>
        </w:rPr>
        <w:t>národn</w:t>
      </w:r>
      <w:r>
        <w:rPr>
          <w:noProof/>
          <w:sz w:val="22"/>
          <w:szCs w:val="22"/>
          <w:highlight w:val="lightGray"/>
        </w:rPr>
        <w:t>é</w:t>
      </w:r>
      <w:r w:rsidRPr="00A97590">
        <w:rPr>
          <w:noProof/>
          <w:sz w:val="22"/>
          <w:szCs w:val="22"/>
          <w:highlight w:val="lightGray"/>
        </w:rPr>
        <w:t xml:space="preserve"> </w:t>
      </w:r>
      <w:r>
        <w:rPr>
          <w:noProof/>
          <w:sz w:val="22"/>
          <w:szCs w:val="22"/>
          <w:highlight w:val="lightGray"/>
        </w:rPr>
        <w:t>centru</w:t>
      </w:r>
      <w:r w:rsidRPr="00A97590">
        <w:rPr>
          <w:noProof/>
          <w:sz w:val="22"/>
          <w:szCs w:val="22"/>
          <w:highlight w:val="lightGray"/>
        </w:rPr>
        <w:t>m hlásenia uvedené v </w:t>
      </w:r>
      <w:hyperlink r:id="rId8" w:history="1">
        <w:r w:rsidRPr="00A97590">
          <w:rPr>
            <w:rStyle w:val="Hypertextovprepojenie"/>
            <w:noProof/>
            <w:sz w:val="22"/>
            <w:szCs w:val="22"/>
            <w:highlight w:val="lightGray"/>
          </w:rPr>
          <w:t>Prílohe V</w:t>
        </w:r>
      </w:hyperlink>
      <w:r w:rsidRPr="00A97590">
        <w:rPr>
          <w:noProof/>
          <w:sz w:val="22"/>
          <w:szCs w:val="22"/>
        </w:rPr>
        <w:t>.</w:t>
      </w:r>
    </w:p>
    <w:p w14:paraId="43A4435E" w14:textId="77777777" w:rsidR="00CF3670" w:rsidRPr="00B4462C" w:rsidRDefault="00CF3670" w:rsidP="00E5577B">
      <w:pPr>
        <w:widowControl w:val="0"/>
        <w:tabs>
          <w:tab w:val="left" w:pos="9071"/>
        </w:tabs>
        <w:rPr>
          <w:sz w:val="22"/>
          <w:szCs w:val="22"/>
          <w:lang w:val="sk-SK"/>
        </w:rPr>
      </w:pPr>
    </w:p>
    <w:p w14:paraId="0FB9342F" w14:textId="77777777" w:rsidR="00CF3670" w:rsidRPr="00B4462C" w:rsidRDefault="00CF3670" w:rsidP="00E5577B">
      <w:pPr>
        <w:widowControl w:val="0"/>
        <w:tabs>
          <w:tab w:val="left" w:pos="567"/>
          <w:tab w:val="left" w:pos="9071"/>
        </w:tabs>
        <w:rPr>
          <w:sz w:val="22"/>
          <w:szCs w:val="22"/>
          <w:lang w:val="sk-SK"/>
        </w:rPr>
      </w:pPr>
      <w:r w:rsidRPr="00B4462C">
        <w:rPr>
          <w:b/>
          <w:sz w:val="22"/>
          <w:szCs w:val="22"/>
          <w:lang w:val="sk-SK"/>
        </w:rPr>
        <w:t>4.9</w:t>
      </w:r>
      <w:r w:rsidRPr="00B4462C">
        <w:rPr>
          <w:b/>
          <w:sz w:val="22"/>
          <w:szCs w:val="22"/>
          <w:lang w:val="sk-SK"/>
        </w:rPr>
        <w:tab/>
        <w:t>Predávkovanie</w:t>
      </w:r>
    </w:p>
    <w:p w14:paraId="4F13AA0B" w14:textId="77777777" w:rsidR="00CF3670" w:rsidRPr="00B4462C" w:rsidRDefault="00CF3670" w:rsidP="00E5577B">
      <w:pPr>
        <w:widowControl w:val="0"/>
        <w:tabs>
          <w:tab w:val="left" w:pos="9071"/>
        </w:tabs>
        <w:rPr>
          <w:i/>
          <w:sz w:val="22"/>
          <w:szCs w:val="22"/>
          <w:lang w:val="sk-SK"/>
        </w:rPr>
      </w:pPr>
    </w:p>
    <w:p w14:paraId="406F3FF6" w14:textId="77777777" w:rsidR="00CF3670" w:rsidRPr="00B4462C" w:rsidRDefault="00CF3670" w:rsidP="00E5577B">
      <w:pPr>
        <w:tabs>
          <w:tab w:val="left" w:pos="8505"/>
          <w:tab w:val="left" w:pos="9071"/>
        </w:tabs>
        <w:ind w:right="566"/>
        <w:rPr>
          <w:bCs/>
          <w:sz w:val="22"/>
          <w:szCs w:val="22"/>
          <w:lang w:val="sk-SK"/>
        </w:rPr>
      </w:pPr>
      <w:r w:rsidRPr="00B4462C">
        <w:rPr>
          <w:bCs/>
          <w:sz w:val="22"/>
          <w:szCs w:val="22"/>
          <w:lang w:val="sk-SK"/>
        </w:rPr>
        <w:t xml:space="preserve">Predávkovanie s </w:t>
      </w:r>
      <w:smartTag w:uri="urn:schemas-microsoft-com:office:smarttags" w:element="metricconverter">
        <w:smartTagPr>
          <w:attr w:name="ProductID" w:val="12ﾠg"/>
        </w:smartTagPr>
        <w:r w:rsidRPr="00B4462C">
          <w:rPr>
            <w:bCs/>
            <w:sz w:val="22"/>
            <w:szCs w:val="22"/>
            <w:lang w:val="sk-SK"/>
          </w:rPr>
          <w:t>12 g</w:t>
        </w:r>
      </w:smartTag>
      <w:r w:rsidRPr="00B4462C">
        <w:rPr>
          <w:bCs/>
          <w:sz w:val="22"/>
          <w:szCs w:val="22"/>
          <w:lang w:val="sk-SK"/>
        </w:rPr>
        <w:t xml:space="preserve"> viedlo k miernym symptómom toxicity. Akútne predávkovanie so </w:t>
      </w:r>
      <w:smartTag w:uri="urn:schemas-microsoft-com:office:smarttags" w:element="metricconverter">
        <w:smartTagPr>
          <w:attr w:name="ProductID" w:val="16ﾠg"/>
        </w:smartTagPr>
        <w:r w:rsidRPr="00B4462C">
          <w:rPr>
            <w:bCs/>
            <w:sz w:val="22"/>
            <w:szCs w:val="22"/>
            <w:lang w:val="sk-SK"/>
          </w:rPr>
          <w:t>16 g</w:t>
        </w:r>
      </w:smartTag>
      <w:r w:rsidRPr="00B4462C">
        <w:rPr>
          <w:bCs/>
          <w:sz w:val="22"/>
          <w:szCs w:val="22"/>
          <w:lang w:val="sk-SK"/>
        </w:rPr>
        <w:t xml:space="preserve"> spôsobilo náhle zlyhanie obličiek.</w:t>
      </w:r>
    </w:p>
    <w:p w14:paraId="06F5A3A7" w14:textId="77777777" w:rsidR="00CF3670" w:rsidRPr="00B4462C" w:rsidRDefault="00CF3670" w:rsidP="00E5577B">
      <w:pPr>
        <w:tabs>
          <w:tab w:val="left" w:pos="9072"/>
        </w:tabs>
        <w:ind w:right="-1"/>
        <w:rPr>
          <w:color w:val="000000"/>
          <w:sz w:val="22"/>
          <w:szCs w:val="22"/>
          <w:lang w:val="sk-SK"/>
        </w:rPr>
      </w:pPr>
      <w:r w:rsidRPr="00B4462C">
        <w:rPr>
          <w:color w:val="000000"/>
          <w:sz w:val="22"/>
          <w:szCs w:val="22"/>
          <w:lang w:val="sk-SK"/>
        </w:rPr>
        <w:t xml:space="preserve">Symptómy predávkovania zahŕňajú závraty, tras, bolesť hlavy, únavu, záchvaty, halucinácie, zmätenosť, abdominálny diskomfort, poškodenie funkcie obličiek a pečene, ako aj kryštalúriu a hematúriu. </w:t>
      </w:r>
    </w:p>
    <w:p w14:paraId="1893E4A2" w14:textId="77777777" w:rsidR="00CF3670" w:rsidRPr="00B4462C" w:rsidRDefault="00CF3670" w:rsidP="00E5577B">
      <w:pPr>
        <w:tabs>
          <w:tab w:val="left" w:pos="8505"/>
          <w:tab w:val="left" w:pos="9071"/>
        </w:tabs>
        <w:ind w:right="566"/>
        <w:rPr>
          <w:color w:val="000000"/>
          <w:sz w:val="22"/>
          <w:szCs w:val="22"/>
          <w:lang w:val="sk-SK"/>
        </w:rPr>
      </w:pPr>
      <w:r w:rsidRPr="00B4462C">
        <w:rPr>
          <w:color w:val="000000"/>
          <w:sz w:val="22"/>
          <w:szCs w:val="22"/>
          <w:lang w:val="sk-SK"/>
        </w:rPr>
        <w:t>Bol</w:t>
      </w:r>
      <w:r>
        <w:rPr>
          <w:color w:val="000000"/>
          <w:sz w:val="22"/>
          <w:szCs w:val="22"/>
          <w:lang w:val="sk-SK"/>
        </w:rPr>
        <w:t>a</w:t>
      </w:r>
      <w:r w:rsidRPr="00B4462C">
        <w:rPr>
          <w:color w:val="000000"/>
          <w:sz w:val="22"/>
          <w:szCs w:val="22"/>
          <w:lang w:val="sk-SK"/>
        </w:rPr>
        <w:t xml:space="preserve"> pozorovaná reverzibilná </w:t>
      </w:r>
      <w:r>
        <w:rPr>
          <w:color w:val="000000"/>
          <w:sz w:val="22"/>
          <w:szCs w:val="22"/>
          <w:lang w:val="sk-SK"/>
        </w:rPr>
        <w:t xml:space="preserve">renálna </w:t>
      </w:r>
      <w:r w:rsidRPr="00B4462C">
        <w:rPr>
          <w:color w:val="000000"/>
          <w:sz w:val="22"/>
          <w:szCs w:val="22"/>
          <w:lang w:val="sk-SK"/>
        </w:rPr>
        <w:t xml:space="preserve">toxicita . </w:t>
      </w:r>
    </w:p>
    <w:p w14:paraId="7CB6DFB5" w14:textId="77777777" w:rsidR="00CF3670" w:rsidRPr="00B4462C" w:rsidRDefault="00CF3670" w:rsidP="00E5577B">
      <w:pPr>
        <w:tabs>
          <w:tab w:val="left" w:pos="8505"/>
          <w:tab w:val="left" w:pos="9071"/>
        </w:tabs>
        <w:ind w:right="566"/>
        <w:rPr>
          <w:bCs/>
          <w:sz w:val="22"/>
          <w:szCs w:val="22"/>
          <w:lang w:val="sk-SK"/>
        </w:rPr>
      </w:pPr>
      <w:r w:rsidRPr="00B4462C">
        <w:rPr>
          <w:color w:val="000000"/>
          <w:sz w:val="22"/>
          <w:szCs w:val="22"/>
          <w:lang w:val="sk-SK"/>
        </w:rPr>
        <w:t xml:space="preserve">Okrem bežných pohotovostných opatrení napríklad </w:t>
      </w:r>
      <w:r>
        <w:rPr>
          <w:color w:val="000000"/>
          <w:sz w:val="22"/>
          <w:szCs w:val="22"/>
          <w:lang w:val="sk-SK"/>
        </w:rPr>
        <w:t xml:space="preserve"> </w:t>
      </w:r>
      <w:r w:rsidRPr="00B4462C">
        <w:rPr>
          <w:color w:val="000000"/>
          <w:sz w:val="22"/>
          <w:szCs w:val="22"/>
          <w:lang w:val="sk-SK"/>
        </w:rPr>
        <w:t xml:space="preserve">vyprázdnenie žalúdka nasledované po lekárskom uhlí sa odporúča monitorovať renálne funkcie, vrátane stanovenia pH moču a acidifikácie kvôli prevencii kryštalúrie, ak je to potrebné. </w:t>
      </w:r>
      <w:r w:rsidRPr="00CA1972">
        <w:rPr>
          <w:color w:val="000000"/>
          <w:sz w:val="22"/>
          <w:szCs w:val="22"/>
          <w:lang w:val="sk-SK"/>
        </w:rPr>
        <w:t>Pacienti musia byť dobre hydratovaní</w:t>
      </w:r>
      <w:r>
        <w:rPr>
          <w:color w:val="000000"/>
          <w:sz w:val="22"/>
          <w:szCs w:val="22"/>
          <w:lang w:val="sk-SK"/>
        </w:rPr>
        <w:t xml:space="preserve">. </w:t>
      </w:r>
      <w:r w:rsidRPr="00B4462C">
        <w:rPr>
          <w:color w:val="000000"/>
          <w:sz w:val="22"/>
          <w:szCs w:val="22"/>
          <w:lang w:val="sk-SK"/>
        </w:rPr>
        <w:t>Antacída obsahujúce vápnik a</w:t>
      </w:r>
      <w:r>
        <w:rPr>
          <w:color w:val="000000"/>
          <w:sz w:val="22"/>
          <w:szCs w:val="22"/>
          <w:lang w:val="sk-SK"/>
        </w:rPr>
        <w:t>lebo</w:t>
      </w:r>
      <w:r w:rsidRPr="00B4462C">
        <w:rPr>
          <w:color w:val="000000"/>
          <w:sz w:val="22"/>
          <w:szCs w:val="22"/>
          <w:lang w:val="sk-SK"/>
        </w:rPr>
        <w:t> horčík môžu teoreticky znížiť absorpciu ciprofloxacínu pri predávkovaní.</w:t>
      </w:r>
      <w:r>
        <w:rPr>
          <w:color w:val="000000"/>
          <w:sz w:val="22"/>
          <w:szCs w:val="22"/>
          <w:lang w:val="sk-SK"/>
        </w:rPr>
        <w:t xml:space="preserve"> </w:t>
      </w:r>
      <w:r w:rsidRPr="00B4462C">
        <w:rPr>
          <w:color w:val="000000"/>
          <w:sz w:val="22"/>
          <w:szCs w:val="22"/>
          <w:lang w:val="sk-SK"/>
        </w:rPr>
        <w:t>Iba malé množstvo ciprofloxacínu (&lt; 10</w:t>
      </w:r>
      <w:r>
        <w:rPr>
          <w:color w:val="000000"/>
          <w:sz w:val="22"/>
          <w:szCs w:val="22"/>
          <w:lang w:val="sk-SK"/>
        </w:rPr>
        <w:t> </w:t>
      </w:r>
      <w:r w:rsidRPr="00B4462C">
        <w:rPr>
          <w:color w:val="000000"/>
          <w:sz w:val="22"/>
          <w:szCs w:val="22"/>
          <w:lang w:val="sk-SK"/>
        </w:rPr>
        <w:t xml:space="preserve">%) sa odstráni z tela počas hemodialýzy alebo peritoneálnej dialýzy. </w:t>
      </w:r>
    </w:p>
    <w:p w14:paraId="0EB12030" w14:textId="77777777" w:rsidR="00CF3670" w:rsidRPr="00B4462C" w:rsidRDefault="00CF3670" w:rsidP="00E5577B">
      <w:pPr>
        <w:widowControl w:val="0"/>
        <w:tabs>
          <w:tab w:val="left" w:pos="9071"/>
        </w:tabs>
        <w:rPr>
          <w:sz w:val="22"/>
          <w:szCs w:val="22"/>
          <w:lang w:val="sk-SK"/>
        </w:rPr>
      </w:pPr>
    </w:p>
    <w:p w14:paraId="3C2C879C" w14:textId="77777777" w:rsidR="00CF3670" w:rsidRPr="00B4462C" w:rsidRDefault="00CF3670" w:rsidP="00E5577B">
      <w:pPr>
        <w:tabs>
          <w:tab w:val="left" w:pos="8505"/>
          <w:tab w:val="left" w:pos="9071"/>
        </w:tabs>
        <w:ind w:right="566"/>
        <w:rPr>
          <w:bCs/>
          <w:sz w:val="22"/>
          <w:szCs w:val="22"/>
          <w:lang w:val="sk-SK"/>
        </w:rPr>
      </w:pPr>
      <w:r w:rsidRPr="00B4462C">
        <w:rPr>
          <w:bCs/>
          <w:sz w:val="22"/>
          <w:szCs w:val="22"/>
          <w:lang w:val="sk-SK"/>
        </w:rPr>
        <w:t>V prípade predávkovania</w:t>
      </w:r>
      <w:r>
        <w:rPr>
          <w:bCs/>
          <w:sz w:val="22"/>
          <w:szCs w:val="22"/>
          <w:lang w:val="sk-SK"/>
        </w:rPr>
        <w:t xml:space="preserve"> </w:t>
      </w:r>
      <w:r w:rsidRPr="00B4462C">
        <w:rPr>
          <w:bCs/>
          <w:sz w:val="22"/>
          <w:szCs w:val="22"/>
          <w:lang w:val="sk-SK"/>
        </w:rPr>
        <w:t>má byť implementovaná symptomatická liečba. Treba zaviesť sledovanie EKG vzhľadom k možnosti predĺženia QT intervalu.</w:t>
      </w:r>
    </w:p>
    <w:p w14:paraId="135B5207" w14:textId="77777777" w:rsidR="00CF3670" w:rsidRPr="00B4462C" w:rsidRDefault="00CF3670" w:rsidP="00E5577B">
      <w:pPr>
        <w:widowControl w:val="0"/>
        <w:tabs>
          <w:tab w:val="left" w:pos="9071"/>
        </w:tabs>
        <w:rPr>
          <w:sz w:val="22"/>
          <w:szCs w:val="22"/>
          <w:lang w:val="sk-SK"/>
        </w:rPr>
      </w:pPr>
    </w:p>
    <w:p w14:paraId="31668EAA" w14:textId="77777777" w:rsidR="00CF3670" w:rsidRPr="00B4462C" w:rsidRDefault="00CF3670" w:rsidP="00E5577B">
      <w:pPr>
        <w:widowControl w:val="0"/>
        <w:tabs>
          <w:tab w:val="left" w:pos="9071"/>
        </w:tabs>
        <w:rPr>
          <w:sz w:val="22"/>
          <w:szCs w:val="22"/>
          <w:lang w:val="sk-SK"/>
        </w:rPr>
      </w:pPr>
    </w:p>
    <w:p w14:paraId="467BEB78" w14:textId="77777777" w:rsidR="00CF3670" w:rsidRPr="00B4462C" w:rsidRDefault="00CF3670" w:rsidP="00B65191">
      <w:pPr>
        <w:keepNext/>
        <w:widowControl w:val="0"/>
        <w:tabs>
          <w:tab w:val="left" w:pos="567"/>
        </w:tabs>
        <w:rPr>
          <w:sz w:val="22"/>
          <w:szCs w:val="22"/>
          <w:lang w:val="sk-SK"/>
        </w:rPr>
      </w:pPr>
      <w:r w:rsidRPr="00B4462C">
        <w:rPr>
          <w:b/>
          <w:sz w:val="22"/>
          <w:szCs w:val="22"/>
          <w:lang w:val="sk-SK"/>
        </w:rPr>
        <w:t>5.</w:t>
      </w:r>
      <w:r w:rsidRPr="00B4462C">
        <w:rPr>
          <w:b/>
          <w:sz w:val="22"/>
          <w:szCs w:val="22"/>
          <w:lang w:val="sk-SK"/>
        </w:rPr>
        <w:tab/>
        <w:t>FARMAKOLOGICKÉ VLASTNOSTI</w:t>
      </w:r>
    </w:p>
    <w:p w14:paraId="1B054106" w14:textId="77777777" w:rsidR="00CF3670" w:rsidRPr="00B4462C" w:rsidRDefault="00CF3670" w:rsidP="00B65191">
      <w:pPr>
        <w:keepNext/>
        <w:widowControl w:val="0"/>
        <w:rPr>
          <w:b/>
          <w:sz w:val="22"/>
          <w:szCs w:val="22"/>
          <w:lang w:val="sk-SK"/>
        </w:rPr>
      </w:pPr>
    </w:p>
    <w:p w14:paraId="339C4245" w14:textId="77777777" w:rsidR="00CF3670" w:rsidRPr="00B4462C" w:rsidRDefault="00CF3670" w:rsidP="00B65191">
      <w:pPr>
        <w:keepNext/>
        <w:widowControl w:val="0"/>
        <w:tabs>
          <w:tab w:val="left" w:pos="567"/>
        </w:tabs>
        <w:rPr>
          <w:sz w:val="22"/>
          <w:szCs w:val="22"/>
          <w:lang w:val="sk-SK"/>
        </w:rPr>
      </w:pPr>
      <w:r w:rsidRPr="00B4462C">
        <w:rPr>
          <w:b/>
          <w:sz w:val="22"/>
          <w:szCs w:val="22"/>
          <w:lang w:val="sk-SK"/>
        </w:rPr>
        <w:t>5.1</w:t>
      </w:r>
      <w:r w:rsidRPr="00B4462C">
        <w:rPr>
          <w:b/>
          <w:sz w:val="22"/>
          <w:szCs w:val="22"/>
          <w:lang w:val="sk-SK"/>
        </w:rPr>
        <w:tab/>
        <w:t>Farmakodynamické vlastnosti</w:t>
      </w:r>
    </w:p>
    <w:p w14:paraId="0CA728A9" w14:textId="77777777" w:rsidR="00CF3670" w:rsidRPr="00B4462C" w:rsidRDefault="00CF3670" w:rsidP="00B65191">
      <w:pPr>
        <w:keepNext/>
        <w:widowControl w:val="0"/>
        <w:rPr>
          <w:sz w:val="22"/>
          <w:szCs w:val="22"/>
          <w:lang w:val="sk-SK"/>
        </w:rPr>
      </w:pPr>
    </w:p>
    <w:p w14:paraId="03CF9BD6" w14:textId="18312CFB" w:rsidR="00CF3670" w:rsidRPr="00B4462C" w:rsidRDefault="00CF3670" w:rsidP="00B65191">
      <w:pPr>
        <w:keepNext/>
        <w:widowControl w:val="0"/>
        <w:rPr>
          <w:sz w:val="22"/>
          <w:szCs w:val="22"/>
          <w:lang w:val="sk-SK"/>
        </w:rPr>
      </w:pPr>
      <w:r w:rsidRPr="00B4462C">
        <w:rPr>
          <w:sz w:val="22"/>
          <w:szCs w:val="22"/>
          <w:lang w:val="sk-SK"/>
        </w:rPr>
        <w:t xml:space="preserve">Farmakoterapeutická skupina: </w:t>
      </w:r>
      <w:r w:rsidR="00DA279A">
        <w:rPr>
          <w:sz w:val="22"/>
          <w:szCs w:val="22"/>
          <w:lang w:val="sk-SK"/>
        </w:rPr>
        <w:t>Fluórchin</w:t>
      </w:r>
      <w:r w:rsidRPr="00B4462C">
        <w:rPr>
          <w:sz w:val="22"/>
          <w:szCs w:val="22"/>
          <w:lang w:val="sk-SK"/>
        </w:rPr>
        <w:t>olóny</w:t>
      </w:r>
    </w:p>
    <w:p w14:paraId="4E9A1C4F" w14:textId="77777777" w:rsidR="00CF3670" w:rsidRPr="00B4462C" w:rsidRDefault="00CF3670" w:rsidP="00B65191">
      <w:pPr>
        <w:widowControl w:val="0"/>
        <w:rPr>
          <w:sz w:val="22"/>
          <w:szCs w:val="22"/>
          <w:lang w:val="sk-SK"/>
        </w:rPr>
      </w:pPr>
      <w:r w:rsidRPr="00B4462C">
        <w:rPr>
          <w:sz w:val="22"/>
          <w:szCs w:val="22"/>
          <w:lang w:val="sk-SK"/>
        </w:rPr>
        <w:t>ATC kód: J01M A02</w:t>
      </w:r>
    </w:p>
    <w:p w14:paraId="093CEC0D" w14:textId="77777777" w:rsidR="00CF3670" w:rsidRPr="00B4462C" w:rsidRDefault="00CF3670" w:rsidP="00B65191">
      <w:pPr>
        <w:widowControl w:val="0"/>
        <w:rPr>
          <w:sz w:val="22"/>
          <w:szCs w:val="22"/>
          <w:lang w:val="sk-SK"/>
        </w:rPr>
      </w:pPr>
    </w:p>
    <w:p w14:paraId="0138710A" w14:textId="3197453E" w:rsidR="00CF3670" w:rsidRPr="00B4462C" w:rsidRDefault="00CF3670" w:rsidP="00FA2E36">
      <w:pPr>
        <w:rPr>
          <w:i/>
          <w:color w:val="000000"/>
          <w:sz w:val="22"/>
          <w:szCs w:val="22"/>
          <w:lang w:val="sk-SK"/>
        </w:rPr>
      </w:pPr>
      <w:r w:rsidRPr="00B4462C">
        <w:rPr>
          <w:i/>
          <w:color w:val="000000"/>
          <w:sz w:val="22"/>
          <w:szCs w:val="22"/>
          <w:lang w:val="sk-SK"/>
        </w:rPr>
        <w:t>Mechanizmus účinku:</w:t>
      </w:r>
      <w:r w:rsidRPr="00B4462C">
        <w:rPr>
          <w:i/>
          <w:color w:val="000000"/>
          <w:sz w:val="22"/>
          <w:szCs w:val="22"/>
          <w:lang w:val="sk-SK"/>
        </w:rPr>
        <w:br/>
      </w:r>
      <w:r w:rsidRPr="00B4462C">
        <w:rPr>
          <w:color w:val="000000"/>
          <w:sz w:val="22"/>
          <w:szCs w:val="22"/>
          <w:lang w:val="sk-SK"/>
        </w:rPr>
        <w:t xml:space="preserve">Baktericídny účinok ciprofloxacínu, ako </w:t>
      </w:r>
      <w:r w:rsidR="00DA279A">
        <w:rPr>
          <w:color w:val="000000"/>
          <w:sz w:val="22"/>
          <w:szCs w:val="22"/>
          <w:lang w:val="sk-SK"/>
        </w:rPr>
        <w:t>fluórchin</w:t>
      </w:r>
      <w:r w:rsidRPr="00B4462C">
        <w:rPr>
          <w:color w:val="000000"/>
          <w:sz w:val="22"/>
          <w:szCs w:val="22"/>
          <w:lang w:val="sk-SK"/>
        </w:rPr>
        <w:t>olónového antibiotika, spočíva v inhibícii topoizomerázy II (</w:t>
      </w:r>
      <w:smartTag w:uri="urn:schemas-microsoft-com:office:smarttags" w:element="stockticker">
        <w:r w:rsidRPr="00B4462C">
          <w:rPr>
            <w:color w:val="000000"/>
            <w:sz w:val="22"/>
            <w:szCs w:val="22"/>
            <w:lang w:val="sk-SK"/>
          </w:rPr>
          <w:t>DNA</w:t>
        </w:r>
      </w:smartTag>
      <w:r w:rsidRPr="00B4462C">
        <w:rPr>
          <w:color w:val="000000"/>
          <w:sz w:val="22"/>
          <w:szCs w:val="22"/>
          <w:lang w:val="sk-SK"/>
        </w:rPr>
        <w:t xml:space="preserve">-gyrázy) aj topoizomerázy IV potrebnej na replikáciu, transkripciu, reparáciu a rekombináciu </w:t>
      </w:r>
      <w:smartTag w:uri="urn:schemas-microsoft-com:office:smarttags" w:element="stockticker">
        <w:r w:rsidRPr="00B4462C">
          <w:rPr>
            <w:color w:val="000000"/>
            <w:sz w:val="22"/>
            <w:szCs w:val="22"/>
            <w:lang w:val="sk-SK"/>
          </w:rPr>
          <w:t>DNA</w:t>
        </w:r>
      </w:smartTag>
      <w:r w:rsidRPr="00B4462C">
        <w:rPr>
          <w:color w:val="000000"/>
          <w:sz w:val="22"/>
          <w:szCs w:val="22"/>
          <w:lang w:val="sk-SK"/>
        </w:rPr>
        <w:t xml:space="preserve"> baktérií. </w:t>
      </w:r>
      <w:r w:rsidRPr="00B4462C">
        <w:rPr>
          <w:color w:val="000000"/>
          <w:sz w:val="22"/>
          <w:szCs w:val="22"/>
          <w:lang w:val="sk-SK"/>
        </w:rPr>
        <w:br/>
      </w:r>
      <w:r w:rsidRPr="00B4462C">
        <w:rPr>
          <w:color w:val="000000"/>
          <w:sz w:val="22"/>
          <w:szCs w:val="22"/>
          <w:lang w:val="sk-SK"/>
        </w:rPr>
        <w:br/>
      </w:r>
      <w:r w:rsidRPr="00B4462C">
        <w:rPr>
          <w:i/>
          <w:color w:val="000000"/>
          <w:sz w:val="22"/>
          <w:szCs w:val="22"/>
          <w:lang w:val="sk-SK"/>
        </w:rPr>
        <w:t>PK/PD vzťah:</w:t>
      </w:r>
    </w:p>
    <w:p w14:paraId="6D553697" w14:textId="77777777" w:rsidR="00CF3670" w:rsidRPr="00B4462C" w:rsidRDefault="00CF3670" w:rsidP="00FA2E36">
      <w:pPr>
        <w:rPr>
          <w:color w:val="000000"/>
          <w:sz w:val="22"/>
          <w:szCs w:val="22"/>
          <w:lang w:val="sk-SK"/>
        </w:rPr>
      </w:pPr>
      <w:r w:rsidRPr="00B4462C">
        <w:rPr>
          <w:color w:val="000000"/>
          <w:sz w:val="22"/>
          <w:szCs w:val="22"/>
          <w:lang w:val="sk-SK"/>
        </w:rPr>
        <w:t>Účinnosť závisí predovšetkým od vzťahu medzi maximálnou koncentráciou v sére (C</w:t>
      </w:r>
      <w:r w:rsidRPr="00B4462C">
        <w:rPr>
          <w:color w:val="000000"/>
          <w:sz w:val="22"/>
          <w:szCs w:val="22"/>
          <w:vertAlign w:val="subscript"/>
          <w:lang w:val="sk-SK"/>
        </w:rPr>
        <w:t>max</w:t>
      </w:r>
      <w:r w:rsidRPr="00B4462C">
        <w:rPr>
          <w:color w:val="000000"/>
          <w:sz w:val="22"/>
          <w:szCs w:val="22"/>
          <w:lang w:val="sk-SK"/>
        </w:rPr>
        <w:t>) a minimálnou inhibičnou koncentráciou (MIC) ciprofloxacínu na patogény a vzťahu medzi plochou pod krivkou (AUC) a MIC.</w:t>
      </w:r>
    </w:p>
    <w:p w14:paraId="791C3444" w14:textId="77777777" w:rsidR="00CF3670" w:rsidRPr="00B4462C" w:rsidRDefault="00CF3670" w:rsidP="00B65191">
      <w:pPr>
        <w:widowControl w:val="0"/>
        <w:rPr>
          <w:sz w:val="22"/>
          <w:szCs w:val="22"/>
          <w:lang w:val="sk-SK"/>
        </w:rPr>
      </w:pPr>
    </w:p>
    <w:p w14:paraId="4A0E125C" w14:textId="77777777" w:rsidR="00CF3670" w:rsidRPr="00B4462C" w:rsidRDefault="00CF3670" w:rsidP="00B65191">
      <w:pPr>
        <w:widowControl w:val="0"/>
        <w:rPr>
          <w:i/>
          <w:sz w:val="22"/>
          <w:szCs w:val="22"/>
          <w:lang w:val="sk-SK"/>
        </w:rPr>
      </w:pPr>
      <w:r w:rsidRPr="00B4462C">
        <w:rPr>
          <w:i/>
          <w:sz w:val="22"/>
          <w:szCs w:val="22"/>
          <w:lang w:val="sk-SK"/>
        </w:rPr>
        <w:t>Mechanizmus rezistencie</w:t>
      </w:r>
    </w:p>
    <w:p w14:paraId="18E31E6E" w14:textId="13482DDF" w:rsidR="00CF3670" w:rsidRPr="00B4462C" w:rsidRDefault="00CF3670" w:rsidP="00FA2E36">
      <w:pPr>
        <w:rPr>
          <w:color w:val="000000"/>
          <w:sz w:val="22"/>
          <w:szCs w:val="22"/>
          <w:lang w:val="sk-SK"/>
        </w:rPr>
      </w:pPr>
      <w:r w:rsidRPr="00B4462C">
        <w:rPr>
          <w:i/>
          <w:color w:val="000000"/>
          <w:sz w:val="22"/>
          <w:szCs w:val="22"/>
          <w:lang w:val="sk-SK"/>
        </w:rPr>
        <w:t>In vitro</w:t>
      </w:r>
      <w:r w:rsidRPr="00B4462C">
        <w:rPr>
          <w:color w:val="000000"/>
          <w:sz w:val="22"/>
          <w:szCs w:val="22"/>
          <w:lang w:val="sk-SK"/>
        </w:rPr>
        <w:t xml:space="preserve"> rezistencia voči ciprofloxacínu sa získa postupným procesom mutácií v cieľových miestach </w:t>
      </w:r>
      <w:smartTag w:uri="urn:schemas-microsoft-com:office:smarttags" w:element="stockticker">
        <w:r w:rsidRPr="00B4462C">
          <w:rPr>
            <w:color w:val="000000"/>
            <w:sz w:val="22"/>
            <w:szCs w:val="22"/>
            <w:lang w:val="sk-SK"/>
          </w:rPr>
          <w:t>DNA</w:t>
        </w:r>
      </w:smartTag>
      <w:r w:rsidRPr="00B4462C">
        <w:rPr>
          <w:color w:val="000000"/>
          <w:sz w:val="22"/>
          <w:szCs w:val="22"/>
          <w:lang w:val="sk-SK"/>
        </w:rPr>
        <w:t xml:space="preserve"> gyrázy aj topoizomerázy IV. Výsledný stupeň skríženej rezistencie u ciprofloxacínu a iných </w:t>
      </w:r>
      <w:r w:rsidR="00DA279A">
        <w:rPr>
          <w:color w:val="000000"/>
          <w:sz w:val="22"/>
          <w:szCs w:val="22"/>
          <w:lang w:val="sk-SK"/>
        </w:rPr>
        <w:t>fluórchin</w:t>
      </w:r>
      <w:r w:rsidRPr="00B4462C">
        <w:rPr>
          <w:color w:val="000000"/>
          <w:sz w:val="22"/>
          <w:szCs w:val="22"/>
          <w:lang w:val="sk-SK"/>
        </w:rPr>
        <w:t>olónov je rozdielny. Jednoduché mutácie nemôžu viesť ku klinickej rezistencii, viacpočetné mutácie zvyčajne vedú ku klinickej rezistencii na viaceré alebo všetky liečivá v rámci skupiny.</w:t>
      </w:r>
    </w:p>
    <w:p w14:paraId="5C130E9E" w14:textId="53148F64" w:rsidR="00CF3670" w:rsidRPr="00B4462C" w:rsidRDefault="00CF3670" w:rsidP="00FA2E36">
      <w:pPr>
        <w:rPr>
          <w:color w:val="000000"/>
          <w:sz w:val="22"/>
          <w:szCs w:val="22"/>
          <w:lang w:val="sk-SK"/>
        </w:rPr>
      </w:pPr>
      <w:r w:rsidRPr="00B4462C">
        <w:rPr>
          <w:color w:val="000000"/>
          <w:sz w:val="22"/>
          <w:szCs w:val="22"/>
          <w:lang w:val="sk-SK"/>
        </w:rPr>
        <w:t xml:space="preserve">Mechanizmy rezistencie, ako sú nepriepustnosť a/alebo refluxná pumpa môžu mať rozličný vplyv na citlivosť na </w:t>
      </w:r>
      <w:r w:rsidR="00DA279A">
        <w:rPr>
          <w:color w:val="000000"/>
          <w:sz w:val="22"/>
          <w:szCs w:val="22"/>
          <w:lang w:val="sk-SK"/>
        </w:rPr>
        <w:t>fluórchin</w:t>
      </w:r>
      <w:r w:rsidRPr="00B4462C">
        <w:rPr>
          <w:color w:val="000000"/>
          <w:sz w:val="22"/>
          <w:szCs w:val="22"/>
          <w:lang w:val="sk-SK"/>
        </w:rPr>
        <w:t xml:space="preserve">olóny, ktorý závisí od fyzikálnochemických vlastností rôznych liečiv v rámci skupiny a od afinity transportného systému pre jednotlivé liečivá. </w:t>
      </w:r>
      <w:r w:rsidRPr="00B4462C">
        <w:rPr>
          <w:color w:val="000000"/>
          <w:sz w:val="22"/>
          <w:szCs w:val="22"/>
          <w:lang w:val="sk-SK"/>
        </w:rPr>
        <w:br/>
      </w:r>
      <w:r w:rsidRPr="00B4462C">
        <w:rPr>
          <w:i/>
          <w:color w:val="000000"/>
          <w:sz w:val="22"/>
          <w:szCs w:val="22"/>
          <w:lang w:val="sk-SK"/>
        </w:rPr>
        <w:t>In vitro</w:t>
      </w:r>
      <w:r w:rsidRPr="00B4462C">
        <w:rPr>
          <w:color w:val="000000"/>
          <w:sz w:val="22"/>
          <w:szCs w:val="22"/>
          <w:lang w:val="sk-SK"/>
        </w:rPr>
        <w:t xml:space="preserve"> mechanizmus rezistencie sa často pozoroval na klinických izolátoch. </w:t>
      </w:r>
    </w:p>
    <w:p w14:paraId="6224A720" w14:textId="77777777" w:rsidR="00CF3670" w:rsidRPr="00B4462C" w:rsidRDefault="00CF3670" w:rsidP="00FA2E36">
      <w:pPr>
        <w:rPr>
          <w:color w:val="000000"/>
          <w:sz w:val="22"/>
          <w:szCs w:val="22"/>
          <w:lang w:val="sk-SK"/>
        </w:rPr>
      </w:pPr>
      <w:r w:rsidRPr="00B4462C">
        <w:rPr>
          <w:color w:val="000000"/>
          <w:sz w:val="22"/>
          <w:szCs w:val="22"/>
          <w:lang w:val="sk-SK"/>
        </w:rPr>
        <w:t xml:space="preserve">Mechanizmy rezistencie, ktoré inaktivujú iné antibiotiká, ako sú prestupové bariéry (bežné pri druhoch </w:t>
      </w:r>
      <w:r w:rsidRPr="00B4462C">
        <w:rPr>
          <w:i/>
          <w:color w:val="000000"/>
          <w:sz w:val="22"/>
          <w:szCs w:val="22"/>
          <w:lang w:val="sk-SK"/>
        </w:rPr>
        <w:t>Pseudomonas aeruginosa</w:t>
      </w:r>
      <w:r w:rsidRPr="00B4462C">
        <w:rPr>
          <w:color w:val="000000"/>
          <w:sz w:val="22"/>
          <w:szCs w:val="22"/>
          <w:lang w:val="sk-SK"/>
        </w:rPr>
        <w:t>) a efluxné mechanizmy môžu ovplyvniť citlivosť na ciprofloxacín. Bola zaznamenaná plazmidmi sprostredkovaná rezistencia kódovaná qnr-génmi.</w:t>
      </w:r>
    </w:p>
    <w:p w14:paraId="332C6DC3" w14:textId="77777777" w:rsidR="00CF3670" w:rsidRPr="00B4462C" w:rsidRDefault="00CF3670" w:rsidP="00FA2E36">
      <w:pPr>
        <w:rPr>
          <w:color w:val="000000"/>
          <w:sz w:val="22"/>
          <w:szCs w:val="22"/>
          <w:lang w:val="sk-SK"/>
        </w:rPr>
      </w:pPr>
    </w:p>
    <w:p w14:paraId="4A7BA456" w14:textId="77777777" w:rsidR="00CF3670" w:rsidRPr="00B4462C" w:rsidRDefault="00CF3670" w:rsidP="00FA2E36">
      <w:pPr>
        <w:rPr>
          <w:i/>
          <w:color w:val="000000"/>
          <w:sz w:val="22"/>
          <w:szCs w:val="22"/>
          <w:lang w:val="sk-SK"/>
        </w:rPr>
      </w:pPr>
      <w:r w:rsidRPr="00B4462C">
        <w:rPr>
          <w:i/>
          <w:color w:val="000000"/>
          <w:sz w:val="22"/>
          <w:szCs w:val="22"/>
          <w:lang w:val="sk-SK"/>
        </w:rPr>
        <w:t>Spektrum účinku:</w:t>
      </w:r>
    </w:p>
    <w:p w14:paraId="045C5090" w14:textId="77777777" w:rsidR="00CF3670" w:rsidRPr="00B4462C" w:rsidRDefault="00CF3670" w:rsidP="00FA2E36">
      <w:pPr>
        <w:rPr>
          <w:color w:val="000000"/>
          <w:sz w:val="22"/>
          <w:szCs w:val="22"/>
          <w:lang w:val="sk-SK"/>
        </w:rPr>
      </w:pPr>
      <w:r w:rsidRPr="00B4462C">
        <w:rPr>
          <w:color w:val="000000"/>
          <w:sz w:val="22"/>
          <w:szCs w:val="22"/>
          <w:lang w:val="sk-SK"/>
        </w:rPr>
        <w:t>Hraničné parametre oddeľujú citlivé kmene od stredne citlivých kmeňov a tie od rezistentných kmeňov:</w:t>
      </w:r>
    </w:p>
    <w:p w14:paraId="5238AB12" w14:textId="77777777" w:rsidR="00A479C2" w:rsidRDefault="00A479C2" w:rsidP="00FA2E36">
      <w:pPr>
        <w:rPr>
          <w:i/>
          <w:color w:val="000000"/>
          <w:sz w:val="22"/>
          <w:szCs w:val="22"/>
          <w:lang w:val="sk-SK"/>
        </w:rPr>
      </w:pPr>
    </w:p>
    <w:p w14:paraId="448C0797" w14:textId="6E64E41F" w:rsidR="00CF3670" w:rsidRPr="00B4462C" w:rsidRDefault="00CF3670" w:rsidP="00FA2E36">
      <w:pPr>
        <w:rPr>
          <w:i/>
          <w:color w:val="000000"/>
          <w:sz w:val="22"/>
          <w:szCs w:val="22"/>
          <w:lang w:val="sk-SK"/>
        </w:rPr>
      </w:pPr>
      <w:r w:rsidRPr="00B4462C">
        <w:rPr>
          <w:i/>
          <w:color w:val="000000"/>
          <w:sz w:val="22"/>
          <w:szCs w:val="22"/>
          <w:lang w:val="sk-SK"/>
        </w:rPr>
        <w:t>Odporúčania EUCAST</w:t>
      </w:r>
    </w:p>
    <w:p w14:paraId="4B0C1042" w14:textId="77777777" w:rsidR="00CF3670" w:rsidRPr="00B4462C" w:rsidRDefault="00CF3670" w:rsidP="00FA2E36">
      <w:pPr>
        <w:rPr>
          <w:color w:val="000000"/>
          <w:sz w:val="22"/>
          <w:szCs w:val="22"/>
          <w:lang w:val="sk-SK"/>
        </w:rPr>
      </w:pPr>
    </w:p>
    <w:p w14:paraId="28D89D1A" w14:textId="77777777" w:rsidR="00CF3670" w:rsidRPr="00B4462C" w:rsidRDefault="00CF3670" w:rsidP="00FA2E36">
      <w:pPr>
        <w:rPr>
          <w:color w:val="000000"/>
          <w:sz w:val="22"/>
          <w:szCs w:val="22"/>
          <w:lang w:val="sk-SK"/>
        </w:rPr>
      </w:pPr>
      <w:r w:rsidRPr="00B4462C">
        <w:rPr>
          <w:b/>
          <w:color w:val="000000"/>
          <w:sz w:val="22"/>
          <w:szCs w:val="22"/>
          <w:lang w:val="sk-SK"/>
        </w:rPr>
        <w:t>Mikroorganizmy</w:t>
      </w:r>
      <w:r w:rsidRPr="00B4462C">
        <w:rPr>
          <w:b/>
          <w:color w:val="000000"/>
          <w:sz w:val="22"/>
          <w:szCs w:val="22"/>
          <w:lang w:val="sk-SK"/>
        </w:rPr>
        <w:tab/>
      </w:r>
      <w:r w:rsidRPr="00B4462C">
        <w:rPr>
          <w:b/>
          <w:color w:val="000000"/>
          <w:sz w:val="22"/>
          <w:szCs w:val="22"/>
          <w:lang w:val="sk-SK"/>
        </w:rPr>
        <w:tab/>
      </w:r>
      <w:r w:rsidRPr="00B4462C">
        <w:rPr>
          <w:b/>
          <w:color w:val="000000"/>
          <w:sz w:val="22"/>
          <w:szCs w:val="22"/>
          <w:lang w:val="sk-SK"/>
        </w:rPr>
        <w:tab/>
      </w:r>
      <w:r w:rsidRPr="00B4462C">
        <w:rPr>
          <w:b/>
          <w:color w:val="000000"/>
          <w:sz w:val="22"/>
          <w:szCs w:val="22"/>
          <w:lang w:val="sk-SK"/>
        </w:rPr>
        <w:tab/>
        <w:t>Citlivosť</w:t>
      </w:r>
      <w:r w:rsidRPr="00B4462C">
        <w:rPr>
          <w:b/>
          <w:color w:val="000000"/>
          <w:sz w:val="22"/>
          <w:szCs w:val="22"/>
          <w:lang w:val="sk-SK"/>
        </w:rPr>
        <w:tab/>
      </w:r>
      <w:r w:rsidRPr="00B4462C">
        <w:rPr>
          <w:b/>
          <w:color w:val="000000"/>
          <w:sz w:val="22"/>
          <w:szCs w:val="22"/>
          <w:lang w:val="sk-SK"/>
        </w:rPr>
        <w:tab/>
        <w:t>Rezistencia</w:t>
      </w:r>
    </w:p>
    <w:p w14:paraId="190FC238" w14:textId="77777777" w:rsidR="00CF3670" w:rsidRPr="00B4462C" w:rsidRDefault="00CF3670" w:rsidP="00FA2E36">
      <w:pPr>
        <w:rPr>
          <w:color w:val="000000"/>
          <w:sz w:val="22"/>
          <w:szCs w:val="22"/>
          <w:lang w:val="sk-SK"/>
        </w:rPr>
      </w:pPr>
      <w:r w:rsidRPr="00B4462C">
        <w:rPr>
          <w:i/>
          <w:color w:val="000000"/>
          <w:sz w:val="22"/>
          <w:szCs w:val="22"/>
          <w:lang w:val="sk-SK"/>
        </w:rPr>
        <w:t>Enterobacteria</w:t>
      </w:r>
      <w:r>
        <w:rPr>
          <w:i/>
          <w:color w:val="000000"/>
          <w:sz w:val="22"/>
          <w:szCs w:val="22"/>
          <w:lang w:val="sk-SK"/>
        </w:rPr>
        <w:t>e</w:t>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t>S</w:t>
      </w:r>
      <w:r w:rsidRPr="00B4462C">
        <w:rPr>
          <w:color w:val="000000"/>
          <w:sz w:val="22"/>
          <w:szCs w:val="22"/>
          <w:lang w:val="sk-SK"/>
        </w:rPr>
        <w:sym w:font="Symbol" w:char="F0A3"/>
      </w:r>
      <w:r w:rsidRPr="00B4462C">
        <w:rPr>
          <w:color w:val="000000"/>
          <w:sz w:val="22"/>
          <w:szCs w:val="22"/>
          <w:lang w:val="sk-SK"/>
        </w:rPr>
        <w:t>0,5 mg/l</w:t>
      </w:r>
      <w:r w:rsidRPr="00B4462C">
        <w:rPr>
          <w:color w:val="000000"/>
          <w:sz w:val="22"/>
          <w:szCs w:val="22"/>
          <w:lang w:val="sk-SK"/>
        </w:rPr>
        <w:tab/>
      </w:r>
      <w:r w:rsidRPr="00B4462C">
        <w:rPr>
          <w:color w:val="000000"/>
          <w:sz w:val="22"/>
          <w:szCs w:val="22"/>
          <w:lang w:val="sk-SK"/>
        </w:rPr>
        <w:tab/>
        <w:t>R&gt;1 mg/l</w:t>
      </w:r>
    </w:p>
    <w:p w14:paraId="0C9A94AC" w14:textId="77777777" w:rsidR="00CF3670" w:rsidRPr="00B4462C" w:rsidRDefault="00CF3670" w:rsidP="00FA2E36">
      <w:pPr>
        <w:rPr>
          <w:color w:val="000000"/>
          <w:sz w:val="22"/>
          <w:szCs w:val="22"/>
          <w:lang w:val="sk-SK"/>
        </w:rPr>
      </w:pPr>
      <w:r w:rsidRPr="00B4462C">
        <w:rPr>
          <w:i/>
          <w:color w:val="000000"/>
          <w:sz w:val="22"/>
          <w:szCs w:val="22"/>
          <w:lang w:val="sk-SK"/>
        </w:rPr>
        <w:t>Pseudomonas</w:t>
      </w:r>
      <w:r>
        <w:rPr>
          <w:i/>
          <w:color w:val="000000"/>
          <w:sz w:val="22"/>
          <w:szCs w:val="22"/>
          <w:lang w:val="sk-SK"/>
        </w:rPr>
        <w:t xml:space="preserve"> spp.</w:t>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t>S</w:t>
      </w:r>
      <w:r w:rsidRPr="00B4462C">
        <w:rPr>
          <w:color w:val="000000"/>
          <w:sz w:val="22"/>
          <w:szCs w:val="22"/>
          <w:lang w:val="sk-SK"/>
        </w:rPr>
        <w:sym w:font="Symbol" w:char="F0A3"/>
      </w:r>
      <w:r w:rsidRPr="00B4462C">
        <w:rPr>
          <w:color w:val="000000"/>
          <w:sz w:val="22"/>
          <w:szCs w:val="22"/>
          <w:lang w:val="sk-SK"/>
        </w:rPr>
        <w:t>0,5 mg/l</w:t>
      </w:r>
      <w:r w:rsidRPr="00B4462C">
        <w:rPr>
          <w:color w:val="000000"/>
          <w:sz w:val="22"/>
          <w:szCs w:val="22"/>
          <w:lang w:val="sk-SK"/>
        </w:rPr>
        <w:tab/>
      </w:r>
      <w:r w:rsidRPr="00B4462C">
        <w:rPr>
          <w:color w:val="000000"/>
          <w:sz w:val="22"/>
          <w:szCs w:val="22"/>
          <w:lang w:val="sk-SK"/>
        </w:rPr>
        <w:tab/>
        <w:t>R&gt;1 mg/l</w:t>
      </w:r>
    </w:p>
    <w:p w14:paraId="2146320C" w14:textId="77777777" w:rsidR="00CF3670" w:rsidRPr="00B4462C" w:rsidRDefault="00CF3670" w:rsidP="00FA2E36">
      <w:pPr>
        <w:rPr>
          <w:color w:val="000000"/>
          <w:sz w:val="22"/>
          <w:szCs w:val="22"/>
          <w:lang w:val="sk-SK"/>
        </w:rPr>
      </w:pPr>
      <w:r w:rsidRPr="00B4462C">
        <w:rPr>
          <w:i/>
          <w:color w:val="000000"/>
          <w:sz w:val="22"/>
          <w:szCs w:val="22"/>
          <w:lang w:val="sk-SK"/>
        </w:rPr>
        <w:t>Acinetobacter</w:t>
      </w:r>
      <w:r>
        <w:rPr>
          <w:i/>
          <w:color w:val="000000"/>
          <w:sz w:val="22"/>
          <w:szCs w:val="22"/>
          <w:lang w:val="sk-SK"/>
        </w:rPr>
        <w:t xml:space="preserve"> spp.</w:t>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t>S</w:t>
      </w:r>
      <w:r w:rsidRPr="00B4462C">
        <w:rPr>
          <w:color w:val="000000"/>
          <w:sz w:val="22"/>
          <w:szCs w:val="22"/>
          <w:lang w:val="sk-SK"/>
        </w:rPr>
        <w:sym w:font="Symbol" w:char="F0A3"/>
      </w:r>
      <w:r w:rsidRPr="00B4462C">
        <w:rPr>
          <w:color w:val="000000"/>
          <w:sz w:val="22"/>
          <w:szCs w:val="22"/>
          <w:lang w:val="sk-SK"/>
        </w:rPr>
        <w:t>1 mg/l</w:t>
      </w:r>
      <w:r w:rsidRPr="00B4462C">
        <w:rPr>
          <w:color w:val="000000"/>
          <w:sz w:val="22"/>
          <w:szCs w:val="22"/>
          <w:lang w:val="sk-SK"/>
        </w:rPr>
        <w:tab/>
      </w:r>
      <w:r w:rsidRPr="00B4462C">
        <w:rPr>
          <w:color w:val="000000"/>
          <w:sz w:val="22"/>
          <w:szCs w:val="22"/>
          <w:lang w:val="sk-SK"/>
        </w:rPr>
        <w:tab/>
        <w:t>R&gt;1 mg/l</w:t>
      </w:r>
    </w:p>
    <w:p w14:paraId="1CFACC9B" w14:textId="77777777" w:rsidR="00CF3670" w:rsidRPr="00B4462C" w:rsidRDefault="00CF3670" w:rsidP="00FA2E36">
      <w:pPr>
        <w:rPr>
          <w:color w:val="000000"/>
          <w:sz w:val="22"/>
          <w:szCs w:val="22"/>
          <w:lang w:val="sk-SK"/>
        </w:rPr>
      </w:pPr>
      <w:r w:rsidRPr="00B4462C">
        <w:rPr>
          <w:i/>
          <w:color w:val="000000"/>
          <w:sz w:val="22"/>
          <w:szCs w:val="22"/>
          <w:lang w:val="sk-SK"/>
        </w:rPr>
        <w:t>Staphylococcus spp.</w:t>
      </w:r>
      <w:r w:rsidRPr="00B4462C">
        <w:rPr>
          <w:i/>
          <w:color w:val="000000"/>
          <w:sz w:val="22"/>
          <w:szCs w:val="22"/>
          <w:vertAlign w:val="superscript"/>
          <w:lang w:val="sk-SK"/>
        </w:rPr>
        <w:t>1</w:t>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t>S</w:t>
      </w:r>
      <w:r w:rsidRPr="00B4462C">
        <w:rPr>
          <w:color w:val="000000"/>
          <w:sz w:val="22"/>
          <w:szCs w:val="22"/>
          <w:lang w:val="sk-SK"/>
        </w:rPr>
        <w:sym w:font="Symbol" w:char="F0A3"/>
      </w:r>
      <w:r w:rsidRPr="00B4462C">
        <w:rPr>
          <w:color w:val="000000"/>
          <w:sz w:val="22"/>
          <w:szCs w:val="22"/>
          <w:lang w:val="sk-SK"/>
        </w:rPr>
        <w:t>1 mg/l</w:t>
      </w:r>
      <w:r w:rsidRPr="00B4462C">
        <w:rPr>
          <w:color w:val="000000"/>
          <w:sz w:val="22"/>
          <w:szCs w:val="22"/>
          <w:lang w:val="sk-SK"/>
        </w:rPr>
        <w:tab/>
      </w:r>
      <w:r w:rsidRPr="00B4462C">
        <w:rPr>
          <w:color w:val="000000"/>
          <w:sz w:val="22"/>
          <w:szCs w:val="22"/>
          <w:lang w:val="sk-SK"/>
        </w:rPr>
        <w:tab/>
        <w:t>R&gt;1 mg/l</w:t>
      </w:r>
    </w:p>
    <w:p w14:paraId="5C880C68" w14:textId="77777777" w:rsidR="00CF3670" w:rsidRPr="00B4462C" w:rsidRDefault="00CF3670" w:rsidP="00FA2E36">
      <w:pPr>
        <w:rPr>
          <w:color w:val="000000"/>
          <w:sz w:val="22"/>
          <w:szCs w:val="22"/>
          <w:lang w:val="sk-SK"/>
        </w:rPr>
      </w:pPr>
      <w:r w:rsidRPr="00B4462C">
        <w:rPr>
          <w:i/>
          <w:color w:val="000000"/>
          <w:sz w:val="22"/>
          <w:szCs w:val="22"/>
          <w:lang w:val="sk-SK"/>
        </w:rPr>
        <w:t>Haemophilis influenzae</w:t>
      </w:r>
      <w:r w:rsidRPr="00B4462C">
        <w:rPr>
          <w:color w:val="000000"/>
          <w:sz w:val="22"/>
          <w:szCs w:val="22"/>
          <w:lang w:val="sk-SK"/>
        </w:rPr>
        <w:t xml:space="preserve"> a </w:t>
      </w:r>
    </w:p>
    <w:p w14:paraId="6A50D12A" w14:textId="77777777" w:rsidR="00CF3670" w:rsidRPr="00B4462C" w:rsidRDefault="00CF3670" w:rsidP="00FA2E36">
      <w:pPr>
        <w:rPr>
          <w:color w:val="000000"/>
          <w:sz w:val="22"/>
          <w:szCs w:val="22"/>
          <w:lang w:val="sk-SK"/>
        </w:rPr>
      </w:pPr>
      <w:r w:rsidRPr="00B4462C">
        <w:rPr>
          <w:i/>
          <w:color w:val="000000"/>
          <w:sz w:val="22"/>
          <w:szCs w:val="22"/>
          <w:lang w:val="sk-SK"/>
        </w:rPr>
        <w:t>Moraxella catarrhalis</w:t>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t>S</w:t>
      </w:r>
      <w:r w:rsidRPr="00B4462C">
        <w:rPr>
          <w:color w:val="000000"/>
          <w:sz w:val="22"/>
          <w:szCs w:val="22"/>
          <w:lang w:val="sk-SK"/>
        </w:rPr>
        <w:sym w:font="Symbol" w:char="F0A3"/>
      </w:r>
      <w:r w:rsidRPr="00B4462C">
        <w:rPr>
          <w:color w:val="000000"/>
          <w:sz w:val="22"/>
          <w:szCs w:val="22"/>
          <w:lang w:val="sk-SK"/>
        </w:rPr>
        <w:t>0,5 mg/l</w:t>
      </w:r>
      <w:r w:rsidRPr="00B4462C">
        <w:rPr>
          <w:color w:val="000000"/>
          <w:sz w:val="22"/>
          <w:szCs w:val="22"/>
          <w:lang w:val="sk-SK"/>
        </w:rPr>
        <w:tab/>
      </w:r>
      <w:r w:rsidRPr="00B4462C">
        <w:rPr>
          <w:color w:val="000000"/>
          <w:sz w:val="22"/>
          <w:szCs w:val="22"/>
          <w:lang w:val="sk-SK"/>
        </w:rPr>
        <w:tab/>
        <w:t>R&gt;0,5 mg/l</w:t>
      </w:r>
    </w:p>
    <w:p w14:paraId="39751ADD" w14:textId="77777777" w:rsidR="00CF3670" w:rsidRPr="00B4462C" w:rsidRDefault="00CF3670" w:rsidP="00FA2E36">
      <w:pPr>
        <w:rPr>
          <w:color w:val="000000"/>
          <w:sz w:val="22"/>
          <w:szCs w:val="22"/>
          <w:lang w:val="sk-SK"/>
        </w:rPr>
      </w:pPr>
      <w:r w:rsidRPr="00B4462C">
        <w:rPr>
          <w:i/>
          <w:color w:val="000000"/>
          <w:sz w:val="22"/>
          <w:szCs w:val="22"/>
          <w:lang w:val="sk-SK"/>
        </w:rPr>
        <w:t>Neisseria gonorrhoeae</w:t>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t>S</w:t>
      </w:r>
      <w:r w:rsidRPr="00B4462C">
        <w:rPr>
          <w:color w:val="000000"/>
          <w:sz w:val="22"/>
          <w:szCs w:val="22"/>
          <w:lang w:val="sk-SK"/>
        </w:rPr>
        <w:sym w:font="Symbol" w:char="F0A3"/>
      </w:r>
      <w:r w:rsidRPr="00B4462C">
        <w:rPr>
          <w:color w:val="000000"/>
          <w:sz w:val="22"/>
          <w:szCs w:val="22"/>
          <w:lang w:val="sk-SK"/>
        </w:rPr>
        <w:t>0,03 mg/l</w:t>
      </w:r>
      <w:r w:rsidRPr="00B4462C">
        <w:rPr>
          <w:color w:val="000000"/>
          <w:sz w:val="22"/>
          <w:szCs w:val="22"/>
          <w:lang w:val="sk-SK"/>
        </w:rPr>
        <w:tab/>
      </w:r>
      <w:r w:rsidRPr="00B4462C">
        <w:rPr>
          <w:color w:val="000000"/>
          <w:sz w:val="22"/>
          <w:szCs w:val="22"/>
          <w:lang w:val="sk-SK"/>
        </w:rPr>
        <w:tab/>
        <w:t>R&gt;0,06 mg/l</w:t>
      </w:r>
    </w:p>
    <w:p w14:paraId="5C946B9F" w14:textId="77777777" w:rsidR="00CF3670" w:rsidRPr="00B4462C" w:rsidRDefault="00CF3670" w:rsidP="00FA2E36">
      <w:pPr>
        <w:rPr>
          <w:color w:val="000000"/>
          <w:sz w:val="22"/>
          <w:szCs w:val="22"/>
          <w:lang w:val="sk-SK"/>
        </w:rPr>
      </w:pPr>
      <w:r w:rsidRPr="00B4462C">
        <w:rPr>
          <w:i/>
          <w:color w:val="000000"/>
          <w:sz w:val="22"/>
          <w:szCs w:val="22"/>
          <w:lang w:val="sk-SK"/>
        </w:rPr>
        <w:t>Neisseria meningitidis</w:t>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r>
      <w:r w:rsidRPr="00B4462C">
        <w:rPr>
          <w:color w:val="000000"/>
          <w:sz w:val="22"/>
          <w:szCs w:val="22"/>
          <w:lang w:val="sk-SK"/>
        </w:rPr>
        <w:tab/>
        <w:t>S</w:t>
      </w:r>
      <w:r w:rsidRPr="00B4462C">
        <w:rPr>
          <w:color w:val="000000"/>
          <w:sz w:val="22"/>
          <w:szCs w:val="22"/>
          <w:lang w:val="sk-SK"/>
        </w:rPr>
        <w:sym w:font="Symbol" w:char="F0A3"/>
      </w:r>
      <w:r w:rsidRPr="00B4462C">
        <w:rPr>
          <w:color w:val="000000"/>
          <w:sz w:val="22"/>
          <w:szCs w:val="22"/>
          <w:lang w:val="sk-SK"/>
        </w:rPr>
        <w:t>0,03 mg/l</w:t>
      </w:r>
      <w:r w:rsidRPr="00B4462C">
        <w:rPr>
          <w:color w:val="000000"/>
          <w:sz w:val="22"/>
          <w:szCs w:val="22"/>
          <w:lang w:val="sk-SK"/>
        </w:rPr>
        <w:tab/>
      </w:r>
      <w:r w:rsidRPr="00B4462C">
        <w:rPr>
          <w:color w:val="000000"/>
          <w:sz w:val="22"/>
          <w:szCs w:val="22"/>
          <w:lang w:val="sk-SK"/>
        </w:rPr>
        <w:tab/>
        <w:t>R&gt;0,06 mg/l</w:t>
      </w:r>
    </w:p>
    <w:p w14:paraId="44F19CB6" w14:textId="77777777" w:rsidR="00CF3670" w:rsidRPr="00B4462C" w:rsidRDefault="00CF3670" w:rsidP="00FA2E36">
      <w:pPr>
        <w:rPr>
          <w:color w:val="000000"/>
          <w:sz w:val="22"/>
          <w:szCs w:val="22"/>
          <w:lang w:val="sk-SK"/>
        </w:rPr>
      </w:pPr>
      <w:r w:rsidRPr="00B4462C">
        <w:rPr>
          <w:color w:val="000000"/>
          <w:sz w:val="22"/>
          <w:szCs w:val="22"/>
          <w:lang w:val="sk-SK"/>
        </w:rPr>
        <w:t>Hraničné hodnoty nesúvisiace s druhmi</w:t>
      </w:r>
      <w:r w:rsidRPr="00B4462C">
        <w:rPr>
          <w:color w:val="000000"/>
          <w:sz w:val="22"/>
          <w:szCs w:val="22"/>
          <w:vertAlign w:val="superscript"/>
          <w:lang w:val="sk-SK"/>
        </w:rPr>
        <w:sym w:font="Symbol" w:char="F02A"/>
      </w:r>
      <w:r w:rsidRPr="00B4462C">
        <w:rPr>
          <w:color w:val="000000"/>
          <w:sz w:val="22"/>
          <w:szCs w:val="22"/>
          <w:lang w:val="sk-SK"/>
        </w:rPr>
        <w:tab/>
        <w:t>S</w:t>
      </w:r>
      <w:r w:rsidRPr="00B4462C">
        <w:rPr>
          <w:color w:val="000000"/>
          <w:sz w:val="22"/>
          <w:szCs w:val="22"/>
          <w:lang w:val="sk-SK"/>
        </w:rPr>
        <w:sym w:font="Symbol" w:char="F0A3"/>
      </w:r>
      <w:r w:rsidRPr="00B4462C">
        <w:rPr>
          <w:color w:val="000000"/>
          <w:sz w:val="22"/>
          <w:szCs w:val="22"/>
          <w:lang w:val="sk-SK"/>
        </w:rPr>
        <w:t>0,5 mg/l</w:t>
      </w:r>
      <w:r w:rsidRPr="00B4462C">
        <w:rPr>
          <w:color w:val="000000"/>
          <w:sz w:val="22"/>
          <w:szCs w:val="22"/>
          <w:lang w:val="sk-SK"/>
        </w:rPr>
        <w:tab/>
      </w:r>
      <w:r w:rsidRPr="00B4462C">
        <w:rPr>
          <w:color w:val="000000"/>
          <w:sz w:val="22"/>
          <w:szCs w:val="22"/>
          <w:lang w:val="sk-SK"/>
        </w:rPr>
        <w:tab/>
        <w:t>R&gt;1 mg/l</w:t>
      </w:r>
    </w:p>
    <w:p w14:paraId="0415C5D1" w14:textId="77777777" w:rsidR="00CF3670" w:rsidRPr="00B4462C" w:rsidRDefault="00CF3670" w:rsidP="00FA2E36">
      <w:pPr>
        <w:rPr>
          <w:color w:val="000000"/>
          <w:sz w:val="22"/>
          <w:szCs w:val="22"/>
          <w:lang w:val="sk-SK"/>
        </w:rPr>
      </w:pPr>
    </w:p>
    <w:p w14:paraId="52529248" w14:textId="77777777" w:rsidR="00CF3670" w:rsidRPr="00B4462C" w:rsidRDefault="00CF3670" w:rsidP="00FA2E36">
      <w:pPr>
        <w:rPr>
          <w:color w:val="000000"/>
          <w:sz w:val="22"/>
          <w:szCs w:val="22"/>
          <w:lang w:val="sk-SK"/>
        </w:rPr>
      </w:pPr>
      <w:r w:rsidRPr="00B4462C">
        <w:rPr>
          <w:i/>
          <w:color w:val="000000"/>
          <w:sz w:val="22"/>
          <w:szCs w:val="22"/>
          <w:vertAlign w:val="superscript"/>
          <w:lang w:val="sk-SK"/>
        </w:rPr>
        <w:t>1</w:t>
      </w:r>
      <w:r w:rsidRPr="00B4462C">
        <w:rPr>
          <w:i/>
          <w:color w:val="000000"/>
          <w:sz w:val="22"/>
          <w:szCs w:val="22"/>
          <w:lang w:val="sk-SK"/>
        </w:rPr>
        <w:t xml:space="preserve"> Staphylococcus spp. – </w:t>
      </w:r>
      <w:r w:rsidRPr="00B4462C">
        <w:rPr>
          <w:color w:val="000000"/>
          <w:sz w:val="22"/>
          <w:szCs w:val="22"/>
          <w:lang w:val="sk-SK"/>
        </w:rPr>
        <w:t>hraničné hodnoty súvisia s liečbou vysokými dávkami ciprofloxacínu</w:t>
      </w:r>
    </w:p>
    <w:p w14:paraId="44C2A634" w14:textId="77777777" w:rsidR="00CF3670" w:rsidRPr="00B4462C" w:rsidRDefault="00CF3670" w:rsidP="00FA2E36">
      <w:pPr>
        <w:rPr>
          <w:color w:val="000000"/>
          <w:sz w:val="22"/>
          <w:szCs w:val="22"/>
          <w:lang w:val="sk-SK"/>
        </w:rPr>
      </w:pPr>
      <w:r w:rsidRPr="00B4462C">
        <w:rPr>
          <w:color w:val="000000"/>
          <w:sz w:val="22"/>
          <w:szCs w:val="22"/>
          <w:vertAlign w:val="superscript"/>
          <w:lang w:val="sk-SK"/>
        </w:rPr>
        <w:sym w:font="Symbol" w:char="F02A"/>
      </w:r>
      <w:r w:rsidRPr="00B4462C">
        <w:rPr>
          <w:color w:val="000000"/>
          <w:sz w:val="22"/>
          <w:szCs w:val="22"/>
          <w:lang w:val="sk-SK"/>
        </w:rPr>
        <w:t xml:space="preserve"> Hraničné hodnoty nesúvisiace s druhmi boli stanovené prevažne na základe PK/PD údajov a sú nezávislé od distribúcií MIC špecifickými druhmi. Používajú sa len pri druhoch, ktoré nemajú stanovené druhovo-špecifické hraničné hodnoty, nie pri druhoch, pre ktoré sa neodporúča zisťovanie citlivosti.</w:t>
      </w:r>
    </w:p>
    <w:p w14:paraId="7A6EEEC1" w14:textId="77777777" w:rsidR="00CF3670" w:rsidRPr="00B4462C" w:rsidRDefault="00CF3670" w:rsidP="00FA2E36">
      <w:pPr>
        <w:ind w:left="360"/>
        <w:rPr>
          <w:color w:val="000000"/>
          <w:sz w:val="22"/>
          <w:szCs w:val="22"/>
          <w:lang w:val="sk-SK"/>
        </w:rPr>
      </w:pPr>
    </w:p>
    <w:p w14:paraId="0CCA6877" w14:textId="77777777" w:rsidR="00CF3670" w:rsidRPr="00B4462C" w:rsidRDefault="00CF3670" w:rsidP="00FA2E36">
      <w:pPr>
        <w:rPr>
          <w:color w:val="000000"/>
          <w:sz w:val="22"/>
          <w:szCs w:val="22"/>
          <w:lang w:val="sk-SK"/>
        </w:rPr>
      </w:pPr>
      <w:r w:rsidRPr="00B4462C">
        <w:rPr>
          <w:color w:val="000000"/>
          <w:sz w:val="22"/>
          <w:szCs w:val="22"/>
          <w:lang w:val="sk-SK"/>
        </w:rPr>
        <w:t xml:space="preserve">Prevalencia získanej rezistencie sa môže u určitých druhov geograficky a s časom meniť. Preto je dôležité získať informácie o lokálnej rezistencii vzorky, obzvlášť ak sa lieči viacero závažných infekcií. Ak je lokálna prevalencia rezistencie, pokiaľ ide o prínos liečby aspoň pri niektorých typoch infekcií otázna, je nutné poradiť sa s odborníkom. </w:t>
      </w:r>
    </w:p>
    <w:p w14:paraId="4C164491" w14:textId="77777777" w:rsidR="00CF3670" w:rsidRPr="00B4462C" w:rsidRDefault="00CF3670" w:rsidP="00FA2E36">
      <w:pPr>
        <w:rPr>
          <w:color w:val="000000"/>
          <w:sz w:val="22"/>
          <w:szCs w:val="22"/>
          <w:lang w:val="sk-SK"/>
        </w:rPr>
      </w:pPr>
    </w:p>
    <w:p w14:paraId="0D515661" w14:textId="77777777" w:rsidR="00CF3670" w:rsidRPr="00B4462C" w:rsidRDefault="00CF3670" w:rsidP="00FA2E36">
      <w:pPr>
        <w:rPr>
          <w:i/>
          <w:color w:val="000000"/>
          <w:sz w:val="22"/>
          <w:szCs w:val="22"/>
          <w:lang w:val="sk-SK"/>
        </w:rPr>
      </w:pPr>
      <w:r w:rsidRPr="00B4462C">
        <w:rPr>
          <w:color w:val="000000"/>
          <w:sz w:val="22"/>
          <w:szCs w:val="22"/>
          <w:lang w:val="sk-SK"/>
        </w:rPr>
        <w:t xml:space="preserve">Skupiny zodpovedajúcich druhov podľa citlivosti na ciprofloxacín (pre kmene </w:t>
      </w:r>
      <w:r w:rsidRPr="00B4462C">
        <w:rPr>
          <w:i/>
          <w:color w:val="000000"/>
          <w:sz w:val="22"/>
          <w:szCs w:val="22"/>
          <w:lang w:val="sk-SK"/>
        </w:rPr>
        <w:t>Streptococcus, pozri časť 4.4)</w:t>
      </w:r>
    </w:p>
    <w:p w14:paraId="046B89B4" w14:textId="77777777" w:rsidR="00CF3670" w:rsidRPr="00B4462C" w:rsidRDefault="00CF3670" w:rsidP="00B65191">
      <w:pPr>
        <w:widowControl w:val="0"/>
        <w:rPr>
          <w:sz w:val="22"/>
          <w:szCs w:val="22"/>
          <w:lang w:val="sk-SK"/>
        </w:rPr>
      </w:pPr>
    </w:p>
    <w:p w14:paraId="2C8E764A" w14:textId="77777777" w:rsidR="00CF3670" w:rsidRPr="00B4462C" w:rsidRDefault="00CF3670" w:rsidP="00FA2E36">
      <w:pPr>
        <w:rPr>
          <w:b/>
          <w:caps/>
          <w:smallCaps/>
          <w:color w:val="000000"/>
          <w:sz w:val="22"/>
          <w:szCs w:val="22"/>
          <w:lang w:val="sk-SK"/>
        </w:rPr>
      </w:pPr>
      <w:r w:rsidRPr="00B4462C">
        <w:rPr>
          <w:b/>
          <w:caps/>
          <w:color w:val="000000"/>
          <w:sz w:val="22"/>
          <w:szCs w:val="22"/>
          <w:lang w:val="sk-SK"/>
        </w:rPr>
        <w:t>Citlivé mikroorganizmy</w:t>
      </w:r>
    </w:p>
    <w:p w14:paraId="705CBBB0" w14:textId="77777777" w:rsidR="00CF3670" w:rsidRPr="00B4462C" w:rsidRDefault="00CF3670" w:rsidP="00FA2E36">
      <w:pPr>
        <w:rPr>
          <w:color w:val="000000"/>
          <w:sz w:val="22"/>
          <w:szCs w:val="22"/>
          <w:lang w:val="sk-SK"/>
        </w:rPr>
      </w:pPr>
    </w:p>
    <w:p w14:paraId="309941BB" w14:textId="77777777" w:rsidR="00CF3670" w:rsidRPr="00B4462C" w:rsidRDefault="00CF3670" w:rsidP="00FA2E36">
      <w:pPr>
        <w:rPr>
          <w:b/>
          <w:color w:val="000000"/>
          <w:sz w:val="22"/>
          <w:szCs w:val="22"/>
          <w:lang w:val="sk-SK"/>
        </w:rPr>
      </w:pPr>
      <w:r w:rsidRPr="00B4462C">
        <w:rPr>
          <w:b/>
          <w:color w:val="000000"/>
          <w:sz w:val="22"/>
          <w:szCs w:val="22"/>
          <w:lang w:val="sk-SK"/>
        </w:rPr>
        <w:t>Aeróbne grampozitívne mikroorganizmy</w:t>
      </w:r>
    </w:p>
    <w:p w14:paraId="027B60E7" w14:textId="77777777" w:rsidR="00CF3670" w:rsidRPr="00B4462C" w:rsidRDefault="00CF3670" w:rsidP="00FA2E36">
      <w:pPr>
        <w:rPr>
          <w:color w:val="000000"/>
          <w:sz w:val="22"/>
          <w:szCs w:val="22"/>
          <w:lang w:val="sk-SK"/>
        </w:rPr>
      </w:pPr>
      <w:r w:rsidRPr="00B4462C">
        <w:rPr>
          <w:i/>
          <w:color w:val="000000"/>
          <w:sz w:val="22"/>
          <w:szCs w:val="22"/>
          <w:lang w:val="sk-SK"/>
        </w:rPr>
        <w:t xml:space="preserve">Bacillus anthracis </w:t>
      </w:r>
      <w:r w:rsidRPr="00B4462C">
        <w:rPr>
          <w:color w:val="000000"/>
          <w:sz w:val="22"/>
          <w:szCs w:val="22"/>
          <w:lang w:val="sk-SK"/>
        </w:rPr>
        <w:t>(1)</w:t>
      </w:r>
    </w:p>
    <w:p w14:paraId="524139B6" w14:textId="77777777" w:rsidR="00CF3670" w:rsidRPr="00B4462C" w:rsidRDefault="00CF3670" w:rsidP="00FA2E36">
      <w:pPr>
        <w:rPr>
          <w:b/>
          <w:color w:val="000000"/>
          <w:sz w:val="22"/>
          <w:szCs w:val="22"/>
          <w:lang w:val="sk-SK"/>
        </w:rPr>
      </w:pPr>
    </w:p>
    <w:p w14:paraId="2B4FD303" w14:textId="77777777" w:rsidR="00CF3670" w:rsidRPr="00B4462C" w:rsidRDefault="00CF3670" w:rsidP="00FA2E36">
      <w:pPr>
        <w:rPr>
          <w:b/>
          <w:color w:val="000000"/>
          <w:sz w:val="22"/>
          <w:szCs w:val="22"/>
          <w:lang w:val="sk-SK"/>
        </w:rPr>
      </w:pPr>
      <w:r w:rsidRPr="00B4462C">
        <w:rPr>
          <w:b/>
          <w:color w:val="000000"/>
          <w:sz w:val="22"/>
          <w:szCs w:val="22"/>
          <w:lang w:val="sk-SK"/>
        </w:rPr>
        <w:t>Aeróbne gramnegatívne mikroorganizmy</w:t>
      </w:r>
    </w:p>
    <w:p w14:paraId="305EE70B" w14:textId="77777777" w:rsidR="00CF3670" w:rsidRPr="00B4462C" w:rsidRDefault="00CF3670" w:rsidP="00FA2E36">
      <w:pPr>
        <w:rPr>
          <w:color w:val="000000"/>
          <w:sz w:val="22"/>
          <w:szCs w:val="22"/>
          <w:lang w:val="sk-SK"/>
        </w:rPr>
      </w:pPr>
      <w:r w:rsidRPr="00B4462C">
        <w:rPr>
          <w:i/>
          <w:color w:val="000000"/>
          <w:sz w:val="22"/>
          <w:szCs w:val="22"/>
          <w:lang w:val="sk-SK"/>
        </w:rPr>
        <w:t>Aeromonas spp.</w:t>
      </w:r>
      <w:r w:rsidRPr="00B4462C">
        <w:rPr>
          <w:color w:val="000000"/>
          <w:sz w:val="22"/>
          <w:szCs w:val="22"/>
          <w:lang w:val="sk-SK"/>
        </w:rPr>
        <w:t xml:space="preserve"> </w:t>
      </w:r>
    </w:p>
    <w:p w14:paraId="43D25960" w14:textId="77777777" w:rsidR="00CF3670" w:rsidRPr="00B4462C" w:rsidRDefault="00CF3670" w:rsidP="00FA2E36">
      <w:pPr>
        <w:rPr>
          <w:i/>
          <w:color w:val="000000"/>
          <w:sz w:val="22"/>
          <w:szCs w:val="22"/>
          <w:lang w:val="sk-SK"/>
        </w:rPr>
      </w:pPr>
      <w:r w:rsidRPr="00B4462C">
        <w:rPr>
          <w:i/>
          <w:color w:val="000000"/>
          <w:sz w:val="22"/>
          <w:szCs w:val="22"/>
          <w:lang w:val="sk-SK"/>
        </w:rPr>
        <w:t>Brucella spp</w:t>
      </w:r>
      <w:r w:rsidRPr="00B4462C">
        <w:rPr>
          <w:color w:val="000000"/>
          <w:sz w:val="22"/>
          <w:szCs w:val="22"/>
          <w:lang w:val="sk-SK"/>
        </w:rPr>
        <w:t>.</w:t>
      </w:r>
    </w:p>
    <w:p w14:paraId="77BBA38B" w14:textId="77777777" w:rsidR="00CF3670" w:rsidRPr="00B4462C" w:rsidRDefault="00CF3670" w:rsidP="00FA2E36">
      <w:pPr>
        <w:rPr>
          <w:color w:val="000000"/>
          <w:sz w:val="22"/>
          <w:szCs w:val="22"/>
          <w:lang w:val="sk-SK"/>
        </w:rPr>
      </w:pPr>
      <w:r w:rsidRPr="00B4462C">
        <w:rPr>
          <w:i/>
          <w:color w:val="000000"/>
          <w:sz w:val="22"/>
          <w:szCs w:val="22"/>
          <w:lang w:val="sk-SK"/>
        </w:rPr>
        <w:t>Citrobacter koseri</w:t>
      </w:r>
    </w:p>
    <w:p w14:paraId="747E0C5F" w14:textId="77777777" w:rsidR="00CF3670" w:rsidRPr="00B4462C" w:rsidRDefault="00CF3670" w:rsidP="00FA2E36">
      <w:pPr>
        <w:rPr>
          <w:i/>
          <w:color w:val="000000"/>
          <w:sz w:val="22"/>
          <w:szCs w:val="22"/>
          <w:lang w:val="sk-SK"/>
        </w:rPr>
      </w:pPr>
      <w:r w:rsidRPr="00B4462C">
        <w:rPr>
          <w:i/>
          <w:color w:val="000000"/>
          <w:sz w:val="22"/>
          <w:szCs w:val="22"/>
          <w:lang w:val="sk-SK"/>
        </w:rPr>
        <w:t>Francisella tularensis</w:t>
      </w:r>
    </w:p>
    <w:p w14:paraId="22AD828A" w14:textId="77777777" w:rsidR="00CF3670" w:rsidRPr="00B4462C" w:rsidRDefault="00CF3670" w:rsidP="00FA2E36">
      <w:pPr>
        <w:rPr>
          <w:i/>
          <w:color w:val="000000"/>
          <w:sz w:val="22"/>
          <w:szCs w:val="22"/>
          <w:lang w:val="sk-SK"/>
        </w:rPr>
      </w:pPr>
      <w:r w:rsidRPr="00B4462C">
        <w:rPr>
          <w:i/>
          <w:color w:val="000000"/>
          <w:sz w:val="22"/>
          <w:szCs w:val="22"/>
          <w:lang w:val="sk-SK"/>
        </w:rPr>
        <w:t>Haemophilus ducreyi</w:t>
      </w:r>
    </w:p>
    <w:p w14:paraId="75759C81" w14:textId="77777777" w:rsidR="00CF3670" w:rsidRPr="00B4462C" w:rsidRDefault="00CF3670" w:rsidP="00FA2E36">
      <w:pPr>
        <w:rPr>
          <w:i/>
          <w:color w:val="000000"/>
          <w:sz w:val="22"/>
          <w:szCs w:val="22"/>
          <w:lang w:val="sk-SK"/>
        </w:rPr>
      </w:pPr>
      <w:r w:rsidRPr="00B4462C">
        <w:rPr>
          <w:i/>
          <w:color w:val="000000"/>
          <w:sz w:val="22"/>
          <w:szCs w:val="22"/>
          <w:lang w:val="sk-SK"/>
        </w:rPr>
        <w:t>Haemophilus influenzae</w:t>
      </w:r>
      <w:r w:rsidRPr="00B4462C">
        <w:rPr>
          <w:color w:val="000000"/>
          <w:sz w:val="22"/>
          <w:szCs w:val="22"/>
          <w:lang w:val="sk-SK"/>
        </w:rPr>
        <w:sym w:font="Symbol" w:char="F02A"/>
      </w:r>
    </w:p>
    <w:p w14:paraId="3C01FFCB" w14:textId="77777777" w:rsidR="00CF3670" w:rsidRPr="00B4462C" w:rsidRDefault="00CF3670" w:rsidP="00FA2E36">
      <w:pPr>
        <w:rPr>
          <w:i/>
          <w:color w:val="000000"/>
          <w:sz w:val="22"/>
          <w:szCs w:val="22"/>
          <w:lang w:val="sk-SK"/>
        </w:rPr>
      </w:pPr>
      <w:r w:rsidRPr="00B4462C">
        <w:rPr>
          <w:i/>
          <w:color w:val="000000"/>
          <w:sz w:val="22"/>
          <w:szCs w:val="22"/>
          <w:lang w:val="sk-SK"/>
        </w:rPr>
        <w:t>Legionella spp.</w:t>
      </w:r>
    </w:p>
    <w:p w14:paraId="33BEDD32" w14:textId="77777777" w:rsidR="00CF3670" w:rsidRPr="00B4462C" w:rsidRDefault="00CF3670" w:rsidP="00FA2E36">
      <w:pPr>
        <w:rPr>
          <w:color w:val="000000"/>
          <w:sz w:val="22"/>
          <w:szCs w:val="22"/>
          <w:lang w:val="sk-SK"/>
        </w:rPr>
      </w:pPr>
      <w:r w:rsidRPr="00B4462C">
        <w:rPr>
          <w:i/>
          <w:color w:val="000000"/>
          <w:sz w:val="22"/>
          <w:szCs w:val="22"/>
          <w:lang w:val="sk-SK"/>
        </w:rPr>
        <w:t>Moraxella catarhalis</w:t>
      </w:r>
      <w:r w:rsidRPr="00B4462C">
        <w:rPr>
          <w:color w:val="000000"/>
          <w:sz w:val="22"/>
          <w:szCs w:val="22"/>
          <w:lang w:val="sk-SK"/>
        </w:rPr>
        <w:sym w:font="Symbol" w:char="F02A"/>
      </w:r>
    </w:p>
    <w:p w14:paraId="3C38A7D2" w14:textId="77777777" w:rsidR="00CF3670" w:rsidRPr="00B4462C" w:rsidRDefault="00CF3670" w:rsidP="00FA2E36">
      <w:pPr>
        <w:rPr>
          <w:color w:val="000000"/>
          <w:sz w:val="22"/>
          <w:szCs w:val="22"/>
          <w:lang w:val="sk-SK"/>
        </w:rPr>
      </w:pPr>
      <w:r w:rsidRPr="00B4462C">
        <w:rPr>
          <w:i/>
          <w:color w:val="000000"/>
          <w:sz w:val="22"/>
          <w:szCs w:val="22"/>
          <w:lang w:val="sk-SK"/>
        </w:rPr>
        <w:t>Neisseria meningitidis</w:t>
      </w:r>
    </w:p>
    <w:p w14:paraId="648B0944" w14:textId="77777777" w:rsidR="00CF3670" w:rsidRPr="00B4462C" w:rsidRDefault="00CF3670" w:rsidP="00FA2E36">
      <w:pPr>
        <w:rPr>
          <w:i/>
          <w:color w:val="000000"/>
          <w:sz w:val="22"/>
          <w:szCs w:val="22"/>
          <w:lang w:val="sk-SK"/>
        </w:rPr>
      </w:pPr>
      <w:r w:rsidRPr="00B4462C">
        <w:rPr>
          <w:i/>
          <w:color w:val="000000"/>
          <w:sz w:val="22"/>
          <w:szCs w:val="22"/>
          <w:lang w:val="sk-SK"/>
        </w:rPr>
        <w:t>Pasteurella spp.</w:t>
      </w:r>
    </w:p>
    <w:p w14:paraId="44EF57B6" w14:textId="77777777" w:rsidR="00CF3670" w:rsidRPr="00B4462C" w:rsidRDefault="00CF3670" w:rsidP="00FA2E36">
      <w:pPr>
        <w:rPr>
          <w:color w:val="000000"/>
          <w:sz w:val="22"/>
          <w:szCs w:val="22"/>
          <w:lang w:val="sk-SK"/>
        </w:rPr>
      </w:pPr>
      <w:r w:rsidRPr="00B4462C">
        <w:rPr>
          <w:i/>
          <w:color w:val="000000"/>
          <w:sz w:val="22"/>
          <w:szCs w:val="22"/>
          <w:lang w:val="sk-SK"/>
        </w:rPr>
        <w:t>Salmonella spp.</w:t>
      </w:r>
      <w:r w:rsidRPr="00B4462C">
        <w:rPr>
          <w:color w:val="000000"/>
          <w:sz w:val="22"/>
          <w:szCs w:val="22"/>
          <w:lang w:val="sk-SK"/>
        </w:rPr>
        <w:sym w:font="Symbol" w:char="F02A"/>
      </w:r>
    </w:p>
    <w:p w14:paraId="2D04AB13" w14:textId="77777777" w:rsidR="00CF3670" w:rsidRPr="00B4462C" w:rsidRDefault="00CF3670" w:rsidP="00FA2E36">
      <w:pPr>
        <w:rPr>
          <w:color w:val="000000"/>
          <w:sz w:val="22"/>
          <w:szCs w:val="22"/>
          <w:lang w:val="sk-SK"/>
        </w:rPr>
      </w:pPr>
      <w:r w:rsidRPr="00B4462C">
        <w:rPr>
          <w:i/>
          <w:color w:val="000000"/>
          <w:sz w:val="22"/>
          <w:szCs w:val="22"/>
          <w:lang w:val="sk-SK"/>
        </w:rPr>
        <w:t>Shigella spp.</w:t>
      </w:r>
      <w:r w:rsidRPr="00B4462C">
        <w:rPr>
          <w:color w:val="000000"/>
          <w:sz w:val="22"/>
          <w:szCs w:val="22"/>
          <w:lang w:val="sk-SK"/>
        </w:rPr>
        <w:sym w:font="Symbol" w:char="F02A"/>
      </w:r>
    </w:p>
    <w:p w14:paraId="2723B618" w14:textId="77777777" w:rsidR="00CF3670" w:rsidRPr="00B4462C" w:rsidRDefault="00CF3670" w:rsidP="00FA2E36">
      <w:pPr>
        <w:rPr>
          <w:color w:val="000000"/>
          <w:sz w:val="22"/>
          <w:szCs w:val="22"/>
          <w:lang w:val="sk-SK"/>
        </w:rPr>
      </w:pPr>
      <w:r w:rsidRPr="00B4462C">
        <w:rPr>
          <w:i/>
          <w:color w:val="000000"/>
          <w:sz w:val="22"/>
          <w:szCs w:val="22"/>
          <w:lang w:val="sk-SK"/>
        </w:rPr>
        <w:t>Vibrio spp.</w:t>
      </w:r>
    </w:p>
    <w:p w14:paraId="200D876B" w14:textId="77777777" w:rsidR="00CF3670" w:rsidRPr="00B4462C" w:rsidRDefault="00CF3670" w:rsidP="00FA2E36">
      <w:pPr>
        <w:rPr>
          <w:color w:val="000000"/>
          <w:sz w:val="22"/>
          <w:szCs w:val="22"/>
          <w:lang w:val="sk-SK"/>
        </w:rPr>
      </w:pPr>
      <w:r w:rsidRPr="00B4462C">
        <w:rPr>
          <w:i/>
          <w:color w:val="000000"/>
          <w:sz w:val="22"/>
          <w:szCs w:val="22"/>
          <w:lang w:val="sk-SK"/>
        </w:rPr>
        <w:t>Yersinia pestis</w:t>
      </w:r>
    </w:p>
    <w:p w14:paraId="4210DF66" w14:textId="77777777" w:rsidR="00CF3670" w:rsidRPr="00B4462C" w:rsidRDefault="00CF3670" w:rsidP="00FA2E36">
      <w:pPr>
        <w:rPr>
          <w:b/>
          <w:color w:val="000000"/>
          <w:sz w:val="22"/>
          <w:szCs w:val="22"/>
          <w:lang w:val="sk-SK"/>
        </w:rPr>
      </w:pPr>
      <w:r w:rsidRPr="00B4462C">
        <w:rPr>
          <w:color w:val="000000"/>
          <w:sz w:val="22"/>
          <w:szCs w:val="22"/>
          <w:lang w:val="sk-SK"/>
        </w:rPr>
        <w:br/>
      </w:r>
      <w:r w:rsidRPr="00B4462C">
        <w:rPr>
          <w:b/>
          <w:color w:val="000000"/>
          <w:sz w:val="22"/>
          <w:szCs w:val="22"/>
          <w:lang w:val="sk-SK"/>
        </w:rPr>
        <w:t>Anaeróbne mikroorganizmy</w:t>
      </w:r>
    </w:p>
    <w:p w14:paraId="1C57297E" w14:textId="77777777" w:rsidR="00CF3670" w:rsidRPr="00B4462C" w:rsidRDefault="00CF3670" w:rsidP="00FA2E36">
      <w:pPr>
        <w:rPr>
          <w:i/>
          <w:color w:val="000000"/>
          <w:sz w:val="22"/>
          <w:szCs w:val="22"/>
          <w:lang w:val="sk-SK"/>
        </w:rPr>
      </w:pPr>
      <w:r w:rsidRPr="00B4462C">
        <w:rPr>
          <w:i/>
          <w:color w:val="000000"/>
          <w:sz w:val="22"/>
          <w:szCs w:val="22"/>
          <w:lang w:val="sk-SK"/>
        </w:rPr>
        <w:t>Mobiluncus</w:t>
      </w:r>
    </w:p>
    <w:p w14:paraId="56DF8DA8" w14:textId="77777777" w:rsidR="00CF3670" w:rsidRPr="00B4462C" w:rsidRDefault="00CF3670" w:rsidP="00FA2E36">
      <w:pPr>
        <w:rPr>
          <w:color w:val="000000"/>
          <w:sz w:val="22"/>
          <w:szCs w:val="22"/>
          <w:lang w:val="sk-SK"/>
        </w:rPr>
      </w:pPr>
    </w:p>
    <w:p w14:paraId="594A396D" w14:textId="77777777" w:rsidR="00CF3670" w:rsidRPr="00B4462C" w:rsidRDefault="00CF3670" w:rsidP="00FA2E36">
      <w:pPr>
        <w:rPr>
          <w:b/>
          <w:color w:val="000000"/>
          <w:sz w:val="22"/>
          <w:szCs w:val="22"/>
          <w:lang w:val="sk-SK"/>
        </w:rPr>
      </w:pPr>
      <w:r w:rsidRPr="00B4462C">
        <w:rPr>
          <w:b/>
          <w:color w:val="000000"/>
          <w:sz w:val="22"/>
          <w:szCs w:val="22"/>
          <w:lang w:val="sk-SK"/>
        </w:rPr>
        <w:t>Iné mikroorganizmy</w:t>
      </w:r>
    </w:p>
    <w:p w14:paraId="0F89EACF" w14:textId="77777777" w:rsidR="00CF3670" w:rsidRPr="00B4462C" w:rsidRDefault="00CF3670" w:rsidP="00FA2E36">
      <w:pPr>
        <w:rPr>
          <w:i/>
          <w:color w:val="000000"/>
          <w:sz w:val="22"/>
          <w:szCs w:val="22"/>
          <w:lang w:val="sk-SK"/>
        </w:rPr>
      </w:pPr>
      <w:r w:rsidRPr="00B4462C">
        <w:rPr>
          <w:i/>
          <w:color w:val="000000"/>
          <w:sz w:val="22"/>
          <w:szCs w:val="22"/>
          <w:lang w:val="sk-SK"/>
        </w:rPr>
        <w:t xml:space="preserve">Chlamydia trachomatis </w:t>
      </w:r>
      <w:r w:rsidRPr="00B4462C">
        <w:rPr>
          <w:color w:val="000000"/>
          <w:sz w:val="22"/>
          <w:szCs w:val="22"/>
          <w:lang w:val="sk-SK"/>
        </w:rPr>
        <w:sym w:font="Symbol" w:char="F028"/>
      </w:r>
      <w:r w:rsidRPr="00B4462C">
        <w:rPr>
          <w:color w:val="000000"/>
          <w:sz w:val="22"/>
          <w:szCs w:val="22"/>
          <w:lang w:val="sk-SK"/>
        </w:rPr>
        <w:t>$)</w:t>
      </w:r>
    </w:p>
    <w:p w14:paraId="3901C35E" w14:textId="77777777" w:rsidR="00CF3670" w:rsidRPr="00B4462C" w:rsidRDefault="00CF3670" w:rsidP="00FA2E36">
      <w:pPr>
        <w:rPr>
          <w:i/>
          <w:color w:val="000000"/>
          <w:sz w:val="22"/>
          <w:szCs w:val="22"/>
          <w:lang w:val="sk-SK"/>
        </w:rPr>
      </w:pPr>
      <w:r w:rsidRPr="00B4462C">
        <w:rPr>
          <w:i/>
          <w:color w:val="000000"/>
          <w:sz w:val="22"/>
          <w:szCs w:val="22"/>
          <w:lang w:val="sk-SK"/>
        </w:rPr>
        <w:t xml:space="preserve">Chlamydia pneumoniae </w:t>
      </w:r>
      <w:r w:rsidRPr="00B4462C">
        <w:rPr>
          <w:color w:val="000000"/>
          <w:sz w:val="22"/>
          <w:szCs w:val="22"/>
          <w:lang w:val="sk-SK"/>
        </w:rPr>
        <w:sym w:font="Symbol" w:char="F028"/>
      </w:r>
      <w:r w:rsidRPr="00B4462C">
        <w:rPr>
          <w:color w:val="000000"/>
          <w:sz w:val="22"/>
          <w:szCs w:val="22"/>
          <w:lang w:val="sk-SK"/>
        </w:rPr>
        <w:t>$)</w:t>
      </w:r>
    </w:p>
    <w:p w14:paraId="13B0C185" w14:textId="77777777" w:rsidR="00CF3670" w:rsidRPr="00B4462C" w:rsidRDefault="00CF3670" w:rsidP="00FA2E36">
      <w:pPr>
        <w:rPr>
          <w:i/>
          <w:color w:val="000000"/>
          <w:sz w:val="22"/>
          <w:szCs w:val="22"/>
          <w:lang w:val="sk-SK"/>
        </w:rPr>
      </w:pPr>
      <w:r w:rsidRPr="00B4462C">
        <w:rPr>
          <w:i/>
          <w:color w:val="000000"/>
          <w:sz w:val="22"/>
          <w:szCs w:val="22"/>
          <w:lang w:val="sk-SK"/>
        </w:rPr>
        <w:t xml:space="preserve">Mycoplasma hominis </w:t>
      </w:r>
      <w:r w:rsidRPr="00B4462C">
        <w:rPr>
          <w:color w:val="000000"/>
          <w:sz w:val="22"/>
          <w:szCs w:val="22"/>
          <w:lang w:val="sk-SK"/>
        </w:rPr>
        <w:sym w:font="Symbol" w:char="F028"/>
      </w:r>
      <w:r w:rsidRPr="00B4462C">
        <w:rPr>
          <w:color w:val="000000"/>
          <w:sz w:val="22"/>
          <w:szCs w:val="22"/>
          <w:lang w:val="sk-SK"/>
        </w:rPr>
        <w:t>$)</w:t>
      </w:r>
    </w:p>
    <w:p w14:paraId="7EFCD305" w14:textId="77777777" w:rsidR="00CF3670" w:rsidRPr="00B4462C" w:rsidRDefault="00CF3670" w:rsidP="00FA2E36">
      <w:pPr>
        <w:rPr>
          <w:color w:val="000000"/>
          <w:sz w:val="22"/>
          <w:szCs w:val="22"/>
          <w:lang w:val="sk-SK"/>
        </w:rPr>
      </w:pPr>
      <w:r w:rsidRPr="00B4462C">
        <w:rPr>
          <w:i/>
          <w:color w:val="000000"/>
          <w:sz w:val="22"/>
          <w:szCs w:val="22"/>
          <w:lang w:val="sk-SK"/>
        </w:rPr>
        <w:t>Mycoplasma pneumoniae</w:t>
      </w:r>
      <w:r w:rsidRPr="00B4462C">
        <w:rPr>
          <w:color w:val="000000"/>
          <w:sz w:val="22"/>
          <w:szCs w:val="22"/>
          <w:lang w:val="sk-SK"/>
        </w:rPr>
        <w:t xml:space="preserve"> </w:t>
      </w:r>
      <w:r w:rsidRPr="00B4462C">
        <w:rPr>
          <w:color w:val="000000"/>
          <w:sz w:val="22"/>
          <w:szCs w:val="22"/>
          <w:lang w:val="sk-SK"/>
        </w:rPr>
        <w:sym w:font="Symbol" w:char="F028"/>
      </w:r>
      <w:r w:rsidRPr="00B4462C">
        <w:rPr>
          <w:color w:val="000000"/>
          <w:sz w:val="22"/>
          <w:szCs w:val="22"/>
          <w:lang w:val="sk-SK"/>
        </w:rPr>
        <w:t>$)</w:t>
      </w:r>
    </w:p>
    <w:p w14:paraId="44386080" w14:textId="77777777" w:rsidR="00CF3670" w:rsidRPr="00B4462C" w:rsidRDefault="00CF3670" w:rsidP="00FA2E36">
      <w:pPr>
        <w:rPr>
          <w:color w:val="000000"/>
          <w:sz w:val="22"/>
          <w:szCs w:val="22"/>
          <w:lang w:val="sk-SK"/>
        </w:rPr>
      </w:pPr>
    </w:p>
    <w:p w14:paraId="41DAE7BD" w14:textId="77777777" w:rsidR="00CF3670" w:rsidRPr="00B4462C" w:rsidRDefault="00CF3670" w:rsidP="00FA2E36">
      <w:pPr>
        <w:rPr>
          <w:caps/>
          <w:color w:val="000000"/>
          <w:sz w:val="22"/>
          <w:szCs w:val="22"/>
          <w:lang w:val="sk-SK"/>
        </w:rPr>
      </w:pPr>
      <w:r w:rsidRPr="00B4462C">
        <w:rPr>
          <w:b/>
          <w:caps/>
          <w:color w:val="000000"/>
          <w:sz w:val="22"/>
          <w:szCs w:val="22"/>
          <w:lang w:val="sk-SK"/>
        </w:rPr>
        <w:t>Stredne citlivé mikroorganizmy</w:t>
      </w:r>
    </w:p>
    <w:p w14:paraId="05F92451" w14:textId="77777777" w:rsidR="00CF3670" w:rsidRPr="00B4462C" w:rsidRDefault="00CF3670" w:rsidP="00FA2E36">
      <w:pPr>
        <w:rPr>
          <w:color w:val="000000"/>
          <w:sz w:val="22"/>
          <w:szCs w:val="22"/>
          <w:lang w:val="sk-SK"/>
        </w:rPr>
      </w:pPr>
    </w:p>
    <w:p w14:paraId="41F2E50F" w14:textId="77777777" w:rsidR="00CF3670" w:rsidRPr="00B4462C" w:rsidRDefault="00CF3670" w:rsidP="00FA2E36">
      <w:pPr>
        <w:rPr>
          <w:b/>
          <w:color w:val="000000"/>
          <w:sz w:val="22"/>
          <w:szCs w:val="22"/>
          <w:lang w:val="sk-SK"/>
        </w:rPr>
      </w:pPr>
      <w:r w:rsidRPr="00B4462C">
        <w:rPr>
          <w:b/>
          <w:color w:val="000000"/>
          <w:sz w:val="22"/>
          <w:szCs w:val="22"/>
          <w:lang w:val="sk-SK"/>
        </w:rPr>
        <w:t>Aeróbne grampozitívne mikroorganizmy</w:t>
      </w:r>
    </w:p>
    <w:p w14:paraId="1E4A3BAE" w14:textId="77777777" w:rsidR="00CF3670" w:rsidRPr="00B4462C" w:rsidRDefault="00CF3670" w:rsidP="00FA2E36">
      <w:pPr>
        <w:rPr>
          <w:color w:val="000000"/>
          <w:sz w:val="22"/>
          <w:szCs w:val="22"/>
          <w:lang w:val="sk-SK"/>
        </w:rPr>
      </w:pPr>
      <w:r w:rsidRPr="00B4462C">
        <w:rPr>
          <w:i/>
          <w:color w:val="000000"/>
          <w:sz w:val="22"/>
          <w:szCs w:val="22"/>
          <w:lang w:val="sk-SK"/>
        </w:rPr>
        <w:t>Enterococcus faecalis</w:t>
      </w:r>
      <w:r w:rsidRPr="00B4462C">
        <w:rPr>
          <w:color w:val="000000"/>
          <w:sz w:val="22"/>
          <w:szCs w:val="22"/>
          <w:lang w:val="sk-SK"/>
        </w:rPr>
        <w:t xml:space="preserve"> </w:t>
      </w:r>
      <w:r w:rsidRPr="00B4462C">
        <w:rPr>
          <w:color w:val="000000"/>
          <w:sz w:val="22"/>
          <w:szCs w:val="22"/>
          <w:lang w:val="sk-SK"/>
        </w:rPr>
        <w:sym w:font="Symbol" w:char="F028"/>
      </w:r>
      <w:r w:rsidRPr="00B4462C">
        <w:rPr>
          <w:color w:val="000000"/>
          <w:sz w:val="22"/>
          <w:szCs w:val="22"/>
          <w:lang w:val="sk-SK"/>
        </w:rPr>
        <w:t>$)</w:t>
      </w:r>
    </w:p>
    <w:p w14:paraId="20E043C7" w14:textId="77777777" w:rsidR="00CF3670" w:rsidRPr="00B4462C" w:rsidRDefault="00CF3670" w:rsidP="00FA2E36">
      <w:pPr>
        <w:rPr>
          <w:color w:val="000000"/>
          <w:sz w:val="22"/>
          <w:szCs w:val="22"/>
          <w:lang w:val="sk-SK"/>
        </w:rPr>
      </w:pPr>
      <w:r w:rsidRPr="00B4462C">
        <w:rPr>
          <w:i/>
          <w:color w:val="000000"/>
          <w:sz w:val="22"/>
          <w:szCs w:val="22"/>
          <w:lang w:val="sk-SK"/>
        </w:rPr>
        <w:t>Staphylococcus spp.</w:t>
      </w:r>
      <w:r w:rsidRPr="00B4462C">
        <w:rPr>
          <w:color w:val="000000"/>
          <w:sz w:val="22"/>
          <w:szCs w:val="22"/>
          <w:lang w:val="sk-SK"/>
        </w:rPr>
        <w:sym w:font="Symbol" w:char="F02A"/>
      </w:r>
      <w:r w:rsidRPr="00B4462C">
        <w:rPr>
          <w:color w:val="000000"/>
          <w:sz w:val="22"/>
          <w:szCs w:val="22"/>
          <w:lang w:val="sk-SK"/>
        </w:rPr>
        <w:t>(2)</w:t>
      </w:r>
      <w:r w:rsidRPr="00B4462C">
        <w:rPr>
          <w:i/>
          <w:color w:val="000000"/>
          <w:sz w:val="22"/>
          <w:szCs w:val="22"/>
          <w:lang w:val="sk-SK"/>
        </w:rPr>
        <w:t xml:space="preserve"> </w:t>
      </w:r>
    </w:p>
    <w:p w14:paraId="5694DA4C" w14:textId="77777777" w:rsidR="00CF3670" w:rsidRPr="00B4462C" w:rsidRDefault="00CF3670" w:rsidP="00FA2E36">
      <w:pPr>
        <w:rPr>
          <w:color w:val="000000"/>
          <w:sz w:val="22"/>
          <w:szCs w:val="22"/>
          <w:lang w:val="sk-SK"/>
        </w:rPr>
      </w:pPr>
    </w:p>
    <w:p w14:paraId="27876782" w14:textId="77777777" w:rsidR="00CF3670" w:rsidRPr="00B4462C" w:rsidRDefault="00CF3670" w:rsidP="00FA2E36">
      <w:pPr>
        <w:rPr>
          <w:b/>
          <w:color w:val="000000"/>
          <w:sz w:val="22"/>
          <w:szCs w:val="22"/>
          <w:lang w:val="sk-SK"/>
        </w:rPr>
      </w:pPr>
      <w:r w:rsidRPr="00B4462C">
        <w:rPr>
          <w:b/>
          <w:color w:val="000000"/>
          <w:sz w:val="22"/>
          <w:szCs w:val="22"/>
          <w:lang w:val="sk-SK"/>
        </w:rPr>
        <w:t>Aeróbne gramnegatívne mikroorganizmy</w:t>
      </w:r>
    </w:p>
    <w:p w14:paraId="109AAE29" w14:textId="77777777" w:rsidR="00CF3670" w:rsidRPr="00B4462C" w:rsidRDefault="00CF3670" w:rsidP="00FA2E36">
      <w:pPr>
        <w:rPr>
          <w:color w:val="000000"/>
          <w:sz w:val="22"/>
          <w:szCs w:val="22"/>
          <w:lang w:val="sk-SK"/>
        </w:rPr>
      </w:pPr>
      <w:r w:rsidRPr="00B4462C">
        <w:rPr>
          <w:i/>
          <w:color w:val="000000"/>
          <w:sz w:val="22"/>
          <w:szCs w:val="22"/>
          <w:lang w:val="sk-SK"/>
        </w:rPr>
        <w:t xml:space="preserve">Acinetobacter baumannii </w:t>
      </w:r>
      <w:r w:rsidRPr="00B4462C">
        <w:rPr>
          <w:color w:val="000000"/>
          <w:sz w:val="22"/>
          <w:szCs w:val="22"/>
          <w:lang w:val="sk-SK"/>
        </w:rPr>
        <w:t>+</w:t>
      </w:r>
    </w:p>
    <w:p w14:paraId="19181CC2" w14:textId="77777777" w:rsidR="00CF3670" w:rsidRPr="00B4462C" w:rsidRDefault="00CF3670" w:rsidP="00FA2E36">
      <w:pPr>
        <w:rPr>
          <w:i/>
          <w:color w:val="000000"/>
          <w:sz w:val="22"/>
          <w:szCs w:val="22"/>
          <w:lang w:val="sk-SK"/>
        </w:rPr>
      </w:pPr>
      <w:r w:rsidRPr="00B4462C">
        <w:rPr>
          <w:i/>
          <w:color w:val="000000"/>
          <w:sz w:val="22"/>
          <w:szCs w:val="22"/>
          <w:lang w:val="sk-SK"/>
        </w:rPr>
        <w:t xml:space="preserve">Burkholderia cepacia </w:t>
      </w:r>
      <w:r w:rsidRPr="00B4462C">
        <w:rPr>
          <w:color w:val="000000"/>
          <w:sz w:val="22"/>
          <w:szCs w:val="22"/>
          <w:lang w:val="sk-SK"/>
        </w:rPr>
        <w:t>+</w:t>
      </w:r>
      <w:r w:rsidRPr="00B4462C">
        <w:rPr>
          <w:color w:val="000000"/>
          <w:sz w:val="22"/>
          <w:szCs w:val="22"/>
          <w:lang w:val="sk-SK"/>
        </w:rPr>
        <w:sym w:font="Symbol" w:char="F02A"/>
      </w:r>
    </w:p>
    <w:p w14:paraId="4D140B5A" w14:textId="77777777" w:rsidR="00CF3670" w:rsidRPr="00B4462C" w:rsidRDefault="00CF3670" w:rsidP="00FA2E36">
      <w:pPr>
        <w:rPr>
          <w:i/>
          <w:color w:val="000000"/>
          <w:sz w:val="22"/>
          <w:szCs w:val="22"/>
          <w:lang w:val="sk-SK"/>
        </w:rPr>
      </w:pPr>
      <w:r w:rsidRPr="00B4462C">
        <w:rPr>
          <w:i/>
          <w:color w:val="000000"/>
          <w:sz w:val="22"/>
          <w:szCs w:val="22"/>
          <w:lang w:val="sk-SK"/>
        </w:rPr>
        <w:t xml:space="preserve">Campylobacter spp. </w:t>
      </w:r>
      <w:r w:rsidRPr="00B4462C">
        <w:rPr>
          <w:color w:val="000000"/>
          <w:sz w:val="22"/>
          <w:szCs w:val="22"/>
          <w:lang w:val="sk-SK"/>
        </w:rPr>
        <w:t>+</w:t>
      </w:r>
      <w:r w:rsidRPr="00B4462C">
        <w:rPr>
          <w:color w:val="000000"/>
          <w:sz w:val="22"/>
          <w:szCs w:val="22"/>
          <w:lang w:val="sk-SK"/>
        </w:rPr>
        <w:sym w:font="Symbol" w:char="F02A"/>
      </w:r>
    </w:p>
    <w:p w14:paraId="15046379" w14:textId="77777777" w:rsidR="00CF3670" w:rsidRPr="00B4462C" w:rsidRDefault="00CF3670" w:rsidP="00FA2E36">
      <w:pPr>
        <w:rPr>
          <w:i/>
          <w:color w:val="000000"/>
          <w:sz w:val="22"/>
          <w:szCs w:val="22"/>
          <w:lang w:val="sk-SK"/>
        </w:rPr>
      </w:pPr>
      <w:r w:rsidRPr="00B4462C">
        <w:rPr>
          <w:i/>
          <w:color w:val="000000"/>
          <w:sz w:val="22"/>
          <w:szCs w:val="22"/>
          <w:lang w:val="sk-SK"/>
        </w:rPr>
        <w:t xml:space="preserve">Citrobacter freundii </w:t>
      </w:r>
      <w:r w:rsidRPr="00B4462C">
        <w:rPr>
          <w:color w:val="000000"/>
          <w:sz w:val="22"/>
          <w:szCs w:val="22"/>
          <w:lang w:val="sk-SK"/>
        </w:rPr>
        <w:sym w:font="Symbol" w:char="F02A"/>
      </w:r>
    </w:p>
    <w:p w14:paraId="6468E263" w14:textId="77777777" w:rsidR="00CF3670" w:rsidRPr="00B4462C" w:rsidRDefault="00CF3670" w:rsidP="00FA2E36">
      <w:pPr>
        <w:rPr>
          <w:i/>
          <w:color w:val="000000"/>
          <w:sz w:val="22"/>
          <w:szCs w:val="22"/>
          <w:lang w:val="sk-SK"/>
        </w:rPr>
      </w:pPr>
      <w:r w:rsidRPr="00B4462C">
        <w:rPr>
          <w:i/>
          <w:color w:val="000000"/>
          <w:sz w:val="22"/>
          <w:szCs w:val="22"/>
          <w:lang w:val="sk-SK"/>
        </w:rPr>
        <w:t>Enterobacter aerogenes</w:t>
      </w:r>
    </w:p>
    <w:p w14:paraId="26C1CA1B" w14:textId="77777777" w:rsidR="00CF3670" w:rsidRPr="00B4462C" w:rsidRDefault="00CF3670" w:rsidP="00FA2E36">
      <w:pPr>
        <w:rPr>
          <w:i/>
          <w:color w:val="000000"/>
          <w:sz w:val="22"/>
          <w:szCs w:val="22"/>
          <w:lang w:val="sk-SK"/>
        </w:rPr>
      </w:pPr>
      <w:r w:rsidRPr="00B4462C">
        <w:rPr>
          <w:i/>
          <w:color w:val="000000"/>
          <w:sz w:val="22"/>
          <w:szCs w:val="22"/>
          <w:lang w:val="sk-SK"/>
        </w:rPr>
        <w:t xml:space="preserve">Enterobacter cloacae </w:t>
      </w:r>
      <w:r w:rsidRPr="00B4462C">
        <w:rPr>
          <w:color w:val="000000"/>
          <w:sz w:val="22"/>
          <w:szCs w:val="22"/>
          <w:lang w:val="sk-SK"/>
        </w:rPr>
        <w:sym w:font="Symbol" w:char="F02A"/>
      </w:r>
    </w:p>
    <w:p w14:paraId="737334FD" w14:textId="77777777" w:rsidR="00CF3670" w:rsidRPr="00B4462C" w:rsidRDefault="00CF3670" w:rsidP="00FA2E36">
      <w:pPr>
        <w:rPr>
          <w:i/>
          <w:color w:val="000000"/>
          <w:sz w:val="22"/>
          <w:szCs w:val="22"/>
          <w:lang w:val="sk-SK"/>
        </w:rPr>
      </w:pPr>
      <w:r w:rsidRPr="00B4462C">
        <w:rPr>
          <w:i/>
          <w:color w:val="000000"/>
          <w:sz w:val="22"/>
          <w:szCs w:val="22"/>
          <w:lang w:val="sk-SK"/>
        </w:rPr>
        <w:t xml:space="preserve">Escherichia coli </w:t>
      </w:r>
      <w:r w:rsidRPr="00B4462C">
        <w:rPr>
          <w:color w:val="000000"/>
          <w:sz w:val="22"/>
          <w:szCs w:val="22"/>
          <w:lang w:val="sk-SK"/>
        </w:rPr>
        <w:sym w:font="Symbol" w:char="F02A"/>
      </w:r>
    </w:p>
    <w:p w14:paraId="25C4BD2E" w14:textId="77777777" w:rsidR="00CF3670" w:rsidRPr="00B4462C" w:rsidRDefault="00CF3670" w:rsidP="00FA2E36">
      <w:pPr>
        <w:rPr>
          <w:i/>
          <w:color w:val="000000"/>
          <w:sz w:val="22"/>
          <w:szCs w:val="22"/>
          <w:lang w:val="sk-SK"/>
        </w:rPr>
      </w:pPr>
      <w:r w:rsidRPr="00B4462C">
        <w:rPr>
          <w:i/>
          <w:color w:val="000000"/>
          <w:sz w:val="22"/>
          <w:szCs w:val="22"/>
          <w:lang w:val="sk-SK"/>
        </w:rPr>
        <w:t>Klebsiella oxytoca</w:t>
      </w:r>
    </w:p>
    <w:p w14:paraId="079A5D83" w14:textId="77777777" w:rsidR="00CF3670" w:rsidRPr="00B4462C" w:rsidRDefault="00CF3670" w:rsidP="00FA2E36">
      <w:pPr>
        <w:rPr>
          <w:i/>
          <w:color w:val="000000"/>
          <w:sz w:val="22"/>
          <w:szCs w:val="22"/>
          <w:lang w:val="sk-SK"/>
        </w:rPr>
      </w:pPr>
      <w:r w:rsidRPr="00B4462C">
        <w:rPr>
          <w:i/>
          <w:color w:val="000000"/>
          <w:sz w:val="22"/>
          <w:szCs w:val="22"/>
          <w:lang w:val="sk-SK"/>
        </w:rPr>
        <w:t xml:space="preserve">Klebsiella pneumoniae </w:t>
      </w:r>
      <w:r w:rsidRPr="00B4462C">
        <w:rPr>
          <w:color w:val="000000"/>
          <w:sz w:val="22"/>
          <w:szCs w:val="22"/>
          <w:lang w:val="sk-SK"/>
        </w:rPr>
        <w:sym w:font="Symbol" w:char="F02A"/>
      </w:r>
    </w:p>
    <w:p w14:paraId="48022F39" w14:textId="77777777" w:rsidR="00CF3670" w:rsidRPr="00B4462C" w:rsidRDefault="00CF3670" w:rsidP="00FA2E36">
      <w:pPr>
        <w:rPr>
          <w:i/>
          <w:color w:val="000000"/>
          <w:sz w:val="22"/>
          <w:szCs w:val="22"/>
          <w:lang w:val="sk-SK"/>
        </w:rPr>
      </w:pPr>
      <w:r w:rsidRPr="00B4462C">
        <w:rPr>
          <w:i/>
          <w:color w:val="000000"/>
          <w:sz w:val="22"/>
          <w:szCs w:val="22"/>
          <w:lang w:val="sk-SK"/>
        </w:rPr>
        <w:t xml:space="preserve">Morganella morganii </w:t>
      </w:r>
      <w:r w:rsidRPr="00B4462C">
        <w:rPr>
          <w:color w:val="000000"/>
          <w:sz w:val="22"/>
          <w:szCs w:val="22"/>
          <w:lang w:val="sk-SK"/>
        </w:rPr>
        <w:sym w:font="Symbol" w:char="F02A"/>
      </w:r>
    </w:p>
    <w:p w14:paraId="16DA863C" w14:textId="77777777" w:rsidR="00CF3670" w:rsidRPr="00B4462C" w:rsidRDefault="00CF3670" w:rsidP="00FA2E36">
      <w:pPr>
        <w:rPr>
          <w:i/>
          <w:color w:val="000000"/>
          <w:sz w:val="22"/>
          <w:szCs w:val="22"/>
          <w:lang w:val="sk-SK"/>
        </w:rPr>
      </w:pPr>
      <w:r w:rsidRPr="00B4462C">
        <w:rPr>
          <w:i/>
          <w:color w:val="000000"/>
          <w:sz w:val="22"/>
          <w:szCs w:val="22"/>
          <w:lang w:val="sk-SK"/>
        </w:rPr>
        <w:t xml:space="preserve">Neisseria gonorrhoeae </w:t>
      </w:r>
      <w:r w:rsidRPr="00B4462C">
        <w:rPr>
          <w:color w:val="000000"/>
          <w:sz w:val="22"/>
          <w:szCs w:val="22"/>
          <w:lang w:val="sk-SK"/>
        </w:rPr>
        <w:sym w:font="Symbol" w:char="F02A"/>
      </w:r>
    </w:p>
    <w:p w14:paraId="585C6E2F" w14:textId="77777777" w:rsidR="00CF3670" w:rsidRPr="00B4462C" w:rsidRDefault="00CF3670" w:rsidP="00FA2E36">
      <w:pPr>
        <w:rPr>
          <w:i/>
          <w:color w:val="000000"/>
          <w:sz w:val="22"/>
          <w:szCs w:val="22"/>
          <w:lang w:val="sk-SK"/>
        </w:rPr>
      </w:pPr>
      <w:r w:rsidRPr="00B4462C">
        <w:rPr>
          <w:i/>
          <w:color w:val="000000"/>
          <w:sz w:val="22"/>
          <w:szCs w:val="22"/>
          <w:lang w:val="sk-SK"/>
        </w:rPr>
        <w:t xml:space="preserve">Proteus mirabilis </w:t>
      </w:r>
      <w:r w:rsidRPr="00B4462C">
        <w:rPr>
          <w:color w:val="000000"/>
          <w:sz w:val="22"/>
          <w:szCs w:val="22"/>
          <w:lang w:val="sk-SK"/>
        </w:rPr>
        <w:sym w:font="Symbol" w:char="F02A"/>
      </w:r>
    </w:p>
    <w:p w14:paraId="6CFBD85D" w14:textId="77777777" w:rsidR="00CF3670" w:rsidRPr="00B4462C" w:rsidRDefault="00CF3670" w:rsidP="00FA2E36">
      <w:pPr>
        <w:rPr>
          <w:i/>
          <w:color w:val="000000"/>
          <w:sz w:val="22"/>
          <w:szCs w:val="22"/>
          <w:lang w:val="sk-SK"/>
        </w:rPr>
      </w:pPr>
      <w:r w:rsidRPr="00B4462C">
        <w:rPr>
          <w:i/>
          <w:color w:val="000000"/>
          <w:sz w:val="22"/>
          <w:szCs w:val="22"/>
          <w:lang w:val="sk-SK"/>
        </w:rPr>
        <w:t xml:space="preserve">Proteus vulgaris </w:t>
      </w:r>
      <w:r w:rsidRPr="00B4462C">
        <w:rPr>
          <w:color w:val="000000"/>
          <w:sz w:val="22"/>
          <w:szCs w:val="22"/>
          <w:lang w:val="sk-SK"/>
        </w:rPr>
        <w:sym w:font="Symbol" w:char="F02A"/>
      </w:r>
    </w:p>
    <w:p w14:paraId="14A85914" w14:textId="77777777" w:rsidR="00CF3670" w:rsidRPr="00B4462C" w:rsidRDefault="00CF3670" w:rsidP="00FA2E36">
      <w:pPr>
        <w:rPr>
          <w:i/>
          <w:color w:val="000000"/>
          <w:sz w:val="22"/>
          <w:szCs w:val="22"/>
          <w:lang w:val="sk-SK"/>
        </w:rPr>
      </w:pPr>
      <w:r w:rsidRPr="00B4462C">
        <w:rPr>
          <w:i/>
          <w:color w:val="000000"/>
          <w:sz w:val="22"/>
          <w:szCs w:val="22"/>
          <w:lang w:val="sk-SK"/>
        </w:rPr>
        <w:t>Providencia spp.</w:t>
      </w:r>
    </w:p>
    <w:p w14:paraId="196E2052" w14:textId="77777777" w:rsidR="00CF3670" w:rsidRPr="00B4462C" w:rsidRDefault="00CF3670" w:rsidP="00FA2E36">
      <w:pPr>
        <w:rPr>
          <w:i/>
          <w:color w:val="000000"/>
          <w:sz w:val="22"/>
          <w:szCs w:val="22"/>
          <w:lang w:val="sk-SK"/>
        </w:rPr>
      </w:pPr>
      <w:r w:rsidRPr="00B4462C">
        <w:rPr>
          <w:i/>
          <w:color w:val="000000"/>
          <w:sz w:val="22"/>
          <w:szCs w:val="22"/>
          <w:lang w:val="sk-SK"/>
        </w:rPr>
        <w:t xml:space="preserve">Pseudomonas aeruginosa </w:t>
      </w:r>
      <w:r w:rsidRPr="00B4462C">
        <w:rPr>
          <w:color w:val="000000"/>
          <w:sz w:val="22"/>
          <w:szCs w:val="22"/>
          <w:lang w:val="sk-SK"/>
        </w:rPr>
        <w:sym w:font="Symbol" w:char="F02A"/>
      </w:r>
    </w:p>
    <w:p w14:paraId="30DAAB47" w14:textId="77777777" w:rsidR="00CF3670" w:rsidRPr="00B4462C" w:rsidRDefault="00CF3670" w:rsidP="00FA2E36">
      <w:pPr>
        <w:rPr>
          <w:i/>
          <w:color w:val="000000"/>
          <w:sz w:val="22"/>
          <w:szCs w:val="22"/>
          <w:lang w:val="sk-SK"/>
        </w:rPr>
      </w:pPr>
      <w:r w:rsidRPr="00B4462C">
        <w:rPr>
          <w:i/>
          <w:color w:val="000000"/>
          <w:sz w:val="22"/>
          <w:szCs w:val="22"/>
          <w:lang w:val="sk-SK"/>
        </w:rPr>
        <w:t>Pseudomonas fluorescens</w:t>
      </w:r>
    </w:p>
    <w:p w14:paraId="4FE99331" w14:textId="77777777" w:rsidR="00CF3670" w:rsidRPr="00B4462C" w:rsidRDefault="00CF3670" w:rsidP="00FA2E36">
      <w:pPr>
        <w:rPr>
          <w:i/>
          <w:color w:val="000000"/>
          <w:sz w:val="22"/>
          <w:szCs w:val="22"/>
          <w:lang w:val="sk-SK"/>
        </w:rPr>
      </w:pPr>
      <w:r w:rsidRPr="00B4462C">
        <w:rPr>
          <w:i/>
          <w:color w:val="000000"/>
          <w:sz w:val="22"/>
          <w:szCs w:val="22"/>
          <w:lang w:val="sk-SK"/>
        </w:rPr>
        <w:t xml:space="preserve">Serratia marcescens </w:t>
      </w:r>
      <w:r w:rsidRPr="00B4462C">
        <w:rPr>
          <w:color w:val="000000"/>
          <w:sz w:val="22"/>
          <w:szCs w:val="22"/>
          <w:lang w:val="sk-SK"/>
        </w:rPr>
        <w:sym w:font="Symbol" w:char="F02A"/>
      </w:r>
    </w:p>
    <w:p w14:paraId="4EC094D1" w14:textId="77777777" w:rsidR="00CF3670" w:rsidRPr="00B4462C" w:rsidRDefault="00CF3670" w:rsidP="00FA2E36">
      <w:pPr>
        <w:rPr>
          <w:color w:val="000000"/>
          <w:sz w:val="22"/>
          <w:szCs w:val="22"/>
          <w:lang w:val="sk-SK"/>
        </w:rPr>
      </w:pPr>
    </w:p>
    <w:p w14:paraId="4D1A03D8" w14:textId="77777777" w:rsidR="00CF3670" w:rsidRPr="00B4462C" w:rsidRDefault="00CF3670" w:rsidP="00FA2E36">
      <w:pPr>
        <w:rPr>
          <w:b/>
          <w:color w:val="000000"/>
          <w:sz w:val="22"/>
          <w:szCs w:val="22"/>
          <w:lang w:val="sk-SK"/>
        </w:rPr>
      </w:pPr>
      <w:r w:rsidRPr="00B4462C">
        <w:rPr>
          <w:b/>
          <w:color w:val="000000"/>
          <w:sz w:val="22"/>
          <w:szCs w:val="22"/>
          <w:lang w:val="sk-SK"/>
        </w:rPr>
        <w:t>Anaeróbne mikroorganizmy</w:t>
      </w:r>
    </w:p>
    <w:p w14:paraId="7A126136" w14:textId="77777777" w:rsidR="00CF3670" w:rsidRPr="00B4462C" w:rsidRDefault="00CF3670" w:rsidP="00FA2E36">
      <w:pPr>
        <w:rPr>
          <w:i/>
          <w:color w:val="000000"/>
          <w:sz w:val="22"/>
          <w:szCs w:val="22"/>
          <w:lang w:val="sk-SK"/>
        </w:rPr>
      </w:pPr>
      <w:r w:rsidRPr="00B4462C">
        <w:rPr>
          <w:i/>
          <w:color w:val="000000"/>
          <w:sz w:val="22"/>
          <w:szCs w:val="22"/>
          <w:lang w:val="sk-SK"/>
        </w:rPr>
        <w:t>Peptostreptococcus spp.</w:t>
      </w:r>
    </w:p>
    <w:p w14:paraId="2E285C77" w14:textId="77777777" w:rsidR="00CF3670" w:rsidRPr="00B4462C" w:rsidRDefault="00CF3670" w:rsidP="00FA2E36">
      <w:pPr>
        <w:rPr>
          <w:i/>
          <w:color w:val="000000"/>
          <w:sz w:val="22"/>
          <w:szCs w:val="22"/>
          <w:lang w:val="sk-SK"/>
        </w:rPr>
      </w:pPr>
      <w:r w:rsidRPr="00B4462C">
        <w:rPr>
          <w:i/>
          <w:color w:val="000000"/>
          <w:sz w:val="22"/>
          <w:szCs w:val="22"/>
          <w:lang w:val="sk-SK"/>
        </w:rPr>
        <w:t>Propionibacterium acnes</w:t>
      </w:r>
    </w:p>
    <w:p w14:paraId="5D7000D8" w14:textId="77777777" w:rsidR="00CF3670" w:rsidRPr="00B4462C" w:rsidRDefault="00CF3670" w:rsidP="00FA2E36">
      <w:pPr>
        <w:rPr>
          <w:color w:val="000000"/>
          <w:sz w:val="22"/>
          <w:szCs w:val="22"/>
          <w:lang w:val="sk-SK"/>
        </w:rPr>
      </w:pPr>
    </w:p>
    <w:p w14:paraId="2CDD407A" w14:textId="77777777" w:rsidR="00CF3670" w:rsidRPr="00B4462C" w:rsidRDefault="00CF3670" w:rsidP="00FA2E36">
      <w:pPr>
        <w:rPr>
          <w:caps/>
          <w:color w:val="000000"/>
          <w:sz w:val="22"/>
          <w:szCs w:val="22"/>
          <w:lang w:val="sk-SK"/>
        </w:rPr>
      </w:pPr>
      <w:r w:rsidRPr="00B4462C">
        <w:rPr>
          <w:b/>
          <w:caps/>
          <w:color w:val="000000"/>
          <w:sz w:val="22"/>
          <w:szCs w:val="22"/>
          <w:lang w:val="sk-SK"/>
        </w:rPr>
        <w:t>V podstate rezistentné mikroorganizmy:</w:t>
      </w:r>
      <w:r w:rsidRPr="00B4462C">
        <w:rPr>
          <w:caps/>
          <w:color w:val="000000"/>
          <w:sz w:val="22"/>
          <w:szCs w:val="22"/>
          <w:lang w:val="sk-SK"/>
        </w:rPr>
        <w:t xml:space="preserve"> </w:t>
      </w:r>
    </w:p>
    <w:p w14:paraId="3EFF5246" w14:textId="77777777" w:rsidR="00CF3670" w:rsidRPr="00B4462C" w:rsidRDefault="00CF3670" w:rsidP="00FA2E36">
      <w:pPr>
        <w:rPr>
          <w:color w:val="000000"/>
          <w:sz w:val="22"/>
          <w:szCs w:val="22"/>
          <w:lang w:val="sk-SK"/>
        </w:rPr>
      </w:pPr>
    </w:p>
    <w:p w14:paraId="64042BFB" w14:textId="77777777" w:rsidR="00CF3670" w:rsidRPr="00B4462C" w:rsidRDefault="00CF3670" w:rsidP="00FA2E36">
      <w:pPr>
        <w:rPr>
          <w:b/>
          <w:color w:val="000000"/>
          <w:sz w:val="22"/>
          <w:szCs w:val="22"/>
          <w:lang w:val="sk-SK"/>
        </w:rPr>
      </w:pPr>
      <w:r w:rsidRPr="00B4462C">
        <w:rPr>
          <w:b/>
          <w:color w:val="000000"/>
          <w:sz w:val="22"/>
          <w:szCs w:val="22"/>
          <w:lang w:val="sk-SK"/>
        </w:rPr>
        <w:t>Aeróbne grampozitívne mikroorganizmy</w:t>
      </w:r>
    </w:p>
    <w:p w14:paraId="0F18333F" w14:textId="77777777" w:rsidR="00CF3670" w:rsidRPr="00B4462C" w:rsidRDefault="00CF3670" w:rsidP="00FA2E36">
      <w:pPr>
        <w:rPr>
          <w:i/>
          <w:color w:val="000000"/>
          <w:sz w:val="22"/>
          <w:szCs w:val="22"/>
          <w:lang w:val="sk-SK"/>
        </w:rPr>
      </w:pPr>
      <w:r w:rsidRPr="00B4462C">
        <w:rPr>
          <w:i/>
          <w:color w:val="000000"/>
          <w:sz w:val="22"/>
          <w:szCs w:val="22"/>
          <w:lang w:val="sk-SK"/>
        </w:rPr>
        <w:t>Actinomyces</w:t>
      </w:r>
    </w:p>
    <w:p w14:paraId="2E72C36A" w14:textId="77777777" w:rsidR="00CF3670" w:rsidRPr="00B4462C" w:rsidRDefault="00CF3670" w:rsidP="00FA2E36">
      <w:pPr>
        <w:rPr>
          <w:color w:val="000000"/>
          <w:sz w:val="22"/>
          <w:szCs w:val="22"/>
          <w:lang w:val="sk-SK"/>
        </w:rPr>
      </w:pPr>
      <w:r w:rsidRPr="00B4462C">
        <w:rPr>
          <w:i/>
          <w:color w:val="000000"/>
          <w:sz w:val="22"/>
          <w:szCs w:val="22"/>
          <w:lang w:val="sk-SK"/>
        </w:rPr>
        <w:t>Enterococcus faecium</w:t>
      </w:r>
    </w:p>
    <w:p w14:paraId="03BF96F3" w14:textId="77777777" w:rsidR="00CF3670" w:rsidRPr="00B4462C" w:rsidRDefault="00CF3670" w:rsidP="00FA2E36">
      <w:pPr>
        <w:rPr>
          <w:i/>
          <w:color w:val="000000"/>
          <w:sz w:val="22"/>
          <w:szCs w:val="22"/>
          <w:lang w:val="sk-SK"/>
        </w:rPr>
      </w:pPr>
      <w:r w:rsidRPr="00B4462C">
        <w:rPr>
          <w:i/>
          <w:color w:val="000000"/>
          <w:sz w:val="22"/>
          <w:szCs w:val="22"/>
          <w:lang w:val="sk-SK"/>
        </w:rPr>
        <w:t>Listeria monocytogenes</w:t>
      </w:r>
    </w:p>
    <w:p w14:paraId="680E88CB" w14:textId="77777777" w:rsidR="00CF3670" w:rsidRPr="00B4462C" w:rsidRDefault="00CF3670" w:rsidP="00FA2E36">
      <w:pPr>
        <w:rPr>
          <w:color w:val="000000"/>
          <w:sz w:val="22"/>
          <w:szCs w:val="22"/>
          <w:lang w:val="sk-SK"/>
        </w:rPr>
      </w:pPr>
    </w:p>
    <w:p w14:paraId="10A2CD82" w14:textId="77777777" w:rsidR="00CF3670" w:rsidRPr="00B4462C" w:rsidRDefault="00CF3670" w:rsidP="00FA2E36">
      <w:pPr>
        <w:rPr>
          <w:b/>
          <w:color w:val="000000"/>
          <w:sz w:val="22"/>
          <w:szCs w:val="22"/>
          <w:lang w:val="sk-SK"/>
        </w:rPr>
      </w:pPr>
      <w:r w:rsidRPr="00B4462C">
        <w:rPr>
          <w:b/>
          <w:color w:val="000000"/>
          <w:sz w:val="22"/>
          <w:szCs w:val="22"/>
          <w:lang w:val="sk-SK"/>
        </w:rPr>
        <w:t>Aeróbne gramnegatívne mikroorganizmy</w:t>
      </w:r>
    </w:p>
    <w:p w14:paraId="50B2AE12" w14:textId="77777777" w:rsidR="00CF3670" w:rsidRPr="00B4462C" w:rsidRDefault="00CF3670" w:rsidP="00FA2E36">
      <w:pPr>
        <w:rPr>
          <w:i/>
          <w:color w:val="000000"/>
          <w:sz w:val="22"/>
          <w:szCs w:val="22"/>
          <w:lang w:val="sk-SK"/>
        </w:rPr>
      </w:pPr>
      <w:r w:rsidRPr="00B4462C">
        <w:rPr>
          <w:i/>
          <w:color w:val="000000"/>
          <w:sz w:val="22"/>
          <w:szCs w:val="22"/>
          <w:lang w:val="sk-SK"/>
        </w:rPr>
        <w:t>Stenotrophomonas maltophilia</w:t>
      </w:r>
    </w:p>
    <w:p w14:paraId="71CCCB11" w14:textId="77777777" w:rsidR="00CF3670" w:rsidRPr="00B4462C" w:rsidRDefault="00CF3670" w:rsidP="00FA2E36">
      <w:pPr>
        <w:rPr>
          <w:b/>
          <w:color w:val="000000"/>
          <w:sz w:val="22"/>
          <w:szCs w:val="22"/>
          <w:lang w:val="sk-SK"/>
        </w:rPr>
      </w:pPr>
    </w:p>
    <w:p w14:paraId="589745E8" w14:textId="77777777" w:rsidR="00CF3670" w:rsidRPr="00B4462C" w:rsidRDefault="00CF3670" w:rsidP="00FA2E36">
      <w:pPr>
        <w:rPr>
          <w:b/>
          <w:color w:val="000000"/>
          <w:sz w:val="22"/>
          <w:szCs w:val="22"/>
          <w:lang w:val="sk-SK"/>
        </w:rPr>
      </w:pPr>
      <w:r w:rsidRPr="00B4462C">
        <w:rPr>
          <w:b/>
          <w:color w:val="000000"/>
          <w:sz w:val="22"/>
          <w:szCs w:val="22"/>
          <w:lang w:val="sk-SK"/>
        </w:rPr>
        <w:t>Anaeróbne mikroorganizmy</w:t>
      </w:r>
    </w:p>
    <w:p w14:paraId="3E61C380" w14:textId="77777777" w:rsidR="00CF3670" w:rsidRPr="00B4462C" w:rsidRDefault="00CF3670" w:rsidP="00FA2E36">
      <w:pPr>
        <w:rPr>
          <w:color w:val="000000"/>
          <w:sz w:val="22"/>
          <w:szCs w:val="22"/>
          <w:lang w:val="sk-SK"/>
        </w:rPr>
      </w:pPr>
      <w:r w:rsidRPr="00B4462C">
        <w:rPr>
          <w:color w:val="000000"/>
          <w:sz w:val="22"/>
          <w:szCs w:val="22"/>
          <w:lang w:val="sk-SK"/>
        </w:rPr>
        <w:t>okrem vyššie uvedených</w:t>
      </w:r>
    </w:p>
    <w:p w14:paraId="4795E6C2" w14:textId="77777777" w:rsidR="00CF3670" w:rsidRPr="00B4462C" w:rsidRDefault="00CF3670" w:rsidP="00FA2E36">
      <w:pPr>
        <w:rPr>
          <w:color w:val="000000"/>
          <w:sz w:val="22"/>
          <w:szCs w:val="22"/>
          <w:lang w:val="sk-SK"/>
        </w:rPr>
      </w:pPr>
    </w:p>
    <w:p w14:paraId="5CC27179" w14:textId="77777777" w:rsidR="00CF3670" w:rsidRPr="00B4462C" w:rsidRDefault="00CF3670" w:rsidP="00FA2E36">
      <w:pPr>
        <w:rPr>
          <w:b/>
          <w:color w:val="000000"/>
          <w:sz w:val="22"/>
          <w:szCs w:val="22"/>
          <w:lang w:val="sk-SK"/>
        </w:rPr>
      </w:pPr>
      <w:r w:rsidRPr="00B4462C">
        <w:rPr>
          <w:b/>
          <w:color w:val="000000"/>
          <w:sz w:val="22"/>
          <w:szCs w:val="22"/>
          <w:lang w:val="sk-SK"/>
        </w:rPr>
        <w:t>Iné mikroorganizmy</w:t>
      </w:r>
    </w:p>
    <w:p w14:paraId="2A88165C" w14:textId="77777777" w:rsidR="00CF3670" w:rsidRPr="00B4462C" w:rsidRDefault="00CF3670" w:rsidP="00FA2E36">
      <w:pPr>
        <w:rPr>
          <w:i/>
          <w:color w:val="000000"/>
          <w:sz w:val="22"/>
          <w:szCs w:val="22"/>
          <w:lang w:val="sk-SK"/>
        </w:rPr>
      </w:pPr>
      <w:r w:rsidRPr="00B4462C">
        <w:rPr>
          <w:i/>
          <w:color w:val="000000"/>
          <w:sz w:val="22"/>
          <w:szCs w:val="22"/>
          <w:lang w:val="sk-SK"/>
        </w:rPr>
        <w:t>Mycoplasma genitalium</w:t>
      </w:r>
    </w:p>
    <w:p w14:paraId="41CE9460" w14:textId="77777777" w:rsidR="00CF3670" w:rsidRPr="00B4462C" w:rsidRDefault="00CF3670" w:rsidP="00FA2E36">
      <w:pPr>
        <w:rPr>
          <w:i/>
          <w:color w:val="000000"/>
          <w:sz w:val="22"/>
          <w:szCs w:val="22"/>
          <w:lang w:val="sk-SK"/>
        </w:rPr>
      </w:pPr>
      <w:r w:rsidRPr="00B4462C">
        <w:rPr>
          <w:i/>
          <w:color w:val="000000"/>
          <w:sz w:val="22"/>
          <w:szCs w:val="22"/>
          <w:lang w:val="sk-SK"/>
        </w:rPr>
        <w:t>Ureaplasma urealitycum</w:t>
      </w:r>
    </w:p>
    <w:p w14:paraId="2D1EEF42" w14:textId="77777777" w:rsidR="00CF3670" w:rsidRPr="00B4462C" w:rsidRDefault="00CF3670" w:rsidP="00FA2E36">
      <w:pPr>
        <w:rPr>
          <w:color w:val="000000"/>
          <w:sz w:val="22"/>
          <w:szCs w:val="22"/>
          <w:lang w:val="sk-SK"/>
        </w:rPr>
      </w:pPr>
    </w:p>
    <w:p w14:paraId="16CD7C4A" w14:textId="77777777" w:rsidR="00CF3670" w:rsidRPr="00B4462C" w:rsidRDefault="00CF3670" w:rsidP="00FA2E36">
      <w:pPr>
        <w:rPr>
          <w:color w:val="000000"/>
          <w:sz w:val="22"/>
          <w:szCs w:val="22"/>
          <w:lang w:val="sk-SK"/>
        </w:rPr>
      </w:pPr>
    </w:p>
    <w:p w14:paraId="6425D708" w14:textId="77777777" w:rsidR="00CF3670" w:rsidRPr="00B4462C" w:rsidRDefault="00CF3670" w:rsidP="00FA2E36">
      <w:pPr>
        <w:rPr>
          <w:color w:val="000000"/>
          <w:sz w:val="22"/>
          <w:szCs w:val="22"/>
          <w:lang w:val="sk-SK"/>
        </w:rPr>
      </w:pPr>
      <w:r w:rsidRPr="00B4462C">
        <w:rPr>
          <w:color w:val="000000"/>
          <w:sz w:val="22"/>
          <w:szCs w:val="22"/>
          <w:lang w:val="sk-SK"/>
        </w:rPr>
        <w:sym w:font="Symbol" w:char="F02A"/>
      </w:r>
      <w:r w:rsidRPr="00B4462C">
        <w:rPr>
          <w:color w:val="000000"/>
          <w:sz w:val="22"/>
          <w:szCs w:val="22"/>
          <w:lang w:val="sk-SK"/>
        </w:rPr>
        <w:t xml:space="preserve"> </w:t>
      </w:r>
      <w:r w:rsidRPr="00B4462C">
        <w:rPr>
          <w:color w:val="000000"/>
          <w:sz w:val="22"/>
          <w:szCs w:val="22"/>
          <w:lang w:val="sk-SK"/>
        </w:rPr>
        <w:tab/>
        <w:t>Klinická účinnosť bola dokázaná u citlivých izolátov v schválených klinických indikáciách</w:t>
      </w:r>
    </w:p>
    <w:p w14:paraId="1AB737EF" w14:textId="77777777" w:rsidR="00CF3670" w:rsidRPr="00B4462C" w:rsidRDefault="00CF3670" w:rsidP="00FA2E36">
      <w:pPr>
        <w:rPr>
          <w:color w:val="000000"/>
          <w:sz w:val="22"/>
          <w:szCs w:val="22"/>
          <w:lang w:val="sk-SK"/>
        </w:rPr>
      </w:pPr>
      <w:r w:rsidRPr="00B4462C">
        <w:rPr>
          <w:color w:val="000000"/>
          <w:sz w:val="22"/>
          <w:szCs w:val="22"/>
          <w:lang w:val="sk-SK"/>
        </w:rPr>
        <w:t xml:space="preserve">+ </w:t>
      </w:r>
      <w:r w:rsidRPr="00B4462C">
        <w:rPr>
          <w:color w:val="000000"/>
          <w:sz w:val="22"/>
          <w:szCs w:val="22"/>
          <w:lang w:val="sk-SK"/>
        </w:rPr>
        <w:tab/>
        <w:t xml:space="preserve">Miera rezistencie </w:t>
      </w:r>
      <w:r w:rsidRPr="00B4462C">
        <w:rPr>
          <w:color w:val="000000"/>
          <w:sz w:val="22"/>
          <w:szCs w:val="22"/>
          <w:lang w:val="sk-SK"/>
        </w:rPr>
        <w:sym w:font="Symbol" w:char="F0B3"/>
      </w:r>
      <w:r w:rsidRPr="00B4462C">
        <w:rPr>
          <w:color w:val="000000"/>
          <w:sz w:val="22"/>
          <w:szCs w:val="22"/>
          <w:lang w:val="sk-SK"/>
        </w:rPr>
        <w:t>50</w:t>
      </w:r>
      <w:r>
        <w:rPr>
          <w:color w:val="000000"/>
          <w:sz w:val="22"/>
          <w:szCs w:val="22"/>
          <w:lang w:val="sk-SK"/>
        </w:rPr>
        <w:t> </w:t>
      </w:r>
      <w:r w:rsidRPr="00B4462C">
        <w:rPr>
          <w:color w:val="000000"/>
          <w:sz w:val="22"/>
          <w:szCs w:val="22"/>
          <w:lang w:val="sk-SK"/>
        </w:rPr>
        <w:t>% v jednej alebo viacerých EU krajinách</w:t>
      </w:r>
    </w:p>
    <w:p w14:paraId="01E98021" w14:textId="77777777" w:rsidR="00CF3670" w:rsidRPr="00B4462C" w:rsidRDefault="00CF3670" w:rsidP="00FA2E36">
      <w:pPr>
        <w:rPr>
          <w:color w:val="000000"/>
          <w:sz w:val="22"/>
          <w:szCs w:val="22"/>
          <w:lang w:val="sk-SK"/>
        </w:rPr>
      </w:pPr>
      <w:r w:rsidRPr="00B4462C">
        <w:rPr>
          <w:color w:val="000000"/>
          <w:sz w:val="22"/>
          <w:szCs w:val="22"/>
          <w:lang w:val="sk-SK"/>
        </w:rPr>
        <w:sym w:font="Symbol" w:char="F028"/>
      </w:r>
      <w:r w:rsidRPr="00B4462C">
        <w:rPr>
          <w:color w:val="000000"/>
          <w:sz w:val="22"/>
          <w:szCs w:val="22"/>
          <w:lang w:val="sk-SK"/>
        </w:rPr>
        <w:t>$)</w:t>
      </w:r>
      <w:r w:rsidRPr="00B4462C">
        <w:rPr>
          <w:color w:val="000000"/>
          <w:sz w:val="22"/>
          <w:szCs w:val="22"/>
          <w:lang w:val="sk-SK"/>
        </w:rPr>
        <w:tab/>
        <w:t>Prirodzená stredná citlivosť bez prítomnosti získaných mechanizmov rezistencie</w:t>
      </w:r>
    </w:p>
    <w:p w14:paraId="75E51D38" w14:textId="77777777" w:rsidR="00CF3670" w:rsidRPr="00B4462C" w:rsidRDefault="00CF3670" w:rsidP="00FA2E36">
      <w:pPr>
        <w:numPr>
          <w:ilvl w:val="0"/>
          <w:numId w:val="9"/>
        </w:numPr>
        <w:tabs>
          <w:tab w:val="num" w:pos="720"/>
        </w:tabs>
        <w:ind w:left="720" w:hanging="720"/>
        <w:rPr>
          <w:color w:val="000000"/>
          <w:sz w:val="22"/>
          <w:szCs w:val="22"/>
          <w:lang w:val="sk-SK"/>
        </w:rPr>
      </w:pPr>
      <w:r w:rsidRPr="00B4462C">
        <w:rPr>
          <w:color w:val="000000"/>
          <w:sz w:val="22"/>
          <w:szCs w:val="22"/>
          <w:lang w:val="sk-SK"/>
        </w:rPr>
        <w:t xml:space="preserve">Štúdie uskutočnené na experimentálnych zvieratách s infekciami po inhalácii spór </w:t>
      </w:r>
      <w:r w:rsidRPr="00B4462C">
        <w:rPr>
          <w:i/>
          <w:color w:val="000000"/>
          <w:sz w:val="22"/>
          <w:szCs w:val="22"/>
          <w:lang w:val="sk-SK"/>
        </w:rPr>
        <w:t>Bacillus anthracis</w:t>
      </w:r>
      <w:r w:rsidRPr="00B4462C">
        <w:rPr>
          <w:color w:val="000000"/>
          <w:sz w:val="22"/>
          <w:szCs w:val="22"/>
          <w:lang w:val="sk-SK"/>
        </w:rPr>
        <w:t xml:space="preserve"> odhalili, že včasnou liečbou antibiotikami po inhalácii sa predchádza výskytu ochorenia ak je liečba založená na znížení počtu spór v organizme pod infekčnú dávku. Odporúčané použitie u ľudí je primárne založené na </w:t>
      </w:r>
      <w:r w:rsidRPr="00B4462C">
        <w:rPr>
          <w:i/>
          <w:color w:val="000000"/>
          <w:sz w:val="22"/>
          <w:szCs w:val="22"/>
          <w:lang w:val="sk-SK"/>
        </w:rPr>
        <w:t>in vitro</w:t>
      </w:r>
      <w:r w:rsidRPr="00B4462C">
        <w:rPr>
          <w:color w:val="000000"/>
          <w:sz w:val="22"/>
          <w:szCs w:val="22"/>
          <w:lang w:val="sk-SK"/>
        </w:rPr>
        <w:t xml:space="preserve"> citlivosti a na experimentálnych údajoch na zvieratách a obmedzených údajoch u ľudí. Dvojmesačná liečba u dospelých s perorálnymi dávkami ciprofloxacínu 500 mg dvakrát denne sa považovala za účinnú v prevencii infekcií vyvolaných inhaláciou antraxu u ľudí. Ošetrujúci lekár má postupovať podľa národne a/alebo medzinárodne dohodnutých dokumentov týkajúcich sa liečby infekcií po inhalácii antraxu.</w:t>
      </w:r>
    </w:p>
    <w:p w14:paraId="719EE621" w14:textId="56CDBED3" w:rsidR="00CF3670" w:rsidRPr="00B4462C" w:rsidRDefault="00CF3670" w:rsidP="00FA2E36">
      <w:pPr>
        <w:numPr>
          <w:ilvl w:val="0"/>
          <w:numId w:val="9"/>
        </w:numPr>
        <w:tabs>
          <w:tab w:val="num" w:pos="720"/>
        </w:tabs>
        <w:ind w:left="720" w:hanging="720"/>
        <w:rPr>
          <w:color w:val="000000"/>
          <w:sz w:val="22"/>
          <w:szCs w:val="22"/>
          <w:lang w:val="sk-SK"/>
        </w:rPr>
      </w:pPr>
      <w:r w:rsidRPr="00B4462C">
        <w:rPr>
          <w:i/>
          <w:color w:val="000000"/>
          <w:sz w:val="22"/>
          <w:szCs w:val="22"/>
          <w:lang w:val="sk-SK"/>
        </w:rPr>
        <w:t>S. aureus</w:t>
      </w:r>
      <w:r w:rsidRPr="00B4462C">
        <w:rPr>
          <w:color w:val="000000"/>
          <w:sz w:val="22"/>
          <w:szCs w:val="22"/>
          <w:lang w:val="sk-SK"/>
        </w:rPr>
        <w:t xml:space="preserve"> rezistentný na meticilín veľmi často vykazuje rezistenciu aj na </w:t>
      </w:r>
      <w:r w:rsidR="00DA279A">
        <w:rPr>
          <w:color w:val="000000"/>
          <w:sz w:val="22"/>
          <w:szCs w:val="22"/>
          <w:lang w:val="sk-SK"/>
        </w:rPr>
        <w:t>fluórchin</w:t>
      </w:r>
      <w:r w:rsidRPr="00B4462C">
        <w:rPr>
          <w:color w:val="000000"/>
          <w:sz w:val="22"/>
          <w:szCs w:val="22"/>
          <w:lang w:val="sk-SK"/>
        </w:rPr>
        <w:t>olóny. Miera rezistencie na meticilín sa pohybuje okolo 20 až 50</w:t>
      </w:r>
      <w:r>
        <w:rPr>
          <w:color w:val="000000"/>
          <w:sz w:val="22"/>
          <w:szCs w:val="22"/>
          <w:lang w:val="sk-SK"/>
        </w:rPr>
        <w:t> </w:t>
      </w:r>
      <w:r w:rsidRPr="00B4462C">
        <w:rPr>
          <w:color w:val="000000"/>
          <w:sz w:val="22"/>
          <w:szCs w:val="22"/>
          <w:lang w:val="sk-SK"/>
        </w:rPr>
        <w:t xml:space="preserve">% v rámci všetkých stafylokokových druhov a pri nozokomiálnych izolátoch je zvyčajne vyššia. </w:t>
      </w:r>
    </w:p>
    <w:p w14:paraId="77EF6969" w14:textId="77777777" w:rsidR="00CF3670" w:rsidRPr="00B4462C" w:rsidRDefault="00CF3670" w:rsidP="00B65191">
      <w:pPr>
        <w:widowControl w:val="0"/>
        <w:tabs>
          <w:tab w:val="left" w:pos="567"/>
        </w:tabs>
        <w:rPr>
          <w:b/>
          <w:color w:val="000000"/>
          <w:sz w:val="22"/>
          <w:szCs w:val="22"/>
          <w:lang w:val="sk-SK"/>
        </w:rPr>
      </w:pPr>
    </w:p>
    <w:p w14:paraId="36ABD0DD" w14:textId="77777777" w:rsidR="00CF3670" w:rsidRPr="00B4462C" w:rsidRDefault="00CF3670" w:rsidP="00B65191">
      <w:pPr>
        <w:widowControl w:val="0"/>
        <w:tabs>
          <w:tab w:val="left" w:pos="567"/>
        </w:tabs>
        <w:rPr>
          <w:sz w:val="22"/>
          <w:szCs w:val="22"/>
          <w:lang w:val="sk-SK"/>
        </w:rPr>
      </w:pPr>
      <w:r w:rsidRPr="00B4462C">
        <w:rPr>
          <w:b/>
          <w:color w:val="000000"/>
          <w:sz w:val="22"/>
          <w:szCs w:val="22"/>
          <w:lang w:val="sk-SK"/>
        </w:rPr>
        <w:t>5.2</w:t>
      </w:r>
      <w:r w:rsidRPr="00B4462C">
        <w:rPr>
          <w:b/>
          <w:color w:val="000000"/>
          <w:sz w:val="22"/>
          <w:szCs w:val="22"/>
          <w:lang w:val="sk-SK"/>
        </w:rPr>
        <w:tab/>
        <w:t>Farmakokinetické vlastnosti</w:t>
      </w:r>
    </w:p>
    <w:p w14:paraId="78788187" w14:textId="77777777" w:rsidR="00CF3670" w:rsidRPr="00B4462C" w:rsidRDefault="00CF3670" w:rsidP="00B65191">
      <w:pPr>
        <w:widowControl w:val="0"/>
        <w:rPr>
          <w:i/>
          <w:sz w:val="22"/>
          <w:szCs w:val="22"/>
          <w:lang w:val="sk-SK"/>
        </w:rPr>
      </w:pPr>
    </w:p>
    <w:p w14:paraId="420E10AD" w14:textId="77777777" w:rsidR="00CF3670" w:rsidRPr="00B4462C" w:rsidRDefault="00CF3670" w:rsidP="00B65191">
      <w:pPr>
        <w:widowControl w:val="0"/>
        <w:rPr>
          <w:sz w:val="22"/>
          <w:szCs w:val="22"/>
          <w:lang w:val="sk-SK"/>
        </w:rPr>
      </w:pPr>
      <w:r w:rsidRPr="00B4462C">
        <w:rPr>
          <w:i/>
          <w:sz w:val="22"/>
          <w:szCs w:val="22"/>
          <w:lang w:val="sk-SK"/>
        </w:rPr>
        <w:t>Absorpcia</w:t>
      </w:r>
    </w:p>
    <w:p w14:paraId="30A2A7C6" w14:textId="77777777" w:rsidR="00CF3670" w:rsidRPr="00B4462C" w:rsidRDefault="00CF3670" w:rsidP="00FA2E36">
      <w:pPr>
        <w:rPr>
          <w:color w:val="000000"/>
          <w:sz w:val="22"/>
          <w:szCs w:val="22"/>
          <w:lang w:val="sk-SK"/>
        </w:rPr>
      </w:pPr>
      <w:r w:rsidRPr="00B4462C">
        <w:rPr>
          <w:color w:val="000000"/>
          <w:sz w:val="22"/>
          <w:szCs w:val="22"/>
          <w:lang w:val="sk-SK"/>
        </w:rPr>
        <w:t xml:space="preserve">Po perorálnom podaní jednorazových dávok 250 mg, 500 mg a 750 mg tabliet ciprofloxacínu sa ciprofloxacín absorbuje rýchlo a vo veľkej miere, prevažne v tenkom čreve, a dosahuje maximálne sérové koncentrácie po 1-2 hodinách. </w:t>
      </w:r>
    </w:p>
    <w:p w14:paraId="6B0B121F" w14:textId="77777777" w:rsidR="00CF3670" w:rsidRPr="00B4462C" w:rsidRDefault="00CF3670" w:rsidP="00FA2E36">
      <w:pPr>
        <w:rPr>
          <w:color w:val="000000"/>
          <w:sz w:val="22"/>
          <w:szCs w:val="22"/>
          <w:lang w:val="sk-SK"/>
        </w:rPr>
      </w:pPr>
      <w:r w:rsidRPr="00B4462C">
        <w:rPr>
          <w:color w:val="000000"/>
          <w:sz w:val="22"/>
          <w:szCs w:val="22"/>
          <w:lang w:val="sk-SK"/>
        </w:rPr>
        <w:t>Po podaní jednorazových dávok 100-750 mg sa dosiahnu maximálne sérové koncentrácie (C</w:t>
      </w:r>
      <w:r w:rsidRPr="00B4462C">
        <w:rPr>
          <w:color w:val="000000"/>
          <w:sz w:val="22"/>
          <w:szCs w:val="22"/>
          <w:vertAlign w:val="subscript"/>
          <w:lang w:val="sk-SK"/>
        </w:rPr>
        <w:t xml:space="preserve">max </w:t>
      </w:r>
      <w:r w:rsidRPr="00B4462C">
        <w:rPr>
          <w:color w:val="000000"/>
          <w:sz w:val="22"/>
          <w:szCs w:val="22"/>
          <w:lang w:val="sk-SK"/>
        </w:rPr>
        <w:t>) závislé od dávky medzi 0,56 až 3,7 mg/l. Sérové koncentrácie stúpajú úmerne s dávkami do 1000 mg.</w:t>
      </w:r>
    </w:p>
    <w:p w14:paraId="22C31C22" w14:textId="77777777" w:rsidR="00CF3670" w:rsidRPr="00B4462C" w:rsidRDefault="00CF3670" w:rsidP="00FA2E36">
      <w:pPr>
        <w:rPr>
          <w:color w:val="000000"/>
          <w:sz w:val="22"/>
          <w:szCs w:val="22"/>
          <w:lang w:val="sk-SK"/>
        </w:rPr>
      </w:pPr>
      <w:r w:rsidRPr="00B4462C">
        <w:rPr>
          <w:color w:val="000000"/>
          <w:sz w:val="22"/>
          <w:szCs w:val="22"/>
          <w:lang w:val="sk-SK"/>
        </w:rPr>
        <w:t>Absolútna biodostupnosť je približne 70 až 80</w:t>
      </w:r>
      <w:r>
        <w:rPr>
          <w:color w:val="000000"/>
          <w:sz w:val="22"/>
          <w:szCs w:val="22"/>
          <w:lang w:val="sk-SK"/>
        </w:rPr>
        <w:t> </w:t>
      </w:r>
      <w:r w:rsidRPr="00B4462C">
        <w:rPr>
          <w:color w:val="000000"/>
          <w:sz w:val="22"/>
          <w:szCs w:val="22"/>
          <w:lang w:val="sk-SK"/>
        </w:rPr>
        <w:t>%.</w:t>
      </w:r>
    </w:p>
    <w:p w14:paraId="321B1B58" w14:textId="77777777" w:rsidR="00CF3670" w:rsidRPr="00B4462C" w:rsidRDefault="00CF3670" w:rsidP="00FA2E36">
      <w:pPr>
        <w:rPr>
          <w:color w:val="000000"/>
          <w:sz w:val="22"/>
          <w:szCs w:val="22"/>
          <w:lang w:val="sk-SK"/>
        </w:rPr>
      </w:pPr>
      <w:r w:rsidRPr="00B4462C">
        <w:rPr>
          <w:color w:val="000000"/>
          <w:sz w:val="22"/>
          <w:szCs w:val="22"/>
          <w:lang w:val="sk-SK"/>
        </w:rPr>
        <w:t>Perorálna dávka 500 mg podávaná každých 12 hodín preukázala plochu pod krivkou závislosti koncentrácie od času (AUC) zodpovedajúcu AUC zistenej po intravenóznej infúzii 400 mg ciprofloxacínu počas 60 minút každých 12 hodín.</w:t>
      </w:r>
    </w:p>
    <w:p w14:paraId="54F4D463" w14:textId="77777777" w:rsidR="00CF3670" w:rsidRPr="00B4462C" w:rsidRDefault="00CF3670" w:rsidP="00B65191">
      <w:pPr>
        <w:widowControl w:val="0"/>
        <w:rPr>
          <w:sz w:val="22"/>
          <w:szCs w:val="22"/>
          <w:lang w:val="sk-SK"/>
        </w:rPr>
      </w:pPr>
    </w:p>
    <w:p w14:paraId="4F84B680" w14:textId="77777777" w:rsidR="00CF3670" w:rsidRPr="00B4462C" w:rsidRDefault="00CF3670" w:rsidP="00B65191">
      <w:pPr>
        <w:widowControl w:val="0"/>
        <w:rPr>
          <w:sz w:val="22"/>
          <w:szCs w:val="22"/>
          <w:lang w:val="sk-SK"/>
        </w:rPr>
      </w:pPr>
      <w:r w:rsidRPr="00B4462C">
        <w:rPr>
          <w:i/>
          <w:sz w:val="22"/>
          <w:szCs w:val="22"/>
          <w:lang w:val="sk-SK"/>
        </w:rPr>
        <w:t>Distribúcia</w:t>
      </w:r>
    </w:p>
    <w:p w14:paraId="315A32DA" w14:textId="77777777" w:rsidR="00CF3670" w:rsidRPr="00B4462C" w:rsidRDefault="00CF3670" w:rsidP="00FA2E36">
      <w:pPr>
        <w:rPr>
          <w:color w:val="000000"/>
          <w:sz w:val="22"/>
          <w:szCs w:val="22"/>
          <w:lang w:val="sk-SK"/>
        </w:rPr>
      </w:pPr>
      <w:r w:rsidRPr="00B4462C">
        <w:rPr>
          <w:color w:val="000000"/>
          <w:sz w:val="22"/>
          <w:szCs w:val="22"/>
          <w:lang w:val="sk-SK"/>
        </w:rPr>
        <w:t>Väzba ciprofloxacínu na bielkoviny je nízka (20-30</w:t>
      </w:r>
      <w:r>
        <w:rPr>
          <w:color w:val="000000"/>
          <w:sz w:val="22"/>
          <w:szCs w:val="22"/>
          <w:lang w:val="sk-SK"/>
        </w:rPr>
        <w:t> </w:t>
      </w:r>
      <w:r w:rsidRPr="00B4462C">
        <w:rPr>
          <w:color w:val="000000"/>
          <w:sz w:val="22"/>
          <w:szCs w:val="22"/>
          <w:lang w:val="sk-SK"/>
        </w:rPr>
        <w:t xml:space="preserve">%). Ciprofloxacín je prítomný v plazme predovšetkým v neionizovanej forme a distribučný objem v rovnovážnom stave je 2–3 l/kg telesnej hmotnosti. Ciprofloxacín preniká vo vysokých koncentráciách do rôznych tkanív, ako sú pľúca (epitelová tekutina, alveolárne makrofágy, bioptické tkanivo), sínusy, zapálené lézie (tekutiny v pľuzgieri) a urogenitálneho traktu (moč, prostata, endometrium), kde celkové koncentrácie prevyšujú zodpovedajúce hladiny v sére. </w:t>
      </w:r>
      <w:r w:rsidRPr="00B4462C">
        <w:rPr>
          <w:color w:val="000000"/>
          <w:sz w:val="22"/>
          <w:szCs w:val="22"/>
          <w:lang w:val="sk-SK"/>
        </w:rPr>
        <w:br/>
      </w:r>
    </w:p>
    <w:p w14:paraId="6C5DB3AD" w14:textId="77777777" w:rsidR="00CF3670" w:rsidRPr="00B4462C" w:rsidRDefault="00CF3670" w:rsidP="00FA2E36">
      <w:pPr>
        <w:pStyle w:val="Zkladntext"/>
        <w:jc w:val="left"/>
        <w:rPr>
          <w:rFonts w:ascii="Times New Roman" w:hAnsi="Times New Roman"/>
          <w:color w:val="000000"/>
          <w:sz w:val="22"/>
          <w:szCs w:val="22"/>
          <w:lang w:val="sk-SK"/>
        </w:rPr>
      </w:pPr>
      <w:r w:rsidRPr="004F24D9">
        <w:rPr>
          <w:rFonts w:ascii="Times New Roman" w:hAnsi="Times New Roman"/>
          <w:i/>
          <w:color w:val="000000"/>
          <w:sz w:val="22"/>
          <w:szCs w:val="22"/>
          <w:u w:val="single"/>
          <w:lang w:val="sk-SK"/>
        </w:rPr>
        <w:t>Biotransformácia</w:t>
      </w:r>
      <w:r w:rsidRPr="00B4462C">
        <w:rPr>
          <w:rFonts w:ascii="Times New Roman" w:hAnsi="Times New Roman"/>
          <w:color w:val="000000"/>
          <w:sz w:val="22"/>
          <w:szCs w:val="22"/>
          <w:lang w:val="sk-SK"/>
        </w:rPr>
        <w:br/>
        <w:t xml:space="preserve">Zaznamenali sa nízke koncentrácie štyroch metabolitov, ktoré boli identifikované ako: desetylénciprofloxacín (M 1), sulfociprofloxacín (M 2), oxociprofloxacín (M 3) a formylciprofloxacín (M 4). Metabolity vykazujú </w:t>
      </w:r>
      <w:r w:rsidRPr="00B4462C">
        <w:rPr>
          <w:rFonts w:ascii="Times New Roman" w:hAnsi="Times New Roman"/>
          <w:i/>
          <w:color w:val="000000"/>
          <w:sz w:val="22"/>
          <w:szCs w:val="22"/>
          <w:lang w:val="sk-SK"/>
        </w:rPr>
        <w:t>in vitro</w:t>
      </w:r>
      <w:r w:rsidRPr="00B4462C">
        <w:rPr>
          <w:rFonts w:ascii="Times New Roman" w:hAnsi="Times New Roman"/>
          <w:color w:val="000000"/>
          <w:sz w:val="22"/>
          <w:szCs w:val="22"/>
          <w:lang w:val="sk-SK"/>
        </w:rPr>
        <w:t xml:space="preserve"> antimikrobiálnu aktivitu, ale nižšieho stupňa ako pôvodná zlúčenina. </w:t>
      </w:r>
    </w:p>
    <w:p w14:paraId="61C2F5EC" w14:textId="77777777" w:rsidR="00CF3670" w:rsidRPr="00B4462C" w:rsidRDefault="00CF3670" w:rsidP="00FA2E36">
      <w:pPr>
        <w:pStyle w:val="Zkladntext"/>
        <w:jc w:val="left"/>
        <w:rPr>
          <w:rFonts w:ascii="Times New Roman" w:hAnsi="Times New Roman"/>
          <w:color w:val="000000"/>
          <w:sz w:val="22"/>
          <w:szCs w:val="22"/>
          <w:lang w:val="sk-SK"/>
        </w:rPr>
      </w:pPr>
      <w:r w:rsidRPr="00B4462C">
        <w:rPr>
          <w:rFonts w:ascii="Times New Roman" w:hAnsi="Times New Roman"/>
          <w:color w:val="000000"/>
          <w:sz w:val="22"/>
          <w:szCs w:val="22"/>
          <w:lang w:val="sk-SK"/>
        </w:rPr>
        <w:t xml:space="preserve">Ciprofloxacín je známy ako stredne silný inhibítor izoenzýmu CYP450 1A2. </w:t>
      </w:r>
    </w:p>
    <w:p w14:paraId="0F61452A" w14:textId="77777777" w:rsidR="00CF3670" w:rsidRPr="00B4462C" w:rsidRDefault="00CF3670" w:rsidP="00FA2E36">
      <w:pPr>
        <w:pStyle w:val="Zkladntext"/>
        <w:jc w:val="left"/>
        <w:rPr>
          <w:rFonts w:ascii="Times New Roman" w:hAnsi="Times New Roman"/>
          <w:color w:val="000000"/>
          <w:sz w:val="22"/>
          <w:szCs w:val="22"/>
          <w:lang w:val="sk-SK"/>
        </w:rPr>
      </w:pPr>
    </w:p>
    <w:p w14:paraId="21A71B5A" w14:textId="77777777" w:rsidR="00CF3670" w:rsidRPr="00B4462C" w:rsidRDefault="00CF3670" w:rsidP="00FA2E36">
      <w:pPr>
        <w:pStyle w:val="Zkladntext"/>
        <w:jc w:val="left"/>
        <w:rPr>
          <w:rFonts w:ascii="Times New Roman" w:hAnsi="Times New Roman"/>
          <w:i/>
          <w:color w:val="000000"/>
          <w:sz w:val="22"/>
          <w:szCs w:val="22"/>
          <w:u w:val="single"/>
          <w:lang w:val="sk-SK"/>
        </w:rPr>
      </w:pPr>
      <w:r w:rsidRPr="00B4462C">
        <w:rPr>
          <w:rFonts w:ascii="Times New Roman" w:hAnsi="Times New Roman"/>
          <w:i/>
          <w:color w:val="000000"/>
          <w:sz w:val="22"/>
          <w:szCs w:val="22"/>
          <w:u w:val="single"/>
          <w:lang w:val="sk-SK"/>
        </w:rPr>
        <w:t>Eliminácia</w:t>
      </w:r>
    </w:p>
    <w:p w14:paraId="22D0FCED" w14:textId="77777777" w:rsidR="00CF3670" w:rsidRPr="00B4462C" w:rsidRDefault="00CF3670" w:rsidP="00FA2E36">
      <w:pPr>
        <w:pStyle w:val="Zkladntext"/>
        <w:jc w:val="left"/>
        <w:rPr>
          <w:rFonts w:ascii="Times New Roman" w:hAnsi="Times New Roman"/>
          <w:color w:val="000000"/>
          <w:sz w:val="22"/>
          <w:szCs w:val="22"/>
          <w:lang w:val="sk-SK"/>
        </w:rPr>
      </w:pPr>
      <w:r w:rsidRPr="00B4462C">
        <w:rPr>
          <w:rFonts w:ascii="Times New Roman" w:hAnsi="Times New Roman"/>
          <w:color w:val="000000"/>
          <w:sz w:val="22"/>
          <w:szCs w:val="22"/>
          <w:lang w:val="sk-SK"/>
        </w:rPr>
        <w:t>Ciprofloxacín sa vylučuje prevažne v nezmenenej forme, v najväčšej miere močom a v menšom rozsahu stolicou. Sérový polčas eliminácie u osôb s normálnou funkciou obličiek je približne 4-7 hodín.</w:t>
      </w:r>
    </w:p>
    <w:p w14:paraId="4683D089" w14:textId="77777777" w:rsidR="00CF3670" w:rsidRPr="00B4462C" w:rsidRDefault="00CF3670" w:rsidP="00B65191">
      <w:pPr>
        <w:widowControl w:val="0"/>
        <w:rPr>
          <w:sz w:val="22"/>
          <w:szCs w:val="22"/>
          <w:lang w:val="sk-SK"/>
        </w:rPr>
      </w:pPr>
    </w:p>
    <w:tbl>
      <w:tblPr>
        <w:tblW w:w="0" w:type="auto"/>
        <w:tblLook w:val="01E0" w:firstRow="1" w:lastRow="1" w:firstColumn="1" w:lastColumn="1" w:noHBand="0" w:noVBand="0"/>
      </w:tblPr>
      <w:tblGrid>
        <w:gridCol w:w="3095"/>
        <w:gridCol w:w="3096"/>
        <w:gridCol w:w="3096"/>
      </w:tblGrid>
      <w:tr w:rsidR="00CF3670" w:rsidRPr="00672462" w14:paraId="49EF3160" w14:textId="77777777" w:rsidTr="00672462">
        <w:tc>
          <w:tcPr>
            <w:tcW w:w="9287" w:type="dxa"/>
            <w:gridSpan w:val="3"/>
            <w:tcBorders>
              <w:top w:val="single" w:sz="4" w:space="0" w:color="auto"/>
              <w:left w:val="single" w:sz="4" w:space="0" w:color="auto"/>
              <w:bottom w:val="single" w:sz="4" w:space="0" w:color="auto"/>
              <w:right w:val="single" w:sz="4" w:space="0" w:color="auto"/>
            </w:tcBorders>
          </w:tcPr>
          <w:p w14:paraId="49E3F9B3" w14:textId="77777777" w:rsidR="00CF3670" w:rsidRPr="00672462" w:rsidRDefault="00CF3670" w:rsidP="00672462">
            <w:pPr>
              <w:pStyle w:val="Zkladntext"/>
              <w:spacing w:after="240"/>
              <w:ind w:left="567" w:hanging="567"/>
              <w:jc w:val="left"/>
              <w:rPr>
                <w:rFonts w:ascii="Times New Roman" w:hAnsi="Times New Roman"/>
                <w:b/>
                <w:color w:val="000000"/>
                <w:sz w:val="22"/>
                <w:szCs w:val="22"/>
                <w:lang w:val="sk-SK"/>
              </w:rPr>
            </w:pPr>
            <w:r w:rsidRPr="00672462">
              <w:rPr>
                <w:rFonts w:ascii="Times New Roman" w:hAnsi="Times New Roman"/>
                <w:b/>
                <w:color w:val="000000"/>
                <w:sz w:val="22"/>
                <w:szCs w:val="22"/>
                <w:lang w:val="sk-SK"/>
              </w:rPr>
              <w:t>Exkrécia ciprofloxacínu (v % z podanej dávky):</w:t>
            </w:r>
          </w:p>
        </w:tc>
      </w:tr>
      <w:tr w:rsidR="00CF3670" w:rsidRPr="00672462" w14:paraId="16FD2EE9" w14:textId="77777777" w:rsidTr="00672462">
        <w:tc>
          <w:tcPr>
            <w:tcW w:w="3095" w:type="dxa"/>
            <w:tcBorders>
              <w:top w:val="single" w:sz="4" w:space="0" w:color="auto"/>
              <w:left w:val="single" w:sz="4" w:space="0" w:color="auto"/>
              <w:bottom w:val="single" w:sz="4" w:space="0" w:color="auto"/>
              <w:right w:val="single" w:sz="4" w:space="0" w:color="auto"/>
            </w:tcBorders>
          </w:tcPr>
          <w:p w14:paraId="7846188C" w14:textId="77777777" w:rsidR="00CF3670" w:rsidRPr="00672462" w:rsidRDefault="00CF3670" w:rsidP="00672462">
            <w:pPr>
              <w:pStyle w:val="Zkladntext"/>
              <w:spacing w:after="240"/>
              <w:ind w:left="567" w:hanging="567"/>
              <w:jc w:val="left"/>
              <w:rPr>
                <w:rFonts w:ascii="Times New Roman" w:hAnsi="Times New Roman"/>
                <w:color w:val="000000"/>
                <w:sz w:val="22"/>
                <w:szCs w:val="22"/>
                <w:lang w:val="sk-SK"/>
              </w:rPr>
            </w:pPr>
          </w:p>
        </w:tc>
        <w:tc>
          <w:tcPr>
            <w:tcW w:w="6192" w:type="dxa"/>
            <w:gridSpan w:val="2"/>
            <w:tcBorders>
              <w:top w:val="single" w:sz="4" w:space="0" w:color="auto"/>
              <w:left w:val="single" w:sz="4" w:space="0" w:color="auto"/>
              <w:bottom w:val="single" w:sz="4" w:space="0" w:color="auto"/>
              <w:right w:val="single" w:sz="4" w:space="0" w:color="auto"/>
            </w:tcBorders>
          </w:tcPr>
          <w:p w14:paraId="3428A98C" w14:textId="77777777" w:rsidR="00CF3670" w:rsidRPr="00672462" w:rsidRDefault="00CF3670" w:rsidP="00672462">
            <w:pPr>
              <w:pStyle w:val="Zkladntext"/>
              <w:spacing w:after="240"/>
              <w:ind w:left="567" w:hanging="567"/>
              <w:jc w:val="left"/>
              <w:rPr>
                <w:rFonts w:ascii="Times New Roman" w:hAnsi="Times New Roman"/>
                <w:b/>
                <w:color w:val="000000"/>
                <w:sz w:val="22"/>
                <w:szCs w:val="22"/>
                <w:lang w:val="sk-SK"/>
              </w:rPr>
            </w:pPr>
            <w:r w:rsidRPr="00672462">
              <w:rPr>
                <w:rFonts w:ascii="Times New Roman" w:hAnsi="Times New Roman"/>
                <w:b/>
                <w:color w:val="000000"/>
                <w:sz w:val="22"/>
                <w:szCs w:val="22"/>
                <w:lang w:val="sk-SK"/>
              </w:rPr>
              <w:t>Perorálne podanie</w:t>
            </w:r>
          </w:p>
        </w:tc>
      </w:tr>
      <w:tr w:rsidR="00CF3670" w:rsidRPr="00672462" w14:paraId="64AE49B2" w14:textId="77777777" w:rsidTr="00672462">
        <w:tc>
          <w:tcPr>
            <w:tcW w:w="3095" w:type="dxa"/>
            <w:tcBorders>
              <w:top w:val="single" w:sz="4" w:space="0" w:color="auto"/>
              <w:left w:val="single" w:sz="4" w:space="0" w:color="auto"/>
              <w:bottom w:val="single" w:sz="4" w:space="0" w:color="auto"/>
              <w:right w:val="single" w:sz="4" w:space="0" w:color="auto"/>
            </w:tcBorders>
          </w:tcPr>
          <w:p w14:paraId="09FD6C53" w14:textId="77777777" w:rsidR="00CF3670" w:rsidRPr="00672462" w:rsidRDefault="00CF3670" w:rsidP="00672462">
            <w:pPr>
              <w:pStyle w:val="Zkladntext"/>
              <w:spacing w:after="240"/>
              <w:ind w:left="567" w:hanging="567"/>
              <w:jc w:val="left"/>
              <w:rPr>
                <w:rFonts w:ascii="Times New Roman" w:hAnsi="Times New Roman"/>
                <w:color w:val="000000"/>
                <w:sz w:val="22"/>
                <w:szCs w:val="22"/>
                <w:lang w:val="sk-SK"/>
              </w:rPr>
            </w:pPr>
          </w:p>
        </w:tc>
        <w:tc>
          <w:tcPr>
            <w:tcW w:w="3096" w:type="dxa"/>
            <w:tcBorders>
              <w:top w:val="single" w:sz="4" w:space="0" w:color="auto"/>
              <w:left w:val="single" w:sz="4" w:space="0" w:color="auto"/>
              <w:bottom w:val="single" w:sz="4" w:space="0" w:color="auto"/>
              <w:right w:val="single" w:sz="4" w:space="0" w:color="auto"/>
            </w:tcBorders>
          </w:tcPr>
          <w:p w14:paraId="5A317129" w14:textId="77777777" w:rsidR="00CF3670" w:rsidRPr="00672462" w:rsidRDefault="00CF3670" w:rsidP="00672462">
            <w:pPr>
              <w:pStyle w:val="Zkladntext"/>
              <w:spacing w:after="240"/>
              <w:ind w:left="567" w:hanging="567"/>
              <w:jc w:val="left"/>
              <w:rPr>
                <w:rFonts w:ascii="Times New Roman" w:hAnsi="Times New Roman"/>
                <w:b/>
                <w:color w:val="000000"/>
                <w:sz w:val="22"/>
                <w:szCs w:val="22"/>
                <w:lang w:val="sk-SK"/>
              </w:rPr>
            </w:pPr>
            <w:r w:rsidRPr="00672462">
              <w:rPr>
                <w:rFonts w:ascii="Times New Roman" w:hAnsi="Times New Roman"/>
                <w:b/>
                <w:color w:val="000000"/>
                <w:sz w:val="22"/>
                <w:szCs w:val="22"/>
                <w:lang w:val="sk-SK"/>
              </w:rPr>
              <w:t>moč</w:t>
            </w:r>
          </w:p>
        </w:tc>
        <w:tc>
          <w:tcPr>
            <w:tcW w:w="3096" w:type="dxa"/>
            <w:tcBorders>
              <w:top w:val="single" w:sz="4" w:space="0" w:color="auto"/>
              <w:left w:val="single" w:sz="4" w:space="0" w:color="auto"/>
              <w:bottom w:val="single" w:sz="4" w:space="0" w:color="auto"/>
              <w:right w:val="single" w:sz="4" w:space="0" w:color="auto"/>
            </w:tcBorders>
          </w:tcPr>
          <w:p w14:paraId="35CF16E6" w14:textId="77777777" w:rsidR="00CF3670" w:rsidRPr="00672462" w:rsidRDefault="00CF3670" w:rsidP="00672462">
            <w:pPr>
              <w:pStyle w:val="Zkladntext"/>
              <w:spacing w:after="240"/>
              <w:ind w:left="567" w:hanging="567"/>
              <w:jc w:val="left"/>
              <w:rPr>
                <w:rFonts w:ascii="Times New Roman" w:hAnsi="Times New Roman"/>
                <w:b/>
                <w:color w:val="000000"/>
                <w:sz w:val="22"/>
                <w:szCs w:val="22"/>
                <w:lang w:val="sk-SK"/>
              </w:rPr>
            </w:pPr>
            <w:r w:rsidRPr="00672462">
              <w:rPr>
                <w:rFonts w:ascii="Times New Roman" w:hAnsi="Times New Roman"/>
                <w:b/>
                <w:color w:val="000000"/>
                <w:sz w:val="22"/>
                <w:szCs w:val="22"/>
                <w:lang w:val="sk-SK"/>
              </w:rPr>
              <w:t>stolica</w:t>
            </w:r>
          </w:p>
        </w:tc>
      </w:tr>
      <w:tr w:rsidR="00CF3670" w:rsidRPr="00672462" w14:paraId="13F4D31D" w14:textId="77777777" w:rsidTr="00672462">
        <w:tc>
          <w:tcPr>
            <w:tcW w:w="3095" w:type="dxa"/>
            <w:tcBorders>
              <w:top w:val="single" w:sz="4" w:space="0" w:color="auto"/>
              <w:left w:val="single" w:sz="4" w:space="0" w:color="auto"/>
              <w:bottom w:val="single" w:sz="4" w:space="0" w:color="auto"/>
              <w:right w:val="single" w:sz="4" w:space="0" w:color="auto"/>
            </w:tcBorders>
          </w:tcPr>
          <w:p w14:paraId="0D4E3132" w14:textId="77777777" w:rsidR="00CF3670" w:rsidRPr="00672462" w:rsidRDefault="00CF3670" w:rsidP="00672462">
            <w:pPr>
              <w:pStyle w:val="Zkladntext"/>
              <w:spacing w:after="240"/>
              <w:ind w:left="567" w:hanging="567"/>
              <w:jc w:val="left"/>
              <w:rPr>
                <w:rFonts w:ascii="Times New Roman" w:hAnsi="Times New Roman"/>
                <w:color w:val="000000"/>
                <w:sz w:val="22"/>
                <w:szCs w:val="22"/>
                <w:lang w:val="sk-SK"/>
              </w:rPr>
            </w:pPr>
            <w:r w:rsidRPr="00672462">
              <w:rPr>
                <w:rFonts w:ascii="Times New Roman" w:hAnsi="Times New Roman"/>
                <w:color w:val="000000"/>
                <w:sz w:val="22"/>
                <w:szCs w:val="22"/>
                <w:lang w:val="sk-SK"/>
              </w:rPr>
              <w:t>ciprofloxacín</w:t>
            </w:r>
          </w:p>
        </w:tc>
        <w:tc>
          <w:tcPr>
            <w:tcW w:w="3096" w:type="dxa"/>
            <w:tcBorders>
              <w:top w:val="single" w:sz="4" w:space="0" w:color="auto"/>
              <w:left w:val="single" w:sz="4" w:space="0" w:color="auto"/>
              <w:bottom w:val="single" w:sz="4" w:space="0" w:color="auto"/>
              <w:right w:val="single" w:sz="4" w:space="0" w:color="auto"/>
            </w:tcBorders>
          </w:tcPr>
          <w:p w14:paraId="0BC2047D" w14:textId="77777777" w:rsidR="00CF3670" w:rsidRPr="00672462" w:rsidRDefault="00CF3670" w:rsidP="00672462">
            <w:pPr>
              <w:pStyle w:val="Zkladntext"/>
              <w:spacing w:after="240"/>
              <w:ind w:left="567" w:hanging="567"/>
              <w:jc w:val="left"/>
              <w:rPr>
                <w:rFonts w:ascii="Times New Roman" w:hAnsi="Times New Roman"/>
                <w:color w:val="000000"/>
                <w:sz w:val="22"/>
                <w:szCs w:val="22"/>
                <w:lang w:val="sk-SK"/>
              </w:rPr>
            </w:pPr>
            <w:r w:rsidRPr="00672462">
              <w:rPr>
                <w:rFonts w:ascii="Times New Roman" w:hAnsi="Times New Roman"/>
                <w:color w:val="000000"/>
                <w:sz w:val="22"/>
                <w:szCs w:val="22"/>
                <w:lang w:val="sk-SK"/>
              </w:rPr>
              <w:t>44,7</w:t>
            </w:r>
          </w:p>
        </w:tc>
        <w:tc>
          <w:tcPr>
            <w:tcW w:w="3096" w:type="dxa"/>
            <w:tcBorders>
              <w:top w:val="single" w:sz="4" w:space="0" w:color="auto"/>
              <w:left w:val="single" w:sz="4" w:space="0" w:color="auto"/>
              <w:bottom w:val="single" w:sz="4" w:space="0" w:color="auto"/>
              <w:right w:val="single" w:sz="4" w:space="0" w:color="auto"/>
            </w:tcBorders>
          </w:tcPr>
          <w:p w14:paraId="2D32E12A" w14:textId="77777777" w:rsidR="00CF3670" w:rsidRPr="00672462" w:rsidRDefault="00CF3670" w:rsidP="00672462">
            <w:pPr>
              <w:pStyle w:val="Zkladntext"/>
              <w:spacing w:after="240"/>
              <w:ind w:left="567" w:hanging="567"/>
              <w:jc w:val="left"/>
              <w:rPr>
                <w:rFonts w:ascii="Times New Roman" w:hAnsi="Times New Roman"/>
                <w:color w:val="000000"/>
                <w:sz w:val="22"/>
                <w:szCs w:val="22"/>
                <w:lang w:val="sk-SK"/>
              </w:rPr>
            </w:pPr>
            <w:r w:rsidRPr="00672462">
              <w:rPr>
                <w:rFonts w:ascii="Times New Roman" w:hAnsi="Times New Roman"/>
                <w:color w:val="000000"/>
                <w:sz w:val="22"/>
                <w:szCs w:val="22"/>
                <w:lang w:val="sk-SK"/>
              </w:rPr>
              <w:t>25,0</w:t>
            </w:r>
          </w:p>
        </w:tc>
      </w:tr>
      <w:tr w:rsidR="00CF3670" w:rsidRPr="00672462" w14:paraId="6C30B24E" w14:textId="77777777" w:rsidTr="00672462">
        <w:tc>
          <w:tcPr>
            <w:tcW w:w="3095" w:type="dxa"/>
            <w:tcBorders>
              <w:top w:val="single" w:sz="4" w:space="0" w:color="auto"/>
              <w:left w:val="single" w:sz="4" w:space="0" w:color="auto"/>
              <w:bottom w:val="single" w:sz="4" w:space="0" w:color="auto"/>
              <w:right w:val="single" w:sz="4" w:space="0" w:color="auto"/>
            </w:tcBorders>
          </w:tcPr>
          <w:p w14:paraId="3253C49F" w14:textId="77777777" w:rsidR="00CF3670" w:rsidRPr="00672462" w:rsidRDefault="00CF3670" w:rsidP="00672462">
            <w:pPr>
              <w:pStyle w:val="Zkladntext"/>
              <w:spacing w:after="240"/>
              <w:ind w:left="567" w:hanging="567"/>
              <w:jc w:val="left"/>
              <w:rPr>
                <w:rFonts w:ascii="Times New Roman" w:hAnsi="Times New Roman"/>
                <w:color w:val="000000"/>
                <w:sz w:val="22"/>
                <w:szCs w:val="22"/>
                <w:lang w:val="sk-SK"/>
              </w:rPr>
            </w:pPr>
            <w:r w:rsidRPr="00672462">
              <w:rPr>
                <w:rFonts w:ascii="Times New Roman" w:hAnsi="Times New Roman"/>
                <w:color w:val="000000"/>
                <w:sz w:val="22"/>
                <w:szCs w:val="22"/>
                <w:lang w:val="sk-SK"/>
              </w:rPr>
              <w:t>metabolity (M1-M4)</w:t>
            </w:r>
          </w:p>
        </w:tc>
        <w:tc>
          <w:tcPr>
            <w:tcW w:w="3096" w:type="dxa"/>
            <w:tcBorders>
              <w:top w:val="single" w:sz="4" w:space="0" w:color="auto"/>
              <w:left w:val="single" w:sz="4" w:space="0" w:color="auto"/>
              <w:bottom w:val="single" w:sz="4" w:space="0" w:color="auto"/>
              <w:right w:val="single" w:sz="4" w:space="0" w:color="auto"/>
            </w:tcBorders>
          </w:tcPr>
          <w:p w14:paraId="52AACD5F" w14:textId="77777777" w:rsidR="00CF3670" w:rsidRPr="00672462" w:rsidRDefault="00CF3670" w:rsidP="00672462">
            <w:pPr>
              <w:pStyle w:val="Zkladntext"/>
              <w:spacing w:after="240"/>
              <w:ind w:left="567" w:hanging="567"/>
              <w:jc w:val="left"/>
              <w:rPr>
                <w:rFonts w:ascii="Times New Roman" w:hAnsi="Times New Roman"/>
                <w:color w:val="000000"/>
                <w:sz w:val="22"/>
                <w:szCs w:val="22"/>
                <w:lang w:val="sk-SK"/>
              </w:rPr>
            </w:pPr>
            <w:r w:rsidRPr="00672462">
              <w:rPr>
                <w:rFonts w:ascii="Times New Roman" w:hAnsi="Times New Roman"/>
                <w:color w:val="000000"/>
                <w:sz w:val="22"/>
                <w:szCs w:val="22"/>
                <w:lang w:val="sk-SK"/>
              </w:rPr>
              <w:t>11,3</w:t>
            </w:r>
          </w:p>
        </w:tc>
        <w:tc>
          <w:tcPr>
            <w:tcW w:w="3096" w:type="dxa"/>
            <w:tcBorders>
              <w:top w:val="single" w:sz="4" w:space="0" w:color="auto"/>
              <w:left w:val="single" w:sz="4" w:space="0" w:color="auto"/>
              <w:bottom w:val="single" w:sz="4" w:space="0" w:color="auto"/>
              <w:right w:val="single" w:sz="4" w:space="0" w:color="auto"/>
            </w:tcBorders>
          </w:tcPr>
          <w:p w14:paraId="7D958588" w14:textId="77777777" w:rsidR="00CF3670" w:rsidRPr="00672462" w:rsidRDefault="00CF3670" w:rsidP="00672462">
            <w:pPr>
              <w:pStyle w:val="Zkladntext"/>
              <w:spacing w:after="240"/>
              <w:ind w:left="567" w:hanging="567"/>
              <w:jc w:val="left"/>
              <w:rPr>
                <w:rFonts w:ascii="Times New Roman" w:hAnsi="Times New Roman"/>
                <w:color w:val="000000"/>
                <w:sz w:val="22"/>
                <w:szCs w:val="22"/>
                <w:lang w:val="sk-SK"/>
              </w:rPr>
            </w:pPr>
            <w:r w:rsidRPr="00672462">
              <w:rPr>
                <w:rFonts w:ascii="Times New Roman" w:hAnsi="Times New Roman"/>
                <w:color w:val="000000"/>
                <w:sz w:val="22"/>
                <w:szCs w:val="22"/>
                <w:lang w:val="sk-SK"/>
              </w:rPr>
              <w:t>7,5</w:t>
            </w:r>
          </w:p>
        </w:tc>
      </w:tr>
    </w:tbl>
    <w:p w14:paraId="23355CF0" w14:textId="77777777" w:rsidR="00CF3670" w:rsidRPr="00B4462C" w:rsidRDefault="00CF3670">
      <w:pPr>
        <w:rPr>
          <w:lang w:val="sk-SK"/>
        </w:rPr>
      </w:pPr>
    </w:p>
    <w:p w14:paraId="513B2DBE" w14:textId="77777777" w:rsidR="00CF3670" w:rsidRPr="00B4462C" w:rsidRDefault="00CF3670" w:rsidP="00B65191">
      <w:pPr>
        <w:widowControl w:val="0"/>
        <w:rPr>
          <w:sz w:val="22"/>
          <w:szCs w:val="22"/>
          <w:lang w:val="sk-SK"/>
        </w:rPr>
      </w:pPr>
    </w:p>
    <w:p w14:paraId="6656A198" w14:textId="77777777" w:rsidR="00CF3670" w:rsidRPr="00B4462C" w:rsidRDefault="00CF3670" w:rsidP="00FA2E36">
      <w:pPr>
        <w:pStyle w:val="Zkladntext"/>
        <w:jc w:val="left"/>
        <w:rPr>
          <w:rFonts w:ascii="Times New Roman" w:hAnsi="Times New Roman"/>
          <w:color w:val="000000"/>
          <w:sz w:val="22"/>
          <w:szCs w:val="22"/>
          <w:lang w:val="sk-SK"/>
        </w:rPr>
      </w:pPr>
      <w:r w:rsidRPr="00B4462C">
        <w:rPr>
          <w:rFonts w:ascii="Times New Roman" w:hAnsi="Times New Roman"/>
          <w:color w:val="000000"/>
          <w:sz w:val="22"/>
          <w:szCs w:val="22"/>
          <w:lang w:val="sk-SK"/>
        </w:rPr>
        <w:t>Renálny klírens je medzi 180-300 ml/kg/hod a celkový klírens je medzi 480-600 ml/kg/hod. Ciprofloxacín podlieha glomerulárnej filtrácii aj tubulárnej sekrécii. Závažné poškodenie funkcie obličiek vedie k zvýšeniu polčasu ciprofloxacínu až o 12 hodín.</w:t>
      </w:r>
    </w:p>
    <w:p w14:paraId="248240AD" w14:textId="77777777" w:rsidR="00CF3670" w:rsidRPr="00B4462C" w:rsidRDefault="00CF3670" w:rsidP="00FA2E36">
      <w:pPr>
        <w:pStyle w:val="Zkladntext"/>
        <w:jc w:val="left"/>
        <w:rPr>
          <w:rFonts w:ascii="Times New Roman" w:hAnsi="Times New Roman"/>
          <w:color w:val="000000"/>
          <w:sz w:val="22"/>
          <w:szCs w:val="22"/>
          <w:lang w:val="sk-SK"/>
        </w:rPr>
      </w:pPr>
    </w:p>
    <w:p w14:paraId="33F7FB60" w14:textId="77777777" w:rsidR="00CF3670" w:rsidRPr="00B4462C" w:rsidRDefault="00CF3670" w:rsidP="00FA2E36">
      <w:pPr>
        <w:pStyle w:val="Zkladntext"/>
        <w:jc w:val="left"/>
        <w:rPr>
          <w:rFonts w:ascii="Times New Roman" w:hAnsi="Times New Roman"/>
          <w:color w:val="000000"/>
          <w:sz w:val="22"/>
          <w:szCs w:val="22"/>
          <w:lang w:val="sk-SK"/>
        </w:rPr>
      </w:pPr>
      <w:r w:rsidRPr="00B4462C">
        <w:rPr>
          <w:rFonts w:ascii="Times New Roman" w:hAnsi="Times New Roman"/>
          <w:color w:val="000000"/>
          <w:sz w:val="22"/>
          <w:szCs w:val="22"/>
          <w:lang w:val="sk-SK"/>
        </w:rPr>
        <w:t>Nerenálny klírens ciprofloxacínu je spôsobený hlavne v dôsledku aktívnej transintestinálnej sekrécie a metabolizmu. 1</w:t>
      </w:r>
      <w:r>
        <w:rPr>
          <w:rFonts w:ascii="Times New Roman" w:hAnsi="Times New Roman"/>
          <w:color w:val="000000"/>
          <w:sz w:val="22"/>
          <w:szCs w:val="22"/>
          <w:lang w:val="sk-SK"/>
        </w:rPr>
        <w:t> </w:t>
      </w:r>
      <w:r w:rsidRPr="00B4462C">
        <w:rPr>
          <w:rFonts w:ascii="Times New Roman" w:hAnsi="Times New Roman"/>
          <w:color w:val="000000"/>
          <w:sz w:val="22"/>
          <w:szCs w:val="22"/>
          <w:lang w:val="sk-SK"/>
        </w:rPr>
        <w:t>% dávky sa vylučuje žlčou. Ciprofloxacín je prítomný v žlči vo vysokých koncentráciách.</w:t>
      </w:r>
    </w:p>
    <w:p w14:paraId="4B735323" w14:textId="77777777" w:rsidR="00CF3670" w:rsidRPr="00B4462C" w:rsidRDefault="00CF3670" w:rsidP="00FA2E36">
      <w:pPr>
        <w:pStyle w:val="Zkladntext"/>
        <w:jc w:val="left"/>
        <w:rPr>
          <w:rFonts w:ascii="Times New Roman" w:hAnsi="Times New Roman"/>
          <w:color w:val="000000"/>
          <w:sz w:val="22"/>
          <w:szCs w:val="22"/>
          <w:lang w:val="sk-SK"/>
        </w:rPr>
      </w:pPr>
    </w:p>
    <w:p w14:paraId="22494793" w14:textId="77777777" w:rsidR="00CF3670" w:rsidRPr="00FC60DC" w:rsidRDefault="00CF3670" w:rsidP="00FA2E36">
      <w:pPr>
        <w:pStyle w:val="Zkladntext"/>
        <w:jc w:val="left"/>
        <w:rPr>
          <w:rFonts w:ascii="Times New Roman" w:hAnsi="Times New Roman"/>
          <w:i/>
          <w:color w:val="000000"/>
          <w:sz w:val="22"/>
          <w:szCs w:val="22"/>
          <w:u w:val="single"/>
          <w:lang w:val="sk-SK"/>
        </w:rPr>
      </w:pPr>
      <w:r w:rsidRPr="00B4462C">
        <w:rPr>
          <w:rFonts w:ascii="Times New Roman" w:hAnsi="Times New Roman"/>
          <w:i/>
          <w:color w:val="000000"/>
          <w:sz w:val="22"/>
          <w:szCs w:val="22"/>
          <w:u w:val="single"/>
          <w:lang w:val="sk-SK"/>
        </w:rPr>
        <w:t>Pediatri</w:t>
      </w:r>
      <w:r w:rsidRPr="00146261">
        <w:rPr>
          <w:rFonts w:ascii="Times New Roman" w:hAnsi="Times New Roman"/>
          <w:i/>
          <w:color w:val="000000"/>
          <w:sz w:val="22"/>
          <w:szCs w:val="22"/>
          <w:u w:val="single"/>
          <w:lang w:val="sk-SK"/>
        </w:rPr>
        <w:t>ck</w:t>
      </w:r>
      <w:r w:rsidRPr="00FC60DC">
        <w:rPr>
          <w:rFonts w:ascii="Times New Roman" w:hAnsi="Times New Roman"/>
          <w:i/>
          <w:color w:val="000000"/>
          <w:sz w:val="22"/>
          <w:szCs w:val="22"/>
          <w:u w:val="single"/>
          <w:lang w:val="sk-SK"/>
        </w:rPr>
        <w:t>á populácia</w:t>
      </w:r>
    </w:p>
    <w:p w14:paraId="704B8E6B" w14:textId="77777777" w:rsidR="00CF3670" w:rsidRPr="00B4462C" w:rsidRDefault="00CF3670" w:rsidP="00FA2E36">
      <w:pPr>
        <w:pStyle w:val="Zkladntext"/>
        <w:jc w:val="left"/>
        <w:rPr>
          <w:rFonts w:ascii="Times New Roman" w:hAnsi="Times New Roman" w:cs="Times New Roman"/>
          <w:sz w:val="22"/>
          <w:szCs w:val="22"/>
          <w:lang w:val="sk-SK"/>
        </w:rPr>
      </w:pPr>
      <w:r w:rsidRPr="00FC60DC">
        <w:rPr>
          <w:rFonts w:ascii="Times New Roman" w:hAnsi="Times New Roman" w:cs="Times New Roman"/>
          <w:sz w:val="22"/>
          <w:szCs w:val="22"/>
          <w:lang w:val="sk-SK"/>
        </w:rPr>
        <w:t>Farmakokinetické údaje u pediatrickej populácie sú obmedz</w:t>
      </w:r>
      <w:r w:rsidRPr="00B4462C">
        <w:rPr>
          <w:rFonts w:ascii="Times New Roman" w:hAnsi="Times New Roman" w:cs="Times New Roman"/>
          <w:sz w:val="22"/>
          <w:szCs w:val="22"/>
          <w:lang w:val="sk-SK"/>
        </w:rPr>
        <w:t>ené.</w:t>
      </w:r>
    </w:p>
    <w:p w14:paraId="1DA38BAB" w14:textId="77777777" w:rsidR="00CF3670" w:rsidRPr="00B4462C" w:rsidRDefault="00CF3670" w:rsidP="00FA2E36">
      <w:pPr>
        <w:pStyle w:val="Zkladntext"/>
        <w:jc w:val="left"/>
        <w:rPr>
          <w:rFonts w:ascii="Times New Roman" w:hAnsi="Times New Roman" w:cs="Times New Roman"/>
          <w:sz w:val="22"/>
          <w:szCs w:val="22"/>
          <w:lang w:val="sk-SK"/>
        </w:rPr>
      </w:pPr>
    </w:p>
    <w:p w14:paraId="2631EF12" w14:textId="77777777" w:rsidR="00CF3670" w:rsidRPr="00B4462C" w:rsidRDefault="00CF3670" w:rsidP="00FA2E36">
      <w:pPr>
        <w:pStyle w:val="Zkladntext"/>
        <w:jc w:val="left"/>
        <w:rPr>
          <w:rFonts w:ascii="Times New Roman" w:hAnsi="Times New Roman" w:cs="Times New Roman"/>
          <w:sz w:val="22"/>
          <w:szCs w:val="22"/>
          <w:lang w:val="sk-SK"/>
        </w:rPr>
      </w:pPr>
      <w:r w:rsidRPr="00B4462C">
        <w:rPr>
          <w:rFonts w:ascii="Times New Roman" w:hAnsi="Times New Roman" w:cs="Times New Roman"/>
          <w:sz w:val="22"/>
          <w:szCs w:val="22"/>
          <w:lang w:val="sk-SK"/>
        </w:rPr>
        <w:t>V štúdii u detí neboli hodnoty Cmax a AUC závislé od veku (nad 1 rok). Nepozorovalo sa žiadne významné zvýšenie hodnôt Cmax a AUC po podaní viacerých dávok (10 mg/kg trikrát denne).</w:t>
      </w:r>
    </w:p>
    <w:p w14:paraId="64AD581C" w14:textId="77777777" w:rsidR="00CF3670" w:rsidRPr="00B4462C" w:rsidRDefault="00CF3670" w:rsidP="00FA2E36">
      <w:pPr>
        <w:pStyle w:val="Zkladntext"/>
        <w:jc w:val="left"/>
        <w:rPr>
          <w:rFonts w:ascii="Times New Roman" w:hAnsi="Times New Roman" w:cs="Times New Roman"/>
          <w:sz w:val="22"/>
          <w:szCs w:val="22"/>
          <w:lang w:val="sk-SK"/>
        </w:rPr>
      </w:pPr>
    </w:p>
    <w:p w14:paraId="691A0A74" w14:textId="77777777" w:rsidR="00CF3670" w:rsidRPr="00B4462C" w:rsidRDefault="00CF3670" w:rsidP="00FA2E36">
      <w:pPr>
        <w:pStyle w:val="Zkladntext"/>
        <w:jc w:val="left"/>
        <w:rPr>
          <w:rFonts w:ascii="Times New Roman" w:hAnsi="Times New Roman" w:cs="Times New Roman"/>
          <w:sz w:val="22"/>
          <w:szCs w:val="22"/>
          <w:lang w:val="sk-SK"/>
        </w:rPr>
      </w:pPr>
      <w:r w:rsidRPr="00B4462C">
        <w:rPr>
          <w:rFonts w:ascii="Times New Roman" w:hAnsi="Times New Roman" w:cs="Times New Roman"/>
          <w:sz w:val="22"/>
          <w:szCs w:val="22"/>
          <w:lang w:val="sk-SK"/>
        </w:rPr>
        <w:t>U 10 detí s ťažkou sepsou bolo Cmax 6,1 mg/l (rozsah 4,6-8,3 mg/l) po intravenóznej infúzii 10 mg/kg trvajúcej hodinu u detí mladších ako 1 rok v porovnaní s 7,2 mg/l (rozsah 4,7-11,8 mg/l) u detí od 1 do 5 rokov. Hodnoty AUC u jednotlivých skupín boli 17,4 mg.hod/l (rozsah 11,8-32,0 mg.hod/l) a 16,5 mg.hod/l (rozsah 11,0-23,8 mg.hod/l).</w:t>
      </w:r>
    </w:p>
    <w:p w14:paraId="270FEDA4" w14:textId="77777777" w:rsidR="00CF3670" w:rsidRPr="00B4462C" w:rsidRDefault="00CF3670" w:rsidP="00FA2E36">
      <w:pPr>
        <w:pStyle w:val="Zkladntext"/>
        <w:jc w:val="left"/>
        <w:rPr>
          <w:rFonts w:ascii="Times New Roman" w:hAnsi="Times New Roman" w:cs="Times New Roman"/>
          <w:sz w:val="22"/>
          <w:szCs w:val="22"/>
          <w:lang w:val="sk-SK"/>
        </w:rPr>
      </w:pPr>
    </w:p>
    <w:p w14:paraId="291C7CD4" w14:textId="77777777" w:rsidR="00CF3670" w:rsidRPr="00B4462C" w:rsidRDefault="00CF3670" w:rsidP="00FA2E36">
      <w:pPr>
        <w:pStyle w:val="Zkladntext"/>
        <w:jc w:val="left"/>
        <w:rPr>
          <w:rFonts w:ascii="Times New Roman" w:hAnsi="Times New Roman" w:cs="Times New Roman"/>
          <w:sz w:val="22"/>
          <w:szCs w:val="22"/>
          <w:lang w:val="sk-SK"/>
        </w:rPr>
      </w:pPr>
      <w:r w:rsidRPr="00B4462C">
        <w:rPr>
          <w:rFonts w:ascii="Times New Roman" w:hAnsi="Times New Roman" w:cs="Times New Roman"/>
          <w:sz w:val="22"/>
          <w:szCs w:val="22"/>
          <w:lang w:val="sk-SK"/>
        </w:rPr>
        <w:t>Tieto hodnoty spadajú do rozsahu hláseného u dospelých pri podávaní terapeutických dávok. Na základe populačnej analýzy farmakokinetických údajov u pediatrických pacientov s rôznymi infekciami je predpokladaný priemerný biologický polčas u detí približne 4-5 hodín a biodostupnosť po podaní perorálnej suspenzie je medzi 50 až 80</w:t>
      </w:r>
      <w:r>
        <w:rPr>
          <w:rFonts w:ascii="Times New Roman" w:hAnsi="Times New Roman" w:cs="Times New Roman"/>
          <w:sz w:val="22"/>
          <w:szCs w:val="22"/>
          <w:lang w:val="sk-SK"/>
        </w:rPr>
        <w:t> </w:t>
      </w:r>
      <w:r w:rsidRPr="00B4462C">
        <w:rPr>
          <w:rFonts w:ascii="Times New Roman" w:hAnsi="Times New Roman" w:cs="Times New Roman"/>
          <w:sz w:val="22"/>
          <w:szCs w:val="22"/>
          <w:lang w:val="sk-SK"/>
        </w:rPr>
        <w:t>%.</w:t>
      </w:r>
    </w:p>
    <w:p w14:paraId="44ED9919" w14:textId="77777777" w:rsidR="00CF3670" w:rsidRPr="00B4462C" w:rsidRDefault="00CF3670" w:rsidP="00B65191">
      <w:pPr>
        <w:widowControl w:val="0"/>
        <w:rPr>
          <w:b/>
          <w:sz w:val="22"/>
          <w:szCs w:val="22"/>
          <w:lang w:val="sk-SK"/>
        </w:rPr>
      </w:pPr>
    </w:p>
    <w:p w14:paraId="6A1723E1" w14:textId="77777777" w:rsidR="00CF3670" w:rsidRPr="00B4462C" w:rsidRDefault="00CF3670" w:rsidP="00B65191">
      <w:pPr>
        <w:keepNext/>
        <w:widowControl w:val="0"/>
        <w:tabs>
          <w:tab w:val="left" w:pos="567"/>
        </w:tabs>
        <w:rPr>
          <w:sz w:val="22"/>
          <w:szCs w:val="22"/>
          <w:lang w:val="sk-SK"/>
        </w:rPr>
      </w:pPr>
      <w:r w:rsidRPr="00B4462C">
        <w:rPr>
          <w:b/>
          <w:sz w:val="22"/>
          <w:szCs w:val="22"/>
          <w:lang w:val="sk-SK"/>
        </w:rPr>
        <w:t>5.3</w:t>
      </w:r>
      <w:r w:rsidRPr="00B4462C">
        <w:rPr>
          <w:b/>
          <w:sz w:val="22"/>
          <w:szCs w:val="22"/>
          <w:lang w:val="sk-SK"/>
        </w:rPr>
        <w:tab/>
        <w:t>Predklinické údaje o bezpečnosti</w:t>
      </w:r>
    </w:p>
    <w:p w14:paraId="14C859BD" w14:textId="77777777" w:rsidR="00CF3670" w:rsidRPr="00B4462C" w:rsidRDefault="00CF3670" w:rsidP="00B65191">
      <w:pPr>
        <w:widowControl w:val="0"/>
        <w:rPr>
          <w:i/>
          <w:sz w:val="22"/>
          <w:szCs w:val="22"/>
          <w:lang w:val="sk-SK"/>
        </w:rPr>
      </w:pPr>
    </w:p>
    <w:p w14:paraId="652769D2" w14:textId="77777777" w:rsidR="00CF3670" w:rsidRPr="00B4462C" w:rsidRDefault="00CF3670" w:rsidP="00FA2E36">
      <w:pPr>
        <w:rPr>
          <w:color w:val="000000"/>
          <w:sz w:val="22"/>
          <w:szCs w:val="22"/>
          <w:lang w:val="sk-SK"/>
        </w:rPr>
      </w:pPr>
      <w:r w:rsidRPr="00B4462C">
        <w:rPr>
          <w:color w:val="000000"/>
          <w:sz w:val="22"/>
          <w:szCs w:val="22"/>
          <w:lang w:val="sk-SK"/>
        </w:rPr>
        <w:t xml:space="preserve">Predklinické údaje získané na základe obvyklých štúdií toxicity po podaní jednorazovej dávky, toxicity po opakovanom podávaní, karcinogénneho potenciálu a reprodukčnej toxicity neodhalili žiadne osobitné riziko pre ľudí. Podobne ako iné chinolóny, ciprofloxacín je fototoxický u zvierat pri klinicky relevantných expozičných hladinách. Údaje o fotomutagenicite/fotokarcinogenite ukazujú slabý fotomutagénny alebo fototumorogénny účinok ciprofloxacínu </w:t>
      </w:r>
      <w:r w:rsidRPr="00B4462C">
        <w:rPr>
          <w:i/>
          <w:color w:val="000000"/>
          <w:sz w:val="22"/>
          <w:szCs w:val="22"/>
          <w:lang w:val="sk-SK"/>
        </w:rPr>
        <w:t>in vitro</w:t>
      </w:r>
      <w:r w:rsidRPr="00B4462C">
        <w:rPr>
          <w:color w:val="000000"/>
          <w:sz w:val="22"/>
          <w:szCs w:val="22"/>
          <w:lang w:val="sk-SK"/>
        </w:rPr>
        <w:t xml:space="preserve"> a v skúšaniach na zvieratách. Tento účinok bol porovnateľný s účinkom iných inhibítorov gyrázy. </w:t>
      </w:r>
    </w:p>
    <w:p w14:paraId="3413860A" w14:textId="77777777" w:rsidR="00CF3670" w:rsidRPr="00B4462C" w:rsidRDefault="00CF3670" w:rsidP="00B65191">
      <w:pPr>
        <w:widowControl w:val="0"/>
        <w:rPr>
          <w:i/>
          <w:sz w:val="22"/>
          <w:szCs w:val="22"/>
          <w:lang w:val="sk-SK"/>
        </w:rPr>
      </w:pPr>
    </w:p>
    <w:p w14:paraId="6C0A04EC" w14:textId="77777777" w:rsidR="00CF3670" w:rsidRPr="00B4462C" w:rsidRDefault="00CF3670" w:rsidP="00B65191">
      <w:pPr>
        <w:widowControl w:val="0"/>
        <w:rPr>
          <w:i/>
          <w:sz w:val="22"/>
          <w:szCs w:val="22"/>
          <w:lang w:val="sk-SK"/>
        </w:rPr>
      </w:pPr>
      <w:r w:rsidRPr="00B4462C">
        <w:rPr>
          <w:i/>
          <w:sz w:val="22"/>
          <w:szCs w:val="22"/>
          <w:lang w:val="sk-SK"/>
        </w:rPr>
        <w:t>Znášanlivosť týkajúca sa kĺbov</w:t>
      </w:r>
    </w:p>
    <w:p w14:paraId="576BC306" w14:textId="77777777" w:rsidR="00CF3670" w:rsidRPr="00B4462C" w:rsidRDefault="00CF3670" w:rsidP="00B65191">
      <w:pPr>
        <w:widowControl w:val="0"/>
        <w:rPr>
          <w:rFonts w:eastAsia="TimesNewRoman"/>
          <w:color w:val="000000"/>
          <w:sz w:val="22"/>
          <w:szCs w:val="22"/>
          <w:lang w:val="sk-SK"/>
        </w:rPr>
      </w:pPr>
      <w:r w:rsidRPr="00B4462C">
        <w:rPr>
          <w:sz w:val="22"/>
          <w:szCs w:val="22"/>
          <w:lang w:val="sk-SK"/>
        </w:rPr>
        <w:t>Tak ako sa hlásilo u iných inhibítorov gyrázy, ciprofloxacín spôsobuje poškodenie veľkých nosných kĺbov u nedospelých zvierat. Rozsah poškodenia chrupiek sa líši v závislosti od veku, živočíšneho druhu a dávky</w:t>
      </w:r>
      <w:r w:rsidRPr="00B4462C">
        <w:rPr>
          <w:rFonts w:eastAsia="TimesNewRoman"/>
          <w:color w:val="000000"/>
          <w:sz w:val="22"/>
          <w:szCs w:val="22"/>
          <w:lang w:val="sk-SK"/>
        </w:rPr>
        <w:t>; poškodenie je možné znížiť nezaťažovaním kĺbov. V štúdii na dospelých zvieratách (potkany, psy) sa nedokázalo poškodenie chrupiek. V štúdii na mladých psoch rasy beagle spôsobil ciprofloxacín v terapeutických dávkach kĺbové zmeny po dvoch týždňoch liečby, ktoré boli stále pozorované po 5 mesiacoch.</w:t>
      </w:r>
    </w:p>
    <w:p w14:paraId="5C25AF98" w14:textId="77777777" w:rsidR="00CF3670" w:rsidRPr="00B4462C" w:rsidRDefault="00CF3670" w:rsidP="00B65191">
      <w:pPr>
        <w:widowControl w:val="0"/>
        <w:rPr>
          <w:rFonts w:eastAsia="TimesNewRoman"/>
          <w:color w:val="000000"/>
          <w:sz w:val="22"/>
          <w:szCs w:val="22"/>
          <w:lang w:val="sk-SK"/>
        </w:rPr>
      </w:pPr>
    </w:p>
    <w:p w14:paraId="2CCE4212" w14:textId="77777777" w:rsidR="00CF3670" w:rsidRPr="00B4462C" w:rsidRDefault="00CF3670" w:rsidP="00B65191">
      <w:pPr>
        <w:keepNext/>
        <w:widowControl w:val="0"/>
        <w:tabs>
          <w:tab w:val="left" w:pos="567"/>
        </w:tabs>
        <w:rPr>
          <w:b/>
          <w:sz w:val="22"/>
          <w:szCs w:val="22"/>
          <w:lang w:val="sk-SK"/>
        </w:rPr>
      </w:pPr>
    </w:p>
    <w:p w14:paraId="7FC97CEF" w14:textId="77777777" w:rsidR="00CF3670" w:rsidRPr="00B4462C" w:rsidRDefault="00CF3670" w:rsidP="00B65191">
      <w:pPr>
        <w:keepNext/>
        <w:widowControl w:val="0"/>
        <w:tabs>
          <w:tab w:val="left" w:pos="567"/>
        </w:tabs>
        <w:rPr>
          <w:sz w:val="22"/>
          <w:szCs w:val="22"/>
          <w:lang w:val="sk-SK"/>
        </w:rPr>
      </w:pPr>
      <w:r w:rsidRPr="00B4462C">
        <w:rPr>
          <w:b/>
          <w:sz w:val="22"/>
          <w:szCs w:val="22"/>
          <w:lang w:val="sk-SK"/>
        </w:rPr>
        <w:t>6.</w:t>
      </w:r>
      <w:r w:rsidRPr="00B4462C">
        <w:rPr>
          <w:b/>
          <w:sz w:val="22"/>
          <w:szCs w:val="22"/>
          <w:lang w:val="sk-SK"/>
        </w:rPr>
        <w:tab/>
        <w:t>FARMACEUTICKÉ INFORMÁCIE</w:t>
      </w:r>
    </w:p>
    <w:p w14:paraId="6FCAD934" w14:textId="77777777" w:rsidR="00CF3670" w:rsidRPr="00B4462C" w:rsidRDefault="00CF3670" w:rsidP="00B65191">
      <w:pPr>
        <w:widowControl w:val="0"/>
        <w:rPr>
          <w:b/>
          <w:sz w:val="22"/>
          <w:szCs w:val="22"/>
          <w:lang w:val="sk-SK"/>
        </w:rPr>
      </w:pPr>
    </w:p>
    <w:p w14:paraId="53FB8DCF" w14:textId="77777777" w:rsidR="00CF3670" w:rsidRPr="00B4462C" w:rsidRDefault="00CF3670" w:rsidP="00B65191">
      <w:pPr>
        <w:widowControl w:val="0"/>
        <w:tabs>
          <w:tab w:val="left" w:pos="567"/>
        </w:tabs>
        <w:rPr>
          <w:sz w:val="22"/>
          <w:szCs w:val="22"/>
          <w:lang w:val="sk-SK"/>
        </w:rPr>
      </w:pPr>
      <w:r w:rsidRPr="00B4462C">
        <w:rPr>
          <w:b/>
          <w:sz w:val="22"/>
          <w:szCs w:val="22"/>
          <w:lang w:val="sk-SK"/>
        </w:rPr>
        <w:t>6.1</w:t>
      </w:r>
      <w:r w:rsidRPr="00B4462C">
        <w:rPr>
          <w:b/>
          <w:sz w:val="22"/>
          <w:szCs w:val="22"/>
          <w:lang w:val="sk-SK"/>
        </w:rPr>
        <w:tab/>
        <w:t>Zoznam pomocných látok</w:t>
      </w:r>
    </w:p>
    <w:p w14:paraId="747C2A05" w14:textId="77777777" w:rsidR="00CF3670" w:rsidRPr="00B4462C" w:rsidRDefault="00CF3670" w:rsidP="00B65191">
      <w:pPr>
        <w:rPr>
          <w:i/>
          <w:sz w:val="22"/>
          <w:szCs w:val="22"/>
          <w:lang w:val="sk-SK"/>
        </w:rPr>
      </w:pPr>
    </w:p>
    <w:p w14:paraId="5A64EA44" w14:textId="77777777" w:rsidR="00CF3670" w:rsidRPr="00B4462C" w:rsidRDefault="00CF3670" w:rsidP="00B65191">
      <w:pPr>
        <w:rPr>
          <w:i/>
          <w:sz w:val="22"/>
          <w:szCs w:val="22"/>
          <w:lang w:val="sk-SK"/>
        </w:rPr>
      </w:pPr>
      <w:r w:rsidRPr="00B4462C">
        <w:rPr>
          <w:i/>
          <w:sz w:val="22"/>
          <w:szCs w:val="22"/>
          <w:lang w:val="sk-SK"/>
        </w:rPr>
        <w:t>Jadro tablety:</w:t>
      </w:r>
    </w:p>
    <w:p w14:paraId="6C7C14A2" w14:textId="77777777" w:rsidR="00CF3670" w:rsidRPr="00B4462C" w:rsidRDefault="00CF3670" w:rsidP="00B65191">
      <w:pPr>
        <w:rPr>
          <w:sz w:val="22"/>
          <w:szCs w:val="22"/>
          <w:lang w:val="sk-SK"/>
        </w:rPr>
      </w:pPr>
      <w:r>
        <w:rPr>
          <w:sz w:val="22"/>
          <w:szCs w:val="22"/>
          <w:lang w:val="sk-SK"/>
        </w:rPr>
        <w:t>m</w:t>
      </w:r>
      <w:r w:rsidRPr="00B4462C">
        <w:rPr>
          <w:sz w:val="22"/>
          <w:szCs w:val="22"/>
          <w:lang w:val="sk-SK"/>
        </w:rPr>
        <w:t>ikrokryštalická celulóza</w:t>
      </w:r>
    </w:p>
    <w:p w14:paraId="6F307433" w14:textId="77777777" w:rsidR="00CF3670" w:rsidRPr="00B4462C" w:rsidRDefault="00CF3670" w:rsidP="00B65191">
      <w:pPr>
        <w:rPr>
          <w:sz w:val="22"/>
          <w:szCs w:val="22"/>
          <w:lang w:val="sk-SK"/>
        </w:rPr>
      </w:pPr>
      <w:r>
        <w:rPr>
          <w:sz w:val="22"/>
          <w:szCs w:val="22"/>
          <w:lang w:val="sk-SK"/>
        </w:rPr>
        <w:t>p</w:t>
      </w:r>
      <w:r w:rsidRPr="00B4462C">
        <w:rPr>
          <w:sz w:val="22"/>
          <w:szCs w:val="22"/>
          <w:lang w:val="sk-SK"/>
        </w:rPr>
        <w:t>ovidón K-30</w:t>
      </w:r>
    </w:p>
    <w:p w14:paraId="30E6B15A" w14:textId="77777777" w:rsidR="00CF3670" w:rsidRPr="00B4462C" w:rsidRDefault="00CF3670" w:rsidP="00B65191">
      <w:pPr>
        <w:rPr>
          <w:sz w:val="22"/>
          <w:szCs w:val="22"/>
          <w:lang w:val="sk-SK"/>
        </w:rPr>
      </w:pPr>
      <w:r>
        <w:rPr>
          <w:sz w:val="22"/>
          <w:szCs w:val="22"/>
          <w:lang w:val="sk-SK"/>
        </w:rPr>
        <w:t>s</w:t>
      </w:r>
      <w:r w:rsidRPr="00B4462C">
        <w:rPr>
          <w:sz w:val="22"/>
          <w:szCs w:val="22"/>
          <w:lang w:val="sk-SK"/>
        </w:rPr>
        <w:t>odná soľ kroskarmelózy</w:t>
      </w:r>
    </w:p>
    <w:p w14:paraId="1D2EA808" w14:textId="77777777" w:rsidR="00CF3670" w:rsidRPr="00B4462C" w:rsidRDefault="00CF3670" w:rsidP="00B65191">
      <w:pPr>
        <w:rPr>
          <w:sz w:val="22"/>
          <w:szCs w:val="22"/>
          <w:lang w:val="sk-SK"/>
        </w:rPr>
      </w:pPr>
      <w:r>
        <w:rPr>
          <w:sz w:val="22"/>
          <w:szCs w:val="22"/>
          <w:lang w:val="sk-SK"/>
        </w:rPr>
        <w:t>k</w:t>
      </w:r>
      <w:r w:rsidRPr="00B4462C">
        <w:rPr>
          <w:sz w:val="22"/>
          <w:szCs w:val="22"/>
          <w:lang w:val="sk-SK"/>
        </w:rPr>
        <w:t>oloidný oxid kremičitý</w:t>
      </w:r>
    </w:p>
    <w:p w14:paraId="21F108AF" w14:textId="670C29B9" w:rsidR="00CF3670" w:rsidRPr="00B4462C" w:rsidRDefault="00DA279A" w:rsidP="00B65191">
      <w:pPr>
        <w:rPr>
          <w:sz w:val="22"/>
          <w:szCs w:val="22"/>
          <w:lang w:val="sk-SK"/>
        </w:rPr>
      </w:pPr>
      <w:r>
        <w:rPr>
          <w:sz w:val="22"/>
          <w:szCs w:val="22"/>
          <w:lang w:val="sk-SK"/>
        </w:rPr>
        <w:t>stearát horečnatý</w:t>
      </w:r>
    </w:p>
    <w:p w14:paraId="36E6E9E2" w14:textId="77777777" w:rsidR="00CF3670" w:rsidRPr="00B4462C" w:rsidRDefault="00CF3670" w:rsidP="00B65191">
      <w:pPr>
        <w:rPr>
          <w:i/>
          <w:sz w:val="22"/>
          <w:szCs w:val="22"/>
          <w:lang w:val="sk-SK"/>
        </w:rPr>
      </w:pPr>
    </w:p>
    <w:p w14:paraId="53A74171" w14:textId="77777777" w:rsidR="00CF3670" w:rsidRPr="00B4462C" w:rsidRDefault="00CF3670" w:rsidP="00B65191">
      <w:pPr>
        <w:rPr>
          <w:sz w:val="22"/>
          <w:szCs w:val="22"/>
          <w:lang w:val="sk-SK"/>
        </w:rPr>
      </w:pPr>
      <w:r w:rsidRPr="00B4462C">
        <w:rPr>
          <w:i/>
          <w:sz w:val="22"/>
          <w:szCs w:val="22"/>
          <w:lang w:val="sk-SK"/>
        </w:rPr>
        <w:t>Filmový obal:</w:t>
      </w:r>
    </w:p>
    <w:p w14:paraId="52866AAF" w14:textId="77777777" w:rsidR="00CF3670" w:rsidRPr="00B4462C" w:rsidRDefault="00CF3670" w:rsidP="00B65191">
      <w:pPr>
        <w:rPr>
          <w:sz w:val="22"/>
          <w:szCs w:val="22"/>
          <w:lang w:val="sk-SK"/>
        </w:rPr>
      </w:pPr>
      <w:r>
        <w:rPr>
          <w:sz w:val="22"/>
          <w:szCs w:val="22"/>
          <w:lang w:val="sk-SK"/>
        </w:rPr>
        <w:t>h</w:t>
      </w:r>
      <w:r w:rsidRPr="00B4462C">
        <w:rPr>
          <w:sz w:val="22"/>
          <w:szCs w:val="22"/>
          <w:lang w:val="sk-SK"/>
        </w:rPr>
        <w:t>ypromelóza</w:t>
      </w:r>
    </w:p>
    <w:p w14:paraId="09B7A53A" w14:textId="77777777" w:rsidR="00CF3670" w:rsidRPr="00B4462C" w:rsidRDefault="00CF3670" w:rsidP="00B65191">
      <w:pPr>
        <w:rPr>
          <w:sz w:val="22"/>
          <w:szCs w:val="22"/>
          <w:lang w:val="sk-SK"/>
        </w:rPr>
      </w:pPr>
      <w:r>
        <w:rPr>
          <w:sz w:val="22"/>
          <w:szCs w:val="22"/>
          <w:lang w:val="sk-SK"/>
        </w:rPr>
        <w:t>o</w:t>
      </w:r>
      <w:r w:rsidRPr="00B4462C">
        <w:rPr>
          <w:sz w:val="22"/>
          <w:szCs w:val="22"/>
          <w:lang w:val="sk-SK"/>
        </w:rPr>
        <w:t>xid titaničitý (E171)</w:t>
      </w:r>
    </w:p>
    <w:p w14:paraId="654A59E4" w14:textId="77777777" w:rsidR="00CF3670" w:rsidRPr="00B4462C" w:rsidRDefault="00CF3670" w:rsidP="00B65191">
      <w:pPr>
        <w:widowControl w:val="0"/>
        <w:rPr>
          <w:sz w:val="22"/>
          <w:szCs w:val="22"/>
          <w:lang w:val="sk-SK"/>
        </w:rPr>
      </w:pPr>
      <w:r>
        <w:rPr>
          <w:sz w:val="22"/>
          <w:szCs w:val="22"/>
          <w:lang w:val="sk-SK"/>
        </w:rPr>
        <w:t>m</w:t>
      </w:r>
      <w:r w:rsidRPr="00B4462C">
        <w:rPr>
          <w:sz w:val="22"/>
          <w:szCs w:val="22"/>
          <w:lang w:val="sk-SK"/>
        </w:rPr>
        <w:t>akrogol 400</w:t>
      </w:r>
    </w:p>
    <w:p w14:paraId="70676607" w14:textId="77777777" w:rsidR="00CF3670" w:rsidRPr="00B4462C" w:rsidRDefault="00CF3670" w:rsidP="00B65191">
      <w:pPr>
        <w:rPr>
          <w:i/>
          <w:sz w:val="22"/>
          <w:szCs w:val="22"/>
          <w:lang w:val="sk-SK"/>
        </w:rPr>
      </w:pPr>
    </w:p>
    <w:p w14:paraId="49C21174" w14:textId="77777777" w:rsidR="00CF3670" w:rsidRPr="00B4462C" w:rsidRDefault="00CF3670" w:rsidP="00B65191">
      <w:pPr>
        <w:widowControl w:val="0"/>
        <w:tabs>
          <w:tab w:val="left" w:pos="567"/>
        </w:tabs>
        <w:rPr>
          <w:sz w:val="22"/>
          <w:szCs w:val="22"/>
          <w:lang w:val="sk-SK"/>
        </w:rPr>
      </w:pPr>
      <w:r w:rsidRPr="00B4462C">
        <w:rPr>
          <w:b/>
          <w:sz w:val="22"/>
          <w:szCs w:val="22"/>
          <w:lang w:val="sk-SK"/>
        </w:rPr>
        <w:t>6.2</w:t>
      </w:r>
      <w:r w:rsidRPr="00B4462C">
        <w:rPr>
          <w:b/>
          <w:sz w:val="22"/>
          <w:szCs w:val="22"/>
          <w:lang w:val="sk-SK"/>
        </w:rPr>
        <w:tab/>
        <w:t>Inkompatibility</w:t>
      </w:r>
    </w:p>
    <w:p w14:paraId="3524732C" w14:textId="77777777" w:rsidR="00CF3670" w:rsidRPr="00B4462C" w:rsidRDefault="00CF3670" w:rsidP="00B65191">
      <w:pPr>
        <w:widowControl w:val="0"/>
        <w:rPr>
          <w:sz w:val="22"/>
          <w:szCs w:val="22"/>
          <w:lang w:val="sk-SK"/>
        </w:rPr>
      </w:pPr>
    </w:p>
    <w:p w14:paraId="52632544" w14:textId="77777777" w:rsidR="00CF3670" w:rsidRPr="00B4462C" w:rsidRDefault="00CF3670" w:rsidP="00B65191">
      <w:pPr>
        <w:widowControl w:val="0"/>
        <w:rPr>
          <w:sz w:val="22"/>
          <w:szCs w:val="22"/>
          <w:lang w:val="sk-SK"/>
        </w:rPr>
      </w:pPr>
      <w:r w:rsidRPr="00B4462C">
        <w:rPr>
          <w:sz w:val="22"/>
          <w:szCs w:val="22"/>
          <w:lang w:val="sk-SK"/>
        </w:rPr>
        <w:t>Neaplikovateľné.</w:t>
      </w:r>
    </w:p>
    <w:p w14:paraId="40998A14" w14:textId="77777777" w:rsidR="00CF3670" w:rsidRPr="00B4462C" w:rsidRDefault="00CF3670" w:rsidP="00B65191">
      <w:pPr>
        <w:widowControl w:val="0"/>
        <w:rPr>
          <w:b/>
          <w:sz w:val="22"/>
          <w:szCs w:val="22"/>
          <w:lang w:val="sk-SK"/>
        </w:rPr>
      </w:pPr>
    </w:p>
    <w:p w14:paraId="5D52FC14" w14:textId="77777777" w:rsidR="00CF3670" w:rsidRPr="00B4462C" w:rsidRDefault="00CF3670" w:rsidP="00B65191">
      <w:pPr>
        <w:widowControl w:val="0"/>
        <w:tabs>
          <w:tab w:val="left" w:pos="567"/>
        </w:tabs>
        <w:rPr>
          <w:sz w:val="22"/>
          <w:szCs w:val="22"/>
          <w:lang w:val="sk-SK"/>
        </w:rPr>
      </w:pPr>
      <w:r w:rsidRPr="00B4462C">
        <w:rPr>
          <w:b/>
          <w:sz w:val="22"/>
          <w:szCs w:val="22"/>
          <w:lang w:val="sk-SK"/>
        </w:rPr>
        <w:t>6.3</w:t>
      </w:r>
      <w:r w:rsidRPr="00B4462C">
        <w:rPr>
          <w:b/>
          <w:sz w:val="22"/>
          <w:szCs w:val="22"/>
          <w:lang w:val="sk-SK"/>
        </w:rPr>
        <w:tab/>
        <w:t>Čas použiteľnosti</w:t>
      </w:r>
    </w:p>
    <w:p w14:paraId="539D6ACC" w14:textId="77777777" w:rsidR="00CF3670" w:rsidRPr="00B4462C" w:rsidRDefault="00CF3670" w:rsidP="00B65191">
      <w:pPr>
        <w:widowControl w:val="0"/>
        <w:rPr>
          <w:sz w:val="22"/>
          <w:szCs w:val="22"/>
          <w:lang w:val="sk-SK"/>
        </w:rPr>
      </w:pPr>
    </w:p>
    <w:p w14:paraId="591704A7" w14:textId="77777777" w:rsidR="00CF3670" w:rsidRPr="00B4462C" w:rsidRDefault="00CF3670" w:rsidP="00B65191">
      <w:pPr>
        <w:widowControl w:val="0"/>
        <w:rPr>
          <w:sz w:val="22"/>
          <w:szCs w:val="22"/>
          <w:lang w:val="sk-SK"/>
        </w:rPr>
      </w:pPr>
      <w:r w:rsidRPr="00B4462C">
        <w:rPr>
          <w:sz w:val="22"/>
          <w:szCs w:val="22"/>
          <w:lang w:val="sk-SK"/>
        </w:rPr>
        <w:t>3 roky</w:t>
      </w:r>
    </w:p>
    <w:p w14:paraId="631A4DC3" w14:textId="77777777" w:rsidR="00CF3670" w:rsidRPr="00B4462C" w:rsidRDefault="00CF3670" w:rsidP="00B65191">
      <w:pPr>
        <w:widowControl w:val="0"/>
        <w:rPr>
          <w:sz w:val="22"/>
          <w:szCs w:val="22"/>
          <w:lang w:val="sk-SK"/>
        </w:rPr>
      </w:pPr>
    </w:p>
    <w:p w14:paraId="03261C8B" w14:textId="77777777" w:rsidR="00CF3670" w:rsidRPr="00B4462C" w:rsidRDefault="00CF3670" w:rsidP="00B65191">
      <w:pPr>
        <w:keepNext/>
        <w:widowControl w:val="0"/>
        <w:tabs>
          <w:tab w:val="left" w:pos="567"/>
        </w:tabs>
        <w:rPr>
          <w:sz w:val="22"/>
          <w:szCs w:val="22"/>
          <w:lang w:val="sk-SK"/>
        </w:rPr>
      </w:pPr>
      <w:r w:rsidRPr="00B4462C">
        <w:rPr>
          <w:b/>
          <w:sz w:val="22"/>
          <w:szCs w:val="22"/>
          <w:lang w:val="sk-SK"/>
        </w:rPr>
        <w:t>6.4</w:t>
      </w:r>
      <w:r w:rsidRPr="00B4462C">
        <w:rPr>
          <w:b/>
          <w:sz w:val="22"/>
          <w:szCs w:val="22"/>
          <w:lang w:val="sk-SK"/>
        </w:rPr>
        <w:tab/>
        <w:t>Špeciálne upozornenia na uchovávanie</w:t>
      </w:r>
    </w:p>
    <w:p w14:paraId="6821A6C8" w14:textId="77777777" w:rsidR="00CF3670" w:rsidRPr="00B4462C" w:rsidRDefault="00CF3670" w:rsidP="00B65191">
      <w:pPr>
        <w:widowControl w:val="0"/>
        <w:rPr>
          <w:sz w:val="22"/>
          <w:szCs w:val="22"/>
          <w:lang w:val="sk-SK"/>
        </w:rPr>
      </w:pPr>
    </w:p>
    <w:p w14:paraId="6E083FE4" w14:textId="77777777" w:rsidR="00CF3670" w:rsidRPr="00B4462C" w:rsidRDefault="00CF3670" w:rsidP="00B65191">
      <w:pPr>
        <w:widowControl w:val="0"/>
        <w:rPr>
          <w:sz w:val="22"/>
          <w:szCs w:val="22"/>
          <w:lang w:val="sk-SK"/>
        </w:rPr>
      </w:pPr>
      <w:r w:rsidRPr="00B4462C">
        <w:rPr>
          <w:sz w:val="22"/>
          <w:szCs w:val="22"/>
          <w:lang w:val="sk-SK"/>
        </w:rPr>
        <w:t>Tento liek nevyžaduje žiadne zvláštne podmienky na uchovávanie.</w:t>
      </w:r>
    </w:p>
    <w:p w14:paraId="4D87FAA0" w14:textId="77777777" w:rsidR="00CF3670" w:rsidRPr="00B4462C" w:rsidDel="00E03CA9" w:rsidRDefault="00CF3670" w:rsidP="00B65191">
      <w:pPr>
        <w:widowControl w:val="0"/>
        <w:rPr>
          <w:sz w:val="22"/>
          <w:szCs w:val="22"/>
          <w:lang w:val="sk-SK"/>
        </w:rPr>
      </w:pPr>
    </w:p>
    <w:p w14:paraId="74A69C12" w14:textId="77777777" w:rsidR="00CF3670" w:rsidRPr="00B4462C" w:rsidRDefault="00CF3670" w:rsidP="00B65191">
      <w:pPr>
        <w:keepNext/>
        <w:widowControl w:val="0"/>
        <w:tabs>
          <w:tab w:val="left" w:pos="567"/>
        </w:tabs>
        <w:rPr>
          <w:sz w:val="22"/>
          <w:szCs w:val="22"/>
          <w:lang w:val="sk-SK"/>
        </w:rPr>
      </w:pPr>
      <w:r w:rsidRPr="00B4462C">
        <w:rPr>
          <w:b/>
          <w:sz w:val="22"/>
          <w:szCs w:val="22"/>
          <w:lang w:val="sk-SK"/>
        </w:rPr>
        <w:t>6.5</w:t>
      </w:r>
      <w:r w:rsidRPr="00B4462C">
        <w:rPr>
          <w:b/>
          <w:sz w:val="22"/>
          <w:szCs w:val="22"/>
          <w:lang w:val="sk-SK"/>
        </w:rPr>
        <w:tab/>
        <w:t>Druh obalu a obsah balenia</w:t>
      </w:r>
    </w:p>
    <w:p w14:paraId="36BE5779" w14:textId="77777777" w:rsidR="00CF3670" w:rsidRPr="00B4462C" w:rsidRDefault="00CF3670" w:rsidP="00B65191">
      <w:pPr>
        <w:widowControl w:val="0"/>
        <w:rPr>
          <w:sz w:val="22"/>
          <w:szCs w:val="22"/>
          <w:highlight w:val="lightGray"/>
          <w:lang w:val="sk-SK"/>
        </w:rPr>
      </w:pPr>
    </w:p>
    <w:p w14:paraId="3F2E9D64" w14:textId="77777777" w:rsidR="00CF3670" w:rsidRPr="00B4462C" w:rsidRDefault="00CF3670" w:rsidP="00B65191">
      <w:pPr>
        <w:widowControl w:val="0"/>
        <w:rPr>
          <w:sz w:val="22"/>
          <w:szCs w:val="22"/>
          <w:lang w:val="sk-SK"/>
        </w:rPr>
      </w:pPr>
      <w:r w:rsidRPr="00B4462C">
        <w:rPr>
          <w:sz w:val="22"/>
          <w:szCs w:val="22"/>
          <w:lang w:val="sk-SK"/>
        </w:rPr>
        <w:t xml:space="preserve">Priehľadný alebo biely nepriehľadný PVC/PVdC/hliníkový blister v papierových škatuliach </w:t>
      </w:r>
    </w:p>
    <w:p w14:paraId="7A58D666" w14:textId="77777777" w:rsidR="00CF3670" w:rsidRPr="00B4462C" w:rsidRDefault="00CF3670" w:rsidP="00B65191">
      <w:pPr>
        <w:widowControl w:val="0"/>
        <w:rPr>
          <w:sz w:val="22"/>
          <w:szCs w:val="22"/>
          <w:lang w:val="sk-SK"/>
        </w:rPr>
      </w:pPr>
    </w:p>
    <w:p w14:paraId="3D25F56D" w14:textId="77777777" w:rsidR="00CF3670" w:rsidRPr="00B4462C" w:rsidRDefault="00CF3670" w:rsidP="00B65191">
      <w:pPr>
        <w:widowControl w:val="0"/>
        <w:rPr>
          <w:sz w:val="22"/>
          <w:szCs w:val="22"/>
          <w:lang w:val="sk-SK"/>
        </w:rPr>
      </w:pPr>
      <w:r w:rsidRPr="00B4462C">
        <w:rPr>
          <w:sz w:val="22"/>
          <w:szCs w:val="22"/>
          <w:lang w:val="sk-SK"/>
        </w:rPr>
        <w:t xml:space="preserve">250 mg: </w:t>
      </w:r>
    </w:p>
    <w:p w14:paraId="74451F80" w14:textId="77777777" w:rsidR="00CF3670" w:rsidRPr="00B4462C" w:rsidRDefault="00CF3670" w:rsidP="00B65191">
      <w:pPr>
        <w:widowControl w:val="0"/>
        <w:rPr>
          <w:sz w:val="22"/>
          <w:szCs w:val="22"/>
          <w:lang w:val="sk-SK"/>
        </w:rPr>
      </w:pPr>
      <w:r w:rsidRPr="00B4462C">
        <w:rPr>
          <w:sz w:val="22"/>
          <w:szCs w:val="22"/>
          <w:lang w:val="sk-SK"/>
        </w:rPr>
        <w:t xml:space="preserve">Veľkosti balenia: 8, 10, 12, 16, 20, 30, </w:t>
      </w:r>
      <w:smartTag w:uri="urn:schemas-microsoft-com:office:smarttags" w:element="metricconverter">
        <w:smartTagPr>
          <w:attr w:name="ProductID" w:val="100 a"/>
        </w:smartTagPr>
        <w:r w:rsidRPr="00B4462C">
          <w:rPr>
            <w:sz w:val="22"/>
            <w:szCs w:val="22"/>
            <w:lang w:val="sk-SK"/>
          </w:rPr>
          <w:t>100 a</w:t>
        </w:r>
      </w:smartTag>
      <w:r w:rsidRPr="00B4462C">
        <w:rPr>
          <w:sz w:val="22"/>
          <w:szCs w:val="22"/>
          <w:lang w:val="sk-SK"/>
        </w:rPr>
        <w:t xml:space="preserve"> 160 filmom obalených tabliet. Nemocničné balenia s </w:t>
      </w:r>
      <w:smartTag w:uri="urn:schemas-microsoft-com:office:smarttags" w:element="metricconverter">
        <w:smartTagPr>
          <w:attr w:name="ProductID" w:val="50 a"/>
        </w:smartTagPr>
        <w:r w:rsidRPr="00B4462C">
          <w:rPr>
            <w:sz w:val="22"/>
            <w:szCs w:val="22"/>
            <w:lang w:val="sk-SK"/>
          </w:rPr>
          <w:t>50 a</w:t>
        </w:r>
      </w:smartTag>
      <w:r w:rsidRPr="00B4462C">
        <w:rPr>
          <w:sz w:val="22"/>
          <w:szCs w:val="22"/>
          <w:lang w:val="sk-SK"/>
        </w:rPr>
        <w:t xml:space="preserve"> 160 filmom obalenými tabletami.</w:t>
      </w:r>
    </w:p>
    <w:p w14:paraId="1AD66797" w14:textId="77777777" w:rsidR="00CF3670" w:rsidRPr="00B4462C" w:rsidRDefault="00CF3670" w:rsidP="00B65191">
      <w:pPr>
        <w:widowControl w:val="0"/>
        <w:rPr>
          <w:sz w:val="22"/>
          <w:szCs w:val="22"/>
          <w:highlight w:val="lightGray"/>
          <w:lang w:val="sk-SK"/>
        </w:rPr>
      </w:pPr>
    </w:p>
    <w:p w14:paraId="2E50C986" w14:textId="77777777" w:rsidR="00CF3670" w:rsidRPr="00B4462C" w:rsidRDefault="00CF3670" w:rsidP="00B65191">
      <w:pPr>
        <w:widowControl w:val="0"/>
        <w:rPr>
          <w:sz w:val="22"/>
          <w:szCs w:val="22"/>
          <w:lang w:val="sk-SK"/>
        </w:rPr>
      </w:pPr>
      <w:r w:rsidRPr="00B4462C">
        <w:rPr>
          <w:sz w:val="22"/>
          <w:szCs w:val="22"/>
          <w:lang w:val="sk-SK"/>
        </w:rPr>
        <w:t xml:space="preserve">500 mg: </w:t>
      </w:r>
    </w:p>
    <w:p w14:paraId="6C4FDFF6" w14:textId="7B2FAE9A" w:rsidR="00CF3670" w:rsidRPr="00B4462C" w:rsidRDefault="00CF3670" w:rsidP="00B65191">
      <w:pPr>
        <w:widowControl w:val="0"/>
        <w:rPr>
          <w:sz w:val="22"/>
          <w:szCs w:val="22"/>
          <w:lang w:val="sk-SK"/>
        </w:rPr>
      </w:pPr>
      <w:r w:rsidRPr="00B4462C">
        <w:rPr>
          <w:sz w:val="22"/>
          <w:szCs w:val="22"/>
          <w:lang w:val="sk-SK"/>
        </w:rPr>
        <w:t>Veľkosti balenia: 6, 8, 10, 12, 16, 20, 30, 100, 120 (</w:t>
      </w:r>
      <w:r w:rsidR="00BB7CC8">
        <w:rPr>
          <w:sz w:val="22"/>
          <w:szCs w:val="22"/>
          <w:lang w:val="sk-SK"/>
        </w:rPr>
        <w:t>blister s jednotlivými dávkami</w:t>
      </w:r>
      <w:r w:rsidRPr="00B4462C">
        <w:rPr>
          <w:sz w:val="22"/>
          <w:szCs w:val="22"/>
          <w:lang w:val="sk-SK"/>
        </w:rPr>
        <w:t xml:space="preserve">) a 160 filmom obalených tabliet. Nemocničné balenia s 50, </w:t>
      </w:r>
      <w:smartTag w:uri="urn:schemas-microsoft-com:office:smarttags" w:element="metricconverter">
        <w:smartTagPr>
          <w:attr w:name="ProductID" w:val="100 a"/>
        </w:smartTagPr>
        <w:r w:rsidRPr="00B4462C">
          <w:rPr>
            <w:sz w:val="22"/>
            <w:szCs w:val="22"/>
            <w:lang w:val="sk-SK"/>
          </w:rPr>
          <w:t>100 a</w:t>
        </w:r>
      </w:smartTag>
      <w:r w:rsidRPr="00B4462C">
        <w:rPr>
          <w:sz w:val="22"/>
          <w:szCs w:val="22"/>
          <w:lang w:val="sk-SK"/>
        </w:rPr>
        <w:t xml:space="preserve"> 160 filmom obalenými tabletami.</w:t>
      </w:r>
    </w:p>
    <w:p w14:paraId="4F4FC8BE" w14:textId="77777777" w:rsidR="00CF3670" w:rsidRPr="00B4462C" w:rsidRDefault="00CF3670" w:rsidP="00B65191">
      <w:pPr>
        <w:widowControl w:val="0"/>
        <w:rPr>
          <w:sz w:val="22"/>
          <w:szCs w:val="22"/>
          <w:highlight w:val="lightGray"/>
          <w:lang w:val="sk-SK"/>
        </w:rPr>
      </w:pPr>
    </w:p>
    <w:p w14:paraId="42D4FBE9" w14:textId="77777777" w:rsidR="00CF3670" w:rsidRPr="00B4462C" w:rsidRDefault="00CF3670" w:rsidP="00B65191">
      <w:pPr>
        <w:widowControl w:val="0"/>
        <w:rPr>
          <w:sz w:val="22"/>
          <w:szCs w:val="22"/>
          <w:lang w:val="sk-SK"/>
        </w:rPr>
      </w:pPr>
      <w:r w:rsidRPr="00B4462C">
        <w:rPr>
          <w:sz w:val="22"/>
          <w:szCs w:val="22"/>
          <w:lang w:val="sk-SK"/>
        </w:rPr>
        <w:t xml:space="preserve">750 mg: </w:t>
      </w:r>
    </w:p>
    <w:p w14:paraId="7FD10025" w14:textId="77777777" w:rsidR="00CF3670" w:rsidRPr="00B4462C" w:rsidRDefault="00CF3670" w:rsidP="00B65191">
      <w:pPr>
        <w:widowControl w:val="0"/>
        <w:rPr>
          <w:sz w:val="22"/>
          <w:szCs w:val="22"/>
          <w:highlight w:val="lightGray"/>
          <w:lang w:val="sk-SK"/>
        </w:rPr>
      </w:pPr>
      <w:r w:rsidRPr="00B4462C">
        <w:rPr>
          <w:sz w:val="22"/>
          <w:szCs w:val="22"/>
          <w:lang w:val="sk-SK"/>
        </w:rPr>
        <w:t xml:space="preserve">Veľkosti balenia: 8, 10, 12, 16, 20, 30, </w:t>
      </w:r>
      <w:smartTag w:uri="urn:schemas-microsoft-com:office:smarttags" w:element="metricconverter">
        <w:smartTagPr>
          <w:attr w:name="ProductID" w:val="100 a"/>
        </w:smartTagPr>
        <w:r w:rsidRPr="00B4462C">
          <w:rPr>
            <w:sz w:val="22"/>
            <w:szCs w:val="22"/>
            <w:lang w:val="sk-SK"/>
          </w:rPr>
          <w:t>100 a</w:t>
        </w:r>
      </w:smartTag>
      <w:r w:rsidRPr="00B4462C">
        <w:rPr>
          <w:sz w:val="22"/>
          <w:szCs w:val="22"/>
          <w:lang w:val="sk-SK"/>
        </w:rPr>
        <w:t xml:space="preserve"> 160 filmom obalených tabliet. Nemocničné balenia s 50, </w:t>
      </w:r>
      <w:smartTag w:uri="urn:schemas-microsoft-com:office:smarttags" w:element="metricconverter">
        <w:smartTagPr>
          <w:attr w:name="ProductID" w:val="100 a"/>
        </w:smartTagPr>
        <w:r w:rsidRPr="00B4462C">
          <w:rPr>
            <w:sz w:val="22"/>
            <w:szCs w:val="22"/>
            <w:lang w:val="sk-SK"/>
          </w:rPr>
          <w:t>100 a</w:t>
        </w:r>
      </w:smartTag>
      <w:r w:rsidRPr="00B4462C">
        <w:rPr>
          <w:sz w:val="22"/>
          <w:szCs w:val="22"/>
          <w:lang w:val="sk-SK"/>
        </w:rPr>
        <w:t xml:space="preserve"> 160 filmom obalenými tabletami.</w:t>
      </w:r>
    </w:p>
    <w:p w14:paraId="0FFF77DE" w14:textId="77777777" w:rsidR="00CF3670" w:rsidRPr="00B4462C" w:rsidRDefault="00CF3670" w:rsidP="00B65191">
      <w:pPr>
        <w:widowControl w:val="0"/>
        <w:rPr>
          <w:sz w:val="22"/>
          <w:szCs w:val="22"/>
          <w:lang w:val="sk-SK"/>
        </w:rPr>
      </w:pPr>
    </w:p>
    <w:p w14:paraId="56A62CD4" w14:textId="77777777" w:rsidR="00CF3670" w:rsidRPr="00B4462C" w:rsidRDefault="00CF3670" w:rsidP="00B65191">
      <w:pPr>
        <w:widowControl w:val="0"/>
        <w:rPr>
          <w:sz w:val="22"/>
          <w:szCs w:val="22"/>
          <w:lang w:val="sk-SK"/>
        </w:rPr>
      </w:pPr>
      <w:r w:rsidRPr="00146261">
        <w:rPr>
          <w:sz w:val="22"/>
          <w:szCs w:val="22"/>
          <w:lang w:val="sk-SK"/>
        </w:rPr>
        <w:t>Na trh nemusia byť uvedené</w:t>
      </w:r>
      <w:r w:rsidRPr="00FC60DC">
        <w:rPr>
          <w:sz w:val="22"/>
          <w:szCs w:val="22"/>
          <w:lang w:val="sk-SK"/>
        </w:rPr>
        <w:t xml:space="preserve"> všetky veľkosti balenia.</w:t>
      </w:r>
    </w:p>
    <w:p w14:paraId="4012AF29" w14:textId="77777777" w:rsidR="00CF3670" w:rsidRPr="00B4462C" w:rsidRDefault="00CF3670" w:rsidP="00B65191">
      <w:pPr>
        <w:widowControl w:val="0"/>
        <w:rPr>
          <w:b/>
          <w:sz w:val="22"/>
          <w:szCs w:val="22"/>
          <w:lang w:val="sk-SK"/>
        </w:rPr>
      </w:pPr>
    </w:p>
    <w:p w14:paraId="27D6922F" w14:textId="77777777" w:rsidR="00CF3670" w:rsidRPr="00B4462C" w:rsidRDefault="00CF3670" w:rsidP="00B65191">
      <w:pPr>
        <w:widowControl w:val="0"/>
        <w:tabs>
          <w:tab w:val="left" w:pos="567"/>
        </w:tabs>
        <w:rPr>
          <w:sz w:val="22"/>
          <w:szCs w:val="22"/>
          <w:lang w:val="sk-SK"/>
        </w:rPr>
      </w:pPr>
      <w:r w:rsidRPr="00B4462C">
        <w:rPr>
          <w:b/>
          <w:sz w:val="22"/>
          <w:szCs w:val="22"/>
          <w:lang w:val="sk-SK"/>
        </w:rPr>
        <w:t>6.6</w:t>
      </w:r>
      <w:r w:rsidRPr="00B4462C">
        <w:rPr>
          <w:b/>
          <w:sz w:val="22"/>
          <w:szCs w:val="22"/>
          <w:lang w:val="sk-SK"/>
        </w:rPr>
        <w:tab/>
      </w:r>
      <w:r w:rsidRPr="00B4462C">
        <w:rPr>
          <w:b/>
          <w:bCs/>
          <w:sz w:val="22"/>
          <w:szCs w:val="22"/>
          <w:lang w:val="sk-SK"/>
        </w:rPr>
        <w:t>Špeciálne opatrenia na likvidáciu a iné zaobchádzanie s liekom</w:t>
      </w:r>
    </w:p>
    <w:p w14:paraId="6DB2EA31" w14:textId="77777777" w:rsidR="00CF3670" w:rsidRPr="00B4462C" w:rsidRDefault="00CF3670" w:rsidP="00B65191">
      <w:pPr>
        <w:widowControl w:val="0"/>
        <w:rPr>
          <w:sz w:val="22"/>
          <w:szCs w:val="22"/>
          <w:lang w:val="sk-SK"/>
        </w:rPr>
      </w:pPr>
    </w:p>
    <w:p w14:paraId="03CF40D5" w14:textId="77777777" w:rsidR="00CF3670" w:rsidRPr="00B4462C" w:rsidRDefault="00CF3670" w:rsidP="00B65191">
      <w:pPr>
        <w:widowControl w:val="0"/>
        <w:rPr>
          <w:sz w:val="22"/>
          <w:szCs w:val="22"/>
          <w:lang w:val="sk-SK"/>
        </w:rPr>
      </w:pPr>
      <w:r w:rsidRPr="00B4462C">
        <w:rPr>
          <w:bCs/>
          <w:sz w:val="22"/>
          <w:szCs w:val="22"/>
          <w:lang w:val="sk-SK"/>
        </w:rPr>
        <w:t>Žiadne zvláštne požiadavky.</w:t>
      </w:r>
    </w:p>
    <w:p w14:paraId="40F6D590" w14:textId="77777777" w:rsidR="00CF3670" w:rsidRPr="00B4462C" w:rsidRDefault="00CF3670" w:rsidP="00B65191">
      <w:pPr>
        <w:widowControl w:val="0"/>
        <w:rPr>
          <w:sz w:val="22"/>
          <w:szCs w:val="22"/>
          <w:lang w:val="sk-SK"/>
        </w:rPr>
      </w:pPr>
    </w:p>
    <w:p w14:paraId="586BD944" w14:textId="77777777" w:rsidR="00CF3670" w:rsidRPr="00B4462C" w:rsidRDefault="00CF3670" w:rsidP="00B65191">
      <w:pPr>
        <w:widowControl w:val="0"/>
        <w:rPr>
          <w:sz w:val="22"/>
          <w:szCs w:val="22"/>
          <w:lang w:val="sk-SK"/>
        </w:rPr>
      </w:pPr>
    </w:p>
    <w:p w14:paraId="3C7AEB62" w14:textId="77777777" w:rsidR="00CF3670" w:rsidRPr="00B4462C" w:rsidRDefault="00CF3670" w:rsidP="00B65191">
      <w:pPr>
        <w:widowControl w:val="0"/>
        <w:tabs>
          <w:tab w:val="left" w:pos="567"/>
        </w:tabs>
        <w:rPr>
          <w:sz w:val="22"/>
          <w:szCs w:val="22"/>
          <w:lang w:val="sk-SK"/>
        </w:rPr>
      </w:pPr>
      <w:r w:rsidRPr="00B4462C">
        <w:rPr>
          <w:b/>
          <w:sz w:val="22"/>
          <w:szCs w:val="22"/>
          <w:lang w:val="sk-SK"/>
        </w:rPr>
        <w:t>7.</w:t>
      </w:r>
      <w:r w:rsidRPr="00B4462C">
        <w:rPr>
          <w:b/>
          <w:sz w:val="22"/>
          <w:szCs w:val="22"/>
          <w:lang w:val="sk-SK"/>
        </w:rPr>
        <w:tab/>
        <w:t>DRŽITEĽ ROZHODNUTIA O REGISTRÁCII</w:t>
      </w:r>
    </w:p>
    <w:p w14:paraId="52A4D4BC" w14:textId="77777777" w:rsidR="00CF3670" w:rsidRPr="00B4462C" w:rsidRDefault="00CF3670" w:rsidP="00B65191">
      <w:pPr>
        <w:widowControl w:val="0"/>
        <w:rPr>
          <w:b/>
          <w:sz w:val="22"/>
          <w:szCs w:val="22"/>
          <w:lang w:val="sk-SK"/>
        </w:rPr>
      </w:pPr>
    </w:p>
    <w:p w14:paraId="18820ABD" w14:textId="77777777" w:rsidR="007F6E94" w:rsidRDefault="007F6E94" w:rsidP="00B65191">
      <w:pPr>
        <w:widowControl w:val="0"/>
        <w:rPr>
          <w:sz w:val="22"/>
          <w:szCs w:val="22"/>
          <w:lang w:val="sk-SK"/>
        </w:rPr>
      </w:pPr>
      <w:r>
        <w:rPr>
          <w:sz w:val="22"/>
          <w:szCs w:val="22"/>
          <w:lang w:val="sk-SK"/>
        </w:rPr>
        <w:t>Teva B.V.</w:t>
      </w:r>
    </w:p>
    <w:p w14:paraId="4FE2B15A" w14:textId="77777777" w:rsidR="007F6E94" w:rsidRDefault="007F6E94" w:rsidP="00B65191">
      <w:pPr>
        <w:widowControl w:val="0"/>
        <w:rPr>
          <w:sz w:val="22"/>
          <w:szCs w:val="22"/>
          <w:lang w:val="sk-SK"/>
        </w:rPr>
      </w:pPr>
      <w:r w:rsidRPr="007F6E94">
        <w:rPr>
          <w:sz w:val="22"/>
          <w:szCs w:val="22"/>
          <w:lang w:val="sk-SK"/>
        </w:rPr>
        <w:t xml:space="preserve">Swensweg 5, </w:t>
      </w:r>
    </w:p>
    <w:p w14:paraId="46BAA87B" w14:textId="77777777" w:rsidR="007F6E94" w:rsidRDefault="007F6E94" w:rsidP="00B65191">
      <w:pPr>
        <w:widowControl w:val="0"/>
        <w:rPr>
          <w:sz w:val="22"/>
          <w:szCs w:val="22"/>
          <w:lang w:val="sk-SK"/>
        </w:rPr>
      </w:pPr>
      <w:r w:rsidRPr="007F6E94">
        <w:rPr>
          <w:sz w:val="22"/>
          <w:szCs w:val="22"/>
          <w:lang w:val="sk-SK"/>
        </w:rPr>
        <w:t xml:space="preserve">2031 GA Haarlem, </w:t>
      </w:r>
    </w:p>
    <w:p w14:paraId="01DE47E9" w14:textId="77777777" w:rsidR="00CF3670" w:rsidRDefault="007F6E94" w:rsidP="00B65191">
      <w:pPr>
        <w:widowControl w:val="0"/>
        <w:rPr>
          <w:b/>
          <w:sz w:val="22"/>
          <w:szCs w:val="22"/>
          <w:lang w:val="sk-SK"/>
        </w:rPr>
      </w:pPr>
      <w:r w:rsidRPr="007F6E94">
        <w:rPr>
          <w:sz w:val="22"/>
          <w:szCs w:val="22"/>
          <w:lang w:val="sk-SK"/>
        </w:rPr>
        <w:t>Holandsko</w:t>
      </w:r>
    </w:p>
    <w:p w14:paraId="47796539" w14:textId="77777777" w:rsidR="00CF3670" w:rsidRPr="00B4462C" w:rsidRDefault="00CF3670" w:rsidP="00B65191">
      <w:pPr>
        <w:widowControl w:val="0"/>
        <w:rPr>
          <w:b/>
          <w:sz w:val="22"/>
          <w:szCs w:val="22"/>
          <w:lang w:val="sk-SK"/>
        </w:rPr>
      </w:pPr>
    </w:p>
    <w:p w14:paraId="172D22AA" w14:textId="77777777" w:rsidR="00CF3670" w:rsidRPr="00B4462C" w:rsidRDefault="00CF3670" w:rsidP="00DF5E38">
      <w:pPr>
        <w:rPr>
          <w:b/>
          <w:sz w:val="22"/>
          <w:szCs w:val="22"/>
          <w:lang w:val="sk-SK"/>
        </w:rPr>
      </w:pPr>
      <w:r w:rsidRPr="00B4462C">
        <w:rPr>
          <w:b/>
          <w:sz w:val="22"/>
          <w:szCs w:val="22"/>
          <w:lang w:val="sk-SK"/>
        </w:rPr>
        <w:t>8.</w:t>
      </w:r>
      <w:r w:rsidRPr="00B4462C">
        <w:rPr>
          <w:b/>
          <w:sz w:val="22"/>
          <w:szCs w:val="22"/>
          <w:lang w:val="sk-SK"/>
        </w:rPr>
        <w:tab/>
        <w:t>REGISTRAČNÉ ČÍSLO</w:t>
      </w:r>
      <w:r w:rsidRPr="00B4462C">
        <w:rPr>
          <w:sz w:val="22"/>
          <w:szCs w:val="22"/>
          <w:lang w:val="sk-SK"/>
        </w:rPr>
        <w:t xml:space="preserve"> </w:t>
      </w:r>
    </w:p>
    <w:p w14:paraId="39978DE7" w14:textId="77777777" w:rsidR="00CF3670" w:rsidRPr="00B4462C" w:rsidRDefault="00CF3670" w:rsidP="00DF5E38">
      <w:pPr>
        <w:widowControl w:val="0"/>
        <w:tabs>
          <w:tab w:val="left" w:pos="567"/>
        </w:tabs>
        <w:rPr>
          <w:b/>
          <w:sz w:val="22"/>
          <w:szCs w:val="22"/>
          <w:lang w:val="sk-SK"/>
        </w:rPr>
      </w:pPr>
    </w:p>
    <w:p w14:paraId="062BAEF6" w14:textId="77777777" w:rsidR="00CF3670" w:rsidRPr="00B4462C" w:rsidRDefault="00CF3670" w:rsidP="00DF5E38">
      <w:pPr>
        <w:widowControl w:val="0"/>
        <w:tabs>
          <w:tab w:val="left" w:pos="567"/>
        </w:tabs>
        <w:rPr>
          <w:sz w:val="22"/>
          <w:szCs w:val="22"/>
          <w:lang w:val="sk-SK" w:eastAsia="cs-CZ"/>
        </w:rPr>
      </w:pPr>
      <w:r w:rsidRPr="00B4462C">
        <w:rPr>
          <w:sz w:val="22"/>
          <w:szCs w:val="22"/>
          <w:lang w:val="sk-SK"/>
        </w:rPr>
        <w:t>250 mg:</w:t>
      </w:r>
      <w:r w:rsidRPr="00B4462C">
        <w:rPr>
          <w:b/>
          <w:sz w:val="22"/>
          <w:szCs w:val="22"/>
          <w:lang w:val="sk-SK"/>
        </w:rPr>
        <w:t xml:space="preserve"> </w:t>
      </w:r>
      <w:r w:rsidRPr="00B4462C">
        <w:rPr>
          <w:sz w:val="22"/>
          <w:szCs w:val="22"/>
          <w:lang w:val="sk-SK" w:eastAsia="cs-CZ"/>
        </w:rPr>
        <w:t>42/0032/07-S</w:t>
      </w:r>
    </w:p>
    <w:p w14:paraId="54E3D740" w14:textId="77777777" w:rsidR="00CF3670" w:rsidRPr="00B4462C" w:rsidRDefault="00CF3670" w:rsidP="00DF5E38">
      <w:pPr>
        <w:widowControl w:val="0"/>
        <w:tabs>
          <w:tab w:val="left" w:pos="567"/>
        </w:tabs>
        <w:rPr>
          <w:sz w:val="22"/>
          <w:szCs w:val="22"/>
          <w:lang w:val="sk-SK" w:eastAsia="cs-CZ"/>
        </w:rPr>
      </w:pPr>
      <w:r w:rsidRPr="00B4462C">
        <w:rPr>
          <w:sz w:val="22"/>
          <w:szCs w:val="22"/>
          <w:lang w:val="sk-SK" w:eastAsia="cs-CZ"/>
        </w:rPr>
        <w:t>500 mg: 42/0033/07-S</w:t>
      </w:r>
    </w:p>
    <w:p w14:paraId="43C5A1D1" w14:textId="77777777" w:rsidR="00CF3670" w:rsidRPr="00B4462C" w:rsidRDefault="00CF3670" w:rsidP="00DF5E38">
      <w:pPr>
        <w:widowControl w:val="0"/>
        <w:tabs>
          <w:tab w:val="left" w:pos="567"/>
        </w:tabs>
        <w:rPr>
          <w:b/>
          <w:sz w:val="22"/>
          <w:szCs w:val="22"/>
          <w:lang w:val="sk-SK"/>
        </w:rPr>
      </w:pPr>
      <w:r w:rsidRPr="00B4462C">
        <w:rPr>
          <w:sz w:val="22"/>
          <w:szCs w:val="22"/>
          <w:lang w:val="sk-SK" w:eastAsia="cs-CZ"/>
        </w:rPr>
        <w:t>750 mg: 42/0034/07-S</w:t>
      </w:r>
    </w:p>
    <w:p w14:paraId="0FDDBA87" w14:textId="77777777" w:rsidR="00CF3670" w:rsidRDefault="00CF3670" w:rsidP="00B65191">
      <w:pPr>
        <w:widowControl w:val="0"/>
        <w:tabs>
          <w:tab w:val="left" w:pos="567"/>
        </w:tabs>
        <w:rPr>
          <w:b/>
          <w:sz w:val="22"/>
          <w:szCs w:val="22"/>
          <w:lang w:val="sk-SK"/>
        </w:rPr>
      </w:pPr>
    </w:p>
    <w:p w14:paraId="48497A39" w14:textId="77777777" w:rsidR="00CF3670" w:rsidRPr="00B4462C" w:rsidRDefault="00CF3670" w:rsidP="00B65191">
      <w:pPr>
        <w:widowControl w:val="0"/>
        <w:tabs>
          <w:tab w:val="left" w:pos="567"/>
        </w:tabs>
        <w:rPr>
          <w:b/>
          <w:sz w:val="22"/>
          <w:szCs w:val="22"/>
          <w:lang w:val="sk-SK"/>
        </w:rPr>
      </w:pPr>
    </w:p>
    <w:p w14:paraId="45E2CADA" w14:textId="77777777" w:rsidR="00CF3670" w:rsidRPr="00B4462C" w:rsidRDefault="00CF3670" w:rsidP="00B65191">
      <w:pPr>
        <w:widowControl w:val="0"/>
        <w:tabs>
          <w:tab w:val="left" w:pos="567"/>
        </w:tabs>
        <w:rPr>
          <w:sz w:val="22"/>
          <w:szCs w:val="22"/>
          <w:lang w:val="sk-SK"/>
        </w:rPr>
      </w:pPr>
      <w:r w:rsidRPr="00B4462C">
        <w:rPr>
          <w:b/>
          <w:sz w:val="22"/>
          <w:szCs w:val="22"/>
          <w:lang w:val="sk-SK"/>
        </w:rPr>
        <w:t>9.</w:t>
      </w:r>
      <w:r w:rsidRPr="00B4462C">
        <w:rPr>
          <w:b/>
          <w:sz w:val="22"/>
          <w:szCs w:val="22"/>
          <w:lang w:val="sk-SK"/>
        </w:rPr>
        <w:tab/>
        <w:t>DÁTUM PRVEJ REGISTRÁCIE/PREDĹŽENIA REGISTRÁCIE</w:t>
      </w:r>
    </w:p>
    <w:p w14:paraId="288CE77C" w14:textId="77777777" w:rsidR="00CF3670" w:rsidRDefault="00CF3670" w:rsidP="00A41651">
      <w:pPr>
        <w:widowControl w:val="0"/>
        <w:tabs>
          <w:tab w:val="left" w:pos="567"/>
        </w:tabs>
        <w:rPr>
          <w:b/>
          <w:sz w:val="22"/>
          <w:szCs w:val="22"/>
          <w:lang w:val="sk-SK"/>
        </w:rPr>
      </w:pPr>
    </w:p>
    <w:p w14:paraId="4099552A" w14:textId="77777777" w:rsidR="00CF3670" w:rsidRPr="007913A0" w:rsidRDefault="00CF3670" w:rsidP="007913A0">
      <w:pPr>
        <w:widowControl w:val="0"/>
        <w:tabs>
          <w:tab w:val="left" w:pos="567"/>
        </w:tabs>
        <w:rPr>
          <w:i/>
          <w:sz w:val="22"/>
          <w:szCs w:val="22"/>
          <w:lang w:val="sk-SK"/>
        </w:rPr>
      </w:pPr>
      <w:r w:rsidRPr="007913A0">
        <w:rPr>
          <w:sz w:val="22"/>
          <w:szCs w:val="22"/>
          <w:lang w:val="sk-SK"/>
        </w:rPr>
        <w:t xml:space="preserve">Dátum prvej registrácie: </w:t>
      </w:r>
      <w:r>
        <w:rPr>
          <w:sz w:val="22"/>
          <w:szCs w:val="22"/>
          <w:lang w:val="sk-SK"/>
        </w:rPr>
        <w:t>29.01.2007</w:t>
      </w:r>
    </w:p>
    <w:p w14:paraId="55651349" w14:textId="77777777" w:rsidR="00CF3670" w:rsidRPr="007913A0" w:rsidRDefault="00CF3670" w:rsidP="007913A0">
      <w:pPr>
        <w:widowControl w:val="0"/>
        <w:tabs>
          <w:tab w:val="left" w:pos="567"/>
        </w:tabs>
        <w:rPr>
          <w:sz w:val="22"/>
          <w:szCs w:val="22"/>
          <w:lang w:val="sk-SK"/>
        </w:rPr>
      </w:pPr>
      <w:r w:rsidRPr="007913A0">
        <w:rPr>
          <w:sz w:val="22"/>
          <w:szCs w:val="22"/>
          <w:lang w:val="sk-SK"/>
        </w:rPr>
        <w:t>Dátum posledného predĺženia registrácie:</w:t>
      </w:r>
      <w:r>
        <w:rPr>
          <w:sz w:val="22"/>
          <w:szCs w:val="22"/>
          <w:lang w:val="sk-SK"/>
        </w:rPr>
        <w:t xml:space="preserve"> 13.12.2010 </w:t>
      </w:r>
    </w:p>
    <w:p w14:paraId="21A1A7FF" w14:textId="77777777" w:rsidR="00CF3670" w:rsidRDefault="00CF3670" w:rsidP="00A41651">
      <w:pPr>
        <w:widowControl w:val="0"/>
        <w:tabs>
          <w:tab w:val="left" w:pos="567"/>
        </w:tabs>
        <w:rPr>
          <w:b/>
          <w:sz w:val="22"/>
          <w:szCs w:val="22"/>
          <w:lang w:val="sk-SK"/>
        </w:rPr>
      </w:pPr>
    </w:p>
    <w:p w14:paraId="51B69842" w14:textId="77777777" w:rsidR="00CF3670" w:rsidRPr="00B4462C" w:rsidRDefault="00CF3670" w:rsidP="00A41651">
      <w:pPr>
        <w:widowControl w:val="0"/>
        <w:tabs>
          <w:tab w:val="left" w:pos="567"/>
        </w:tabs>
        <w:rPr>
          <w:b/>
          <w:sz w:val="22"/>
          <w:szCs w:val="22"/>
          <w:lang w:val="sk-SK"/>
        </w:rPr>
      </w:pPr>
    </w:p>
    <w:p w14:paraId="64FC05C6" w14:textId="77777777" w:rsidR="00CF3670" w:rsidRPr="00B4462C" w:rsidRDefault="00CF3670" w:rsidP="00A41651">
      <w:pPr>
        <w:widowControl w:val="0"/>
        <w:numPr>
          <w:ilvl w:val="0"/>
          <w:numId w:val="7"/>
        </w:numPr>
        <w:tabs>
          <w:tab w:val="clear" w:pos="1639"/>
          <w:tab w:val="num" w:pos="284"/>
          <w:tab w:val="num" w:pos="567"/>
        </w:tabs>
        <w:ind w:left="567" w:hanging="567"/>
        <w:rPr>
          <w:b/>
          <w:sz w:val="22"/>
          <w:szCs w:val="22"/>
          <w:lang w:val="sk-SK"/>
        </w:rPr>
      </w:pPr>
      <w:r w:rsidRPr="00B4462C">
        <w:rPr>
          <w:b/>
          <w:sz w:val="22"/>
          <w:szCs w:val="22"/>
          <w:lang w:val="sk-SK"/>
        </w:rPr>
        <w:t xml:space="preserve">     DÁTUM REVÍZIE TEXTU</w:t>
      </w:r>
    </w:p>
    <w:p w14:paraId="3376690D" w14:textId="77777777" w:rsidR="00CF3670" w:rsidRPr="00B4462C" w:rsidRDefault="00CF3670" w:rsidP="00E42E93">
      <w:pPr>
        <w:widowControl w:val="0"/>
        <w:tabs>
          <w:tab w:val="left" w:pos="567"/>
        </w:tabs>
        <w:ind w:left="360"/>
        <w:rPr>
          <w:b/>
          <w:sz w:val="22"/>
          <w:szCs w:val="22"/>
          <w:lang w:val="sk-SK"/>
        </w:rPr>
      </w:pPr>
    </w:p>
    <w:p w14:paraId="60A8F5AE" w14:textId="1FEC23EC" w:rsidR="00CF3670" w:rsidRPr="00B4462C" w:rsidRDefault="00F824D4" w:rsidP="008F3BEA">
      <w:pPr>
        <w:jc w:val="both"/>
        <w:rPr>
          <w:sz w:val="22"/>
          <w:szCs w:val="22"/>
          <w:lang w:val="sk-SK"/>
        </w:rPr>
      </w:pPr>
      <w:r>
        <w:rPr>
          <w:sz w:val="22"/>
          <w:szCs w:val="22"/>
          <w:lang w:val="sk-SK"/>
        </w:rPr>
        <w:t>01</w:t>
      </w:r>
      <w:r w:rsidR="004A669E">
        <w:rPr>
          <w:sz w:val="22"/>
          <w:szCs w:val="22"/>
          <w:lang w:val="sk-SK"/>
        </w:rPr>
        <w:t>/202</w:t>
      </w:r>
      <w:r>
        <w:rPr>
          <w:sz w:val="22"/>
          <w:szCs w:val="22"/>
          <w:lang w:val="sk-SK"/>
        </w:rPr>
        <w:t>1</w:t>
      </w:r>
    </w:p>
    <w:sectPr w:rsidR="00CF3670" w:rsidRPr="00B4462C" w:rsidSect="00077583">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7498BB" w16cid:durableId="23AF32B0"/>
  <w16cid:commentId w16cid:paraId="6036FBE4" w16cid:durableId="23AF30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86F57" w14:textId="77777777" w:rsidR="00192092" w:rsidRDefault="00192092">
      <w:r>
        <w:separator/>
      </w:r>
    </w:p>
  </w:endnote>
  <w:endnote w:type="continuationSeparator" w:id="0">
    <w:p w14:paraId="15563965" w14:textId="77777777" w:rsidR="00192092" w:rsidRDefault="0019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92121" w14:textId="77777777" w:rsidR="00192092" w:rsidRDefault="00192092" w:rsidP="00A24F0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E68C5D4" w14:textId="77777777" w:rsidR="00192092" w:rsidRDefault="0019209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A33DA" w14:textId="77777777" w:rsidR="00192092" w:rsidRPr="00FC60DC" w:rsidRDefault="00192092" w:rsidP="00A24F05">
    <w:pPr>
      <w:pStyle w:val="Pta"/>
      <w:framePr w:wrap="around" w:vAnchor="text" w:hAnchor="margin" w:xAlign="center" w:y="1"/>
      <w:rPr>
        <w:rStyle w:val="slostrany"/>
        <w:sz w:val="18"/>
      </w:rPr>
    </w:pPr>
    <w:r w:rsidRPr="00FC60DC">
      <w:rPr>
        <w:rStyle w:val="slostrany"/>
        <w:sz w:val="18"/>
      </w:rPr>
      <w:fldChar w:fldCharType="begin"/>
    </w:r>
    <w:r w:rsidRPr="00FC60DC">
      <w:rPr>
        <w:rStyle w:val="slostrany"/>
        <w:sz w:val="18"/>
      </w:rPr>
      <w:instrText xml:space="preserve">PAGE  </w:instrText>
    </w:r>
    <w:r w:rsidRPr="00FC60DC">
      <w:rPr>
        <w:rStyle w:val="slostrany"/>
        <w:sz w:val="18"/>
      </w:rPr>
      <w:fldChar w:fldCharType="separate"/>
    </w:r>
    <w:r w:rsidR="000A0DCA">
      <w:rPr>
        <w:rStyle w:val="slostrany"/>
        <w:noProof/>
        <w:sz w:val="18"/>
      </w:rPr>
      <w:t>22</w:t>
    </w:r>
    <w:r w:rsidRPr="00FC60DC">
      <w:rPr>
        <w:rStyle w:val="slostrany"/>
        <w:sz w:val="18"/>
      </w:rPr>
      <w:fldChar w:fldCharType="end"/>
    </w:r>
  </w:p>
  <w:p w14:paraId="4DF3FF5F" w14:textId="77777777" w:rsidR="00192092" w:rsidRPr="00B96D01" w:rsidRDefault="00192092" w:rsidP="00C74A66">
    <w:pPr>
      <w:pStyle w:val="Pta"/>
      <w:tabs>
        <w:tab w:val="clear" w:pos="4536"/>
        <w:tab w:val="clear" w:pos="9072"/>
        <w:tab w:val="center" w:pos="7513"/>
      </w:tabs>
      <w:rPr>
        <w:rFonts w:ascii="Arial" w:hAnsi="Arial" w:cs="Arial"/>
        <w:sz w:val="16"/>
        <w:szCs w:val="16"/>
      </w:rPr>
    </w:pPr>
    <w:r w:rsidRPr="00B96D01">
      <w:rPr>
        <w:rFonts w:ascii="Arial" w:hAnsi="Arial" w:cs="Arial"/>
        <w:snapToGrid w:val="0"/>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D8A25" w14:textId="77777777" w:rsidR="00192092" w:rsidRPr="00FC60DC" w:rsidRDefault="00192092">
    <w:pPr>
      <w:pStyle w:val="Pta"/>
      <w:jc w:val="center"/>
      <w:rPr>
        <w:sz w:val="18"/>
      </w:rPr>
    </w:pPr>
    <w:r w:rsidRPr="00FC60DC">
      <w:rPr>
        <w:sz w:val="18"/>
      </w:rPr>
      <w:fldChar w:fldCharType="begin"/>
    </w:r>
    <w:r w:rsidRPr="00FC60DC">
      <w:rPr>
        <w:sz w:val="18"/>
      </w:rPr>
      <w:instrText>PAGE   \* MERGEFORMAT</w:instrText>
    </w:r>
    <w:r w:rsidRPr="00FC60DC">
      <w:rPr>
        <w:sz w:val="18"/>
      </w:rPr>
      <w:fldChar w:fldCharType="separate"/>
    </w:r>
    <w:r w:rsidRPr="002D5E33">
      <w:rPr>
        <w:noProof/>
        <w:sz w:val="18"/>
        <w:lang w:val="sk-SK"/>
      </w:rPr>
      <w:t>1</w:t>
    </w:r>
    <w:r w:rsidRPr="00FC60DC">
      <w:rPr>
        <w:sz w:val="18"/>
      </w:rPr>
      <w:fldChar w:fldCharType="end"/>
    </w:r>
  </w:p>
  <w:p w14:paraId="3E69AB19" w14:textId="77777777" w:rsidR="00192092" w:rsidRDefault="0019209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31606" w14:textId="77777777" w:rsidR="00192092" w:rsidRDefault="00192092">
      <w:r>
        <w:separator/>
      </w:r>
    </w:p>
  </w:footnote>
  <w:footnote w:type="continuationSeparator" w:id="0">
    <w:p w14:paraId="6DC0B263" w14:textId="77777777" w:rsidR="00192092" w:rsidRDefault="00192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2BFF" w14:textId="50376155" w:rsidR="00192092" w:rsidRDefault="00192092" w:rsidP="007B397D">
    <w:pPr>
      <w:tabs>
        <w:tab w:val="left" w:pos="8505"/>
      </w:tabs>
      <w:ind w:right="566"/>
      <w:rPr>
        <w:sz w:val="18"/>
        <w:szCs w:val="18"/>
      </w:rPr>
    </w:pPr>
    <w:r w:rsidRPr="009A6C88">
      <w:rPr>
        <w:sz w:val="18"/>
        <w:szCs w:val="18"/>
      </w:rPr>
      <w:t>Príloha č.</w:t>
    </w:r>
    <w:r>
      <w:rPr>
        <w:sz w:val="18"/>
        <w:szCs w:val="18"/>
      </w:rPr>
      <w:t>1</w:t>
    </w:r>
    <w:r w:rsidRPr="009A6C88">
      <w:rPr>
        <w:sz w:val="18"/>
        <w:szCs w:val="18"/>
      </w:rPr>
      <w:t xml:space="preserve"> k notifikácii o zmene, ev. č.:</w:t>
    </w:r>
    <w:r>
      <w:rPr>
        <w:sz w:val="18"/>
        <w:szCs w:val="18"/>
      </w:rPr>
      <w:t xml:space="preserve"> </w:t>
    </w:r>
    <w:r w:rsidR="00A128B0" w:rsidRPr="00A128B0">
      <w:rPr>
        <w:sz w:val="18"/>
        <w:szCs w:val="18"/>
      </w:rPr>
      <w:t>2020/06377-Z1A</w:t>
    </w:r>
  </w:p>
  <w:p w14:paraId="40788AD6" w14:textId="77777777" w:rsidR="00192092" w:rsidRDefault="0019209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BD6C" w14:textId="77777777" w:rsidR="00192092" w:rsidRDefault="00192092" w:rsidP="002D5E33">
    <w:pPr>
      <w:tabs>
        <w:tab w:val="left" w:pos="8505"/>
      </w:tabs>
      <w:ind w:right="566"/>
      <w:rPr>
        <w:sz w:val="18"/>
        <w:szCs w:val="18"/>
      </w:rPr>
    </w:pPr>
    <w:r w:rsidRPr="009A6C88">
      <w:rPr>
        <w:sz w:val="18"/>
        <w:szCs w:val="18"/>
      </w:rPr>
      <w:t>Príloha č.</w:t>
    </w:r>
    <w:r>
      <w:rPr>
        <w:sz w:val="18"/>
        <w:szCs w:val="18"/>
      </w:rPr>
      <w:t>1</w:t>
    </w:r>
    <w:r w:rsidRPr="009A6C88">
      <w:rPr>
        <w:sz w:val="18"/>
        <w:szCs w:val="18"/>
      </w:rPr>
      <w:t xml:space="preserve"> k notifikácii o zmene, ev. č.:</w:t>
    </w:r>
    <w:r>
      <w:rPr>
        <w:sz w:val="18"/>
        <w:szCs w:val="18"/>
      </w:rPr>
      <w:t xml:space="preserve"> 2018/08032-Z1B</w:t>
    </w:r>
  </w:p>
  <w:p w14:paraId="2F628D82" w14:textId="77777777" w:rsidR="00192092" w:rsidRDefault="00192092">
    <w:pPr>
      <w:pStyle w:val="Hlavika"/>
      <w:tabs>
        <w:tab w:val="clear" w:pos="4536"/>
        <w:tab w:val="clear" w:pos="9072"/>
        <w:tab w:val="left" w:pos="4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AE2C148"/>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3"/>
    <w:lvl w:ilvl="0">
      <w:start w:val="1"/>
      <w:numFmt w:val="bullet"/>
      <w:lvlText w:val="·"/>
      <w:lvlJc w:val="left"/>
      <w:pPr>
        <w:tabs>
          <w:tab w:val="num" w:pos="1077"/>
        </w:tabs>
        <w:ind w:left="1077" w:hanging="3"/>
      </w:pPr>
      <w:rPr>
        <w:rFonts w:ascii="Symbol" w:hAnsi="Symbol"/>
      </w:rPr>
    </w:lvl>
  </w:abstractNum>
  <w:abstractNum w:abstractNumId="2" w15:restartNumberingAfterBreak="0">
    <w:nsid w:val="01216F02"/>
    <w:multiLevelType w:val="hybridMultilevel"/>
    <w:tmpl w:val="107A7EC0"/>
    <w:lvl w:ilvl="0" w:tplc="EFE48558">
      <w:start w:val="1"/>
      <w:numFmt w:val="decimal"/>
      <w:lvlText w:val="(%1)"/>
      <w:lvlJc w:val="left"/>
      <w:pPr>
        <w:tabs>
          <w:tab w:val="num" w:pos="1065"/>
        </w:tabs>
        <w:ind w:left="1065" w:hanging="70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2291738"/>
    <w:multiLevelType w:val="hybridMultilevel"/>
    <w:tmpl w:val="AA46E1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FB18CA"/>
    <w:multiLevelType w:val="singleLevel"/>
    <w:tmpl w:val="81ECD582"/>
    <w:lvl w:ilvl="0">
      <w:numFmt w:val="bullet"/>
      <w:lvlText w:val="-"/>
      <w:lvlJc w:val="left"/>
      <w:pPr>
        <w:tabs>
          <w:tab w:val="num" w:pos="360"/>
        </w:tabs>
        <w:ind w:left="360" w:hanging="360"/>
      </w:pPr>
      <w:rPr>
        <w:rFonts w:hint="default"/>
      </w:rPr>
    </w:lvl>
  </w:abstractNum>
  <w:abstractNum w:abstractNumId="5" w15:restartNumberingAfterBreak="0">
    <w:nsid w:val="0DB9229D"/>
    <w:multiLevelType w:val="hybridMultilevel"/>
    <w:tmpl w:val="27E2928C"/>
    <w:lvl w:ilvl="0" w:tplc="277AD348">
      <w:start w:val="10"/>
      <w:numFmt w:val="decimal"/>
      <w:lvlText w:val="%1."/>
      <w:lvlJc w:val="left"/>
      <w:pPr>
        <w:tabs>
          <w:tab w:val="num" w:pos="1639"/>
        </w:tabs>
        <w:ind w:left="1639" w:hanging="570"/>
      </w:pPr>
      <w:rPr>
        <w:rFonts w:cs="Times New Roman" w:hint="default"/>
      </w:rPr>
    </w:lvl>
    <w:lvl w:ilvl="1" w:tplc="041B0019" w:tentative="1">
      <w:start w:val="1"/>
      <w:numFmt w:val="lowerLetter"/>
      <w:lvlText w:val="%2."/>
      <w:lvlJc w:val="left"/>
      <w:pPr>
        <w:tabs>
          <w:tab w:val="num" w:pos="2149"/>
        </w:tabs>
        <w:ind w:left="2149" w:hanging="360"/>
      </w:pPr>
      <w:rPr>
        <w:rFonts w:cs="Times New Roman"/>
      </w:rPr>
    </w:lvl>
    <w:lvl w:ilvl="2" w:tplc="041B001B" w:tentative="1">
      <w:start w:val="1"/>
      <w:numFmt w:val="lowerRoman"/>
      <w:lvlText w:val="%3."/>
      <w:lvlJc w:val="right"/>
      <w:pPr>
        <w:tabs>
          <w:tab w:val="num" w:pos="2869"/>
        </w:tabs>
        <w:ind w:left="2869" w:hanging="180"/>
      </w:pPr>
      <w:rPr>
        <w:rFonts w:cs="Times New Roman"/>
      </w:rPr>
    </w:lvl>
    <w:lvl w:ilvl="3" w:tplc="041B000F" w:tentative="1">
      <w:start w:val="1"/>
      <w:numFmt w:val="decimal"/>
      <w:lvlText w:val="%4."/>
      <w:lvlJc w:val="left"/>
      <w:pPr>
        <w:tabs>
          <w:tab w:val="num" w:pos="3589"/>
        </w:tabs>
        <w:ind w:left="3589" w:hanging="360"/>
      </w:pPr>
      <w:rPr>
        <w:rFonts w:cs="Times New Roman"/>
      </w:rPr>
    </w:lvl>
    <w:lvl w:ilvl="4" w:tplc="041B0019" w:tentative="1">
      <w:start w:val="1"/>
      <w:numFmt w:val="lowerLetter"/>
      <w:lvlText w:val="%5."/>
      <w:lvlJc w:val="left"/>
      <w:pPr>
        <w:tabs>
          <w:tab w:val="num" w:pos="4309"/>
        </w:tabs>
        <w:ind w:left="4309" w:hanging="360"/>
      </w:pPr>
      <w:rPr>
        <w:rFonts w:cs="Times New Roman"/>
      </w:rPr>
    </w:lvl>
    <w:lvl w:ilvl="5" w:tplc="041B001B" w:tentative="1">
      <w:start w:val="1"/>
      <w:numFmt w:val="lowerRoman"/>
      <w:lvlText w:val="%6."/>
      <w:lvlJc w:val="right"/>
      <w:pPr>
        <w:tabs>
          <w:tab w:val="num" w:pos="5029"/>
        </w:tabs>
        <w:ind w:left="5029" w:hanging="180"/>
      </w:pPr>
      <w:rPr>
        <w:rFonts w:cs="Times New Roman"/>
      </w:rPr>
    </w:lvl>
    <w:lvl w:ilvl="6" w:tplc="041B000F" w:tentative="1">
      <w:start w:val="1"/>
      <w:numFmt w:val="decimal"/>
      <w:lvlText w:val="%7."/>
      <w:lvlJc w:val="left"/>
      <w:pPr>
        <w:tabs>
          <w:tab w:val="num" w:pos="5749"/>
        </w:tabs>
        <w:ind w:left="5749" w:hanging="360"/>
      </w:pPr>
      <w:rPr>
        <w:rFonts w:cs="Times New Roman"/>
      </w:rPr>
    </w:lvl>
    <w:lvl w:ilvl="7" w:tplc="041B0019" w:tentative="1">
      <w:start w:val="1"/>
      <w:numFmt w:val="lowerLetter"/>
      <w:lvlText w:val="%8."/>
      <w:lvlJc w:val="left"/>
      <w:pPr>
        <w:tabs>
          <w:tab w:val="num" w:pos="6469"/>
        </w:tabs>
        <w:ind w:left="6469" w:hanging="360"/>
      </w:pPr>
      <w:rPr>
        <w:rFonts w:cs="Times New Roman"/>
      </w:rPr>
    </w:lvl>
    <w:lvl w:ilvl="8" w:tplc="041B001B" w:tentative="1">
      <w:start w:val="1"/>
      <w:numFmt w:val="lowerRoman"/>
      <w:lvlText w:val="%9."/>
      <w:lvlJc w:val="right"/>
      <w:pPr>
        <w:tabs>
          <w:tab w:val="num" w:pos="7189"/>
        </w:tabs>
        <w:ind w:left="7189" w:hanging="180"/>
      </w:pPr>
      <w:rPr>
        <w:rFonts w:cs="Times New Roman"/>
      </w:rPr>
    </w:lvl>
  </w:abstractNum>
  <w:abstractNum w:abstractNumId="6" w15:restartNumberingAfterBreak="0">
    <w:nsid w:val="0E382AA8"/>
    <w:multiLevelType w:val="singleLevel"/>
    <w:tmpl w:val="81ECD582"/>
    <w:lvl w:ilvl="0">
      <w:numFmt w:val="bullet"/>
      <w:lvlText w:val="-"/>
      <w:lvlJc w:val="left"/>
      <w:pPr>
        <w:tabs>
          <w:tab w:val="num" w:pos="360"/>
        </w:tabs>
        <w:ind w:left="360" w:hanging="360"/>
      </w:pPr>
      <w:rPr>
        <w:rFonts w:hint="default"/>
      </w:rPr>
    </w:lvl>
  </w:abstractNum>
  <w:abstractNum w:abstractNumId="7" w15:restartNumberingAfterBreak="0">
    <w:nsid w:val="16172BB3"/>
    <w:multiLevelType w:val="hybridMultilevel"/>
    <w:tmpl w:val="6F4EA5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270C98"/>
    <w:multiLevelType w:val="hybridMultilevel"/>
    <w:tmpl w:val="8E9C99FA"/>
    <w:lvl w:ilvl="0" w:tplc="A72E3720">
      <w:start w:val="1"/>
      <w:numFmt w:val="decimal"/>
      <w:pStyle w:val="PHZMngelpunkt"/>
      <w:lvlText w:val="%1."/>
      <w:lvlJc w:val="left"/>
      <w:pPr>
        <w:tabs>
          <w:tab w:val="num" w:pos="720"/>
        </w:tabs>
        <w:ind w:left="72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6B379B"/>
    <w:multiLevelType w:val="hybridMultilevel"/>
    <w:tmpl w:val="CAA002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FF81EFD"/>
    <w:multiLevelType w:val="hybridMultilevel"/>
    <w:tmpl w:val="52D63D2A"/>
    <w:lvl w:ilvl="0" w:tplc="064A99BA">
      <w:numFmt w:val="bullet"/>
      <w:pStyle w:val="EMEA-beurteiltwurde"/>
      <w:lvlText w:val="-"/>
      <w:lvlJc w:val="left"/>
      <w:pPr>
        <w:tabs>
          <w:tab w:val="num" w:pos="425"/>
        </w:tabs>
        <w:ind w:left="425" w:hanging="425"/>
      </w:pPr>
      <w:rPr>
        <w:rFonts w:ascii="Times New Roman" w:hAnsi="Times New Roman"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848A0"/>
    <w:multiLevelType w:val="hybridMultilevel"/>
    <w:tmpl w:val="6C022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4C0BE2"/>
    <w:multiLevelType w:val="hybridMultilevel"/>
    <w:tmpl w:val="0ECCEB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D280A7F"/>
    <w:multiLevelType w:val="hybridMultilevel"/>
    <w:tmpl w:val="E836FDAC"/>
    <w:lvl w:ilvl="0" w:tplc="87FA10E8">
      <w:numFmt w:val="bullet"/>
      <w:lvlText w:val="-"/>
      <w:lvlJc w:val="left"/>
      <w:pPr>
        <w:tabs>
          <w:tab w:val="num" w:pos="1138"/>
        </w:tabs>
        <w:ind w:left="1138" w:hanging="570"/>
      </w:pPr>
      <w:rPr>
        <w:rFonts w:ascii="Times New Roman" w:eastAsia="Times New Roman" w:hAnsi="Times New Roman"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68DC152A"/>
    <w:multiLevelType w:val="hybridMultilevel"/>
    <w:tmpl w:val="50E83D06"/>
    <w:lvl w:ilvl="0" w:tplc="74822CF0">
      <w:numFmt w:val="bullet"/>
      <w:lvlText w:val="-"/>
      <w:lvlJc w:val="left"/>
      <w:pPr>
        <w:tabs>
          <w:tab w:val="num" w:pos="1065"/>
        </w:tabs>
        <w:ind w:left="1065" w:hanging="705"/>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8"/>
  </w:num>
  <w:num w:numId="3">
    <w:abstractNumId w:val="0"/>
  </w:num>
  <w:num w:numId="4">
    <w:abstractNumId w:val="4"/>
  </w:num>
  <w:num w:numId="5">
    <w:abstractNumId w:val="6"/>
  </w:num>
  <w:num w:numId="6">
    <w:abstractNumId w:val="10"/>
  </w:num>
  <w:num w:numId="7">
    <w:abstractNumId w:val="5"/>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num>
  <w:num w:numId="12">
    <w:abstractNumId w:val="11"/>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13"/>
    <w:rsid w:val="00000A79"/>
    <w:rsid w:val="00001535"/>
    <w:rsid w:val="0000186B"/>
    <w:rsid w:val="00001C40"/>
    <w:rsid w:val="00001DC5"/>
    <w:rsid w:val="000029B4"/>
    <w:rsid w:val="00002A0A"/>
    <w:rsid w:val="000041BF"/>
    <w:rsid w:val="00004CE6"/>
    <w:rsid w:val="00004E6A"/>
    <w:rsid w:val="0000571C"/>
    <w:rsid w:val="00006FCE"/>
    <w:rsid w:val="0000771A"/>
    <w:rsid w:val="00011607"/>
    <w:rsid w:val="00011FC4"/>
    <w:rsid w:val="000121CA"/>
    <w:rsid w:val="0001235A"/>
    <w:rsid w:val="000125D9"/>
    <w:rsid w:val="00013242"/>
    <w:rsid w:val="0001399B"/>
    <w:rsid w:val="00015568"/>
    <w:rsid w:val="000156C7"/>
    <w:rsid w:val="000165D5"/>
    <w:rsid w:val="00024254"/>
    <w:rsid w:val="00024452"/>
    <w:rsid w:val="00024CD0"/>
    <w:rsid w:val="00024FEB"/>
    <w:rsid w:val="000251C6"/>
    <w:rsid w:val="00026876"/>
    <w:rsid w:val="000268F5"/>
    <w:rsid w:val="00026BEC"/>
    <w:rsid w:val="00026E44"/>
    <w:rsid w:val="00026F25"/>
    <w:rsid w:val="00027118"/>
    <w:rsid w:val="00027CA7"/>
    <w:rsid w:val="00030016"/>
    <w:rsid w:val="00030493"/>
    <w:rsid w:val="00032BA5"/>
    <w:rsid w:val="00033B0F"/>
    <w:rsid w:val="00033EA4"/>
    <w:rsid w:val="00034335"/>
    <w:rsid w:val="0003575A"/>
    <w:rsid w:val="00037260"/>
    <w:rsid w:val="00040BB9"/>
    <w:rsid w:val="00041D8F"/>
    <w:rsid w:val="00041F39"/>
    <w:rsid w:val="00043B5F"/>
    <w:rsid w:val="00043BE6"/>
    <w:rsid w:val="000449F0"/>
    <w:rsid w:val="000456AD"/>
    <w:rsid w:val="000475FA"/>
    <w:rsid w:val="0005000B"/>
    <w:rsid w:val="000508B8"/>
    <w:rsid w:val="00051BA3"/>
    <w:rsid w:val="000525D6"/>
    <w:rsid w:val="000526BA"/>
    <w:rsid w:val="00053B59"/>
    <w:rsid w:val="00054C38"/>
    <w:rsid w:val="00055B58"/>
    <w:rsid w:val="000562D4"/>
    <w:rsid w:val="00056A58"/>
    <w:rsid w:val="00057320"/>
    <w:rsid w:val="00060E06"/>
    <w:rsid w:val="0006183B"/>
    <w:rsid w:val="00061F3D"/>
    <w:rsid w:val="000623FE"/>
    <w:rsid w:val="00062804"/>
    <w:rsid w:val="00063053"/>
    <w:rsid w:val="0006394E"/>
    <w:rsid w:val="000655CC"/>
    <w:rsid w:val="0006639A"/>
    <w:rsid w:val="0006716D"/>
    <w:rsid w:val="000701C0"/>
    <w:rsid w:val="000706F3"/>
    <w:rsid w:val="00071995"/>
    <w:rsid w:val="00073328"/>
    <w:rsid w:val="00073A19"/>
    <w:rsid w:val="00074CCA"/>
    <w:rsid w:val="00075E4D"/>
    <w:rsid w:val="00076847"/>
    <w:rsid w:val="00077583"/>
    <w:rsid w:val="000809C0"/>
    <w:rsid w:val="000815AF"/>
    <w:rsid w:val="000816D2"/>
    <w:rsid w:val="00081747"/>
    <w:rsid w:val="00082245"/>
    <w:rsid w:val="00082B7D"/>
    <w:rsid w:val="00082EBE"/>
    <w:rsid w:val="0008333C"/>
    <w:rsid w:val="00084DE9"/>
    <w:rsid w:val="00085917"/>
    <w:rsid w:val="00085F2F"/>
    <w:rsid w:val="000867E2"/>
    <w:rsid w:val="000901EC"/>
    <w:rsid w:val="000905CB"/>
    <w:rsid w:val="000911C4"/>
    <w:rsid w:val="000917D6"/>
    <w:rsid w:val="00092336"/>
    <w:rsid w:val="000927BC"/>
    <w:rsid w:val="00092DDE"/>
    <w:rsid w:val="00093338"/>
    <w:rsid w:val="0009462E"/>
    <w:rsid w:val="00094B95"/>
    <w:rsid w:val="00095598"/>
    <w:rsid w:val="000959CC"/>
    <w:rsid w:val="000970A2"/>
    <w:rsid w:val="000975F0"/>
    <w:rsid w:val="000A097A"/>
    <w:rsid w:val="000A0DCA"/>
    <w:rsid w:val="000A314B"/>
    <w:rsid w:val="000A34FA"/>
    <w:rsid w:val="000A6FAD"/>
    <w:rsid w:val="000B0BF8"/>
    <w:rsid w:val="000B1A65"/>
    <w:rsid w:val="000B266F"/>
    <w:rsid w:val="000B26EB"/>
    <w:rsid w:val="000B28C9"/>
    <w:rsid w:val="000B2BD3"/>
    <w:rsid w:val="000B2DD8"/>
    <w:rsid w:val="000B4F7D"/>
    <w:rsid w:val="000B5F27"/>
    <w:rsid w:val="000B7AF6"/>
    <w:rsid w:val="000C1005"/>
    <w:rsid w:val="000C2792"/>
    <w:rsid w:val="000C27C3"/>
    <w:rsid w:val="000C37AF"/>
    <w:rsid w:val="000C5E4A"/>
    <w:rsid w:val="000C5FB7"/>
    <w:rsid w:val="000C746D"/>
    <w:rsid w:val="000D0218"/>
    <w:rsid w:val="000D17B7"/>
    <w:rsid w:val="000D2225"/>
    <w:rsid w:val="000D2990"/>
    <w:rsid w:val="000D4B80"/>
    <w:rsid w:val="000D55E5"/>
    <w:rsid w:val="000D56A8"/>
    <w:rsid w:val="000D6BBE"/>
    <w:rsid w:val="000D7721"/>
    <w:rsid w:val="000E1FD2"/>
    <w:rsid w:val="000E26D5"/>
    <w:rsid w:val="000E330B"/>
    <w:rsid w:val="000E7F1C"/>
    <w:rsid w:val="000E7FBF"/>
    <w:rsid w:val="000F06CD"/>
    <w:rsid w:val="000F0EE7"/>
    <w:rsid w:val="000F0FCD"/>
    <w:rsid w:val="000F3B51"/>
    <w:rsid w:val="000F4320"/>
    <w:rsid w:val="000F4A94"/>
    <w:rsid w:val="000F4FD3"/>
    <w:rsid w:val="000F5110"/>
    <w:rsid w:val="000F5DA8"/>
    <w:rsid w:val="000F6B48"/>
    <w:rsid w:val="000F73FE"/>
    <w:rsid w:val="0010062B"/>
    <w:rsid w:val="0010065E"/>
    <w:rsid w:val="00100F55"/>
    <w:rsid w:val="00105702"/>
    <w:rsid w:val="00105F8D"/>
    <w:rsid w:val="001108D6"/>
    <w:rsid w:val="001118D8"/>
    <w:rsid w:val="00112DB5"/>
    <w:rsid w:val="00115D89"/>
    <w:rsid w:val="00116097"/>
    <w:rsid w:val="00117254"/>
    <w:rsid w:val="001178A4"/>
    <w:rsid w:val="00117E2C"/>
    <w:rsid w:val="001205E0"/>
    <w:rsid w:val="001213BD"/>
    <w:rsid w:val="00121F37"/>
    <w:rsid w:val="00122189"/>
    <w:rsid w:val="00122822"/>
    <w:rsid w:val="00124255"/>
    <w:rsid w:val="00124D70"/>
    <w:rsid w:val="00124E24"/>
    <w:rsid w:val="00126ECC"/>
    <w:rsid w:val="001273C5"/>
    <w:rsid w:val="00127D16"/>
    <w:rsid w:val="001316F5"/>
    <w:rsid w:val="0013172D"/>
    <w:rsid w:val="00131897"/>
    <w:rsid w:val="001318EF"/>
    <w:rsid w:val="00132A90"/>
    <w:rsid w:val="0013506E"/>
    <w:rsid w:val="00135184"/>
    <w:rsid w:val="00135D05"/>
    <w:rsid w:val="001367FB"/>
    <w:rsid w:val="00137B71"/>
    <w:rsid w:val="001412EC"/>
    <w:rsid w:val="00141512"/>
    <w:rsid w:val="00141A82"/>
    <w:rsid w:val="0014211D"/>
    <w:rsid w:val="00142834"/>
    <w:rsid w:val="00142D61"/>
    <w:rsid w:val="00143024"/>
    <w:rsid w:val="00144B21"/>
    <w:rsid w:val="00146261"/>
    <w:rsid w:val="00150AF8"/>
    <w:rsid w:val="001514B8"/>
    <w:rsid w:val="00153B22"/>
    <w:rsid w:val="00156621"/>
    <w:rsid w:val="00156BE9"/>
    <w:rsid w:val="001576A0"/>
    <w:rsid w:val="00157905"/>
    <w:rsid w:val="001608F2"/>
    <w:rsid w:val="00160E1F"/>
    <w:rsid w:val="00161198"/>
    <w:rsid w:val="00162B7B"/>
    <w:rsid w:val="001655CE"/>
    <w:rsid w:val="00166ECC"/>
    <w:rsid w:val="00167AD2"/>
    <w:rsid w:val="00167F0E"/>
    <w:rsid w:val="00170260"/>
    <w:rsid w:val="0017079D"/>
    <w:rsid w:val="001711D1"/>
    <w:rsid w:val="00173B16"/>
    <w:rsid w:val="00174B4A"/>
    <w:rsid w:val="00177922"/>
    <w:rsid w:val="00180F6C"/>
    <w:rsid w:val="001818BC"/>
    <w:rsid w:val="00181D4E"/>
    <w:rsid w:val="00182E05"/>
    <w:rsid w:val="00183917"/>
    <w:rsid w:val="0018415E"/>
    <w:rsid w:val="001842E7"/>
    <w:rsid w:val="0018466F"/>
    <w:rsid w:val="00184950"/>
    <w:rsid w:val="0018660F"/>
    <w:rsid w:val="00186827"/>
    <w:rsid w:val="00186957"/>
    <w:rsid w:val="00187BEF"/>
    <w:rsid w:val="00191604"/>
    <w:rsid w:val="00192092"/>
    <w:rsid w:val="00193256"/>
    <w:rsid w:val="00193A3C"/>
    <w:rsid w:val="00194593"/>
    <w:rsid w:val="00194C53"/>
    <w:rsid w:val="00195D2C"/>
    <w:rsid w:val="001961F0"/>
    <w:rsid w:val="00196925"/>
    <w:rsid w:val="0019751E"/>
    <w:rsid w:val="0019764B"/>
    <w:rsid w:val="001A0676"/>
    <w:rsid w:val="001A069F"/>
    <w:rsid w:val="001A112B"/>
    <w:rsid w:val="001A40B6"/>
    <w:rsid w:val="001A5C97"/>
    <w:rsid w:val="001A7F48"/>
    <w:rsid w:val="001B0D67"/>
    <w:rsid w:val="001B0E96"/>
    <w:rsid w:val="001B279C"/>
    <w:rsid w:val="001B302C"/>
    <w:rsid w:val="001B5709"/>
    <w:rsid w:val="001B693C"/>
    <w:rsid w:val="001C1C03"/>
    <w:rsid w:val="001C233C"/>
    <w:rsid w:val="001C444C"/>
    <w:rsid w:val="001C4F5B"/>
    <w:rsid w:val="001C55F4"/>
    <w:rsid w:val="001C712D"/>
    <w:rsid w:val="001D0E0A"/>
    <w:rsid w:val="001D107F"/>
    <w:rsid w:val="001D1139"/>
    <w:rsid w:val="001D254B"/>
    <w:rsid w:val="001D2AED"/>
    <w:rsid w:val="001D3243"/>
    <w:rsid w:val="001D35CE"/>
    <w:rsid w:val="001D3BE2"/>
    <w:rsid w:val="001D4C2A"/>
    <w:rsid w:val="001D51F0"/>
    <w:rsid w:val="001D7137"/>
    <w:rsid w:val="001D7466"/>
    <w:rsid w:val="001D79BF"/>
    <w:rsid w:val="001E2722"/>
    <w:rsid w:val="001E29E2"/>
    <w:rsid w:val="001E2BC8"/>
    <w:rsid w:val="001E319D"/>
    <w:rsid w:val="001E3A4C"/>
    <w:rsid w:val="001E4333"/>
    <w:rsid w:val="001E5092"/>
    <w:rsid w:val="001E55D9"/>
    <w:rsid w:val="001E5829"/>
    <w:rsid w:val="001E7E6B"/>
    <w:rsid w:val="001F00B8"/>
    <w:rsid w:val="001F0282"/>
    <w:rsid w:val="001F089E"/>
    <w:rsid w:val="001F0CC1"/>
    <w:rsid w:val="001F1AA2"/>
    <w:rsid w:val="001F27B5"/>
    <w:rsid w:val="001F298D"/>
    <w:rsid w:val="001F5DDB"/>
    <w:rsid w:val="001F641F"/>
    <w:rsid w:val="001F701B"/>
    <w:rsid w:val="00200737"/>
    <w:rsid w:val="00200C39"/>
    <w:rsid w:val="00201A4D"/>
    <w:rsid w:val="002023D0"/>
    <w:rsid w:val="00202E4B"/>
    <w:rsid w:val="0020335B"/>
    <w:rsid w:val="00203BC9"/>
    <w:rsid w:val="00205754"/>
    <w:rsid w:val="002060B2"/>
    <w:rsid w:val="00206F87"/>
    <w:rsid w:val="00207118"/>
    <w:rsid w:val="00210032"/>
    <w:rsid w:val="0021014D"/>
    <w:rsid w:val="002104AF"/>
    <w:rsid w:val="00212217"/>
    <w:rsid w:val="002124D8"/>
    <w:rsid w:val="00213899"/>
    <w:rsid w:val="0021545A"/>
    <w:rsid w:val="002164A5"/>
    <w:rsid w:val="00216A41"/>
    <w:rsid w:val="00216C1E"/>
    <w:rsid w:val="00216E8A"/>
    <w:rsid w:val="002171B7"/>
    <w:rsid w:val="002172A1"/>
    <w:rsid w:val="00217378"/>
    <w:rsid w:val="00220395"/>
    <w:rsid w:val="002209FA"/>
    <w:rsid w:val="00220D1D"/>
    <w:rsid w:val="0022149B"/>
    <w:rsid w:val="00221A4C"/>
    <w:rsid w:val="00221B57"/>
    <w:rsid w:val="00225056"/>
    <w:rsid w:val="00225980"/>
    <w:rsid w:val="00226D56"/>
    <w:rsid w:val="00227FDF"/>
    <w:rsid w:val="00232401"/>
    <w:rsid w:val="002336A2"/>
    <w:rsid w:val="00234A39"/>
    <w:rsid w:val="0023563F"/>
    <w:rsid w:val="00235CBD"/>
    <w:rsid w:val="0023631C"/>
    <w:rsid w:val="00236EBC"/>
    <w:rsid w:val="00240D14"/>
    <w:rsid w:val="002414BF"/>
    <w:rsid w:val="00241B35"/>
    <w:rsid w:val="002436F9"/>
    <w:rsid w:val="002445C4"/>
    <w:rsid w:val="002450FA"/>
    <w:rsid w:val="00245610"/>
    <w:rsid w:val="002458A6"/>
    <w:rsid w:val="002462FE"/>
    <w:rsid w:val="00250496"/>
    <w:rsid w:val="00250977"/>
    <w:rsid w:val="00251247"/>
    <w:rsid w:val="00251928"/>
    <w:rsid w:val="00251C06"/>
    <w:rsid w:val="00251CE3"/>
    <w:rsid w:val="00252036"/>
    <w:rsid w:val="00252A20"/>
    <w:rsid w:val="00254B97"/>
    <w:rsid w:val="00255619"/>
    <w:rsid w:val="0025769D"/>
    <w:rsid w:val="00257775"/>
    <w:rsid w:val="0026065E"/>
    <w:rsid w:val="00261F62"/>
    <w:rsid w:val="002634EF"/>
    <w:rsid w:val="00263AC3"/>
    <w:rsid w:val="00263F6D"/>
    <w:rsid w:val="00265C1B"/>
    <w:rsid w:val="002663CF"/>
    <w:rsid w:val="0026755C"/>
    <w:rsid w:val="002706BA"/>
    <w:rsid w:val="00271CD5"/>
    <w:rsid w:val="00271DA3"/>
    <w:rsid w:val="00272BE2"/>
    <w:rsid w:val="00274BAA"/>
    <w:rsid w:val="00274CAE"/>
    <w:rsid w:val="00274CD7"/>
    <w:rsid w:val="00274FCA"/>
    <w:rsid w:val="00275A71"/>
    <w:rsid w:val="00277EF4"/>
    <w:rsid w:val="00280239"/>
    <w:rsid w:val="00280510"/>
    <w:rsid w:val="002815B3"/>
    <w:rsid w:val="00282938"/>
    <w:rsid w:val="00283B85"/>
    <w:rsid w:val="00285C6A"/>
    <w:rsid w:val="00285F60"/>
    <w:rsid w:val="00286702"/>
    <w:rsid w:val="002874CB"/>
    <w:rsid w:val="00291CA5"/>
    <w:rsid w:val="00292037"/>
    <w:rsid w:val="00293747"/>
    <w:rsid w:val="00293EAE"/>
    <w:rsid w:val="00294963"/>
    <w:rsid w:val="00294A6A"/>
    <w:rsid w:val="00295896"/>
    <w:rsid w:val="00296831"/>
    <w:rsid w:val="00297836"/>
    <w:rsid w:val="002A0E12"/>
    <w:rsid w:val="002A2FE2"/>
    <w:rsid w:val="002A3291"/>
    <w:rsid w:val="002A3FFE"/>
    <w:rsid w:val="002A49DB"/>
    <w:rsid w:val="002A654F"/>
    <w:rsid w:val="002B1FD7"/>
    <w:rsid w:val="002B2D16"/>
    <w:rsid w:val="002B3392"/>
    <w:rsid w:val="002B380D"/>
    <w:rsid w:val="002B4AAA"/>
    <w:rsid w:val="002B5ACC"/>
    <w:rsid w:val="002B5BAA"/>
    <w:rsid w:val="002B6CEC"/>
    <w:rsid w:val="002B7423"/>
    <w:rsid w:val="002C1178"/>
    <w:rsid w:val="002C135D"/>
    <w:rsid w:val="002C1691"/>
    <w:rsid w:val="002C1EC4"/>
    <w:rsid w:val="002C2011"/>
    <w:rsid w:val="002C4713"/>
    <w:rsid w:val="002C695A"/>
    <w:rsid w:val="002D0117"/>
    <w:rsid w:val="002D0C4A"/>
    <w:rsid w:val="002D270C"/>
    <w:rsid w:val="002D3A1D"/>
    <w:rsid w:val="002D410E"/>
    <w:rsid w:val="002D5D9A"/>
    <w:rsid w:val="002D5E33"/>
    <w:rsid w:val="002E4566"/>
    <w:rsid w:val="002E497F"/>
    <w:rsid w:val="002E5849"/>
    <w:rsid w:val="002E58DC"/>
    <w:rsid w:val="002E6413"/>
    <w:rsid w:val="002E7CD0"/>
    <w:rsid w:val="002F0CBB"/>
    <w:rsid w:val="002F1254"/>
    <w:rsid w:val="002F17D9"/>
    <w:rsid w:val="002F2B3A"/>
    <w:rsid w:val="002F570F"/>
    <w:rsid w:val="002F5B96"/>
    <w:rsid w:val="002F5F7F"/>
    <w:rsid w:val="002F68C5"/>
    <w:rsid w:val="002F78EA"/>
    <w:rsid w:val="0030074A"/>
    <w:rsid w:val="00301139"/>
    <w:rsid w:val="00301238"/>
    <w:rsid w:val="0030253A"/>
    <w:rsid w:val="00303725"/>
    <w:rsid w:val="00304CCF"/>
    <w:rsid w:val="00306926"/>
    <w:rsid w:val="00310A40"/>
    <w:rsid w:val="00310B2A"/>
    <w:rsid w:val="00311BB6"/>
    <w:rsid w:val="00313C60"/>
    <w:rsid w:val="00313F44"/>
    <w:rsid w:val="00315355"/>
    <w:rsid w:val="003158C5"/>
    <w:rsid w:val="00317298"/>
    <w:rsid w:val="0032050B"/>
    <w:rsid w:val="00321882"/>
    <w:rsid w:val="00325CF4"/>
    <w:rsid w:val="00325E29"/>
    <w:rsid w:val="003273DA"/>
    <w:rsid w:val="00327B03"/>
    <w:rsid w:val="0033041A"/>
    <w:rsid w:val="00330588"/>
    <w:rsid w:val="00330DC4"/>
    <w:rsid w:val="003311DB"/>
    <w:rsid w:val="0033177E"/>
    <w:rsid w:val="00332401"/>
    <w:rsid w:val="00332F63"/>
    <w:rsid w:val="0033339B"/>
    <w:rsid w:val="00333845"/>
    <w:rsid w:val="00335B30"/>
    <w:rsid w:val="00335D9C"/>
    <w:rsid w:val="00336EFD"/>
    <w:rsid w:val="00337023"/>
    <w:rsid w:val="003414F6"/>
    <w:rsid w:val="00341D9B"/>
    <w:rsid w:val="0034279A"/>
    <w:rsid w:val="00343558"/>
    <w:rsid w:val="00343EDA"/>
    <w:rsid w:val="00343F35"/>
    <w:rsid w:val="00343FA0"/>
    <w:rsid w:val="003467BB"/>
    <w:rsid w:val="00346818"/>
    <w:rsid w:val="00347698"/>
    <w:rsid w:val="00351A95"/>
    <w:rsid w:val="00352A7A"/>
    <w:rsid w:val="003531A4"/>
    <w:rsid w:val="0035323F"/>
    <w:rsid w:val="00354314"/>
    <w:rsid w:val="003546A7"/>
    <w:rsid w:val="0035649C"/>
    <w:rsid w:val="00356A3D"/>
    <w:rsid w:val="00356BF0"/>
    <w:rsid w:val="00360369"/>
    <w:rsid w:val="00363B28"/>
    <w:rsid w:val="00364731"/>
    <w:rsid w:val="003664C6"/>
    <w:rsid w:val="00366797"/>
    <w:rsid w:val="00366803"/>
    <w:rsid w:val="00366F91"/>
    <w:rsid w:val="0036736A"/>
    <w:rsid w:val="0037043C"/>
    <w:rsid w:val="0037215B"/>
    <w:rsid w:val="00373798"/>
    <w:rsid w:val="0037398C"/>
    <w:rsid w:val="0037412B"/>
    <w:rsid w:val="00374E11"/>
    <w:rsid w:val="00375184"/>
    <w:rsid w:val="00375727"/>
    <w:rsid w:val="003760BE"/>
    <w:rsid w:val="00376937"/>
    <w:rsid w:val="00377126"/>
    <w:rsid w:val="003774B6"/>
    <w:rsid w:val="00380C3C"/>
    <w:rsid w:val="00380E50"/>
    <w:rsid w:val="00380FCC"/>
    <w:rsid w:val="00383458"/>
    <w:rsid w:val="00384E80"/>
    <w:rsid w:val="003862A0"/>
    <w:rsid w:val="00386CDC"/>
    <w:rsid w:val="00386FEE"/>
    <w:rsid w:val="00387066"/>
    <w:rsid w:val="00387745"/>
    <w:rsid w:val="00387DBF"/>
    <w:rsid w:val="00390E20"/>
    <w:rsid w:val="0039191A"/>
    <w:rsid w:val="00392550"/>
    <w:rsid w:val="003928A8"/>
    <w:rsid w:val="0039337D"/>
    <w:rsid w:val="00393903"/>
    <w:rsid w:val="0039409C"/>
    <w:rsid w:val="00395313"/>
    <w:rsid w:val="00397275"/>
    <w:rsid w:val="003A0733"/>
    <w:rsid w:val="003A20E2"/>
    <w:rsid w:val="003A2A82"/>
    <w:rsid w:val="003A2C21"/>
    <w:rsid w:val="003A3B51"/>
    <w:rsid w:val="003A4D5C"/>
    <w:rsid w:val="003A500D"/>
    <w:rsid w:val="003A50D5"/>
    <w:rsid w:val="003A51CF"/>
    <w:rsid w:val="003A5431"/>
    <w:rsid w:val="003A64E9"/>
    <w:rsid w:val="003A72E4"/>
    <w:rsid w:val="003B0813"/>
    <w:rsid w:val="003B0F24"/>
    <w:rsid w:val="003B115C"/>
    <w:rsid w:val="003B1616"/>
    <w:rsid w:val="003B32FC"/>
    <w:rsid w:val="003B335B"/>
    <w:rsid w:val="003B3AAD"/>
    <w:rsid w:val="003B3B1E"/>
    <w:rsid w:val="003B482C"/>
    <w:rsid w:val="003B55AE"/>
    <w:rsid w:val="003B7917"/>
    <w:rsid w:val="003B7946"/>
    <w:rsid w:val="003C0189"/>
    <w:rsid w:val="003C18BF"/>
    <w:rsid w:val="003C231B"/>
    <w:rsid w:val="003C29F6"/>
    <w:rsid w:val="003C47B3"/>
    <w:rsid w:val="003C4ED0"/>
    <w:rsid w:val="003C5591"/>
    <w:rsid w:val="003C75DE"/>
    <w:rsid w:val="003C7DB0"/>
    <w:rsid w:val="003D13AE"/>
    <w:rsid w:val="003D162B"/>
    <w:rsid w:val="003D24B4"/>
    <w:rsid w:val="003D3386"/>
    <w:rsid w:val="003D3662"/>
    <w:rsid w:val="003D3D6A"/>
    <w:rsid w:val="003D4475"/>
    <w:rsid w:val="003D47A0"/>
    <w:rsid w:val="003D52BE"/>
    <w:rsid w:val="003D5783"/>
    <w:rsid w:val="003D6473"/>
    <w:rsid w:val="003D68E4"/>
    <w:rsid w:val="003D6DD2"/>
    <w:rsid w:val="003D7D46"/>
    <w:rsid w:val="003E0713"/>
    <w:rsid w:val="003E13FD"/>
    <w:rsid w:val="003E3BA4"/>
    <w:rsid w:val="003E41AC"/>
    <w:rsid w:val="003E5924"/>
    <w:rsid w:val="003E68A9"/>
    <w:rsid w:val="003E7EFD"/>
    <w:rsid w:val="003F0EC7"/>
    <w:rsid w:val="003F2429"/>
    <w:rsid w:val="003F3EBE"/>
    <w:rsid w:val="003F4BB6"/>
    <w:rsid w:val="003F4D0A"/>
    <w:rsid w:val="003F6B6D"/>
    <w:rsid w:val="003F77C0"/>
    <w:rsid w:val="003F7C6C"/>
    <w:rsid w:val="00400427"/>
    <w:rsid w:val="00400E65"/>
    <w:rsid w:val="00401BFE"/>
    <w:rsid w:val="0040224D"/>
    <w:rsid w:val="0040231C"/>
    <w:rsid w:val="0040404C"/>
    <w:rsid w:val="00404EC9"/>
    <w:rsid w:val="004058EF"/>
    <w:rsid w:val="00405B4B"/>
    <w:rsid w:val="00410854"/>
    <w:rsid w:val="00411854"/>
    <w:rsid w:val="004119DE"/>
    <w:rsid w:val="00413D18"/>
    <w:rsid w:val="00415631"/>
    <w:rsid w:val="00416142"/>
    <w:rsid w:val="004206A4"/>
    <w:rsid w:val="00421F46"/>
    <w:rsid w:val="00422EC7"/>
    <w:rsid w:val="00424461"/>
    <w:rsid w:val="00424C7E"/>
    <w:rsid w:val="00424F0F"/>
    <w:rsid w:val="0042524A"/>
    <w:rsid w:val="00427505"/>
    <w:rsid w:val="00427CFB"/>
    <w:rsid w:val="00430514"/>
    <w:rsid w:val="00432134"/>
    <w:rsid w:val="004326A2"/>
    <w:rsid w:val="00432C54"/>
    <w:rsid w:val="0043477F"/>
    <w:rsid w:val="00434B06"/>
    <w:rsid w:val="00434F3C"/>
    <w:rsid w:val="00435285"/>
    <w:rsid w:val="00436F0B"/>
    <w:rsid w:val="00440CC3"/>
    <w:rsid w:val="004418C4"/>
    <w:rsid w:val="00442308"/>
    <w:rsid w:val="0044288C"/>
    <w:rsid w:val="00442A91"/>
    <w:rsid w:val="00443205"/>
    <w:rsid w:val="00444000"/>
    <w:rsid w:val="0044576E"/>
    <w:rsid w:val="00446495"/>
    <w:rsid w:val="004477DC"/>
    <w:rsid w:val="00447B4A"/>
    <w:rsid w:val="00450165"/>
    <w:rsid w:val="004501DC"/>
    <w:rsid w:val="004504B8"/>
    <w:rsid w:val="00451201"/>
    <w:rsid w:val="004519E4"/>
    <w:rsid w:val="00452FA8"/>
    <w:rsid w:val="00453295"/>
    <w:rsid w:val="00453524"/>
    <w:rsid w:val="004549A9"/>
    <w:rsid w:val="00454E4B"/>
    <w:rsid w:val="00454E69"/>
    <w:rsid w:val="00455340"/>
    <w:rsid w:val="00455551"/>
    <w:rsid w:val="0046119C"/>
    <w:rsid w:val="004615B2"/>
    <w:rsid w:val="00461757"/>
    <w:rsid w:val="00463014"/>
    <w:rsid w:val="00463A69"/>
    <w:rsid w:val="00465036"/>
    <w:rsid w:val="00465500"/>
    <w:rsid w:val="00466DD8"/>
    <w:rsid w:val="0046762F"/>
    <w:rsid w:val="00470A0A"/>
    <w:rsid w:val="00473AF7"/>
    <w:rsid w:val="00473BD5"/>
    <w:rsid w:val="004751AA"/>
    <w:rsid w:val="00475ABD"/>
    <w:rsid w:val="0047689A"/>
    <w:rsid w:val="004802C7"/>
    <w:rsid w:val="004803B9"/>
    <w:rsid w:val="004804D5"/>
    <w:rsid w:val="00480885"/>
    <w:rsid w:val="00481474"/>
    <w:rsid w:val="00483670"/>
    <w:rsid w:val="00483E94"/>
    <w:rsid w:val="0048435B"/>
    <w:rsid w:val="00484B65"/>
    <w:rsid w:val="004851E0"/>
    <w:rsid w:val="00485CE1"/>
    <w:rsid w:val="00485D33"/>
    <w:rsid w:val="00485DFE"/>
    <w:rsid w:val="00486F5F"/>
    <w:rsid w:val="004876EE"/>
    <w:rsid w:val="00487B12"/>
    <w:rsid w:val="00490B20"/>
    <w:rsid w:val="00491290"/>
    <w:rsid w:val="00492297"/>
    <w:rsid w:val="0049319C"/>
    <w:rsid w:val="004939C3"/>
    <w:rsid w:val="00497243"/>
    <w:rsid w:val="004977D1"/>
    <w:rsid w:val="00497E3C"/>
    <w:rsid w:val="004A086D"/>
    <w:rsid w:val="004A0E2F"/>
    <w:rsid w:val="004A311A"/>
    <w:rsid w:val="004A33AC"/>
    <w:rsid w:val="004A3484"/>
    <w:rsid w:val="004A3780"/>
    <w:rsid w:val="004A38CB"/>
    <w:rsid w:val="004A405B"/>
    <w:rsid w:val="004A4301"/>
    <w:rsid w:val="004A4A74"/>
    <w:rsid w:val="004A549C"/>
    <w:rsid w:val="004A669E"/>
    <w:rsid w:val="004B1B5B"/>
    <w:rsid w:val="004B2A9B"/>
    <w:rsid w:val="004B4E3B"/>
    <w:rsid w:val="004B5667"/>
    <w:rsid w:val="004B5CD2"/>
    <w:rsid w:val="004B6214"/>
    <w:rsid w:val="004B702A"/>
    <w:rsid w:val="004B752E"/>
    <w:rsid w:val="004B7622"/>
    <w:rsid w:val="004C03DC"/>
    <w:rsid w:val="004C2AE1"/>
    <w:rsid w:val="004C3662"/>
    <w:rsid w:val="004C3A0B"/>
    <w:rsid w:val="004C3DA2"/>
    <w:rsid w:val="004C3E0A"/>
    <w:rsid w:val="004C5678"/>
    <w:rsid w:val="004C580D"/>
    <w:rsid w:val="004C63D3"/>
    <w:rsid w:val="004C774C"/>
    <w:rsid w:val="004C798E"/>
    <w:rsid w:val="004D1A51"/>
    <w:rsid w:val="004D2B0A"/>
    <w:rsid w:val="004D608B"/>
    <w:rsid w:val="004D6C51"/>
    <w:rsid w:val="004D7BEC"/>
    <w:rsid w:val="004E1589"/>
    <w:rsid w:val="004E1690"/>
    <w:rsid w:val="004E1D51"/>
    <w:rsid w:val="004E2B06"/>
    <w:rsid w:val="004E2B7D"/>
    <w:rsid w:val="004E356D"/>
    <w:rsid w:val="004E3889"/>
    <w:rsid w:val="004E38AE"/>
    <w:rsid w:val="004E4E0E"/>
    <w:rsid w:val="004E4F14"/>
    <w:rsid w:val="004E5BF4"/>
    <w:rsid w:val="004F0258"/>
    <w:rsid w:val="004F0677"/>
    <w:rsid w:val="004F24D9"/>
    <w:rsid w:val="004F3A15"/>
    <w:rsid w:val="004F3A2E"/>
    <w:rsid w:val="004F3FAB"/>
    <w:rsid w:val="004F4BBC"/>
    <w:rsid w:val="004F504C"/>
    <w:rsid w:val="004F7586"/>
    <w:rsid w:val="004F78B0"/>
    <w:rsid w:val="005000B0"/>
    <w:rsid w:val="005005A9"/>
    <w:rsid w:val="00500E62"/>
    <w:rsid w:val="00500E97"/>
    <w:rsid w:val="005017C3"/>
    <w:rsid w:val="00501AB7"/>
    <w:rsid w:val="00501BB1"/>
    <w:rsid w:val="005029BD"/>
    <w:rsid w:val="00502EB9"/>
    <w:rsid w:val="00503597"/>
    <w:rsid w:val="005048F3"/>
    <w:rsid w:val="005054D6"/>
    <w:rsid w:val="0050558D"/>
    <w:rsid w:val="00507341"/>
    <w:rsid w:val="00512C56"/>
    <w:rsid w:val="005140BA"/>
    <w:rsid w:val="005143BD"/>
    <w:rsid w:val="0051518F"/>
    <w:rsid w:val="00515359"/>
    <w:rsid w:val="005166EE"/>
    <w:rsid w:val="00516DED"/>
    <w:rsid w:val="00520D4E"/>
    <w:rsid w:val="00521651"/>
    <w:rsid w:val="005218A1"/>
    <w:rsid w:val="005226DF"/>
    <w:rsid w:val="00524EC4"/>
    <w:rsid w:val="00525932"/>
    <w:rsid w:val="00525C83"/>
    <w:rsid w:val="005301F5"/>
    <w:rsid w:val="0053029E"/>
    <w:rsid w:val="00530E93"/>
    <w:rsid w:val="005310E3"/>
    <w:rsid w:val="00533A5F"/>
    <w:rsid w:val="00533BDB"/>
    <w:rsid w:val="00534104"/>
    <w:rsid w:val="00534787"/>
    <w:rsid w:val="00535B1E"/>
    <w:rsid w:val="005365B3"/>
    <w:rsid w:val="00536BD8"/>
    <w:rsid w:val="00536FB1"/>
    <w:rsid w:val="00537435"/>
    <w:rsid w:val="00537543"/>
    <w:rsid w:val="00537A5E"/>
    <w:rsid w:val="00537C87"/>
    <w:rsid w:val="00541A92"/>
    <w:rsid w:val="00543A71"/>
    <w:rsid w:val="00544175"/>
    <w:rsid w:val="0054670A"/>
    <w:rsid w:val="0054703F"/>
    <w:rsid w:val="00547363"/>
    <w:rsid w:val="0054795D"/>
    <w:rsid w:val="00547A12"/>
    <w:rsid w:val="00550046"/>
    <w:rsid w:val="0055123F"/>
    <w:rsid w:val="00551968"/>
    <w:rsid w:val="00552A3A"/>
    <w:rsid w:val="00553615"/>
    <w:rsid w:val="005537EE"/>
    <w:rsid w:val="005546F6"/>
    <w:rsid w:val="005555F4"/>
    <w:rsid w:val="00556FDF"/>
    <w:rsid w:val="00557202"/>
    <w:rsid w:val="0055740E"/>
    <w:rsid w:val="00560CBA"/>
    <w:rsid w:val="005612C3"/>
    <w:rsid w:val="00561D7E"/>
    <w:rsid w:val="005621D2"/>
    <w:rsid w:val="0056233A"/>
    <w:rsid w:val="0056347D"/>
    <w:rsid w:val="0056416E"/>
    <w:rsid w:val="005700E1"/>
    <w:rsid w:val="0057090A"/>
    <w:rsid w:val="00570995"/>
    <w:rsid w:val="0057154B"/>
    <w:rsid w:val="00572677"/>
    <w:rsid w:val="00572D94"/>
    <w:rsid w:val="00573518"/>
    <w:rsid w:val="00573603"/>
    <w:rsid w:val="00574446"/>
    <w:rsid w:val="005756FA"/>
    <w:rsid w:val="00576641"/>
    <w:rsid w:val="0057728C"/>
    <w:rsid w:val="00577AC3"/>
    <w:rsid w:val="00577DED"/>
    <w:rsid w:val="005807E4"/>
    <w:rsid w:val="005819D3"/>
    <w:rsid w:val="00581A28"/>
    <w:rsid w:val="0058241C"/>
    <w:rsid w:val="0058266E"/>
    <w:rsid w:val="00582ABF"/>
    <w:rsid w:val="00582D08"/>
    <w:rsid w:val="005836F9"/>
    <w:rsid w:val="00583E4C"/>
    <w:rsid w:val="005841C5"/>
    <w:rsid w:val="00584FCA"/>
    <w:rsid w:val="00586F24"/>
    <w:rsid w:val="00586F7A"/>
    <w:rsid w:val="005900BE"/>
    <w:rsid w:val="005901DB"/>
    <w:rsid w:val="00591830"/>
    <w:rsid w:val="005918CD"/>
    <w:rsid w:val="00593A7A"/>
    <w:rsid w:val="00595A14"/>
    <w:rsid w:val="00595FF1"/>
    <w:rsid w:val="00597B1A"/>
    <w:rsid w:val="005A033B"/>
    <w:rsid w:val="005A0588"/>
    <w:rsid w:val="005A1F8A"/>
    <w:rsid w:val="005A358F"/>
    <w:rsid w:val="005A4DC9"/>
    <w:rsid w:val="005A5B04"/>
    <w:rsid w:val="005A6AC2"/>
    <w:rsid w:val="005A7779"/>
    <w:rsid w:val="005A7875"/>
    <w:rsid w:val="005A7D14"/>
    <w:rsid w:val="005B1529"/>
    <w:rsid w:val="005B192F"/>
    <w:rsid w:val="005B3141"/>
    <w:rsid w:val="005B5265"/>
    <w:rsid w:val="005B5337"/>
    <w:rsid w:val="005B56F4"/>
    <w:rsid w:val="005B6AF8"/>
    <w:rsid w:val="005B6DB5"/>
    <w:rsid w:val="005B6FFA"/>
    <w:rsid w:val="005B7231"/>
    <w:rsid w:val="005C107B"/>
    <w:rsid w:val="005C11BF"/>
    <w:rsid w:val="005C1F6F"/>
    <w:rsid w:val="005C3459"/>
    <w:rsid w:val="005C34B2"/>
    <w:rsid w:val="005C5384"/>
    <w:rsid w:val="005C5750"/>
    <w:rsid w:val="005D069E"/>
    <w:rsid w:val="005D136D"/>
    <w:rsid w:val="005D1ADA"/>
    <w:rsid w:val="005D2851"/>
    <w:rsid w:val="005D3285"/>
    <w:rsid w:val="005D3487"/>
    <w:rsid w:val="005D485A"/>
    <w:rsid w:val="005D5782"/>
    <w:rsid w:val="005D7475"/>
    <w:rsid w:val="005D7B67"/>
    <w:rsid w:val="005D7BD0"/>
    <w:rsid w:val="005E080A"/>
    <w:rsid w:val="005E10EA"/>
    <w:rsid w:val="005E10FC"/>
    <w:rsid w:val="005E1467"/>
    <w:rsid w:val="005E1BD0"/>
    <w:rsid w:val="005E20AC"/>
    <w:rsid w:val="005E2BE2"/>
    <w:rsid w:val="005E544F"/>
    <w:rsid w:val="005E59E5"/>
    <w:rsid w:val="005E61AE"/>
    <w:rsid w:val="005E7348"/>
    <w:rsid w:val="005F0CB4"/>
    <w:rsid w:val="005F2EC2"/>
    <w:rsid w:val="005F34F3"/>
    <w:rsid w:val="005F4961"/>
    <w:rsid w:val="005F4D64"/>
    <w:rsid w:val="005F51DC"/>
    <w:rsid w:val="005F58E1"/>
    <w:rsid w:val="005F625A"/>
    <w:rsid w:val="005F6581"/>
    <w:rsid w:val="005F6877"/>
    <w:rsid w:val="006000C1"/>
    <w:rsid w:val="00600360"/>
    <w:rsid w:val="00600A01"/>
    <w:rsid w:val="00601DC7"/>
    <w:rsid w:val="0060282E"/>
    <w:rsid w:val="00602D29"/>
    <w:rsid w:val="00604353"/>
    <w:rsid w:val="00604BE4"/>
    <w:rsid w:val="00606F1E"/>
    <w:rsid w:val="00611093"/>
    <w:rsid w:val="0061147E"/>
    <w:rsid w:val="00612A96"/>
    <w:rsid w:val="00612EE1"/>
    <w:rsid w:val="00613648"/>
    <w:rsid w:val="0061465D"/>
    <w:rsid w:val="00614760"/>
    <w:rsid w:val="00615370"/>
    <w:rsid w:val="00615A46"/>
    <w:rsid w:val="00615B86"/>
    <w:rsid w:val="00615CD6"/>
    <w:rsid w:val="0062021D"/>
    <w:rsid w:val="00621D0A"/>
    <w:rsid w:val="00621E59"/>
    <w:rsid w:val="00622B5E"/>
    <w:rsid w:val="006230FB"/>
    <w:rsid w:val="00623150"/>
    <w:rsid w:val="00623418"/>
    <w:rsid w:val="00623668"/>
    <w:rsid w:val="00624711"/>
    <w:rsid w:val="0062525B"/>
    <w:rsid w:val="006259DE"/>
    <w:rsid w:val="00625E7B"/>
    <w:rsid w:val="006265BC"/>
    <w:rsid w:val="00627117"/>
    <w:rsid w:val="006273FC"/>
    <w:rsid w:val="00627F71"/>
    <w:rsid w:val="0063036B"/>
    <w:rsid w:val="00631417"/>
    <w:rsid w:val="006318F0"/>
    <w:rsid w:val="00632D19"/>
    <w:rsid w:val="00632F04"/>
    <w:rsid w:val="00633399"/>
    <w:rsid w:val="00635852"/>
    <w:rsid w:val="00636454"/>
    <w:rsid w:val="0063699B"/>
    <w:rsid w:val="00636F9A"/>
    <w:rsid w:val="006373AA"/>
    <w:rsid w:val="006375AE"/>
    <w:rsid w:val="006401E9"/>
    <w:rsid w:val="006401FF"/>
    <w:rsid w:val="006413C1"/>
    <w:rsid w:val="006413D3"/>
    <w:rsid w:val="00641808"/>
    <w:rsid w:val="00641AFD"/>
    <w:rsid w:val="006420F8"/>
    <w:rsid w:val="006429B5"/>
    <w:rsid w:val="006434B8"/>
    <w:rsid w:val="00643C14"/>
    <w:rsid w:val="006463B7"/>
    <w:rsid w:val="00646B7D"/>
    <w:rsid w:val="00646DF3"/>
    <w:rsid w:val="00647341"/>
    <w:rsid w:val="006511F1"/>
    <w:rsid w:val="00652FB3"/>
    <w:rsid w:val="006539D7"/>
    <w:rsid w:val="00655793"/>
    <w:rsid w:val="00655D2B"/>
    <w:rsid w:val="00655EC7"/>
    <w:rsid w:val="00656843"/>
    <w:rsid w:val="00656D79"/>
    <w:rsid w:val="00657805"/>
    <w:rsid w:val="0066076F"/>
    <w:rsid w:val="00663198"/>
    <w:rsid w:val="00663591"/>
    <w:rsid w:val="0066362F"/>
    <w:rsid w:val="00663941"/>
    <w:rsid w:val="00663CCF"/>
    <w:rsid w:val="00664184"/>
    <w:rsid w:val="006644A2"/>
    <w:rsid w:val="006652FB"/>
    <w:rsid w:val="00665AB4"/>
    <w:rsid w:val="00666655"/>
    <w:rsid w:val="006667E5"/>
    <w:rsid w:val="00667D08"/>
    <w:rsid w:val="00670B69"/>
    <w:rsid w:val="00671130"/>
    <w:rsid w:val="006719BE"/>
    <w:rsid w:val="00671A02"/>
    <w:rsid w:val="00672462"/>
    <w:rsid w:val="0067248C"/>
    <w:rsid w:val="0067485D"/>
    <w:rsid w:val="00676952"/>
    <w:rsid w:val="006812C3"/>
    <w:rsid w:val="006826D3"/>
    <w:rsid w:val="00683399"/>
    <w:rsid w:val="00683AE7"/>
    <w:rsid w:val="00685061"/>
    <w:rsid w:val="006859E2"/>
    <w:rsid w:val="0068655D"/>
    <w:rsid w:val="006879F4"/>
    <w:rsid w:val="00691098"/>
    <w:rsid w:val="00691741"/>
    <w:rsid w:val="00691EDC"/>
    <w:rsid w:val="006926C5"/>
    <w:rsid w:val="006928B3"/>
    <w:rsid w:val="0069360A"/>
    <w:rsid w:val="00694F51"/>
    <w:rsid w:val="00696B4C"/>
    <w:rsid w:val="00696E42"/>
    <w:rsid w:val="0069745B"/>
    <w:rsid w:val="00697656"/>
    <w:rsid w:val="006A0D3E"/>
    <w:rsid w:val="006A119E"/>
    <w:rsid w:val="006A192C"/>
    <w:rsid w:val="006A1D95"/>
    <w:rsid w:val="006A2326"/>
    <w:rsid w:val="006A3277"/>
    <w:rsid w:val="006A34E8"/>
    <w:rsid w:val="006A3A3E"/>
    <w:rsid w:val="006A3F60"/>
    <w:rsid w:val="006A5BCA"/>
    <w:rsid w:val="006A6282"/>
    <w:rsid w:val="006A6DC8"/>
    <w:rsid w:val="006A7470"/>
    <w:rsid w:val="006B0481"/>
    <w:rsid w:val="006B09FF"/>
    <w:rsid w:val="006B0AAC"/>
    <w:rsid w:val="006B239F"/>
    <w:rsid w:val="006B3929"/>
    <w:rsid w:val="006B60F3"/>
    <w:rsid w:val="006B61DB"/>
    <w:rsid w:val="006B6A29"/>
    <w:rsid w:val="006B701E"/>
    <w:rsid w:val="006B7F6A"/>
    <w:rsid w:val="006C1AC1"/>
    <w:rsid w:val="006C259A"/>
    <w:rsid w:val="006C331C"/>
    <w:rsid w:val="006C4561"/>
    <w:rsid w:val="006C55BD"/>
    <w:rsid w:val="006C5779"/>
    <w:rsid w:val="006C5A55"/>
    <w:rsid w:val="006C6171"/>
    <w:rsid w:val="006C6889"/>
    <w:rsid w:val="006C76D5"/>
    <w:rsid w:val="006C7D2A"/>
    <w:rsid w:val="006D05CF"/>
    <w:rsid w:val="006D1138"/>
    <w:rsid w:val="006D27D9"/>
    <w:rsid w:val="006D2C59"/>
    <w:rsid w:val="006D31E3"/>
    <w:rsid w:val="006D320B"/>
    <w:rsid w:val="006D434F"/>
    <w:rsid w:val="006D4712"/>
    <w:rsid w:val="006D52EB"/>
    <w:rsid w:val="006D6207"/>
    <w:rsid w:val="006D7FC6"/>
    <w:rsid w:val="006E07C8"/>
    <w:rsid w:val="006E1E51"/>
    <w:rsid w:val="006E2E84"/>
    <w:rsid w:val="006E44F8"/>
    <w:rsid w:val="006E62F5"/>
    <w:rsid w:val="006E6D7A"/>
    <w:rsid w:val="006E7113"/>
    <w:rsid w:val="006E772D"/>
    <w:rsid w:val="006E79D2"/>
    <w:rsid w:val="006E7BE4"/>
    <w:rsid w:val="006E7FB2"/>
    <w:rsid w:val="006F1856"/>
    <w:rsid w:val="006F37BB"/>
    <w:rsid w:val="006F6B83"/>
    <w:rsid w:val="006F76DD"/>
    <w:rsid w:val="007016CE"/>
    <w:rsid w:val="00701904"/>
    <w:rsid w:val="0070221F"/>
    <w:rsid w:val="00702E51"/>
    <w:rsid w:val="00703065"/>
    <w:rsid w:val="00703E13"/>
    <w:rsid w:val="00705387"/>
    <w:rsid w:val="00705429"/>
    <w:rsid w:val="0070558C"/>
    <w:rsid w:val="00707B46"/>
    <w:rsid w:val="007108CE"/>
    <w:rsid w:val="00710D55"/>
    <w:rsid w:val="00711B7E"/>
    <w:rsid w:val="00712CE6"/>
    <w:rsid w:val="00717371"/>
    <w:rsid w:val="0072006C"/>
    <w:rsid w:val="00720955"/>
    <w:rsid w:val="00720A15"/>
    <w:rsid w:val="00721950"/>
    <w:rsid w:val="00721AF6"/>
    <w:rsid w:val="007233C9"/>
    <w:rsid w:val="00724C8C"/>
    <w:rsid w:val="00724C92"/>
    <w:rsid w:val="0072645C"/>
    <w:rsid w:val="00726CF4"/>
    <w:rsid w:val="007316CC"/>
    <w:rsid w:val="00731B73"/>
    <w:rsid w:val="00732320"/>
    <w:rsid w:val="00732427"/>
    <w:rsid w:val="00733240"/>
    <w:rsid w:val="00733B51"/>
    <w:rsid w:val="00735159"/>
    <w:rsid w:val="0073567B"/>
    <w:rsid w:val="007364A9"/>
    <w:rsid w:val="00736A30"/>
    <w:rsid w:val="00736CDF"/>
    <w:rsid w:val="00736E0C"/>
    <w:rsid w:val="007372C6"/>
    <w:rsid w:val="00737B01"/>
    <w:rsid w:val="00737B1E"/>
    <w:rsid w:val="00740CF0"/>
    <w:rsid w:val="00742246"/>
    <w:rsid w:val="007430C2"/>
    <w:rsid w:val="00743665"/>
    <w:rsid w:val="007438F1"/>
    <w:rsid w:val="00743A54"/>
    <w:rsid w:val="00744590"/>
    <w:rsid w:val="00747C70"/>
    <w:rsid w:val="007503B5"/>
    <w:rsid w:val="00750D34"/>
    <w:rsid w:val="00751A3F"/>
    <w:rsid w:val="00752820"/>
    <w:rsid w:val="00752DAD"/>
    <w:rsid w:val="007530B4"/>
    <w:rsid w:val="00753348"/>
    <w:rsid w:val="007539CF"/>
    <w:rsid w:val="007549CB"/>
    <w:rsid w:val="007563A6"/>
    <w:rsid w:val="00756827"/>
    <w:rsid w:val="007603EF"/>
    <w:rsid w:val="00763090"/>
    <w:rsid w:val="00763901"/>
    <w:rsid w:val="007639CA"/>
    <w:rsid w:val="007654A9"/>
    <w:rsid w:val="007658AC"/>
    <w:rsid w:val="00765EFD"/>
    <w:rsid w:val="00765FDA"/>
    <w:rsid w:val="007663C1"/>
    <w:rsid w:val="00766AD7"/>
    <w:rsid w:val="00766C0B"/>
    <w:rsid w:val="00766DF4"/>
    <w:rsid w:val="00767258"/>
    <w:rsid w:val="00767C9D"/>
    <w:rsid w:val="00770A47"/>
    <w:rsid w:val="00770EC7"/>
    <w:rsid w:val="0077253B"/>
    <w:rsid w:val="00773E30"/>
    <w:rsid w:val="00773F5D"/>
    <w:rsid w:val="00776993"/>
    <w:rsid w:val="0078044A"/>
    <w:rsid w:val="0078062E"/>
    <w:rsid w:val="007815A3"/>
    <w:rsid w:val="0078306D"/>
    <w:rsid w:val="00783971"/>
    <w:rsid w:val="00783B25"/>
    <w:rsid w:val="00783F2C"/>
    <w:rsid w:val="00784EE8"/>
    <w:rsid w:val="00787B2F"/>
    <w:rsid w:val="007911A2"/>
    <w:rsid w:val="007913A0"/>
    <w:rsid w:val="0079184E"/>
    <w:rsid w:val="00793355"/>
    <w:rsid w:val="00794E10"/>
    <w:rsid w:val="00795BE0"/>
    <w:rsid w:val="00796223"/>
    <w:rsid w:val="007971CA"/>
    <w:rsid w:val="007A02B8"/>
    <w:rsid w:val="007A1579"/>
    <w:rsid w:val="007A2EEF"/>
    <w:rsid w:val="007A356C"/>
    <w:rsid w:val="007A3F9D"/>
    <w:rsid w:val="007A4B3E"/>
    <w:rsid w:val="007A5059"/>
    <w:rsid w:val="007A516D"/>
    <w:rsid w:val="007B344E"/>
    <w:rsid w:val="007B397D"/>
    <w:rsid w:val="007B4F6F"/>
    <w:rsid w:val="007B5149"/>
    <w:rsid w:val="007B7776"/>
    <w:rsid w:val="007C0489"/>
    <w:rsid w:val="007C06E4"/>
    <w:rsid w:val="007C1E6F"/>
    <w:rsid w:val="007C1ED6"/>
    <w:rsid w:val="007C2BBE"/>
    <w:rsid w:val="007C2F52"/>
    <w:rsid w:val="007C560B"/>
    <w:rsid w:val="007C57F8"/>
    <w:rsid w:val="007C687D"/>
    <w:rsid w:val="007C7F11"/>
    <w:rsid w:val="007D038B"/>
    <w:rsid w:val="007D0817"/>
    <w:rsid w:val="007D0DFD"/>
    <w:rsid w:val="007D39B3"/>
    <w:rsid w:val="007D3B24"/>
    <w:rsid w:val="007D4A0E"/>
    <w:rsid w:val="007D4E5B"/>
    <w:rsid w:val="007D5836"/>
    <w:rsid w:val="007D622C"/>
    <w:rsid w:val="007D6B74"/>
    <w:rsid w:val="007D71BA"/>
    <w:rsid w:val="007E070A"/>
    <w:rsid w:val="007E1307"/>
    <w:rsid w:val="007E2D1D"/>
    <w:rsid w:val="007E671D"/>
    <w:rsid w:val="007E73B4"/>
    <w:rsid w:val="007F028C"/>
    <w:rsid w:val="007F1BB2"/>
    <w:rsid w:val="007F1CFB"/>
    <w:rsid w:val="007F3FBF"/>
    <w:rsid w:val="007F6E94"/>
    <w:rsid w:val="00800594"/>
    <w:rsid w:val="00801384"/>
    <w:rsid w:val="0080383F"/>
    <w:rsid w:val="00804B57"/>
    <w:rsid w:val="00805362"/>
    <w:rsid w:val="0080617D"/>
    <w:rsid w:val="00806F84"/>
    <w:rsid w:val="00807645"/>
    <w:rsid w:val="00807ADA"/>
    <w:rsid w:val="00807B2A"/>
    <w:rsid w:val="00807DD7"/>
    <w:rsid w:val="00807F72"/>
    <w:rsid w:val="00810531"/>
    <w:rsid w:val="00812169"/>
    <w:rsid w:val="0081459C"/>
    <w:rsid w:val="00814CE0"/>
    <w:rsid w:val="0081671C"/>
    <w:rsid w:val="008170D6"/>
    <w:rsid w:val="0081759E"/>
    <w:rsid w:val="00817712"/>
    <w:rsid w:val="00817E41"/>
    <w:rsid w:val="0082031C"/>
    <w:rsid w:val="00820395"/>
    <w:rsid w:val="0082166C"/>
    <w:rsid w:val="00821FAE"/>
    <w:rsid w:val="00823270"/>
    <w:rsid w:val="008240A7"/>
    <w:rsid w:val="00824454"/>
    <w:rsid w:val="00824DB0"/>
    <w:rsid w:val="008255A4"/>
    <w:rsid w:val="00826C93"/>
    <w:rsid w:val="0083093E"/>
    <w:rsid w:val="008311BD"/>
    <w:rsid w:val="008315CB"/>
    <w:rsid w:val="00832CC1"/>
    <w:rsid w:val="0083341A"/>
    <w:rsid w:val="00834525"/>
    <w:rsid w:val="008347C8"/>
    <w:rsid w:val="00834821"/>
    <w:rsid w:val="00834E2A"/>
    <w:rsid w:val="00834ECA"/>
    <w:rsid w:val="00835454"/>
    <w:rsid w:val="00835907"/>
    <w:rsid w:val="00837279"/>
    <w:rsid w:val="00840C7E"/>
    <w:rsid w:val="00842223"/>
    <w:rsid w:val="008428E5"/>
    <w:rsid w:val="008433A2"/>
    <w:rsid w:val="00843F32"/>
    <w:rsid w:val="00846B2A"/>
    <w:rsid w:val="00846C14"/>
    <w:rsid w:val="00850E80"/>
    <w:rsid w:val="008511AF"/>
    <w:rsid w:val="00851C97"/>
    <w:rsid w:val="00852F8D"/>
    <w:rsid w:val="008537C0"/>
    <w:rsid w:val="00853C20"/>
    <w:rsid w:val="0085414E"/>
    <w:rsid w:val="00854E6B"/>
    <w:rsid w:val="008555EB"/>
    <w:rsid w:val="00855FD1"/>
    <w:rsid w:val="008561FA"/>
    <w:rsid w:val="008562FF"/>
    <w:rsid w:val="008612E1"/>
    <w:rsid w:val="00863E7D"/>
    <w:rsid w:val="00866556"/>
    <w:rsid w:val="0086758E"/>
    <w:rsid w:val="00870178"/>
    <w:rsid w:val="00870DEB"/>
    <w:rsid w:val="00871410"/>
    <w:rsid w:val="008718F2"/>
    <w:rsid w:val="0087223D"/>
    <w:rsid w:val="00872A44"/>
    <w:rsid w:val="00872DDF"/>
    <w:rsid w:val="00873159"/>
    <w:rsid w:val="00874707"/>
    <w:rsid w:val="00876956"/>
    <w:rsid w:val="00876F38"/>
    <w:rsid w:val="00877473"/>
    <w:rsid w:val="008775D1"/>
    <w:rsid w:val="008801D2"/>
    <w:rsid w:val="008801EA"/>
    <w:rsid w:val="008805D3"/>
    <w:rsid w:val="0088083E"/>
    <w:rsid w:val="0088095C"/>
    <w:rsid w:val="0088140D"/>
    <w:rsid w:val="008815FA"/>
    <w:rsid w:val="00881DB3"/>
    <w:rsid w:val="00884C16"/>
    <w:rsid w:val="00887631"/>
    <w:rsid w:val="00890727"/>
    <w:rsid w:val="00890F2D"/>
    <w:rsid w:val="00890FFF"/>
    <w:rsid w:val="00891391"/>
    <w:rsid w:val="00891DEB"/>
    <w:rsid w:val="008928B7"/>
    <w:rsid w:val="00893CA8"/>
    <w:rsid w:val="0089410A"/>
    <w:rsid w:val="00894CF7"/>
    <w:rsid w:val="00895415"/>
    <w:rsid w:val="00896143"/>
    <w:rsid w:val="008A0FE5"/>
    <w:rsid w:val="008A1353"/>
    <w:rsid w:val="008A175F"/>
    <w:rsid w:val="008A17FC"/>
    <w:rsid w:val="008A486D"/>
    <w:rsid w:val="008A4B59"/>
    <w:rsid w:val="008A57DB"/>
    <w:rsid w:val="008A73EB"/>
    <w:rsid w:val="008A7989"/>
    <w:rsid w:val="008B01EB"/>
    <w:rsid w:val="008B1F12"/>
    <w:rsid w:val="008B295F"/>
    <w:rsid w:val="008B399A"/>
    <w:rsid w:val="008B488C"/>
    <w:rsid w:val="008B5885"/>
    <w:rsid w:val="008B6C31"/>
    <w:rsid w:val="008B6D19"/>
    <w:rsid w:val="008B7189"/>
    <w:rsid w:val="008B7760"/>
    <w:rsid w:val="008B78BF"/>
    <w:rsid w:val="008C1AB7"/>
    <w:rsid w:val="008C227D"/>
    <w:rsid w:val="008C2890"/>
    <w:rsid w:val="008C2D93"/>
    <w:rsid w:val="008C3AF0"/>
    <w:rsid w:val="008C4AF8"/>
    <w:rsid w:val="008C5C9C"/>
    <w:rsid w:val="008C6108"/>
    <w:rsid w:val="008C6489"/>
    <w:rsid w:val="008C69E7"/>
    <w:rsid w:val="008C772A"/>
    <w:rsid w:val="008D24CE"/>
    <w:rsid w:val="008D3406"/>
    <w:rsid w:val="008D3E4D"/>
    <w:rsid w:val="008D413D"/>
    <w:rsid w:val="008D4849"/>
    <w:rsid w:val="008D4E57"/>
    <w:rsid w:val="008D6A27"/>
    <w:rsid w:val="008D707B"/>
    <w:rsid w:val="008E1A1B"/>
    <w:rsid w:val="008E1E50"/>
    <w:rsid w:val="008E1FEB"/>
    <w:rsid w:val="008E2C89"/>
    <w:rsid w:val="008E3BAB"/>
    <w:rsid w:val="008E5068"/>
    <w:rsid w:val="008E6001"/>
    <w:rsid w:val="008E6751"/>
    <w:rsid w:val="008E6812"/>
    <w:rsid w:val="008E6CEB"/>
    <w:rsid w:val="008E7BE6"/>
    <w:rsid w:val="008F04E0"/>
    <w:rsid w:val="008F1CDE"/>
    <w:rsid w:val="008F32E7"/>
    <w:rsid w:val="008F3BEA"/>
    <w:rsid w:val="008F52C9"/>
    <w:rsid w:val="008F5D0C"/>
    <w:rsid w:val="009004FC"/>
    <w:rsid w:val="009026BF"/>
    <w:rsid w:val="009028ED"/>
    <w:rsid w:val="00903DA9"/>
    <w:rsid w:val="0090421D"/>
    <w:rsid w:val="00904339"/>
    <w:rsid w:val="009056D4"/>
    <w:rsid w:val="0090703E"/>
    <w:rsid w:val="00907951"/>
    <w:rsid w:val="009079BB"/>
    <w:rsid w:val="00907F32"/>
    <w:rsid w:val="00911263"/>
    <w:rsid w:val="00911265"/>
    <w:rsid w:val="00911520"/>
    <w:rsid w:val="00911B32"/>
    <w:rsid w:val="00912074"/>
    <w:rsid w:val="009127FA"/>
    <w:rsid w:val="009130BD"/>
    <w:rsid w:val="00913196"/>
    <w:rsid w:val="00914C54"/>
    <w:rsid w:val="00915C61"/>
    <w:rsid w:val="00915CA7"/>
    <w:rsid w:val="00916068"/>
    <w:rsid w:val="009164E2"/>
    <w:rsid w:val="009169A9"/>
    <w:rsid w:val="00916B38"/>
    <w:rsid w:val="00916DC1"/>
    <w:rsid w:val="0091717C"/>
    <w:rsid w:val="00917990"/>
    <w:rsid w:val="00922907"/>
    <w:rsid w:val="00923AB3"/>
    <w:rsid w:val="00924154"/>
    <w:rsid w:val="00925752"/>
    <w:rsid w:val="009257B2"/>
    <w:rsid w:val="00925C0C"/>
    <w:rsid w:val="00925F83"/>
    <w:rsid w:val="0092633D"/>
    <w:rsid w:val="009272E9"/>
    <w:rsid w:val="0093528C"/>
    <w:rsid w:val="00935800"/>
    <w:rsid w:val="009363BF"/>
    <w:rsid w:val="00937163"/>
    <w:rsid w:val="0093772A"/>
    <w:rsid w:val="00937D0D"/>
    <w:rsid w:val="00940138"/>
    <w:rsid w:val="009407B6"/>
    <w:rsid w:val="00940D81"/>
    <w:rsid w:val="009415CE"/>
    <w:rsid w:val="009425C0"/>
    <w:rsid w:val="00942A34"/>
    <w:rsid w:val="00942C18"/>
    <w:rsid w:val="00942E0C"/>
    <w:rsid w:val="009449BB"/>
    <w:rsid w:val="009454D6"/>
    <w:rsid w:val="0094559A"/>
    <w:rsid w:val="00945E76"/>
    <w:rsid w:val="00945F6A"/>
    <w:rsid w:val="009460C4"/>
    <w:rsid w:val="0094689F"/>
    <w:rsid w:val="0094738F"/>
    <w:rsid w:val="0094760B"/>
    <w:rsid w:val="00947D47"/>
    <w:rsid w:val="00950139"/>
    <w:rsid w:val="009508C5"/>
    <w:rsid w:val="009515B1"/>
    <w:rsid w:val="0095198A"/>
    <w:rsid w:val="00953577"/>
    <w:rsid w:val="00953B3C"/>
    <w:rsid w:val="00953BC0"/>
    <w:rsid w:val="00953D93"/>
    <w:rsid w:val="00954684"/>
    <w:rsid w:val="00957780"/>
    <w:rsid w:val="009577F3"/>
    <w:rsid w:val="009607A5"/>
    <w:rsid w:val="00961AE7"/>
    <w:rsid w:val="00962103"/>
    <w:rsid w:val="00962D7C"/>
    <w:rsid w:val="00963079"/>
    <w:rsid w:val="00963884"/>
    <w:rsid w:val="00964409"/>
    <w:rsid w:val="00966C4B"/>
    <w:rsid w:val="00966F4E"/>
    <w:rsid w:val="00967149"/>
    <w:rsid w:val="009701DB"/>
    <w:rsid w:val="00970DB6"/>
    <w:rsid w:val="00971645"/>
    <w:rsid w:val="009724AE"/>
    <w:rsid w:val="009726BB"/>
    <w:rsid w:val="0097273B"/>
    <w:rsid w:val="009737C5"/>
    <w:rsid w:val="009756FF"/>
    <w:rsid w:val="0097583B"/>
    <w:rsid w:val="00975888"/>
    <w:rsid w:val="009763E7"/>
    <w:rsid w:val="009772CF"/>
    <w:rsid w:val="00980E14"/>
    <w:rsid w:val="00981110"/>
    <w:rsid w:val="00984046"/>
    <w:rsid w:val="009847B3"/>
    <w:rsid w:val="009865E6"/>
    <w:rsid w:val="009875A9"/>
    <w:rsid w:val="00990CAF"/>
    <w:rsid w:val="00991133"/>
    <w:rsid w:val="00992C32"/>
    <w:rsid w:val="00992E71"/>
    <w:rsid w:val="00993536"/>
    <w:rsid w:val="00993A8B"/>
    <w:rsid w:val="00994206"/>
    <w:rsid w:val="00994437"/>
    <w:rsid w:val="00994B4D"/>
    <w:rsid w:val="00996326"/>
    <w:rsid w:val="0099672B"/>
    <w:rsid w:val="00996F6C"/>
    <w:rsid w:val="009A06E6"/>
    <w:rsid w:val="009A14A0"/>
    <w:rsid w:val="009A2A6B"/>
    <w:rsid w:val="009A3708"/>
    <w:rsid w:val="009A3A5B"/>
    <w:rsid w:val="009A43CD"/>
    <w:rsid w:val="009A478D"/>
    <w:rsid w:val="009A500D"/>
    <w:rsid w:val="009A59D8"/>
    <w:rsid w:val="009A5F50"/>
    <w:rsid w:val="009A5FCD"/>
    <w:rsid w:val="009A608A"/>
    <w:rsid w:val="009A6BFB"/>
    <w:rsid w:val="009A6C1B"/>
    <w:rsid w:val="009A6EC3"/>
    <w:rsid w:val="009B02C1"/>
    <w:rsid w:val="009B19E7"/>
    <w:rsid w:val="009B241C"/>
    <w:rsid w:val="009B27AA"/>
    <w:rsid w:val="009B38DD"/>
    <w:rsid w:val="009B42D1"/>
    <w:rsid w:val="009B4895"/>
    <w:rsid w:val="009B4CFB"/>
    <w:rsid w:val="009B6BA5"/>
    <w:rsid w:val="009B7558"/>
    <w:rsid w:val="009C06DB"/>
    <w:rsid w:val="009C148B"/>
    <w:rsid w:val="009C1C61"/>
    <w:rsid w:val="009C230E"/>
    <w:rsid w:val="009C304E"/>
    <w:rsid w:val="009C3584"/>
    <w:rsid w:val="009C3AE8"/>
    <w:rsid w:val="009C4407"/>
    <w:rsid w:val="009C4C4C"/>
    <w:rsid w:val="009C4ECD"/>
    <w:rsid w:val="009C5DEA"/>
    <w:rsid w:val="009C6877"/>
    <w:rsid w:val="009C774C"/>
    <w:rsid w:val="009D07C3"/>
    <w:rsid w:val="009D0C5D"/>
    <w:rsid w:val="009D0EE0"/>
    <w:rsid w:val="009D10A3"/>
    <w:rsid w:val="009D18CE"/>
    <w:rsid w:val="009D248F"/>
    <w:rsid w:val="009D268A"/>
    <w:rsid w:val="009D2A6C"/>
    <w:rsid w:val="009D2A84"/>
    <w:rsid w:val="009D348E"/>
    <w:rsid w:val="009D4BE5"/>
    <w:rsid w:val="009D513C"/>
    <w:rsid w:val="009D591B"/>
    <w:rsid w:val="009D6F09"/>
    <w:rsid w:val="009E12A3"/>
    <w:rsid w:val="009E1F77"/>
    <w:rsid w:val="009E3220"/>
    <w:rsid w:val="009E5079"/>
    <w:rsid w:val="009E72F7"/>
    <w:rsid w:val="009E770F"/>
    <w:rsid w:val="009E7E69"/>
    <w:rsid w:val="009F0659"/>
    <w:rsid w:val="009F17A4"/>
    <w:rsid w:val="009F2C19"/>
    <w:rsid w:val="009F3D7F"/>
    <w:rsid w:val="009F3E26"/>
    <w:rsid w:val="009F4764"/>
    <w:rsid w:val="009F4DDF"/>
    <w:rsid w:val="009F5F70"/>
    <w:rsid w:val="009F6372"/>
    <w:rsid w:val="009F7896"/>
    <w:rsid w:val="00A00392"/>
    <w:rsid w:val="00A00D55"/>
    <w:rsid w:val="00A01843"/>
    <w:rsid w:val="00A02C04"/>
    <w:rsid w:val="00A05797"/>
    <w:rsid w:val="00A05A71"/>
    <w:rsid w:val="00A06490"/>
    <w:rsid w:val="00A06B07"/>
    <w:rsid w:val="00A070B0"/>
    <w:rsid w:val="00A074F6"/>
    <w:rsid w:val="00A100A5"/>
    <w:rsid w:val="00A11BAA"/>
    <w:rsid w:val="00A11FCF"/>
    <w:rsid w:val="00A128B0"/>
    <w:rsid w:val="00A130A7"/>
    <w:rsid w:val="00A13318"/>
    <w:rsid w:val="00A13A0A"/>
    <w:rsid w:val="00A15B2E"/>
    <w:rsid w:val="00A15B89"/>
    <w:rsid w:val="00A15D39"/>
    <w:rsid w:val="00A162DB"/>
    <w:rsid w:val="00A20F13"/>
    <w:rsid w:val="00A21337"/>
    <w:rsid w:val="00A21C43"/>
    <w:rsid w:val="00A21EB2"/>
    <w:rsid w:val="00A240BD"/>
    <w:rsid w:val="00A24719"/>
    <w:rsid w:val="00A24BD1"/>
    <w:rsid w:val="00A24F05"/>
    <w:rsid w:val="00A25A22"/>
    <w:rsid w:val="00A25C01"/>
    <w:rsid w:val="00A260EA"/>
    <w:rsid w:val="00A27AC2"/>
    <w:rsid w:val="00A30DF0"/>
    <w:rsid w:val="00A30E44"/>
    <w:rsid w:val="00A31D08"/>
    <w:rsid w:val="00A33070"/>
    <w:rsid w:val="00A331D0"/>
    <w:rsid w:val="00A340ED"/>
    <w:rsid w:val="00A35955"/>
    <w:rsid w:val="00A4013F"/>
    <w:rsid w:val="00A40D4A"/>
    <w:rsid w:val="00A41651"/>
    <w:rsid w:val="00A41A41"/>
    <w:rsid w:val="00A422A4"/>
    <w:rsid w:val="00A428FE"/>
    <w:rsid w:val="00A42FD1"/>
    <w:rsid w:val="00A449A0"/>
    <w:rsid w:val="00A46076"/>
    <w:rsid w:val="00A46371"/>
    <w:rsid w:val="00A4746A"/>
    <w:rsid w:val="00A479C2"/>
    <w:rsid w:val="00A56C28"/>
    <w:rsid w:val="00A6296D"/>
    <w:rsid w:val="00A62D41"/>
    <w:rsid w:val="00A664F8"/>
    <w:rsid w:val="00A669D9"/>
    <w:rsid w:val="00A673A7"/>
    <w:rsid w:val="00A70327"/>
    <w:rsid w:val="00A71690"/>
    <w:rsid w:val="00A71759"/>
    <w:rsid w:val="00A71813"/>
    <w:rsid w:val="00A725A6"/>
    <w:rsid w:val="00A72A64"/>
    <w:rsid w:val="00A740F9"/>
    <w:rsid w:val="00A75AD4"/>
    <w:rsid w:val="00A75C0F"/>
    <w:rsid w:val="00A760DA"/>
    <w:rsid w:val="00A77B06"/>
    <w:rsid w:val="00A80F13"/>
    <w:rsid w:val="00A80F90"/>
    <w:rsid w:val="00A81B7E"/>
    <w:rsid w:val="00A82322"/>
    <w:rsid w:val="00A836A9"/>
    <w:rsid w:val="00A83A47"/>
    <w:rsid w:val="00A85158"/>
    <w:rsid w:val="00A9024E"/>
    <w:rsid w:val="00A926D0"/>
    <w:rsid w:val="00A93571"/>
    <w:rsid w:val="00A9364C"/>
    <w:rsid w:val="00A949DB"/>
    <w:rsid w:val="00A94A28"/>
    <w:rsid w:val="00A96068"/>
    <w:rsid w:val="00A964B3"/>
    <w:rsid w:val="00A96EB3"/>
    <w:rsid w:val="00A97590"/>
    <w:rsid w:val="00AA2277"/>
    <w:rsid w:val="00AA3BF5"/>
    <w:rsid w:val="00AA448C"/>
    <w:rsid w:val="00AA5679"/>
    <w:rsid w:val="00AA7C22"/>
    <w:rsid w:val="00AA7C67"/>
    <w:rsid w:val="00AA7CEE"/>
    <w:rsid w:val="00AB017B"/>
    <w:rsid w:val="00AB024D"/>
    <w:rsid w:val="00AB09E8"/>
    <w:rsid w:val="00AB10A8"/>
    <w:rsid w:val="00AB16AF"/>
    <w:rsid w:val="00AB2937"/>
    <w:rsid w:val="00AB2D51"/>
    <w:rsid w:val="00AB3129"/>
    <w:rsid w:val="00AB3F61"/>
    <w:rsid w:val="00AB43CE"/>
    <w:rsid w:val="00AB4958"/>
    <w:rsid w:val="00AB640B"/>
    <w:rsid w:val="00AC08CE"/>
    <w:rsid w:val="00AC240F"/>
    <w:rsid w:val="00AC2CB4"/>
    <w:rsid w:val="00AC31DE"/>
    <w:rsid w:val="00AC3DC9"/>
    <w:rsid w:val="00AC3FD4"/>
    <w:rsid w:val="00AC57F5"/>
    <w:rsid w:val="00AC6022"/>
    <w:rsid w:val="00AC6B74"/>
    <w:rsid w:val="00AC7A29"/>
    <w:rsid w:val="00AD125B"/>
    <w:rsid w:val="00AD31A0"/>
    <w:rsid w:val="00AD3860"/>
    <w:rsid w:val="00AD39A9"/>
    <w:rsid w:val="00AD4670"/>
    <w:rsid w:val="00AD494A"/>
    <w:rsid w:val="00AD544F"/>
    <w:rsid w:val="00AD5A7B"/>
    <w:rsid w:val="00AD6381"/>
    <w:rsid w:val="00AD63EE"/>
    <w:rsid w:val="00AD6F81"/>
    <w:rsid w:val="00AE00F9"/>
    <w:rsid w:val="00AE0501"/>
    <w:rsid w:val="00AE1E16"/>
    <w:rsid w:val="00AE1E83"/>
    <w:rsid w:val="00AE2847"/>
    <w:rsid w:val="00AE2BE4"/>
    <w:rsid w:val="00AE3C66"/>
    <w:rsid w:val="00AE4216"/>
    <w:rsid w:val="00AE5261"/>
    <w:rsid w:val="00AE5C44"/>
    <w:rsid w:val="00AE77B9"/>
    <w:rsid w:val="00AE796A"/>
    <w:rsid w:val="00AF0904"/>
    <w:rsid w:val="00AF35A1"/>
    <w:rsid w:val="00AF3A38"/>
    <w:rsid w:val="00AF58FB"/>
    <w:rsid w:val="00AF7EEC"/>
    <w:rsid w:val="00B0040A"/>
    <w:rsid w:val="00B0184C"/>
    <w:rsid w:val="00B02149"/>
    <w:rsid w:val="00B03F0B"/>
    <w:rsid w:val="00B041CB"/>
    <w:rsid w:val="00B05515"/>
    <w:rsid w:val="00B07517"/>
    <w:rsid w:val="00B10CE6"/>
    <w:rsid w:val="00B11003"/>
    <w:rsid w:val="00B12D31"/>
    <w:rsid w:val="00B14D9A"/>
    <w:rsid w:val="00B157CA"/>
    <w:rsid w:val="00B15E4B"/>
    <w:rsid w:val="00B16E4B"/>
    <w:rsid w:val="00B16F35"/>
    <w:rsid w:val="00B1769B"/>
    <w:rsid w:val="00B17AD9"/>
    <w:rsid w:val="00B20628"/>
    <w:rsid w:val="00B20761"/>
    <w:rsid w:val="00B20893"/>
    <w:rsid w:val="00B21756"/>
    <w:rsid w:val="00B2202D"/>
    <w:rsid w:val="00B2356D"/>
    <w:rsid w:val="00B3031A"/>
    <w:rsid w:val="00B3179C"/>
    <w:rsid w:val="00B32D6A"/>
    <w:rsid w:val="00B363A4"/>
    <w:rsid w:val="00B368C9"/>
    <w:rsid w:val="00B36D2C"/>
    <w:rsid w:val="00B36D7B"/>
    <w:rsid w:val="00B3732B"/>
    <w:rsid w:val="00B4040B"/>
    <w:rsid w:val="00B41306"/>
    <w:rsid w:val="00B41982"/>
    <w:rsid w:val="00B42611"/>
    <w:rsid w:val="00B42916"/>
    <w:rsid w:val="00B438AA"/>
    <w:rsid w:val="00B4462C"/>
    <w:rsid w:val="00B4597C"/>
    <w:rsid w:val="00B45EAD"/>
    <w:rsid w:val="00B503C0"/>
    <w:rsid w:val="00B5123C"/>
    <w:rsid w:val="00B5230E"/>
    <w:rsid w:val="00B5264E"/>
    <w:rsid w:val="00B54696"/>
    <w:rsid w:val="00B5720B"/>
    <w:rsid w:val="00B60519"/>
    <w:rsid w:val="00B6070C"/>
    <w:rsid w:val="00B6176B"/>
    <w:rsid w:val="00B62927"/>
    <w:rsid w:val="00B64078"/>
    <w:rsid w:val="00B64E99"/>
    <w:rsid w:val="00B65191"/>
    <w:rsid w:val="00B65F85"/>
    <w:rsid w:val="00B6613E"/>
    <w:rsid w:val="00B66348"/>
    <w:rsid w:val="00B668B0"/>
    <w:rsid w:val="00B70D02"/>
    <w:rsid w:val="00B7105A"/>
    <w:rsid w:val="00B7157E"/>
    <w:rsid w:val="00B71C95"/>
    <w:rsid w:val="00B72B27"/>
    <w:rsid w:val="00B745A7"/>
    <w:rsid w:val="00B76A8A"/>
    <w:rsid w:val="00B76EC7"/>
    <w:rsid w:val="00B77B8C"/>
    <w:rsid w:val="00B8045F"/>
    <w:rsid w:val="00B8083C"/>
    <w:rsid w:val="00B84A8F"/>
    <w:rsid w:val="00B86D7B"/>
    <w:rsid w:val="00B87781"/>
    <w:rsid w:val="00B87AE6"/>
    <w:rsid w:val="00B87D08"/>
    <w:rsid w:val="00B90228"/>
    <w:rsid w:val="00B90881"/>
    <w:rsid w:val="00B908AC"/>
    <w:rsid w:val="00B913A9"/>
    <w:rsid w:val="00B9198A"/>
    <w:rsid w:val="00B92787"/>
    <w:rsid w:val="00B92CB6"/>
    <w:rsid w:val="00B92CD5"/>
    <w:rsid w:val="00B939F3"/>
    <w:rsid w:val="00B9557B"/>
    <w:rsid w:val="00B95884"/>
    <w:rsid w:val="00B96B50"/>
    <w:rsid w:val="00B96D01"/>
    <w:rsid w:val="00B97DF5"/>
    <w:rsid w:val="00BA0EB1"/>
    <w:rsid w:val="00BA1BD6"/>
    <w:rsid w:val="00BA245C"/>
    <w:rsid w:val="00BA2F51"/>
    <w:rsid w:val="00BA4B0D"/>
    <w:rsid w:val="00BA54E6"/>
    <w:rsid w:val="00BA5EE8"/>
    <w:rsid w:val="00BA6356"/>
    <w:rsid w:val="00BA7DA6"/>
    <w:rsid w:val="00BB0217"/>
    <w:rsid w:val="00BB167A"/>
    <w:rsid w:val="00BB1BEA"/>
    <w:rsid w:val="00BB23C2"/>
    <w:rsid w:val="00BB350C"/>
    <w:rsid w:val="00BB38AE"/>
    <w:rsid w:val="00BB3C31"/>
    <w:rsid w:val="00BB41CD"/>
    <w:rsid w:val="00BB4C80"/>
    <w:rsid w:val="00BB68C5"/>
    <w:rsid w:val="00BB69D1"/>
    <w:rsid w:val="00BB7062"/>
    <w:rsid w:val="00BB7099"/>
    <w:rsid w:val="00BB715E"/>
    <w:rsid w:val="00BB7CC8"/>
    <w:rsid w:val="00BC03E2"/>
    <w:rsid w:val="00BC35E2"/>
    <w:rsid w:val="00BC471D"/>
    <w:rsid w:val="00BC542B"/>
    <w:rsid w:val="00BC63DE"/>
    <w:rsid w:val="00BC6B43"/>
    <w:rsid w:val="00BD0068"/>
    <w:rsid w:val="00BD1AB0"/>
    <w:rsid w:val="00BD271F"/>
    <w:rsid w:val="00BD284F"/>
    <w:rsid w:val="00BD48C2"/>
    <w:rsid w:val="00BD513C"/>
    <w:rsid w:val="00BD6BF3"/>
    <w:rsid w:val="00BE2F77"/>
    <w:rsid w:val="00BE3208"/>
    <w:rsid w:val="00BE4A9E"/>
    <w:rsid w:val="00BE5C52"/>
    <w:rsid w:val="00BE634F"/>
    <w:rsid w:val="00BF0790"/>
    <w:rsid w:val="00BF07D5"/>
    <w:rsid w:val="00BF50AF"/>
    <w:rsid w:val="00BF52C2"/>
    <w:rsid w:val="00BF7226"/>
    <w:rsid w:val="00BF78CC"/>
    <w:rsid w:val="00C0224E"/>
    <w:rsid w:val="00C029E9"/>
    <w:rsid w:val="00C02D16"/>
    <w:rsid w:val="00C038AB"/>
    <w:rsid w:val="00C055AC"/>
    <w:rsid w:val="00C103E0"/>
    <w:rsid w:val="00C1045B"/>
    <w:rsid w:val="00C104E6"/>
    <w:rsid w:val="00C10D5F"/>
    <w:rsid w:val="00C12135"/>
    <w:rsid w:val="00C1274F"/>
    <w:rsid w:val="00C1333E"/>
    <w:rsid w:val="00C13BC4"/>
    <w:rsid w:val="00C148FA"/>
    <w:rsid w:val="00C152FE"/>
    <w:rsid w:val="00C16BB1"/>
    <w:rsid w:val="00C16C7B"/>
    <w:rsid w:val="00C16F58"/>
    <w:rsid w:val="00C17A59"/>
    <w:rsid w:val="00C20CF2"/>
    <w:rsid w:val="00C20FAC"/>
    <w:rsid w:val="00C21AC1"/>
    <w:rsid w:val="00C233C7"/>
    <w:rsid w:val="00C23A44"/>
    <w:rsid w:val="00C256CD"/>
    <w:rsid w:val="00C25B37"/>
    <w:rsid w:val="00C2601E"/>
    <w:rsid w:val="00C2628D"/>
    <w:rsid w:val="00C265D6"/>
    <w:rsid w:val="00C27E3A"/>
    <w:rsid w:val="00C30500"/>
    <w:rsid w:val="00C31DA7"/>
    <w:rsid w:val="00C32C1A"/>
    <w:rsid w:val="00C33638"/>
    <w:rsid w:val="00C3369B"/>
    <w:rsid w:val="00C36A46"/>
    <w:rsid w:val="00C37532"/>
    <w:rsid w:val="00C37A6B"/>
    <w:rsid w:val="00C42A68"/>
    <w:rsid w:val="00C4346F"/>
    <w:rsid w:val="00C44724"/>
    <w:rsid w:val="00C44CD8"/>
    <w:rsid w:val="00C45BF0"/>
    <w:rsid w:val="00C46F6B"/>
    <w:rsid w:val="00C5013D"/>
    <w:rsid w:val="00C501DA"/>
    <w:rsid w:val="00C52524"/>
    <w:rsid w:val="00C5356F"/>
    <w:rsid w:val="00C542D4"/>
    <w:rsid w:val="00C5437C"/>
    <w:rsid w:val="00C54405"/>
    <w:rsid w:val="00C5454F"/>
    <w:rsid w:val="00C54CF0"/>
    <w:rsid w:val="00C557E0"/>
    <w:rsid w:val="00C55A84"/>
    <w:rsid w:val="00C57083"/>
    <w:rsid w:val="00C578FA"/>
    <w:rsid w:val="00C57C73"/>
    <w:rsid w:val="00C606E5"/>
    <w:rsid w:val="00C61460"/>
    <w:rsid w:val="00C6266C"/>
    <w:rsid w:val="00C63EC9"/>
    <w:rsid w:val="00C65336"/>
    <w:rsid w:val="00C6585E"/>
    <w:rsid w:val="00C669C4"/>
    <w:rsid w:val="00C66C11"/>
    <w:rsid w:val="00C70F14"/>
    <w:rsid w:val="00C73247"/>
    <w:rsid w:val="00C73757"/>
    <w:rsid w:val="00C74373"/>
    <w:rsid w:val="00C74A66"/>
    <w:rsid w:val="00C74C85"/>
    <w:rsid w:val="00C74D8B"/>
    <w:rsid w:val="00C775D0"/>
    <w:rsid w:val="00C77724"/>
    <w:rsid w:val="00C77A3E"/>
    <w:rsid w:val="00C77AE7"/>
    <w:rsid w:val="00C77C5F"/>
    <w:rsid w:val="00C80DD6"/>
    <w:rsid w:val="00C816BF"/>
    <w:rsid w:val="00C82225"/>
    <w:rsid w:val="00C826D8"/>
    <w:rsid w:val="00C82E22"/>
    <w:rsid w:val="00C8396F"/>
    <w:rsid w:val="00C83A73"/>
    <w:rsid w:val="00C84FA9"/>
    <w:rsid w:val="00C851A1"/>
    <w:rsid w:val="00C855FA"/>
    <w:rsid w:val="00C85B17"/>
    <w:rsid w:val="00C9051F"/>
    <w:rsid w:val="00C91423"/>
    <w:rsid w:val="00C91492"/>
    <w:rsid w:val="00C931CC"/>
    <w:rsid w:val="00C941DC"/>
    <w:rsid w:val="00C949E2"/>
    <w:rsid w:val="00C94D5B"/>
    <w:rsid w:val="00CA0137"/>
    <w:rsid w:val="00CA1972"/>
    <w:rsid w:val="00CA3788"/>
    <w:rsid w:val="00CA4E45"/>
    <w:rsid w:val="00CA66BD"/>
    <w:rsid w:val="00CA6CDA"/>
    <w:rsid w:val="00CA7777"/>
    <w:rsid w:val="00CB0E46"/>
    <w:rsid w:val="00CB142F"/>
    <w:rsid w:val="00CB1481"/>
    <w:rsid w:val="00CB30A4"/>
    <w:rsid w:val="00CB3489"/>
    <w:rsid w:val="00CB3621"/>
    <w:rsid w:val="00CB3684"/>
    <w:rsid w:val="00CB4CF5"/>
    <w:rsid w:val="00CB6574"/>
    <w:rsid w:val="00CB69C3"/>
    <w:rsid w:val="00CB6C81"/>
    <w:rsid w:val="00CC02B2"/>
    <w:rsid w:val="00CC0638"/>
    <w:rsid w:val="00CC0C55"/>
    <w:rsid w:val="00CC1CD7"/>
    <w:rsid w:val="00CC3DA7"/>
    <w:rsid w:val="00CC70D3"/>
    <w:rsid w:val="00CD153C"/>
    <w:rsid w:val="00CD1D38"/>
    <w:rsid w:val="00CD247A"/>
    <w:rsid w:val="00CD2E6F"/>
    <w:rsid w:val="00CD33D7"/>
    <w:rsid w:val="00CD5046"/>
    <w:rsid w:val="00CD5582"/>
    <w:rsid w:val="00CD6311"/>
    <w:rsid w:val="00CD72E8"/>
    <w:rsid w:val="00CD79FC"/>
    <w:rsid w:val="00CD7F6F"/>
    <w:rsid w:val="00CE0BD3"/>
    <w:rsid w:val="00CE0CF9"/>
    <w:rsid w:val="00CE2BC5"/>
    <w:rsid w:val="00CE3663"/>
    <w:rsid w:val="00CE5262"/>
    <w:rsid w:val="00CE7250"/>
    <w:rsid w:val="00CF201A"/>
    <w:rsid w:val="00CF296F"/>
    <w:rsid w:val="00CF3670"/>
    <w:rsid w:val="00CF44DB"/>
    <w:rsid w:val="00CF50D1"/>
    <w:rsid w:val="00CF6D2E"/>
    <w:rsid w:val="00CF78A9"/>
    <w:rsid w:val="00CF7DD0"/>
    <w:rsid w:val="00D006CB"/>
    <w:rsid w:val="00D008E0"/>
    <w:rsid w:val="00D02EF9"/>
    <w:rsid w:val="00D041A9"/>
    <w:rsid w:val="00D04648"/>
    <w:rsid w:val="00D059D9"/>
    <w:rsid w:val="00D06020"/>
    <w:rsid w:val="00D0657F"/>
    <w:rsid w:val="00D07639"/>
    <w:rsid w:val="00D11998"/>
    <w:rsid w:val="00D11A5A"/>
    <w:rsid w:val="00D1473D"/>
    <w:rsid w:val="00D1604D"/>
    <w:rsid w:val="00D1688D"/>
    <w:rsid w:val="00D16D3D"/>
    <w:rsid w:val="00D17F7F"/>
    <w:rsid w:val="00D20732"/>
    <w:rsid w:val="00D20C4D"/>
    <w:rsid w:val="00D27887"/>
    <w:rsid w:val="00D27FCB"/>
    <w:rsid w:val="00D300EE"/>
    <w:rsid w:val="00D30872"/>
    <w:rsid w:val="00D310E2"/>
    <w:rsid w:val="00D31630"/>
    <w:rsid w:val="00D317D3"/>
    <w:rsid w:val="00D33EE0"/>
    <w:rsid w:val="00D3435F"/>
    <w:rsid w:val="00D35B0D"/>
    <w:rsid w:val="00D369D5"/>
    <w:rsid w:val="00D37DDB"/>
    <w:rsid w:val="00D42CAB"/>
    <w:rsid w:val="00D43D2C"/>
    <w:rsid w:val="00D45F68"/>
    <w:rsid w:val="00D47045"/>
    <w:rsid w:val="00D47CF4"/>
    <w:rsid w:val="00D505F3"/>
    <w:rsid w:val="00D507B4"/>
    <w:rsid w:val="00D51A08"/>
    <w:rsid w:val="00D51C03"/>
    <w:rsid w:val="00D51DBB"/>
    <w:rsid w:val="00D51FFF"/>
    <w:rsid w:val="00D53301"/>
    <w:rsid w:val="00D54D92"/>
    <w:rsid w:val="00D559F9"/>
    <w:rsid w:val="00D55B67"/>
    <w:rsid w:val="00D565C4"/>
    <w:rsid w:val="00D605A0"/>
    <w:rsid w:val="00D60E2F"/>
    <w:rsid w:val="00D614C3"/>
    <w:rsid w:val="00D6309A"/>
    <w:rsid w:val="00D63F50"/>
    <w:rsid w:val="00D646A4"/>
    <w:rsid w:val="00D65AAE"/>
    <w:rsid w:val="00D65AF7"/>
    <w:rsid w:val="00D66369"/>
    <w:rsid w:val="00D66804"/>
    <w:rsid w:val="00D66CC0"/>
    <w:rsid w:val="00D7250A"/>
    <w:rsid w:val="00D7303C"/>
    <w:rsid w:val="00D74670"/>
    <w:rsid w:val="00D75566"/>
    <w:rsid w:val="00D7672A"/>
    <w:rsid w:val="00D76C2E"/>
    <w:rsid w:val="00D80915"/>
    <w:rsid w:val="00D810F0"/>
    <w:rsid w:val="00D81BB9"/>
    <w:rsid w:val="00D81BE8"/>
    <w:rsid w:val="00D823E6"/>
    <w:rsid w:val="00D824D9"/>
    <w:rsid w:val="00D8396A"/>
    <w:rsid w:val="00D8541E"/>
    <w:rsid w:val="00D86723"/>
    <w:rsid w:val="00D868C6"/>
    <w:rsid w:val="00D87580"/>
    <w:rsid w:val="00D90429"/>
    <w:rsid w:val="00D90EFB"/>
    <w:rsid w:val="00D9147F"/>
    <w:rsid w:val="00D92E39"/>
    <w:rsid w:val="00D94698"/>
    <w:rsid w:val="00D96F39"/>
    <w:rsid w:val="00D97933"/>
    <w:rsid w:val="00D97AEC"/>
    <w:rsid w:val="00DA16DD"/>
    <w:rsid w:val="00DA279A"/>
    <w:rsid w:val="00DA2AE8"/>
    <w:rsid w:val="00DA4ACE"/>
    <w:rsid w:val="00DA5262"/>
    <w:rsid w:val="00DA5F16"/>
    <w:rsid w:val="00DA65B5"/>
    <w:rsid w:val="00DB04D7"/>
    <w:rsid w:val="00DB08EE"/>
    <w:rsid w:val="00DB0ED6"/>
    <w:rsid w:val="00DB15FE"/>
    <w:rsid w:val="00DB1E35"/>
    <w:rsid w:val="00DB221B"/>
    <w:rsid w:val="00DB2E53"/>
    <w:rsid w:val="00DB2F4D"/>
    <w:rsid w:val="00DB304B"/>
    <w:rsid w:val="00DB39A5"/>
    <w:rsid w:val="00DB39D3"/>
    <w:rsid w:val="00DB4596"/>
    <w:rsid w:val="00DB4D07"/>
    <w:rsid w:val="00DB4DC9"/>
    <w:rsid w:val="00DC29C6"/>
    <w:rsid w:val="00DC2B40"/>
    <w:rsid w:val="00DC30B8"/>
    <w:rsid w:val="00DC396E"/>
    <w:rsid w:val="00DC3A54"/>
    <w:rsid w:val="00DC4144"/>
    <w:rsid w:val="00DC4763"/>
    <w:rsid w:val="00DC4E15"/>
    <w:rsid w:val="00DC5913"/>
    <w:rsid w:val="00DC74CE"/>
    <w:rsid w:val="00DD422F"/>
    <w:rsid w:val="00DD49AD"/>
    <w:rsid w:val="00DD5B16"/>
    <w:rsid w:val="00DD6C1F"/>
    <w:rsid w:val="00DD6D24"/>
    <w:rsid w:val="00DE0A11"/>
    <w:rsid w:val="00DE16D1"/>
    <w:rsid w:val="00DE277A"/>
    <w:rsid w:val="00DE3736"/>
    <w:rsid w:val="00DE38B8"/>
    <w:rsid w:val="00DE3C6F"/>
    <w:rsid w:val="00DE4D73"/>
    <w:rsid w:val="00DE4E64"/>
    <w:rsid w:val="00DE5082"/>
    <w:rsid w:val="00DE6E48"/>
    <w:rsid w:val="00DE6F12"/>
    <w:rsid w:val="00DF069D"/>
    <w:rsid w:val="00DF14B2"/>
    <w:rsid w:val="00DF1800"/>
    <w:rsid w:val="00DF1D5F"/>
    <w:rsid w:val="00DF2026"/>
    <w:rsid w:val="00DF34F8"/>
    <w:rsid w:val="00DF3935"/>
    <w:rsid w:val="00DF4B43"/>
    <w:rsid w:val="00DF5E38"/>
    <w:rsid w:val="00E00155"/>
    <w:rsid w:val="00E00862"/>
    <w:rsid w:val="00E00B4A"/>
    <w:rsid w:val="00E01530"/>
    <w:rsid w:val="00E03450"/>
    <w:rsid w:val="00E03690"/>
    <w:rsid w:val="00E03CA9"/>
    <w:rsid w:val="00E04198"/>
    <w:rsid w:val="00E07F92"/>
    <w:rsid w:val="00E117D4"/>
    <w:rsid w:val="00E11C81"/>
    <w:rsid w:val="00E12E1D"/>
    <w:rsid w:val="00E12E9F"/>
    <w:rsid w:val="00E13ABE"/>
    <w:rsid w:val="00E140DD"/>
    <w:rsid w:val="00E14AB7"/>
    <w:rsid w:val="00E174B5"/>
    <w:rsid w:val="00E17B2C"/>
    <w:rsid w:val="00E20067"/>
    <w:rsid w:val="00E2090B"/>
    <w:rsid w:val="00E215D9"/>
    <w:rsid w:val="00E21CD2"/>
    <w:rsid w:val="00E229FC"/>
    <w:rsid w:val="00E23620"/>
    <w:rsid w:val="00E24794"/>
    <w:rsid w:val="00E24FB0"/>
    <w:rsid w:val="00E25A30"/>
    <w:rsid w:val="00E265AB"/>
    <w:rsid w:val="00E27379"/>
    <w:rsid w:val="00E3073A"/>
    <w:rsid w:val="00E330B5"/>
    <w:rsid w:val="00E3475A"/>
    <w:rsid w:val="00E34927"/>
    <w:rsid w:val="00E34D4F"/>
    <w:rsid w:val="00E35AA2"/>
    <w:rsid w:val="00E35B37"/>
    <w:rsid w:val="00E36401"/>
    <w:rsid w:val="00E364EB"/>
    <w:rsid w:val="00E36DA8"/>
    <w:rsid w:val="00E3761C"/>
    <w:rsid w:val="00E40878"/>
    <w:rsid w:val="00E42E93"/>
    <w:rsid w:val="00E44988"/>
    <w:rsid w:val="00E44B51"/>
    <w:rsid w:val="00E44D32"/>
    <w:rsid w:val="00E455BE"/>
    <w:rsid w:val="00E46964"/>
    <w:rsid w:val="00E47193"/>
    <w:rsid w:val="00E478FE"/>
    <w:rsid w:val="00E50003"/>
    <w:rsid w:val="00E5015D"/>
    <w:rsid w:val="00E52000"/>
    <w:rsid w:val="00E5245D"/>
    <w:rsid w:val="00E53E5B"/>
    <w:rsid w:val="00E54CCB"/>
    <w:rsid w:val="00E54E49"/>
    <w:rsid w:val="00E550CA"/>
    <w:rsid w:val="00E5513F"/>
    <w:rsid w:val="00E5577B"/>
    <w:rsid w:val="00E55815"/>
    <w:rsid w:val="00E55CBC"/>
    <w:rsid w:val="00E570C7"/>
    <w:rsid w:val="00E576CD"/>
    <w:rsid w:val="00E57DBA"/>
    <w:rsid w:val="00E60924"/>
    <w:rsid w:val="00E615C9"/>
    <w:rsid w:val="00E6214E"/>
    <w:rsid w:val="00E62E06"/>
    <w:rsid w:val="00E64AA2"/>
    <w:rsid w:val="00E65FC9"/>
    <w:rsid w:val="00E66775"/>
    <w:rsid w:val="00E66CF4"/>
    <w:rsid w:val="00E670B7"/>
    <w:rsid w:val="00E67633"/>
    <w:rsid w:val="00E67949"/>
    <w:rsid w:val="00E70D48"/>
    <w:rsid w:val="00E74B1F"/>
    <w:rsid w:val="00E75047"/>
    <w:rsid w:val="00E77619"/>
    <w:rsid w:val="00E777F0"/>
    <w:rsid w:val="00E80299"/>
    <w:rsid w:val="00E803DB"/>
    <w:rsid w:val="00E805F9"/>
    <w:rsid w:val="00E8090C"/>
    <w:rsid w:val="00E81281"/>
    <w:rsid w:val="00E82151"/>
    <w:rsid w:val="00E821EE"/>
    <w:rsid w:val="00E8276F"/>
    <w:rsid w:val="00E82C2B"/>
    <w:rsid w:val="00E84E2F"/>
    <w:rsid w:val="00E855B5"/>
    <w:rsid w:val="00E85856"/>
    <w:rsid w:val="00E85C1B"/>
    <w:rsid w:val="00E86386"/>
    <w:rsid w:val="00E8699E"/>
    <w:rsid w:val="00E87F68"/>
    <w:rsid w:val="00E90FCC"/>
    <w:rsid w:val="00E915DB"/>
    <w:rsid w:val="00E926CC"/>
    <w:rsid w:val="00E93195"/>
    <w:rsid w:val="00E94CDE"/>
    <w:rsid w:val="00E94E8D"/>
    <w:rsid w:val="00E94ED6"/>
    <w:rsid w:val="00E951B6"/>
    <w:rsid w:val="00E956D5"/>
    <w:rsid w:val="00E97BE2"/>
    <w:rsid w:val="00EA0A62"/>
    <w:rsid w:val="00EA2505"/>
    <w:rsid w:val="00EA44CE"/>
    <w:rsid w:val="00EA5227"/>
    <w:rsid w:val="00EA6D3D"/>
    <w:rsid w:val="00EB022E"/>
    <w:rsid w:val="00EB12F7"/>
    <w:rsid w:val="00EB18BD"/>
    <w:rsid w:val="00EB303E"/>
    <w:rsid w:val="00EB5261"/>
    <w:rsid w:val="00EB53FB"/>
    <w:rsid w:val="00EB5A3E"/>
    <w:rsid w:val="00EB6D77"/>
    <w:rsid w:val="00EB7AA1"/>
    <w:rsid w:val="00EB7DF0"/>
    <w:rsid w:val="00EB7DFE"/>
    <w:rsid w:val="00EC041B"/>
    <w:rsid w:val="00EC042D"/>
    <w:rsid w:val="00EC0A10"/>
    <w:rsid w:val="00EC18CB"/>
    <w:rsid w:val="00EC1946"/>
    <w:rsid w:val="00EC1E68"/>
    <w:rsid w:val="00EC3233"/>
    <w:rsid w:val="00EC39D2"/>
    <w:rsid w:val="00EC590F"/>
    <w:rsid w:val="00EC6C2B"/>
    <w:rsid w:val="00EC6C4D"/>
    <w:rsid w:val="00EC6F67"/>
    <w:rsid w:val="00ED03BF"/>
    <w:rsid w:val="00ED38B0"/>
    <w:rsid w:val="00ED4203"/>
    <w:rsid w:val="00ED4EFD"/>
    <w:rsid w:val="00ED577B"/>
    <w:rsid w:val="00ED6217"/>
    <w:rsid w:val="00EE1DC5"/>
    <w:rsid w:val="00EE2667"/>
    <w:rsid w:val="00EE2C21"/>
    <w:rsid w:val="00EE3953"/>
    <w:rsid w:val="00EE51CC"/>
    <w:rsid w:val="00EE5A65"/>
    <w:rsid w:val="00EE66BC"/>
    <w:rsid w:val="00EE6EDF"/>
    <w:rsid w:val="00EE720E"/>
    <w:rsid w:val="00EE782E"/>
    <w:rsid w:val="00EE7E03"/>
    <w:rsid w:val="00EF15C7"/>
    <w:rsid w:val="00EF1EC8"/>
    <w:rsid w:val="00EF201E"/>
    <w:rsid w:val="00EF3AD1"/>
    <w:rsid w:val="00EF5765"/>
    <w:rsid w:val="00EF740B"/>
    <w:rsid w:val="00F01213"/>
    <w:rsid w:val="00F01492"/>
    <w:rsid w:val="00F01637"/>
    <w:rsid w:val="00F0212E"/>
    <w:rsid w:val="00F04CFA"/>
    <w:rsid w:val="00F04F29"/>
    <w:rsid w:val="00F0783E"/>
    <w:rsid w:val="00F10876"/>
    <w:rsid w:val="00F138E0"/>
    <w:rsid w:val="00F152AF"/>
    <w:rsid w:val="00F172B0"/>
    <w:rsid w:val="00F17A14"/>
    <w:rsid w:val="00F17BD4"/>
    <w:rsid w:val="00F17CD7"/>
    <w:rsid w:val="00F20C67"/>
    <w:rsid w:val="00F2146D"/>
    <w:rsid w:val="00F220FC"/>
    <w:rsid w:val="00F233FE"/>
    <w:rsid w:val="00F237EC"/>
    <w:rsid w:val="00F23BA3"/>
    <w:rsid w:val="00F24259"/>
    <w:rsid w:val="00F24881"/>
    <w:rsid w:val="00F25C6E"/>
    <w:rsid w:val="00F25FF7"/>
    <w:rsid w:val="00F268A9"/>
    <w:rsid w:val="00F275C7"/>
    <w:rsid w:val="00F30310"/>
    <w:rsid w:val="00F30477"/>
    <w:rsid w:val="00F30FBC"/>
    <w:rsid w:val="00F31D31"/>
    <w:rsid w:val="00F321BB"/>
    <w:rsid w:val="00F327B5"/>
    <w:rsid w:val="00F32A5D"/>
    <w:rsid w:val="00F336FD"/>
    <w:rsid w:val="00F34191"/>
    <w:rsid w:val="00F353F5"/>
    <w:rsid w:val="00F35641"/>
    <w:rsid w:val="00F36863"/>
    <w:rsid w:val="00F37B80"/>
    <w:rsid w:val="00F40EE4"/>
    <w:rsid w:val="00F411F9"/>
    <w:rsid w:val="00F4193B"/>
    <w:rsid w:val="00F41B3A"/>
    <w:rsid w:val="00F451DC"/>
    <w:rsid w:val="00F453CC"/>
    <w:rsid w:val="00F464AC"/>
    <w:rsid w:val="00F467B0"/>
    <w:rsid w:val="00F46B88"/>
    <w:rsid w:val="00F47BFF"/>
    <w:rsid w:val="00F504CF"/>
    <w:rsid w:val="00F50744"/>
    <w:rsid w:val="00F514CF"/>
    <w:rsid w:val="00F519DA"/>
    <w:rsid w:val="00F519EB"/>
    <w:rsid w:val="00F531EC"/>
    <w:rsid w:val="00F55F02"/>
    <w:rsid w:val="00F5750D"/>
    <w:rsid w:val="00F5750F"/>
    <w:rsid w:val="00F60165"/>
    <w:rsid w:val="00F60A3E"/>
    <w:rsid w:val="00F60A87"/>
    <w:rsid w:val="00F60E76"/>
    <w:rsid w:val="00F613C7"/>
    <w:rsid w:val="00F613E9"/>
    <w:rsid w:val="00F61723"/>
    <w:rsid w:val="00F62BA3"/>
    <w:rsid w:val="00F62E62"/>
    <w:rsid w:val="00F6396A"/>
    <w:rsid w:val="00F64118"/>
    <w:rsid w:val="00F643CE"/>
    <w:rsid w:val="00F646CB"/>
    <w:rsid w:val="00F65389"/>
    <w:rsid w:val="00F6557E"/>
    <w:rsid w:val="00F65A44"/>
    <w:rsid w:val="00F6636C"/>
    <w:rsid w:val="00F663D8"/>
    <w:rsid w:val="00F66BFD"/>
    <w:rsid w:val="00F67C3A"/>
    <w:rsid w:val="00F70786"/>
    <w:rsid w:val="00F70828"/>
    <w:rsid w:val="00F70AF1"/>
    <w:rsid w:val="00F735DF"/>
    <w:rsid w:val="00F739E0"/>
    <w:rsid w:val="00F744A0"/>
    <w:rsid w:val="00F76605"/>
    <w:rsid w:val="00F76932"/>
    <w:rsid w:val="00F805B0"/>
    <w:rsid w:val="00F81968"/>
    <w:rsid w:val="00F824D4"/>
    <w:rsid w:val="00F82533"/>
    <w:rsid w:val="00F8281E"/>
    <w:rsid w:val="00F82C55"/>
    <w:rsid w:val="00F82FF2"/>
    <w:rsid w:val="00F83C58"/>
    <w:rsid w:val="00F83C71"/>
    <w:rsid w:val="00F84788"/>
    <w:rsid w:val="00F851F3"/>
    <w:rsid w:val="00F85A5D"/>
    <w:rsid w:val="00F901A4"/>
    <w:rsid w:val="00F90D57"/>
    <w:rsid w:val="00F9319F"/>
    <w:rsid w:val="00F93F87"/>
    <w:rsid w:val="00F94B2E"/>
    <w:rsid w:val="00F94F55"/>
    <w:rsid w:val="00F955AD"/>
    <w:rsid w:val="00F95630"/>
    <w:rsid w:val="00F9676D"/>
    <w:rsid w:val="00F96D9C"/>
    <w:rsid w:val="00F974D7"/>
    <w:rsid w:val="00F97AB2"/>
    <w:rsid w:val="00FA017B"/>
    <w:rsid w:val="00FA05C8"/>
    <w:rsid w:val="00FA0A66"/>
    <w:rsid w:val="00FA126A"/>
    <w:rsid w:val="00FA2E36"/>
    <w:rsid w:val="00FA3A5C"/>
    <w:rsid w:val="00FA3F61"/>
    <w:rsid w:val="00FA5BAF"/>
    <w:rsid w:val="00FA6283"/>
    <w:rsid w:val="00FA693A"/>
    <w:rsid w:val="00FA779D"/>
    <w:rsid w:val="00FB02CF"/>
    <w:rsid w:val="00FB3A75"/>
    <w:rsid w:val="00FB45FC"/>
    <w:rsid w:val="00FB5AB4"/>
    <w:rsid w:val="00FB5E03"/>
    <w:rsid w:val="00FB6637"/>
    <w:rsid w:val="00FB6ACC"/>
    <w:rsid w:val="00FB6AF0"/>
    <w:rsid w:val="00FB6C9D"/>
    <w:rsid w:val="00FC0529"/>
    <w:rsid w:val="00FC24A8"/>
    <w:rsid w:val="00FC2D2B"/>
    <w:rsid w:val="00FC60DC"/>
    <w:rsid w:val="00FC75E5"/>
    <w:rsid w:val="00FC7EFA"/>
    <w:rsid w:val="00FD209D"/>
    <w:rsid w:val="00FD2D56"/>
    <w:rsid w:val="00FD2F3B"/>
    <w:rsid w:val="00FD3331"/>
    <w:rsid w:val="00FD4A42"/>
    <w:rsid w:val="00FD5FC5"/>
    <w:rsid w:val="00FD6E64"/>
    <w:rsid w:val="00FD6FC7"/>
    <w:rsid w:val="00FD748E"/>
    <w:rsid w:val="00FE153A"/>
    <w:rsid w:val="00FE3B96"/>
    <w:rsid w:val="00FE4345"/>
    <w:rsid w:val="00FE59DE"/>
    <w:rsid w:val="00FE5A70"/>
    <w:rsid w:val="00FF0A23"/>
    <w:rsid w:val="00FF2B6C"/>
    <w:rsid w:val="00FF3AB2"/>
    <w:rsid w:val="00FF3CED"/>
    <w:rsid w:val="00FF42B8"/>
    <w:rsid w:val="00FF5A0B"/>
    <w:rsid w:val="00FF6472"/>
    <w:rsid w:val="00FF79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3A882B23"/>
  <w15:docId w15:val="{3A5FC8CC-3B64-4082-B743-53A1F689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013D"/>
    <w:rPr>
      <w:lang w:val="en-GB" w:eastAsia="fr-FR"/>
    </w:rPr>
  </w:style>
  <w:style w:type="paragraph" w:styleId="Nadpis1">
    <w:name w:val="heading 1"/>
    <w:basedOn w:val="Normlny"/>
    <w:next w:val="Normlny"/>
    <w:link w:val="Nadpis1Char"/>
    <w:uiPriority w:val="9"/>
    <w:qFormat/>
    <w:rsid w:val="00FF42B8"/>
    <w:pPr>
      <w:keepNext/>
      <w:tabs>
        <w:tab w:val="right" w:pos="14571"/>
      </w:tabs>
      <w:jc w:val="both"/>
      <w:outlineLvl w:val="0"/>
    </w:pPr>
    <w:rPr>
      <w:rFonts w:ascii="Tahoma" w:hAnsi="Tahoma" w:cs="Tahoma"/>
      <w:b/>
      <w:bCs/>
      <w:sz w:val="30"/>
      <w:szCs w:val="30"/>
    </w:rPr>
  </w:style>
  <w:style w:type="paragraph" w:styleId="Nadpis2">
    <w:name w:val="heading 2"/>
    <w:basedOn w:val="Normlny"/>
    <w:next w:val="Normlny"/>
    <w:link w:val="Nadpis2Char"/>
    <w:uiPriority w:val="9"/>
    <w:qFormat/>
    <w:rsid w:val="00FF42B8"/>
    <w:pPr>
      <w:keepNext/>
      <w:jc w:val="center"/>
      <w:outlineLvl w:val="1"/>
    </w:pPr>
    <w:rPr>
      <w:rFonts w:ascii="Tahoma" w:hAnsi="Tahoma" w:cs="Tahoma"/>
      <w:sz w:val="30"/>
      <w:szCs w:val="30"/>
    </w:rPr>
  </w:style>
  <w:style w:type="paragraph" w:styleId="Nadpis3">
    <w:name w:val="heading 3"/>
    <w:basedOn w:val="Normlny"/>
    <w:next w:val="Normlny"/>
    <w:link w:val="Nadpis3Char"/>
    <w:uiPriority w:val="9"/>
    <w:qFormat/>
    <w:rsid w:val="00FF42B8"/>
    <w:pPr>
      <w:keepNext/>
      <w:ind w:left="720"/>
      <w:jc w:val="both"/>
      <w:outlineLvl w:val="2"/>
    </w:pPr>
    <w:rPr>
      <w:i/>
      <w:iCs/>
      <w:sz w:val="24"/>
      <w:szCs w:val="24"/>
    </w:rPr>
  </w:style>
  <w:style w:type="paragraph" w:styleId="Nadpis4">
    <w:name w:val="heading 4"/>
    <w:basedOn w:val="Normlny"/>
    <w:next w:val="Normlny"/>
    <w:link w:val="Nadpis4Char"/>
    <w:uiPriority w:val="9"/>
    <w:qFormat/>
    <w:rsid w:val="00FF42B8"/>
    <w:pPr>
      <w:keepNext/>
      <w:ind w:left="142"/>
      <w:outlineLvl w:val="3"/>
    </w:pPr>
    <w:rPr>
      <w:rFonts w:ascii="Arial" w:hAnsi="Arial" w:cs="Arial"/>
      <w:i/>
      <w:iCs/>
      <w:color w:val="000000"/>
    </w:rPr>
  </w:style>
  <w:style w:type="paragraph" w:styleId="Nadpis5">
    <w:name w:val="heading 5"/>
    <w:basedOn w:val="Normlny"/>
    <w:next w:val="Normlny"/>
    <w:link w:val="Nadpis5Char"/>
    <w:uiPriority w:val="9"/>
    <w:qFormat/>
    <w:rsid w:val="00FF42B8"/>
    <w:pPr>
      <w:keepNext/>
      <w:ind w:left="142"/>
      <w:outlineLvl w:val="4"/>
    </w:pPr>
    <w:rPr>
      <w:rFonts w:ascii="Arial" w:hAnsi="Arial" w:cs="Arial"/>
      <w:b/>
      <w:bCs/>
      <w:color w:val="000000"/>
    </w:rPr>
  </w:style>
  <w:style w:type="paragraph" w:styleId="Nadpis6">
    <w:name w:val="heading 6"/>
    <w:basedOn w:val="Normlny"/>
    <w:next w:val="Normlny"/>
    <w:link w:val="Nadpis6Char"/>
    <w:uiPriority w:val="9"/>
    <w:qFormat/>
    <w:rsid w:val="00FF42B8"/>
    <w:pPr>
      <w:keepNext/>
      <w:jc w:val="both"/>
      <w:outlineLvl w:val="5"/>
    </w:pPr>
    <w:rPr>
      <w:rFonts w:ascii="Arial" w:hAnsi="Arial" w:cs="Arial"/>
      <w:b/>
      <w:bCs/>
      <w:i/>
      <w:iCs/>
    </w:rPr>
  </w:style>
  <w:style w:type="paragraph" w:styleId="Nadpis7">
    <w:name w:val="heading 7"/>
    <w:basedOn w:val="Normlny"/>
    <w:next w:val="Normlny"/>
    <w:link w:val="Nadpis7Char"/>
    <w:uiPriority w:val="9"/>
    <w:qFormat/>
    <w:rsid w:val="00FF42B8"/>
    <w:pPr>
      <w:keepNext/>
      <w:ind w:left="142"/>
      <w:outlineLvl w:val="6"/>
    </w:pPr>
    <w:rPr>
      <w:rFonts w:ascii="Arial" w:hAnsi="Arial" w:cs="Arial"/>
      <w:i/>
      <w:iCs/>
    </w:rPr>
  </w:style>
  <w:style w:type="paragraph" w:styleId="Nadpis8">
    <w:name w:val="heading 8"/>
    <w:basedOn w:val="Normlny"/>
    <w:next w:val="Normlny"/>
    <w:link w:val="Nadpis8Char"/>
    <w:uiPriority w:val="9"/>
    <w:qFormat/>
    <w:rsid w:val="00FF42B8"/>
    <w:pPr>
      <w:keepNext/>
      <w:jc w:val="both"/>
      <w:outlineLvl w:val="7"/>
    </w:pPr>
    <w:rPr>
      <w:rFonts w:ascii="Arial" w:hAnsi="Arial" w:cs="Arial"/>
      <w:i/>
      <w:iCs/>
    </w:rPr>
  </w:style>
  <w:style w:type="paragraph" w:styleId="Nadpis9">
    <w:name w:val="heading 9"/>
    <w:basedOn w:val="Normlny"/>
    <w:next w:val="Normlny"/>
    <w:link w:val="Nadpis9Char"/>
    <w:uiPriority w:val="9"/>
    <w:qFormat/>
    <w:rsid w:val="00FF42B8"/>
    <w:pPr>
      <w:keepNext/>
      <w:ind w:left="142"/>
      <w:jc w:val="both"/>
      <w:outlineLvl w:val="8"/>
    </w:pPr>
    <w:rPr>
      <w:rFonts w:ascii="Arial" w:hAnsi="Arial" w:cs="Arial"/>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C7397"/>
    <w:rPr>
      <w:rFonts w:ascii="Cambria" w:eastAsia="Times New Roman" w:hAnsi="Cambria" w:cs="Times New Roman"/>
      <w:b/>
      <w:bCs/>
      <w:kern w:val="32"/>
      <w:sz w:val="32"/>
      <w:szCs w:val="32"/>
      <w:lang w:val="en-GB" w:eastAsia="fr-FR"/>
    </w:rPr>
  </w:style>
  <w:style w:type="character" w:customStyle="1" w:styleId="Nadpis2Char">
    <w:name w:val="Nadpis 2 Char"/>
    <w:basedOn w:val="Predvolenpsmoodseku"/>
    <w:link w:val="Nadpis2"/>
    <w:uiPriority w:val="9"/>
    <w:semiHidden/>
    <w:rsid w:val="004C7397"/>
    <w:rPr>
      <w:rFonts w:ascii="Cambria" w:eastAsia="Times New Roman" w:hAnsi="Cambria" w:cs="Times New Roman"/>
      <w:b/>
      <w:bCs/>
      <w:i/>
      <w:iCs/>
      <w:sz w:val="28"/>
      <w:szCs w:val="28"/>
      <w:lang w:val="en-GB" w:eastAsia="fr-FR"/>
    </w:rPr>
  </w:style>
  <w:style w:type="character" w:customStyle="1" w:styleId="Nadpis3Char">
    <w:name w:val="Nadpis 3 Char"/>
    <w:basedOn w:val="Predvolenpsmoodseku"/>
    <w:link w:val="Nadpis3"/>
    <w:uiPriority w:val="9"/>
    <w:semiHidden/>
    <w:rsid w:val="004C7397"/>
    <w:rPr>
      <w:rFonts w:ascii="Cambria" w:eastAsia="Times New Roman" w:hAnsi="Cambria" w:cs="Times New Roman"/>
      <w:b/>
      <w:bCs/>
      <w:sz w:val="26"/>
      <w:szCs w:val="26"/>
      <w:lang w:val="en-GB" w:eastAsia="fr-FR"/>
    </w:rPr>
  </w:style>
  <w:style w:type="character" w:customStyle="1" w:styleId="Nadpis4Char">
    <w:name w:val="Nadpis 4 Char"/>
    <w:basedOn w:val="Predvolenpsmoodseku"/>
    <w:link w:val="Nadpis4"/>
    <w:uiPriority w:val="9"/>
    <w:semiHidden/>
    <w:rsid w:val="004C7397"/>
    <w:rPr>
      <w:rFonts w:ascii="Calibri" w:eastAsia="Times New Roman" w:hAnsi="Calibri" w:cs="Times New Roman"/>
      <w:b/>
      <w:bCs/>
      <w:sz w:val="28"/>
      <w:szCs w:val="28"/>
      <w:lang w:val="en-GB" w:eastAsia="fr-FR"/>
    </w:rPr>
  </w:style>
  <w:style w:type="character" w:customStyle="1" w:styleId="Nadpis5Char">
    <w:name w:val="Nadpis 5 Char"/>
    <w:basedOn w:val="Predvolenpsmoodseku"/>
    <w:link w:val="Nadpis5"/>
    <w:uiPriority w:val="9"/>
    <w:semiHidden/>
    <w:rsid w:val="004C7397"/>
    <w:rPr>
      <w:rFonts w:ascii="Calibri" w:eastAsia="Times New Roman" w:hAnsi="Calibri" w:cs="Times New Roman"/>
      <w:b/>
      <w:bCs/>
      <w:i/>
      <w:iCs/>
      <w:sz w:val="26"/>
      <w:szCs w:val="26"/>
      <w:lang w:val="en-GB" w:eastAsia="fr-FR"/>
    </w:rPr>
  </w:style>
  <w:style w:type="character" w:customStyle="1" w:styleId="Nadpis6Char">
    <w:name w:val="Nadpis 6 Char"/>
    <w:basedOn w:val="Predvolenpsmoodseku"/>
    <w:link w:val="Nadpis6"/>
    <w:uiPriority w:val="9"/>
    <w:semiHidden/>
    <w:rsid w:val="004C7397"/>
    <w:rPr>
      <w:rFonts w:ascii="Calibri" w:eastAsia="Times New Roman" w:hAnsi="Calibri" w:cs="Times New Roman"/>
      <w:b/>
      <w:bCs/>
      <w:sz w:val="22"/>
      <w:szCs w:val="22"/>
      <w:lang w:val="en-GB" w:eastAsia="fr-FR"/>
    </w:rPr>
  </w:style>
  <w:style w:type="character" w:customStyle="1" w:styleId="Nadpis7Char">
    <w:name w:val="Nadpis 7 Char"/>
    <w:basedOn w:val="Predvolenpsmoodseku"/>
    <w:link w:val="Nadpis7"/>
    <w:uiPriority w:val="9"/>
    <w:semiHidden/>
    <w:rsid w:val="004C7397"/>
    <w:rPr>
      <w:rFonts w:ascii="Calibri" w:eastAsia="Times New Roman" w:hAnsi="Calibri" w:cs="Times New Roman"/>
      <w:sz w:val="24"/>
      <w:szCs w:val="24"/>
      <w:lang w:val="en-GB" w:eastAsia="fr-FR"/>
    </w:rPr>
  </w:style>
  <w:style w:type="character" w:customStyle="1" w:styleId="Nadpis8Char">
    <w:name w:val="Nadpis 8 Char"/>
    <w:basedOn w:val="Predvolenpsmoodseku"/>
    <w:link w:val="Nadpis8"/>
    <w:uiPriority w:val="9"/>
    <w:semiHidden/>
    <w:rsid w:val="004C7397"/>
    <w:rPr>
      <w:rFonts w:ascii="Calibri" w:eastAsia="Times New Roman" w:hAnsi="Calibri" w:cs="Times New Roman"/>
      <w:i/>
      <w:iCs/>
      <w:sz w:val="24"/>
      <w:szCs w:val="24"/>
      <w:lang w:val="en-GB" w:eastAsia="fr-FR"/>
    </w:rPr>
  </w:style>
  <w:style w:type="character" w:customStyle="1" w:styleId="Nadpis9Char">
    <w:name w:val="Nadpis 9 Char"/>
    <w:basedOn w:val="Predvolenpsmoodseku"/>
    <w:link w:val="Nadpis9"/>
    <w:uiPriority w:val="9"/>
    <w:semiHidden/>
    <w:rsid w:val="004C7397"/>
    <w:rPr>
      <w:rFonts w:ascii="Cambria" w:eastAsia="Times New Roman" w:hAnsi="Cambria" w:cs="Times New Roman"/>
      <w:sz w:val="22"/>
      <w:szCs w:val="22"/>
      <w:lang w:val="en-GB" w:eastAsia="fr-FR"/>
    </w:rPr>
  </w:style>
  <w:style w:type="paragraph" w:styleId="Textpoznmkypodiarou">
    <w:name w:val="footnote text"/>
    <w:basedOn w:val="Normlny"/>
    <w:link w:val="TextpoznmkypodiarouChar"/>
    <w:uiPriority w:val="99"/>
    <w:semiHidden/>
    <w:rsid w:val="00FF42B8"/>
    <w:rPr>
      <w:lang w:val="en-US"/>
    </w:rPr>
  </w:style>
  <w:style w:type="character" w:customStyle="1" w:styleId="TextpoznmkypodiarouChar">
    <w:name w:val="Text poznámky pod čiarou Char"/>
    <w:basedOn w:val="Predvolenpsmoodseku"/>
    <w:link w:val="Textpoznmkypodiarou"/>
    <w:uiPriority w:val="99"/>
    <w:semiHidden/>
    <w:rsid w:val="004C7397"/>
    <w:rPr>
      <w:lang w:val="en-GB" w:eastAsia="fr-FR"/>
    </w:rPr>
  </w:style>
  <w:style w:type="paragraph" w:styleId="Hlavika">
    <w:name w:val="header"/>
    <w:basedOn w:val="Normlny"/>
    <w:link w:val="HlavikaChar"/>
    <w:uiPriority w:val="99"/>
    <w:rsid w:val="00FF42B8"/>
    <w:pPr>
      <w:tabs>
        <w:tab w:val="center" w:pos="4536"/>
        <w:tab w:val="right" w:pos="9072"/>
      </w:tabs>
    </w:pPr>
  </w:style>
  <w:style w:type="character" w:customStyle="1" w:styleId="HlavikaChar">
    <w:name w:val="Hlavička Char"/>
    <w:basedOn w:val="Predvolenpsmoodseku"/>
    <w:link w:val="Hlavika"/>
    <w:uiPriority w:val="99"/>
    <w:semiHidden/>
    <w:rsid w:val="004C7397"/>
    <w:rPr>
      <w:lang w:val="en-GB" w:eastAsia="fr-FR"/>
    </w:rPr>
  </w:style>
  <w:style w:type="paragraph" w:styleId="Pta">
    <w:name w:val="footer"/>
    <w:basedOn w:val="Normlny"/>
    <w:link w:val="PtaChar"/>
    <w:uiPriority w:val="99"/>
    <w:rsid w:val="00FF42B8"/>
    <w:pPr>
      <w:tabs>
        <w:tab w:val="center" w:pos="4536"/>
        <w:tab w:val="right" w:pos="9072"/>
      </w:tabs>
    </w:pPr>
  </w:style>
  <w:style w:type="character" w:customStyle="1" w:styleId="PtaChar">
    <w:name w:val="Päta Char"/>
    <w:basedOn w:val="Predvolenpsmoodseku"/>
    <w:link w:val="Pta"/>
    <w:uiPriority w:val="99"/>
    <w:locked/>
    <w:rsid w:val="00FC60DC"/>
    <w:rPr>
      <w:lang w:val="en-GB" w:eastAsia="fr-FR"/>
    </w:rPr>
  </w:style>
  <w:style w:type="paragraph" w:styleId="Zarkazkladnhotextu">
    <w:name w:val="Body Text Indent"/>
    <w:basedOn w:val="Normlny"/>
    <w:link w:val="ZarkazkladnhotextuChar"/>
    <w:uiPriority w:val="99"/>
    <w:rsid w:val="00FF42B8"/>
    <w:pPr>
      <w:ind w:left="720"/>
      <w:jc w:val="both"/>
    </w:pPr>
    <w:rPr>
      <w:sz w:val="24"/>
      <w:szCs w:val="24"/>
    </w:rPr>
  </w:style>
  <w:style w:type="character" w:customStyle="1" w:styleId="ZarkazkladnhotextuChar">
    <w:name w:val="Zarážka základného textu Char"/>
    <w:basedOn w:val="Predvolenpsmoodseku"/>
    <w:link w:val="Zarkazkladnhotextu"/>
    <w:uiPriority w:val="99"/>
    <w:semiHidden/>
    <w:rsid w:val="004C7397"/>
    <w:rPr>
      <w:lang w:val="en-GB" w:eastAsia="fr-FR"/>
    </w:rPr>
  </w:style>
  <w:style w:type="paragraph" w:styleId="Zarkazkladnhotextu2">
    <w:name w:val="Body Text Indent 2"/>
    <w:basedOn w:val="Normlny"/>
    <w:link w:val="Zarkazkladnhotextu2Char"/>
    <w:uiPriority w:val="99"/>
    <w:rsid w:val="00FF42B8"/>
    <w:pPr>
      <w:ind w:left="709"/>
      <w:jc w:val="both"/>
    </w:pPr>
    <w:rPr>
      <w:sz w:val="24"/>
      <w:szCs w:val="24"/>
    </w:rPr>
  </w:style>
  <w:style w:type="character" w:customStyle="1" w:styleId="Zarkazkladnhotextu2Char">
    <w:name w:val="Zarážka základného textu 2 Char"/>
    <w:basedOn w:val="Predvolenpsmoodseku"/>
    <w:link w:val="Zarkazkladnhotextu2"/>
    <w:uiPriority w:val="99"/>
    <w:semiHidden/>
    <w:rsid w:val="004C7397"/>
    <w:rPr>
      <w:lang w:val="en-GB" w:eastAsia="fr-FR"/>
    </w:rPr>
  </w:style>
  <w:style w:type="paragraph" w:styleId="Zarkazkladnhotextu3">
    <w:name w:val="Body Text Indent 3"/>
    <w:basedOn w:val="Normlny"/>
    <w:link w:val="Zarkazkladnhotextu3Char"/>
    <w:uiPriority w:val="99"/>
    <w:rsid w:val="00FF42B8"/>
    <w:pPr>
      <w:ind w:left="142"/>
    </w:pPr>
    <w:rPr>
      <w:rFonts w:ascii="Arial" w:hAnsi="Arial" w:cs="Arial"/>
      <w:color w:val="000000"/>
    </w:rPr>
  </w:style>
  <w:style w:type="character" w:customStyle="1" w:styleId="Zarkazkladnhotextu3Char">
    <w:name w:val="Zarážka základného textu 3 Char"/>
    <w:basedOn w:val="Predvolenpsmoodseku"/>
    <w:link w:val="Zarkazkladnhotextu3"/>
    <w:uiPriority w:val="99"/>
    <w:semiHidden/>
    <w:rsid w:val="004C7397"/>
    <w:rPr>
      <w:sz w:val="16"/>
      <w:szCs w:val="16"/>
      <w:lang w:val="en-GB" w:eastAsia="fr-FR"/>
    </w:rPr>
  </w:style>
  <w:style w:type="paragraph" w:customStyle="1" w:styleId="p3">
    <w:name w:val="p3"/>
    <w:basedOn w:val="Normlny"/>
    <w:rsid w:val="00FF42B8"/>
    <w:pPr>
      <w:spacing w:line="240" w:lineRule="atLeast"/>
      <w:ind w:left="1120" w:hanging="1120"/>
      <w:jc w:val="both"/>
    </w:pPr>
    <w:rPr>
      <w:rFonts w:ascii="Times" w:hAnsi="Times" w:cs="Times"/>
      <w:sz w:val="24"/>
      <w:szCs w:val="24"/>
    </w:rPr>
  </w:style>
  <w:style w:type="paragraph" w:customStyle="1" w:styleId="t1">
    <w:name w:val="t1"/>
    <w:basedOn w:val="Normlny"/>
    <w:rsid w:val="00FF42B8"/>
    <w:pPr>
      <w:tabs>
        <w:tab w:val="decimal" w:pos="100"/>
        <w:tab w:val="left" w:pos="1120"/>
      </w:tabs>
      <w:spacing w:line="240" w:lineRule="atLeast"/>
    </w:pPr>
    <w:rPr>
      <w:rFonts w:ascii="Times" w:hAnsi="Times" w:cs="Times"/>
      <w:sz w:val="24"/>
      <w:szCs w:val="24"/>
    </w:rPr>
  </w:style>
  <w:style w:type="paragraph" w:customStyle="1" w:styleId="BodyText21">
    <w:name w:val="Body Text 21"/>
    <w:basedOn w:val="Normlny"/>
    <w:rsid w:val="00FF42B8"/>
    <w:pPr>
      <w:ind w:left="709"/>
      <w:jc w:val="both"/>
    </w:pPr>
    <w:rPr>
      <w:color w:val="0000FF"/>
      <w:sz w:val="24"/>
      <w:szCs w:val="24"/>
      <w:lang w:val="en-US"/>
    </w:rPr>
  </w:style>
  <w:style w:type="paragraph" w:styleId="Zkladntext">
    <w:name w:val="Body Text"/>
    <w:basedOn w:val="Normlny"/>
    <w:link w:val="ZkladntextChar"/>
    <w:uiPriority w:val="99"/>
    <w:rsid w:val="00FF42B8"/>
    <w:pPr>
      <w:jc w:val="both"/>
    </w:pPr>
    <w:rPr>
      <w:rFonts w:ascii="Arial" w:hAnsi="Arial" w:cs="Arial"/>
    </w:rPr>
  </w:style>
  <w:style w:type="character" w:customStyle="1" w:styleId="ZkladntextChar">
    <w:name w:val="Základný text Char"/>
    <w:basedOn w:val="Predvolenpsmoodseku"/>
    <w:link w:val="Zkladntext"/>
    <w:uiPriority w:val="99"/>
    <w:semiHidden/>
    <w:rsid w:val="004C7397"/>
    <w:rPr>
      <w:lang w:val="en-GB" w:eastAsia="fr-FR"/>
    </w:rPr>
  </w:style>
  <w:style w:type="paragraph" w:styleId="Zkladntext2">
    <w:name w:val="Body Text 2"/>
    <w:basedOn w:val="Normlny"/>
    <w:link w:val="Zkladntext2Char"/>
    <w:uiPriority w:val="99"/>
    <w:rsid w:val="00FF42B8"/>
    <w:pPr>
      <w:jc w:val="both"/>
    </w:pPr>
    <w:rPr>
      <w:rFonts w:ascii="Arial" w:hAnsi="Arial" w:cs="Arial"/>
      <w:b/>
      <w:bCs/>
    </w:rPr>
  </w:style>
  <w:style w:type="character" w:customStyle="1" w:styleId="Zkladntext2Char">
    <w:name w:val="Základný text 2 Char"/>
    <w:basedOn w:val="Predvolenpsmoodseku"/>
    <w:link w:val="Zkladntext2"/>
    <w:uiPriority w:val="99"/>
    <w:semiHidden/>
    <w:rsid w:val="004C7397"/>
    <w:rPr>
      <w:lang w:val="en-GB" w:eastAsia="fr-FR"/>
    </w:rPr>
  </w:style>
  <w:style w:type="paragraph" w:styleId="Zkladntext3">
    <w:name w:val="Body Text 3"/>
    <w:basedOn w:val="Normlny"/>
    <w:link w:val="Zkladntext3Char"/>
    <w:uiPriority w:val="99"/>
    <w:rsid w:val="00FF42B8"/>
    <w:pPr>
      <w:pBdr>
        <w:top w:val="single" w:sz="4" w:space="0" w:color="auto"/>
        <w:left w:val="single" w:sz="4" w:space="0" w:color="auto"/>
        <w:bottom w:val="single" w:sz="4" w:space="0" w:color="auto"/>
        <w:right w:val="single" w:sz="4" w:space="0" w:color="auto"/>
      </w:pBdr>
      <w:jc w:val="both"/>
    </w:pPr>
    <w:rPr>
      <w:rFonts w:ascii="Arial" w:hAnsi="Arial" w:cs="Arial"/>
    </w:rPr>
  </w:style>
  <w:style w:type="character" w:customStyle="1" w:styleId="Zkladntext3Char">
    <w:name w:val="Základný text 3 Char"/>
    <w:basedOn w:val="Predvolenpsmoodseku"/>
    <w:link w:val="Zkladntext3"/>
    <w:uiPriority w:val="99"/>
    <w:semiHidden/>
    <w:rsid w:val="004C7397"/>
    <w:rPr>
      <w:sz w:val="16"/>
      <w:szCs w:val="16"/>
      <w:lang w:val="en-GB" w:eastAsia="fr-FR"/>
    </w:rPr>
  </w:style>
  <w:style w:type="paragraph" w:styleId="Oznaitext">
    <w:name w:val="Block Text"/>
    <w:basedOn w:val="Normlny"/>
    <w:uiPriority w:val="99"/>
    <w:rsid w:val="00FF42B8"/>
    <w:pPr>
      <w:pBdr>
        <w:top w:val="single" w:sz="8" w:space="1" w:color="auto"/>
        <w:left w:val="single" w:sz="8" w:space="4" w:color="auto"/>
        <w:bottom w:val="single" w:sz="8" w:space="1" w:color="auto"/>
        <w:right w:val="single" w:sz="8" w:space="4" w:color="auto"/>
      </w:pBdr>
      <w:ind w:left="142" w:right="213"/>
    </w:pPr>
    <w:rPr>
      <w:rFonts w:ascii="Arial" w:hAnsi="Arial" w:cs="Arial"/>
    </w:rPr>
  </w:style>
  <w:style w:type="paragraph" w:customStyle="1" w:styleId="IndentQ">
    <w:name w:val="Indent Q"/>
    <w:basedOn w:val="Normlny"/>
    <w:rsid w:val="00FF42B8"/>
    <w:pPr>
      <w:keepNext/>
      <w:spacing w:after="240"/>
      <w:ind w:left="567" w:hanging="567"/>
      <w:jc w:val="both"/>
    </w:pPr>
    <w:rPr>
      <w:i/>
      <w:iCs/>
      <w:sz w:val="26"/>
      <w:szCs w:val="26"/>
    </w:rPr>
  </w:style>
  <w:style w:type="paragraph" w:styleId="Textkomentra">
    <w:name w:val="annotation text"/>
    <w:basedOn w:val="Normlny"/>
    <w:link w:val="TextkomentraChar"/>
    <w:uiPriority w:val="99"/>
    <w:semiHidden/>
    <w:rsid w:val="00FF42B8"/>
    <w:pPr>
      <w:jc w:val="both"/>
    </w:pPr>
    <w:rPr>
      <w:sz w:val="26"/>
      <w:szCs w:val="26"/>
    </w:rPr>
  </w:style>
  <w:style w:type="character" w:customStyle="1" w:styleId="TextkomentraChar">
    <w:name w:val="Text komentára Char"/>
    <w:basedOn w:val="Predvolenpsmoodseku"/>
    <w:link w:val="Textkomentra"/>
    <w:uiPriority w:val="99"/>
    <w:semiHidden/>
    <w:rsid w:val="004C7397"/>
    <w:rPr>
      <w:lang w:val="en-GB" w:eastAsia="fr-FR"/>
    </w:rPr>
  </w:style>
  <w:style w:type="paragraph" w:customStyle="1" w:styleId="IndentA">
    <w:name w:val="Indent A"/>
    <w:basedOn w:val="Normlny"/>
    <w:rsid w:val="00FF42B8"/>
    <w:pPr>
      <w:spacing w:after="240"/>
      <w:ind w:left="567" w:hanging="567"/>
      <w:jc w:val="both"/>
    </w:pPr>
    <w:rPr>
      <w:sz w:val="26"/>
      <w:szCs w:val="26"/>
    </w:rPr>
  </w:style>
  <w:style w:type="character" w:styleId="Odkaznapoznmkupodiarou">
    <w:name w:val="footnote reference"/>
    <w:basedOn w:val="Predvolenpsmoodseku"/>
    <w:uiPriority w:val="99"/>
    <w:semiHidden/>
    <w:rsid w:val="00FF42B8"/>
    <w:rPr>
      <w:vertAlign w:val="superscript"/>
    </w:rPr>
  </w:style>
  <w:style w:type="paragraph" w:styleId="Nzov">
    <w:name w:val="Title"/>
    <w:basedOn w:val="Normlny"/>
    <w:link w:val="NzovChar"/>
    <w:uiPriority w:val="10"/>
    <w:qFormat/>
    <w:rsid w:val="006E7113"/>
    <w:pPr>
      <w:jc w:val="center"/>
    </w:pPr>
    <w:rPr>
      <w:b/>
      <w:bCs/>
      <w:sz w:val="28"/>
      <w:szCs w:val="28"/>
      <w:lang w:val="fr-FR"/>
    </w:rPr>
  </w:style>
  <w:style w:type="character" w:customStyle="1" w:styleId="NzovChar">
    <w:name w:val="Názov Char"/>
    <w:basedOn w:val="Predvolenpsmoodseku"/>
    <w:link w:val="Nzov"/>
    <w:uiPriority w:val="10"/>
    <w:rsid w:val="004C7397"/>
    <w:rPr>
      <w:rFonts w:ascii="Cambria" w:eastAsia="Times New Roman" w:hAnsi="Cambria" w:cs="Times New Roman"/>
      <w:b/>
      <w:bCs/>
      <w:kern w:val="28"/>
      <w:sz w:val="32"/>
      <w:szCs w:val="32"/>
      <w:lang w:val="en-GB" w:eastAsia="fr-FR"/>
    </w:rPr>
  </w:style>
  <w:style w:type="paragraph" w:customStyle="1" w:styleId="p4">
    <w:name w:val="p4"/>
    <w:basedOn w:val="Normlny"/>
    <w:rsid w:val="006E7113"/>
    <w:pPr>
      <w:widowControl w:val="0"/>
      <w:tabs>
        <w:tab w:val="left" w:pos="833"/>
      </w:tabs>
      <w:spacing w:line="240" w:lineRule="atLeast"/>
      <w:ind w:left="607" w:hanging="833"/>
    </w:pPr>
    <w:rPr>
      <w:sz w:val="24"/>
      <w:szCs w:val="24"/>
    </w:rPr>
  </w:style>
  <w:style w:type="paragraph" w:customStyle="1" w:styleId="p5">
    <w:name w:val="p5"/>
    <w:basedOn w:val="Normlny"/>
    <w:rsid w:val="006E7113"/>
    <w:pPr>
      <w:widowControl w:val="0"/>
      <w:spacing w:line="240" w:lineRule="atLeast"/>
    </w:pPr>
    <w:rPr>
      <w:sz w:val="24"/>
      <w:szCs w:val="24"/>
    </w:rPr>
  </w:style>
  <w:style w:type="paragraph" w:customStyle="1" w:styleId="p6">
    <w:name w:val="p6"/>
    <w:basedOn w:val="Normlny"/>
    <w:rsid w:val="006E7113"/>
    <w:pPr>
      <w:widowControl w:val="0"/>
      <w:spacing w:line="260" w:lineRule="atLeast"/>
    </w:pPr>
    <w:rPr>
      <w:sz w:val="24"/>
      <w:szCs w:val="24"/>
    </w:rPr>
  </w:style>
  <w:style w:type="paragraph" w:customStyle="1" w:styleId="p7">
    <w:name w:val="p7"/>
    <w:basedOn w:val="Normlny"/>
    <w:rsid w:val="006E7113"/>
    <w:pPr>
      <w:widowControl w:val="0"/>
      <w:spacing w:line="521" w:lineRule="atLeast"/>
    </w:pPr>
    <w:rPr>
      <w:sz w:val="24"/>
      <w:szCs w:val="24"/>
    </w:rPr>
  </w:style>
  <w:style w:type="paragraph" w:customStyle="1" w:styleId="p8">
    <w:name w:val="p8"/>
    <w:basedOn w:val="Normlny"/>
    <w:rsid w:val="006E7113"/>
    <w:pPr>
      <w:widowControl w:val="0"/>
      <w:spacing w:line="260" w:lineRule="atLeast"/>
    </w:pPr>
    <w:rPr>
      <w:sz w:val="24"/>
      <w:szCs w:val="24"/>
    </w:rPr>
  </w:style>
  <w:style w:type="paragraph" w:customStyle="1" w:styleId="inhopg3">
    <w:name w:val="inhopg 3"/>
    <w:basedOn w:val="Normlny"/>
    <w:rsid w:val="00C77A3E"/>
    <w:pPr>
      <w:widowControl w:val="0"/>
      <w:tabs>
        <w:tab w:val="right" w:leader="dot" w:pos="9360"/>
      </w:tabs>
      <w:suppressAutoHyphens/>
      <w:ind w:left="2160" w:right="720" w:hanging="720"/>
    </w:pPr>
    <w:rPr>
      <w:rFonts w:ascii="Arial Narrow" w:hAnsi="Arial Narrow"/>
      <w:sz w:val="24"/>
      <w:lang w:val="en-US" w:eastAsia="nl-NL"/>
    </w:rPr>
  </w:style>
  <w:style w:type="paragraph" w:customStyle="1" w:styleId="OmniPage6">
    <w:name w:val="OmniPage #6"/>
    <w:basedOn w:val="Normlny"/>
    <w:rsid w:val="00C77A3E"/>
    <w:pPr>
      <w:tabs>
        <w:tab w:val="left" w:pos="376"/>
        <w:tab w:val="left" w:pos="795"/>
        <w:tab w:val="left" w:pos="1173"/>
        <w:tab w:val="left" w:pos="7623"/>
        <w:tab w:val="right" w:pos="9067"/>
      </w:tabs>
      <w:ind w:left="1519" w:right="100"/>
    </w:pPr>
    <w:rPr>
      <w:rFonts w:ascii="Arial" w:hAnsi="Arial"/>
      <w:noProof/>
      <w:lang w:val="en-US" w:eastAsia="nl-NL"/>
    </w:rPr>
  </w:style>
  <w:style w:type="paragraph" w:customStyle="1" w:styleId="OmniPage258">
    <w:name w:val="OmniPage #258"/>
    <w:basedOn w:val="Normlny"/>
    <w:rsid w:val="00E25A30"/>
    <w:pPr>
      <w:tabs>
        <w:tab w:val="left" w:pos="1205"/>
        <w:tab w:val="right" w:pos="7610"/>
      </w:tabs>
      <w:ind w:left="2140" w:right="1490"/>
    </w:pPr>
    <w:rPr>
      <w:rFonts w:ascii="Arial" w:hAnsi="Arial"/>
      <w:noProof/>
      <w:lang w:val="en-US" w:eastAsia="nl-NL"/>
    </w:rPr>
  </w:style>
  <w:style w:type="paragraph" w:customStyle="1" w:styleId="OmniPage259">
    <w:name w:val="OmniPage #259"/>
    <w:basedOn w:val="Normlny"/>
    <w:rsid w:val="00E25A30"/>
    <w:pPr>
      <w:ind w:left="2124" w:right="286"/>
    </w:pPr>
    <w:rPr>
      <w:rFonts w:ascii="Arial" w:hAnsi="Arial"/>
      <w:noProof/>
      <w:lang w:val="en-US" w:eastAsia="nl-NL"/>
    </w:rPr>
  </w:style>
  <w:style w:type="paragraph" w:customStyle="1" w:styleId="OmniPage1026">
    <w:name w:val="OmniPage #1026"/>
    <w:basedOn w:val="Normlny"/>
    <w:rsid w:val="00FA05C8"/>
    <w:pPr>
      <w:ind w:left="2162" w:right="213"/>
    </w:pPr>
    <w:rPr>
      <w:rFonts w:ascii="Arial" w:hAnsi="Arial"/>
      <w:noProof/>
      <w:lang w:val="en-US" w:eastAsia="nl-NL"/>
    </w:rPr>
  </w:style>
  <w:style w:type="paragraph" w:customStyle="1" w:styleId="OmniPage1027">
    <w:name w:val="OmniPage #1027"/>
    <w:basedOn w:val="Normlny"/>
    <w:rsid w:val="00FA05C8"/>
    <w:pPr>
      <w:ind w:left="2162" w:right="761"/>
    </w:pPr>
    <w:rPr>
      <w:rFonts w:ascii="Arial" w:hAnsi="Arial"/>
      <w:noProof/>
      <w:lang w:val="en-US" w:eastAsia="nl-NL"/>
    </w:rPr>
  </w:style>
  <w:style w:type="paragraph" w:customStyle="1" w:styleId="OmniPage1028">
    <w:name w:val="OmniPage #1028"/>
    <w:basedOn w:val="Normlny"/>
    <w:rsid w:val="00FA05C8"/>
    <w:pPr>
      <w:tabs>
        <w:tab w:val="left" w:pos="802"/>
        <w:tab w:val="right" w:pos="8868"/>
      </w:tabs>
      <w:ind w:left="1743" w:right="233"/>
    </w:pPr>
    <w:rPr>
      <w:rFonts w:ascii="Arial" w:hAnsi="Arial"/>
      <w:noProof/>
      <w:lang w:val="en-US" w:eastAsia="nl-NL"/>
    </w:rPr>
  </w:style>
  <w:style w:type="paragraph" w:customStyle="1" w:styleId="OmniPage1029">
    <w:name w:val="OmniPage #1029"/>
    <w:basedOn w:val="Normlny"/>
    <w:rsid w:val="00FA05C8"/>
    <w:pPr>
      <w:ind w:left="2180" w:right="4274"/>
    </w:pPr>
    <w:rPr>
      <w:rFonts w:ascii="Arial" w:hAnsi="Arial"/>
      <w:noProof/>
      <w:lang w:val="en-US" w:eastAsia="nl-NL"/>
    </w:rPr>
  </w:style>
  <w:style w:type="paragraph" w:customStyle="1" w:styleId="OmniPage1031">
    <w:name w:val="OmniPage #1031"/>
    <w:basedOn w:val="Normlny"/>
    <w:rsid w:val="00FA05C8"/>
    <w:pPr>
      <w:ind w:left="2179" w:right="6700"/>
    </w:pPr>
    <w:rPr>
      <w:rFonts w:ascii="Arial" w:hAnsi="Arial"/>
      <w:noProof/>
      <w:lang w:val="en-US" w:eastAsia="nl-NL"/>
    </w:rPr>
  </w:style>
  <w:style w:type="paragraph" w:customStyle="1" w:styleId="OmniPage1033">
    <w:name w:val="OmniPage #1033"/>
    <w:basedOn w:val="Normlny"/>
    <w:rsid w:val="00FA05C8"/>
    <w:pPr>
      <w:tabs>
        <w:tab w:val="right" w:pos="9001"/>
      </w:tabs>
      <w:ind w:left="2150" w:right="100"/>
    </w:pPr>
    <w:rPr>
      <w:rFonts w:ascii="Arial" w:hAnsi="Arial"/>
      <w:noProof/>
      <w:lang w:val="en-US" w:eastAsia="nl-NL"/>
    </w:rPr>
  </w:style>
  <w:style w:type="paragraph" w:customStyle="1" w:styleId="OmniPage1282">
    <w:name w:val="OmniPage #1282"/>
    <w:basedOn w:val="Normlny"/>
    <w:rsid w:val="00FA05C8"/>
    <w:pPr>
      <w:tabs>
        <w:tab w:val="right" w:pos="9005"/>
      </w:tabs>
      <w:ind w:left="2144" w:right="100"/>
    </w:pPr>
    <w:rPr>
      <w:rFonts w:ascii="Arial" w:hAnsi="Arial"/>
      <w:noProof/>
      <w:lang w:val="en-US" w:eastAsia="nl-NL"/>
    </w:rPr>
  </w:style>
  <w:style w:type="paragraph" w:customStyle="1" w:styleId="OmniPage1538">
    <w:name w:val="OmniPage #1538"/>
    <w:basedOn w:val="Normlny"/>
    <w:rsid w:val="00FA05C8"/>
    <w:pPr>
      <w:ind w:left="2154" w:right="228"/>
    </w:pPr>
    <w:rPr>
      <w:rFonts w:ascii="Arial" w:hAnsi="Arial"/>
      <w:noProof/>
      <w:lang w:val="en-US" w:eastAsia="nl-NL"/>
    </w:rPr>
  </w:style>
  <w:style w:type="paragraph" w:customStyle="1" w:styleId="OmniPage1539">
    <w:name w:val="OmniPage #1539"/>
    <w:basedOn w:val="Normlny"/>
    <w:rsid w:val="00FA05C8"/>
    <w:pPr>
      <w:ind w:left="2140" w:right="4106"/>
    </w:pPr>
    <w:rPr>
      <w:rFonts w:ascii="Arial" w:hAnsi="Arial"/>
      <w:noProof/>
      <w:lang w:val="en-US" w:eastAsia="nl-NL"/>
    </w:rPr>
  </w:style>
  <w:style w:type="paragraph" w:customStyle="1" w:styleId="OmniPage1541">
    <w:name w:val="OmniPage #1541"/>
    <w:basedOn w:val="Normlny"/>
    <w:rsid w:val="00FA05C8"/>
    <w:pPr>
      <w:tabs>
        <w:tab w:val="left" w:pos="785"/>
        <w:tab w:val="right" w:pos="9002"/>
      </w:tabs>
      <w:ind w:left="1727" w:right="100"/>
    </w:pPr>
    <w:rPr>
      <w:rFonts w:ascii="Arial" w:hAnsi="Arial"/>
      <w:noProof/>
      <w:lang w:val="en-US" w:eastAsia="nl-NL"/>
    </w:rPr>
  </w:style>
  <w:style w:type="character" w:styleId="Hypertextovprepojenie">
    <w:name w:val="Hyperlink"/>
    <w:basedOn w:val="Predvolenpsmoodseku"/>
    <w:uiPriority w:val="99"/>
    <w:rsid w:val="002436F9"/>
    <w:rPr>
      <w:color w:val="0000FF"/>
      <w:u w:val="single"/>
    </w:rPr>
  </w:style>
  <w:style w:type="paragraph" w:customStyle="1" w:styleId="scher">
    <w:name w:val="scher"/>
    <w:basedOn w:val="Normlny"/>
    <w:rsid w:val="00623418"/>
    <w:pPr>
      <w:jc w:val="both"/>
    </w:pPr>
    <w:rPr>
      <w:color w:val="000000"/>
      <w:sz w:val="24"/>
      <w:lang w:val="fr-FR"/>
    </w:rPr>
  </w:style>
  <w:style w:type="paragraph" w:customStyle="1" w:styleId="AmmTableauTitre1">
    <w:name w:val="AmmTableauTitre1"/>
    <w:basedOn w:val="Normlny"/>
    <w:rsid w:val="00B70D02"/>
    <w:pPr>
      <w:spacing w:before="120" w:after="120"/>
      <w:jc w:val="both"/>
    </w:pPr>
    <w:rPr>
      <w:rFonts w:ascii="Arial" w:hAnsi="Arial" w:cs="Arial"/>
      <w:b/>
      <w:sz w:val="22"/>
      <w:lang w:val="fr-FR"/>
    </w:rPr>
  </w:style>
  <w:style w:type="paragraph" w:customStyle="1" w:styleId="AmmTableauTitre2">
    <w:name w:val="AmmTableauTitre2"/>
    <w:basedOn w:val="Normlny"/>
    <w:rsid w:val="00B70D02"/>
    <w:pPr>
      <w:spacing w:before="120" w:after="120"/>
    </w:pPr>
    <w:rPr>
      <w:rFonts w:ascii="Arial" w:hAnsi="Arial" w:cs="Arial"/>
      <w:b/>
      <w:sz w:val="22"/>
      <w:u w:val="single"/>
      <w:lang w:val="fr-FR"/>
    </w:rPr>
  </w:style>
  <w:style w:type="paragraph" w:customStyle="1" w:styleId="AmmTableauTitre3">
    <w:name w:val="AmmTableauTitre3"/>
    <w:basedOn w:val="Normlny"/>
    <w:rsid w:val="00B70D02"/>
    <w:pPr>
      <w:spacing w:before="240" w:after="60"/>
    </w:pPr>
    <w:rPr>
      <w:rFonts w:ascii="Arial" w:hAnsi="Arial" w:cs="Arial"/>
      <w:b/>
      <w:sz w:val="22"/>
      <w:lang w:val="fr-FR"/>
    </w:rPr>
  </w:style>
  <w:style w:type="paragraph" w:customStyle="1" w:styleId="AmmTableauCorpsTexte">
    <w:name w:val="AmmTableauCorpsTexte"/>
    <w:basedOn w:val="Normlny"/>
    <w:rsid w:val="00B70D02"/>
    <w:pPr>
      <w:spacing w:after="57"/>
    </w:pPr>
    <w:rPr>
      <w:rFonts w:ascii="Arial" w:hAnsi="Arial" w:cs="Arial"/>
      <w:i/>
      <w:sz w:val="22"/>
      <w:lang w:val="fr-FR"/>
    </w:rPr>
  </w:style>
  <w:style w:type="paragraph" w:customStyle="1" w:styleId="Preformatted">
    <w:name w:val="Preformatted"/>
    <w:basedOn w:val="Normlny"/>
    <w:rsid w:val="00671A0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en-US"/>
    </w:rPr>
  </w:style>
  <w:style w:type="character" w:styleId="slostrany">
    <w:name w:val="page number"/>
    <w:basedOn w:val="Predvolenpsmoodseku"/>
    <w:uiPriority w:val="99"/>
    <w:rsid w:val="00B96D01"/>
    <w:rPr>
      <w:rFonts w:cs="Times New Roman"/>
    </w:rPr>
  </w:style>
  <w:style w:type="paragraph" w:customStyle="1" w:styleId="DefaultText">
    <w:name w:val="Default Text"/>
    <w:basedOn w:val="Normlny"/>
    <w:rsid w:val="00AC2CB4"/>
    <w:rPr>
      <w:sz w:val="24"/>
      <w:lang w:val="en-US" w:eastAsia="sv-SE"/>
    </w:rPr>
  </w:style>
  <w:style w:type="paragraph" w:customStyle="1" w:styleId="KNTabellnFormat">
    <w:name w:val="KNTabellnFormat"/>
    <w:basedOn w:val="Normlny"/>
    <w:rsid w:val="00463A69"/>
    <w:rPr>
      <w:rFonts w:ascii="Arial" w:hAnsi="Arial"/>
      <w:sz w:val="22"/>
      <w:lang w:eastAsia="de-DE"/>
    </w:rPr>
  </w:style>
  <w:style w:type="paragraph" w:styleId="Textbubliny">
    <w:name w:val="Balloon Text"/>
    <w:basedOn w:val="Normlny"/>
    <w:link w:val="TextbublinyChar"/>
    <w:uiPriority w:val="99"/>
    <w:semiHidden/>
    <w:rsid w:val="00352A7A"/>
    <w:rPr>
      <w:rFonts w:ascii="Tahoma" w:hAnsi="Tahoma" w:cs="Tahoma"/>
      <w:sz w:val="16"/>
      <w:szCs w:val="16"/>
    </w:rPr>
  </w:style>
  <w:style w:type="character" w:customStyle="1" w:styleId="TextbublinyChar">
    <w:name w:val="Text bubliny Char"/>
    <w:basedOn w:val="Predvolenpsmoodseku"/>
    <w:link w:val="Textbubliny"/>
    <w:uiPriority w:val="99"/>
    <w:semiHidden/>
    <w:rsid w:val="004C7397"/>
    <w:rPr>
      <w:sz w:val="0"/>
      <w:szCs w:val="0"/>
      <w:lang w:val="en-GB" w:eastAsia="fr-FR"/>
    </w:rPr>
  </w:style>
  <w:style w:type="table" w:styleId="Mriekatabuky">
    <w:name w:val="Table Grid"/>
    <w:basedOn w:val="Normlnatabuka"/>
    <w:uiPriority w:val="59"/>
    <w:rsid w:val="0063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lny"/>
    <w:rsid w:val="000975F0"/>
    <w:pPr>
      <w:spacing w:before="240" w:after="120"/>
      <w:ind w:left="1440"/>
      <w:jc w:val="both"/>
    </w:pPr>
    <w:rPr>
      <w:lang w:val="en-US" w:eastAsia="en-US"/>
    </w:rPr>
  </w:style>
  <w:style w:type="paragraph" w:styleId="Obyajntext">
    <w:name w:val="Plain Text"/>
    <w:basedOn w:val="Normlny"/>
    <w:link w:val="ObyajntextChar"/>
    <w:uiPriority w:val="99"/>
    <w:rsid w:val="00503597"/>
    <w:rPr>
      <w:rFonts w:ascii="Courier New" w:hAnsi="Courier New"/>
      <w:lang w:eastAsia="pt-PT"/>
    </w:rPr>
  </w:style>
  <w:style w:type="character" w:customStyle="1" w:styleId="ObyajntextChar">
    <w:name w:val="Obyčajný text Char"/>
    <w:basedOn w:val="Predvolenpsmoodseku"/>
    <w:link w:val="Obyajntext"/>
    <w:uiPriority w:val="99"/>
    <w:semiHidden/>
    <w:rsid w:val="004C7397"/>
    <w:rPr>
      <w:rFonts w:ascii="Courier New" w:hAnsi="Courier New" w:cs="Courier New"/>
      <w:lang w:val="en-GB" w:eastAsia="fr-FR"/>
    </w:rPr>
  </w:style>
  <w:style w:type="paragraph" w:styleId="Normlnywebov">
    <w:name w:val="Normal (Web)"/>
    <w:basedOn w:val="Normlny"/>
    <w:uiPriority w:val="99"/>
    <w:rsid w:val="00622B5E"/>
    <w:pPr>
      <w:spacing w:before="100" w:beforeAutospacing="1" w:after="100" w:afterAutospacing="1"/>
    </w:pPr>
    <w:rPr>
      <w:sz w:val="24"/>
      <w:szCs w:val="24"/>
      <w:lang w:val="fr-FR"/>
    </w:rPr>
  </w:style>
  <w:style w:type="paragraph" w:customStyle="1" w:styleId="Normal1">
    <w:name w:val="Normal1"/>
    <w:basedOn w:val="Normlny"/>
    <w:rsid w:val="00EF5765"/>
    <w:pPr>
      <w:widowControl w:val="0"/>
      <w:suppressAutoHyphens/>
      <w:autoSpaceDE w:val="0"/>
    </w:pPr>
    <w:rPr>
      <w:sz w:val="24"/>
      <w:szCs w:val="24"/>
      <w:lang w:val="hu-HU"/>
    </w:rPr>
  </w:style>
  <w:style w:type="paragraph" w:customStyle="1" w:styleId="PHZMngelpunkt">
    <w:name w:val="PHZ Mängelpunkt"/>
    <w:basedOn w:val="Normlny"/>
    <w:rsid w:val="00A21EB2"/>
    <w:pPr>
      <w:numPr>
        <w:numId w:val="2"/>
      </w:numPr>
      <w:spacing w:before="120"/>
    </w:pPr>
    <w:rPr>
      <w:rFonts w:ascii="Arial" w:hAnsi="Arial"/>
      <w:sz w:val="22"/>
      <w:szCs w:val="24"/>
      <w:lang w:eastAsia="de-DE"/>
    </w:rPr>
  </w:style>
  <w:style w:type="paragraph" w:customStyle="1" w:styleId="P1">
    <w:name w:val="P1"/>
    <w:basedOn w:val="Normlny"/>
    <w:rsid w:val="00B96B50"/>
    <w:pPr>
      <w:ind w:left="567"/>
    </w:pPr>
    <w:rPr>
      <w:rFonts w:ascii="Arial" w:hAnsi="Arial"/>
      <w:sz w:val="24"/>
      <w:lang w:val="fr-FR"/>
    </w:rPr>
  </w:style>
  <w:style w:type="paragraph" w:styleId="Zoznamsodrkami">
    <w:name w:val="List Bullet"/>
    <w:basedOn w:val="Normlny"/>
    <w:autoRedefine/>
    <w:uiPriority w:val="99"/>
    <w:rsid w:val="00B96B50"/>
    <w:pPr>
      <w:numPr>
        <w:numId w:val="3"/>
      </w:numPr>
    </w:pPr>
    <w:rPr>
      <w:lang w:val="de-DE"/>
    </w:rPr>
  </w:style>
  <w:style w:type="paragraph" w:customStyle="1" w:styleId="Faksoverskrift">
    <w:name w:val="Faksoverskrift"/>
    <w:basedOn w:val="Normlny"/>
    <w:rsid w:val="00B96B50"/>
    <w:pPr>
      <w:tabs>
        <w:tab w:val="left" w:pos="357"/>
      </w:tabs>
      <w:overflowPunct w:val="0"/>
      <w:autoSpaceDE w:val="0"/>
      <w:autoSpaceDN w:val="0"/>
      <w:adjustRightInd w:val="0"/>
      <w:spacing w:before="480" w:after="240"/>
      <w:textAlignment w:val="baseline"/>
    </w:pPr>
    <w:rPr>
      <w:b/>
      <w:sz w:val="24"/>
      <w:lang w:val="nb-NO" w:eastAsia="nb-NO"/>
    </w:rPr>
  </w:style>
  <w:style w:type="paragraph" w:customStyle="1" w:styleId="Sarkain3">
    <w:name w:val="Sarkain3"/>
    <w:basedOn w:val="Normlny"/>
    <w:rsid w:val="00992C32"/>
    <w:pPr>
      <w:spacing w:before="240" w:after="360"/>
      <w:ind w:left="851"/>
    </w:pPr>
    <w:rPr>
      <w:sz w:val="24"/>
      <w:lang w:eastAsia="fi-FI"/>
    </w:rPr>
  </w:style>
  <w:style w:type="paragraph" w:customStyle="1" w:styleId="listssp">
    <w:name w:val="list:ssp"/>
    <w:basedOn w:val="Normlny"/>
    <w:rsid w:val="00992C32"/>
    <w:pPr>
      <w:overflowPunct w:val="0"/>
      <w:autoSpaceDE w:val="0"/>
      <w:autoSpaceDN w:val="0"/>
      <w:adjustRightInd w:val="0"/>
      <w:textAlignment w:val="baseline"/>
    </w:pPr>
    <w:rPr>
      <w:sz w:val="24"/>
      <w:lang w:eastAsia="en-US"/>
    </w:rPr>
  </w:style>
  <w:style w:type="paragraph" w:customStyle="1" w:styleId="lhNonTOC12">
    <w:name w:val="lh:NonTOC12"/>
    <w:basedOn w:val="Normlny"/>
    <w:next w:val="Normlny"/>
    <w:rsid w:val="00942A34"/>
    <w:pPr>
      <w:keepNext/>
      <w:spacing w:after="240"/>
    </w:pPr>
    <w:rPr>
      <w:rFonts w:ascii="Arial" w:hAnsi="Arial"/>
      <w:b/>
      <w:sz w:val="24"/>
      <w:lang w:eastAsia="de-DE"/>
    </w:rPr>
  </w:style>
  <w:style w:type="paragraph" w:styleId="Textvysvetlivky">
    <w:name w:val="endnote text"/>
    <w:basedOn w:val="Normlny"/>
    <w:next w:val="Normlny"/>
    <w:link w:val="TextvysvetlivkyChar"/>
    <w:uiPriority w:val="99"/>
    <w:semiHidden/>
    <w:rsid w:val="00767C9D"/>
    <w:pPr>
      <w:tabs>
        <w:tab w:val="left" w:pos="567"/>
      </w:tabs>
    </w:pPr>
    <w:rPr>
      <w:sz w:val="22"/>
      <w:lang w:eastAsia="de-DE"/>
    </w:rPr>
  </w:style>
  <w:style w:type="character" w:customStyle="1" w:styleId="TextvysvetlivkyChar">
    <w:name w:val="Text vysvetlivky Char"/>
    <w:basedOn w:val="Predvolenpsmoodseku"/>
    <w:link w:val="Textvysvetlivky"/>
    <w:uiPriority w:val="99"/>
    <w:semiHidden/>
    <w:rsid w:val="004C7397"/>
    <w:rPr>
      <w:lang w:val="en-GB" w:eastAsia="fr-FR"/>
    </w:rPr>
  </w:style>
  <w:style w:type="paragraph" w:customStyle="1" w:styleId="Plattetekstvet">
    <w:name w:val="Platte tekst vet"/>
    <w:basedOn w:val="Zkladntext"/>
    <w:next w:val="Zkladntext"/>
    <w:rsid w:val="00DB2F4D"/>
    <w:pPr>
      <w:spacing w:after="120"/>
      <w:jc w:val="left"/>
    </w:pPr>
    <w:rPr>
      <w:rFonts w:cs="Times New Roman"/>
      <w:b/>
      <w:sz w:val="22"/>
      <w:lang w:val="nl-NL" w:eastAsia="en-US"/>
    </w:rPr>
  </w:style>
  <w:style w:type="paragraph" w:customStyle="1" w:styleId="fachinfotext">
    <w:name w:val="fachinfotext"/>
    <w:basedOn w:val="Normlny"/>
    <w:rsid w:val="00DB2F4D"/>
    <w:pPr>
      <w:tabs>
        <w:tab w:val="left" w:pos="284"/>
      </w:tabs>
      <w:jc w:val="both"/>
    </w:pPr>
    <w:rPr>
      <w:rFonts w:ascii="Arial" w:hAnsi="Arial" w:cs="Arial"/>
      <w:sz w:val="16"/>
      <w:szCs w:val="16"/>
      <w:lang w:val="de-DE" w:eastAsia="de-DE"/>
    </w:rPr>
  </w:style>
  <w:style w:type="paragraph" w:customStyle="1" w:styleId="Table">
    <w:name w:val="Table"/>
    <w:basedOn w:val="Normlny"/>
    <w:autoRedefine/>
    <w:rsid w:val="00415631"/>
    <w:pPr>
      <w:jc w:val="both"/>
    </w:pPr>
    <w:rPr>
      <w:rFonts w:ascii="Arial" w:hAnsi="Arial"/>
      <w:color w:val="000000"/>
      <w:sz w:val="22"/>
      <w:lang w:val="en-US" w:eastAsia="en-GB"/>
    </w:rPr>
  </w:style>
  <w:style w:type="paragraph" w:styleId="Normlnysozarkami">
    <w:name w:val="Normal Indent"/>
    <w:basedOn w:val="Normlny"/>
    <w:uiPriority w:val="99"/>
    <w:rsid w:val="006C259A"/>
    <w:pPr>
      <w:ind w:left="720"/>
    </w:pPr>
    <w:rPr>
      <w:sz w:val="24"/>
      <w:lang w:eastAsia="zh-TW"/>
    </w:rPr>
  </w:style>
  <w:style w:type="character" w:customStyle="1" w:styleId="body1">
    <w:name w:val="body1"/>
    <w:rsid w:val="00F82C55"/>
    <w:rPr>
      <w:rFonts w:ascii="Verdana" w:hAnsi="Verdana"/>
      <w:sz w:val="16"/>
    </w:rPr>
  </w:style>
  <w:style w:type="paragraph" w:customStyle="1" w:styleId="Musterberschrift112">
    <w:name w:val="Muster_Überschrift1_12"/>
    <w:basedOn w:val="Normlny"/>
    <w:rsid w:val="006A119E"/>
    <w:pPr>
      <w:tabs>
        <w:tab w:val="left" w:pos="567"/>
      </w:tabs>
      <w:spacing w:before="240" w:after="240"/>
      <w:ind w:left="567"/>
    </w:pPr>
    <w:rPr>
      <w:rFonts w:ascii="Arial" w:hAnsi="Arial" w:cs="Arial"/>
      <w:b/>
      <w:bCs/>
      <w:sz w:val="24"/>
      <w:szCs w:val="24"/>
      <w:lang w:val="de-DE" w:eastAsia="ar-SA"/>
    </w:rPr>
  </w:style>
  <w:style w:type="paragraph" w:customStyle="1" w:styleId="MusterTitelspcde">
    <w:name w:val="Muster_Titel_spcde"/>
    <w:basedOn w:val="Normlny"/>
    <w:rsid w:val="00411854"/>
    <w:pPr>
      <w:spacing w:before="480" w:after="480"/>
      <w:ind w:left="567"/>
      <w:jc w:val="center"/>
    </w:pPr>
    <w:rPr>
      <w:rFonts w:ascii="Arial" w:hAnsi="Arial" w:cs="Arial"/>
      <w:b/>
      <w:bCs/>
      <w:kern w:val="1"/>
      <w:sz w:val="28"/>
      <w:szCs w:val="28"/>
      <w:lang w:val="de-DE" w:eastAsia="ar-SA"/>
    </w:rPr>
  </w:style>
  <w:style w:type="paragraph" w:customStyle="1" w:styleId="MusterTitel">
    <w:name w:val="Muster_Titel"/>
    <w:basedOn w:val="Nzov"/>
    <w:rsid w:val="00135184"/>
    <w:pPr>
      <w:spacing w:before="480" w:after="480"/>
      <w:ind w:left="567"/>
    </w:pPr>
    <w:rPr>
      <w:rFonts w:ascii="Arial" w:hAnsi="Arial" w:cs="Arial"/>
      <w:b w:val="0"/>
      <w:bCs w:val="0"/>
      <w:kern w:val="1"/>
      <w:lang w:val="de-DE" w:eastAsia="ar-SA"/>
    </w:rPr>
  </w:style>
  <w:style w:type="paragraph" w:customStyle="1" w:styleId="spc-text">
    <w:name w:val="spc-text"/>
    <w:basedOn w:val="Normlny"/>
    <w:rsid w:val="009004FC"/>
    <w:pPr>
      <w:tabs>
        <w:tab w:val="left" w:pos="851"/>
      </w:tabs>
      <w:spacing w:line="288" w:lineRule="auto"/>
      <w:ind w:left="851"/>
    </w:pPr>
    <w:rPr>
      <w:rFonts w:ascii="Arial" w:hAnsi="Arial"/>
      <w:lang w:val="de-DE" w:eastAsia="de-DE"/>
    </w:rPr>
  </w:style>
  <w:style w:type="paragraph" w:customStyle="1" w:styleId="EMEA-beurteiltwurde">
    <w:name w:val="EMEA-beurteilt wurde"/>
    <w:basedOn w:val="Normlny"/>
    <w:rsid w:val="00206F87"/>
    <w:pPr>
      <w:numPr>
        <w:numId w:val="6"/>
      </w:numPr>
      <w:spacing w:before="20"/>
    </w:pPr>
    <w:rPr>
      <w:sz w:val="24"/>
      <w:szCs w:val="24"/>
      <w:lang w:eastAsia="de-DE"/>
    </w:rPr>
  </w:style>
  <w:style w:type="paragraph" w:customStyle="1" w:styleId="subhead">
    <w:name w:val="subhead"/>
    <w:basedOn w:val="Normlny"/>
    <w:rsid w:val="00F55F02"/>
    <w:pPr>
      <w:spacing w:before="100" w:beforeAutospacing="1" w:after="100" w:afterAutospacing="1"/>
    </w:pPr>
    <w:rPr>
      <w:rFonts w:ascii="Arial" w:hAnsi="Arial" w:cs="Arial"/>
      <w:b/>
      <w:bCs/>
      <w:lang w:val="fr-FR"/>
    </w:rPr>
  </w:style>
  <w:style w:type="paragraph" w:customStyle="1" w:styleId="4bodycopy">
    <w:name w:val="4bodycopy"/>
    <w:basedOn w:val="Normlny"/>
    <w:rsid w:val="00F55F02"/>
    <w:pPr>
      <w:spacing w:before="100" w:beforeAutospacing="1" w:after="100" w:afterAutospacing="1"/>
      <w:ind w:left="524" w:right="157"/>
    </w:pPr>
    <w:rPr>
      <w:sz w:val="24"/>
      <w:szCs w:val="24"/>
      <w:lang w:val="fr-FR"/>
    </w:rPr>
  </w:style>
  <w:style w:type="paragraph" w:customStyle="1" w:styleId="Titre22">
    <w:name w:val="Titre 22"/>
    <w:basedOn w:val="Normlny"/>
    <w:rsid w:val="009C5DEA"/>
    <w:pPr>
      <w:pBdr>
        <w:top w:val="single" w:sz="4" w:space="6" w:color="CCCCCC"/>
        <w:left w:val="single" w:sz="4" w:space="6" w:color="CCCCCC"/>
        <w:bottom w:val="single" w:sz="4" w:space="6" w:color="CCCCCC"/>
        <w:right w:val="single" w:sz="4" w:space="6" w:color="CCCCCC"/>
      </w:pBdr>
      <w:shd w:val="clear" w:color="auto" w:fill="F0F8FF"/>
      <w:spacing w:before="240" w:after="240"/>
      <w:outlineLvl w:val="2"/>
    </w:pPr>
    <w:rPr>
      <w:rFonts w:ascii="Arial" w:hAnsi="Arial" w:cs="Arial"/>
      <w:b/>
      <w:bCs/>
      <w:color w:val="000000"/>
      <w:sz w:val="23"/>
      <w:szCs w:val="23"/>
      <w:lang w:val="fr-FR"/>
    </w:rPr>
  </w:style>
  <w:style w:type="paragraph" w:customStyle="1" w:styleId="NormalWeb1">
    <w:name w:val="Normal (Web)1"/>
    <w:basedOn w:val="Normlny"/>
    <w:rsid w:val="009C5DEA"/>
    <w:pPr>
      <w:spacing w:before="240" w:line="288" w:lineRule="atLeast"/>
      <w:ind w:left="120"/>
    </w:pPr>
    <w:rPr>
      <w:color w:val="000000"/>
      <w:sz w:val="22"/>
      <w:szCs w:val="22"/>
      <w:lang w:val="fr-FR"/>
    </w:rPr>
  </w:style>
  <w:style w:type="character" w:customStyle="1" w:styleId="ti2">
    <w:name w:val="ti2"/>
    <w:rsid w:val="009C5DEA"/>
    <w:rPr>
      <w:sz w:val="22"/>
    </w:rPr>
  </w:style>
  <w:style w:type="character" w:customStyle="1" w:styleId="featuredlinkouts">
    <w:name w:val="featured_linkouts"/>
    <w:basedOn w:val="Predvolenpsmoodseku"/>
    <w:rsid w:val="009C5DEA"/>
    <w:rPr>
      <w:rFonts w:cs="Times New Roman"/>
    </w:rPr>
  </w:style>
  <w:style w:type="character" w:customStyle="1" w:styleId="linkbar">
    <w:name w:val="linkbar"/>
    <w:basedOn w:val="Predvolenpsmoodseku"/>
    <w:rsid w:val="009C5DEA"/>
    <w:rPr>
      <w:rFonts w:cs="Times New Roman"/>
    </w:rPr>
  </w:style>
  <w:style w:type="paragraph" w:customStyle="1" w:styleId="affiliation2">
    <w:name w:val="affiliation2"/>
    <w:basedOn w:val="Normlny"/>
    <w:rsid w:val="009C5DEA"/>
    <w:pPr>
      <w:spacing w:before="240" w:after="120" w:line="288" w:lineRule="atLeast"/>
      <w:ind w:left="120"/>
    </w:pPr>
    <w:rPr>
      <w:color w:val="000000"/>
      <w:sz w:val="19"/>
      <w:szCs w:val="19"/>
      <w:lang w:val="fr-FR"/>
    </w:rPr>
  </w:style>
  <w:style w:type="character" w:styleId="Siln">
    <w:name w:val="Strong"/>
    <w:basedOn w:val="Predvolenpsmoodseku"/>
    <w:uiPriority w:val="22"/>
    <w:qFormat/>
    <w:rsid w:val="00F735DF"/>
    <w:rPr>
      <w:b/>
    </w:rPr>
  </w:style>
  <w:style w:type="paragraph" w:customStyle="1" w:styleId="DocumentHeading">
    <w:name w:val="Document Heading"/>
    <w:basedOn w:val="Normlny"/>
    <w:next w:val="Normlny"/>
    <w:rsid w:val="00C10D5F"/>
    <w:pPr>
      <w:spacing w:after="120"/>
    </w:pPr>
    <w:rPr>
      <w:b/>
      <w:sz w:val="28"/>
      <w:lang w:eastAsia="en-GB"/>
    </w:rPr>
  </w:style>
  <w:style w:type="paragraph" w:styleId="truktradokumentu">
    <w:name w:val="Document Map"/>
    <w:basedOn w:val="Normlny"/>
    <w:link w:val="truktradokumentuChar"/>
    <w:uiPriority w:val="99"/>
    <w:semiHidden/>
    <w:rsid w:val="00F64118"/>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rsid w:val="004C7397"/>
    <w:rPr>
      <w:sz w:val="0"/>
      <w:szCs w:val="0"/>
      <w:lang w:val="en-GB" w:eastAsia="fr-FR"/>
    </w:rPr>
  </w:style>
  <w:style w:type="character" w:styleId="Odkaznakomentr">
    <w:name w:val="annotation reference"/>
    <w:basedOn w:val="Predvolenpsmoodseku"/>
    <w:uiPriority w:val="99"/>
    <w:semiHidden/>
    <w:rsid w:val="001F0CC1"/>
    <w:rPr>
      <w:sz w:val="16"/>
    </w:rPr>
  </w:style>
  <w:style w:type="paragraph" w:styleId="Predmetkomentra">
    <w:name w:val="annotation subject"/>
    <w:basedOn w:val="Textkomentra"/>
    <w:next w:val="Textkomentra"/>
    <w:link w:val="PredmetkomentraChar"/>
    <w:uiPriority w:val="99"/>
    <w:semiHidden/>
    <w:rsid w:val="001F0CC1"/>
    <w:pPr>
      <w:jc w:val="left"/>
    </w:pPr>
    <w:rPr>
      <w:b/>
      <w:bCs/>
      <w:sz w:val="20"/>
      <w:szCs w:val="20"/>
    </w:rPr>
  </w:style>
  <w:style w:type="character" w:customStyle="1" w:styleId="PredmetkomentraChar">
    <w:name w:val="Predmet komentára Char"/>
    <w:basedOn w:val="TextkomentraChar"/>
    <w:link w:val="Predmetkomentra"/>
    <w:uiPriority w:val="99"/>
    <w:semiHidden/>
    <w:rsid w:val="004C7397"/>
    <w:rPr>
      <w:b/>
      <w:bCs/>
      <w:lang w:val="en-GB" w:eastAsia="fr-FR"/>
    </w:rPr>
  </w:style>
  <w:style w:type="paragraph" w:customStyle="1" w:styleId="Text">
    <w:name w:val="Text"/>
    <w:rsid w:val="009F3D7F"/>
    <w:pPr>
      <w:spacing w:line="240" w:lineRule="atLeast"/>
      <w:ind w:left="568"/>
    </w:pPr>
    <w:rPr>
      <w:sz w:val="22"/>
      <w:lang w:val="de-DE" w:eastAsia="de-DE"/>
    </w:rPr>
  </w:style>
  <w:style w:type="paragraph" w:styleId="Odsekzoznamu">
    <w:name w:val="List Paragraph"/>
    <w:basedOn w:val="Normlny"/>
    <w:uiPriority w:val="34"/>
    <w:qFormat/>
    <w:rsid w:val="006373AA"/>
    <w:pPr>
      <w:ind w:left="708"/>
    </w:pPr>
  </w:style>
  <w:style w:type="paragraph" w:customStyle="1" w:styleId="BodytextAgency">
    <w:name w:val="Body text (Agency)"/>
    <w:basedOn w:val="Normlny"/>
    <w:link w:val="BodytextAgencyChar"/>
    <w:qFormat/>
    <w:rsid w:val="008718F2"/>
    <w:pPr>
      <w:spacing w:after="140" w:line="280" w:lineRule="atLeast"/>
    </w:pPr>
    <w:rPr>
      <w:rFonts w:ascii="Verdana" w:eastAsia="Verdana" w:hAnsi="Verdana" w:cs="Verdana"/>
      <w:sz w:val="18"/>
      <w:szCs w:val="18"/>
      <w:lang w:val="en-US" w:eastAsia="en-US"/>
    </w:rPr>
  </w:style>
  <w:style w:type="character" w:customStyle="1" w:styleId="BodytextAgencyChar">
    <w:name w:val="Body text (Agency) Char"/>
    <w:link w:val="BodytextAgency"/>
    <w:rsid w:val="008718F2"/>
    <w:rPr>
      <w:rFonts w:ascii="Verdana" w:eastAsia="Verdana" w:hAnsi="Verdana" w:cs="Verdana"/>
      <w:sz w:val="18"/>
      <w:szCs w:val="18"/>
      <w:lang w:val="en-US" w:eastAsia="en-US"/>
    </w:rPr>
  </w:style>
  <w:style w:type="character" w:customStyle="1" w:styleId="UnresolvedMention">
    <w:name w:val="Unresolved Mention"/>
    <w:basedOn w:val="Predvolenpsmoodseku"/>
    <w:uiPriority w:val="99"/>
    <w:semiHidden/>
    <w:unhideWhenUsed/>
    <w:rsid w:val="000F4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490598">
      <w:bodyDiv w:val="1"/>
      <w:marLeft w:val="0"/>
      <w:marRight w:val="0"/>
      <w:marTop w:val="0"/>
      <w:marBottom w:val="0"/>
      <w:divBdr>
        <w:top w:val="none" w:sz="0" w:space="0" w:color="auto"/>
        <w:left w:val="none" w:sz="0" w:space="0" w:color="auto"/>
        <w:bottom w:val="none" w:sz="0" w:space="0" w:color="auto"/>
        <w:right w:val="none" w:sz="0" w:space="0" w:color="auto"/>
      </w:divBdr>
    </w:div>
    <w:div w:id="1890996087">
      <w:marLeft w:val="0"/>
      <w:marRight w:val="0"/>
      <w:marTop w:val="0"/>
      <w:marBottom w:val="0"/>
      <w:divBdr>
        <w:top w:val="none" w:sz="0" w:space="0" w:color="auto"/>
        <w:left w:val="none" w:sz="0" w:space="0" w:color="auto"/>
        <w:bottom w:val="none" w:sz="0" w:space="0" w:color="auto"/>
        <w:right w:val="none" w:sz="0" w:space="0" w:color="auto"/>
      </w:divBdr>
    </w:div>
    <w:div w:id="1890996094">
      <w:marLeft w:val="0"/>
      <w:marRight w:val="0"/>
      <w:marTop w:val="0"/>
      <w:marBottom w:val="0"/>
      <w:divBdr>
        <w:top w:val="none" w:sz="0" w:space="0" w:color="auto"/>
        <w:left w:val="none" w:sz="0" w:space="0" w:color="auto"/>
        <w:bottom w:val="none" w:sz="0" w:space="0" w:color="auto"/>
        <w:right w:val="none" w:sz="0" w:space="0" w:color="auto"/>
      </w:divBdr>
      <w:divsChild>
        <w:div w:id="1890996082">
          <w:marLeft w:val="0"/>
          <w:marRight w:val="0"/>
          <w:marTop w:val="0"/>
          <w:marBottom w:val="0"/>
          <w:divBdr>
            <w:top w:val="none" w:sz="0" w:space="0" w:color="auto"/>
            <w:left w:val="none" w:sz="0" w:space="0" w:color="auto"/>
            <w:bottom w:val="none" w:sz="0" w:space="0" w:color="auto"/>
            <w:right w:val="none" w:sz="0" w:space="0" w:color="auto"/>
          </w:divBdr>
        </w:div>
        <w:div w:id="1890996123">
          <w:marLeft w:val="0"/>
          <w:marRight w:val="0"/>
          <w:marTop w:val="0"/>
          <w:marBottom w:val="0"/>
          <w:divBdr>
            <w:top w:val="none" w:sz="0" w:space="0" w:color="auto"/>
            <w:left w:val="none" w:sz="0" w:space="0" w:color="auto"/>
            <w:bottom w:val="none" w:sz="0" w:space="0" w:color="auto"/>
            <w:right w:val="none" w:sz="0" w:space="0" w:color="auto"/>
          </w:divBdr>
        </w:div>
      </w:divsChild>
    </w:div>
    <w:div w:id="1890996104">
      <w:marLeft w:val="0"/>
      <w:marRight w:val="0"/>
      <w:marTop w:val="0"/>
      <w:marBottom w:val="0"/>
      <w:divBdr>
        <w:top w:val="none" w:sz="0" w:space="0" w:color="auto"/>
        <w:left w:val="none" w:sz="0" w:space="0" w:color="auto"/>
        <w:bottom w:val="none" w:sz="0" w:space="0" w:color="auto"/>
        <w:right w:val="none" w:sz="0" w:space="0" w:color="auto"/>
      </w:divBdr>
      <w:divsChild>
        <w:div w:id="1890996102">
          <w:marLeft w:val="0"/>
          <w:marRight w:val="0"/>
          <w:marTop w:val="0"/>
          <w:marBottom w:val="0"/>
          <w:divBdr>
            <w:top w:val="none" w:sz="0" w:space="0" w:color="auto"/>
            <w:left w:val="none" w:sz="0" w:space="0" w:color="auto"/>
            <w:bottom w:val="none" w:sz="0" w:space="0" w:color="auto"/>
            <w:right w:val="none" w:sz="0" w:space="0" w:color="auto"/>
          </w:divBdr>
          <w:divsChild>
            <w:div w:id="1890996098">
              <w:marLeft w:val="209"/>
              <w:marRight w:val="79"/>
              <w:marTop w:val="209"/>
              <w:marBottom w:val="0"/>
              <w:divBdr>
                <w:top w:val="single" w:sz="4" w:space="10" w:color="B2CCEA"/>
                <w:left w:val="single" w:sz="4" w:space="8" w:color="B2CCEA"/>
                <w:bottom w:val="single" w:sz="4" w:space="1" w:color="B2CCEA"/>
                <w:right w:val="single" w:sz="4" w:space="8" w:color="B2CCEA"/>
              </w:divBdr>
              <w:divsChild>
                <w:div w:id="1890996133">
                  <w:marLeft w:val="0"/>
                  <w:marRight w:val="0"/>
                  <w:marTop w:val="26"/>
                  <w:marBottom w:val="79"/>
                  <w:divBdr>
                    <w:top w:val="none" w:sz="0" w:space="4" w:color="auto"/>
                    <w:left w:val="none" w:sz="0" w:space="2" w:color="auto"/>
                    <w:bottom w:val="none" w:sz="0" w:space="16" w:color="auto"/>
                    <w:right w:val="none" w:sz="0" w:space="0" w:color="auto"/>
                  </w:divBdr>
                  <w:divsChild>
                    <w:div w:id="1890996093">
                      <w:marLeft w:val="0"/>
                      <w:marRight w:val="0"/>
                      <w:marTop w:val="26"/>
                      <w:marBottom w:val="79"/>
                      <w:divBdr>
                        <w:top w:val="none" w:sz="0" w:space="4" w:color="auto"/>
                        <w:left w:val="none" w:sz="0" w:space="2" w:color="auto"/>
                        <w:bottom w:val="none" w:sz="0" w:space="16" w:color="auto"/>
                        <w:right w:val="none" w:sz="0" w:space="0" w:color="auto"/>
                      </w:divBdr>
                      <w:divsChild>
                        <w:div w:id="1890996112">
                          <w:marLeft w:val="0"/>
                          <w:marRight w:val="0"/>
                          <w:marTop w:val="0"/>
                          <w:marBottom w:val="26"/>
                          <w:divBdr>
                            <w:top w:val="none" w:sz="0" w:space="0" w:color="auto"/>
                            <w:left w:val="none" w:sz="0" w:space="0" w:color="auto"/>
                            <w:bottom w:val="none" w:sz="0" w:space="0" w:color="auto"/>
                            <w:right w:val="none" w:sz="0" w:space="0" w:color="auto"/>
                          </w:divBdr>
                          <w:divsChild>
                            <w:div w:id="1890996089">
                              <w:marLeft w:val="0"/>
                              <w:marRight w:val="0"/>
                              <w:marTop w:val="26"/>
                              <w:marBottom w:val="79"/>
                              <w:divBdr>
                                <w:top w:val="none" w:sz="0" w:space="4" w:color="auto"/>
                                <w:left w:val="none" w:sz="0" w:space="2" w:color="auto"/>
                                <w:bottom w:val="none" w:sz="0" w:space="16" w:color="auto"/>
                                <w:right w:val="none" w:sz="0" w:space="0" w:color="auto"/>
                              </w:divBdr>
                              <w:divsChild>
                                <w:div w:id="1890996086">
                                  <w:marLeft w:val="0"/>
                                  <w:marRight w:val="0"/>
                                  <w:marTop w:val="0"/>
                                  <w:marBottom w:val="26"/>
                                  <w:divBdr>
                                    <w:top w:val="none" w:sz="0" w:space="0" w:color="auto"/>
                                    <w:left w:val="none" w:sz="0" w:space="0" w:color="auto"/>
                                    <w:bottom w:val="none" w:sz="0" w:space="0" w:color="auto"/>
                                    <w:right w:val="none" w:sz="0" w:space="0" w:color="auto"/>
                                  </w:divBdr>
                                </w:div>
                              </w:divsChild>
                            </w:div>
                            <w:div w:id="1890996099">
                              <w:marLeft w:val="0"/>
                              <w:marRight w:val="0"/>
                              <w:marTop w:val="26"/>
                              <w:marBottom w:val="79"/>
                              <w:divBdr>
                                <w:top w:val="none" w:sz="0" w:space="4" w:color="auto"/>
                                <w:left w:val="none" w:sz="0" w:space="2" w:color="auto"/>
                                <w:bottom w:val="none" w:sz="0" w:space="16" w:color="auto"/>
                                <w:right w:val="none" w:sz="0" w:space="0" w:color="auto"/>
                              </w:divBdr>
                            </w:div>
                          </w:divsChild>
                        </w:div>
                      </w:divsChild>
                    </w:div>
                  </w:divsChild>
                </w:div>
              </w:divsChild>
            </w:div>
          </w:divsChild>
        </w:div>
      </w:divsChild>
    </w:div>
    <w:div w:id="1890996105">
      <w:marLeft w:val="0"/>
      <w:marRight w:val="0"/>
      <w:marTop w:val="0"/>
      <w:marBottom w:val="0"/>
      <w:divBdr>
        <w:top w:val="none" w:sz="0" w:space="0" w:color="auto"/>
        <w:left w:val="none" w:sz="0" w:space="0" w:color="auto"/>
        <w:bottom w:val="none" w:sz="0" w:space="0" w:color="auto"/>
        <w:right w:val="none" w:sz="0" w:space="0" w:color="auto"/>
      </w:divBdr>
      <w:divsChild>
        <w:div w:id="1890996131">
          <w:marLeft w:val="0"/>
          <w:marRight w:val="0"/>
          <w:marTop w:val="240"/>
          <w:marBottom w:val="0"/>
          <w:divBdr>
            <w:top w:val="none" w:sz="0" w:space="0" w:color="auto"/>
            <w:left w:val="none" w:sz="0" w:space="0" w:color="auto"/>
            <w:bottom w:val="none" w:sz="0" w:space="0" w:color="auto"/>
            <w:right w:val="none" w:sz="0" w:space="0" w:color="auto"/>
          </w:divBdr>
          <w:divsChild>
            <w:div w:id="1890996085">
              <w:marLeft w:val="0"/>
              <w:marRight w:val="0"/>
              <w:marTop w:val="240"/>
              <w:marBottom w:val="0"/>
              <w:divBdr>
                <w:top w:val="none" w:sz="0" w:space="0" w:color="auto"/>
                <w:left w:val="none" w:sz="0" w:space="0" w:color="auto"/>
                <w:bottom w:val="none" w:sz="0" w:space="0" w:color="auto"/>
                <w:right w:val="none" w:sz="0" w:space="0" w:color="auto"/>
              </w:divBdr>
              <w:divsChild>
                <w:div w:id="18909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6113">
      <w:marLeft w:val="0"/>
      <w:marRight w:val="0"/>
      <w:marTop w:val="0"/>
      <w:marBottom w:val="0"/>
      <w:divBdr>
        <w:top w:val="none" w:sz="0" w:space="0" w:color="auto"/>
        <w:left w:val="none" w:sz="0" w:space="0" w:color="auto"/>
        <w:bottom w:val="none" w:sz="0" w:space="0" w:color="auto"/>
        <w:right w:val="none" w:sz="0" w:space="0" w:color="auto"/>
      </w:divBdr>
      <w:divsChild>
        <w:div w:id="1890996092">
          <w:marLeft w:val="0"/>
          <w:marRight w:val="157"/>
          <w:marTop w:val="0"/>
          <w:marBottom w:val="0"/>
          <w:divBdr>
            <w:top w:val="none" w:sz="0" w:space="0" w:color="auto"/>
            <w:left w:val="none" w:sz="0" w:space="0" w:color="auto"/>
            <w:bottom w:val="none" w:sz="0" w:space="0" w:color="auto"/>
            <w:right w:val="none" w:sz="0" w:space="0" w:color="auto"/>
          </w:divBdr>
          <w:divsChild>
            <w:div w:id="1890996108">
              <w:marLeft w:val="524"/>
              <w:marRight w:val="524"/>
              <w:marTop w:val="0"/>
              <w:marBottom w:val="0"/>
              <w:divBdr>
                <w:top w:val="none" w:sz="0" w:space="0" w:color="auto"/>
                <w:left w:val="none" w:sz="0" w:space="0" w:color="auto"/>
                <w:bottom w:val="none" w:sz="0" w:space="0" w:color="auto"/>
                <w:right w:val="none" w:sz="0" w:space="0" w:color="auto"/>
              </w:divBdr>
            </w:div>
          </w:divsChild>
        </w:div>
      </w:divsChild>
    </w:div>
    <w:div w:id="1890996126">
      <w:marLeft w:val="0"/>
      <w:marRight w:val="0"/>
      <w:marTop w:val="0"/>
      <w:marBottom w:val="0"/>
      <w:divBdr>
        <w:top w:val="none" w:sz="0" w:space="0" w:color="auto"/>
        <w:left w:val="none" w:sz="0" w:space="0" w:color="auto"/>
        <w:bottom w:val="none" w:sz="0" w:space="0" w:color="auto"/>
        <w:right w:val="none" w:sz="0" w:space="0" w:color="auto"/>
      </w:divBdr>
    </w:div>
    <w:div w:id="1890996130">
      <w:marLeft w:val="0"/>
      <w:marRight w:val="0"/>
      <w:marTop w:val="0"/>
      <w:marBottom w:val="0"/>
      <w:divBdr>
        <w:top w:val="none" w:sz="0" w:space="0" w:color="auto"/>
        <w:left w:val="none" w:sz="0" w:space="0" w:color="auto"/>
        <w:bottom w:val="none" w:sz="0" w:space="0" w:color="auto"/>
        <w:right w:val="none" w:sz="0" w:space="0" w:color="auto"/>
      </w:divBdr>
      <w:divsChild>
        <w:div w:id="1890996109">
          <w:marLeft w:val="480"/>
          <w:marRight w:val="0"/>
          <w:marTop w:val="0"/>
          <w:marBottom w:val="0"/>
          <w:divBdr>
            <w:top w:val="none" w:sz="0" w:space="0" w:color="auto"/>
            <w:left w:val="none" w:sz="0" w:space="0" w:color="auto"/>
            <w:bottom w:val="none" w:sz="0" w:space="0" w:color="auto"/>
            <w:right w:val="none" w:sz="0" w:space="0" w:color="auto"/>
          </w:divBdr>
          <w:divsChild>
            <w:div w:id="1890996129">
              <w:marLeft w:val="480"/>
              <w:marRight w:val="0"/>
              <w:marTop w:val="0"/>
              <w:marBottom w:val="0"/>
              <w:divBdr>
                <w:top w:val="none" w:sz="0" w:space="0" w:color="auto"/>
                <w:left w:val="none" w:sz="0" w:space="0" w:color="auto"/>
                <w:bottom w:val="none" w:sz="0" w:space="0" w:color="auto"/>
                <w:right w:val="none" w:sz="0" w:space="0" w:color="auto"/>
              </w:divBdr>
              <w:divsChild>
                <w:div w:id="1890996111">
                  <w:marLeft w:val="480"/>
                  <w:marRight w:val="0"/>
                  <w:marTop w:val="0"/>
                  <w:marBottom w:val="0"/>
                  <w:divBdr>
                    <w:top w:val="none" w:sz="0" w:space="0" w:color="auto"/>
                    <w:left w:val="none" w:sz="0" w:space="0" w:color="auto"/>
                    <w:bottom w:val="none" w:sz="0" w:space="0" w:color="auto"/>
                    <w:right w:val="none" w:sz="0" w:space="0" w:color="auto"/>
                  </w:divBdr>
                  <w:divsChild>
                    <w:div w:id="1890996128">
                      <w:marLeft w:val="480"/>
                      <w:marRight w:val="0"/>
                      <w:marTop w:val="0"/>
                      <w:marBottom w:val="0"/>
                      <w:divBdr>
                        <w:top w:val="none" w:sz="0" w:space="0" w:color="auto"/>
                        <w:left w:val="none" w:sz="0" w:space="0" w:color="auto"/>
                        <w:bottom w:val="none" w:sz="0" w:space="0" w:color="auto"/>
                        <w:right w:val="none" w:sz="0" w:space="0" w:color="auto"/>
                      </w:divBdr>
                      <w:divsChild>
                        <w:div w:id="1890996081">
                          <w:marLeft w:val="480"/>
                          <w:marRight w:val="0"/>
                          <w:marTop w:val="0"/>
                          <w:marBottom w:val="0"/>
                          <w:divBdr>
                            <w:top w:val="none" w:sz="0" w:space="0" w:color="auto"/>
                            <w:left w:val="none" w:sz="0" w:space="0" w:color="auto"/>
                            <w:bottom w:val="none" w:sz="0" w:space="0" w:color="auto"/>
                            <w:right w:val="none" w:sz="0" w:space="0" w:color="auto"/>
                          </w:divBdr>
                        </w:div>
                        <w:div w:id="1890996083">
                          <w:marLeft w:val="480"/>
                          <w:marRight w:val="0"/>
                          <w:marTop w:val="0"/>
                          <w:marBottom w:val="0"/>
                          <w:divBdr>
                            <w:top w:val="none" w:sz="0" w:space="0" w:color="auto"/>
                            <w:left w:val="none" w:sz="0" w:space="0" w:color="auto"/>
                            <w:bottom w:val="none" w:sz="0" w:space="0" w:color="auto"/>
                            <w:right w:val="none" w:sz="0" w:space="0" w:color="auto"/>
                          </w:divBdr>
                        </w:div>
                        <w:div w:id="1890996088">
                          <w:marLeft w:val="480"/>
                          <w:marRight w:val="0"/>
                          <w:marTop w:val="0"/>
                          <w:marBottom w:val="0"/>
                          <w:divBdr>
                            <w:top w:val="none" w:sz="0" w:space="0" w:color="auto"/>
                            <w:left w:val="none" w:sz="0" w:space="0" w:color="auto"/>
                            <w:bottom w:val="none" w:sz="0" w:space="0" w:color="auto"/>
                            <w:right w:val="none" w:sz="0" w:space="0" w:color="auto"/>
                          </w:divBdr>
                        </w:div>
                        <w:div w:id="1890996090">
                          <w:marLeft w:val="480"/>
                          <w:marRight w:val="0"/>
                          <w:marTop w:val="0"/>
                          <w:marBottom w:val="0"/>
                          <w:divBdr>
                            <w:top w:val="none" w:sz="0" w:space="0" w:color="auto"/>
                            <w:left w:val="none" w:sz="0" w:space="0" w:color="auto"/>
                            <w:bottom w:val="none" w:sz="0" w:space="0" w:color="auto"/>
                            <w:right w:val="none" w:sz="0" w:space="0" w:color="auto"/>
                          </w:divBdr>
                        </w:div>
                        <w:div w:id="1890996095">
                          <w:marLeft w:val="480"/>
                          <w:marRight w:val="0"/>
                          <w:marTop w:val="0"/>
                          <w:marBottom w:val="0"/>
                          <w:divBdr>
                            <w:top w:val="none" w:sz="0" w:space="0" w:color="auto"/>
                            <w:left w:val="none" w:sz="0" w:space="0" w:color="auto"/>
                            <w:bottom w:val="none" w:sz="0" w:space="0" w:color="auto"/>
                            <w:right w:val="none" w:sz="0" w:space="0" w:color="auto"/>
                          </w:divBdr>
                        </w:div>
                        <w:div w:id="1890996096">
                          <w:marLeft w:val="480"/>
                          <w:marRight w:val="0"/>
                          <w:marTop w:val="0"/>
                          <w:marBottom w:val="0"/>
                          <w:divBdr>
                            <w:top w:val="none" w:sz="0" w:space="0" w:color="auto"/>
                            <w:left w:val="none" w:sz="0" w:space="0" w:color="auto"/>
                            <w:bottom w:val="none" w:sz="0" w:space="0" w:color="auto"/>
                            <w:right w:val="none" w:sz="0" w:space="0" w:color="auto"/>
                          </w:divBdr>
                        </w:div>
                        <w:div w:id="1890996097">
                          <w:marLeft w:val="480"/>
                          <w:marRight w:val="0"/>
                          <w:marTop w:val="0"/>
                          <w:marBottom w:val="0"/>
                          <w:divBdr>
                            <w:top w:val="none" w:sz="0" w:space="0" w:color="auto"/>
                            <w:left w:val="none" w:sz="0" w:space="0" w:color="auto"/>
                            <w:bottom w:val="none" w:sz="0" w:space="0" w:color="auto"/>
                            <w:right w:val="none" w:sz="0" w:space="0" w:color="auto"/>
                          </w:divBdr>
                        </w:div>
                        <w:div w:id="1890996101">
                          <w:marLeft w:val="480"/>
                          <w:marRight w:val="0"/>
                          <w:marTop w:val="0"/>
                          <w:marBottom w:val="0"/>
                          <w:divBdr>
                            <w:top w:val="none" w:sz="0" w:space="0" w:color="auto"/>
                            <w:left w:val="none" w:sz="0" w:space="0" w:color="auto"/>
                            <w:bottom w:val="none" w:sz="0" w:space="0" w:color="auto"/>
                            <w:right w:val="none" w:sz="0" w:space="0" w:color="auto"/>
                          </w:divBdr>
                        </w:div>
                        <w:div w:id="1890996106">
                          <w:marLeft w:val="480"/>
                          <w:marRight w:val="0"/>
                          <w:marTop w:val="0"/>
                          <w:marBottom w:val="0"/>
                          <w:divBdr>
                            <w:top w:val="none" w:sz="0" w:space="0" w:color="auto"/>
                            <w:left w:val="none" w:sz="0" w:space="0" w:color="auto"/>
                            <w:bottom w:val="none" w:sz="0" w:space="0" w:color="auto"/>
                            <w:right w:val="none" w:sz="0" w:space="0" w:color="auto"/>
                          </w:divBdr>
                        </w:div>
                        <w:div w:id="1890996107">
                          <w:marLeft w:val="480"/>
                          <w:marRight w:val="0"/>
                          <w:marTop w:val="0"/>
                          <w:marBottom w:val="0"/>
                          <w:divBdr>
                            <w:top w:val="none" w:sz="0" w:space="0" w:color="auto"/>
                            <w:left w:val="none" w:sz="0" w:space="0" w:color="auto"/>
                            <w:bottom w:val="none" w:sz="0" w:space="0" w:color="auto"/>
                            <w:right w:val="none" w:sz="0" w:space="0" w:color="auto"/>
                          </w:divBdr>
                        </w:div>
                        <w:div w:id="1890996110">
                          <w:marLeft w:val="480"/>
                          <w:marRight w:val="0"/>
                          <w:marTop w:val="0"/>
                          <w:marBottom w:val="0"/>
                          <w:divBdr>
                            <w:top w:val="none" w:sz="0" w:space="0" w:color="auto"/>
                            <w:left w:val="none" w:sz="0" w:space="0" w:color="auto"/>
                            <w:bottom w:val="none" w:sz="0" w:space="0" w:color="auto"/>
                            <w:right w:val="none" w:sz="0" w:space="0" w:color="auto"/>
                          </w:divBdr>
                        </w:div>
                        <w:div w:id="1890996114">
                          <w:marLeft w:val="480"/>
                          <w:marRight w:val="0"/>
                          <w:marTop w:val="0"/>
                          <w:marBottom w:val="0"/>
                          <w:divBdr>
                            <w:top w:val="none" w:sz="0" w:space="0" w:color="auto"/>
                            <w:left w:val="none" w:sz="0" w:space="0" w:color="auto"/>
                            <w:bottom w:val="none" w:sz="0" w:space="0" w:color="auto"/>
                            <w:right w:val="none" w:sz="0" w:space="0" w:color="auto"/>
                          </w:divBdr>
                        </w:div>
                        <w:div w:id="1890996115">
                          <w:marLeft w:val="480"/>
                          <w:marRight w:val="0"/>
                          <w:marTop w:val="0"/>
                          <w:marBottom w:val="0"/>
                          <w:divBdr>
                            <w:top w:val="none" w:sz="0" w:space="0" w:color="auto"/>
                            <w:left w:val="none" w:sz="0" w:space="0" w:color="auto"/>
                            <w:bottom w:val="none" w:sz="0" w:space="0" w:color="auto"/>
                            <w:right w:val="none" w:sz="0" w:space="0" w:color="auto"/>
                          </w:divBdr>
                        </w:div>
                        <w:div w:id="1890996117">
                          <w:marLeft w:val="480"/>
                          <w:marRight w:val="0"/>
                          <w:marTop w:val="0"/>
                          <w:marBottom w:val="0"/>
                          <w:divBdr>
                            <w:top w:val="none" w:sz="0" w:space="0" w:color="auto"/>
                            <w:left w:val="none" w:sz="0" w:space="0" w:color="auto"/>
                            <w:bottom w:val="none" w:sz="0" w:space="0" w:color="auto"/>
                            <w:right w:val="none" w:sz="0" w:space="0" w:color="auto"/>
                          </w:divBdr>
                        </w:div>
                        <w:div w:id="1890996118">
                          <w:marLeft w:val="480"/>
                          <w:marRight w:val="0"/>
                          <w:marTop w:val="0"/>
                          <w:marBottom w:val="0"/>
                          <w:divBdr>
                            <w:top w:val="none" w:sz="0" w:space="0" w:color="auto"/>
                            <w:left w:val="none" w:sz="0" w:space="0" w:color="auto"/>
                            <w:bottom w:val="none" w:sz="0" w:space="0" w:color="auto"/>
                            <w:right w:val="none" w:sz="0" w:space="0" w:color="auto"/>
                          </w:divBdr>
                        </w:div>
                        <w:div w:id="1890996119">
                          <w:marLeft w:val="480"/>
                          <w:marRight w:val="0"/>
                          <w:marTop w:val="0"/>
                          <w:marBottom w:val="0"/>
                          <w:divBdr>
                            <w:top w:val="none" w:sz="0" w:space="0" w:color="auto"/>
                            <w:left w:val="none" w:sz="0" w:space="0" w:color="auto"/>
                            <w:bottom w:val="none" w:sz="0" w:space="0" w:color="auto"/>
                            <w:right w:val="none" w:sz="0" w:space="0" w:color="auto"/>
                          </w:divBdr>
                        </w:div>
                        <w:div w:id="1890996121">
                          <w:marLeft w:val="480"/>
                          <w:marRight w:val="0"/>
                          <w:marTop w:val="0"/>
                          <w:marBottom w:val="0"/>
                          <w:divBdr>
                            <w:top w:val="none" w:sz="0" w:space="0" w:color="auto"/>
                            <w:left w:val="none" w:sz="0" w:space="0" w:color="auto"/>
                            <w:bottom w:val="none" w:sz="0" w:space="0" w:color="auto"/>
                            <w:right w:val="none" w:sz="0" w:space="0" w:color="auto"/>
                          </w:divBdr>
                        </w:div>
                        <w:div w:id="1890996122">
                          <w:marLeft w:val="480"/>
                          <w:marRight w:val="0"/>
                          <w:marTop w:val="0"/>
                          <w:marBottom w:val="0"/>
                          <w:divBdr>
                            <w:top w:val="none" w:sz="0" w:space="0" w:color="auto"/>
                            <w:left w:val="none" w:sz="0" w:space="0" w:color="auto"/>
                            <w:bottom w:val="none" w:sz="0" w:space="0" w:color="auto"/>
                            <w:right w:val="none" w:sz="0" w:space="0" w:color="auto"/>
                          </w:divBdr>
                        </w:div>
                        <w:div w:id="1890996125">
                          <w:marLeft w:val="480"/>
                          <w:marRight w:val="0"/>
                          <w:marTop w:val="0"/>
                          <w:marBottom w:val="0"/>
                          <w:divBdr>
                            <w:top w:val="none" w:sz="0" w:space="0" w:color="auto"/>
                            <w:left w:val="none" w:sz="0" w:space="0" w:color="auto"/>
                            <w:bottom w:val="none" w:sz="0" w:space="0" w:color="auto"/>
                            <w:right w:val="none" w:sz="0" w:space="0" w:color="auto"/>
                          </w:divBdr>
                        </w:div>
                        <w:div w:id="1890996127">
                          <w:marLeft w:val="480"/>
                          <w:marRight w:val="0"/>
                          <w:marTop w:val="0"/>
                          <w:marBottom w:val="0"/>
                          <w:divBdr>
                            <w:top w:val="none" w:sz="0" w:space="0" w:color="auto"/>
                            <w:left w:val="none" w:sz="0" w:space="0" w:color="auto"/>
                            <w:bottom w:val="none" w:sz="0" w:space="0" w:color="auto"/>
                            <w:right w:val="none" w:sz="0" w:space="0" w:color="auto"/>
                          </w:divBdr>
                        </w:div>
                        <w:div w:id="1890996132">
                          <w:marLeft w:val="480"/>
                          <w:marRight w:val="0"/>
                          <w:marTop w:val="0"/>
                          <w:marBottom w:val="0"/>
                          <w:divBdr>
                            <w:top w:val="none" w:sz="0" w:space="0" w:color="auto"/>
                            <w:left w:val="none" w:sz="0" w:space="0" w:color="auto"/>
                            <w:bottom w:val="none" w:sz="0" w:space="0" w:color="auto"/>
                            <w:right w:val="none" w:sz="0" w:space="0" w:color="auto"/>
                          </w:divBdr>
                        </w:div>
                        <w:div w:id="1890996135">
                          <w:marLeft w:val="480"/>
                          <w:marRight w:val="0"/>
                          <w:marTop w:val="0"/>
                          <w:marBottom w:val="0"/>
                          <w:divBdr>
                            <w:top w:val="none" w:sz="0" w:space="0" w:color="auto"/>
                            <w:left w:val="none" w:sz="0" w:space="0" w:color="auto"/>
                            <w:bottom w:val="none" w:sz="0" w:space="0" w:color="auto"/>
                            <w:right w:val="none" w:sz="0" w:space="0" w:color="auto"/>
                          </w:divBdr>
                        </w:div>
                        <w:div w:id="18909961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96136">
      <w:marLeft w:val="0"/>
      <w:marRight w:val="0"/>
      <w:marTop w:val="0"/>
      <w:marBottom w:val="0"/>
      <w:divBdr>
        <w:top w:val="none" w:sz="0" w:space="0" w:color="auto"/>
        <w:left w:val="none" w:sz="0" w:space="0" w:color="auto"/>
        <w:bottom w:val="none" w:sz="0" w:space="0" w:color="auto"/>
        <w:right w:val="none" w:sz="0" w:space="0" w:color="auto"/>
      </w:divBdr>
      <w:divsChild>
        <w:div w:id="1890996116">
          <w:marLeft w:val="0"/>
          <w:marRight w:val="0"/>
          <w:marTop w:val="0"/>
          <w:marBottom w:val="0"/>
          <w:divBdr>
            <w:top w:val="none" w:sz="0" w:space="0" w:color="auto"/>
            <w:left w:val="none" w:sz="0" w:space="0" w:color="auto"/>
            <w:bottom w:val="none" w:sz="0" w:space="0" w:color="auto"/>
            <w:right w:val="none" w:sz="0" w:space="0" w:color="auto"/>
          </w:divBdr>
          <w:divsChild>
            <w:div w:id="1890996080">
              <w:marLeft w:val="209"/>
              <w:marRight w:val="79"/>
              <w:marTop w:val="209"/>
              <w:marBottom w:val="0"/>
              <w:divBdr>
                <w:top w:val="single" w:sz="4" w:space="10" w:color="B2CCEA"/>
                <w:left w:val="single" w:sz="4" w:space="8" w:color="B2CCEA"/>
                <w:bottom w:val="single" w:sz="4" w:space="1" w:color="B2CCEA"/>
                <w:right w:val="single" w:sz="4" w:space="8" w:color="B2CCEA"/>
              </w:divBdr>
              <w:divsChild>
                <w:div w:id="1890996124">
                  <w:marLeft w:val="0"/>
                  <w:marRight w:val="0"/>
                  <w:marTop w:val="26"/>
                  <w:marBottom w:val="79"/>
                  <w:divBdr>
                    <w:top w:val="none" w:sz="0" w:space="4" w:color="auto"/>
                    <w:left w:val="none" w:sz="0" w:space="2" w:color="auto"/>
                    <w:bottom w:val="none" w:sz="0" w:space="16" w:color="auto"/>
                    <w:right w:val="none" w:sz="0" w:space="0" w:color="auto"/>
                  </w:divBdr>
                  <w:divsChild>
                    <w:div w:id="1890996103">
                      <w:marLeft w:val="0"/>
                      <w:marRight w:val="0"/>
                      <w:marTop w:val="26"/>
                      <w:marBottom w:val="79"/>
                      <w:divBdr>
                        <w:top w:val="none" w:sz="0" w:space="4" w:color="auto"/>
                        <w:left w:val="none" w:sz="0" w:space="2" w:color="auto"/>
                        <w:bottom w:val="none" w:sz="0" w:space="16" w:color="auto"/>
                        <w:right w:val="none" w:sz="0" w:space="0" w:color="auto"/>
                      </w:divBdr>
                      <w:divsChild>
                        <w:div w:id="1890996120">
                          <w:marLeft w:val="0"/>
                          <w:marRight w:val="0"/>
                          <w:marTop w:val="0"/>
                          <w:marBottom w:val="26"/>
                          <w:divBdr>
                            <w:top w:val="none" w:sz="0" w:space="0" w:color="auto"/>
                            <w:left w:val="none" w:sz="0" w:space="0" w:color="auto"/>
                            <w:bottom w:val="none" w:sz="0" w:space="0" w:color="auto"/>
                            <w:right w:val="none" w:sz="0" w:space="0" w:color="auto"/>
                          </w:divBdr>
                          <w:divsChild>
                            <w:div w:id="1890996091">
                              <w:marLeft w:val="0"/>
                              <w:marRight w:val="0"/>
                              <w:marTop w:val="26"/>
                              <w:marBottom w:val="79"/>
                              <w:divBdr>
                                <w:top w:val="none" w:sz="0" w:space="4" w:color="auto"/>
                                <w:left w:val="none" w:sz="0" w:space="2" w:color="auto"/>
                                <w:bottom w:val="none" w:sz="0" w:space="16" w:color="auto"/>
                                <w:right w:val="none" w:sz="0" w:space="0" w:color="auto"/>
                              </w:divBdr>
                            </w:div>
                            <w:div w:id="1890996100">
                              <w:marLeft w:val="0"/>
                              <w:marRight w:val="0"/>
                              <w:marTop w:val="26"/>
                              <w:marBottom w:val="79"/>
                              <w:divBdr>
                                <w:top w:val="none" w:sz="0" w:space="4" w:color="auto"/>
                                <w:left w:val="none" w:sz="0" w:space="2" w:color="auto"/>
                                <w:bottom w:val="none" w:sz="0" w:space="16" w:color="auto"/>
                                <w:right w:val="none" w:sz="0" w:space="0" w:color="auto"/>
                              </w:divBdr>
                              <w:divsChild>
                                <w:div w:id="1890996084">
                                  <w:marLeft w:val="0"/>
                                  <w:marRight w:val="0"/>
                                  <w:marTop w:val="0"/>
                                  <w:marBottom w:val="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6023-BF1B-41EC-90DA-DE471D29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7616</Words>
  <Characters>43415</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UK:</vt:lpstr>
    </vt:vector>
  </TitlesOfParts>
  <Company>CERA</Company>
  <LinksUpToDate>false</LinksUpToDate>
  <CharactersWithSpaces>50930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dc:title>
  <dc:creator>Marcelle</dc:creator>
  <cp:lastModifiedBy>Repiščáková, Janka</cp:lastModifiedBy>
  <cp:revision>15</cp:revision>
  <cp:lastPrinted>2020-03-05T09:33:00Z</cp:lastPrinted>
  <dcterms:created xsi:type="dcterms:W3CDTF">2020-03-18T11:55:00Z</dcterms:created>
  <dcterms:modified xsi:type="dcterms:W3CDTF">2021-01-22T13:32:00Z</dcterms:modified>
</cp:coreProperties>
</file>