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FCD" w:rsidRPr="00D32C41" w:rsidRDefault="00EA6FCD" w:rsidP="00EA6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>SÚHRN CHARAKTERISTICKÝCH VLASTNOSTÍ LIEKU</w:t>
      </w:r>
    </w:p>
    <w:p w:rsidR="00EA6FCD" w:rsidRPr="00D32C41" w:rsidRDefault="00EA6FCD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EA6FCD" w:rsidRPr="00D32C41" w:rsidRDefault="00EA6FCD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1. </w:t>
      </w:r>
      <w:r w:rsidR="00EA6FCD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NÁZOV LIEKU</w:t>
      </w:r>
    </w:p>
    <w:p w:rsidR="00EA6FCD" w:rsidRPr="00D32C41" w:rsidRDefault="00EA6FCD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Pemetrexed </w:t>
      </w:r>
      <w:r w:rsidR="006D6B4F" w:rsidRPr="00D32C41">
        <w:rPr>
          <w:rFonts w:ascii="Times New Roman" w:eastAsia="TimesNewRoman" w:hAnsi="Times New Roman"/>
          <w:color w:val="000000"/>
        </w:rPr>
        <w:t>EVER P</w:t>
      </w:r>
      <w:r w:rsidR="00D007B3" w:rsidRPr="00D32C41">
        <w:rPr>
          <w:rFonts w:ascii="Times New Roman" w:eastAsia="TimesNewRoman" w:hAnsi="Times New Roman"/>
          <w:color w:val="000000"/>
        </w:rPr>
        <w:t>harma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="00EA6FCD" w:rsidRPr="00D32C41">
        <w:rPr>
          <w:rFonts w:ascii="Times New Roman" w:eastAsia="TimesNewRoman" w:hAnsi="Times New Roman"/>
          <w:color w:val="000000"/>
        </w:rPr>
        <w:t>25 mg/ml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Pr="004A283D">
        <w:rPr>
          <w:rFonts w:ascii="Times New Roman" w:eastAsia="TimesNewRoman" w:hAnsi="Times New Roman"/>
          <w:color w:val="000000"/>
        </w:rPr>
        <w:t>koncentrát</w:t>
      </w:r>
      <w:r w:rsidR="00937710" w:rsidRPr="004A283D">
        <w:rPr>
          <w:rFonts w:ascii="Times New Roman" w:eastAsia="TimesNewRoman" w:hAnsi="Times New Roman"/>
          <w:color w:val="000000"/>
        </w:rPr>
        <w:t xml:space="preserve"> na infúzny roztok</w:t>
      </w:r>
    </w:p>
    <w:p w:rsidR="00EA6FCD" w:rsidRPr="00D32C41" w:rsidRDefault="00EA6FCD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EA6FCD" w:rsidRPr="00D32C41" w:rsidRDefault="00EA6FCD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2. </w:t>
      </w:r>
      <w:r w:rsidR="00EA6FCD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KVALITATÍVNE A KVANTITATÍVNE ZLOŽENIE</w:t>
      </w:r>
    </w:p>
    <w:p w:rsidR="00EA6FCD" w:rsidRPr="00D32C41" w:rsidRDefault="00EA6FCD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EA6FCD" w:rsidRPr="00E1297F" w:rsidRDefault="006D6B4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E1297F">
        <w:rPr>
          <w:rFonts w:ascii="Times New Roman" w:eastAsia="TimesNewRoman" w:hAnsi="Times New Roman"/>
          <w:color w:val="000000"/>
        </w:rPr>
        <w:t>Jeden</w:t>
      </w:r>
      <w:r w:rsidR="00EA6FCD" w:rsidRPr="00E1297F">
        <w:rPr>
          <w:rFonts w:ascii="Times New Roman" w:eastAsia="TimesNewRoman" w:hAnsi="Times New Roman"/>
          <w:color w:val="000000"/>
        </w:rPr>
        <w:t xml:space="preserve"> ml koncentrátu obsahuje 25 mg pemetrexedu (ako</w:t>
      </w:r>
      <w:r w:rsidR="008C039F" w:rsidRPr="00E1297F">
        <w:rPr>
          <w:rFonts w:ascii="Times New Roman" w:eastAsia="TimesNewRoman" w:hAnsi="Times New Roman"/>
          <w:color w:val="000000"/>
        </w:rPr>
        <w:t xml:space="preserve"> hemipentahydrát disodnej soli pemetrexedu).</w:t>
      </w:r>
    </w:p>
    <w:p w:rsidR="008C039F" w:rsidRPr="00E1297F" w:rsidRDefault="008C039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8C039F" w:rsidRPr="00E1297F" w:rsidRDefault="006D6B4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E1297F">
        <w:rPr>
          <w:rFonts w:ascii="Times New Roman" w:eastAsia="TimesNewRoman" w:hAnsi="Times New Roman"/>
          <w:color w:val="000000"/>
        </w:rPr>
        <w:t>Jedna</w:t>
      </w:r>
      <w:r w:rsidR="00494941" w:rsidRPr="00E1297F">
        <w:rPr>
          <w:rFonts w:ascii="Times New Roman" w:eastAsia="TimesNewRoman" w:hAnsi="Times New Roman"/>
          <w:color w:val="000000"/>
        </w:rPr>
        <w:t xml:space="preserve"> </w:t>
      </w:r>
      <w:r w:rsidR="008C039F" w:rsidRPr="00E1297F">
        <w:rPr>
          <w:rFonts w:ascii="Times New Roman" w:eastAsia="TimesNewRoman" w:hAnsi="Times New Roman"/>
          <w:color w:val="000000"/>
        </w:rPr>
        <w:t xml:space="preserve">4 ml injekčná liekovka </w:t>
      </w:r>
      <w:r w:rsidR="00E1297F" w:rsidRPr="00E1297F">
        <w:rPr>
          <w:rFonts w:ascii="Times New Roman" w:eastAsia="TimesNewRoman" w:hAnsi="Times New Roman"/>
          <w:color w:val="000000"/>
        </w:rPr>
        <w:t xml:space="preserve">koncentrátu </w:t>
      </w:r>
      <w:r w:rsidR="008C039F" w:rsidRPr="00E1297F">
        <w:rPr>
          <w:rFonts w:ascii="Times New Roman" w:eastAsia="TimesNewRoman" w:hAnsi="Times New Roman"/>
          <w:color w:val="000000"/>
        </w:rPr>
        <w:t>obsahuje 100 mg pemetrexedu (ako hemipentahydrát disodnej soli pemetrexedu).</w:t>
      </w:r>
    </w:p>
    <w:p w:rsidR="006D6B4F" w:rsidRPr="00E1297F" w:rsidRDefault="006D6B4F" w:rsidP="006D6B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E1297F">
        <w:rPr>
          <w:rFonts w:ascii="Times New Roman" w:eastAsia="TimesNewRoman" w:hAnsi="Times New Roman"/>
          <w:color w:val="000000"/>
        </w:rPr>
        <w:t xml:space="preserve">Jedna 20 ml injekčná liekovka </w:t>
      </w:r>
      <w:r w:rsidR="00E1297F" w:rsidRPr="00E1297F">
        <w:rPr>
          <w:rFonts w:ascii="Times New Roman" w:eastAsia="TimesNewRoman" w:hAnsi="Times New Roman"/>
          <w:color w:val="000000"/>
        </w:rPr>
        <w:t xml:space="preserve">koncentrátu </w:t>
      </w:r>
      <w:r w:rsidRPr="00E1297F">
        <w:rPr>
          <w:rFonts w:ascii="Times New Roman" w:eastAsia="TimesNewRoman" w:hAnsi="Times New Roman"/>
          <w:color w:val="000000"/>
        </w:rPr>
        <w:t>obsahuje 500 mg pemetrexedu (ako hemipentahydrát disodnej soli pemetrexedu).</w:t>
      </w:r>
    </w:p>
    <w:p w:rsidR="006D6B4F" w:rsidRPr="00E1297F" w:rsidRDefault="006D6B4F" w:rsidP="006D6B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E1297F">
        <w:rPr>
          <w:rFonts w:ascii="Times New Roman" w:eastAsia="TimesNewRoman" w:hAnsi="Times New Roman"/>
          <w:color w:val="000000"/>
        </w:rPr>
        <w:t xml:space="preserve">Jedna 40 ml injekčná liekovka </w:t>
      </w:r>
      <w:r w:rsidR="00E1297F" w:rsidRPr="00E1297F">
        <w:rPr>
          <w:rFonts w:ascii="Times New Roman" w:eastAsia="TimesNewRoman" w:hAnsi="Times New Roman"/>
          <w:color w:val="000000"/>
        </w:rPr>
        <w:t xml:space="preserve">koncentrátu </w:t>
      </w:r>
      <w:r w:rsidRPr="00E1297F">
        <w:rPr>
          <w:rFonts w:ascii="Times New Roman" w:eastAsia="TimesNewRoman" w:hAnsi="Times New Roman"/>
          <w:color w:val="000000"/>
        </w:rPr>
        <w:t>obsahuje 1 000 mg pemetrexedu (ako hemipentahydrát disodnej soli pemetrexedu).</w:t>
      </w:r>
    </w:p>
    <w:p w:rsidR="00276E84" w:rsidRPr="00D32C41" w:rsidRDefault="00276E84" w:rsidP="008C039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8C039F" w:rsidRPr="00D32C41" w:rsidRDefault="008C039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  <w:r w:rsidRPr="00D32C41">
        <w:rPr>
          <w:rFonts w:ascii="Times New Roman" w:eastAsia="TimesNewRoman" w:hAnsi="Times New Roman"/>
          <w:color w:val="000000"/>
          <w:u w:val="single"/>
        </w:rPr>
        <w:t>Pomocn</w:t>
      </w:r>
      <w:r w:rsidR="001C171C" w:rsidRPr="00D32C41">
        <w:rPr>
          <w:rFonts w:ascii="Times New Roman" w:eastAsia="TimesNewRoman" w:hAnsi="Times New Roman"/>
          <w:color w:val="000000"/>
          <w:u w:val="single"/>
        </w:rPr>
        <w:t>á</w:t>
      </w:r>
      <w:r w:rsidRPr="00D32C41">
        <w:rPr>
          <w:rFonts w:ascii="Times New Roman" w:eastAsia="TimesNewRoman" w:hAnsi="Times New Roman"/>
          <w:color w:val="000000"/>
          <w:u w:val="single"/>
        </w:rPr>
        <w:t xml:space="preserve"> </w:t>
      </w:r>
      <w:r w:rsidR="00AF688A" w:rsidRPr="00D32C41">
        <w:rPr>
          <w:rFonts w:ascii="Times New Roman" w:eastAsia="TimesNewRoman" w:hAnsi="Times New Roman"/>
          <w:color w:val="000000"/>
          <w:u w:val="single"/>
        </w:rPr>
        <w:t>látk</w:t>
      </w:r>
      <w:r w:rsidR="001C171C" w:rsidRPr="00D32C41">
        <w:rPr>
          <w:rFonts w:ascii="Times New Roman" w:eastAsia="TimesNewRoman" w:hAnsi="Times New Roman"/>
          <w:color w:val="000000"/>
          <w:u w:val="single"/>
        </w:rPr>
        <w:t>a</w:t>
      </w:r>
      <w:r w:rsidR="00AF688A" w:rsidRPr="00D32C41">
        <w:rPr>
          <w:rFonts w:ascii="Times New Roman" w:eastAsia="TimesNewRoman" w:hAnsi="Times New Roman"/>
          <w:color w:val="000000"/>
          <w:u w:val="single"/>
        </w:rPr>
        <w:t xml:space="preserve"> </w:t>
      </w:r>
      <w:r w:rsidRPr="00D32C41">
        <w:rPr>
          <w:rFonts w:ascii="Times New Roman" w:eastAsia="TimesNewRoman" w:hAnsi="Times New Roman"/>
          <w:color w:val="000000"/>
          <w:u w:val="single"/>
        </w:rPr>
        <w:t>so známym účinkom</w:t>
      </w:r>
    </w:p>
    <w:p w:rsidR="008C039F" w:rsidRPr="00D32C41" w:rsidRDefault="001C171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Tento liek</w:t>
      </w:r>
      <w:r w:rsidR="008C039F" w:rsidRPr="00D32C41">
        <w:rPr>
          <w:rFonts w:ascii="Times New Roman" w:eastAsia="TimesNewRoman" w:hAnsi="Times New Roman"/>
          <w:color w:val="000000"/>
        </w:rPr>
        <w:t xml:space="preserve"> obsahuje </w:t>
      </w:r>
      <w:r w:rsidRPr="00D32C41">
        <w:rPr>
          <w:rFonts w:ascii="Times New Roman" w:eastAsia="TimesNewRoman" w:hAnsi="Times New Roman"/>
          <w:color w:val="000000"/>
        </w:rPr>
        <w:t>2,7</w:t>
      </w:r>
      <w:r w:rsidR="008C039F" w:rsidRPr="00D32C41">
        <w:rPr>
          <w:rFonts w:ascii="Times New Roman" w:eastAsia="TimesNewRoman" w:hAnsi="Times New Roman"/>
          <w:color w:val="000000"/>
        </w:rPr>
        <w:t xml:space="preserve"> mg sodíka</w:t>
      </w:r>
      <w:r w:rsidRPr="00D32C41">
        <w:rPr>
          <w:rFonts w:ascii="Times New Roman" w:eastAsia="TimesNewRoman" w:hAnsi="Times New Roman"/>
          <w:color w:val="000000"/>
        </w:rPr>
        <w:t xml:space="preserve"> v 1 ml</w:t>
      </w:r>
      <w:r w:rsidR="008C039F" w:rsidRPr="00D32C41">
        <w:rPr>
          <w:rFonts w:ascii="Times New Roman" w:eastAsia="TimesNewRoman" w:hAnsi="Times New Roman"/>
          <w:color w:val="000000"/>
        </w:rPr>
        <w:t>.</w:t>
      </w:r>
    </w:p>
    <w:p w:rsidR="00276E84" w:rsidRPr="00D32C41" w:rsidRDefault="00276E8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Úplný zoznam pomocných látok, pozri časť 6.1.</w:t>
      </w:r>
    </w:p>
    <w:p w:rsidR="00EA6FCD" w:rsidRPr="00D32C41" w:rsidRDefault="00EA6FCD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EA6FCD" w:rsidRPr="00D32C41" w:rsidRDefault="00EA6FCD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3. </w:t>
      </w:r>
      <w:r w:rsidR="00EA6FCD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LIEKOVÁ FORMA</w:t>
      </w:r>
    </w:p>
    <w:p w:rsidR="008C039F" w:rsidRPr="00D32C41" w:rsidRDefault="008C039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9812A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>
        <w:rPr>
          <w:rFonts w:ascii="Times New Roman" w:eastAsia="TimesNewRoman" w:hAnsi="Times New Roman"/>
          <w:color w:val="000000"/>
        </w:rPr>
        <w:t>Koncentrát na infúzny roztok.</w:t>
      </w:r>
    </w:p>
    <w:p w:rsidR="001C171C" w:rsidRPr="00D32C41" w:rsidRDefault="001C171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8C039F" w:rsidRPr="00D32C41" w:rsidRDefault="001C171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Koncentrát je vodnatý, č</w:t>
      </w:r>
      <w:r w:rsidR="00EF7AB9" w:rsidRPr="00D32C41">
        <w:rPr>
          <w:rFonts w:ascii="Times New Roman" w:eastAsia="TimesNewRoman" w:hAnsi="Times New Roman"/>
          <w:color w:val="000000"/>
        </w:rPr>
        <w:t xml:space="preserve">íry, </w:t>
      </w:r>
      <w:r w:rsidR="00286A74" w:rsidRPr="00D32C41">
        <w:rPr>
          <w:rFonts w:ascii="Times New Roman" w:eastAsia="TimesNewRoman" w:hAnsi="Times New Roman"/>
          <w:color w:val="000000"/>
        </w:rPr>
        <w:t>svetložltý</w:t>
      </w:r>
      <w:r w:rsidR="00EF7AB9" w:rsidRPr="00D32C41">
        <w:rPr>
          <w:rFonts w:ascii="Times New Roman" w:eastAsia="TimesNewRoman" w:hAnsi="Times New Roman"/>
          <w:color w:val="000000"/>
        </w:rPr>
        <w:t xml:space="preserve"> alebo </w:t>
      </w:r>
      <w:r w:rsidRPr="00D32C41">
        <w:rPr>
          <w:rFonts w:ascii="Times New Roman" w:eastAsia="TimesNewRoman" w:hAnsi="Times New Roman"/>
          <w:color w:val="000000"/>
        </w:rPr>
        <w:t>žltozelený</w:t>
      </w:r>
      <w:r w:rsidR="00286A74" w:rsidRPr="00D32C41">
        <w:rPr>
          <w:rFonts w:ascii="Times New Roman" w:eastAsia="TimesNewRoman" w:hAnsi="Times New Roman"/>
          <w:color w:val="000000"/>
        </w:rPr>
        <w:t xml:space="preserve"> </w:t>
      </w:r>
      <w:r w:rsidR="00EF7AB9" w:rsidRPr="00D32C41">
        <w:rPr>
          <w:rFonts w:ascii="Times New Roman" w:eastAsia="TimesNewRoman" w:hAnsi="Times New Roman"/>
          <w:color w:val="000000"/>
        </w:rPr>
        <w:t>roztok</w:t>
      </w:r>
      <w:r w:rsidRPr="00D32C41">
        <w:rPr>
          <w:rFonts w:ascii="Times New Roman" w:eastAsia="TimesNewRoman" w:hAnsi="Times New Roman"/>
          <w:color w:val="000000"/>
        </w:rPr>
        <w:t>.</w:t>
      </w:r>
    </w:p>
    <w:p w:rsidR="001C171C" w:rsidRPr="00D32C41" w:rsidRDefault="001C171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1C171C" w:rsidRPr="00D32C41" w:rsidRDefault="001C171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pH je medzi 7,5 a 8,1.</w:t>
      </w:r>
    </w:p>
    <w:p w:rsidR="001C171C" w:rsidRPr="00D32C41" w:rsidRDefault="001C171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8C039F" w:rsidRPr="00D32C41" w:rsidRDefault="008C039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4. </w:t>
      </w:r>
      <w:r w:rsidR="008C039F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KLINICKÉ ÚDAJE</w:t>
      </w:r>
    </w:p>
    <w:p w:rsidR="008C039F" w:rsidRPr="00D32C41" w:rsidRDefault="008C039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4.1 </w:t>
      </w:r>
      <w:r w:rsidR="008C039F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Terapeutické indikácie</w:t>
      </w:r>
    </w:p>
    <w:p w:rsidR="008C039F" w:rsidRPr="00D32C41" w:rsidRDefault="008C039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BC26AE" w:rsidRPr="00D32C41" w:rsidRDefault="00BC26AE" w:rsidP="00BC26A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  <w:r w:rsidRPr="00D32C41">
        <w:rPr>
          <w:rFonts w:ascii="Times New Roman" w:eastAsia="TimesNewRoman" w:hAnsi="Times New Roman"/>
          <w:color w:val="000000"/>
          <w:u w:val="single"/>
        </w:rPr>
        <w:t>Malígny mezotelióm pleury</w:t>
      </w:r>
    </w:p>
    <w:p w:rsidR="00BC26AE" w:rsidRPr="00D32C41" w:rsidRDefault="00BC26AE" w:rsidP="00BC2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32C41">
        <w:rPr>
          <w:rFonts w:ascii="Times New Roman" w:eastAsia="TimesNewRoman" w:hAnsi="Times New Roman"/>
          <w:color w:val="000000"/>
        </w:rPr>
        <w:t xml:space="preserve">Pemetrexed je indikovaný pacientom </w:t>
      </w:r>
      <w:r w:rsidRPr="00D32C41">
        <w:rPr>
          <w:rFonts w:ascii="Times New Roman" w:hAnsi="Times New Roman"/>
        </w:rPr>
        <w:t>s neresekovateľným malígnym mezoteliómom pleury, a to v kombinácií s cisplatinou u pacientov bez predchádzajúcej chemoterapie.</w:t>
      </w:r>
    </w:p>
    <w:p w:rsidR="00BC26AE" w:rsidRPr="00D32C41" w:rsidRDefault="00BC26AE" w:rsidP="00BC26A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BC26AE" w:rsidRPr="00D32C41" w:rsidRDefault="00BC26AE" w:rsidP="00BC26A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  <w:r w:rsidRPr="00D32C41">
        <w:rPr>
          <w:rFonts w:ascii="Times New Roman" w:eastAsia="TimesNewRoman" w:hAnsi="Times New Roman"/>
          <w:color w:val="000000"/>
          <w:u w:val="single"/>
        </w:rPr>
        <w:t>Nemalobunkový karcinóm pľúc</w:t>
      </w:r>
    </w:p>
    <w:p w:rsidR="00BC26AE" w:rsidRPr="00D32C41" w:rsidRDefault="00BC26AE" w:rsidP="00BC26A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Pemetrexed je indikovaný v kombinácii s cisplatinou na liečbu </w:t>
      </w:r>
      <w:r w:rsidR="004A283D">
        <w:rPr>
          <w:rFonts w:ascii="Times New Roman" w:eastAsia="TimesNewRoman" w:hAnsi="Times New Roman"/>
          <w:color w:val="000000"/>
        </w:rPr>
        <w:t>v prvej línii</w:t>
      </w:r>
      <w:r w:rsidR="005E672F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pacientov s lokálne pokročilým alebo metastatickým nemalobunkovým karcinómom pľúc okrem prevažne skvamóznej bunkovej histológie (pozri časť 5.1).</w:t>
      </w:r>
    </w:p>
    <w:p w:rsidR="00BC26AE" w:rsidRPr="00D32C41" w:rsidRDefault="00BC26AE" w:rsidP="00BC26A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BC26AE" w:rsidRPr="00D32C41" w:rsidRDefault="00BC26AE" w:rsidP="00BC26A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Pemetrexed je indikovaný v monoterapii na udržiavaciu liečbu lokálne pokročilého alebo metastatického nemalobunkového karcinómu pľúc okrem prevažne skvamóznej bunkovej histológie u pacientov, u ktorých po chemoterapii založenej na platine nedošlo k bezprostrednej progresii ochorenia (pozri časť 5.1).</w:t>
      </w:r>
    </w:p>
    <w:p w:rsidR="00BC26AE" w:rsidRPr="00D32C41" w:rsidRDefault="00BC26AE" w:rsidP="00BC26A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BC26AE" w:rsidRPr="00D32C41" w:rsidRDefault="00BC26AE" w:rsidP="00BC26A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Pemetrexed je indikovaný v monoterapii pacientom na liečbu v druhej línii s lokálne pokročilým alebo metastatickým nemalobunkovým karcinómom pľúc okrem prevažne skvamóznej bunkovej histológie (pozri časť 5.1).</w:t>
      </w:r>
    </w:p>
    <w:p w:rsidR="00BA143E" w:rsidRPr="00D32C41" w:rsidRDefault="00BA143E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4.2 </w:t>
      </w:r>
      <w:r w:rsidR="00BA143E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Dávkovanie a spôsob podávania</w:t>
      </w:r>
    </w:p>
    <w:p w:rsidR="00BA143E" w:rsidRPr="00D32C41" w:rsidRDefault="00BA143E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7338BA" w:rsidRPr="00D32C41" w:rsidRDefault="007338BA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  <w:r w:rsidRPr="00D32C41">
        <w:rPr>
          <w:rFonts w:ascii="Times New Roman" w:eastAsia="TimesNewRoman" w:hAnsi="Times New Roman"/>
          <w:color w:val="000000"/>
          <w:u w:val="single"/>
        </w:rPr>
        <w:t>Dávkovanie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Pemetrexed sa musí podávať len pod dohľadom lekára s kvalifikáciou </w:t>
      </w:r>
      <w:r w:rsidR="007338BA" w:rsidRPr="00D32C41">
        <w:rPr>
          <w:rFonts w:ascii="Times New Roman" w:eastAsia="TimesNewRoman" w:hAnsi="Times New Roman"/>
          <w:color w:val="000000"/>
        </w:rPr>
        <w:t>na</w:t>
      </w:r>
      <w:r w:rsidRPr="00D32C41">
        <w:rPr>
          <w:rFonts w:ascii="Times New Roman" w:eastAsia="TimesNewRoman" w:hAnsi="Times New Roman"/>
          <w:color w:val="000000"/>
        </w:rPr>
        <w:t xml:space="preserve"> používanie</w:t>
      </w:r>
      <w:r w:rsidR="007338BA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protinádorovej chemoterapie.</w:t>
      </w:r>
    </w:p>
    <w:p w:rsidR="007338BA" w:rsidRPr="00D32C41" w:rsidRDefault="007338BA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/>
          <w:iCs/>
          <w:color w:val="000000"/>
        </w:rPr>
      </w:pPr>
      <w:r w:rsidRPr="00D32C41">
        <w:rPr>
          <w:rFonts w:ascii="Times New Roman" w:eastAsia="TimesNewRoman,Bold" w:hAnsi="Times New Roman"/>
          <w:i/>
          <w:iCs/>
          <w:color w:val="000000"/>
        </w:rPr>
        <w:t>Pemetrexed v kombinácii s cisplatinou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Odporúčaná dávka pemetrexedu je 500 mg/</w:t>
      </w:r>
      <w:r w:rsidR="007338BA" w:rsidRPr="00D32C41">
        <w:rPr>
          <w:rFonts w:ascii="Times New Roman" w:eastAsia="TimesNewRoman" w:hAnsi="Times New Roman"/>
          <w:color w:val="000000"/>
        </w:rPr>
        <w:t>m</w:t>
      </w:r>
      <w:r w:rsidR="007338BA" w:rsidRPr="00D32C41">
        <w:rPr>
          <w:rFonts w:ascii="Times New Roman" w:eastAsia="TimesNewRoman" w:hAnsi="Times New Roman"/>
          <w:color w:val="000000"/>
          <w:vertAlign w:val="superscript"/>
        </w:rPr>
        <w:t>2</w:t>
      </w:r>
      <w:r w:rsidRPr="00D32C41">
        <w:rPr>
          <w:rFonts w:ascii="Times New Roman" w:eastAsia="TimesNewRoman" w:hAnsi="Times New Roman"/>
          <w:color w:val="000000"/>
          <w:sz w:val="14"/>
          <w:szCs w:val="14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telesného povrchu (BSA) podávaná ako intravenózna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infúzia počas 10 minút v prvý deň každého 21-dňového cyklu. Odporúčaná dávka cisplatiny je</w:t>
      </w:r>
      <w:r w:rsidR="007338BA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75 mg/m</w:t>
      </w:r>
      <w:r w:rsidR="007338BA" w:rsidRPr="00D32C41">
        <w:rPr>
          <w:rFonts w:ascii="Times New Roman" w:eastAsia="TimesNewRoman" w:hAnsi="Times New Roman"/>
          <w:color w:val="000000"/>
          <w:vertAlign w:val="superscript"/>
        </w:rPr>
        <w:t xml:space="preserve">2 </w:t>
      </w:r>
      <w:r w:rsidRPr="00D32C41">
        <w:rPr>
          <w:rFonts w:ascii="Times New Roman" w:eastAsia="TimesNewRoman" w:hAnsi="Times New Roman"/>
          <w:color w:val="000000"/>
        </w:rPr>
        <w:t>BSA podávaná infúziou počas 2 hodín približne 30 minút po ukončení infúzie</w:t>
      </w:r>
      <w:r w:rsidR="007338BA" w:rsidRPr="00D32C41">
        <w:rPr>
          <w:rFonts w:ascii="Times New Roman" w:eastAsia="TimesNewRoman" w:hAnsi="Times New Roman"/>
          <w:color w:val="000000"/>
        </w:rPr>
        <w:t xml:space="preserve"> pemetrexedu</w:t>
      </w:r>
      <w:r w:rsidRPr="00D32C41">
        <w:rPr>
          <w:rFonts w:ascii="Times New Roman" w:eastAsia="TimesNewRoman" w:hAnsi="Times New Roman"/>
          <w:color w:val="000000"/>
        </w:rPr>
        <w:t xml:space="preserve"> v prvý deň každého 21-dňového cyklu. </w:t>
      </w:r>
      <w:r w:rsidRPr="00D32C41">
        <w:rPr>
          <w:rFonts w:ascii="Times New Roman" w:eastAsia="TimesNewRoman" w:hAnsi="Times New Roman"/>
          <w:color w:val="000000"/>
          <w:u w:val="single"/>
        </w:rPr>
        <w:t>Pacientom musí byť podaná primeraná</w:t>
      </w:r>
      <w:r w:rsidR="007338BA" w:rsidRPr="00D32C41">
        <w:rPr>
          <w:rFonts w:ascii="Times New Roman" w:eastAsia="TimesNewRoman" w:hAnsi="Times New Roman"/>
          <w:color w:val="000000"/>
          <w:u w:val="single"/>
        </w:rPr>
        <w:t xml:space="preserve"> </w:t>
      </w:r>
      <w:r w:rsidRPr="00D32C41">
        <w:rPr>
          <w:rFonts w:ascii="Times New Roman" w:eastAsia="TimesNewRoman" w:hAnsi="Times New Roman"/>
          <w:color w:val="000000"/>
          <w:u w:val="single"/>
        </w:rPr>
        <w:t>antiemetická liečba a primeraná hydratácia pred podaním cisplatiny a/alebo po jej podaní</w:t>
      </w:r>
      <w:r w:rsidR="007338BA" w:rsidRPr="00D32C41">
        <w:rPr>
          <w:rFonts w:ascii="Times New Roman" w:eastAsia="TimesNewRoman" w:hAnsi="Times New Roman"/>
          <w:color w:val="000000"/>
          <w:u w:val="single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(špecifick</w:t>
      </w:r>
      <w:r w:rsidR="00DC484D" w:rsidRPr="00D32C41">
        <w:rPr>
          <w:rFonts w:ascii="Times New Roman" w:eastAsia="TimesNewRoman" w:hAnsi="Times New Roman"/>
          <w:color w:val="000000"/>
        </w:rPr>
        <w:t>é</w:t>
      </w:r>
      <w:r w:rsidRPr="00D32C41">
        <w:rPr>
          <w:rFonts w:ascii="Times New Roman" w:eastAsia="TimesNewRoman" w:hAnsi="Times New Roman"/>
          <w:color w:val="000000"/>
        </w:rPr>
        <w:t xml:space="preserve"> odpor</w:t>
      </w:r>
      <w:r w:rsidR="00DC484D" w:rsidRPr="00D32C41">
        <w:rPr>
          <w:rFonts w:ascii="Times New Roman" w:eastAsia="TimesNewRoman" w:hAnsi="Times New Roman"/>
          <w:color w:val="000000"/>
        </w:rPr>
        <w:t>účané</w:t>
      </w:r>
      <w:r w:rsidRPr="00D32C41">
        <w:rPr>
          <w:rFonts w:ascii="Times New Roman" w:eastAsia="TimesNewRoman" w:hAnsi="Times New Roman"/>
          <w:color w:val="000000"/>
        </w:rPr>
        <w:t xml:space="preserve"> dávkovan</w:t>
      </w:r>
      <w:r w:rsidR="00DC484D" w:rsidRPr="00D32C41">
        <w:rPr>
          <w:rFonts w:ascii="Times New Roman" w:eastAsia="TimesNewRoman" w:hAnsi="Times New Roman"/>
          <w:color w:val="000000"/>
        </w:rPr>
        <w:t xml:space="preserve">ie </w:t>
      </w:r>
      <w:r w:rsidRPr="00D32C41">
        <w:rPr>
          <w:rFonts w:ascii="Times New Roman" w:eastAsia="TimesNewRoman" w:hAnsi="Times New Roman"/>
          <w:color w:val="000000"/>
        </w:rPr>
        <w:t xml:space="preserve">pozri tiež </w:t>
      </w:r>
      <w:r w:rsidR="007338BA" w:rsidRPr="00D32C41">
        <w:rPr>
          <w:rFonts w:ascii="Times New Roman" w:eastAsia="TimesNewRoman" w:hAnsi="Times New Roman"/>
          <w:color w:val="000000"/>
        </w:rPr>
        <w:t xml:space="preserve">v </w:t>
      </w:r>
      <w:r w:rsidR="00DC484D" w:rsidRPr="00D32C41">
        <w:rPr>
          <w:rFonts w:ascii="Times New Roman" w:eastAsia="TimesNewRoman" w:hAnsi="Times New Roman"/>
          <w:color w:val="000000"/>
        </w:rPr>
        <w:t>s</w:t>
      </w:r>
      <w:r w:rsidRPr="00D32C41">
        <w:rPr>
          <w:rFonts w:ascii="Times New Roman" w:eastAsia="TimesNewRoman" w:hAnsi="Times New Roman"/>
          <w:color w:val="000000"/>
        </w:rPr>
        <w:t>úhrn</w:t>
      </w:r>
      <w:r w:rsidR="007338BA" w:rsidRPr="00D32C41">
        <w:rPr>
          <w:rFonts w:ascii="Times New Roman" w:eastAsia="TimesNewRoman" w:hAnsi="Times New Roman"/>
          <w:color w:val="000000"/>
        </w:rPr>
        <w:t>e</w:t>
      </w:r>
      <w:r w:rsidRPr="00D32C41">
        <w:rPr>
          <w:rFonts w:ascii="Times New Roman" w:eastAsia="TimesNewRoman" w:hAnsi="Times New Roman"/>
          <w:color w:val="000000"/>
        </w:rPr>
        <w:t xml:space="preserve"> charakteristických</w:t>
      </w:r>
      <w:r w:rsidR="007338BA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vlastností lieku </w:t>
      </w:r>
      <w:r w:rsidR="00667630">
        <w:rPr>
          <w:rFonts w:ascii="Times New Roman" w:eastAsia="TimesNewRoman" w:hAnsi="Times New Roman"/>
          <w:color w:val="000000"/>
        </w:rPr>
        <w:t xml:space="preserve">obsahujúceho </w:t>
      </w:r>
      <w:r w:rsidR="007338BA" w:rsidRPr="00D32C41">
        <w:rPr>
          <w:rFonts w:ascii="Times New Roman" w:eastAsia="TimesNewRoman" w:hAnsi="Times New Roman"/>
          <w:color w:val="000000"/>
        </w:rPr>
        <w:t>cisplatin</w:t>
      </w:r>
      <w:r w:rsidR="00667630">
        <w:rPr>
          <w:rFonts w:ascii="Times New Roman" w:eastAsia="TimesNewRoman" w:hAnsi="Times New Roman"/>
          <w:color w:val="000000"/>
        </w:rPr>
        <w:t>u</w:t>
      </w:r>
      <w:r w:rsidRPr="00D32C41">
        <w:rPr>
          <w:rFonts w:ascii="Times New Roman" w:eastAsia="TimesNewRoman" w:hAnsi="Times New Roman"/>
          <w:color w:val="000000"/>
        </w:rPr>
        <w:t>).</w:t>
      </w:r>
    </w:p>
    <w:p w:rsidR="007338BA" w:rsidRPr="00D32C41" w:rsidRDefault="007338BA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/>
          <w:iCs/>
          <w:color w:val="000000"/>
        </w:rPr>
      </w:pPr>
      <w:r w:rsidRPr="00D32C41">
        <w:rPr>
          <w:rFonts w:ascii="Times New Roman" w:eastAsia="TimesNewRoman,Bold" w:hAnsi="Times New Roman"/>
          <w:i/>
          <w:iCs/>
          <w:color w:val="000000"/>
        </w:rPr>
        <w:t>Pemetrexed v monoterapii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U pacientov liečených </w:t>
      </w:r>
      <w:r w:rsidR="007338BA" w:rsidRPr="00D32C41">
        <w:rPr>
          <w:rFonts w:ascii="Times New Roman" w:eastAsia="TimesNewRoman" w:hAnsi="Times New Roman"/>
          <w:color w:val="000000"/>
        </w:rPr>
        <w:t>na</w:t>
      </w:r>
      <w:r w:rsidRPr="00D32C41">
        <w:rPr>
          <w:rFonts w:ascii="Times New Roman" w:eastAsia="TimesNewRoman" w:hAnsi="Times New Roman"/>
          <w:color w:val="000000"/>
        </w:rPr>
        <w:t xml:space="preserve"> nemalobunkový karcinóm pľúc po predchádzajúcej chemoterapii,</w:t>
      </w:r>
      <w:r w:rsidR="007338BA" w:rsidRPr="00D32C41">
        <w:rPr>
          <w:rFonts w:ascii="Times New Roman" w:eastAsia="TimesNewRoman" w:hAnsi="Times New Roman"/>
          <w:color w:val="000000"/>
        </w:rPr>
        <w:t xml:space="preserve"> </w:t>
      </w:r>
      <w:r w:rsidR="00667630">
        <w:rPr>
          <w:rFonts w:ascii="Times New Roman" w:eastAsia="TimesNewRoman" w:hAnsi="Times New Roman"/>
          <w:color w:val="000000"/>
        </w:rPr>
        <w:t xml:space="preserve">je </w:t>
      </w:r>
      <w:r w:rsidRPr="00D32C41">
        <w:rPr>
          <w:rFonts w:ascii="Times New Roman" w:eastAsia="TimesNewRoman" w:hAnsi="Times New Roman"/>
          <w:color w:val="000000"/>
        </w:rPr>
        <w:t>odporúčaná dávka pemetrexedu 500 mg/</w:t>
      </w:r>
      <w:r w:rsidR="007338BA" w:rsidRPr="00D32C41">
        <w:rPr>
          <w:rFonts w:ascii="Times New Roman" w:eastAsia="TimesNewRoman" w:hAnsi="Times New Roman"/>
          <w:color w:val="000000"/>
        </w:rPr>
        <w:t>m</w:t>
      </w:r>
      <w:r w:rsidR="007338BA" w:rsidRPr="00D32C41">
        <w:rPr>
          <w:rFonts w:ascii="Times New Roman" w:eastAsia="TimesNewRoman" w:hAnsi="Times New Roman"/>
          <w:color w:val="000000"/>
          <w:vertAlign w:val="superscript"/>
        </w:rPr>
        <w:t>2</w:t>
      </w:r>
      <w:r w:rsidRPr="00D32C41">
        <w:rPr>
          <w:rFonts w:ascii="Times New Roman" w:eastAsia="TimesNewRoman" w:hAnsi="Times New Roman"/>
          <w:color w:val="000000"/>
          <w:sz w:val="14"/>
          <w:szCs w:val="14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BSA podávaná ako intravenózna infúzia počas 10 minút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v prvý deň každého 21-dňového cyklu.</w:t>
      </w:r>
    </w:p>
    <w:p w:rsidR="007338BA" w:rsidRPr="00D32C41" w:rsidRDefault="007338BA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color w:val="000000"/>
        </w:rPr>
      </w:pPr>
      <w:r w:rsidRPr="00D32C41">
        <w:rPr>
          <w:rFonts w:ascii="Times New Roman" w:eastAsia="TimesNewRoman" w:hAnsi="Times New Roman"/>
          <w:i/>
          <w:color w:val="000000"/>
        </w:rPr>
        <w:t>Režim premedikácie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Na zníženie výskytu a závažnosti kožných reakcií sa podá kortikosteroid deň pred podaním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pemetrexedu, v deň podania a deň po podaní pemetrexedu. Kortikosteroid </w:t>
      </w:r>
      <w:r w:rsidR="007338BA" w:rsidRPr="00D32C41">
        <w:rPr>
          <w:rFonts w:ascii="Times New Roman" w:eastAsia="TimesNewRoman" w:hAnsi="Times New Roman"/>
          <w:color w:val="000000"/>
        </w:rPr>
        <w:t>má</w:t>
      </w:r>
      <w:r w:rsidRPr="00D32C41">
        <w:rPr>
          <w:rFonts w:ascii="Times New Roman" w:eastAsia="TimesNewRoman" w:hAnsi="Times New Roman"/>
          <w:color w:val="000000"/>
        </w:rPr>
        <w:t xml:space="preserve"> byť ekvivalentom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4 mg dexametazónu perorálne podávaného dvakrát denne (pozri časť 4.4).</w:t>
      </w:r>
    </w:p>
    <w:p w:rsidR="007338BA" w:rsidRPr="00D32C41" w:rsidRDefault="007338BA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Na zníženie toxicity musia pacienti liečení pemetrexedom dostávať tiež vitamínovú suplementáciu</w:t>
      </w:r>
      <w:r w:rsidR="00D47643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(pozri časť 4.4). Pacienti musia denne užívať perorálne kyselinu listovú alebo multivitamíny</w:t>
      </w:r>
      <w:r w:rsidR="00D47643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obsahujúce kyselinu listovú (od 350 do 1 000 mikrogramov). Aspoň päť dávok kyseliny listovej musí</w:t>
      </w:r>
      <w:r w:rsidR="00D47643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byť podaných počas 7 dní pred prvou dávkou pemetrexedu a dávkovanie musí pokračovať v</w:t>
      </w:r>
      <w:r w:rsidR="00D47643" w:rsidRPr="00D32C41">
        <w:rPr>
          <w:rFonts w:ascii="Times New Roman" w:eastAsia="TimesNewRoman" w:hAnsi="Times New Roman"/>
          <w:color w:val="000000"/>
        </w:rPr>
        <w:t> </w:t>
      </w:r>
      <w:r w:rsidRPr="00D32C41">
        <w:rPr>
          <w:rFonts w:ascii="Times New Roman" w:eastAsia="TimesNewRoman" w:hAnsi="Times New Roman"/>
          <w:color w:val="000000"/>
        </w:rPr>
        <w:t>priebehu</w:t>
      </w:r>
      <w:r w:rsidR="00D47643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celej liečby a ďalších 21 dní po poslednej dávke pemetrexedu. Pacienti musia tiež dostať</w:t>
      </w:r>
      <w:r w:rsidR="00D47643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intramuskulárnu injekciu</w:t>
      </w:r>
      <w:r w:rsidR="00D30ABC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vitamínu B</w:t>
      </w:r>
      <w:r w:rsidRPr="00D32C41">
        <w:rPr>
          <w:rFonts w:ascii="Times New Roman" w:eastAsia="TimesNewRoman" w:hAnsi="Times New Roman"/>
          <w:color w:val="000000"/>
          <w:sz w:val="14"/>
          <w:szCs w:val="14"/>
        </w:rPr>
        <w:t xml:space="preserve">12 </w:t>
      </w:r>
      <w:r w:rsidRPr="00D32C41">
        <w:rPr>
          <w:rFonts w:ascii="Times New Roman" w:eastAsia="TimesNewRoman" w:hAnsi="Times New Roman"/>
          <w:color w:val="000000"/>
        </w:rPr>
        <w:t>(1 000 mikrogramov) v týždni pred prvou dávkou pemetrexedu</w:t>
      </w:r>
      <w:r w:rsidR="00705870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a</w:t>
      </w:r>
      <w:r w:rsidR="00400A41">
        <w:rPr>
          <w:rFonts w:ascii="Times New Roman" w:eastAsia="TimesNewRoman" w:hAnsi="Times New Roman"/>
          <w:color w:val="000000"/>
        </w:rPr>
        <w:t xml:space="preserve"> následne </w:t>
      </w:r>
      <w:r w:rsidRPr="00D32C41">
        <w:rPr>
          <w:rFonts w:ascii="Times New Roman" w:eastAsia="TimesNewRoman" w:hAnsi="Times New Roman"/>
          <w:color w:val="000000"/>
        </w:rPr>
        <w:t>jedenkrát každé 3 cykly potom. Nasledujúce injekcie vitamín</w:t>
      </w:r>
      <w:r w:rsidR="00705870" w:rsidRPr="00D32C41">
        <w:rPr>
          <w:rFonts w:ascii="Times New Roman" w:eastAsia="TimesNewRoman" w:hAnsi="Times New Roman"/>
          <w:color w:val="000000"/>
        </w:rPr>
        <w:t>u</w:t>
      </w:r>
      <w:r w:rsidRPr="00D32C41">
        <w:rPr>
          <w:rFonts w:ascii="Times New Roman" w:eastAsia="TimesNewRoman" w:hAnsi="Times New Roman"/>
          <w:color w:val="000000"/>
        </w:rPr>
        <w:t xml:space="preserve"> B</w:t>
      </w:r>
      <w:r w:rsidRPr="00D32C41">
        <w:rPr>
          <w:rFonts w:ascii="Times New Roman" w:eastAsia="TimesNewRoman" w:hAnsi="Times New Roman"/>
          <w:color w:val="000000"/>
          <w:sz w:val="14"/>
          <w:szCs w:val="14"/>
        </w:rPr>
        <w:t xml:space="preserve">12 </w:t>
      </w:r>
      <w:r w:rsidRPr="00D32C41">
        <w:rPr>
          <w:rFonts w:ascii="Times New Roman" w:eastAsia="TimesNewRoman" w:hAnsi="Times New Roman"/>
          <w:color w:val="000000"/>
        </w:rPr>
        <w:t>sa môžu podávať v</w:t>
      </w:r>
      <w:r w:rsidR="00705870" w:rsidRPr="00D32C41">
        <w:rPr>
          <w:rFonts w:ascii="Times New Roman" w:eastAsia="TimesNewRoman" w:hAnsi="Times New Roman"/>
          <w:color w:val="000000"/>
        </w:rPr>
        <w:t> </w:t>
      </w:r>
      <w:r w:rsidRPr="00D32C41">
        <w:rPr>
          <w:rFonts w:ascii="Times New Roman" w:eastAsia="TimesNewRoman" w:hAnsi="Times New Roman"/>
          <w:color w:val="000000"/>
        </w:rPr>
        <w:t>rovnaký</w:t>
      </w:r>
      <w:r w:rsidR="00705870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deň ako pemetrexed.</w:t>
      </w:r>
    </w:p>
    <w:p w:rsidR="007338BA" w:rsidRPr="00D32C41" w:rsidRDefault="007338BA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color w:val="000000"/>
        </w:rPr>
      </w:pPr>
      <w:r w:rsidRPr="00D32C41">
        <w:rPr>
          <w:rFonts w:ascii="Times New Roman" w:eastAsia="TimesNewRoman" w:hAnsi="Times New Roman"/>
          <w:i/>
          <w:color w:val="000000"/>
        </w:rPr>
        <w:t>Monitorovanie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Pacientom liečeným pemetrexedom sa musí pred každou dávkou sledovať celkový krvný obraz,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vrátane diferenciálneho počtu bielych krviniek (WCC) a</w:t>
      </w:r>
      <w:r w:rsidR="00400A41">
        <w:rPr>
          <w:rFonts w:ascii="Times New Roman" w:eastAsia="TimesNewRoman" w:hAnsi="Times New Roman"/>
          <w:color w:val="000000"/>
        </w:rPr>
        <w:t xml:space="preserve"> počtu </w:t>
      </w:r>
      <w:r w:rsidRPr="00D32C41">
        <w:rPr>
          <w:rFonts w:ascii="Times New Roman" w:eastAsia="TimesNewRoman" w:hAnsi="Times New Roman"/>
          <w:color w:val="000000"/>
        </w:rPr>
        <w:t>krvných doštičiek. Pred každým podaním</w:t>
      </w:r>
      <w:r w:rsidR="00400A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chemoterapie musia byť vykonané krvné biochemické testy na zhodnotenie obličkových a</w:t>
      </w:r>
      <w:r w:rsidR="00400A41">
        <w:rPr>
          <w:rFonts w:ascii="Times New Roman" w:eastAsia="TimesNewRoman" w:hAnsi="Times New Roman"/>
          <w:color w:val="000000"/>
        </w:rPr>
        <w:t> </w:t>
      </w:r>
      <w:r w:rsidRPr="00D32C41">
        <w:rPr>
          <w:rFonts w:ascii="Times New Roman" w:eastAsia="TimesNewRoman" w:hAnsi="Times New Roman"/>
          <w:color w:val="000000"/>
        </w:rPr>
        <w:t>pečeňových</w:t>
      </w:r>
      <w:r w:rsidR="00400A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funkcií. Pred </w:t>
      </w:r>
      <w:r w:rsidR="007338BA" w:rsidRPr="00D32C41">
        <w:rPr>
          <w:rFonts w:ascii="Times New Roman" w:eastAsia="TimesNewRoman" w:hAnsi="Times New Roman"/>
          <w:color w:val="000000"/>
        </w:rPr>
        <w:t>začatím</w:t>
      </w:r>
      <w:r w:rsidRPr="00D32C41">
        <w:rPr>
          <w:rFonts w:ascii="Times New Roman" w:eastAsia="TimesNewRoman" w:hAnsi="Times New Roman"/>
          <w:color w:val="000000"/>
        </w:rPr>
        <w:t xml:space="preserve"> každého cyklu chemoterapie </w:t>
      </w:r>
      <w:r w:rsidR="007338BA" w:rsidRPr="00D32C41">
        <w:rPr>
          <w:rFonts w:ascii="Times New Roman" w:eastAsia="TimesNewRoman" w:hAnsi="Times New Roman"/>
          <w:color w:val="000000"/>
        </w:rPr>
        <w:t>sa vyžaduje</w:t>
      </w:r>
      <w:r w:rsidRPr="00D32C41">
        <w:rPr>
          <w:rFonts w:ascii="Times New Roman" w:eastAsia="TimesNewRoman" w:hAnsi="Times New Roman"/>
          <w:color w:val="000000"/>
        </w:rPr>
        <w:t>, aby pacienti mali nasledovné výsledky</w:t>
      </w:r>
      <w:r w:rsidR="00400A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vyšetrení: absolútny počet neutrofilov (ANC) m</w:t>
      </w:r>
      <w:r w:rsidR="00400A41">
        <w:rPr>
          <w:rFonts w:ascii="Times New Roman" w:eastAsia="TimesNewRoman" w:hAnsi="Times New Roman"/>
          <w:color w:val="000000"/>
        </w:rPr>
        <w:t>á</w:t>
      </w:r>
      <w:r w:rsidRPr="00D32C41">
        <w:rPr>
          <w:rFonts w:ascii="Times New Roman" w:eastAsia="TimesNewRoman" w:hAnsi="Times New Roman"/>
          <w:color w:val="000000"/>
        </w:rPr>
        <w:t xml:space="preserve"> byť ≥ 1 500 buniek/mm</w:t>
      </w:r>
      <w:r w:rsidRPr="00D32C41">
        <w:rPr>
          <w:rFonts w:ascii="Times New Roman" w:eastAsia="TimesNewRoman" w:hAnsi="Times New Roman"/>
          <w:color w:val="000000"/>
          <w:vertAlign w:val="superscript"/>
        </w:rPr>
        <w:t>3</w:t>
      </w:r>
      <w:r w:rsidRPr="00D32C41">
        <w:rPr>
          <w:rFonts w:ascii="Times New Roman" w:eastAsia="TimesNewRoman" w:hAnsi="Times New Roman"/>
          <w:color w:val="000000"/>
          <w:sz w:val="14"/>
          <w:szCs w:val="14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a počet krvných doštičiek</w:t>
      </w:r>
      <w:r w:rsidR="00400A41">
        <w:rPr>
          <w:rFonts w:ascii="Times New Roman" w:eastAsia="TimesNewRoman" w:hAnsi="Times New Roman"/>
          <w:color w:val="000000"/>
        </w:rPr>
        <w:t xml:space="preserve"> </w:t>
      </w:r>
      <w:r w:rsidR="007338BA" w:rsidRPr="00D32C41">
        <w:rPr>
          <w:rFonts w:ascii="Times New Roman" w:eastAsia="TimesNewRoman" w:hAnsi="Times New Roman"/>
          <w:color w:val="000000"/>
        </w:rPr>
        <w:t>má</w:t>
      </w:r>
      <w:r w:rsidRPr="00D32C41">
        <w:rPr>
          <w:rFonts w:ascii="Times New Roman" w:eastAsia="TimesNewRoman" w:hAnsi="Times New Roman"/>
          <w:color w:val="000000"/>
        </w:rPr>
        <w:t xml:space="preserve"> byť ≥ 100 000 buniek/mm</w:t>
      </w:r>
      <w:r w:rsidRPr="00D32C41">
        <w:rPr>
          <w:rFonts w:ascii="Times New Roman" w:eastAsia="TimesNewRoman" w:hAnsi="Times New Roman"/>
          <w:color w:val="000000"/>
          <w:vertAlign w:val="superscript"/>
        </w:rPr>
        <w:t>3</w:t>
      </w:r>
      <w:r w:rsidRPr="00D32C41">
        <w:rPr>
          <w:rFonts w:ascii="Times New Roman" w:eastAsia="TimesNewRoman" w:hAnsi="Times New Roman"/>
          <w:color w:val="000000"/>
        </w:rPr>
        <w:t>.</w:t>
      </w:r>
      <w:r w:rsidR="001C171C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Klírens kreatinínu </w:t>
      </w:r>
      <w:r w:rsidR="007338BA" w:rsidRPr="00D32C41">
        <w:rPr>
          <w:rFonts w:ascii="Times New Roman" w:eastAsia="TimesNewRoman" w:hAnsi="Times New Roman"/>
          <w:color w:val="000000"/>
        </w:rPr>
        <w:t>má</w:t>
      </w:r>
      <w:r w:rsidRPr="00D32C41">
        <w:rPr>
          <w:rFonts w:ascii="Times New Roman" w:eastAsia="TimesNewRoman" w:hAnsi="Times New Roman"/>
          <w:color w:val="000000"/>
        </w:rPr>
        <w:t xml:space="preserve"> byť ≥ 45 ml/min.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Celkový bilirubín </w:t>
      </w:r>
      <w:r w:rsidR="007338BA" w:rsidRPr="00D32C41">
        <w:rPr>
          <w:rFonts w:ascii="Times New Roman" w:eastAsia="TimesNewRoman" w:hAnsi="Times New Roman"/>
          <w:color w:val="000000"/>
        </w:rPr>
        <w:t>má</w:t>
      </w:r>
      <w:r w:rsidRPr="00D32C41">
        <w:rPr>
          <w:rFonts w:ascii="Times New Roman" w:eastAsia="TimesNewRoman" w:hAnsi="Times New Roman"/>
          <w:color w:val="000000"/>
        </w:rPr>
        <w:t xml:space="preserve"> byť ≤ 1,5 násobok hornej hranice normálnych hodnôt. Alkalická fosfatáza</w:t>
      </w:r>
      <w:r w:rsidR="007338BA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(AP), aspartátaminotransferáza (AST alebo SGOT) a alanínaminotransferáza (ALT alebo SGPT)</w:t>
      </w:r>
      <w:r w:rsidR="007338BA" w:rsidRPr="00D32C41">
        <w:rPr>
          <w:rFonts w:ascii="Times New Roman" w:eastAsia="TimesNewRoman" w:hAnsi="Times New Roman"/>
          <w:color w:val="000000"/>
        </w:rPr>
        <w:t xml:space="preserve"> majú</w:t>
      </w:r>
      <w:r w:rsidRPr="00D32C41">
        <w:rPr>
          <w:rFonts w:ascii="Times New Roman" w:eastAsia="TimesNewRoman" w:hAnsi="Times New Roman"/>
          <w:color w:val="000000"/>
        </w:rPr>
        <w:t xml:space="preserve"> byť ≤ 3</w:t>
      </w:r>
      <w:r w:rsidR="00887339" w:rsidRPr="00D32C41">
        <w:rPr>
          <w:rFonts w:ascii="Times New Roman" w:eastAsia="TimesNewRoman" w:hAnsi="Times New Roman"/>
          <w:color w:val="000000"/>
        </w:rPr>
        <w:t>-</w:t>
      </w:r>
      <w:r w:rsidRPr="00D32C41">
        <w:rPr>
          <w:rFonts w:ascii="Times New Roman" w:eastAsia="TimesNewRoman" w:hAnsi="Times New Roman"/>
          <w:color w:val="000000"/>
        </w:rPr>
        <w:t>násobok hornej hranice normálnych hodnôt. V prípade postihnutia pečene nádorom sú</w:t>
      </w:r>
      <w:r w:rsidR="007338BA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akceptovateľné hodnoty alkalickej fosfatázy, AST a ALT ≤ 5</w:t>
      </w:r>
      <w:r w:rsidR="00960F92" w:rsidRPr="00D32C41">
        <w:rPr>
          <w:rFonts w:ascii="Times New Roman" w:eastAsia="TimesNewRoman" w:hAnsi="Times New Roman"/>
          <w:color w:val="000000"/>
        </w:rPr>
        <w:t>-</w:t>
      </w:r>
      <w:r w:rsidRPr="00D32C41">
        <w:rPr>
          <w:rFonts w:ascii="Times New Roman" w:eastAsia="TimesNewRoman" w:hAnsi="Times New Roman"/>
          <w:color w:val="000000"/>
        </w:rPr>
        <w:t>násobok hornej hranice normálnych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hodnôt.</w:t>
      </w:r>
    </w:p>
    <w:p w:rsidR="007338BA" w:rsidRPr="00D32C41" w:rsidRDefault="007338BA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color w:val="000000"/>
        </w:rPr>
      </w:pPr>
      <w:r w:rsidRPr="00D32C41">
        <w:rPr>
          <w:rFonts w:ascii="Times New Roman" w:eastAsia="TimesNewRoman" w:hAnsi="Times New Roman"/>
          <w:i/>
          <w:color w:val="000000"/>
        </w:rPr>
        <w:t>Úprav</w:t>
      </w:r>
      <w:r w:rsidR="007338BA" w:rsidRPr="00D32C41">
        <w:rPr>
          <w:rFonts w:ascii="Times New Roman" w:eastAsia="TimesNewRoman" w:hAnsi="Times New Roman"/>
          <w:i/>
          <w:color w:val="000000"/>
        </w:rPr>
        <w:t>y</w:t>
      </w:r>
      <w:r w:rsidRPr="00D32C41">
        <w:rPr>
          <w:rFonts w:ascii="Times New Roman" w:eastAsia="TimesNewRoman" w:hAnsi="Times New Roman"/>
          <w:i/>
          <w:color w:val="000000"/>
        </w:rPr>
        <w:t xml:space="preserve"> dávky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Úprav</w:t>
      </w:r>
      <w:r w:rsidR="007338BA" w:rsidRPr="00D32C41">
        <w:rPr>
          <w:rFonts w:ascii="Times New Roman" w:eastAsia="TimesNewRoman" w:hAnsi="Times New Roman"/>
          <w:color w:val="000000"/>
        </w:rPr>
        <w:t>y</w:t>
      </w:r>
      <w:r w:rsidRPr="00D32C41">
        <w:rPr>
          <w:rFonts w:ascii="Times New Roman" w:eastAsia="TimesNewRoman" w:hAnsi="Times New Roman"/>
          <w:color w:val="000000"/>
        </w:rPr>
        <w:t xml:space="preserve"> dávky na začiatku nasledujúceho cyklu sa vykon</w:t>
      </w:r>
      <w:r w:rsidR="007338BA" w:rsidRPr="00D32C41">
        <w:rPr>
          <w:rFonts w:ascii="Times New Roman" w:eastAsia="TimesNewRoman" w:hAnsi="Times New Roman"/>
          <w:color w:val="000000"/>
        </w:rPr>
        <w:t>ajú</w:t>
      </w:r>
      <w:r w:rsidRPr="00D32C41">
        <w:rPr>
          <w:rFonts w:ascii="Times New Roman" w:eastAsia="TimesNewRoman" w:hAnsi="Times New Roman"/>
          <w:color w:val="000000"/>
        </w:rPr>
        <w:t xml:space="preserve"> na základe najhlbšieho poklesu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hematologických hodnôt alebo na základe maximálnej nehematologickej toxicity zistenej</w:t>
      </w:r>
      <w:r w:rsidR="003B3471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v predchádzajúcom cykle liečby. Liečba môže byť odložená, aby bol dostatok času na úpravu. Po</w:t>
      </w:r>
      <w:r w:rsidR="003B3471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úprave sa pacienti liečia podľa </w:t>
      </w:r>
      <w:r w:rsidR="00C30CE2" w:rsidRPr="00D32C41">
        <w:rPr>
          <w:rFonts w:ascii="Times New Roman" w:eastAsia="TimesNewRoman" w:hAnsi="Times New Roman"/>
          <w:color w:val="000000"/>
        </w:rPr>
        <w:t>pokynov</w:t>
      </w:r>
      <w:r w:rsidRPr="00D32C41">
        <w:rPr>
          <w:rFonts w:ascii="Times New Roman" w:eastAsia="TimesNewRoman" w:hAnsi="Times New Roman"/>
          <w:color w:val="000000"/>
        </w:rPr>
        <w:t xml:space="preserve"> uvedených v tabuľkách 1, 2 a 3, ktoré sa použijú v</w:t>
      </w:r>
      <w:r w:rsidR="003B3471" w:rsidRPr="00D32C41">
        <w:rPr>
          <w:rFonts w:ascii="Times New Roman" w:eastAsia="TimesNewRoman" w:hAnsi="Times New Roman"/>
          <w:color w:val="000000"/>
        </w:rPr>
        <w:t> </w:t>
      </w:r>
      <w:r w:rsidRPr="00D32C41">
        <w:rPr>
          <w:rFonts w:ascii="Times New Roman" w:eastAsia="TimesNewRoman" w:hAnsi="Times New Roman"/>
          <w:color w:val="000000"/>
        </w:rPr>
        <w:t>prípade</w:t>
      </w:r>
      <w:r w:rsidR="003B3471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podávania </w:t>
      </w:r>
      <w:r w:rsidR="003E586B" w:rsidRPr="00D32C41">
        <w:rPr>
          <w:rFonts w:ascii="Times New Roman" w:eastAsia="TimesNewRoman" w:hAnsi="Times New Roman"/>
          <w:color w:val="000000"/>
        </w:rPr>
        <w:t>p</w:t>
      </w:r>
      <w:r w:rsidRPr="00D32C41">
        <w:rPr>
          <w:rFonts w:ascii="Times New Roman" w:eastAsia="TimesNewRoman" w:hAnsi="Times New Roman"/>
          <w:color w:val="000000"/>
        </w:rPr>
        <w:t>emetrexedu v monoterapii alebo v kombinácii s cisplatinou.</w:t>
      </w:r>
    </w:p>
    <w:p w:rsidR="006A6A45" w:rsidRPr="00D32C41" w:rsidRDefault="006A6A45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A6A45" w:rsidRPr="00D32C41" w:rsidTr="00516887">
        <w:tc>
          <w:tcPr>
            <w:tcW w:w="9212" w:type="dxa"/>
            <w:gridSpan w:val="2"/>
            <w:shd w:val="clear" w:color="auto" w:fill="auto"/>
          </w:tcPr>
          <w:p w:rsidR="006A6A45" w:rsidRPr="00D32C41" w:rsidRDefault="006A6A45" w:rsidP="001C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,Bold" w:hAnsi="Times New Roman"/>
                <w:b/>
                <w:bCs/>
                <w:color w:val="000000"/>
              </w:rPr>
              <w:t>Tabuľka 1 – Tabuľka modifikácie dávky pemetrexedu (v monoterapii alebo v kombinácii) a cisplatiny – Hematologické toxicity</w:t>
            </w:r>
          </w:p>
        </w:tc>
      </w:tr>
      <w:tr w:rsidR="006A6A45" w:rsidRPr="00D32C41" w:rsidTr="00516887">
        <w:tc>
          <w:tcPr>
            <w:tcW w:w="4606" w:type="dxa"/>
            <w:shd w:val="clear" w:color="auto" w:fill="auto"/>
          </w:tcPr>
          <w:p w:rsidR="006A6A45" w:rsidRPr="00D32C41" w:rsidRDefault="006A6A45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Absolútny počet neutrofilov &lt; 500/mm</w:t>
            </w:r>
            <w:r w:rsidRPr="00D32C41">
              <w:rPr>
                <w:rFonts w:ascii="Times New Roman" w:eastAsia="TimesNewRoman" w:hAnsi="Times New Roman"/>
                <w:color w:val="000000"/>
                <w:vertAlign w:val="superscript"/>
              </w:rPr>
              <w:t>3</w:t>
            </w:r>
            <w:r w:rsidRPr="00D32C41">
              <w:rPr>
                <w:rFonts w:ascii="Times New Roman" w:eastAsia="TimesNewRoman" w:hAnsi="Times New Roman"/>
                <w:color w:val="000000"/>
              </w:rPr>
              <w:t xml:space="preserve"> a</w:t>
            </w:r>
          </w:p>
          <w:p w:rsidR="006A6A45" w:rsidRPr="00D32C41" w:rsidRDefault="006A6A45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doštičiek ≥ 50 000/mm</w:t>
            </w:r>
            <w:r w:rsidRPr="00D32C41">
              <w:rPr>
                <w:rFonts w:ascii="Times New Roman" w:eastAsia="TimesNewRoman" w:hAnsi="Times New Roman"/>
                <w:color w:val="000000"/>
                <w:vertAlign w:val="superscript"/>
              </w:rPr>
              <w:t>3</w:t>
            </w:r>
            <w:r w:rsidRPr="00D32C41">
              <w:rPr>
                <w:rFonts w:ascii="Times New Roman" w:eastAsia="TimesNewRoman" w:hAnsi="Times New Roman"/>
                <w:color w:val="000000"/>
                <w:sz w:val="14"/>
                <w:szCs w:val="14"/>
              </w:rPr>
              <w:t xml:space="preserve"> </w:t>
            </w:r>
            <w:r w:rsidRPr="00D32C41">
              <w:rPr>
                <w:rFonts w:ascii="Times New Roman" w:eastAsia="TimesNewRoman" w:hAnsi="Times New Roman"/>
                <w:color w:val="000000"/>
              </w:rPr>
              <w:t>v období najhlbšieho</w:t>
            </w:r>
          </w:p>
          <w:p w:rsidR="006A6A45" w:rsidRPr="00D32C41" w:rsidRDefault="006A6A45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poklesu</w:t>
            </w:r>
          </w:p>
        </w:tc>
        <w:tc>
          <w:tcPr>
            <w:tcW w:w="4606" w:type="dxa"/>
            <w:shd w:val="clear" w:color="auto" w:fill="auto"/>
          </w:tcPr>
          <w:p w:rsidR="006A6A45" w:rsidRPr="00D32C41" w:rsidRDefault="006A6A45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75 % predchádzajúcej dávky (pemetrexedu aj</w:t>
            </w:r>
          </w:p>
          <w:p w:rsidR="006A6A45" w:rsidRPr="00D32C41" w:rsidRDefault="006A6A45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cisplatiny)</w:t>
            </w:r>
          </w:p>
          <w:p w:rsidR="006A6A45" w:rsidRPr="00D32C41" w:rsidRDefault="006A6A45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</w:p>
        </w:tc>
      </w:tr>
      <w:tr w:rsidR="006A6A45" w:rsidRPr="00D32C41" w:rsidTr="00516887">
        <w:tc>
          <w:tcPr>
            <w:tcW w:w="4606" w:type="dxa"/>
            <w:shd w:val="clear" w:color="auto" w:fill="auto"/>
          </w:tcPr>
          <w:p w:rsidR="00F97DDA" w:rsidRPr="00D32C41" w:rsidRDefault="00F97DDA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lastRenderedPageBreak/>
              <w:t>Počet doštičiek v období najhlbšieho poklesu</w:t>
            </w:r>
          </w:p>
          <w:p w:rsidR="00F97DDA" w:rsidRPr="00D32C41" w:rsidRDefault="00F97DDA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&lt; 50 000/mm</w:t>
            </w:r>
            <w:r w:rsidRPr="00D32C41">
              <w:rPr>
                <w:rFonts w:ascii="Times New Roman" w:eastAsia="TimesNewRoman" w:hAnsi="Times New Roman"/>
                <w:color w:val="000000"/>
                <w:vertAlign w:val="superscript"/>
              </w:rPr>
              <w:t>3</w:t>
            </w:r>
            <w:r w:rsidRPr="00D32C41">
              <w:rPr>
                <w:rFonts w:ascii="Times New Roman" w:eastAsia="TimesNewRoman" w:hAnsi="Times New Roman"/>
                <w:color w:val="000000"/>
                <w:sz w:val="14"/>
                <w:szCs w:val="14"/>
              </w:rPr>
              <w:t xml:space="preserve"> </w:t>
            </w:r>
            <w:r w:rsidRPr="00D32C41">
              <w:rPr>
                <w:rFonts w:ascii="Times New Roman" w:eastAsia="TimesNewRoman" w:hAnsi="Times New Roman"/>
                <w:color w:val="000000"/>
              </w:rPr>
              <w:t>bez ohľadu na absolútny počet</w:t>
            </w:r>
          </w:p>
          <w:p w:rsidR="006A6A45" w:rsidRPr="00D32C41" w:rsidRDefault="00F97DDA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neutrofilov v období najhlbšieho poklesu</w:t>
            </w:r>
          </w:p>
        </w:tc>
        <w:tc>
          <w:tcPr>
            <w:tcW w:w="4606" w:type="dxa"/>
            <w:shd w:val="clear" w:color="auto" w:fill="auto"/>
          </w:tcPr>
          <w:p w:rsidR="00F97DDA" w:rsidRPr="00D32C41" w:rsidRDefault="00F97DDA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75 % predchádzajúcej dávky (pemetrexedu aj</w:t>
            </w:r>
          </w:p>
          <w:p w:rsidR="00F97DDA" w:rsidRPr="00D32C41" w:rsidRDefault="00F97DDA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cisplatiny)</w:t>
            </w:r>
          </w:p>
          <w:p w:rsidR="006A6A45" w:rsidRPr="00D32C41" w:rsidRDefault="006A6A45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</w:p>
        </w:tc>
      </w:tr>
      <w:tr w:rsidR="006A6A45" w:rsidRPr="00D32C41" w:rsidTr="00516887">
        <w:tc>
          <w:tcPr>
            <w:tcW w:w="4606" w:type="dxa"/>
            <w:shd w:val="clear" w:color="auto" w:fill="auto"/>
          </w:tcPr>
          <w:p w:rsidR="00F97DDA" w:rsidRPr="00D32C41" w:rsidRDefault="00F97DDA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Počet doštičiek v období najhlbšieho poklesu</w:t>
            </w:r>
          </w:p>
          <w:p w:rsidR="00F97DDA" w:rsidRPr="00D32C41" w:rsidRDefault="00F97DDA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&lt; 50 000/mm</w:t>
            </w:r>
            <w:r w:rsidRPr="00D32C41">
              <w:rPr>
                <w:rFonts w:ascii="Times New Roman" w:eastAsia="TimesNewRoman" w:hAnsi="Times New Roman"/>
                <w:color w:val="000000"/>
                <w:vertAlign w:val="superscript"/>
              </w:rPr>
              <w:t>3</w:t>
            </w:r>
            <w:r w:rsidRPr="00D32C41">
              <w:rPr>
                <w:rFonts w:ascii="Times New Roman" w:eastAsia="TimesNewRoman" w:hAnsi="Times New Roman"/>
                <w:color w:val="000000"/>
                <w:sz w:val="14"/>
                <w:szCs w:val="14"/>
              </w:rPr>
              <w:t xml:space="preserve"> </w:t>
            </w:r>
            <w:r w:rsidRPr="00D32C41">
              <w:rPr>
                <w:rFonts w:ascii="Times New Roman" w:eastAsia="TimesNewRoman" w:hAnsi="Times New Roman"/>
                <w:color w:val="000000"/>
              </w:rPr>
              <w:t>s krvácaním</w:t>
            </w:r>
            <w:r w:rsidRPr="00D32C41">
              <w:rPr>
                <w:rFonts w:ascii="Times New Roman" w:eastAsia="TimesNewRoman" w:hAnsi="Times New Roman"/>
                <w:color w:val="000000"/>
                <w:vertAlign w:val="superscript"/>
              </w:rPr>
              <w:t>a</w:t>
            </w:r>
            <w:r w:rsidR="003C716E" w:rsidRPr="00D32C41">
              <w:rPr>
                <w:rFonts w:ascii="Times New Roman" w:eastAsia="TimesNewRoman" w:hAnsi="Times New Roman"/>
                <w:color w:val="000000"/>
              </w:rPr>
              <w:t xml:space="preserve">, </w:t>
            </w:r>
            <w:r w:rsidRPr="00D32C41">
              <w:rPr>
                <w:rFonts w:ascii="Times New Roman" w:eastAsia="TimesNewRoman" w:hAnsi="Times New Roman"/>
                <w:color w:val="000000"/>
              </w:rPr>
              <w:t>bez ohľadu na</w:t>
            </w:r>
          </w:p>
          <w:p w:rsidR="00F97DDA" w:rsidRPr="00D32C41" w:rsidRDefault="00F97DDA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absolútny počet neutrofilov v období najhlbšieho</w:t>
            </w:r>
          </w:p>
          <w:p w:rsidR="006A6A45" w:rsidRPr="00D32C41" w:rsidRDefault="00F97DDA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poklesu</w:t>
            </w:r>
          </w:p>
        </w:tc>
        <w:tc>
          <w:tcPr>
            <w:tcW w:w="4606" w:type="dxa"/>
            <w:shd w:val="clear" w:color="auto" w:fill="auto"/>
          </w:tcPr>
          <w:p w:rsidR="00F97DDA" w:rsidRPr="00D32C41" w:rsidRDefault="00F97DDA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50 % predchádzajúcej dávky (pemetrexedu aj</w:t>
            </w:r>
          </w:p>
          <w:p w:rsidR="00F97DDA" w:rsidRPr="00D32C41" w:rsidRDefault="00F97DDA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cisplatiny)</w:t>
            </w:r>
          </w:p>
          <w:p w:rsidR="006A6A45" w:rsidRPr="00D32C41" w:rsidRDefault="006A6A45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</w:p>
        </w:tc>
      </w:tr>
    </w:tbl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  <w:vertAlign w:val="superscript"/>
        </w:rPr>
        <w:t>a</w:t>
      </w:r>
      <w:r w:rsidRPr="00D32C41">
        <w:rPr>
          <w:rFonts w:ascii="Times New Roman" w:eastAsia="TimesNewRoman" w:hAnsi="Times New Roman"/>
          <w:color w:val="000000"/>
        </w:rPr>
        <w:t xml:space="preserve"> Tieto kritériá sú v súlade s definíciou krvácania ≥ CTC</w:t>
      </w:r>
      <w:r w:rsidR="00797E91" w:rsidRPr="00D32C41">
        <w:rPr>
          <w:rFonts w:ascii="Times New Roman" w:eastAsia="TimesNewRoman" w:hAnsi="Times New Roman"/>
          <w:color w:val="000000"/>
        </w:rPr>
        <w:t xml:space="preserve"> 2.</w:t>
      </w:r>
      <w:r w:rsidRPr="00D32C41">
        <w:rPr>
          <w:rFonts w:ascii="Times New Roman" w:eastAsia="TimesNewRoman" w:hAnsi="Times New Roman"/>
          <w:color w:val="000000"/>
        </w:rPr>
        <w:t xml:space="preserve"> stupňa </w:t>
      </w:r>
      <w:r w:rsidR="00797E91" w:rsidRPr="00D32C41">
        <w:rPr>
          <w:rFonts w:ascii="Times New Roman" w:eastAsia="TimesNewRoman" w:hAnsi="Times New Roman"/>
          <w:color w:val="000000"/>
        </w:rPr>
        <w:t xml:space="preserve">Všeobecných </w:t>
      </w:r>
      <w:r w:rsidRPr="00D32C41">
        <w:rPr>
          <w:rFonts w:ascii="Times New Roman" w:eastAsia="TimesNewRoman" w:hAnsi="Times New Roman"/>
          <w:color w:val="000000"/>
        </w:rPr>
        <w:t>kritérií toxicity (CTC)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podľa „National Cancer Institute” (v2.0; NCI 1998).</w:t>
      </w:r>
    </w:p>
    <w:p w:rsidR="00F97DDA" w:rsidRPr="00D32C41" w:rsidRDefault="00F97DDA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Ak sa u pacienta vyvinie nehematologická toxicita ≥ 3. stupňa (s výnimkou neurotoxicity),</w:t>
      </w:r>
    </w:p>
    <w:p w:rsidR="00286A74" w:rsidRPr="00D32C41" w:rsidRDefault="005A64B1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>
        <w:rPr>
          <w:rFonts w:ascii="Times New Roman" w:eastAsia="TimesNewRoman" w:hAnsi="Times New Roman"/>
          <w:color w:val="000000"/>
        </w:rPr>
        <w:t xml:space="preserve">liečba </w:t>
      </w:r>
      <w:r w:rsidR="00F97DDA" w:rsidRPr="00D32C41">
        <w:rPr>
          <w:rFonts w:ascii="Times New Roman" w:eastAsia="TimesNewRoman" w:hAnsi="Times New Roman"/>
          <w:color w:val="000000"/>
        </w:rPr>
        <w:t>p</w:t>
      </w:r>
      <w:r w:rsidR="00286A74" w:rsidRPr="00D32C41">
        <w:rPr>
          <w:rFonts w:ascii="Times New Roman" w:eastAsia="TimesNewRoman" w:hAnsi="Times New Roman"/>
          <w:color w:val="000000"/>
        </w:rPr>
        <w:t>emetrexed</w:t>
      </w:r>
      <w:r>
        <w:rPr>
          <w:rFonts w:ascii="Times New Roman" w:eastAsia="TimesNewRoman" w:hAnsi="Times New Roman"/>
          <w:color w:val="000000"/>
        </w:rPr>
        <w:t>om</w:t>
      </w:r>
      <w:r w:rsidR="00286A74" w:rsidRPr="00D32C41">
        <w:rPr>
          <w:rFonts w:ascii="Times New Roman" w:eastAsia="TimesNewRoman" w:hAnsi="Times New Roman"/>
          <w:color w:val="000000"/>
        </w:rPr>
        <w:t xml:space="preserve"> musí byť </w:t>
      </w:r>
      <w:r>
        <w:rPr>
          <w:rFonts w:ascii="Times New Roman" w:eastAsia="TimesNewRoman" w:hAnsi="Times New Roman"/>
          <w:color w:val="000000"/>
        </w:rPr>
        <w:t>prerušená</w:t>
      </w:r>
      <w:r w:rsidR="00286A74" w:rsidRPr="00D32C41">
        <w:rPr>
          <w:rFonts w:ascii="Times New Roman" w:eastAsia="TimesNewRoman" w:hAnsi="Times New Roman"/>
          <w:color w:val="000000"/>
        </w:rPr>
        <w:t xml:space="preserve"> až do úpravy parametrov na hodnoty nižšie alebo rovnaké ako</w:t>
      </w:r>
      <w:r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 xml:space="preserve">boli hodnoty pred liečbou. Liečba sa </w:t>
      </w:r>
      <w:r w:rsidR="00F97DDA" w:rsidRPr="00D32C41">
        <w:rPr>
          <w:rFonts w:ascii="Times New Roman" w:eastAsia="TimesNewRoman" w:hAnsi="Times New Roman"/>
          <w:color w:val="000000"/>
        </w:rPr>
        <w:t>začne</w:t>
      </w:r>
      <w:r w:rsidR="00286A74" w:rsidRPr="00D32C41">
        <w:rPr>
          <w:rFonts w:ascii="Times New Roman" w:eastAsia="TimesNewRoman" w:hAnsi="Times New Roman"/>
          <w:color w:val="000000"/>
        </w:rPr>
        <w:t xml:space="preserve"> podľa </w:t>
      </w:r>
      <w:r w:rsidR="00723568" w:rsidRPr="00D32C41">
        <w:rPr>
          <w:rFonts w:ascii="Times New Roman" w:eastAsia="TimesNewRoman" w:hAnsi="Times New Roman"/>
          <w:color w:val="000000"/>
        </w:rPr>
        <w:t>pokynov</w:t>
      </w:r>
      <w:r w:rsidR="00286A74" w:rsidRPr="00D32C41">
        <w:rPr>
          <w:rFonts w:ascii="Times New Roman" w:eastAsia="TimesNewRoman" w:hAnsi="Times New Roman"/>
          <w:color w:val="000000"/>
        </w:rPr>
        <w:t xml:space="preserve"> uvedených v tabuľke 2.</w:t>
      </w:r>
    </w:p>
    <w:p w:rsidR="00490D42" w:rsidRPr="00D32C41" w:rsidRDefault="00490D4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90D42" w:rsidRPr="00D32C41" w:rsidTr="00516887">
        <w:tc>
          <w:tcPr>
            <w:tcW w:w="9212" w:type="dxa"/>
            <w:gridSpan w:val="3"/>
            <w:shd w:val="clear" w:color="auto" w:fill="auto"/>
          </w:tcPr>
          <w:p w:rsidR="00490D42" w:rsidRPr="00D32C41" w:rsidRDefault="00490D42" w:rsidP="001C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sz w:val="14"/>
                <w:szCs w:val="14"/>
              </w:rPr>
            </w:pPr>
            <w:r w:rsidRPr="00D32C41">
              <w:rPr>
                <w:rFonts w:ascii="Times New Roman" w:eastAsia="TimesNewRoman,Bold" w:hAnsi="Times New Roman"/>
                <w:b/>
                <w:bCs/>
                <w:color w:val="000000"/>
              </w:rPr>
              <w:t xml:space="preserve">Tabuľka 2 – Tabuľka modifikácie dávky pemetrexedu (v monoterapii alebo v kombinácii) a cisplatiny – Nehematologické toxicity </w:t>
            </w:r>
            <w:r w:rsidRPr="00D32C41">
              <w:rPr>
                <w:rFonts w:ascii="Times New Roman" w:eastAsia="TimesNewRoman,Bold" w:hAnsi="Times New Roman"/>
                <w:b/>
                <w:bCs/>
                <w:color w:val="000000"/>
                <w:vertAlign w:val="superscript"/>
              </w:rPr>
              <w:t>a, b</w:t>
            </w:r>
          </w:p>
        </w:tc>
      </w:tr>
      <w:tr w:rsidR="00490D42" w:rsidRPr="00D32C41" w:rsidTr="00516887">
        <w:tc>
          <w:tcPr>
            <w:tcW w:w="3070" w:type="dxa"/>
            <w:shd w:val="clear" w:color="auto" w:fill="auto"/>
          </w:tcPr>
          <w:p w:rsidR="00490D42" w:rsidRPr="00D32C41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</w:p>
        </w:tc>
        <w:tc>
          <w:tcPr>
            <w:tcW w:w="3071" w:type="dxa"/>
            <w:shd w:val="clear" w:color="auto" w:fill="auto"/>
          </w:tcPr>
          <w:p w:rsidR="00490D42" w:rsidRPr="00D32C41" w:rsidRDefault="00490D42" w:rsidP="001C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</w:rPr>
            </w:pPr>
            <w:r w:rsidRPr="00D32C41">
              <w:rPr>
                <w:rFonts w:ascii="Times New Roman" w:eastAsia="TimesNewRoman,Bold" w:hAnsi="Times New Roman"/>
                <w:bCs/>
                <w:color w:val="000000"/>
              </w:rPr>
              <w:t>Dávka pemetrexedu</w:t>
            </w:r>
            <w:r w:rsidR="001C171C" w:rsidRPr="00D32C41">
              <w:rPr>
                <w:rFonts w:ascii="Times New Roman" w:eastAsia="TimesNewRoman,Bold" w:hAnsi="Times New Roman"/>
                <w:bCs/>
                <w:color w:val="000000"/>
              </w:rPr>
              <w:t xml:space="preserve"> </w:t>
            </w:r>
            <w:r w:rsidRPr="00D32C41">
              <w:rPr>
                <w:rFonts w:ascii="Times New Roman" w:eastAsia="TimesNewRoman,Bold" w:hAnsi="Times New Roman"/>
                <w:bCs/>
                <w:color w:val="000000"/>
              </w:rPr>
              <w:t>(mg/m</w:t>
            </w:r>
            <w:r w:rsidRPr="00D32C41">
              <w:rPr>
                <w:rFonts w:ascii="Times New Roman" w:eastAsia="TimesNewRoman,Bold" w:hAnsi="Times New Roman"/>
                <w:bCs/>
                <w:color w:val="000000"/>
                <w:vertAlign w:val="superscript"/>
              </w:rPr>
              <w:t>2</w:t>
            </w:r>
            <w:r w:rsidRPr="00D32C41">
              <w:rPr>
                <w:rFonts w:ascii="Times New Roman" w:eastAsia="TimesNewRoman,Bold" w:hAnsi="Times New Roman"/>
                <w:bCs/>
                <w:color w:val="000000"/>
              </w:rPr>
              <w:t>)</w:t>
            </w:r>
          </w:p>
        </w:tc>
        <w:tc>
          <w:tcPr>
            <w:tcW w:w="3071" w:type="dxa"/>
            <w:shd w:val="clear" w:color="auto" w:fill="auto"/>
          </w:tcPr>
          <w:p w:rsidR="00490D42" w:rsidRPr="00D32C41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</w:rPr>
            </w:pPr>
            <w:r w:rsidRPr="00D32C41">
              <w:rPr>
                <w:rFonts w:ascii="Times New Roman" w:eastAsia="TimesNewRoman,Bold" w:hAnsi="Times New Roman"/>
                <w:bCs/>
                <w:color w:val="000000"/>
              </w:rPr>
              <w:t>Dávka cisplatiny (mg/m</w:t>
            </w:r>
            <w:r w:rsidRPr="00D32C41">
              <w:rPr>
                <w:rFonts w:ascii="Times New Roman" w:eastAsia="TimesNewRoman,Bold" w:hAnsi="Times New Roman"/>
                <w:bCs/>
                <w:color w:val="000000"/>
                <w:vertAlign w:val="superscript"/>
              </w:rPr>
              <w:t>2</w:t>
            </w:r>
            <w:r w:rsidRPr="00D32C41">
              <w:rPr>
                <w:rFonts w:ascii="Times New Roman" w:eastAsia="TimesNewRoman,Bold" w:hAnsi="Times New Roman"/>
                <w:bCs/>
                <w:color w:val="000000"/>
              </w:rPr>
              <w:t>)</w:t>
            </w:r>
          </w:p>
        </w:tc>
      </w:tr>
      <w:tr w:rsidR="00490D42" w:rsidRPr="00D32C41" w:rsidTr="00516887">
        <w:tc>
          <w:tcPr>
            <w:tcW w:w="3070" w:type="dxa"/>
            <w:shd w:val="clear" w:color="auto" w:fill="auto"/>
          </w:tcPr>
          <w:p w:rsidR="00490D42" w:rsidRPr="00D32C41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Akákoľvek toxicita 3. alebo 4.</w:t>
            </w:r>
            <w:r w:rsidR="00E77E0A" w:rsidRPr="00D32C41">
              <w:rPr>
                <w:rFonts w:ascii="Times New Roman" w:eastAsia="TimesNewRoman" w:hAnsi="Times New Roman"/>
                <w:color w:val="000000"/>
              </w:rPr>
              <w:t xml:space="preserve"> </w:t>
            </w:r>
            <w:r w:rsidRPr="00D32C41">
              <w:rPr>
                <w:rFonts w:ascii="Times New Roman" w:eastAsia="TimesNewRoman" w:hAnsi="Times New Roman"/>
                <w:color w:val="000000"/>
              </w:rPr>
              <w:t>stupňa s výnimkou mukozitídy</w:t>
            </w:r>
          </w:p>
          <w:p w:rsidR="00490D42" w:rsidRPr="00D32C41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</w:p>
        </w:tc>
        <w:tc>
          <w:tcPr>
            <w:tcW w:w="3071" w:type="dxa"/>
            <w:shd w:val="clear" w:color="auto" w:fill="auto"/>
          </w:tcPr>
          <w:p w:rsidR="00490D42" w:rsidRPr="00D32C41" w:rsidRDefault="00490D42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75 % predchádzajúcej</w:t>
            </w:r>
          </w:p>
          <w:p w:rsidR="00490D42" w:rsidRPr="00D32C41" w:rsidRDefault="00490D42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dávky</w:t>
            </w:r>
          </w:p>
          <w:p w:rsidR="00490D42" w:rsidRPr="00D32C41" w:rsidRDefault="00490D42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</w:p>
        </w:tc>
        <w:tc>
          <w:tcPr>
            <w:tcW w:w="3071" w:type="dxa"/>
            <w:shd w:val="clear" w:color="auto" w:fill="auto"/>
          </w:tcPr>
          <w:p w:rsidR="00490D42" w:rsidRPr="00D32C41" w:rsidRDefault="00490D42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75 % predchádzajúcej dávky</w:t>
            </w:r>
          </w:p>
          <w:p w:rsidR="00490D42" w:rsidRPr="00D32C41" w:rsidRDefault="00490D42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</w:p>
        </w:tc>
      </w:tr>
      <w:tr w:rsidR="00490D42" w:rsidRPr="00D32C41" w:rsidTr="00516887">
        <w:tc>
          <w:tcPr>
            <w:tcW w:w="3070" w:type="dxa"/>
            <w:shd w:val="clear" w:color="auto" w:fill="auto"/>
          </w:tcPr>
          <w:p w:rsidR="00490D42" w:rsidRPr="00D32C41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Akákoľvek hnačka s nutnosťou hospitalizácie (bez ohľadu na stupeň) alebo hnačka 3. a 4. stupňa</w:t>
            </w:r>
          </w:p>
          <w:p w:rsidR="00490D42" w:rsidRPr="00D32C41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</w:p>
        </w:tc>
        <w:tc>
          <w:tcPr>
            <w:tcW w:w="3071" w:type="dxa"/>
            <w:shd w:val="clear" w:color="auto" w:fill="auto"/>
          </w:tcPr>
          <w:p w:rsidR="00490D42" w:rsidRPr="00D32C41" w:rsidRDefault="00490D42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75 % predchádzajúcej</w:t>
            </w:r>
          </w:p>
          <w:p w:rsidR="00490D42" w:rsidRPr="00D32C41" w:rsidRDefault="00490D42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dávky</w:t>
            </w:r>
          </w:p>
          <w:p w:rsidR="00490D42" w:rsidRPr="00D32C41" w:rsidRDefault="00490D42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</w:p>
        </w:tc>
        <w:tc>
          <w:tcPr>
            <w:tcW w:w="3071" w:type="dxa"/>
            <w:shd w:val="clear" w:color="auto" w:fill="auto"/>
          </w:tcPr>
          <w:p w:rsidR="00490D42" w:rsidRPr="00D32C41" w:rsidRDefault="00490D42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75 % predchádzajúcej dávky</w:t>
            </w:r>
          </w:p>
          <w:p w:rsidR="00490D42" w:rsidRPr="00D32C41" w:rsidRDefault="00490D42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</w:p>
        </w:tc>
      </w:tr>
      <w:tr w:rsidR="00490D42" w:rsidRPr="00D32C41" w:rsidTr="00516887">
        <w:tc>
          <w:tcPr>
            <w:tcW w:w="3070" w:type="dxa"/>
            <w:shd w:val="clear" w:color="auto" w:fill="auto"/>
          </w:tcPr>
          <w:p w:rsidR="00490D42" w:rsidRPr="00D32C41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Mukozitída 3. a 4. stupňa</w:t>
            </w:r>
          </w:p>
        </w:tc>
        <w:tc>
          <w:tcPr>
            <w:tcW w:w="3071" w:type="dxa"/>
            <w:shd w:val="clear" w:color="auto" w:fill="auto"/>
          </w:tcPr>
          <w:p w:rsidR="00490D42" w:rsidRPr="00D32C41" w:rsidRDefault="00490D42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50 % predchádzajúcej</w:t>
            </w:r>
          </w:p>
          <w:p w:rsidR="00490D42" w:rsidRPr="00D32C41" w:rsidRDefault="00490D42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dávky</w:t>
            </w:r>
          </w:p>
          <w:p w:rsidR="00490D42" w:rsidRPr="00D32C41" w:rsidRDefault="00490D42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</w:p>
        </w:tc>
        <w:tc>
          <w:tcPr>
            <w:tcW w:w="3071" w:type="dxa"/>
            <w:shd w:val="clear" w:color="auto" w:fill="auto"/>
          </w:tcPr>
          <w:p w:rsidR="00490D42" w:rsidRPr="00D32C41" w:rsidRDefault="00490D42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100 % predchádzajúcej dávky</w:t>
            </w:r>
          </w:p>
          <w:p w:rsidR="00490D42" w:rsidRPr="00D32C41" w:rsidRDefault="00490D42" w:rsidP="0019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color w:val="000000"/>
              </w:rPr>
            </w:pPr>
          </w:p>
        </w:tc>
      </w:tr>
    </w:tbl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  <w:vertAlign w:val="superscript"/>
        </w:rPr>
        <w:t>a</w:t>
      </w:r>
      <w:r w:rsidRPr="00D32C41">
        <w:rPr>
          <w:rFonts w:ascii="Times New Roman" w:eastAsia="TimesNewRoman" w:hAnsi="Times New Roman"/>
          <w:color w:val="000000"/>
          <w:sz w:val="14"/>
          <w:szCs w:val="14"/>
        </w:rPr>
        <w:t xml:space="preserve"> </w:t>
      </w:r>
      <w:r w:rsidR="00797E91" w:rsidRPr="00D32C41">
        <w:rPr>
          <w:rFonts w:ascii="Times New Roman" w:eastAsia="TimesNewRoman" w:hAnsi="Times New Roman"/>
          <w:color w:val="000000"/>
        </w:rPr>
        <w:t>Všeobecné k</w:t>
      </w:r>
      <w:r w:rsidRPr="00D32C41">
        <w:rPr>
          <w:rFonts w:ascii="Times New Roman" w:eastAsia="TimesNewRoman" w:hAnsi="Times New Roman"/>
          <w:color w:val="000000"/>
        </w:rPr>
        <w:t>ritériá toxicity (CTC) podľa „National Cancer Institute“ (v2.0; NCI 1998)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  <w:vertAlign w:val="superscript"/>
        </w:rPr>
        <w:t>b</w:t>
      </w:r>
      <w:r w:rsidRPr="00D32C41">
        <w:rPr>
          <w:rFonts w:ascii="Times New Roman" w:eastAsia="TimesNewRoman" w:hAnsi="Times New Roman"/>
          <w:color w:val="000000"/>
          <w:sz w:val="14"/>
          <w:szCs w:val="14"/>
        </w:rPr>
        <w:t xml:space="preserve"> </w:t>
      </w:r>
      <w:r w:rsidR="00490D42" w:rsidRPr="00D32C41">
        <w:rPr>
          <w:rFonts w:ascii="Times New Roman" w:eastAsia="TimesNewRoman" w:hAnsi="Times New Roman"/>
          <w:color w:val="000000"/>
        </w:rPr>
        <w:t>S</w:t>
      </w:r>
      <w:r w:rsidRPr="00D32C41">
        <w:rPr>
          <w:rFonts w:ascii="Times New Roman" w:eastAsia="TimesNewRoman" w:hAnsi="Times New Roman"/>
          <w:color w:val="000000"/>
        </w:rPr>
        <w:t xml:space="preserve"> výnimkou neurotoxicity</w:t>
      </w:r>
    </w:p>
    <w:p w:rsidR="00490D42" w:rsidRPr="00D32C41" w:rsidRDefault="00490D4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490D4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V prípade neurotoxicity</w:t>
      </w:r>
      <w:r w:rsidR="009C3F50" w:rsidRPr="00D32C41">
        <w:rPr>
          <w:rFonts w:ascii="Times New Roman" w:eastAsia="TimesNewRoman" w:hAnsi="Times New Roman"/>
          <w:color w:val="000000"/>
        </w:rPr>
        <w:t xml:space="preserve">, </w:t>
      </w:r>
      <w:r w:rsidR="00286A74" w:rsidRPr="00D32C41">
        <w:rPr>
          <w:rFonts w:ascii="Times New Roman" w:eastAsia="TimesNewRoman" w:hAnsi="Times New Roman"/>
          <w:color w:val="000000"/>
        </w:rPr>
        <w:t xml:space="preserve">odporúčaná úprava dávky </w:t>
      </w:r>
      <w:r w:rsidRPr="00D32C41">
        <w:rPr>
          <w:rFonts w:ascii="Times New Roman" w:eastAsia="TimesNewRoman" w:hAnsi="Times New Roman"/>
          <w:color w:val="000000"/>
        </w:rPr>
        <w:t>p</w:t>
      </w:r>
      <w:r w:rsidR="00286A74" w:rsidRPr="00D32C41">
        <w:rPr>
          <w:rFonts w:ascii="Times New Roman" w:eastAsia="TimesNewRoman" w:hAnsi="Times New Roman"/>
          <w:color w:val="000000"/>
        </w:rPr>
        <w:t>emetrexed</w:t>
      </w:r>
      <w:r w:rsidRPr="00D32C41">
        <w:rPr>
          <w:rFonts w:ascii="Times New Roman" w:eastAsia="TimesNewRoman" w:hAnsi="Times New Roman"/>
          <w:color w:val="000000"/>
        </w:rPr>
        <w:t>u</w:t>
      </w:r>
      <w:r w:rsidR="00286A74" w:rsidRPr="00D32C41">
        <w:rPr>
          <w:rFonts w:ascii="Times New Roman" w:eastAsia="TimesNewRoman" w:hAnsi="Times New Roman"/>
          <w:color w:val="000000"/>
        </w:rPr>
        <w:t xml:space="preserve"> a cisplatin</w:t>
      </w:r>
      <w:r w:rsidRPr="00D32C41">
        <w:rPr>
          <w:rFonts w:ascii="Times New Roman" w:eastAsia="TimesNewRoman" w:hAnsi="Times New Roman"/>
          <w:color w:val="000000"/>
        </w:rPr>
        <w:t>y</w:t>
      </w:r>
      <w:r w:rsidR="00286A74" w:rsidRPr="00D32C41">
        <w:rPr>
          <w:rFonts w:ascii="Times New Roman" w:eastAsia="TimesNewRoman" w:hAnsi="Times New Roman"/>
          <w:color w:val="000000"/>
        </w:rPr>
        <w:t xml:space="preserve"> je uvedená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v tabuľke 3. Pacienti musia prerušiť liečbu pri výskyte neurotoxicity 3.alebo 4. stupňa.</w:t>
      </w:r>
    </w:p>
    <w:p w:rsidR="00490D42" w:rsidRPr="00D32C41" w:rsidRDefault="00490D4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90D42" w:rsidRPr="00D32C41" w:rsidTr="00516887">
        <w:tc>
          <w:tcPr>
            <w:tcW w:w="9212" w:type="dxa"/>
            <w:gridSpan w:val="3"/>
            <w:shd w:val="clear" w:color="auto" w:fill="auto"/>
          </w:tcPr>
          <w:p w:rsidR="00490D42" w:rsidRPr="00D32C41" w:rsidRDefault="00490D42" w:rsidP="001C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</w:rPr>
            </w:pPr>
            <w:r w:rsidRPr="00D32C41">
              <w:rPr>
                <w:rFonts w:ascii="Times New Roman" w:eastAsia="TimesNewRoman,Bold" w:hAnsi="Times New Roman"/>
                <w:b/>
                <w:bCs/>
                <w:color w:val="000000"/>
              </w:rPr>
              <w:t>Tabuľka 3 – Modifikácia dávky pemetrexedu (v monoterapii alebo v kombinácii)</w:t>
            </w:r>
          </w:p>
          <w:p w:rsidR="00490D42" w:rsidRPr="00D32C41" w:rsidRDefault="00490D42" w:rsidP="001C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</w:rPr>
            </w:pPr>
            <w:r w:rsidRPr="00D32C41">
              <w:rPr>
                <w:rFonts w:ascii="Times New Roman" w:eastAsia="TimesNewRoman,Bold" w:hAnsi="Times New Roman"/>
                <w:b/>
                <w:bCs/>
                <w:color w:val="000000"/>
              </w:rPr>
              <w:t>a cisplatiny – Neurotoxicita</w:t>
            </w:r>
          </w:p>
        </w:tc>
      </w:tr>
      <w:tr w:rsidR="00490D42" w:rsidRPr="00D32C41" w:rsidTr="00516887">
        <w:tc>
          <w:tcPr>
            <w:tcW w:w="3070" w:type="dxa"/>
            <w:shd w:val="clear" w:color="auto" w:fill="auto"/>
          </w:tcPr>
          <w:p w:rsidR="00490D42" w:rsidRPr="005A64B1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146D04">
              <w:rPr>
                <w:rFonts w:ascii="Times New Roman" w:eastAsia="TimesNewRoman,Bold" w:hAnsi="Times New Roman"/>
                <w:bCs/>
                <w:color w:val="000000"/>
              </w:rPr>
              <w:t>Stupeň CTC</w:t>
            </w:r>
            <w:r w:rsidRPr="00146D04">
              <w:rPr>
                <w:rFonts w:ascii="Times New Roman" w:eastAsia="TimesNewRoman,Bold" w:hAnsi="Times New Roman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3071" w:type="dxa"/>
            <w:shd w:val="clear" w:color="auto" w:fill="auto"/>
          </w:tcPr>
          <w:p w:rsidR="00490D42" w:rsidRPr="00146D04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</w:rPr>
            </w:pPr>
            <w:r w:rsidRPr="00146D04">
              <w:rPr>
                <w:rFonts w:ascii="Times New Roman" w:eastAsia="TimesNewRoman,Bold" w:hAnsi="Times New Roman"/>
                <w:bCs/>
                <w:color w:val="000000"/>
              </w:rPr>
              <w:t>Dávka pemetrexedu</w:t>
            </w:r>
          </w:p>
          <w:p w:rsidR="00490D42" w:rsidRPr="00146D04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</w:rPr>
            </w:pPr>
            <w:r w:rsidRPr="00146D04">
              <w:rPr>
                <w:rFonts w:ascii="Times New Roman" w:eastAsia="TimesNewRoman,Bold" w:hAnsi="Times New Roman"/>
                <w:bCs/>
                <w:color w:val="000000"/>
              </w:rPr>
              <w:t>(mg/m</w:t>
            </w:r>
            <w:r w:rsidRPr="00146D04">
              <w:rPr>
                <w:rFonts w:ascii="Times New Roman" w:eastAsia="TimesNewRoman,Bold" w:hAnsi="Times New Roman"/>
                <w:bCs/>
                <w:color w:val="000000"/>
                <w:vertAlign w:val="superscript"/>
              </w:rPr>
              <w:t>2</w:t>
            </w:r>
            <w:r w:rsidRPr="00146D04">
              <w:rPr>
                <w:rFonts w:ascii="Times New Roman" w:eastAsia="TimesNewRoman,Bold" w:hAnsi="Times New Roman"/>
                <w:bCs/>
                <w:color w:val="000000"/>
              </w:rPr>
              <w:t>)</w:t>
            </w:r>
          </w:p>
        </w:tc>
        <w:tc>
          <w:tcPr>
            <w:tcW w:w="3071" w:type="dxa"/>
            <w:shd w:val="clear" w:color="auto" w:fill="auto"/>
          </w:tcPr>
          <w:p w:rsidR="00490D42" w:rsidRPr="00146D04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</w:rPr>
            </w:pPr>
            <w:r w:rsidRPr="00146D04">
              <w:rPr>
                <w:rFonts w:ascii="Times New Roman" w:eastAsia="TimesNewRoman,Bold" w:hAnsi="Times New Roman"/>
                <w:bCs/>
                <w:color w:val="000000"/>
              </w:rPr>
              <w:t>Dávka cisplatiny (mg/m</w:t>
            </w:r>
            <w:r w:rsidRPr="00146D04">
              <w:rPr>
                <w:rFonts w:ascii="Times New Roman" w:eastAsia="TimesNewRoman,Bold" w:hAnsi="Times New Roman"/>
                <w:bCs/>
                <w:color w:val="000000"/>
                <w:vertAlign w:val="superscript"/>
              </w:rPr>
              <w:t>2</w:t>
            </w:r>
            <w:r w:rsidRPr="00146D04">
              <w:rPr>
                <w:rFonts w:ascii="Times New Roman" w:eastAsia="TimesNewRoman,Bold" w:hAnsi="Times New Roman"/>
                <w:bCs/>
                <w:color w:val="000000"/>
              </w:rPr>
              <w:t>)</w:t>
            </w:r>
          </w:p>
        </w:tc>
      </w:tr>
      <w:tr w:rsidR="00490D42" w:rsidRPr="00D32C41" w:rsidTr="00516887">
        <w:tc>
          <w:tcPr>
            <w:tcW w:w="3070" w:type="dxa"/>
            <w:shd w:val="clear" w:color="auto" w:fill="auto"/>
          </w:tcPr>
          <w:p w:rsidR="00490D42" w:rsidRPr="00D32C41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  <w:sz w:val="24"/>
                <w:szCs w:val="24"/>
              </w:rPr>
              <w:t>0 – 1</w:t>
            </w:r>
          </w:p>
        </w:tc>
        <w:tc>
          <w:tcPr>
            <w:tcW w:w="3071" w:type="dxa"/>
            <w:shd w:val="clear" w:color="auto" w:fill="auto"/>
          </w:tcPr>
          <w:p w:rsidR="00490D42" w:rsidRPr="00D32C41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100 % predchádzajúcej dávky</w:t>
            </w:r>
          </w:p>
          <w:p w:rsidR="00490D42" w:rsidRPr="00D32C41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</w:p>
        </w:tc>
        <w:tc>
          <w:tcPr>
            <w:tcW w:w="3071" w:type="dxa"/>
            <w:shd w:val="clear" w:color="auto" w:fill="auto"/>
          </w:tcPr>
          <w:p w:rsidR="00490D42" w:rsidRPr="00D32C41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100 % predchádzajúcej dávky</w:t>
            </w:r>
          </w:p>
          <w:p w:rsidR="00490D42" w:rsidRPr="00D32C41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</w:p>
        </w:tc>
      </w:tr>
      <w:tr w:rsidR="00490D42" w:rsidRPr="00D32C41" w:rsidTr="00516887">
        <w:tc>
          <w:tcPr>
            <w:tcW w:w="3070" w:type="dxa"/>
            <w:shd w:val="clear" w:color="auto" w:fill="auto"/>
          </w:tcPr>
          <w:p w:rsidR="00490D42" w:rsidRPr="00D32C41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:rsidR="00490D42" w:rsidRPr="00D32C41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100 % predchádzajúcej dávky</w:t>
            </w:r>
          </w:p>
          <w:p w:rsidR="00490D42" w:rsidRPr="00D32C41" w:rsidRDefault="00490D42" w:rsidP="0051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</w:p>
        </w:tc>
        <w:tc>
          <w:tcPr>
            <w:tcW w:w="3071" w:type="dxa"/>
            <w:shd w:val="clear" w:color="auto" w:fill="auto"/>
          </w:tcPr>
          <w:p w:rsidR="00490D42" w:rsidRPr="00D32C41" w:rsidRDefault="00490D42" w:rsidP="00451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</w:rPr>
            </w:pPr>
            <w:r w:rsidRPr="00D32C41">
              <w:rPr>
                <w:rFonts w:ascii="Times New Roman" w:eastAsia="TimesNewRoman" w:hAnsi="Times New Roman"/>
                <w:color w:val="000000"/>
              </w:rPr>
              <w:t>50 % predchádzajúcej dávky</w:t>
            </w:r>
          </w:p>
        </w:tc>
      </w:tr>
    </w:tbl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  <w:vertAlign w:val="superscript"/>
        </w:rPr>
        <w:t>a</w:t>
      </w:r>
      <w:r w:rsidRPr="00D32C41">
        <w:rPr>
          <w:rFonts w:ascii="Times New Roman" w:eastAsia="TimesNewRoman" w:hAnsi="Times New Roman"/>
          <w:color w:val="000000"/>
          <w:sz w:val="14"/>
          <w:szCs w:val="14"/>
        </w:rPr>
        <w:t xml:space="preserve"> </w:t>
      </w:r>
      <w:r w:rsidR="00F616D1" w:rsidRPr="00D32C41">
        <w:rPr>
          <w:rFonts w:ascii="Times New Roman" w:eastAsia="TimesNewRoman" w:hAnsi="Times New Roman"/>
          <w:color w:val="000000"/>
        </w:rPr>
        <w:t>Všeobecné k</w:t>
      </w:r>
      <w:r w:rsidRPr="00D32C41">
        <w:rPr>
          <w:rFonts w:ascii="Times New Roman" w:eastAsia="TimesNewRoman" w:hAnsi="Times New Roman"/>
          <w:color w:val="000000"/>
        </w:rPr>
        <w:t>ritériá toxicity (CTC) podľa „National Cancer Institute“ (v2.0; NCI 1998)</w:t>
      </w:r>
    </w:p>
    <w:p w:rsidR="004D437A" w:rsidRPr="00D32C41" w:rsidRDefault="004D437A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Liečba </w:t>
      </w:r>
      <w:r w:rsidR="00490D42" w:rsidRPr="00D32C41">
        <w:rPr>
          <w:rFonts w:ascii="Times New Roman" w:eastAsia="TimesNewRoman" w:hAnsi="Times New Roman"/>
          <w:color w:val="000000"/>
        </w:rPr>
        <w:t>p</w:t>
      </w:r>
      <w:r w:rsidRPr="00D32C41">
        <w:rPr>
          <w:rFonts w:ascii="Times New Roman" w:eastAsia="TimesNewRoman" w:hAnsi="Times New Roman"/>
          <w:color w:val="000000"/>
        </w:rPr>
        <w:t>emetrexedom musí byť prerušená, ak sa u pacienta vyskytne hematologická alebo</w:t>
      </w:r>
      <w:r w:rsidR="00490D42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nehematologická toxicita 3. alebo 4. stupňa po 2 redukciách dávky alebo okamžite</w:t>
      </w:r>
      <w:r w:rsidR="006A3B80" w:rsidRPr="00D32C41">
        <w:rPr>
          <w:rFonts w:ascii="Times New Roman" w:eastAsia="TimesNewRoman" w:hAnsi="Times New Roman"/>
          <w:color w:val="000000"/>
        </w:rPr>
        <w:t>,</w:t>
      </w:r>
      <w:r w:rsidRPr="00D32C41">
        <w:rPr>
          <w:rFonts w:ascii="Times New Roman" w:eastAsia="TimesNewRoman" w:hAnsi="Times New Roman"/>
          <w:color w:val="000000"/>
        </w:rPr>
        <w:t xml:space="preserve"> ak sa vyskytne</w:t>
      </w:r>
      <w:r w:rsidR="0094706B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neurotoxicita 3. alebo 4. stupňa.</w:t>
      </w:r>
    </w:p>
    <w:p w:rsidR="00490D42" w:rsidRPr="00D32C41" w:rsidRDefault="00490D4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1C171C" w:rsidRPr="00D32C41" w:rsidRDefault="001C171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/>
          <w:iCs/>
          <w:color w:val="000000"/>
          <w:u w:val="single"/>
        </w:rPr>
      </w:pPr>
      <w:r w:rsidRPr="00D32C41">
        <w:rPr>
          <w:rFonts w:ascii="Times New Roman" w:eastAsia="TimesNewRoman,Bold" w:hAnsi="Times New Roman"/>
          <w:i/>
          <w:iCs/>
          <w:color w:val="000000"/>
          <w:u w:val="single"/>
        </w:rPr>
        <w:t>Osobitné populácie</w:t>
      </w:r>
    </w:p>
    <w:p w:rsidR="001C171C" w:rsidRPr="00D32C41" w:rsidRDefault="001C171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/>
          <w:iCs/>
          <w:color w:val="000000"/>
        </w:rPr>
      </w:pPr>
    </w:p>
    <w:p w:rsidR="000E18BF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color w:val="000000"/>
        </w:rPr>
      </w:pPr>
      <w:r w:rsidRPr="00D32C41">
        <w:rPr>
          <w:rFonts w:ascii="Times New Roman" w:eastAsia="TimesNewRoman,Bold" w:hAnsi="Times New Roman"/>
          <w:i/>
          <w:iCs/>
          <w:color w:val="000000"/>
        </w:rPr>
        <w:t>Starší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="000E18BF" w:rsidRPr="00D32C41">
        <w:rPr>
          <w:rFonts w:ascii="Times New Roman" w:eastAsia="TimesNewRoman" w:hAnsi="Times New Roman"/>
          <w:i/>
          <w:color w:val="000000"/>
        </w:rPr>
        <w:t>pacienti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V klinických štúdiách neboli zistené žiadne údaje</w:t>
      </w:r>
      <w:r w:rsidR="005A64B1">
        <w:rPr>
          <w:rFonts w:ascii="Times New Roman" w:eastAsia="TimesNewRoman" w:hAnsi="Times New Roman"/>
          <w:color w:val="000000"/>
        </w:rPr>
        <w:t xml:space="preserve"> o tom</w:t>
      </w:r>
      <w:r w:rsidRPr="00D32C41">
        <w:rPr>
          <w:rFonts w:ascii="Times New Roman" w:eastAsia="TimesNewRoman" w:hAnsi="Times New Roman"/>
          <w:color w:val="000000"/>
        </w:rPr>
        <w:t xml:space="preserve">, </w:t>
      </w:r>
      <w:r w:rsidR="005A64B1">
        <w:rPr>
          <w:rFonts w:ascii="Times New Roman" w:eastAsia="TimesNewRoman" w:hAnsi="Times New Roman"/>
          <w:color w:val="000000"/>
        </w:rPr>
        <w:t>že by</w:t>
      </w:r>
      <w:r w:rsidRPr="00D32C41">
        <w:rPr>
          <w:rFonts w:ascii="Times New Roman" w:eastAsia="TimesNewRoman" w:hAnsi="Times New Roman"/>
          <w:color w:val="000000"/>
        </w:rPr>
        <w:t xml:space="preserve"> pacienti vo veku 65 rokov a starší mali</w:t>
      </w:r>
      <w:r w:rsidR="00490D42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vyššie riziko nežiaducich účinkov v porovnaní s pacientmi mladšími ako 65 rokov. Nie je nutné žiadne</w:t>
      </w:r>
      <w:r w:rsidR="00490D42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zníženie dávky okrem prípadov, </w:t>
      </w:r>
      <w:r w:rsidR="00A0178F" w:rsidRPr="00D32C41">
        <w:rPr>
          <w:rFonts w:ascii="Times New Roman" w:eastAsia="TimesNewRoman" w:hAnsi="Times New Roman"/>
          <w:color w:val="000000"/>
        </w:rPr>
        <w:t>ak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="000027A0" w:rsidRPr="00D32C41">
        <w:rPr>
          <w:rFonts w:ascii="Times New Roman" w:eastAsia="TimesNewRoman" w:hAnsi="Times New Roman"/>
          <w:color w:val="000000"/>
        </w:rPr>
        <w:t>sa odporúča</w:t>
      </w:r>
      <w:r w:rsidRPr="00D32C41">
        <w:rPr>
          <w:rFonts w:ascii="Times New Roman" w:eastAsia="TimesNewRoman" w:hAnsi="Times New Roman"/>
          <w:color w:val="000000"/>
        </w:rPr>
        <w:t xml:space="preserve"> pre všetkých pacientov.</w:t>
      </w:r>
    </w:p>
    <w:p w:rsidR="000027A0" w:rsidRPr="00D32C41" w:rsidRDefault="000027A0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494941" w:rsidRPr="00D32C41" w:rsidRDefault="00494941" w:rsidP="00494941">
      <w:pPr>
        <w:pStyle w:val="Default"/>
        <w:rPr>
          <w:sz w:val="22"/>
          <w:szCs w:val="22"/>
        </w:rPr>
      </w:pPr>
      <w:r w:rsidRPr="00D32C41">
        <w:rPr>
          <w:i/>
          <w:iCs/>
          <w:sz w:val="22"/>
          <w:szCs w:val="22"/>
        </w:rPr>
        <w:t xml:space="preserve">Pediatrická populácia </w:t>
      </w:r>
    </w:p>
    <w:p w:rsidR="00494941" w:rsidRPr="00D32C41" w:rsidRDefault="00494941" w:rsidP="0049494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Použitie pemetrexedu pri liečbe malígneho mezoteliómu pleury a nemalobunkového karcinómu pľúc sa netýka pediatrickej populácie.</w:t>
      </w:r>
    </w:p>
    <w:p w:rsidR="00494941" w:rsidRPr="00D32C41" w:rsidRDefault="00494941" w:rsidP="0049494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B02D97" w:rsidRPr="00D32C41" w:rsidRDefault="00B02D97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/>
          <w:iCs/>
          <w:color w:val="000000"/>
        </w:rPr>
      </w:pPr>
      <w:r w:rsidRPr="00D32C41">
        <w:rPr>
          <w:rFonts w:ascii="Times New Roman" w:eastAsia="TimesNewRoman,Bold" w:hAnsi="Times New Roman"/>
          <w:i/>
          <w:iCs/>
          <w:color w:val="000000"/>
        </w:rPr>
        <w:t xml:space="preserve">Porucha </w:t>
      </w:r>
      <w:r w:rsidR="000027A0" w:rsidRPr="00D32C41">
        <w:rPr>
          <w:rFonts w:ascii="Times New Roman" w:eastAsia="TimesNewRoman,Bold" w:hAnsi="Times New Roman"/>
          <w:i/>
          <w:iCs/>
          <w:color w:val="000000"/>
        </w:rPr>
        <w:t>funkcie</w:t>
      </w:r>
      <w:r w:rsidR="00286A74" w:rsidRPr="00D32C41">
        <w:rPr>
          <w:rFonts w:ascii="Times New Roman" w:eastAsia="TimesNewRoman,Bold" w:hAnsi="Times New Roman"/>
          <w:i/>
          <w:iCs/>
          <w:color w:val="000000"/>
        </w:rPr>
        <w:t xml:space="preserve"> obličiek </w:t>
      </w:r>
      <w:r w:rsidR="001C171C" w:rsidRPr="00D32C41">
        <w:rPr>
          <w:rFonts w:ascii="Times New Roman" w:eastAsia="TimesNewRoman,Bold" w:hAnsi="Times New Roman"/>
          <w:i/>
          <w:iCs/>
          <w:color w:val="000000"/>
        </w:rPr>
        <w:t xml:space="preserve">(Štandardný Cockcroftov a Gaultov vzorec alebo </w:t>
      </w:r>
      <w:r w:rsidR="005A64B1">
        <w:rPr>
          <w:rFonts w:ascii="Times New Roman" w:eastAsia="TimesNewRoman,Bold" w:hAnsi="Times New Roman"/>
          <w:i/>
          <w:iCs/>
          <w:color w:val="000000"/>
        </w:rPr>
        <w:t xml:space="preserve">rýchlosť </w:t>
      </w:r>
      <w:r w:rsidR="001C171C" w:rsidRPr="00D32C41">
        <w:rPr>
          <w:rFonts w:ascii="Times New Roman" w:eastAsia="TimesNewRoman,Bold" w:hAnsi="Times New Roman"/>
          <w:i/>
          <w:iCs/>
          <w:color w:val="000000"/>
        </w:rPr>
        <w:t>glomerulárn</w:t>
      </w:r>
      <w:r w:rsidR="005A64B1">
        <w:rPr>
          <w:rFonts w:ascii="Times New Roman" w:eastAsia="TimesNewRoman,Bold" w:hAnsi="Times New Roman"/>
          <w:i/>
          <w:iCs/>
          <w:color w:val="000000"/>
        </w:rPr>
        <w:t>ej</w:t>
      </w:r>
      <w:r w:rsidR="001C171C" w:rsidRPr="00D32C41">
        <w:rPr>
          <w:rFonts w:ascii="Times New Roman" w:eastAsia="TimesNewRoman,Bold" w:hAnsi="Times New Roman"/>
          <w:i/>
          <w:iCs/>
          <w:color w:val="000000"/>
        </w:rPr>
        <w:t xml:space="preserve"> filtráci</w:t>
      </w:r>
      <w:r w:rsidR="005A64B1">
        <w:rPr>
          <w:rFonts w:ascii="Times New Roman" w:eastAsia="TimesNewRoman,Bold" w:hAnsi="Times New Roman"/>
          <w:i/>
          <w:iCs/>
          <w:color w:val="000000"/>
        </w:rPr>
        <w:t>e</w:t>
      </w:r>
      <w:r w:rsidR="001C171C" w:rsidRPr="00D32C41">
        <w:rPr>
          <w:rFonts w:ascii="Times New Roman" w:eastAsia="TimesNewRoman,Bold" w:hAnsi="Times New Roman"/>
          <w:i/>
          <w:iCs/>
          <w:color w:val="000000"/>
        </w:rPr>
        <w:t xml:space="preserve"> meraná metódou klírensu Tc99m-DPTA v sére)</w:t>
      </w:r>
    </w:p>
    <w:p w:rsidR="00286A74" w:rsidRPr="00D32C41" w:rsidRDefault="000027A0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</w:t>
      </w:r>
      <w:r w:rsidR="00286A74" w:rsidRPr="00D32C41">
        <w:rPr>
          <w:rFonts w:ascii="Times New Roman" w:eastAsia="TimesNewRoman" w:hAnsi="Times New Roman"/>
          <w:color w:val="000000"/>
        </w:rPr>
        <w:t>emetrexed sa primárne vylučuje v nezmenenej forme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obličkami. V klinických štúdiách nebola u pacientov s klírensom kreatinínu ≥ 45 ml/min potrebná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 xml:space="preserve">žiadna úprava dávky </w:t>
      </w:r>
      <w:r w:rsidRPr="00D32C41">
        <w:rPr>
          <w:rFonts w:ascii="Times New Roman" w:eastAsia="TimesNewRoman" w:hAnsi="Times New Roman"/>
          <w:color w:val="000000"/>
        </w:rPr>
        <w:t>okrem</w:t>
      </w:r>
      <w:r w:rsidR="00286A74" w:rsidRPr="00D32C41">
        <w:rPr>
          <w:rFonts w:ascii="Times New Roman" w:eastAsia="TimesNewRoman" w:hAnsi="Times New Roman"/>
          <w:color w:val="000000"/>
        </w:rPr>
        <w:t xml:space="preserve"> úprav</w:t>
      </w:r>
      <w:r w:rsidR="006040CB" w:rsidRPr="00D32C41">
        <w:rPr>
          <w:rFonts w:ascii="Times New Roman" w:eastAsia="TimesNewRoman" w:hAnsi="Times New Roman"/>
          <w:color w:val="000000"/>
        </w:rPr>
        <w:t>,</w:t>
      </w:r>
      <w:r w:rsidR="00286A74" w:rsidRPr="00D32C41">
        <w:rPr>
          <w:rFonts w:ascii="Times New Roman" w:eastAsia="TimesNewRoman" w:hAnsi="Times New Roman"/>
          <w:color w:val="000000"/>
        </w:rPr>
        <w:t xml:space="preserve"> odporúčaných pre všetkých pacientov. Nie sú dostatočné </w:t>
      </w:r>
      <w:r w:rsidR="006040CB" w:rsidRPr="00D32C41">
        <w:rPr>
          <w:rFonts w:ascii="Times New Roman" w:eastAsia="TimesNewRoman" w:hAnsi="Times New Roman"/>
          <w:color w:val="000000"/>
        </w:rPr>
        <w:t>údaje</w:t>
      </w:r>
      <w:r w:rsidR="00286A74" w:rsidRPr="00D32C41">
        <w:rPr>
          <w:rFonts w:ascii="Times New Roman" w:eastAsia="TimesNewRoman" w:hAnsi="Times New Roman"/>
          <w:color w:val="000000"/>
        </w:rPr>
        <w:t xml:space="preserve"> o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použití pemetrexedu u pacientov s klírensom kreatinínu pod 45 ml/min a preto sa použitie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pemetrexedu u týchto pacientov neodporúča (pozri časť 4.4).</w:t>
      </w:r>
    </w:p>
    <w:p w:rsidR="000027A0" w:rsidRPr="00D32C41" w:rsidRDefault="000027A0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B02D97" w:rsidRPr="00D32C41" w:rsidRDefault="00B02D97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,Bold" w:hAnsi="Times New Roman"/>
          <w:i/>
          <w:iCs/>
          <w:color w:val="000000"/>
        </w:rPr>
        <w:t xml:space="preserve">Porucha </w:t>
      </w:r>
      <w:r w:rsidR="000027A0" w:rsidRPr="00D32C41">
        <w:rPr>
          <w:rFonts w:ascii="Times New Roman" w:eastAsia="TimesNewRoman,Bold" w:hAnsi="Times New Roman"/>
          <w:i/>
          <w:iCs/>
          <w:color w:val="000000"/>
        </w:rPr>
        <w:t xml:space="preserve">funkcie </w:t>
      </w:r>
      <w:r w:rsidR="00286A74" w:rsidRPr="00D32C41">
        <w:rPr>
          <w:rFonts w:ascii="Times New Roman" w:eastAsia="TimesNewRoman,Bold" w:hAnsi="Times New Roman"/>
          <w:i/>
          <w:iCs/>
          <w:color w:val="000000"/>
        </w:rPr>
        <w:t>pečene</w:t>
      </w:r>
      <w:r w:rsidR="00286A74" w:rsidRPr="00D32C41">
        <w:rPr>
          <w:rFonts w:ascii="Times New Roman" w:eastAsia="TimesNewRoman" w:hAnsi="Times New Roman"/>
          <w:color w:val="000000"/>
        </w:rPr>
        <w:t xml:space="preserve"> 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Nebol zistený žiadny vzťah medzi AST (SGOT), ALT (SGPT) alebo celkovým</w:t>
      </w:r>
      <w:r w:rsidR="000027A0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bilirubínom a farmakokinetikou pemetrexedu. </w:t>
      </w:r>
      <w:r w:rsidR="00977CD5" w:rsidRPr="00D32C41">
        <w:rPr>
          <w:rFonts w:ascii="Times New Roman" w:eastAsia="TimesNewRoman" w:hAnsi="Times New Roman"/>
          <w:color w:val="000000"/>
        </w:rPr>
        <w:t>Avšak</w:t>
      </w:r>
      <w:r w:rsidRPr="00D32C41">
        <w:rPr>
          <w:rFonts w:ascii="Times New Roman" w:eastAsia="TimesNewRoman" w:hAnsi="Times New Roman"/>
          <w:color w:val="000000"/>
        </w:rPr>
        <w:t xml:space="preserve"> pacienti s po</w:t>
      </w:r>
      <w:r w:rsidR="00C24719" w:rsidRPr="00D32C41">
        <w:rPr>
          <w:rFonts w:ascii="Times New Roman" w:eastAsia="TimesNewRoman" w:hAnsi="Times New Roman"/>
          <w:color w:val="000000"/>
        </w:rPr>
        <w:t>ruchou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="000027A0" w:rsidRPr="00D32C41">
        <w:rPr>
          <w:rFonts w:ascii="Times New Roman" w:eastAsia="TimesNewRoman" w:hAnsi="Times New Roman"/>
          <w:color w:val="000000"/>
        </w:rPr>
        <w:t xml:space="preserve">funkcie pečene </w:t>
      </w:r>
      <w:r w:rsidRPr="00D32C41">
        <w:rPr>
          <w:rFonts w:ascii="Times New Roman" w:eastAsia="TimesNewRoman" w:hAnsi="Times New Roman"/>
          <w:color w:val="000000"/>
        </w:rPr>
        <w:t>s</w:t>
      </w:r>
      <w:r w:rsidR="000027A0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bilirubínom &gt; 1,5-krát </w:t>
      </w:r>
      <w:r w:rsidR="005A64B1">
        <w:rPr>
          <w:rFonts w:ascii="Times New Roman" w:eastAsia="TimesNewRoman" w:hAnsi="Times New Roman"/>
          <w:color w:val="000000"/>
        </w:rPr>
        <w:t xml:space="preserve">vyšším </w:t>
      </w:r>
      <w:r w:rsidRPr="00D32C41">
        <w:rPr>
          <w:rFonts w:ascii="Times New Roman" w:eastAsia="TimesNewRoman" w:hAnsi="Times New Roman"/>
          <w:color w:val="000000"/>
        </w:rPr>
        <w:t xml:space="preserve">ako horná hranica normy a/alebo aminotransferázami &gt; 3,0-krát </w:t>
      </w:r>
      <w:r w:rsidR="006D2146">
        <w:rPr>
          <w:rFonts w:ascii="Times New Roman" w:eastAsia="TimesNewRoman" w:hAnsi="Times New Roman"/>
          <w:color w:val="000000"/>
        </w:rPr>
        <w:t xml:space="preserve">vyššími </w:t>
      </w:r>
      <w:r w:rsidRPr="00D32C41">
        <w:rPr>
          <w:rFonts w:ascii="Times New Roman" w:eastAsia="TimesNewRoman" w:hAnsi="Times New Roman"/>
          <w:color w:val="000000"/>
        </w:rPr>
        <w:t>ako horná</w:t>
      </w:r>
      <w:r w:rsidR="000027A0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hranica normálnych hodnôt (hepatálne metastázy neprítomné) alebo &gt; 5,0-krát </w:t>
      </w:r>
      <w:r w:rsidR="006D2146">
        <w:rPr>
          <w:rFonts w:ascii="Times New Roman" w:eastAsia="TimesNewRoman" w:hAnsi="Times New Roman"/>
          <w:color w:val="000000"/>
        </w:rPr>
        <w:t xml:space="preserve">vyššími </w:t>
      </w:r>
      <w:r w:rsidRPr="00D32C41">
        <w:rPr>
          <w:rFonts w:ascii="Times New Roman" w:eastAsia="TimesNewRoman" w:hAnsi="Times New Roman"/>
          <w:color w:val="000000"/>
        </w:rPr>
        <w:t>ako je horná hranica</w:t>
      </w:r>
      <w:r w:rsidR="000027A0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normálnych hodnôt (hepatálne metastázy prítomné) neboli doteraz špeciálne </w:t>
      </w:r>
      <w:r w:rsidR="000925EC" w:rsidRPr="00D32C41">
        <w:rPr>
          <w:rFonts w:ascii="Times New Roman" w:eastAsia="TimesNewRoman" w:hAnsi="Times New Roman"/>
          <w:color w:val="000000"/>
        </w:rPr>
        <w:t>skúma</w:t>
      </w:r>
      <w:r w:rsidRPr="00D32C41">
        <w:rPr>
          <w:rFonts w:ascii="Times New Roman" w:eastAsia="TimesNewRoman" w:hAnsi="Times New Roman"/>
          <w:color w:val="000000"/>
        </w:rPr>
        <w:t>ní.</w:t>
      </w:r>
    </w:p>
    <w:p w:rsidR="00B02D97" w:rsidRPr="00D32C41" w:rsidRDefault="00B02D97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  <w:r w:rsidRPr="00D32C41">
        <w:rPr>
          <w:rFonts w:ascii="Times New Roman" w:eastAsia="TimesNewRoman" w:hAnsi="Times New Roman"/>
          <w:color w:val="000000"/>
          <w:u w:val="single"/>
        </w:rPr>
        <w:t>Spôsob podávania</w:t>
      </w:r>
    </w:p>
    <w:p w:rsidR="001C171C" w:rsidRPr="00D32C41" w:rsidRDefault="001C171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Na intravenózne použitie po zriedení.</w:t>
      </w:r>
    </w:p>
    <w:p w:rsidR="000027A0" w:rsidRPr="00D32C41" w:rsidRDefault="000027A0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Pemetrexed</w:t>
      </w:r>
      <w:r w:rsidR="006D2146">
        <w:rPr>
          <w:rFonts w:ascii="Times New Roman" w:eastAsia="TimesNewRoman" w:hAnsi="Times New Roman"/>
          <w:color w:val="000000"/>
        </w:rPr>
        <w:t xml:space="preserve"> EVER Pharma</w:t>
      </w:r>
      <w:r w:rsidRPr="00D32C41">
        <w:rPr>
          <w:rFonts w:ascii="Times New Roman" w:eastAsia="TimesNewRoman" w:hAnsi="Times New Roman"/>
          <w:color w:val="000000"/>
        </w:rPr>
        <w:t xml:space="preserve"> sa má podávať ako intravenózna infúzia počas 10 minút v prvý deň každého 21-denného cyklu. Pokyny na </w:t>
      </w:r>
      <w:r w:rsidR="00324A8F" w:rsidRPr="00D32C41">
        <w:rPr>
          <w:rFonts w:ascii="Times New Roman" w:eastAsia="TimesNewRoman" w:hAnsi="Times New Roman"/>
          <w:color w:val="000000"/>
        </w:rPr>
        <w:t>z</w:t>
      </w:r>
      <w:r w:rsidRPr="00D32C41">
        <w:rPr>
          <w:rFonts w:ascii="Times New Roman" w:eastAsia="TimesNewRoman" w:hAnsi="Times New Roman"/>
          <w:color w:val="000000"/>
        </w:rPr>
        <w:t xml:space="preserve">riedenie </w:t>
      </w:r>
      <w:r w:rsidR="006D2146">
        <w:rPr>
          <w:rFonts w:ascii="Times New Roman" w:eastAsia="TimesNewRoman" w:hAnsi="Times New Roman"/>
          <w:color w:val="000000"/>
        </w:rPr>
        <w:t>P</w:t>
      </w:r>
      <w:r w:rsidR="000055B1" w:rsidRPr="00D32C41">
        <w:rPr>
          <w:rFonts w:ascii="Times New Roman" w:eastAsia="TimesNewRoman" w:hAnsi="Times New Roman"/>
          <w:color w:val="000000"/>
        </w:rPr>
        <w:t>emetrexedu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="006D2146">
        <w:rPr>
          <w:rFonts w:ascii="Times New Roman" w:eastAsia="TimesNewRoman" w:hAnsi="Times New Roman"/>
          <w:color w:val="000000"/>
        </w:rPr>
        <w:t xml:space="preserve">EVER Pharma </w:t>
      </w:r>
      <w:r w:rsidRPr="00D32C41">
        <w:rPr>
          <w:rFonts w:ascii="Times New Roman" w:eastAsia="TimesNewRoman" w:hAnsi="Times New Roman"/>
          <w:color w:val="000000"/>
        </w:rPr>
        <w:t>pred podaním, pozri časť 6.6.</w:t>
      </w:r>
    </w:p>
    <w:p w:rsidR="001C171C" w:rsidRPr="00D32C41" w:rsidRDefault="001C171C" w:rsidP="001C171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1C171C" w:rsidRPr="00D32C41" w:rsidRDefault="001C171C" w:rsidP="001C171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Opatrenia pred zaobchádzaním alebo podávaním pemetrexedu, pozri časť 6.6.</w:t>
      </w:r>
    </w:p>
    <w:p w:rsidR="000027A0" w:rsidRPr="00D32C41" w:rsidRDefault="000027A0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4.3 </w:t>
      </w:r>
      <w:r w:rsidR="000027A0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Kontraindikácie</w:t>
      </w:r>
    </w:p>
    <w:p w:rsidR="000027A0" w:rsidRPr="00D32C41" w:rsidRDefault="000027A0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1C171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Precitlivenosť na liečivo alebo na ktorúkoľvek z pomocných látok uvedených v časti 6.1.</w:t>
      </w:r>
    </w:p>
    <w:p w:rsidR="001C171C" w:rsidRPr="00D32C41" w:rsidRDefault="001C171C" w:rsidP="001C171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1C171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Dojčenie (pozri časť 4.6).</w:t>
      </w:r>
    </w:p>
    <w:p w:rsidR="001C171C" w:rsidRPr="00D32C41" w:rsidRDefault="001C171C" w:rsidP="001C171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1C171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Súbežná vakcinácia proti žltej zimnici (pozri časť 4.5).</w:t>
      </w:r>
    </w:p>
    <w:p w:rsidR="000027A0" w:rsidRPr="00D32C41" w:rsidRDefault="000027A0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4.4 </w:t>
      </w:r>
      <w:r w:rsidR="000027A0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Osobitné upozornenia a opatrenia pri používaní</w:t>
      </w:r>
    </w:p>
    <w:p w:rsidR="000027A0" w:rsidRPr="00D32C41" w:rsidRDefault="000027A0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Pemetrexed môže utlmiť funkciu kostnej drene</w:t>
      </w:r>
      <w:r w:rsidR="007C5789" w:rsidRPr="00D32C41">
        <w:rPr>
          <w:rFonts w:ascii="Times New Roman" w:eastAsia="TimesNewRoman" w:hAnsi="Times New Roman"/>
          <w:color w:val="000000"/>
        </w:rPr>
        <w:t>,</w:t>
      </w:r>
      <w:r w:rsidRPr="00D32C41">
        <w:rPr>
          <w:rFonts w:ascii="Times New Roman" w:eastAsia="TimesNewRoman" w:hAnsi="Times New Roman"/>
          <w:color w:val="000000"/>
        </w:rPr>
        <w:t xml:space="preserve"> čoho výsledkom je neutropénia, trombocytopénia 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anémia (alebo pancytopénia) (pozri časť 4.8). Potlačenie </w:t>
      </w:r>
      <w:r w:rsidR="00273CCF">
        <w:rPr>
          <w:rFonts w:ascii="Times New Roman" w:eastAsia="TimesNewRoman" w:hAnsi="Times New Roman"/>
          <w:color w:val="000000"/>
        </w:rPr>
        <w:t xml:space="preserve">aktivity </w:t>
      </w:r>
      <w:r w:rsidRPr="00D32C41">
        <w:rPr>
          <w:rFonts w:ascii="Times New Roman" w:eastAsia="TimesNewRoman" w:hAnsi="Times New Roman"/>
          <w:color w:val="000000"/>
        </w:rPr>
        <w:t>kostnej drene predstavuje obvykl</w:t>
      </w:r>
      <w:r w:rsidR="007D1CAD" w:rsidRPr="00D32C41">
        <w:rPr>
          <w:rFonts w:ascii="Times New Roman" w:eastAsia="TimesNewRoman" w:hAnsi="Times New Roman"/>
          <w:color w:val="000000"/>
        </w:rPr>
        <w:t>e</w:t>
      </w:r>
      <w:r w:rsidR="00016DDD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toxicitu, ktorá limituje veľkosť použitej dávky. Pacienti musia byť sledovaní z hľadiska útlmu kostnej</w:t>
      </w:r>
      <w:r w:rsidR="00016DDD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drene počas liečby a pemetrexed nesmie byť podaný pacientom</w:t>
      </w:r>
      <w:r w:rsidR="008011F5" w:rsidRPr="00D32C41">
        <w:rPr>
          <w:rFonts w:ascii="Times New Roman" w:eastAsia="TimesNewRoman" w:hAnsi="Times New Roman"/>
          <w:color w:val="000000"/>
        </w:rPr>
        <w:t>,</w:t>
      </w:r>
      <w:r w:rsidRPr="00D32C41">
        <w:rPr>
          <w:rFonts w:ascii="Times New Roman" w:eastAsia="TimesNewRoman" w:hAnsi="Times New Roman"/>
          <w:color w:val="000000"/>
        </w:rPr>
        <w:t xml:space="preserve"> pokiaľ sa absolútny počet neutrofilov</w:t>
      </w:r>
      <w:r w:rsidR="00016DDD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(ANC) nevráti na hodnotu ≥ 1 500 buniek/mm</w:t>
      </w:r>
      <w:r w:rsidRPr="00D32C41">
        <w:rPr>
          <w:rFonts w:ascii="Times New Roman" w:eastAsia="TimesNewRoman" w:hAnsi="Times New Roman"/>
          <w:color w:val="000000"/>
          <w:vertAlign w:val="superscript"/>
        </w:rPr>
        <w:t>3</w:t>
      </w:r>
      <w:r w:rsidRPr="00D32C41">
        <w:rPr>
          <w:rFonts w:ascii="Times New Roman" w:eastAsia="TimesNewRoman" w:hAnsi="Times New Roman"/>
          <w:color w:val="000000"/>
          <w:sz w:val="14"/>
          <w:szCs w:val="14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a počet doštičiek na ≥ 100 000 buniek/mm</w:t>
      </w:r>
      <w:r w:rsidRPr="00D32C41">
        <w:rPr>
          <w:rFonts w:ascii="Times New Roman" w:eastAsia="TimesNewRoman" w:hAnsi="Times New Roman"/>
          <w:color w:val="000000"/>
          <w:vertAlign w:val="superscript"/>
        </w:rPr>
        <w:t>3</w:t>
      </w:r>
      <w:r w:rsidRPr="00D32C41">
        <w:rPr>
          <w:rFonts w:ascii="Times New Roman" w:eastAsia="TimesNewRoman" w:hAnsi="Times New Roman"/>
          <w:color w:val="000000"/>
        </w:rPr>
        <w:t>. Zníženie</w:t>
      </w:r>
      <w:r w:rsidR="00016DDD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dávky v nasledujúcom cykle závisí od hodnôt absolútneho počtu neutrofilov v čase najhlbšieho</w:t>
      </w:r>
      <w:r w:rsidR="00016DDD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poklesu, počtu doštičiek a maximálnej nehematologickej toxicity vyskytujúcej sa v</w:t>
      </w:r>
      <w:r w:rsidR="00016DDD" w:rsidRPr="00D32C41">
        <w:rPr>
          <w:rFonts w:ascii="Times New Roman" w:eastAsia="TimesNewRoman" w:hAnsi="Times New Roman"/>
          <w:color w:val="000000"/>
        </w:rPr>
        <w:t> </w:t>
      </w:r>
      <w:r w:rsidRPr="00D32C41">
        <w:rPr>
          <w:rFonts w:ascii="Times New Roman" w:eastAsia="TimesNewRoman" w:hAnsi="Times New Roman"/>
          <w:color w:val="000000"/>
        </w:rPr>
        <w:t>predchádzajúcom</w:t>
      </w:r>
      <w:r w:rsidR="00016DDD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cykle (pozri časť 4.2).</w:t>
      </w:r>
    </w:p>
    <w:p w:rsidR="007C5789" w:rsidRPr="00D32C41" w:rsidRDefault="007C5789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Bol</w:t>
      </w:r>
      <w:r w:rsidR="00273CCF">
        <w:rPr>
          <w:rFonts w:ascii="Times New Roman" w:eastAsia="TimesNewRoman" w:hAnsi="Times New Roman"/>
          <w:color w:val="000000"/>
        </w:rPr>
        <w:t>a</w:t>
      </w:r>
      <w:r w:rsidRPr="00D32C41">
        <w:rPr>
          <w:rFonts w:ascii="Times New Roman" w:eastAsia="TimesNewRoman" w:hAnsi="Times New Roman"/>
          <w:color w:val="000000"/>
        </w:rPr>
        <w:t xml:space="preserve"> zaznamenan</w:t>
      </w:r>
      <w:r w:rsidR="00273CCF">
        <w:rPr>
          <w:rFonts w:ascii="Times New Roman" w:eastAsia="TimesNewRoman" w:hAnsi="Times New Roman"/>
          <w:color w:val="000000"/>
        </w:rPr>
        <w:t>á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="00273CCF">
        <w:rPr>
          <w:rFonts w:ascii="Times New Roman" w:eastAsia="TimesNewRoman" w:hAnsi="Times New Roman"/>
          <w:color w:val="000000"/>
        </w:rPr>
        <w:t>nižšia toxicita a </w:t>
      </w:r>
      <w:r w:rsidRPr="00D32C41">
        <w:rPr>
          <w:rFonts w:ascii="Times New Roman" w:eastAsia="TimesNewRoman" w:hAnsi="Times New Roman"/>
          <w:color w:val="000000"/>
        </w:rPr>
        <w:t>redukci</w:t>
      </w:r>
      <w:r w:rsidR="00273CCF">
        <w:rPr>
          <w:rFonts w:ascii="Times New Roman" w:hAnsi="Times New Roman"/>
        </w:rPr>
        <w:t xml:space="preserve">a </w:t>
      </w:r>
      <w:r w:rsidRPr="00D32C41">
        <w:rPr>
          <w:rFonts w:ascii="Times New Roman" w:eastAsia="TimesNewRoman" w:hAnsi="Times New Roman"/>
          <w:color w:val="000000"/>
        </w:rPr>
        <w:t>hematologickej toxicity stupňa 3/4 a nehematologickej toxicity</w:t>
      </w:r>
      <w:r w:rsidR="0080717D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ako je neutropénia, febrilná neutropénia a infekcia s neutropéniou stupňa 3/4, </w:t>
      </w:r>
      <w:r w:rsidR="00C25453" w:rsidRPr="00D32C41">
        <w:rPr>
          <w:rFonts w:ascii="Times New Roman" w:eastAsia="TimesNewRoman" w:hAnsi="Times New Roman"/>
          <w:color w:val="000000"/>
        </w:rPr>
        <w:t>ak</w:t>
      </w:r>
      <w:r w:rsidRPr="00D32C41">
        <w:rPr>
          <w:rFonts w:ascii="Times New Roman" w:eastAsia="TimesNewRoman" w:hAnsi="Times New Roman"/>
          <w:color w:val="000000"/>
        </w:rPr>
        <w:t xml:space="preserve"> boli pred liečbou</w:t>
      </w:r>
      <w:r w:rsidR="0080717D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podávané kyselina listová a vitamín B</w:t>
      </w:r>
      <w:r w:rsidRPr="00D32C41">
        <w:rPr>
          <w:rFonts w:ascii="Times New Roman" w:eastAsia="TimesNewRoman" w:hAnsi="Times New Roman"/>
          <w:color w:val="000000"/>
          <w:sz w:val="14"/>
          <w:szCs w:val="14"/>
        </w:rPr>
        <w:t>12</w:t>
      </w:r>
      <w:r w:rsidRPr="00D32C41">
        <w:rPr>
          <w:rFonts w:ascii="Times New Roman" w:eastAsia="TimesNewRoman" w:hAnsi="Times New Roman"/>
          <w:color w:val="000000"/>
        </w:rPr>
        <w:t>. Preto musia byť všetci pacienti liečení pemetrexedom</w:t>
      </w:r>
      <w:r w:rsidR="0080717D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poučení, aby užívali profylakticky kyselinu listovú a vitamín B</w:t>
      </w:r>
      <w:r w:rsidRPr="00D32C41">
        <w:rPr>
          <w:rFonts w:ascii="Times New Roman" w:eastAsia="TimesNewRoman" w:hAnsi="Times New Roman"/>
          <w:color w:val="000000"/>
          <w:vertAlign w:val="subscript"/>
        </w:rPr>
        <w:t>12</w:t>
      </w:r>
      <w:r w:rsidRPr="00D32C41">
        <w:rPr>
          <w:rFonts w:ascii="Times New Roman" w:eastAsia="TimesNewRoman" w:hAnsi="Times New Roman"/>
          <w:color w:val="000000"/>
          <w:sz w:val="14"/>
          <w:szCs w:val="14"/>
        </w:rPr>
        <w:t xml:space="preserve"> </w:t>
      </w:r>
      <w:r w:rsidR="00835E6F" w:rsidRPr="00D32C41">
        <w:rPr>
          <w:rFonts w:ascii="Times New Roman" w:eastAsia="TimesNewRoman" w:hAnsi="Times New Roman"/>
          <w:color w:val="000000"/>
        </w:rPr>
        <w:t>s </w:t>
      </w:r>
      <w:r w:rsidR="00904375">
        <w:rPr>
          <w:rFonts w:ascii="Times New Roman" w:eastAsia="TimesNewRoman" w:hAnsi="Times New Roman"/>
          <w:color w:val="000000"/>
        </w:rPr>
        <w:t>koncový ukazovateľ</w:t>
      </w:r>
      <w:r w:rsidR="00835E6F" w:rsidRPr="00D32C41">
        <w:rPr>
          <w:rFonts w:ascii="Times New Roman" w:eastAsia="TimesNewRoman" w:hAnsi="Times New Roman"/>
          <w:color w:val="000000"/>
        </w:rPr>
        <w:t>om znížiť</w:t>
      </w:r>
      <w:r w:rsidRPr="00D32C41">
        <w:rPr>
          <w:rFonts w:ascii="Times New Roman" w:eastAsia="TimesNewRoman" w:hAnsi="Times New Roman"/>
          <w:color w:val="000000"/>
        </w:rPr>
        <w:t xml:space="preserve"> toxicit</w:t>
      </w:r>
      <w:r w:rsidR="00835E6F" w:rsidRPr="00D32C41">
        <w:rPr>
          <w:rFonts w:ascii="Times New Roman" w:eastAsia="TimesNewRoman" w:hAnsi="Times New Roman"/>
          <w:color w:val="000000"/>
        </w:rPr>
        <w:t xml:space="preserve">u </w:t>
      </w:r>
      <w:r w:rsidRPr="00D32C41">
        <w:rPr>
          <w:rFonts w:ascii="Times New Roman" w:eastAsia="TimesNewRoman" w:hAnsi="Times New Roman"/>
          <w:color w:val="000000"/>
        </w:rPr>
        <w:t>súvisiac</w:t>
      </w:r>
      <w:r w:rsidR="00835E6F" w:rsidRPr="00D32C41">
        <w:rPr>
          <w:rFonts w:ascii="Times New Roman" w:eastAsia="TimesNewRoman" w:hAnsi="Times New Roman"/>
          <w:color w:val="000000"/>
        </w:rPr>
        <w:t>u</w:t>
      </w:r>
      <w:r w:rsidRPr="00D32C41">
        <w:rPr>
          <w:rFonts w:ascii="Times New Roman" w:eastAsia="TimesNewRoman" w:hAnsi="Times New Roman"/>
          <w:color w:val="000000"/>
        </w:rPr>
        <w:t xml:space="preserve"> s liečbou (pozri časť 4.2).</w:t>
      </w:r>
    </w:p>
    <w:p w:rsidR="00835E6F" w:rsidRPr="00D32C41" w:rsidRDefault="00835E6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Kožné reakcie boli zaznamenané u pacientov, ktorí nedostávali pred liečbou kortikosteroidy.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Podávanie dexametazónu (alebo ekvivalentného kortikosteroidu) pred liečbou pemetrexedom môže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znížiť výskyt a závažnosť kožných reakcií (pozri časť 4.2).</w:t>
      </w:r>
    </w:p>
    <w:p w:rsidR="00835E6F" w:rsidRPr="00D32C41" w:rsidRDefault="00835E6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Nebol študovaný dostatočný počet pacientov s klírensom kreatinínu pod 45 ml/min. Preto sa použitie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pemetrexedu u pacientov s klírensom kreatinínu &lt; 45 ml/min neodporúča (pozri časť 4.2).</w:t>
      </w:r>
    </w:p>
    <w:p w:rsidR="00835E6F" w:rsidRPr="00D32C41" w:rsidRDefault="00835E6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Pacienti s miernou až stredne závažnou renálnou insuficienciou (klírens kreatinínu 45 až 79 ml/min) sa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musia </w:t>
      </w:r>
      <w:r w:rsidR="00273CCF">
        <w:rPr>
          <w:rFonts w:ascii="Times New Roman" w:eastAsia="TimesNewRoman" w:hAnsi="Times New Roman"/>
          <w:color w:val="000000"/>
        </w:rPr>
        <w:t>vyhnúť</w:t>
      </w:r>
      <w:r w:rsidRPr="00D32C41">
        <w:rPr>
          <w:rFonts w:ascii="Times New Roman" w:eastAsia="TimesNewRoman" w:hAnsi="Times New Roman"/>
          <w:color w:val="000000"/>
        </w:rPr>
        <w:t xml:space="preserve"> užívani</w:t>
      </w:r>
      <w:r w:rsidR="00273CCF">
        <w:rPr>
          <w:rFonts w:ascii="Times New Roman" w:eastAsia="TimesNewRoman" w:hAnsi="Times New Roman"/>
          <w:color w:val="000000"/>
        </w:rPr>
        <w:t>u</w:t>
      </w:r>
      <w:r w:rsidRPr="00D32C41">
        <w:rPr>
          <w:rFonts w:ascii="Times New Roman" w:eastAsia="TimesNewRoman" w:hAnsi="Times New Roman"/>
          <w:color w:val="000000"/>
        </w:rPr>
        <w:t xml:space="preserve"> nesteroid</w:t>
      </w:r>
      <w:r w:rsidR="00273CCF">
        <w:rPr>
          <w:rFonts w:ascii="Times New Roman" w:eastAsia="TimesNewRoman" w:hAnsi="Times New Roman"/>
          <w:color w:val="000000"/>
        </w:rPr>
        <w:t>ov</w:t>
      </w:r>
      <w:r w:rsidR="00C22247" w:rsidRPr="00D32C41">
        <w:rPr>
          <w:rFonts w:ascii="Times New Roman" w:eastAsia="TimesNewRoman" w:hAnsi="Times New Roman"/>
          <w:color w:val="000000"/>
        </w:rPr>
        <w:t>ých</w:t>
      </w:r>
      <w:r w:rsidRPr="00D32C41">
        <w:rPr>
          <w:rFonts w:ascii="Times New Roman" w:eastAsia="TimesNewRoman" w:hAnsi="Times New Roman"/>
          <w:color w:val="000000"/>
        </w:rPr>
        <w:t xml:space="preserve"> antiflogistík (NSA</w:t>
      </w:r>
      <w:r w:rsidR="001950D4" w:rsidRPr="00D32C41">
        <w:rPr>
          <w:rFonts w:ascii="Times New Roman" w:eastAsia="TimesNewRoman" w:hAnsi="Times New Roman"/>
          <w:color w:val="000000"/>
        </w:rPr>
        <w:t>ID</w:t>
      </w:r>
      <w:r w:rsidRPr="00D32C41">
        <w:rPr>
          <w:rFonts w:ascii="Times New Roman" w:eastAsia="TimesNewRoman" w:hAnsi="Times New Roman"/>
          <w:color w:val="000000"/>
        </w:rPr>
        <w:t>), ako je ibuprof</w:t>
      </w:r>
      <w:r w:rsidR="00273CCF">
        <w:rPr>
          <w:rFonts w:ascii="Times New Roman" w:eastAsia="TimesNewRoman" w:hAnsi="Times New Roman"/>
          <w:color w:val="000000"/>
        </w:rPr>
        <w:t>é</w:t>
      </w:r>
      <w:r w:rsidRPr="00D32C41">
        <w:rPr>
          <w:rFonts w:ascii="Times New Roman" w:eastAsia="TimesNewRoman" w:hAnsi="Times New Roman"/>
          <w:color w:val="000000"/>
        </w:rPr>
        <w:t>n a kyselina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acetylsalicylová (&gt; 1,3 g denne), 2 dni pred, v deň a 2 dni po podaní pemetrexedu (pozri časť 4.5).</w:t>
      </w:r>
    </w:p>
    <w:p w:rsidR="001C171C" w:rsidRPr="00D32C41" w:rsidRDefault="001C171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Pacienti s miernou až stredne závažnou renálnou insuficienciou, vhodní na liečbu pemetrexedom,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majú prerušiť užívanie NSA</w:t>
      </w:r>
      <w:r w:rsidR="001950D4" w:rsidRPr="00D32C41">
        <w:rPr>
          <w:rFonts w:ascii="Times New Roman" w:eastAsia="TimesNewRoman" w:hAnsi="Times New Roman"/>
          <w:color w:val="000000"/>
        </w:rPr>
        <w:t>ID</w:t>
      </w:r>
      <w:r w:rsidRPr="00D32C41">
        <w:rPr>
          <w:rFonts w:ascii="Times New Roman" w:eastAsia="TimesNewRoman" w:hAnsi="Times New Roman"/>
          <w:color w:val="000000"/>
        </w:rPr>
        <w:t xml:space="preserve"> s dlhšími polčasmi vylučovania najmenej 5 dní pred, v deň a najmenej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2 dni po podaní pemetrexedu (pozri časť 4.5).</w:t>
      </w:r>
    </w:p>
    <w:p w:rsidR="00835E6F" w:rsidRPr="00D32C41" w:rsidRDefault="00835E6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V súvislosti s pemetrexedom samotným alebo v kombinácii s inými chemoterapeutikami boli hlásené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závažné renálne príhody, vrátane akútneho renálneho zlyhania. Mnoho pacientov, u ktorých sa tieto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príhody objavili, malo rizikové faktory </w:t>
      </w:r>
      <w:r w:rsidR="00835E6F" w:rsidRPr="00D32C41">
        <w:rPr>
          <w:rFonts w:ascii="Times New Roman" w:eastAsia="TimesNewRoman" w:hAnsi="Times New Roman"/>
          <w:color w:val="000000"/>
        </w:rPr>
        <w:t>na</w:t>
      </w:r>
      <w:r w:rsidRPr="00D32C41">
        <w:rPr>
          <w:rFonts w:ascii="Times New Roman" w:eastAsia="TimesNewRoman" w:hAnsi="Times New Roman"/>
          <w:color w:val="000000"/>
        </w:rPr>
        <w:t xml:space="preserve"> rozvoj renálnych príhod, vrátane dehydratácie alebo </w:t>
      </w:r>
      <w:r w:rsidR="00150F7C" w:rsidRPr="00D32C41">
        <w:rPr>
          <w:rFonts w:ascii="Times New Roman" w:eastAsia="TimesNewRoman" w:hAnsi="Times New Roman"/>
          <w:color w:val="000000"/>
        </w:rPr>
        <w:t xml:space="preserve">už </w:t>
      </w:r>
      <w:r w:rsidRPr="00D32C41">
        <w:rPr>
          <w:rFonts w:ascii="Times New Roman" w:eastAsia="TimesNewRoman" w:hAnsi="Times New Roman"/>
          <w:color w:val="000000"/>
        </w:rPr>
        <w:t>existujúcej</w:t>
      </w:r>
      <w:r w:rsidR="00835E6F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hypertenzie alebo diabet</w:t>
      </w:r>
      <w:r w:rsidR="00835E6F" w:rsidRPr="00D32C41">
        <w:rPr>
          <w:rFonts w:ascii="Times New Roman" w:eastAsia="TimesNewRoman" w:hAnsi="Times New Roman"/>
          <w:color w:val="000000"/>
        </w:rPr>
        <w:t>u</w:t>
      </w:r>
      <w:r w:rsidRPr="00D32C41">
        <w:rPr>
          <w:rFonts w:ascii="Times New Roman" w:eastAsia="TimesNewRoman" w:hAnsi="Times New Roman"/>
          <w:color w:val="000000"/>
        </w:rPr>
        <w:t>.</w:t>
      </w:r>
      <w:r w:rsidR="00FD0C95" w:rsidRPr="00D32C41">
        <w:rPr>
          <w:rFonts w:ascii="Times New Roman" w:eastAsia="TimesNewRoman" w:hAnsi="Times New Roman"/>
          <w:color w:val="000000"/>
        </w:rPr>
        <w:t xml:space="preserve"> </w:t>
      </w:r>
      <w:r w:rsidR="00FD0C95" w:rsidRPr="00D32C41">
        <w:rPr>
          <w:rFonts w:ascii="Times New Roman" w:hAnsi="Times New Roman"/>
        </w:rPr>
        <w:t>Pri samostatnom používaní pemetrexedu alebo jeho používaní s inými chemoterapeutickými liekmi bol po uvedení na trh hlásený aj nefrog</w:t>
      </w:r>
      <w:r w:rsidR="00293C6A">
        <w:rPr>
          <w:rFonts w:ascii="Times New Roman" w:hAnsi="Times New Roman"/>
        </w:rPr>
        <w:t>énny</w:t>
      </w:r>
      <w:r w:rsidR="00FD0C95" w:rsidRPr="00D32C41">
        <w:rPr>
          <w:rFonts w:ascii="Times New Roman" w:hAnsi="Times New Roman"/>
        </w:rPr>
        <w:t xml:space="preserve"> diabetes insipidus a tubulárna nekróza obličiek. Väčšina z týchto príhod ustúpila po prerušení liečby pemetrexedom. U pacientov je potrebné pravidelne kontrolovať symptómy akútnej tubulárnej nekrózy, zníženej funkcie obličiek a prejavy a symptómy nefrog</w:t>
      </w:r>
      <w:r w:rsidR="00293C6A">
        <w:rPr>
          <w:rFonts w:ascii="Times New Roman" w:hAnsi="Times New Roman"/>
        </w:rPr>
        <w:t>énny</w:t>
      </w:r>
      <w:r w:rsidR="00FD0C95" w:rsidRPr="00D32C41">
        <w:rPr>
          <w:rFonts w:ascii="Times New Roman" w:hAnsi="Times New Roman"/>
        </w:rPr>
        <w:t xml:space="preserve"> diabetu insipidus (napr. hypernatriémia).</w:t>
      </w:r>
    </w:p>
    <w:p w:rsidR="00835E6F" w:rsidRPr="00D32C41" w:rsidRDefault="00835E6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Vplyv prítomnosti tekutín v treťom priestore, ako je pleurálny výpotok alebo ascites, na pemetrexed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nie je presne stanovený. Klinické skúšanie 2. fázy s pemetrexedom </w:t>
      </w:r>
      <w:r w:rsidR="00293C6A">
        <w:rPr>
          <w:rFonts w:ascii="Times New Roman" w:eastAsia="TimesNewRoman" w:hAnsi="Times New Roman"/>
          <w:color w:val="000000"/>
        </w:rPr>
        <w:t>u</w:t>
      </w:r>
      <w:r w:rsidRPr="00D32C41">
        <w:rPr>
          <w:rFonts w:ascii="Times New Roman" w:eastAsia="TimesNewRoman" w:hAnsi="Times New Roman"/>
          <w:color w:val="000000"/>
        </w:rPr>
        <w:t xml:space="preserve"> 31 pacient</w:t>
      </w:r>
      <w:r w:rsidR="00293C6A">
        <w:rPr>
          <w:rFonts w:ascii="Times New Roman" w:eastAsia="TimesNewRoman" w:hAnsi="Times New Roman"/>
          <w:color w:val="000000"/>
        </w:rPr>
        <w:t>ov</w:t>
      </w:r>
      <w:r w:rsidRPr="00D32C41">
        <w:rPr>
          <w:rFonts w:ascii="Times New Roman" w:eastAsia="TimesNewRoman" w:hAnsi="Times New Roman"/>
          <w:color w:val="000000"/>
        </w:rPr>
        <w:t xml:space="preserve"> s ohraničeným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tumorom a stabilným výskytom tekutiny v treťom priestore nepreukázalo žiadny rozdiel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v plazmatických koncentráciách </w:t>
      </w:r>
      <w:r w:rsidR="005877FA" w:rsidRPr="005877FA">
        <w:rPr>
          <w:rFonts w:ascii="Times New Roman" w:eastAsia="TimesNewRoman" w:hAnsi="Times New Roman"/>
          <w:color w:val="000000"/>
        </w:rPr>
        <w:t xml:space="preserve">normalizovaných podľa dávky </w:t>
      </w:r>
      <w:r w:rsidRPr="00D32C41">
        <w:rPr>
          <w:rFonts w:ascii="Times New Roman" w:eastAsia="TimesNewRoman" w:hAnsi="Times New Roman"/>
          <w:color w:val="000000"/>
        </w:rPr>
        <w:t>a klírense pemetrexedu oproti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pacientom bez prítomnosti tekutín v treťom priestore. Preto je vhodné pred začatím liečby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pemetrexedom zvážiť drenáž tekutiny z tretieho priestoru, avšak </w:t>
      </w:r>
      <w:r w:rsidR="005877FA">
        <w:rPr>
          <w:rFonts w:ascii="Times New Roman" w:eastAsia="TimesNewRoman" w:hAnsi="Times New Roman"/>
          <w:color w:val="000000"/>
        </w:rPr>
        <w:t>nemusí to byť</w:t>
      </w:r>
      <w:r w:rsidR="00745179" w:rsidRPr="00D32C41">
        <w:rPr>
          <w:rFonts w:ascii="Times New Roman" w:eastAsia="TimesNewRoman" w:hAnsi="Times New Roman"/>
          <w:color w:val="000000"/>
        </w:rPr>
        <w:t xml:space="preserve"> potrebné</w:t>
      </w:r>
      <w:r w:rsidRPr="00D32C41">
        <w:rPr>
          <w:rFonts w:ascii="Times New Roman" w:eastAsia="TimesNewRoman" w:hAnsi="Times New Roman"/>
          <w:color w:val="000000"/>
        </w:rPr>
        <w:t>.</w:t>
      </w:r>
    </w:p>
    <w:p w:rsidR="00835E6F" w:rsidRPr="00D32C41" w:rsidRDefault="00835E6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Ako dôsledok gastrointestinálnej toxicity pemetrexedu podávaného v kombinácii s cisplatinou sa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pozorovala závažná dehydratácia. Preto pacienti musia dostávať adekvátnu antiemetickú liečbu 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primeranú hydratáciu pred a/alebo po podaní liečby.</w:t>
      </w:r>
    </w:p>
    <w:p w:rsidR="00835E6F" w:rsidRPr="00D32C41" w:rsidRDefault="00835E6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Menej často boli v priebehu klinických štúdií s pemetrexedom hlásené závažné kardiovaskulárne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príhody vrátane infarktu myokardu a cerebrovaskulárn</w:t>
      </w:r>
      <w:r w:rsidR="005877FA">
        <w:rPr>
          <w:rFonts w:ascii="Times New Roman" w:eastAsia="TimesNewRoman" w:hAnsi="Times New Roman"/>
          <w:color w:val="000000"/>
        </w:rPr>
        <w:t>ych</w:t>
      </w:r>
      <w:r w:rsidRPr="00D32C41">
        <w:rPr>
          <w:rFonts w:ascii="Times New Roman" w:eastAsia="TimesNewRoman" w:hAnsi="Times New Roman"/>
          <w:color w:val="000000"/>
        </w:rPr>
        <w:t xml:space="preserve"> príhod, hlavne pri podaní v kombinácii s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ďalším cytostatikom. Väčšina pacientov, u ktorých sa pozorovali tieto príhody, mala </w:t>
      </w:r>
      <w:r w:rsidR="00E02D18" w:rsidRPr="00D32C41">
        <w:rPr>
          <w:rFonts w:ascii="Times New Roman" w:eastAsia="TimesNewRoman" w:hAnsi="Times New Roman"/>
          <w:color w:val="000000"/>
        </w:rPr>
        <w:t xml:space="preserve">už </w:t>
      </w:r>
      <w:r w:rsidRPr="00D32C41">
        <w:rPr>
          <w:rFonts w:ascii="Times New Roman" w:eastAsia="TimesNewRoman" w:hAnsi="Times New Roman"/>
          <w:color w:val="000000"/>
        </w:rPr>
        <w:t>existujúce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kardiovaskulárne rizikové faktory (pozri časť 4.8).</w:t>
      </w:r>
    </w:p>
    <w:p w:rsidR="00835E6F" w:rsidRPr="00D32C41" w:rsidRDefault="00835E6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U pacientov s rakovinou je častý pokles imunity. Preto sa neodporúča súbežné užívanie živých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oslabených vakcín (pozri časti 4.3 a 4.5).</w:t>
      </w:r>
    </w:p>
    <w:p w:rsidR="00835E6F" w:rsidRPr="00D32C41" w:rsidRDefault="00835E6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Pemetrexed môže mať geneticky škodlivé účinky. Pohlavne zrelým mužom sa neodporúča splodiť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dieťa počas liečby a do </w:t>
      </w:r>
      <w:r w:rsidR="0010494A" w:rsidRPr="00D32C41">
        <w:rPr>
          <w:rFonts w:ascii="Times New Roman" w:eastAsia="TimesNewRoman" w:hAnsi="Times New Roman"/>
          <w:color w:val="000000"/>
        </w:rPr>
        <w:t xml:space="preserve">menej ako </w:t>
      </w:r>
      <w:r w:rsidRPr="00D32C41">
        <w:rPr>
          <w:rFonts w:ascii="Times New Roman" w:eastAsia="TimesNewRoman" w:hAnsi="Times New Roman"/>
          <w:color w:val="000000"/>
        </w:rPr>
        <w:t>6 mesiacov od ukončenia liečby. Odporúča sa používanie antikoncepčných</w:t>
      </w:r>
      <w:r w:rsidR="00966363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metód alebo abstinencia. Vzhľadom na možnosť ireverzibilnej infertility spôsobenej liečbou</w:t>
      </w:r>
      <w:r w:rsidR="00966363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pemetrexedom sa mužom odporúča, aby vyhľadali konzultáciu o možnosti uchovania spermií</w:t>
      </w:r>
      <w:r w:rsidR="00966363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pred zač</w:t>
      </w:r>
      <w:r w:rsidR="00E578D3" w:rsidRPr="00D32C41">
        <w:rPr>
          <w:rFonts w:ascii="Times New Roman" w:eastAsia="TimesNewRoman" w:hAnsi="Times New Roman"/>
          <w:color w:val="000000"/>
        </w:rPr>
        <w:t>i</w:t>
      </w:r>
      <w:r w:rsidRPr="00D32C41">
        <w:rPr>
          <w:rFonts w:ascii="Times New Roman" w:eastAsia="TimesNewRoman" w:hAnsi="Times New Roman"/>
          <w:color w:val="000000"/>
        </w:rPr>
        <w:t>atkom liečby.</w:t>
      </w:r>
    </w:p>
    <w:p w:rsidR="00835E6F" w:rsidRPr="00D32C41" w:rsidRDefault="00835E6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Ženy </w:t>
      </w:r>
      <w:r w:rsidR="00835E6F" w:rsidRPr="00D32C41">
        <w:rPr>
          <w:rFonts w:ascii="Times New Roman" w:eastAsia="TimesNewRoman" w:hAnsi="Times New Roman"/>
          <w:color w:val="000000"/>
        </w:rPr>
        <w:t>vo fertilnom</w:t>
      </w:r>
      <w:r w:rsidRPr="00D32C41">
        <w:rPr>
          <w:rFonts w:ascii="Times New Roman" w:eastAsia="TimesNewRoman" w:hAnsi="Times New Roman"/>
          <w:color w:val="000000"/>
        </w:rPr>
        <w:t xml:space="preserve"> veku musia počas liečby pemetrexedom používať účinnú antikoncep</w:t>
      </w:r>
      <w:r w:rsidR="00835E6F" w:rsidRPr="00D32C41">
        <w:rPr>
          <w:rFonts w:ascii="Times New Roman" w:eastAsia="TimesNewRoman" w:hAnsi="Times New Roman"/>
          <w:color w:val="000000"/>
        </w:rPr>
        <w:t xml:space="preserve">ciu </w:t>
      </w:r>
      <w:r w:rsidRPr="00D32C41">
        <w:rPr>
          <w:rFonts w:ascii="Times New Roman" w:eastAsia="TimesNewRoman" w:hAnsi="Times New Roman"/>
          <w:color w:val="000000"/>
        </w:rPr>
        <w:t>(pozri časť 4.6).</w:t>
      </w:r>
    </w:p>
    <w:p w:rsidR="00835E6F" w:rsidRPr="00D32C41" w:rsidRDefault="00835E6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Prípady radiačnej pneumonitídy boli zaznamenané u pacientov liečených ožarovaním buď pred, počas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alebo po ich liečbe pemetrexedom. U týchto pacientov je potrebná zvláštna pozornosť a opatrnosť pri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užívaní iných rádiosenzibilizujúcich látok.</w:t>
      </w:r>
    </w:p>
    <w:p w:rsidR="00835E6F" w:rsidRPr="00D32C41" w:rsidRDefault="00835E6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U pacientov, ktorí podstúpili rádioterapiu pred týždňami až rokmi, boli zaznamenané prípady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radiačného poškodenia typu „recall fenomén“.</w:t>
      </w:r>
    </w:p>
    <w:p w:rsidR="00835E6F" w:rsidRPr="00D32C41" w:rsidRDefault="00835E6F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835E6F" w:rsidRPr="00D32C41" w:rsidRDefault="00FD0C95" w:rsidP="00FD0C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D32C41">
        <w:rPr>
          <w:rFonts w:ascii="Times New Roman" w:hAnsi="Times New Roman"/>
          <w:lang w:eastAsia="sk-SK"/>
        </w:rPr>
        <w:t xml:space="preserve">Tento liek obsahuje </w:t>
      </w:r>
      <w:r w:rsidR="00F7196A" w:rsidRPr="00D32C41">
        <w:rPr>
          <w:rFonts w:ascii="Times New Roman" w:hAnsi="Times New Roman"/>
          <w:lang w:eastAsia="sk-SK"/>
        </w:rPr>
        <w:t>96,6</w:t>
      </w:r>
      <w:r w:rsidRPr="00D32C41">
        <w:rPr>
          <w:rFonts w:ascii="Times New Roman" w:hAnsi="Times New Roman"/>
          <w:lang w:eastAsia="sk-SK"/>
        </w:rPr>
        <w:t xml:space="preserve"> mg sodíka na dávku </w:t>
      </w:r>
      <w:r w:rsidRPr="00D32C41">
        <w:rPr>
          <w:rFonts w:ascii="Times New Roman" w:hAnsi="Times New Roman"/>
        </w:rPr>
        <w:t>[500 mg/m</w:t>
      </w:r>
      <w:r w:rsidRPr="00D32C41">
        <w:rPr>
          <w:rFonts w:ascii="Times New Roman" w:hAnsi="Times New Roman"/>
          <w:vertAlign w:val="superscript"/>
        </w:rPr>
        <w:t>2</w:t>
      </w:r>
      <w:r w:rsidRPr="00D32C41">
        <w:rPr>
          <w:rFonts w:ascii="Times New Roman" w:hAnsi="Times New Roman"/>
        </w:rPr>
        <w:t xml:space="preserve"> povrchu tela (body surface area - BSA) (na základe priemerného BSA </w:t>
      </w:r>
      <w:r w:rsidRPr="00D32C41">
        <w:rPr>
          <w:rStyle w:val="nowrap"/>
          <w:rFonts w:ascii="Times New Roman" w:hAnsi="Times New Roman"/>
        </w:rPr>
        <w:t>1,7</w:t>
      </w:r>
      <w:r w:rsidR="008E6B46">
        <w:rPr>
          <w:rStyle w:val="nowrap"/>
          <w:rFonts w:ascii="Times New Roman" w:hAnsi="Times New Roman"/>
        </w:rPr>
        <w:t>9</w:t>
      </w:r>
      <w:r w:rsidRPr="00D32C41">
        <w:rPr>
          <w:rStyle w:val="nowrap"/>
          <w:rFonts w:ascii="Times New Roman" w:hAnsi="Times New Roman"/>
        </w:rPr>
        <w:t> m</w:t>
      </w:r>
      <w:r w:rsidRPr="00D32C41">
        <w:rPr>
          <w:rStyle w:val="nowrap"/>
          <w:rFonts w:ascii="Times New Roman" w:hAnsi="Times New Roman"/>
          <w:vertAlign w:val="superscript"/>
        </w:rPr>
        <w:t>2</w:t>
      </w:r>
      <w:r w:rsidRPr="00D32C41">
        <w:rPr>
          <w:rFonts w:ascii="Times New Roman" w:hAnsi="Times New Roman"/>
        </w:rPr>
        <w:t>)]</w:t>
      </w:r>
      <w:r w:rsidRPr="00D32C41">
        <w:rPr>
          <w:rFonts w:ascii="Times New Roman" w:hAnsi="Times New Roman"/>
          <w:lang w:eastAsia="sk-SK"/>
        </w:rPr>
        <w:t xml:space="preserve">, čo zodpovedá </w:t>
      </w:r>
      <w:r w:rsidR="00F7196A" w:rsidRPr="00D32C41">
        <w:rPr>
          <w:rFonts w:ascii="Times New Roman" w:hAnsi="Times New Roman"/>
          <w:lang w:eastAsia="sk-SK"/>
        </w:rPr>
        <w:t>4,8</w:t>
      </w:r>
      <w:r w:rsidRPr="00D32C41">
        <w:rPr>
          <w:rFonts w:ascii="Times New Roman" w:hAnsi="Times New Roman"/>
          <w:lang w:eastAsia="sk-SK"/>
        </w:rPr>
        <w:t xml:space="preserve"> % WHO odporúčaného maximálneho denného príjmu 2 g sodíka pre dospelú osobu.</w:t>
      </w:r>
    </w:p>
    <w:p w:rsidR="00FD0C95" w:rsidRPr="00D32C41" w:rsidRDefault="00FD0C95" w:rsidP="00FD0C9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4.5 </w:t>
      </w:r>
      <w:r w:rsidR="00060B5C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Liekové a iné interakcie</w:t>
      </w:r>
    </w:p>
    <w:p w:rsidR="00060B5C" w:rsidRPr="00D32C41" w:rsidRDefault="00060B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Pemetrexed sa vylučuje v nezmenenej forme hlavne obličkami, a to tubulárnou sekréciou a v menšom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množstve glomerulárnou filtráciou. Súbežné podávanie nefrotoxických liekov (napr. aminoglykozidy,</w:t>
      </w:r>
    </w:p>
    <w:p w:rsidR="00286A74" w:rsidRPr="00D32C41" w:rsidRDefault="003C46E7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111731">
        <w:rPr>
          <w:rFonts w:ascii="Times New Roman" w:eastAsia="TimesNewRoman" w:hAnsi="Times New Roman"/>
          <w:color w:val="000000"/>
        </w:rPr>
        <w:t>sl</w:t>
      </w:r>
      <w:r w:rsidR="00286A74" w:rsidRPr="00111731">
        <w:rPr>
          <w:rFonts w:ascii="Times New Roman" w:eastAsia="TimesNewRoman" w:hAnsi="Times New Roman"/>
          <w:color w:val="000000"/>
        </w:rPr>
        <w:t>učkové</w:t>
      </w:r>
      <w:r w:rsidR="00286A74" w:rsidRPr="00D32C41">
        <w:rPr>
          <w:rFonts w:ascii="Times New Roman" w:eastAsia="TimesNewRoman" w:hAnsi="Times New Roman"/>
          <w:color w:val="000000"/>
        </w:rPr>
        <w:t xml:space="preserve"> diuretiká, zlúčeniny platiny, cyklosporín) môže viesť k oneskorenému klírensu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pemetrexedu. Táto kombinácia sa musí používať s opatrnosťou. Ak je to nevyhnutné, klírens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kreatinínu musí byť prísne monitorovaný.</w:t>
      </w:r>
    </w:p>
    <w:p w:rsidR="00060B5C" w:rsidRPr="00D32C41" w:rsidRDefault="00060B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Súbežné podávanie látok, ktoré sa vylučujú taktiež tubulárnou sekréciou (napr. probenecid, penicilín)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môže viesť k oneskoreniu klírensu pemetrexedu. V prípade kombinovaného podania týchto liekov 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pemetrexedu je </w:t>
      </w:r>
      <w:r w:rsidR="00D21616" w:rsidRPr="00D32C41">
        <w:rPr>
          <w:rFonts w:ascii="Times New Roman" w:eastAsia="TimesNewRoman" w:hAnsi="Times New Roman"/>
          <w:color w:val="000000"/>
        </w:rPr>
        <w:t>potreb</w:t>
      </w:r>
      <w:r w:rsidRPr="00D32C41">
        <w:rPr>
          <w:rFonts w:ascii="Times New Roman" w:eastAsia="TimesNewRoman" w:hAnsi="Times New Roman"/>
          <w:color w:val="000000"/>
        </w:rPr>
        <w:t>né postupovať s opatrnosťou. V prípade potreby musí byť klírens kreatinínu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starostlivo monitorovaný.</w:t>
      </w:r>
    </w:p>
    <w:p w:rsidR="00060B5C" w:rsidRPr="00D32C41" w:rsidRDefault="00060B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U pacientov s normálnymi renálnymi funkciami (klírens kreatinínu ≥ 80 ml/min) môžu vysoké dávky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nesteroid</w:t>
      </w:r>
      <w:r w:rsidR="00264667" w:rsidRPr="00D32C41">
        <w:rPr>
          <w:rFonts w:ascii="Times New Roman" w:eastAsia="TimesNewRoman" w:hAnsi="Times New Roman"/>
          <w:color w:val="000000"/>
        </w:rPr>
        <w:t>ových</w:t>
      </w:r>
      <w:r w:rsidRPr="00D32C41">
        <w:rPr>
          <w:rFonts w:ascii="Times New Roman" w:eastAsia="TimesNewRoman" w:hAnsi="Times New Roman"/>
          <w:color w:val="000000"/>
        </w:rPr>
        <w:t xml:space="preserve"> antiflogistík (NSA</w:t>
      </w:r>
      <w:r w:rsidR="001950D4" w:rsidRPr="00D32C41">
        <w:rPr>
          <w:rFonts w:ascii="Times New Roman" w:eastAsia="TimesNewRoman" w:hAnsi="Times New Roman"/>
          <w:color w:val="000000"/>
        </w:rPr>
        <w:t>ID</w:t>
      </w:r>
      <w:r w:rsidRPr="00D32C41">
        <w:rPr>
          <w:rFonts w:ascii="Times New Roman" w:eastAsia="TimesNewRoman" w:hAnsi="Times New Roman"/>
          <w:color w:val="000000"/>
        </w:rPr>
        <w:t xml:space="preserve"> ako je ibuprof</w:t>
      </w:r>
      <w:r w:rsidR="00111731">
        <w:rPr>
          <w:rFonts w:ascii="Times New Roman" w:eastAsia="TimesNewRoman" w:hAnsi="Times New Roman"/>
          <w:color w:val="000000"/>
        </w:rPr>
        <w:t>é</w:t>
      </w:r>
      <w:r w:rsidRPr="00D32C41">
        <w:rPr>
          <w:rFonts w:ascii="Times New Roman" w:eastAsia="TimesNewRoman" w:hAnsi="Times New Roman"/>
          <w:color w:val="000000"/>
        </w:rPr>
        <w:t>n &gt; 1 600 mg/deň) a vyššia dávka kyseliny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acetylsalicylovej (≥ 1,3 g denne) znížiť elimináciu a následne zvýšiť výskyt nežiaducich účinkov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pemetrexedu. Preto sa pri súbežnom podávaní vyšších dávok NSA</w:t>
      </w:r>
      <w:r w:rsidR="001950D4" w:rsidRPr="00D32C41">
        <w:rPr>
          <w:rFonts w:ascii="Times New Roman" w:eastAsia="TimesNewRoman" w:hAnsi="Times New Roman"/>
          <w:color w:val="000000"/>
        </w:rPr>
        <w:t>ID</w:t>
      </w:r>
      <w:r w:rsidRPr="00D32C41">
        <w:rPr>
          <w:rFonts w:ascii="Times New Roman" w:eastAsia="TimesNewRoman" w:hAnsi="Times New Roman"/>
          <w:color w:val="000000"/>
        </w:rPr>
        <w:t xml:space="preserve"> alebo vyššej dávky kyseliny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acetylsalicylovej s pemetrexedom u pacientov s normálnymi renálnymi funkciami (klírens kreatinínu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≥ 80 ml/min) musí postupovať s opatrnosťou.</w:t>
      </w:r>
    </w:p>
    <w:p w:rsidR="00060B5C" w:rsidRPr="00D32C41" w:rsidRDefault="00060B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Pacienti s miernou až stredne závažnou renálnou insuficienciou (klírens kreatinínu 45 až 79 ml/min) sa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musia </w:t>
      </w:r>
      <w:r w:rsidR="00111731">
        <w:rPr>
          <w:rFonts w:ascii="Times New Roman" w:eastAsia="TimesNewRoman" w:hAnsi="Times New Roman"/>
          <w:color w:val="000000"/>
        </w:rPr>
        <w:t>vyhnúť</w:t>
      </w:r>
      <w:r w:rsidRPr="00D32C41">
        <w:rPr>
          <w:rFonts w:ascii="Times New Roman" w:eastAsia="TimesNewRoman" w:hAnsi="Times New Roman"/>
          <w:color w:val="000000"/>
        </w:rPr>
        <w:t xml:space="preserve"> súbežné</w:t>
      </w:r>
      <w:r w:rsidR="00111731">
        <w:rPr>
          <w:rFonts w:ascii="Times New Roman" w:eastAsia="TimesNewRoman" w:hAnsi="Times New Roman"/>
          <w:color w:val="000000"/>
        </w:rPr>
        <w:t>mu</w:t>
      </w:r>
      <w:r w:rsidRPr="00D32C41">
        <w:rPr>
          <w:rFonts w:ascii="Times New Roman" w:eastAsia="TimesNewRoman" w:hAnsi="Times New Roman"/>
          <w:color w:val="000000"/>
        </w:rPr>
        <w:t xml:space="preserve"> podávani</w:t>
      </w:r>
      <w:r w:rsidR="00111731">
        <w:rPr>
          <w:rFonts w:ascii="Times New Roman" w:eastAsia="TimesNewRoman" w:hAnsi="Times New Roman"/>
          <w:color w:val="000000"/>
        </w:rPr>
        <w:t>u</w:t>
      </w:r>
      <w:r w:rsidRPr="00D32C41">
        <w:rPr>
          <w:rFonts w:ascii="Times New Roman" w:eastAsia="TimesNewRoman" w:hAnsi="Times New Roman"/>
          <w:color w:val="000000"/>
        </w:rPr>
        <w:t xml:space="preserve"> pemetrexedu s NSA</w:t>
      </w:r>
      <w:r w:rsidR="001950D4" w:rsidRPr="00D32C41">
        <w:rPr>
          <w:rFonts w:ascii="Times New Roman" w:eastAsia="TimesNewRoman" w:hAnsi="Times New Roman"/>
          <w:color w:val="000000"/>
        </w:rPr>
        <w:t>ID</w:t>
      </w:r>
      <w:r w:rsidRPr="00D32C41">
        <w:rPr>
          <w:rFonts w:ascii="Times New Roman" w:eastAsia="TimesNewRoman" w:hAnsi="Times New Roman"/>
          <w:color w:val="000000"/>
        </w:rPr>
        <w:t xml:space="preserve"> (napr. ibuprof</w:t>
      </w:r>
      <w:r w:rsidR="00111731">
        <w:rPr>
          <w:rFonts w:ascii="Times New Roman" w:eastAsia="TimesNewRoman" w:hAnsi="Times New Roman"/>
          <w:color w:val="000000"/>
        </w:rPr>
        <w:t>é</w:t>
      </w:r>
      <w:r w:rsidRPr="00D32C41">
        <w:rPr>
          <w:rFonts w:ascii="Times New Roman" w:eastAsia="TimesNewRoman" w:hAnsi="Times New Roman"/>
          <w:color w:val="000000"/>
        </w:rPr>
        <w:t>n) alebo vyššej dávky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kyseliny acetylsalicylovej 2 dni pred, v deň a 2 dni po podaní pemetrexedu (pozri časť 4.4).</w:t>
      </w:r>
    </w:p>
    <w:p w:rsidR="00060B5C" w:rsidRPr="00D32C41" w:rsidRDefault="00060B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Vzhľadom na nedostatok </w:t>
      </w:r>
      <w:r w:rsidR="005523C7" w:rsidRPr="00D32C41">
        <w:rPr>
          <w:rFonts w:ascii="Times New Roman" w:eastAsia="TimesNewRoman" w:hAnsi="Times New Roman"/>
          <w:color w:val="000000"/>
        </w:rPr>
        <w:t>údajov</w:t>
      </w:r>
      <w:r w:rsidRPr="00D32C41">
        <w:rPr>
          <w:rFonts w:ascii="Times New Roman" w:eastAsia="TimesNewRoman" w:hAnsi="Times New Roman"/>
          <w:color w:val="000000"/>
        </w:rPr>
        <w:t xml:space="preserve"> ohľadom potenciálnej interakcie s NSA</w:t>
      </w:r>
      <w:r w:rsidR="001950D4" w:rsidRPr="00D32C41">
        <w:rPr>
          <w:rFonts w:ascii="Times New Roman" w:eastAsia="TimesNewRoman" w:hAnsi="Times New Roman"/>
          <w:color w:val="000000"/>
        </w:rPr>
        <w:t>ID</w:t>
      </w:r>
      <w:r w:rsidRPr="00D32C41">
        <w:rPr>
          <w:rFonts w:ascii="Times New Roman" w:eastAsia="TimesNewRoman" w:hAnsi="Times New Roman"/>
          <w:color w:val="000000"/>
        </w:rPr>
        <w:t xml:space="preserve"> s dlhšími polčasmi, ako sú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piroxikam alebo rofekoxib, je potrebné prerušiť ich podávanie u pacientov s miernou až stredne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závažnou renálnou insuficienciou najmenej 5 dní pred, v deň a najmenej 2 dni po podaní pemetrexedu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(pozri časť 4.4). Ak je potrebné súbežne podávať NSA</w:t>
      </w:r>
      <w:r w:rsidR="001950D4" w:rsidRPr="00D32C41">
        <w:rPr>
          <w:rFonts w:ascii="Times New Roman" w:eastAsia="TimesNewRoman" w:hAnsi="Times New Roman"/>
          <w:color w:val="000000"/>
        </w:rPr>
        <w:t>ID</w:t>
      </w:r>
      <w:r w:rsidRPr="00D32C41">
        <w:rPr>
          <w:rFonts w:ascii="Times New Roman" w:eastAsia="TimesNewRoman" w:hAnsi="Times New Roman"/>
          <w:color w:val="000000"/>
        </w:rPr>
        <w:t>, u týchto pacientov je potrebné dôkladne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monitorovať toxicitu, najmä myelosupresiu a gastrointestinálnu toxicitu.</w:t>
      </w:r>
    </w:p>
    <w:p w:rsidR="00060B5C" w:rsidRPr="00D32C41" w:rsidRDefault="00060B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Pemetrexed prechádza obmedzeným pečeňovým metabolizmom. Výsledky </w:t>
      </w:r>
      <w:r w:rsidRPr="00D32C41">
        <w:rPr>
          <w:rFonts w:ascii="Times New Roman" w:eastAsia="TimesNewRoman,Bold" w:hAnsi="Times New Roman"/>
          <w:i/>
          <w:iCs/>
          <w:color w:val="000000"/>
        </w:rPr>
        <w:t xml:space="preserve">in vitro </w:t>
      </w:r>
      <w:r w:rsidRPr="00D32C41">
        <w:rPr>
          <w:rFonts w:ascii="Times New Roman" w:eastAsia="TimesNewRoman" w:hAnsi="Times New Roman"/>
          <w:color w:val="000000"/>
        </w:rPr>
        <w:t>štúdií s ľudskými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pečeňovými mikrozómami ukázali, že sa nedá predpokladať, že pemetrexed spôsobuje klinicky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významnú inhibíciu metabolického klírensu liekov metabolizovaných CYP3A, CYP2D6, CYP2C9, 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CYP1A2.</w:t>
      </w:r>
    </w:p>
    <w:p w:rsidR="00060B5C" w:rsidRPr="00D32C41" w:rsidRDefault="00060B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  <w:r w:rsidRPr="00D32C41">
        <w:rPr>
          <w:rFonts w:ascii="Times New Roman" w:eastAsia="TimesNewRoman" w:hAnsi="Times New Roman"/>
          <w:color w:val="000000"/>
          <w:u w:val="single"/>
        </w:rPr>
        <w:t xml:space="preserve">Interakcie bežné </w:t>
      </w:r>
      <w:r w:rsidR="003E1AC6" w:rsidRPr="00D32C41">
        <w:rPr>
          <w:rFonts w:ascii="Times New Roman" w:eastAsia="TimesNewRoman" w:hAnsi="Times New Roman"/>
          <w:color w:val="000000"/>
          <w:u w:val="single"/>
        </w:rPr>
        <w:t>pri</w:t>
      </w:r>
      <w:r w:rsidRPr="00D32C41">
        <w:rPr>
          <w:rFonts w:ascii="Times New Roman" w:eastAsia="TimesNewRoman" w:hAnsi="Times New Roman"/>
          <w:color w:val="000000"/>
          <w:u w:val="single"/>
        </w:rPr>
        <w:t xml:space="preserve"> všetkých cytotoxických lieko</w:t>
      </w:r>
      <w:r w:rsidR="00A66D7A" w:rsidRPr="00D32C41">
        <w:rPr>
          <w:rFonts w:ascii="Times New Roman" w:eastAsia="TimesNewRoman" w:hAnsi="Times New Roman"/>
          <w:color w:val="000000"/>
          <w:u w:val="single"/>
        </w:rPr>
        <w:t>ch</w:t>
      </w:r>
      <w:r w:rsidRPr="00D32C41">
        <w:rPr>
          <w:rFonts w:ascii="Times New Roman" w:eastAsia="TimesNewRoman" w:hAnsi="Times New Roman"/>
          <w:color w:val="000000"/>
          <w:u w:val="single"/>
        </w:rPr>
        <w:t>: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Vzhľadom na zvýšené riziko trombózy u pacientov s rakovinou je použitie antikoagulačnej liečby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časté. Vysoká intraindividuálna variabilita stavu koagulácie počas choroby a možnosť interakcie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medzi perorálnymi antikoagulanciami a protinádorovou chemoterapiou vyžaduje zvýšenú frekvenciu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monitorovania INR (International Normalised Ratio), pokiaľ sa rozhodne</w:t>
      </w:r>
      <w:r w:rsidR="005B37AB">
        <w:rPr>
          <w:rFonts w:ascii="Times New Roman" w:eastAsia="TimesNewRoman" w:hAnsi="Times New Roman"/>
          <w:color w:val="000000"/>
        </w:rPr>
        <w:t xml:space="preserve"> o liečbe</w:t>
      </w:r>
      <w:r w:rsidRPr="00D32C41">
        <w:rPr>
          <w:rFonts w:ascii="Times New Roman" w:eastAsia="TimesNewRoman" w:hAnsi="Times New Roman"/>
          <w:color w:val="000000"/>
        </w:rPr>
        <w:t xml:space="preserve"> pacienta 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perorálnymi antikoagulanciami.</w:t>
      </w:r>
    </w:p>
    <w:p w:rsidR="00F7196A" w:rsidRPr="00D32C41" w:rsidRDefault="00F7196A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Kontraindikované súbežné podávanie: Vakcína proti žltej zimnici: riziko fatálnej generalizovanej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postvakcinačnej reakcie (pozri časť 4.3).</w:t>
      </w:r>
    </w:p>
    <w:p w:rsidR="00F7196A" w:rsidRPr="00D32C41" w:rsidRDefault="00F7196A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Neodpor</w:t>
      </w:r>
      <w:r w:rsidR="00060B5C" w:rsidRPr="00D32C41">
        <w:rPr>
          <w:rFonts w:ascii="Times New Roman" w:eastAsia="TimesNewRoman" w:hAnsi="Times New Roman"/>
          <w:color w:val="000000"/>
        </w:rPr>
        <w:t>úča</w:t>
      </w:r>
      <w:r w:rsidRPr="00D32C41">
        <w:rPr>
          <w:rFonts w:ascii="Times New Roman" w:eastAsia="TimesNewRoman" w:hAnsi="Times New Roman"/>
          <w:color w:val="000000"/>
        </w:rPr>
        <w:t xml:space="preserve">né súbežné podávanie: </w:t>
      </w:r>
      <w:r w:rsidRPr="00D32C41">
        <w:rPr>
          <w:rFonts w:ascii="Times New Roman" w:eastAsia="TimesNewRoman" w:hAnsi="Times New Roman"/>
          <w:i/>
          <w:color w:val="000000"/>
        </w:rPr>
        <w:t>Živé oslabené vakcíny (okrem žltej zimnice, v tomto prípade je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i/>
          <w:color w:val="000000"/>
        </w:rPr>
        <w:t>súbežné podávanie kontraindikované):</w:t>
      </w:r>
      <w:r w:rsidRPr="00D32C41">
        <w:rPr>
          <w:rFonts w:ascii="Times New Roman" w:eastAsia="TimesNewRoman" w:hAnsi="Times New Roman"/>
          <w:color w:val="000000"/>
        </w:rPr>
        <w:t xml:space="preserve"> riziko systémov</w:t>
      </w:r>
      <w:r w:rsidR="00982E27" w:rsidRPr="00D32C41">
        <w:rPr>
          <w:rFonts w:ascii="Times New Roman" w:eastAsia="TimesNewRoman" w:hAnsi="Times New Roman"/>
          <w:color w:val="000000"/>
        </w:rPr>
        <w:t>ého ochorenia</w:t>
      </w:r>
      <w:r w:rsidRPr="00D32C41">
        <w:rPr>
          <w:rFonts w:ascii="Times New Roman" w:eastAsia="TimesNewRoman" w:hAnsi="Times New Roman"/>
          <w:color w:val="000000"/>
        </w:rPr>
        <w:t xml:space="preserve"> s možným fatálnym koncom. Riziko</w:t>
      </w:r>
      <w:r w:rsidR="00C30F0D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je zvýšené u jedincov, ktorí už majú pokles imunity spôsobený základným ochorením. Použite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inaktivovanú vakcínu, pokiaľ je k dispozícii (poliomyelitída) (pozri časť 4.4).</w:t>
      </w:r>
    </w:p>
    <w:p w:rsidR="00060B5C" w:rsidRPr="00D32C41" w:rsidRDefault="00060B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4.6 </w:t>
      </w:r>
      <w:r w:rsidR="00060B5C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Fertilita, gravidita a laktácia</w:t>
      </w:r>
    </w:p>
    <w:p w:rsidR="00060B5C" w:rsidRPr="00D32C41" w:rsidRDefault="00060B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F7196A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  <w:r w:rsidRPr="00D32C41">
        <w:rPr>
          <w:rFonts w:ascii="Times New Roman" w:eastAsia="TimesNewRoman" w:hAnsi="Times New Roman"/>
          <w:color w:val="000000"/>
        </w:rPr>
        <w:t xml:space="preserve">Ženy vo fertilnom veku / </w:t>
      </w:r>
      <w:r w:rsidR="00286A74" w:rsidRPr="00D32C41">
        <w:rPr>
          <w:rFonts w:ascii="Times New Roman" w:eastAsia="TimesNewRoman" w:hAnsi="Times New Roman"/>
          <w:color w:val="000000"/>
          <w:u w:val="single"/>
        </w:rPr>
        <w:t>Antikoncepcia u mužov a žien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Ženy </w:t>
      </w:r>
      <w:r w:rsidR="00060B5C" w:rsidRPr="00D32C41">
        <w:rPr>
          <w:rFonts w:ascii="Times New Roman" w:eastAsia="TimesNewRoman" w:hAnsi="Times New Roman"/>
          <w:color w:val="000000"/>
        </w:rPr>
        <w:t>vo fertilnom</w:t>
      </w:r>
      <w:r w:rsidRPr="00D32C41">
        <w:rPr>
          <w:rFonts w:ascii="Times New Roman" w:eastAsia="TimesNewRoman" w:hAnsi="Times New Roman"/>
          <w:color w:val="000000"/>
        </w:rPr>
        <w:t xml:space="preserve"> veku musia v priebehu liečby pemetrexedom používať účinnú antikoncepciu.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Pemetrexed môže mať geneticky škodlivý účinok. Pohlavne zrelým mužom sa neodporúča splodiť</w:t>
      </w:r>
    </w:p>
    <w:p w:rsidR="00286A74" w:rsidRPr="00D32C41" w:rsidRDefault="00286A74" w:rsidP="0023492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dieťa počas liečby a do </w:t>
      </w:r>
      <w:r w:rsidR="009C61AB" w:rsidRPr="00D32C41">
        <w:rPr>
          <w:rFonts w:ascii="Times New Roman" w:eastAsia="TimesNewRoman" w:hAnsi="Times New Roman"/>
          <w:color w:val="000000"/>
        </w:rPr>
        <w:t xml:space="preserve">menej ako </w:t>
      </w:r>
      <w:r w:rsidRPr="00D32C41">
        <w:rPr>
          <w:rFonts w:ascii="Times New Roman" w:eastAsia="TimesNewRoman" w:hAnsi="Times New Roman"/>
          <w:color w:val="000000"/>
        </w:rPr>
        <w:t>6 mesiacov od ukončenia liečby. Odporúča sa používanie antikoncepčných</w:t>
      </w:r>
      <w:r w:rsidR="00A607F7" w:rsidRPr="00D32C41">
        <w:rPr>
          <w:rFonts w:ascii="Times New Roman" w:eastAsia="TimesNewRoman" w:hAnsi="Times New Roman"/>
          <w:color w:val="000000"/>
        </w:rPr>
        <w:t xml:space="preserve"> </w:t>
      </w:r>
      <w:r w:rsidR="008B79F1" w:rsidRPr="00D32C41">
        <w:rPr>
          <w:rFonts w:ascii="Times New Roman" w:eastAsia="TimesNewRoman" w:hAnsi="Times New Roman"/>
          <w:color w:val="000000"/>
        </w:rPr>
        <w:t>metód</w:t>
      </w:r>
      <w:r w:rsidRPr="00D32C41">
        <w:rPr>
          <w:rFonts w:ascii="Times New Roman" w:eastAsia="TimesNewRoman" w:hAnsi="Times New Roman"/>
          <w:color w:val="000000"/>
        </w:rPr>
        <w:t xml:space="preserve"> alebo abstinencia.</w:t>
      </w:r>
    </w:p>
    <w:p w:rsidR="00060B5C" w:rsidRPr="00D32C41" w:rsidRDefault="00060B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  <w:r w:rsidRPr="00D32C41">
        <w:rPr>
          <w:rFonts w:ascii="Times New Roman" w:eastAsia="TimesNewRoman" w:hAnsi="Times New Roman"/>
          <w:color w:val="000000"/>
          <w:u w:val="single"/>
        </w:rPr>
        <w:t>Gravidita</w:t>
      </w:r>
    </w:p>
    <w:p w:rsidR="00286A74" w:rsidRPr="00D32C41" w:rsidRDefault="00234920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Nie sú k dispozícii </w:t>
      </w:r>
      <w:r w:rsidR="00286A74" w:rsidRPr="00D32C41">
        <w:rPr>
          <w:rFonts w:ascii="Times New Roman" w:eastAsia="TimesNewRoman" w:hAnsi="Times New Roman"/>
          <w:color w:val="000000"/>
        </w:rPr>
        <w:t xml:space="preserve">údaje o použití pemetrexedu u </w:t>
      </w:r>
      <w:r w:rsidR="0046100E" w:rsidRPr="00D32C41">
        <w:rPr>
          <w:rFonts w:ascii="Times New Roman" w:eastAsia="TimesNewRoman" w:hAnsi="Times New Roman"/>
          <w:color w:val="000000"/>
        </w:rPr>
        <w:t>gravid</w:t>
      </w:r>
      <w:r w:rsidR="00286A74" w:rsidRPr="00D32C41">
        <w:rPr>
          <w:rFonts w:ascii="Times New Roman" w:eastAsia="TimesNewRoman" w:hAnsi="Times New Roman"/>
          <w:color w:val="000000"/>
        </w:rPr>
        <w:t>ných žien, avšak je podozrenie, že pemetrexed, tak ako</w:t>
      </w:r>
      <w:r w:rsidR="0076332E" w:rsidRPr="00D32C41"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 xml:space="preserve">iné antimetabolity, pravdepodobne spôsobuje závažné vrodené chyby, </w:t>
      </w:r>
      <w:r w:rsidR="000D78DA" w:rsidRPr="00D32C41">
        <w:rPr>
          <w:rFonts w:ascii="Times New Roman" w:eastAsia="TimesNewRoman" w:hAnsi="Times New Roman"/>
          <w:color w:val="000000"/>
        </w:rPr>
        <w:t>ak</w:t>
      </w:r>
      <w:r w:rsidR="00286A74" w:rsidRPr="00D32C41">
        <w:rPr>
          <w:rFonts w:ascii="Times New Roman" w:eastAsia="TimesNewRoman" w:hAnsi="Times New Roman"/>
          <w:color w:val="000000"/>
        </w:rPr>
        <w:t xml:space="preserve"> je použitý počas gravidity.</w:t>
      </w:r>
      <w:r w:rsidR="0076332E" w:rsidRPr="00D32C41">
        <w:rPr>
          <w:rFonts w:ascii="Times New Roman" w:eastAsia="TimesNewRoman" w:hAnsi="Times New Roman"/>
          <w:color w:val="000000"/>
        </w:rPr>
        <w:t xml:space="preserve"> </w:t>
      </w:r>
      <w:r w:rsidR="00060B5C" w:rsidRPr="00D32C41">
        <w:rPr>
          <w:rFonts w:ascii="Times New Roman" w:eastAsia="TimesNewRoman" w:hAnsi="Times New Roman"/>
          <w:color w:val="000000"/>
        </w:rPr>
        <w:t>Štúdie</w:t>
      </w:r>
      <w:r w:rsidR="00286A74" w:rsidRPr="00D32C41">
        <w:rPr>
          <w:rFonts w:ascii="Times New Roman" w:eastAsia="TimesNewRoman" w:hAnsi="Times New Roman"/>
          <w:color w:val="000000"/>
        </w:rPr>
        <w:t xml:space="preserve"> na zvieratách preukázali reprodukčnú toxicitu (pozri časť 5.3). Pemetrexed sa nesmie používať</w:t>
      </w:r>
      <w:r w:rsidR="0076332E" w:rsidRPr="00D32C41">
        <w:rPr>
          <w:rFonts w:ascii="Times New Roman" w:eastAsia="TimesNewRoman" w:hAnsi="Times New Roman"/>
          <w:color w:val="000000"/>
        </w:rPr>
        <w:t xml:space="preserve"> </w:t>
      </w:r>
      <w:r w:rsidR="00B663A8" w:rsidRPr="00D32C41">
        <w:rPr>
          <w:rFonts w:ascii="Times New Roman" w:eastAsia="TimesNewRoman" w:hAnsi="Times New Roman"/>
          <w:color w:val="000000"/>
        </w:rPr>
        <w:t>počas</w:t>
      </w:r>
      <w:r w:rsidR="00286A74" w:rsidRPr="00D32C41">
        <w:rPr>
          <w:rFonts w:ascii="Times New Roman" w:eastAsia="TimesNewRoman" w:hAnsi="Times New Roman"/>
          <w:color w:val="000000"/>
        </w:rPr>
        <w:t xml:space="preserve"> gravidit</w:t>
      </w:r>
      <w:r w:rsidR="00B663A8" w:rsidRPr="00D32C41">
        <w:rPr>
          <w:rFonts w:ascii="Times New Roman" w:eastAsia="TimesNewRoman" w:hAnsi="Times New Roman"/>
          <w:color w:val="000000"/>
        </w:rPr>
        <w:t>y</w:t>
      </w:r>
      <w:r w:rsidR="00286A74" w:rsidRPr="00D32C41">
        <w:rPr>
          <w:rFonts w:ascii="Times New Roman" w:eastAsia="TimesNewRoman" w:hAnsi="Times New Roman"/>
          <w:color w:val="000000"/>
        </w:rPr>
        <w:t>, pokiaľ to nie je nevyhnutné a po starostlivom zvážení potrieb liečby u matky a rizika pre</w:t>
      </w:r>
      <w:r w:rsidR="0076332E" w:rsidRPr="00D32C41"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plod (pozri časť 4.4).</w:t>
      </w:r>
    </w:p>
    <w:p w:rsidR="00060B5C" w:rsidRPr="00D32C41" w:rsidRDefault="00060B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  <w:r w:rsidRPr="00D32C41">
        <w:rPr>
          <w:rFonts w:ascii="Times New Roman" w:eastAsia="TimesNewRoman" w:hAnsi="Times New Roman"/>
          <w:color w:val="000000"/>
          <w:u w:val="single"/>
        </w:rPr>
        <w:t>Dojčenie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Nie je známe, či sa pemetrexed vylučuje do materského mlieka a nežiaduce reakcie na</w:t>
      </w:r>
      <w:r w:rsidR="00820DFD">
        <w:rPr>
          <w:rFonts w:ascii="Times New Roman" w:eastAsia="TimesNewRoman" w:hAnsi="Times New Roman"/>
          <w:color w:val="000000"/>
        </w:rPr>
        <w:t xml:space="preserve"> </w:t>
      </w:r>
      <w:r w:rsidR="00060B5C" w:rsidRPr="00D32C41">
        <w:rPr>
          <w:rFonts w:ascii="Times New Roman" w:eastAsia="TimesNewRoman" w:hAnsi="Times New Roman"/>
          <w:color w:val="000000"/>
        </w:rPr>
        <w:t>dojča</w:t>
      </w:r>
      <w:r w:rsidRPr="00D32C41">
        <w:rPr>
          <w:rFonts w:ascii="Times New Roman" w:eastAsia="TimesNewRoman" w:hAnsi="Times New Roman"/>
          <w:color w:val="000000"/>
        </w:rPr>
        <w:t xml:space="preserve"> sa nedajú vylúčiť. Dojčenie musí byť počas liečby pemetrexedom </w:t>
      </w:r>
      <w:r w:rsidR="00FF4691" w:rsidRPr="00D32C41">
        <w:rPr>
          <w:rFonts w:ascii="Times New Roman" w:eastAsia="TimesNewRoman" w:hAnsi="Times New Roman"/>
          <w:color w:val="000000"/>
        </w:rPr>
        <w:t>ukonče</w:t>
      </w:r>
      <w:r w:rsidRPr="00D32C41">
        <w:rPr>
          <w:rFonts w:ascii="Times New Roman" w:eastAsia="TimesNewRoman" w:hAnsi="Times New Roman"/>
          <w:color w:val="000000"/>
        </w:rPr>
        <w:t>né (pozri časť</w:t>
      </w:r>
      <w:r w:rsidR="00820DFD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4.3).</w:t>
      </w:r>
    </w:p>
    <w:p w:rsidR="00060B5C" w:rsidRPr="00D32C41" w:rsidRDefault="00060B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  <w:r w:rsidRPr="00D32C41">
        <w:rPr>
          <w:rFonts w:ascii="Times New Roman" w:eastAsia="TimesNewRoman" w:hAnsi="Times New Roman"/>
          <w:color w:val="000000"/>
          <w:u w:val="single"/>
        </w:rPr>
        <w:t>Fertilita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Vzhľadom na možnosť ireverzibilnej infertility spôsobenej liečbou pemetrexedom sa mužom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odporúča, aby vyhľadali konzultáciu o možnosti uchovania spermií pred začiatkom liečby.</w:t>
      </w:r>
    </w:p>
    <w:p w:rsidR="00060B5C" w:rsidRPr="00D32C41" w:rsidRDefault="00060B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4.7 </w:t>
      </w:r>
      <w:r w:rsidR="00E45DCC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Ovplyvnenie schopnosti viesť vozidlá a obsluhovať stroje</w:t>
      </w:r>
    </w:p>
    <w:p w:rsidR="00060B5C" w:rsidRPr="00D32C41" w:rsidRDefault="00060B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E45DC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Ne</w:t>
      </w:r>
      <w:r w:rsidR="00986E35" w:rsidRPr="00D32C41">
        <w:rPr>
          <w:rFonts w:ascii="Times New Roman" w:eastAsia="TimesNewRoman" w:hAnsi="Times New Roman"/>
          <w:color w:val="000000"/>
        </w:rPr>
        <w:t>uskutočni</w:t>
      </w:r>
      <w:r w:rsidRPr="00D32C41">
        <w:rPr>
          <w:rFonts w:ascii="Times New Roman" w:eastAsia="TimesNewRoman" w:hAnsi="Times New Roman"/>
          <w:color w:val="000000"/>
        </w:rPr>
        <w:t>li sa žiadne štúdie o účinkoch na schopnosť viesť vozidlá a obsluhovať stroje.</w:t>
      </w:r>
      <w:r w:rsidR="00820DFD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Hlásilo sa však, že </w:t>
      </w:r>
      <w:r w:rsidR="00286A74" w:rsidRPr="00D32C41">
        <w:rPr>
          <w:rFonts w:ascii="Times New Roman" w:eastAsia="TimesNewRoman" w:hAnsi="Times New Roman"/>
          <w:color w:val="000000"/>
        </w:rPr>
        <w:t>pemetrexed môže spôsobovať únavu. Preto musia byť pacienti upozornení, aby neviedli vozidlá a</w:t>
      </w:r>
      <w:r w:rsidRPr="00D32C41">
        <w:rPr>
          <w:rFonts w:ascii="Times New Roman" w:eastAsia="TimesNewRoman" w:hAnsi="Times New Roman"/>
          <w:color w:val="000000"/>
        </w:rPr>
        <w:t xml:space="preserve">ni </w:t>
      </w:r>
      <w:r w:rsidR="00286A74" w:rsidRPr="00D32C41">
        <w:rPr>
          <w:rFonts w:ascii="Times New Roman" w:eastAsia="TimesNewRoman" w:hAnsi="Times New Roman"/>
          <w:color w:val="000000"/>
        </w:rPr>
        <w:t>neobsluhovali stroje, ak sa táto udalosť vyskytne.</w:t>
      </w:r>
    </w:p>
    <w:p w:rsidR="00060B5C" w:rsidRPr="00D32C41" w:rsidRDefault="00060B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4.8 </w:t>
      </w:r>
      <w:r w:rsidR="00E45DCC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Nežiaduce účinky</w:t>
      </w:r>
    </w:p>
    <w:p w:rsidR="00E45DCC" w:rsidRPr="00D32C41" w:rsidRDefault="00E45DC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  <w:r w:rsidRPr="00D32C41">
        <w:rPr>
          <w:rFonts w:ascii="Times New Roman" w:eastAsia="TimesNewRoman" w:hAnsi="Times New Roman"/>
          <w:color w:val="000000"/>
          <w:u w:val="single"/>
        </w:rPr>
        <w:t>Súhrn bezpečnostného profilu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Najčastejšie hlásen</w:t>
      </w:r>
      <w:r w:rsidR="00E45DCC" w:rsidRPr="00D32C41">
        <w:rPr>
          <w:rFonts w:ascii="Times New Roman" w:eastAsia="TimesNewRoman" w:hAnsi="Times New Roman"/>
          <w:color w:val="000000"/>
        </w:rPr>
        <w:t>é</w:t>
      </w:r>
      <w:r w:rsidRPr="00D32C41">
        <w:rPr>
          <w:rFonts w:ascii="Times New Roman" w:eastAsia="TimesNewRoman" w:hAnsi="Times New Roman"/>
          <w:color w:val="000000"/>
        </w:rPr>
        <w:t xml:space="preserve"> nežiaduc</w:t>
      </w:r>
      <w:r w:rsidR="00E45DCC" w:rsidRPr="00D32C41">
        <w:rPr>
          <w:rFonts w:ascii="Times New Roman" w:eastAsia="TimesNewRoman" w:hAnsi="Times New Roman"/>
          <w:color w:val="000000"/>
        </w:rPr>
        <w:t>e</w:t>
      </w:r>
      <w:r w:rsidRPr="00D32C41">
        <w:rPr>
          <w:rFonts w:ascii="Times New Roman" w:eastAsia="TimesNewRoman" w:hAnsi="Times New Roman"/>
          <w:color w:val="000000"/>
        </w:rPr>
        <w:t xml:space="preserve"> účink</w:t>
      </w:r>
      <w:r w:rsidR="00E45DCC" w:rsidRPr="00D32C41">
        <w:rPr>
          <w:rFonts w:ascii="Times New Roman" w:eastAsia="TimesNewRoman" w:hAnsi="Times New Roman"/>
          <w:color w:val="000000"/>
        </w:rPr>
        <w:t>y</w:t>
      </w:r>
      <w:r w:rsidRPr="00D32C41">
        <w:rPr>
          <w:rFonts w:ascii="Times New Roman" w:eastAsia="TimesNewRoman" w:hAnsi="Times New Roman"/>
          <w:color w:val="000000"/>
        </w:rPr>
        <w:t xml:space="preserve"> v súvislosti s pemetrexedom, použitým či už</w:t>
      </w:r>
      <w:r w:rsidR="00E45DCC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v monoterapii alebo v kombinácii, </w:t>
      </w:r>
      <w:r w:rsidR="00232DF1" w:rsidRPr="00D32C41">
        <w:rPr>
          <w:rFonts w:ascii="Times New Roman" w:eastAsia="TimesNewRoman" w:hAnsi="Times New Roman"/>
          <w:color w:val="000000"/>
        </w:rPr>
        <w:t>sú</w:t>
      </w:r>
      <w:r w:rsidRPr="00D32C41">
        <w:rPr>
          <w:rFonts w:ascii="Times New Roman" w:eastAsia="TimesNewRoman" w:hAnsi="Times New Roman"/>
          <w:color w:val="000000"/>
        </w:rPr>
        <w:t xml:space="preserve"> útlm kostnej drene prejavujúci sa ako anémia, neutropénia,</w:t>
      </w:r>
      <w:r w:rsidR="00E45DCC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leukopénia, trombocytopénia</w:t>
      </w:r>
      <w:r w:rsidR="00E45DCC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a gastrointestinálna toxicita prejavujúca sa ako anorexia, nevoľnosť,</w:t>
      </w:r>
      <w:r w:rsidR="00E45DCC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vracanie, hnačka, zápcha, faryngitíta, mukozitída a stomatitída. </w:t>
      </w:r>
      <w:r w:rsidR="00E45DCC" w:rsidRPr="00D32C41">
        <w:rPr>
          <w:rFonts w:ascii="Times New Roman" w:eastAsia="TimesNewRoman" w:hAnsi="Times New Roman"/>
          <w:color w:val="000000"/>
        </w:rPr>
        <w:t>Medzi ď</w:t>
      </w:r>
      <w:r w:rsidRPr="00D32C41">
        <w:rPr>
          <w:rFonts w:ascii="Times New Roman" w:eastAsia="TimesNewRoman" w:hAnsi="Times New Roman"/>
          <w:color w:val="000000"/>
        </w:rPr>
        <w:t xml:space="preserve">alšie nežiaduce účinky </w:t>
      </w:r>
      <w:r w:rsidR="00E45DCC" w:rsidRPr="00D32C41">
        <w:rPr>
          <w:rFonts w:ascii="Times New Roman" w:eastAsia="TimesNewRoman" w:hAnsi="Times New Roman"/>
          <w:color w:val="000000"/>
        </w:rPr>
        <w:t xml:space="preserve">patria </w:t>
      </w:r>
      <w:r w:rsidRPr="00D32C41">
        <w:rPr>
          <w:rFonts w:ascii="Times New Roman" w:eastAsia="TimesNewRoman" w:hAnsi="Times New Roman"/>
          <w:color w:val="000000"/>
        </w:rPr>
        <w:t>renáln</w:t>
      </w:r>
      <w:r w:rsidR="00E45DCC" w:rsidRPr="00D32C41">
        <w:rPr>
          <w:rFonts w:ascii="Times New Roman" w:eastAsia="TimesNewRoman" w:hAnsi="Times New Roman"/>
          <w:color w:val="000000"/>
        </w:rPr>
        <w:t>a</w:t>
      </w:r>
      <w:r w:rsidRPr="00D32C41">
        <w:rPr>
          <w:rFonts w:ascii="Times New Roman" w:eastAsia="TimesNewRoman" w:hAnsi="Times New Roman"/>
          <w:color w:val="000000"/>
        </w:rPr>
        <w:t xml:space="preserve"> toxicit</w:t>
      </w:r>
      <w:r w:rsidR="00E45DCC" w:rsidRPr="00D32C41">
        <w:rPr>
          <w:rFonts w:ascii="Times New Roman" w:eastAsia="TimesNewRoman" w:hAnsi="Times New Roman"/>
          <w:color w:val="000000"/>
        </w:rPr>
        <w:t>a</w:t>
      </w:r>
      <w:r w:rsidRPr="00D32C41">
        <w:rPr>
          <w:rFonts w:ascii="Times New Roman" w:eastAsia="TimesNewRoman" w:hAnsi="Times New Roman"/>
          <w:color w:val="000000"/>
        </w:rPr>
        <w:t>, zvýšenie koncentrácie aminotransferáz, alopéci</w:t>
      </w:r>
      <w:r w:rsidR="00E45DCC" w:rsidRPr="00D32C41">
        <w:rPr>
          <w:rFonts w:ascii="Times New Roman" w:eastAsia="TimesNewRoman" w:hAnsi="Times New Roman"/>
          <w:color w:val="000000"/>
        </w:rPr>
        <w:t>a</w:t>
      </w:r>
      <w:r w:rsidRPr="00D32C41">
        <w:rPr>
          <w:rFonts w:ascii="Times New Roman" w:eastAsia="TimesNewRoman" w:hAnsi="Times New Roman"/>
          <w:color w:val="000000"/>
        </w:rPr>
        <w:t>, únav</w:t>
      </w:r>
      <w:r w:rsidR="00E45DCC" w:rsidRPr="00D32C41">
        <w:rPr>
          <w:rFonts w:ascii="Times New Roman" w:eastAsia="TimesNewRoman" w:hAnsi="Times New Roman"/>
          <w:color w:val="000000"/>
        </w:rPr>
        <w:t>a</w:t>
      </w:r>
      <w:r w:rsidRPr="00D32C41">
        <w:rPr>
          <w:rFonts w:ascii="Times New Roman" w:eastAsia="TimesNewRoman" w:hAnsi="Times New Roman"/>
          <w:color w:val="000000"/>
        </w:rPr>
        <w:t>, dehydratáci</w:t>
      </w:r>
      <w:r w:rsidR="00E45DCC" w:rsidRPr="00D32C41">
        <w:rPr>
          <w:rFonts w:ascii="Times New Roman" w:eastAsia="TimesNewRoman" w:hAnsi="Times New Roman"/>
          <w:color w:val="000000"/>
        </w:rPr>
        <w:t>a</w:t>
      </w:r>
      <w:r w:rsidRPr="00D32C41">
        <w:rPr>
          <w:rFonts w:ascii="Times New Roman" w:eastAsia="TimesNewRoman" w:hAnsi="Times New Roman"/>
          <w:color w:val="000000"/>
        </w:rPr>
        <w:t>, vyrážk</w:t>
      </w:r>
      <w:r w:rsidR="00E45DCC" w:rsidRPr="00D32C41">
        <w:rPr>
          <w:rFonts w:ascii="Times New Roman" w:eastAsia="TimesNewRoman" w:hAnsi="Times New Roman"/>
          <w:color w:val="000000"/>
        </w:rPr>
        <w:t>a</w:t>
      </w:r>
      <w:r w:rsidRPr="00D32C41">
        <w:rPr>
          <w:rFonts w:ascii="Times New Roman" w:eastAsia="TimesNewRoman" w:hAnsi="Times New Roman"/>
          <w:color w:val="000000"/>
        </w:rPr>
        <w:t>,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infekci</w:t>
      </w:r>
      <w:r w:rsidR="00E45DCC" w:rsidRPr="00D32C41">
        <w:rPr>
          <w:rFonts w:ascii="Times New Roman" w:eastAsia="TimesNewRoman" w:hAnsi="Times New Roman"/>
          <w:color w:val="000000"/>
        </w:rPr>
        <w:t>a</w:t>
      </w:r>
      <w:r w:rsidRPr="00D32C41">
        <w:rPr>
          <w:rFonts w:ascii="Times New Roman" w:eastAsia="TimesNewRoman" w:hAnsi="Times New Roman"/>
          <w:color w:val="000000"/>
        </w:rPr>
        <w:t>/seps</w:t>
      </w:r>
      <w:r w:rsidR="00E45DCC" w:rsidRPr="00D32C41">
        <w:rPr>
          <w:rFonts w:ascii="Times New Roman" w:eastAsia="TimesNewRoman" w:hAnsi="Times New Roman"/>
          <w:color w:val="000000"/>
        </w:rPr>
        <w:t>a</w:t>
      </w:r>
      <w:r w:rsidRPr="00D32C41">
        <w:rPr>
          <w:rFonts w:ascii="Times New Roman" w:eastAsia="TimesNewRoman" w:hAnsi="Times New Roman"/>
          <w:color w:val="000000"/>
        </w:rPr>
        <w:t xml:space="preserve"> a neuropati</w:t>
      </w:r>
      <w:r w:rsidR="00E45DCC" w:rsidRPr="00D32C41">
        <w:rPr>
          <w:rFonts w:ascii="Times New Roman" w:eastAsia="TimesNewRoman" w:hAnsi="Times New Roman"/>
          <w:color w:val="000000"/>
        </w:rPr>
        <w:t>a</w:t>
      </w:r>
      <w:r w:rsidRPr="00D32C41">
        <w:rPr>
          <w:rFonts w:ascii="Times New Roman" w:eastAsia="TimesNewRoman" w:hAnsi="Times New Roman"/>
          <w:color w:val="000000"/>
        </w:rPr>
        <w:t>. Medzi zriedkavé patria Stevensov-Johnsonov syndróm a toxická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epidermálna nekrolýza.</w:t>
      </w:r>
    </w:p>
    <w:p w:rsidR="00E45DCC" w:rsidRPr="00D32C41" w:rsidRDefault="00E45DC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  <w:r w:rsidRPr="00D32C41">
        <w:rPr>
          <w:rFonts w:ascii="Times New Roman" w:eastAsia="TimesNewRoman" w:hAnsi="Times New Roman"/>
          <w:color w:val="000000"/>
          <w:u w:val="single"/>
        </w:rPr>
        <w:t>Tabuľkový prehľad nežiaducich reakcií</w:t>
      </w:r>
    </w:p>
    <w:p w:rsidR="00284B9E" w:rsidRPr="00D32C41" w:rsidRDefault="00284B9E" w:rsidP="00284B9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  <w:r w:rsidRPr="00D32C41">
        <w:rPr>
          <w:rFonts w:ascii="Times New Roman" w:eastAsia="TimesNewRomanPSMT" w:hAnsi="Times New Roman"/>
          <w:lang w:eastAsia="sk-SK"/>
        </w:rPr>
        <w:t>V tabuľke 4 sú uvedené nežiaduce účinky lieku bez ohľadu na príčinnú súvislosť s pemetrexedom</w:t>
      </w:r>
    </w:p>
    <w:p w:rsidR="00284B9E" w:rsidRPr="00D32C41" w:rsidRDefault="00284B9E" w:rsidP="00284B9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  <w:r w:rsidRPr="00D32C41">
        <w:rPr>
          <w:rFonts w:ascii="Times New Roman" w:eastAsia="TimesNewRomanPSMT" w:hAnsi="Times New Roman"/>
          <w:lang w:eastAsia="sk-SK"/>
        </w:rPr>
        <w:t>používaným buď v monoterapii alebo v kombinácii s cisplatinou z pi</w:t>
      </w:r>
      <w:r w:rsidR="00820DFD">
        <w:rPr>
          <w:rFonts w:ascii="Times New Roman" w:eastAsia="TimesNewRomanPSMT" w:hAnsi="Times New Roman"/>
          <w:lang w:eastAsia="sk-SK"/>
        </w:rPr>
        <w:t>v</w:t>
      </w:r>
      <w:r w:rsidRPr="00D32C41">
        <w:rPr>
          <w:rFonts w:ascii="Times New Roman" w:eastAsia="TimesNewRomanPSMT" w:hAnsi="Times New Roman"/>
          <w:lang w:eastAsia="sk-SK"/>
        </w:rPr>
        <w:t>otných registračných štúdií</w:t>
      </w:r>
    </w:p>
    <w:p w:rsidR="00284B9E" w:rsidRPr="00D32C41" w:rsidRDefault="00284B9E" w:rsidP="00284B9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PSMT" w:hAnsi="Times New Roman"/>
          <w:lang w:eastAsia="sk-SK"/>
        </w:rPr>
        <w:t>(JMCH, JMEI, JMBD, JMEN a PARAMOUNT) a z obdobia po uvedení na trh.</w:t>
      </w:r>
    </w:p>
    <w:p w:rsidR="00284B9E" w:rsidRPr="00D32C41" w:rsidRDefault="00284B9E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CF64ED" w:rsidRPr="00D32C41" w:rsidRDefault="00CF64ED" w:rsidP="00CF64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D32C41">
        <w:rPr>
          <w:rFonts w:ascii="Times New Roman" w:hAnsi="Times New Roman"/>
          <w:lang w:eastAsia="sk-SK"/>
        </w:rPr>
        <w:t>NÚ sú uv</w:t>
      </w:r>
      <w:r w:rsidRPr="00D32C41">
        <w:rPr>
          <w:rFonts w:ascii="Times New Roman" w:eastAsia="TimesNewRomanPSMT" w:hAnsi="Times New Roman"/>
          <w:lang w:eastAsia="sk-SK"/>
        </w:rPr>
        <w:t>edené podľa triedy orgánových systémov MedDRA. Na klasifiká</w:t>
      </w:r>
      <w:r w:rsidRPr="00D32C41">
        <w:rPr>
          <w:rFonts w:ascii="Times New Roman" w:hAnsi="Times New Roman"/>
          <w:lang w:eastAsia="sk-SK"/>
        </w:rPr>
        <w:t>ciu frekvencie sa použila</w:t>
      </w:r>
    </w:p>
    <w:p w:rsidR="00286A74" w:rsidRPr="00D32C41" w:rsidRDefault="00CF64ED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hAnsi="Times New Roman"/>
          <w:lang w:eastAsia="sk-SK"/>
        </w:rPr>
        <w:t>táto konvencia:</w:t>
      </w:r>
      <w:r w:rsidR="00286A74" w:rsidRPr="00D32C41">
        <w:rPr>
          <w:rFonts w:ascii="Times New Roman" w:eastAsia="TimesNewRoman" w:hAnsi="Times New Roman"/>
          <w:color w:val="000000"/>
        </w:rPr>
        <w:t xml:space="preserve"> veľmi časté</w:t>
      </w:r>
      <w:r w:rsidRPr="00D32C41">
        <w:rPr>
          <w:rFonts w:ascii="Times New Roman" w:eastAsia="TimesNewRoman" w:hAnsi="Times New Roman"/>
          <w:color w:val="000000"/>
        </w:rPr>
        <w:t xml:space="preserve">: </w:t>
      </w:r>
      <w:r w:rsidR="00286A74" w:rsidRPr="00D32C41">
        <w:rPr>
          <w:rFonts w:ascii="Times New Roman" w:eastAsia="TimesNewRoman" w:hAnsi="Times New Roman"/>
          <w:color w:val="000000"/>
        </w:rPr>
        <w:t>≥ 1/10, časté</w:t>
      </w:r>
      <w:r w:rsidRPr="00D32C41">
        <w:rPr>
          <w:rFonts w:ascii="Times New Roman" w:eastAsia="TimesNewRoman" w:hAnsi="Times New Roman"/>
          <w:color w:val="000000"/>
        </w:rPr>
        <w:t>: ≥ 1/100 až &lt; 1/10</w:t>
      </w:r>
      <w:r w:rsidR="00286A74" w:rsidRPr="00D32C41">
        <w:rPr>
          <w:rFonts w:ascii="Times New Roman" w:eastAsia="TimesNewRoman" w:hAnsi="Times New Roman"/>
          <w:color w:val="000000"/>
        </w:rPr>
        <w:t>, menej časté</w:t>
      </w:r>
      <w:r w:rsidRPr="00D32C41">
        <w:rPr>
          <w:rFonts w:ascii="Times New Roman" w:eastAsia="TimesNewRoman" w:hAnsi="Times New Roman"/>
          <w:color w:val="000000"/>
        </w:rPr>
        <w:t xml:space="preserve">: </w:t>
      </w:r>
      <w:r w:rsidR="00286A74" w:rsidRPr="00D32C41">
        <w:rPr>
          <w:rFonts w:ascii="Times New Roman" w:eastAsia="TimesNewRoman" w:hAnsi="Times New Roman"/>
          <w:color w:val="000000"/>
        </w:rPr>
        <w:t>≥ 1/1 000 až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&lt; 1/100, zriedkavé</w:t>
      </w:r>
      <w:r w:rsidR="00CF64ED" w:rsidRPr="00D32C41">
        <w:rPr>
          <w:rFonts w:ascii="Times New Roman" w:eastAsia="TimesNewRoman" w:hAnsi="Times New Roman"/>
          <w:color w:val="000000"/>
        </w:rPr>
        <w:t xml:space="preserve">: </w:t>
      </w:r>
      <w:r w:rsidRPr="00D32C41">
        <w:rPr>
          <w:rFonts w:ascii="Times New Roman" w:eastAsia="TimesNewRoman" w:hAnsi="Times New Roman"/>
          <w:color w:val="000000"/>
        </w:rPr>
        <w:t>≥ 1/10 000 až &lt; 1/1 000, veľmi zriedkavé</w:t>
      </w:r>
      <w:r w:rsidR="00CF64ED" w:rsidRPr="00D32C41">
        <w:rPr>
          <w:rFonts w:ascii="Times New Roman" w:eastAsia="TimesNewRoman" w:hAnsi="Times New Roman"/>
          <w:color w:val="000000"/>
        </w:rPr>
        <w:t xml:space="preserve">: </w:t>
      </w:r>
      <w:r w:rsidRPr="00D32C41">
        <w:rPr>
          <w:rFonts w:ascii="Times New Roman" w:eastAsia="TimesNewRoman" w:hAnsi="Times New Roman"/>
          <w:color w:val="000000"/>
        </w:rPr>
        <w:t>&lt; 1/10 000 a</w:t>
      </w:r>
      <w:r w:rsidR="000B6324" w:rsidRPr="00D32C41">
        <w:rPr>
          <w:rFonts w:ascii="Times New Roman" w:eastAsia="TimesNewRoman" w:hAnsi="Times New Roman"/>
          <w:color w:val="000000"/>
        </w:rPr>
        <w:t> </w:t>
      </w:r>
      <w:r w:rsidRPr="00D32C41">
        <w:rPr>
          <w:rFonts w:ascii="Times New Roman" w:eastAsia="TimesNewRoman" w:hAnsi="Times New Roman"/>
          <w:color w:val="000000"/>
        </w:rPr>
        <w:t>neznám</w:t>
      </w:r>
      <w:r w:rsidR="000B6324" w:rsidRPr="00D32C41">
        <w:rPr>
          <w:rFonts w:ascii="Times New Roman" w:eastAsia="TimesNewRoman" w:hAnsi="Times New Roman"/>
          <w:color w:val="000000"/>
        </w:rPr>
        <w:t xml:space="preserve">e 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(</w:t>
      </w:r>
      <w:r w:rsidR="000B6324" w:rsidRPr="00D32C41">
        <w:rPr>
          <w:rFonts w:ascii="Times New Roman" w:eastAsia="TimesNewRoman" w:hAnsi="Times New Roman"/>
          <w:color w:val="000000"/>
        </w:rPr>
        <w:t>nedá sa odhadnúť z dostupných údajov</w:t>
      </w:r>
      <w:r w:rsidRPr="00D32C41">
        <w:rPr>
          <w:rFonts w:ascii="Times New Roman" w:eastAsia="TimesNewRoman" w:hAnsi="Times New Roman"/>
          <w:color w:val="000000"/>
        </w:rPr>
        <w:t>).</w:t>
      </w:r>
    </w:p>
    <w:p w:rsidR="000B6324" w:rsidRPr="00D32C41" w:rsidRDefault="000B632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CF64ED" w:rsidRPr="00D32C41" w:rsidRDefault="00CF64ED" w:rsidP="00CF64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lang w:eastAsia="sk-SK"/>
        </w:rPr>
      </w:pPr>
      <w:r w:rsidRPr="00D32C41">
        <w:rPr>
          <w:rFonts w:ascii="Times New Roman" w:eastAsia="TimesNewRomanPS-BoldMT" w:hAnsi="Times New Roman"/>
          <w:b/>
          <w:bCs/>
          <w:lang w:eastAsia="sk-SK"/>
        </w:rPr>
        <w:t>Tabuľka 4. Frekvencie nežiaducich reakcií liek</w:t>
      </w:r>
      <w:r w:rsidR="00820DFD">
        <w:rPr>
          <w:rFonts w:ascii="Times New Roman" w:eastAsia="TimesNewRomanPS-BoldMT" w:hAnsi="Times New Roman"/>
          <w:b/>
          <w:bCs/>
          <w:lang w:eastAsia="sk-SK"/>
        </w:rPr>
        <w:t>u</w:t>
      </w:r>
      <w:r w:rsidRPr="00D32C41">
        <w:rPr>
          <w:rFonts w:ascii="Times New Roman" w:eastAsia="TimesNewRomanPS-BoldMT" w:hAnsi="Times New Roman"/>
          <w:b/>
          <w:bCs/>
          <w:lang w:eastAsia="sk-SK"/>
        </w:rPr>
        <w:t xml:space="preserve"> všetkých stupňov bez ohľadu na príčinné</w:t>
      </w:r>
    </w:p>
    <w:p w:rsidR="00CF64ED" w:rsidRPr="00D32C41" w:rsidRDefault="00CF64ED" w:rsidP="00CF64E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PS-BoldMT" w:hAnsi="Times New Roman"/>
          <w:b/>
          <w:bCs/>
          <w:lang w:eastAsia="sk-SK"/>
        </w:rPr>
        <w:t>súvislosti z pi</w:t>
      </w:r>
      <w:r w:rsidR="00820DFD">
        <w:rPr>
          <w:rFonts w:ascii="Times New Roman" w:eastAsia="TimesNewRomanPS-BoldMT" w:hAnsi="Times New Roman"/>
          <w:b/>
          <w:bCs/>
          <w:lang w:eastAsia="sk-SK"/>
        </w:rPr>
        <w:t>v</w:t>
      </w:r>
      <w:r w:rsidRPr="00D32C41">
        <w:rPr>
          <w:rFonts w:ascii="Times New Roman" w:eastAsia="TimesNewRomanPS-BoldMT" w:hAnsi="Times New Roman"/>
          <w:b/>
          <w:bCs/>
          <w:lang w:eastAsia="sk-SK"/>
        </w:rPr>
        <w:t>otných registračných štúdií: JMEI (pemetrexed verzus docetaxel), JMDB (pemetrexed a cisplatina verzus gemcitabín a cisplatina), JMCH (pemetrexed s cisplatinou verzus cisplatina), JMEN a PARAMOUNT (pemetrexed s najlepšou podpornou starostlivosťou verzus placebo s najlepšou podpornou starostlivosťou) a z obdobia po uvedení na trh.</w:t>
      </w:r>
    </w:p>
    <w:p w:rsidR="00E26890" w:rsidRPr="00D32C41" w:rsidRDefault="00E26890" w:rsidP="00E26890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6"/>
        <w:gridCol w:w="1418"/>
        <w:gridCol w:w="1418"/>
        <w:gridCol w:w="1416"/>
        <w:gridCol w:w="1418"/>
        <w:gridCol w:w="1219"/>
      </w:tblGrid>
      <w:tr w:rsidR="00E26890" w:rsidRPr="00D32C41" w:rsidTr="00D32C41">
        <w:trPr>
          <w:trHeight w:val="1125"/>
        </w:trPr>
        <w:tc>
          <w:tcPr>
            <w:tcW w:w="1526" w:type="dxa"/>
          </w:tcPr>
          <w:p w:rsidR="00E26890" w:rsidRPr="00D32C41" w:rsidRDefault="00E26890" w:rsidP="00937710">
            <w:pPr>
              <w:pStyle w:val="TableParagraph"/>
              <w:spacing w:before="56"/>
              <w:ind w:left="107" w:right="289"/>
              <w:rPr>
                <w:b/>
                <w:lang w:val="sk-SK"/>
              </w:rPr>
            </w:pPr>
            <w:r w:rsidRPr="00D32C41">
              <w:rPr>
                <w:b/>
                <w:lang w:val="sk-SK"/>
              </w:rPr>
              <w:t>Trieda orgánových systémov (MedDRA)</w:t>
            </w:r>
          </w:p>
        </w:tc>
        <w:tc>
          <w:tcPr>
            <w:tcW w:w="1416" w:type="dxa"/>
          </w:tcPr>
          <w:p w:rsidR="00E26890" w:rsidRPr="00D32C41" w:rsidRDefault="00E26890" w:rsidP="00937710">
            <w:pPr>
              <w:pStyle w:val="TableParagraph"/>
              <w:rPr>
                <w:b/>
                <w:sz w:val="24"/>
                <w:lang w:val="sk-SK"/>
              </w:rPr>
            </w:pPr>
          </w:p>
          <w:p w:rsidR="00E26890" w:rsidRPr="00D32C41" w:rsidRDefault="00E26890" w:rsidP="00937710">
            <w:pPr>
              <w:pStyle w:val="TableParagraph"/>
              <w:spacing w:before="159"/>
              <w:ind w:left="141"/>
              <w:rPr>
                <w:b/>
                <w:lang w:val="sk-SK"/>
              </w:rPr>
            </w:pPr>
            <w:r w:rsidRPr="00D32C41">
              <w:rPr>
                <w:b/>
                <w:lang w:val="sk-SK"/>
              </w:rPr>
              <w:t>Veľmi časté</w:t>
            </w:r>
          </w:p>
        </w:tc>
        <w:tc>
          <w:tcPr>
            <w:tcW w:w="1418" w:type="dxa"/>
          </w:tcPr>
          <w:p w:rsidR="00E26890" w:rsidRPr="00D32C41" w:rsidRDefault="00E26890" w:rsidP="00937710">
            <w:pPr>
              <w:pStyle w:val="TableParagraph"/>
              <w:rPr>
                <w:b/>
                <w:sz w:val="24"/>
                <w:lang w:val="sk-SK"/>
              </w:rPr>
            </w:pPr>
          </w:p>
          <w:p w:rsidR="00E26890" w:rsidRPr="00D32C41" w:rsidRDefault="00E26890" w:rsidP="00937710">
            <w:pPr>
              <w:pStyle w:val="TableParagraph"/>
              <w:spacing w:before="159"/>
              <w:ind w:left="98"/>
              <w:rPr>
                <w:b/>
                <w:lang w:val="sk-SK"/>
              </w:rPr>
            </w:pPr>
            <w:r w:rsidRPr="00D32C41">
              <w:rPr>
                <w:b/>
                <w:lang w:val="sk-SK"/>
              </w:rPr>
              <w:t>Časté</w:t>
            </w:r>
          </w:p>
        </w:tc>
        <w:tc>
          <w:tcPr>
            <w:tcW w:w="1418" w:type="dxa"/>
          </w:tcPr>
          <w:p w:rsidR="00E26890" w:rsidRPr="00D32C41" w:rsidRDefault="00E26890" w:rsidP="00937710">
            <w:pPr>
              <w:pStyle w:val="TableParagraph"/>
              <w:rPr>
                <w:b/>
                <w:sz w:val="24"/>
                <w:lang w:val="sk-SK"/>
              </w:rPr>
            </w:pPr>
          </w:p>
          <w:p w:rsidR="00E26890" w:rsidRPr="00D32C41" w:rsidRDefault="00E26890" w:rsidP="00937710">
            <w:pPr>
              <w:pStyle w:val="TableParagraph"/>
              <w:spacing w:before="159"/>
              <w:ind w:left="105"/>
              <w:rPr>
                <w:b/>
                <w:lang w:val="sk-SK"/>
              </w:rPr>
            </w:pPr>
            <w:r w:rsidRPr="00D32C41">
              <w:rPr>
                <w:b/>
                <w:lang w:val="sk-SK"/>
              </w:rPr>
              <w:t>Menej časté</w:t>
            </w:r>
          </w:p>
        </w:tc>
        <w:tc>
          <w:tcPr>
            <w:tcW w:w="1416" w:type="dxa"/>
          </w:tcPr>
          <w:p w:rsidR="00E26890" w:rsidRPr="00D32C41" w:rsidRDefault="00E26890" w:rsidP="00937710">
            <w:pPr>
              <w:pStyle w:val="TableParagraph"/>
              <w:rPr>
                <w:b/>
                <w:sz w:val="24"/>
                <w:lang w:val="sk-SK"/>
              </w:rPr>
            </w:pPr>
          </w:p>
          <w:p w:rsidR="00E26890" w:rsidRPr="00D32C41" w:rsidRDefault="00E26890" w:rsidP="00937710">
            <w:pPr>
              <w:pStyle w:val="TableParagraph"/>
              <w:spacing w:before="159"/>
              <w:ind w:left="106"/>
              <w:rPr>
                <w:b/>
                <w:lang w:val="sk-SK"/>
              </w:rPr>
            </w:pPr>
            <w:r w:rsidRPr="00D32C41">
              <w:rPr>
                <w:b/>
                <w:lang w:val="sk-SK"/>
              </w:rPr>
              <w:t>Zriedkavé</w:t>
            </w:r>
          </w:p>
        </w:tc>
        <w:tc>
          <w:tcPr>
            <w:tcW w:w="1418" w:type="dxa"/>
          </w:tcPr>
          <w:p w:rsidR="00E26890" w:rsidRPr="00D32C41" w:rsidRDefault="00E26890" w:rsidP="00937710">
            <w:pPr>
              <w:pStyle w:val="TableParagraph"/>
              <w:spacing w:before="8"/>
              <w:rPr>
                <w:b/>
                <w:sz w:val="26"/>
                <w:lang w:val="sk-SK"/>
              </w:rPr>
            </w:pPr>
          </w:p>
          <w:p w:rsidR="00E26890" w:rsidRPr="00D32C41" w:rsidRDefault="00E26890" w:rsidP="00937710">
            <w:pPr>
              <w:pStyle w:val="TableParagraph"/>
              <w:spacing w:before="1"/>
              <w:ind w:left="108" w:right="363"/>
              <w:rPr>
                <w:b/>
                <w:lang w:val="sk-SK"/>
              </w:rPr>
            </w:pPr>
            <w:r w:rsidRPr="00D32C41">
              <w:rPr>
                <w:b/>
                <w:lang w:val="sk-SK"/>
              </w:rPr>
              <w:t>Veľmi zriedkavé</w:t>
            </w:r>
          </w:p>
        </w:tc>
        <w:tc>
          <w:tcPr>
            <w:tcW w:w="1219" w:type="dxa"/>
          </w:tcPr>
          <w:p w:rsidR="00E26890" w:rsidRPr="00D32C41" w:rsidRDefault="00E26890" w:rsidP="00937710">
            <w:pPr>
              <w:pStyle w:val="TableParagraph"/>
              <w:rPr>
                <w:b/>
                <w:sz w:val="24"/>
                <w:lang w:val="sk-SK"/>
              </w:rPr>
            </w:pPr>
          </w:p>
          <w:p w:rsidR="00E26890" w:rsidRPr="00D32C41" w:rsidRDefault="00E26890" w:rsidP="00937710">
            <w:pPr>
              <w:pStyle w:val="TableParagraph"/>
              <w:spacing w:before="159"/>
              <w:ind w:left="109"/>
              <w:rPr>
                <w:b/>
                <w:lang w:val="sk-SK"/>
              </w:rPr>
            </w:pPr>
            <w:r w:rsidRPr="00D32C41">
              <w:rPr>
                <w:b/>
                <w:lang w:val="sk-SK"/>
              </w:rPr>
              <w:t>Neznáme</w:t>
            </w:r>
          </w:p>
        </w:tc>
      </w:tr>
      <w:tr w:rsidR="00E26890" w:rsidRPr="00D32C41" w:rsidTr="00D32C41">
        <w:trPr>
          <w:trHeight w:val="1012"/>
        </w:trPr>
        <w:tc>
          <w:tcPr>
            <w:tcW w:w="1526" w:type="dxa"/>
          </w:tcPr>
          <w:p w:rsidR="00E26890" w:rsidRPr="00D32C41" w:rsidRDefault="00E26890" w:rsidP="00937710">
            <w:pPr>
              <w:pStyle w:val="TableParagraph"/>
              <w:ind w:left="107" w:right="613"/>
              <w:rPr>
                <w:lang w:val="sk-SK"/>
              </w:rPr>
            </w:pPr>
            <w:r w:rsidRPr="00D32C41">
              <w:rPr>
                <w:lang w:val="sk-SK"/>
              </w:rPr>
              <w:t>Infekcie a nákazy</w:t>
            </w:r>
          </w:p>
        </w:tc>
        <w:tc>
          <w:tcPr>
            <w:tcW w:w="1416" w:type="dxa"/>
          </w:tcPr>
          <w:p w:rsidR="00E26890" w:rsidRPr="00D32C41" w:rsidRDefault="00E26890" w:rsidP="00937710">
            <w:pPr>
              <w:pStyle w:val="TableParagraph"/>
              <w:spacing w:line="242" w:lineRule="auto"/>
              <w:ind w:left="141" w:right="279"/>
              <w:rPr>
                <w:lang w:val="sk-SK"/>
              </w:rPr>
            </w:pPr>
            <w:r w:rsidRPr="00D32C41">
              <w:rPr>
                <w:lang w:val="sk-SK"/>
              </w:rPr>
              <w:t>infekcia</w:t>
            </w:r>
            <w:r w:rsidRPr="00D32C41">
              <w:rPr>
                <w:position w:val="8"/>
                <w:sz w:val="14"/>
                <w:lang w:val="sk-SK"/>
              </w:rPr>
              <w:t>a</w:t>
            </w:r>
            <w:r w:rsidRPr="00D32C41">
              <w:rPr>
                <w:lang w:val="sk-SK"/>
              </w:rPr>
              <w:t>, faryngitída</w:t>
            </w:r>
          </w:p>
        </w:tc>
        <w:tc>
          <w:tcPr>
            <w:tcW w:w="1418" w:type="dxa"/>
          </w:tcPr>
          <w:p w:rsidR="00E26890" w:rsidRPr="00D32C41" w:rsidRDefault="00E26890" w:rsidP="00937710">
            <w:pPr>
              <w:pStyle w:val="TableParagraph"/>
              <w:spacing w:line="251" w:lineRule="exact"/>
              <w:ind w:left="98"/>
              <w:rPr>
                <w:sz w:val="14"/>
                <w:lang w:val="sk-SK"/>
              </w:rPr>
            </w:pPr>
            <w:r w:rsidRPr="00D32C41">
              <w:rPr>
                <w:lang w:val="sk-SK"/>
              </w:rPr>
              <w:t>sepsa</w:t>
            </w:r>
            <w:r w:rsidRPr="00D32C41">
              <w:rPr>
                <w:position w:val="8"/>
                <w:sz w:val="14"/>
                <w:lang w:val="sk-SK"/>
              </w:rPr>
              <w:t>b</w:t>
            </w:r>
          </w:p>
        </w:tc>
        <w:tc>
          <w:tcPr>
            <w:tcW w:w="1418" w:type="dxa"/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6" w:type="dxa"/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</w:tcPr>
          <w:p w:rsidR="00E26890" w:rsidRPr="00D32C41" w:rsidRDefault="00E26890" w:rsidP="00937710">
            <w:pPr>
              <w:pStyle w:val="TableParagraph"/>
              <w:ind w:left="109" w:right="109"/>
              <w:rPr>
                <w:lang w:val="sk-SK"/>
              </w:rPr>
            </w:pPr>
            <w:r w:rsidRPr="00D32C41">
              <w:rPr>
                <w:lang w:val="sk-SK"/>
              </w:rPr>
              <w:t>dermo- hypodermati- tída</w:t>
            </w:r>
          </w:p>
        </w:tc>
        <w:tc>
          <w:tcPr>
            <w:tcW w:w="1219" w:type="dxa"/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</w:tr>
      <w:tr w:rsidR="00E26890" w:rsidRPr="00D32C41" w:rsidTr="00D32C41">
        <w:trPr>
          <w:trHeight w:val="1518"/>
        </w:trPr>
        <w:tc>
          <w:tcPr>
            <w:tcW w:w="1526" w:type="dxa"/>
          </w:tcPr>
          <w:p w:rsidR="00E26890" w:rsidRPr="00D32C41" w:rsidRDefault="00E26890" w:rsidP="00937710">
            <w:pPr>
              <w:pStyle w:val="TableParagraph"/>
              <w:ind w:left="107" w:right="93"/>
              <w:rPr>
                <w:lang w:val="sk-SK"/>
              </w:rPr>
            </w:pPr>
            <w:r w:rsidRPr="00D32C41">
              <w:rPr>
                <w:lang w:val="sk-SK"/>
              </w:rPr>
              <w:t>Poruchy krvi a lymfatického systému</w:t>
            </w:r>
          </w:p>
        </w:tc>
        <w:tc>
          <w:tcPr>
            <w:tcW w:w="1416" w:type="dxa"/>
          </w:tcPr>
          <w:p w:rsidR="00E26890" w:rsidRPr="00D32C41" w:rsidRDefault="00E26890" w:rsidP="00937710">
            <w:pPr>
              <w:pStyle w:val="TableParagraph"/>
              <w:ind w:left="141" w:right="138"/>
              <w:rPr>
                <w:lang w:val="sk-SK"/>
              </w:rPr>
            </w:pPr>
            <w:r w:rsidRPr="00D32C41">
              <w:rPr>
                <w:lang w:val="sk-SK"/>
              </w:rPr>
              <w:t>neutropénia, leukopénia, znížený hemoglobín,</w:t>
            </w:r>
          </w:p>
        </w:tc>
        <w:tc>
          <w:tcPr>
            <w:tcW w:w="1418" w:type="dxa"/>
          </w:tcPr>
          <w:p w:rsidR="00E26890" w:rsidRPr="00D32C41" w:rsidRDefault="00E26890" w:rsidP="00937710">
            <w:pPr>
              <w:pStyle w:val="TableParagraph"/>
              <w:ind w:left="98" w:right="251"/>
              <w:rPr>
                <w:lang w:val="sk-SK"/>
              </w:rPr>
            </w:pPr>
            <w:r w:rsidRPr="00D32C41">
              <w:rPr>
                <w:lang w:val="sk-SK"/>
              </w:rPr>
              <w:t>febrilná neutropénia znížený počet krvných</w:t>
            </w:r>
          </w:p>
          <w:p w:rsidR="00E26890" w:rsidRPr="00D32C41" w:rsidRDefault="00E26890" w:rsidP="00937710">
            <w:pPr>
              <w:pStyle w:val="TableParagraph"/>
              <w:spacing w:line="235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doštičiek</w:t>
            </w:r>
          </w:p>
        </w:tc>
        <w:tc>
          <w:tcPr>
            <w:tcW w:w="1418" w:type="dxa"/>
          </w:tcPr>
          <w:p w:rsidR="00E26890" w:rsidRPr="00D32C41" w:rsidRDefault="00E26890" w:rsidP="00937710">
            <w:pPr>
              <w:pStyle w:val="TableParagraph"/>
              <w:spacing w:line="251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pancytopénia</w:t>
            </w:r>
          </w:p>
        </w:tc>
        <w:tc>
          <w:tcPr>
            <w:tcW w:w="1416" w:type="dxa"/>
          </w:tcPr>
          <w:p w:rsidR="00E26890" w:rsidRPr="00D32C41" w:rsidRDefault="00E26890" w:rsidP="00937710">
            <w:pPr>
              <w:pStyle w:val="TableParagraph"/>
              <w:ind w:left="106" w:right="119"/>
              <w:rPr>
                <w:lang w:val="sk-SK"/>
              </w:rPr>
            </w:pPr>
            <w:r w:rsidRPr="00D32C41">
              <w:rPr>
                <w:lang w:val="sk-SK"/>
              </w:rPr>
              <w:t>autoimunitná hemolytická anémia</w:t>
            </w:r>
          </w:p>
        </w:tc>
        <w:tc>
          <w:tcPr>
            <w:tcW w:w="1418" w:type="dxa"/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219" w:type="dxa"/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</w:tr>
      <w:tr w:rsidR="00E26890" w:rsidRPr="00D32C41" w:rsidTr="00D32C41">
        <w:trPr>
          <w:trHeight w:val="758"/>
        </w:trPr>
        <w:tc>
          <w:tcPr>
            <w:tcW w:w="1526" w:type="dxa"/>
          </w:tcPr>
          <w:p w:rsidR="00E26890" w:rsidRPr="00D32C41" w:rsidRDefault="00E26890" w:rsidP="00937710">
            <w:pPr>
              <w:pStyle w:val="TableParagraph"/>
              <w:ind w:left="107" w:right="386"/>
              <w:rPr>
                <w:lang w:val="sk-SK"/>
              </w:rPr>
            </w:pPr>
            <w:r w:rsidRPr="00D32C41">
              <w:rPr>
                <w:lang w:val="sk-SK"/>
              </w:rPr>
              <w:t>Poruchy imunitného</w:t>
            </w:r>
          </w:p>
          <w:p w:rsidR="00E26890" w:rsidRPr="00D32C41" w:rsidRDefault="00E26890" w:rsidP="00937710">
            <w:pPr>
              <w:pStyle w:val="TableParagraph"/>
              <w:spacing w:line="233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systému</w:t>
            </w:r>
          </w:p>
        </w:tc>
        <w:tc>
          <w:tcPr>
            <w:tcW w:w="1416" w:type="dxa"/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</w:tcPr>
          <w:p w:rsidR="00E26890" w:rsidRPr="00D32C41" w:rsidRDefault="00E26890" w:rsidP="00937710">
            <w:pPr>
              <w:pStyle w:val="TableParagraph"/>
              <w:ind w:left="98" w:right="141"/>
              <w:rPr>
                <w:lang w:val="sk-SK"/>
              </w:rPr>
            </w:pPr>
            <w:r w:rsidRPr="00D32C41">
              <w:rPr>
                <w:lang w:val="sk-SK"/>
              </w:rPr>
              <w:t>hypersenziti- vita</w:t>
            </w:r>
          </w:p>
        </w:tc>
        <w:tc>
          <w:tcPr>
            <w:tcW w:w="1418" w:type="dxa"/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6" w:type="dxa"/>
          </w:tcPr>
          <w:p w:rsidR="00E26890" w:rsidRPr="00D32C41" w:rsidRDefault="00E26890" w:rsidP="00937710">
            <w:pPr>
              <w:pStyle w:val="TableParagraph"/>
              <w:ind w:left="106" w:right="82"/>
              <w:rPr>
                <w:lang w:val="sk-SK"/>
              </w:rPr>
            </w:pPr>
            <w:r w:rsidRPr="00D32C41">
              <w:rPr>
                <w:lang w:val="sk-SK"/>
              </w:rPr>
              <w:t>anafylaktický šok</w:t>
            </w:r>
          </w:p>
        </w:tc>
        <w:tc>
          <w:tcPr>
            <w:tcW w:w="1418" w:type="dxa"/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219" w:type="dxa"/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</w:tr>
      <w:tr w:rsidR="00E26890" w:rsidRPr="00D32C41" w:rsidTr="00D32C41">
        <w:trPr>
          <w:trHeight w:val="758"/>
        </w:trPr>
        <w:tc>
          <w:tcPr>
            <w:tcW w:w="1526" w:type="dxa"/>
          </w:tcPr>
          <w:p w:rsidR="00E26890" w:rsidRPr="00D32C41" w:rsidRDefault="00E26890" w:rsidP="00937710">
            <w:pPr>
              <w:pStyle w:val="TableParagraph"/>
              <w:spacing w:line="251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Poruchy</w:t>
            </w:r>
          </w:p>
          <w:p w:rsidR="00E26890" w:rsidRPr="00D32C41" w:rsidRDefault="00E26890" w:rsidP="00937710">
            <w:pPr>
              <w:pStyle w:val="TableParagraph"/>
              <w:spacing w:before="5" w:line="252" w:lineRule="exact"/>
              <w:ind w:left="107" w:right="87"/>
              <w:rPr>
                <w:lang w:val="sk-SK"/>
              </w:rPr>
            </w:pPr>
            <w:r w:rsidRPr="00D32C41">
              <w:rPr>
                <w:lang w:val="sk-SK"/>
              </w:rPr>
              <w:t>metabolizmu a výživy</w:t>
            </w:r>
          </w:p>
        </w:tc>
        <w:tc>
          <w:tcPr>
            <w:tcW w:w="1416" w:type="dxa"/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</w:tcPr>
          <w:p w:rsidR="00E26890" w:rsidRPr="00D32C41" w:rsidRDefault="00E26890" w:rsidP="00937710">
            <w:pPr>
              <w:pStyle w:val="TableParagraph"/>
              <w:spacing w:line="251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dehydratácia</w:t>
            </w:r>
          </w:p>
        </w:tc>
        <w:tc>
          <w:tcPr>
            <w:tcW w:w="1418" w:type="dxa"/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6" w:type="dxa"/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219" w:type="dxa"/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</w:tr>
      <w:tr w:rsidR="00E26890" w:rsidRPr="00D32C41" w:rsidTr="008D239B">
        <w:trPr>
          <w:trHeight w:val="2529"/>
        </w:trPr>
        <w:tc>
          <w:tcPr>
            <w:tcW w:w="1526" w:type="dxa"/>
            <w:tcBorders>
              <w:bottom w:val="single" w:sz="4" w:space="0" w:color="000000"/>
            </w:tcBorders>
          </w:tcPr>
          <w:p w:rsidR="00E26890" w:rsidRPr="00D32C41" w:rsidRDefault="00E26890" w:rsidP="00937710">
            <w:pPr>
              <w:pStyle w:val="TableParagraph"/>
              <w:ind w:left="107" w:right="460"/>
              <w:rPr>
                <w:lang w:val="sk-SK"/>
              </w:rPr>
            </w:pPr>
            <w:r w:rsidRPr="00D32C41">
              <w:rPr>
                <w:lang w:val="sk-SK"/>
              </w:rPr>
              <w:t>Poruchy nervového systému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26890" w:rsidRPr="00D32C41" w:rsidRDefault="00E26890" w:rsidP="00937710">
            <w:pPr>
              <w:pStyle w:val="TableParagraph"/>
              <w:ind w:left="98" w:right="306"/>
              <w:rPr>
                <w:lang w:val="sk-SK"/>
              </w:rPr>
            </w:pPr>
            <w:r w:rsidRPr="00D32C41">
              <w:rPr>
                <w:lang w:val="sk-SK"/>
              </w:rPr>
              <w:t>porucha chuti, periférna motorická neuropatia, periférna senzorická neuropatia, závraty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26890" w:rsidRPr="00D32C41" w:rsidRDefault="00E26890" w:rsidP="00937710">
            <w:pPr>
              <w:pStyle w:val="TableParagraph"/>
              <w:ind w:left="106" w:right="60"/>
              <w:rPr>
                <w:lang w:val="sk-SK"/>
              </w:rPr>
            </w:pPr>
            <w:r w:rsidRPr="00D32C41">
              <w:rPr>
                <w:lang w:val="sk-SK"/>
              </w:rPr>
              <w:t>mozgovo- cievna príhoda, ischemická príhoda, intrakraniálna hemorágia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219" w:type="dxa"/>
            <w:tcBorders>
              <w:bottom w:val="single" w:sz="4" w:space="0" w:color="000000"/>
            </w:tcBorders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</w:tr>
      <w:tr w:rsidR="00E26890" w:rsidRPr="00D32C41" w:rsidTr="008D239B">
        <w:trPr>
          <w:trHeight w:val="3035"/>
        </w:trPr>
        <w:tc>
          <w:tcPr>
            <w:tcW w:w="1526" w:type="dxa"/>
            <w:tcBorders>
              <w:bottom w:val="nil"/>
            </w:tcBorders>
          </w:tcPr>
          <w:p w:rsidR="00E26890" w:rsidRPr="00D32C41" w:rsidRDefault="00E26890" w:rsidP="00937710">
            <w:pPr>
              <w:pStyle w:val="TableParagraph"/>
              <w:spacing w:line="251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Poruchy oka</w:t>
            </w:r>
          </w:p>
        </w:tc>
        <w:tc>
          <w:tcPr>
            <w:tcW w:w="1416" w:type="dxa"/>
            <w:tcBorders>
              <w:bottom w:val="nil"/>
            </w:tcBorders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26890" w:rsidRPr="00D32C41" w:rsidRDefault="00E26890" w:rsidP="00937710">
            <w:pPr>
              <w:pStyle w:val="TableParagraph"/>
              <w:ind w:left="98" w:right="202"/>
              <w:rPr>
                <w:lang w:val="sk-SK"/>
              </w:rPr>
            </w:pPr>
            <w:r w:rsidRPr="00D32C41">
              <w:rPr>
                <w:lang w:val="sk-SK"/>
              </w:rPr>
              <w:t>konjunktivi- tída,</w:t>
            </w:r>
          </w:p>
          <w:p w:rsidR="00E26890" w:rsidRPr="00D32C41" w:rsidRDefault="00E26890" w:rsidP="00937710">
            <w:pPr>
              <w:pStyle w:val="TableParagraph"/>
              <w:ind w:left="98" w:right="234"/>
              <w:rPr>
                <w:lang w:val="sk-SK"/>
              </w:rPr>
            </w:pPr>
            <w:r w:rsidRPr="00D32C41">
              <w:rPr>
                <w:lang w:val="sk-SK"/>
              </w:rPr>
              <w:t xml:space="preserve">suché oko, zvýšená lakrimácia, </w:t>
            </w:r>
            <w:r w:rsidR="003348B7">
              <w:rPr>
                <w:lang w:val="sk-SK"/>
              </w:rPr>
              <w:t xml:space="preserve">suchá </w:t>
            </w:r>
            <w:r w:rsidRPr="00D32C41">
              <w:rPr>
                <w:lang w:val="sk-SK"/>
              </w:rPr>
              <w:t>keratokon- junktivitída, opuch viečka, chroba očného</w:t>
            </w:r>
          </w:p>
          <w:p w:rsidR="00E26890" w:rsidRPr="00D32C41" w:rsidRDefault="00E26890" w:rsidP="00937710">
            <w:pPr>
              <w:pStyle w:val="TableParagraph"/>
              <w:spacing w:line="234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povrchu</w:t>
            </w:r>
          </w:p>
        </w:tc>
        <w:tc>
          <w:tcPr>
            <w:tcW w:w="1418" w:type="dxa"/>
            <w:tcBorders>
              <w:bottom w:val="nil"/>
            </w:tcBorders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219" w:type="dxa"/>
            <w:tcBorders>
              <w:bottom w:val="nil"/>
            </w:tcBorders>
          </w:tcPr>
          <w:p w:rsidR="00E26890" w:rsidRPr="00D32C41" w:rsidRDefault="00E26890" w:rsidP="00937710">
            <w:pPr>
              <w:pStyle w:val="TableParagraph"/>
              <w:rPr>
                <w:lang w:val="sk-SK"/>
              </w:rPr>
            </w:pPr>
          </w:p>
        </w:tc>
      </w:tr>
    </w:tbl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6"/>
        <w:gridCol w:w="1418"/>
        <w:gridCol w:w="1418"/>
        <w:gridCol w:w="1416"/>
        <w:gridCol w:w="1418"/>
        <w:gridCol w:w="1203"/>
      </w:tblGrid>
      <w:tr w:rsidR="00D32C41" w:rsidRPr="00D32C41" w:rsidTr="00D32C41">
        <w:trPr>
          <w:trHeight w:val="2277"/>
        </w:trPr>
        <w:tc>
          <w:tcPr>
            <w:tcW w:w="1526" w:type="dxa"/>
          </w:tcPr>
          <w:p w:rsidR="00D32C41" w:rsidRPr="00D32C41" w:rsidRDefault="00D32C41" w:rsidP="00937710">
            <w:pPr>
              <w:pStyle w:val="TableParagraph"/>
              <w:spacing w:line="230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Poruchy srdca</w:t>
            </w:r>
          </w:p>
          <w:p w:rsidR="00D32C41" w:rsidRPr="00D32C41" w:rsidRDefault="00D32C41" w:rsidP="00937710">
            <w:pPr>
              <w:pStyle w:val="TableParagraph"/>
              <w:spacing w:line="220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a srdcovej</w:t>
            </w:r>
          </w:p>
          <w:p w:rsidR="00D32C41" w:rsidRPr="00D32C41" w:rsidRDefault="00D32C41" w:rsidP="00937710">
            <w:pPr>
              <w:pStyle w:val="TableParagraph"/>
              <w:spacing w:line="226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činnosti</w:t>
            </w:r>
            <w:r w:rsidRPr="00D32C41">
              <w:rPr>
                <w:position w:val="8"/>
                <w:sz w:val="14"/>
                <w:lang w:val="sk-SK"/>
              </w:rPr>
              <w:t>c</w:t>
            </w:r>
          </w:p>
        </w:tc>
        <w:tc>
          <w:tcPr>
            <w:tcW w:w="1416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</w:tcPr>
          <w:p w:rsidR="00D32C41" w:rsidRPr="00D32C41" w:rsidRDefault="00D32C41" w:rsidP="00937710">
            <w:pPr>
              <w:pStyle w:val="TableParagraph"/>
              <w:spacing w:line="230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zlyhanie</w:t>
            </w:r>
          </w:p>
          <w:p w:rsidR="00D32C41" w:rsidRPr="00D32C41" w:rsidRDefault="00D32C41" w:rsidP="00937710">
            <w:pPr>
              <w:pStyle w:val="TableParagraph"/>
              <w:spacing w:line="220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srdca,</w:t>
            </w:r>
          </w:p>
          <w:p w:rsidR="00D32C41" w:rsidRPr="00D32C41" w:rsidRDefault="00D32C41" w:rsidP="00937710">
            <w:pPr>
              <w:pStyle w:val="TableParagraph"/>
              <w:spacing w:line="226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arytmia</w:t>
            </w:r>
          </w:p>
        </w:tc>
        <w:tc>
          <w:tcPr>
            <w:tcW w:w="1418" w:type="dxa"/>
          </w:tcPr>
          <w:p w:rsidR="00D32C41" w:rsidRPr="00D32C41" w:rsidRDefault="00D32C41" w:rsidP="00937710">
            <w:pPr>
              <w:pStyle w:val="TableParagraph"/>
              <w:spacing w:line="230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angína,</w:t>
            </w:r>
          </w:p>
          <w:p w:rsidR="00D32C41" w:rsidRPr="00D32C41" w:rsidRDefault="00D32C41" w:rsidP="00937710">
            <w:pPr>
              <w:pStyle w:val="TableParagraph"/>
              <w:spacing w:line="220" w:lineRule="exact"/>
              <w:ind w:left="139"/>
              <w:rPr>
                <w:lang w:val="sk-SK"/>
              </w:rPr>
            </w:pPr>
            <w:r w:rsidRPr="00D32C41">
              <w:rPr>
                <w:lang w:val="sk-SK"/>
              </w:rPr>
              <w:t>infarkt</w:t>
            </w:r>
          </w:p>
          <w:p w:rsidR="00D32C41" w:rsidRPr="00D32C41" w:rsidRDefault="00D32C41" w:rsidP="00937710">
            <w:pPr>
              <w:pStyle w:val="TableParagraph"/>
              <w:spacing w:line="226" w:lineRule="exact"/>
              <w:ind w:left="139"/>
              <w:rPr>
                <w:lang w:val="sk-SK"/>
              </w:rPr>
            </w:pPr>
            <w:r w:rsidRPr="00D32C41">
              <w:rPr>
                <w:lang w:val="sk-SK"/>
              </w:rPr>
              <w:t>myokardu,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ochorenie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koronárnych</w:t>
            </w:r>
          </w:p>
          <w:p w:rsidR="00D32C41" w:rsidRPr="00D32C41" w:rsidRDefault="00D32C41" w:rsidP="00937710">
            <w:pPr>
              <w:pStyle w:val="TableParagraph"/>
              <w:spacing w:line="222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ciev,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supraventri-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kulárna</w:t>
            </w:r>
          </w:p>
          <w:p w:rsidR="00D32C41" w:rsidRPr="00D32C41" w:rsidRDefault="00D32C41" w:rsidP="00937710">
            <w:pPr>
              <w:pStyle w:val="TableParagraph"/>
              <w:spacing w:line="226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arytmia</w:t>
            </w:r>
          </w:p>
        </w:tc>
        <w:tc>
          <w:tcPr>
            <w:tcW w:w="1416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203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</w:tr>
      <w:tr w:rsidR="00D32C41" w:rsidRPr="00D32C41" w:rsidTr="00D32C41">
        <w:trPr>
          <w:trHeight w:val="505"/>
        </w:trPr>
        <w:tc>
          <w:tcPr>
            <w:tcW w:w="1526" w:type="dxa"/>
          </w:tcPr>
          <w:p w:rsidR="00D32C41" w:rsidRPr="00D32C41" w:rsidRDefault="00D32C41" w:rsidP="00937710">
            <w:pPr>
              <w:pStyle w:val="TableParagraph"/>
              <w:spacing w:line="243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Poruchy ciev</w:t>
            </w:r>
          </w:p>
        </w:tc>
        <w:tc>
          <w:tcPr>
            <w:tcW w:w="1416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</w:tcPr>
          <w:p w:rsidR="00D32C41" w:rsidRPr="00D32C41" w:rsidRDefault="00D32C41" w:rsidP="00937710">
            <w:pPr>
              <w:pStyle w:val="TableParagraph"/>
              <w:spacing w:line="240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periférna</w:t>
            </w:r>
          </w:p>
          <w:p w:rsidR="00D32C41" w:rsidRPr="00D32C41" w:rsidRDefault="00D32C41" w:rsidP="00937710">
            <w:pPr>
              <w:pStyle w:val="TableParagraph"/>
              <w:spacing w:line="246" w:lineRule="exact"/>
              <w:ind w:left="106"/>
              <w:rPr>
                <w:sz w:val="14"/>
                <w:lang w:val="sk-SK"/>
              </w:rPr>
            </w:pPr>
            <w:r w:rsidRPr="00D32C41">
              <w:rPr>
                <w:lang w:val="sk-SK"/>
              </w:rPr>
              <w:t>ischémia</w:t>
            </w:r>
            <w:r w:rsidRPr="00D32C41">
              <w:rPr>
                <w:position w:val="8"/>
                <w:sz w:val="14"/>
                <w:lang w:val="sk-SK"/>
              </w:rPr>
              <w:t>c</w:t>
            </w:r>
          </w:p>
        </w:tc>
        <w:tc>
          <w:tcPr>
            <w:tcW w:w="1416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203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</w:tr>
      <w:tr w:rsidR="00D32C41" w:rsidRPr="00D32C41" w:rsidTr="00D32C41">
        <w:trPr>
          <w:trHeight w:val="1265"/>
        </w:trPr>
        <w:tc>
          <w:tcPr>
            <w:tcW w:w="1526" w:type="dxa"/>
          </w:tcPr>
          <w:p w:rsidR="00D32C41" w:rsidRPr="00D32C41" w:rsidRDefault="00D32C41" w:rsidP="00937710">
            <w:pPr>
              <w:pStyle w:val="TableParagraph"/>
              <w:spacing w:line="230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Poruchy</w:t>
            </w:r>
          </w:p>
          <w:p w:rsidR="00D32C41" w:rsidRPr="00D32C41" w:rsidRDefault="00D32C41" w:rsidP="00937710">
            <w:pPr>
              <w:pStyle w:val="TableParagraph"/>
              <w:spacing w:line="220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dýchacej</w:t>
            </w:r>
          </w:p>
          <w:p w:rsidR="00D32C41" w:rsidRPr="00D32C41" w:rsidRDefault="00D32C41" w:rsidP="00937710">
            <w:pPr>
              <w:pStyle w:val="TableParagraph"/>
              <w:spacing w:line="226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sústavy,</w:t>
            </w:r>
          </w:p>
          <w:p w:rsidR="00D32C41" w:rsidRPr="00D32C41" w:rsidRDefault="00D32C41" w:rsidP="00937710">
            <w:pPr>
              <w:pStyle w:val="TableParagraph"/>
              <w:spacing w:line="222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hrudníka</w:t>
            </w:r>
          </w:p>
          <w:p w:rsidR="00D32C41" w:rsidRPr="00D32C41" w:rsidRDefault="00D32C41" w:rsidP="00937710">
            <w:pPr>
              <w:pStyle w:val="TableParagraph"/>
              <w:spacing w:line="226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a mediastína</w:t>
            </w:r>
          </w:p>
        </w:tc>
        <w:tc>
          <w:tcPr>
            <w:tcW w:w="1416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</w:tcPr>
          <w:p w:rsidR="00D32C41" w:rsidRPr="00D32C41" w:rsidRDefault="00D32C41" w:rsidP="00937710">
            <w:pPr>
              <w:pStyle w:val="TableParagraph"/>
              <w:spacing w:line="230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pľúcna</w:t>
            </w:r>
          </w:p>
          <w:p w:rsidR="00D32C41" w:rsidRPr="00D32C41" w:rsidRDefault="00D32C41" w:rsidP="00937710">
            <w:pPr>
              <w:pStyle w:val="TableParagraph"/>
              <w:spacing w:line="220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embólia,</w:t>
            </w:r>
          </w:p>
          <w:p w:rsidR="00D32C41" w:rsidRPr="00D32C41" w:rsidRDefault="00D32C41" w:rsidP="00937710">
            <w:pPr>
              <w:pStyle w:val="TableParagraph"/>
              <w:spacing w:line="226" w:lineRule="exact"/>
              <w:ind w:left="106"/>
              <w:rPr>
                <w:sz w:val="14"/>
                <w:lang w:val="sk-SK"/>
              </w:rPr>
            </w:pPr>
            <w:r w:rsidRPr="00D32C41">
              <w:rPr>
                <w:lang w:val="sk-SK"/>
              </w:rPr>
              <w:t>intersticiálna</w:t>
            </w:r>
            <w:r w:rsidRPr="00D32C41">
              <w:rPr>
                <w:position w:val="8"/>
                <w:sz w:val="14"/>
                <w:lang w:val="sk-SK"/>
              </w:rPr>
              <w:t>bd</w:t>
            </w:r>
          </w:p>
          <w:p w:rsidR="00D32C41" w:rsidRPr="00D32C41" w:rsidRDefault="00D32C41" w:rsidP="00937710">
            <w:pPr>
              <w:pStyle w:val="TableParagraph"/>
              <w:spacing w:line="222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pneumonitída</w:t>
            </w:r>
          </w:p>
        </w:tc>
        <w:tc>
          <w:tcPr>
            <w:tcW w:w="1416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203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</w:tr>
      <w:tr w:rsidR="00D32C41" w:rsidRPr="00D32C41" w:rsidTr="00D32C41">
        <w:trPr>
          <w:trHeight w:val="2278"/>
        </w:trPr>
        <w:tc>
          <w:tcPr>
            <w:tcW w:w="1526" w:type="dxa"/>
          </w:tcPr>
          <w:p w:rsidR="00D32C41" w:rsidRPr="00D32C41" w:rsidRDefault="00D32C41" w:rsidP="00937710">
            <w:pPr>
              <w:pStyle w:val="TableParagraph"/>
              <w:spacing w:line="230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Poruchy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gastrointes-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tinálneho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traktu</w:t>
            </w:r>
          </w:p>
        </w:tc>
        <w:tc>
          <w:tcPr>
            <w:tcW w:w="1416" w:type="dxa"/>
          </w:tcPr>
          <w:p w:rsidR="00D32C41" w:rsidRPr="00D32C41" w:rsidRDefault="00D32C41" w:rsidP="00937710">
            <w:pPr>
              <w:pStyle w:val="TableParagraph"/>
              <w:spacing w:line="230" w:lineRule="exact"/>
              <w:ind w:left="141"/>
              <w:rPr>
                <w:lang w:val="sk-SK"/>
              </w:rPr>
            </w:pPr>
            <w:r w:rsidRPr="00D32C41">
              <w:rPr>
                <w:lang w:val="sk-SK"/>
              </w:rPr>
              <w:t>stomatitída,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41"/>
              <w:rPr>
                <w:lang w:val="sk-SK"/>
              </w:rPr>
            </w:pPr>
            <w:r w:rsidRPr="00D32C41">
              <w:rPr>
                <w:lang w:val="sk-SK"/>
              </w:rPr>
              <w:t>anorexia,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41"/>
              <w:rPr>
                <w:lang w:val="sk-SK"/>
              </w:rPr>
            </w:pPr>
            <w:r w:rsidRPr="00D32C41">
              <w:rPr>
                <w:lang w:val="sk-SK"/>
              </w:rPr>
              <w:t>vracanie,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41"/>
              <w:rPr>
                <w:lang w:val="sk-SK"/>
              </w:rPr>
            </w:pPr>
            <w:r w:rsidRPr="00D32C41">
              <w:rPr>
                <w:lang w:val="sk-SK"/>
              </w:rPr>
              <w:t>hnačka,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41"/>
              <w:rPr>
                <w:lang w:val="sk-SK"/>
              </w:rPr>
            </w:pPr>
            <w:r w:rsidRPr="00D32C41">
              <w:rPr>
                <w:lang w:val="sk-SK"/>
              </w:rPr>
              <w:t>nevoľnosť</w:t>
            </w:r>
          </w:p>
        </w:tc>
        <w:tc>
          <w:tcPr>
            <w:tcW w:w="1418" w:type="dxa"/>
          </w:tcPr>
          <w:p w:rsidR="00D32C41" w:rsidRPr="00D32C41" w:rsidRDefault="00D32C41" w:rsidP="00937710">
            <w:pPr>
              <w:pStyle w:val="TableParagraph"/>
              <w:spacing w:line="244" w:lineRule="auto"/>
              <w:ind w:left="98" w:right="416"/>
              <w:rPr>
                <w:lang w:val="sk-SK"/>
              </w:rPr>
            </w:pPr>
            <w:r w:rsidRPr="00D32C41">
              <w:rPr>
                <w:lang w:val="sk-SK"/>
              </w:rPr>
              <w:t>d</w:t>
            </w:r>
            <w:r w:rsidR="003348B7">
              <w:rPr>
                <w:lang w:val="sk-SK"/>
              </w:rPr>
              <w:t>y</w:t>
            </w:r>
            <w:r w:rsidRPr="00D32C41">
              <w:rPr>
                <w:lang w:val="sk-SK"/>
              </w:rPr>
              <w:t>spepsia, zápcha, bolesť brucha</w:t>
            </w:r>
          </w:p>
        </w:tc>
        <w:tc>
          <w:tcPr>
            <w:tcW w:w="1418" w:type="dxa"/>
          </w:tcPr>
          <w:p w:rsidR="00D32C41" w:rsidRPr="00D32C41" w:rsidRDefault="00D32C41" w:rsidP="00937710">
            <w:pPr>
              <w:pStyle w:val="TableParagraph"/>
              <w:spacing w:line="230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rektálna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hemorágia,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gastrointes-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tinálna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hemorágia,</w:t>
            </w:r>
          </w:p>
          <w:p w:rsidR="00D32C41" w:rsidRPr="00D32C41" w:rsidRDefault="00D32C41" w:rsidP="00937710">
            <w:pPr>
              <w:pStyle w:val="TableParagraph"/>
              <w:spacing w:line="222" w:lineRule="exact"/>
              <w:ind w:left="105"/>
              <w:rPr>
                <w:lang w:val="sk-SK"/>
              </w:rPr>
            </w:pPr>
            <w:r w:rsidRPr="00D32C41">
              <w:rPr>
                <w:lang w:val="sk-SK"/>
              </w:rPr>
              <w:t>intestinálna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5"/>
              <w:rPr>
                <w:lang w:val="sk-SK"/>
              </w:rPr>
            </w:pPr>
            <w:r w:rsidRPr="00D32C41">
              <w:rPr>
                <w:lang w:val="sk-SK"/>
              </w:rPr>
              <w:t>perforácia,</w:t>
            </w:r>
          </w:p>
          <w:p w:rsidR="00D32C41" w:rsidRPr="00D32C41" w:rsidRDefault="00D32C41" w:rsidP="00937710">
            <w:pPr>
              <w:pStyle w:val="TableParagraph"/>
              <w:spacing w:line="220" w:lineRule="exact"/>
              <w:ind w:left="105"/>
              <w:rPr>
                <w:lang w:val="sk-SK"/>
              </w:rPr>
            </w:pPr>
            <w:r w:rsidRPr="00D32C41">
              <w:rPr>
                <w:lang w:val="sk-SK"/>
              </w:rPr>
              <w:t>ezofagitída,</w:t>
            </w:r>
          </w:p>
          <w:p w:rsidR="00D32C41" w:rsidRPr="00D32C41" w:rsidRDefault="00D32C41" w:rsidP="00937710">
            <w:pPr>
              <w:pStyle w:val="TableParagraph"/>
              <w:spacing w:line="229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kolitída</w:t>
            </w:r>
            <w:r w:rsidRPr="00D32C41">
              <w:rPr>
                <w:position w:val="8"/>
                <w:sz w:val="14"/>
                <w:lang w:val="sk-SK"/>
              </w:rPr>
              <w:t>e</w:t>
            </w:r>
          </w:p>
        </w:tc>
        <w:tc>
          <w:tcPr>
            <w:tcW w:w="1416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203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</w:tr>
      <w:tr w:rsidR="00D32C41" w:rsidRPr="00D32C41" w:rsidTr="00D32C41">
        <w:trPr>
          <w:trHeight w:val="2024"/>
        </w:trPr>
        <w:tc>
          <w:tcPr>
            <w:tcW w:w="1526" w:type="dxa"/>
          </w:tcPr>
          <w:p w:rsidR="00D32C41" w:rsidRPr="00D32C41" w:rsidRDefault="00D32C41" w:rsidP="00937710">
            <w:pPr>
              <w:pStyle w:val="TableParagraph"/>
              <w:spacing w:line="230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Poruchy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pečene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a žlčových</w:t>
            </w:r>
          </w:p>
          <w:p w:rsidR="00D32C41" w:rsidRPr="00D32C41" w:rsidRDefault="00D32C41" w:rsidP="00937710">
            <w:pPr>
              <w:pStyle w:val="TableParagraph"/>
              <w:spacing w:line="222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ciest</w:t>
            </w:r>
          </w:p>
        </w:tc>
        <w:tc>
          <w:tcPr>
            <w:tcW w:w="1416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</w:tcPr>
          <w:p w:rsidR="00D32C41" w:rsidRPr="00D32C41" w:rsidRDefault="00D32C41" w:rsidP="00937710">
            <w:pPr>
              <w:pStyle w:val="TableParagraph"/>
              <w:spacing w:line="230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zvýšená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alanín-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aminotransfe-</w:t>
            </w:r>
          </w:p>
          <w:p w:rsidR="00D32C41" w:rsidRPr="00D32C41" w:rsidRDefault="00D32C41" w:rsidP="00937710">
            <w:pPr>
              <w:pStyle w:val="TableParagraph"/>
              <w:spacing w:line="222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ráza,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zvýšená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aspartát-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aminotrans-</w:t>
            </w:r>
          </w:p>
          <w:p w:rsidR="00D32C41" w:rsidRPr="00D32C41" w:rsidRDefault="00D32C41" w:rsidP="00937710">
            <w:pPr>
              <w:pStyle w:val="TableParagraph"/>
              <w:spacing w:line="225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feráza</w:t>
            </w:r>
          </w:p>
        </w:tc>
        <w:tc>
          <w:tcPr>
            <w:tcW w:w="1418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6" w:type="dxa"/>
          </w:tcPr>
          <w:p w:rsidR="00D32C41" w:rsidRPr="00D32C41" w:rsidRDefault="00D32C41" w:rsidP="00937710">
            <w:pPr>
              <w:pStyle w:val="TableParagraph"/>
              <w:spacing w:line="230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hepatitída</w:t>
            </w:r>
          </w:p>
        </w:tc>
        <w:tc>
          <w:tcPr>
            <w:tcW w:w="1418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203" w:type="dxa"/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</w:tr>
      <w:tr w:rsidR="00D32C41" w:rsidRPr="00D32C41" w:rsidTr="00D32C41">
        <w:trPr>
          <w:trHeight w:val="4801"/>
        </w:trPr>
        <w:tc>
          <w:tcPr>
            <w:tcW w:w="1526" w:type="dxa"/>
            <w:tcBorders>
              <w:bottom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spacing w:line="232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Poruchy kože</w:t>
            </w:r>
          </w:p>
          <w:p w:rsidR="00D32C41" w:rsidRPr="00D32C41" w:rsidRDefault="00D32C41" w:rsidP="00937710">
            <w:pPr>
              <w:pStyle w:val="TableParagraph"/>
              <w:spacing w:line="220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a podkožného</w:t>
            </w:r>
          </w:p>
          <w:p w:rsidR="00D32C41" w:rsidRPr="00D32C41" w:rsidRDefault="00D32C41" w:rsidP="00937710">
            <w:pPr>
              <w:pStyle w:val="TableParagraph"/>
              <w:spacing w:line="226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tkaniva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spacing w:line="232" w:lineRule="exact"/>
              <w:ind w:left="141"/>
              <w:rPr>
                <w:lang w:val="sk-SK"/>
              </w:rPr>
            </w:pPr>
            <w:r w:rsidRPr="00D32C41">
              <w:rPr>
                <w:lang w:val="sk-SK"/>
              </w:rPr>
              <w:t>vyrážka,</w:t>
            </w:r>
          </w:p>
          <w:p w:rsidR="00D32C41" w:rsidRPr="00D32C41" w:rsidRDefault="00D32C41" w:rsidP="00937710">
            <w:pPr>
              <w:pStyle w:val="TableParagraph"/>
              <w:spacing w:line="220" w:lineRule="exact"/>
              <w:ind w:left="141"/>
              <w:rPr>
                <w:lang w:val="sk-SK"/>
              </w:rPr>
            </w:pPr>
            <w:r w:rsidRPr="00D32C41">
              <w:rPr>
                <w:lang w:val="sk-SK"/>
              </w:rPr>
              <w:t>exfoliácia</w:t>
            </w:r>
          </w:p>
          <w:p w:rsidR="00D32C41" w:rsidRPr="00D32C41" w:rsidRDefault="00D32C41" w:rsidP="00937710">
            <w:pPr>
              <w:pStyle w:val="TableParagraph"/>
              <w:spacing w:line="226" w:lineRule="exact"/>
              <w:ind w:left="141"/>
              <w:rPr>
                <w:lang w:val="sk-SK"/>
              </w:rPr>
            </w:pPr>
            <w:r w:rsidRPr="00D32C41">
              <w:rPr>
                <w:lang w:val="sk-SK"/>
              </w:rPr>
              <w:t>kože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spacing w:line="232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hyperpig-</w:t>
            </w:r>
          </w:p>
          <w:p w:rsidR="00D32C41" w:rsidRPr="00D32C41" w:rsidRDefault="00D32C41" w:rsidP="00937710">
            <w:pPr>
              <w:pStyle w:val="TableParagraph"/>
              <w:spacing w:line="220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mentácia,</w:t>
            </w:r>
          </w:p>
          <w:p w:rsidR="00D32C41" w:rsidRPr="00D32C41" w:rsidRDefault="00D32C41" w:rsidP="00937710">
            <w:pPr>
              <w:pStyle w:val="TableParagraph"/>
              <w:spacing w:line="226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pruritus,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multiformný</w:t>
            </w:r>
          </w:p>
          <w:p w:rsidR="00D32C41" w:rsidRPr="00D32C41" w:rsidRDefault="00D32C41" w:rsidP="00937710">
            <w:pPr>
              <w:pStyle w:val="TableParagraph"/>
              <w:spacing w:line="258" w:lineRule="exact"/>
              <w:ind w:left="98"/>
              <w:rPr>
                <w:sz w:val="24"/>
                <w:lang w:val="sk-SK"/>
              </w:rPr>
            </w:pPr>
            <w:r w:rsidRPr="00D32C41">
              <w:rPr>
                <w:lang w:val="sk-SK"/>
              </w:rPr>
              <w:t>erytém</w:t>
            </w:r>
            <w:r w:rsidRPr="00D32C41">
              <w:rPr>
                <w:sz w:val="24"/>
                <w:lang w:val="sk-SK"/>
              </w:rPr>
              <w:t>,</w:t>
            </w:r>
          </w:p>
          <w:p w:rsidR="00D32C41" w:rsidRPr="00D32C41" w:rsidRDefault="00D32C41" w:rsidP="00937710">
            <w:pPr>
              <w:pStyle w:val="TableParagraph"/>
              <w:ind w:left="98" w:right="502"/>
              <w:rPr>
                <w:lang w:val="sk-SK"/>
              </w:rPr>
            </w:pPr>
            <w:r w:rsidRPr="00D32C41">
              <w:rPr>
                <w:lang w:val="sk-SK"/>
              </w:rPr>
              <w:t>alopécia, urtikária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spacing w:line="232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erytém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spacing w:line="232" w:lineRule="exact"/>
              <w:ind w:left="109"/>
              <w:rPr>
                <w:lang w:val="sk-SK"/>
              </w:rPr>
            </w:pPr>
            <w:r w:rsidRPr="00D32C41">
              <w:rPr>
                <w:lang w:val="sk-SK"/>
              </w:rPr>
              <w:t>Stevensov-</w:t>
            </w:r>
          </w:p>
          <w:p w:rsidR="00D32C41" w:rsidRPr="00D32C41" w:rsidRDefault="00D32C41" w:rsidP="00937710">
            <w:pPr>
              <w:pStyle w:val="TableParagraph"/>
              <w:spacing w:line="220" w:lineRule="exact"/>
              <w:ind w:left="109"/>
              <w:rPr>
                <w:lang w:val="sk-SK"/>
              </w:rPr>
            </w:pPr>
            <w:r w:rsidRPr="00D32C41">
              <w:rPr>
                <w:lang w:val="sk-SK"/>
              </w:rPr>
              <w:t>Johnsonov</w:t>
            </w:r>
          </w:p>
          <w:p w:rsidR="00D32C41" w:rsidRPr="00D32C41" w:rsidRDefault="00D32C41" w:rsidP="00937710">
            <w:pPr>
              <w:pStyle w:val="TableParagraph"/>
              <w:spacing w:line="226" w:lineRule="exact"/>
              <w:ind w:left="109"/>
              <w:rPr>
                <w:lang w:val="sk-SK"/>
              </w:rPr>
            </w:pPr>
            <w:r w:rsidRPr="00D32C41">
              <w:rPr>
                <w:lang w:val="sk-SK"/>
              </w:rPr>
              <w:t>syndróm</w:t>
            </w:r>
            <w:r w:rsidRPr="00D32C41">
              <w:rPr>
                <w:position w:val="8"/>
                <w:sz w:val="14"/>
                <w:lang w:val="sk-SK"/>
              </w:rPr>
              <w:t>b</w:t>
            </w:r>
            <w:r w:rsidRPr="00D32C41">
              <w:rPr>
                <w:lang w:val="sk-SK"/>
              </w:rPr>
              <w:t>,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9"/>
              <w:rPr>
                <w:lang w:val="sk-SK"/>
              </w:rPr>
            </w:pPr>
            <w:r w:rsidRPr="00D32C41">
              <w:rPr>
                <w:lang w:val="sk-SK"/>
              </w:rPr>
              <w:t>toxická</w:t>
            </w:r>
          </w:p>
          <w:p w:rsidR="00D32C41" w:rsidRPr="00D32C41" w:rsidRDefault="00D32C41" w:rsidP="00937710">
            <w:pPr>
              <w:pStyle w:val="TableParagraph"/>
              <w:spacing w:line="232" w:lineRule="exact"/>
              <w:ind w:left="109"/>
              <w:rPr>
                <w:lang w:val="sk-SK"/>
              </w:rPr>
            </w:pPr>
            <w:r w:rsidRPr="00D32C41">
              <w:rPr>
                <w:lang w:val="sk-SK"/>
              </w:rPr>
              <w:t>epidermálna</w:t>
            </w:r>
          </w:p>
          <w:p w:rsidR="00D32C41" w:rsidRPr="00D32C41" w:rsidRDefault="00D32C41" w:rsidP="00937710">
            <w:pPr>
              <w:pStyle w:val="TableParagraph"/>
              <w:spacing w:line="255" w:lineRule="exact"/>
              <w:ind w:left="109"/>
              <w:rPr>
                <w:lang w:val="sk-SK"/>
              </w:rPr>
            </w:pPr>
            <w:r w:rsidRPr="00D32C41">
              <w:rPr>
                <w:lang w:val="sk-SK"/>
              </w:rPr>
              <w:t>nekrolýza</w:t>
            </w:r>
            <w:r w:rsidRPr="00D32C41">
              <w:rPr>
                <w:position w:val="8"/>
                <w:sz w:val="14"/>
                <w:lang w:val="sk-SK"/>
              </w:rPr>
              <w:t>b</w:t>
            </w:r>
            <w:r w:rsidRPr="00D32C41">
              <w:rPr>
                <w:lang w:val="sk-SK"/>
              </w:rPr>
              <w:t>,</w:t>
            </w:r>
          </w:p>
          <w:p w:rsidR="00D32C41" w:rsidRPr="00D32C41" w:rsidRDefault="00D32C41" w:rsidP="00937710">
            <w:pPr>
              <w:pStyle w:val="TableParagraph"/>
              <w:spacing w:before="5" w:line="252" w:lineRule="exact"/>
              <w:ind w:left="109" w:right="374"/>
              <w:rPr>
                <w:lang w:val="sk-SK"/>
              </w:rPr>
            </w:pPr>
            <w:r w:rsidRPr="00D32C41">
              <w:rPr>
                <w:lang w:val="sk-SK"/>
              </w:rPr>
              <w:t>pemfigoid bulózna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9"/>
              <w:rPr>
                <w:lang w:val="sk-SK"/>
              </w:rPr>
            </w:pPr>
            <w:r w:rsidRPr="00D32C41">
              <w:rPr>
                <w:lang w:val="sk-SK"/>
              </w:rPr>
              <w:t>dermatitída,</w:t>
            </w:r>
          </w:p>
          <w:p w:rsidR="00D32C41" w:rsidRPr="00D32C41" w:rsidRDefault="00D32C41" w:rsidP="00937710">
            <w:pPr>
              <w:pStyle w:val="TableParagraph"/>
              <w:spacing w:line="222" w:lineRule="exact"/>
              <w:ind w:left="108"/>
              <w:rPr>
                <w:lang w:val="sk-SK"/>
              </w:rPr>
            </w:pPr>
            <w:r w:rsidRPr="00D32C41">
              <w:rPr>
                <w:lang w:val="sk-SK"/>
              </w:rPr>
              <w:t>získaná</w:t>
            </w:r>
          </w:p>
          <w:p w:rsidR="00D32C41" w:rsidRPr="00D32C41" w:rsidRDefault="003348B7" w:rsidP="003348B7">
            <w:pPr>
              <w:pStyle w:val="TableParagraph"/>
              <w:spacing w:line="223" w:lineRule="exact"/>
              <w:ind w:left="108"/>
              <w:rPr>
                <w:lang w:val="sk-SK"/>
              </w:rPr>
            </w:pPr>
            <w:r>
              <w:rPr>
                <w:lang w:val="sk-SK"/>
              </w:rPr>
              <w:t>bulózna epidermolýza</w:t>
            </w:r>
            <w:r w:rsidR="00D32C41" w:rsidRPr="00D32C41">
              <w:rPr>
                <w:lang w:val="sk-SK"/>
              </w:rPr>
              <w:t>,</w:t>
            </w:r>
          </w:p>
          <w:p w:rsidR="00D32C41" w:rsidRPr="00D32C41" w:rsidRDefault="00D32C41" w:rsidP="00937710">
            <w:pPr>
              <w:pStyle w:val="TableParagraph"/>
              <w:spacing w:line="220" w:lineRule="exact"/>
              <w:ind w:left="108"/>
              <w:rPr>
                <w:lang w:val="sk-SK"/>
              </w:rPr>
            </w:pPr>
            <w:r w:rsidRPr="00D32C41">
              <w:rPr>
                <w:lang w:val="sk-SK"/>
              </w:rPr>
              <w:t>erytémový</w:t>
            </w:r>
          </w:p>
          <w:p w:rsidR="00D32C41" w:rsidRPr="00D32C41" w:rsidRDefault="00D32C41" w:rsidP="00937710">
            <w:pPr>
              <w:pStyle w:val="TableParagraph"/>
              <w:spacing w:line="226" w:lineRule="exact"/>
              <w:ind w:left="108"/>
              <w:rPr>
                <w:sz w:val="14"/>
                <w:lang w:val="sk-SK"/>
              </w:rPr>
            </w:pPr>
            <w:r w:rsidRPr="00D32C41">
              <w:rPr>
                <w:lang w:val="sk-SK"/>
              </w:rPr>
              <w:t>edém</w:t>
            </w:r>
            <w:r w:rsidRPr="00D32C41">
              <w:rPr>
                <w:position w:val="8"/>
                <w:sz w:val="14"/>
                <w:lang w:val="sk-SK"/>
              </w:rPr>
              <w:t>f</w:t>
            </w:r>
          </w:p>
          <w:p w:rsidR="00D32C41" w:rsidRPr="00D32C41" w:rsidRDefault="00D32C41" w:rsidP="00937710">
            <w:pPr>
              <w:pStyle w:val="TableParagraph"/>
              <w:spacing w:line="222" w:lineRule="exact"/>
              <w:ind w:left="109"/>
              <w:rPr>
                <w:lang w:val="sk-SK"/>
              </w:rPr>
            </w:pPr>
            <w:r w:rsidRPr="00D32C41">
              <w:rPr>
                <w:lang w:val="sk-SK"/>
              </w:rPr>
              <w:t>pseudocelu-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9"/>
              <w:rPr>
                <w:lang w:val="sk-SK"/>
              </w:rPr>
            </w:pPr>
            <w:r w:rsidRPr="00D32C41">
              <w:rPr>
                <w:lang w:val="sk-SK"/>
              </w:rPr>
              <w:t>litída,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8"/>
              <w:rPr>
                <w:lang w:val="sk-SK"/>
              </w:rPr>
            </w:pPr>
            <w:r w:rsidRPr="00D32C41">
              <w:rPr>
                <w:lang w:val="sk-SK"/>
              </w:rPr>
              <w:t>dermatitída,</w:t>
            </w:r>
          </w:p>
          <w:p w:rsidR="00D32C41" w:rsidRPr="00D32C41" w:rsidRDefault="00D32C41" w:rsidP="00937710">
            <w:pPr>
              <w:pStyle w:val="TableParagraph"/>
              <w:spacing w:line="223" w:lineRule="exact"/>
              <w:ind w:left="108"/>
              <w:rPr>
                <w:lang w:val="sk-SK"/>
              </w:rPr>
            </w:pPr>
            <w:r w:rsidRPr="00D32C41">
              <w:rPr>
                <w:lang w:val="sk-SK"/>
              </w:rPr>
              <w:t>ekzém,</w:t>
            </w:r>
          </w:p>
          <w:p w:rsidR="00D32C41" w:rsidRPr="00D32C41" w:rsidRDefault="00D32C41" w:rsidP="00937710">
            <w:pPr>
              <w:pStyle w:val="TableParagraph"/>
              <w:spacing w:line="225" w:lineRule="exact"/>
              <w:ind w:left="109"/>
              <w:rPr>
                <w:lang w:val="sk-SK"/>
              </w:rPr>
            </w:pPr>
            <w:r w:rsidRPr="00D32C41">
              <w:rPr>
                <w:lang w:val="sk-SK"/>
              </w:rPr>
              <w:t>prurigo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spacing w:line="232" w:lineRule="exact"/>
              <w:ind w:left="109"/>
              <w:rPr>
                <w:lang w:val="sk-SK"/>
              </w:rPr>
            </w:pPr>
          </w:p>
        </w:tc>
      </w:tr>
      <w:tr w:rsidR="00D32C41" w:rsidRPr="00D32C41" w:rsidTr="00D32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spacing w:line="243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Poruchy</w:t>
            </w:r>
          </w:p>
          <w:p w:rsidR="00D32C41" w:rsidRPr="00D32C41" w:rsidRDefault="00D32C41" w:rsidP="00937710">
            <w:pPr>
              <w:pStyle w:val="TableParagraph"/>
              <w:spacing w:line="252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obličiek</w:t>
            </w:r>
          </w:p>
          <w:p w:rsidR="00D32C41" w:rsidRPr="00D32C41" w:rsidRDefault="00D32C41" w:rsidP="00937710">
            <w:pPr>
              <w:pStyle w:val="TableParagraph"/>
              <w:spacing w:before="1" w:line="252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a močových</w:t>
            </w:r>
          </w:p>
          <w:p w:rsidR="00D32C41" w:rsidRPr="00D32C41" w:rsidRDefault="00D32C41" w:rsidP="00937710">
            <w:pPr>
              <w:pStyle w:val="TableParagraph"/>
              <w:spacing w:line="252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ciest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ind w:left="141" w:right="298"/>
              <w:rPr>
                <w:lang w:val="sk-SK"/>
              </w:rPr>
            </w:pPr>
            <w:r w:rsidRPr="00D32C41">
              <w:rPr>
                <w:lang w:val="sk-SK"/>
              </w:rPr>
              <w:t>znížený klírens kreatinínu, zvýšený kreatinín</w:t>
            </w:r>
          </w:p>
          <w:p w:rsidR="00D32C41" w:rsidRPr="00D32C41" w:rsidRDefault="00D32C41" w:rsidP="00937710">
            <w:pPr>
              <w:pStyle w:val="TableParagraph"/>
              <w:spacing w:line="241" w:lineRule="exact"/>
              <w:ind w:left="141"/>
              <w:rPr>
                <w:sz w:val="14"/>
                <w:lang w:val="sk-SK"/>
              </w:rPr>
            </w:pPr>
            <w:r w:rsidRPr="00D32C41">
              <w:rPr>
                <w:lang w:val="sk-SK"/>
              </w:rPr>
              <w:t>v krvi</w:t>
            </w:r>
            <w:r w:rsidR="00EF6FCC">
              <w:rPr>
                <w:position w:val="8"/>
                <w:sz w:val="14"/>
                <w:lang w:val="sk-SK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ind w:left="98" w:right="190"/>
              <w:rPr>
                <w:lang w:val="sk-SK"/>
              </w:rPr>
            </w:pPr>
            <w:r w:rsidRPr="00D32C41">
              <w:rPr>
                <w:lang w:val="sk-SK"/>
              </w:rPr>
              <w:t xml:space="preserve">zlyhanie obličiek, znížená </w:t>
            </w:r>
            <w:r w:rsidR="003348B7">
              <w:rPr>
                <w:lang w:val="sk-SK"/>
              </w:rPr>
              <w:t xml:space="preserve">rýchlosť </w:t>
            </w:r>
            <w:r w:rsidRPr="00D32C41">
              <w:rPr>
                <w:lang w:val="sk-SK"/>
              </w:rPr>
              <w:t>glome</w:t>
            </w:r>
            <w:r w:rsidR="00EF6FCC">
              <w:rPr>
                <w:lang w:val="sk-SK"/>
              </w:rPr>
              <w:t>rulár</w:t>
            </w:r>
            <w:r w:rsidR="003348B7">
              <w:rPr>
                <w:lang w:val="sk-SK"/>
              </w:rPr>
              <w:t>-</w:t>
            </w:r>
            <w:r w:rsidRPr="00D32C41">
              <w:rPr>
                <w:lang w:val="sk-SK"/>
              </w:rPr>
              <w:t>n</w:t>
            </w:r>
            <w:r w:rsidR="003348B7">
              <w:rPr>
                <w:lang w:val="sk-SK"/>
              </w:rPr>
              <w:t>ej</w:t>
            </w:r>
            <w:r w:rsidRPr="00D32C41">
              <w:rPr>
                <w:lang w:val="sk-SK"/>
              </w:rPr>
              <w:t xml:space="preserve"> filtráci</w:t>
            </w:r>
            <w:r w:rsidR="003348B7">
              <w:rPr>
                <w:lang w:val="sk-SK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EF6FCC" w:rsidP="00937710">
            <w:pPr>
              <w:pStyle w:val="TableParagraph"/>
              <w:ind w:left="109" w:right="90"/>
              <w:rPr>
                <w:lang w:val="sk-SK"/>
              </w:rPr>
            </w:pPr>
            <w:r w:rsidRPr="00D32C41">
              <w:rPr>
                <w:lang w:val="sk-SK"/>
              </w:rPr>
              <w:t>N</w:t>
            </w:r>
            <w:r w:rsidR="00D32C41" w:rsidRPr="00D32C41">
              <w:rPr>
                <w:lang w:val="sk-SK"/>
              </w:rPr>
              <w:t>efro</w:t>
            </w:r>
            <w:r>
              <w:rPr>
                <w:lang w:val="sk-SK"/>
              </w:rPr>
              <w:t>-</w:t>
            </w:r>
            <w:r w:rsidR="00D32C41" w:rsidRPr="00D32C41">
              <w:rPr>
                <w:lang w:val="sk-SK"/>
              </w:rPr>
              <w:t>génn</w:t>
            </w:r>
            <w:r>
              <w:rPr>
                <w:lang w:val="sk-SK"/>
              </w:rPr>
              <w:t>y diabetes insipidus</w:t>
            </w:r>
            <w:r w:rsidR="00D32C41" w:rsidRPr="00D32C41">
              <w:rPr>
                <w:lang w:val="sk-SK"/>
              </w:rPr>
              <w:t>, renálna tubulárna</w:t>
            </w:r>
          </w:p>
          <w:p w:rsidR="00D32C41" w:rsidRPr="00D32C41" w:rsidRDefault="00D32C41" w:rsidP="00937710">
            <w:pPr>
              <w:pStyle w:val="TableParagraph"/>
              <w:spacing w:line="241" w:lineRule="exact"/>
              <w:ind w:left="109"/>
              <w:rPr>
                <w:lang w:val="sk-SK"/>
              </w:rPr>
            </w:pPr>
            <w:r w:rsidRPr="00D32C41">
              <w:rPr>
                <w:lang w:val="sk-SK"/>
              </w:rPr>
              <w:t>nekróza</w:t>
            </w:r>
          </w:p>
        </w:tc>
      </w:tr>
      <w:tr w:rsidR="00D32C41" w:rsidRPr="00D32C41" w:rsidTr="00D32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ind w:left="107" w:right="616"/>
              <w:jc w:val="both"/>
              <w:rPr>
                <w:lang w:val="sk-SK"/>
              </w:rPr>
            </w:pPr>
            <w:r w:rsidRPr="00D32C41">
              <w:rPr>
                <w:lang w:val="sk-SK"/>
              </w:rPr>
              <w:t>Celkové poruchy a reakcie v mieste podania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spacing w:line="246" w:lineRule="exact"/>
              <w:ind w:left="141"/>
              <w:rPr>
                <w:lang w:val="sk-SK"/>
              </w:rPr>
            </w:pPr>
            <w:r w:rsidRPr="00D32C41">
              <w:rPr>
                <w:lang w:val="sk-SK"/>
              </w:rPr>
              <w:t>únava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ind w:left="98" w:right="468"/>
              <w:rPr>
                <w:lang w:val="sk-SK"/>
              </w:rPr>
            </w:pPr>
            <w:r w:rsidRPr="00D32C41">
              <w:rPr>
                <w:lang w:val="sk-SK"/>
              </w:rPr>
              <w:t>horúčka, bolesť, edém, bolesť na hrudi,</w:t>
            </w:r>
          </w:p>
          <w:p w:rsidR="00D32C41" w:rsidRPr="00D32C41" w:rsidRDefault="00D32C41" w:rsidP="00937710">
            <w:pPr>
              <w:pStyle w:val="TableParagraph"/>
              <w:spacing w:line="241" w:lineRule="exact"/>
              <w:ind w:left="98"/>
              <w:rPr>
                <w:lang w:val="sk-SK"/>
              </w:rPr>
            </w:pPr>
            <w:r w:rsidRPr="00D32C41">
              <w:rPr>
                <w:lang w:val="sk-SK"/>
              </w:rPr>
              <w:t>zápal sliznice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</w:tr>
      <w:tr w:rsidR="00D32C41" w:rsidRPr="00D32C41" w:rsidTr="00D32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spacing w:line="243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Laboratórne a</w:t>
            </w:r>
          </w:p>
          <w:p w:rsidR="00D32C41" w:rsidRPr="00D32C41" w:rsidRDefault="00D32C41" w:rsidP="00937710">
            <w:pPr>
              <w:pStyle w:val="TableParagraph"/>
              <w:spacing w:before="1" w:line="252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funkčné</w:t>
            </w:r>
          </w:p>
          <w:p w:rsidR="00D32C41" w:rsidRPr="00D32C41" w:rsidRDefault="00D32C41" w:rsidP="00937710">
            <w:pPr>
              <w:pStyle w:val="TableParagraph"/>
              <w:spacing w:line="241" w:lineRule="exact"/>
              <w:ind w:left="107"/>
              <w:rPr>
                <w:lang w:val="sk-SK"/>
              </w:rPr>
            </w:pPr>
            <w:r w:rsidRPr="00D32C41">
              <w:rPr>
                <w:lang w:val="sk-SK"/>
              </w:rPr>
              <w:t>vyšetrenia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spacing w:line="243" w:lineRule="exact"/>
              <w:ind w:left="72"/>
              <w:rPr>
                <w:lang w:val="sk-SK"/>
              </w:rPr>
            </w:pPr>
            <w:r w:rsidRPr="00D32C41">
              <w:rPr>
                <w:lang w:val="sk-SK"/>
              </w:rPr>
              <w:t>zvýšená</w:t>
            </w:r>
          </w:p>
          <w:p w:rsidR="00D32C41" w:rsidRPr="00D32C41" w:rsidRDefault="00D32C41" w:rsidP="00937710">
            <w:pPr>
              <w:pStyle w:val="TableParagraph"/>
              <w:spacing w:before="5" w:line="252" w:lineRule="exact"/>
              <w:ind w:left="72" w:right="57"/>
              <w:rPr>
                <w:lang w:val="sk-SK"/>
              </w:rPr>
            </w:pPr>
            <w:r w:rsidRPr="00D32C41">
              <w:rPr>
                <w:lang w:val="sk-SK"/>
              </w:rPr>
              <w:t>gamaglutamyl transferáza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</w:tr>
      <w:tr w:rsidR="00D32C41" w:rsidRPr="00D32C41" w:rsidTr="00D32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ind w:left="107" w:right="163"/>
              <w:jc w:val="both"/>
              <w:rPr>
                <w:lang w:val="sk-SK"/>
              </w:rPr>
            </w:pPr>
            <w:r w:rsidRPr="00D32C41">
              <w:rPr>
                <w:lang w:val="sk-SK"/>
              </w:rPr>
              <w:t>Úrazy, otravy a komplikácie liečebného</w:t>
            </w:r>
          </w:p>
          <w:p w:rsidR="00D32C41" w:rsidRPr="00D32C41" w:rsidRDefault="00D32C41" w:rsidP="00937710">
            <w:pPr>
              <w:pStyle w:val="TableParagraph"/>
              <w:spacing w:line="241" w:lineRule="exact"/>
              <w:ind w:left="107"/>
              <w:jc w:val="both"/>
              <w:rPr>
                <w:lang w:val="sk-SK"/>
              </w:rPr>
            </w:pPr>
            <w:r w:rsidRPr="00D32C41">
              <w:rPr>
                <w:lang w:val="sk-SK"/>
              </w:rPr>
              <w:t>postupu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ind w:left="106" w:right="249"/>
              <w:rPr>
                <w:lang w:val="sk-SK"/>
              </w:rPr>
            </w:pPr>
            <w:r w:rsidRPr="00D32C41">
              <w:rPr>
                <w:lang w:val="sk-SK"/>
              </w:rPr>
              <w:t>radiačná ezofagitída, radiačná</w:t>
            </w:r>
          </w:p>
          <w:p w:rsidR="00D32C41" w:rsidRPr="00D32C41" w:rsidRDefault="00D32C41" w:rsidP="00937710">
            <w:pPr>
              <w:pStyle w:val="TableParagraph"/>
              <w:spacing w:line="241" w:lineRule="exact"/>
              <w:ind w:left="106"/>
              <w:rPr>
                <w:sz w:val="14"/>
                <w:lang w:val="sk-SK"/>
              </w:rPr>
            </w:pPr>
            <w:r w:rsidRPr="00D32C41">
              <w:rPr>
                <w:lang w:val="sk-SK"/>
              </w:rPr>
              <w:t>pneumonitída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spacing w:line="245" w:lineRule="exact"/>
              <w:ind w:left="106"/>
              <w:rPr>
                <w:lang w:val="sk-SK"/>
              </w:rPr>
            </w:pPr>
            <w:r w:rsidRPr="00D32C41">
              <w:rPr>
                <w:lang w:val="sk-SK"/>
              </w:rPr>
              <w:t>radiačný</w:t>
            </w:r>
          </w:p>
          <w:p w:rsidR="00D32C41" w:rsidRPr="00D32C41" w:rsidRDefault="00EF6FCC" w:rsidP="00937710">
            <w:pPr>
              <w:pStyle w:val="TableParagraph"/>
              <w:spacing w:line="252" w:lineRule="exact"/>
              <w:ind w:left="106"/>
              <w:rPr>
                <w:lang w:val="sk-SK"/>
              </w:rPr>
            </w:pPr>
            <w:r>
              <w:rPr>
                <w:lang w:val="sk-SK"/>
              </w:rPr>
              <w:t xml:space="preserve">„recall </w:t>
            </w:r>
            <w:r w:rsidR="00D32C41" w:rsidRPr="00D32C41">
              <w:rPr>
                <w:lang w:val="sk-SK"/>
              </w:rPr>
              <w:t>fenomén</w:t>
            </w:r>
            <w:r>
              <w:rPr>
                <w:lang w:val="sk-SK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1" w:rsidRPr="00D32C41" w:rsidRDefault="00D32C41" w:rsidP="00937710">
            <w:pPr>
              <w:pStyle w:val="TableParagraph"/>
              <w:rPr>
                <w:lang w:val="sk-SK"/>
              </w:rPr>
            </w:pPr>
          </w:p>
        </w:tc>
      </w:tr>
    </w:tbl>
    <w:p w:rsidR="00D32C41" w:rsidRPr="00D32C41" w:rsidRDefault="00D32C41" w:rsidP="00D32C41">
      <w:pPr>
        <w:pStyle w:val="Zkladntext"/>
        <w:spacing w:line="242" w:lineRule="exact"/>
        <w:ind w:left="358"/>
        <w:rPr>
          <w:i/>
        </w:rPr>
      </w:pPr>
      <w:r w:rsidRPr="008D239B">
        <w:rPr>
          <w:i/>
          <w:position w:val="8"/>
          <w:sz w:val="20"/>
          <w:szCs w:val="20"/>
        </w:rPr>
        <w:t>a</w:t>
      </w:r>
      <w:r w:rsidRPr="00D32C41">
        <w:rPr>
          <w:i/>
          <w:position w:val="8"/>
        </w:rPr>
        <w:t xml:space="preserve"> </w:t>
      </w:r>
      <w:r w:rsidRPr="00D32C41">
        <w:rPr>
          <w:i/>
        </w:rPr>
        <w:t>s a bez neutropénie</w:t>
      </w:r>
    </w:p>
    <w:p w:rsidR="00D32C41" w:rsidRPr="00D32C41" w:rsidRDefault="00D32C41" w:rsidP="00D32C41">
      <w:pPr>
        <w:pStyle w:val="Zkladntext"/>
        <w:spacing w:line="253" w:lineRule="exact"/>
        <w:ind w:left="358"/>
        <w:rPr>
          <w:i/>
        </w:rPr>
      </w:pPr>
      <w:r w:rsidRPr="008D239B">
        <w:rPr>
          <w:i/>
          <w:position w:val="8"/>
          <w:sz w:val="20"/>
          <w:szCs w:val="20"/>
        </w:rPr>
        <w:t>b</w:t>
      </w:r>
      <w:r w:rsidRPr="00D32C41">
        <w:rPr>
          <w:i/>
          <w:position w:val="8"/>
        </w:rPr>
        <w:t xml:space="preserve"> </w:t>
      </w:r>
      <w:r w:rsidRPr="00D32C41">
        <w:rPr>
          <w:i/>
        </w:rPr>
        <w:t>v niektorých prípadoch fatálny</w:t>
      </w:r>
    </w:p>
    <w:p w:rsidR="00D32C41" w:rsidRPr="00D32C41" w:rsidRDefault="00D32C41" w:rsidP="00D32C41">
      <w:pPr>
        <w:pStyle w:val="Zkladntext"/>
        <w:spacing w:line="253" w:lineRule="exact"/>
        <w:ind w:left="358"/>
        <w:rPr>
          <w:i/>
        </w:rPr>
      </w:pPr>
      <w:r w:rsidRPr="008D239B">
        <w:rPr>
          <w:i/>
          <w:position w:val="8"/>
          <w:sz w:val="20"/>
          <w:szCs w:val="20"/>
        </w:rPr>
        <w:t xml:space="preserve">c </w:t>
      </w:r>
      <w:r w:rsidRPr="00D32C41">
        <w:rPr>
          <w:i/>
        </w:rPr>
        <w:t>niekedy viedli k nekróze končatín</w:t>
      </w:r>
    </w:p>
    <w:p w:rsidR="00D32C41" w:rsidRPr="00D32C41" w:rsidRDefault="00D32C41" w:rsidP="00D32C41">
      <w:pPr>
        <w:pStyle w:val="Zkladntext"/>
        <w:spacing w:line="253" w:lineRule="exact"/>
        <w:ind w:left="358"/>
        <w:rPr>
          <w:i/>
        </w:rPr>
      </w:pPr>
      <w:r w:rsidRPr="008D239B">
        <w:rPr>
          <w:i/>
          <w:position w:val="8"/>
          <w:sz w:val="20"/>
          <w:szCs w:val="20"/>
        </w:rPr>
        <w:t>d</w:t>
      </w:r>
      <w:r w:rsidRPr="00D32C41">
        <w:rPr>
          <w:i/>
          <w:position w:val="8"/>
        </w:rPr>
        <w:t xml:space="preserve"> </w:t>
      </w:r>
      <w:r w:rsidRPr="00D32C41">
        <w:rPr>
          <w:i/>
        </w:rPr>
        <w:t>s respiračnou nedostatočnosťou</w:t>
      </w:r>
    </w:p>
    <w:p w:rsidR="00D32C41" w:rsidRPr="00D32C41" w:rsidRDefault="00D32C41" w:rsidP="00D32C41">
      <w:pPr>
        <w:pStyle w:val="Zkladntext"/>
        <w:spacing w:line="252" w:lineRule="exact"/>
        <w:ind w:left="358"/>
        <w:rPr>
          <w:i/>
        </w:rPr>
      </w:pPr>
      <w:r w:rsidRPr="008D239B">
        <w:rPr>
          <w:i/>
          <w:position w:val="8"/>
          <w:sz w:val="20"/>
          <w:szCs w:val="20"/>
        </w:rPr>
        <w:t>e</w:t>
      </w:r>
      <w:r w:rsidRPr="00D32C41">
        <w:rPr>
          <w:i/>
          <w:position w:val="8"/>
        </w:rPr>
        <w:t xml:space="preserve"> </w:t>
      </w:r>
      <w:r w:rsidRPr="00D32C41">
        <w:rPr>
          <w:i/>
        </w:rPr>
        <w:t>pozorované len v kombinácii s cisplatinou</w:t>
      </w:r>
    </w:p>
    <w:p w:rsidR="00D32C41" w:rsidRPr="00D32C41" w:rsidRDefault="00D32C41" w:rsidP="00D32C41">
      <w:pPr>
        <w:pStyle w:val="Zkladntext"/>
        <w:spacing w:line="255" w:lineRule="exact"/>
        <w:ind w:left="358"/>
        <w:rPr>
          <w:i/>
        </w:rPr>
      </w:pPr>
      <w:r w:rsidRPr="008D239B">
        <w:rPr>
          <w:i/>
          <w:position w:val="8"/>
          <w:sz w:val="20"/>
          <w:szCs w:val="20"/>
        </w:rPr>
        <w:t>f</w:t>
      </w:r>
      <w:r w:rsidRPr="00D32C41">
        <w:rPr>
          <w:i/>
          <w:position w:val="8"/>
        </w:rPr>
        <w:t xml:space="preserve"> </w:t>
      </w:r>
      <w:r w:rsidRPr="00D32C41">
        <w:rPr>
          <w:i/>
        </w:rPr>
        <w:t>najmä dolných končatín</w:t>
      </w:r>
    </w:p>
    <w:p w:rsidR="00D32C41" w:rsidRPr="00D32C41" w:rsidRDefault="00D32C41" w:rsidP="00D32C4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D32C41" w:rsidRPr="00D32C41" w:rsidRDefault="00D32C41" w:rsidP="00636C72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571"/>
        <w:rPr>
          <w:rFonts w:ascii="Times New Roman" w:hAnsi="Times New Roman"/>
          <w:u w:val="single"/>
        </w:rPr>
      </w:pPr>
      <w:r w:rsidRPr="00D32C41">
        <w:rPr>
          <w:rFonts w:ascii="Times New Roman" w:hAnsi="Times New Roman"/>
          <w:u w:val="single"/>
        </w:rPr>
        <w:t>Hlásenie podozrení na nežiaduce reakcie</w:t>
      </w:r>
    </w:p>
    <w:p w:rsidR="00D32C41" w:rsidRPr="00D32C41" w:rsidRDefault="00D32C41" w:rsidP="00636C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right="571"/>
        <w:rPr>
          <w:rStyle w:val="Hypertextovprepojenie"/>
          <w:rFonts w:ascii="Times New Roman" w:hAnsi="Times New Roman"/>
        </w:rPr>
      </w:pPr>
      <w:r w:rsidRPr="00D32C41">
        <w:rPr>
          <w:rFonts w:ascii="Times New Roman" w:hAnsi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D32C41">
        <w:rPr>
          <w:rFonts w:ascii="Times New Roman" w:hAnsi="Times New Roman"/>
          <w:shd w:val="clear" w:color="auto" w:fill="C0C0C0"/>
        </w:rPr>
        <w:t>národné centrum hlásenia uvedené v </w:t>
      </w:r>
      <w:hyperlink r:id="rId8" w:history="1">
        <w:r w:rsidRPr="00D32C41">
          <w:rPr>
            <w:rStyle w:val="Hypertextovprepojenie"/>
            <w:rFonts w:ascii="Times New Roman" w:hAnsi="Times New Roman"/>
            <w:shd w:val="clear" w:color="auto" w:fill="C0C0C0"/>
          </w:rPr>
          <w:t>Prílohe V</w:t>
        </w:r>
      </w:hyperlink>
      <w:r w:rsidRPr="00D32C41">
        <w:rPr>
          <w:rStyle w:val="Hypertextovprepojenie"/>
          <w:rFonts w:ascii="Times New Roman" w:hAnsi="Times New Roman"/>
        </w:rPr>
        <w:t>.</w:t>
      </w:r>
    </w:p>
    <w:p w:rsidR="003E33C0" w:rsidRPr="00D32C41" w:rsidRDefault="003E33C0" w:rsidP="00D32C4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636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4.9 </w:t>
      </w:r>
      <w:r w:rsidR="003E33C0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Predávkovanie</w:t>
      </w:r>
    </w:p>
    <w:p w:rsidR="003E33C0" w:rsidRPr="00D32C41" w:rsidRDefault="003E33C0" w:rsidP="00D32C4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D32C4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K </w:t>
      </w:r>
      <w:r w:rsidR="000572AB">
        <w:rPr>
          <w:rFonts w:ascii="Times New Roman" w:eastAsia="TimesNewRoman" w:hAnsi="Times New Roman"/>
          <w:color w:val="000000"/>
        </w:rPr>
        <w:t>hláseným</w:t>
      </w:r>
      <w:r w:rsidRPr="00D32C41">
        <w:rPr>
          <w:rFonts w:ascii="Times New Roman" w:eastAsia="TimesNewRoman" w:hAnsi="Times New Roman"/>
          <w:color w:val="000000"/>
        </w:rPr>
        <w:t xml:space="preserve"> symptómom predávkovania patrí neutropénia, anémia, trombocytopénia, mukozitída,</w:t>
      </w:r>
    </w:p>
    <w:p w:rsidR="00286A74" w:rsidRPr="00D32C41" w:rsidRDefault="00286A74" w:rsidP="00D32C4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senzorická polyneuropatia a vyrážka. K predpokladaným komplikáciám z predávkovania patrí útlm</w:t>
      </w:r>
    </w:p>
    <w:p w:rsidR="00286A74" w:rsidRPr="00D32C41" w:rsidRDefault="00286A74" w:rsidP="00D32C4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kostnej drene </w:t>
      </w:r>
      <w:r w:rsidR="000572AB">
        <w:rPr>
          <w:rFonts w:ascii="Times New Roman" w:eastAsia="TimesNewRoman" w:hAnsi="Times New Roman"/>
          <w:color w:val="000000"/>
        </w:rPr>
        <w:t>prejavujúci</w:t>
      </w:r>
      <w:r w:rsidRPr="00D32C41">
        <w:rPr>
          <w:rFonts w:ascii="Times New Roman" w:eastAsia="TimesNewRoman" w:hAnsi="Times New Roman"/>
          <w:color w:val="000000"/>
        </w:rPr>
        <w:t xml:space="preserve"> sa neutropéniou, trombocytopéniou a anémiou. Taktiež sa môže vyskytnúť</w:t>
      </w:r>
    </w:p>
    <w:p w:rsidR="00286A74" w:rsidRPr="00D32C41" w:rsidRDefault="00286A74" w:rsidP="00D32C4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infekcia s horúčkou alebo bez nej, hnačka, a/alebo mukozitída. V prípade podozrenia na</w:t>
      </w:r>
    </w:p>
    <w:p w:rsidR="00286A74" w:rsidRPr="00D32C41" w:rsidRDefault="00286A74" w:rsidP="00D32C4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predávkovanie, musia mať pacienti sledovaný krvný obraz a musia dostávať podpornú liečbu podľa</w:t>
      </w:r>
    </w:p>
    <w:p w:rsidR="00286A74" w:rsidRPr="00D32C41" w:rsidRDefault="00286A74" w:rsidP="00D32C4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potreby. </w:t>
      </w:r>
      <w:r w:rsidR="000572AB">
        <w:rPr>
          <w:rFonts w:ascii="Times New Roman" w:eastAsia="TimesNewRoman" w:hAnsi="Times New Roman"/>
          <w:color w:val="000000"/>
        </w:rPr>
        <w:t>Pri</w:t>
      </w:r>
      <w:r w:rsidRPr="00D32C41">
        <w:rPr>
          <w:rFonts w:ascii="Times New Roman" w:eastAsia="TimesNewRoman" w:hAnsi="Times New Roman"/>
          <w:color w:val="000000"/>
        </w:rPr>
        <w:t xml:space="preserve"> liečbe predávkovania pemetrexedom sa musí vziať do úvahy </w:t>
      </w:r>
      <w:r w:rsidR="006E7170" w:rsidRPr="00D32C41">
        <w:rPr>
          <w:rFonts w:ascii="Times New Roman" w:hAnsi="Times New Roman"/>
          <w:color w:val="000000"/>
        </w:rPr>
        <w:t>podávanie</w:t>
      </w:r>
      <w:r w:rsidR="006E7170" w:rsidRPr="00D32C41">
        <w:rPr>
          <w:rFonts w:ascii="Times New Roman" w:hAnsi="Times New Roman"/>
        </w:rPr>
        <w:t xml:space="preserve"> </w:t>
      </w:r>
      <w:r w:rsidR="000572AB">
        <w:rPr>
          <w:rFonts w:ascii="Times New Roman" w:hAnsi="Times New Roman"/>
        </w:rPr>
        <w:t>folinátu vápenatého</w:t>
      </w:r>
      <w:r w:rsidR="006E7170" w:rsidRPr="00D32C41">
        <w:rPr>
          <w:rFonts w:ascii="Times New Roman" w:hAnsi="Times New Roman"/>
          <w:color w:val="000000"/>
        </w:rPr>
        <w:t>/</w:t>
      </w:r>
      <w:r w:rsidR="006E7170" w:rsidRPr="00D32C41">
        <w:rPr>
          <w:rFonts w:ascii="Times New Roman" w:hAnsi="Times New Roman"/>
        </w:rPr>
        <w:t>kyseliny folínovej</w:t>
      </w:r>
      <w:r w:rsidR="006E7170" w:rsidRPr="00D32C41">
        <w:rPr>
          <w:rFonts w:ascii="Times New Roman" w:hAnsi="Times New Roman"/>
          <w:color w:val="000000"/>
        </w:rPr>
        <w:t>.</w:t>
      </w:r>
    </w:p>
    <w:p w:rsidR="003E33C0" w:rsidRPr="00D32C41" w:rsidRDefault="003E33C0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3E33C0" w:rsidRPr="00D32C41" w:rsidRDefault="003E33C0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5. </w:t>
      </w:r>
      <w:r w:rsidR="003E33C0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FARMAKOLOGICKÉ VLASTNOSTI</w:t>
      </w:r>
    </w:p>
    <w:p w:rsidR="003E33C0" w:rsidRPr="00D32C41" w:rsidRDefault="003E33C0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5.1 </w:t>
      </w:r>
      <w:r w:rsidR="003E33C0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Farmakodynamické vlastnosti</w:t>
      </w:r>
    </w:p>
    <w:p w:rsidR="003E33C0" w:rsidRPr="00D32C41" w:rsidRDefault="003E33C0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Farmakoterapeutická skupina: </w:t>
      </w:r>
      <w:r w:rsidR="000572AB" w:rsidRPr="000572AB">
        <w:rPr>
          <w:rFonts w:ascii="Times New Roman" w:eastAsia="TimesNewRoman" w:hAnsi="Times New Roman"/>
          <w:color w:val="000000"/>
        </w:rPr>
        <w:t>Cytostatiká</w:t>
      </w:r>
      <w:r w:rsidR="000572AB">
        <w:rPr>
          <w:rFonts w:ascii="Times New Roman" w:eastAsia="TimesNewRoman" w:hAnsi="Times New Roman"/>
          <w:color w:val="000000"/>
        </w:rPr>
        <w:t xml:space="preserve">, </w:t>
      </w:r>
      <w:r w:rsidR="009279B4" w:rsidRPr="00D32C41">
        <w:rPr>
          <w:rFonts w:ascii="Times New Roman" w:eastAsia="TimesNewRoman" w:hAnsi="Times New Roman"/>
          <w:color w:val="000000"/>
        </w:rPr>
        <w:t>A</w:t>
      </w:r>
      <w:r w:rsidRPr="00D32C41">
        <w:rPr>
          <w:rFonts w:ascii="Times New Roman" w:eastAsia="TimesNewRoman" w:hAnsi="Times New Roman"/>
          <w:color w:val="000000"/>
        </w:rPr>
        <w:t>nalógy kyseliny listovej, ATC kód: L01BA04</w:t>
      </w:r>
    </w:p>
    <w:p w:rsidR="003E33C0" w:rsidRPr="00D32C41" w:rsidRDefault="003E33C0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Pemetrexed je antifolátové cytostatikum, cielené na viaceré enzymatické systémy. Pôsobí narušením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rozhodujúcich metabolických procesov závislých </w:t>
      </w:r>
      <w:r w:rsidR="00512B7F" w:rsidRPr="00D32C41">
        <w:rPr>
          <w:rFonts w:ascii="Times New Roman" w:eastAsia="TimesNewRoman" w:hAnsi="Times New Roman"/>
          <w:color w:val="000000"/>
        </w:rPr>
        <w:t>od</w:t>
      </w:r>
      <w:r w:rsidRPr="00D32C41">
        <w:rPr>
          <w:rFonts w:ascii="Times New Roman" w:eastAsia="TimesNewRoman" w:hAnsi="Times New Roman"/>
          <w:color w:val="000000"/>
        </w:rPr>
        <w:t xml:space="preserve"> foláto</w:t>
      </w:r>
      <w:r w:rsidR="00512B7F" w:rsidRPr="00D32C41">
        <w:rPr>
          <w:rFonts w:ascii="Times New Roman" w:eastAsia="TimesNewRoman" w:hAnsi="Times New Roman"/>
          <w:color w:val="000000"/>
        </w:rPr>
        <w:t>v</w:t>
      </w:r>
      <w:r w:rsidRPr="00D32C41">
        <w:rPr>
          <w:rFonts w:ascii="Times New Roman" w:eastAsia="TimesNewRoman" w:hAnsi="Times New Roman"/>
          <w:color w:val="000000"/>
        </w:rPr>
        <w:t>, ktoré sú nevyhnutné pre replikáciu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buniek.</w:t>
      </w:r>
    </w:p>
    <w:p w:rsidR="003E33C0" w:rsidRPr="00D32C41" w:rsidRDefault="003E33C0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Štúdie </w:t>
      </w:r>
      <w:r w:rsidRPr="00D32C41">
        <w:rPr>
          <w:rFonts w:ascii="Times New Roman" w:eastAsia="TimesNewRoman,Bold" w:hAnsi="Times New Roman"/>
          <w:i/>
          <w:iCs/>
          <w:color w:val="000000"/>
        </w:rPr>
        <w:t xml:space="preserve">in vitro </w:t>
      </w:r>
      <w:r w:rsidRPr="00D32C41">
        <w:rPr>
          <w:rFonts w:ascii="Times New Roman" w:eastAsia="TimesNewRoman" w:hAnsi="Times New Roman"/>
          <w:color w:val="000000"/>
        </w:rPr>
        <w:t>ukázali, že pemetrexed sa správa ako antifolát pôsobiaci na viaceré enzymatické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systémy tým, že inhibuje tymidylátsyntetázu (TS), dihydrofolátreduktázu (DHFR) a glycínamid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/>
          <w:iCs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ribonukleotid formyltransferázu (GARFT), ktoré sú kľúčovými enzýmami závislými </w:t>
      </w:r>
      <w:r w:rsidR="00D00199" w:rsidRPr="00D32C41">
        <w:rPr>
          <w:rFonts w:ascii="Times New Roman" w:eastAsia="TimesNewRoman" w:hAnsi="Times New Roman"/>
          <w:color w:val="000000"/>
        </w:rPr>
        <w:t>od</w:t>
      </w:r>
      <w:r w:rsidRPr="00D32C41">
        <w:rPr>
          <w:rFonts w:ascii="Times New Roman" w:eastAsia="TimesNewRoman" w:hAnsi="Times New Roman"/>
          <w:color w:val="000000"/>
        </w:rPr>
        <w:t xml:space="preserve"> folát</w:t>
      </w:r>
      <w:r w:rsidR="00D00199" w:rsidRPr="00D32C41">
        <w:rPr>
          <w:rFonts w:ascii="Times New Roman" w:eastAsia="TimesNewRoman" w:hAnsi="Times New Roman"/>
          <w:color w:val="000000"/>
        </w:rPr>
        <w:t>u</w:t>
      </w:r>
      <w:r w:rsidRPr="00D32C41">
        <w:rPr>
          <w:rFonts w:ascii="Times New Roman" w:eastAsia="TimesNewRoman" w:hAnsi="Times New Roman"/>
          <w:color w:val="000000"/>
        </w:rPr>
        <w:t xml:space="preserve"> pre </w:t>
      </w:r>
      <w:r w:rsidRPr="00D32C41">
        <w:rPr>
          <w:rFonts w:ascii="Times New Roman" w:eastAsia="TimesNewRoman,Bold" w:hAnsi="Times New Roman"/>
          <w:i/>
          <w:iCs/>
          <w:color w:val="000000"/>
        </w:rPr>
        <w:t>de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,Bold" w:hAnsi="Times New Roman"/>
          <w:i/>
          <w:iCs/>
          <w:color w:val="000000"/>
        </w:rPr>
        <w:t xml:space="preserve">novo </w:t>
      </w:r>
      <w:r w:rsidRPr="00D32C41">
        <w:rPr>
          <w:rFonts w:ascii="Times New Roman" w:eastAsia="TimesNewRoman" w:hAnsi="Times New Roman"/>
          <w:color w:val="000000"/>
        </w:rPr>
        <w:t>biosyntézu tymidínu a purínových nukletidov. Pemetrexed je transportovaný do buniek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redukovaným folátovým nosičom aj membránovým folátovým väzbovým proteínovým transportným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systémom. V bunke je pemetrexed rýchlo a efektívne zmenený na polyglutamátové formy enzýmom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folylpolyglutamát syntetázou. Polyglutamátové formy sa zdržujú v bunkách a sú ešte účinnejšie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inhibítory TS a GARFT. Polyglutamácia je proces závislý na čase a koncentrácii, ku ktorému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dochádza v nádorových bunkách a v menšej miere v normálnych tkanivách. Polyglutamátové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metabolity majú zvýšený intracelulárny polčas, čoho výsledkom je </w:t>
      </w:r>
      <w:r w:rsidR="00662FF7" w:rsidRPr="00662FF7">
        <w:rPr>
          <w:rFonts w:ascii="Times New Roman" w:eastAsia="TimesNewRoman" w:hAnsi="Times New Roman"/>
          <w:color w:val="000000"/>
        </w:rPr>
        <w:t>predĺžený</w:t>
      </w:r>
      <w:r w:rsidRPr="00D32C41">
        <w:rPr>
          <w:rFonts w:ascii="Times New Roman" w:eastAsia="TimesNewRoman" w:hAnsi="Times New Roman"/>
          <w:color w:val="000000"/>
        </w:rPr>
        <w:t xml:space="preserve"> účinok lieku v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malígnych bunkách.</w:t>
      </w:r>
    </w:p>
    <w:p w:rsidR="003E33C0" w:rsidRPr="00D32C41" w:rsidRDefault="003E33C0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  <w:r w:rsidRPr="009812A6">
        <w:rPr>
          <w:rFonts w:ascii="Times New Roman" w:eastAsia="TimesNewRoman" w:hAnsi="Times New Roman"/>
          <w:color w:val="000000"/>
          <w:u w:val="single"/>
        </w:rPr>
        <w:t>Klinická účinnosť</w:t>
      </w:r>
    </w:p>
    <w:p w:rsidR="003E33C0" w:rsidRPr="00D32C41" w:rsidRDefault="003E33C0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Cs/>
          <w:color w:val="000000"/>
          <w:u w:val="single"/>
        </w:rPr>
      </w:pPr>
      <w:r w:rsidRPr="00D32C41">
        <w:rPr>
          <w:rFonts w:ascii="Times New Roman" w:eastAsia="TimesNewRoman,Bold" w:hAnsi="Times New Roman"/>
          <w:i/>
          <w:iCs/>
          <w:color w:val="000000"/>
        </w:rPr>
        <w:t>Mezotelióm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EMPHACIS, multicentrická, randomizovaná, jednoducho zaslepená štúdia fázy 3 s pemetrexedom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plus</w:t>
      </w:r>
      <w:r w:rsidR="003A1540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cisplatina verzus cisplatina u pacientov dovtedy neliečených chemoterapiou s</w:t>
      </w:r>
      <w:r w:rsidR="005C51C9" w:rsidRPr="00D32C41">
        <w:rPr>
          <w:rFonts w:ascii="Times New Roman" w:eastAsia="TimesNewRoman" w:hAnsi="Times New Roman"/>
          <w:color w:val="000000"/>
        </w:rPr>
        <w:t> </w:t>
      </w:r>
      <w:r w:rsidRPr="00D32C41">
        <w:rPr>
          <w:rFonts w:ascii="Times New Roman" w:eastAsia="TimesNewRoman" w:hAnsi="Times New Roman"/>
          <w:color w:val="000000"/>
        </w:rPr>
        <w:t>malígnym</w:t>
      </w:r>
      <w:r w:rsidR="005C51C9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mezoteliómom pleury ukázala, že pacienti liečený pememtrexedom a cisplatinou mali klinick</w:t>
      </w:r>
      <w:r w:rsidR="00662FF7">
        <w:rPr>
          <w:rFonts w:ascii="Times New Roman" w:eastAsia="TimesNewRoman" w:hAnsi="Times New Roman"/>
          <w:color w:val="000000"/>
        </w:rPr>
        <w:t>y významné</w:t>
      </w:r>
      <w:r w:rsidRPr="00D32C41">
        <w:rPr>
          <w:rFonts w:ascii="Times New Roman" w:eastAsia="TimesNewRoman" w:hAnsi="Times New Roman"/>
          <w:color w:val="000000"/>
        </w:rPr>
        <w:t xml:space="preserve"> 2,8-mesačné zlepšenie mediánu prežívania v porovnaní s pacientmi liečenými </w:t>
      </w:r>
      <w:r w:rsidR="00662FF7">
        <w:rPr>
          <w:rFonts w:ascii="Times New Roman" w:eastAsia="TimesNewRoman" w:hAnsi="Times New Roman"/>
          <w:color w:val="000000"/>
        </w:rPr>
        <w:t xml:space="preserve">len </w:t>
      </w:r>
      <w:r w:rsidRPr="00D32C41">
        <w:rPr>
          <w:rFonts w:ascii="Times New Roman" w:eastAsia="TimesNewRoman" w:hAnsi="Times New Roman"/>
          <w:color w:val="000000"/>
        </w:rPr>
        <w:t>cisplatinou.</w:t>
      </w:r>
    </w:p>
    <w:p w:rsidR="00286A74" w:rsidRPr="00D32C41" w:rsidRDefault="00286A74" w:rsidP="003E33C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Počas štúdie bola pridaná suplementácia nízkymi dávkami kyseliny listovej a vitamínu B</w:t>
      </w:r>
      <w:r w:rsidRPr="00D32C41">
        <w:rPr>
          <w:rFonts w:ascii="Times New Roman" w:eastAsia="TimesNewRoman" w:hAnsi="Times New Roman"/>
          <w:color w:val="000000"/>
          <w:vertAlign w:val="subscript"/>
        </w:rPr>
        <w:t>12</w:t>
      </w:r>
      <w:r w:rsidRPr="00D32C41">
        <w:rPr>
          <w:rFonts w:ascii="Times New Roman" w:eastAsia="TimesNewRoman" w:hAnsi="Times New Roman"/>
          <w:color w:val="000000"/>
          <w:sz w:val="14"/>
          <w:szCs w:val="14"/>
        </w:rPr>
        <w:t xml:space="preserve"> </w:t>
      </w:r>
      <w:r w:rsidR="003E33C0" w:rsidRPr="00D32C41">
        <w:rPr>
          <w:rFonts w:ascii="Times New Roman" w:eastAsia="TimesNewRoman" w:hAnsi="Times New Roman"/>
          <w:color w:val="000000"/>
        </w:rPr>
        <w:t>s </w:t>
      </w:r>
      <w:r w:rsidR="00904375">
        <w:rPr>
          <w:rFonts w:ascii="Times New Roman" w:eastAsia="TimesNewRoman" w:hAnsi="Times New Roman"/>
          <w:color w:val="000000"/>
        </w:rPr>
        <w:t>koncový ukazovateľ</w:t>
      </w:r>
      <w:r w:rsidR="003E33C0" w:rsidRPr="00D32C41">
        <w:rPr>
          <w:rFonts w:ascii="Times New Roman" w:eastAsia="TimesNewRoman" w:hAnsi="Times New Roman"/>
          <w:color w:val="000000"/>
        </w:rPr>
        <w:t>om znížiť</w:t>
      </w:r>
      <w:r w:rsidRPr="00D32C41">
        <w:rPr>
          <w:rFonts w:ascii="Times New Roman" w:eastAsia="TimesNewRoman" w:hAnsi="Times New Roman"/>
          <w:color w:val="000000"/>
        </w:rPr>
        <w:t xml:space="preserve"> toxicit</w:t>
      </w:r>
      <w:r w:rsidR="003E33C0" w:rsidRPr="00D32C41">
        <w:rPr>
          <w:rFonts w:ascii="Times New Roman" w:eastAsia="TimesNewRoman" w:hAnsi="Times New Roman"/>
          <w:color w:val="000000"/>
        </w:rPr>
        <w:t>u</w:t>
      </w:r>
      <w:r w:rsidRPr="00D32C41">
        <w:rPr>
          <w:rFonts w:ascii="Times New Roman" w:eastAsia="TimesNewRoman" w:hAnsi="Times New Roman"/>
          <w:color w:val="000000"/>
        </w:rPr>
        <w:t xml:space="preserve">. Primárna analýza štúdie bola vykonaná na populácii </w:t>
      </w:r>
      <w:r w:rsidR="00662FF7">
        <w:rPr>
          <w:rFonts w:ascii="Times New Roman" w:eastAsia="TimesNewRoman" w:hAnsi="Times New Roman"/>
          <w:color w:val="000000"/>
        </w:rPr>
        <w:t xml:space="preserve">všetkých </w:t>
      </w:r>
      <w:r w:rsidRPr="00D32C41">
        <w:rPr>
          <w:rFonts w:ascii="Times New Roman" w:eastAsia="TimesNewRoman" w:hAnsi="Times New Roman"/>
          <w:color w:val="000000"/>
        </w:rPr>
        <w:t>pacientov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randomizovaných do liečebnej skupiny, ktorá bola liečená hodnoteným liekom (randomizovaní 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liečení). Bola vykonaná analýza podskupín pacientov, ktorí dostávali suplementáciu kyselinou listovou</w:t>
      </w:r>
      <w:r w:rsidR="003E33C0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a vitamínom B</w:t>
      </w:r>
      <w:r w:rsidRPr="00D32C41">
        <w:rPr>
          <w:rFonts w:ascii="Times New Roman" w:eastAsia="TimesNewRoman" w:hAnsi="Times New Roman"/>
          <w:color w:val="000000"/>
          <w:vertAlign w:val="subscript"/>
        </w:rPr>
        <w:t>12</w:t>
      </w:r>
      <w:r w:rsidRPr="00D32C41">
        <w:rPr>
          <w:rFonts w:ascii="Times New Roman" w:eastAsia="TimesNewRoman" w:hAnsi="Times New Roman"/>
          <w:color w:val="000000"/>
          <w:sz w:val="14"/>
          <w:szCs w:val="14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počas celého priebehu liečby počas štúdie (úplne suplementovaní). Výsledky týchto</w:t>
      </w:r>
      <w:r w:rsidR="00C26B76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analýz účinnosti sú uvedené v tabuľke </w:t>
      </w:r>
      <w:r w:rsidR="00C26B76" w:rsidRPr="00D32C41">
        <w:rPr>
          <w:rFonts w:ascii="Times New Roman" w:eastAsia="TimesNewRoman" w:hAnsi="Times New Roman"/>
          <w:color w:val="000000"/>
        </w:rPr>
        <w:t>nižšie</w:t>
      </w:r>
      <w:r w:rsidRPr="00D32C41">
        <w:rPr>
          <w:rFonts w:ascii="Times New Roman" w:eastAsia="TimesNewRoman" w:hAnsi="Times New Roman"/>
          <w:color w:val="000000"/>
        </w:rPr>
        <w:t>.</w:t>
      </w:r>
    </w:p>
    <w:p w:rsidR="00C26B76" w:rsidRPr="00D32C41" w:rsidRDefault="00C26B7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C26B76" w:rsidRPr="00D32C41" w:rsidRDefault="00286A74" w:rsidP="00C26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Účinnosť pemetrexedu v kombinácii s cisplatinou oproti cisplatine </w:t>
      </w:r>
    </w:p>
    <w:p w:rsidR="00286A74" w:rsidRPr="00D32C41" w:rsidRDefault="00286A74" w:rsidP="00C26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>pri malígnom mezotelióme</w:t>
      </w:r>
      <w:r w:rsidR="00C26B76" w:rsidRPr="00D32C41">
        <w:rPr>
          <w:rFonts w:ascii="Times New Roman" w:eastAsia="TimesNewRoman,Bold" w:hAnsi="Times New Roman"/>
          <w:b/>
          <w:bCs/>
          <w:color w:val="000000"/>
        </w:rPr>
        <w:t xml:space="preserve"> </w:t>
      </w:r>
      <w:r w:rsidRPr="00D32C41">
        <w:rPr>
          <w:rFonts w:ascii="Times New Roman" w:eastAsia="TimesNewRoman,Bold" w:hAnsi="Times New Roman"/>
          <w:b/>
          <w:bCs/>
          <w:color w:val="000000"/>
        </w:rPr>
        <w:t>pleury</w:t>
      </w:r>
    </w:p>
    <w:p w:rsidR="009C20F6" w:rsidRPr="00D32C41" w:rsidRDefault="009C20F6" w:rsidP="00C26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/>
          <w:bCs/>
          <w:color w:val="00000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64"/>
        <w:gridCol w:w="1647"/>
        <w:gridCol w:w="1647"/>
        <w:gridCol w:w="1647"/>
        <w:gridCol w:w="1645"/>
      </w:tblGrid>
      <w:tr w:rsidR="009C20F6" w:rsidRPr="00D32C41" w:rsidTr="009C20F6">
        <w:trPr>
          <w:tblCellSpacing w:w="0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Randomizovaní a liečení pacienti</w:t>
            </w:r>
          </w:p>
        </w:tc>
        <w:tc>
          <w:tcPr>
            <w:tcW w:w="1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Plne suplementovaní pacienti</w:t>
            </w:r>
          </w:p>
        </w:tc>
      </w:tr>
      <w:tr w:rsidR="009C20F6" w:rsidRPr="00D32C41" w:rsidTr="009C20F6">
        <w:trPr>
          <w:tblCellSpacing w:w="0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Parameter účinnosti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Pemetrexed/ Cisplatina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(</w:t>
            </w:r>
            <w:r w:rsidR="005C51C9"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n</w:t>
            </w: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 xml:space="preserve"> = 226)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Cisplatina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(</w:t>
            </w:r>
            <w:r w:rsidR="005C51C9"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n</w:t>
            </w: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 xml:space="preserve"> = 222)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Pemetrexed/ Cisplatina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(</w:t>
            </w:r>
            <w:r w:rsidR="005C51C9"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n</w:t>
            </w: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 xml:space="preserve"> = 168)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Cisplatina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(</w:t>
            </w:r>
            <w:r w:rsidR="005C51C9"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n</w:t>
            </w: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 xml:space="preserve"> = 163)</w:t>
            </w:r>
          </w:p>
        </w:tc>
      </w:tr>
      <w:tr w:rsidR="009C20F6" w:rsidRPr="00D32C41" w:rsidTr="00CF1C42">
        <w:trPr>
          <w:trHeight w:val="774"/>
          <w:tblCellSpacing w:w="0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Medián celkového prežívania (mesiace)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(95 % CI)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12,1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(10,0 - 14,4)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9,3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(7,8 - 10,7)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13,3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(11,4 - 14,9)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10,0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lang w:eastAsia="zh-TW"/>
              </w:rPr>
            </w:pP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lang w:eastAsia="zh-TW"/>
              </w:rPr>
              <w:t>(8,4 - 11,9)</w:t>
            </w:r>
          </w:p>
        </w:tc>
      </w:tr>
      <w:tr w:rsidR="009C20F6" w:rsidRPr="00D32C41" w:rsidTr="009C20F6">
        <w:trPr>
          <w:tblCellSpacing w:w="0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Log rank hodnota </w:t>
            </w:r>
            <w:r w:rsidRPr="00D32C41">
              <w:rPr>
                <w:rFonts w:ascii="Times New Roman" w:hAnsi="Times New Roman"/>
                <w:iCs/>
                <w:color w:val="000000"/>
                <w:lang w:eastAsia="zh-TW"/>
              </w:rPr>
              <w:t>p</w:t>
            </w:r>
            <w:r w:rsidRPr="00D32C41">
              <w:rPr>
                <w:rFonts w:ascii="Times New Roman" w:hAnsi="Times New Roman"/>
                <w:color w:val="000000"/>
                <w:lang w:eastAsia="zh-TW"/>
              </w:rPr>
              <w:t>*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0,020</w:t>
            </w:r>
          </w:p>
        </w:tc>
        <w:tc>
          <w:tcPr>
            <w:tcW w:w="1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</w:t>
            </w:r>
            <w:r w:rsidR="00A84A5A">
              <w:rPr>
                <w:rFonts w:ascii="Times New Roman" w:hAnsi="Times New Roman"/>
                <w:color w:val="000000"/>
                <w:lang w:eastAsia="zh-TW"/>
              </w:rPr>
              <w:t>,</w:t>
            </w:r>
            <w:r w:rsidRPr="00D32C41">
              <w:rPr>
                <w:rFonts w:ascii="Times New Roman" w:hAnsi="Times New Roman"/>
                <w:color w:val="000000"/>
                <w:lang w:eastAsia="zh-TW"/>
              </w:rPr>
              <w:t>051</w:t>
            </w:r>
          </w:p>
        </w:tc>
      </w:tr>
      <w:tr w:rsidR="009C20F6" w:rsidRPr="00D32C41" w:rsidTr="00CF1C42">
        <w:trPr>
          <w:trHeight w:val="774"/>
          <w:tblCellSpacing w:w="0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Medián času do progresie tumoru (mesiace)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(95 % CI)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5,7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(4,9 - 6,5)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3,9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(2,8 - 4,4)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6,1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(5,3 - 7,0)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3,9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(2,8 - 4,5)</w:t>
            </w:r>
          </w:p>
        </w:tc>
      </w:tr>
      <w:tr w:rsidR="009C20F6" w:rsidRPr="00D32C41" w:rsidTr="009C20F6">
        <w:trPr>
          <w:tblCellSpacing w:w="0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Log rank hodnota </w:t>
            </w:r>
            <w:r w:rsidRPr="00D32C41">
              <w:rPr>
                <w:rFonts w:ascii="Times New Roman" w:hAnsi="Times New Roman"/>
                <w:iCs/>
                <w:color w:val="000000"/>
                <w:lang w:eastAsia="zh-TW"/>
              </w:rPr>
              <w:t>p</w:t>
            </w:r>
            <w:r w:rsidRPr="00D32C41">
              <w:rPr>
                <w:rFonts w:ascii="Times New Roman" w:hAnsi="Times New Roman"/>
                <w:color w:val="000000"/>
                <w:lang w:eastAsia="zh-TW"/>
              </w:rPr>
              <w:t>*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0,001</w:t>
            </w:r>
          </w:p>
        </w:tc>
        <w:tc>
          <w:tcPr>
            <w:tcW w:w="1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0,008</w:t>
            </w:r>
          </w:p>
        </w:tc>
      </w:tr>
      <w:tr w:rsidR="009C20F6" w:rsidRPr="00D32C41" w:rsidTr="00CF1C42">
        <w:trPr>
          <w:trHeight w:val="774"/>
          <w:tblCellSpacing w:w="0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Čas do zlyhania liečby (mesiace)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(95 % CI)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4,5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(3,9 - 4,9)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2,7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(2,1 - 2,9)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4,7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(4,3 - 5,6)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2,7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(2,2 - 3,1)</w:t>
            </w:r>
          </w:p>
        </w:tc>
      </w:tr>
      <w:tr w:rsidR="009C20F6" w:rsidRPr="00D32C41" w:rsidTr="009C20F6">
        <w:trPr>
          <w:tblCellSpacing w:w="0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Log rank hodnota </w:t>
            </w:r>
            <w:r w:rsidRPr="00D32C41">
              <w:rPr>
                <w:rFonts w:ascii="Times New Roman" w:hAnsi="Times New Roman"/>
                <w:iCs/>
                <w:color w:val="000000"/>
                <w:lang w:eastAsia="zh-TW"/>
              </w:rPr>
              <w:t>p</w:t>
            </w:r>
            <w:r w:rsidRPr="00D32C41">
              <w:rPr>
                <w:rFonts w:ascii="Times New Roman" w:hAnsi="Times New Roman"/>
                <w:color w:val="000000"/>
                <w:lang w:eastAsia="zh-TW"/>
              </w:rPr>
              <w:t>*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0,001</w:t>
            </w:r>
          </w:p>
        </w:tc>
        <w:tc>
          <w:tcPr>
            <w:tcW w:w="1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0,001</w:t>
            </w:r>
          </w:p>
        </w:tc>
      </w:tr>
      <w:tr w:rsidR="009C20F6" w:rsidRPr="00D32C41" w:rsidTr="00CF1C42">
        <w:trPr>
          <w:trHeight w:val="774"/>
          <w:tblCellSpacing w:w="0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lang w:eastAsia="sk-SK"/>
              </w:rPr>
              <w:t>Pomer celkovej odpovede</w:t>
            </w:r>
            <w:r w:rsidRPr="00D32C41">
              <w:rPr>
                <w:rFonts w:ascii="Times New Roman" w:hAnsi="Times New Roman"/>
                <w:color w:val="000000"/>
                <w:lang w:eastAsia="zh-TW"/>
              </w:rPr>
              <w:t>**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(95 % CI)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41,3 %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(34,8 - 48,1)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16,7 %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(12,0 - 22,2)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45,5 %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(37,8 - 53,4)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19,6 %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(13,8 - 26,6)</w:t>
            </w:r>
          </w:p>
        </w:tc>
      </w:tr>
      <w:tr w:rsidR="009C20F6" w:rsidRPr="00D32C41" w:rsidTr="009C20F6">
        <w:trPr>
          <w:tblCellSpacing w:w="0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Pr="00D32C41">
              <w:rPr>
                <w:rFonts w:ascii="Times New Roman" w:hAnsi="Times New Roman"/>
                <w:lang w:eastAsia="sk-SK"/>
              </w:rPr>
              <w:t>Fisherova pres</w:t>
            </w:r>
            <w:r w:rsidR="00373EAE" w:rsidRPr="00D32C41">
              <w:rPr>
                <w:rFonts w:ascii="Times New Roman" w:hAnsi="Times New Roman"/>
                <w:lang w:eastAsia="sk-SK"/>
              </w:rPr>
              <w:t>n</w:t>
            </w:r>
            <w:r w:rsidRPr="00D32C41">
              <w:rPr>
                <w:rFonts w:ascii="Times New Roman" w:hAnsi="Times New Roman"/>
                <w:lang w:eastAsia="sk-SK"/>
              </w:rPr>
              <w:t xml:space="preserve">á </w:t>
            </w:r>
          </w:p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lang w:eastAsia="sk-SK"/>
              </w:rPr>
              <w:t>hodnota p*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&lt; 0,001</w:t>
            </w:r>
          </w:p>
        </w:tc>
        <w:tc>
          <w:tcPr>
            <w:tcW w:w="1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&lt; 0,001</w:t>
            </w:r>
          </w:p>
        </w:tc>
      </w:tr>
    </w:tbl>
    <w:p w:rsidR="00C26B76" w:rsidRPr="00D32C41" w:rsidRDefault="00C26B7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Skratky: CI = interval spoľahlivosti.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* hodnota p odkazuje na porovnanie medzi liečebnými ramenami.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**Rameno pemetrexed/cisplatina, randomizovaní a liečení (</w:t>
      </w:r>
      <w:r w:rsidR="00B865DE" w:rsidRPr="00D32C41">
        <w:rPr>
          <w:rFonts w:ascii="Times New Roman" w:eastAsia="TimesNewRoman" w:hAnsi="Times New Roman"/>
          <w:color w:val="000000"/>
        </w:rPr>
        <w:t>n</w:t>
      </w:r>
      <w:r w:rsidRPr="00D32C41">
        <w:rPr>
          <w:rFonts w:ascii="Times New Roman" w:eastAsia="TimesNewRoman" w:hAnsi="Times New Roman"/>
          <w:color w:val="000000"/>
        </w:rPr>
        <w:t xml:space="preserve"> = 225) a plne suplementovaní (</w:t>
      </w:r>
      <w:r w:rsidR="00B865DE" w:rsidRPr="00D32C41">
        <w:rPr>
          <w:rFonts w:ascii="Times New Roman" w:eastAsia="TimesNewRoman" w:hAnsi="Times New Roman"/>
          <w:color w:val="000000"/>
        </w:rPr>
        <w:t>n</w:t>
      </w:r>
      <w:r w:rsidRPr="00D32C41">
        <w:rPr>
          <w:rFonts w:ascii="Times New Roman" w:eastAsia="TimesNewRoman" w:hAnsi="Times New Roman"/>
          <w:color w:val="000000"/>
        </w:rPr>
        <w:t xml:space="preserve"> = 167)</w:t>
      </w:r>
    </w:p>
    <w:p w:rsidR="009C20F6" w:rsidRPr="00D32C41" w:rsidRDefault="009C20F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Štatisticky signifikantné zlepšenie klinicky závažných symptómov (bolesť a </w:t>
      </w:r>
      <w:r w:rsidR="009C20F6" w:rsidRPr="00D32C41">
        <w:rPr>
          <w:rFonts w:ascii="Times New Roman" w:eastAsia="TimesNewRoman" w:hAnsi="Times New Roman"/>
          <w:color w:val="000000"/>
        </w:rPr>
        <w:t>dyspnoe</w:t>
      </w:r>
      <w:r w:rsidRPr="00D32C41">
        <w:rPr>
          <w:rFonts w:ascii="Times New Roman" w:eastAsia="TimesNewRoman" w:hAnsi="Times New Roman"/>
          <w:color w:val="000000"/>
        </w:rPr>
        <w:t>) spojených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s malígnym mezoteliómom pleury v ramene pemetrexed/cisplatina (212 pacientov) oproti ramenu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s cisplatinou (218 pacientov) bolo preukázané použitím škály symptómov karcinómu pľúc (Lung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Cancer Symptom Scale). Taktiež boli pozorované štatisticky významné rozdiely </w:t>
      </w:r>
      <w:r w:rsidR="00953771" w:rsidRPr="00D32C41">
        <w:rPr>
          <w:rFonts w:ascii="Times New Roman" w:hAnsi="Times New Roman"/>
        </w:rPr>
        <w:t>vo výsledkoch vyšetrení pľúcnych funkcií</w:t>
      </w:r>
      <w:r w:rsidRPr="00D32C41">
        <w:rPr>
          <w:rFonts w:ascii="Times New Roman" w:eastAsia="TimesNewRoman" w:hAnsi="Times New Roman"/>
          <w:color w:val="000000"/>
        </w:rPr>
        <w:t>. Rozdiel medzi liečebnými ramenami bol dosiahnutý zlepšením pľúcnej funkcie v</w:t>
      </w:r>
      <w:r w:rsidR="00953771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ramene pemetrexed/cisplatina a zhoršením pľúcnej funkcie </w:t>
      </w:r>
      <w:r w:rsidRPr="005A01D6">
        <w:rPr>
          <w:rFonts w:ascii="Times New Roman" w:eastAsia="TimesNewRoman" w:hAnsi="Times New Roman"/>
          <w:color w:val="000000"/>
        </w:rPr>
        <w:t>v čase</w:t>
      </w:r>
      <w:r w:rsidRPr="00D32C41">
        <w:rPr>
          <w:rFonts w:ascii="Times New Roman" w:eastAsia="TimesNewRoman" w:hAnsi="Times New Roman"/>
          <w:color w:val="000000"/>
        </w:rPr>
        <w:t xml:space="preserve"> v kontrolnom ramene.</w:t>
      </w:r>
    </w:p>
    <w:p w:rsidR="009C20F6" w:rsidRPr="00D32C41" w:rsidRDefault="009C20F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705A7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K dispozícii sú </w:t>
      </w:r>
      <w:r w:rsidR="00286A74" w:rsidRPr="00D32C41">
        <w:rPr>
          <w:rFonts w:ascii="Times New Roman" w:eastAsia="TimesNewRoman" w:hAnsi="Times New Roman"/>
          <w:color w:val="000000"/>
        </w:rPr>
        <w:t>obmedzené údaje u pacientov s malígnym mezoteliómom pleury liečených pemetrexedom v</w:t>
      </w:r>
      <w:r w:rsidR="00D959F0" w:rsidRPr="00D32C41"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monoterapii. Pemetrexed v dávke 500 mg/m</w:t>
      </w:r>
      <w:r w:rsidR="00286A74" w:rsidRPr="00146D04">
        <w:rPr>
          <w:rFonts w:ascii="Times New Roman" w:eastAsia="TimesNewRoman" w:hAnsi="Times New Roman"/>
          <w:color w:val="000000"/>
          <w:vertAlign w:val="superscript"/>
        </w:rPr>
        <w:t>2</w:t>
      </w:r>
      <w:r w:rsidR="00C744EC" w:rsidRPr="00D32C41">
        <w:rPr>
          <w:rFonts w:ascii="Times New Roman" w:eastAsia="TimesNewRoman" w:hAnsi="Times New Roman"/>
          <w:color w:val="000000"/>
          <w:sz w:val="14"/>
          <w:szCs w:val="14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bol študovan</w:t>
      </w:r>
      <w:r w:rsidR="009C20F6" w:rsidRPr="00D32C41">
        <w:rPr>
          <w:rFonts w:ascii="Times New Roman" w:eastAsia="TimesNewRoman" w:hAnsi="Times New Roman"/>
          <w:color w:val="000000"/>
        </w:rPr>
        <w:t>ý</w:t>
      </w:r>
      <w:r w:rsidR="00286A74" w:rsidRPr="00D32C41">
        <w:rPr>
          <w:rFonts w:ascii="Times New Roman" w:eastAsia="TimesNewRoman" w:hAnsi="Times New Roman"/>
          <w:color w:val="000000"/>
        </w:rPr>
        <w:t xml:space="preserve"> ako liek v monoterapii u</w:t>
      </w:r>
      <w:r w:rsidR="00D959F0" w:rsidRPr="00D32C41">
        <w:rPr>
          <w:rFonts w:ascii="Times New Roman" w:eastAsia="TimesNewRoman" w:hAnsi="Times New Roman"/>
          <w:color w:val="000000"/>
        </w:rPr>
        <w:t> </w:t>
      </w:r>
      <w:r w:rsidR="00286A74" w:rsidRPr="00D32C41">
        <w:rPr>
          <w:rFonts w:ascii="Times New Roman" w:eastAsia="TimesNewRoman" w:hAnsi="Times New Roman"/>
          <w:color w:val="000000"/>
        </w:rPr>
        <w:t>64</w:t>
      </w:r>
      <w:r w:rsidR="00D959F0" w:rsidRPr="00D32C41"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chemoterapiou neliečených pacientov s malígnym mezoteliómom pleury. Celková odpoveď na liečbu</w:t>
      </w:r>
      <w:r w:rsidR="00D959F0" w:rsidRPr="00D32C41"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bola 14,1 %.</w:t>
      </w:r>
    </w:p>
    <w:p w:rsidR="009C20F6" w:rsidRPr="00D32C41" w:rsidRDefault="009C20F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/>
          <w:iCs/>
          <w:color w:val="000000"/>
        </w:rPr>
      </w:pPr>
      <w:r w:rsidRPr="005A01D6">
        <w:rPr>
          <w:rFonts w:ascii="Times New Roman" w:eastAsia="TimesNewRoman,Bold" w:hAnsi="Times New Roman"/>
          <w:i/>
          <w:iCs/>
          <w:color w:val="000000"/>
        </w:rPr>
        <w:t>NSCLC</w:t>
      </w:r>
      <w:r w:rsidRPr="00D32C41">
        <w:rPr>
          <w:rFonts w:ascii="Times New Roman" w:eastAsia="TimesNewRoman,Bold" w:hAnsi="Times New Roman"/>
          <w:i/>
          <w:iCs/>
          <w:color w:val="000000"/>
        </w:rPr>
        <w:t>, liečba v druhej línii</w:t>
      </w:r>
    </w:p>
    <w:p w:rsidR="00286A74" w:rsidRPr="00D32C41" w:rsidRDefault="00286A74" w:rsidP="00F42AE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V multicentrickej, randomizovanej, otvorenej štúdii fázy 3 s pemetrexedom </w:t>
      </w:r>
      <w:r w:rsidR="0050673B" w:rsidRPr="00D32C41">
        <w:rPr>
          <w:rFonts w:ascii="Times New Roman" w:eastAsia="TimesNewRoman" w:hAnsi="Times New Roman"/>
          <w:color w:val="000000"/>
        </w:rPr>
        <w:t>verzus</w:t>
      </w:r>
      <w:r w:rsidR="00A638A9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docetaxel u</w:t>
      </w:r>
      <w:r w:rsidR="0010271B" w:rsidRPr="00D32C41">
        <w:rPr>
          <w:rFonts w:ascii="Times New Roman" w:eastAsia="TimesNewRoman" w:hAnsi="Times New Roman"/>
          <w:color w:val="000000"/>
        </w:rPr>
        <w:t> </w:t>
      </w:r>
      <w:r w:rsidRPr="00D32C41">
        <w:rPr>
          <w:rFonts w:ascii="Times New Roman" w:eastAsia="TimesNewRoman" w:hAnsi="Times New Roman"/>
          <w:color w:val="000000"/>
        </w:rPr>
        <w:t>pacientov</w:t>
      </w:r>
      <w:r w:rsidR="0010271B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s lokálne pokročilým a</w:t>
      </w:r>
      <w:r w:rsidR="006C0F26">
        <w:rPr>
          <w:rFonts w:ascii="Times New Roman" w:eastAsia="TimesNewRoman" w:hAnsi="Times New Roman"/>
          <w:color w:val="000000"/>
        </w:rPr>
        <w:t>lebo</w:t>
      </w:r>
      <w:r w:rsidRPr="00D32C41">
        <w:rPr>
          <w:rFonts w:ascii="Times New Roman" w:eastAsia="TimesNewRoman" w:hAnsi="Times New Roman"/>
          <w:color w:val="000000"/>
        </w:rPr>
        <w:t xml:space="preserve"> metastatickým NSCLC po </w:t>
      </w:r>
      <w:r w:rsidR="00FE344B" w:rsidRPr="00D32C41">
        <w:rPr>
          <w:rFonts w:ascii="Times New Roman" w:eastAsia="TimesNewRoman" w:hAnsi="Times New Roman"/>
          <w:color w:val="000000"/>
        </w:rPr>
        <w:t xml:space="preserve">predchádzajúcej </w:t>
      </w:r>
      <w:r w:rsidRPr="00D32C41">
        <w:rPr>
          <w:rFonts w:ascii="Times New Roman" w:eastAsia="TimesNewRoman" w:hAnsi="Times New Roman"/>
          <w:color w:val="000000"/>
        </w:rPr>
        <w:t>chemoterapii bol preukázaný medián</w:t>
      </w:r>
      <w:r w:rsidR="0010271B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prežívania 8,3 mesiacov u pacientov liečených pemetrexedom (populácia so zámerom byť liečená n =</w:t>
      </w:r>
      <w:r w:rsidR="0010271B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283) a 7,9 mesiacov u pacientov liečených docetaxelom (populácia so zámerom byť liečená n = 288).</w:t>
      </w:r>
      <w:r w:rsidR="0010271B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Predchádzajúca chemoterapia nezahŕňala pemetrexed. Analýza vplyvu histológie NSCLC na liečebný</w:t>
      </w:r>
      <w:r w:rsidR="0010271B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efekt z hľadiska celkového prež</w:t>
      </w:r>
      <w:r w:rsidR="00CB20DD" w:rsidRPr="00D32C41">
        <w:rPr>
          <w:rFonts w:ascii="Times New Roman" w:eastAsia="TimesNewRoman" w:hAnsi="Times New Roman"/>
          <w:color w:val="000000"/>
        </w:rPr>
        <w:t>itia</w:t>
      </w:r>
      <w:r w:rsidRPr="00D32C41">
        <w:rPr>
          <w:rFonts w:ascii="Times New Roman" w:eastAsia="TimesNewRoman" w:hAnsi="Times New Roman"/>
          <w:color w:val="000000"/>
        </w:rPr>
        <w:t xml:space="preserve"> vyšla v prospech pemetrexedu oproti docetaxelu </w:t>
      </w:r>
      <w:r w:rsidR="001F2E84" w:rsidRPr="00D32C41">
        <w:rPr>
          <w:rFonts w:ascii="Times New Roman" w:hAnsi="Times New Roman"/>
        </w:rPr>
        <w:t xml:space="preserve">pri iných histologických typoch ako s prevahou skvamóznych buniek </w:t>
      </w:r>
      <w:r w:rsidRPr="00D32C41">
        <w:rPr>
          <w:rFonts w:ascii="Times New Roman" w:eastAsia="TimesNewRoman" w:hAnsi="Times New Roman"/>
          <w:color w:val="000000"/>
        </w:rPr>
        <w:t xml:space="preserve">(n = 399; 9,3 </w:t>
      </w:r>
      <w:r w:rsidR="00AA3C96" w:rsidRPr="00D32C41">
        <w:rPr>
          <w:rFonts w:ascii="Times New Roman" w:eastAsia="TimesNewRoman" w:hAnsi="Times New Roman"/>
          <w:color w:val="000000"/>
        </w:rPr>
        <w:t>verzus</w:t>
      </w:r>
      <w:r w:rsidRPr="00D32C41">
        <w:rPr>
          <w:rFonts w:ascii="Times New Roman" w:eastAsia="TimesNewRoman" w:hAnsi="Times New Roman"/>
          <w:color w:val="000000"/>
        </w:rPr>
        <w:t xml:space="preserve"> 8,0 mesiaco</w:t>
      </w:r>
      <w:r w:rsidR="00AA3C96" w:rsidRPr="00D32C41">
        <w:rPr>
          <w:rFonts w:ascii="Times New Roman" w:eastAsia="TimesNewRoman" w:hAnsi="Times New Roman"/>
          <w:color w:val="000000"/>
        </w:rPr>
        <w:t>v</w:t>
      </w:r>
      <w:r w:rsidRPr="00D32C41">
        <w:rPr>
          <w:rFonts w:ascii="Times New Roman" w:eastAsia="TimesNewRoman" w:hAnsi="Times New Roman"/>
          <w:color w:val="000000"/>
        </w:rPr>
        <w:t xml:space="preserve">, </w:t>
      </w:r>
      <w:r w:rsidR="007E4178">
        <w:rPr>
          <w:rFonts w:ascii="Times New Roman" w:eastAsia="TimesNewRoman" w:hAnsi="Times New Roman"/>
          <w:color w:val="000000"/>
        </w:rPr>
        <w:t>adjustovaný</w:t>
      </w:r>
      <w:r w:rsidRPr="00D32C41">
        <w:rPr>
          <w:rFonts w:ascii="Times New Roman" w:eastAsia="TimesNewRoman" w:hAnsi="Times New Roman"/>
          <w:color w:val="000000"/>
        </w:rPr>
        <w:t xml:space="preserve"> HR = 0,78;</w:t>
      </w:r>
      <w:r w:rsidR="0010271B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95 % CI = 0,61 - 1,00, p = 0,047) a v prospech docetaxelu </w:t>
      </w:r>
      <w:r w:rsidR="00F42AE4" w:rsidRPr="00D32C41">
        <w:rPr>
          <w:rFonts w:ascii="Times New Roman" w:hAnsi="Times New Roman"/>
        </w:rPr>
        <w:t>pri skvamocelulárnom karcinóme pľúc</w:t>
      </w:r>
      <w:r w:rsidR="00F42AE4" w:rsidRPr="00D32C41" w:rsidDel="00F42AE4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(n = 172; 6,2 </w:t>
      </w:r>
      <w:r w:rsidR="00AA3C96" w:rsidRPr="00D32C41">
        <w:rPr>
          <w:rFonts w:ascii="Times New Roman" w:eastAsia="TimesNewRoman" w:hAnsi="Times New Roman"/>
          <w:color w:val="000000"/>
        </w:rPr>
        <w:t>verzus</w:t>
      </w:r>
      <w:r w:rsidRPr="00D32C41">
        <w:rPr>
          <w:rFonts w:ascii="Times New Roman" w:eastAsia="TimesNewRoman" w:hAnsi="Times New Roman"/>
          <w:color w:val="000000"/>
        </w:rPr>
        <w:t>,4 mesiaco</w:t>
      </w:r>
      <w:r w:rsidR="00AA3C96" w:rsidRPr="00D32C41">
        <w:rPr>
          <w:rFonts w:ascii="Times New Roman" w:eastAsia="TimesNewRoman" w:hAnsi="Times New Roman"/>
          <w:color w:val="000000"/>
        </w:rPr>
        <w:t>v</w:t>
      </w:r>
      <w:r w:rsidRPr="00D32C41">
        <w:rPr>
          <w:rFonts w:ascii="Times New Roman" w:eastAsia="TimesNewRoman" w:hAnsi="Times New Roman"/>
          <w:color w:val="000000"/>
        </w:rPr>
        <w:t xml:space="preserve">, </w:t>
      </w:r>
      <w:r w:rsidR="007E4178">
        <w:rPr>
          <w:rFonts w:ascii="Times New Roman" w:eastAsia="TimesNewRoman" w:hAnsi="Times New Roman"/>
          <w:color w:val="000000"/>
        </w:rPr>
        <w:t>adjustovaný</w:t>
      </w:r>
      <w:r w:rsidRPr="00D32C41">
        <w:rPr>
          <w:rFonts w:ascii="Times New Roman" w:eastAsia="TimesNewRoman" w:hAnsi="Times New Roman"/>
          <w:color w:val="000000"/>
        </w:rPr>
        <w:t xml:space="preserve"> HR = 1,56; 95 % CI = 1,08 - 2,26, p =</w:t>
      </w:r>
      <w:r w:rsidR="0010271B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0,018). V rámci histologických podskupín sa nepozorovali žiadne klinicky významné rozdiely týkajúce</w:t>
      </w:r>
      <w:r w:rsidR="009C20F6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sa bezpečnostného profilu pemetrexedu.</w:t>
      </w:r>
    </w:p>
    <w:p w:rsidR="009C20F6" w:rsidRPr="00D32C41" w:rsidRDefault="009C20F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Obmedzené klinické údaje zo samostatnej, randomizovanej, kontrolovanej štúdie fázy 3</w:t>
      </w:r>
    </w:p>
    <w:p w:rsidR="00286A74" w:rsidRPr="00D32C41" w:rsidRDefault="006C0F2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>
        <w:rPr>
          <w:rFonts w:ascii="Times New Roman" w:eastAsia="TimesNewRoman" w:hAnsi="Times New Roman"/>
          <w:color w:val="000000"/>
        </w:rPr>
        <w:t>naznačujú</w:t>
      </w:r>
      <w:r w:rsidR="00286A74" w:rsidRPr="00D32C41">
        <w:rPr>
          <w:rFonts w:ascii="Times New Roman" w:eastAsia="TimesNewRoman" w:hAnsi="Times New Roman"/>
          <w:color w:val="000000"/>
        </w:rPr>
        <w:t>, že údaje o účinnosti (celkové prežitie, prežívanie bez progresie) pre pemetrexed sú</w:t>
      </w:r>
    </w:p>
    <w:p w:rsidR="00286A74" w:rsidRPr="00D32C41" w:rsidRDefault="006C0F2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>
        <w:rPr>
          <w:rFonts w:ascii="Times New Roman" w:eastAsia="TimesNewRoman" w:hAnsi="Times New Roman"/>
          <w:color w:val="000000"/>
        </w:rPr>
        <w:t>podobné</w:t>
      </w:r>
      <w:r w:rsidR="00286A74" w:rsidRPr="00D32C41">
        <w:rPr>
          <w:rFonts w:ascii="Times New Roman" w:eastAsia="TimesNewRoman" w:hAnsi="Times New Roman"/>
          <w:color w:val="000000"/>
        </w:rPr>
        <w:t xml:space="preserve"> medzi pacientmi</w:t>
      </w:r>
      <w:r w:rsidR="0041778A" w:rsidRPr="00D32C41">
        <w:rPr>
          <w:rFonts w:ascii="Times New Roman" w:eastAsia="TimesNewRoman" w:hAnsi="Times New Roman"/>
          <w:color w:val="000000"/>
        </w:rPr>
        <w:t>,</w:t>
      </w:r>
      <w:r w:rsidR="00286A74" w:rsidRPr="00D32C41">
        <w:rPr>
          <w:rFonts w:ascii="Times New Roman" w:eastAsia="TimesNewRoman" w:hAnsi="Times New Roman"/>
          <w:color w:val="000000"/>
        </w:rPr>
        <w:t xml:space="preserve"> predtým liečenými docetaxelom (n = 41) a pacientmi, ktorí predtým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nedostávali liečbu docetaxelom (n = 540).</w:t>
      </w:r>
    </w:p>
    <w:p w:rsidR="009C20F6" w:rsidRPr="00D32C41" w:rsidRDefault="009C20F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146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Účinnosť pemetrexedu </w:t>
      </w:r>
      <w:r w:rsidR="006C0F26">
        <w:rPr>
          <w:rFonts w:ascii="Times New Roman" w:eastAsia="TimesNewRoman,Bold" w:hAnsi="Times New Roman"/>
          <w:b/>
          <w:bCs/>
          <w:color w:val="000000"/>
        </w:rPr>
        <w:t>verzus</w:t>
      </w: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 docetaxelu u pacientov s nemalobunkovým karcinómom pľúc – </w:t>
      </w:r>
      <w:r w:rsidRPr="005A01D6">
        <w:rPr>
          <w:rFonts w:ascii="Times New Roman" w:eastAsia="TimesNewRoman,Bold" w:hAnsi="Times New Roman"/>
          <w:b/>
          <w:bCs/>
          <w:color w:val="000000"/>
        </w:rPr>
        <w:t>ITT</w:t>
      </w:r>
      <w:r w:rsidR="006C0F26">
        <w:rPr>
          <w:rFonts w:ascii="Times New Roman" w:eastAsia="TimesNewRoman,Bold" w:hAnsi="Times New Roman"/>
          <w:b/>
          <w:bCs/>
          <w:color w:val="000000"/>
        </w:rPr>
        <w:t xml:space="preserve"> </w:t>
      </w:r>
      <w:r w:rsidRPr="00D32C41">
        <w:rPr>
          <w:rFonts w:ascii="Times New Roman" w:eastAsia="TimesNewRoman,Bold" w:hAnsi="Times New Roman"/>
          <w:b/>
          <w:bCs/>
          <w:color w:val="000000"/>
        </w:rPr>
        <w:t>populácia</w:t>
      </w:r>
    </w:p>
    <w:p w:rsidR="009C20F6" w:rsidRPr="00D32C41" w:rsidRDefault="009C20F6" w:rsidP="009C2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90"/>
        <w:gridCol w:w="2379"/>
        <w:gridCol w:w="2381"/>
      </w:tblGrid>
      <w:tr w:rsidR="009C20F6" w:rsidRPr="00D32C41" w:rsidTr="009C20F6">
        <w:trPr>
          <w:tblCellSpacing w:w="0" w:type="dxa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81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Pemetrexed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81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Docetaxel</w:t>
            </w:r>
          </w:p>
        </w:tc>
      </w:tr>
      <w:tr w:rsidR="009C20F6" w:rsidRPr="00D32C41" w:rsidTr="009C20F6">
        <w:trPr>
          <w:tblCellSpacing w:w="0" w:type="dxa"/>
        </w:trPr>
        <w:tc>
          <w:tcPr>
            <w:tcW w:w="2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Čas prežívania (mesiace)</w:t>
            </w: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 </w:t>
            </w:r>
          </w:p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• Medián (m) </w:t>
            </w:r>
          </w:p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• 95 % CI pre medián </w:t>
            </w:r>
          </w:p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• HR </w:t>
            </w:r>
          </w:p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• 95 % CI pre HR </w:t>
            </w:r>
          </w:p>
          <w:p w:rsidR="009C20F6" w:rsidRPr="00D32C41" w:rsidRDefault="009C20F6" w:rsidP="00A23465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• </w:t>
            </w:r>
            <w:r w:rsidRPr="00D32C41">
              <w:rPr>
                <w:rFonts w:ascii="Times New Roman" w:hAnsi="Times New Roman"/>
                <w:lang w:eastAsia="sk-SK"/>
              </w:rPr>
              <w:t>hodnota p pre n</w:t>
            </w:r>
            <w:r w:rsidR="007E4178">
              <w:rPr>
                <w:rFonts w:ascii="Times New Roman" w:hAnsi="Times New Roman"/>
                <w:lang w:eastAsia="sk-SK"/>
              </w:rPr>
              <w:t>on</w:t>
            </w:r>
            <w:r w:rsidRPr="007E4178">
              <w:rPr>
                <w:rFonts w:ascii="Times New Roman" w:hAnsi="Times New Roman"/>
                <w:lang w:eastAsia="sk-SK"/>
              </w:rPr>
              <w:t>inferiorit</w:t>
            </w:r>
            <w:r w:rsidRPr="00D32C41">
              <w:rPr>
                <w:rFonts w:ascii="Times New Roman" w:hAnsi="Times New Roman"/>
                <w:lang w:eastAsia="sk-SK"/>
              </w:rPr>
              <w:t>u</w:t>
            </w: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 (HR) 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81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(n = 283)</w:t>
            </w:r>
          </w:p>
          <w:p w:rsidR="009C20F6" w:rsidRPr="00D32C41" w:rsidRDefault="009C20F6" w:rsidP="00981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8,3</w:t>
            </w:r>
          </w:p>
          <w:p w:rsidR="009C20F6" w:rsidRPr="00D32C41" w:rsidRDefault="009C20F6" w:rsidP="00981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(7,0 - 9,4)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81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(n = 288)</w:t>
            </w:r>
          </w:p>
          <w:p w:rsidR="009C20F6" w:rsidRPr="00D32C41" w:rsidRDefault="009C20F6" w:rsidP="00981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7,9</w:t>
            </w:r>
          </w:p>
          <w:p w:rsidR="009C20F6" w:rsidRPr="00D32C41" w:rsidRDefault="009C20F6" w:rsidP="00981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(6,3 - 9,2)</w:t>
            </w:r>
          </w:p>
        </w:tc>
      </w:tr>
      <w:tr w:rsidR="009C20F6" w:rsidRPr="00D32C41" w:rsidTr="009C20F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</w:p>
        </w:tc>
        <w:tc>
          <w:tcPr>
            <w:tcW w:w="2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EC1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0,99</w:t>
            </w:r>
          </w:p>
          <w:p w:rsidR="009C20F6" w:rsidRPr="00D32C41" w:rsidRDefault="009C20F6" w:rsidP="00A234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(0,82 - 1,20)</w:t>
            </w:r>
          </w:p>
          <w:p w:rsidR="009C20F6" w:rsidRPr="00D32C41" w:rsidRDefault="009C20F6" w:rsidP="004E0E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0,226</w:t>
            </w:r>
          </w:p>
        </w:tc>
      </w:tr>
      <w:tr w:rsidR="009C20F6" w:rsidRPr="00D32C41" w:rsidTr="009C20F6">
        <w:trPr>
          <w:tblCellSpacing w:w="0" w:type="dxa"/>
        </w:trPr>
        <w:tc>
          <w:tcPr>
            <w:tcW w:w="2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 xml:space="preserve">Čas prežívania bez progresie (mesiace) </w:t>
            </w:r>
          </w:p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• Medián </w:t>
            </w:r>
          </w:p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• HR (95 % CI) 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EC1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(n = 283)</w:t>
            </w:r>
          </w:p>
          <w:p w:rsidR="009C20F6" w:rsidRPr="00D32C41" w:rsidRDefault="009C20F6" w:rsidP="00A234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2,9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4E0E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(n = 288)</w:t>
            </w:r>
          </w:p>
          <w:p w:rsidR="009C20F6" w:rsidRPr="00D32C41" w:rsidRDefault="009C20F6" w:rsidP="00454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2,9</w:t>
            </w:r>
          </w:p>
        </w:tc>
      </w:tr>
      <w:tr w:rsidR="009C20F6" w:rsidRPr="00D32C41" w:rsidTr="009C20F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</w:p>
        </w:tc>
        <w:tc>
          <w:tcPr>
            <w:tcW w:w="2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EC1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0,97 (0,82 - 1,16)</w:t>
            </w:r>
          </w:p>
        </w:tc>
      </w:tr>
      <w:tr w:rsidR="009C20F6" w:rsidRPr="00D32C41" w:rsidTr="009C20F6">
        <w:trPr>
          <w:tblCellSpacing w:w="0" w:type="dxa"/>
        </w:trPr>
        <w:tc>
          <w:tcPr>
            <w:tcW w:w="2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Čas do zlyhania liečby (TTTF - mesiace)</w:t>
            </w: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 </w:t>
            </w:r>
          </w:p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• Medián </w:t>
            </w:r>
          </w:p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• HR (95 % CI) 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EC1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(n = 283)</w:t>
            </w:r>
          </w:p>
          <w:p w:rsidR="009C20F6" w:rsidRPr="00D32C41" w:rsidRDefault="009C20F6" w:rsidP="00A234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2,3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4E0E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(n = 288)</w:t>
            </w:r>
          </w:p>
          <w:p w:rsidR="009C20F6" w:rsidRPr="00D32C41" w:rsidRDefault="009C20F6" w:rsidP="00454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2,1</w:t>
            </w:r>
          </w:p>
        </w:tc>
      </w:tr>
      <w:tr w:rsidR="009C20F6" w:rsidRPr="00D32C41" w:rsidTr="009C20F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</w:p>
        </w:tc>
        <w:tc>
          <w:tcPr>
            <w:tcW w:w="2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EC1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0,84 (0,71 - 0,997)</w:t>
            </w:r>
          </w:p>
        </w:tc>
      </w:tr>
      <w:tr w:rsidR="009C20F6" w:rsidRPr="00D32C41" w:rsidTr="009C20F6">
        <w:trPr>
          <w:tblCellSpacing w:w="0" w:type="dxa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146D04" w:rsidRDefault="009C20F6" w:rsidP="009C20F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zh-TW"/>
              </w:rPr>
            </w:pPr>
            <w:r w:rsidRPr="000E5718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Odpoveď</w:t>
            </w:r>
            <w:r w:rsidRPr="000E5718">
              <w:rPr>
                <w:rFonts w:ascii="Times New Roman" w:eastAsia="TimesNewRomanPS-BoldMT" w:hAnsi="Times New Roman"/>
                <w:b/>
                <w:bCs/>
                <w:lang w:eastAsia="sk-SK"/>
              </w:rPr>
              <w:t xml:space="preserve"> </w:t>
            </w:r>
            <w:r w:rsidRPr="00146D04">
              <w:rPr>
                <w:rFonts w:ascii="Times New Roman" w:hAnsi="Times New Roman"/>
                <w:b/>
                <w:color w:val="000000"/>
                <w:lang w:eastAsia="zh-TW"/>
              </w:rPr>
              <w:t>(n: kvalifikovan</w:t>
            </w:r>
            <w:r w:rsidR="000E5718">
              <w:rPr>
                <w:rFonts w:ascii="Times New Roman" w:hAnsi="Times New Roman"/>
                <w:b/>
                <w:color w:val="000000"/>
                <w:lang w:eastAsia="zh-TW"/>
              </w:rPr>
              <w:t>í</w:t>
            </w:r>
            <w:r w:rsidRPr="00146D04">
              <w:rPr>
                <w:rFonts w:ascii="Times New Roman" w:hAnsi="Times New Roman"/>
                <w:b/>
                <w:color w:val="000000"/>
                <w:lang w:eastAsia="zh-TW"/>
              </w:rPr>
              <w:t xml:space="preserve"> na odpoveď) </w:t>
            </w:r>
          </w:p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• Odpoveď na liečbu (%) (95 % CI) </w:t>
            </w:r>
          </w:p>
          <w:p w:rsidR="009C20F6" w:rsidRPr="00D32C41" w:rsidRDefault="009C20F6" w:rsidP="009C20F6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• Stabilizácia ochorenia (%) 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EC1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(n = 264)</w:t>
            </w:r>
          </w:p>
          <w:p w:rsidR="009C20F6" w:rsidRPr="00D32C41" w:rsidRDefault="009C20F6" w:rsidP="00A234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9,1 (5,9 - 13,2)</w:t>
            </w:r>
          </w:p>
          <w:p w:rsidR="009C20F6" w:rsidRPr="00D32C41" w:rsidRDefault="009C20F6" w:rsidP="004E0E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45,8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F6" w:rsidRPr="00D32C41" w:rsidRDefault="009C20F6" w:rsidP="00454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(n = 274)</w:t>
            </w:r>
          </w:p>
          <w:p w:rsidR="009C20F6" w:rsidRPr="00D32C41" w:rsidRDefault="009C20F6" w:rsidP="00925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8,8 (5,7 - 12,8)</w:t>
            </w:r>
          </w:p>
          <w:p w:rsidR="009C20F6" w:rsidRPr="00D32C41" w:rsidRDefault="009C20F6" w:rsidP="00D2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46,4</w:t>
            </w:r>
          </w:p>
        </w:tc>
      </w:tr>
    </w:tbl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Skratky: CI = interval spoľahlivosti; HR = pomer rizik</w:t>
      </w:r>
      <w:r w:rsidR="004245D0" w:rsidRPr="00D32C41">
        <w:rPr>
          <w:rFonts w:ascii="Times New Roman" w:eastAsia="TimesNewRoman" w:hAnsi="Times New Roman"/>
          <w:color w:val="000000"/>
        </w:rPr>
        <w:t>a</w:t>
      </w:r>
      <w:r w:rsidRPr="00D32C41">
        <w:rPr>
          <w:rFonts w:ascii="Times New Roman" w:eastAsia="TimesNewRoman" w:hAnsi="Times New Roman"/>
          <w:color w:val="000000"/>
        </w:rPr>
        <w:t>; ITT = so zámerom liečiť; n = veľkosť celej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populácie.</w:t>
      </w:r>
    </w:p>
    <w:p w:rsidR="0081424A" w:rsidRPr="00D32C41" w:rsidRDefault="0081424A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color w:val="000000"/>
        </w:rPr>
      </w:pPr>
      <w:r w:rsidRPr="00D32C41">
        <w:rPr>
          <w:rFonts w:ascii="Times New Roman" w:eastAsia="TimesNewRoman,Bold" w:hAnsi="Times New Roman"/>
          <w:i/>
          <w:iCs/>
          <w:color w:val="000000"/>
        </w:rPr>
        <w:t xml:space="preserve">NSCLC, </w:t>
      </w:r>
      <w:r w:rsidRPr="00D32C41">
        <w:rPr>
          <w:rFonts w:ascii="Times New Roman" w:eastAsia="TimesNewRoman" w:hAnsi="Times New Roman"/>
          <w:i/>
          <w:color w:val="000000"/>
        </w:rPr>
        <w:t>liečba v prvej línii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Multicentrická, randomizovaná, otvorená štúdia fázy 3 s pemetrexedom a cisplatinou verzus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gemcitabínom a cisplatinou u pacientov bez predchádzajúcej liečby chemoterapiou s lokálne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pokročilým alebo metastatickým (</w:t>
      </w:r>
      <w:r w:rsidR="00904375">
        <w:rPr>
          <w:rFonts w:ascii="Times New Roman" w:eastAsia="TimesNewRoman" w:hAnsi="Times New Roman"/>
          <w:color w:val="000000"/>
        </w:rPr>
        <w:t>štádium</w:t>
      </w:r>
      <w:r w:rsidRPr="00D32C41">
        <w:rPr>
          <w:rFonts w:ascii="Times New Roman" w:eastAsia="TimesNewRoman" w:hAnsi="Times New Roman"/>
          <w:color w:val="000000"/>
        </w:rPr>
        <w:t xml:space="preserve"> IIIb alebo IV) nemalobunkovým karcinómom pľúc (NSCLC)</w:t>
      </w:r>
      <w:r w:rsidR="00904375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ukázala, že pemetrexed spolu s cisplatinou (ITT [Intent-To-Treat – so zámerom liečiť] populácia</w:t>
      </w:r>
      <w:r w:rsidR="00904375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n = 862) splnila primárny </w:t>
      </w:r>
      <w:r w:rsidR="000E5718">
        <w:rPr>
          <w:rFonts w:ascii="Times New Roman" w:eastAsia="TimesNewRoman" w:hAnsi="Times New Roman"/>
          <w:color w:val="000000"/>
        </w:rPr>
        <w:t>koncový ukazovateľ</w:t>
      </w:r>
      <w:r w:rsidRPr="00D32C41">
        <w:rPr>
          <w:rFonts w:ascii="Times New Roman" w:eastAsia="TimesNewRoman" w:hAnsi="Times New Roman"/>
          <w:color w:val="000000"/>
        </w:rPr>
        <w:t xml:space="preserve"> a preukázala </w:t>
      </w:r>
      <w:r w:rsidR="000E5718">
        <w:rPr>
          <w:rFonts w:ascii="Times New Roman" w:eastAsia="TimesNewRoman" w:hAnsi="Times New Roman"/>
          <w:color w:val="000000"/>
        </w:rPr>
        <w:t>podobnú</w:t>
      </w:r>
      <w:r w:rsidRPr="00D32C41">
        <w:rPr>
          <w:rFonts w:ascii="Times New Roman" w:eastAsia="TimesNewRoman" w:hAnsi="Times New Roman"/>
          <w:color w:val="000000"/>
        </w:rPr>
        <w:t xml:space="preserve"> klinickú účinnosť ako gemcitabín s</w:t>
      </w:r>
      <w:r w:rsidR="000E5718">
        <w:rPr>
          <w:rFonts w:ascii="Times New Roman" w:eastAsia="TimesNewRoman" w:hAnsi="Times New Roman"/>
          <w:color w:val="000000"/>
        </w:rPr>
        <w:t> </w:t>
      </w:r>
      <w:r w:rsidRPr="00D32C41">
        <w:rPr>
          <w:rFonts w:ascii="Times New Roman" w:eastAsia="TimesNewRoman" w:hAnsi="Times New Roman"/>
          <w:color w:val="000000"/>
        </w:rPr>
        <w:t>cisplatinou</w:t>
      </w:r>
      <w:r w:rsidR="000E5718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(ITT n = 863) v celkovom prežívaní (</w:t>
      </w:r>
      <w:r w:rsidRPr="007E4178">
        <w:rPr>
          <w:rFonts w:ascii="Times New Roman" w:eastAsia="TimesNewRoman" w:hAnsi="Times New Roman"/>
          <w:color w:val="000000"/>
        </w:rPr>
        <w:t>adjustovaný</w:t>
      </w:r>
      <w:r w:rsidRPr="00D32C41">
        <w:rPr>
          <w:rFonts w:ascii="Times New Roman" w:eastAsia="TimesNewRoman" w:hAnsi="Times New Roman"/>
          <w:color w:val="000000"/>
        </w:rPr>
        <w:t xml:space="preserve"> pomer rizík 0,94; 95 % CI = 0,84 - 1,05). Všetci</w:t>
      </w:r>
      <w:r w:rsidR="000E5718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pacienti zahrnutí do štúdie mali výkonnostný stav podľa ECOG 0 alebo 1.</w:t>
      </w:r>
    </w:p>
    <w:p w:rsidR="00286A74" w:rsidRPr="00D32C41" w:rsidRDefault="000E5718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>
        <w:rPr>
          <w:rFonts w:ascii="Times New Roman" w:eastAsia="TimesNewRoman" w:hAnsi="Times New Roman"/>
          <w:color w:val="000000"/>
        </w:rPr>
        <w:t>Primárna a</w:t>
      </w:r>
      <w:r w:rsidR="00286A74" w:rsidRPr="00D32C41">
        <w:rPr>
          <w:rFonts w:ascii="Times New Roman" w:eastAsia="TimesNewRoman" w:hAnsi="Times New Roman"/>
          <w:color w:val="000000"/>
        </w:rPr>
        <w:t xml:space="preserve">nalýza </w:t>
      </w:r>
      <w:r>
        <w:rPr>
          <w:rFonts w:ascii="Times New Roman" w:eastAsia="TimesNewRoman" w:hAnsi="Times New Roman"/>
          <w:color w:val="000000"/>
        </w:rPr>
        <w:t xml:space="preserve">účinnosti </w:t>
      </w:r>
      <w:r w:rsidR="00286A74" w:rsidRPr="00D32C41">
        <w:rPr>
          <w:rFonts w:ascii="Times New Roman" w:eastAsia="TimesNewRoman" w:hAnsi="Times New Roman"/>
          <w:color w:val="000000"/>
        </w:rPr>
        <w:t xml:space="preserve">bola založená na ITT populácii. Analýzy citlivosti hlavných </w:t>
      </w:r>
      <w:r>
        <w:rPr>
          <w:rFonts w:ascii="Times New Roman" w:eastAsia="TimesNewRoman" w:hAnsi="Times New Roman"/>
          <w:color w:val="000000"/>
        </w:rPr>
        <w:t>koncových ukazovateľov</w:t>
      </w:r>
      <w:r w:rsidR="00286A74" w:rsidRPr="00D32C41">
        <w:rPr>
          <w:rFonts w:ascii="Times New Roman" w:eastAsia="TimesNewRoman" w:hAnsi="Times New Roman"/>
          <w:color w:val="000000"/>
        </w:rPr>
        <w:t xml:space="preserve"> účinnosti boli hodnotené na populácii kvalifikovanej protokolom (PQ). Analýzy účinnosti</w:t>
      </w:r>
      <w:r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 xml:space="preserve">pre PQ populáciu boli zhodné s analýzami pre ITT populáciu a podporujú </w:t>
      </w:r>
      <w:r w:rsidR="00286A74" w:rsidRPr="007E4178">
        <w:rPr>
          <w:rFonts w:ascii="Times New Roman" w:eastAsia="TimesNewRoman" w:hAnsi="Times New Roman"/>
          <w:color w:val="000000"/>
        </w:rPr>
        <w:t>noninf</w:t>
      </w:r>
      <w:r w:rsidR="00286A74" w:rsidRPr="00D32C41">
        <w:rPr>
          <w:rFonts w:ascii="Times New Roman" w:eastAsia="TimesNewRoman" w:hAnsi="Times New Roman"/>
          <w:color w:val="000000"/>
        </w:rPr>
        <w:t>erioritu AC verzus</w:t>
      </w:r>
      <w:r w:rsidR="004F2EDC" w:rsidRPr="00D32C41"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GC.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Prežívanie bez progresie (PFS) a celková odpoveď na liečbu boli podobné medzi liečebnými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ramenami: medián PFS bol 4,8 mesiacov pre pemetrexed s cisplatinou verzus</w:t>
      </w:r>
      <w:r w:rsidR="00F31B06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5,1 mesiacov pre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gemcitabín s cisplatinou (adjustovaný pomer rizík 1,04; 95 % CI = 0,94 - 1,15) a celková odpoveď na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liečbu bola 30,6 % (95 % CI = 27,3 - 33,9) pre pemetrexed s cisplatinou verzus 28,2 % (95 % CI =</w:t>
      </w:r>
      <w:r w:rsidR="00605738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25,0 - 31,4) pre gemcitabín s cisplatinou. PFS údaje sa čiastočne potvrdili nezávislým preskúmaním</w:t>
      </w:r>
      <w:r w:rsidR="008D7E19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(na preskúmanie bolo náhodne vybraných 400/1 725 pacientov).</w:t>
      </w:r>
    </w:p>
    <w:p w:rsidR="007B335C" w:rsidRPr="00D32C41" w:rsidRDefault="007B33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Analýza vplyvu histológie NSCLC na celkové prežitie ukázala klinicky významné rozdiely v</w:t>
      </w:r>
      <w:r w:rsidR="0081424A" w:rsidRPr="00D32C41">
        <w:rPr>
          <w:rFonts w:ascii="Times New Roman" w:eastAsia="TimesNewRoman" w:hAnsi="Times New Roman"/>
          <w:color w:val="000000"/>
        </w:rPr>
        <w:t> </w:t>
      </w:r>
      <w:r w:rsidRPr="00D32C41">
        <w:rPr>
          <w:rFonts w:ascii="Times New Roman" w:eastAsia="TimesNewRoman" w:hAnsi="Times New Roman"/>
          <w:color w:val="000000"/>
        </w:rPr>
        <w:t>prežívaní</w:t>
      </w:r>
      <w:r w:rsidR="0081424A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podľa histológie, pozri tabuľku nižšie.</w:t>
      </w:r>
    </w:p>
    <w:p w:rsidR="0081424A" w:rsidRPr="00D32C41" w:rsidRDefault="0081424A" w:rsidP="008142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904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Účinnosť pemetrexed + cisplatina vs. gemcitabín + cisplatina v prvej línii </w:t>
      </w:r>
      <w:r w:rsidR="000E5718">
        <w:rPr>
          <w:rFonts w:ascii="Times New Roman" w:eastAsia="TimesNewRoman,Bold" w:hAnsi="Times New Roman"/>
          <w:b/>
          <w:bCs/>
          <w:color w:val="000000"/>
        </w:rPr>
        <w:t xml:space="preserve">liečby </w:t>
      </w:r>
      <w:r w:rsidRPr="00D32C41">
        <w:rPr>
          <w:rFonts w:ascii="Times New Roman" w:eastAsia="TimesNewRoman,Bold" w:hAnsi="Times New Roman"/>
          <w:b/>
          <w:bCs/>
          <w:color w:val="000000"/>
        </w:rPr>
        <w:t>nemalobunkového</w:t>
      </w:r>
      <w:r w:rsidR="000E5718">
        <w:rPr>
          <w:rFonts w:ascii="Times New Roman" w:eastAsia="TimesNewRoman,Bold" w:hAnsi="Times New Roman"/>
          <w:b/>
          <w:bCs/>
          <w:color w:val="000000"/>
        </w:rPr>
        <w:t xml:space="preserve"> </w:t>
      </w:r>
      <w:r w:rsidRPr="00D32C41">
        <w:rPr>
          <w:rFonts w:ascii="Times New Roman" w:eastAsia="TimesNewRoman,Bold" w:hAnsi="Times New Roman"/>
          <w:b/>
          <w:bCs/>
          <w:color w:val="000000"/>
        </w:rPr>
        <w:t>karcinómu pľúc – ITT populácia a histologické podskupiny.</w:t>
      </w:r>
    </w:p>
    <w:p w:rsidR="0081424A" w:rsidRPr="00D32C41" w:rsidRDefault="0081424A" w:rsidP="0081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6"/>
        <w:gridCol w:w="1372"/>
        <w:gridCol w:w="1006"/>
        <w:gridCol w:w="1373"/>
        <w:gridCol w:w="1007"/>
        <w:gridCol w:w="1373"/>
        <w:gridCol w:w="1373"/>
      </w:tblGrid>
      <w:tr w:rsidR="0081424A" w:rsidRPr="00D32C41" w:rsidTr="00146D04">
        <w:trPr>
          <w:tblCellSpacing w:w="0" w:type="dxa"/>
        </w:trPr>
        <w:tc>
          <w:tcPr>
            <w:tcW w:w="900" w:type="pct"/>
            <w:vMerge w:val="restart"/>
            <w:hideMark/>
          </w:tcPr>
          <w:p w:rsidR="0081424A" w:rsidRPr="009812A6" w:rsidRDefault="0081424A" w:rsidP="008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9812A6">
              <w:rPr>
                <w:rFonts w:ascii="Times New Roman" w:hAnsi="Times New Roman"/>
                <w:bCs/>
                <w:color w:val="000000"/>
                <w:lang w:eastAsia="zh-TW"/>
              </w:rPr>
              <w:t xml:space="preserve">ITT </w:t>
            </w:r>
            <w:r w:rsidRPr="009812A6">
              <w:rPr>
                <w:rFonts w:ascii="Times New Roman" w:hAnsi="Times New Roman"/>
                <w:bCs/>
                <w:lang w:eastAsia="sk-SK"/>
              </w:rPr>
              <w:t>populácia a histologické podskupiny</w:t>
            </w:r>
          </w:p>
        </w:tc>
        <w:tc>
          <w:tcPr>
            <w:tcW w:w="2600" w:type="pct"/>
            <w:gridSpan w:val="4"/>
            <w:hideMark/>
          </w:tcPr>
          <w:p w:rsidR="0081424A" w:rsidRPr="009812A6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TW"/>
              </w:rPr>
            </w:pPr>
            <w:r w:rsidRPr="009812A6">
              <w:rPr>
                <w:rFonts w:ascii="Times New Roman" w:hAnsi="Times New Roman"/>
                <w:bCs/>
                <w:lang w:eastAsia="sk-SK"/>
              </w:rPr>
              <w:t>Medián celkového prežitia v mesiacoch</w:t>
            </w:r>
          </w:p>
          <w:p w:rsidR="0081424A" w:rsidRPr="009812A6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9812A6">
              <w:rPr>
                <w:rFonts w:ascii="Times New Roman" w:hAnsi="Times New Roman"/>
                <w:bCs/>
                <w:color w:val="000000"/>
                <w:lang w:eastAsia="zh-TW"/>
              </w:rPr>
              <w:t>(95 % CI)</w:t>
            </w:r>
          </w:p>
        </w:tc>
        <w:tc>
          <w:tcPr>
            <w:tcW w:w="750" w:type="pct"/>
            <w:vMerge w:val="restart"/>
            <w:hideMark/>
          </w:tcPr>
          <w:p w:rsidR="0081424A" w:rsidRPr="009812A6" w:rsidRDefault="0081424A" w:rsidP="008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TW"/>
              </w:rPr>
            </w:pPr>
            <w:r w:rsidRPr="009812A6">
              <w:rPr>
                <w:rFonts w:ascii="Times New Roman" w:hAnsi="Times New Roman"/>
                <w:bCs/>
                <w:lang w:eastAsia="sk-SK"/>
              </w:rPr>
              <w:t>Adjustovaný pomer rizík</w:t>
            </w:r>
            <w:r w:rsidRPr="009812A6">
              <w:rPr>
                <w:rFonts w:ascii="Times New Roman" w:hAnsi="Times New Roman"/>
                <w:bCs/>
                <w:color w:val="000000"/>
                <w:lang w:eastAsia="zh-TW"/>
              </w:rPr>
              <w:t xml:space="preserve"> (HR)</w:t>
            </w:r>
          </w:p>
          <w:p w:rsidR="0081424A" w:rsidRPr="009812A6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9812A6">
              <w:rPr>
                <w:rFonts w:ascii="Times New Roman" w:hAnsi="Times New Roman"/>
                <w:bCs/>
                <w:color w:val="000000"/>
                <w:lang w:eastAsia="zh-TW"/>
              </w:rPr>
              <w:t>(95 % CI)</w:t>
            </w:r>
          </w:p>
        </w:tc>
        <w:tc>
          <w:tcPr>
            <w:tcW w:w="750" w:type="pct"/>
            <w:vMerge w:val="restart"/>
            <w:hideMark/>
          </w:tcPr>
          <w:p w:rsidR="0081424A" w:rsidRPr="009812A6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9812A6">
              <w:rPr>
                <w:rFonts w:ascii="Times New Roman" w:hAnsi="Times New Roman"/>
                <w:bCs/>
                <w:lang w:eastAsia="sk-SK"/>
              </w:rPr>
              <w:t>p-hodnota</w:t>
            </w:r>
            <w:r w:rsidRPr="009812A6">
              <w:rPr>
                <w:rFonts w:ascii="Times New Roman" w:hAnsi="Times New Roman"/>
                <w:bCs/>
                <w:color w:val="000000"/>
                <w:lang w:eastAsia="zh-TW"/>
              </w:rPr>
              <w:t xml:space="preserve"> superiority</w:t>
            </w:r>
          </w:p>
        </w:tc>
      </w:tr>
      <w:tr w:rsidR="0081424A" w:rsidRPr="00D32C41" w:rsidTr="00146D0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</w:tc>
        <w:tc>
          <w:tcPr>
            <w:tcW w:w="1300" w:type="pct"/>
            <w:gridSpan w:val="2"/>
            <w:hideMark/>
          </w:tcPr>
          <w:p w:rsidR="0081424A" w:rsidRPr="009812A6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9812A6">
              <w:rPr>
                <w:rFonts w:ascii="Times New Roman" w:hAnsi="Times New Roman"/>
                <w:bCs/>
                <w:color w:val="000000"/>
                <w:lang w:eastAsia="zh-TW"/>
              </w:rPr>
              <w:t>Pemetrexed + Cisplatina</w:t>
            </w:r>
          </w:p>
        </w:tc>
        <w:tc>
          <w:tcPr>
            <w:tcW w:w="1300" w:type="pct"/>
            <w:gridSpan w:val="2"/>
            <w:hideMark/>
          </w:tcPr>
          <w:p w:rsidR="0081424A" w:rsidRPr="009812A6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9812A6">
              <w:rPr>
                <w:rFonts w:ascii="Times New Roman" w:hAnsi="Times New Roman"/>
                <w:bCs/>
                <w:color w:val="000000"/>
                <w:lang w:eastAsia="zh-TW"/>
              </w:rPr>
              <w:t>Gemcitabín + Cisplatina</w:t>
            </w:r>
          </w:p>
        </w:tc>
        <w:tc>
          <w:tcPr>
            <w:tcW w:w="0" w:type="auto"/>
            <w:vMerge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</w:tc>
        <w:tc>
          <w:tcPr>
            <w:tcW w:w="0" w:type="auto"/>
            <w:vMerge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</w:p>
        </w:tc>
      </w:tr>
      <w:tr w:rsidR="0081424A" w:rsidRPr="00D32C41" w:rsidTr="00146D04">
        <w:trPr>
          <w:tblCellSpacing w:w="0" w:type="dxa"/>
        </w:trPr>
        <w:tc>
          <w:tcPr>
            <w:tcW w:w="90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ITT populácia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</w:t>
            </w:r>
            <w:r w:rsidR="00C2073F" w:rsidRPr="00D32C41">
              <w:rPr>
                <w:rFonts w:ascii="Times New Roman" w:hAnsi="Times New Roman"/>
                <w:color w:val="000000"/>
                <w:lang w:eastAsia="zh-TW"/>
              </w:rPr>
              <w:t>n</w:t>
            </w: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 = 1725)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10,3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(9,8 – 11,2)</w:t>
            </w:r>
          </w:p>
        </w:tc>
        <w:tc>
          <w:tcPr>
            <w:tcW w:w="550" w:type="pct"/>
            <w:hideMark/>
          </w:tcPr>
          <w:p w:rsidR="0081424A" w:rsidRPr="00D32C41" w:rsidRDefault="00C2073F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n</w:t>
            </w:r>
            <w:r w:rsidR="0081424A" w:rsidRPr="00D32C41">
              <w:rPr>
                <w:rFonts w:ascii="Times New Roman" w:hAnsi="Times New Roman"/>
                <w:color w:val="000000"/>
                <w:lang w:eastAsia="zh-TW"/>
              </w:rPr>
              <w:t xml:space="preserve"> = 862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10,3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(9,6 – 10,9)</w:t>
            </w:r>
          </w:p>
        </w:tc>
        <w:tc>
          <w:tcPr>
            <w:tcW w:w="550" w:type="pct"/>
            <w:hideMark/>
          </w:tcPr>
          <w:p w:rsidR="0081424A" w:rsidRPr="00D32C41" w:rsidRDefault="00C2073F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n</w:t>
            </w:r>
            <w:r w:rsidR="0081424A" w:rsidRPr="00D32C41">
              <w:rPr>
                <w:rFonts w:ascii="Times New Roman" w:hAnsi="Times New Roman"/>
                <w:color w:val="000000"/>
                <w:lang w:eastAsia="zh-TW"/>
              </w:rPr>
              <w:t xml:space="preserve"> = 863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0,94</w:t>
            </w:r>
            <w:r w:rsidRPr="00D32C41">
              <w:rPr>
                <w:rFonts w:ascii="Times New Roman" w:hAnsi="Times New Roman"/>
                <w:color w:val="000000"/>
                <w:vertAlign w:val="superscript"/>
                <w:lang w:eastAsia="zh-TW"/>
              </w:rPr>
              <w:t>a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(0,84 – 1,05)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0,259</w:t>
            </w:r>
          </w:p>
        </w:tc>
      </w:tr>
      <w:tr w:rsidR="0081424A" w:rsidRPr="00D32C41" w:rsidTr="00146D04">
        <w:trPr>
          <w:tblCellSpacing w:w="0" w:type="dxa"/>
        </w:trPr>
        <w:tc>
          <w:tcPr>
            <w:tcW w:w="90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lang w:eastAsia="sk-SK"/>
              </w:rPr>
              <w:t>Adenokarcinóm</w:t>
            </w: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 (</w:t>
            </w:r>
            <w:r w:rsidR="00C2073F" w:rsidRPr="00D32C41">
              <w:rPr>
                <w:rFonts w:ascii="Times New Roman" w:hAnsi="Times New Roman"/>
                <w:color w:val="000000"/>
                <w:lang w:eastAsia="zh-TW"/>
              </w:rPr>
              <w:t>n</w:t>
            </w: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 = 847)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12,6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(10,7 – 13,6)</w:t>
            </w:r>
          </w:p>
        </w:tc>
        <w:tc>
          <w:tcPr>
            <w:tcW w:w="550" w:type="pct"/>
            <w:hideMark/>
          </w:tcPr>
          <w:p w:rsidR="0081424A" w:rsidRPr="00D32C41" w:rsidRDefault="00C2073F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n</w:t>
            </w:r>
            <w:r w:rsidR="0081424A" w:rsidRPr="00D32C41">
              <w:rPr>
                <w:rFonts w:ascii="Times New Roman" w:hAnsi="Times New Roman"/>
                <w:color w:val="000000"/>
                <w:lang w:eastAsia="zh-TW"/>
              </w:rPr>
              <w:t xml:space="preserve"> = 436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10,9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(10,2 –11,9)</w:t>
            </w:r>
          </w:p>
        </w:tc>
        <w:tc>
          <w:tcPr>
            <w:tcW w:w="550" w:type="pct"/>
            <w:hideMark/>
          </w:tcPr>
          <w:p w:rsidR="0081424A" w:rsidRPr="00D32C41" w:rsidRDefault="00C2073F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n</w:t>
            </w:r>
            <w:r w:rsidR="0081424A" w:rsidRPr="00D32C41">
              <w:rPr>
                <w:rFonts w:ascii="Times New Roman" w:hAnsi="Times New Roman"/>
                <w:color w:val="000000"/>
                <w:lang w:eastAsia="zh-TW"/>
              </w:rPr>
              <w:t xml:space="preserve"> = 411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0,84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(0,71–0,99)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0,033</w:t>
            </w:r>
          </w:p>
        </w:tc>
      </w:tr>
      <w:tr w:rsidR="0081424A" w:rsidRPr="00D32C41" w:rsidTr="00146D04">
        <w:trPr>
          <w:tblCellSpacing w:w="0" w:type="dxa"/>
        </w:trPr>
        <w:tc>
          <w:tcPr>
            <w:tcW w:w="90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lang w:eastAsia="sk-SK"/>
              </w:rPr>
              <w:t>Veľkobunkový</w:t>
            </w:r>
            <w:r w:rsidR="00D4357F" w:rsidRPr="00D32C41">
              <w:rPr>
                <w:rFonts w:ascii="Times New Roman" w:hAnsi="Times New Roman"/>
                <w:lang w:eastAsia="sk-SK"/>
              </w:rPr>
              <w:t xml:space="preserve"> karcinom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</w:t>
            </w:r>
            <w:r w:rsidR="00C2073F" w:rsidRPr="00D32C41">
              <w:rPr>
                <w:rFonts w:ascii="Times New Roman" w:hAnsi="Times New Roman"/>
                <w:color w:val="000000"/>
                <w:lang w:eastAsia="zh-TW"/>
              </w:rPr>
              <w:t>n</w:t>
            </w: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 = 153)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10,4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(8,6 – 14,1)</w:t>
            </w:r>
          </w:p>
        </w:tc>
        <w:tc>
          <w:tcPr>
            <w:tcW w:w="550" w:type="pct"/>
            <w:hideMark/>
          </w:tcPr>
          <w:p w:rsidR="0081424A" w:rsidRPr="00D32C41" w:rsidRDefault="00C2073F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n</w:t>
            </w:r>
            <w:r w:rsidR="0081424A" w:rsidRPr="00D32C41">
              <w:rPr>
                <w:rFonts w:ascii="Times New Roman" w:hAnsi="Times New Roman"/>
                <w:color w:val="000000"/>
                <w:lang w:eastAsia="zh-TW"/>
              </w:rPr>
              <w:t xml:space="preserve"> = 76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6,7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(5,5 – 9,0)</w:t>
            </w:r>
          </w:p>
        </w:tc>
        <w:tc>
          <w:tcPr>
            <w:tcW w:w="550" w:type="pct"/>
            <w:hideMark/>
          </w:tcPr>
          <w:p w:rsidR="0081424A" w:rsidRPr="00D32C41" w:rsidRDefault="00C2073F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n</w:t>
            </w:r>
            <w:r w:rsidR="0081424A" w:rsidRPr="00D32C41">
              <w:rPr>
                <w:rFonts w:ascii="Times New Roman" w:hAnsi="Times New Roman"/>
                <w:color w:val="000000"/>
                <w:lang w:eastAsia="zh-TW"/>
              </w:rPr>
              <w:t xml:space="preserve"> = 77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0,67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(0,48–0,96)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0,027</w:t>
            </w:r>
          </w:p>
        </w:tc>
      </w:tr>
      <w:tr w:rsidR="0081424A" w:rsidRPr="00D32C41" w:rsidTr="00146D04">
        <w:trPr>
          <w:tblCellSpacing w:w="0" w:type="dxa"/>
        </w:trPr>
        <w:tc>
          <w:tcPr>
            <w:tcW w:w="90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lang w:eastAsia="sk-SK"/>
              </w:rPr>
              <w:t>Iné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</w:t>
            </w:r>
            <w:r w:rsidR="00C2073F" w:rsidRPr="00D32C41">
              <w:rPr>
                <w:rFonts w:ascii="Times New Roman" w:hAnsi="Times New Roman"/>
                <w:color w:val="000000"/>
                <w:lang w:eastAsia="zh-TW"/>
              </w:rPr>
              <w:t>n</w:t>
            </w:r>
            <w:r w:rsidRPr="00D32C41">
              <w:rPr>
                <w:rFonts w:ascii="Times New Roman" w:hAnsi="Times New Roman"/>
                <w:color w:val="000000"/>
                <w:lang w:eastAsia="zh-TW"/>
              </w:rPr>
              <w:t xml:space="preserve"> = 252)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8,6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(6,8 – 10,2)</w:t>
            </w:r>
          </w:p>
        </w:tc>
        <w:tc>
          <w:tcPr>
            <w:tcW w:w="550" w:type="pct"/>
            <w:hideMark/>
          </w:tcPr>
          <w:p w:rsidR="0081424A" w:rsidRPr="00D32C41" w:rsidRDefault="00C2073F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n</w:t>
            </w:r>
            <w:r w:rsidR="0081424A" w:rsidRPr="00D32C41">
              <w:rPr>
                <w:rFonts w:ascii="Times New Roman" w:hAnsi="Times New Roman"/>
                <w:color w:val="000000"/>
                <w:lang w:eastAsia="zh-TW"/>
              </w:rPr>
              <w:t xml:space="preserve"> = 106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9,2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(8,1 – 10,6)</w:t>
            </w:r>
          </w:p>
        </w:tc>
        <w:tc>
          <w:tcPr>
            <w:tcW w:w="550" w:type="pct"/>
            <w:hideMark/>
          </w:tcPr>
          <w:p w:rsidR="0081424A" w:rsidRPr="00D32C41" w:rsidRDefault="00C2073F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n</w:t>
            </w:r>
            <w:r w:rsidR="0081424A" w:rsidRPr="00D32C41">
              <w:rPr>
                <w:rFonts w:ascii="Times New Roman" w:hAnsi="Times New Roman"/>
                <w:color w:val="000000"/>
                <w:lang w:eastAsia="zh-TW"/>
              </w:rPr>
              <w:t xml:space="preserve"> = 146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1,08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(0,81–1,45)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0,586</w:t>
            </w:r>
          </w:p>
        </w:tc>
      </w:tr>
      <w:tr w:rsidR="0081424A" w:rsidRPr="00D32C41" w:rsidTr="00146D04">
        <w:trPr>
          <w:tblCellSpacing w:w="0" w:type="dxa"/>
        </w:trPr>
        <w:tc>
          <w:tcPr>
            <w:tcW w:w="900" w:type="pct"/>
            <w:hideMark/>
          </w:tcPr>
          <w:p w:rsidR="00D4357F" w:rsidRPr="00D32C41" w:rsidRDefault="00D4357F" w:rsidP="001950D4">
            <w:pPr>
              <w:spacing w:after="0" w:line="240" w:lineRule="auto"/>
              <w:rPr>
                <w:rFonts w:ascii="Times New Roman" w:hAnsi="Times New Roman"/>
              </w:rPr>
            </w:pPr>
            <w:r w:rsidRPr="00D32C41">
              <w:rPr>
                <w:rFonts w:ascii="Times New Roman" w:hAnsi="Times New Roman"/>
              </w:rPr>
              <w:t>Skvamocelulárny karcinóm</w:t>
            </w:r>
          </w:p>
          <w:p w:rsidR="0081424A" w:rsidRPr="00D32C41" w:rsidRDefault="00D4357F" w:rsidP="001950D4">
            <w:pPr>
              <w:spacing w:after="0" w:line="240" w:lineRule="auto"/>
              <w:rPr>
                <w:rFonts w:ascii="Times New Roman" w:hAnsi="Times New Roman"/>
                <w:color w:val="000000"/>
                <w:lang w:eastAsia="zh-TW"/>
              </w:rPr>
            </w:pPr>
            <w:r w:rsidRPr="00D32C41" w:rsidDel="00D4357F">
              <w:rPr>
                <w:rFonts w:ascii="Times New Roman" w:hAnsi="Times New Roman"/>
                <w:lang w:eastAsia="sk-SK"/>
              </w:rPr>
              <w:t xml:space="preserve"> </w:t>
            </w:r>
            <w:r w:rsidR="0081424A" w:rsidRPr="00D32C41">
              <w:rPr>
                <w:rFonts w:ascii="Times New Roman" w:hAnsi="Times New Roman"/>
                <w:color w:val="000000"/>
                <w:lang w:eastAsia="zh-TW"/>
              </w:rPr>
              <w:t>(</w:t>
            </w:r>
            <w:r w:rsidR="00C2073F" w:rsidRPr="00D32C41">
              <w:rPr>
                <w:rFonts w:ascii="Times New Roman" w:hAnsi="Times New Roman"/>
                <w:color w:val="000000"/>
                <w:lang w:eastAsia="zh-TW"/>
              </w:rPr>
              <w:t>n</w:t>
            </w:r>
            <w:r w:rsidR="0081424A" w:rsidRPr="00D32C41">
              <w:rPr>
                <w:rFonts w:ascii="Times New Roman" w:hAnsi="Times New Roman"/>
                <w:color w:val="000000"/>
                <w:lang w:eastAsia="zh-TW"/>
              </w:rPr>
              <w:t xml:space="preserve"> = 473)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9,4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(8,4 – 10,2)</w:t>
            </w:r>
          </w:p>
        </w:tc>
        <w:tc>
          <w:tcPr>
            <w:tcW w:w="550" w:type="pct"/>
            <w:hideMark/>
          </w:tcPr>
          <w:p w:rsidR="0081424A" w:rsidRPr="00D32C41" w:rsidRDefault="00C2073F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n</w:t>
            </w:r>
            <w:r w:rsidR="0081424A" w:rsidRPr="00D32C41">
              <w:rPr>
                <w:rFonts w:ascii="Times New Roman" w:hAnsi="Times New Roman"/>
                <w:color w:val="000000"/>
                <w:lang w:eastAsia="zh-TW"/>
              </w:rPr>
              <w:t xml:space="preserve"> = 244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10,8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(9,5 – 12,1)</w:t>
            </w:r>
          </w:p>
        </w:tc>
        <w:tc>
          <w:tcPr>
            <w:tcW w:w="550" w:type="pct"/>
            <w:hideMark/>
          </w:tcPr>
          <w:p w:rsidR="0081424A" w:rsidRPr="00D32C41" w:rsidRDefault="00C2073F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n</w:t>
            </w:r>
            <w:r w:rsidR="0081424A" w:rsidRPr="00D32C41">
              <w:rPr>
                <w:rFonts w:ascii="Times New Roman" w:hAnsi="Times New Roman"/>
                <w:color w:val="000000"/>
                <w:lang w:eastAsia="zh-TW"/>
              </w:rPr>
              <w:t xml:space="preserve"> = 229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1,23</w:t>
            </w:r>
          </w:p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(1,00–1,51)</w:t>
            </w:r>
          </w:p>
        </w:tc>
        <w:tc>
          <w:tcPr>
            <w:tcW w:w="750" w:type="pct"/>
            <w:hideMark/>
          </w:tcPr>
          <w:p w:rsidR="0081424A" w:rsidRPr="00D32C41" w:rsidRDefault="0081424A" w:rsidP="008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zh-TW"/>
              </w:rPr>
            </w:pPr>
            <w:r w:rsidRPr="00D32C41">
              <w:rPr>
                <w:rFonts w:ascii="Times New Roman" w:hAnsi="Times New Roman"/>
                <w:color w:val="000000"/>
                <w:lang w:eastAsia="zh-TW"/>
              </w:rPr>
              <w:t>0,050</w:t>
            </w:r>
          </w:p>
        </w:tc>
      </w:tr>
    </w:tbl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Skratky: CI = interval spoľahlivosti; ITT = so zámerom liečiť; n = veľkosť celej populácie.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  <w:vertAlign w:val="superscript"/>
        </w:rPr>
        <w:t>a</w:t>
      </w:r>
      <w:r w:rsidRPr="00D32C41">
        <w:rPr>
          <w:rFonts w:ascii="Times New Roman" w:eastAsia="TimesNewRoman" w:hAnsi="Times New Roman"/>
          <w:color w:val="000000"/>
          <w:sz w:val="14"/>
          <w:szCs w:val="14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Štatisticky signifikantná pre noninferioritu, s celkovým intervalom spoľahlivosti pre HR výrazne pod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hranicou noninferiority </w:t>
      </w:r>
      <w:r w:rsidR="000E5718" w:rsidRPr="000E5718">
        <w:rPr>
          <w:rFonts w:ascii="Times New Roman" w:eastAsia="TimesNewRoman" w:hAnsi="Times New Roman"/>
          <w:color w:val="000000"/>
        </w:rPr>
        <w:t xml:space="preserve">1,17645 </w:t>
      </w:r>
      <w:r w:rsidRPr="00D32C41">
        <w:rPr>
          <w:rFonts w:ascii="Times New Roman" w:eastAsia="TimesNewRoman" w:hAnsi="Times New Roman"/>
          <w:color w:val="000000"/>
        </w:rPr>
        <w:t>(p &lt; 0,001).</w:t>
      </w:r>
    </w:p>
    <w:p w:rsidR="007B335C" w:rsidRPr="00D32C41" w:rsidRDefault="007B33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7B335C" w:rsidRPr="009812A6" w:rsidRDefault="007B33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color w:val="000000"/>
        </w:rPr>
      </w:pPr>
      <w:r w:rsidRPr="009812A6">
        <w:rPr>
          <w:rFonts w:ascii="Times New Roman" w:eastAsia="TimesNewRoman" w:hAnsi="Times New Roman"/>
          <w:b/>
          <w:color w:val="000000"/>
        </w:rPr>
        <w:t>Kaplanove Meierove krivky celkového prežitia podľa histológie</w:t>
      </w:r>
    </w:p>
    <w:p w:rsidR="0081424A" w:rsidRPr="00D32C41" w:rsidRDefault="0081424A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7B335C" w:rsidRPr="00D32C41" w:rsidRDefault="00F7196A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noProof/>
          <w:lang w:eastAsia="sk-SK"/>
        </w:rPr>
        <w:drawing>
          <wp:inline distT="0" distB="0" distL="0" distR="0" wp14:anchorId="4992875A" wp14:editId="155F60B7">
            <wp:extent cx="2724150" cy="23050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C41">
        <w:rPr>
          <w:noProof/>
          <w:lang w:eastAsia="sk-SK"/>
        </w:rPr>
        <w:drawing>
          <wp:inline distT="0" distB="0" distL="0" distR="0" wp14:anchorId="070DF7DE" wp14:editId="3DEAB9A5">
            <wp:extent cx="2619375" cy="2305050"/>
            <wp:effectExtent l="0" t="0" r="9525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35C" w:rsidRPr="00D32C41" w:rsidRDefault="007B335C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Nepozorovali sa žiadne klinicky významné rozdiely týkajúce sa bezpečnostného profilu pemetrexedu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s cisplatinou v rámci histologických podskupín.</w:t>
      </w:r>
    </w:p>
    <w:p w:rsidR="000E5718" w:rsidRDefault="000E5718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Cs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Pacienti liečení pemetrexedom a cisplatinou potrebovali menej transfúzií (16,4 % verzus 28,9 %,</w:t>
      </w:r>
      <w:r w:rsidR="009812A6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 &lt; 0,001), transfúzií červených krviniek (16,1 % verzus 27,3 %, p &lt; 0,001) a transfúzií krvných</w:t>
      </w:r>
      <w:r w:rsidR="00006AF0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doštičiek (1,8 % </w:t>
      </w:r>
      <w:r w:rsidR="00D558E7" w:rsidRPr="00D32C41">
        <w:rPr>
          <w:rFonts w:ascii="Times New Roman" w:eastAsia="TimesNewRoman" w:hAnsi="Times New Roman"/>
          <w:color w:val="000000"/>
        </w:rPr>
        <w:t>v</w:t>
      </w:r>
      <w:r w:rsidRPr="00D32C41">
        <w:rPr>
          <w:rFonts w:ascii="Times New Roman" w:eastAsia="TimesNewRoman" w:hAnsi="Times New Roman"/>
          <w:color w:val="000000"/>
        </w:rPr>
        <w:t>er</w:t>
      </w:r>
      <w:r w:rsidR="0081424A" w:rsidRPr="00D32C41">
        <w:rPr>
          <w:rFonts w:ascii="Times New Roman" w:eastAsia="TimesNewRoman" w:hAnsi="Times New Roman"/>
          <w:color w:val="000000"/>
        </w:rPr>
        <w:t>z</w:t>
      </w:r>
      <w:r w:rsidRPr="00D32C41">
        <w:rPr>
          <w:rFonts w:ascii="Times New Roman" w:eastAsia="TimesNewRoman" w:hAnsi="Times New Roman"/>
          <w:color w:val="000000"/>
        </w:rPr>
        <w:t>us 4,5 %, p = 0,002). Pacienti potrebovali tiež podávanie nižších dávok</w:t>
      </w:r>
      <w:r w:rsidR="00006AF0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erytropoetínu/darbopoetínu (10,4 % ver</w:t>
      </w:r>
      <w:r w:rsidR="003A00B1" w:rsidRPr="00D32C41">
        <w:rPr>
          <w:rFonts w:ascii="Times New Roman" w:eastAsia="TimesNewRoman" w:hAnsi="Times New Roman"/>
          <w:color w:val="000000"/>
        </w:rPr>
        <w:t>z</w:t>
      </w:r>
      <w:r w:rsidRPr="00D32C41">
        <w:rPr>
          <w:rFonts w:ascii="Times New Roman" w:eastAsia="TimesNewRoman" w:hAnsi="Times New Roman"/>
          <w:color w:val="000000"/>
        </w:rPr>
        <w:t>us 18,1 %, p &lt; 0,001), G-CSF/GM-CSF (3,1 % ver</w:t>
      </w:r>
      <w:r w:rsidR="0081424A" w:rsidRPr="00D32C41">
        <w:rPr>
          <w:rFonts w:ascii="Times New Roman" w:eastAsia="TimesNewRoman" w:hAnsi="Times New Roman"/>
          <w:color w:val="000000"/>
        </w:rPr>
        <w:t>z</w:t>
      </w:r>
      <w:r w:rsidRPr="00D32C41">
        <w:rPr>
          <w:rFonts w:ascii="Times New Roman" w:eastAsia="TimesNewRoman" w:hAnsi="Times New Roman"/>
          <w:color w:val="000000"/>
        </w:rPr>
        <w:t>us 6,1 %,</w:t>
      </w:r>
      <w:r w:rsidR="00FC38CC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 = 0,004) a liekov s obsahom železa (4,3 % ver</w:t>
      </w:r>
      <w:r w:rsidR="0081424A" w:rsidRPr="00D32C41">
        <w:rPr>
          <w:rFonts w:ascii="Times New Roman" w:eastAsia="TimesNewRoman" w:hAnsi="Times New Roman"/>
          <w:color w:val="000000"/>
        </w:rPr>
        <w:t>z</w:t>
      </w:r>
      <w:r w:rsidRPr="00D32C41">
        <w:rPr>
          <w:rFonts w:ascii="Times New Roman" w:eastAsia="TimesNewRoman" w:hAnsi="Times New Roman"/>
          <w:color w:val="000000"/>
        </w:rPr>
        <w:t>us 7,0 %, p = 0,021)</w:t>
      </w:r>
      <w:r w:rsidRPr="00D32C41">
        <w:rPr>
          <w:rFonts w:ascii="Times New Roman" w:eastAsia="TimesNewRoman,Bold" w:hAnsi="Times New Roman"/>
          <w:i/>
          <w:iCs/>
          <w:color w:val="000000"/>
        </w:rPr>
        <w:t>.</w:t>
      </w:r>
    </w:p>
    <w:p w:rsidR="003F1182" w:rsidRPr="00D32C41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Cs/>
          <w:color w:val="000000"/>
        </w:rPr>
      </w:pPr>
    </w:p>
    <w:p w:rsidR="00286A74" w:rsidRPr="00B21255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/>
          <w:iCs/>
          <w:color w:val="000000"/>
          <w:u w:val="single"/>
        </w:rPr>
      </w:pPr>
      <w:r w:rsidRPr="00B21255">
        <w:rPr>
          <w:rFonts w:ascii="Times New Roman" w:eastAsia="TimesNewRoman,Bold" w:hAnsi="Times New Roman"/>
          <w:i/>
          <w:iCs/>
          <w:color w:val="000000"/>
          <w:u w:val="single"/>
        </w:rPr>
        <w:t>NSCLC, udržiavacia liečba</w:t>
      </w:r>
    </w:p>
    <w:p w:rsidR="00286A74" w:rsidRPr="00B21255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/>
          <w:iCs/>
          <w:color w:val="000000"/>
        </w:rPr>
      </w:pPr>
      <w:r w:rsidRPr="00B21255">
        <w:rPr>
          <w:rFonts w:ascii="Times New Roman" w:eastAsia="TimesNewRoman,Bold" w:hAnsi="Times New Roman"/>
          <w:i/>
          <w:iCs/>
          <w:color w:val="000000"/>
        </w:rPr>
        <w:t>JMEN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Multicentrická</w:t>
      </w:r>
      <w:r w:rsidR="00422FA7" w:rsidRPr="00D32C41">
        <w:rPr>
          <w:rFonts w:ascii="Times New Roman" w:eastAsia="TimesNewRoman" w:hAnsi="Times New Roman"/>
          <w:color w:val="000000"/>
        </w:rPr>
        <w:t>,</w:t>
      </w:r>
      <w:r w:rsidRPr="00D32C41">
        <w:rPr>
          <w:rFonts w:ascii="Times New Roman" w:eastAsia="TimesNewRoman" w:hAnsi="Times New Roman"/>
          <w:color w:val="000000"/>
        </w:rPr>
        <w:t xml:space="preserve"> randomizovaná</w:t>
      </w:r>
      <w:r w:rsidR="000F69A8" w:rsidRPr="00D32C41">
        <w:rPr>
          <w:rFonts w:ascii="Times New Roman" w:eastAsia="TimesNewRoman" w:hAnsi="Times New Roman"/>
          <w:color w:val="000000"/>
        </w:rPr>
        <w:t>,</w:t>
      </w:r>
      <w:r w:rsidRPr="00D32C41">
        <w:rPr>
          <w:rFonts w:ascii="Times New Roman" w:eastAsia="TimesNewRoman" w:hAnsi="Times New Roman"/>
          <w:color w:val="000000"/>
        </w:rPr>
        <w:t xml:space="preserve"> dvojito</w:t>
      </w:r>
      <w:r w:rsidR="003F1182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zaslepená</w:t>
      </w:r>
      <w:r w:rsidR="000F69A8" w:rsidRPr="00D32C41">
        <w:rPr>
          <w:rFonts w:ascii="Times New Roman" w:eastAsia="TimesNewRoman" w:hAnsi="Times New Roman"/>
          <w:color w:val="000000"/>
        </w:rPr>
        <w:t>,</w:t>
      </w:r>
      <w:r w:rsidRPr="00D32C41">
        <w:rPr>
          <w:rFonts w:ascii="Times New Roman" w:eastAsia="TimesNewRoman" w:hAnsi="Times New Roman"/>
          <w:color w:val="000000"/>
        </w:rPr>
        <w:t xml:space="preserve"> placebom kontrolovaná štúdia fázy 3 (JMEN)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porovnávala účinnosť a bezpečnosť udržiavacej liečby pemetrexedom spolu s najlepšou možnou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podpornou liečbou (</w:t>
      </w:r>
      <w:r w:rsidRPr="005A01D6">
        <w:rPr>
          <w:rFonts w:ascii="Times New Roman" w:eastAsia="TimesNewRoman" w:hAnsi="Times New Roman"/>
          <w:color w:val="000000"/>
        </w:rPr>
        <w:t>BSC</w:t>
      </w:r>
      <w:r w:rsidRPr="00D32C41">
        <w:rPr>
          <w:rFonts w:ascii="Times New Roman" w:eastAsia="TimesNewRoman" w:hAnsi="Times New Roman"/>
          <w:color w:val="000000"/>
        </w:rPr>
        <w:t>) (n = 441) a podávaním placeba spolu s BSC (n = 222) u pacientov s lokálne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pokročilým (štádium IIIB) alebo metast</w:t>
      </w:r>
      <w:r w:rsidR="00904375">
        <w:rPr>
          <w:rFonts w:ascii="Times New Roman" w:eastAsia="TimesNewRoman" w:hAnsi="Times New Roman"/>
          <w:color w:val="000000"/>
        </w:rPr>
        <w:t>atickým</w:t>
      </w:r>
      <w:r w:rsidRPr="00D32C41">
        <w:rPr>
          <w:rFonts w:ascii="Times New Roman" w:eastAsia="TimesNewRoman" w:hAnsi="Times New Roman"/>
          <w:color w:val="000000"/>
        </w:rPr>
        <w:t xml:space="preserve"> (štádium IV) nemalobunkovým karcinómom pľúc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(NSCLC), u ktorých nedošlo ku progresii po 4 cykloch terapie prvej línie dvojkombináciou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obsahujúcou cisplatinu alebo karboplatinu v kombinácii s gemcitabínom, paklitaxelom alebo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docetaxelom. Kombinovaná liečba obsahujúca v prvej línii dvojkombináciu s pemetrexedom nebola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zahrnutá. Všetci pacienti, ktorí sa zúčastnili tejto štúdie mali výkonnostný stav</w:t>
      </w:r>
      <w:r w:rsidR="00412917" w:rsidRPr="00D32C41">
        <w:rPr>
          <w:rFonts w:ascii="Times New Roman" w:eastAsia="TimesNewRoman" w:hAnsi="Times New Roman"/>
          <w:color w:val="000000"/>
        </w:rPr>
        <w:t xml:space="preserve"> podľa ECOG</w:t>
      </w:r>
      <w:r w:rsidRPr="00D32C41">
        <w:rPr>
          <w:rFonts w:ascii="Times New Roman" w:eastAsia="TimesNewRoman" w:hAnsi="Times New Roman"/>
          <w:color w:val="000000"/>
        </w:rPr>
        <w:t xml:space="preserve"> 0 alebo 1.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Udržiavacia liečba sa pacientom podávala do progresie choroby. Účinnosť a bezpečnosť sa merali od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zač</w:t>
      </w:r>
      <w:r w:rsidR="00882F01" w:rsidRPr="00D32C41">
        <w:rPr>
          <w:rFonts w:ascii="Times New Roman" w:eastAsia="TimesNewRoman" w:hAnsi="Times New Roman"/>
          <w:color w:val="000000"/>
        </w:rPr>
        <w:t>i</w:t>
      </w:r>
      <w:r w:rsidRPr="00D32C41">
        <w:rPr>
          <w:rFonts w:ascii="Times New Roman" w:eastAsia="TimesNewRoman" w:hAnsi="Times New Roman"/>
          <w:color w:val="000000"/>
        </w:rPr>
        <w:t xml:space="preserve">atku randomizácie po </w:t>
      </w:r>
      <w:r w:rsidR="001C4FAE" w:rsidRPr="00D32C41">
        <w:rPr>
          <w:rFonts w:ascii="Times New Roman" w:eastAsia="TimesNewRoman" w:hAnsi="Times New Roman"/>
          <w:color w:val="000000"/>
        </w:rPr>
        <w:t>u</w:t>
      </w:r>
      <w:r w:rsidRPr="00D32C41">
        <w:rPr>
          <w:rFonts w:ascii="Times New Roman" w:eastAsia="TimesNewRoman" w:hAnsi="Times New Roman"/>
          <w:color w:val="000000"/>
        </w:rPr>
        <w:t>končen</w:t>
      </w:r>
      <w:r w:rsidR="00904375">
        <w:rPr>
          <w:rFonts w:ascii="Times New Roman" w:eastAsia="TimesNewRoman" w:hAnsi="Times New Roman"/>
          <w:color w:val="000000"/>
        </w:rPr>
        <w:t>ie</w:t>
      </w:r>
      <w:r w:rsidRPr="00D32C41">
        <w:rPr>
          <w:rFonts w:ascii="Times New Roman" w:eastAsia="TimesNewRoman" w:hAnsi="Times New Roman"/>
          <w:color w:val="000000"/>
        </w:rPr>
        <w:t xml:space="preserve"> (indukčnej) terapie prvej línie. Stredná hodnota počtu cyklov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podaných pacientom bola 5 cyklov udržiavacej liečby pemetrexedom a 3,5 cyklu podávania placeba.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Celkovo 213 pacientov (48,3 %) dokončilo ≥ 6 cyklov a 103 pacientov (23,4 %) dokončilo ≥ 10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cyklov liečby pemetrexedom.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Štúdia dosiahla svoj primárny </w:t>
      </w:r>
      <w:r w:rsidR="00904375">
        <w:rPr>
          <w:rFonts w:ascii="Times New Roman" w:eastAsia="TimesNewRoman" w:hAnsi="Times New Roman"/>
          <w:color w:val="000000"/>
        </w:rPr>
        <w:t>koncový ukazovateľ</w:t>
      </w:r>
      <w:r w:rsidRPr="00D32C41">
        <w:rPr>
          <w:rFonts w:ascii="Times New Roman" w:eastAsia="TimesNewRoman" w:hAnsi="Times New Roman"/>
          <w:color w:val="000000"/>
        </w:rPr>
        <w:t xml:space="preserve"> a preukázala štatisticky významné zlepšenie PFS v skupine s</w:t>
      </w:r>
      <w:r w:rsidR="00904375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pemetrexedom oproti skupine s placebom (n = 581, nezávisle hodnotená populácia, medián 4,0</w:t>
      </w:r>
      <w:r w:rsidR="00904375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mesiacov, resp. 2,0 mesiacov) (pomer rizík = 0,60, 95 % CI = 0,49 - 0,73, p &lt; 0,00001). Nezávislé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hodnotenie skenov </w:t>
      </w:r>
      <w:r w:rsidR="00904375">
        <w:rPr>
          <w:rFonts w:ascii="Times New Roman" w:eastAsia="TimesNewRoman" w:hAnsi="Times New Roman"/>
          <w:color w:val="000000"/>
        </w:rPr>
        <w:t xml:space="preserve">pacientov </w:t>
      </w:r>
      <w:r w:rsidRPr="00D32C41">
        <w:rPr>
          <w:rFonts w:ascii="Times New Roman" w:eastAsia="TimesNewRoman" w:hAnsi="Times New Roman"/>
          <w:color w:val="000000"/>
        </w:rPr>
        <w:t>potvrdilo závery hodnotenia PFS zo strany skúšajúcich. Stredná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hodnota celkovej doby prežitia (OS) pre celú populáciu (n = 663) bola v skupine s pemetrexedom 13,4</w:t>
      </w:r>
      <w:r w:rsidR="0033254F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mesiacov a v skupine s placebom 10,6 mesiacov, pomer rizík = 0,79 (95 %, CI = 0,65 - 0,95, p =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0,01192).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V sú</w:t>
      </w:r>
      <w:r w:rsidR="003F1182" w:rsidRPr="00D32C41">
        <w:rPr>
          <w:rFonts w:ascii="Times New Roman" w:eastAsia="TimesNewRoman" w:hAnsi="Times New Roman"/>
          <w:color w:val="000000"/>
        </w:rPr>
        <w:t>lade</w:t>
      </w:r>
      <w:r w:rsidRPr="00D32C41">
        <w:rPr>
          <w:rFonts w:ascii="Times New Roman" w:eastAsia="TimesNewRoman" w:hAnsi="Times New Roman"/>
          <w:color w:val="000000"/>
        </w:rPr>
        <w:t xml:space="preserve"> s inými štúdiami s pemetrexedom sa v štúdii JMEN pozoroval rozdiel účinnosti s ohľadom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na histológiu NSCLC. U pacientov s NSCLC iného histologického typu ako prevažne skvamózneho (n</w:t>
      </w:r>
    </w:p>
    <w:p w:rsidR="003F1182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= 430, nezávisle hodnotená populácia) bola stredná hodnota prežívania bez progresie</w:t>
      </w:r>
      <w:r w:rsidR="00904375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(PFS) pri pemetrexede 4,4 mesiace a v skupine s placebom 1,8 mesiaca, pomer rizík = 0,47 (95 % 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CI =</w:t>
      </w:r>
      <w:r w:rsidR="003F1182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0,37 - 0,60, p = 0,00001</w:t>
      </w:r>
      <w:r w:rsidR="003F1182" w:rsidRPr="00D32C41">
        <w:rPr>
          <w:rFonts w:ascii="Times New Roman" w:eastAsia="TimesNewRoman" w:hAnsi="Times New Roman"/>
          <w:color w:val="000000"/>
        </w:rPr>
        <w:t>)</w:t>
      </w:r>
      <w:r w:rsidRPr="00D32C41">
        <w:rPr>
          <w:rFonts w:ascii="Times New Roman" w:eastAsia="TimesNewRoman" w:hAnsi="Times New Roman"/>
          <w:color w:val="000000"/>
        </w:rPr>
        <w:t>. Stredná hodnota celkovej doby prež</w:t>
      </w:r>
      <w:r w:rsidR="00CE1A6E" w:rsidRPr="00D32C41">
        <w:rPr>
          <w:rFonts w:ascii="Times New Roman" w:eastAsia="TimesNewRoman" w:hAnsi="Times New Roman"/>
          <w:color w:val="000000"/>
        </w:rPr>
        <w:t>i</w:t>
      </w:r>
      <w:r w:rsidRPr="00D32C41">
        <w:rPr>
          <w:rFonts w:ascii="Times New Roman" w:eastAsia="TimesNewRoman" w:hAnsi="Times New Roman"/>
          <w:color w:val="000000"/>
        </w:rPr>
        <w:t>tia (OS) u pacientov s NSCLC iného</w:t>
      </w:r>
      <w:r w:rsidR="003F1182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histologického typu ako prevažne skvamózneho (n = 481) bola v skupine s pemetrexedom 15,5</w:t>
      </w:r>
    </w:p>
    <w:p w:rsidR="009608DB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mesiacov a v skupine s placebom 10,3 mesiacov</w:t>
      </w:r>
      <w:r w:rsidR="00904375">
        <w:rPr>
          <w:rFonts w:ascii="Times New Roman" w:eastAsia="TimesNewRoman" w:hAnsi="Times New Roman"/>
          <w:color w:val="000000"/>
        </w:rPr>
        <w:t xml:space="preserve">, </w:t>
      </w:r>
      <w:r w:rsidRPr="00D32C41">
        <w:rPr>
          <w:rFonts w:ascii="Times New Roman" w:eastAsia="TimesNewRoman" w:hAnsi="Times New Roman"/>
          <w:color w:val="000000"/>
        </w:rPr>
        <w:t xml:space="preserve">pomer rizík = 0,70 (95 % CI </w:t>
      </w:r>
      <w:r w:rsidR="00D974F2" w:rsidRPr="00D32C41">
        <w:rPr>
          <w:rFonts w:ascii="Times New Roman" w:eastAsia="TimesNewRoman" w:hAnsi="Times New Roman"/>
          <w:color w:val="000000"/>
        </w:rPr>
        <w:t xml:space="preserve">= </w:t>
      </w:r>
      <w:r w:rsidRPr="00D32C41">
        <w:rPr>
          <w:rFonts w:ascii="Times New Roman" w:eastAsia="TimesNewRoman" w:hAnsi="Times New Roman"/>
          <w:color w:val="000000"/>
        </w:rPr>
        <w:t>0,56 - 0,88, p =</w:t>
      </w:r>
      <w:r w:rsidR="002A32E6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0,002).</w:t>
      </w:r>
      <w:r w:rsidR="002A32E6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Stredná hodnota OS vrátane indukčnej fázy bola u pacientov s NSCLC iného histologického typu</w:t>
      </w:r>
      <w:r w:rsidR="002A32E6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ako prevažne skvamózneho v skupine s pemetrexedom 18,6 mesiacov a</w:t>
      </w:r>
      <w:r w:rsidR="00FA0C10" w:rsidRPr="00D32C41">
        <w:rPr>
          <w:rFonts w:ascii="Times New Roman" w:eastAsia="TimesNewRoman" w:hAnsi="Times New Roman"/>
          <w:color w:val="000000"/>
        </w:rPr>
        <w:t xml:space="preserve"> v </w:t>
      </w:r>
      <w:r w:rsidRPr="00D32C41">
        <w:rPr>
          <w:rFonts w:ascii="Times New Roman" w:eastAsia="TimesNewRoman" w:hAnsi="Times New Roman"/>
          <w:color w:val="000000"/>
        </w:rPr>
        <w:t>skupine s placebom 13,6</w:t>
      </w:r>
      <w:r w:rsidR="00634F4C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mesiacov</w:t>
      </w:r>
      <w:r w:rsidR="00723531">
        <w:rPr>
          <w:rFonts w:ascii="Times New Roman" w:eastAsia="TimesNewRoman" w:hAnsi="Times New Roman"/>
          <w:color w:val="000000"/>
        </w:rPr>
        <w:t>,</w:t>
      </w:r>
      <w:r w:rsidRPr="00D32C41">
        <w:rPr>
          <w:rFonts w:ascii="Times New Roman" w:eastAsia="TimesNewRoman" w:hAnsi="Times New Roman"/>
          <w:color w:val="000000"/>
        </w:rPr>
        <w:t xml:space="preserve"> pomer rizík = 0,71 (95 % CI = 0,56 - 0,88; p = 0,002).</w:t>
      </w:r>
      <w:r w:rsidR="002A32E6" w:rsidRPr="00D32C41">
        <w:rPr>
          <w:rFonts w:ascii="Times New Roman" w:eastAsia="TimesNewRoman" w:hAnsi="Times New Roman"/>
          <w:color w:val="000000"/>
        </w:rPr>
        <w:t xml:space="preserve"> </w:t>
      </w:r>
    </w:p>
    <w:p w:rsidR="009608DB" w:rsidRPr="00D32C41" w:rsidRDefault="009608DB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U pacientov s karcinómom skvamózneho histologického typu nenaznačujú výsledky PFS ani OS</w:t>
      </w:r>
      <w:r w:rsidR="002A32E6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výhodu liečby pemetrexedom oproti placebu.</w:t>
      </w:r>
    </w:p>
    <w:p w:rsidR="003F1182" w:rsidRPr="00D32C41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Medzi histologickými podskupinami sa v bezpečnostnom profile pemetrexedu nepozorovali žiadne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klinicky signifikantné rozdiely.</w:t>
      </w:r>
    </w:p>
    <w:p w:rsidR="003F1182" w:rsidRPr="00D32C41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/>
          <w:iCs/>
          <w:color w:val="000000"/>
        </w:rPr>
      </w:pPr>
    </w:p>
    <w:p w:rsidR="009608DB" w:rsidRPr="00D32C41" w:rsidRDefault="009608DB" w:rsidP="00960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</w:rPr>
      </w:pPr>
      <w:r w:rsidRPr="00D32C41">
        <w:rPr>
          <w:rFonts w:ascii="Times New Roman" w:hAnsi="Times New Roman"/>
          <w:b/>
          <w:bCs/>
          <w:color w:val="000000"/>
        </w:rPr>
        <w:t>JMEN: Kaplanova Meierova krivka doby prežívania bez progresie (PFS) a celkovej doby prežitia u pacientov s NSCLC iného histologického typu ako prevažne skvamózneho užívajúcich pemetrexed alebo placebo:</w:t>
      </w:r>
    </w:p>
    <w:p w:rsidR="009608DB" w:rsidRPr="00D32C41" w:rsidRDefault="009608DB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/>
          <w:iCs/>
          <w:color w:val="000000"/>
        </w:rPr>
      </w:pPr>
    </w:p>
    <w:p w:rsidR="009608DB" w:rsidRPr="00D32C41" w:rsidRDefault="00F7196A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/>
          <w:iCs/>
          <w:color w:val="000000"/>
        </w:rPr>
      </w:pPr>
      <w:r w:rsidRPr="00D32C41">
        <w:rPr>
          <w:noProof/>
          <w:lang w:eastAsia="sk-SK"/>
        </w:rPr>
        <w:drawing>
          <wp:inline distT="0" distB="0" distL="0" distR="0" wp14:anchorId="4EA550CC" wp14:editId="37198E15">
            <wp:extent cx="5762625" cy="2695575"/>
            <wp:effectExtent l="0" t="0" r="9525" b="9525"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8DB" w:rsidRPr="00D32C41" w:rsidRDefault="009608DB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Cs/>
          <w:color w:val="000000"/>
        </w:rPr>
      </w:pPr>
    </w:p>
    <w:p w:rsidR="00286A74" w:rsidRPr="009812A6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Cs/>
          <w:color w:val="000000"/>
        </w:rPr>
      </w:pPr>
      <w:r w:rsidRPr="009812A6">
        <w:rPr>
          <w:rFonts w:ascii="Times New Roman" w:eastAsia="TimesNewRoman,Bold" w:hAnsi="Times New Roman"/>
          <w:iCs/>
          <w:color w:val="000000"/>
        </w:rPr>
        <w:t>PARAMOUNT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Mutlicentrická</w:t>
      </w:r>
      <w:r w:rsidR="00AF4134" w:rsidRPr="00D32C41">
        <w:rPr>
          <w:rFonts w:ascii="Times New Roman" w:eastAsia="TimesNewRoman" w:hAnsi="Times New Roman"/>
          <w:color w:val="000000"/>
        </w:rPr>
        <w:t>,</w:t>
      </w:r>
      <w:r w:rsidRPr="00D32C41">
        <w:rPr>
          <w:rFonts w:ascii="Times New Roman" w:eastAsia="TimesNewRoman" w:hAnsi="Times New Roman"/>
          <w:color w:val="000000"/>
        </w:rPr>
        <w:t xml:space="preserve"> randomizovaná</w:t>
      </w:r>
      <w:r w:rsidR="00AF4134" w:rsidRPr="00D32C41">
        <w:rPr>
          <w:rFonts w:ascii="Times New Roman" w:eastAsia="TimesNewRoman" w:hAnsi="Times New Roman"/>
          <w:color w:val="000000"/>
        </w:rPr>
        <w:t>,</w:t>
      </w:r>
      <w:r w:rsidRPr="00D32C41">
        <w:rPr>
          <w:rFonts w:ascii="Times New Roman" w:eastAsia="TimesNewRoman" w:hAnsi="Times New Roman"/>
          <w:color w:val="000000"/>
        </w:rPr>
        <w:t xml:space="preserve"> dvojito zaslepená, placebom kontrolovaná štúdia fázy 3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(PARAMOUNT) porovnávala účinnosť a bezpečnosť pokračovacej udržiavacej liečby pemetrexedom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s BSC (n = 359) oproti liečbe placebom s BSC (n = 180) u pacientov s lokálne pokročilým (v štádiu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IIIB) alebo metastatickým (v štádiu IV) NSCLC iného histologického typu, ako prevažne zo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skvamóznych buniek, u ktorých nedošlo k progresii ochorenia po 4 cykloch prvej línie liečby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dvojkombináciou pemetrexedu s cisplatinou. Z celkového počtu 939 pacientov liečených</w:t>
      </w:r>
    </w:p>
    <w:p w:rsidR="00286A74" w:rsidRPr="00D32C41" w:rsidRDefault="005A01D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>
        <w:rPr>
          <w:rFonts w:ascii="Times New Roman" w:eastAsia="TimesNewRoman" w:hAnsi="Times New Roman"/>
          <w:color w:val="000000"/>
        </w:rPr>
        <w:t xml:space="preserve">indukčnou liečbou </w:t>
      </w:r>
      <w:r w:rsidR="00286A74" w:rsidRPr="00D32C41">
        <w:rPr>
          <w:rFonts w:ascii="Times New Roman" w:eastAsia="TimesNewRoman" w:hAnsi="Times New Roman"/>
          <w:color w:val="000000"/>
        </w:rPr>
        <w:t>pemetrexedom v kombinácii s cisplatinou bolo 539 pacientov randomizovaných na udržiavaciu liečbu</w:t>
      </w:r>
      <w:r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pemetrexedom alebo placebom. Z randomizovaných pacientov odpovedalo na liečbu 44,9 %</w:t>
      </w:r>
      <w:r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 xml:space="preserve">úplne/čiastočne a u 51,9 % došlo ku stabilizácii ochorenia po liečbe dvojkombináciou </w:t>
      </w:r>
      <w:r>
        <w:rPr>
          <w:rFonts w:ascii="Times New Roman" w:eastAsia="TimesNewRoman" w:hAnsi="Times New Roman"/>
          <w:color w:val="000000"/>
        </w:rPr>
        <w:t xml:space="preserve">indukčnej liečby </w:t>
      </w:r>
      <w:r w:rsidR="00286A74" w:rsidRPr="00D32C41">
        <w:rPr>
          <w:rFonts w:ascii="Times New Roman" w:eastAsia="TimesNewRoman" w:hAnsi="Times New Roman"/>
          <w:color w:val="000000"/>
        </w:rPr>
        <w:t>pemetrexedu s</w:t>
      </w:r>
      <w:r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cisplatinou. Pacienti, ktorí boli randomizovaní na udržiavaciu liečbu museli mať výkonnostný stav</w:t>
      </w:r>
      <w:r>
        <w:rPr>
          <w:rFonts w:ascii="Times New Roman" w:eastAsia="TimesNewRoman" w:hAnsi="Times New Roman"/>
          <w:color w:val="000000"/>
        </w:rPr>
        <w:t xml:space="preserve"> </w:t>
      </w:r>
      <w:r w:rsidR="00AF4134" w:rsidRPr="00D32C41">
        <w:rPr>
          <w:rFonts w:ascii="Times New Roman" w:eastAsia="TimesNewRoman" w:hAnsi="Times New Roman"/>
          <w:color w:val="000000"/>
        </w:rPr>
        <w:t xml:space="preserve">podľa </w:t>
      </w:r>
      <w:r w:rsidR="00286A74" w:rsidRPr="00D32C41">
        <w:rPr>
          <w:rFonts w:ascii="Times New Roman" w:eastAsia="TimesNewRoman" w:hAnsi="Times New Roman"/>
          <w:color w:val="000000"/>
        </w:rPr>
        <w:t xml:space="preserve">ECOG 0 alebo 1. Medián </w:t>
      </w:r>
      <w:r w:rsidR="003F1182" w:rsidRPr="00D32C41">
        <w:rPr>
          <w:rFonts w:ascii="Times New Roman" w:eastAsia="TimesNewRoman" w:hAnsi="Times New Roman"/>
          <w:color w:val="000000"/>
        </w:rPr>
        <w:t>času</w:t>
      </w:r>
      <w:r w:rsidR="00286A74" w:rsidRPr="00D32C41">
        <w:rPr>
          <w:rFonts w:ascii="Times New Roman" w:eastAsia="TimesNewRoman" w:hAnsi="Times New Roman"/>
          <w:color w:val="000000"/>
        </w:rPr>
        <w:t xml:space="preserve"> trvania od začiatku </w:t>
      </w:r>
      <w:r>
        <w:rPr>
          <w:rFonts w:ascii="Times New Roman" w:eastAsia="TimesNewRoman" w:hAnsi="Times New Roman"/>
          <w:color w:val="000000"/>
        </w:rPr>
        <w:t xml:space="preserve">indukčnej </w:t>
      </w:r>
      <w:r w:rsidR="00286A74" w:rsidRPr="00D32C41">
        <w:rPr>
          <w:rFonts w:ascii="Times New Roman" w:eastAsia="TimesNewRoman" w:hAnsi="Times New Roman"/>
          <w:color w:val="000000"/>
        </w:rPr>
        <w:t>liečby pemetrexedom spolu s cisplatinou do</w:t>
      </w:r>
      <w:r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začiatku udržiavacej liečby bol 2,96 mesiacov rovnako v skupine s pemetrexedom aj v skupine s</w:t>
      </w:r>
      <w:r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placebom. Randomizovaní pacienti dostávali udržiavaciu liečbu</w:t>
      </w:r>
      <w:r w:rsidR="00211DE9" w:rsidRPr="00D32C41">
        <w:rPr>
          <w:rFonts w:ascii="Times New Roman" w:eastAsia="TimesNewRoman" w:hAnsi="Times New Roman"/>
          <w:color w:val="000000"/>
        </w:rPr>
        <w:t>,</w:t>
      </w:r>
      <w:r w:rsidR="00286A74" w:rsidRPr="00D32C41">
        <w:rPr>
          <w:rFonts w:ascii="Times New Roman" w:eastAsia="TimesNewRoman" w:hAnsi="Times New Roman"/>
          <w:color w:val="000000"/>
        </w:rPr>
        <w:t xml:space="preserve"> </w:t>
      </w:r>
      <w:r w:rsidR="00723531">
        <w:rPr>
          <w:rFonts w:ascii="Times New Roman" w:eastAsia="TimesNewRoman" w:hAnsi="Times New Roman"/>
          <w:color w:val="000000"/>
        </w:rPr>
        <w:t>do</w:t>
      </w:r>
      <w:r w:rsidR="00286A74" w:rsidRPr="00D32C41">
        <w:rPr>
          <w:rFonts w:ascii="Times New Roman" w:eastAsia="TimesNewRoman" w:hAnsi="Times New Roman"/>
          <w:color w:val="000000"/>
        </w:rPr>
        <w:t xml:space="preserve"> progresi</w:t>
      </w:r>
      <w:r w:rsidR="00723531">
        <w:rPr>
          <w:rFonts w:ascii="Times New Roman" w:eastAsia="TimesNewRoman" w:hAnsi="Times New Roman"/>
          <w:color w:val="000000"/>
        </w:rPr>
        <w:t>e</w:t>
      </w:r>
      <w:r w:rsidR="00286A74" w:rsidRPr="00D32C41">
        <w:rPr>
          <w:rFonts w:ascii="Times New Roman" w:eastAsia="TimesNewRoman" w:hAnsi="Times New Roman"/>
          <w:color w:val="000000"/>
        </w:rPr>
        <w:t xml:space="preserve"> ochorenia.</w:t>
      </w:r>
      <w:r w:rsidR="00723531"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Účinnosť a bezpečnosť sa merali od randomizácie po ukončen</w:t>
      </w:r>
      <w:r w:rsidR="00723531">
        <w:rPr>
          <w:rFonts w:ascii="Times New Roman" w:eastAsia="TimesNewRoman" w:hAnsi="Times New Roman"/>
          <w:color w:val="000000"/>
        </w:rPr>
        <w:t>ie</w:t>
      </w:r>
      <w:r w:rsidR="00286A74" w:rsidRPr="00D32C41">
        <w:rPr>
          <w:rFonts w:ascii="Times New Roman" w:eastAsia="TimesNewRoman" w:hAnsi="Times New Roman"/>
          <w:color w:val="000000"/>
        </w:rPr>
        <w:t xml:space="preserve"> prvej línie (indukčnej) liečby. Stredné</w:t>
      </w:r>
      <w:r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hodnoty počtu podaných cyklov boli 4 cykly udržiavacej liečby pemetrexedom a 4 cykly placeba.</w:t>
      </w:r>
      <w:r w:rsidR="00AC5763"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Celkovo ukončilo ≥ 6 cyklov udržiavacej liečby pemetrexedom 169 pacientov (47,1 %), čo</w:t>
      </w:r>
      <w:r w:rsidR="00AC5763"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predstavovalo minimálne 10 úplných cyklov s pemetrexedom.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Štúdia dosiahla svoj primárny </w:t>
      </w:r>
      <w:r w:rsidR="00904375">
        <w:rPr>
          <w:rFonts w:ascii="Times New Roman" w:eastAsia="TimesNewRoman" w:hAnsi="Times New Roman"/>
          <w:color w:val="000000"/>
        </w:rPr>
        <w:t>koncový ukazovateľ</w:t>
      </w:r>
      <w:r w:rsidRPr="00D32C41">
        <w:rPr>
          <w:rFonts w:ascii="Times New Roman" w:eastAsia="TimesNewRoman" w:hAnsi="Times New Roman"/>
          <w:color w:val="000000"/>
        </w:rPr>
        <w:t xml:space="preserve"> a preukázala štatisticky významné zlepšenie PFS v skupine s</w:t>
      </w:r>
      <w:r w:rsidR="0072353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pemetrexedom oproti skupine s placebom (n = 472, nezávisle hodnotená populácia, medián 3,9</w:t>
      </w:r>
      <w:r w:rsidR="0072353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mesiacov resp. 2,6 mesiaca) (pomer rizík = 0,64, 95 % CI = 0,51 - 0,81, p &lt; 0,0002). Nezávislé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hodnotenie skenov </w:t>
      </w:r>
      <w:r w:rsidR="00723531">
        <w:rPr>
          <w:rFonts w:ascii="Times New Roman" w:eastAsia="TimesNewRoman" w:hAnsi="Times New Roman"/>
          <w:color w:val="000000"/>
        </w:rPr>
        <w:t xml:space="preserve">pacientov </w:t>
      </w:r>
      <w:r w:rsidRPr="00D32C41">
        <w:rPr>
          <w:rFonts w:ascii="Times New Roman" w:eastAsia="TimesNewRoman" w:hAnsi="Times New Roman"/>
          <w:color w:val="000000"/>
        </w:rPr>
        <w:t>potvrdilo závery hodnotenia PFS zo strany skúšajúcich.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U randomizovaných pacientov, podľa meraní od začiatku i</w:t>
      </w:r>
      <w:r w:rsidRPr="005A01D6">
        <w:rPr>
          <w:rFonts w:ascii="Times New Roman" w:eastAsia="TimesNewRoman" w:hAnsi="Times New Roman"/>
          <w:color w:val="000000"/>
        </w:rPr>
        <w:t>ndukčne</w:t>
      </w:r>
      <w:r w:rsidRPr="00D32C41">
        <w:rPr>
          <w:rFonts w:ascii="Times New Roman" w:eastAsia="TimesNewRoman" w:hAnsi="Times New Roman"/>
          <w:color w:val="000000"/>
        </w:rPr>
        <w:t>j liečby prvej línie pemetrexedom s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cisplatinou, bol podľa hodnotení skúšajúcich medián PFS 6,9 mesiaca v skupine s pemetrexedom a 5,6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mesiaca v skupine s placebom (pomer rizík = 0,59 95 % CI = 0,47 - 0,74).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Liečba pemetrexedom, následne po indukčnej liečbe s pemetrexedom a cisplatinou (4 cykly), bola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štatisticky lepšia než liečba placebom pre OS (medián 13,9 mesiacov oproti 11,0 mesiacom, pomer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rizík = 0,78; 95 % CI = 0,64 – 0,96; p = 0,0195). V čase tejto konečnej analýzy prežitia bolo nažive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alebo sa stratilo z pozorovania 28,7 % pacientov v ramene s pemetrexedom oproti 21,7 % v ramene s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placebom. Relatívna liečebná </w:t>
      </w:r>
      <w:r w:rsidRPr="007E4178">
        <w:rPr>
          <w:rFonts w:ascii="Times New Roman" w:eastAsia="TimesNewRoman" w:hAnsi="Times New Roman"/>
          <w:color w:val="000000"/>
        </w:rPr>
        <w:t>efektivita</w:t>
      </w:r>
      <w:r w:rsidRPr="00D32C41">
        <w:rPr>
          <w:rFonts w:ascii="Times New Roman" w:eastAsia="TimesNewRoman" w:hAnsi="Times New Roman"/>
          <w:color w:val="000000"/>
        </w:rPr>
        <w:t xml:space="preserve"> pemetrexedu bola </w:t>
      </w:r>
      <w:r w:rsidRPr="00AC5763">
        <w:rPr>
          <w:rFonts w:ascii="Times New Roman" w:eastAsia="TimesNewRoman" w:hAnsi="Times New Roman"/>
          <w:color w:val="000000"/>
        </w:rPr>
        <w:t>vnútorne</w:t>
      </w:r>
      <w:r w:rsidRPr="00D32C41">
        <w:rPr>
          <w:rFonts w:ascii="Times New Roman" w:eastAsia="TimesNewRoman" w:hAnsi="Times New Roman"/>
          <w:color w:val="000000"/>
        </w:rPr>
        <w:t xml:space="preserve"> konzistentná medzi podskupinami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(vrátane štádia ochorenia, odpovede na indukčnú liečbu, ECOG PS, fajčiarskeho stavu, pohlavia ,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histológie a veku) a podobná k tej, ktorá bola pozorovaná v neupravených analýzach OS a PFS. 1-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ročné a 2-ročné prežívanie u pacientov užívajúcich pemetrexed bolo 58 % a 32 % oproti 45 % a 21 %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u pacientov s placebom. Medián OS od začiatku prvolíniovej indukčnej liečby s pemetrexedom 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cisplatinou bol 16,9 mesiacov u pacientov v ramene s pemetrexedom oproti 14,0 mesiacov v ramene s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placebom (pomer rizík = 0,78; 95 % CI = 0,64 – 0,96). Percento pacientov, ktorí po ukončení štúdie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pokračovali v liečbe bolo 64,3 % pre pemetrexed a 71,7 % pre placebo.</w:t>
      </w:r>
    </w:p>
    <w:p w:rsidR="009608DB" w:rsidRPr="00D32C41" w:rsidRDefault="009608DB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9608DB" w:rsidRPr="00D32C41" w:rsidRDefault="009608DB" w:rsidP="009608D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32C41">
        <w:rPr>
          <w:rFonts w:ascii="Times New Roman" w:hAnsi="Times New Roman"/>
          <w:b/>
          <w:bCs/>
          <w:color w:val="000000"/>
        </w:rPr>
        <w:t>PARAMOUNT: Kaplanova Meierova krivka doby prežívania bez progresie (PFS) a celkového prežívania (OS) u pacientov s NSCLC iného histologického typu ako prevažne zo skvamóznych buniek, pokračujúcich v udržiavacej liečbe pemetrexedom alebo placebom (merané od randomizácie)</w:t>
      </w:r>
    </w:p>
    <w:p w:rsidR="009608DB" w:rsidRPr="00D32C41" w:rsidRDefault="009608DB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9608DB" w:rsidRPr="00D32C41" w:rsidRDefault="00F7196A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noProof/>
          <w:lang w:eastAsia="sk-SK"/>
        </w:rPr>
        <w:drawing>
          <wp:inline distT="0" distB="0" distL="0" distR="0" wp14:anchorId="67F411B7" wp14:editId="19588E39">
            <wp:extent cx="5762625" cy="2705100"/>
            <wp:effectExtent l="0" t="0" r="9525" b="0"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182" w:rsidRPr="00D32C41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Bezpečnostné profily udržiavacej liečby pemetrexedom z dvoch klinických štúdií JMEN 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PARAMOUNT boli podobné.</w:t>
      </w:r>
    </w:p>
    <w:p w:rsidR="003F1182" w:rsidRPr="00D32C41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5.2 </w:t>
      </w:r>
      <w:r w:rsidR="003F1182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Farmakokinetické vlastnosti</w:t>
      </w:r>
    </w:p>
    <w:p w:rsidR="003F1182" w:rsidRPr="00D32C41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Farmakokinetické vlastnosti pemetrexedu po podaní lieku v monoterapii boli hodnotené u 426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pacientov s rozličnými malígnymi solídnymi tumormi v dávkach od 0,2 do 838 mg/m</w:t>
      </w:r>
      <w:r w:rsidRPr="00146D04">
        <w:rPr>
          <w:rFonts w:ascii="Times New Roman" w:eastAsia="TimesNewRoman" w:hAnsi="Times New Roman"/>
          <w:color w:val="000000"/>
          <w:vertAlign w:val="superscript"/>
        </w:rPr>
        <w:t>2</w:t>
      </w:r>
      <w:r w:rsidRPr="00D32C41">
        <w:rPr>
          <w:rFonts w:ascii="Times New Roman" w:eastAsia="TimesNewRoman" w:hAnsi="Times New Roman"/>
          <w:color w:val="000000"/>
          <w:sz w:val="14"/>
          <w:szCs w:val="14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podaných v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/>
          <w:iCs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infúzii počas 10 minút. Distribučný objem pemetrexedu v ustálenom stave je 9 l/m</w:t>
      </w:r>
      <w:r w:rsidRPr="00146D04">
        <w:rPr>
          <w:rFonts w:ascii="Times New Roman" w:eastAsia="TimesNewRoman" w:hAnsi="Times New Roman"/>
          <w:color w:val="000000"/>
          <w:vertAlign w:val="superscript"/>
        </w:rPr>
        <w:t>2</w:t>
      </w:r>
      <w:r w:rsidRPr="00D32C41">
        <w:rPr>
          <w:rFonts w:ascii="Times New Roman" w:eastAsia="TimesNewRoman" w:hAnsi="Times New Roman"/>
          <w:color w:val="000000"/>
        </w:rPr>
        <w:t xml:space="preserve">. Štúdie </w:t>
      </w:r>
      <w:r w:rsidRPr="00D32C41">
        <w:rPr>
          <w:rFonts w:ascii="Times New Roman" w:eastAsia="TimesNewRoman,Bold" w:hAnsi="Times New Roman"/>
          <w:i/>
          <w:iCs/>
          <w:color w:val="000000"/>
        </w:rPr>
        <w:t>in vitro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ukazujú, že približne 81 % pemetrexedu sa viaže na plazmatické proteíny. Táto väzba nebola výrazne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ovplyvnená rôznymi stupňami renálneho poškodenia. Pemetrexed sa podrobuje v obmedzenej miere</w:t>
      </w:r>
    </w:p>
    <w:p w:rsidR="009812A6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pečeňovému metabolizmu. Pemetrexed je primárne eliminovaný močom, pričom 70 % až 90 % </w:t>
      </w:r>
      <w:r w:rsidR="00C744F5">
        <w:rPr>
          <w:rFonts w:ascii="Times New Roman" w:eastAsia="TimesNewRoman" w:hAnsi="Times New Roman"/>
          <w:color w:val="000000"/>
        </w:rPr>
        <w:t xml:space="preserve">podanej </w:t>
      </w:r>
      <w:r w:rsidRPr="00D32C41">
        <w:rPr>
          <w:rFonts w:ascii="Times New Roman" w:eastAsia="TimesNewRoman" w:hAnsi="Times New Roman"/>
          <w:color w:val="000000"/>
        </w:rPr>
        <w:t>dávky</w:t>
      </w:r>
      <w:r w:rsidR="00C744F5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sa vylúči močom v nezmenenej forme v priebehu prvých 24 hodín od podania. Štúdie </w:t>
      </w:r>
      <w:r w:rsidRPr="00D32C41">
        <w:rPr>
          <w:rFonts w:ascii="Times New Roman" w:eastAsia="TimesNewRoman,Bold" w:hAnsi="Times New Roman"/>
          <w:i/>
          <w:iCs/>
          <w:color w:val="000000"/>
        </w:rPr>
        <w:t>in vitro</w:t>
      </w:r>
      <w:r w:rsidR="00C744F5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naznačujú, že pemetrexed sa aktívne vylučuje pomocou OAT3 (organického aniónového transportéra</w:t>
      </w:r>
      <w:r w:rsidR="00C744F5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3). </w:t>
      </w:r>
    </w:p>
    <w:p w:rsidR="009812A6" w:rsidRDefault="009812A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Celkový systémový klírens pemetrexedu je 91,8 ml/min a eliminačný polčas z plazmy je 3,5 hodín,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u pacientov s normálnou obličkovou funkciou (klírens kreatinínu 90 ml/min). Variabilita v klírense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medzi pacientmi je mierna, a to 19,3 %. Celková systémová expozícia pemetrexedu (AUC) 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maximálna plazmatická koncentrácia sa proporcionálne zvyšujú s dávkou. Farmakokinetika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pemetrexedu je rovnaká aj po viacerých liečebných cykloch.</w:t>
      </w:r>
    </w:p>
    <w:p w:rsidR="003F1182" w:rsidRPr="00D32C41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Farmakokinetické vlastnosti pemetrexedu nie sú ovplyvnené súčasným podávaním cisplatiny.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Suplementácia perorálnou kyselinou listovou a intramuskulárnym vitamínom B</w:t>
      </w:r>
      <w:r w:rsidRPr="00D32C41">
        <w:rPr>
          <w:rFonts w:ascii="Times New Roman" w:eastAsia="TimesNewRoman" w:hAnsi="Times New Roman"/>
          <w:color w:val="000000"/>
          <w:sz w:val="14"/>
          <w:szCs w:val="14"/>
        </w:rPr>
        <w:t xml:space="preserve">12 </w:t>
      </w:r>
      <w:r w:rsidRPr="00D32C41">
        <w:rPr>
          <w:rFonts w:ascii="Times New Roman" w:eastAsia="TimesNewRoman" w:hAnsi="Times New Roman"/>
          <w:color w:val="000000"/>
        </w:rPr>
        <w:t>neovplyvňujú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farmakokinetiku pemetrexedu.</w:t>
      </w:r>
    </w:p>
    <w:p w:rsidR="003F1182" w:rsidRPr="00D32C41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5.3 </w:t>
      </w:r>
      <w:r w:rsidR="003F1182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Predklinické údaje o bezpečnosti</w:t>
      </w:r>
    </w:p>
    <w:p w:rsidR="003F1182" w:rsidRPr="00D32C41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Podanie pemetrexedu gravidným myšiam viedlo k zníženiu </w:t>
      </w:r>
      <w:r w:rsidR="00EF3BB1">
        <w:rPr>
          <w:rFonts w:ascii="Times New Roman" w:eastAsia="TimesNewRoman" w:hAnsi="Times New Roman"/>
          <w:color w:val="000000"/>
        </w:rPr>
        <w:t>života</w:t>
      </w:r>
      <w:r w:rsidRPr="00D32C41">
        <w:rPr>
          <w:rFonts w:ascii="Times New Roman" w:eastAsia="TimesNewRoman" w:hAnsi="Times New Roman"/>
          <w:color w:val="000000"/>
        </w:rPr>
        <w:t>schopnosti plodu, zníženiu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hmotnosti plodu, nekompletnej osifikácii niektorých kostných štruktúr, k rázštepu podnebia.</w:t>
      </w:r>
    </w:p>
    <w:p w:rsidR="003F1182" w:rsidRPr="00D32C41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Podanie pemetrexedu samcom myší viedlo k reprodukčnej toxicite charakterizovanej re</w:t>
      </w:r>
      <w:r w:rsidRPr="007E4178">
        <w:rPr>
          <w:rFonts w:ascii="Times New Roman" w:eastAsia="TimesNewRoman" w:hAnsi="Times New Roman"/>
          <w:color w:val="000000"/>
        </w:rPr>
        <w:t>dukc</w:t>
      </w:r>
      <w:r w:rsidRPr="00D32C41">
        <w:rPr>
          <w:rFonts w:ascii="Times New Roman" w:eastAsia="TimesNewRoman" w:hAnsi="Times New Roman"/>
          <w:color w:val="000000"/>
        </w:rPr>
        <w:t>iou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fertility a testikulárnou atrofiou. V 9-mesačnej štúdii s použitím intravenóznej bolusovej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injekcie vykonanej na </w:t>
      </w:r>
      <w:r w:rsidR="00AE55D5" w:rsidRPr="00D32C41">
        <w:rPr>
          <w:rFonts w:ascii="Times New Roman" w:hAnsi="Times New Roman"/>
        </w:rPr>
        <w:t>psoch plemena bígl</w:t>
      </w:r>
      <w:r w:rsidR="00AE55D5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bol pozorovaný testikulárny nález (degenerácia/nekróza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semenotvorného epitelu). To naznačuje, že pemetrexed môže poškodiť mužskú fertilitu. Ženská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fertilita nebola skúmaná.</w:t>
      </w:r>
    </w:p>
    <w:p w:rsidR="003F1182" w:rsidRPr="00D32C41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1F2C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Pemetrexed nebol mutagénny v </w:t>
      </w:r>
      <w:r w:rsidRPr="00D32C41">
        <w:rPr>
          <w:rFonts w:ascii="Times New Roman" w:eastAsia="TimesNewRoman,Bold" w:hAnsi="Times New Roman"/>
          <w:i/>
          <w:iCs/>
          <w:color w:val="000000"/>
        </w:rPr>
        <w:t xml:space="preserve">in vitro </w:t>
      </w:r>
      <w:r w:rsidR="001F2C09" w:rsidRPr="00D32C41">
        <w:rPr>
          <w:rFonts w:ascii="Times New Roman" w:hAnsi="Times New Roman"/>
        </w:rPr>
        <w:t>teste chromozómových aberácií na ovariálnych bunkách čínskeho škrečka ani v Amesovom teste</w:t>
      </w:r>
      <w:r w:rsidRPr="00D32C41">
        <w:rPr>
          <w:rFonts w:ascii="Times New Roman" w:eastAsia="TimesNewRoman" w:hAnsi="Times New Roman"/>
          <w:color w:val="000000"/>
        </w:rPr>
        <w:t>. V</w:t>
      </w:r>
      <w:r w:rsidR="00297C02" w:rsidRPr="00D32C41">
        <w:rPr>
          <w:rFonts w:ascii="Times New Roman" w:eastAsia="TimesNewRoman" w:hAnsi="Times New Roman"/>
          <w:color w:val="000000"/>
        </w:rPr>
        <w:t> </w:t>
      </w:r>
      <w:r w:rsidR="00297C02" w:rsidRPr="00D32C41">
        <w:rPr>
          <w:rFonts w:ascii="Times New Roman" w:eastAsia="TimesNewRoman" w:hAnsi="Times New Roman"/>
          <w:i/>
          <w:color w:val="000000"/>
        </w:rPr>
        <w:t>in vivo</w:t>
      </w:r>
      <w:r w:rsidR="00297C02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mikronukleárnom teste </w:t>
      </w:r>
      <w:r w:rsidR="00297C02" w:rsidRPr="00D32C41">
        <w:rPr>
          <w:rFonts w:ascii="Times New Roman" w:eastAsia="TimesNewRoman" w:hAnsi="Times New Roman"/>
          <w:color w:val="000000"/>
        </w:rPr>
        <w:t>na</w:t>
      </w:r>
      <w:r w:rsidRPr="00D32C41">
        <w:rPr>
          <w:rFonts w:ascii="Times New Roman" w:eastAsia="TimesNewRoman" w:hAnsi="Times New Roman"/>
          <w:color w:val="000000"/>
        </w:rPr>
        <w:t xml:space="preserve"> myš</w:t>
      </w:r>
      <w:r w:rsidR="00297C02" w:rsidRPr="00D32C41">
        <w:rPr>
          <w:rFonts w:ascii="Times New Roman" w:eastAsia="TimesNewRoman" w:hAnsi="Times New Roman"/>
          <w:color w:val="000000"/>
        </w:rPr>
        <w:t>iach</w:t>
      </w:r>
      <w:r w:rsidRPr="00D32C41">
        <w:rPr>
          <w:rFonts w:ascii="Times New Roman" w:eastAsia="TimesNewRoman" w:hAnsi="Times New Roman"/>
          <w:color w:val="000000"/>
        </w:rPr>
        <w:t xml:space="preserve"> bolo zistené, že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pemetrexed je klastogénny.</w:t>
      </w:r>
    </w:p>
    <w:p w:rsidR="003F1182" w:rsidRPr="00D32C41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Štúdie hodnotiace karcinogénny potenciál pemetrexedu neboli vykonané.</w:t>
      </w:r>
    </w:p>
    <w:p w:rsidR="003F1182" w:rsidRPr="00D32C41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3F1182" w:rsidRPr="00D32C41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6. </w:t>
      </w:r>
      <w:r w:rsidR="003F1182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FARMACEUTICKÉ INFORMÁCIE</w:t>
      </w:r>
    </w:p>
    <w:p w:rsidR="003F1182" w:rsidRPr="009812A6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9812A6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9812A6">
        <w:rPr>
          <w:rFonts w:ascii="Times New Roman" w:eastAsia="TimesNewRoman,Bold" w:hAnsi="Times New Roman"/>
          <w:b/>
          <w:bCs/>
          <w:color w:val="000000"/>
        </w:rPr>
        <w:t xml:space="preserve">6.1 </w:t>
      </w:r>
      <w:r w:rsidR="003F1182" w:rsidRPr="009812A6">
        <w:rPr>
          <w:rFonts w:ascii="Times New Roman" w:eastAsia="TimesNewRoman,Bold" w:hAnsi="Times New Roman"/>
          <w:b/>
          <w:bCs/>
          <w:color w:val="000000"/>
        </w:rPr>
        <w:tab/>
      </w:r>
      <w:r w:rsidRPr="009812A6">
        <w:rPr>
          <w:rFonts w:ascii="Times New Roman" w:eastAsia="TimesNewRoman,Bold" w:hAnsi="Times New Roman"/>
          <w:b/>
          <w:bCs/>
          <w:color w:val="000000"/>
        </w:rPr>
        <w:t>Zoznam pomocných látok</w:t>
      </w:r>
    </w:p>
    <w:p w:rsidR="003F1182" w:rsidRPr="009812A6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9812A6" w:rsidRDefault="009812A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>
        <w:rPr>
          <w:rFonts w:ascii="Times New Roman" w:eastAsia="TimesNewRoman" w:hAnsi="Times New Roman"/>
          <w:color w:val="000000"/>
        </w:rPr>
        <w:t>trometamol</w:t>
      </w:r>
    </w:p>
    <w:p w:rsidR="009812A6" w:rsidRDefault="009812A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AC5763">
        <w:rPr>
          <w:rFonts w:ascii="Times New Roman" w:eastAsia="TimesNewRoman" w:hAnsi="Times New Roman"/>
          <w:color w:val="000000"/>
        </w:rPr>
        <w:t>tioglycerol</w:t>
      </w:r>
    </w:p>
    <w:p w:rsidR="009812A6" w:rsidRDefault="009812A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>
        <w:rPr>
          <w:rFonts w:ascii="Times New Roman" w:eastAsia="TimesNewRoman" w:hAnsi="Times New Roman"/>
          <w:color w:val="000000"/>
        </w:rPr>
        <w:t>kyselina citrónová</w:t>
      </w:r>
    </w:p>
    <w:p w:rsidR="009812A6" w:rsidRDefault="009812A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9812A6">
        <w:rPr>
          <w:rFonts w:ascii="Times New Roman" w:eastAsia="TimesNewRoman" w:hAnsi="Times New Roman"/>
          <w:color w:val="000000"/>
        </w:rPr>
        <w:t>hydroxid sodný</w:t>
      </w:r>
      <w:r>
        <w:rPr>
          <w:rFonts w:ascii="Times New Roman" w:eastAsia="TimesNewRoman" w:hAnsi="Times New Roman"/>
          <w:color w:val="000000"/>
        </w:rPr>
        <w:t xml:space="preserve"> (na úpravu pH)</w:t>
      </w:r>
    </w:p>
    <w:p w:rsidR="009812A6" w:rsidRDefault="009812A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9812A6">
        <w:rPr>
          <w:rFonts w:ascii="Times New Roman" w:eastAsia="TimesNewRoman" w:hAnsi="Times New Roman"/>
          <w:color w:val="000000"/>
        </w:rPr>
        <w:t xml:space="preserve">kyselina chlorovodíková </w:t>
      </w:r>
      <w:r>
        <w:rPr>
          <w:rFonts w:ascii="Times New Roman" w:eastAsia="TimesNewRoman" w:hAnsi="Times New Roman"/>
          <w:color w:val="000000"/>
        </w:rPr>
        <w:t>(na úpravu pH)</w:t>
      </w:r>
    </w:p>
    <w:p w:rsidR="003F1182" w:rsidRPr="009812A6" w:rsidRDefault="009812A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9812A6">
        <w:rPr>
          <w:rFonts w:ascii="Times New Roman" w:eastAsia="TimesNewRoman" w:hAnsi="Times New Roman"/>
          <w:color w:val="000000"/>
        </w:rPr>
        <w:t>voda na injekcie</w:t>
      </w:r>
    </w:p>
    <w:p w:rsidR="009812A6" w:rsidRPr="009812A6" w:rsidRDefault="009812A6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9812A6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9812A6">
        <w:rPr>
          <w:rFonts w:ascii="Times New Roman" w:eastAsia="TimesNewRoman,Bold" w:hAnsi="Times New Roman"/>
          <w:b/>
          <w:bCs/>
          <w:color w:val="000000"/>
        </w:rPr>
        <w:t xml:space="preserve">6.2 </w:t>
      </w:r>
      <w:r w:rsidR="003F1182" w:rsidRPr="009812A6">
        <w:rPr>
          <w:rFonts w:ascii="Times New Roman" w:eastAsia="TimesNewRoman,Bold" w:hAnsi="Times New Roman"/>
          <w:b/>
          <w:bCs/>
          <w:color w:val="000000"/>
        </w:rPr>
        <w:tab/>
      </w:r>
      <w:r w:rsidRPr="009812A6">
        <w:rPr>
          <w:rFonts w:ascii="Times New Roman" w:eastAsia="TimesNewRoman,Bold" w:hAnsi="Times New Roman"/>
          <w:b/>
          <w:bCs/>
          <w:color w:val="000000"/>
        </w:rPr>
        <w:t>Inkompatibility</w:t>
      </w:r>
    </w:p>
    <w:p w:rsidR="003F1182" w:rsidRPr="009812A6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711729" w:rsidRPr="004A283D" w:rsidRDefault="00286A74" w:rsidP="00146D04">
      <w:pPr>
        <w:autoSpaceDE w:val="0"/>
        <w:autoSpaceDN w:val="0"/>
        <w:adjustRightInd w:val="0"/>
        <w:spacing w:after="0" w:line="240" w:lineRule="auto"/>
      </w:pPr>
      <w:r w:rsidRPr="00EF3BB1">
        <w:rPr>
          <w:rFonts w:ascii="Times New Roman" w:eastAsia="TimesNewRoman" w:hAnsi="Times New Roman"/>
          <w:color w:val="000000"/>
        </w:rPr>
        <w:t xml:space="preserve">Pemetrexed je fyzikálne inkompatibilný s rozpúšťadlami obsahujúcimi vápnik, vrátane </w:t>
      </w:r>
      <w:r w:rsidRPr="00146D04">
        <w:rPr>
          <w:rFonts w:ascii="Times New Roman" w:hAnsi="Times New Roman"/>
        </w:rPr>
        <w:t>Ringerovho roztoku</w:t>
      </w:r>
      <w:r w:rsidR="00EF3BB1" w:rsidRPr="00146D04">
        <w:rPr>
          <w:rFonts w:ascii="Times New Roman" w:hAnsi="Times New Roman"/>
        </w:rPr>
        <w:t xml:space="preserve"> s mliečnanmi</w:t>
      </w:r>
      <w:r w:rsidRPr="00146D04">
        <w:rPr>
          <w:rFonts w:ascii="Times New Roman" w:hAnsi="Times New Roman"/>
        </w:rPr>
        <w:t xml:space="preserve"> a Ringerovho roztoku.</w:t>
      </w:r>
      <w:r w:rsidR="009A3AF1" w:rsidRPr="00146D04">
        <w:rPr>
          <w:rFonts w:ascii="Times New Roman" w:hAnsi="Times New Roman"/>
        </w:rPr>
        <w:t xml:space="preserve"> </w:t>
      </w:r>
      <w:r w:rsidR="00711729" w:rsidRPr="00146D04">
        <w:rPr>
          <w:rFonts w:ascii="Times New Roman" w:hAnsi="Times New Roman"/>
        </w:rPr>
        <w:t>Nevykonali sa iné štúdie kompatibility, preto sa tento liek nesmie miešať s inými liekmi.</w:t>
      </w:r>
    </w:p>
    <w:p w:rsidR="007B5A95" w:rsidRPr="00EF3BB1" w:rsidRDefault="007B5A95" w:rsidP="00711729">
      <w:pPr>
        <w:pStyle w:val="Zkladntext"/>
        <w:kinsoku w:val="0"/>
        <w:overflowPunct w:val="0"/>
        <w:ind w:left="0"/>
      </w:pPr>
    </w:p>
    <w:p w:rsidR="007B5A95" w:rsidRPr="00D32C41" w:rsidRDefault="007B5A95" w:rsidP="00146D04">
      <w:pPr>
        <w:autoSpaceDE w:val="0"/>
        <w:autoSpaceDN w:val="0"/>
        <w:adjustRightInd w:val="0"/>
        <w:spacing w:after="0" w:line="240" w:lineRule="auto"/>
      </w:pPr>
      <w:r w:rsidRPr="00D32C41">
        <w:rPr>
          <w:rFonts w:ascii="Times New Roman" w:eastAsia="TimesNewRoman" w:hAnsi="Times New Roman"/>
          <w:color w:val="000000"/>
        </w:rPr>
        <w:t>Pemetrexed EVER P</w:t>
      </w:r>
      <w:r w:rsidR="00D007B3" w:rsidRPr="00D32C41">
        <w:rPr>
          <w:rFonts w:ascii="Times New Roman" w:eastAsia="TimesNewRoman" w:hAnsi="Times New Roman"/>
          <w:color w:val="000000"/>
        </w:rPr>
        <w:t>harma</w:t>
      </w:r>
      <w:r w:rsidRPr="00D32C41">
        <w:rPr>
          <w:rFonts w:ascii="Times New Roman" w:eastAsia="TimesNewRoman" w:hAnsi="Times New Roman"/>
          <w:color w:val="000000"/>
        </w:rPr>
        <w:t xml:space="preserve"> 25 mg/ml koncentrát</w:t>
      </w:r>
      <w:r>
        <w:rPr>
          <w:rFonts w:ascii="Times New Roman" w:eastAsia="TimesNewRoman" w:hAnsi="Times New Roman"/>
          <w:color w:val="000000"/>
        </w:rPr>
        <w:t xml:space="preserve"> na infúzny roztok obsahuje pomocnú látku trometamol. Trometamol je nekompatibilný s cisplatinou a má za následok degradáciu cisplatiny. Tento liek sa nesmie miešať s inými liekmi. </w:t>
      </w:r>
      <w:r w:rsidR="00CD431D">
        <w:rPr>
          <w:rFonts w:ascii="Times New Roman" w:eastAsia="TimesNewRoman" w:hAnsi="Times New Roman"/>
          <w:color w:val="000000"/>
        </w:rPr>
        <w:t xml:space="preserve">Po podaní </w:t>
      </w:r>
      <w:r w:rsidR="00CD431D" w:rsidRPr="00D32C41">
        <w:rPr>
          <w:rFonts w:ascii="Times New Roman" w:eastAsia="TimesNewRoman" w:hAnsi="Times New Roman"/>
          <w:color w:val="000000"/>
        </w:rPr>
        <w:t>Pemetrexed</w:t>
      </w:r>
      <w:r w:rsidR="00CD431D">
        <w:rPr>
          <w:rFonts w:ascii="Times New Roman" w:eastAsia="TimesNewRoman" w:hAnsi="Times New Roman"/>
          <w:color w:val="000000"/>
        </w:rPr>
        <w:t>u</w:t>
      </w:r>
      <w:r w:rsidR="00CD431D" w:rsidRPr="00D32C41">
        <w:rPr>
          <w:rFonts w:ascii="Times New Roman" w:eastAsia="TimesNewRoman" w:hAnsi="Times New Roman"/>
          <w:color w:val="000000"/>
        </w:rPr>
        <w:t xml:space="preserve"> EVER P</w:t>
      </w:r>
      <w:r w:rsidR="00D007B3" w:rsidRPr="00D32C41">
        <w:rPr>
          <w:rFonts w:ascii="Times New Roman" w:eastAsia="TimesNewRoman" w:hAnsi="Times New Roman"/>
          <w:color w:val="000000"/>
        </w:rPr>
        <w:t>harma</w:t>
      </w:r>
      <w:r w:rsidR="00CD431D">
        <w:rPr>
          <w:rFonts w:ascii="Times New Roman" w:eastAsia="TimesNewRoman" w:hAnsi="Times New Roman"/>
          <w:color w:val="000000"/>
        </w:rPr>
        <w:t xml:space="preserve"> sa infúzne súpravy musia vypláchnuť.</w:t>
      </w:r>
    </w:p>
    <w:p w:rsidR="003F1182" w:rsidRPr="00D32C41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6.3 </w:t>
      </w:r>
      <w:r w:rsidR="003F1182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Čas použiteľnosti</w:t>
      </w:r>
    </w:p>
    <w:p w:rsidR="003F1182" w:rsidRPr="00D32C41" w:rsidRDefault="003F1182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  <w:r w:rsidRPr="00D32C41">
        <w:rPr>
          <w:rFonts w:ascii="Times New Roman" w:eastAsia="TimesNewRoman" w:hAnsi="Times New Roman"/>
          <w:color w:val="000000"/>
          <w:u w:val="single"/>
        </w:rPr>
        <w:t>Neotvorená injekčná liekovka</w:t>
      </w:r>
    </w:p>
    <w:p w:rsidR="009A3AF1" w:rsidRPr="00D32C41" w:rsidRDefault="00B81A97" w:rsidP="00CD431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2 roky</w:t>
      </w:r>
    </w:p>
    <w:p w:rsidR="009A3AF1" w:rsidRPr="00D32C41" w:rsidRDefault="009A3AF1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CD431D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  <w:r>
        <w:rPr>
          <w:rFonts w:ascii="Times New Roman" w:eastAsia="TimesNewRoman" w:hAnsi="Times New Roman"/>
          <w:color w:val="000000"/>
          <w:u w:val="single"/>
        </w:rPr>
        <w:t>Zriedený roztok</w:t>
      </w:r>
    </w:p>
    <w:p w:rsidR="00CD431D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Chemická a fyzikálna stabilita </w:t>
      </w:r>
      <w:r w:rsidR="009A3AF1" w:rsidRPr="00D32C41">
        <w:rPr>
          <w:rFonts w:ascii="Times New Roman" w:eastAsia="TimesNewRoman" w:hAnsi="Times New Roman"/>
          <w:color w:val="000000"/>
        </w:rPr>
        <w:t>infúzn</w:t>
      </w:r>
      <w:r w:rsidR="00CD431D">
        <w:rPr>
          <w:rFonts w:ascii="Times New Roman" w:eastAsia="TimesNewRoman" w:hAnsi="Times New Roman"/>
          <w:color w:val="000000"/>
        </w:rPr>
        <w:t>e</w:t>
      </w:r>
      <w:r w:rsidR="009A3AF1" w:rsidRPr="00D32C41">
        <w:rPr>
          <w:rFonts w:ascii="Times New Roman" w:eastAsia="TimesNewRoman" w:hAnsi="Times New Roman"/>
          <w:color w:val="000000"/>
        </w:rPr>
        <w:t>h</w:t>
      </w:r>
      <w:r w:rsidR="00CD431D">
        <w:rPr>
          <w:rFonts w:ascii="Times New Roman" w:eastAsia="TimesNewRoman" w:hAnsi="Times New Roman"/>
          <w:color w:val="000000"/>
        </w:rPr>
        <w:t>o</w:t>
      </w:r>
      <w:r w:rsidR="009A3AF1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roztok</w:t>
      </w:r>
      <w:r w:rsidR="00CD431D">
        <w:rPr>
          <w:rFonts w:ascii="Times New Roman" w:eastAsia="TimesNewRoman" w:hAnsi="Times New Roman"/>
          <w:color w:val="000000"/>
        </w:rPr>
        <w:t>u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="009A3AF1" w:rsidRPr="00D32C41">
        <w:rPr>
          <w:rFonts w:ascii="Times New Roman" w:eastAsia="TimesNewRoman" w:hAnsi="Times New Roman"/>
          <w:color w:val="000000"/>
        </w:rPr>
        <w:t>p</w:t>
      </w:r>
      <w:r w:rsidRPr="00D32C41">
        <w:rPr>
          <w:rFonts w:ascii="Times New Roman" w:eastAsia="TimesNewRoman" w:hAnsi="Times New Roman"/>
          <w:color w:val="000000"/>
        </w:rPr>
        <w:t xml:space="preserve">emetrexedu </w:t>
      </w:r>
      <w:r w:rsidR="00EF3BB1">
        <w:rPr>
          <w:rFonts w:ascii="Times New Roman" w:eastAsia="TimesNewRoman" w:hAnsi="Times New Roman"/>
          <w:color w:val="000000"/>
        </w:rPr>
        <w:t xml:space="preserve">pred použitím </w:t>
      </w:r>
      <w:r w:rsidRPr="00D32C41">
        <w:rPr>
          <w:rFonts w:ascii="Times New Roman" w:eastAsia="TimesNewRoman" w:hAnsi="Times New Roman"/>
          <w:color w:val="000000"/>
        </w:rPr>
        <w:t>bola preukázaná</w:t>
      </w:r>
      <w:r w:rsidR="009A3AF1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počas </w:t>
      </w:r>
      <w:r w:rsidR="00CD431D">
        <w:rPr>
          <w:rFonts w:ascii="Times New Roman" w:eastAsia="TimesNewRoman" w:hAnsi="Times New Roman"/>
          <w:color w:val="000000"/>
        </w:rPr>
        <w:t>28 dní</w:t>
      </w:r>
      <w:r w:rsidRPr="00D32C41">
        <w:rPr>
          <w:rFonts w:ascii="Times New Roman" w:eastAsia="TimesNewRoman" w:hAnsi="Times New Roman"/>
          <w:color w:val="000000"/>
        </w:rPr>
        <w:t xml:space="preserve"> pri </w:t>
      </w:r>
      <w:r w:rsidR="00AC5763">
        <w:rPr>
          <w:rFonts w:ascii="Times New Roman" w:eastAsia="TimesNewRoman" w:hAnsi="Times New Roman"/>
          <w:color w:val="000000"/>
        </w:rPr>
        <w:t xml:space="preserve">chladničkovej </w:t>
      </w:r>
      <w:r w:rsidRPr="00D32C41">
        <w:rPr>
          <w:rFonts w:ascii="Times New Roman" w:eastAsia="TimesNewRoman" w:hAnsi="Times New Roman"/>
          <w:color w:val="000000"/>
        </w:rPr>
        <w:t xml:space="preserve">teplote </w:t>
      </w:r>
      <w:r w:rsidR="00AC5763">
        <w:rPr>
          <w:rFonts w:ascii="Times New Roman" w:eastAsia="TimesNewRoman" w:hAnsi="Times New Roman"/>
          <w:color w:val="000000"/>
        </w:rPr>
        <w:t>(</w:t>
      </w:r>
      <w:r w:rsidRPr="00D32C41">
        <w:rPr>
          <w:rFonts w:ascii="Times New Roman" w:eastAsia="TimesNewRoman" w:hAnsi="Times New Roman"/>
          <w:color w:val="000000"/>
        </w:rPr>
        <w:t xml:space="preserve">2 °C </w:t>
      </w:r>
      <w:r w:rsidR="00FE0B1A" w:rsidRPr="00D32C41">
        <w:rPr>
          <w:rFonts w:ascii="Times New Roman" w:eastAsia="TimesNewRoman" w:hAnsi="Times New Roman"/>
          <w:color w:val="000000"/>
        </w:rPr>
        <w:t>až</w:t>
      </w:r>
      <w:r w:rsidRPr="00D32C41">
        <w:rPr>
          <w:rFonts w:ascii="Times New Roman" w:eastAsia="TimesNewRoman" w:hAnsi="Times New Roman"/>
          <w:color w:val="000000"/>
        </w:rPr>
        <w:t xml:space="preserve"> 8 °C</w:t>
      </w:r>
      <w:r w:rsidR="00D75D18">
        <w:rPr>
          <w:rFonts w:ascii="Times New Roman" w:eastAsia="TimesNewRoman" w:hAnsi="Times New Roman"/>
          <w:color w:val="000000"/>
        </w:rPr>
        <w:t>)</w:t>
      </w:r>
      <w:r w:rsidR="00CD431D">
        <w:rPr>
          <w:rFonts w:ascii="Times New Roman" w:eastAsia="TimesNewRoman" w:hAnsi="Times New Roman"/>
          <w:color w:val="000000"/>
        </w:rPr>
        <w:t xml:space="preserve"> a 7 dní pri teplote od 20 °C do 30 °C</w:t>
      </w:r>
      <w:r w:rsidR="009A3AF1" w:rsidRPr="00D32C41">
        <w:rPr>
          <w:rFonts w:ascii="Times New Roman" w:eastAsia="TimesNewRoman" w:hAnsi="Times New Roman"/>
          <w:color w:val="000000"/>
        </w:rPr>
        <w:t xml:space="preserve">.  </w:t>
      </w:r>
    </w:p>
    <w:p w:rsidR="009A3AF1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Z mikrobiologického hľadiska sa liek </w:t>
      </w:r>
      <w:r w:rsidR="009A3AF1" w:rsidRPr="00D32C41">
        <w:rPr>
          <w:rFonts w:ascii="Times New Roman" w:eastAsia="TimesNewRoman" w:hAnsi="Times New Roman"/>
          <w:color w:val="000000"/>
        </w:rPr>
        <w:t>má</w:t>
      </w:r>
      <w:r w:rsidRPr="00D32C41">
        <w:rPr>
          <w:rFonts w:ascii="Times New Roman" w:eastAsia="TimesNewRoman" w:hAnsi="Times New Roman"/>
          <w:color w:val="000000"/>
        </w:rPr>
        <w:t xml:space="preserve"> použiť ihneď. Ak sa nepoužije ihneď, za čas uchovávania a</w:t>
      </w:r>
      <w:r w:rsidR="009A3AF1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podmienky pred p</w:t>
      </w:r>
      <w:r w:rsidR="009A3AF1" w:rsidRPr="00D32C41">
        <w:rPr>
          <w:rFonts w:ascii="Times New Roman" w:eastAsia="TimesNewRoman" w:hAnsi="Times New Roman"/>
          <w:color w:val="000000"/>
        </w:rPr>
        <w:t xml:space="preserve">oužitím je zodpovedný </w:t>
      </w:r>
      <w:r w:rsidR="0086049C" w:rsidRPr="00D32C41">
        <w:rPr>
          <w:rFonts w:ascii="Times New Roman" w:eastAsia="TimesNewRoman" w:hAnsi="Times New Roman"/>
          <w:color w:val="000000"/>
        </w:rPr>
        <w:t>po</w:t>
      </w:r>
      <w:r w:rsidR="009A3AF1" w:rsidRPr="00D32C41">
        <w:rPr>
          <w:rFonts w:ascii="Times New Roman" w:eastAsia="TimesNewRoman" w:hAnsi="Times New Roman"/>
          <w:color w:val="000000"/>
        </w:rPr>
        <w:t xml:space="preserve">užívateľ a zvyčajne </w:t>
      </w:r>
      <w:r w:rsidR="008E3273" w:rsidRPr="00D32C41">
        <w:rPr>
          <w:rFonts w:ascii="Times New Roman" w:eastAsia="TimesNewRoman" w:hAnsi="Times New Roman"/>
          <w:color w:val="000000"/>
        </w:rPr>
        <w:t>n</w:t>
      </w:r>
      <w:r w:rsidR="009A3AF1" w:rsidRPr="00D32C41">
        <w:rPr>
          <w:rFonts w:ascii="Times New Roman" w:eastAsia="TimesNewRoman" w:hAnsi="Times New Roman"/>
          <w:color w:val="000000"/>
        </w:rPr>
        <w:t>ema</w:t>
      </w:r>
      <w:r w:rsidR="008E3273" w:rsidRPr="00D32C41">
        <w:rPr>
          <w:rFonts w:ascii="Times New Roman" w:eastAsia="TimesNewRoman" w:hAnsi="Times New Roman"/>
          <w:color w:val="000000"/>
        </w:rPr>
        <w:t>jú</w:t>
      </w:r>
      <w:r w:rsidR="009A3AF1" w:rsidRPr="00D32C41">
        <w:rPr>
          <w:rFonts w:ascii="Times New Roman" w:eastAsia="TimesNewRoman" w:hAnsi="Times New Roman"/>
          <w:color w:val="000000"/>
        </w:rPr>
        <w:t xml:space="preserve"> </w:t>
      </w:r>
      <w:r w:rsidR="008E3273" w:rsidRPr="00D32C41">
        <w:rPr>
          <w:rFonts w:ascii="Times New Roman" w:eastAsia="TimesNewRoman" w:hAnsi="Times New Roman"/>
          <w:color w:val="000000"/>
        </w:rPr>
        <w:t>byť dlhšie ako</w:t>
      </w:r>
      <w:r w:rsidR="009A3AF1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24 hodín pri teplote od 2 °C do 8 °C, </w:t>
      </w:r>
      <w:r w:rsidR="009A3AF1" w:rsidRPr="00D32C41">
        <w:rPr>
          <w:rFonts w:ascii="Times New Roman" w:eastAsia="TimesNewRoman" w:hAnsi="Times New Roman"/>
          <w:color w:val="000000"/>
        </w:rPr>
        <w:t>pokiaľ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="00CE2541" w:rsidRPr="00D32C41">
        <w:rPr>
          <w:rFonts w:ascii="Times New Roman" w:eastAsia="TimesNewRoman" w:hAnsi="Times New Roman"/>
          <w:color w:val="000000"/>
        </w:rPr>
        <w:t>sa riedenie</w:t>
      </w:r>
      <w:r w:rsidR="009A3AF1" w:rsidRPr="00D32C41">
        <w:rPr>
          <w:rFonts w:ascii="Times New Roman" w:eastAsia="TimesNewRoman" w:hAnsi="Times New Roman"/>
          <w:color w:val="000000"/>
        </w:rPr>
        <w:t xml:space="preserve"> neuskutoční </w:t>
      </w:r>
      <w:r w:rsidR="00CE2541" w:rsidRPr="00D32C41">
        <w:rPr>
          <w:rFonts w:ascii="Times New Roman" w:eastAsia="TimesNewRoman" w:hAnsi="Times New Roman"/>
          <w:color w:val="000000"/>
        </w:rPr>
        <w:t>pri</w:t>
      </w:r>
      <w:r w:rsidR="009A3AF1" w:rsidRPr="00D32C41">
        <w:rPr>
          <w:rFonts w:ascii="Times New Roman" w:eastAsia="TimesNewRoman" w:hAnsi="Times New Roman"/>
          <w:color w:val="000000"/>
        </w:rPr>
        <w:t> kontrolovaných a overených aseptických podmienkach.</w:t>
      </w:r>
    </w:p>
    <w:p w:rsidR="009A3AF1" w:rsidRPr="00D32C41" w:rsidRDefault="009A3AF1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6.4 </w:t>
      </w:r>
      <w:r w:rsidR="009A3AF1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Špeciálne upozornenia na uchovávanie</w:t>
      </w:r>
    </w:p>
    <w:p w:rsidR="009A3AF1" w:rsidRPr="00D32C41" w:rsidRDefault="009A3AF1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7B18A7" w:rsidRPr="00D32C41" w:rsidRDefault="007B18A7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Neuchovávajte v mrazničke.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Podmienky na uchovávanie po </w:t>
      </w:r>
      <w:r w:rsidR="00CD431D">
        <w:rPr>
          <w:rFonts w:ascii="Times New Roman" w:eastAsia="TimesNewRoman" w:hAnsi="Times New Roman"/>
          <w:color w:val="000000"/>
        </w:rPr>
        <w:t>z</w:t>
      </w:r>
      <w:r w:rsidR="008D6C7E" w:rsidRPr="00D32C41">
        <w:rPr>
          <w:rFonts w:ascii="Times New Roman" w:eastAsia="TimesNewRoman" w:hAnsi="Times New Roman"/>
          <w:color w:val="000000"/>
        </w:rPr>
        <w:t>riedení lieku</w:t>
      </w:r>
      <w:r w:rsidRPr="00D32C41">
        <w:rPr>
          <w:rFonts w:ascii="Times New Roman" w:eastAsia="TimesNewRoman" w:hAnsi="Times New Roman"/>
          <w:color w:val="000000"/>
        </w:rPr>
        <w:t>, pozri časť 6.3.</w:t>
      </w:r>
    </w:p>
    <w:p w:rsidR="009A3AF1" w:rsidRPr="00D32C41" w:rsidRDefault="009A3AF1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6.5 </w:t>
      </w:r>
      <w:r w:rsidR="009A3AF1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Druh obalu a obsah balenia</w:t>
      </w:r>
    </w:p>
    <w:p w:rsidR="009A3AF1" w:rsidRPr="00D32C41" w:rsidRDefault="009A3AF1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CD431D" w:rsidRDefault="00CD431D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>
        <w:rPr>
          <w:rFonts w:ascii="Times New Roman" w:eastAsia="TimesNewRoman" w:hAnsi="Times New Roman"/>
          <w:color w:val="000000"/>
        </w:rPr>
        <w:t xml:space="preserve">Bezfarebná sklenená injekčná liekovka (typ I) </w:t>
      </w:r>
      <w:r w:rsidR="002D49F5">
        <w:rPr>
          <w:rFonts w:ascii="Times New Roman" w:eastAsia="TimesNewRoman" w:hAnsi="Times New Roman"/>
          <w:color w:val="000000"/>
        </w:rPr>
        <w:t>s br</w:t>
      </w:r>
      <w:r w:rsidR="00D75D18">
        <w:rPr>
          <w:rFonts w:ascii="Times New Roman" w:eastAsia="TimesNewRoman" w:hAnsi="Times New Roman"/>
          <w:color w:val="000000"/>
        </w:rPr>
        <w:t>ó</w:t>
      </w:r>
      <w:r w:rsidR="002D49F5">
        <w:rPr>
          <w:rFonts w:ascii="Times New Roman" w:eastAsia="TimesNewRoman" w:hAnsi="Times New Roman"/>
          <w:color w:val="000000"/>
        </w:rPr>
        <w:t xml:space="preserve">mbutylovou gumenou zátkou </w:t>
      </w:r>
      <w:r w:rsidR="002D49F5" w:rsidRPr="00D32C41">
        <w:rPr>
          <w:rFonts w:ascii="Times New Roman" w:eastAsia="TimesNewRoman" w:hAnsi="Times New Roman"/>
          <w:color w:val="000000"/>
        </w:rPr>
        <w:t>obalenou fluórpolymérom a hliníkovým viečk</w:t>
      </w:r>
      <w:r w:rsidR="002D49F5">
        <w:rPr>
          <w:rFonts w:ascii="Times New Roman" w:eastAsia="TimesNewRoman" w:hAnsi="Times New Roman"/>
          <w:color w:val="000000"/>
        </w:rPr>
        <w:t>o</w:t>
      </w:r>
      <w:r w:rsidR="002D49F5" w:rsidRPr="00D32C41">
        <w:rPr>
          <w:rFonts w:ascii="Times New Roman" w:eastAsia="TimesNewRoman" w:hAnsi="Times New Roman"/>
          <w:color w:val="000000"/>
        </w:rPr>
        <w:t>m</w:t>
      </w:r>
      <w:r w:rsidR="002D49F5">
        <w:rPr>
          <w:rFonts w:ascii="Times New Roman" w:eastAsia="TimesNewRoman" w:hAnsi="Times New Roman"/>
          <w:color w:val="000000"/>
        </w:rPr>
        <w:t xml:space="preserve"> s </w:t>
      </w:r>
      <w:r w:rsidR="002D49F5" w:rsidRPr="00AC5763">
        <w:rPr>
          <w:rFonts w:ascii="Times New Roman" w:eastAsia="TimesNewRoman" w:hAnsi="Times New Roman"/>
          <w:color w:val="000000"/>
        </w:rPr>
        <w:t>plastovým vyklápaním</w:t>
      </w:r>
      <w:r w:rsidR="002D49F5">
        <w:rPr>
          <w:rFonts w:ascii="Times New Roman" w:eastAsia="TimesNewRoman" w:hAnsi="Times New Roman"/>
          <w:color w:val="000000"/>
        </w:rPr>
        <w:t>. Injekčné liekovky môžu, ale nemusia byť vložené do ochranného puzdra.</w:t>
      </w:r>
    </w:p>
    <w:p w:rsidR="001A44B9" w:rsidRDefault="001A44B9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D49F5" w:rsidRPr="002D49F5" w:rsidRDefault="002D49F5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u w:val="single"/>
        </w:rPr>
      </w:pPr>
      <w:r w:rsidRPr="002D49F5">
        <w:rPr>
          <w:rFonts w:ascii="Times New Roman" w:eastAsia="TimesNewRoman" w:hAnsi="Times New Roman"/>
          <w:color w:val="000000"/>
          <w:u w:val="single"/>
        </w:rPr>
        <w:t>Veľkosti balenia</w:t>
      </w:r>
    </w:p>
    <w:p w:rsidR="002D49F5" w:rsidRDefault="002D49F5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>
        <w:rPr>
          <w:rFonts w:ascii="Times New Roman" w:eastAsia="TimesNewRoman" w:hAnsi="Times New Roman"/>
          <w:color w:val="000000"/>
        </w:rPr>
        <w:t>1 x 4 ml injekčná liekovka (100 mg/4 ml)</w:t>
      </w:r>
    </w:p>
    <w:p w:rsidR="002D49F5" w:rsidRDefault="002D49F5" w:rsidP="002D49F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>
        <w:rPr>
          <w:rFonts w:ascii="Times New Roman" w:eastAsia="TimesNewRoman" w:hAnsi="Times New Roman"/>
          <w:color w:val="000000"/>
        </w:rPr>
        <w:t>1 x 20 ml injekčná liekovka (500 mg/20 ml)</w:t>
      </w:r>
    </w:p>
    <w:p w:rsidR="002D49F5" w:rsidRDefault="002D49F5" w:rsidP="002D49F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>
        <w:rPr>
          <w:rFonts w:ascii="Times New Roman" w:eastAsia="TimesNewRoman" w:hAnsi="Times New Roman"/>
          <w:color w:val="000000"/>
        </w:rPr>
        <w:t>1 x 40 ml injekčná liekovka (1 000 mg/40 ml)</w:t>
      </w:r>
    </w:p>
    <w:p w:rsidR="009231EE" w:rsidRPr="00D32C41" w:rsidRDefault="009231EE" w:rsidP="001A44B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9231EE" w:rsidRPr="00D32C41" w:rsidRDefault="009231EE" w:rsidP="001A44B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Na trh nemusia byť uvedené všetky veľkosti balenia.</w:t>
      </w:r>
    </w:p>
    <w:p w:rsidR="007B18A7" w:rsidRPr="00D32C41" w:rsidRDefault="007B18A7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6.6 </w:t>
      </w:r>
      <w:r w:rsidR="009A3AF1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Špeciálne opatrenia na likvidáciu</w:t>
      </w:r>
      <w:r w:rsidR="001A44B9" w:rsidRPr="00D32C41">
        <w:rPr>
          <w:rFonts w:ascii="Times New Roman" w:eastAsia="TimesNewRoman,Bold" w:hAnsi="Times New Roman"/>
          <w:b/>
          <w:bCs/>
          <w:color w:val="000000"/>
        </w:rPr>
        <w:t xml:space="preserve"> a iné zaobchádzanie s liekom</w:t>
      </w:r>
    </w:p>
    <w:p w:rsidR="009A3AF1" w:rsidRDefault="009A3AF1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D49F5" w:rsidRDefault="002D49F5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>
        <w:rPr>
          <w:rFonts w:ascii="Times New Roman" w:eastAsia="TimesNewRoman" w:hAnsi="Times New Roman"/>
          <w:color w:val="000000"/>
        </w:rPr>
        <w:t>Tehotné zdravotnícke pracovníčky nesmú manipulovať s týmto liekom.</w:t>
      </w:r>
    </w:p>
    <w:p w:rsidR="002D49F5" w:rsidRPr="00D32C41" w:rsidRDefault="002D49F5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1950D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1. </w:t>
      </w:r>
      <w:r w:rsidR="001A44B9" w:rsidRPr="00D32C41">
        <w:rPr>
          <w:rFonts w:ascii="Times New Roman" w:eastAsia="TimesNewRoman" w:hAnsi="Times New Roman"/>
          <w:color w:val="000000"/>
        </w:rPr>
        <w:t xml:space="preserve">   </w:t>
      </w:r>
      <w:r w:rsidRPr="00D32C41">
        <w:rPr>
          <w:rFonts w:ascii="Times New Roman" w:eastAsia="TimesNewRoman" w:hAnsi="Times New Roman"/>
          <w:color w:val="000000"/>
        </w:rPr>
        <w:t>Použite aseptick</w:t>
      </w:r>
      <w:r w:rsidR="001A44B9" w:rsidRPr="00D32C41">
        <w:rPr>
          <w:rFonts w:ascii="Times New Roman" w:eastAsia="TimesNewRoman" w:hAnsi="Times New Roman"/>
          <w:color w:val="000000"/>
        </w:rPr>
        <w:t>é</w:t>
      </w:r>
      <w:r w:rsidRPr="00D32C41">
        <w:rPr>
          <w:rFonts w:ascii="Times New Roman" w:eastAsia="TimesNewRoman" w:hAnsi="Times New Roman"/>
          <w:color w:val="000000"/>
        </w:rPr>
        <w:t xml:space="preserve"> technik</w:t>
      </w:r>
      <w:r w:rsidR="001A44B9" w:rsidRPr="00D32C41">
        <w:rPr>
          <w:rFonts w:ascii="Times New Roman" w:eastAsia="TimesNewRoman" w:hAnsi="Times New Roman"/>
          <w:color w:val="000000"/>
        </w:rPr>
        <w:t>y</w:t>
      </w:r>
      <w:r w:rsidRPr="00D32C41">
        <w:rPr>
          <w:rFonts w:ascii="Times New Roman" w:eastAsia="TimesNewRoman" w:hAnsi="Times New Roman"/>
          <w:color w:val="000000"/>
        </w:rPr>
        <w:t xml:space="preserve"> počas </w:t>
      </w:r>
      <w:r w:rsidR="00E52CB4" w:rsidRPr="00D32C41">
        <w:rPr>
          <w:rFonts w:ascii="Times New Roman" w:eastAsia="TimesNewRoman" w:hAnsi="Times New Roman"/>
          <w:color w:val="000000"/>
        </w:rPr>
        <w:t xml:space="preserve">riedenia </w:t>
      </w:r>
      <w:r w:rsidR="001A44B9" w:rsidRPr="00D32C41">
        <w:rPr>
          <w:rFonts w:ascii="Times New Roman" w:eastAsia="TimesNewRoman" w:hAnsi="Times New Roman"/>
          <w:color w:val="000000"/>
        </w:rPr>
        <w:t xml:space="preserve">pemetrexedu </w:t>
      </w:r>
      <w:r w:rsidRPr="00D32C41">
        <w:rPr>
          <w:rFonts w:ascii="Times New Roman" w:eastAsia="TimesNewRoman" w:hAnsi="Times New Roman"/>
          <w:color w:val="000000"/>
        </w:rPr>
        <w:t>na podanie</w:t>
      </w:r>
      <w:r w:rsidR="00BB18EB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intravenóznej</w:t>
      </w:r>
      <w:r w:rsidR="00BB18EB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infúzie.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color w:val="000000"/>
          <w:sz w:val="16"/>
          <w:szCs w:val="16"/>
        </w:rPr>
      </w:pPr>
    </w:p>
    <w:p w:rsidR="00286A74" w:rsidRPr="00D32C41" w:rsidRDefault="00286A74" w:rsidP="002D49F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2. </w:t>
      </w:r>
      <w:r w:rsidR="001A44B9" w:rsidRPr="00D32C41">
        <w:rPr>
          <w:rFonts w:ascii="Times New Roman" w:eastAsia="TimesNewRoman" w:hAnsi="Times New Roman"/>
          <w:color w:val="000000"/>
        </w:rPr>
        <w:t xml:space="preserve">   </w:t>
      </w:r>
      <w:r w:rsidRPr="00D32C41">
        <w:rPr>
          <w:rFonts w:ascii="Times New Roman" w:eastAsia="TimesNewRoman" w:hAnsi="Times New Roman"/>
          <w:color w:val="000000"/>
        </w:rPr>
        <w:t xml:space="preserve">Vypočítajte dávku a počet potrebných injekčných liekoviek </w:t>
      </w:r>
      <w:r w:rsidR="001A44B9" w:rsidRPr="00D32C41">
        <w:rPr>
          <w:rFonts w:ascii="Times New Roman" w:eastAsia="TimesNewRoman" w:hAnsi="Times New Roman"/>
          <w:color w:val="000000"/>
        </w:rPr>
        <w:t>Pemetrexed</w:t>
      </w:r>
      <w:r w:rsidR="00BE2DBE" w:rsidRPr="00D32C41">
        <w:rPr>
          <w:rFonts w:ascii="Times New Roman" w:eastAsia="TimesNewRoman" w:hAnsi="Times New Roman"/>
          <w:color w:val="000000"/>
        </w:rPr>
        <w:t>u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="006D6B4F" w:rsidRPr="00D32C41">
        <w:rPr>
          <w:rFonts w:ascii="Times New Roman" w:eastAsia="TimesNewRoman" w:hAnsi="Times New Roman"/>
          <w:color w:val="000000"/>
        </w:rPr>
        <w:t xml:space="preserve">EVER </w:t>
      </w:r>
      <w:r w:rsidR="00D007B3" w:rsidRPr="00D32C41">
        <w:rPr>
          <w:rFonts w:ascii="Times New Roman" w:eastAsia="TimesNewRoman" w:hAnsi="Times New Roman"/>
          <w:color w:val="000000"/>
        </w:rPr>
        <w:t>Pharma</w:t>
      </w:r>
      <w:r w:rsidRPr="00D32C41">
        <w:rPr>
          <w:rFonts w:ascii="Times New Roman" w:eastAsia="TimesNewRoman" w:hAnsi="Times New Roman"/>
          <w:color w:val="000000"/>
        </w:rPr>
        <w:t xml:space="preserve">. </w:t>
      </w:r>
    </w:p>
    <w:p w:rsidR="001A44B9" w:rsidRPr="00D32C41" w:rsidRDefault="001A44B9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1A44B9" w:rsidP="001A44B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3.     Príslušný objem </w:t>
      </w:r>
      <w:r w:rsidR="002D49F5" w:rsidRPr="00D32C41">
        <w:rPr>
          <w:rFonts w:ascii="Times New Roman" w:eastAsia="TimesNewRoman" w:hAnsi="Times New Roman"/>
          <w:color w:val="000000"/>
        </w:rPr>
        <w:t xml:space="preserve">Pemetrexedu EVER </w:t>
      </w:r>
      <w:r w:rsidR="00D007B3" w:rsidRPr="00D32C41">
        <w:rPr>
          <w:rFonts w:ascii="Times New Roman" w:eastAsia="TimesNewRoman" w:hAnsi="Times New Roman"/>
          <w:color w:val="000000"/>
        </w:rPr>
        <w:t>Pharma</w:t>
      </w:r>
      <w:r w:rsidR="00D007B3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musí byť</w:t>
      </w:r>
      <w:r w:rsidR="00D75D18">
        <w:rPr>
          <w:rFonts w:ascii="Times New Roman" w:eastAsia="TimesNewRoman" w:hAnsi="Times New Roman"/>
          <w:color w:val="000000"/>
        </w:rPr>
        <w:t xml:space="preserve"> </w:t>
      </w:r>
      <w:r w:rsidR="002D49F5">
        <w:rPr>
          <w:rFonts w:ascii="Times New Roman" w:eastAsia="TimesNewRoman" w:hAnsi="Times New Roman"/>
          <w:color w:val="000000"/>
        </w:rPr>
        <w:t>z</w:t>
      </w:r>
      <w:r w:rsidRPr="00D32C41">
        <w:rPr>
          <w:rFonts w:ascii="Times New Roman" w:eastAsia="TimesNewRoman" w:hAnsi="Times New Roman"/>
          <w:color w:val="000000"/>
        </w:rPr>
        <w:t xml:space="preserve">riedený </w:t>
      </w:r>
      <w:r w:rsidR="00DD65CD" w:rsidRPr="00D32C41">
        <w:rPr>
          <w:rFonts w:ascii="Times New Roman" w:eastAsia="TimesNewRoman" w:hAnsi="Times New Roman"/>
          <w:color w:val="000000"/>
        </w:rPr>
        <w:t>s</w:t>
      </w:r>
      <w:r w:rsidRPr="00D32C41">
        <w:rPr>
          <w:rFonts w:ascii="Times New Roman" w:eastAsia="TimesNewRoman" w:hAnsi="Times New Roman"/>
          <w:color w:val="000000"/>
        </w:rPr>
        <w:t xml:space="preserve"> 9 mg/ml </w:t>
      </w:r>
      <w:r w:rsidR="002D49F5">
        <w:rPr>
          <w:rFonts w:ascii="Times New Roman" w:eastAsia="TimesNewRoman" w:hAnsi="Times New Roman"/>
          <w:color w:val="000000"/>
        </w:rPr>
        <w:t xml:space="preserve">(0,9 %) </w:t>
      </w:r>
      <w:r w:rsidR="00286A74" w:rsidRPr="00D32C41">
        <w:rPr>
          <w:rFonts w:ascii="Times New Roman" w:eastAsia="TimesNewRoman" w:hAnsi="Times New Roman"/>
          <w:color w:val="000000"/>
        </w:rPr>
        <w:t>injekčného roztoku chloridu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>sodného (</w:t>
      </w:r>
      <w:r w:rsidRPr="00D32C41">
        <w:rPr>
          <w:rFonts w:ascii="Times New Roman" w:eastAsia="TimesNewRoman" w:hAnsi="Times New Roman"/>
          <w:color w:val="000000"/>
        </w:rPr>
        <w:t>0,9 %</w:t>
      </w:r>
      <w:r w:rsidR="00286A74" w:rsidRPr="00D32C41">
        <w:rPr>
          <w:rFonts w:ascii="Times New Roman" w:eastAsia="TimesNewRoman" w:hAnsi="Times New Roman"/>
          <w:color w:val="000000"/>
        </w:rPr>
        <w:t>)</w:t>
      </w:r>
      <w:r w:rsidR="00DD65CD" w:rsidRPr="00D32C41">
        <w:rPr>
          <w:rFonts w:ascii="Times New Roman" w:eastAsia="TimesNewRoman" w:hAnsi="Times New Roman"/>
          <w:color w:val="000000"/>
        </w:rPr>
        <w:t xml:space="preserve"> </w:t>
      </w:r>
      <w:r w:rsidR="002D49F5">
        <w:rPr>
          <w:rFonts w:ascii="Times New Roman" w:eastAsia="TimesNewRoman" w:hAnsi="Times New Roman"/>
          <w:color w:val="000000"/>
        </w:rPr>
        <w:t xml:space="preserve">alebo 5 % </w:t>
      </w:r>
      <w:r w:rsidR="00D75D18">
        <w:rPr>
          <w:rFonts w:ascii="Times New Roman" w:eastAsia="TimesNewRoman" w:hAnsi="Times New Roman"/>
          <w:color w:val="000000"/>
        </w:rPr>
        <w:t xml:space="preserve">injekčným </w:t>
      </w:r>
      <w:r w:rsidR="002D49F5">
        <w:rPr>
          <w:rFonts w:ascii="Times New Roman" w:eastAsia="TimesNewRoman" w:hAnsi="Times New Roman"/>
          <w:color w:val="000000"/>
        </w:rPr>
        <w:t xml:space="preserve">roztokom glukózy </w:t>
      </w:r>
      <w:r w:rsidR="00DD65CD" w:rsidRPr="00D32C41">
        <w:rPr>
          <w:rFonts w:ascii="Times New Roman" w:eastAsia="TimesNewRoman" w:hAnsi="Times New Roman"/>
          <w:color w:val="000000"/>
        </w:rPr>
        <w:t>na 100 ml</w:t>
      </w:r>
      <w:r w:rsidR="00286A74" w:rsidRPr="00D32C41">
        <w:rPr>
          <w:rFonts w:ascii="Times New Roman" w:eastAsia="TimesNewRoman" w:hAnsi="Times New Roman"/>
          <w:color w:val="000000"/>
        </w:rPr>
        <w:t xml:space="preserve"> bez</w:t>
      </w:r>
      <w:r w:rsidR="00DD65CD" w:rsidRPr="00D32C41">
        <w:rPr>
          <w:rFonts w:ascii="Times New Roman" w:eastAsia="TimesNewRoman" w:hAnsi="Times New Roman"/>
          <w:color w:val="000000"/>
        </w:rPr>
        <w:t xml:space="preserve"> </w:t>
      </w:r>
      <w:r w:rsidR="00286A74" w:rsidRPr="00D32C41">
        <w:rPr>
          <w:rFonts w:ascii="Times New Roman" w:eastAsia="TimesNewRoman" w:hAnsi="Times New Roman"/>
          <w:color w:val="000000"/>
        </w:rPr>
        <w:t xml:space="preserve">konzervačných </w:t>
      </w:r>
      <w:r w:rsidRPr="00D32C41">
        <w:rPr>
          <w:rFonts w:ascii="Times New Roman" w:eastAsia="TimesNewRoman" w:hAnsi="Times New Roman"/>
          <w:color w:val="000000"/>
        </w:rPr>
        <w:t xml:space="preserve">látok a podaný ako intravenózna infúzia počas 10 minút. </w:t>
      </w:r>
      <w:r w:rsidR="002D49F5">
        <w:rPr>
          <w:rFonts w:ascii="Times New Roman" w:eastAsia="TimesNewRoman" w:hAnsi="Times New Roman"/>
          <w:color w:val="000000"/>
        </w:rPr>
        <w:t xml:space="preserve"> </w:t>
      </w:r>
    </w:p>
    <w:p w:rsidR="001A44B9" w:rsidRPr="00D32C41" w:rsidRDefault="001A44B9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1A44B9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4</w:t>
      </w:r>
      <w:r w:rsidR="00286A74" w:rsidRPr="00D32C41">
        <w:rPr>
          <w:rFonts w:ascii="Times New Roman" w:eastAsia="TimesNewRoman" w:hAnsi="Times New Roman"/>
          <w:color w:val="000000"/>
        </w:rPr>
        <w:t xml:space="preserve">. </w:t>
      </w:r>
      <w:r w:rsidRPr="00D32C41">
        <w:rPr>
          <w:rFonts w:ascii="Times New Roman" w:eastAsia="TimesNewRoman" w:hAnsi="Times New Roman"/>
          <w:color w:val="000000"/>
        </w:rPr>
        <w:t xml:space="preserve">   </w:t>
      </w:r>
      <w:r w:rsidR="00286A74" w:rsidRPr="00D32C41">
        <w:rPr>
          <w:rFonts w:ascii="Times New Roman" w:eastAsia="TimesNewRoman" w:hAnsi="Times New Roman"/>
          <w:color w:val="000000"/>
        </w:rPr>
        <w:t>Infúzne roztoky pemetrexed</w:t>
      </w:r>
      <w:r w:rsidRPr="00D32C41">
        <w:rPr>
          <w:rFonts w:ascii="Times New Roman" w:eastAsia="TimesNewRoman" w:hAnsi="Times New Roman"/>
          <w:color w:val="000000"/>
        </w:rPr>
        <w:t>u</w:t>
      </w:r>
      <w:r w:rsidR="00286A74" w:rsidRPr="00D32C41">
        <w:rPr>
          <w:rFonts w:ascii="Times New Roman" w:eastAsia="TimesNewRoman" w:hAnsi="Times New Roman"/>
          <w:color w:val="000000"/>
        </w:rPr>
        <w:t xml:space="preserve"> pripravené podľa vyššie uvedeného návodu sú kompatibilné s</w:t>
      </w:r>
    </w:p>
    <w:p w:rsidR="00286A74" w:rsidRPr="00D32C41" w:rsidRDefault="00286A74" w:rsidP="001A44B9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polyvinylchloridovými a polyolefínovými infúznymi </w:t>
      </w:r>
      <w:r w:rsidR="001A44B9" w:rsidRPr="00D32C41">
        <w:rPr>
          <w:rFonts w:ascii="Times New Roman" w:eastAsia="TimesNewRoman" w:hAnsi="Times New Roman"/>
          <w:color w:val="000000"/>
        </w:rPr>
        <w:t>súpravami</w:t>
      </w:r>
      <w:r w:rsidRPr="00D32C41">
        <w:rPr>
          <w:rFonts w:ascii="Times New Roman" w:eastAsia="TimesNewRoman" w:hAnsi="Times New Roman"/>
          <w:color w:val="000000"/>
        </w:rPr>
        <w:t xml:space="preserve"> a infúznymi vakmi.</w:t>
      </w:r>
    </w:p>
    <w:p w:rsidR="001A44B9" w:rsidRPr="00D32C41" w:rsidRDefault="001A44B9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1A44B9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5</w:t>
      </w:r>
      <w:r w:rsidR="00286A74" w:rsidRPr="00D32C41">
        <w:rPr>
          <w:rFonts w:ascii="Times New Roman" w:eastAsia="TimesNewRoman" w:hAnsi="Times New Roman"/>
          <w:color w:val="000000"/>
        </w:rPr>
        <w:t xml:space="preserve">. </w:t>
      </w:r>
      <w:r w:rsidR="00AD4404" w:rsidRPr="00D32C41">
        <w:rPr>
          <w:rFonts w:ascii="Times New Roman" w:eastAsia="TimesNewRoman" w:hAnsi="Times New Roman"/>
          <w:color w:val="000000"/>
        </w:rPr>
        <w:t xml:space="preserve">   </w:t>
      </w:r>
      <w:r w:rsidR="00286A74" w:rsidRPr="00D32C41">
        <w:rPr>
          <w:rFonts w:ascii="Times New Roman" w:eastAsia="TimesNewRoman" w:hAnsi="Times New Roman"/>
          <w:color w:val="000000"/>
        </w:rPr>
        <w:t xml:space="preserve">Lieky na parenterálnu </w:t>
      </w:r>
      <w:r w:rsidR="00AC5763">
        <w:rPr>
          <w:rFonts w:ascii="Times New Roman" w:eastAsia="TimesNewRoman" w:hAnsi="Times New Roman"/>
          <w:color w:val="000000"/>
        </w:rPr>
        <w:t>podanie</w:t>
      </w:r>
      <w:r w:rsidR="00286A74" w:rsidRPr="00D32C41">
        <w:rPr>
          <w:rFonts w:ascii="Times New Roman" w:eastAsia="TimesNewRoman" w:hAnsi="Times New Roman"/>
          <w:color w:val="000000"/>
        </w:rPr>
        <w:t xml:space="preserve"> </w:t>
      </w:r>
      <w:r w:rsidR="00AC5763">
        <w:rPr>
          <w:rFonts w:ascii="Times New Roman" w:eastAsia="TimesNewRoman" w:hAnsi="Times New Roman"/>
          <w:color w:val="000000"/>
        </w:rPr>
        <w:t xml:space="preserve">sa </w:t>
      </w:r>
      <w:r w:rsidR="00286A74" w:rsidRPr="00D32C41">
        <w:rPr>
          <w:rFonts w:ascii="Times New Roman" w:eastAsia="TimesNewRoman" w:hAnsi="Times New Roman"/>
          <w:color w:val="000000"/>
        </w:rPr>
        <w:t xml:space="preserve">pred </w:t>
      </w:r>
      <w:r w:rsidR="00AC5763">
        <w:rPr>
          <w:rFonts w:ascii="Times New Roman" w:eastAsia="TimesNewRoman" w:hAnsi="Times New Roman"/>
          <w:color w:val="000000"/>
        </w:rPr>
        <w:t>podaním</w:t>
      </w:r>
      <w:r w:rsidR="00C0784A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majú </w:t>
      </w:r>
      <w:r w:rsidR="00286A74" w:rsidRPr="00D32C41">
        <w:rPr>
          <w:rFonts w:ascii="Times New Roman" w:eastAsia="TimesNewRoman" w:hAnsi="Times New Roman"/>
          <w:color w:val="000000"/>
        </w:rPr>
        <w:t xml:space="preserve">vizuálne </w:t>
      </w:r>
      <w:r w:rsidRPr="00D32C41">
        <w:rPr>
          <w:rFonts w:ascii="Times New Roman" w:eastAsia="TimesNewRoman" w:hAnsi="Times New Roman"/>
          <w:color w:val="000000"/>
        </w:rPr>
        <w:t>s</w:t>
      </w:r>
      <w:r w:rsidR="00286A74" w:rsidRPr="00D32C41">
        <w:rPr>
          <w:rFonts w:ascii="Times New Roman" w:eastAsia="TimesNewRoman" w:hAnsi="Times New Roman"/>
          <w:color w:val="000000"/>
        </w:rPr>
        <w:t>kontrolovať na prítomnosť</w:t>
      </w:r>
    </w:p>
    <w:p w:rsidR="00286A74" w:rsidRPr="00D32C41" w:rsidRDefault="002957E0" w:rsidP="00AD440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pevných</w:t>
      </w:r>
      <w:r w:rsidR="00286A74" w:rsidRPr="00D32C41">
        <w:rPr>
          <w:rFonts w:ascii="Times New Roman" w:eastAsia="TimesNewRoman" w:hAnsi="Times New Roman"/>
          <w:color w:val="000000"/>
        </w:rPr>
        <w:t xml:space="preserve"> častíc a zmenu </w:t>
      </w:r>
      <w:r w:rsidRPr="00D32C41">
        <w:rPr>
          <w:rFonts w:ascii="Times New Roman" w:eastAsia="TimesNewRoman" w:hAnsi="Times New Roman"/>
          <w:color w:val="000000"/>
        </w:rPr>
        <w:t>sfarbenia</w:t>
      </w:r>
      <w:r w:rsidR="00286A74" w:rsidRPr="00D32C41">
        <w:rPr>
          <w:rFonts w:ascii="Times New Roman" w:eastAsia="TimesNewRoman" w:hAnsi="Times New Roman"/>
          <w:color w:val="000000"/>
        </w:rPr>
        <w:t xml:space="preserve">. </w:t>
      </w:r>
      <w:r w:rsidR="00AD4404" w:rsidRPr="00D32C41">
        <w:rPr>
          <w:rFonts w:ascii="Times New Roman" w:eastAsia="TimesNewRoman" w:hAnsi="Times New Roman"/>
          <w:color w:val="000000"/>
        </w:rPr>
        <w:t>Ak spozorujete pevné častice, ne</w:t>
      </w:r>
      <w:r w:rsidR="00AC5763">
        <w:rPr>
          <w:rFonts w:ascii="Times New Roman" w:eastAsia="TimesNewRoman" w:hAnsi="Times New Roman"/>
          <w:color w:val="000000"/>
        </w:rPr>
        <w:t>podávajte</w:t>
      </w:r>
      <w:r w:rsidR="00AD4404" w:rsidRPr="00D32C41">
        <w:rPr>
          <w:rFonts w:ascii="Times New Roman" w:eastAsia="TimesNewRoman" w:hAnsi="Times New Roman"/>
          <w:color w:val="000000"/>
        </w:rPr>
        <w:t>.</w:t>
      </w:r>
    </w:p>
    <w:p w:rsidR="001A44B9" w:rsidRPr="00D32C41" w:rsidRDefault="001A44B9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AD4404" w:rsidP="00AD440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>6</w:t>
      </w:r>
      <w:r w:rsidR="00286A74" w:rsidRPr="00D32C41">
        <w:rPr>
          <w:rFonts w:ascii="Times New Roman" w:eastAsia="TimesNewRoman" w:hAnsi="Times New Roman"/>
          <w:color w:val="000000"/>
        </w:rPr>
        <w:t xml:space="preserve">. </w:t>
      </w:r>
      <w:r w:rsidRPr="00D32C41">
        <w:rPr>
          <w:rFonts w:ascii="Times New Roman" w:eastAsia="TimesNewRoman" w:hAnsi="Times New Roman"/>
          <w:color w:val="000000"/>
        </w:rPr>
        <w:t xml:space="preserve">   </w:t>
      </w:r>
      <w:r w:rsidR="00286A74" w:rsidRPr="00D32C41">
        <w:rPr>
          <w:rFonts w:ascii="Times New Roman" w:eastAsia="TimesNewRoman" w:hAnsi="Times New Roman"/>
          <w:color w:val="000000"/>
        </w:rPr>
        <w:t>Roztok</w:t>
      </w:r>
      <w:r w:rsidRPr="00D32C41">
        <w:rPr>
          <w:rFonts w:ascii="Times New Roman" w:eastAsia="TimesNewRoman" w:hAnsi="Times New Roman"/>
          <w:color w:val="000000"/>
        </w:rPr>
        <w:t>y</w:t>
      </w:r>
      <w:r w:rsidR="00286A74" w:rsidRPr="00D32C41">
        <w:rPr>
          <w:rFonts w:ascii="Times New Roman" w:eastAsia="TimesNewRoman" w:hAnsi="Times New Roman"/>
          <w:color w:val="000000"/>
        </w:rPr>
        <w:t xml:space="preserve"> pemetrexedu </w:t>
      </w:r>
      <w:r w:rsidRPr="00D32C41">
        <w:rPr>
          <w:rFonts w:ascii="Times New Roman" w:eastAsia="TimesNewRoman" w:hAnsi="Times New Roman"/>
          <w:color w:val="000000"/>
        </w:rPr>
        <w:t>sú</w:t>
      </w:r>
      <w:r w:rsidR="00286A74" w:rsidRPr="00D32C41">
        <w:rPr>
          <w:rFonts w:ascii="Times New Roman" w:eastAsia="TimesNewRoman" w:hAnsi="Times New Roman"/>
          <w:color w:val="000000"/>
        </w:rPr>
        <w:t xml:space="preserve"> určen</w:t>
      </w:r>
      <w:r w:rsidR="006108DB" w:rsidRPr="00D32C41">
        <w:rPr>
          <w:rFonts w:ascii="Times New Roman" w:eastAsia="TimesNewRoman" w:hAnsi="Times New Roman"/>
          <w:color w:val="000000"/>
        </w:rPr>
        <w:t>é</w:t>
      </w:r>
      <w:r w:rsidR="00286A74" w:rsidRPr="00D32C41">
        <w:rPr>
          <w:rFonts w:ascii="Times New Roman" w:eastAsia="TimesNewRoman" w:hAnsi="Times New Roman"/>
          <w:color w:val="000000"/>
        </w:rPr>
        <w:t xml:space="preserve"> len na jedno</w:t>
      </w:r>
      <w:r w:rsidRPr="00D32C41">
        <w:rPr>
          <w:rFonts w:ascii="Times New Roman" w:eastAsia="TimesNewRoman" w:hAnsi="Times New Roman"/>
          <w:color w:val="000000"/>
        </w:rPr>
        <w:t>razové</w:t>
      </w:r>
      <w:r w:rsidR="00286A74" w:rsidRPr="00D32C41">
        <w:rPr>
          <w:rFonts w:ascii="Times New Roman" w:eastAsia="TimesNewRoman" w:hAnsi="Times New Roman"/>
          <w:color w:val="000000"/>
        </w:rPr>
        <w:t xml:space="preserve"> použitie. Všetok nepoužitý liek alebo odpad vzniknutý</w:t>
      </w:r>
      <w:r w:rsidRPr="00D32C41">
        <w:rPr>
          <w:rFonts w:ascii="Times New Roman" w:eastAsia="TimesNewRoman" w:hAnsi="Times New Roman"/>
          <w:color w:val="000000"/>
        </w:rPr>
        <w:t xml:space="preserve">  </w:t>
      </w:r>
      <w:r w:rsidR="00286A74" w:rsidRPr="00D32C41">
        <w:rPr>
          <w:rFonts w:ascii="Times New Roman" w:eastAsia="TimesNewRoman" w:hAnsi="Times New Roman"/>
          <w:color w:val="000000"/>
        </w:rPr>
        <w:t>z lieku sa má zlikvidovať v súlade s národnými požiadavkami.</w:t>
      </w:r>
    </w:p>
    <w:p w:rsidR="001A44B9" w:rsidRPr="00D32C41" w:rsidRDefault="001A44B9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B21255" w:rsidRPr="00B21255" w:rsidRDefault="00AD440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color w:val="000000"/>
          <w:u w:val="single"/>
        </w:rPr>
      </w:pPr>
      <w:r w:rsidRPr="00B21255">
        <w:rPr>
          <w:rFonts w:ascii="Times New Roman" w:eastAsia="TimesNewRoman,Bold" w:hAnsi="Times New Roman"/>
          <w:bCs/>
          <w:color w:val="000000"/>
          <w:u w:val="single"/>
        </w:rPr>
        <w:t>Príprava a opatrenia pri</w:t>
      </w:r>
      <w:r w:rsidR="00B21255" w:rsidRPr="00B21255">
        <w:rPr>
          <w:rFonts w:ascii="Times New Roman" w:eastAsia="TimesNewRoman,Bold" w:hAnsi="Times New Roman"/>
          <w:bCs/>
          <w:color w:val="000000"/>
          <w:u w:val="single"/>
        </w:rPr>
        <w:t xml:space="preserve"> podávaní</w:t>
      </w: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D32C41">
        <w:rPr>
          <w:rFonts w:ascii="Times New Roman" w:eastAsia="TimesNewRoman" w:hAnsi="Times New Roman"/>
          <w:color w:val="000000"/>
        </w:rPr>
        <w:t xml:space="preserve">Tak ako </w:t>
      </w:r>
      <w:r w:rsidR="00AD4404" w:rsidRPr="00D32C41">
        <w:rPr>
          <w:rFonts w:ascii="Times New Roman" w:eastAsia="TimesNewRoman" w:hAnsi="Times New Roman"/>
          <w:color w:val="000000"/>
        </w:rPr>
        <w:t>pri</w:t>
      </w:r>
      <w:r w:rsidRPr="00D32C41">
        <w:rPr>
          <w:rFonts w:ascii="Times New Roman" w:eastAsia="TimesNewRoman" w:hAnsi="Times New Roman"/>
          <w:color w:val="000000"/>
        </w:rPr>
        <w:t xml:space="preserve"> iných potenciálne toxických</w:t>
      </w:r>
      <w:r w:rsidR="00AD4404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protinádorových lieko</w:t>
      </w:r>
      <w:r w:rsidR="00AD4404" w:rsidRPr="00D32C41">
        <w:rPr>
          <w:rFonts w:ascii="Times New Roman" w:eastAsia="TimesNewRoman" w:hAnsi="Times New Roman"/>
          <w:color w:val="000000"/>
        </w:rPr>
        <w:t>ch</w:t>
      </w:r>
      <w:r w:rsidRPr="00D32C41">
        <w:rPr>
          <w:rFonts w:ascii="Times New Roman" w:eastAsia="TimesNewRoman" w:hAnsi="Times New Roman"/>
          <w:color w:val="000000"/>
        </w:rPr>
        <w:t xml:space="preserve">, </w:t>
      </w:r>
      <w:r w:rsidR="00AD4404" w:rsidRPr="00D32C41">
        <w:rPr>
          <w:rFonts w:ascii="Times New Roman" w:eastAsia="TimesNewRoman" w:hAnsi="Times New Roman"/>
          <w:color w:val="000000"/>
        </w:rPr>
        <w:t>aj pri zaobchádzaní s infúznymi roztokmi pemetrexedu a ich príprave sa má postupovať s opatrnosťou</w:t>
      </w:r>
      <w:r w:rsidRPr="00D32C41">
        <w:rPr>
          <w:rFonts w:ascii="Times New Roman" w:eastAsia="TimesNewRoman" w:hAnsi="Times New Roman"/>
          <w:color w:val="000000"/>
        </w:rPr>
        <w:t xml:space="preserve">. </w:t>
      </w:r>
      <w:r w:rsidR="00AD4404" w:rsidRPr="00D32C41">
        <w:rPr>
          <w:rFonts w:ascii="Times New Roman" w:eastAsia="TimesNewRoman" w:hAnsi="Times New Roman"/>
          <w:color w:val="000000"/>
        </w:rPr>
        <w:t>O</w:t>
      </w:r>
      <w:r w:rsidRPr="00D32C41">
        <w:rPr>
          <w:rFonts w:ascii="Times New Roman" w:eastAsia="TimesNewRoman" w:hAnsi="Times New Roman"/>
          <w:color w:val="000000"/>
        </w:rPr>
        <w:t xml:space="preserve">dporúča </w:t>
      </w:r>
      <w:r w:rsidR="00AD4404" w:rsidRPr="00D32C41">
        <w:rPr>
          <w:rFonts w:ascii="Times New Roman" w:eastAsia="TimesNewRoman" w:hAnsi="Times New Roman"/>
          <w:color w:val="000000"/>
        </w:rPr>
        <w:t xml:space="preserve">sa </w:t>
      </w:r>
      <w:r w:rsidRPr="00D32C41">
        <w:rPr>
          <w:rFonts w:ascii="Times New Roman" w:eastAsia="TimesNewRoman" w:hAnsi="Times New Roman"/>
          <w:color w:val="000000"/>
        </w:rPr>
        <w:t xml:space="preserve">použitie rukavíc. Ak sa roztok </w:t>
      </w:r>
      <w:r w:rsidR="00AD4404" w:rsidRPr="00D32C41">
        <w:rPr>
          <w:rFonts w:ascii="Times New Roman" w:eastAsia="TimesNewRoman" w:hAnsi="Times New Roman"/>
          <w:color w:val="000000"/>
        </w:rPr>
        <w:t xml:space="preserve">pemetrexedu </w:t>
      </w:r>
      <w:r w:rsidRPr="00D32C41">
        <w:rPr>
          <w:rFonts w:ascii="Times New Roman" w:eastAsia="TimesNewRoman" w:hAnsi="Times New Roman"/>
          <w:color w:val="000000"/>
        </w:rPr>
        <w:t>dostane do kontaktu s kožou, umyte kožu ihneď a</w:t>
      </w:r>
      <w:r w:rsidR="00AD4404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dôkladne mydlom a vodou. Ak sa roztok</w:t>
      </w:r>
      <w:r w:rsidR="00AD4404" w:rsidRPr="00D32C41">
        <w:rPr>
          <w:rFonts w:ascii="Times New Roman" w:eastAsia="TimesNewRoman" w:hAnsi="Times New Roman"/>
          <w:color w:val="000000"/>
        </w:rPr>
        <w:t>y</w:t>
      </w:r>
      <w:r w:rsidRPr="00D32C41">
        <w:rPr>
          <w:rFonts w:ascii="Times New Roman" w:eastAsia="TimesNewRoman" w:hAnsi="Times New Roman"/>
          <w:color w:val="000000"/>
        </w:rPr>
        <w:t xml:space="preserve"> pemetrexedu dostan</w:t>
      </w:r>
      <w:r w:rsidR="00AD4404" w:rsidRPr="00D32C41">
        <w:rPr>
          <w:rFonts w:ascii="Times New Roman" w:eastAsia="TimesNewRoman" w:hAnsi="Times New Roman"/>
          <w:color w:val="000000"/>
        </w:rPr>
        <w:t>ú</w:t>
      </w:r>
      <w:r w:rsidRPr="00D32C41">
        <w:rPr>
          <w:rFonts w:ascii="Times New Roman" w:eastAsia="TimesNewRoman" w:hAnsi="Times New Roman"/>
          <w:color w:val="000000"/>
        </w:rPr>
        <w:t xml:space="preserve"> do kontaktu so sliznicami, dôkladne </w:t>
      </w:r>
      <w:r w:rsidR="00AD4404" w:rsidRPr="00D32C41">
        <w:rPr>
          <w:rFonts w:ascii="Times New Roman" w:eastAsia="TimesNewRoman" w:hAnsi="Times New Roman"/>
          <w:color w:val="000000"/>
        </w:rPr>
        <w:t xml:space="preserve">ich opláchnite </w:t>
      </w:r>
      <w:r w:rsidRPr="00D32C41">
        <w:rPr>
          <w:rFonts w:ascii="Times New Roman" w:eastAsia="TimesNewRoman" w:hAnsi="Times New Roman"/>
          <w:color w:val="000000"/>
        </w:rPr>
        <w:t xml:space="preserve">vodou. Pemetrexed nie je vezikancium. V prípade </w:t>
      </w:r>
      <w:r w:rsidR="003B35E0" w:rsidRPr="00D32C41">
        <w:rPr>
          <w:rFonts w:ascii="Times New Roman" w:eastAsia="TimesNewRoman" w:hAnsi="Times New Roman"/>
          <w:color w:val="000000"/>
        </w:rPr>
        <w:t xml:space="preserve">extravazácie pemetrexedu </w:t>
      </w:r>
      <w:r w:rsidRPr="00D32C41">
        <w:rPr>
          <w:rFonts w:ascii="Times New Roman" w:eastAsia="TimesNewRoman" w:hAnsi="Times New Roman"/>
          <w:color w:val="000000"/>
        </w:rPr>
        <w:t xml:space="preserve">neexistuje špecifické antidotum. Bolo </w:t>
      </w:r>
      <w:r w:rsidR="00AD4404" w:rsidRPr="00D32C41">
        <w:rPr>
          <w:rFonts w:ascii="Times New Roman" w:eastAsia="TimesNewRoman" w:hAnsi="Times New Roman"/>
          <w:color w:val="000000"/>
        </w:rPr>
        <w:t>hlásen</w:t>
      </w:r>
      <w:r w:rsidR="003B35E0" w:rsidRPr="00D32C41">
        <w:rPr>
          <w:rFonts w:ascii="Times New Roman" w:eastAsia="TimesNewRoman" w:hAnsi="Times New Roman"/>
          <w:color w:val="000000"/>
        </w:rPr>
        <w:t>ých</w:t>
      </w:r>
      <w:r w:rsidR="00AD4404" w:rsidRPr="00D32C41">
        <w:rPr>
          <w:rFonts w:ascii="Times New Roman" w:eastAsia="TimesNewRoman" w:hAnsi="Times New Roman"/>
          <w:color w:val="000000"/>
        </w:rPr>
        <w:t xml:space="preserve"> </w:t>
      </w:r>
      <w:r w:rsidR="003B35E0" w:rsidRPr="00D32C41">
        <w:rPr>
          <w:rFonts w:ascii="Times New Roman" w:eastAsia="TimesNewRoman" w:hAnsi="Times New Roman"/>
          <w:color w:val="000000"/>
        </w:rPr>
        <w:t>niekoľko</w:t>
      </w:r>
      <w:r w:rsidRPr="00D32C41">
        <w:rPr>
          <w:rFonts w:ascii="Times New Roman" w:eastAsia="TimesNewRoman" w:hAnsi="Times New Roman"/>
          <w:color w:val="000000"/>
        </w:rPr>
        <w:t xml:space="preserve"> prípadov </w:t>
      </w:r>
      <w:r w:rsidR="003B35E0" w:rsidRPr="00D32C41">
        <w:rPr>
          <w:rFonts w:ascii="Times New Roman" w:eastAsia="TimesNewRoman" w:hAnsi="Times New Roman"/>
          <w:color w:val="000000"/>
        </w:rPr>
        <w:t xml:space="preserve">extravazácie </w:t>
      </w:r>
      <w:r w:rsidRPr="00D32C41">
        <w:rPr>
          <w:rFonts w:ascii="Times New Roman" w:eastAsia="TimesNewRoman" w:hAnsi="Times New Roman"/>
          <w:color w:val="000000"/>
        </w:rPr>
        <w:t>pemetrexedu, ktoré</w:t>
      </w:r>
      <w:r w:rsidR="00AD4404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 xml:space="preserve">hodnotiaci lekár nepovažoval za závažné. </w:t>
      </w:r>
      <w:r w:rsidR="007F406C" w:rsidRPr="00D32C41">
        <w:rPr>
          <w:rFonts w:ascii="Times New Roman" w:eastAsia="TimesNewRoman" w:hAnsi="Times New Roman"/>
          <w:color w:val="000000"/>
        </w:rPr>
        <w:t>Extravazácia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="004A6AA6" w:rsidRPr="00D32C41">
        <w:rPr>
          <w:rFonts w:ascii="Times New Roman" w:eastAsia="TimesNewRoman" w:hAnsi="Times New Roman"/>
          <w:color w:val="000000"/>
        </w:rPr>
        <w:t>sa má zvládnuť pomocou</w:t>
      </w:r>
      <w:r w:rsidRPr="00D32C41">
        <w:rPr>
          <w:rFonts w:ascii="Times New Roman" w:eastAsia="TimesNewRoman" w:hAnsi="Times New Roman"/>
          <w:color w:val="000000"/>
        </w:rPr>
        <w:t xml:space="preserve"> </w:t>
      </w:r>
      <w:r w:rsidR="004A6AA6" w:rsidRPr="00D32C41">
        <w:rPr>
          <w:rFonts w:ascii="Times New Roman" w:eastAsia="TimesNewRoman" w:hAnsi="Times New Roman"/>
          <w:color w:val="000000"/>
        </w:rPr>
        <w:t>lokálnych</w:t>
      </w:r>
      <w:r w:rsidR="00AD4404" w:rsidRPr="00D32C41">
        <w:rPr>
          <w:rFonts w:ascii="Times New Roman" w:eastAsia="TimesNewRoman" w:hAnsi="Times New Roman"/>
          <w:color w:val="000000"/>
        </w:rPr>
        <w:t xml:space="preserve"> </w:t>
      </w:r>
      <w:r w:rsidRPr="00D32C41">
        <w:rPr>
          <w:rFonts w:ascii="Times New Roman" w:eastAsia="TimesNewRoman" w:hAnsi="Times New Roman"/>
          <w:color w:val="000000"/>
        </w:rPr>
        <w:t>štandardný</w:t>
      </w:r>
      <w:r w:rsidR="004A6AA6" w:rsidRPr="00D32C41">
        <w:rPr>
          <w:rFonts w:ascii="Times New Roman" w:eastAsia="TimesNewRoman" w:hAnsi="Times New Roman"/>
          <w:color w:val="000000"/>
        </w:rPr>
        <w:t>ch</w:t>
      </w:r>
      <w:r w:rsidRPr="00D32C41">
        <w:rPr>
          <w:rFonts w:ascii="Times New Roman" w:eastAsia="TimesNewRoman" w:hAnsi="Times New Roman"/>
          <w:color w:val="000000"/>
        </w:rPr>
        <w:t xml:space="preserve"> postup</w:t>
      </w:r>
      <w:r w:rsidR="004A6AA6" w:rsidRPr="00D32C41">
        <w:rPr>
          <w:rFonts w:ascii="Times New Roman" w:eastAsia="TimesNewRoman" w:hAnsi="Times New Roman"/>
          <w:color w:val="000000"/>
        </w:rPr>
        <w:t>ov</w:t>
      </w:r>
      <w:r w:rsidRPr="00D32C41">
        <w:rPr>
          <w:rFonts w:ascii="Times New Roman" w:eastAsia="TimesNewRoman" w:hAnsi="Times New Roman"/>
          <w:color w:val="000000"/>
        </w:rPr>
        <w:t xml:space="preserve"> ako </w:t>
      </w:r>
      <w:r w:rsidR="004A6AA6" w:rsidRPr="00D32C41">
        <w:rPr>
          <w:rFonts w:ascii="Times New Roman" w:eastAsia="TimesNewRoman" w:hAnsi="Times New Roman"/>
          <w:color w:val="000000"/>
        </w:rPr>
        <w:t>pri</w:t>
      </w:r>
      <w:r w:rsidRPr="00D32C41">
        <w:rPr>
          <w:rFonts w:ascii="Times New Roman" w:eastAsia="TimesNewRoman" w:hAnsi="Times New Roman"/>
          <w:color w:val="000000"/>
        </w:rPr>
        <w:t xml:space="preserve"> iných nevezikanci</w:t>
      </w:r>
      <w:r w:rsidR="004A6AA6" w:rsidRPr="00D32C41">
        <w:rPr>
          <w:rFonts w:ascii="Times New Roman" w:eastAsia="TimesNewRoman" w:hAnsi="Times New Roman"/>
          <w:color w:val="000000"/>
        </w:rPr>
        <w:t>ách</w:t>
      </w:r>
      <w:r w:rsidRPr="00D32C41">
        <w:rPr>
          <w:rFonts w:ascii="Times New Roman" w:eastAsia="TimesNewRoman" w:hAnsi="Times New Roman"/>
          <w:color w:val="000000"/>
        </w:rPr>
        <w:t>.</w:t>
      </w:r>
    </w:p>
    <w:p w:rsidR="00AD4404" w:rsidRPr="00D32C41" w:rsidRDefault="00AD440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AD4404" w:rsidRPr="00D32C41" w:rsidRDefault="00AD440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286A74" w:rsidRPr="00D32C41" w:rsidRDefault="00286A7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7. </w:t>
      </w:r>
      <w:r w:rsidR="00AD4404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DRŽITEĽ ROZHODNUTIA O REGISTRÁCII</w:t>
      </w:r>
    </w:p>
    <w:p w:rsidR="00AD4404" w:rsidRPr="00D32C41" w:rsidRDefault="00AD4404" w:rsidP="00286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</w:p>
    <w:p w:rsidR="00B21255" w:rsidRPr="00AC5763" w:rsidRDefault="00B21255" w:rsidP="00B21255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C5763">
        <w:rPr>
          <w:sz w:val="22"/>
          <w:szCs w:val="22"/>
        </w:rPr>
        <w:t>EVER Valinject GmbH</w:t>
      </w:r>
    </w:p>
    <w:p w:rsidR="00B21255" w:rsidRPr="00AC5763" w:rsidRDefault="00B21255" w:rsidP="00B21255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C5763">
        <w:rPr>
          <w:sz w:val="22"/>
          <w:szCs w:val="22"/>
        </w:rPr>
        <w:t>Oberburgau 3</w:t>
      </w:r>
    </w:p>
    <w:p w:rsidR="00B21255" w:rsidRPr="00AC5763" w:rsidRDefault="00B21255" w:rsidP="00B21255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C5763">
        <w:rPr>
          <w:sz w:val="22"/>
          <w:szCs w:val="22"/>
        </w:rPr>
        <w:t>4866 Unterach am Attersee</w:t>
      </w:r>
    </w:p>
    <w:p w:rsidR="00B21255" w:rsidRPr="00226B00" w:rsidRDefault="00B21255" w:rsidP="00B21255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C5763">
        <w:rPr>
          <w:sz w:val="22"/>
          <w:szCs w:val="22"/>
        </w:rPr>
        <w:t>Rakúsko</w:t>
      </w:r>
    </w:p>
    <w:p w:rsidR="00AD4404" w:rsidRPr="00D32C41" w:rsidRDefault="00AD4404" w:rsidP="00AD44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AD4404" w:rsidRPr="00D32C41" w:rsidRDefault="00AD4404" w:rsidP="00AD44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AD44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8. </w:t>
      </w:r>
      <w:r w:rsidR="00B02D97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REGISTRAČNÉ ČÍSLO</w:t>
      </w:r>
    </w:p>
    <w:p w:rsidR="00AD4404" w:rsidRPr="00D32C41" w:rsidRDefault="00AD4404" w:rsidP="00AD44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AD4404" w:rsidRPr="00D32C41" w:rsidRDefault="00D156F5" w:rsidP="00AD44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32C41">
        <w:rPr>
          <w:rFonts w:ascii="Times New Roman" w:hAnsi="Times New Roman"/>
        </w:rPr>
        <w:t>Reg.</w:t>
      </w:r>
      <w:r w:rsidR="00B82ED7" w:rsidRPr="00D32C41">
        <w:rPr>
          <w:rFonts w:ascii="Times New Roman" w:hAnsi="Times New Roman"/>
        </w:rPr>
        <w:t xml:space="preserve"> č.:</w:t>
      </w:r>
      <w:r w:rsidR="00B82ED7" w:rsidRPr="00D32C41">
        <w:t xml:space="preserve"> </w:t>
      </w:r>
      <w:r w:rsidR="00B82ED7" w:rsidRPr="00D32C41">
        <w:rPr>
          <w:rFonts w:ascii="Times New Roman" w:hAnsi="Times New Roman"/>
        </w:rPr>
        <w:t>44/</w:t>
      </w:r>
      <w:bookmarkStart w:id="0" w:name="_GoBack"/>
      <w:bookmarkEnd w:id="0"/>
      <w:r w:rsidR="00DE5563" w:rsidRPr="00DE5563">
        <w:rPr>
          <w:rFonts w:ascii="Times New Roman" w:hAnsi="Times New Roman"/>
        </w:rPr>
        <w:t>0022/21-S</w:t>
      </w:r>
    </w:p>
    <w:p w:rsidR="00B82ED7" w:rsidRPr="00D32C41" w:rsidRDefault="00B82ED7" w:rsidP="00AD4404">
      <w:pPr>
        <w:autoSpaceDE w:val="0"/>
        <w:autoSpaceDN w:val="0"/>
        <w:adjustRightInd w:val="0"/>
        <w:spacing w:after="0" w:line="240" w:lineRule="auto"/>
      </w:pPr>
    </w:p>
    <w:p w:rsidR="00B82ED7" w:rsidRPr="00D32C41" w:rsidRDefault="00B82ED7" w:rsidP="00AD44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AD44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9. </w:t>
      </w:r>
      <w:r w:rsidR="00B02D97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DÁTUM PRVEJ REGISTRÁCIE/PREDĹŽENIA REGISTRÁCIE</w:t>
      </w:r>
    </w:p>
    <w:p w:rsidR="00AD4404" w:rsidRPr="00D32C41" w:rsidRDefault="00AD4404" w:rsidP="00AD44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991034" w:rsidRPr="00D32C41" w:rsidRDefault="00991034" w:rsidP="00991034">
      <w:pPr>
        <w:rPr>
          <w:rFonts w:ascii="Times New Roman" w:hAnsi="Times New Roman"/>
          <w:bCs/>
          <w:color w:val="000000"/>
        </w:rPr>
      </w:pPr>
      <w:r w:rsidRPr="00D32C41">
        <w:rPr>
          <w:rFonts w:ascii="Times New Roman" w:hAnsi="Times New Roman"/>
          <w:bCs/>
          <w:color w:val="000000"/>
        </w:rPr>
        <w:t>Dátum prvej registrácie:</w:t>
      </w:r>
      <w:r w:rsidR="001B53E2" w:rsidRPr="00D32C41">
        <w:rPr>
          <w:rFonts w:ascii="Times New Roman" w:hAnsi="Times New Roman"/>
          <w:bCs/>
          <w:color w:val="000000"/>
        </w:rPr>
        <w:t xml:space="preserve"> </w:t>
      </w:r>
    </w:p>
    <w:p w:rsidR="00991034" w:rsidRPr="00D32C41" w:rsidRDefault="00991034" w:rsidP="00AD44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286A74" w:rsidRPr="00D32C41" w:rsidRDefault="00286A74" w:rsidP="00AD44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  <w:r w:rsidRPr="00D32C41">
        <w:rPr>
          <w:rFonts w:ascii="Times New Roman" w:eastAsia="TimesNewRoman,Bold" w:hAnsi="Times New Roman"/>
          <w:b/>
          <w:bCs/>
          <w:color w:val="000000"/>
        </w:rPr>
        <w:t xml:space="preserve">10. </w:t>
      </w:r>
      <w:r w:rsidR="00B02D97" w:rsidRPr="00D32C41">
        <w:rPr>
          <w:rFonts w:ascii="Times New Roman" w:eastAsia="TimesNewRoman,Bold" w:hAnsi="Times New Roman"/>
          <w:b/>
          <w:bCs/>
          <w:color w:val="000000"/>
        </w:rPr>
        <w:tab/>
      </w:r>
      <w:r w:rsidRPr="00D32C41">
        <w:rPr>
          <w:rFonts w:ascii="Times New Roman" w:eastAsia="TimesNewRoman,Bold" w:hAnsi="Times New Roman"/>
          <w:b/>
          <w:bCs/>
          <w:color w:val="000000"/>
        </w:rPr>
        <w:t>DÁTUM REVÍZIE TEXTU</w:t>
      </w:r>
    </w:p>
    <w:p w:rsidR="00991034" w:rsidRDefault="00991034" w:rsidP="00AD44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p w:rsidR="007E4178" w:rsidRPr="00146D04" w:rsidRDefault="007E4178" w:rsidP="00AD44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color w:val="000000"/>
        </w:rPr>
      </w:pPr>
      <w:r w:rsidRPr="00146D04">
        <w:rPr>
          <w:rFonts w:ascii="Times New Roman" w:eastAsia="TimesNewRoman,Bold" w:hAnsi="Times New Roman"/>
          <w:bCs/>
          <w:color w:val="000000"/>
        </w:rPr>
        <w:t>01/2021</w:t>
      </w:r>
    </w:p>
    <w:p w:rsidR="007E4178" w:rsidRPr="00D32C41" w:rsidRDefault="007E4178" w:rsidP="00AD44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</w:rPr>
      </w:pPr>
    </w:p>
    <w:sectPr w:rsidR="007E4178" w:rsidRPr="00D32C41" w:rsidSect="0015207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B6A" w:rsidRDefault="000F6B6A" w:rsidP="00EA6FCD">
      <w:pPr>
        <w:spacing w:after="0" w:line="240" w:lineRule="auto"/>
      </w:pPr>
      <w:r>
        <w:separator/>
      </w:r>
    </w:p>
  </w:endnote>
  <w:endnote w:type="continuationSeparator" w:id="0">
    <w:p w:rsidR="000F6B6A" w:rsidRDefault="000F6B6A" w:rsidP="00EA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83D" w:rsidRPr="001C0BB2" w:rsidRDefault="004A283D" w:rsidP="001C0BB2">
    <w:pPr>
      <w:pStyle w:val="Pta"/>
      <w:jc w:val="center"/>
      <w:rPr>
        <w:rFonts w:ascii="Times New Roman" w:hAnsi="Times New Roman"/>
        <w:sz w:val="18"/>
        <w:szCs w:val="18"/>
      </w:rPr>
    </w:pPr>
    <w:r w:rsidRPr="00BA143E">
      <w:rPr>
        <w:rFonts w:ascii="Times New Roman" w:hAnsi="Times New Roman"/>
        <w:sz w:val="18"/>
        <w:szCs w:val="18"/>
      </w:rPr>
      <w:fldChar w:fldCharType="begin"/>
    </w:r>
    <w:r w:rsidRPr="00BA143E">
      <w:rPr>
        <w:rFonts w:ascii="Times New Roman" w:hAnsi="Times New Roman"/>
        <w:sz w:val="18"/>
        <w:szCs w:val="18"/>
      </w:rPr>
      <w:instrText>PAGE   \* MERGEFORMAT</w:instrText>
    </w:r>
    <w:r w:rsidRPr="00BA143E">
      <w:rPr>
        <w:rFonts w:ascii="Times New Roman" w:hAnsi="Times New Roman"/>
        <w:sz w:val="18"/>
        <w:szCs w:val="18"/>
      </w:rPr>
      <w:fldChar w:fldCharType="separate"/>
    </w:r>
    <w:r w:rsidR="00DE5563">
      <w:rPr>
        <w:rFonts w:ascii="Times New Roman" w:hAnsi="Times New Roman"/>
        <w:noProof/>
        <w:sz w:val="18"/>
        <w:szCs w:val="18"/>
      </w:rPr>
      <w:t>18</w:t>
    </w:r>
    <w:r w:rsidRPr="00BA143E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83D" w:rsidRPr="00581F1E" w:rsidRDefault="004A283D">
    <w:pPr>
      <w:pStyle w:val="Pta"/>
      <w:jc w:val="center"/>
      <w:rPr>
        <w:rFonts w:ascii="Times New Roman" w:hAnsi="Times New Roman"/>
        <w:sz w:val="18"/>
        <w:szCs w:val="18"/>
      </w:rPr>
    </w:pPr>
    <w:r w:rsidRPr="00581F1E">
      <w:rPr>
        <w:rFonts w:ascii="Times New Roman" w:hAnsi="Times New Roman"/>
        <w:sz w:val="18"/>
        <w:szCs w:val="18"/>
      </w:rPr>
      <w:fldChar w:fldCharType="begin"/>
    </w:r>
    <w:r w:rsidRPr="00581F1E">
      <w:rPr>
        <w:rFonts w:ascii="Times New Roman" w:hAnsi="Times New Roman"/>
        <w:sz w:val="18"/>
        <w:szCs w:val="18"/>
      </w:rPr>
      <w:instrText>PAGE   \* MERGEFORMAT</w:instrText>
    </w:r>
    <w:r w:rsidRPr="00581F1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Pr="00581F1E">
      <w:rPr>
        <w:rFonts w:ascii="Times New Roman" w:hAnsi="Times New Roman"/>
        <w:sz w:val="18"/>
        <w:szCs w:val="18"/>
      </w:rPr>
      <w:fldChar w:fldCharType="end"/>
    </w:r>
  </w:p>
  <w:p w:rsidR="004A283D" w:rsidRDefault="004A283D">
    <w:pPr>
      <w:pStyle w:val="Pta"/>
    </w:pPr>
  </w:p>
  <w:p w:rsidR="004A283D" w:rsidRDefault="004A28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B6A" w:rsidRDefault="000F6B6A" w:rsidP="00EA6FCD">
      <w:pPr>
        <w:spacing w:after="0" w:line="240" w:lineRule="auto"/>
      </w:pPr>
      <w:r>
        <w:separator/>
      </w:r>
    </w:p>
  </w:footnote>
  <w:footnote w:type="continuationSeparator" w:id="0">
    <w:p w:rsidR="000F6B6A" w:rsidRDefault="000F6B6A" w:rsidP="00EA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83D" w:rsidRPr="00B21255" w:rsidRDefault="004A283D" w:rsidP="00B21255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 w:rsidRPr="006D6B4F">
      <w:rPr>
        <w:rFonts w:ascii="Times New Roman" w:hAnsi="Times New Roman"/>
        <w:sz w:val="18"/>
        <w:szCs w:val="18"/>
      </w:rPr>
      <w:t>Schválený text k rozhodnutiu o regi</w:t>
    </w:r>
    <w:r>
      <w:rPr>
        <w:rFonts w:ascii="Times New Roman" w:hAnsi="Times New Roman"/>
        <w:sz w:val="18"/>
        <w:szCs w:val="18"/>
      </w:rPr>
      <w:t>strácii, ev. č.: 2019/05165-REG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83D" w:rsidRDefault="004A283D" w:rsidP="00BA143E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</w:p>
  <w:p w:rsidR="004A283D" w:rsidRDefault="004A283D" w:rsidP="00E86C54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1 k notifikácii o zmene, ev. č.: 2017/06681-Z1B</w:t>
    </w:r>
  </w:p>
  <w:p w:rsidR="004A283D" w:rsidRPr="00EA6FCD" w:rsidRDefault="004A283D" w:rsidP="00BA143E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</w:p>
  <w:p w:rsidR="004A283D" w:rsidRDefault="004A28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2671"/>
    <w:multiLevelType w:val="hybridMultilevel"/>
    <w:tmpl w:val="D4EA94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74"/>
    <w:rsid w:val="00000C79"/>
    <w:rsid w:val="000027A0"/>
    <w:rsid w:val="00004D17"/>
    <w:rsid w:val="000055B1"/>
    <w:rsid w:val="00005CC8"/>
    <w:rsid w:val="00006AF0"/>
    <w:rsid w:val="00012FCF"/>
    <w:rsid w:val="00016DDD"/>
    <w:rsid w:val="00017081"/>
    <w:rsid w:val="00021AC9"/>
    <w:rsid w:val="000255D8"/>
    <w:rsid w:val="00027827"/>
    <w:rsid w:val="00036842"/>
    <w:rsid w:val="000374FC"/>
    <w:rsid w:val="00042378"/>
    <w:rsid w:val="00050498"/>
    <w:rsid w:val="00057298"/>
    <w:rsid w:val="000572AB"/>
    <w:rsid w:val="00060B5C"/>
    <w:rsid w:val="0006641B"/>
    <w:rsid w:val="0007008F"/>
    <w:rsid w:val="000739E5"/>
    <w:rsid w:val="00085166"/>
    <w:rsid w:val="000925EC"/>
    <w:rsid w:val="00093D0C"/>
    <w:rsid w:val="000A4364"/>
    <w:rsid w:val="000A5DC7"/>
    <w:rsid w:val="000B3723"/>
    <w:rsid w:val="000B6324"/>
    <w:rsid w:val="000C3C4A"/>
    <w:rsid w:val="000D0F53"/>
    <w:rsid w:val="000D103F"/>
    <w:rsid w:val="000D78DA"/>
    <w:rsid w:val="000E18BF"/>
    <w:rsid w:val="000E5718"/>
    <w:rsid w:val="000F34DC"/>
    <w:rsid w:val="000F69A8"/>
    <w:rsid w:val="000F6B6A"/>
    <w:rsid w:val="000F6C8B"/>
    <w:rsid w:val="000F767F"/>
    <w:rsid w:val="0010271B"/>
    <w:rsid w:val="0010433D"/>
    <w:rsid w:val="0010494A"/>
    <w:rsid w:val="0010603A"/>
    <w:rsid w:val="00111731"/>
    <w:rsid w:val="001129DD"/>
    <w:rsid w:val="00127F68"/>
    <w:rsid w:val="0013093C"/>
    <w:rsid w:val="00131C60"/>
    <w:rsid w:val="001377E8"/>
    <w:rsid w:val="00146D04"/>
    <w:rsid w:val="00146FC1"/>
    <w:rsid w:val="00150F7C"/>
    <w:rsid w:val="001516CF"/>
    <w:rsid w:val="00152079"/>
    <w:rsid w:val="00152289"/>
    <w:rsid w:val="00152BFF"/>
    <w:rsid w:val="001626A5"/>
    <w:rsid w:val="001669A3"/>
    <w:rsid w:val="00171EC5"/>
    <w:rsid w:val="0017465A"/>
    <w:rsid w:val="00184729"/>
    <w:rsid w:val="00186129"/>
    <w:rsid w:val="001946D9"/>
    <w:rsid w:val="001950D4"/>
    <w:rsid w:val="001A44B9"/>
    <w:rsid w:val="001B3220"/>
    <w:rsid w:val="001B53E2"/>
    <w:rsid w:val="001C0BB2"/>
    <w:rsid w:val="001C171C"/>
    <w:rsid w:val="001C4309"/>
    <w:rsid w:val="001C4FAE"/>
    <w:rsid w:val="001D1FE5"/>
    <w:rsid w:val="001D4645"/>
    <w:rsid w:val="001E4F59"/>
    <w:rsid w:val="001E5962"/>
    <w:rsid w:val="001F077A"/>
    <w:rsid w:val="001F2C09"/>
    <w:rsid w:val="001F2E84"/>
    <w:rsid w:val="00203A0A"/>
    <w:rsid w:val="00211DE9"/>
    <w:rsid w:val="00227D19"/>
    <w:rsid w:val="00232DF1"/>
    <w:rsid w:val="00234920"/>
    <w:rsid w:val="00234BB3"/>
    <w:rsid w:val="00236013"/>
    <w:rsid w:val="00243533"/>
    <w:rsid w:val="0025193F"/>
    <w:rsid w:val="0025515E"/>
    <w:rsid w:val="00255820"/>
    <w:rsid w:val="00264667"/>
    <w:rsid w:val="00273CCF"/>
    <w:rsid w:val="00274D18"/>
    <w:rsid w:val="00276E84"/>
    <w:rsid w:val="00284B9E"/>
    <w:rsid w:val="00286A74"/>
    <w:rsid w:val="00293C6A"/>
    <w:rsid w:val="002957E0"/>
    <w:rsid w:val="00297B08"/>
    <w:rsid w:val="00297C02"/>
    <w:rsid w:val="002A118D"/>
    <w:rsid w:val="002A32E6"/>
    <w:rsid w:val="002A447A"/>
    <w:rsid w:val="002B1FBA"/>
    <w:rsid w:val="002D49F5"/>
    <w:rsid w:val="002D6302"/>
    <w:rsid w:val="002E0F8E"/>
    <w:rsid w:val="002F44C2"/>
    <w:rsid w:val="002F4E84"/>
    <w:rsid w:val="00312765"/>
    <w:rsid w:val="003130F3"/>
    <w:rsid w:val="00314060"/>
    <w:rsid w:val="00314BB2"/>
    <w:rsid w:val="00315C66"/>
    <w:rsid w:val="0032289D"/>
    <w:rsid w:val="00324A8F"/>
    <w:rsid w:val="00324F2B"/>
    <w:rsid w:val="003252D8"/>
    <w:rsid w:val="00330936"/>
    <w:rsid w:val="0033254F"/>
    <w:rsid w:val="003348B7"/>
    <w:rsid w:val="0034183F"/>
    <w:rsid w:val="0034744E"/>
    <w:rsid w:val="00347D56"/>
    <w:rsid w:val="0036029A"/>
    <w:rsid w:val="003626D9"/>
    <w:rsid w:val="003663EE"/>
    <w:rsid w:val="00373EAE"/>
    <w:rsid w:val="0037572A"/>
    <w:rsid w:val="00382821"/>
    <w:rsid w:val="003A00B1"/>
    <w:rsid w:val="003A1540"/>
    <w:rsid w:val="003A30DC"/>
    <w:rsid w:val="003A5268"/>
    <w:rsid w:val="003A542E"/>
    <w:rsid w:val="003B3471"/>
    <w:rsid w:val="003B35E0"/>
    <w:rsid w:val="003B751B"/>
    <w:rsid w:val="003C46E7"/>
    <w:rsid w:val="003C716E"/>
    <w:rsid w:val="003C7C7A"/>
    <w:rsid w:val="003D43CC"/>
    <w:rsid w:val="003D49D6"/>
    <w:rsid w:val="003D7948"/>
    <w:rsid w:val="003E1AC6"/>
    <w:rsid w:val="003E33C0"/>
    <w:rsid w:val="003E586B"/>
    <w:rsid w:val="003F1182"/>
    <w:rsid w:val="003F391A"/>
    <w:rsid w:val="003F3CB7"/>
    <w:rsid w:val="003F4E5B"/>
    <w:rsid w:val="00400A41"/>
    <w:rsid w:val="004051C6"/>
    <w:rsid w:val="00412917"/>
    <w:rsid w:val="0041778A"/>
    <w:rsid w:val="00422FA7"/>
    <w:rsid w:val="004245D0"/>
    <w:rsid w:val="00425958"/>
    <w:rsid w:val="0043033F"/>
    <w:rsid w:val="004307EF"/>
    <w:rsid w:val="004512C9"/>
    <w:rsid w:val="00453317"/>
    <w:rsid w:val="00454B3B"/>
    <w:rsid w:val="0046100E"/>
    <w:rsid w:val="004618B7"/>
    <w:rsid w:val="00461901"/>
    <w:rsid w:val="0047446E"/>
    <w:rsid w:val="00490D42"/>
    <w:rsid w:val="0049385A"/>
    <w:rsid w:val="00494941"/>
    <w:rsid w:val="004A283D"/>
    <w:rsid w:val="004A6AA6"/>
    <w:rsid w:val="004B06B4"/>
    <w:rsid w:val="004C0235"/>
    <w:rsid w:val="004C703F"/>
    <w:rsid w:val="004D22B8"/>
    <w:rsid w:val="004D437A"/>
    <w:rsid w:val="004D58F0"/>
    <w:rsid w:val="004E055F"/>
    <w:rsid w:val="004E0E13"/>
    <w:rsid w:val="004E46F9"/>
    <w:rsid w:val="004E5773"/>
    <w:rsid w:val="004E6292"/>
    <w:rsid w:val="004F0CF4"/>
    <w:rsid w:val="004F2EDC"/>
    <w:rsid w:val="004F3566"/>
    <w:rsid w:val="004F743D"/>
    <w:rsid w:val="005036D8"/>
    <w:rsid w:val="0050673B"/>
    <w:rsid w:val="00511C91"/>
    <w:rsid w:val="00512B7F"/>
    <w:rsid w:val="00516887"/>
    <w:rsid w:val="00541BA0"/>
    <w:rsid w:val="00541E28"/>
    <w:rsid w:val="0054243A"/>
    <w:rsid w:val="005433D4"/>
    <w:rsid w:val="005523C7"/>
    <w:rsid w:val="005553A4"/>
    <w:rsid w:val="00557201"/>
    <w:rsid w:val="0055797B"/>
    <w:rsid w:val="00561904"/>
    <w:rsid w:val="00562822"/>
    <w:rsid w:val="005760F8"/>
    <w:rsid w:val="005767AC"/>
    <w:rsid w:val="0058042B"/>
    <w:rsid w:val="00581F1E"/>
    <w:rsid w:val="005877FA"/>
    <w:rsid w:val="0059475E"/>
    <w:rsid w:val="005956EA"/>
    <w:rsid w:val="005A01D6"/>
    <w:rsid w:val="005A64B1"/>
    <w:rsid w:val="005B28AF"/>
    <w:rsid w:val="005B37AB"/>
    <w:rsid w:val="005B54AF"/>
    <w:rsid w:val="005C4BC5"/>
    <w:rsid w:val="005C51C9"/>
    <w:rsid w:val="005C5B3C"/>
    <w:rsid w:val="005D4B77"/>
    <w:rsid w:val="005E4D87"/>
    <w:rsid w:val="005E672F"/>
    <w:rsid w:val="006040CB"/>
    <w:rsid w:val="0060516C"/>
    <w:rsid w:val="00605738"/>
    <w:rsid w:val="00607FF0"/>
    <w:rsid w:val="006108DB"/>
    <w:rsid w:val="00612E3D"/>
    <w:rsid w:val="00614A76"/>
    <w:rsid w:val="0062342C"/>
    <w:rsid w:val="00623728"/>
    <w:rsid w:val="00625C80"/>
    <w:rsid w:val="00630C97"/>
    <w:rsid w:val="00634F4C"/>
    <w:rsid w:val="00636C72"/>
    <w:rsid w:val="00637D60"/>
    <w:rsid w:val="00645FDF"/>
    <w:rsid w:val="00653342"/>
    <w:rsid w:val="00657D81"/>
    <w:rsid w:val="00660303"/>
    <w:rsid w:val="00661027"/>
    <w:rsid w:val="00661D1E"/>
    <w:rsid w:val="00662FF7"/>
    <w:rsid w:val="00667630"/>
    <w:rsid w:val="0067206B"/>
    <w:rsid w:val="0068779F"/>
    <w:rsid w:val="00693011"/>
    <w:rsid w:val="00695FEE"/>
    <w:rsid w:val="006A1967"/>
    <w:rsid w:val="006A3B80"/>
    <w:rsid w:val="006A3C3B"/>
    <w:rsid w:val="006A5E7B"/>
    <w:rsid w:val="006A6A45"/>
    <w:rsid w:val="006B44C0"/>
    <w:rsid w:val="006B49FB"/>
    <w:rsid w:val="006C0F26"/>
    <w:rsid w:val="006D2146"/>
    <w:rsid w:val="006D6B4F"/>
    <w:rsid w:val="006E3788"/>
    <w:rsid w:val="006E5E60"/>
    <w:rsid w:val="006E7170"/>
    <w:rsid w:val="006F2384"/>
    <w:rsid w:val="006F5A3E"/>
    <w:rsid w:val="006F68ED"/>
    <w:rsid w:val="00704857"/>
    <w:rsid w:val="00705870"/>
    <w:rsid w:val="00705A76"/>
    <w:rsid w:val="007072C1"/>
    <w:rsid w:val="00707814"/>
    <w:rsid w:val="00711729"/>
    <w:rsid w:val="0071681D"/>
    <w:rsid w:val="00723531"/>
    <w:rsid w:val="00723568"/>
    <w:rsid w:val="007332AE"/>
    <w:rsid w:val="007338BA"/>
    <w:rsid w:val="007346EE"/>
    <w:rsid w:val="00736E96"/>
    <w:rsid w:val="007371DC"/>
    <w:rsid w:val="00745179"/>
    <w:rsid w:val="007603E1"/>
    <w:rsid w:val="0076332E"/>
    <w:rsid w:val="00764426"/>
    <w:rsid w:val="00765AF6"/>
    <w:rsid w:val="007675A3"/>
    <w:rsid w:val="00770325"/>
    <w:rsid w:val="00791E90"/>
    <w:rsid w:val="00797E91"/>
    <w:rsid w:val="007A45D0"/>
    <w:rsid w:val="007B1856"/>
    <w:rsid w:val="007B18A7"/>
    <w:rsid w:val="007B335C"/>
    <w:rsid w:val="007B5A95"/>
    <w:rsid w:val="007C5789"/>
    <w:rsid w:val="007D1CAD"/>
    <w:rsid w:val="007D358C"/>
    <w:rsid w:val="007D46AC"/>
    <w:rsid w:val="007E3782"/>
    <w:rsid w:val="007E4178"/>
    <w:rsid w:val="007E764D"/>
    <w:rsid w:val="007F406C"/>
    <w:rsid w:val="007F4B1F"/>
    <w:rsid w:val="007F6244"/>
    <w:rsid w:val="007F6571"/>
    <w:rsid w:val="008011F5"/>
    <w:rsid w:val="00804B54"/>
    <w:rsid w:val="008058DA"/>
    <w:rsid w:val="0080717D"/>
    <w:rsid w:val="00812454"/>
    <w:rsid w:val="0081424A"/>
    <w:rsid w:val="00820DFD"/>
    <w:rsid w:val="0082202E"/>
    <w:rsid w:val="0082274F"/>
    <w:rsid w:val="008230BD"/>
    <w:rsid w:val="00823761"/>
    <w:rsid w:val="00834856"/>
    <w:rsid w:val="00834D81"/>
    <w:rsid w:val="00835E6F"/>
    <w:rsid w:val="00841091"/>
    <w:rsid w:val="00841D42"/>
    <w:rsid w:val="00857346"/>
    <w:rsid w:val="0086049C"/>
    <w:rsid w:val="00862059"/>
    <w:rsid w:val="008676B9"/>
    <w:rsid w:val="00870101"/>
    <w:rsid w:val="00880445"/>
    <w:rsid w:val="00881915"/>
    <w:rsid w:val="00882F01"/>
    <w:rsid w:val="00885907"/>
    <w:rsid w:val="00887339"/>
    <w:rsid w:val="00887DAA"/>
    <w:rsid w:val="00890E4C"/>
    <w:rsid w:val="00892084"/>
    <w:rsid w:val="00894F23"/>
    <w:rsid w:val="008A7309"/>
    <w:rsid w:val="008B017F"/>
    <w:rsid w:val="008B3FAB"/>
    <w:rsid w:val="008B79F1"/>
    <w:rsid w:val="008C039F"/>
    <w:rsid w:val="008C3F53"/>
    <w:rsid w:val="008D151E"/>
    <w:rsid w:val="008D239B"/>
    <w:rsid w:val="008D3D22"/>
    <w:rsid w:val="008D6C7E"/>
    <w:rsid w:val="008D74C0"/>
    <w:rsid w:val="008D7E19"/>
    <w:rsid w:val="008E2404"/>
    <w:rsid w:val="008E3273"/>
    <w:rsid w:val="008E6B46"/>
    <w:rsid w:val="00904375"/>
    <w:rsid w:val="00911F96"/>
    <w:rsid w:val="00920751"/>
    <w:rsid w:val="009231EE"/>
    <w:rsid w:val="00924530"/>
    <w:rsid w:val="009250E6"/>
    <w:rsid w:val="009279B4"/>
    <w:rsid w:val="0093374D"/>
    <w:rsid w:val="00937710"/>
    <w:rsid w:val="0094706B"/>
    <w:rsid w:val="00953771"/>
    <w:rsid w:val="009563EC"/>
    <w:rsid w:val="009608DB"/>
    <w:rsid w:val="00960F92"/>
    <w:rsid w:val="00965B4C"/>
    <w:rsid w:val="00966363"/>
    <w:rsid w:val="00973126"/>
    <w:rsid w:val="00973669"/>
    <w:rsid w:val="00975F78"/>
    <w:rsid w:val="00977CD5"/>
    <w:rsid w:val="009812A6"/>
    <w:rsid w:val="00982E27"/>
    <w:rsid w:val="00985330"/>
    <w:rsid w:val="00986E35"/>
    <w:rsid w:val="00991034"/>
    <w:rsid w:val="009A3AF1"/>
    <w:rsid w:val="009B205E"/>
    <w:rsid w:val="009B5D47"/>
    <w:rsid w:val="009B6789"/>
    <w:rsid w:val="009C20F6"/>
    <w:rsid w:val="009C3F50"/>
    <w:rsid w:val="009C61AB"/>
    <w:rsid w:val="009D0592"/>
    <w:rsid w:val="009D603D"/>
    <w:rsid w:val="009E79D9"/>
    <w:rsid w:val="009F00B8"/>
    <w:rsid w:val="009F7016"/>
    <w:rsid w:val="00A00588"/>
    <w:rsid w:val="00A0178F"/>
    <w:rsid w:val="00A148BF"/>
    <w:rsid w:val="00A23465"/>
    <w:rsid w:val="00A241F1"/>
    <w:rsid w:val="00A30BDE"/>
    <w:rsid w:val="00A40AAB"/>
    <w:rsid w:val="00A42662"/>
    <w:rsid w:val="00A471A8"/>
    <w:rsid w:val="00A606CA"/>
    <w:rsid w:val="00A607F7"/>
    <w:rsid w:val="00A6198E"/>
    <w:rsid w:val="00A62BB0"/>
    <w:rsid w:val="00A638A9"/>
    <w:rsid w:val="00A66D7A"/>
    <w:rsid w:val="00A7061B"/>
    <w:rsid w:val="00A71754"/>
    <w:rsid w:val="00A769F5"/>
    <w:rsid w:val="00A84A5A"/>
    <w:rsid w:val="00A84B9F"/>
    <w:rsid w:val="00A942E3"/>
    <w:rsid w:val="00A96863"/>
    <w:rsid w:val="00A96A50"/>
    <w:rsid w:val="00AA19D6"/>
    <w:rsid w:val="00AA3005"/>
    <w:rsid w:val="00AA3226"/>
    <w:rsid w:val="00AA3C96"/>
    <w:rsid w:val="00AA6EC5"/>
    <w:rsid w:val="00AB16EC"/>
    <w:rsid w:val="00AB5065"/>
    <w:rsid w:val="00AC4308"/>
    <w:rsid w:val="00AC5763"/>
    <w:rsid w:val="00AD05F6"/>
    <w:rsid w:val="00AD4404"/>
    <w:rsid w:val="00AE403C"/>
    <w:rsid w:val="00AE4A58"/>
    <w:rsid w:val="00AE55D5"/>
    <w:rsid w:val="00AE6C13"/>
    <w:rsid w:val="00AE794B"/>
    <w:rsid w:val="00AF1E31"/>
    <w:rsid w:val="00AF4134"/>
    <w:rsid w:val="00AF688A"/>
    <w:rsid w:val="00B0019E"/>
    <w:rsid w:val="00B00632"/>
    <w:rsid w:val="00B02D97"/>
    <w:rsid w:val="00B03636"/>
    <w:rsid w:val="00B15B22"/>
    <w:rsid w:val="00B1743E"/>
    <w:rsid w:val="00B21255"/>
    <w:rsid w:val="00B239F5"/>
    <w:rsid w:val="00B24E9E"/>
    <w:rsid w:val="00B27CC1"/>
    <w:rsid w:val="00B33D23"/>
    <w:rsid w:val="00B42380"/>
    <w:rsid w:val="00B5702B"/>
    <w:rsid w:val="00B663A8"/>
    <w:rsid w:val="00B679BA"/>
    <w:rsid w:val="00B719DC"/>
    <w:rsid w:val="00B7450F"/>
    <w:rsid w:val="00B80497"/>
    <w:rsid w:val="00B81A97"/>
    <w:rsid w:val="00B82ED7"/>
    <w:rsid w:val="00B865DE"/>
    <w:rsid w:val="00B976B3"/>
    <w:rsid w:val="00BA0E1A"/>
    <w:rsid w:val="00BA143E"/>
    <w:rsid w:val="00BA1740"/>
    <w:rsid w:val="00BB18EB"/>
    <w:rsid w:val="00BB4D8B"/>
    <w:rsid w:val="00BC26AE"/>
    <w:rsid w:val="00BC7565"/>
    <w:rsid w:val="00BD0C32"/>
    <w:rsid w:val="00BD21A5"/>
    <w:rsid w:val="00BD56C8"/>
    <w:rsid w:val="00BE2DBE"/>
    <w:rsid w:val="00BE7FB9"/>
    <w:rsid w:val="00BF1976"/>
    <w:rsid w:val="00BF2FD1"/>
    <w:rsid w:val="00C0784A"/>
    <w:rsid w:val="00C128FA"/>
    <w:rsid w:val="00C2073F"/>
    <w:rsid w:val="00C207EE"/>
    <w:rsid w:val="00C22247"/>
    <w:rsid w:val="00C23D00"/>
    <w:rsid w:val="00C243AA"/>
    <w:rsid w:val="00C24719"/>
    <w:rsid w:val="00C25453"/>
    <w:rsid w:val="00C26B76"/>
    <w:rsid w:val="00C273B5"/>
    <w:rsid w:val="00C30CE2"/>
    <w:rsid w:val="00C30F0D"/>
    <w:rsid w:val="00C3265B"/>
    <w:rsid w:val="00C4619B"/>
    <w:rsid w:val="00C57830"/>
    <w:rsid w:val="00C638D3"/>
    <w:rsid w:val="00C70519"/>
    <w:rsid w:val="00C722C7"/>
    <w:rsid w:val="00C744EC"/>
    <w:rsid w:val="00C744F5"/>
    <w:rsid w:val="00C82060"/>
    <w:rsid w:val="00C83200"/>
    <w:rsid w:val="00C92029"/>
    <w:rsid w:val="00CA0F4C"/>
    <w:rsid w:val="00CB192B"/>
    <w:rsid w:val="00CB20DD"/>
    <w:rsid w:val="00CB3B80"/>
    <w:rsid w:val="00CB5CFB"/>
    <w:rsid w:val="00CB691D"/>
    <w:rsid w:val="00CD108D"/>
    <w:rsid w:val="00CD431D"/>
    <w:rsid w:val="00CE1A6E"/>
    <w:rsid w:val="00CE2541"/>
    <w:rsid w:val="00CF1C42"/>
    <w:rsid w:val="00CF64ED"/>
    <w:rsid w:val="00CF671F"/>
    <w:rsid w:val="00D00199"/>
    <w:rsid w:val="00D007B3"/>
    <w:rsid w:val="00D02295"/>
    <w:rsid w:val="00D0309D"/>
    <w:rsid w:val="00D07535"/>
    <w:rsid w:val="00D156F5"/>
    <w:rsid w:val="00D21616"/>
    <w:rsid w:val="00D22566"/>
    <w:rsid w:val="00D22876"/>
    <w:rsid w:val="00D30ABC"/>
    <w:rsid w:val="00D32C41"/>
    <w:rsid w:val="00D35FA3"/>
    <w:rsid w:val="00D42AD7"/>
    <w:rsid w:val="00D42C52"/>
    <w:rsid w:val="00D4357F"/>
    <w:rsid w:val="00D46A8C"/>
    <w:rsid w:val="00D47643"/>
    <w:rsid w:val="00D51060"/>
    <w:rsid w:val="00D558E7"/>
    <w:rsid w:val="00D60DD2"/>
    <w:rsid w:val="00D634E6"/>
    <w:rsid w:val="00D64C16"/>
    <w:rsid w:val="00D64E8B"/>
    <w:rsid w:val="00D738B5"/>
    <w:rsid w:val="00D75D18"/>
    <w:rsid w:val="00D76365"/>
    <w:rsid w:val="00D770FC"/>
    <w:rsid w:val="00D771FF"/>
    <w:rsid w:val="00D82A9A"/>
    <w:rsid w:val="00D85026"/>
    <w:rsid w:val="00D9524B"/>
    <w:rsid w:val="00D959F0"/>
    <w:rsid w:val="00D9735A"/>
    <w:rsid w:val="00D974F2"/>
    <w:rsid w:val="00DA6401"/>
    <w:rsid w:val="00DB1176"/>
    <w:rsid w:val="00DB48B8"/>
    <w:rsid w:val="00DC1CA0"/>
    <w:rsid w:val="00DC27E6"/>
    <w:rsid w:val="00DC484D"/>
    <w:rsid w:val="00DC54D2"/>
    <w:rsid w:val="00DD65CD"/>
    <w:rsid w:val="00DE0F72"/>
    <w:rsid w:val="00DE5563"/>
    <w:rsid w:val="00DF7252"/>
    <w:rsid w:val="00E02D18"/>
    <w:rsid w:val="00E07B82"/>
    <w:rsid w:val="00E11B29"/>
    <w:rsid w:val="00E1297F"/>
    <w:rsid w:val="00E13478"/>
    <w:rsid w:val="00E16717"/>
    <w:rsid w:val="00E23DEC"/>
    <w:rsid w:val="00E26890"/>
    <w:rsid w:val="00E278DE"/>
    <w:rsid w:val="00E32DDC"/>
    <w:rsid w:val="00E33C74"/>
    <w:rsid w:val="00E36A8F"/>
    <w:rsid w:val="00E4203B"/>
    <w:rsid w:val="00E45DCC"/>
    <w:rsid w:val="00E468F6"/>
    <w:rsid w:val="00E476CA"/>
    <w:rsid w:val="00E527CA"/>
    <w:rsid w:val="00E52CB4"/>
    <w:rsid w:val="00E5602A"/>
    <w:rsid w:val="00E578D3"/>
    <w:rsid w:val="00E66286"/>
    <w:rsid w:val="00E720DB"/>
    <w:rsid w:val="00E7679E"/>
    <w:rsid w:val="00E77E0A"/>
    <w:rsid w:val="00E8300D"/>
    <w:rsid w:val="00E83718"/>
    <w:rsid w:val="00E863B5"/>
    <w:rsid w:val="00E86C54"/>
    <w:rsid w:val="00EA6FCD"/>
    <w:rsid w:val="00EB2C13"/>
    <w:rsid w:val="00EC05C7"/>
    <w:rsid w:val="00EC1B1B"/>
    <w:rsid w:val="00EC1E3E"/>
    <w:rsid w:val="00EC627F"/>
    <w:rsid w:val="00EC76FF"/>
    <w:rsid w:val="00ED6A63"/>
    <w:rsid w:val="00EE0CE4"/>
    <w:rsid w:val="00EE4A0B"/>
    <w:rsid w:val="00EF3BB1"/>
    <w:rsid w:val="00EF6FCC"/>
    <w:rsid w:val="00EF7AB9"/>
    <w:rsid w:val="00F21470"/>
    <w:rsid w:val="00F24346"/>
    <w:rsid w:val="00F25F57"/>
    <w:rsid w:val="00F26660"/>
    <w:rsid w:val="00F31B06"/>
    <w:rsid w:val="00F32939"/>
    <w:rsid w:val="00F32E49"/>
    <w:rsid w:val="00F375EB"/>
    <w:rsid w:val="00F42AE4"/>
    <w:rsid w:val="00F544C2"/>
    <w:rsid w:val="00F616D1"/>
    <w:rsid w:val="00F63412"/>
    <w:rsid w:val="00F700E0"/>
    <w:rsid w:val="00F71517"/>
    <w:rsid w:val="00F7196A"/>
    <w:rsid w:val="00F75CEE"/>
    <w:rsid w:val="00F76929"/>
    <w:rsid w:val="00F808D2"/>
    <w:rsid w:val="00F81C98"/>
    <w:rsid w:val="00F86B29"/>
    <w:rsid w:val="00F906F1"/>
    <w:rsid w:val="00F914B0"/>
    <w:rsid w:val="00F92F55"/>
    <w:rsid w:val="00F97DDA"/>
    <w:rsid w:val="00FA0C10"/>
    <w:rsid w:val="00FB1E8B"/>
    <w:rsid w:val="00FC38CC"/>
    <w:rsid w:val="00FC6C86"/>
    <w:rsid w:val="00FD0C95"/>
    <w:rsid w:val="00FD2959"/>
    <w:rsid w:val="00FE0B1A"/>
    <w:rsid w:val="00FE344B"/>
    <w:rsid w:val="00FE781C"/>
    <w:rsid w:val="00FF2022"/>
    <w:rsid w:val="00FF2184"/>
    <w:rsid w:val="00FF4691"/>
    <w:rsid w:val="00FF4CD7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D88BE1F-D4EA-420C-986C-CBE8E1FD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6F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A6FC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EA6FC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A6FCD"/>
    <w:rPr>
      <w:sz w:val="22"/>
      <w:szCs w:val="22"/>
      <w:lang w:eastAsia="en-US"/>
    </w:rPr>
  </w:style>
  <w:style w:type="character" w:customStyle="1" w:styleId="Flietext2">
    <w:name w:val="Fließtext (2)"/>
    <w:rsid w:val="006A6A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Flietext2Fett">
    <w:name w:val="Fließtext (2) + Fett"/>
    <w:rsid w:val="006A6A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styleId="Bezriadkovania">
    <w:name w:val="No Spacing"/>
    <w:uiPriority w:val="1"/>
    <w:qFormat/>
    <w:rsid w:val="006A6A45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 w:bidi="en-US"/>
    </w:rPr>
  </w:style>
  <w:style w:type="table" w:styleId="Mriekatabuky">
    <w:name w:val="Table Grid"/>
    <w:basedOn w:val="Normlnatabuka"/>
    <w:uiPriority w:val="59"/>
    <w:rsid w:val="006A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3E33C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0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0936"/>
    <w:rPr>
      <w:rFonts w:ascii="Tahoma" w:hAnsi="Tahoma" w:cs="Tahoma"/>
      <w:sz w:val="16"/>
      <w:szCs w:val="16"/>
      <w:lang w:eastAsia="en-US"/>
    </w:rPr>
  </w:style>
  <w:style w:type="character" w:styleId="PouitHypertextovPrepojenie">
    <w:name w:val="FollowedHyperlink"/>
    <w:uiPriority w:val="99"/>
    <w:semiHidden/>
    <w:unhideWhenUsed/>
    <w:rsid w:val="008676B9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711729"/>
    <w:pPr>
      <w:widowControl w:val="0"/>
      <w:autoSpaceDE w:val="0"/>
      <w:autoSpaceDN w:val="0"/>
      <w:adjustRightInd w:val="0"/>
      <w:spacing w:after="0" w:line="240" w:lineRule="auto"/>
      <w:ind w:left="118"/>
    </w:pPr>
    <w:rPr>
      <w:rFonts w:ascii="Times New Roman" w:eastAsia="Times New Roman" w:hAnsi="Times New Roman"/>
      <w:lang w:eastAsia="sk-SK"/>
    </w:rPr>
  </w:style>
  <w:style w:type="character" w:customStyle="1" w:styleId="ZkladntextChar">
    <w:name w:val="Základný text Char"/>
    <w:link w:val="Zkladntext"/>
    <w:uiPriority w:val="1"/>
    <w:rsid w:val="00711729"/>
    <w:rPr>
      <w:rFonts w:ascii="Times New Roman" w:eastAsia="Times New Roman" w:hAnsi="Times New Roman"/>
      <w:sz w:val="22"/>
      <w:szCs w:val="22"/>
    </w:rPr>
  </w:style>
  <w:style w:type="character" w:styleId="Odkaznakomentr">
    <w:name w:val="annotation reference"/>
    <w:uiPriority w:val="99"/>
    <w:semiHidden/>
    <w:unhideWhenUsed/>
    <w:rsid w:val="00AF1E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F1E3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AF1E3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1E3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F1E31"/>
    <w:rPr>
      <w:b/>
      <w:bCs/>
      <w:lang w:eastAsia="en-US"/>
    </w:rPr>
  </w:style>
  <w:style w:type="paragraph" w:styleId="Revzia">
    <w:name w:val="Revision"/>
    <w:hidden/>
    <w:uiPriority w:val="99"/>
    <w:semiHidden/>
    <w:rsid w:val="0050673B"/>
    <w:rPr>
      <w:sz w:val="22"/>
      <w:szCs w:val="22"/>
      <w:lang w:eastAsia="en-US"/>
    </w:rPr>
  </w:style>
  <w:style w:type="paragraph" w:customStyle="1" w:styleId="Default">
    <w:name w:val="Default"/>
    <w:rsid w:val="00B02D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xtChar1">
    <w:name w:val="Text Char1"/>
    <w:link w:val="Text"/>
    <w:locked/>
    <w:rsid w:val="001946D9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1946D9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character" w:customStyle="1" w:styleId="nowrap">
    <w:name w:val="nowrap"/>
    <w:rsid w:val="00FD0C95"/>
  </w:style>
  <w:style w:type="table" w:customStyle="1" w:styleId="TableNormal">
    <w:name w:val="Table Normal"/>
    <w:uiPriority w:val="2"/>
    <w:semiHidden/>
    <w:unhideWhenUsed/>
    <w:qFormat/>
    <w:rsid w:val="00CF64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CF64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D32C4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iv9287724709msonormal">
    <w:name w:val="yiv9287724709msonormal"/>
    <w:basedOn w:val="Normlny"/>
    <w:rsid w:val="00B21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271E7-A784-4813-897A-5DBAB08D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18</Pages>
  <Words>7194</Words>
  <Characters>41009</Characters>
  <Application>Microsoft Office Word</Application>
  <DocSecurity>0</DocSecurity>
  <Lines>341</Lines>
  <Paragraphs>96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48107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R-Pharmaservices</dc:creator>
  <cp:lastModifiedBy>Lacková, Beáta</cp:lastModifiedBy>
  <cp:revision>15</cp:revision>
  <cp:lastPrinted>2021-01-25T16:21:00Z</cp:lastPrinted>
  <dcterms:created xsi:type="dcterms:W3CDTF">2020-11-17T18:45:00Z</dcterms:created>
  <dcterms:modified xsi:type="dcterms:W3CDTF">2021-01-26T08:06:00Z</dcterms:modified>
</cp:coreProperties>
</file>