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38342" w14:textId="77777777" w:rsidR="00E751D3" w:rsidRPr="00272014" w:rsidRDefault="00E751D3" w:rsidP="00E3519F">
      <w:pPr>
        <w:pStyle w:val="Nadpis2"/>
        <w:spacing w:line="240" w:lineRule="auto"/>
        <w:jc w:val="center"/>
        <w:rPr>
          <w:rFonts w:ascii="Times New Roman" w:hAnsi="Times New Roman"/>
          <w:iCs/>
          <w:caps/>
          <w:sz w:val="22"/>
          <w:szCs w:val="22"/>
        </w:rPr>
      </w:pPr>
      <w:r w:rsidRPr="00E3519F">
        <w:rPr>
          <w:rFonts w:ascii="Times New Roman" w:hAnsi="Times New Roman"/>
          <w:iCs/>
          <w:caps/>
          <w:sz w:val="22"/>
          <w:szCs w:val="22"/>
        </w:rPr>
        <w:t>Súhrn</w:t>
      </w:r>
      <w:r w:rsidRPr="00272014">
        <w:rPr>
          <w:rFonts w:ascii="Times New Roman" w:hAnsi="Times New Roman"/>
          <w:iCs/>
          <w:caps/>
          <w:sz w:val="22"/>
          <w:szCs w:val="22"/>
        </w:rPr>
        <w:t xml:space="preserve"> charakteristických vlastností lieku</w:t>
      </w:r>
    </w:p>
    <w:p w14:paraId="33A38343" w14:textId="77777777" w:rsidR="00E751D3" w:rsidRPr="00282792" w:rsidRDefault="00E751D3" w:rsidP="00282792">
      <w:pPr>
        <w:rPr>
          <w:sz w:val="22"/>
        </w:rPr>
      </w:pPr>
    </w:p>
    <w:p w14:paraId="33A38344" w14:textId="77777777" w:rsidR="00E751D3" w:rsidRPr="00272014" w:rsidRDefault="00E751D3" w:rsidP="00E3519F">
      <w:pPr>
        <w:rPr>
          <w:sz w:val="22"/>
          <w:szCs w:val="22"/>
        </w:rPr>
      </w:pPr>
    </w:p>
    <w:p w14:paraId="33A38345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1.</w:t>
      </w:r>
      <w:r w:rsidRPr="00272014">
        <w:rPr>
          <w:b/>
          <w:caps/>
          <w:sz w:val="22"/>
          <w:szCs w:val="22"/>
        </w:rPr>
        <w:tab/>
        <w:t>Názov lieku</w:t>
      </w:r>
    </w:p>
    <w:p w14:paraId="33A38346" w14:textId="77777777" w:rsidR="00E751D3" w:rsidRPr="00272014" w:rsidRDefault="00E751D3" w:rsidP="001D462F">
      <w:pPr>
        <w:rPr>
          <w:sz w:val="22"/>
          <w:szCs w:val="22"/>
        </w:rPr>
      </w:pPr>
    </w:p>
    <w:p w14:paraId="33A38347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100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</w:p>
    <w:p w14:paraId="33A38348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250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</w:p>
    <w:p w14:paraId="33A38349" w14:textId="77777777" w:rsidR="00E751D3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500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</w:p>
    <w:p w14:paraId="0DE1B63C" w14:textId="77777777" w:rsidR="009F3847" w:rsidRDefault="009F3847" w:rsidP="001D462F">
      <w:pPr>
        <w:rPr>
          <w:sz w:val="22"/>
          <w:szCs w:val="22"/>
        </w:rPr>
      </w:pPr>
    </w:p>
    <w:p w14:paraId="33A3834A" w14:textId="422B301E" w:rsidR="00E751D3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>inhalačný prášok</w:t>
      </w:r>
    </w:p>
    <w:p w14:paraId="33A3834B" w14:textId="77777777" w:rsidR="00E751D3" w:rsidRPr="00272014" w:rsidRDefault="00E751D3" w:rsidP="001D462F">
      <w:pPr>
        <w:rPr>
          <w:sz w:val="22"/>
          <w:szCs w:val="22"/>
        </w:rPr>
      </w:pPr>
    </w:p>
    <w:p w14:paraId="33A3834C" w14:textId="77777777" w:rsidR="00E751D3" w:rsidRPr="00272014" w:rsidRDefault="00E751D3" w:rsidP="001D462F">
      <w:pPr>
        <w:rPr>
          <w:sz w:val="22"/>
          <w:szCs w:val="22"/>
        </w:rPr>
      </w:pPr>
    </w:p>
    <w:p w14:paraId="33A3834D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2.</w:t>
      </w:r>
      <w:r w:rsidRPr="00272014">
        <w:rPr>
          <w:b/>
          <w:caps/>
          <w:sz w:val="22"/>
          <w:szCs w:val="22"/>
        </w:rPr>
        <w:tab/>
        <w:t>Kvalitatívne a kvantitatívne zloženie</w:t>
      </w:r>
    </w:p>
    <w:p w14:paraId="33A3834E" w14:textId="77777777" w:rsidR="00E751D3" w:rsidRPr="00272014" w:rsidRDefault="00E751D3" w:rsidP="001D462F">
      <w:pPr>
        <w:rPr>
          <w:sz w:val="22"/>
          <w:szCs w:val="22"/>
        </w:rPr>
      </w:pPr>
    </w:p>
    <w:p w14:paraId="33A3834F" w14:textId="435ACF30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je diskovitá plastická pomôcka obsahujúca fóliový prúžok s</w:t>
      </w:r>
      <w:r>
        <w:rPr>
          <w:sz w:val="22"/>
          <w:szCs w:val="22"/>
        </w:rPr>
        <w:t>o</w:t>
      </w:r>
      <w:r w:rsidRPr="00272014">
        <w:rPr>
          <w:sz w:val="22"/>
          <w:szCs w:val="22"/>
        </w:rPr>
        <w:t> 60 pravidelne umiestnenými blistrami, z ktorých každý obsahuje 100</w:t>
      </w:r>
      <w:r>
        <w:rPr>
          <w:sz w:val="22"/>
          <w:szCs w:val="22"/>
        </w:rPr>
        <w:t> </w:t>
      </w:r>
      <w:r w:rsidRPr="00272014">
        <w:rPr>
          <w:bCs/>
          <w:sz w:val="22"/>
          <w:szCs w:val="22"/>
        </w:rPr>
        <w:t>μg</w:t>
      </w:r>
      <w:r w:rsidRPr="00272014">
        <w:rPr>
          <w:sz w:val="22"/>
          <w:szCs w:val="22"/>
        </w:rPr>
        <w:t>, 250</w:t>
      </w:r>
      <w:r>
        <w:rPr>
          <w:sz w:val="22"/>
          <w:szCs w:val="22"/>
        </w:rPr>
        <w:t> </w:t>
      </w:r>
      <w:r w:rsidRPr="00272014">
        <w:rPr>
          <w:bCs/>
          <w:sz w:val="22"/>
          <w:szCs w:val="22"/>
        </w:rPr>
        <w:t>μg</w:t>
      </w:r>
      <w:r w:rsidRPr="00272014">
        <w:rPr>
          <w:sz w:val="22"/>
          <w:szCs w:val="22"/>
        </w:rPr>
        <w:t xml:space="preserve"> alebo 500</w:t>
      </w:r>
      <w:r>
        <w:rPr>
          <w:sz w:val="22"/>
          <w:szCs w:val="22"/>
        </w:rPr>
        <w:t> </w:t>
      </w:r>
      <w:r w:rsidRPr="00272014">
        <w:rPr>
          <w:bCs/>
          <w:sz w:val="22"/>
          <w:szCs w:val="22"/>
        </w:rPr>
        <w:t>μg</w:t>
      </w:r>
      <w:r w:rsidRPr="00272014">
        <w:rPr>
          <w:sz w:val="22"/>
          <w:szCs w:val="22"/>
        </w:rPr>
        <w:t xml:space="preserve"> </w:t>
      </w:r>
      <w:r>
        <w:rPr>
          <w:sz w:val="22"/>
          <w:szCs w:val="22"/>
        </w:rPr>
        <w:t>flutikazón</w:t>
      </w:r>
      <w:r w:rsidR="003A7B1B" w:rsidRPr="00F879CB">
        <w:rPr>
          <w:sz w:val="22"/>
          <w:szCs w:val="22"/>
          <w:highlight w:val="cyan"/>
        </w:rPr>
        <w:noBreakHyphen/>
      </w:r>
      <w:r>
        <w:rPr>
          <w:sz w:val="22"/>
          <w:szCs w:val="22"/>
        </w:rPr>
        <w:t>propionátu</w:t>
      </w:r>
      <w:r w:rsidRPr="00272014">
        <w:rPr>
          <w:sz w:val="22"/>
          <w:szCs w:val="22"/>
        </w:rPr>
        <w:t>.</w:t>
      </w:r>
    </w:p>
    <w:p w14:paraId="33A38350" w14:textId="77777777" w:rsidR="00E751D3" w:rsidRPr="00272014" w:rsidRDefault="00E751D3" w:rsidP="001D462F">
      <w:pPr>
        <w:rPr>
          <w:sz w:val="22"/>
          <w:szCs w:val="22"/>
        </w:rPr>
      </w:pPr>
    </w:p>
    <w:p w14:paraId="33A38351" w14:textId="77777777" w:rsidR="00E751D3" w:rsidRPr="00272014" w:rsidRDefault="00E751D3" w:rsidP="001D462F">
      <w:pPr>
        <w:rPr>
          <w:sz w:val="22"/>
          <w:szCs w:val="22"/>
        </w:rPr>
      </w:pPr>
      <w:r w:rsidRPr="000358F8">
        <w:rPr>
          <w:sz w:val="22"/>
          <w:szCs w:val="22"/>
        </w:rPr>
        <w:t xml:space="preserve">Úplný zoznam </w:t>
      </w:r>
      <w:r>
        <w:rPr>
          <w:sz w:val="22"/>
          <w:szCs w:val="22"/>
        </w:rPr>
        <w:t>p</w:t>
      </w:r>
      <w:r w:rsidRPr="00272014">
        <w:rPr>
          <w:sz w:val="22"/>
          <w:szCs w:val="22"/>
        </w:rPr>
        <w:t>omocn</w:t>
      </w:r>
      <w:r>
        <w:rPr>
          <w:sz w:val="22"/>
          <w:szCs w:val="22"/>
        </w:rPr>
        <w:t>ých</w:t>
      </w:r>
      <w:r w:rsidRPr="00272014">
        <w:rPr>
          <w:sz w:val="22"/>
          <w:szCs w:val="22"/>
        </w:rPr>
        <w:t xml:space="preserve"> lát</w:t>
      </w:r>
      <w:r>
        <w:rPr>
          <w:sz w:val="22"/>
          <w:szCs w:val="22"/>
        </w:rPr>
        <w:t>o</w:t>
      </w:r>
      <w:r w:rsidRPr="00272014">
        <w:rPr>
          <w:sz w:val="22"/>
          <w:szCs w:val="22"/>
        </w:rPr>
        <w:t>k, pozri časť 6.1.</w:t>
      </w:r>
    </w:p>
    <w:p w14:paraId="33A38352" w14:textId="77777777" w:rsidR="00E751D3" w:rsidRDefault="00E751D3" w:rsidP="001D462F">
      <w:pPr>
        <w:rPr>
          <w:sz w:val="22"/>
          <w:szCs w:val="22"/>
        </w:rPr>
      </w:pPr>
    </w:p>
    <w:p w14:paraId="33A38353" w14:textId="77777777" w:rsidR="00E751D3" w:rsidRPr="00272014" w:rsidRDefault="00E751D3" w:rsidP="001D462F">
      <w:pPr>
        <w:rPr>
          <w:sz w:val="22"/>
          <w:szCs w:val="22"/>
        </w:rPr>
      </w:pPr>
    </w:p>
    <w:p w14:paraId="33A38354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3.</w:t>
      </w:r>
      <w:r w:rsidRPr="00272014">
        <w:rPr>
          <w:b/>
          <w:caps/>
          <w:sz w:val="22"/>
          <w:szCs w:val="22"/>
        </w:rPr>
        <w:tab/>
        <w:t>Lieková forma</w:t>
      </w:r>
    </w:p>
    <w:p w14:paraId="33A38355" w14:textId="77777777" w:rsidR="00E751D3" w:rsidRPr="00272014" w:rsidRDefault="00E751D3" w:rsidP="001D462F">
      <w:pPr>
        <w:rPr>
          <w:sz w:val="22"/>
          <w:szCs w:val="22"/>
        </w:rPr>
      </w:pPr>
    </w:p>
    <w:p w14:paraId="33A38356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Inhalačný prášok.</w:t>
      </w:r>
    </w:p>
    <w:p w14:paraId="33A38357" w14:textId="77777777" w:rsidR="00E751D3" w:rsidRPr="00272014" w:rsidRDefault="00E751D3" w:rsidP="001D462F">
      <w:pPr>
        <w:rPr>
          <w:sz w:val="22"/>
          <w:szCs w:val="22"/>
        </w:rPr>
      </w:pPr>
    </w:p>
    <w:p w14:paraId="33A38358" w14:textId="77777777" w:rsidR="00E751D3" w:rsidRPr="00272014" w:rsidRDefault="00E751D3" w:rsidP="001D462F">
      <w:pPr>
        <w:rPr>
          <w:sz w:val="22"/>
          <w:szCs w:val="22"/>
        </w:rPr>
      </w:pPr>
    </w:p>
    <w:p w14:paraId="33A38359" w14:textId="77777777" w:rsidR="00E751D3" w:rsidRPr="00272014" w:rsidRDefault="00E751D3" w:rsidP="001D462F">
      <w:pPr>
        <w:pStyle w:val="Nadpis3"/>
        <w:ind w:left="567" w:hanging="567"/>
        <w:rPr>
          <w:rFonts w:ascii="Times New Roman" w:hAnsi="Times New Roman"/>
          <w:caps/>
          <w:sz w:val="22"/>
          <w:szCs w:val="22"/>
        </w:rPr>
      </w:pPr>
      <w:r w:rsidRPr="00272014">
        <w:rPr>
          <w:rFonts w:ascii="Times New Roman" w:hAnsi="Times New Roman"/>
          <w:caps/>
          <w:sz w:val="22"/>
          <w:szCs w:val="22"/>
        </w:rPr>
        <w:t>4.</w:t>
      </w:r>
      <w:r w:rsidRPr="00272014">
        <w:rPr>
          <w:rFonts w:ascii="Times New Roman" w:hAnsi="Times New Roman"/>
          <w:caps/>
          <w:sz w:val="22"/>
          <w:szCs w:val="22"/>
        </w:rPr>
        <w:tab/>
        <w:t>Klinické údaje</w:t>
      </w:r>
    </w:p>
    <w:p w14:paraId="33A3835A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</w:p>
    <w:p w14:paraId="33A3835B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4.1.</w:t>
      </w:r>
      <w:r w:rsidRPr="00272014">
        <w:rPr>
          <w:b/>
          <w:sz w:val="22"/>
          <w:szCs w:val="22"/>
        </w:rPr>
        <w:tab/>
        <w:t>Terapeutické indikácie</w:t>
      </w:r>
    </w:p>
    <w:p w14:paraId="33A3835C" w14:textId="77777777" w:rsidR="00E751D3" w:rsidRPr="00272014" w:rsidRDefault="00E751D3" w:rsidP="001D462F">
      <w:pPr>
        <w:pStyle w:val="Nadpis4"/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33A3835D" w14:textId="77777777" w:rsidR="00E751D3" w:rsidRPr="00272014" w:rsidRDefault="00E751D3" w:rsidP="001D462F">
      <w:pPr>
        <w:pStyle w:val="Nadpis4"/>
        <w:jc w:val="left"/>
        <w:rPr>
          <w:rFonts w:ascii="Times New Roman" w:hAnsi="Times New Roman"/>
          <w:b/>
          <w:bCs/>
          <w:sz w:val="22"/>
          <w:szCs w:val="22"/>
        </w:rPr>
      </w:pPr>
      <w:r w:rsidRPr="00272014">
        <w:rPr>
          <w:rFonts w:ascii="Times New Roman" w:hAnsi="Times New Roman"/>
          <w:b/>
          <w:bCs/>
          <w:sz w:val="22"/>
          <w:szCs w:val="22"/>
        </w:rPr>
        <w:t>Astma</w:t>
      </w:r>
    </w:p>
    <w:p w14:paraId="33A3835E" w14:textId="40ED84AA" w:rsidR="00E751D3" w:rsidRPr="00272014" w:rsidRDefault="00E751D3" w:rsidP="001D462F">
      <w:pPr>
        <w:pStyle w:val="Zkladntext3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má výrazný protizápalový účinok v pľúcach.</w:t>
      </w:r>
    </w:p>
    <w:p w14:paraId="33A3835F" w14:textId="77777777" w:rsidR="00E751D3" w:rsidRPr="00272014" w:rsidRDefault="00E751D3" w:rsidP="001D462F">
      <w:pPr>
        <w:pStyle w:val="Zkladntext3"/>
        <w:jc w:val="left"/>
        <w:rPr>
          <w:rFonts w:ascii="Times New Roman" w:hAnsi="Times New Roman"/>
          <w:sz w:val="22"/>
          <w:szCs w:val="22"/>
        </w:rPr>
      </w:pPr>
    </w:p>
    <w:p w14:paraId="33A38360" w14:textId="77777777" w:rsidR="00E751D3" w:rsidRPr="00272014" w:rsidRDefault="00E751D3" w:rsidP="001D462F">
      <w:pPr>
        <w:pStyle w:val="Zkladntext3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Zmierňuje príznaky a exacerbácie astmy u pacientov, ktorí boli predtým liečení bronchodilatanciom v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monoterapii alebo inou formou profylaktickej liečby.</w:t>
      </w:r>
    </w:p>
    <w:p w14:paraId="33A38361" w14:textId="77777777" w:rsidR="00E751D3" w:rsidRPr="00272014" w:rsidRDefault="00E751D3" w:rsidP="001D462F">
      <w:pPr>
        <w:rPr>
          <w:sz w:val="22"/>
          <w:szCs w:val="22"/>
        </w:rPr>
      </w:pPr>
    </w:p>
    <w:p w14:paraId="33A38362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Pri ťažkej astme sú nevyhnutné pravidelné lekárske kontroly, pretože môže dôjsť k úmrtiu. Pacienti s ťažkou astmou majú trvalé príznaky a časté exacerbácie, obmedzenú fyzickú výkonnosť a hodnoty PEF </w:t>
      </w:r>
      <w:r w:rsidRPr="00272014">
        <w:rPr>
          <w:color w:val="000000"/>
          <w:sz w:val="22"/>
          <w:szCs w:val="22"/>
        </w:rPr>
        <w:t>pod 60 % referenčných hodnôt, s </w:t>
      </w:r>
      <w:r w:rsidRPr="00272014">
        <w:rPr>
          <w:sz w:val="22"/>
          <w:szCs w:val="22"/>
        </w:rPr>
        <w:t>variabilitou</w:t>
      </w:r>
      <w:r w:rsidRPr="00272014">
        <w:rPr>
          <w:color w:val="000000"/>
          <w:sz w:val="22"/>
          <w:szCs w:val="22"/>
        </w:rPr>
        <w:t xml:space="preserve"> PEF nad </w:t>
      </w:r>
      <w:r w:rsidRPr="00272014">
        <w:rPr>
          <w:sz w:val="22"/>
          <w:szCs w:val="22"/>
        </w:rPr>
        <w:t>30 %, ktorá sa ani po podaní bronchodilatancií obvykle nevráti na normálne hodnoty. Títo pacienti potrebujú liečbu vysokými dávkami inhalačných (pozri časť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4.2) alebo perorálnych kortikosteroidov. Náhle zhoršenie príznakov si môže vyžadovať zvýšené dávky kortikosteroidov, ktoré sa v akútnom prípade majú podávať pod lekárskym dohľadom.</w:t>
      </w:r>
    </w:p>
    <w:p w14:paraId="33A38363" w14:textId="77777777" w:rsidR="00E751D3" w:rsidRPr="00272014" w:rsidRDefault="00E751D3" w:rsidP="001D462F">
      <w:pPr>
        <w:rPr>
          <w:sz w:val="22"/>
          <w:szCs w:val="22"/>
        </w:rPr>
      </w:pPr>
    </w:p>
    <w:p w14:paraId="33A38364" w14:textId="77777777" w:rsidR="00E751D3" w:rsidRPr="00272014" w:rsidRDefault="00E751D3" w:rsidP="001D462F">
      <w:pPr>
        <w:rPr>
          <w:i/>
          <w:iCs/>
          <w:sz w:val="22"/>
          <w:szCs w:val="22"/>
          <w:u w:val="single"/>
        </w:rPr>
      </w:pPr>
      <w:r w:rsidRPr="00272014">
        <w:rPr>
          <w:i/>
          <w:iCs/>
          <w:sz w:val="22"/>
          <w:szCs w:val="22"/>
          <w:u w:val="single"/>
        </w:rPr>
        <w:t>Dospelí:</w:t>
      </w:r>
    </w:p>
    <w:p w14:paraId="33A38365" w14:textId="77777777" w:rsidR="00E751D3" w:rsidRPr="00272014" w:rsidRDefault="00E751D3" w:rsidP="001D462F">
      <w:pPr>
        <w:rPr>
          <w:sz w:val="22"/>
          <w:szCs w:val="22"/>
        </w:rPr>
      </w:pPr>
    </w:p>
    <w:p w14:paraId="33A38366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Profylaktické podávanie:</w:t>
      </w:r>
    </w:p>
    <w:p w14:paraId="33A38367" w14:textId="77777777" w:rsidR="00E751D3" w:rsidRPr="00272014" w:rsidRDefault="00E751D3" w:rsidP="001D462F">
      <w:pPr>
        <w:ind w:left="284" w:hanging="284"/>
        <w:rPr>
          <w:sz w:val="22"/>
          <w:szCs w:val="22"/>
        </w:rPr>
      </w:pPr>
      <w:r w:rsidRPr="00272014">
        <w:rPr>
          <w:sz w:val="22"/>
          <w:szCs w:val="22"/>
        </w:rPr>
        <w:t>-</w:t>
      </w:r>
      <w:r w:rsidRPr="00272014">
        <w:rPr>
          <w:sz w:val="22"/>
          <w:szCs w:val="22"/>
        </w:rPr>
        <w:tab/>
        <w:t xml:space="preserve">pri ľahkej astme (hodnoty PEF nad 80 % referenčných hodnôt s variabilitou PEF pod 20 %): pacienti vyžadujúci intermitentnú symptomatickú bronchodilatačnú liečbu častejšie </w:t>
      </w:r>
      <w:r>
        <w:rPr>
          <w:sz w:val="22"/>
          <w:szCs w:val="22"/>
        </w:rPr>
        <w:t>ako</w:t>
      </w:r>
      <w:r w:rsidRPr="00272014">
        <w:rPr>
          <w:sz w:val="22"/>
          <w:szCs w:val="22"/>
        </w:rPr>
        <w:t xml:space="preserve"> len príležitostne.</w:t>
      </w:r>
    </w:p>
    <w:p w14:paraId="33A38369" w14:textId="77777777" w:rsidR="00E751D3" w:rsidRPr="00272014" w:rsidRDefault="00E751D3" w:rsidP="001D462F">
      <w:pPr>
        <w:ind w:left="284" w:hanging="284"/>
        <w:rPr>
          <w:sz w:val="22"/>
          <w:szCs w:val="22"/>
        </w:rPr>
      </w:pPr>
    </w:p>
    <w:p w14:paraId="33A3836A" w14:textId="77777777" w:rsidR="00E751D3" w:rsidRPr="00272014" w:rsidRDefault="00E751D3" w:rsidP="001D462F">
      <w:pPr>
        <w:ind w:left="284" w:hanging="284"/>
        <w:rPr>
          <w:sz w:val="22"/>
          <w:szCs w:val="22"/>
        </w:rPr>
      </w:pPr>
      <w:r w:rsidRPr="00272014">
        <w:rPr>
          <w:sz w:val="22"/>
          <w:szCs w:val="22"/>
        </w:rPr>
        <w:t>-</w:t>
      </w:r>
      <w:r w:rsidRPr="00272014">
        <w:rPr>
          <w:sz w:val="22"/>
          <w:szCs w:val="22"/>
        </w:rPr>
        <w:tab/>
        <w:t>pri stredne ťažkej astme (hodnoty PEF 60 až 80 % referenčných hodnôt s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20</w:t>
      </w:r>
      <w:r>
        <w:rPr>
          <w:sz w:val="22"/>
          <w:szCs w:val="22"/>
        </w:rPr>
        <w:t> </w:t>
      </w:r>
      <w:r>
        <w:rPr>
          <w:sz w:val="22"/>
          <w:szCs w:val="22"/>
        </w:rPr>
        <w:noBreakHyphen/>
        <w:t> </w:t>
      </w:r>
      <w:r w:rsidRPr="00272014">
        <w:rPr>
          <w:sz w:val="22"/>
          <w:szCs w:val="22"/>
        </w:rPr>
        <w:t>30 % variabilitou): pacienti vyžadujúci pravidelné podávanie antiastmatík a pacienti s nestabilnou astmou alebo astmou, ktorá sa zhoršuje aj napriek podávaniu dostupnej profylaktickej liečby alebo podávaniu bronchodilatancia v monotera</w:t>
      </w:r>
      <w:r>
        <w:rPr>
          <w:sz w:val="22"/>
          <w:szCs w:val="22"/>
        </w:rPr>
        <w:t>p</w:t>
      </w:r>
      <w:r w:rsidRPr="00272014">
        <w:rPr>
          <w:sz w:val="22"/>
          <w:szCs w:val="22"/>
        </w:rPr>
        <w:t>ii.</w:t>
      </w:r>
    </w:p>
    <w:p w14:paraId="33A3836B" w14:textId="77777777" w:rsidR="00E751D3" w:rsidRPr="00272014" w:rsidRDefault="00E751D3" w:rsidP="001D462F">
      <w:pPr>
        <w:ind w:left="284" w:hanging="284"/>
        <w:rPr>
          <w:sz w:val="22"/>
          <w:szCs w:val="22"/>
        </w:rPr>
      </w:pPr>
    </w:p>
    <w:p w14:paraId="33A3836C" w14:textId="25BA2D97" w:rsidR="00E751D3" w:rsidRPr="00272014" w:rsidRDefault="00E751D3" w:rsidP="001D462F">
      <w:pPr>
        <w:ind w:left="284" w:hanging="284"/>
        <w:rPr>
          <w:sz w:val="22"/>
          <w:szCs w:val="22"/>
        </w:rPr>
      </w:pPr>
      <w:r w:rsidRPr="00272014">
        <w:rPr>
          <w:sz w:val="22"/>
          <w:szCs w:val="22"/>
        </w:rPr>
        <w:t>-</w:t>
      </w:r>
      <w:r w:rsidRPr="00272014">
        <w:rPr>
          <w:sz w:val="22"/>
          <w:szCs w:val="22"/>
        </w:rPr>
        <w:tab/>
        <w:t>pri ťažkej astme (hodnoty PEF pod 60 % referenčných hodnôt s variabilitou PEF nad 30 %):</w:t>
      </w:r>
      <w:r>
        <w:rPr>
          <w:sz w:val="22"/>
          <w:szCs w:val="22"/>
        </w:rPr>
        <w:t xml:space="preserve"> </w:t>
      </w:r>
      <w:r w:rsidRPr="00272014">
        <w:rPr>
          <w:sz w:val="22"/>
          <w:szCs w:val="22"/>
        </w:rPr>
        <w:t>pacienti s ťažkou chronickou astmou. Po nasadení inhalačného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je u mnohých pacientov, ktorých astma je dostatočne kontrolovaná len dlhodobým podávaním systémových kortikosteroidov, možné významne znížiť alebo eliminovať potrebu perorálnych kortikosteroidov.</w:t>
      </w:r>
    </w:p>
    <w:p w14:paraId="33A3836D" w14:textId="77777777" w:rsidR="00E751D3" w:rsidRPr="00272014" w:rsidRDefault="00E751D3" w:rsidP="001D462F">
      <w:pPr>
        <w:rPr>
          <w:sz w:val="22"/>
          <w:szCs w:val="22"/>
        </w:rPr>
      </w:pPr>
    </w:p>
    <w:p w14:paraId="33A3836E" w14:textId="77777777" w:rsidR="00E751D3" w:rsidRPr="00272014" w:rsidRDefault="00E751D3" w:rsidP="001D462F">
      <w:pPr>
        <w:rPr>
          <w:i/>
          <w:iCs/>
          <w:sz w:val="22"/>
          <w:szCs w:val="22"/>
          <w:u w:val="single"/>
        </w:rPr>
      </w:pPr>
      <w:r w:rsidRPr="00272014">
        <w:rPr>
          <w:i/>
          <w:iCs/>
          <w:sz w:val="22"/>
          <w:szCs w:val="22"/>
          <w:u w:val="single"/>
        </w:rPr>
        <w:t>Deti:</w:t>
      </w:r>
    </w:p>
    <w:p w14:paraId="33A3836F" w14:textId="77777777" w:rsidR="00E751D3" w:rsidRPr="00272014" w:rsidRDefault="00E751D3" w:rsidP="001D462F">
      <w:pPr>
        <w:rPr>
          <w:sz w:val="22"/>
          <w:szCs w:val="22"/>
        </w:rPr>
      </w:pPr>
    </w:p>
    <w:p w14:paraId="33A38370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Každé dieťa vyžadujúce preventívne podávanie liekov proti astme, vrátane pacientov, </w:t>
      </w:r>
      <w:r w:rsidRPr="00272014">
        <w:rPr>
          <w:color w:val="000000"/>
          <w:sz w:val="22"/>
          <w:szCs w:val="22"/>
        </w:rPr>
        <w:t>ktorí nie sú kontrolovaní aj napriek</w:t>
      </w:r>
      <w:r w:rsidRPr="00272014">
        <w:rPr>
          <w:sz w:val="22"/>
          <w:szCs w:val="22"/>
        </w:rPr>
        <w:t xml:space="preserve"> podávaniu dostupnej profylaktickej liečby.</w:t>
      </w:r>
    </w:p>
    <w:p w14:paraId="33A38371" w14:textId="77777777" w:rsidR="00E751D3" w:rsidRPr="00282792" w:rsidRDefault="00E751D3" w:rsidP="001D462F">
      <w:pPr>
        <w:rPr>
          <w:sz w:val="22"/>
        </w:rPr>
      </w:pPr>
    </w:p>
    <w:p w14:paraId="33A38372" w14:textId="77777777" w:rsidR="00E751D3" w:rsidRPr="00272014" w:rsidRDefault="00E751D3" w:rsidP="001D462F">
      <w:pPr>
        <w:rPr>
          <w:b/>
          <w:bCs/>
          <w:sz w:val="22"/>
          <w:szCs w:val="22"/>
          <w:u w:val="single"/>
        </w:rPr>
      </w:pPr>
      <w:r w:rsidRPr="00272014">
        <w:rPr>
          <w:b/>
          <w:bCs/>
          <w:sz w:val="22"/>
          <w:szCs w:val="22"/>
          <w:u w:val="single"/>
        </w:rPr>
        <w:t>Chronická obštrukčná choroba pľúc (CHOCHP)</w:t>
      </w:r>
    </w:p>
    <w:p w14:paraId="33A38373" w14:textId="44AB5D99" w:rsidR="00E751D3" w:rsidRPr="007834B1" w:rsidRDefault="00E751D3" w:rsidP="001D462F">
      <w:pPr>
        <w:rPr>
          <w:color w:val="000000"/>
          <w:sz w:val="22"/>
          <w:szCs w:val="22"/>
        </w:rPr>
      </w:pPr>
      <w:r w:rsidRPr="00282792">
        <w:rPr>
          <w:color w:val="000000"/>
          <w:sz w:val="22"/>
          <w:szCs w:val="22"/>
        </w:rPr>
        <w:t>Flutikazón</w:t>
      </w:r>
      <w:r w:rsidR="003A7B1B">
        <w:rPr>
          <w:color w:val="000000"/>
          <w:sz w:val="22"/>
          <w:szCs w:val="22"/>
        </w:rPr>
        <w:noBreakHyphen/>
      </w:r>
      <w:r w:rsidRPr="00282792">
        <w:rPr>
          <w:color w:val="000000"/>
          <w:sz w:val="22"/>
          <w:szCs w:val="22"/>
        </w:rPr>
        <w:t>propionát je indikovaný na liečbu CHOCHP, keď sa používa v</w:t>
      </w:r>
      <w:r w:rsidRPr="00E905BD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  <w:szCs w:val="22"/>
        </w:rPr>
        <w:t>kombinácii s</w:t>
      </w:r>
      <w:r w:rsidRPr="00E905BD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  <w:szCs w:val="22"/>
        </w:rPr>
        <w:t>dlhodobo pôsobiacimi bronchodilatanciami (napr. s</w:t>
      </w:r>
      <w:r w:rsidRPr="00E905BD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  <w:szCs w:val="22"/>
        </w:rPr>
        <w:t>dlhodobo pôsobiacimi beta</w:t>
      </w:r>
      <w:r w:rsidRPr="00E905BD">
        <w:rPr>
          <w:color w:val="000000"/>
          <w:sz w:val="22"/>
          <w:szCs w:val="22"/>
        </w:rPr>
        <w:noBreakHyphen/>
      </w:r>
      <w:r w:rsidRPr="00282792">
        <w:rPr>
          <w:color w:val="000000"/>
          <w:sz w:val="22"/>
          <w:szCs w:val="22"/>
        </w:rPr>
        <w:t>agonistami (LABA)).</w:t>
      </w:r>
    </w:p>
    <w:p w14:paraId="33A38374" w14:textId="77777777" w:rsidR="00E751D3" w:rsidRPr="00282792" w:rsidRDefault="00E751D3" w:rsidP="001D462F">
      <w:pPr>
        <w:ind w:left="567" w:hanging="567"/>
        <w:rPr>
          <w:sz w:val="22"/>
          <w:szCs w:val="22"/>
        </w:rPr>
      </w:pPr>
    </w:p>
    <w:p w14:paraId="33A38375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4.2</w:t>
      </w:r>
      <w:r w:rsidRPr="00272014">
        <w:rPr>
          <w:b/>
          <w:sz w:val="22"/>
          <w:szCs w:val="22"/>
        </w:rPr>
        <w:tab/>
        <w:t>Dávkovanie a spôsob podávania</w:t>
      </w:r>
    </w:p>
    <w:p w14:paraId="33A38376" w14:textId="77777777" w:rsidR="00E751D3" w:rsidRPr="00272014" w:rsidRDefault="00E751D3" w:rsidP="001D462F">
      <w:pPr>
        <w:rPr>
          <w:sz w:val="22"/>
          <w:szCs w:val="22"/>
        </w:rPr>
      </w:pPr>
    </w:p>
    <w:p w14:paraId="33A38377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je určený len na perorálnu inhaláciu.</w:t>
      </w:r>
    </w:p>
    <w:p w14:paraId="33A38378" w14:textId="77777777" w:rsidR="00E751D3" w:rsidRPr="00272014" w:rsidRDefault="00E751D3" w:rsidP="001D462F">
      <w:pPr>
        <w:rPr>
          <w:sz w:val="22"/>
          <w:szCs w:val="22"/>
        </w:rPr>
      </w:pPr>
    </w:p>
    <w:p w14:paraId="33A38379" w14:textId="474A3AB9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Pacientom je potrebné vysvetliť, že liečba inhalačným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propionátom má profylaktický charakter a je ju potrebné užívať pravidelne, a to aj v asymptomatickom období.</w:t>
      </w:r>
    </w:p>
    <w:p w14:paraId="33A3837A" w14:textId="77777777" w:rsidR="00E751D3" w:rsidRPr="00272014" w:rsidRDefault="00E751D3" w:rsidP="001D462F">
      <w:pPr>
        <w:rPr>
          <w:sz w:val="22"/>
          <w:szCs w:val="22"/>
        </w:rPr>
      </w:pPr>
    </w:p>
    <w:p w14:paraId="33A3837B" w14:textId="77777777" w:rsidR="00E751D3" w:rsidRDefault="00E751D3" w:rsidP="00282792">
      <w:pPr>
        <w:pStyle w:val="Nadpis2"/>
        <w:spacing w:line="240" w:lineRule="auto"/>
        <w:jc w:val="left"/>
        <w:rPr>
          <w:rFonts w:ascii="Times New Roman" w:hAnsi="Times New Roman"/>
          <w:bCs/>
          <w:sz w:val="22"/>
          <w:szCs w:val="22"/>
        </w:rPr>
      </w:pPr>
      <w:r w:rsidRPr="00272014">
        <w:rPr>
          <w:rFonts w:ascii="Times New Roman" w:hAnsi="Times New Roman"/>
          <w:bCs/>
          <w:sz w:val="22"/>
          <w:szCs w:val="22"/>
        </w:rPr>
        <w:t>Astma</w:t>
      </w:r>
    </w:p>
    <w:p w14:paraId="33A3837C" w14:textId="77777777" w:rsidR="00E751D3" w:rsidRPr="00272014" w:rsidRDefault="00E751D3" w:rsidP="001D462F">
      <w:pPr>
        <w:rPr>
          <w:sz w:val="22"/>
          <w:szCs w:val="22"/>
        </w:rPr>
      </w:pPr>
    </w:p>
    <w:p w14:paraId="33A3837D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Nástup terapeutického účinku je 4 až 7 dní, aj keď u pacientov bez predošlej liečby inhalačnými steroidmi môže byť účinok liečby čiastočne pozorovaný už do 24 hodín.</w:t>
      </w:r>
    </w:p>
    <w:p w14:paraId="33A3837E" w14:textId="77777777" w:rsidR="00E751D3" w:rsidRPr="00272014" w:rsidRDefault="00E751D3" w:rsidP="001D462F">
      <w:pPr>
        <w:rPr>
          <w:sz w:val="22"/>
          <w:szCs w:val="22"/>
        </w:rPr>
      </w:pPr>
    </w:p>
    <w:p w14:paraId="33A3837F" w14:textId="77777777" w:rsidR="00E751D3" w:rsidRPr="00272014" w:rsidRDefault="00E751D3" w:rsidP="001D462F">
      <w:pPr>
        <w:pStyle w:val="Zkladntext3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Ak pacienti zistia, že po liečbe krátkodobo pôsobiacimi bronchodilatanciami nedochádza k bežnej úľave, alebo že potrebujú viac inhalácií ako zvyčajne, musia sa poradiť s lekárom.</w:t>
      </w:r>
    </w:p>
    <w:p w14:paraId="33A38380" w14:textId="77777777" w:rsidR="00E751D3" w:rsidRPr="00272014" w:rsidRDefault="00E751D3" w:rsidP="001D462F">
      <w:pPr>
        <w:rPr>
          <w:sz w:val="22"/>
          <w:szCs w:val="22"/>
        </w:rPr>
      </w:pPr>
    </w:p>
    <w:p w14:paraId="33A38381" w14:textId="77777777" w:rsidR="00E751D3" w:rsidRPr="00272014" w:rsidRDefault="00E751D3" w:rsidP="001D462F">
      <w:pPr>
        <w:rPr>
          <w:i/>
          <w:iCs/>
          <w:sz w:val="22"/>
          <w:szCs w:val="22"/>
          <w:u w:val="single"/>
        </w:rPr>
      </w:pPr>
      <w:r w:rsidRPr="00272014">
        <w:rPr>
          <w:i/>
          <w:iCs/>
          <w:sz w:val="22"/>
          <w:szCs w:val="22"/>
          <w:u w:val="single"/>
        </w:rPr>
        <w:t>Dospelí a deti staršie ako 16</w:t>
      </w:r>
      <w:r>
        <w:rPr>
          <w:i/>
          <w:iCs/>
          <w:sz w:val="22"/>
          <w:szCs w:val="22"/>
          <w:u w:val="single"/>
        </w:rPr>
        <w:t> </w:t>
      </w:r>
      <w:r w:rsidRPr="00272014">
        <w:rPr>
          <w:i/>
          <w:iCs/>
          <w:sz w:val="22"/>
          <w:szCs w:val="22"/>
          <w:u w:val="single"/>
        </w:rPr>
        <w:t>rokov:</w:t>
      </w:r>
    </w:p>
    <w:p w14:paraId="33A38382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100 až 1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000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 dvakrát denne.</w:t>
      </w:r>
    </w:p>
    <w:p w14:paraId="33A38383" w14:textId="77777777" w:rsidR="00E751D3" w:rsidRPr="00272014" w:rsidRDefault="00E751D3" w:rsidP="001D462F">
      <w:pPr>
        <w:rPr>
          <w:sz w:val="22"/>
          <w:szCs w:val="22"/>
        </w:rPr>
      </w:pPr>
    </w:p>
    <w:p w14:paraId="33A38384" w14:textId="4D4336FC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Pacientom sa má podať počiatočná dávka inhalačného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propionátu, ktorá zodpovedá závažnosti ich ochorenia:</w:t>
      </w:r>
    </w:p>
    <w:p w14:paraId="33A38385" w14:textId="77777777" w:rsidR="00E751D3" w:rsidRPr="00272014" w:rsidRDefault="00E751D3" w:rsidP="001D462F">
      <w:pPr>
        <w:rPr>
          <w:sz w:val="22"/>
          <w:szCs w:val="22"/>
        </w:rPr>
      </w:pPr>
    </w:p>
    <w:p w14:paraId="33A38386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Ľahká astma </w:t>
      </w:r>
      <w:r w:rsidRPr="00272014">
        <w:rPr>
          <w:sz w:val="22"/>
          <w:szCs w:val="22"/>
        </w:rPr>
        <w:tab/>
      </w:r>
      <w:r w:rsidRPr="00272014">
        <w:rPr>
          <w:sz w:val="22"/>
          <w:szCs w:val="22"/>
        </w:rPr>
        <w:tab/>
        <w:t>- 100 až 250</w:t>
      </w:r>
      <w:r w:rsidRPr="005436C1">
        <w:rPr>
          <w:sz w:val="22"/>
          <w:szCs w:val="22"/>
        </w:rPr>
        <w:t> </w:t>
      </w:r>
      <w:r w:rsidRPr="00272014">
        <w:rPr>
          <w:sz w:val="22"/>
          <w:szCs w:val="22"/>
        </w:rPr>
        <w:t>μg dvakrát denne.</w:t>
      </w:r>
    </w:p>
    <w:p w14:paraId="33A38387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Stredne ťažká astma </w:t>
      </w:r>
      <w:r w:rsidRPr="00272014">
        <w:rPr>
          <w:sz w:val="22"/>
          <w:szCs w:val="22"/>
        </w:rPr>
        <w:tab/>
        <w:t>- 250 až 500</w:t>
      </w:r>
      <w:r w:rsidRPr="005436C1">
        <w:rPr>
          <w:sz w:val="22"/>
          <w:szCs w:val="22"/>
        </w:rPr>
        <w:t> </w:t>
      </w:r>
      <w:r w:rsidRPr="00272014">
        <w:rPr>
          <w:sz w:val="22"/>
          <w:szCs w:val="22"/>
        </w:rPr>
        <w:t>μg dvakrát denne.</w:t>
      </w:r>
    </w:p>
    <w:p w14:paraId="33A38388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Ťažká astma </w:t>
      </w:r>
      <w:r w:rsidRPr="00272014">
        <w:rPr>
          <w:sz w:val="22"/>
          <w:szCs w:val="22"/>
        </w:rPr>
        <w:tab/>
      </w:r>
      <w:r w:rsidRPr="00272014">
        <w:rPr>
          <w:sz w:val="22"/>
          <w:szCs w:val="22"/>
        </w:rPr>
        <w:tab/>
        <w:t>- 500 až 1</w:t>
      </w:r>
      <w:r w:rsidRPr="005436C1">
        <w:rPr>
          <w:sz w:val="22"/>
          <w:szCs w:val="22"/>
        </w:rPr>
        <w:t> </w:t>
      </w:r>
      <w:r w:rsidRPr="00272014">
        <w:rPr>
          <w:sz w:val="22"/>
          <w:szCs w:val="22"/>
        </w:rPr>
        <w:t>000</w:t>
      </w:r>
      <w:r w:rsidRPr="005436C1">
        <w:rPr>
          <w:sz w:val="22"/>
          <w:szCs w:val="22"/>
        </w:rPr>
        <w:t> </w:t>
      </w:r>
      <w:r w:rsidRPr="00272014">
        <w:rPr>
          <w:sz w:val="22"/>
          <w:szCs w:val="22"/>
        </w:rPr>
        <w:t>μg dvakrát denne.</w:t>
      </w:r>
    </w:p>
    <w:p w14:paraId="33A38389" w14:textId="77777777" w:rsidR="00E751D3" w:rsidRPr="00272014" w:rsidRDefault="00E751D3" w:rsidP="001D462F">
      <w:pPr>
        <w:rPr>
          <w:sz w:val="22"/>
          <w:szCs w:val="22"/>
        </w:rPr>
      </w:pPr>
    </w:p>
    <w:p w14:paraId="33A3838A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Dávka sa môže </w:t>
      </w:r>
      <w:r w:rsidRPr="00272014">
        <w:rPr>
          <w:color w:val="000000"/>
          <w:sz w:val="22"/>
          <w:szCs w:val="22"/>
        </w:rPr>
        <w:t>následne</w:t>
      </w:r>
      <w:r w:rsidRPr="00272014">
        <w:rPr>
          <w:sz w:val="22"/>
          <w:szCs w:val="22"/>
        </w:rPr>
        <w:t xml:space="preserve"> upravovať až do dosiahnutia kontroly </w:t>
      </w:r>
      <w:r>
        <w:rPr>
          <w:sz w:val="22"/>
          <w:szCs w:val="22"/>
        </w:rPr>
        <w:t xml:space="preserve">stavu </w:t>
      </w:r>
      <w:r w:rsidRPr="00272014">
        <w:rPr>
          <w:sz w:val="22"/>
          <w:szCs w:val="22"/>
        </w:rPr>
        <w:t xml:space="preserve">alebo znížiť na minimálnu účinnú dávku, v závislosti od individuálnej odpovede </w:t>
      </w:r>
      <w:r>
        <w:rPr>
          <w:sz w:val="22"/>
          <w:szCs w:val="22"/>
        </w:rPr>
        <w:t xml:space="preserve">pacienta </w:t>
      </w:r>
      <w:r w:rsidRPr="00272014">
        <w:rPr>
          <w:sz w:val="22"/>
          <w:szCs w:val="22"/>
        </w:rPr>
        <w:t>na liečbu.</w:t>
      </w:r>
    </w:p>
    <w:p w14:paraId="33A3838B" w14:textId="77777777" w:rsidR="00E751D3" w:rsidRPr="00272014" w:rsidRDefault="00E751D3" w:rsidP="001D462F">
      <w:pPr>
        <w:rPr>
          <w:sz w:val="22"/>
          <w:szCs w:val="22"/>
        </w:rPr>
      </w:pPr>
    </w:p>
    <w:p w14:paraId="33A3838C" w14:textId="2A787CF5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Počiatočná dávka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sa alternatívne môže stanoviť ako polovica celkovej dennej dávky beklometazóndipropionátu alebo iného ekvivalentu, podávaného prostredníctvom inhalátora s dávkovačom (MDI).</w:t>
      </w:r>
    </w:p>
    <w:p w14:paraId="33A3838D" w14:textId="77777777" w:rsidR="00E751D3" w:rsidRPr="00272014" w:rsidRDefault="00E751D3" w:rsidP="001D462F">
      <w:pPr>
        <w:rPr>
          <w:sz w:val="22"/>
          <w:szCs w:val="22"/>
        </w:rPr>
      </w:pPr>
    </w:p>
    <w:p w14:paraId="33A3838E" w14:textId="77777777" w:rsidR="00E751D3" w:rsidRPr="00272014" w:rsidRDefault="00E751D3" w:rsidP="001D462F">
      <w:pPr>
        <w:rPr>
          <w:i/>
          <w:iCs/>
          <w:sz w:val="22"/>
          <w:szCs w:val="22"/>
          <w:u w:val="single"/>
        </w:rPr>
      </w:pPr>
      <w:r w:rsidRPr="00272014">
        <w:rPr>
          <w:i/>
          <w:iCs/>
          <w:sz w:val="22"/>
          <w:szCs w:val="22"/>
          <w:u w:val="single"/>
        </w:rPr>
        <w:t>Deti vo veku 4</w:t>
      </w:r>
      <w:r>
        <w:rPr>
          <w:i/>
          <w:iCs/>
          <w:sz w:val="22"/>
          <w:szCs w:val="22"/>
          <w:u w:val="single"/>
        </w:rPr>
        <w:t> </w:t>
      </w:r>
      <w:r w:rsidRPr="00272014">
        <w:rPr>
          <w:i/>
          <w:iCs/>
          <w:sz w:val="22"/>
          <w:szCs w:val="22"/>
          <w:u w:val="single"/>
        </w:rPr>
        <w:t>a viac rokov:</w:t>
      </w:r>
    </w:p>
    <w:p w14:paraId="33A3838F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50 až 200</w:t>
      </w:r>
      <w:r w:rsidRPr="005436C1">
        <w:rPr>
          <w:sz w:val="22"/>
          <w:szCs w:val="22"/>
        </w:rPr>
        <w:t> </w:t>
      </w:r>
      <w:r w:rsidRPr="00272014">
        <w:rPr>
          <w:sz w:val="22"/>
          <w:szCs w:val="22"/>
        </w:rPr>
        <w:t>μg dvakrát denne.</w:t>
      </w:r>
    </w:p>
    <w:p w14:paraId="33A38390" w14:textId="77777777" w:rsidR="00E751D3" w:rsidRPr="00272014" w:rsidRDefault="00E751D3" w:rsidP="001D462F">
      <w:pPr>
        <w:rPr>
          <w:sz w:val="22"/>
          <w:szCs w:val="22"/>
        </w:rPr>
      </w:pPr>
    </w:p>
    <w:p w14:paraId="33A38391" w14:textId="77777777" w:rsidR="00E751D3" w:rsidRDefault="00E751D3" w:rsidP="00282792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U mnohých detí sa dobrá kontrola astmy dosiahne pomocou dávkovacieho režimu 50</w:t>
      </w:r>
      <w:r w:rsidRPr="005436C1"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μg až 100</w:t>
      </w:r>
      <w:r w:rsidRPr="005436C1"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μg dvakrát denne. U pacientov s nedostatočnou kontrolou astmy je možné dosiahnuť lepší efekt zvýšením dávky až na 200</w:t>
      </w:r>
      <w:r w:rsidRPr="005436C1"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μg dvakrát denne.</w:t>
      </w:r>
    </w:p>
    <w:p w14:paraId="33A38392" w14:textId="294BF15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lastRenderedPageBreak/>
        <w:t>Deťom sa má podať počiatočná dávka inhalačného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propionátu, ktorá zodpovedá závažnosti ich ochorenia.</w:t>
      </w:r>
    </w:p>
    <w:p w14:paraId="33A38393" w14:textId="77777777" w:rsidR="00E751D3" w:rsidRPr="00272014" w:rsidRDefault="00E751D3" w:rsidP="001D462F">
      <w:pPr>
        <w:rPr>
          <w:sz w:val="22"/>
          <w:szCs w:val="22"/>
        </w:rPr>
      </w:pPr>
    </w:p>
    <w:p w14:paraId="33A38394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Dávka sa môže </w:t>
      </w:r>
      <w:r w:rsidRPr="00272014">
        <w:rPr>
          <w:color w:val="000000"/>
          <w:sz w:val="22"/>
          <w:szCs w:val="22"/>
        </w:rPr>
        <w:t>následne</w:t>
      </w:r>
      <w:r w:rsidRPr="00272014">
        <w:rPr>
          <w:sz w:val="22"/>
          <w:szCs w:val="22"/>
        </w:rPr>
        <w:t xml:space="preserve"> upravovať až do dosiahnutia kontroly </w:t>
      </w:r>
      <w:r>
        <w:rPr>
          <w:sz w:val="22"/>
          <w:szCs w:val="22"/>
        </w:rPr>
        <w:t xml:space="preserve">stavu </w:t>
      </w:r>
      <w:r w:rsidRPr="00272014">
        <w:rPr>
          <w:sz w:val="22"/>
          <w:szCs w:val="22"/>
        </w:rPr>
        <w:t>alebo znížiť na minimálnu účinnú dávku, v závislosti od individuálnej odpovede pacienta na liečbu.</w:t>
      </w:r>
    </w:p>
    <w:p w14:paraId="33A38395" w14:textId="77777777" w:rsidR="00E751D3" w:rsidRPr="00272014" w:rsidRDefault="00E751D3" w:rsidP="001D462F">
      <w:pPr>
        <w:rPr>
          <w:sz w:val="22"/>
          <w:szCs w:val="22"/>
        </w:rPr>
      </w:pPr>
    </w:p>
    <w:p w14:paraId="33A38396" w14:textId="77777777" w:rsidR="00E751D3" w:rsidRPr="00272014" w:rsidRDefault="00E751D3" w:rsidP="001D462F">
      <w:pPr>
        <w:rPr>
          <w:sz w:val="22"/>
          <w:szCs w:val="22"/>
        </w:rPr>
      </w:pPr>
      <w:r w:rsidRPr="00516814">
        <w:rPr>
          <w:i/>
          <w:color w:val="000000"/>
          <w:sz w:val="22"/>
          <w:szCs w:val="22"/>
          <w:u w:val="single"/>
        </w:rPr>
        <w:t>Deti mladšie ako 4</w:t>
      </w:r>
      <w:r>
        <w:rPr>
          <w:i/>
          <w:color w:val="000000"/>
          <w:sz w:val="22"/>
          <w:szCs w:val="22"/>
          <w:u w:val="single"/>
        </w:rPr>
        <w:t> </w:t>
      </w:r>
      <w:r w:rsidRPr="00516814">
        <w:rPr>
          <w:i/>
          <w:color w:val="000000"/>
          <w:sz w:val="22"/>
          <w:szCs w:val="22"/>
          <w:u w:val="single"/>
        </w:rPr>
        <w:t>roky:</w:t>
      </w:r>
    </w:p>
    <w:p w14:paraId="33A38397" w14:textId="77777777" w:rsidR="00E751D3" w:rsidRDefault="00E751D3" w:rsidP="001D462F">
      <w:pPr>
        <w:rPr>
          <w:sz w:val="22"/>
          <w:szCs w:val="22"/>
        </w:rPr>
      </w:pPr>
      <w:r w:rsidRPr="00516814">
        <w:rPr>
          <w:sz w:val="22"/>
          <w:szCs w:val="22"/>
        </w:rPr>
        <w:t>Táto inhalačná pomôcka sa neodporúča používať u</w:t>
      </w:r>
      <w:r>
        <w:rPr>
          <w:sz w:val="22"/>
          <w:szCs w:val="22"/>
        </w:rPr>
        <w:t> </w:t>
      </w:r>
      <w:r w:rsidRPr="00516814">
        <w:rPr>
          <w:sz w:val="22"/>
          <w:szCs w:val="22"/>
        </w:rPr>
        <w:t>detí mladších ako 4</w:t>
      </w:r>
      <w:r>
        <w:rPr>
          <w:sz w:val="22"/>
          <w:szCs w:val="22"/>
        </w:rPr>
        <w:t> </w:t>
      </w:r>
      <w:r w:rsidRPr="00516814">
        <w:rPr>
          <w:sz w:val="22"/>
          <w:szCs w:val="22"/>
        </w:rPr>
        <w:t xml:space="preserve">roky. </w:t>
      </w:r>
    </w:p>
    <w:p w14:paraId="33A38398" w14:textId="77777777" w:rsidR="00E751D3" w:rsidRPr="00282792" w:rsidRDefault="00E751D3" w:rsidP="001D462F">
      <w:pPr>
        <w:rPr>
          <w:sz w:val="22"/>
        </w:rPr>
      </w:pPr>
    </w:p>
    <w:p w14:paraId="33A38399" w14:textId="77777777" w:rsidR="00E751D3" w:rsidRPr="00272014" w:rsidRDefault="00E751D3" w:rsidP="001D462F">
      <w:pPr>
        <w:rPr>
          <w:b/>
          <w:bCs/>
          <w:sz w:val="22"/>
          <w:szCs w:val="22"/>
        </w:rPr>
      </w:pPr>
      <w:r w:rsidRPr="00272014">
        <w:rPr>
          <w:b/>
          <w:bCs/>
          <w:sz w:val="22"/>
          <w:szCs w:val="22"/>
        </w:rPr>
        <w:t>Chronická obštrukčná choroba pľúc (CHOCHP)</w:t>
      </w:r>
    </w:p>
    <w:p w14:paraId="33A3839A" w14:textId="77777777" w:rsidR="00E751D3" w:rsidRPr="00272014" w:rsidRDefault="00E751D3" w:rsidP="001D462F">
      <w:pPr>
        <w:rPr>
          <w:sz w:val="22"/>
          <w:szCs w:val="22"/>
        </w:rPr>
      </w:pPr>
    </w:p>
    <w:p w14:paraId="33A3839B" w14:textId="77777777" w:rsidR="00E751D3" w:rsidRPr="007834B1" w:rsidRDefault="00E751D3" w:rsidP="001D462F">
      <w:pPr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Dospelí:</w:t>
      </w:r>
    </w:p>
    <w:p w14:paraId="33A3839C" w14:textId="77777777" w:rsidR="00E751D3" w:rsidRPr="007834B1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>500 μg dvakrát denne</w:t>
      </w:r>
      <w:r w:rsidRPr="00282792">
        <w:rPr>
          <w:color w:val="000000"/>
          <w:sz w:val="22"/>
          <w:szCs w:val="22"/>
        </w:rPr>
        <w:t xml:space="preserve"> podávaných ako prídavná liečba k</w:t>
      </w:r>
      <w:r w:rsidRPr="0057495B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  <w:szCs w:val="22"/>
        </w:rPr>
        <w:t>dlhodobo pôsobiacim bronchodilatanciám (napr. LABA)</w:t>
      </w:r>
      <w:r>
        <w:rPr>
          <w:sz w:val="22"/>
          <w:szCs w:val="22"/>
        </w:rPr>
        <w:t>.</w:t>
      </w:r>
    </w:p>
    <w:p w14:paraId="33A3839D" w14:textId="77777777" w:rsidR="00E751D3" w:rsidRPr="007834B1" w:rsidRDefault="00E751D3" w:rsidP="001D462F">
      <w:pPr>
        <w:rPr>
          <w:sz w:val="22"/>
          <w:szCs w:val="22"/>
        </w:rPr>
      </w:pPr>
    </w:p>
    <w:p w14:paraId="33A3839E" w14:textId="77777777" w:rsidR="00E751D3" w:rsidRPr="007834B1" w:rsidRDefault="00E751D3" w:rsidP="001D462F">
      <w:pPr>
        <w:rPr>
          <w:sz w:val="22"/>
          <w:szCs w:val="22"/>
        </w:rPr>
      </w:pPr>
      <w:smartTag w:uri="urn:schemas-microsoft-com:office:smarttags" w:element="PersonName">
        <w:r w:rsidRPr="00282792">
          <w:rPr>
            <w:color w:val="000000"/>
            <w:sz w:val="22"/>
            <w:szCs w:val="22"/>
          </w:rPr>
          <w:t>Liek</w:t>
        </w:r>
      </w:smartTag>
      <w:r w:rsidRPr="00282792">
        <w:rPr>
          <w:color w:val="000000"/>
          <w:sz w:val="22"/>
        </w:rPr>
        <w:t xml:space="preserve"> sa musí používať každý deň</w:t>
      </w:r>
      <w:r w:rsidRPr="00282792">
        <w:rPr>
          <w:color w:val="000000"/>
          <w:sz w:val="22"/>
          <w:szCs w:val="22"/>
        </w:rPr>
        <w:t>, aby</w:t>
      </w:r>
      <w:r w:rsidRPr="00282792">
        <w:rPr>
          <w:color w:val="000000"/>
          <w:sz w:val="22"/>
        </w:rPr>
        <w:t xml:space="preserve"> sa </w:t>
      </w:r>
      <w:r w:rsidRPr="00282792">
        <w:rPr>
          <w:color w:val="000000"/>
          <w:sz w:val="22"/>
          <w:szCs w:val="22"/>
        </w:rPr>
        <w:t>dosiahol optimálny účinok, čo môže trvať</w:t>
      </w:r>
      <w:r w:rsidRPr="00282792">
        <w:rPr>
          <w:color w:val="000000"/>
          <w:sz w:val="22"/>
        </w:rPr>
        <w:t xml:space="preserve"> 3</w:t>
      </w:r>
      <w:r w:rsidRPr="0057495B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</w:rPr>
        <w:t>až</w:t>
      </w:r>
      <w:r w:rsidRPr="0057495B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</w:rPr>
        <w:t>6</w:t>
      </w:r>
      <w:r w:rsidRPr="0057495B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</w:rPr>
        <w:t>mesiacov</w:t>
      </w:r>
      <w:r>
        <w:rPr>
          <w:sz w:val="22"/>
        </w:rPr>
        <w:t>.</w:t>
      </w:r>
      <w:r>
        <w:rPr>
          <w:sz w:val="22"/>
          <w:szCs w:val="22"/>
        </w:rPr>
        <w:t xml:space="preserve"> Ak však po uplynutí 3 až 6 mesiacov nenastane žiadne zlepšenie, pacient má podstúpiť lekárske vyšetrenie.</w:t>
      </w:r>
    </w:p>
    <w:p w14:paraId="33A3839F" w14:textId="77777777" w:rsidR="00E751D3" w:rsidRPr="007834B1" w:rsidRDefault="00E751D3" w:rsidP="001D462F">
      <w:pPr>
        <w:rPr>
          <w:sz w:val="22"/>
          <w:szCs w:val="22"/>
        </w:rPr>
      </w:pPr>
    </w:p>
    <w:p w14:paraId="33A383A0" w14:textId="77777777" w:rsidR="00E751D3" w:rsidRDefault="00E751D3" w:rsidP="001D462F">
      <w:pPr>
        <w:rPr>
          <w:sz w:val="22"/>
          <w:szCs w:val="22"/>
        </w:rPr>
      </w:pPr>
      <w:r w:rsidRPr="00282792">
        <w:rPr>
          <w:color w:val="000000"/>
          <w:sz w:val="22"/>
          <w:szCs w:val="22"/>
        </w:rPr>
        <w:t>Na podanie uvedenej dávky je vhodný len</w:t>
      </w:r>
      <w:r w:rsidRPr="00282792">
        <w:rPr>
          <w:sz w:val="22"/>
          <w:szCs w:val="22"/>
        </w:rPr>
        <w:t xml:space="preserve"> Flixotide Diskus 250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μg alebo Flixotide Diskus 500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μg</w:t>
      </w:r>
      <w:r>
        <w:rPr>
          <w:sz w:val="22"/>
          <w:szCs w:val="22"/>
        </w:rPr>
        <w:t>.</w:t>
      </w:r>
    </w:p>
    <w:p w14:paraId="33A383A1" w14:textId="77777777" w:rsidR="00E751D3" w:rsidRPr="00272014" w:rsidRDefault="00E751D3" w:rsidP="001D462F">
      <w:pPr>
        <w:rPr>
          <w:sz w:val="22"/>
          <w:szCs w:val="22"/>
        </w:rPr>
      </w:pPr>
    </w:p>
    <w:p w14:paraId="33A383A2" w14:textId="77777777" w:rsidR="00E751D3" w:rsidRPr="00272014" w:rsidRDefault="00E751D3" w:rsidP="001D462F">
      <w:pPr>
        <w:rPr>
          <w:i/>
          <w:color w:val="000000"/>
          <w:sz w:val="22"/>
          <w:szCs w:val="22"/>
          <w:u w:val="single"/>
        </w:rPr>
      </w:pPr>
      <w:r w:rsidRPr="00272014">
        <w:rPr>
          <w:i/>
          <w:color w:val="000000"/>
          <w:sz w:val="22"/>
          <w:szCs w:val="22"/>
          <w:u w:val="single"/>
        </w:rPr>
        <w:t>Osobitné skupiny pacientov</w:t>
      </w:r>
    </w:p>
    <w:p w14:paraId="33A383A3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U starších pacientov alebo u pacientov s poruchou funkcie pečene alebo obličiek nie je potrebná úprava dávky.</w:t>
      </w:r>
    </w:p>
    <w:p w14:paraId="33A383A4" w14:textId="77777777" w:rsidR="00E751D3" w:rsidRPr="00272014" w:rsidRDefault="00E751D3" w:rsidP="001D462F">
      <w:pPr>
        <w:rPr>
          <w:sz w:val="22"/>
          <w:szCs w:val="22"/>
        </w:rPr>
      </w:pPr>
    </w:p>
    <w:p w14:paraId="33A383A5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4.3</w:t>
      </w:r>
      <w:r w:rsidRPr="00272014">
        <w:rPr>
          <w:b/>
          <w:sz w:val="22"/>
          <w:szCs w:val="22"/>
        </w:rPr>
        <w:tab/>
        <w:t>Kontraindikácie</w:t>
      </w:r>
    </w:p>
    <w:p w14:paraId="33A383A6" w14:textId="77777777" w:rsidR="00E751D3" w:rsidRPr="00272014" w:rsidRDefault="00E751D3" w:rsidP="001D462F">
      <w:pPr>
        <w:rPr>
          <w:sz w:val="22"/>
          <w:szCs w:val="22"/>
        </w:rPr>
      </w:pPr>
    </w:p>
    <w:p w14:paraId="33A383A7" w14:textId="03052866" w:rsidR="00E751D3" w:rsidRPr="00272014" w:rsidRDefault="00622C34" w:rsidP="001D462F">
      <w:pPr>
        <w:rPr>
          <w:sz w:val="22"/>
          <w:szCs w:val="22"/>
        </w:rPr>
      </w:pPr>
      <w:r w:rsidRPr="00F879CB">
        <w:rPr>
          <w:sz w:val="22"/>
          <w:szCs w:val="22"/>
        </w:rPr>
        <w:t>Tento liek je kontraindikovaný u pacientov so</w:t>
      </w:r>
      <w:r w:rsidR="00346B57" w:rsidRPr="00F879CB">
        <w:rPr>
          <w:sz w:val="22"/>
          <w:szCs w:val="22"/>
        </w:rPr>
        <w:t> </w:t>
      </w:r>
      <w:r w:rsidRPr="00F879CB">
        <w:rPr>
          <w:sz w:val="22"/>
          <w:szCs w:val="22"/>
        </w:rPr>
        <w:t>závažnou alergiou na mliečny proteín alebo u ktorých sa preukázala p</w:t>
      </w:r>
      <w:r w:rsidR="00E751D3" w:rsidRPr="00F879CB">
        <w:rPr>
          <w:sz w:val="22"/>
          <w:szCs w:val="22"/>
        </w:rPr>
        <w:t>recitlivenosť na liečivo alebo na ktorúkoľvek z pomocných látok uvedených v časti 6.1.</w:t>
      </w:r>
    </w:p>
    <w:p w14:paraId="33A383A8" w14:textId="77777777" w:rsidR="00E751D3" w:rsidRPr="00272014" w:rsidRDefault="00E751D3" w:rsidP="001D462F">
      <w:pPr>
        <w:rPr>
          <w:sz w:val="22"/>
          <w:szCs w:val="22"/>
        </w:rPr>
      </w:pPr>
    </w:p>
    <w:p w14:paraId="33A383A9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4.4</w:t>
      </w:r>
      <w:r w:rsidRPr="00272014">
        <w:rPr>
          <w:b/>
          <w:sz w:val="22"/>
          <w:szCs w:val="22"/>
        </w:rPr>
        <w:tab/>
        <w:t>Osobitné upozornenia a opatrenia pri používaní</w:t>
      </w:r>
    </w:p>
    <w:p w14:paraId="33A383AA" w14:textId="77777777" w:rsidR="00E751D3" w:rsidRPr="00272014" w:rsidRDefault="00E751D3" w:rsidP="001D462F">
      <w:pPr>
        <w:rPr>
          <w:sz w:val="22"/>
          <w:szCs w:val="22"/>
        </w:rPr>
      </w:pPr>
    </w:p>
    <w:p w14:paraId="33A383AB" w14:textId="77777777" w:rsidR="00E751D3" w:rsidRPr="00272014" w:rsidRDefault="00E751D3" w:rsidP="001D462F">
      <w:pPr>
        <w:ind w:right="-85"/>
        <w:rPr>
          <w:sz w:val="22"/>
          <w:szCs w:val="22"/>
        </w:rPr>
      </w:pPr>
      <w:r>
        <w:rPr>
          <w:sz w:val="22"/>
          <w:szCs w:val="22"/>
        </w:rPr>
        <w:t>Zvýšené používanie krátkodobo pôsobiacich inhalačných β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-agonistov na zmiernenie príznakov astmy</w:t>
      </w:r>
      <w:r w:rsidRPr="00272014">
        <w:rPr>
          <w:sz w:val="22"/>
          <w:szCs w:val="22"/>
        </w:rPr>
        <w:t xml:space="preserve"> svedčí o zhoršení kontroly astmy. V takomto prípade sa má prehodnotiť terapeutický plán pacienta.</w:t>
      </w:r>
    </w:p>
    <w:p w14:paraId="33A383AC" w14:textId="77777777" w:rsidR="00E751D3" w:rsidRPr="00272014" w:rsidRDefault="00E751D3" w:rsidP="001D462F">
      <w:pPr>
        <w:ind w:right="-85"/>
        <w:rPr>
          <w:sz w:val="22"/>
          <w:szCs w:val="22"/>
        </w:rPr>
      </w:pPr>
    </w:p>
    <w:p w14:paraId="33A383AD" w14:textId="77777777" w:rsidR="00E751D3" w:rsidRPr="00272014" w:rsidRDefault="00E751D3" w:rsidP="001D462F">
      <w:pPr>
        <w:ind w:right="-85"/>
        <w:rPr>
          <w:sz w:val="22"/>
          <w:szCs w:val="22"/>
        </w:rPr>
      </w:pPr>
      <w:r w:rsidRPr="00272014">
        <w:rPr>
          <w:sz w:val="22"/>
          <w:szCs w:val="22"/>
        </w:rPr>
        <w:t>Náhle a pokračujúce zhoršovanie kontroly astmy je potenciálne život ohrozujúce a je potrebné zvážiť zvýšenie dávky kortikosteroidov. U rizikových pacientov môže byť vhodné každodenné sledovanie maximálneho výdychového prietoku.</w:t>
      </w:r>
    </w:p>
    <w:p w14:paraId="33A383AE" w14:textId="77777777" w:rsidR="00E751D3" w:rsidRPr="00272014" w:rsidRDefault="00E751D3" w:rsidP="001D462F">
      <w:pPr>
        <w:ind w:right="-85"/>
        <w:rPr>
          <w:sz w:val="22"/>
          <w:szCs w:val="22"/>
        </w:rPr>
      </w:pPr>
    </w:p>
    <w:p w14:paraId="33A383AF" w14:textId="77EB87AD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Systémové účinky sa môžu objaviť pri akýchkoľvek inhalačných kortikosteroidoch, hlavne pri dlhodobom užívaní vysokých dávok. Výskyt týchto účinkov je oveľa menej pravdepodobný ako pri perorálnych kortikosteroidoch (pozri časť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4.9). Možné systémové účinky zahŕňajú Cushingov syndróm, Cushingoidné prejavy, útlm funkcie nadobličiek, spomalenie rastu u detí a </w:t>
      </w:r>
      <w:r>
        <w:rPr>
          <w:rFonts w:ascii="Times New Roman" w:hAnsi="Times New Roman"/>
          <w:sz w:val="22"/>
          <w:szCs w:val="22"/>
        </w:rPr>
        <w:t>dospievajúcich</w:t>
      </w:r>
      <w:r w:rsidRPr="00272014">
        <w:rPr>
          <w:rFonts w:ascii="Times New Roman" w:hAnsi="Times New Roman"/>
          <w:sz w:val="22"/>
          <w:szCs w:val="22"/>
        </w:rPr>
        <w:t>, zníženie kostnej denzity</w:t>
      </w:r>
      <w:r>
        <w:rPr>
          <w:rFonts w:ascii="Times New Roman" w:hAnsi="Times New Roman"/>
          <w:sz w:val="22"/>
          <w:szCs w:val="22"/>
        </w:rPr>
        <w:t xml:space="preserve"> a </w:t>
      </w:r>
      <w:r w:rsidRPr="00747BCE">
        <w:rPr>
          <w:rFonts w:ascii="Times New Roman" w:hAnsi="Times New Roman"/>
          <w:sz w:val="22"/>
          <w:szCs w:val="22"/>
        </w:rPr>
        <w:t>zriedkavejšie aj rôzne účinky na psychiku alebo správanie zahŕňajúce psychomotorickú hyperaktivitu, poruchy spánku, úzkosť, depresiu alebo agresivitu (hlavne u</w:t>
      </w:r>
      <w:r>
        <w:rPr>
          <w:rFonts w:ascii="Times New Roman" w:hAnsi="Times New Roman"/>
          <w:sz w:val="22"/>
          <w:szCs w:val="22"/>
        </w:rPr>
        <w:t> </w:t>
      </w:r>
      <w:r w:rsidRPr="00747BCE">
        <w:rPr>
          <w:rFonts w:ascii="Times New Roman" w:hAnsi="Times New Roman"/>
          <w:sz w:val="22"/>
          <w:szCs w:val="22"/>
        </w:rPr>
        <w:t>detí</w:t>
      </w:r>
      <w:r>
        <w:rPr>
          <w:rFonts w:ascii="Times New Roman" w:hAnsi="Times New Roman"/>
          <w:sz w:val="22"/>
          <w:szCs w:val="22"/>
        </w:rPr>
        <w:t>)</w:t>
      </w:r>
      <w:r w:rsidRPr="00272014">
        <w:rPr>
          <w:rFonts w:ascii="Times New Roman" w:hAnsi="Times New Roman"/>
          <w:sz w:val="22"/>
          <w:szCs w:val="22"/>
        </w:rPr>
        <w:t>. Preto je dôležité, aby bola dávka inhalačného kortikosteroidu podávaná v najnižšej dávke, pri ktorej je zachovaná účinná kontrola astmy (pozri časť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4.8).</w:t>
      </w:r>
    </w:p>
    <w:p w14:paraId="33A383B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Odporúča sa pravidelné monitorovanie výšky u detí dlhodobo užívajúcich inhalačné kortikosteroidy.</w:t>
      </w:r>
    </w:p>
    <w:p w14:paraId="33A383B2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3" w14:textId="6C92BADA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Pre možnosť </w:t>
      </w:r>
      <w:r>
        <w:rPr>
          <w:rFonts w:ascii="Times New Roman" w:hAnsi="Times New Roman"/>
          <w:sz w:val="22"/>
          <w:szCs w:val="22"/>
        </w:rPr>
        <w:t>porušenia</w:t>
      </w:r>
      <w:r w:rsidRPr="00272014">
        <w:rPr>
          <w:rFonts w:ascii="Times New Roman" w:hAnsi="Times New Roman"/>
          <w:sz w:val="22"/>
          <w:szCs w:val="22"/>
        </w:rPr>
        <w:t xml:space="preserve"> funkcie nadobličiek majú byť pacienti prechádzajúci z liečby perorálnymi steroidmi na liečbu inhalačným 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propionátom liečení so zvláštnou opatrnosťou a funkcia kôry nadobličiek má byť pravidelne sledovaná.</w:t>
      </w:r>
    </w:p>
    <w:p w14:paraId="33A383B4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5" w14:textId="4A3FCEBE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 nasadení inhalačného 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má byť vysadenie systémovej liečby postupné a pacientom sa má odporučiť, aby so sebou nosili kartu upozorňujúcu na to, že v čase stresu môžu potrebovať prídavnú liečbu steroidmi.</w:t>
      </w:r>
    </w:p>
    <w:p w14:paraId="33A383B6" w14:textId="77777777" w:rsidR="00E751D3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7" w14:textId="77777777" w:rsidR="00E751D3" w:rsidRPr="00C57A53" w:rsidRDefault="00E751D3" w:rsidP="00F879CB">
      <w:pPr>
        <w:pStyle w:val="Zkladntext"/>
        <w:keepNext/>
        <w:keepLines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82792">
        <w:rPr>
          <w:rFonts w:ascii="Times New Roman" w:hAnsi="Times New Roman"/>
          <w:sz w:val="22"/>
          <w:szCs w:val="22"/>
        </w:rPr>
        <w:t>V kritických situáciách (vrátane chirurgického zákroku) a</w:t>
      </w:r>
      <w:r w:rsidRPr="0057495B">
        <w:rPr>
          <w:rFonts w:ascii="Times New Roman" w:hAnsi="Times New Roman"/>
          <w:sz w:val="22"/>
          <w:szCs w:val="22"/>
        </w:rPr>
        <w:t> </w:t>
      </w:r>
      <w:r w:rsidRPr="00282792">
        <w:rPr>
          <w:rFonts w:ascii="Times New Roman" w:hAnsi="Times New Roman"/>
          <w:sz w:val="22"/>
          <w:szCs w:val="22"/>
        </w:rPr>
        <w:t xml:space="preserve">aj v určitých situáciách, ktoré pravdepodobne </w:t>
      </w:r>
      <w:r>
        <w:rPr>
          <w:rFonts w:ascii="Times New Roman" w:hAnsi="Times New Roman"/>
          <w:sz w:val="22"/>
          <w:szCs w:val="22"/>
        </w:rPr>
        <w:t>produkujú</w:t>
      </w:r>
      <w:r w:rsidRPr="00282792">
        <w:rPr>
          <w:rFonts w:ascii="Times New Roman" w:hAnsi="Times New Roman"/>
          <w:sz w:val="22"/>
          <w:szCs w:val="22"/>
        </w:rPr>
        <w:t xml:space="preserve"> stres, je vždy potrebné myslieť na možnosť </w:t>
      </w:r>
      <w:r>
        <w:rPr>
          <w:rFonts w:ascii="Times New Roman" w:hAnsi="Times New Roman"/>
          <w:sz w:val="22"/>
          <w:szCs w:val="22"/>
        </w:rPr>
        <w:t>po</w:t>
      </w:r>
      <w:r w:rsidRPr="00282792">
        <w:rPr>
          <w:rFonts w:ascii="Times New Roman" w:hAnsi="Times New Roman"/>
          <w:sz w:val="22"/>
          <w:szCs w:val="22"/>
        </w:rPr>
        <w:t xml:space="preserve">rušenej </w:t>
      </w:r>
      <w:r>
        <w:rPr>
          <w:rFonts w:ascii="Times New Roman" w:hAnsi="Times New Roman"/>
          <w:sz w:val="22"/>
          <w:szCs w:val="22"/>
        </w:rPr>
        <w:t>funkcie nadobličiek</w:t>
      </w:r>
      <w:r w:rsidRPr="00282792">
        <w:rPr>
          <w:rFonts w:ascii="Times New Roman" w:hAnsi="Times New Roman"/>
          <w:sz w:val="22"/>
          <w:szCs w:val="22"/>
        </w:rPr>
        <w:t>, a</w:t>
      </w:r>
      <w:r w:rsidRPr="0057495B">
        <w:rPr>
          <w:rFonts w:ascii="Times New Roman" w:hAnsi="Times New Roman"/>
          <w:sz w:val="22"/>
          <w:szCs w:val="22"/>
        </w:rPr>
        <w:t> </w:t>
      </w:r>
      <w:r w:rsidRPr="00282792">
        <w:rPr>
          <w:rFonts w:ascii="Times New Roman" w:hAnsi="Times New Roman"/>
          <w:sz w:val="22"/>
          <w:szCs w:val="22"/>
        </w:rPr>
        <w:t>to hlavne u</w:t>
      </w:r>
      <w:r w:rsidRPr="0057495B">
        <w:rPr>
          <w:rFonts w:ascii="Times New Roman" w:hAnsi="Times New Roman"/>
          <w:sz w:val="22"/>
          <w:szCs w:val="22"/>
        </w:rPr>
        <w:t> </w:t>
      </w:r>
      <w:r w:rsidRPr="00282792">
        <w:rPr>
          <w:rFonts w:ascii="Times New Roman" w:hAnsi="Times New Roman"/>
          <w:sz w:val="22"/>
          <w:szCs w:val="22"/>
        </w:rPr>
        <w:t>pacientov, ktorí dlhodobo užívajú vysoké dávky. Musí sa zvážiť prídavná liečba kortikosteroidmi, ktorá je vhodná pre danú klinickú situáciu (pozri časť</w:t>
      </w:r>
      <w:r w:rsidRPr="0057495B">
        <w:rPr>
          <w:rFonts w:ascii="Times New Roman" w:hAnsi="Times New Roman"/>
          <w:sz w:val="22"/>
          <w:szCs w:val="22"/>
        </w:rPr>
        <w:t> </w:t>
      </w:r>
      <w:r w:rsidRPr="00282792">
        <w:rPr>
          <w:rFonts w:ascii="Times New Roman" w:hAnsi="Times New Roman"/>
          <w:sz w:val="22"/>
          <w:szCs w:val="22"/>
        </w:rPr>
        <w:t>4.9).</w:t>
      </w:r>
    </w:p>
    <w:p w14:paraId="33A383B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9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Nahradenie liečby systémovými steroidmi inhalačnou liečbou môže tiež demaskovať alergie, ako sú alergická rinitída alebo ekzém, predtým potlačené systémovým </w:t>
      </w:r>
      <w:r>
        <w:rPr>
          <w:rFonts w:ascii="Times New Roman" w:hAnsi="Times New Roman"/>
          <w:sz w:val="22"/>
          <w:szCs w:val="22"/>
        </w:rPr>
        <w:t>liekom</w:t>
      </w:r>
      <w:r>
        <w:rPr>
          <w:rFonts w:ascii="Times New Roman" w:hAnsi="Times New Roman"/>
          <w:sz w:val="22"/>
        </w:rPr>
        <w:t>.</w:t>
      </w:r>
    </w:p>
    <w:p w14:paraId="33A383BA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B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Liečba </w:t>
      </w:r>
      <w:r>
        <w:rPr>
          <w:rFonts w:ascii="Times New Roman" w:hAnsi="Times New Roman"/>
          <w:sz w:val="22"/>
          <w:szCs w:val="22"/>
        </w:rPr>
        <w:t>liekom</w:t>
      </w:r>
      <w:r w:rsidRPr="00272014">
        <w:rPr>
          <w:rFonts w:ascii="Times New Roman" w:hAnsi="Times New Roman"/>
          <w:sz w:val="22"/>
          <w:szCs w:val="22"/>
        </w:rPr>
        <w:t xml:space="preserve"> Flixotide Diskus sa nesmie ukončiť náhle.</w:t>
      </w:r>
    </w:p>
    <w:p w14:paraId="33A383BC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D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Veľmi zriedkavo boli hlásené prípady zvýšených hladín glukózy v krvi (pozri časť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4.8), na tento poznatok je potrebné myslieť pri predpisovaní tohto lieku pacientom s diabetom mellitus v anamnéze.</w:t>
      </w:r>
    </w:p>
    <w:p w14:paraId="33A383BE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F" w14:textId="77777777" w:rsidR="00E751D3" w:rsidRPr="00272014" w:rsidRDefault="00E751D3" w:rsidP="001D462F">
      <w:pPr>
        <w:ind w:right="-85"/>
        <w:rPr>
          <w:sz w:val="22"/>
          <w:szCs w:val="22"/>
        </w:rPr>
      </w:pPr>
      <w:r w:rsidRPr="00272014">
        <w:rPr>
          <w:sz w:val="22"/>
          <w:szCs w:val="22"/>
        </w:rPr>
        <w:t>Tak ako u všetkých inhalačných kortikosteroidov, zvláštnu opatrnosť je potrebné venovať pacientom s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aktívnou alebo inaktívnou</w:t>
      </w:r>
      <w:r>
        <w:rPr>
          <w:sz w:val="22"/>
          <w:szCs w:val="22"/>
        </w:rPr>
        <w:t xml:space="preserve"> pľúcnou</w:t>
      </w:r>
      <w:r w:rsidRPr="00272014">
        <w:rPr>
          <w:sz w:val="22"/>
          <w:szCs w:val="22"/>
        </w:rPr>
        <w:t xml:space="preserve"> tuberkulózou.</w:t>
      </w:r>
    </w:p>
    <w:p w14:paraId="33A383C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C1" w14:textId="21C0E1A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Počas postmarketingového používania boli hlásené klinicky významné liekové interakcie u pacientov užívajúcich 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a ritonavir, ktoré mali za následok systémové účinky kortikosteroidov vrátane Cushingovho syndrómu a útlmu funkcie nadobličiek. Z tohto dôvodu je potrebné sa vyhnúť sú</w:t>
      </w:r>
      <w:r w:rsidR="00B33305">
        <w:rPr>
          <w:rFonts w:ascii="Times New Roman" w:hAnsi="Times New Roman"/>
          <w:sz w:val="22"/>
          <w:szCs w:val="22"/>
        </w:rPr>
        <w:t>bežnému</w:t>
      </w:r>
      <w:r w:rsidRPr="00272014">
        <w:rPr>
          <w:rFonts w:ascii="Times New Roman" w:hAnsi="Times New Roman"/>
          <w:sz w:val="22"/>
          <w:szCs w:val="22"/>
        </w:rPr>
        <w:t xml:space="preserve"> použitiu 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a ritonaviru, pokiaľ možný prínos pre pacienta neprevyšuje riziko systémových vedľajších účinkov kortikosteroidov (pozri časť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4.5).</w:t>
      </w:r>
    </w:p>
    <w:p w14:paraId="33A383C2" w14:textId="77777777" w:rsidR="00E751D3" w:rsidRDefault="00E751D3" w:rsidP="001D462F">
      <w:pPr>
        <w:pStyle w:val="Zkladntext"/>
        <w:spacing w:line="240" w:lineRule="auto"/>
        <w:jc w:val="left"/>
        <w:rPr>
          <w:sz w:val="22"/>
        </w:rPr>
      </w:pPr>
    </w:p>
    <w:p w14:paraId="33A383C3" w14:textId="59E62FDE" w:rsidR="00E751D3" w:rsidRPr="00282792" w:rsidRDefault="00E751D3" w:rsidP="001D462F">
      <w:pPr>
        <w:rPr>
          <w:sz w:val="22"/>
          <w:szCs w:val="22"/>
        </w:rPr>
      </w:pPr>
      <w:r w:rsidRPr="00282792">
        <w:rPr>
          <w:sz w:val="22"/>
          <w:szCs w:val="22"/>
        </w:rPr>
        <w:t>Tak ako pri inej inhalačnej liečbe, môže dôjsť k paradoxnému bronchospazmu s okamžitým zhoršením piskotu po podaní dávky. Tento stav je nutné okamžite liečiť podaním rýchlo a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krátkodobo pôsobiaceho inhalačného bronchodilatancia. Používanie flutikazón</w:t>
      </w:r>
      <w:r w:rsidR="003A7B1B">
        <w:rPr>
          <w:sz w:val="22"/>
          <w:szCs w:val="22"/>
        </w:rPr>
        <w:noBreakHyphen/>
      </w:r>
      <w:r w:rsidRPr="00282792">
        <w:rPr>
          <w:sz w:val="22"/>
          <w:szCs w:val="22"/>
        </w:rPr>
        <w:t>propionátu sa musí ihneď prerušiť, pacienta treba vyšetriť a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v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prípade potreby treba začať alternatívnu liečbu (pozri časť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4.8).</w:t>
      </w:r>
    </w:p>
    <w:p w14:paraId="33A383C4" w14:textId="77777777" w:rsidR="00E751D3" w:rsidRPr="00F879CB" w:rsidRDefault="00E751D3" w:rsidP="00282792">
      <w:pPr>
        <w:pStyle w:val="Zkladntext"/>
        <w:spacing w:line="240" w:lineRule="auto"/>
        <w:jc w:val="left"/>
        <w:rPr>
          <w:rFonts w:ascii="Times New Roman" w:hAnsi="Times New Roman"/>
          <w:sz w:val="22"/>
          <w:highlight w:val="yellow"/>
        </w:rPr>
      </w:pPr>
    </w:p>
    <w:p w14:paraId="33A383C5" w14:textId="77777777" w:rsidR="004E559F" w:rsidRPr="00C82914" w:rsidRDefault="00E87C6C" w:rsidP="004E559F">
      <w:pPr>
        <w:keepNext/>
        <w:keepLines/>
        <w:rPr>
          <w:iCs/>
          <w:sz w:val="22"/>
          <w:szCs w:val="22"/>
          <w:u w:val="single"/>
        </w:rPr>
      </w:pPr>
      <w:r w:rsidRPr="00C82914">
        <w:rPr>
          <w:iCs/>
          <w:sz w:val="22"/>
          <w:szCs w:val="22"/>
          <w:u w:val="single"/>
        </w:rPr>
        <w:t>Pneumónia u pacientov s CHOCHP</w:t>
      </w:r>
    </w:p>
    <w:p w14:paraId="33A383C6" w14:textId="77777777" w:rsidR="004E559F" w:rsidRPr="00C82914" w:rsidRDefault="00E87C6C" w:rsidP="004E559F">
      <w:pPr>
        <w:rPr>
          <w:iCs/>
          <w:sz w:val="22"/>
          <w:szCs w:val="22"/>
        </w:rPr>
      </w:pPr>
      <w:r w:rsidRPr="00C82914">
        <w:rPr>
          <w:iCs/>
          <w:sz w:val="22"/>
          <w:szCs w:val="22"/>
        </w:rPr>
        <w:t>U pacientov s CHOCHP liečených inhalačnými kortikosteroidmi sa pozorovalo zvýšenie výskytu pneumónií vrátane pneumónií vyžadujúcich hospitalizáciu. Existuje niekoľko dôkazov o zvýšenom riziku pneumónií so zvyšujúcou sa dávkou steroidu, ale nepreukázalo sa to presvedčivo naprieč všetkými štúdiami.</w:t>
      </w:r>
    </w:p>
    <w:p w14:paraId="33A383C7" w14:textId="77777777" w:rsidR="004E559F" w:rsidRPr="00C82914" w:rsidRDefault="00E87C6C" w:rsidP="004E559F">
      <w:pPr>
        <w:rPr>
          <w:iCs/>
          <w:sz w:val="22"/>
          <w:szCs w:val="22"/>
        </w:rPr>
      </w:pPr>
      <w:r w:rsidRPr="00C82914">
        <w:rPr>
          <w:iCs/>
          <w:sz w:val="22"/>
          <w:szCs w:val="22"/>
        </w:rPr>
        <w:t>Neexistuje žiadny presvedčivý klinický dôkaz o rozdieloch vo veľkosti rizika pneumónií v rámci skupiny inhalačných kortikosteroidov.</w:t>
      </w:r>
    </w:p>
    <w:p w14:paraId="33A383C8" w14:textId="77777777" w:rsidR="004E559F" w:rsidRPr="00C82914" w:rsidRDefault="00E87C6C" w:rsidP="004E559F">
      <w:pPr>
        <w:rPr>
          <w:bCs/>
          <w:sz w:val="22"/>
          <w:szCs w:val="22"/>
        </w:rPr>
      </w:pPr>
      <w:r w:rsidRPr="00C82914">
        <w:rPr>
          <w:bCs/>
          <w:sz w:val="22"/>
          <w:szCs w:val="22"/>
        </w:rPr>
        <w:t>U pacientov s CHOCHP musia lekári zostať ostražití kvôli možnému vzniku pneumónie, pretože klinické prejavy takýchto infekcií sa prekrývajú s príznakmi exacerbácií CHOCHP.</w:t>
      </w:r>
    </w:p>
    <w:p w14:paraId="33A383C9" w14:textId="77777777" w:rsidR="004E559F" w:rsidRPr="00C82914" w:rsidRDefault="00E87C6C" w:rsidP="004E559F">
      <w:pPr>
        <w:rPr>
          <w:sz w:val="22"/>
          <w:szCs w:val="22"/>
        </w:rPr>
      </w:pPr>
      <w:r w:rsidRPr="00C82914">
        <w:rPr>
          <w:bCs/>
          <w:sz w:val="22"/>
          <w:szCs w:val="22"/>
        </w:rPr>
        <w:t>Rizikové faktory vzniku pneumónie u pacientov s CHOCHP z</w:t>
      </w:r>
      <w:r w:rsidRPr="00C82914">
        <w:rPr>
          <w:iCs/>
          <w:sz w:val="22"/>
          <w:szCs w:val="22"/>
        </w:rPr>
        <w:t>ahŕňajú súčasné fajčenie, starší vek, nízky index telesnej hmotnosti (BMI) a ťažkú CHOCHP.</w:t>
      </w:r>
    </w:p>
    <w:p w14:paraId="33A383CA" w14:textId="77777777" w:rsidR="00B33305" w:rsidRDefault="00B33305" w:rsidP="00B33305">
      <w:pPr>
        <w:rPr>
          <w:noProof/>
          <w:sz w:val="22"/>
          <w:szCs w:val="22"/>
          <w:highlight w:val="yellow"/>
          <w:u w:val="single"/>
          <w:lang w:eastAsia="en-US"/>
        </w:rPr>
      </w:pPr>
    </w:p>
    <w:p w14:paraId="33A383CB" w14:textId="77777777" w:rsidR="00B33305" w:rsidRPr="00F879CB" w:rsidRDefault="00B33305" w:rsidP="00B33305">
      <w:pPr>
        <w:rPr>
          <w:noProof/>
          <w:sz w:val="22"/>
          <w:szCs w:val="22"/>
          <w:u w:val="single"/>
          <w:lang w:eastAsia="en-US"/>
        </w:rPr>
      </w:pPr>
      <w:r w:rsidRPr="00F879CB">
        <w:rPr>
          <w:noProof/>
          <w:sz w:val="22"/>
          <w:szCs w:val="22"/>
          <w:u w:val="single"/>
          <w:lang w:eastAsia="en-US"/>
        </w:rPr>
        <w:t>Poruchy videnia</w:t>
      </w:r>
    </w:p>
    <w:p w14:paraId="33A383CC" w14:textId="77777777" w:rsidR="00B33305" w:rsidRPr="00F879CB" w:rsidRDefault="00B33305" w:rsidP="00B33305">
      <w:pPr>
        <w:tabs>
          <w:tab w:val="left" w:pos="567"/>
        </w:tabs>
        <w:rPr>
          <w:rFonts w:ascii="TimesNewRomanPSMT" w:hAnsi="TimesNewRomanPSMT" w:cs="TimesNewRomanPSMT"/>
          <w:sz w:val="22"/>
          <w:szCs w:val="22"/>
          <w:lang w:eastAsia="pl-PL"/>
        </w:rPr>
      </w:pPr>
    </w:p>
    <w:p w14:paraId="33A383CD" w14:textId="77777777" w:rsidR="00B33305" w:rsidRPr="002E09CD" w:rsidRDefault="00B33305" w:rsidP="00B33305">
      <w:pPr>
        <w:tabs>
          <w:tab w:val="left" w:pos="567"/>
        </w:tabs>
        <w:rPr>
          <w:sz w:val="22"/>
          <w:szCs w:val="22"/>
          <w:lang w:eastAsia="en-US"/>
        </w:rPr>
      </w:pPr>
      <w:r w:rsidRPr="00F879CB">
        <w:rPr>
          <w:rFonts w:ascii="TimesNewRomanPSMT" w:hAnsi="TimesNewRomanPSMT" w:cs="TimesNewRomanPSMT"/>
          <w:sz w:val="22"/>
          <w:szCs w:val="22"/>
          <w:lang w:eastAsia="pl-PL"/>
        </w:rPr>
        <w:t>Pri používaní systémových a lokálnych kortikosteroidov môžu byť hlásené poruchy videnia. Ak sú u pacienta prítomné príznaky ako rozmazané videnie alebo iné poruchy videnia, má sa uvažovať o odoslaní pacienta na vyšetrenie k oftalmológovi, aby sa zistili možné príčiny, ktoré môžu zahŕňať kataraktu, glaukóm alebo zriedkavé ochorenia ako centrálna serózna chorioretinopatia (CSCR), ktoré boli hlásené po používaní systémových a lokálnych kortikosteroidov.</w:t>
      </w:r>
    </w:p>
    <w:p w14:paraId="33A383CE" w14:textId="77777777" w:rsidR="00E751D3" w:rsidRPr="00272014" w:rsidRDefault="00E751D3" w:rsidP="001D462F">
      <w:pPr>
        <w:rPr>
          <w:sz w:val="22"/>
          <w:szCs w:val="22"/>
        </w:rPr>
      </w:pPr>
    </w:p>
    <w:p w14:paraId="33A383CF" w14:textId="77777777" w:rsidR="00E751D3" w:rsidRPr="00272014" w:rsidRDefault="00E751D3" w:rsidP="00F879CB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lastRenderedPageBreak/>
        <w:t>4.5</w:t>
      </w:r>
      <w:r w:rsidRPr="00272014">
        <w:rPr>
          <w:b/>
          <w:sz w:val="22"/>
          <w:szCs w:val="22"/>
        </w:rPr>
        <w:tab/>
        <w:t>Liekové a iné interakcie</w:t>
      </w:r>
    </w:p>
    <w:p w14:paraId="33A383D0" w14:textId="77777777" w:rsidR="00E751D3" w:rsidRPr="00272014" w:rsidRDefault="00E751D3" w:rsidP="00F879CB">
      <w:pPr>
        <w:keepNext/>
        <w:keepLines/>
        <w:rPr>
          <w:sz w:val="22"/>
          <w:szCs w:val="22"/>
        </w:rPr>
      </w:pPr>
    </w:p>
    <w:p w14:paraId="33A383D1" w14:textId="48B82C42" w:rsidR="00E751D3" w:rsidRPr="00272014" w:rsidRDefault="00E751D3" w:rsidP="00F879CB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Za normálnych okolností je po inhalačnom podávaní plazmatická koncentrácia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nízka vďaka rozsiahlemu metabolizmu pri prvom prechode pečeňou a vysokému systémovému klírensu sprostredkovanému cytochrómom P450 3A4 v čreve a pečeni. Z toho dôvodu nie sú klinicky významné liekové interakcie sprostredkované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propionátom pravdepodobné.</w:t>
      </w:r>
    </w:p>
    <w:p w14:paraId="33A383D2" w14:textId="77777777" w:rsidR="00E751D3" w:rsidRPr="00272014" w:rsidRDefault="00E751D3" w:rsidP="001D462F">
      <w:pPr>
        <w:rPr>
          <w:sz w:val="22"/>
          <w:szCs w:val="22"/>
        </w:rPr>
      </w:pPr>
    </w:p>
    <w:p w14:paraId="33A383D3" w14:textId="7F9D7A23" w:rsidR="00E751D3" w:rsidRDefault="00E751D3" w:rsidP="001D462F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V štúdii so zdravými dobrovoľníkmi zameranej na liekové interakcie sa dokázalo, že ritonavir (veľmi silný inhibítor cytochrómu P450 3A4) môže značne zvýšiť plazmatick</w:t>
      </w:r>
      <w:r>
        <w:rPr>
          <w:sz w:val="22"/>
          <w:szCs w:val="22"/>
        </w:rPr>
        <w:t>ú</w:t>
      </w:r>
      <w:r w:rsidRPr="00272014">
        <w:rPr>
          <w:sz w:val="22"/>
          <w:szCs w:val="22"/>
        </w:rPr>
        <w:t xml:space="preserve"> koncentráci</w:t>
      </w:r>
      <w:r>
        <w:rPr>
          <w:sz w:val="22"/>
          <w:szCs w:val="22"/>
        </w:rPr>
        <w:t>u</w:t>
      </w:r>
      <w:r w:rsidRPr="00272014">
        <w:rPr>
          <w:sz w:val="22"/>
          <w:szCs w:val="22"/>
        </w:rPr>
        <w:t xml:space="preserve">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propionátu, čo má za následok výrazne znížené koncentrácie kortizolu v sére. Počas postmarketingového použitia boli hlásené klinicky významné liekové interakcie u pacientov užívajúcich intranazálny alebo inhalačný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 a ritonavir, ktoré mali za následok systémové účinky kortikosteroidov vrátane Cushingovho syndrómu a útlmu funkcie nadobličiek. Z tohto dôvodu sa má vyhnúť sú</w:t>
      </w:r>
      <w:r w:rsidR="00B33305">
        <w:rPr>
          <w:sz w:val="22"/>
          <w:szCs w:val="22"/>
        </w:rPr>
        <w:t>bežnému</w:t>
      </w:r>
      <w:r w:rsidRPr="00272014">
        <w:rPr>
          <w:sz w:val="22"/>
          <w:szCs w:val="22"/>
        </w:rPr>
        <w:t xml:space="preserve"> použitiu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a ritonaviru, pokiaľ možný prínos pre pacienta neprevyšuje riziko systémových vedľajších účinkov kortikosteroidov.</w:t>
      </w:r>
    </w:p>
    <w:p w14:paraId="33A383D4" w14:textId="77777777" w:rsidR="00E751D3" w:rsidRPr="00272014" w:rsidRDefault="00E751D3" w:rsidP="001D462F">
      <w:pPr>
        <w:rPr>
          <w:sz w:val="22"/>
          <w:szCs w:val="22"/>
        </w:rPr>
      </w:pPr>
    </w:p>
    <w:p w14:paraId="33A383D5" w14:textId="2208F5B4" w:rsidR="00B33305" w:rsidRDefault="00B33305" w:rsidP="001D462F">
      <w:pPr>
        <w:rPr>
          <w:sz w:val="22"/>
          <w:szCs w:val="22"/>
        </w:rPr>
      </w:pPr>
      <w:r w:rsidRPr="00B33305">
        <w:rPr>
          <w:sz w:val="22"/>
          <w:szCs w:val="22"/>
        </w:rPr>
        <w:t>Pri súbežnom podávaní so silnými inhibítormi CYP3A, vrátane liekov obsahujúcich kobicist</w:t>
      </w:r>
      <w:r w:rsidR="00E153D0">
        <w:rPr>
          <w:sz w:val="22"/>
          <w:szCs w:val="22"/>
        </w:rPr>
        <w:t>á</w:t>
      </w:r>
      <w:r w:rsidRPr="00B33305">
        <w:rPr>
          <w:sz w:val="22"/>
          <w:szCs w:val="22"/>
        </w:rPr>
        <w:t xml:space="preserve">t, sa očakáva zvýšenie rizika systémových vedľajších účinkov. </w:t>
      </w:r>
      <w:r w:rsidR="00E751D3" w:rsidRPr="00272014">
        <w:rPr>
          <w:sz w:val="22"/>
          <w:szCs w:val="22"/>
        </w:rPr>
        <w:t xml:space="preserve">V štúdiách sa dokázalo, že ďalšie inhibítory cytochrómu </w:t>
      </w:r>
      <w:r>
        <w:rPr>
          <w:sz w:val="22"/>
          <w:szCs w:val="22"/>
        </w:rPr>
        <w:t>CYP</w:t>
      </w:r>
      <w:r w:rsidR="00E751D3" w:rsidRPr="00272014">
        <w:rPr>
          <w:sz w:val="22"/>
          <w:szCs w:val="22"/>
        </w:rPr>
        <w:t>3A4 spôsobujú zanedbateľné (erytromycín) a mierne (ketokonazol) zvýšenia systémovej expozície flutikazón</w:t>
      </w:r>
      <w:r w:rsidR="003A7B1B">
        <w:rPr>
          <w:sz w:val="22"/>
          <w:szCs w:val="22"/>
        </w:rPr>
        <w:noBreakHyphen/>
      </w:r>
      <w:r w:rsidR="00E751D3" w:rsidRPr="00272014">
        <w:rPr>
          <w:sz w:val="22"/>
          <w:szCs w:val="22"/>
        </w:rPr>
        <w:t xml:space="preserve">propionátu bez výrazného zníženia koncentrácií kortizolu v sére. </w:t>
      </w:r>
    </w:p>
    <w:p w14:paraId="33A383D6" w14:textId="77777777" w:rsidR="00B33305" w:rsidRDefault="00B33305" w:rsidP="001D462F">
      <w:pPr>
        <w:rPr>
          <w:sz w:val="22"/>
          <w:szCs w:val="22"/>
        </w:rPr>
      </w:pPr>
      <w:r w:rsidRPr="00B33305">
        <w:rPr>
          <w:sz w:val="22"/>
          <w:szCs w:val="22"/>
        </w:rPr>
        <w:t xml:space="preserve">Je potrebné vyhnúť sa podávaniu týchto kombinácií, pokiaľ prínos neprevažuje zvýšené riziko systémových vedľajších účinkov kortikosteroidov, pričom v takomto prípade treba pacientov sledovať kvôli systémovým vedľajším účinkom kortikosteroidov. </w:t>
      </w:r>
    </w:p>
    <w:p w14:paraId="33A383D8" w14:textId="77777777" w:rsidR="00E751D3" w:rsidRPr="00272014" w:rsidRDefault="00E751D3" w:rsidP="001D462F">
      <w:pPr>
        <w:rPr>
          <w:sz w:val="22"/>
          <w:szCs w:val="22"/>
        </w:rPr>
      </w:pPr>
    </w:p>
    <w:p w14:paraId="33A383D9" w14:textId="77777777" w:rsidR="00E751D3" w:rsidRDefault="00E751D3" w:rsidP="001D462F">
      <w:pPr>
        <w:pStyle w:val="Nadpis3"/>
        <w:keepLines/>
        <w:ind w:left="567" w:hanging="567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4.6</w:t>
      </w:r>
      <w:r w:rsidRPr="0027201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Fertilita, g</w:t>
      </w:r>
      <w:r w:rsidRPr="00272014">
        <w:rPr>
          <w:rFonts w:ascii="Times New Roman" w:hAnsi="Times New Roman"/>
          <w:sz w:val="22"/>
          <w:szCs w:val="22"/>
        </w:rPr>
        <w:t>ravidita a laktácia</w:t>
      </w:r>
    </w:p>
    <w:p w14:paraId="33A383DA" w14:textId="77777777" w:rsidR="00E751D3" w:rsidRDefault="00E751D3" w:rsidP="001D462F">
      <w:pPr>
        <w:keepNext/>
        <w:keepLines/>
        <w:rPr>
          <w:i/>
          <w:sz w:val="22"/>
          <w:szCs w:val="22"/>
        </w:rPr>
      </w:pPr>
    </w:p>
    <w:p w14:paraId="33A383DB" w14:textId="77777777" w:rsidR="00E751D3" w:rsidRPr="00282792" w:rsidRDefault="00E751D3" w:rsidP="001D462F">
      <w:pPr>
        <w:keepNext/>
        <w:keepLines/>
        <w:rPr>
          <w:sz w:val="22"/>
          <w:szCs w:val="22"/>
          <w:u w:val="single"/>
        </w:rPr>
      </w:pPr>
      <w:r w:rsidRPr="00282792">
        <w:rPr>
          <w:sz w:val="22"/>
          <w:szCs w:val="22"/>
          <w:u w:val="single"/>
        </w:rPr>
        <w:t>Gravidita</w:t>
      </w:r>
    </w:p>
    <w:p w14:paraId="33A383DC" w14:textId="5A479B77" w:rsidR="00AD314F" w:rsidRDefault="00AD314F" w:rsidP="00AD314F">
      <w:pPr>
        <w:spacing w:after="240"/>
        <w:rPr>
          <w:noProof/>
          <w:sz w:val="22"/>
        </w:rPr>
      </w:pPr>
      <w:r>
        <w:rPr>
          <w:sz w:val="22"/>
          <w:szCs w:val="22"/>
        </w:rPr>
        <w:t xml:space="preserve">K dispozícii je </w:t>
      </w:r>
      <w:r>
        <w:rPr>
          <w:noProof/>
          <w:sz w:val="22"/>
        </w:rPr>
        <w:t>obmedzené množstvo údajov týkajúcich sa gravidných žien. O podávaní flutikazón</w:t>
      </w:r>
      <w:r w:rsidR="003A7B1B">
        <w:rPr>
          <w:noProof/>
          <w:sz w:val="22"/>
        </w:rPr>
        <w:noBreakHyphen/>
      </w:r>
      <w:r>
        <w:rPr>
          <w:noProof/>
          <w:sz w:val="22"/>
        </w:rPr>
        <w:t>propionátu počas gravidity sa má uvažovať len vtedy, ak je očakávaný prínos pre matku väčší ako akékoľvek možné riziko pre plod.</w:t>
      </w:r>
    </w:p>
    <w:p w14:paraId="33A383DD" w14:textId="547BDF5A" w:rsidR="00AD314F" w:rsidRDefault="00AD314F" w:rsidP="00AD314F">
      <w:pPr>
        <w:spacing w:after="240"/>
        <w:rPr>
          <w:noProof/>
          <w:sz w:val="22"/>
        </w:rPr>
      </w:pPr>
      <w:r>
        <w:rPr>
          <w:noProof/>
          <w:sz w:val="22"/>
        </w:rPr>
        <w:t>Výsledky retrospektívnej epidemiologickej štúdie neodhalili zvýšené riziko závažných kongenitálnych malformácií (ZKM) po expozícii</w:t>
      </w:r>
      <w:r w:rsidRPr="00963AD2">
        <w:rPr>
          <w:noProof/>
          <w:sz w:val="22"/>
        </w:rPr>
        <w:t xml:space="preserve"> </w:t>
      </w:r>
      <w:r>
        <w:rPr>
          <w:noProof/>
          <w:sz w:val="22"/>
        </w:rPr>
        <w:t>flutikazón</w:t>
      </w:r>
      <w:r w:rsidR="003A7B1B">
        <w:rPr>
          <w:noProof/>
          <w:sz w:val="22"/>
        </w:rPr>
        <w:noBreakHyphen/>
      </w:r>
      <w:r>
        <w:rPr>
          <w:noProof/>
          <w:sz w:val="22"/>
        </w:rPr>
        <w:t>propionátu v prvom trimestri gravidity v porovnaní s expozíciou iným inhalačným kortikosteroidom (pozri časť 5.1).</w:t>
      </w:r>
    </w:p>
    <w:p w14:paraId="33A383DE" w14:textId="77777777" w:rsidR="00E751D3" w:rsidRPr="00272014" w:rsidRDefault="00E751D3" w:rsidP="00AD314F">
      <w:pPr>
        <w:spacing w:after="240"/>
        <w:rPr>
          <w:sz w:val="22"/>
          <w:szCs w:val="22"/>
        </w:rPr>
      </w:pPr>
      <w:r>
        <w:rPr>
          <w:sz w:val="22"/>
          <w:szCs w:val="22"/>
        </w:rPr>
        <w:t>Reprodukčné štúdie na zvieratách ukázali len účinky typické pre glukokortikosteroidy pri systémových expozíciách prevyšujúcich systémové expozície pozorované pri inhalačnom podávaní odporúčanej terapeutickej</w:t>
      </w:r>
      <w:r w:rsidRPr="00272014">
        <w:rPr>
          <w:sz w:val="22"/>
          <w:szCs w:val="22"/>
        </w:rPr>
        <w:t xml:space="preserve"> dávky. </w:t>
      </w:r>
    </w:p>
    <w:p w14:paraId="33A383DF" w14:textId="77777777" w:rsidR="00E751D3" w:rsidRPr="003A7B1B" w:rsidRDefault="001B053A" w:rsidP="001D462F">
      <w:pPr>
        <w:rPr>
          <w:sz w:val="22"/>
          <w:szCs w:val="22"/>
          <w:u w:val="single"/>
        </w:rPr>
      </w:pPr>
      <w:r w:rsidRPr="00F879CB">
        <w:rPr>
          <w:sz w:val="22"/>
          <w:szCs w:val="22"/>
          <w:u w:val="single"/>
        </w:rPr>
        <w:t>Dojčenie</w:t>
      </w:r>
    </w:p>
    <w:p w14:paraId="33A383E0" w14:textId="7B0A50CC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Vylučovanie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do ľudského materského mlieka nebolo skúmané. Po subkutánnom podaní laboratórnym potkanom v laktácii bolo možné dokázať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 v materskom mlieku potkanov. Po inhalačnom podaní odporúčaných dávok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sú však plazmatické hladiny u pacientov pravdepodobne nízke.</w:t>
      </w:r>
    </w:p>
    <w:p w14:paraId="33A383E1" w14:textId="77777777" w:rsidR="00AD314F" w:rsidRDefault="00AD314F" w:rsidP="00AD314F">
      <w:pPr>
        <w:rPr>
          <w:noProof/>
          <w:sz w:val="22"/>
        </w:rPr>
      </w:pPr>
    </w:p>
    <w:p w14:paraId="33A383E2" w14:textId="77777777" w:rsidR="00AD314F" w:rsidRDefault="00AD314F" w:rsidP="00AD314F">
      <w:pPr>
        <w:rPr>
          <w:sz w:val="22"/>
          <w:szCs w:val="22"/>
        </w:rPr>
      </w:pPr>
      <w:r>
        <w:rPr>
          <w:noProof/>
          <w:sz w:val="22"/>
        </w:rPr>
        <w:t xml:space="preserve">O podávaní počas </w:t>
      </w:r>
      <w:r w:rsidR="001B053A">
        <w:rPr>
          <w:noProof/>
          <w:sz w:val="22"/>
        </w:rPr>
        <w:t>dojčenia</w:t>
      </w:r>
      <w:r>
        <w:rPr>
          <w:noProof/>
          <w:sz w:val="22"/>
        </w:rPr>
        <w:t xml:space="preserve"> sa má uvažovať len vtedy, ak je očakávaný prínos pre matku väčší ako akékoľvek možné riziko pre dieťa.</w:t>
      </w:r>
    </w:p>
    <w:p w14:paraId="33A383E3" w14:textId="77777777" w:rsidR="00AD314F" w:rsidRDefault="00AD314F" w:rsidP="00AD314F">
      <w:pPr>
        <w:rPr>
          <w:sz w:val="22"/>
          <w:szCs w:val="22"/>
        </w:rPr>
      </w:pPr>
    </w:p>
    <w:p w14:paraId="33A383E4" w14:textId="77777777" w:rsidR="00AD314F" w:rsidRDefault="00AD314F" w:rsidP="00AD314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Fertilita</w:t>
      </w:r>
    </w:p>
    <w:p w14:paraId="33A383E5" w14:textId="0B5F4E19" w:rsidR="00AD314F" w:rsidRPr="00B30745" w:rsidRDefault="00AD314F" w:rsidP="00AD314F">
      <w:pPr>
        <w:rPr>
          <w:sz w:val="22"/>
          <w:szCs w:val="22"/>
        </w:rPr>
      </w:pPr>
      <w:r>
        <w:rPr>
          <w:sz w:val="22"/>
          <w:szCs w:val="22"/>
        </w:rPr>
        <w:t>K dispozícii nie sú žiadne údaje týkajúce sa fertility ľudí.</w:t>
      </w:r>
      <w:r w:rsidRPr="00B30745">
        <w:rPr>
          <w:sz w:val="22"/>
          <w:szCs w:val="22"/>
        </w:rPr>
        <w:t xml:space="preserve"> Štúdie na zvieratách nepreukázali</w:t>
      </w:r>
      <w:r>
        <w:rPr>
          <w:sz w:val="22"/>
          <w:szCs w:val="22"/>
        </w:rPr>
        <w:t xml:space="preserve"> žiadne účinky flutikazón</w:t>
      </w:r>
      <w:r w:rsidR="003A7B1B">
        <w:rPr>
          <w:sz w:val="22"/>
          <w:szCs w:val="22"/>
        </w:rPr>
        <w:noBreakHyphen/>
      </w:r>
      <w:r>
        <w:rPr>
          <w:sz w:val="22"/>
          <w:szCs w:val="22"/>
        </w:rPr>
        <w:t>propionátu na samčiu alebo samičiu fertilitu.</w:t>
      </w:r>
    </w:p>
    <w:p w14:paraId="33A383E6" w14:textId="77777777" w:rsidR="00E751D3" w:rsidRPr="00272014" w:rsidRDefault="00E751D3" w:rsidP="001D462F">
      <w:pPr>
        <w:rPr>
          <w:sz w:val="22"/>
          <w:szCs w:val="22"/>
        </w:rPr>
      </w:pPr>
    </w:p>
    <w:p w14:paraId="33A383E7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4.7</w:t>
      </w:r>
      <w:r w:rsidRPr="00272014">
        <w:rPr>
          <w:b/>
          <w:sz w:val="22"/>
          <w:szCs w:val="22"/>
        </w:rPr>
        <w:tab/>
        <w:t>Ovplyvnenie schopnosti viesť vozidlá a obsluhovať stroje</w:t>
      </w:r>
    </w:p>
    <w:p w14:paraId="33A383E8" w14:textId="77777777" w:rsidR="00E751D3" w:rsidRPr="00272014" w:rsidRDefault="00E751D3" w:rsidP="001D462F">
      <w:pPr>
        <w:rPr>
          <w:sz w:val="22"/>
          <w:szCs w:val="22"/>
        </w:rPr>
      </w:pPr>
    </w:p>
    <w:p w14:paraId="33A383E9" w14:textId="55614FAA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Vplyv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na schopnosť viesť vozidlá a obsluhovať stroje nie je pravdepodobný.</w:t>
      </w:r>
    </w:p>
    <w:p w14:paraId="33A383EB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lastRenderedPageBreak/>
        <w:t>4.8</w:t>
      </w:r>
      <w:r w:rsidRPr="00272014">
        <w:rPr>
          <w:b/>
          <w:sz w:val="22"/>
          <w:szCs w:val="22"/>
        </w:rPr>
        <w:tab/>
        <w:t>Nežiaduce účinky</w:t>
      </w:r>
    </w:p>
    <w:p w14:paraId="33A383EC" w14:textId="77777777" w:rsidR="00E751D3" w:rsidRPr="00282792" w:rsidRDefault="00E751D3" w:rsidP="001D462F">
      <w:pPr>
        <w:ind w:left="567" w:hanging="567"/>
        <w:rPr>
          <w:sz w:val="22"/>
        </w:rPr>
      </w:pPr>
    </w:p>
    <w:p w14:paraId="33A383ED" w14:textId="7FA0F171" w:rsidR="00E751D3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Nežiaduce účinky sú nižšie uvedené podľa tried orgánových systémov a frekvencie. Frekvencie sú definované ako: veľmi časté (≥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1/10), časté (≥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1/100 až &lt;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1/10), menej časté (≥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000 až &lt;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1/100), zriedkavé (≥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1/10 000 až &lt;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000)</w:t>
      </w:r>
      <w:r>
        <w:rPr>
          <w:sz w:val="22"/>
          <w:szCs w:val="22"/>
        </w:rPr>
        <w:t>,</w:t>
      </w:r>
      <w:r w:rsidRPr="00272014">
        <w:rPr>
          <w:sz w:val="22"/>
          <w:szCs w:val="22"/>
        </w:rPr>
        <w:t> veľmi zriedkavé (&lt;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000)</w:t>
      </w:r>
      <w:r>
        <w:rPr>
          <w:sz w:val="22"/>
          <w:szCs w:val="22"/>
        </w:rPr>
        <w:t xml:space="preserve"> a neznáme (z dostupných údajov)</w:t>
      </w:r>
      <w:r w:rsidRPr="00272014">
        <w:rPr>
          <w:sz w:val="22"/>
          <w:szCs w:val="22"/>
        </w:rPr>
        <w:t>.</w:t>
      </w:r>
    </w:p>
    <w:p w14:paraId="33A383EE" w14:textId="5C5B82EC" w:rsidR="00E751D3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>Častosť nežiaducich účinkov bola odvodená z údajov získaných v klinických štúdiách. Incidencia v skupine pacientov užívajúcich placebo sa nebrala do úvahy.</w:t>
      </w:r>
    </w:p>
    <w:p w14:paraId="33A383EF" w14:textId="77777777" w:rsidR="00E751D3" w:rsidRPr="00272014" w:rsidRDefault="00E751D3" w:rsidP="001D462F">
      <w:pPr>
        <w:rPr>
          <w:sz w:val="22"/>
          <w:szCs w:val="22"/>
        </w:rPr>
      </w:pPr>
    </w:p>
    <w:p w14:paraId="33A383F0" w14:textId="77777777" w:rsidR="00E751D3" w:rsidRPr="00272014" w:rsidRDefault="00E751D3" w:rsidP="001D462F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Infekcie a nákazy</w:t>
      </w:r>
    </w:p>
    <w:p w14:paraId="33A383F1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Veľmi časté: kandidóza ústnej dutiny a hrdla.</w:t>
      </w:r>
    </w:p>
    <w:p w14:paraId="33A383F2" w14:textId="77777777" w:rsidR="00E751D3" w:rsidRPr="00272014" w:rsidRDefault="00E751D3" w:rsidP="001D462F">
      <w:pPr>
        <w:rPr>
          <w:sz w:val="22"/>
          <w:szCs w:val="22"/>
        </w:rPr>
      </w:pPr>
    </w:p>
    <w:p w14:paraId="33A383F3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U niektorých pacientov sa môže objaviť kandidóza (soor) ústnej dutiny a hrdla. Takýmto pacientom môže pomôcť výplach úst vodou po použití inhalátora Diskus. Symptomatická kandidóza môže byť liečená lokálnymi antimykotickými liekmi aj pri pokračovaní liečby s liekom Flixotide Diskus.</w:t>
      </w:r>
    </w:p>
    <w:p w14:paraId="33A383F4" w14:textId="77777777" w:rsidR="00E751D3" w:rsidRPr="00272014" w:rsidRDefault="00E751D3" w:rsidP="001D462F">
      <w:pPr>
        <w:rPr>
          <w:sz w:val="22"/>
          <w:szCs w:val="22"/>
        </w:rPr>
      </w:pPr>
    </w:p>
    <w:p w14:paraId="33A383F5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Časté: pneumónia (u pacientov s CHOCHP).</w:t>
      </w:r>
    </w:p>
    <w:p w14:paraId="33A383F6" w14:textId="77777777" w:rsidR="00E751D3" w:rsidRPr="00C82914" w:rsidRDefault="00E751D3" w:rsidP="001D462F">
      <w:pPr>
        <w:rPr>
          <w:sz w:val="22"/>
          <w:szCs w:val="22"/>
        </w:rPr>
      </w:pPr>
      <w:r w:rsidRPr="00C82914">
        <w:rPr>
          <w:sz w:val="22"/>
          <w:szCs w:val="22"/>
        </w:rPr>
        <w:t>Zriedkavé: ezofageálna kandidóza.</w:t>
      </w:r>
    </w:p>
    <w:p w14:paraId="33A383F7" w14:textId="77777777" w:rsidR="00E751D3" w:rsidRDefault="00E751D3" w:rsidP="001D462F">
      <w:pPr>
        <w:rPr>
          <w:b/>
          <w:sz w:val="22"/>
          <w:szCs w:val="22"/>
        </w:rPr>
      </w:pPr>
    </w:p>
    <w:p w14:paraId="33A383F8" w14:textId="77777777" w:rsidR="00E751D3" w:rsidRDefault="00E751D3" w:rsidP="001D462F">
      <w:pPr>
        <w:keepNext/>
        <w:keepLines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Poruchy imunitného systému</w:t>
      </w:r>
    </w:p>
    <w:p w14:paraId="33A383F9" w14:textId="77777777" w:rsidR="00E751D3" w:rsidRDefault="00E751D3" w:rsidP="001D462F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Boli hlásené reakcie z precitlivenosti s nasledujúcimi prejavmi:</w:t>
      </w:r>
    </w:p>
    <w:p w14:paraId="33A383FA" w14:textId="77777777" w:rsidR="00E751D3" w:rsidRPr="00272014" w:rsidRDefault="00E751D3" w:rsidP="001D462F">
      <w:pPr>
        <w:rPr>
          <w:sz w:val="22"/>
          <w:szCs w:val="22"/>
        </w:rPr>
      </w:pPr>
    </w:p>
    <w:p w14:paraId="33A383FB" w14:textId="77777777" w:rsidR="00E751D3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Menej časté: kožné reakcie z precitlivenosti.</w:t>
      </w:r>
    </w:p>
    <w:p w14:paraId="33A383FC" w14:textId="77777777" w:rsidR="00E751D3" w:rsidRPr="00272014" w:rsidRDefault="00E751D3" w:rsidP="001D462F">
      <w:pPr>
        <w:rPr>
          <w:sz w:val="22"/>
          <w:szCs w:val="22"/>
        </w:rPr>
      </w:pPr>
    </w:p>
    <w:p w14:paraId="33A383FD" w14:textId="77777777" w:rsidR="00E751D3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Veľmi zriedkavé: angioedém (hlavne edém tváre a orofaryngeálny edém), respiračné symptómy </w:t>
      </w:r>
    </w:p>
    <w:p w14:paraId="33A383FE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(dyspnoe a/alebo bronchospazmus) a anafylaktické reakcie.</w:t>
      </w:r>
    </w:p>
    <w:p w14:paraId="33A383FF" w14:textId="77777777" w:rsidR="00E751D3" w:rsidRPr="00272014" w:rsidRDefault="00E751D3" w:rsidP="001D462F">
      <w:pPr>
        <w:rPr>
          <w:sz w:val="22"/>
          <w:szCs w:val="22"/>
        </w:rPr>
      </w:pPr>
    </w:p>
    <w:p w14:paraId="33A38400" w14:textId="77777777" w:rsidR="00E751D3" w:rsidRPr="00272014" w:rsidRDefault="00E751D3" w:rsidP="001D462F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Poruchy endokrinného systému</w:t>
      </w:r>
    </w:p>
    <w:p w14:paraId="33A38401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Možné systémové účinky zahŕňajú (pozri časť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4.4):</w:t>
      </w:r>
    </w:p>
    <w:p w14:paraId="33A38402" w14:textId="77777777" w:rsidR="00E751D3" w:rsidRPr="00272014" w:rsidRDefault="00E751D3" w:rsidP="001D462F">
      <w:pPr>
        <w:rPr>
          <w:sz w:val="22"/>
          <w:szCs w:val="22"/>
        </w:rPr>
      </w:pPr>
    </w:p>
    <w:p w14:paraId="33A38403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Veľmi zriedkavé: Cushingov syndróm, </w:t>
      </w:r>
      <w:r>
        <w:rPr>
          <w:sz w:val="22"/>
          <w:szCs w:val="22"/>
        </w:rPr>
        <w:t>c</w:t>
      </w:r>
      <w:r w:rsidRPr="00272014">
        <w:rPr>
          <w:sz w:val="22"/>
          <w:szCs w:val="22"/>
        </w:rPr>
        <w:t>ushingoidné prejavy, útlm funkcie nadobličiek, spomalenie rastu, zníženie denzity kostných minerálov, katarakta a glaukóm.</w:t>
      </w:r>
    </w:p>
    <w:p w14:paraId="33A38404" w14:textId="77777777" w:rsidR="00E751D3" w:rsidRPr="00272014" w:rsidRDefault="00E751D3" w:rsidP="001D462F">
      <w:pPr>
        <w:rPr>
          <w:sz w:val="22"/>
          <w:szCs w:val="22"/>
        </w:rPr>
      </w:pPr>
    </w:p>
    <w:p w14:paraId="33A38405" w14:textId="77777777" w:rsidR="0016588A" w:rsidRPr="00F879CB" w:rsidRDefault="0016588A" w:rsidP="001D462F">
      <w:pPr>
        <w:rPr>
          <w:b/>
          <w:sz w:val="22"/>
          <w:szCs w:val="22"/>
        </w:rPr>
      </w:pPr>
      <w:r w:rsidRPr="00F879CB">
        <w:rPr>
          <w:b/>
          <w:sz w:val="22"/>
          <w:szCs w:val="22"/>
        </w:rPr>
        <w:t>Poruchy oka:</w:t>
      </w:r>
    </w:p>
    <w:p w14:paraId="33A38406" w14:textId="0BC3E71F" w:rsidR="0016588A" w:rsidRPr="00F879CB" w:rsidRDefault="0016588A" w:rsidP="001D462F">
      <w:pPr>
        <w:rPr>
          <w:sz w:val="22"/>
          <w:szCs w:val="22"/>
        </w:rPr>
      </w:pPr>
      <w:r w:rsidRPr="00F879CB">
        <w:rPr>
          <w:sz w:val="22"/>
          <w:szCs w:val="22"/>
        </w:rPr>
        <w:t>Neznáme: rozmazané videnie (pozri časť 4.4)</w:t>
      </w:r>
      <w:r w:rsidR="00F43DAE" w:rsidRPr="00F879CB">
        <w:rPr>
          <w:sz w:val="22"/>
          <w:szCs w:val="22"/>
        </w:rPr>
        <w:t>.</w:t>
      </w:r>
    </w:p>
    <w:p w14:paraId="33A38407" w14:textId="77777777" w:rsidR="0016588A" w:rsidRDefault="0016588A" w:rsidP="001D462F">
      <w:pPr>
        <w:rPr>
          <w:b/>
          <w:sz w:val="22"/>
          <w:szCs w:val="22"/>
        </w:rPr>
      </w:pPr>
    </w:p>
    <w:p w14:paraId="33A38408" w14:textId="77777777" w:rsidR="00E751D3" w:rsidRPr="00272014" w:rsidRDefault="00E751D3" w:rsidP="001D462F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Poruchy metabolizmu a výživy</w:t>
      </w:r>
    </w:p>
    <w:p w14:paraId="33A38409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Veľmi zriedkavé: hyperglykémia.</w:t>
      </w:r>
    </w:p>
    <w:p w14:paraId="33A3840A" w14:textId="77777777" w:rsidR="00E751D3" w:rsidRPr="00272014" w:rsidRDefault="00E751D3" w:rsidP="001D462F">
      <w:pPr>
        <w:rPr>
          <w:sz w:val="22"/>
          <w:szCs w:val="22"/>
        </w:rPr>
      </w:pPr>
    </w:p>
    <w:p w14:paraId="33A3840B" w14:textId="77777777" w:rsidR="00E751D3" w:rsidRPr="00272014" w:rsidRDefault="00E751D3" w:rsidP="001D462F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Psychické poruchy</w:t>
      </w:r>
    </w:p>
    <w:p w14:paraId="33A3840C" w14:textId="77777777" w:rsidR="00E751D3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Veľmi zriedkavé: úzkosť, poruchy spánku a zmeny správania, zahŕňajúce hyperaktivitu a podráždenosť (hlavne u detí).</w:t>
      </w:r>
    </w:p>
    <w:p w14:paraId="33A3840D" w14:textId="77777777" w:rsidR="00E751D3" w:rsidRDefault="00E751D3" w:rsidP="001D462F">
      <w:pPr>
        <w:rPr>
          <w:sz w:val="22"/>
          <w:szCs w:val="22"/>
        </w:rPr>
      </w:pPr>
    </w:p>
    <w:p w14:paraId="33A3840E" w14:textId="77777777" w:rsidR="00E751D3" w:rsidRPr="00272014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>Neznáme: d</w:t>
      </w:r>
      <w:r w:rsidRPr="00A34219">
        <w:rPr>
          <w:sz w:val="22"/>
          <w:szCs w:val="22"/>
        </w:rPr>
        <w:t>epresia</w:t>
      </w:r>
      <w:r>
        <w:rPr>
          <w:sz w:val="22"/>
          <w:szCs w:val="22"/>
        </w:rPr>
        <w:t xml:space="preserve"> a</w:t>
      </w:r>
      <w:r w:rsidRPr="00A34219">
        <w:rPr>
          <w:sz w:val="22"/>
          <w:szCs w:val="22"/>
        </w:rPr>
        <w:t xml:space="preserve"> agresivita (hlavne u</w:t>
      </w:r>
      <w:r>
        <w:rPr>
          <w:sz w:val="22"/>
          <w:szCs w:val="22"/>
        </w:rPr>
        <w:t> </w:t>
      </w:r>
      <w:r w:rsidRPr="00A34219">
        <w:rPr>
          <w:sz w:val="22"/>
          <w:szCs w:val="22"/>
        </w:rPr>
        <w:t>detí</w:t>
      </w:r>
      <w:r>
        <w:rPr>
          <w:sz w:val="22"/>
          <w:szCs w:val="22"/>
        </w:rPr>
        <w:t>).</w:t>
      </w:r>
    </w:p>
    <w:p w14:paraId="33A3840F" w14:textId="77777777" w:rsidR="00E751D3" w:rsidRPr="00272014" w:rsidRDefault="00E751D3" w:rsidP="001D462F">
      <w:pPr>
        <w:rPr>
          <w:sz w:val="22"/>
          <w:szCs w:val="22"/>
        </w:rPr>
      </w:pPr>
    </w:p>
    <w:p w14:paraId="33A38410" w14:textId="77777777" w:rsidR="00E751D3" w:rsidRPr="00272014" w:rsidRDefault="00E751D3" w:rsidP="001D462F">
      <w:pPr>
        <w:rPr>
          <w:b/>
          <w:sz w:val="22"/>
          <w:szCs w:val="22"/>
        </w:rPr>
      </w:pPr>
      <w:r>
        <w:rPr>
          <w:b/>
          <w:sz w:val="22"/>
          <w:szCs w:val="22"/>
        </w:rPr>
        <w:t>Poruchy</w:t>
      </w:r>
      <w:r w:rsidRPr="00272014">
        <w:rPr>
          <w:b/>
          <w:sz w:val="22"/>
          <w:szCs w:val="22"/>
        </w:rPr>
        <w:t xml:space="preserve"> dýchacej sústavy, hrudníka a mediastína</w:t>
      </w:r>
    </w:p>
    <w:p w14:paraId="33A38411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Časté: zachrípnutie.</w:t>
      </w:r>
    </w:p>
    <w:p w14:paraId="33A38412" w14:textId="77777777" w:rsidR="00E751D3" w:rsidRPr="00272014" w:rsidRDefault="00E751D3" w:rsidP="001D462F">
      <w:pPr>
        <w:rPr>
          <w:sz w:val="22"/>
          <w:szCs w:val="22"/>
        </w:rPr>
      </w:pPr>
    </w:p>
    <w:p w14:paraId="33A38413" w14:textId="01517B89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U niektorých pacientov môže inhalačný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 spôsobiť zachrípnutie. V takomto prípade môže pomôcť výplach úst vodou ihneď po inhalácii.</w:t>
      </w:r>
    </w:p>
    <w:p w14:paraId="33A38414" w14:textId="77777777" w:rsidR="00E751D3" w:rsidRPr="00272014" w:rsidRDefault="00E751D3" w:rsidP="001D462F">
      <w:pPr>
        <w:rPr>
          <w:sz w:val="22"/>
          <w:szCs w:val="22"/>
        </w:rPr>
      </w:pPr>
    </w:p>
    <w:p w14:paraId="33A38415" w14:textId="77777777" w:rsidR="00E751D3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>Veľmi zriedkavé: paradoxný bronchospazmus (pozri časť 4.4).</w:t>
      </w:r>
    </w:p>
    <w:p w14:paraId="33A38416" w14:textId="77777777" w:rsidR="00E751D3" w:rsidRDefault="00E751D3" w:rsidP="001D462F">
      <w:pPr>
        <w:rPr>
          <w:sz w:val="22"/>
          <w:szCs w:val="22"/>
        </w:rPr>
      </w:pPr>
    </w:p>
    <w:p w14:paraId="33A38417" w14:textId="77777777" w:rsidR="00E751D3" w:rsidRPr="007834B1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 xml:space="preserve">Neznáme: epistaxa. </w:t>
      </w:r>
    </w:p>
    <w:p w14:paraId="33A38418" w14:textId="77777777" w:rsidR="00E751D3" w:rsidRDefault="00E751D3" w:rsidP="00282792">
      <w:pPr>
        <w:rPr>
          <w:sz w:val="22"/>
          <w:szCs w:val="22"/>
        </w:rPr>
      </w:pPr>
    </w:p>
    <w:p w14:paraId="33A38419" w14:textId="77777777" w:rsidR="00E751D3" w:rsidRPr="00272014" w:rsidRDefault="00E751D3" w:rsidP="001D462F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lastRenderedPageBreak/>
        <w:t>Poruchy kože a podkožného tkaniva</w:t>
      </w:r>
    </w:p>
    <w:p w14:paraId="33A3841A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Časté: krvné podliatiny.</w:t>
      </w:r>
    </w:p>
    <w:p w14:paraId="33A3841B" w14:textId="77777777" w:rsidR="00E751D3" w:rsidRDefault="00E751D3" w:rsidP="001D462F">
      <w:pPr>
        <w:rPr>
          <w:sz w:val="22"/>
          <w:szCs w:val="22"/>
        </w:rPr>
      </w:pPr>
    </w:p>
    <w:p w14:paraId="33A3841C" w14:textId="77777777" w:rsidR="00E751D3" w:rsidRDefault="00E751D3" w:rsidP="00282792">
      <w:pPr>
        <w:rPr>
          <w:sz w:val="22"/>
          <w:szCs w:val="22"/>
          <w:u w:val="single"/>
        </w:rPr>
      </w:pPr>
      <w:r w:rsidRPr="000D57D8">
        <w:rPr>
          <w:sz w:val="22"/>
          <w:szCs w:val="22"/>
          <w:u w:val="single"/>
        </w:rPr>
        <w:t>Hlásenie podozrení na nežiaduce reakcie</w:t>
      </w:r>
    </w:p>
    <w:p w14:paraId="33A3841D" w14:textId="77777777" w:rsidR="00E751D3" w:rsidRDefault="00E751D3" w:rsidP="00282792">
      <w:pPr>
        <w:rPr>
          <w:sz w:val="22"/>
          <w:szCs w:val="22"/>
        </w:rPr>
      </w:pPr>
      <w:r w:rsidRPr="000D57D8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187525">
        <w:rPr>
          <w:sz w:val="22"/>
          <w:szCs w:val="22"/>
        </w:rPr>
        <w:t>na</w:t>
      </w:r>
      <w:r w:rsidRPr="007667B6">
        <w:rPr>
          <w:noProof/>
          <w:sz w:val="22"/>
          <w:szCs w:val="22"/>
        </w:rPr>
        <w:t xml:space="preserve"> </w:t>
      </w:r>
      <w:r w:rsidRPr="007667B6">
        <w:rPr>
          <w:noProof/>
          <w:sz w:val="22"/>
          <w:szCs w:val="22"/>
          <w:highlight w:val="lightGray"/>
        </w:rPr>
        <w:t xml:space="preserve">národné </w:t>
      </w:r>
      <w:r w:rsidR="00187525">
        <w:rPr>
          <w:noProof/>
          <w:sz w:val="22"/>
          <w:szCs w:val="22"/>
          <w:highlight w:val="lightGray"/>
        </w:rPr>
        <w:t>centrum</w:t>
      </w:r>
      <w:r w:rsidRPr="007667B6">
        <w:rPr>
          <w:noProof/>
          <w:sz w:val="22"/>
          <w:szCs w:val="22"/>
          <w:highlight w:val="lightGray"/>
        </w:rPr>
        <w:t xml:space="preserve"> hlásenia uvedené v </w:t>
      </w:r>
      <w:hyperlink r:id="rId10" w:history="1">
        <w:r w:rsidRPr="007667B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7667B6">
        <w:rPr>
          <w:noProof/>
          <w:sz w:val="22"/>
          <w:szCs w:val="22"/>
        </w:rPr>
        <w:t>.</w:t>
      </w:r>
    </w:p>
    <w:p w14:paraId="33A3841E" w14:textId="77777777" w:rsidR="00E751D3" w:rsidRPr="00272014" w:rsidRDefault="00E751D3" w:rsidP="001D462F">
      <w:pPr>
        <w:rPr>
          <w:sz w:val="22"/>
          <w:szCs w:val="22"/>
        </w:rPr>
      </w:pPr>
    </w:p>
    <w:p w14:paraId="33A3841F" w14:textId="77777777" w:rsidR="00E751D3" w:rsidRPr="00272014" w:rsidRDefault="00E751D3" w:rsidP="00F879CB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4.9</w:t>
      </w:r>
      <w:r w:rsidRPr="00272014">
        <w:rPr>
          <w:b/>
          <w:sz w:val="22"/>
          <w:szCs w:val="22"/>
        </w:rPr>
        <w:tab/>
        <w:t>Predávkovanie</w:t>
      </w:r>
    </w:p>
    <w:p w14:paraId="33A38420" w14:textId="77777777" w:rsidR="00E751D3" w:rsidRDefault="00E751D3" w:rsidP="00F879CB">
      <w:pPr>
        <w:pStyle w:val="Zkladntext"/>
        <w:keepNext/>
        <w:keepLines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</w:p>
    <w:p w14:paraId="33A38421" w14:textId="77777777" w:rsidR="00E751D3" w:rsidRPr="00272014" w:rsidRDefault="00E751D3" w:rsidP="00F879CB">
      <w:pPr>
        <w:pStyle w:val="Zkladntext"/>
        <w:keepNext/>
        <w:keepLines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 w:rsidRPr="00272014">
        <w:rPr>
          <w:rFonts w:ascii="Times New Roman" w:hAnsi="Times New Roman"/>
          <w:i/>
          <w:sz w:val="22"/>
          <w:szCs w:val="22"/>
        </w:rPr>
        <w:t>Symptómy a príznaky</w:t>
      </w:r>
    </w:p>
    <w:p w14:paraId="33A38422" w14:textId="773EC5BB" w:rsidR="00E751D3" w:rsidRPr="00272014" w:rsidRDefault="00E751D3" w:rsidP="00F879CB">
      <w:pPr>
        <w:pStyle w:val="Zkladntext"/>
        <w:keepNext/>
        <w:keepLines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Akútna inhalácia 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v dávkach vyšších ako sú odporúčané môže viesť k dočasnému potlačeniu osi hypotalamus</w:t>
      </w:r>
      <w:r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hypofýza</w:t>
      </w:r>
      <w:r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nadobličky. Zvyčajne nie je potrebný okamžitý zásah, pretože normálna adrenálna funkcia sa v priebehu niekoľkých dní spontánne obnoví.</w:t>
      </w:r>
    </w:p>
    <w:p w14:paraId="33A38423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24" w14:textId="77777777" w:rsidR="00E751D3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color w:val="000000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Ak sa vyššie ako odporúčané</w:t>
      </w:r>
      <w:r w:rsidRPr="00AF412A">
        <w:rPr>
          <w:rFonts w:ascii="Times New Roman" w:hAnsi="Times New Roman"/>
          <w:color w:val="3366FF"/>
          <w:sz w:val="22"/>
          <w:szCs w:val="22"/>
        </w:rPr>
        <w:t xml:space="preserve"> </w:t>
      </w:r>
      <w:r w:rsidRPr="00272014">
        <w:rPr>
          <w:rFonts w:ascii="Times New Roman" w:hAnsi="Times New Roman"/>
          <w:sz w:val="22"/>
          <w:szCs w:val="22"/>
        </w:rPr>
        <w:t xml:space="preserve">dávky podávajú dlhší čas, môže dôjsť k významnému útlmu funkcie nadobličiek. Veľmi zriedkavo boli hlásené prípady akútnej adrenálnej krízy, ktorá sa vyskytla u detí vystavených vyšším ako odporúčaným dávkam </w:t>
      </w:r>
      <w:r w:rsidRPr="00272014">
        <w:rPr>
          <w:rFonts w:ascii="Times New Roman" w:hAnsi="Times New Roman"/>
          <w:color w:val="000000"/>
          <w:sz w:val="22"/>
          <w:szCs w:val="22"/>
        </w:rPr>
        <w:t>(typicky 1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color w:val="000000"/>
          <w:sz w:val="22"/>
          <w:szCs w:val="22"/>
        </w:rPr>
        <w:t>000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color w:val="000000"/>
          <w:sz w:val="22"/>
          <w:szCs w:val="22"/>
        </w:rPr>
        <w:t>µg denne a viac) počas dlhého obdobia (niekoľko mesiacov alebo rokov); pozorované prejavy zahŕňali hypoglykémiu spojenú so zníženým vedomím a/alebo kŕčmi. Situácie, ktoré by potenciálne mohli spustiť akútnu adrenálnu krízu zahŕňajú úraz, chirurgický zákrok, infekciu alebo akékoľvek rýchle zníženie dávok.</w:t>
      </w:r>
    </w:p>
    <w:p w14:paraId="33A38425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33A38426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i/>
          <w:color w:val="000000"/>
          <w:sz w:val="22"/>
          <w:szCs w:val="22"/>
        </w:rPr>
      </w:pPr>
      <w:r w:rsidRPr="00272014">
        <w:rPr>
          <w:rFonts w:ascii="Times New Roman" w:hAnsi="Times New Roman"/>
          <w:i/>
          <w:color w:val="000000"/>
          <w:sz w:val="22"/>
          <w:szCs w:val="22"/>
        </w:rPr>
        <w:t>Liečba</w:t>
      </w:r>
    </w:p>
    <w:p w14:paraId="33A38427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color w:val="000000"/>
          <w:sz w:val="22"/>
          <w:szCs w:val="22"/>
        </w:rPr>
        <w:t>Pacienti, ktorí užívajú vyššie ako odporúčané dávky si vyžadujú starostlivú liečbu a dávka sa musí znižovať postupne.</w:t>
      </w:r>
    </w:p>
    <w:p w14:paraId="33A3842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29" w14:textId="77777777" w:rsidR="00E751D3" w:rsidRDefault="00E751D3" w:rsidP="00282792">
      <w:pPr>
        <w:ind w:right="-85"/>
        <w:rPr>
          <w:sz w:val="22"/>
        </w:rPr>
      </w:pPr>
    </w:p>
    <w:p w14:paraId="33A3842A" w14:textId="77777777" w:rsidR="00E751D3" w:rsidRDefault="00E751D3" w:rsidP="00282792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5.</w:t>
      </w:r>
      <w:r w:rsidRPr="00272014">
        <w:rPr>
          <w:b/>
          <w:caps/>
          <w:sz w:val="22"/>
          <w:szCs w:val="22"/>
        </w:rPr>
        <w:tab/>
        <w:t>Farmakologické vlastnosti</w:t>
      </w:r>
    </w:p>
    <w:p w14:paraId="33A3842B" w14:textId="77777777" w:rsidR="00E751D3" w:rsidRPr="00272014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</w:p>
    <w:p w14:paraId="33A3842C" w14:textId="77777777" w:rsidR="00E751D3" w:rsidRPr="00272014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5.1</w:t>
      </w:r>
      <w:r w:rsidRPr="00272014">
        <w:rPr>
          <w:b/>
          <w:sz w:val="22"/>
          <w:szCs w:val="22"/>
        </w:rPr>
        <w:tab/>
        <w:t>Farmakodynamické vlastnosti</w:t>
      </w:r>
    </w:p>
    <w:p w14:paraId="33A3842D" w14:textId="77777777" w:rsidR="00E751D3" w:rsidRPr="00272014" w:rsidRDefault="00E751D3" w:rsidP="001D462F">
      <w:pPr>
        <w:keepNext/>
        <w:keepLines/>
        <w:rPr>
          <w:b/>
          <w:sz w:val="22"/>
          <w:szCs w:val="22"/>
        </w:rPr>
      </w:pPr>
    </w:p>
    <w:p w14:paraId="33A3842E" w14:textId="77777777" w:rsidR="00E751D3" w:rsidRDefault="00E751D3" w:rsidP="001D462F">
      <w:pPr>
        <w:keepNext/>
        <w:keepLines/>
        <w:rPr>
          <w:bCs/>
          <w:sz w:val="22"/>
          <w:szCs w:val="22"/>
        </w:rPr>
      </w:pPr>
      <w:r w:rsidRPr="00272014">
        <w:rPr>
          <w:bCs/>
          <w:sz w:val="22"/>
          <w:szCs w:val="22"/>
        </w:rPr>
        <w:t>Farmakoterapeutická skupina:</w:t>
      </w:r>
      <w:r w:rsidRPr="00272014">
        <w:rPr>
          <w:b/>
          <w:sz w:val="22"/>
          <w:szCs w:val="22"/>
        </w:rPr>
        <w:t xml:space="preserve"> </w:t>
      </w:r>
      <w:r w:rsidRPr="00272014">
        <w:rPr>
          <w:bCs/>
          <w:sz w:val="22"/>
          <w:szCs w:val="22"/>
        </w:rPr>
        <w:t>Antiastmatik</w:t>
      </w:r>
      <w:r>
        <w:rPr>
          <w:bCs/>
          <w:sz w:val="22"/>
          <w:szCs w:val="22"/>
        </w:rPr>
        <w:t>á, glukokortikoidy</w:t>
      </w:r>
      <w:r>
        <w:rPr>
          <w:sz w:val="22"/>
          <w:szCs w:val="22"/>
        </w:rPr>
        <w:t xml:space="preserve">, </w:t>
      </w:r>
      <w:r w:rsidRPr="00272014">
        <w:rPr>
          <w:bCs/>
          <w:sz w:val="22"/>
          <w:szCs w:val="22"/>
        </w:rPr>
        <w:t>ATC kód:</w:t>
      </w:r>
      <w:r w:rsidRPr="00272014">
        <w:rPr>
          <w:b/>
          <w:sz w:val="22"/>
          <w:szCs w:val="22"/>
        </w:rPr>
        <w:t xml:space="preserve"> </w:t>
      </w:r>
      <w:r w:rsidRPr="00272014">
        <w:rPr>
          <w:bCs/>
          <w:sz w:val="22"/>
          <w:szCs w:val="22"/>
        </w:rPr>
        <w:t>R03BA05.</w:t>
      </w:r>
    </w:p>
    <w:p w14:paraId="33A3842F" w14:textId="77777777" w:rsidR="00E751D3" w:rsidRPr="00272014" w:rsidRDefault="00E751D3" w:rsidP="001D462F">
      <w:pPr>
        <w:keepNext/>
        <w:keepLines/>
        <w:rPr>
          <w:sz w:val="22"/>
          <w:szCs w:val="22"/>
        </w:rPr>
      </w:pPr>
    </w:p>
    <w:p w14:paraId="33A38430" w14:textId="6D366214" w:rsidR="00E751D3" w:rsidRDefault="00E751D3" w:rsidP="00282792">
      <w:pPr>
        <w:rPr>
          <w:sz w:val="22"/>
          <w:szCs w:val="22"/>
        </w:rPr>
      </w:pPr>
      <w:r w:rsidRPr="00272014">
        <w:rPr>
          <w:sz w:val="22"/>
          <w:szCs w:val="22"/>
        </w:rPr>
        <w:t>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 podávaný inhalačne v odporúčaných dávkach má silný glukokortikoidový protizápalový účinok v pľúcach, výsledkom ktorého je zmiernenie príznakov a exacerbácií astmy. Významne zmierňuje príznaky CHOCHP a zlepšuje funkciu pľúc bez ohľadu na pacientov vek, pohlavie, funkciu pľúc na začiatku liečby, fajčenie alebo prítomnosť atopie. To môže viesť k významnému zlepšeniu kvality života.</w:t>
      </w:r>
    </w:p>
    <w:p w14:paraId="33A38431" w14:textId="77777777" w:rsidR="00E751D3" w:rsidRPr="00272014" w:rsidRDefault="00E751D3" w:rsidP="001D462F">
      <w:pPr>
        <w:rPr>
          <w:sz w:val="22"/>
          <w:szCs w:val="22"/>
        </w:rPr>
      </w:pPr>
    </w:p>
    <w:p w14:paraId="33A38432" w14:textId="77777777" w:rsidR="00E751D3" w:rsidRDefault="00E751D3" w:rsidP="001D462F">
      <w:pPr>
        <w:keepNext/>
        <w:keepLines/>
        <w:rPr>
          <w:b/>
          <w:sz w:val="22"/>
          <w:szCs w:val="22"/>
          <w:u w:val="single"/>
        </w:rPr>
      </w:pPr>
      <w:r w:rsidRPr="00272014">
        <w:rPr>
          <w:b/>
          <w:sz w:val="22"/>
          <w:szCs w:val="22"/>
          <w:u w:val="single"/>
        </w:rPr>
        <w:t>Klinické štúdie zamerané na CHOCHP</w:t>
      </w:r>
    </w:p>
    <w:p w14:paraId="33A38433" w14:textId="77777777" w:rsidR="00E751D3" w:rsidRDefault="00E751D3" w:rsidP="001D462F">
      <w:pPr>
        <w:keepNext/>
        <w:keepLines/>
        <w:rPr>
          <w:sz w:val="22"/>
          <w:szCs w:val="22"/>
        </w:rPr>
      </w:pPr>
    </w:p>
    <w:p w14:paraId="33A38434" w14:textId="3DBA6FC7" w:rsidR="00E751D3" w:rsidRDefault="00E751D3" w:rsidP="001D462F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TORCH bola 3</w:t>
      </w:r>
      <w:r>
        <w:rPr>
          <w:sz w:val="22"/>
          <w:szCs w:val="22"/>
        </w:rPr>
        <w:noBreakHyphen/>
      </w:r>
      <w:r w:rsidRPr="00272014">
        <w:rPr>
          <w:sz w:val="22"/>
          <w:szCs w:val="22"/>
        </w:rPr>
        <w:t>ročná štúdia hodnotiaca účinok liečby s Diskusom so salmeterolom/flutikazón</w:t>
      </w:r>
      <w:r w:rsidR="00622C34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propionátom (FP) 50/500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µg dvakrát denne, Diskusom so salmeterolom 50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µg dvakrát denne, Diskusom s FP 500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µg dvakrát denne alebo placebom na úmrtnosť z akejkoľvek príčiny (celkovú úmrtnosť) u pacientov s CHOCHP. Pacientom s CHOCHP, ktorí mali pri zaradení do štúdie (pred podaním bronchodilatancia) FEV</w:t>
      </w:r>
      <w:r w:rsidRPr="00272014">
        <w:rPr>
          <w:sz w:val="22"/>
          <w:szCs w:val="22"/>
          <w:vertAlign w:val="subscript"/>
        </w:rPr>
        <w:t>1</w:t>
      </w:r>
      <w:r w:rsidRPr="00272014">
        <w:rPr>
          <w:sz w:val="22"/>
          <w:szCs w:val="22"/>
        </w:rPr>
        <w:t xml:space="preserve"> &lt; 60 % náležitých hodnôt, pridelili náhodným výberom dvojito zaslepenú liečbu. Počas štúdie bola u pacientov povolená obvyklá liečba CHOCHP s výnimkou iných inhalačných kortikosteroidov, dlhodobo pôsobiacich bronchodilatancií a dlhodobo užívaných systémových kortikosteroidov. Stav prežívania po 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rokoch bol zisťovaný u všetkých pacientov bez ohľadu na prerušenie užívania skúšaného lieku. Primárnym cieľovým ukazovateľom bolo zníženie úmrtnosti z akejkoľvek príčiny po 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rokoch pre salmeterol/FP oproti placebu.</w:t>
      </w:r>
    </w:p>
    <w:p w14:paraId="33A38435" w14:textId="77777777" w:rsidR="00E751D3" w:rsidRPr="00282792" w:rsidRDefault="00E751D3" w:rsidP="001D462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417"/>
        <w:gridCol w:w="1559"/>
        <w:gridCol w:w="1377"/>
        <w:gridCol w:w="1620"/>
      </w:tblGrid>
      <w:tr w:rsidR="00E751D3" w:rsidRPr="00272014" w14:paraId="33A3843F" w14:textId="77777777" w:rsidTr="00B54347">
        <w:tc>
          <w:tcPr>
            <w:tcW w:w="2827" w:type="dxa"/>
            <w:vAlign w:val="center"/>
          </w:tcPr>
          <w:p w14:paraId="33A38436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A38437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Placebo</w:t>
            </w:r>
          </w:p>
          <w:p w14:paraId="33A38438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n = 1 524</w:t>
            </w:r>
          </w:p>
        </w:tc>
        <w:tc>
          <w:tcPr>
            <w:tcW w:w="1559" w:type="dxa"/>
            <w:vAlign w:val="center"/>
          </w:tcPr>
          <w:p w14:paraId="33A38439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Salmeterol 50</w:t>
            </w:r>
          </w:p>
          <w:p w14:paraId="33A3843A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n = 1 521</w:t>
            </w:r>
          </w:p>
        </w:tc>
        <w:tc>
          <w:tcPr>
            <w:tcW w:w="1377" w:type="dxa"/>
            <w:vAlign w:val="center"/>
          </w:tcPr>
          <w:p w14:paraId="33A3843B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FP 500</w:t>
            </w:r>
          </w:p>
          <w:p w14:paraId="33A3843C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n = 1 534</w:t>
            </w:r>
          </w:p>
        </w:tc>
        <w:tc>
          <w:tcPr>
            <w:tcW w:w="1620" w:type="dxa"/>
            <w:vAlign w:val="center"/>
          </w:tcPr>
          <w:p w14:paraId="33A3843D" w14:textId="77777777" w:rsidR="00E751D3" w:rsidRPr="00272014" w:rsidRDefault="00E751D3" w:rsidP="001D462F">
            <w:pPr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Salmeterol/FP 50/500</w:t>
            </w:r>
          </w:p>
          <w:p w14:paraId="33A3843E" w14:textId="77777777" w:rsidR="00E751D3" w:rsidRPr="00272014" w:rsidRDefault="00E751D3" w:rsidP="001D462F">
            <w:pPr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n = 1 533</w:t>
            </w:r>
          </w:p>
        </w:tc>
      </w:tr>
      <w:tr w:rsidR="00E751D3" w:rsidRPr="00272014" w14:paraId="33A38441" w14:textId="77777777" w:rsidTr="00B54347">
        <w:tc>
          <w:tcPr>
            <w:tcW w:w="8800" w:type="dxa"/>
            <w:gridSpan w:val="5"/>
            <w:vAlign w:val="center"/>
          </w:tcPr>
          <w:p w14:paraId="33A38440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Úmrtnosť z akejkoľvek príčiny po 3</w:t>
            </w:r>
            <w:r>
              <w:rPr>
                <w:sz w:val="22"/>
                <w:szCs w:val="22"/>
              </w:rPr>
              <w:t> </w:t>
            </w:r>
            <w:r w:rsidRPr="00272014">
              <w:rPr>
                <w:sz w:val="22"/>
                <w:szCs w:val="22"/>
              </w:rPr>
              <w:t>rokoch</w:t>
            </w:r>
          </w:p>
        </w:tc>
      </w:tr>
      <w:tr w:rsidR="00E751D3" w:rsidRPr="00272014" w14:paraId="33A3844B" w14:textId="77777777" w:rsidTr="00B54347">
        <w:tc>
          <w:tcPr>
            <w:tcW w:w="2827" w:type="dxa"/>
            <w:vAlign w:val="center"/>
          </w:tcPr>
          <w:p w14:paraId="33A38442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Počet úmrtí (%)</w:t>
            </w:r>
          </w:p>
        </w:tc>
        <w:tc>
          <w:tcPr>
            <w:tcW w:w="1417" w:type="dxa"/>
            <w:vAlign w:val="center"/>
          </w:tcPr>
          <w:p w14:paraId="33A38443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231</w:t>
            </w:r>
          </w:p>
          <w:p w14:paraId="33A38444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(15,2 %)</w:t>
            </w:r>
          </w:p>
        </w:tc>
        <w:tc>
          <w:tcPr>
            <w:tcW w:w="1559" w:type="dxa"/>
            <w:vAlign w:val="center"/>
          </w:tcPr>
          <w:p w14:paraId="33A38445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205</w:t>
            </w:r>
          </w:p>
          <w:p w14:paraId="33A38446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(13,5 %)</w:t>
            </w:r>
          </w:p>
        </w:tc>
        <w:tc>
          <w:tcPr>
            <w:tcW w:w="1377" w:type="dxa"/>
            <w:vAlign w:val="center"/>
          </w:tcPr>
          <w:p w14:paraId="33A38447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246</w:t>
            </w:r>
          </w:p>
          <w:p w14:paraId="33A38448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(16,0 %)</w:t>
            </w:r>
          </w:p>
        </w:tc>
        <w:tc>
          <w:tcPr>
            <w:tcW w:w="1620" w:type="dxa"/>
            <w:vAlign w:val="center"/>
          </w:tcPr>
          <w:p w14:paraId="33A38449" w14:textId="77777777" w:rsidR="00E751D3" w:rsidRPr="00272014" w:rsidRDefault="00E751D3" w:rsidP="001D462F">
            <w:pPr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193</w:t>
            </w:r>
          </w:p>
          <w:p w14:paraId="33A3844A" w14:textId="77777777" w:rsidR="00E751D3" w:rsidRPr="00272014" w:rsidRDefault="00E751D3" w:rsidP="001D462F">
            <w:pPr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(12,6 %)</w:t>
            </w:r>
          </w:p>
        </w:tc>
      </w:tr>
      <w:tr w:rsidR="00E751D3" w:rsidRPr="00272014" w14:paraId="33A38459" w14:textId="77777777" w:rsidTr="00B54347">
        <w:tc>
          <w:tcPr>
            <w:tcW w:w="2827" w:type="dxa"/>
            <w:vAlign w:val="center"/>
          </w:tcPr>
          <w:p w14:paraId="33A3844C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Pomer rizika oproti placebu</w:t>
            </w:r>
          </w:p>
          <w:p w14:paraId="33A3844D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(IS)</w:t>
            </w:r>
          </w:p>
          <w:p w14:paraId="33A3844E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noBreakHyphen/>
            </w:r>
            <w:r w:rsidRPr="00272014">
              <w:rPr>
                <w:sz w:val="22"/>
                <w:szCs w:val="22"/>
              </w:rPr>
              <w:t>hodnota</w:t>
            </w:r>
          </w:p>
        </w:tc>
        <w:tc>
          <w:tcPr>
            <w:tcW w:w="1417" w:type="dxa"/>
            <w:vAlign w:val="center"/>
          </w:tcPr>
          <w:p w14:paraId="33A3844F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N/A</w:t>
            </w:r>
          </w:p>
        </w:tc>
        <w:tc>
          <w:tcPr>
            <w:tcW w:w="1559" w:type="dxa"/>
            <w:vAlign w:val="center"/>
          </w:tcPr>
          <w:p w14:paraId="33A38450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0,879</w:t>
            </w:r>
          </w:p>
          <w:p w14:paraId="33A38451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(0,73</w:t>
            </w:r>
            <w:r>
              <w:rPr>
                <w:sz w:val="22"/>
                <w:szCs w:val="22"/>
              </w:rPr>
              <w:t>;</w:t>
            </w:r>
            <w:r w:rsidRPr="00272014">
              <w:rPr>
                <w:sz w:val="22"/>
                <w:szCs w:val="22"/>
              </w:rPr>
              <w:t xml:space="preserve"> 1,06)</w:t>
            </w:r>
          </w:p>
          <w:p w14:paraId="33A38452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0,180</w:t>
            </w:r>
          </w:p>
        </w:tc>
        <w:tc>
          <w:tcPr>
            <w:tcW w:w="1377" w:type="dxa"/>
            <w:vAlign w:val="center"/>
          </w:tcPr>
          <w:p w14:paraId="33A38453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1,060</w:t>
            </w:r>
          </w:p>
          <w:p w14:paraId="33A38454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(0,89</w:t>
            </w:r>
            <w:r>
              <w:rPr>
                <w:sz w:val="22"/>
                <w:szCs w:val="22"/>
              </w:rPr>
              <w:t>;</w:t>
            </w:r>
            <w:r w:rsidRPr="00272014">
              <w:rPr>
                <w:sz w:val="22"/>
                <w:szCs w:val="22"/>
              </w:rPr>
              <w:t xml:space="preserve"> 1,27)</w:t>
            </w:r>
          </w:p>
          <w:p w14:paraId="33A38455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0,525</w:t>
            </w:r>
          </w:p>
        </w:tc>
        <w:tc>
          <w:tcPr>
            <w:tcW w:w="1620" w:type="dxa"/>
            <w:vAlign w:val="center"/>
          </w:tcPr>
          <w:p w14:paraId="33A38456" w14:textId="77777777" w:rsidR="00E751D3" w:rsidRDefault="00E751D3" w:rsidP="001D462F">
            <w:pPr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0,825</w:t>
            </w:r>
          </w:p>
          <w:p w14:paraId="33A38457" w14:textId="77777777" w:rsidR="00E751D3" w:rsidRDefault="00E751D3" w:rsidP="001D462F">
            <w:pPr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(0,68</w:t>
            </w:r>
            <w:r>
              <w:rPr>
                <w:sz w:val="22"/>
                <w:szCs w:val="22"/>
              </w:rPr>
              <w:t>;</w:t>
            </w:r>
            <w:r w:rsidRPr="00272014">
              <w:rPr>
                <w:sz w:val="22"/>
                <w:szCs w:val="22"/>
              </w:rPr>
              <w:t xml:space="preserve"> 1,00)</w:t>
            </w:r>
          </w:p>
          <w:p w14:paraId="33A38458" w14:textId="77777777" w:rsidR="00E751D3" w:rsidRPr="00272014" w:rsidRDefault="00E751D3" w:rsidP="001D462F">
            <w:pPr>
              <w:spacing w:after="60"/>
              <w:rPr>
                <w:sz w:val="22"/>
                <w:szCs w:val="22"/>
                <w:vertAlign w:val="superscript"/>
              </w:rPr>
            </w:pPr>
            <w:r w:rsidRPr="00272014">
              <w:rPr>
                <w:sz w:val="22"/>
                <w:szCs w:val="22"/>
              </w:rPr>
              <w:t>0,052</w:t>
            </w:r>
            <w:r w:rsidRPr="0027201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751D3" w:rsidRPr="00272014" w14:paraId="33A38466" w14:textId="77777777" w:rsidTr="00B54347">
        <w:tc>
          <w:tcPr>
            <w:tcW w:w="2827" w:type="dxa"/>
            <w:vAlign w:val="center"/>
          </w:tcPr>
          <w:p w14:paraId="33A3845A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Pomer rizika pre salmeterol/FP 50/500 oproti jeho zložkám (IS)</w:t>
            </w:r>
          </w:p>
          <w:p w14:paraId="33A3845B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noBreakHyphen/>
            </w:r>
            <w:r w:rsidRPr="00272014">
              <w:rPr>
                <w:sz w:val="22"/>
                <w:szCs w:val="22"/>
              </w:rPr>
              <w:t>hodnota</w:t>
            </w:r>
          </w:p>
        </w:tc>
        <w:tc>
          <w:tcPr>
            <w:tcW w:w="1417" w:type="dxa"/>
            <w:vAlign w:val="center"/>
          </w:tcPr>
          <w:p w14:paraId="33A3845C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N/A</w:t>
            </w:r>
          </w:p>
        </w:tc>
        <w:tc>
          <w:tcPr>
            <w:tcW w:w="1559" w:type="dxa"/>
            <w:vAlign w:val="center"/>
          </w:tcPr>
          <w:p w14:paraId="33A3845D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</w:p>
          <w:p w14:paraId="33A3845E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0,932</w:t>
            </w:r>
          </w:p>
          <w:p w14:paraId="33A3845F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(0,77</w:t>
            </w:r>
            <w:r>
              <w:rPr>
                <w:sz w:val="22"/>
                <w:szCs w:val="22"/>
              </w:rPr>
              <w:t>;</w:t>
            </w:r>
            <w:r w:rsidRPr="00272014">
              <w:rPr>
                <w:sz w:val="22"/>
                <w:szCs w:val="22"/>
              </w:rPr>
              <w:t xml:space="preserve"> 1,13)</w:t>
            </w:r>
          </w:p>
          <w:p w14:paraId="33A38460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0,481</w:t>
            </w:r>
          </w:p>
        </w:tc>
        <w:tc>
          <w:tcPr>
            <w:tcW w:w="1377" w:type="dxa"/>
            <w:vAlign w:val="center"/>
          </w:tcPr>
          <w:p w14:paraId="33A38461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</w:p>
          <w:p w14:paraId="33A38462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0,774</w:t>
            </w:r>
          </w:p>
          <w:p w14:paraId="33A38463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(0,64</w:t>
            </w:r>
            <w:r>
              <w:rPr>
                <w:sz w:val="22"/>
                <w:szCs w:val="22"/>
              </w:rPr>
              <w:t>;</w:t>
            </w:r>
            <w:r w:rsidRPr="00272014">
              <w:rPr>
                <w:sz w:val="22"/>
                <w:szCs w:val="22"/>
              </w:rPr>
              <w:t xml:space="preserve"> 0,93)</w:t>
            </w:r>
          </w:p>
          <w:p w14:paraId="33A38464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0,007</w:t>
            </w:r>
          </w:p>
        </w:tc>
        <w:tc>
          <w:tcPr>
            <w:tcW w:w="1620" w:type="dxa"/>
            <w:vAlign w:val="center"/>
          </w:tcPr>
          <w:p w14:paraId="33A38465" w14:textId="77777777" w:rsidR="00E751D3" w:rsidRPr="00272014" w:rsidRDefault="00E751D3" w:rsidP="001D462F">
            <w:pPr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N/A</w:t>
            </w:r>
          </w:p>
        </w:tc>
      </w:tr>
      <w:tr w:rsidR="00E751D3" w:rsidRPr="00272014" w14:paraId="33A38468" w14:textId="77777777" w:rsidTr="00B54347">
        <w:tc>
          <w:tcPr>
            <w:tcW w:w="8800" w:type="dxa"/>
            <w:gridSpan w:val="5"/>
            <w:tcBorders>
              <w:left w:val="nil"/>
              <w:bottom w:val="nil"/>
              <w:right w:val="nil"/>
            </w:tcBorders>
          </w:tcPr>
          <w:p w14:paraId="33A38467" w14:textId="77777777" w:rsidR="00E751D3" w:rsidRPr="008015D4" w:rsidRDefault="00E751D3" w:rsidP="001D462F">
            <w:pPr>
              <w:rPr>
                <w:sz w:val="18"/>
                <w:szCs w:val="18"/>
              </w:rPr>
            </w:pPr>
            <w:r w:rsidRPr="008015D4">
              <w:rPr>
                <w:sz w:val="18"/>
                <w:szCs w:val="18"/>
                <w:vertAlign w:val="superscript"/>
              </w:rPr>
              <w:t>1.</w:t>
            </w:r>
            <w:r w:rsidRPr="008015D4">
              <w:rPr>
                <w:sz w:val="18"/>
                <w:szCs w:val="18"/>
              </w:rPr>
              <w:t>Nevýznamná p-hodnota po úprave vzhľadom k 2 priebežným analýzam porovnávajúcim primárnu účinnosť z</w:t>
            </w:r>
            <w:r>
              <w:rPr>
                <w:sz w:val="18"/>
                <w:szCs w:val="18"/>
              </w:rPr>
              <w:t> </w:t>
            </w:r>
            <w:r w:rsidRPr="008015D4">
              <w:rPr>
                <w:sz w:val="18"/>
                <w:szCs w:val="18"/>
              </w:rPr>
              <w:t>log</w:t>
            </w:r>
            <w:r>
              <w:rPr>
                <w:sz w:val="18"/>
                <w:szCs w:val="18"/>
              </w:rPr>
              <w:noBreakHyphen/>
            </w:r>
            <w:r w:rsidRPr="008015D4">
              <w:rPr>
                <w:sz w:val="18"/>
                <w:szCs w:val="18"/>
              </w:rPr>
              <w:t>rank analýzy stratifikovanej podľa stavu fajčenia resp. nefajčenia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33A38469" w14:textId="77777777" w:rsidR="00E751D3" w:rsidRPr="00282792" w:rsidRDefault="00E751D3" w:rsidP="001D462F">
      <w:pPr>
        <w:rPr>
          <w:sz w:val="22"/>
        </w:rPr>
      </w:pPr>
    </w:p>
    <w:p w14:paraId="33A3846A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U jedincov liečených liekom salmeterol/FP bol počas 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rokov trend k zlepšenému prežívaniu v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porovnaní s placebom, avšak v tomto parametri sa nedosiahla hladina štatistickej významnosti p ≤ 0,05.</w:t>
      </w:r>
    </w:p>
    <w:p w14:paraId="33A3846B" w14:textId="77777777" w:rsidR="00E751D3" w:rsidRPr="00272014" w:rsidRDefault="00E751D3" w:rsidP="001D462F">
      <w:pPr>
        <w:rPr>
          <w:sz w:val="22"/>
          <w:szCs w:val="22"/>
        </w:rPr>
      </w:pPr>
    </w:p>
    <w:p w14:paraId="33A3846C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Percento pacientov, ktorí zomreli počas 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rokov kvôli príčinám spojeným s CHOCHP, bolo 6,0 % u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placeba, 6,1 % u salmeterolu, 6,9 % u FP a 4,7 % u salmeterolu/FP.</w:t>
      </w:r>
    </w:p>
    <w:p w14:paraId="33A3846D" w14:textId="77777777" w:rsidR="00E751D3" w:rsidRPr="00272014" w:rsidRDefault="00E751D3" w:rsidP="001D462F">
      <w:pPr>
        <w:rPr>
          <w:sz w:val="22"/>
          <w:szCs w:val="22"/>
        </w:rPr>
      </w:pPr>
    </w:p>
    <w:p w14:paraId="33A3846E" w14:textId="77777777" w:rsidR="00E751D3" w:rsidRDefault="00E751D3" w:rsidP="001D462F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Priemerný počet stredne ťažkých až ťažkých exacerbácií ročne bol významne znížený pri liečbe so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salmeterolom/FP v porovnaní s liečbou salmeterolom, FP a placebom (v skupine so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salmeterolom/FP bola priemerná hodnota výskytu 0,85 oproti 0,97 v skupine so salmeterolom, 0,93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v skupine s FP a 1,13 v skupine s placebom). Toto zodpovedá zníženiu výskytu stredne ťažkých až ťažkých exacerbácií o 25 % (95 % IS: 19 % až 31 %; p &lt; 0,001) v porovnaní s placebom, o 12 % v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porovnaní so salmeterolom (95 % IS: 5 % až 19 %, p = 0,002) a o 9 % v porovnaní s FP (95 % IS: 1 % až 16 %, p = 0,024). Salmeterol a FP významne znížili výskyt exacerbácií v porovnaní s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placebom, salmeterol o 15 % (95 % IS: 7 % až 22 %; p &lt; 0,001) a FP o 18 % (95 % IS: 11 % až 24 %; p &lt; 0,001).</w:t>
      </w:r>
    </w:p>
    <w:p w14:paraId="33A3846F" w14:textId="77777777" w:rsidR="00E751D3" w:rsidRPr="00282792" w:rsidRDefault="00E751D3" w:rsidP="001D462F">
      <w:pPr>
        <w:rPr>
          <w:sz w:val="22"/>
        </w:rPr>
      </w:pPr>
    </w:p>
    <w:p w14:paraId="33A38470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Kvalitu života spojenú so zdravotným stavom, meranú pomocou dotazníka SGRQ (St George’s Respiratory Questionnaire /dotazník hodnotiaci kvalitu života pri respiračných ochoreniach/), zlepšili všetky aktívne lieky v porovnaní s placebom. Priemerné zlepšenie počas troch rokov so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salmeterolom/FP v porovnaní s placebom bolo -3,1 jednotk</w:t>
      </w:r>
      <w:r>
        <w:rPr>
          <w:sz w:val="22"/>
          <w:szCs w:val="22"/>
        </w:rPr>
        <w:t>y</w:t>
      </w:r>
      <w:r w:rsidRPr="00272014">
        <w:rPr>
          <w:sz w:val="22"/>
          <w:szCs w:val="22"/>
        </w:rPr>
        <w:t xml:space="preserve"> (95 % IS: -4,1 až -2,1; p &lt; 0,001), v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porovnaní so salmeterolom bolo -2,2 jednotk</w:t>
      </w:r>
      <w:r>
        <w:rPr>
          <w:sz w:val="22"/>
          <w:szCs w:val="22"/>
        </w:rPr>
        <w:t>y</w:t>
      </w:r>
      <w:r w:rsidRPr="00272014">
        <w:rPr>
          <w:sz w:val="22"/>
          <w:szCs w:val="22"/>
        </w:rPr>
        <w:t xml:space="preserve"> (p &lt; 0,001) a v porovnaní s FP bolo </w:t>
      </w:r>
      <w:r w:rsidRPr="00272014">
        <w:rPr>
          <w:sz w:val="22"/>
          <w:szCs w:val="22"/>
        </w:rPr>
        <w:noBreakHyphen/>
        <w:t>1,2 jednotk</w:t>
      </w:r>
      <w:r>
        <w:rPr>
          <w:sz w:val="22"/>
          <w:szCs w:val="22"/>
        </w:rPr>
        <w:t>y</w:t>
      </w:r>
      <w:r w:rsidRPr="00272014">
        <w:rPr>
          <w:sz w:val="22"/>
          <w:szCs w:val="22"/>
        </w:rPr>
        <w:t xml:space="preserve"> (p = 0,017). Zníženie o 4 jednotky sa považuje za klinicky významné.</w:t>
      </w:r>
    </w:p>
    <w:p w14:paraId="33A38471" w14:textId="77777777" w:rsidR="00E751D3" w:rsidRPr="00272014" w:rsidRDefault="00E751D3" w:rsidP="001D462F">
      <w:pPr>
        <w:rPr>
          <w:sz w:val="22"/>
          <w:szCs w:val="22"/>
        </w:rPr>
      </w:pPr>
    </w:p>
    <w:p w14:paraId="33A38472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Odhadovaná pravdepodobnosť vzniku pneumónie, hlásenej ako nežiaduca udalosť, počas 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rokov bola 12,3 % u placeba, 13,3 % u salmeterolu, 18,3 % u FP a 19,6 % u salmeterolu/FP (pomer rizík u salmeterolu/FP oproti placebu: 1,64, 95 % IS: 1,33 až 2,01, p &lt; 0,001). Nedošlo k zvýšeniu výskytu úmrtí spojených s pneumóniou; počet úmrtí počas liečby, ktoré sa posudzovali ako primárne spôsobené pneumóniou, bol 7 u placeba, 9 u salmeterolu, 13 u FP a 8 u salmeterolu/FP. Nebol žiadny významný rozdiel v pravdepodobnosti vzniku zlomeniny kosti (5,1 % u placeba, 5,1 % u salmeterolu, 5,4 % u FP a 6,3 % u salmeterolu/FP; pomer rizík u salmeterolu/FP oproti placebu: 1,22, 95 % IS: 0,87 až 1,72, p = 0,248).</w:t>
      </w:r>
    </w:p>
    <w:p w14:paraId="33A38473" w14:textId="77777777" w:rsidR="00AD314F" w:rsidRDefault="00AD314F" w:rsidP="00AD314F">
      <w:pPr>
        <w:rPr>
          <w:sz w:val="22"/>
          <w:szCs w:val="22"/>
        </w:rPr>
      </w:pPr>
    </w:p>
    <w:p w14:paraId="33A38474" w14:textId="5D180C68" w:rsidR="00AD314F" w:rsidRDefault="00AD314F" w:rsidP="00F879CB">
      <w:pPr>
        <w:keepNext/>
        <w:keepLines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Lieky obsahujúce flutikazón</w:t>
      </w:r>
      <w:r w:rsidR="00622C34">
        <w:rPr>
          <w:b/>
          <w:i/>
          <w:sz w:val="22"/>
          <w:szCs w:val="22"/>
        </w:rPr>
        <w:noBreakHyphen/>
      </w:r>
      <w:r>
        <w:rPr>
          <w:b/>
          <w:i/>
          <w:sz w:val="22"/>
          <w:szCs w:val="22"/>
        </w:rPr>
        <w:t>propionát podávané na liečbu astmy počas gravidity</w:t>
      </w:r>
    </w:p>
    <w:p w14:paraId="33A38475" w14:textId="77777777" w:rsidR="00AD314F" w:rsidRDefault="00AD314F" w:rsidP="00F879CB">
      <w:pPr>
        <w:keepNext/>
        <w:keepLines/>
        <w:rPr>
          <w:sz w:val="22"/>
          <w:szCs w:val="22"/>
        </w:rPr>
      </w:pPr>
    </w:p>
    <w:p w14:paraId="33A38476" w14:textId="77777777" w:rsidR="00AD314F" w:rsidRDefault="00AD314F" w:rsidP="00F879CB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Uskutočnila sa observačná retrospektívna epidemiologická kohortová štúdia, ktorá použila elektronické zdravotné záznamy zo Spojeného kráľovstva na vyhodnotenie rizika ZKM po expozícii samotnému inhalačnému FP a kombinácii salmeterol</w:t>
      </w:r>
      <w:r>
        <w:rPr>
          <w:sz w:val="22"/>
          <w:szCs w:val="22"/>
        </w:rPr>
        <w:noBreakHyphen/>
        <w:t>FP v prvom trimestri v porovnaní s expozíciou inhalačným kortikosteroidom (IKS) iným ako FP. Do tejto štúdie nebolo zahrnuté placebo ako komparátor.</w:t>
      </w:r>
    </w:p>
    <w:p w14:paraId="33A38477" w14:textId="77777777" w:rsidR="00AD314F" w:rsidRDefault="00AD314F" w:rsidP="00AD314F">
      <w:pPr>
        <w:rPr>
          <w:sz w:val="22"/>
          <w:szCs w:val="22"/>
        </w:rPr>
      </w:pPr>
    </w:p>
    <w:p w14:paraId="33A38478" w14:textId="77777777" w:rsidR="00AD314F" w:rsidRPr="001953CE" w:rsidRDefault="00AD314F" w:rsidP="00AD314F">
      <w:pPr>
        <w:rPr>
          <w:sz w:val="22"/>
          <w:szCs w:val="22"/>
        </w:rPr>
      </w:pPr>
      <w:r>
        <w:rPr>
          <w:sz w:val="22"/>
          <w:szCs w:val="22"/>
        </w:rPr>
        <w:t>Zistilo sa, že v kohorte 5 362 žien s astmou, ktoré boli liečené IKS v prvom trimestri gravidity, sa 131 ženám narodili deti, ktoré mali diagnostikované ZKM; 1 612 (30 %) žien bolo liečených FP alebo kombináciou salmeterol</w:t>
      </w:r>
      <w:r>
        <w:rPr>
          <w:sz w:val="22"/>
          <w:szCs w:val="22"/>
        </w:rPr>
        <w:noBreakHyphen/>
        <w:t>FP a 42 z nich sa narodili deti, ktoré mali diagnostikované ZKM. Upravený pomer šancí (odds ratio) pre ZKM diagnostikované do 1 roka života bol 1,1 (95 % IS: 0,5 </w:t>
      </w:r>
      <w:r>
        <w:rPr>
          <w:sz w:val="22"/>
          <w:szCs w:val="22"/>
        </w:rPr>
        <w:noBreakHyphen/>
        <w:t> 2,3) u žien so stredne ťažkou astmou liečených FP v porovnaní s tými, ktoré boli liečené IKS inými ako FP a 1,2 (95 % IS: 0,7 </w:t>
      </w:r>
      <w:r>
        <w:rPr>
          <w:sz w:val="22"/>
          <w:szCs w:val="22"/>
        </w:rPr>
        <w:noBreakHyphen/>
        <w:t> 2,0) u žien so značne ťažkou až ťažkou astmou. Nezistil sa žiadny rozdiel v riziku ZKM po expozícii samotnému FP v prvom trimestri v porovnaní s expozíciou kombinácii salmeterol</w:t>
      </w:r>
      <w:r>
        <w:rPr>
          <w:sz w:val="22"/>
          <w:szCs w:val="22"/>
        </w:rPr>
        <w:noBreakHyphen/>
        <w:t>FP. Absolútne riziko ZKM hodnotené v podskupinách žien vytvorených podľa stupňa závažnosti astmy sa pohybovalo od 2,0 do 2,9 na 100 žien liečených FP počas gravidity, čo je porovnateľné s výsledkami štúdie vychádzajúcej zo záznamov</w:t>
      </w:r>
      <w:r w:rsidRPr="00680F29">
        <w:rPr>
          <w:sz w:val="22"/>
          <w:szCs w:val="22"/>
        </w:rPr>
        <w:t xml:space="preserve"> </w:t>
      </w:r>
      <w:r>
        <w:rPr>
          <w:sz w:val="22"/>
          <w:szCs w:val="22"/>
        </w:rPr>
        <w:t>General Practice Research Database o 15 840 ženách, ktoré počas gravidity neboli liečené liekmi na astmu (2,8 prípadu ZKM na 100 gravidít).</w:t>
      </w:r>
    </w:p>
    <w:p w14:paraId="33A38479" w14:textId="77777777" w:rsidR="00E751D3" w:rsidRPr="00272014" w:rsidRDefault="00E751D3" w:rsidP="001D462F">
      <w:pPr>
        <w:rPr>
          <w:sz w:val="22"/>
          <w:szCs w:val="22"/>
        </w:rPr>
      </w:pPr>
    </w:p>
    <w:p w14:paraId="33A3847A" w14:textId="77777777" w:rsidR="00E751D3" w:rsidRDefault="00E751D3" w:rsidP="00282792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5.2</w:t>
      </w:r>
      <w:r w:rsidRPr="00272014">
        <w:rPr>
          <w:b/>
          <w:sz w:val="22"/>
          <w:szCs w:val="22"/>
        </w:rPr>
        <w:tab/>
        <w:t>Farmakokinetické vlastnosti</w:t>
      </w:r>
    </w:p>
    <w:p w14:paraId="33A3847B" w14:textId="77777777" w:rsidR="00E751D3" w:rsidRPr="000D57D8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7C" w14:textId="77777777" w:rsidR="00E751D3" w:rsidRPr="00282792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  <w:r w:rsidRPr="00282792">
        <w:rPr>
          <w:rFonts w:ascii="Times New Roman" w:hAnsi="Times New Roman"/>
          <w:sz w:val="22"/>
          <w:szCs w:val="22"/>
          <w:u w:val="single"/>
        </w:rPr>
        <w:t>Absorpcia</w:t>
      </w:r>
    </w:p>
    <w:p w14:paraId="33A3847D" w14:textId="345EE92E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Absolútna biologická dostupnosť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z každej z dostupných inhalačných pomôcok bola odhadnutá na základe porovnaní inhalačných a intravenóznych farmakokinetických údajov uskutočnených v rámci štúdií a medzi štúdiami. U zdravých dospelých jedincov bola absolútna biologická dostupnosť odhadnutá pre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z pomôcky Diskus (7,8 %),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z pomôcky Diskhaler (9,0 %) a</w:t>
      </w:r>
      <w:r w:rsidR="00622C34"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z pomôcky Inhaler (10,9 %). U pacientov s astmou alebo CHOCHP bol pozorovaný nižší stupeň systémovej expozície inhalačn</w:t>
      </w:r>
      <w:r>
        <w:rPr>
          <w:rFonts w:ascii="Times New Roman" w:hAnsi="Times New Roman"/>
          <w:sz w:val="22"/>
          <w:szCs w:val="22"/>
        </w:rPr>
        <w:t>é</w:t>
      </w:r>
      <w:r w:rsidRPr="00272014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>u</w:t>
      </w:r>
      <w:r w:rsidRPr="00272014">
        <w:rPr>
          <w:rFonts w:ascii="Times New Roman" w:hAnsi="Times New Roman"/>
          <w:sz w:val="22"/>
          <w:szCs w:val="22"/>
        </w:rPr>
        <w:t xml:space="preserve">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</w:t>
      </w:r>
      <w:r>
        <w:rPr>
          <w:rFonts w:ascii="Times New Roman" w:hAnsi="Times New Roman"/>
          <w:sz w:val="22"/>
          <w:szCs w:val="22"/>
        </w:rPr>
        <w:t>u</w:t>
      </w:r>
      <w:r w:rsidRPr="00272014">
        <w:rPr>
          <w:rFonts w:ascii="Times New Roman" w:hAnsi="Times New Roman"/>
          <w:sz w:val="22"/>
          <w:szCs w:val="22"/>
        </w:rPr>
        <w:t>. Systémová absorpcia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prebieha hlavne prostredníctvom pľúc a na začiatku je rýchla, potom sa spomaľuje. Zbytok inhalovanej dávky môže byť prehltnutý, ale na systémovej expozícii sa podieľa minimálne v dôsledku nízkej rozpustnosti vo vode a presystémového metabolizmu, výsledkom čoho je menej ako 1 % perorálna dostupnosť. So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zvyšujúcou sa inhalovanou dávkou sa lineárne zvyšuje systémová expozícia.</w:t>
      </w:r>
    </w:p>
    <w:p w14:paraId="33A3847E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7F" w14:textId="77777777" w:rsidR="00E751D3" w:rsidRPr="00282792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  <w:r w:rsidRPr="00282792">
        <w:rPr>
          <w:rFonts w:ascii="Times New Roman" w:hAnsi="Times New Roman"/>
          <w:sz w:val="22"/>
          <w:szCs w:val="22"/>
          <w:u w:val="single"/>
        </w:rPr>
        <w:t>Distribúcia</w:t>
      </w:r>
    </w:p>
    <w:p w14:paraId="33A38480" w14:textId="6844F52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má veľký distribučný objem v rovnovážnom stave (približne 318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l). Väzba na plazmatické bielkoviny je stredne vysoká (91 %).</w:t>
      </w:r>
    </w:p>
    <w:p w14:paraId="33A3848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82" w14:textId="77777777" w:rsidR="00E751D3" w:rsidRPr="00282792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  <w:r w:rsidRPr="00282792">
        <w:rPr>
          <w:rFonts w:ascii="Times New Roman" w:hAnsi="Times New Roman"/>
          <w:sz w:val="22"/>
          <w:szCs w:val="22"/>
          <w:u w:val="single"/>
        </w:rPr>
        <w:t>Biotransformácia</w:t>
      </w:r>
    </w:p>
    <w:p w14:paraId="33A38483" w14:textId="382452EB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je zo systémovej cirkulácie odstránený veľmi rýchlo, hlavne metabolizmom na inaktívny metabolit, kyselinu karboxylovú, prostredníctvom enzýmu CYP3A4 cytochrómu P450. Opatrnosť je potrebná pri sú</w:t>
      </w:r>
      <w:r w:rsidR="00B33305">
        <w:rPr>
          <w:rFonts w:ascii="Times New Roman" w:hAnsi="Times New Roman"/>
          <w:sz w:val="22"/>
          <w:szCs w:val="22"/>
        </w:rPr>
        <w:t>bežnom</w:t>
      </w:r>
      <w:r w:rsidRPr="00272014">
        <w:rPr>
          <w:rFonts w:ascii="Times New Roman" w:hAnsi="Times New Roman"/>
          <w:sz w:val="22"/>
          <w:szCs w:val="22"/>
        </w:rPr>
        <w:t xml:space="preserve"> podávaní známych inhibítorov CYP3A4, pretože môžu zvýšiť systémovú expozíciu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propionátu.</w:t>
      </w:r>
    </w:p>
    <w:p w14:paraId="33A38484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85" w14:textId="77777777" w:rsidR="00E751D3" w:rsidRPr="00282792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  <w:r w:rsidRPr="00282792">
        <w:rPr>
          <w:rFonts w:ascii="Times New Roman" w:hAnsi="Times New Roman"/>
          <w:sz w:val="22"/>
          <w:szCs w:val="22"/>
          <w:u w:val="single"/>
        </w:rPr>
        <w:t>Eliminácia</w:t>
      </w:r>
    </w:p>
    <w:p w14:paraId="33A38486" w14:textId="15C09F64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Vylučovanie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je charakterizované vysokým plazmatickým klírensom (1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150 ml/min) a terminálnym polčasom približne 8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hodín. Renálny klírens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je zanedbateľný (&lt; 0,2 %) a vo forme metabolitu sa vylúči menej ako 5 %.</w:t>
      </w:r>
    </w:p>
    <w:p w14:paraId="33A38487" w14:textId="77777777" w:rsidR="00E751D3" w:rsidRPr="00272014" w:rsidRDefault="00E751D3" w:rsidP="001D462F">
      <w:pPr>
        <w:rPr>
          <w:sz w:val="22"/>
          <w:szCs w:val="22"/>
        </w:rPr>
      </w:pPr>
    </w:p>
    <w:p w14:paraId="33A38488" w14:textId="77777777" w:rsidR="00E751D3" w:rsidRPr="00272014" w:rsidRDefault="00E751D3" w:rsidP="00F879CB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lastRenderedPageBreak/>
        <w:t>5.3</w:t>
      </w:r>
      <w:r w:rsidRPr="00272014">
        <w:rPr>
          <w:b/>
          <w:sz w:val="22"/>
          <w:szCs w:val="22"/>
        </w:rPr>
        <w:tab/>
        <w:t>Predklinické údaje o bezpečnosti</w:t>
      </w:r>
    </w:p>
    <w:p w14:paraId="33A38489" w14:textId="77777777" w:rsidR="00E751D3" w:rsidRPr="00282792" w:rsidRDefault="00E751D3" w:rsidP="00F879CB">
      <w:pPr>
        <w:keepNext/>
        <w:keepLines/>
        <w:ind w:left="567" w:hanging="567"/>
        <w:rPr>
          <w:sz w:val="22"/>
        </w:rPr>
      </w:pPr>
    </w:p>
    <w:p w14:paraId="33A3848A" w14:textId="32EE1831" w:rsidR="00E751D3" w:rsidRPr="00272014" w:rsidRDefault="00E751D3" w:rsidP="00F879CB">
      <w:pPr>
        <w:pStyle w:val="Zkladntext"/>
        <w:keepNext/>
        <w:keepLines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Toxikologické skúšky ukázali iba tie skupinové účinky, ktoré sú typické pre silné kortikosteroidy, a to iba v dávkach presahujúcich dávky odporúčané na terapeutické použitie. V štúdiách toxicity po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opakovanom podávaní, reprodukčnej toxicity a teratogenity neboli pozorované žiadne nové účinky.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 xml:space="preserve">propionát nemá žiadnu </w:t>
      </w:r>
      <w:r w:rsidRPr="00272014">
        <w:rPr>
          <w:rFonts w:ascii="Times New Roman" w:hAnsi="Times New Roman"/>
          <w:i/>
          <w:iCs/>
          <w:sz w:val="22"/>
          <w:szCs w:val="22"/>
        </w:rPr>
        <w:t xml:space="preserve">in vitro </w:t>
      </w:r>
      <w:r w:rsidRPr="00272014">
        <w:rPr>
          <w:rFonts w:ascii="Times New Roman" w:hAnsi="Times New Roman"/>
          <w:sz w:val="22"/>
          <w:szCs w:val="22"/>
        </w:rPr>
        <w:t xml:space="preserve">ani </w:t>
      </w:r>
      <w:r w:rsidRPr="00272014">
        <w:rPr>
          <w:rFonts w:ascii="Times New Roman" w:hAnsi="Times New Roman"/>
          <w:i/>
          <w:iCs/>
          <w:sz w:val="22"/>
          <w:szCs w:val="22"/>
        </w:rPr>
        <w:t>in vivo</w:t>
      </w:r>
      <w:r w:rsidRPr="00272014">
        <w:rPr>
          <w:rFonts w:ascii="Times New Roman" w:hAnsi="Times New Roman"/>
          <w:sz w:val="22"/>
          <w:szCs w:val="22"/>
        </w:rPr>
        <w:t xml:space="preserve"> mutagénnu aktivitu a nemá žiadny karcinogénny potenciál u hlodavcov. U zvierat nie je dráždivý ani nevyvoláva precitlivenosť.</w:t>
      </w:r>
    </w:p>
    <w:p w14:paraId="33A3848B" w14:textId="77777777" w:rsidR="00E751D3" w:rsidRPr="00272014" w:rsidRDefault="00E751D3" w:rsidP="001D462F">
      <w:pPr>
        <w:rPr>
          <w:sz w:val="22"/>
          <w:szCs w:val="22"/>
        </w:rPr>
      </w:pPr>
    </w:p>
    <w:p w14:paraId="33A3848C" w14:textId="77777777" w:rsidR="00E751D3" w:rsidRPr="00272014" w:rsidRDefault="00E751D3" w:rsidP="001D462F">
      <w:pPr>
        <w:rPr>
          <w:sz w:val="22"/>
          <w:szCs w:val="22"/>
        </w:rPr>
      </w:pPr>
    </w:p>
    <w:p w14:paraId="33A3848D" w14:textId="77777777" w:rsidR="00E751D3" w:rsidRDefault="00E751D3" w:rsidP="001D462F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6.</w:t>
      </w:r>
      <w:r w:rsidRPr="00272014">
        <w:rPr>
          <w:b/>
          <w:caps/>
          <w:sz w:val="22"/>
          <w:szCs w:val="22"/>
        </w:rPr>
        <w:tab/>
        <w:t>Farmaceutické informácie</w:t>
      </w:r>
    </w:p>
    <w:p w14:paraId="33A3848E" w14:textId="77777777" w:rsidR="00E751D3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</w:p>
    <w:p w14:paraId="33A3848F" w14:textId="77777777" w:rsidR="00E751D3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6.1.</w:t>
      </w:r>
      <w:r w:rsidRPr="00272014">
        <w:rPr>
          <w:b/>
          <w:sz w:val="22"/>
          <w:szCs w:val="22"/>
        </w:rPr>
        <w:tab/>
        <w:t>Zoznam pomocných látok</w:t>
      </w:r>
    </w:p>
    <w:p w14:paraId="33A38490" w14:textId="77777777" w:rsidR="00E751D3" w:rsidRDefault="00E751D3" w:rsidP="001D462F">
      <w:pPr>
        <w:keepNext/>
        <w:keepLines/>
        <w:rPr>
          <w:sz w:val="22"/>
          <w:szCs w:val="22"/>
        </w:rPr>
      </w:pPr>
    </w:p>
    <w:p w14:paraId="33A38491" w14:textId="77777777" w:rsidR="00E751D3" w:rsidRDefault="00E751D3" w:rsidP="001D462F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Monohydrát laktózy</w:t>
      </w:r>
      <w:r w:rsidRPr="00272014">
        <w:rPr>
          <w:sz w:val="22"/>
          <w:szCs w:val="22"/>
        </w:rPr>
        <w:t xml:space="preserve"> (ktor</w:t>
      </w:r>
      <w:r>
        <w:rPr>
          <w:sz w:val="22"/>
          <w:szCs w:val="22"/>
        </w:rPr>
        <w:t>ý</w:t>
      </w:r>
      <w:r w:rsidRPr="00272014">
        <w:rPr>
          <w:sz w:val="22"/>
          <w:szCs w:val="22"/>
        </w:rPr>
        <w:t xml:space="preserve"> obsahuje mliečny proteín).</w:t>
      </w:r>
    </w:p>
    <w:p w14:paraId="33A38492" w14:textId="77777777" w:rsidR="00E751D3" w:rsidRPr="00272014" w:rsidRDefault="00E751D3" w:rsidP="001D462F">
      <w:pPr>
        <w:rPr>
          <w:sz w:val="22"/>
          <w:szCs w:val="22"/>
        </w:rPr>
      </w:pPr>
    </w:p>
    <w:p w14:paraId="33A38493" w14:textId="77777777" w:rsidR="00E751D3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6.2</w:t>
      </w:r>
      <w:r w:rsidRPr="00272014">
        <w:rPr>
          <w:b/>
          <w:sz w:val="22"/>
          <w:szCs w:val="22"/>
        </w:rPr>
        <w:tab/>
        <w:t>Inkompatibility</w:t>
      </w:r>
    </w:p>
    <w:p w14:paraId="33A38494" w14:textId="77777777" w:rsidR="00E751D3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</w:p>
    <w:p w14:paraId="33A38495" w14:textId="77777777" w:rsidR="00E751D3" w:rsidRDefault="00E751D3" w:rsidP="001D462F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Neboli hlásené.</w:t>
      </w:r>
    </w:p>
    <w:p w14:paraId="33A38496" w14:textId="77777777" w:rsidR="00E751D3" w:rsidRPr="00272014" w:rsidRDefault="00E751D3" w:rsidP="001D462F">
      <w:pPr>
        <w:rPr>
          <w:sz w:val="22"/>
          <w:szCs w:val="22"/>
        </w:rPr>
      </w:pPr>
    </w:p>
    <w:p w14:paraId="33A38497" w14:textId="77777777" w:rsidR="00E751D3" w:rsidRPr="00272014" w:rsidRDefault="00E751D3" w:rsidP="001D462F">
      <w:pPr>
        <w:pStyle w:val="Nadpis3"/>
        <w:ind w:left="567" w:hanging="567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6.3</w:t>
      </w:r>
      <w:r w:rsidRPr="00272014">
        <w:rPr>
          <w:rFonts w:ascii="Times New Roman" w:hAnsi="Times New Roman"/>
          <w:sz w:val="22"/>
          <w:szCs w:val="22"/>
        </w:rPr>
        <w:tab/>
        <w:t>Čas použiteľnosti</w:t>
      </w:r>
    </w:p>
    <w:p w14:paraId="33A38498" w14:textId="77777777" w:rsidR="00E751D3" w:rsidRPr="00272014" w:rsidRDefault="00E751D3" w:rsidP="001D462F">
      <w:pPr>
        <w:rPr>
          <w:sz w:val="22"/>
          <w:szCs w:val="22"/>
        </w:rPr>
      </w:pPr>
    </w:p>
    <w:p w14:paraId="33A38499" w14:textId="77777777" w:rsidR="00E751D3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 xml:space="preserve">18 mesiacov </w:t>
      </w:r>
    </w:p>
    <w:p w14:paraId="33A3849A" w14:textId="77777777" w:rsidR="00E751D3" w:rsidRPr="00272014" w:rsidRDefault="00E751D3" w:rsidP="001D462F">
      <w:pPr>
        <w:rPr>
          <w:sz w:val="22"/>
          <w:szCs w:val="22"/>
        </w:rPr>
      </w:pPr>
    </w:p>
    <w:p w14:paraId="33A3849B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6.4</w:t>
      </w:r>
      <w:r w:rsidRPr="00272014">
        <w:rPr>
          <w:b/>
          <w:sz w:val="22"/>
          <w:szCs w:val="22"/>
        </w:rPr>
        <w:tab/>
        <w:t>Špeciálne upozornenia na uchovávanie</w:t>
      </w:r>
    </w:p>
    <w:p w14:paraId="33A3849C" w14:textId="77777777" w:rsidR="00E751D3" w:rsidRPr="00272014" w:rsidRDefault="00E751D3" w:rsidP="001D462F">
      <w:pPr>
        <w:rPr>
          <w:sz w:val="22"/>
          <w:szCs w:val="22"/>
        </w:rPr>
      </w:pPr>
    </w:p>
    <w:p w14:paraId="33A3849D" w14:textId="0286811C" w:rsidR="00E751D3" w:rsidRPr="00272014" w:rsidRDefault="00E751D3" w:rsidP="001D462F">
      <w:pPr>
        <w:rPr>
          <w:sz w:val="22"/>
          <w:szCs w:val="22"/>
        </w:rPr>
      </w:pPr>
      <w:r w:rsidRPr="000132DE">
        <w:rPr>
          <w:sz w:val="22"/>
          <w:szCs w:val="22"/>
        </w:rPr>
        <w:t>Uchovávajte v suchu pri teplote do 30 </w:t>
      </w:r>
      <w:r w:rsidRPr="000132DE">
        <w:rPr>
          <w:sz w:val="22"/>
          <w:szCs w:val="22"/>
        </w:rPr>
        <w:sym w:font="Times New Roman" w:char="00B0"/>
      </w:r>
      <w:r w:rsidRPr="000132DE">
        <w:rPr>
          <w:sz w:val="22"/>
          <w:szCs w:val="22"/>
        </w:rPr>
        <w:t>C.</w:t>
      </w:r>
    </w:p>
    <w:p w14:paraId="33A3849E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Diskus je uzavre</w:t>
      </w:r>
      <w:r>
        <w:rPr>
          <w:sz w:val="22"/>
          <w:szCs w:val="22"/>
        </w:rPr>
        <w:t>tý</w:t>
      </w:r>
      <w:r w:rsidRPr="00272014">
        <w:rPr>
          <w:sz w:val="22"/>
          <w:szCs w:val="22"/>
        </w:rPr>
        <w:t xml:space="preserve"> vo</w:t>
      </w:r>
      <w:r>
        <w:rPr>
          <w:sz w:val="22"/>
          <w:szCs w:val="22"/>
        </w:rPr>
        <w:t xml:space="preserve"> vonkajšom</w:t>
      </w:r>
      <w:r w:rsidRPr="00272014">
        <w:rPr>
          <w:sz w:val="22"/>
          <w:szCs w:val="22"/>
        </w:rPr>
        <w:t xml:space="preserve"> fóliovom</w:t>
      </w:r>
      <w:r>
        <w:rPr>
          <w:sz w:val="22"/>
          <w:szCs w:val="22"/>
        </w:rPr>
        <w:t xml:space="preserve"> obale</w:t>
      </w:r>
      <w:r w:rsidRPr="00272014">
        <w:rPr>
          <w:sz w:val="22"/>
          <w:szCs w:val="22"/>
        </w:rPr>
        <w:t>, ktorý treba otvoriť až vtedy, keď sa má Diskus použiť prvýkrát. Po otvorení sa má</w:t>
      </w:r>
      <w:r>
        <w:rPr>
          <w:sz w:val="22"/>
          <w:szCs w:val="22"/>
        </w:rPr>
        <w:t xml:space="preserve"> vonkajší</w:t>
      </w:r>
      <w:r w:rsidRPr="00272014">
        <w:rPr>
          <w:sz w:val="22"/>
          <w:szCs w:val="22"/>
        </w:rPr>
        <w:t xml:space="preserve"> fóliový</w:t>
      </w:r>
      <w:r>
        <w:rPr>
          <w:sz w:val="22"/>
          <w:szCs w:val="22"/>
        </w:rPr>
        <w:t xml:space="preserve"> obal</w:t>
      </w:r>
      <w:r w:rsidRPr="00272014">
        <w:rPr>
          <w:sz w:val="22"/>
          <w:szCs w:val="22"/>
        </w:rPr>
        <w:t xml:space="preserve"> znehodnotiť.</w:t>
      </w:r>
    </w:p>
    <w:p w14:paraId="33A3849F" w14:textId="77777777" w:rsidR="00E751D3" w:rsidRPr="00272014" w:rsidRDefault="00E751D3" w:rsidP="001D462F">
      <w:pPr>
        <w:rPr>
          <w:sz w:val="22"/>
          <w:szCs w:val="22"/>
        </w:rPr>
      </w:pPr>
    </w:p>
    <w:p w14:paraId="33A384A0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6.5</w:t>
      </w:r>
      <w:r w:rsidRPr="00272014">
        <w:rPr>
          <w:b/>
          <w:sz w:val="22"/>
          <w:szCs w:val="22"/>
        </w:rPr>
        <w:tab/>
        <w:t>Druh obalu a obsah balenia</w:t>
      </w:r>
    </w:p>
    <w:p w14:paraId="33A384A1" w14:textId="77777777" w:rsidR="00E751D3" w:rsidRDefault="00E751D3" w:rsidP="00282792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A2" w14:textId="2D8966E6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Prášková zmes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a laktózy je naplnená v blistroch na tvarovanom základnom fóliovom prúžku, blistre sú prikryté oddeliteľnou laminátovou fóliou.</w:t>
      </w:r>
    </w:p>
    <w:p w14:paraId="33A384A3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A4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Fóliový prúžok je uzavretý v inhalačnej pomôcke Diskus. Diskus je zabalený vo</w:t>
      </w:r>
      <w:r>
        <w:rPr>
          <w:rFonts w:ascii="Times New Roman" w:hAnsi="Times New Roman"/>
          <w:sz w:val="22"/>
          <w:szCs w:val="22"/>
        </w:rPr>
        <w:t xml:space="preserve"> vonkajšom</w:t>
      </w:r>
      <w:r w:rsidRPr="00272014">
        <w:rPr>
          <w:rFonts w:ascii="Times New Roman" w:hAnsi="Times New Roman"/>
          <w:sz w:val="22"/>
          <w:szCs w:val="22"/>
        </w:rPr>
        <w:t xml:space="preserve"> fóliovom </w:t>
      </w:r>
      <w:r>
        <w:rPr>
          <w:rFonts w:ascii="Times New Roman" w:hAnsi="Times New Roman"/>
          <w:sz w:val="22"/>
          <w:szCs w:val="22"/>
        </w:rPr>
        <w:t>o</w:t>
      </w:r>
      <w:r w:rsidRPr="00272014">
        <w:rPr>
          <w:rFonts w:ascii="Times New Roman" w:hAnsi="Times New Roman"/>
          <w:sz w:val="22"/>
          <w:szCs w:val="22"/>
        </w:rPr>
        <w:t>bale.</w:t>
      </w:r>
    </w:p>
    <w:p w14:paraId="33A384A5" w14:textId="77777777" w:rsidR="00E751D3" w:rsidRDefault="00E751D3" w:rsidP="00282792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Písomná informácia pre používateľ</w:t>
      </w:r>
      <w:r>
        <w:rPr>
          <w:rFonts w:ascii="Times New Roman" w:hAnsi="Times New Roman"/>
          <w:sz w:val="22"/>
          <w:szCs w:val="22"/>
        </w:rPr>
        <w:t>a</w:t>
      </w:r>
      <w:r w:rsidRPr="00272014">
        <w:rPr>
          <w:rFonts w:ascii="Times New Roman" w:hAnsi="Times New Roman"/>
          <w:sz w:val="22"/>
          <w:szCs w:val="22"/>
        </w:rPr>
        <w:t>, papierová škatuľka.</w:t>
      </w:r>
    </w:p>
    <w:p w14:paraId="33A384A6" w14:textId="77777777" w:rsidR="00E751D3" w:rsidRDefault="00E751D3" w:rsidP="00282792">
      <w:pPr>
        <w:pStyle w:val="Zkladntext"/>
        <w:spacing w:line="240" w:lineRule="atLeas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Veľkosť balenia:</w:t>
      </w:r>
    </w:p>
    <w:p w14:paraId="33A384A7" w14:textId="77777777" w:rsidR="00E751D3" w:rsidRDefault="00E751D3" w:rsidP="00282792">
      <w:pPr>
        <w:pStyle w:val="Zkladntext"/>
        <w:spacing w:line="240" w:lineRule="atLeas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60 dávok x 100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µg</w:t>
      </w:r>
    </w:p>
    <w:p w14:paraId="33A384A8" w14:textId="77777777" w:rsidR="00E751D3" w:rsidRDefault="00E751D3" w:rsidP="00282792">
      <w:pPr>
        <w:pStyle w:val="Zkladntext"/>
        <w:spacing w:line="240" w:lineRule="atLeas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60 dávok x 250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µg</w:t>
      </w:r>
    </w:p>
    <w:p w14:paraId="33A384A9" w14:textId="77777777" w:rsidR="00E751D3" w:rsidRDefault="00E751D3" w:rsidP="00282792">
      <w:pPr>
        <w:pStyle w:val="Zkladntext"/>
        <w:spacing w:line="240" w:lineRule="atLeas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60 dávok x 500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µg</w:t>
      </w:r>
    </w:p>
    <w:p w14:paraId="33A384AA" w14:textId="77777777" w:rsidR="00E751D3" w:rsidRPr="00272014" w:rsidRDefault="00E751D3" w:rsidP="001D462F">
      <w:pPr>
        <w:rPr>
          <w:sz w:val="22"/>
          <w:szCs w:val="22"/>
        </w:rPr>
      </w:pPr>
    </w:p>
    <w:p w14:paraId="33A384AB" w14:textId="77777777" w:rsidR="00E751D3" w:rsidRDefault="00E751D3" w:rsidP="001D462F">
      <w:pPr>
        <w:pStyle w:val="Zkladntext"/>
        <w:spacing w:line="240" w:lineRule="auto"/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  <w:r w:rsidRPr="00272014">
        <w:rPr>
          <w:rFonts w:ascii="Times New Roman" w:hAnsi="Times New Roman"/>
          <w:b/>
          <w:sz w:val="22"/>
          <w:szCs w:val="22"/>
        </w:rPr>
        <w:t>6.6</w:t>
      </w:r>
      <w:r w:rsidRPr="00272014">
        <w:rPr>
          <w:rFonts w:ascii="Times New Roman" w:hAnsi="Times New Roman"/>
          <w:b/>
          <w:sz w:val="22"/>
          <w:szCs w:val="22"/>
        </w:rPr>
        <w:tab/>
        <w:t>Špeciálne opatrenia na likvidáciu a iné zaobchádzanie s</w:t>
      </w:r>
      <w:r>
        <w:rPr>
          <w:rFonts w:ascii="Times New Roman" w:hAnsi="Times New Roman"/>
          <w:b/>
          <w:sz w:val="22"/>
          <w:szCs w:val="22"/>
        </w:rPr>
        <w:t> </w:t>
      </w:r>
      <w:r w:rsidRPr="00272014">
        <w:rPr>
          <w:rFonts w:ascii="Times New Roman" w:hAnsi="Times New Roman"/>
          <w:b/>
          <w:sz w:val="22"/>
          <w:szCs w:val="22"/>
        </w:rPr>
        <w:t>liekom</w:t>
      </w:r>
    </w:p>
    <w:p w14:paraId="33A384AC" w14:textId="77777777" w:rsidR="00E751D3" w:rsidRDefault="00E751D3" w:rsidP="001D462F">
      <w:pPr>
        <w:pStyle w:val="Zkladntext"/>
        <w:spacing w:line="240" w:lineRule="auto"/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</w:p>
    <w:p w14:paraId="33A384AD" w14:textId="77777777" w:rsidR="00E751D3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272014">
        <w:rPr>
          <w:rFonts w:ascii="Times New Roman" w:hAnsi="Times New Roman"/>
          <w:b/>
          <w:bCs/>
          <w:i/>
          <w:iCs/>
          <w:sz w:val="22"/>
          <w:szCs w:val="22"/>
        </w:rPr>
        <w:t>Pokyny na použitie Flixotide Diskus</w:t>
      </w:r>
    </w:p>
    <w:p w14:paraId="33A384AE" w14:textId="77777777" w:rsidR="00E751D3" w:rsidRPr="00797EBE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AF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O inhalačnej pomôcke Diskus</w:t>
      </w:r>
    </w:p>
    <w:p w14:paraId="33A384B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B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Diskus </w:t>
      </w:r>
      <w:r w:rsidRPr="009232E3">
        <w:rPr>
          <w:rFonts w:ascii="Times New Roman" w:hAnsi="Times New Roman"/>
          <w:sz w:val="22"/>
          <w:szCs w:val="22"/>
        </w:rPr>
        <w:t>je uzavretý vo</w:t>
      </w:r>
      <w:r w:rsidRPr="00272014">
        <w:rPr>
          <w:rFonts w:ascii="Times New Roman" w:hAnsi="Times New Roman"/>
          <w:sz w:val="22"/>
          <w:szCs w:val="22"/>
        </w:rPr>
        <w:t xml:space="preserve"> </w:t>
      </w:r>
      <w:r w:rsidRPr="00282792">
        <w:rPr>
          <w:rFonts w:ascii="Times New Roman" w:hAnsi="Times New Roman"/>
          <w:sz w:val="22"/>
          <w:szCs w:val="22"/>
        </w:rPr>
        <w:t>vonkajšom fóliovom obale</w:t>
      </w:r>
      <w:r w:rsidRPr="002132FE">
        <w:rPr>
          <w:rFonts w:ascii="Times New Roman" w:hAnsi="Times New Roman"/>
          <w:sz w:val="22"/>
          <w:szCs w:val="22"/>
        </w:rPr>
        <w:t>.</w:t>
      </w:r>
      <w:r w:rsidRPr="0027201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Vonkajší obal</w:t>
      </w:r>
      <w:r w:rsidRPr="00272014">
        <w:rPr>
          <w:rFonts w:ascii="Times New Roman" w:hAnsi="Times New Roman"/>
          <w:sz w:val="22"/>
          <w:szCs w:val="22"/>
        </w:rPr>
        <w:t xml:space="preserve"> poskytuje ochranu pred vlhkosťou a treba ho otvoriť až vtedy, keď budete pripravený použiť Diskus prvýkrát.</w:t>
      </w:r>
      <w:r w:rsidRPr="0027201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272014">
        <w:rPr>
          <w:rFonts w:ascii="Times New Roman" w:hAnsi="Times New Roman"/>
          <w:sz w:val="22"/>
          <w:szCs w:val="22"/>
        </w:rPr>
        <w:t xml:space="preserve">Po otvorení sa má fóliový </w:t>
      </w:r>
      <w:r>
        <w:rPr>
          <w:rFonts w:ascii="Times New Roman" w:hAnsi="Times New Roman"/>
          <w:sz w:val="22"/>
          <w:szCs w:val="22"/>
        </w:rPr>
        <w:t xml:space="preserve">vonkajší obal </w:t>
      </w:r>
      <w:r w:rsidRPr="00272014">
        <w:rPr>
          <w:rFonts w:ascii="Times New Roman" w:hAnsi="Times New Roman"/>
          <w:sz w:val="22"/>
          <w:szCs w:val="22"/>
        </w:rPr>
        <w:t>znehodnotiť.</w:t>
      </w:r>
    </w:p>
    <w:p w14:paraId="33A384B2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26E7713B" w14:textId="77777777" w:rsidR="009F3847" w:rsidRDefault="009F3847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B3" w14:textId="4487C042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lastRenderedPageBreak/>
        <w:t>ZATVORENÝ</w:t>
      </w:r>
    </w:p>
    <w:p w14:paraId="33A384B4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Keď vyberiete Diskus zo škatuľky a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odstránite</w:t>
      </w:r>
      <w:r>
        <w:rPr>
          <w:rFonts w:ascii="Times New Roman" w:hAnsi="Times New Roman"/>
          <w:sz w:val="22"/>
          <w:szCs w:val="22"/>
        </w:rPr>
        <w:t xml:space="preserve"> vonkajší</w:t>
      </w:r>
      <w:r w:rsidRPr="00272014">
        <w:rPr>
          <w:rFonts w:ascii="Times New Roman" w:hAnsi="Times New Roman"/>
          <w:sz w:val="22"/>
          <w:szCs w:val="22"/>
        </w:rPr>
        <w:t xml:space="preserve"> fóliový </w:t>
      </w:r>
      <w:r>
        <w:rPr>
          <w:rFonts w:ascii="Times New Roman" w:hAnsi="Times New Roman"/>
          <w:sz w:val="22"/>
          <w:szCs w:val="22"/>
        </w:rPr>
        <w:t>o</w:t>
      </w:r>
      <w:r w:rsidRPr="00272014">
        <w:rPr>
          <w:rFonts w:ascii="Times New Roman" w:hAnsi="Times New Roman"/>
          <w:sz w:val="22"/>
          <w:szCs w:val="22"/>
        </w:rPr>
        <w:t>bal, bude v polohe zatvorený.</w:t>
      </w:r>
    </w:p>
    <w:p w14:paraId="33A384B5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B6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object w:dxaOrig="2496" w:dyaOrig="2124" w14:anchorId="33A38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05pt;height:106.95pt" o:ole="">
            <v:imagedata r:id="rId11" o:title=""/>
          </v:shape>
          <o:OLEObject Type="Embed" ProgID="PBrush" ShapeID="_x0000_i1025" DrawAspect="Content" ObjectID="_1673158882" r:id="rId12"/>
        </w:object>
      </w:r>
    </w:p>
    <w:p w14:paraId="33A384B7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B8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OTVORENÝ</w:t>
      </w:r>
    </w:p>
    <w:p w14:paraId="33A384B9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Nový Diskus obsahuje 60 dávok lieku. Počítadlo dávok ukazuje, koľko dávok ešte zostáva.</w:t>
      </w:r>
    </w:p>
    <w:p w14:paraId="33A384BA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BB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BC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object w:dxaOrig="2304" w:dyaOrig="2016" w14:anchorId="33A38518">
          <v:shape id="_x0000_i1026" type="#_x0000_t75" style="width:116.05pt;height:97.25pt" o:ole="">
            <v:imagedata r:id="rId13" o:title=""/>
          </v:shape>
          <o:OLEObject Type="Embed" ProgID="PBrush" ShapeID="_x0000_i1026" DrawAspect="Content" ObjectID="_1673158883" r:id="rId14"/>
        </w:object>
      </w:r>
    </w:p>
    <w:p w14:paraId="33A384BD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Tento Diskus obsahuje 60 jednotlivo chránených dávok lieku vo forme prášku.</w:t>
      </w:r>
    </w:p>
    <w:p w14:paraId="33A384BE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BF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Každá dávka je presne odmeraná a hygienicky chránená. Diskus si nevyžaduje žiadnu údržbu ani opätovné plnenie.</w:t>
      </w:r>
    </w:p>
    <w:p w14:paraId="33A384C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C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Na hornej strane Diskusu je počítadlo dávok, ktoré ukazuje, koľko dávok ešte zostáva. Číslice 5 až 0 sú vyznačené ČERVENOU farbou, ktorá upozorňuje, že už zostáva len niekoľko dávok.</w:t>
      </w:r>
    </w:p>
    <w:p w14:paraId="33A384C2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C3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Použitie Diskusu je jednoduché. Keď potrebujete dávku, postupujte podľa piatich jednoduchých znázornených krokov.</w:t>
      </w:r>
    </w:p>
    <w:p w14:paraId="33A384C4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C5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1. Otvoriť.</w:t>
      </w:r>
    </w:p>
    <w:p w14:paraId="33A384C6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2. Posunúť.</w:t>
      </w:r>
    </w:p>
    <w:p w14:paraId="33A384C7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3. Inhalovať.</w:t>
      </w:r>
    </w:p>
    <w:p w14:paraId="33A384C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4. Zatvoriť.</w:t>
      </w:r>
    </w:p>
    <w:p w14:paraId="33A384C9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5. Vypláchnuť ústa.</w:t>
      </w:r>
    </w:p>
    <w:p w14:paraId="33A384CA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CB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Ako funguje Diskus.</w:t>
      </w:r>
    </w:p>
    <w:p w14:paraId="33A384CC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CD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Posunutím páčky Diskusu sa otvorí malý otvor v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náustku</w:t>
      </w:r>
      <w:r>
        <w:rPr>
          <w:rFonts w:ascii="Times New Roman" w:hAnsi="Times New Roman"/>
          <w:sz w:val="22"/>
          <w:szCs w:val="22"/>
        </w:rPr>
        <w:t>,</w:t>
      </w:r>
      <w:r w:rsidRPr="00272014">
        <w:rPr>
          <w:rFonts w:ascii="Times New Roman" w:hAnsi="Times New Roman"/>
          <w:sz w:val="22"/>
          <w:szCs w:val="22"/>
        </w:rPr>
        <w:t xml:space="preserve"> a tým sa pripraví jedna blistrová dávka na vdýchnutie. Pri zavretí Diskusu sa páčka automaticky vráti do svojej pôvodnej polohy a je pripravená ďalšia dávka. Vonkajší kryt chráni Diskus, keď sa nepoužíva.</w:t>
      </w:r>
    </w:p>
    <w:p w14:paraId="33A384CE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CF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1. Otvoriť – Ako používať Diskus</w:t>
      </w:r>
    </w:p>
    <w:p w14:paraId="33A384D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D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lastRenderedPageBreak/>
        <w:t xml:space="preserve">Aby ste otvorili Diskus, v jednej ruke držte vonkajší kryt a palec druhej ruky vložte do jazdca. Palcom zatlačte jazdec smerom od </w:t>
      </w:r>
      <w:r>
        <w:rPr>
          <w:rFonts w:ascii="Times New Roman" w:hAnsi="Times New Roman"/>
          <w:sz w:val="22"/>
          <w:szCs w:val="22"/>
        </w:rPr>
        <w:t>v</w:t>
      </w:r>
      <w:r w:rsidRPr="00272014">
        <w:rPr>
          <w:rFonts w:ascii="Times New Roman" w:hAnsi="Times New Roman"/>
          <w:sz w:val="22"/>
          <w:szCs w:val="22"/>
        </w:rPr>
        <w:t>ás tak ďaleko, ako to pôjde.</w:t>
      </w:r>
    </w:p>
    <w:p w14:paraId="33A384D2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D3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D4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object w:dxaOrig="3552" w:dyaOrig="3960" w14:anchorId="33A38519">
          <v:shape id="_x0000_i1027" type="#_x0000_t75" style="width:177.85pt;height:198.25pt" o:ole="">
            <v:imagedata r:id="rId15" o:title=""/>
          </v:shape>
          <o:OLEObject Type="Embed" ProgID="PBrush" ShapeID="_x0000_i1027" DrawAspect="Content" ObjectID="_1673158884" r:id="rId16"/>
        </w:object>
      </w:r>
    </w:p>
    <w:p w14:paraId="33A384D5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D6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D7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2. Posunúť</w:t>
      </w:r>
    </w:p>
    <w:p w14:paraId="33A384D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D9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Držte Diskus tak, aby bol náustok otočený smerom k </w:t>
      </w:r>
      <w:r>
        <w:rPr>
          <w:rFonts w:ascii="Times New Roman" w:hAnsi="Times New Roman"/>
          <w:sz w:val="22"/>
          <w:szCs w:val="22"/>
        </w:rPr>
        <w:t>v</w:t>
      </w:r>
      <w:r w:rsidRPr="00272014">
        <w:rPr>
          <w:rFonts w:ascii="Times New Roman" w:hAnsi="Times New Roman"/>
          <w:sz w:val="22"/>
          <w:szCs w:val="22"/>
        </w:rPr>
        <w:t>ám. Posuňte páčku smerom od seba tak ďaleko ako to pôjde, až pokiaľ nebudete počuť „kliknutie“. Diskus je vtedy pripravený na použitie. Po každom zatlačení páčky je pripravená ďalšia dávka k vdýchnutiu. Je to vidieť na počítadle dávok. S páčkou sa nehrajte, pretože sa tým uvoľní dávka, ktorá sa vyplytvá bez úžitku.</w:t>
      </w:r>
    </w:p>
    <w:p w14:paraId="33A384DA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DB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object w:dxaOrig="3660" w:dyaOrig="4200" w14:anchorId="33A3851A">
          <v:shape id="_x0000_i1028" type="#_x0000_t75" style="width:182.15pt;height:209pt" o:ole="">
            <v:imagedata r:id="rId17" o:title=""/>
          </v:shape>
          <o:OLEObject Type="Embed" ProgID="PBrush" ShapeID="_x0000_i1028" DrawAspect="Content" ObjectID="_1673158885" r:id="rId18"/>
        </w:object>
      </w:r>
    </w:p>
    <w:p w14:paraId="33A384DC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3. Inhalovať</w:t>
      </w:r>
    </w:p>
    <w:p w14:paraId="33A384DD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DE" w14:textId="77777777" w:rsidR="00E751D3" w:rsidRPr="00272014" w:rsidRDefault="00E751D3" w:rsidP="001D462F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Prečítajte si túto časť pozorne </w:t>
      </w:r>
      <w:r>
        <w:rPr>
          <w:rFonts w:ascii="Times New Roman" w:hAnsi="Times New Roman"/>
          <w:sz w:val="22"/>
          <w:szCs w:val="22"/>
        </w:rPr>
        <w:t>predtým</w:t>
      </w:r>
      <w:r w:rsidRPr="00272014">
        <w:rPr>
          <w:rFonts w:ascii="Times New Roman" w:hAnsi="Times New Roman"/>
          <w:sz w:val="22"/>
          <w:szCs w:val="22"/>
        </w:rPr>
        <w:t>, ako začnete inhalovať dávku.</w:t>
      </w:r>
    </w:p>
    <w:p w14:paraId="33A384DF" w14:textId="77777777" w:rsidR="00E751D3" w:rsidRPr="00272014" w:rsidRDefault="00E751D3" w:rsidP="001D462F">
      <w:pPr>
        <w:pStyle w:val="Zkladntext"/>
        <w:numPr>
          <w:ilvl w:val="0"/>
          <w:numId w:val="16"/>
        </w:num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Držte Diskus mimo </w:t>
      </w:r>
      <w:r>
        <w:rPr>
          <w:rFonts w:ascii="Times New Roman" w:hAnsi="Times New Roman"/>
          <w:sz w:val="22"/>
          <w:szCs w:val="22"/>
        </w:rPr>
        <w:t>v</w:t>
      </w:r>
      <w:r w:rsidRPr="00272014">
        <w:rPr>
          <w:rFonts w:ascii="Times New Roman" w:hAnsi="Times New Roman"/>
          <w:sz w:val="22"/>
          <w:szCs w:val="22"/>
        </w:rPr>
        <w:t>ašich úst. Vydýchnite čo najviac ako je to možné bez námahy. Nikdy nevydychujte do Diskusu.</w:t>
      </w:r>
    </w:p>
    <w:p w14:paraId="33A384E0" w14:textId="77777777" w:rsidR="00E751D3" w:rsidRPr="00272014" w:rsidRDefault="00E751D3" w:rsidP="001D462F">
      <w:pPr>
        <w:pStyle w:val="Zkladntext"/>
        <w:numPr>
          <w:ilvl w:val="0"/>
          <w:numId w:val="16"/>
        </w:num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Priložte si náustok k perám. Vdychujte plynule a hlboko cez Diskus, nie cez nos.</w:t>
      </w:r>
    </w:p>
    <w:p w14:paraId="33A384E1" w14:textId="77777777" w:rsidR="00E751D3" w:rsidRPr="00272014" w:rsidRDefault="00E751D3" w:rsidP="001D462F">
      <w:pPr>
        <w:pStyle w:val="Zkladntext"/>
        <w:numPr>
          <w:ilvl w:val="0"/>
          <w:numId w:val="16"/>
        </w:num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Vyberte si Diskus z úst.</w:t>
      </w:r>
    </w:p>
    <w:p w14:paraId="33A384E2" w14:textId="77777777" w:rsidR="00E751D3" w:rsidRPr="00272014" w:rsidRDefault="00E751D3" w:rsidP="001D462F">
      <w:pPr>
        <w:pStyle w:val="Zkladntext"/>
        <w:numPr>
          <w:ilvl w:val="0"/>
          <w:numId w:val="16"/>
        </w:numPr>
        <w:spacing w:line="240" w:lineRule="auto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lastRenderedPageBreak/>
        <w:t>Zadržte dych asi na 10 sekúnd alebo na tak dlho, ako je to možné bez námahy.</w:t>
      </w:r>
    </w:p>
    <w:p w14:paraId="33A384E3" w14:textId="1BAA604D" w:rsidR="00E751D3" w:rsidRDefault="00E751D3" w:rsidP="001D462F">
      <w:pPr>
        <w:pStyle w:val="Zkladntext"/>
        <w:numPr>
          <w:ilvl w:val="0"/>
          <w:numId w:val="16"/>
        </w:numPr>
        <w:spacing w:line="240" w:lineRule="auto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Pomaly vydýchnite.</w:t>
      </w:r>
    </w:p>
    <w:p w14:paraId="723D30C7" w14:textId="2BC9E2D3" w:rsidR="007652D0" w:rsidRPr="00F879CB" w:rsidRDefault="007652D0" w:rsidP="00F43DAE">
      <w:pPr>
        <w:pStyle w:val="Zkladntext"/>
        <w:numPr>
          <w:ilvl w:val="0"/>
          <w:numId w:val="16"/>
        </w:numPr>
        <w:spacing w:line="240" w:lineRule="auto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7652D0">
        <w:rPr>
          <w:rFonts w:ascii="Times New Roman" w:hAnsi="Times New Roman"/>
          <w:sz w:val="22"/>
          <w:szCs w:val="22"/>
        </w:rPr>
        <w:tab/>
      </w:r>
      <w:r w:rsidRPr="00F879CB">
        <w:rPr>
          <w:rFonts w:ascii="Times New Roman" w:hAnsi="Times New Roman"/>
          <w:sz w:val="22"/>
          <w:szCs w:val="22"/>
        </w:rPr>
        <w:t>Ani vtedy, keď Diskus použijete správne, nemusíte pocítiť chuť či prítomnosť prášku na</w:t>
      </w:r>
      <w:r w:rsidR="00F43DAE" w:rsidRPr="00F879CB">
        <w:rPr>
          <w:rFonts w:ascii="Times New Roman" w:hAnsi="Times New Roman"/>
          <w:sz w:val="22"/>
          <w:szCs w:val="22"/>
        </w:rPr>
        <w:t> </w:t>
      </w:r>
      <w:r w:rsidRPr="00F879CB">
        <w:rPr>
          <w:rFonts w:ascii="Times New Roman" w:hAnsi="Times New Roman"/>
          <w:sz w:val="22"/>
          <w:szCs w:val="22"/>
        </w:rPr>
        <w:t>jazyku.</w:t>
      </w:r>
    </w:p>
    <w:p w14:paraId="33A384E4" w14:textId="77777777" w:rsidR="00E751D3" w:rsidRPr="00272014" w:rsidRDefault="00E751D3" w:rsidP="007652D0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E5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object w:dxaOrig="3540" w:dyaOrig="3768" w14:anchorId="33A3851B">
          <v:shape id="_x0000_i1029" type="#_x0000_t75" style="width:176.25pt;height:173.55pt" o:ole="">
            <v:imagedata r:id="rId19" o:title=""/>
          </v:shape>
          <o:OLEObject Type="Embed" ProgID="PBrush" ShapeID="_x0000_i1029" DrawAspect="Content" ObjectID="_1673158886" r:id="rId20"/>
        </w:object>
      </w:r>
    </w:p>
    <w:p w14:paraId="33A384E6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E7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4. Zatvoriť</w:t>
      </w:r>
    </w:p>
    <w:p w14:paraId="33A384E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E9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Diskus zatvoríte tak, že palec vložíte do jazdca a jazdec posuniete späť smerom k </w:t>
      </w:r>
      <w:r>
        <w:rPr>
          <w:rFonts w:ascii="Times New Roman" w:hAnsi="Times New Roman"/>
          <w:sz w:val="22"/>
          <w:szCs w:val="22"/>
        </w:rPr>
        <w:t>v</w:t>
      </w:r>
      <w:r w:rsidRPr="00272014">
        <w:rPr>
          <w:rFonts w:ascii="Times New Roman" w:hAnsi="Times New Roman"/>
          <w:sz w:val="22"/>
          <w:szCs w:val="22"/>
        </w:rPr>
        <w:t>ám čo najviac ako to pôjde. Po zavretí Diskusu budete počuť „kliknutie“. Páčka sa automaticky vráti do pôvodnej polohy a je znovu nastavená. Váš Diskus bude pripravený na ďalšie použitie.</w:t>
      </w:r>
    </w:p>
    <w:p w14:paraId="33A384EA" w14:textId="77777777" w:rsidR="00E751D3" w:rsidRPr="00272014" w:rsidRDefault="00E751D3" w:rsidP="001D462F">
      <w:pPr>
        <w:rPr>
          <w:sz w:val="22"/>
          <w:szCs w:val="22"/>
        </w:rPr>
      </w:pPr>
    </w:p>
    <w:p w14:paraId="33A384EB" w14:textId="77777777" w:rsidR="00E751D3" w:rsidRPr="00272014" w:rsidRDefault="00E751D3" w:rsidP="001D462F">
      <w:pPr>
        <w:rPr>
          <w:sz w:val="22"/>
          <w:szCs w:val="22"/>
        </w:rPr>
      </w:pPr>
    </w:p>
    <w:p w14:paraId="33A384EC" w14:textId="77777777" w:rsidR="00E751D3" w:rsidRPr="00272014" w:rsidRDefault="00E751D3" w:rsidP="001D462F">
      <w:pPr>
        <w:rPr>
          <w:sz w:val="22"/>
          <w:szCs w:val="22"/>
        </w:rPr>
      </w:pPr>
    </w:p>
    <w:p w14:paraId="33A384ED" w14:textId="77777777" w:rsidR="00E751D3" w:rsidRPr="00272014" w:rsidRDefault="00E751D3" w:rsidP="001D462F">
      <w:pPr>
        <w:rPr>
          <w:sz w:val="22"/>
          <w:szCs w:val="22"/>
        </w:rPr>
      </w:pPr>
    </w:p>
    <w:p w14:paraId="33A384EE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object w:dxaOrig="3540" w:dyaOrig="3432" w14:anchorId="33A3851C">
          <v:shape id="_x0000_i1030" type="#_x0000_t75" style="width:176.25pt;height:171.4pt" o:ole="">
            <v:imagedata r:id="rId21" o:title=""/>
          </v:shape>
          <o:OLEObject Type="Embed" ProgID="PBrush" ShapeID="_x0000_i1030" DrawAspect="Content" ObjectID="_1673158887" r:id="rId22"/>
        </w:object>
      </w:r>
    </w:p>
    <w:p w14:paraId="33A384EF" w14:textId="77777777" w:rsidR="00E751D3" w:rsidRPr="00272014" w:rsidRDefault="00E751D3" w:rsidP="001D462F">
      <w:pPr>
        <w:rPr>
          <w:sz w:val="22"/>
          <w:szCs w:val="22"/>
        </w:rPr>
      </w:pPr>
    </w:p>
    <w:p w14:paraId="33A384F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5. Vypláchnuť ústa</w:t>
      </w:r>
    </w:p>
    <w:p w14:paraId="33A384F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F2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Potom si vypláchnite ústa vodou a vodu vypľujte.</w:t>
      </w:r>
    </w:p>
    <w:p w14:paraId="33A384F3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F4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Ak máte užiť dve dávky, musíte Diskus zavrieť a opakovať kroky 1 až 4.</w:t>
      </w:r>
    </w:p>
    <w:p w14:paraId="33A384F5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F6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Upozornenie</w:t>
      </w:r>
    </w:p>
    <w:p w14:paraId="33A384F7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F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Uchovávajte Diskus v suchu.</w:t>
      </w:r>
    </w:p>
    <w:p w14:paraId="33A384F9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Pokiaľ sa Diskus nepoužíva, ponechajte ho zatvorený.</w:t>
      </w:r>
    </w:p>
    <w:p w14:paraId="33A384FA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lastRenderedPageBreak/>
        <w:t>Nikdy nevydychujte do Diskusu.</w:t>
      </w:r>
    </w:p>
    <w:p w14:paraId="33A384FB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Páčku posúvajte len ak idete práve inhalovať liek. Dávka sa uvoľní posunutím páčky.</w:t>
      </w:r>
    </w:p>
    <w:p w14:paraId="33A384FC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Nepresahujte určenú dávku. Uchovávajte mimo dosahu detí.</w:t>
      </w:r>
    </w:p>
    <w:p w14:paraId="33A384FD" w14:textId="77777777" w:rsidR="00E751D3" w:rsidRPr="008C236A" w:rsidRDefault="00E751D3" w:rsidP="001D462F">
      <w:pPr>
        <w:rPr>
          <w:bCs/>
          <w:caps/>
          <w:sz w:val="22"/>
          <w:szCs w:val="22"/>
        </w:rPr>
      </w:pPr>
    </w:p>
    <w:p w14:paraId="33A384FE" w14:textId="77777777" w:rsidR="00E751D3" w:rsidRPr="008C236A" w:rsidRDefault="00E751D3" w:rsidP="001D462F">
      <w:pPr>
        <w:rPr>
          <w:bCs/>
          <w:caps/>
          <w:sz w:val="22"/>
          <w:szCs w:val="22"/>
        </w:rPr>
      </w:pPr>
    </w:p>
    <w:p w14:paraId="33A384FF" w14:textId="77777777" w:rsidR="00E751D3" w:rsidRDefault="00E751D3" w:rsidP="00282792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7.</w:t>
      </w:r>
      <w:r w:rsidRPr="00272014">
        <w:rPr>
          <w:b/>
          <w:caps/>
          <w:sz w:val="22"/>
          <w:szCs w:val="22"/>
        </w:rPr>
        <w:tab/>
        <w:t>Držiteľ rozhodnutia o registrácii</w:t>
      </w:r>
    </w:p>
    <w:p w14:paraId="33A38500" w14:textId="77777777" w:rsidR="00E751D3" w:rsidRPr="00272014" w:rsidRDefault="00E751D3" w:rsidP="001D462F">
      <w:pPr>
        <w:keepNext/>
        <w:keepLines/>
        <w:rPr>
          <w:sz w:val="22"/>
          <w:szCs w:val="22"/>
        </w:rPr>
      </w:pPr>
    </w:p>
    <w:p w14:paraId="71FD0CE2" w14:textId="77777777" w:rsidR="009F3847" w:rsidRPr="00F879CB" w:rsidRDefault="009F3847" w:rsidP="009F3847">
      <w:pPr>
        <w:rPr>
          <w:sz w:val="22"/>
          <w:szCs w:val="22"/>
        </w:rPr>
      </w:pPr>
      <w:r w:rsidRPr="00F879CB">
        <w:rPr>
          <w:sz w:val="22"/>
          <w:szCs w:val="22"/>
        </w:rPr>
        <w:t>GlaxoSmithKline Trading Services Limited</w:t>
      </w:r>
    </w:p>
    <w:p w14:paraId="13E4301E" w14:textId="77777777" w:rsidR="009F3847" w:rsidRPr="00F879CB" w:rsidRDefault="009F3847" w:rsidP="009F3847">
      <w:pPr>
        <w:rPr>
          <w:sz w:val="22"/>
          <w:szCs w:val="22"/>
        </w:rPr>
      </w:pPr>
      <w:r w:rsidRPr="00F879CB">
        <w:rPr>
          <w:sz w:val="22"/>
          <w:szCs w:val="22"/>
        </w:rPr>
        <w:t>12 Riverwalk</w:t>
      </w:r>
    </w:p>
    <w:p w14:paraId="3416A5AC" w14:textId="77777777" w:rsidR="009F3847" w:rsidRPr="00F879CB" w:rsidRDefault="009F3847" w:rsidP="009F3847">
      <w:pPr>
        <w:rPr>
          <w:sz w:val="22"/>
          <w:szCs w:val="22"/>
        </w:rPr>
      </w:pPr>
      <w:r w:rsidRPr="00F879CB">
        <w:rPr>
          <w:sz w:val="22"/>
          <w:szCs w:val="22"/>
        </w:rPr>
        <w:t>Citywest Business Campus</w:t>
      </w:r>
    </w:p>
    <w:p w14:paraId="63DE88DB" w14:textId="77777777" w:rsidR="009F3847" w:rsidRPr="00F879CB" w:rsidRDefault="009F3847" w:rsidP="009F3847">
      <w:pPr>
        <w:rPr>
          <w:sz w:val="22"/>
          <w:szCs w:val="22"/>
        </w:rPr>
      </w:pPr>
      <w:r w:rsidRPr="00F879CB">
        <w:rPr>
          <w:sz w:val="22"/>
          <w:szCs w:val="22"/>
        </w:rPr>
        <w:t>Dublin 24</w:t>
      </w:r>
    </w:p>
    <w:p w14:paraId="33A38504" w14:textId="5642A740" w:rsidR="00E751D3" w:rsidRPr="00272014" w:rsidRDefault="009F3847" w:rsidP="001D462F">
      <w:pPr>
        <w:keepNext/>
        <w:keepLines/>
        <w:rPr>
          <w:sz w:val="22"/>
          <w:szCs w:val="22"/>
        </w:rPr>
      </w:pPr>
      <w:r w:rsidRPr="00F879CB">
        <w:rPr>
          <w:sz w:val="22"/>
          <w:szCs w:val="22"/>
        </w:rPr>
        <w:t>Írsko</w:t>
      </w:r>
    </w:p>
    <w:p w14:paraId="33A38505" w14:textId="77777777" w:rsidR="00E751D3" w:rsidRDefault="00E751D3" w:rsidP="00282792">
      <w:pPr>
        <w:pStyle w:val="Pta"/>
        <w:keepLines/>
        <w:tabs>
          <w:tab w:val="clear" w:pos="4153"/>
          <w:tab w:val="clear" w:pos="8306"/>
        </w:tabs>
        <w:rPr>
          <w:sz w:val="22"/>
          <w:szCs w:val="22"/>
        </w:rPr>
      </w:pPr>
    </w:p>
    <w:p w14:paraId="33A38506" w14:textId="77777777" w:rsidR="00E751D3" w:rsidRPr="00272014" w:rsidRDefault="00E751D3" w:rsidP="001D462F">
      <w:pPr>
        <w:pStyle w:val="Pta"/>
        <w:tabs>
          <w:tab w:val="clear" w:pos="4153"/>
          <w:tab w:val="clear" w:pos="8306"/>
        </w:tabs>
        <w:rPr>
          <w:sz w:val="22"/>
          <w:szCs w:val="22"/>
        </w:rPr>
      </w:pPr>
    </w:p>
    <w:p w14:paraId="33A38507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8.</w:t>
      </w:r>
      <w:r w:rsidRPr="00272014">
        <w:rPr>
          <w:b/>
          <w:caps/>
          <w:sz w:val="22"/>
          <w:szCs w:val="22"/>
        </w:rPr>
        <w:tab/>
        <w:t>Registračné číslo</w:t>
      </w:r>
    </w:p>
    <w:p w14:paraId="33A38508" w14:textId="77777777" w:rsidR="00E751D3" w:rsidRPr="00272014" w:rsidRDefault="00E751D3" w:rsidP="001D462F">
      <w:pPr>
        <w:rPr>
          <w:bCs/>
          <w:sz w:val="22"/>
          <w:szCs w:val="22"/>
        </w:rPr>
      </w:pPr>
    </w:p>
    <w:p w14:paraId="33A38509" w14:textId="77777777" w:rsidR="00E751D3" w:rsidRPr="00272014" w:rsidRDefault="00E751D3" w:rsidP="000E55ED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100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  <w:r>
        <w:rPr>
          <w:sz w:val="22"/>
          <w:szCs w:val="22"/>
        </w:rPr>
        <w:t xml:space="preserve"> -14/0143/15-S</w:t>
      </w:r>
    </w:p>
    <w:p w14:paraId="33A3850A" w14:textId="77777777" w:rsidR="00E751D3" w:rsidRPr="00272014" w:rsidRDefault="00E751D3" w:rsidP="000E55ED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250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  <w:r>
        <w:rPr>
          <w:sz w:val="22"/>
          <w:szCs w:val="22"/>
        </w:rPr>
        <w:t xml:space="preserve"> -14/0144/15-S</w:t>
      </w:r>
    </w:p>
    <w:p w14:paraId="33A3850B" w14:textId="77777777" w:rsidR="00E751D3" w:rsidRPr="00272014" w:rsidRDefault="00E751D3" w:rsidP="000E55ED">
      <w:pPr>
        <w:rPr>
          <w:bCs/>
          <w:sz w:val="22"/>
          <w:szCs w:val="22"/>
        </w:rPr>
      </w:pPr>
      <w:r w:rsidRPr="00272014">
        <w:rPr>
          <w:sz w:val="22"/>
          <w:szCs w:val="22"/>
        </w:rPr>
        <w:t>Flixotide Diskus 500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  <w:r w:rsidRPr="009232E3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-14/0145/15-S</w:t>
      </w:r>
    </w:p>
    <w:p w14:paraId="33A3850C" w14:textId="77777777" w:rsidR="00E751D3" w:rsidRPr="00F879CB" w:rsidRDefault="00E751D3" w:rsidP="001D462F">
      <w:pPr>
        <w:rPr>
          <w:bCs/>
          <w:sz w:val="22"/>
          <w:szCs w:val="22"/>
        </w:rPr>
      </w:pPr>
    </w:p>
    <w:p w14:paraId="33A3850D" w14:textId="77777777" w:rsidR="00E751D3" w:rsidRPr="00F879CB" w:rsidRDefault="00E751D3" w:rsidP="001D462F">
      <w:pPr>
        <w:rPr>
          <w:bCs/>
          <w:sz w:val="22"/>
          <w:szCs w:val="22"/>
        </w:rPr>
      </w:pPr>
    </w:p>
    <w:p w14:paraId="33A3850E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9.</w:t>
      </w:r>
      <w:r w:rsidRPr="00272014">
        <w:rPr>
          <w:b/>
          <w:caps/>
          <w:sz w:val="22"/>
          <w:szCs w:val="22"/>
        </w:rPr>
        <w:tab/>
        <w:t>Dátum prvej registrácie/predĺženia registrácie</w:t>
      </w:r>
    </w:p>
    <w:p w14:paraId="33A3850F" w14:textId="77777777" w:rsidR="00E751D3" w:rsidRPr="00272014" w:rsidRDefault="00E751D3" w:rsidP="001D462F">
      <w:pPr>
        <w:rPr>
          <w:sz w:val="22"/>
          <w:szCs w:val="22"/>
        </w:rPr>
      </w:pPr>
    </w:p>
    <w:p w14:paraId="33A38510" w14:textId="77777777" w:rsidR="00E751D3" w:rsidRDefault="00E751D3" w:rsidP="00282792">
      <w:pPr>
        <w:rPr>
          <w:sz w:val="22"/>
          <w:szCs w:val="22"/>
        </w:rPr>
      </w:pPr>
      <w:r w:rsidRPr="004B3845">
        <w:rPr>
          <w:sz w:val="22"/>
          <w:szCs w:val="22"/>
        </w:rPr>
        <w:t>Dátum prvej registrácie</w:t>
      </w:r>
      <w:r>
        <w:rPr>
          <w:sz w:val="22"/>
          <w:szCs w:val="22"/>
        </w:rPr>
        <w:t>:</w:t>
      </w:r>
      <w:r w:rsidRPr="004B3845">
        <w:rPr>
          <w:sz w:val="22"/>
          <w:szCs w:val="22"/>
        </w:rPr>
        <w:t xml:space="preserve"> </w:t>
      </w:r>
      <w:r w:rsidRPr="00272014">
        <w:rPr>
          <w:sz w:val="22"/>
          <w:szCs w:val="22"/>
        </w:rPr>
        <w:t>21.</w:t>
      </w:r>
      <w:r>
        <w:rPr>
          <w:sz w:val="22"/>
          <w:szCs w:val="22"/>
        </w:rPr>
        <w:t xml:space="preserve"> apríla </w:t>
      </w:r>
      <w:r w:rsidRPr="00272014">
        <w:rPr>
          <w:sz w:val="22"/>
          <w:szCs w:val="22"/>
        </w:rPr>
        <w:t>1998</w:t>
      </w:r>
    </w:p>
    <w:p w14:paraId="33A38511" w14:textId="77777777" w:rsidR="00E751D3" w:rsidRDefault="00E751D3" w:rsidP="00282792">
      <w:pPr>
        <w:rPr>
          <w:sz w:val="22"/>
          <w:szCs w:val="22"/>
        </w:rPr>
      </w:pPr>
      <w:r>
        <w:rPr>
          <w:sz w:val="22"/>
          <w:szCs w:val="22"/>
        </w:rPr>
        <w:t>Dátum posledného predĺženia</w:t>
      </w:r>
      <w:r w:rsidRPr="000D57D8">
        <w:rPr>
          <w:sz w:val="22"/>
          <w:szCs w:val="22"/>
        </w:rPr>
        <w:t xml:space="preserve"> </w:t>
      </w:r>
      <w:r w:rsidRPr="005804DD">
        <w:rPr>
          <w:sz w:val="22"/>
          <w:szCs w:val="22"/>
        </w:rPr>
        <w:t>registrácie</w:t>
      </w:r>
      <w:r>
        <w:rPr>
          <w:sz w:val="22"/>
          <w:szCs w:val="22"/>
        </w:rPr>
        <w:t>: 30. mája 2007</w:t>
      </w:r>
    </w:p>
    <w:p w14:paraId="33A38512" w14:textId="77777777" w:rsidR="00E751D3" w:rsidRDefault="00E751D3" w:rsidP="001D462F">
      <w:pPr>
        <w:pStyle w:val="Pta"/>
        <w:tabs>
          <w:tab w:val="clear" w:pos="4153"/>
          <w:tab w:val="clear" w:pos="8306"/>
        </w:tabs>
        <w:rPr>
          <w:sz w:val="22"/>
          <w:szCs w:val="22"/>
        </w:rPr>
      </w:pPr>
    </w:p>
    <w:p w14:paraId="33A38513" w14:textId="77777777" w:rsidR="00E751D3" w:rsidRPr="00282792" w:rsidRDefault="00E751D3" w:rsidP="00282792">
      <w:pPr>
        <w:pStyle w:val="Pta"/>
        <w:tabs>
          <w:tab w:val="clear" w:pos="4153"/>
          <w:tab w:val="clear" w:pos="8306"/>
        </w:tabs>
        <w:rPr>
          <w:sz w:val="22"/>
        </w:rPr>
      </w:pPr>
    </w:p>
    <w:p w14:paraId="33A38514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10.</w:t>
      </w:r>
      <w:r w:rsidRPr="00272014">
        <w:rPr>
          <w:b/>
          <w:caps/>
          <w:sz w:val="22"/>
          <w:szCs w:val="22"/>
        </w:rPr>
        <w:tab/>
        <w:t>Dátum revízie textu</w:t>
      </w:r>
    </w:p>
    <w:p w14:paraId="33A38515" w14:textId="77777777" w:rsidR="00E751D3" w:rsidRPr="00272014" w:rsidRDefault="00E751D3" w:rsidP="001D462F">
      <w:pPr>
        <w:rPr>
          <w:sz w:val="22"/>
          <w:szCs w:val="22"/>
        </w:rPr>
      </w:pPr>
    </w:p>
    <w:p w14:paraId="33A38516" w14:textId="56172322" w:rsidR="00E751D3" w:rsidRPr="00272014" w:rsidRDefault="009F3847" w:rsidP="00C82914">
      <w:pPr>
        <w:ind w:left="567" w:hanging="567"/>
        <w:rPr>
          <w:sz w:val="22"/>
          <w:szCs w:val="22"/>
        </w:rPr>
      </w:pPr>
      <w:bookmarkStart w:id="0" w:name="_GoBack"/>
      <w:bookmarkEnd w:id="0"/>
      <w:r w:rsidRPr="00F879CB">
        <w:rPr>
          <w:sz w:val="22"/>
          <w:szCs w:val="22"/>
        </w:rPr>
        <w:t>Január 2021</w:t>
      </w:r>
    </w:p>
    <w:sectPr w:rsidR="00E751D3" w:rsidRPr="00272014" w:rsidSect="000358F8">
      <w:headerReference w:type="default" r:id="rId23"/>
      <w:footerReference w:type="even" r:id="rId24"/>
      <w:footerReference w:type="default" r:id="rId25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37031" w14:textId="77777777" w:rsidR="00673A97" w:rsidRDefault="00673A97">
      <w:r>
        <w:separator/>
      </w:r>
    </w:p>
  </w:endnote>
  <w:endnote w:type="continuationSeparator" w:id="0">
    <w:p w14:paraId="4F437A5C" w14:textId="77777777" w:rsidR="00673A97" w:rsidRDefault="0067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38521" w14:textId="77777777" w:rsidR="00E751D3" w:rsidRDefault="00E87C6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751D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3A38522" w14:textId="77777777" w:rsidR="00E751D3" w:rsidRDefault="00E751D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38523" w14:textId="77777777" w:rsidR="00E751D3" w:rsidRPr="00F879CB" w:rsidRDefault="00E87C6C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  <w:szCs w:val="16"/>
      </w:rPr>
    </w:pPr>
    <w:r w:rsidRPr="00F879CB">
      <w:rPr>
        <w:rStyle w:val="slostrany"/>
        <w:rFonts w:ascii="Arial" w:hAnsi="Arial" w:cs="Arial"/>
        <w:sz w:val="16"/>
        <w:szCs w:val="16"/>
      </w:rPr>
      <w:fldChar w:fldCharType="begin"/>
    </w:r>
    <w:r w:rsidR="00E751D3" w:rsidRPr="00F879CB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F879CB">
      <w:rPr>
        <w:rStyle w:val="slostrany"/>
        <w:rFonts w:ascii="Arial" w:hAnsi="Arial" w:cs="Arial"/>
        <w:sz w:val="16"/>
        <w:szCs w:val="16"/>
      </w:rPr>
      <w:fldChar w:fldCharType="separate"/>
    </w:r>
    <w:r w:rsidR="00F879CB">
      <w:rPr>
        <w:rStyle w:val="slostrany"/>
        <w:rFonts w:ascii="Arial" w:hAnsi="Arial" w:cs="Arial"/>
        <w:noProof/>
        <w:sz w:val="16"/>
        <w:szCs w:val="16"/>
      </w:rPr>
      <w:t>14</w:t>
    </w:r>
    <w:r w:rsidRPr="00F879CB">
      <w:rPr>
        <w:rStyle w:val="slostrany"/>
        <w:rFonts w:ascii="Arial" w:hAnsi="Arial" w:cs="Arial"/>
        <w:sz w:val="16"/>
        <w:szCs w:val="16"/>
      </w:rPr>
      <w:fldChar w:fldCharType="end"/>
    </w:r>
  </w:p>
  <w:p w14:paraId="33A38524" w14:textId="77777777" w:rsidR="00E751D3" w:rsidRDefault="00E751D3" w:rsidP="00282792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5D47B" w14:textId="77777777" w:rsidR="00673A97" w:rsidRDefault="00673A97">
      <w:r>
        <w:separator/>
      </w:r>
    </w:p>
  </w:footnote>
  <w:footnote w:type="continuationSeparator" w:id="0">
    <w:p w14:paraId="01FED442" w14:textId="77777777" w:rsidR="00673A97" w:rsidRDefault="00673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BBDDE" w14:textId="77777777" w:rsidR="00DC6FCC" w:rsidRDefault="00DC6FCC" w:rsidP="00DC6FCC">
    <w:pPr>
      <w:pStyle w:val="Hlavika"/>
      <w:rPr>
        <w:sz w:val="18"/>
        <w:szCs w:val="18"/>
      </w:rPr>
    </w:pPr>
    <w:r>
      <w:rPr>
        <w:sz w:val="18"/>
        <w:szCs w:val="18"/>
      </w:rPr>
      <w:t>Príloha č. 1 notifikácii o zmene, ev. č.: 2017/00867-Z1B</w:t>
    </w:r>
  </w:p>
  <w:p w14:paraId="43FFAF36" w14:textId="77777777" w:rsidR="00DC6FCC" w:rsidRPr="00F879CB" w:rsidRDefault="00DC6FCC" w:rsidP="00DC6FCC">
    <w:pPr>
      <w:pStyle w:val="Hlavika"/>
      <w:rPr>
        <w:sz w:val="18"/>
        <w:szCs w:val="18"/>
      </w:rPr>
    </w:pPr>
    <w:r w:rsidRPr="00F879CB">
      <w:rPr>
        <w:sz w:val="18"/>
        <w:szCs w:val="18"/>
      </w:rPr>
      <w:t>Príloha č. 1 notifikácii o zmene, ev. č.: 2017/03457-Z1B</w:t>
    </w:r>
  </w:p>
  <w:p w14:paraId="42F181FC" w14:textId="5D145EF6" w:rsidR="00DC6FCC" w:rsidRPr="00F879CB" w:rsidRDefault="00DC6FCC" w:rsidP="00DC6FCC">
    <w:pPr>
      <w:pStyle w:val="Hlavika"/>
      <w:rPr>
        <w:sz w:val="18"/>
        <w:szCs w:val="18"/>
      </w:rPr>
    </w:pPr>
    <w:r w:rsidRPr="00F879CB">
      <w:rPr>
        <w:sz w:val="18"/>
        <w:szCs w:val="18"/>
      </w:rPr>
      <w:t xml:space="preserve">Schválený text k rozhodnutiu o zmene, ev. č.: </w:t>
    </w:r>
    <w:r w:rsidR="009F3847" w:rsidRPr="00F879CB">
      <w:rPr>
        <w:sz w:val="18"/>
        <w:szCs w:val="18"/>
      </w:rPr>
      <w:t>2020/04850-ZME</w:t>
    </w:r>
  </w:p>
  <w:p w14:paraId="53BD5ADC" w14:textId="77777777" w:rsidR="00B930D9" w:rsidRDefault="009F3847" w:rsidP="00B930D9">
    <w:pPr>
      <w:pStyle w:val="Hlavika"/>
      <w:rPr>
        <w:sz w:val="18"/>
        <w:szCs w:val="18"/>
      </w:rPr>
    </w:pPr>
    <w:r w:rsidRPr="00F879CB">
      <w:rPr>
        <w:sz w:val="18"/>
        <w:szCs w:val="18"/>
      </w:rPr>
      <w:t>Schválený text k rozhodnutiu o prevode, ev. č.:</w:t>
    </w:r>
    <w:r>
      <w:rPr>
        <w:sz w:val="18"/>
        <w:szCs w:val="18"/>
      </w:rPr>
      <w:t xml:space="preserve"> </w:t>
    </w:r>
    <w:r w:rsidR="00B930D9">
      <w:rPr>
        <w:sz w:val="18"/>
        <w:szCs w:val="18"/>
      </w:rPr>
      <w:t>2020/07150-TR, 2020/07151-TR, 2020/07152-TR</w:t>
    </w:r>
  </w:p>
  <w:p w14:paraId="558647F6" w14:textId="77777777" w:rsidR="00DC6FCC" w:rsidRDefault="00DC6F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A5F97"/>
    <w:multiLevelType w:val="singleLevel"/>
    <w:tmpl w:val="E7FC5F02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1" w15:restartNumberingAfterBreak="0">
    <w:nsid w:val="24964DE9"/>
    <w:multiLevelType w:val="singleLevel"/>
    <w:tmpl w:val="4EFA63A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" w15:restartNumberingAfterBreak="0">
    <w:nsid w:val="27B215FD"/>
    <w:multiLevelType w:val="singleLevel"/>
    <w:tmpl w:val="9CC6C24C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" w15:restartNumberingAfterBreak="0">
    <w:nsid w:val="28EE5BEC"/>
    <w:multiLevelType w:val="hybridMultilevel"/>
    <w:tmpl w:val="9DDA52A0"/>
    <w:lvl w:ilvl="0" w:tplc="1DD6EE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E33C5"/>
    <w:multiLevelType w:val="hybridMultilevel"/>
    <w:tmpl w:val="B45CC38E"/>
    <w:lvl w:ilvl="0" w:tplc="83C0C56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711B1"/>
    <w:multiLevelType w:val="singleLevel"/>
    <w:tmpl w:val="A9C0C6D8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" w15:restartNumberingAfterBreak="0">
    <w:nsid w:val="3BDB748E"/>
    <w:multiLevelType w:val="singleLevel"/>
    <w:tmpl w:val="56B27774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 w15:restartNumberingAfterBreak="0">
    <w:nsid w:val="3E200996"/>
    <w:multiLevelType w:val="singleLevel"/>
    <w:tmpl w:val="D8A85598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" w15:restartNumberingAfterBreak="0">
    <w:nsid w:val="405372CD"/>
    <w:multiLevelType w:val="singleLevel"/>
    <w:tmpl w:val="CCDE08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" w15:restartNumberingAfterBreak="0">
    <w:nsid w:val="554D28BF"/>
    <w:multiLevelType w:val="singleLevel"/>
    <w:tmpl w:val="A18C0B96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0" w15:restartNumberingAfterBreak="0">
    <w:nsid w:val="5BA45F47"/>
    <w:multiLevelType w:val="hybridMultilevel"/>
    <w:tmpl w:val="351028F4"/>
    <w:lvl w:ilvl="0" w:tplc="2F5433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2CE0"/>
    <w:multiLevelType w:val="hybridMultilevel"/>
    <w:tmpl w:val="C2D271A4"/>
    <w:lvl w:ilvl="0" w:tplc="C32299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26726"/>
    <w:multiLevelType w:val="hybridMultilevel"/>
    <w:tmpl w:val="E946D7DC"/>
    <w:lvl w:ilvl="0" w:tplc="83C0C56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392F"/>
    <w:multiLevelType w:val="singleLevel"/>
    <w:tmpl w:val="E33274C2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4" w15:restartNumberingAfterBreak="0">
    <w:nsid w:val="797F444E"/>
    <w:multiLevelType w:val="singleLevel"/>
    <w:tmpl w:val="32D475BE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 w15:restartNumberingAfterBreak="0">
    <w:nsid w:val="7E8D3E78"/>
    <w:multiLevelType w:val="singleLevel"/>
    <w:tmpl w:val="84B24654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7"/>
  </w:num>
  <w:num w:numId="5">
    <w:abstractNumId w:val="15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3"/>
  </w:num>
  <w:num w:numId="11">
    <w:abstractNumId w:val="9"/>
  </w:num>
  <w:num w:numId="12">
    <w:abstractNumId w:val="3"/>
  </w:num>
  <w:num w:numId="13">
    <w:abstractNumId w:val="4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2C"/>
    <w:rsid w:val="00000196"/>
    <w:rsid w:val="000132D7"/>
    <w:rsid w:val="000132DE"/>
    <w:rsid w:val="000177D1"/>
    <w:rsid w:val="00020836"/>
    <w:rsid w:val="00025450"/>
    <w:rsid w:val="000358F8"/>
    <w:rsid w:val="00036D3E"/>
    <w:rsid w:val="00047F49"/>
    <w:rsid w:val="000503A9"/>
    <w:rsid w:val="0005451C"/>
    <w:rsid w:val="000677D7"/>
    <w:rsid w:val="000733E9"/>
    <w:rsid w:val="000758A5"/>
    <w:rsid w:val="00080CFD"/>
    <w:rsid w:val="0009166C"/>
    <w:rsid w:val="00093B05"/>
    <w:rsid w:val="00097612"/>
    <w:rsid w:val="000B3901"/>
    <w:rsid w:val="000C06D3"/>
    <w:rsid w:val="000C1B6A"/>
    <w:rsid w:val="000C2651"/>
    <w:rsid w:val="000C33A0"/>
    <w:rsid w:val="000C5587"/>
    <w:rsid w:val="000D57D8"/>
    <w:rsid w:val="000E55ED"/>
    <w:rsid w:val="000E59FF"/>
    <w:rsid w:val="000E5F1D"/>
    <w:rsid w:val="000F06E2"/>
    <w:rsid w:val="000F1C87"/>
    <w:rsid w:val="000F61C3"/>
    <w:rsid w:val="001030BE"/>
    <w:rsid w:val="001156C3"/>
    <w:rsid w:val="00117C09"/>
    <w:rsid w:val="00122581"/>
    <w:rsid w:val="0012347E"/>
    <w:rsid w:val="00142F21"/>
    <w:rsid w:val="00147A62"/>
    <w:rsid w:val="0015550A"/>
    <w:rsid w:val="00157463"/>
    <w:rsid w:val="00160B58"/>
    <w:rsid w:val="00163704"/>
    <w:rsid w:val="0016588A"/>
    <w:rsid w:val="00170FB4"/>
    <w:rsid w:val="001727E4"/>
    <w:rsid w:val="00172E69"/>
    <w:rsid w:val="00180ABC"/>
    <w:rsid w:val="00182E60"/>
    <w:rsid w:val="001831BF"/>
    <w:rsid w:val="00187525"/>
    <w:rsid w:val="001A3C8C"/>
    <w:rsid w:val="001B053A"/>
    <w:rsid w:val="001C3A6E"/>
    <w:rsid w:val="001C4E94"/>
    <w:rsid w:val="001C696C"/>
    <w:rsid w:val="001D1D92"/>
    <w:rsid w:val="001D4629"/>
    <w:rsid w:val="001D462F"/>
    <w:rsid w:val="001D7110"/>
    <w:rsid w:val="001E2A63"/>
    <w:rsid w:val="001E3C82"/>
    <w:rsid w:val="001E3CFF"/>
    <w:rsid w:val="00207EAD"/>
    <w:rsid w:val="00210C09"/>
    <w:rsid w:val="00210FBB"/>
    <w:rsid w:val="002132FE"/>
    <w:rsid w:val="002225DD"/>
    <w:rsid w:val="00222A45"/>
    <w:rsid w:val="0023017C"/>
    <w:rsid w:val="00230F23"/>
    <w:rsid w:val="002332D3"/>
    <w:rsid w:val="00235A67"/>
    <w:rsid w:val="002429F2"/>
    <w:rsid w:val="002572D1"/>
    <w:rsid w:val="002621BE"/>
    <w:rsid w:val="00272014"/>
    <w:rsid w:val="00272C09"/>
    <w:rsid w:val="00273766"/>
    <w:rsid w:val="00275837"/>
    <w:rsid w:val="00280B4F"/>
    <w:rsid w:val="00281F6A"/>
    <w:rsid w:val="00282792"/>
    <w:rsid w:val="00282A6A"/>
    <w:rsid w:val="0029625B"/>
    <w:rsid w:val="002A79A5"/>
    <w:rsid w:val="002A7B16"/>
    <w:rsid w:val="002B31DE"/>
    <w:rsid w:val="002B6D58"/>
    <w:rsid w:val="002C28DD"/>
    <w:rsid w:val="002D07FD"/>
    <w:rsid w:val="002D3167"/>
    <w:rsid w:val="002D4B39"/>
    <w:rsid w:val="002D5A28"/>
    <w:rsid w:val="002F47C2"/>
    <w:rsid w:val="003071E7"/>
    <w:rsid w:val="00312CF9"/>
    <w:rsid w:val="00313203"/>
    <w:rsid w:val="003209EC"/>
    <w:rsid w:val="00325B11"/>
    <w:rsid w:val="003263DF"/>
    <w:rsid w:val="00340B6C"/>
    <w:rsid w:val="00346B57"/>
    <w:rsid w:val="0035288F"/>
    <w:rsid w:val="00357F06"/>
    <w:rsid w:val="00370C17"/>
    <w:rsid w:val="0037214A"/>
    <w:rsid w:val="00374C3A"/>
    <w:rsid w:val="00375023"/>
    <w:rsid w:val="0037529A"/>
    <w:rsid w:val="0038007E"/>
    <w:rsid w:val="00381E18"/>
    <w:rsid w:val="00393EFB"/>
    <w:rsid w:val="00393F9D"/>
    <w:rsid w:val="003A7B1B"/>
    <w:rsid w:val="003B01EE"/>
    <w:rsid w:val="003B4795"/>
    <w:rsid w:val="003B52D7"/>
    <w:rsid w:val="003B60AE"/>
    <w:rsid w:val="003C097D"/>
    <w:rsid w:val="003E3C95"/>
    <w:rsid w:val="003E3FF4"/>
    <w:rsid w:val="003F3DC4"/>
    <w:rsid w:val="00414E13"/>
    <w:rsid w:val="0042115C"/>
    <w:rsid w:val="00421361"/>
    <w:rsid w:val="004278BE"/>
    <w:rsid w:val="00451C67"/>
    <w:rsid w:val="00452924"/>
    <w:rsid w:val="00453981"/>
    <w:rsid w:val="004614BA"/>
    <w:rsid w:val="004824F5"/>
    <w:rsid w:val="0048407B"/>
    <w:rsid w:val="00491B15"/>
    <w:rsid w:val="00495380"/>
    <w:rsid w:val="004A6E45"/>
    <w:rsid w:val="004B2CF1"/>
    <w:rsid w:val="004B3845"/>
    <w:rsid w:val="004C2BB1"/>
    <w:rsid w:val="004D21E1"/>
    <w:rsid w:val="004E072C"/>
    <w:rsid w:val="004E559F"/>
    <w:rsid w:val="004F25DF"/>
    <w:rsid w:val="004F3690"/>
    <w:rsid w:val="004F5F4C"/>
    <w:rsid w:val="004F744A"/>
    <w:rsid w:val="00502DB9"/>
    <w:rsid w:val="0050352D"/>
    <w:rsid w:val="005075B8"/>
    <w:rsid w:val="005148C9"/>
    <w:rsid w:val="00516814"/>
    <w:rsid w:val="00522652"/>
    <w:rsid w:val="005311F1"/>
    <w:rsid w:val="005331C1"/>
    <w:rsid w:val="005436C1"/>
    <w:rsid w:val="00552AB6"/>
    <w:rsid w:val="005664B3"/>
    <w:rsid w:val="0057265F"/>
    <w:rsid w:val="0057495B"/>
    <w:rsid w:val="00576EB4"/>
    <w:rsid w:val="005804DD"/>
    <w:rsid w:val="00586950"/>
    <w:rsid w:val="00587A3E"/>
    <w:rsid w:val="00594160"/>
    <w:rsid w:val="00595F8F"/>
    <w:rsid w:val="005A2628"/>
    <w:rsid w:val="005B4E60"/>
    <w:rsid w:val="005C2AAF"/>
    <w:rsid w:val="005C472D"/>
    <w:rsid w:val="005D1E4D"/>
    <w:rsid w:val="005D2AA1"/>
    <w:rsid w:val="005D7898"/>
    <w:rsid w:val="005D7900"/>
    <w:rsid w:val="005E121E"/>
    <w:rsid w:val="005E1CFB"/>
    <w:rsid w:val="005E4110"/>
    <w:rsid w:val="005F0438"/>
    <w:rsid w:val="005F6F93"/>
    <w:rsid w:val="005F7DA1"/>
    <w:rsid w:val="00601043"/>
    <w:rsid w:val="0060186C"/>
    <w:rsid w:val="00610016"/>
    <w:rsid w:val="0061309D"/>
    <w:rsid w:val="00614BED"/>
    <w:rsid w:val="006157F0"/>
    <w:rsid w:val="00617C9D"/>
    <w:rsid w:val="00622C34"/>
    <w:rsid w:val="006235B3"/>
    <w:rsid w:val="00624C6B"/>
    <w:rsid w:val="006307CA"/>
    <w:rsid w:val="00630F3B"/>
    <w:rsid w:val="00636AEB"/>
    <w:rsid w:val="00637AFB"/>
    <w:rsid w:val="0064024F"/>
    <w:rsid w:val="006465E2"/>
    <w:rsid w:val="00656E93"/>
    <w:rsid w:val="00673A97"/>
    <w:rsid w:val="00684749"/>
    <w:rsid w:val="006913FF"/>
    <w:rsid w:val="00692C63"/>
    <w:rsid w:val="006A07A7"/>
    <w:rsid w:val="006A6324"/>
    <w:rsid w:val="006B1C3B"/>
    <w:rsid w:val="006B380B"/>
    <w:rsid w:val="006B45A0"/>
    <w:rsid w:val="006C1865"/>
    <w:rsid w:val="006C217C"/>
    <w:rsid w:val="006C6240"/>
    <w:rsid w:val="006D239D"/>
    <w:rsid w:val="006D4041"/>
    <w:rsid w:val="006D5D5F"/>
    <w:rsid w:val="006D732C"/>
    <w:rsid w:val="00701589"/>
    <w:rsid w:val="00701E93"/>
    <w:rsid w:val="00717A3F"/>
    <w:rsid w:val="00725031"/>
    <w:rsid w:val="00726DF0"/>
    <w:rsid w:val="00745AA5"/>
    <w:rsid w:val="00747BCE"/>
    <w:rsid w:val="00753B4A"/>
    <w:rsid w:val="00753EFD"/>
    <w:rsid w:val="007652D0"/>
    <w:rsid w:val="007667B6"/>
    <w:rsid w:val="00773708"/>
    <w:rsid w:val="00773B96"/>
    <w:rsid w:val="00774BA9"/>
    <w:rsid w:val="007834B1"/>
    <w:rsid w:val="007842AB"/>
    <w:rsid w:val="00794EC0"/>
    <w:rsid w:val="00796452"/>
    <w:rsid w:val="007979F1"/>
    <w:rsid w:val="00797EBE"/>
    <w:rsid w:val="007A353F"/>
    <w:rsid w:val="007A39B2"/>
    <w:rsid w:val="007C1F60"/>
    <w:rsid w:val="007C1F76"/>
    <w:rsid w:val="007D2107"/>
    <w:rsid w:val="007D2756"/>
    <w:rsid w:val="007D6D9C"/>
    <w:rsid w:val="007E1577"/>
    <w:rsid w:val="007E5FC2"/>
    <w:rsid w:val="007F1718"/>
    <w:rsid w:val="007F36B9"/>
    <w:rsid w:val="007F6072"/>
    <w:rsid w:val="007F73B6"/>
    <w:rsid w:val="007F7D24"/>
    <w:rsid w:val="00800A8F"/>
    <w:rsid w:val="008015D4"/>
    <w:rsid w:val="00804BC7"/>
    <w:rsid w:val="0081605F"/>
    <w:rsid w:val="00830209"/>
    <w:rsid w:val="008402F3"/>
    <w:rsid w:val="00843816"/>
    <w:rsid w:val="00843E20"/>
    <w:rsid w:val="00846E8C"/>
    <w:rsid w:val="008472E9"/>
    <w:rsid w:val="0085512A"/>
    <w:rsid w:val="0086349F"/>
    <w:rsid w:val="00866337"/>
    <w:rsid w:val="00876871"/>
    <w:rsid w:val="0088216C"/>
    <w:rsid w:val="00883ED2"/>
    <w:rsid w:val="00897E4C"/>
    <w:rsid w:val="008A5465"/>
    <w:rsid w:val="008B4176"/>
    <w:rsid w:val="008C236A"/>
    <w:rsid w:val="008D3439"/>
    <w:rsid w:val="008D3A0F"/>
    <w:rsid w:val="008D5C18"/>
    <w:rsid w:val="008E092A"/>
    <w:rsid w:val="008E45A0"/>
    <w:rsid w:val="008F0823"/>
    <w:rsid w:val="008F17B1"/>
    <w:rsid w:val="008F20AF"/>
    <w:rsid w:val="008F4AEF"/>
    <w:rsid w:val="0090292A"/>
    <w:rsid w:val="00905CED"/>
    <w:rsid w:val="009232E3"/>
    <w:rsid w:val="009266C7"/>
    <w:rsid w:val="00926CFF"/>
    <w:rsid w:val="00930227"/>
    <w:rsid w:val="00940BCB"/>
    <w:rsid w:val="00945CBE"/>
    <w:rsid w:val="00960A30"/>
    <w:rsid w:val="00970817"/>
    <w:rsid w:val="00981B31"/>
    <w:rsid w:val="00987003"/>
    <w:rsid w:val="009A15CB"/>
    <w:rsid w:val="009A5FA5"/>
    <w:rsid w:val="009A7269"/>
    <w:rsid w:val="009C0C3D"/>
    <w:rsid w:val="009C2FA7"/>
    <w:rsid w:val="009D264C"/>
    <w:rsid w:val="009E0D06"/>
    <w:rsid w:val="009E4300"/>
    <w:rsid w:val="009E49AE"/>
    <w:rsid w:val="009F1839"/>
    <w:rsid w:val="009F3847"/>
    <w:rsid w:val="00A03FEC"/>
    <w:rsid w:val="00A120CD"/>
    <w:rsid w:val="00A33F2B"/>
    <w:rsid w:val="00A34219"/>
    <w:rsid w:val="00A3481D"/>
    <w:rsid w:val="00A35D0F"/>
    <w:rsid w:val="00A3768B"/>
    <w:rsid w:val="00A37B63"/>
    <w:rsid w:val="00A44027"/>
    <w:rsid w:val="00A45405"/>
    <w:rsid w:val="00A56C67"/>
    <w:rsid w:val="00A70D54"/>
    <w:rsid w:val="00A77002"/>
    <w:rsid w:val="00A81864"/>
    <w:rsid w:val="00A858EA"/>
    <w:rsid w:val="00A865CB"/>
    <w:rsid w:val="00A95B64"/>
    <w:rsid w:val="00AA00F4"/>
    <w:rsid w:val="00AA07FB"/>
    <w:rsid w:val="00AA370B"/>
    <w:rsid w:val="00AA66EF"/>
    <w:rsid w:val="00AA7ACB"/>
    <w:rsid w:val="00AB2904"/>
    <w:rsid w:val="00AB75C0"/>
    <w:rsid w:val="00AC3196"/>
    <w:rsid w:val="00AC6D17"/>
    <w:rsid w:val="00AD2014"/>
    <w:rsid w:val="00AD314F"/>
    <w:rsid w:val="00AD67C9"/>
    <w:rsid w:val="00AE0474"/>
    <w:rsid w:val="00AE3005"/>
    <w:rsid w:val="00AE72F1"/>
    <w:rsid w:val="00AF412A"/>
    <w:rsid w:val="00AF4395"/>
    <w:rsid w:val="00AF6CDE"/>
    <w:rsid w:val="00B06064"/>
    <w:rsid w:val="00B13C9F"/>
    <w:rsid w:val="00B13E2E"/>
    <w:rsid w:val="00B20203"/>
    <w:rsid w:val="00B20BF2"/>
    <w:rsid w:val="00B23E3E"/>
    <w:rsid w:val="00B240DE"/>
    <w:rsid w:val="00B25823"/>
    <w:rsid w:val="00B27DE9"/>
    <w:rsid w:val="00B33305"/>
    <w:rsid w:val="00B33F87"/>
    <w:rsid w:val="00B350F4"/>
    <w:rsid w:val="00B3653D"/>
    <w:rsid w:val="00B44F94"/>
    <w:rsid w:val="00B46A17"/>
    <w:rsid w:val="00B53605"/>
    <w:rsid w:val="00B54347"/>
    <w:rsid w:val="00B66519"/>
    <w:rsid w:val="00B70A0B"/>
    <w:rsid w:val="00B71BF2"/>
    <w:rsid w:val="00B7443D"/>
    <w:rsid w:val="00B746AC"/>
    <w:rsid w:val="00B84816"/>
    <w:rsid w:val="00B908F3"/>
    <w:rsid w:val="00B92E5F"/>
    <w:rsid w:val="00B92EC7"/>
    <w:rsid w:val="00B930D9"/>
    <w:rsid w:val="00B93EA8"/>
    <w:rsid w:val="00B946CF"/>
    <w:rsid w:val="00B95D43"/>
    <w:rsid w:val="00BA1378"/>
    <w:rsid w:val="00BB54AC"/>
    <w:rsid w:val="00BC0131"/>
    <w:rsid w:val="00BD1E63"/>
    <w:rsid w:val="00BD75FF"/>
    <w:rsid w:val="00BE5887"/>
    <w:rsid w:val="00BF12C3"/>
    <w:rsid w:val="00BF545B"/>
    <w:rsid w:val="00C11D30"/>
    <w:rsid w:val="00C24505"/>
    <w:rsid w:val="00C47A13"/>
    <w:rsid w:val="00C5148A"/>
    <w:rsid w:val="00C51D86"/>
    <w:rsid w:val="00C53EEA"/>
    <w:rsid w:val="00C555EB"/>
    <w:rsid w:val="00C57A53"/>
    <w:rsid w:val="00C67C41"/>
    <w:rsid w:val="00C714FB"/>
    <w:rsid w:val="00C82914"/>
    <w:rsid w:val="00C874F5"/>
    <w:rsid w:val="00C927B8"/>
    <w:rsid w:val="00CB2578"/>
    <w:rsid w:val="00CB2996"/>
    <w:rsid w:val="00CB5EF6"/>
    <w:rsid w:val="00CB6E4F"/>
    <w:rsid w:val="00CC12B0"/>
    <w:rsid w:val="00CC250E"/>
    <w:rsid w:val="00CD23C4"/>
    <w:rsid w:val="00CE1A22"/>
    <w:rsid w:val="00CF335E"/>
    <w:rsid w:val="00D05FD1"/>
    <w:rsid w:val="00D1070E"/>
    <w:rsid w:val="00D11724"/>
    <w:rsid w:val="00D150C6"/>
    <w:rsid w:val="00D20DD9"/>
    <w:rsid w:val="00D236E2"/>
    <w:rsid w:val="00D322DC"/>
    <w:rsid w:val="00D35ABA"/>
    <w:rsid w:val="00D4166F"/>
    <w:rsid w:val="00D428E9"/>
    <w:rsid w:val="00D447D0"/>
    <w:rsid w:val="00D45439"/>
    <w:rsid w:val="00D4562F"/>
    <w:rsid w:val="00D5187A"/>
    <w:rsid w:val="00D544A5"/>
    <w:rsid w:val="00D660A0"/>
    <w:rsid w:val="00D831C1"/>
    <w:rsid w:val="00D861BE"/>
    <w:rsid w:val="00DA30E4"/>
    <w:rsid w:val="00DA69A8"/>
    <w:rsid w:val="00DB19C5"/>
    <w:rsid w:val="00DB3510"/>
    <w:rsid w:val="00DC01CD"/>
    <w:rsid w:val="00DC24B2"/>
    <w:rsid w:val="00DC2B58"/>
    <w:rsid w:val="00DC306D"/>
    <w:rsid w:val="00DC6FCC"/>
    <w:rsid w:val="00DE5FAA"/>
    <w:rsid w:val="00DF161A"/>
    <w:rsid w:val="00DF3625"/>
    <w:rsid w:val="00E00115"/>
    <w:rsid w:val="00E153D0"/>
    <w:rsid w:val="00E22484"/>
    <w:rsid w:val="00E24A29"/>
    <w:rsid w:val="00E25F4B"/>
    <w:rsid w:val="00E26F27"/>
    <w:rsid w:val="00E27316"/>
    <w:rsid w:val="00E339B5"/>
    <w:rsid w:val="00E346B3"/>
    <w:rsid w:val="00E3519F"/>
    <w:rsid w:val="00E55189"/>
    <w:rsid w:val="00E6007D"/>
    <w:rsid w:val="00E67871"/>
    <w:rsid w:val="00E71734"/>
    <w:rsid w:val="00E71F6E"/>
    <w:rsid w:val="00E74B6E"/>
    <w:rsid w:val="00E751D3"/>
    <w:rsid w:val="00E86EE9"/>
    <w:rsid w:val="00E87C6C"/>
    <w:rsid w:val="00E905BD"/>
    <w:rsid w:val="00E95A24"/>
    <w:rsid w:val="00E9742A"/>
    <w:rsid w:val="00EA1D84"/>
    <w:rsid w:val="00EA1FF7"/>
    <w:rsid w:val="00EA2C9B"/>
    <w:rsid w:val="00EA43C8"/>
    <w:rsid w:val="00EE11D1"/>
    <w:rsid w:val="00EE65ED"/>
    <w:rsid w:val="00EE73A9"/>
    <w:rsid w:val="00EF620E"/>
    <w:rsid w:val="00F00F4F"/>
    <w:rsid w:val="00F03ED8"/>
    <w:rsid w:val="00F158BE"/>
    <w:rsid w:val="00F22892"/>
    <w:rsid w:val="00F23A92"/>
    <w:rsid w:val="00F4285A"/>
    <w:rsid w:val="00F43DAE"/>
    <w:rsid w:val="00F4798D"/>
    <w:rsid w:val="00F55A48"/>
    <w:rsid w:val="00F55B23"/>
    <w:rsid w:val="00F639A8"/>
    <w:rsid w:val="00F6599B"/>
    <w:rsid w:val="00F672F2"/>
    <w:rsid w:val="00F825EF"/>
    <w:rsid w:val="00F85093"/>
    <w:rsid w:val="00F879CB"/>
    <w:rsid w:val="00F92E6F"/>
    <w:rsid w:val="00FA2B4F"/>
    <w:rsid w:val="00FA2C3E"/>
    <w:rsid w:val="00FA2D50"/>
    <w:rsid w:val="00FA3B67"/>
    <w:rsid w:val="00FD5C20"/>
    <w:rsid w:val="00FE2FAD"/>
    <w:rsid w:val="00FE6E79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A3833C"/>
  <w15:docId w15:val="{B424D9C4-9CA4-4A38-857B-66785EFB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61BE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861BE"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861BE"/>
    <w:pPr>
      <w:keepNext/>
      <w:spacing w:line="360" w:lineRule="auto"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D861BE"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y"/>
    <w:next w:val="Normlny"/>
    <w:link w:val="Nadpis4Char"/>
    <w:uiPriority w:val="99"/>
    <w:qFormat/>
    <w:rsid w:val="00D861BE"/>
    <w:pPr>
      <w:keepNext/>
      <w:jc w:val="both"/>
      <w:outlineLvl w:val="3"/>
    </w:pPr>
    <w:rPr>
      <w:rFonts w:ascii="Arial" w:hAnsi="Arial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861BE"/>
    <w:pPr>
      <w:keepNext/>
      <w:spacing w:after="240"/>
      <w:jc w:val="both"/>
      <w:outlineLvl w:val="4"/>
    </w:pPr>
    <w:rPr>
      <w:rFonts w:ascii="Arial" w:hAnsi="Arial"/>
      <w:b/>
      <w:cap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818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A8186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8186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A81864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A81864"/>
    <w:rPr>
      <w:rFonts w:ascii="Calibri" w:hAnsi="Calibri" w:cs="Times New Roman"/>
      <w:b/>
      <w:bCs/>
      <w:i/>
      <w:iCs/>
      <w:sz w:val="26"/>
      <w:szCs w:val="26"/>
    </w:rPr>
  </w:style>
  <w:style w:type="paragraph" w:styleId="Pta">
    <w:name w:val="footer"/>
    <w:basedOn w:val="Normlny"/>
    <w:link w:val="PtaChar"/>
    <w:uiPriority w:val="99"/>
    <w:rsid w:val="00D861BE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92EC7"/>
    <w:rPr>
      <w:rFonts w:cs="Times New Roman"/>
      <w:lang w:eastAsia="sk-SK"/>
    </w:rPr>
  </w:style>
  <w:style w:type="character" w:styleId="slostrany">
    <w:name w:val="page number"/>
    <w:basedOn w:val="Predvolenpsmoodseku"/>
    <w:uiPriority w:val="99"/>
    <w:rsid w:val="00D861BE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D861BE"/>
    <w:pPr>
      <w:spacing w:line="360" w:lineRule="auto"/>
      <w:jc w:val="both"/>
    </w:pPr>
    <w:rPr>
      <w:rFonts w:ascii="Arial" w:hAnsi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81864"/>
    <w:rPr>
      <w:rFonts w:cs="Times New Roman"/>
      <w:sz w:val="20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rsid w:val="00D861BE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A81864"/>
    <w:rPr>
      <w:rFonts w:cs="Times New Roman"/>
      <w:sz w:val="2"/>
    </w:rPr>
  </w:style>
  <w:style w:type="paragraph" w:styleId="Zkladntext3">
    <w:name w:val="Body Text 3"/>
    <w:basedOn w:val="Normlny"/>
    <w:link w:val="Zkladntext3Char"/>
    <w:uiPriority w:val="99"/>
    <w:rsid w:val="00D861BE"/>
    <w:pPr>
      <w:jc w:val="both"/>
    </w:pPr>
    <w:rPr>
      <w:rFonts w:ascii="Arial" w:hAnsi="Arial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A81864"/>
    <w:rPr>
      <w:rFonts w:cs="Times New Roman"/>
      <w:sz w:val="16"/>
      <w:szCs w:val="16"/>
    </w:rPr>
  </w:style>
  <w:style w:type="paragraph" w:customStyle="1" w:styleId="BodyText21">
    <w:name w:val="Body Text 21"/>
    <w:basedOn w:val="Normlny"/>
    <w:uiPriority w:val="99"/>
    <w:rsid w:val="00D861B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D861BE"/>
    <w:pPr>
      <w:ind w:left="720"/>
    </w:pPr>
    <w:rPr>
      <w:sz w:val="24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81864"/>
    <w:rPr>
      <w:rFonts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D861BE"/>
    <w:pPr>
      <w:jc w:val="both"/>
    </w:pPr>
    <w:rPr>
      <w:b/>
      <w:i/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A81864"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5E41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81864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B92E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92EC7"/>
    <w:rPr>
      <w:rFonts w:cs="Times New Roman"/>
      <w:lang w:eastAsia="sk-SK"/>
    </w:rPr>
  </w:style>
  <w:style w:type="paragraph" w:styleId="Revzia">
    <w:name w:val="Revision"/>
    <w:hidden/>
    <w:uiPriority w:val="99"/>
    <w:semiHidden/>
    <w:rsid w:val="00DF161A"/>
    <w:rPr>
      <w:sz w:val="20"/>
      <w:szCs w:val="20"/>
    </w:rPr>
  </w:style>
  <w:style w:type="character" w:styleId="Hypertextovprepojenie">
    <w:name w:val="Hyperlink"/>
    <w:basedOn w:val="Predvolenpsmoodseku"/>
    <w:uiPriority w:val="99"/>
    <w:rsid w:val="000D57D8"/>
    <w:rPr>
      <w:rFonts w:cs="Times New Roman"/>
      <w:color w:val="0000FF"/>
      <w:u w:val="single"/>
    </w:rPr>
  </w:style>
  <w:style w:type="paragraph" w:customStyle="1" w:styleId="Bodytext">
    <w:name w:val="Bodytext"/>
    <w:basedOn w:val="Normlny"/>
    <w:uiPriority w:val="99"/>
    <w:rsid w:val="00B66519"/>
    <w:pPr>
      <w:spacing w:after="200" w:line="360" w:lineRule="exact"/>
      <w:ind w:left="851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locked/>
    <w:rsid w:val="001727E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locked/>
    <w:rsid w:val="001727E4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727E4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locked/>
    <w:rsid w:val="001727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727E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61A961D810043A4AD049A88FED0AA" ma:contentTypeVersion="9" ma:contentTypeDescription="Create a new document." ma:contentTypeScope="" ma:versionID="d60e838e2653eb5547123829ceeeae2e">
  <xsd:schema xmlns:xsd="http://www.w3.org/2001/XMLSchema" xmlns:xs="http://www.w3.org/2001/XMLSchema" xmlns:p="http://schemas.microsoft.com/office/2006/metadata/properties" xmlns:ns3="16657cff-9547-4f4a-8726-c2727e0e6210" targetNamespace="http://schemas.microsoft.com/office/2006/metadata/properties" ma:root="true" ma:fieldsID="de5c61cd71e4b27a330b2b90a8cf6369" ns3:_="">
    <xsd:import namespace="16657cff-9547-4f4a-8726-c2727e0e6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7cff-9547-4f4a-8726-c2727e0e6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85931-CDEA-46F1-B087-E2568F68F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267564-0C7D-4702-91F2-EA1CF2409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C88A8-83B6-4649-92F0-BC3096140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7cff-9547-4f4a-8726-c2727e0e6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4485</Words>
  <Characters>25568</Characters>
  <Application>Microsoft Office Word</Application>
  <DocSecurity>0</DocSecurity>
  <Lines>213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AŽD a.s.</Company>
  <LinksUpToDate>false</LinksUpToDate>
  <CharactersWithSpaces>29994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Katka Križanová</dc:creator>
  <cp:lastModifiedBy>Bolebruchová Monika</cp:lastModifiedBy>
  <cp:revision>3</cp:revision>
  <cp:lastPrinted>2021-01-26T08:35:00Z</cp:lastPrinted>
  <dcterms:created xsi:type="dcterms:W3CDTF">2021-01-26T08:35:00Z</dcterms:created>
  <dcterms:modified xsi:type="dcterms:W3CDTF">2021-01-26T08:35:00Z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0x010100C5661A961D810043A4AD049A88FED0AA</vt:lpwstr>
  </property>
</Properties>
</file>