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236892" w14:textId="77777777" w:rsidR="000617E9" w:rsidRPr="00483184" w:rsidRDefault="000617E9" w:rsidP="000617E9">
      <w:pPr>
        <w:jc w:val="center"/>
        <w:rPr>
          <w:b/>
          <w:szCs w:val="22"/>
        </w:rPr>
      </w:pPr>
      <w:r w:rsidRPr="00483184">
        <w:rPr>
          <w:b/>
        </w:rPr>
        <w:t>SÚHRN CHARAKTERISTICKÝCH VLASTNOSTÍ LIEKU</w:t>
      </w:r>
    </w:p>
    <w:p w14:paraId="366F8760" w14:textId="77777777" w:rsidR="00B06E24" w:rsidRPr="00223E9F" w:rsidRDefault="00B06E24" w:rsidP="003021DE">
      <w:pPr>
        <w:rPr>
          <w:szCs w:val="22"/>
        </w:rPr>
      </w:pPr>
    </w:p>
    <w:p w14:paraId="6FA93BA6" w14:textId="77777777" w:rsidR="00B06E24" w:rsidRPr="00B13F68" w:rsidRDefault="00B06E24">
      <w:pPr>
        <w:rPr>
          <w:szCs w:val="22"/>
        </w:rPr>
      </w:pPr>
    </w:p>
    <w:p w14:paraId="4A623DF9" w14:textId="77777777" w:rsidR="00780926" w:rsidRPr="003021DE" w:rsidRDefault="00F35CE2" w:rsidP="00E41B3F">
      <w:pPr>
        <w:rPr>
          <w:szCs w:val="22"/>
        </w:rPr>
      </w:pPr>
      <w:r w:rsidRPr="003021DE">
        <w:rPr>
          <w:b/>
          <w:szCs w:val="22"/>
        </w:rPr>
        <w:t>1.</w:t>
      </w:r>
      <w:r w:rsidRPr="003021DE">
        <w:rPr>
          <w:b/>
          <w:szCs w:val="22"/>
        </w:rPr>
        <w:tab/>
        <w:t>NÁZOV LIEKU</w:t>
      </w:r>
    </w:p>
    <w:p w14:paraId="35F05E3D" w14:textId="77777777" w:rsidR="00780926" w:rsidRPr="003021DE" w:rsidRDefault="00780926" w:rsidP="00E41B3F">
      <w:pPr>
        <w:rPr>
          <w:szCs w:val="22"/>
        </w:rPr>
      </w:pPr>
    </w:p>
    <w:p w14:paraId="615C0966" w14:textId="77777777" w:rsidR="00780926" w:rsidRPr="003021DE" w:rsidRDefault="000617E9" w:rsidP="00E41B3F">
      <w:pPr>
        <w:rPr>
          <w:szCs w:val="22"/>
        </w:rPr>
      </w:pPr>
      <w:proofErr w:type="spellStart"/>
      <w:r>
        <w:rPr>
          <w:szCs w:val="22"/>
        </w:rPr>
        <w:t>Furosemid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Medreg</w:t>
      </w:r>
      <w:proofErr w:type="spellEnd"/>
      <w:r>
        <w:rPr>
          <w:szCs w:val="22"/>
        </w:rPr>
        <w:t xml:space="preserve"> 40 mg tablety</w:t>
      </w:r>
    </w:p>
    <w:p w14:paraId="22E17396" w14:textId="77777777" w:rsidR="00780926" w:rsidRPr="003021DE" w:rsidRDefault="00780926" w:rsidP="000617E9">
      <w:pPr>
        <w:ind w:left="0" w:firstLine="0"/>
        <w:rPr>
          <w:szCs w:val="22"/>
        </w:rPr>
      </w:pPr>
    </w:p>
    <w:p w14:paraId="3E1BF9B0" w14:textId="77777777" w:rsidR="00780926" w:rsidRPr="003021DE" w:rsidRDefault="00780926" w:rsidP="00E41B3F">
      <w:pPr>
        <w:rPr>
          <w:szCs w:val="22"/>
        </w:rPr>
      </w:pPr>
    </w:p>
    <w:p w14:paraId="5246B79E" w14:textId="77777777" w:rsidR="00780926" w:rsidRPr="003021DE" w:rsidRDefault="00F35CE2" w:rsidP="00E41B3F">
      <w:pPr>
        <w:rPr>
          <w:szCs w:val="22"/>
        </w:rPr>
      </w:pPr>
      <w:r w:rsidRPr="003021DE">
        <w:rPr>
          <w:b/>
          <w:szCs w:val="22"/>
        </w:rPr>
        <w:t>2.</w:t>
      </w:r>
      <w:r w:rsidRPr="003021DE">
        <w:rPr>
          <w:b/>
          <w:szCs w:val="22"/>
        </w:rPr>
        <w:tab/>
        <w:t>KVALITATÍVNE A</w:t>
      </w:r>
      <w:r w:rsidR="00A236CF">
        <w:rPr>
          <w:b/>
          <w:szCs w:val="22"/>
        </w:rPr>
        <w:t> </w:t>
      </w:r>
      <w:r w:rsidRPr="003021DE">
        <w:rPr>
          <w:b/>
          <w:szCs w:val="22"/>
        </w:rPr>
        <w:t>KVANTITATÍVNE ZLOŽENIE</w:t>
      </w:r>
    </w:p>
    <w:p w14:paraId="7DFF0AB3" w14:textId="77777777" w:rsidR="00780926" w:rsidRPr="00A75ECC" w:rsidRDefault="00780926" w:rsidP="00E41B3F">
      <w:pPr>
        <w:ind w:left="0" w:firstLine="0"/>
      </w:pPr>
    </w:p>
    <w:p w14:paraId="3C4A8138" w14:textId="77777777" w:rsidR="000617E9" w:rsidRPr="000617E9" w:rsidRDefault="000617E9" w:rsidP="00B13F68">
      <w:pPr>
        <w:pStyle w:val="EMEAEnBodyText"/>
        <w:autoSpaceDE w:val="0"/>
        <w:autoSpaceDN w:val="0"/>
        <w:adjustRightInd w:val="0"/>
        <w:spacing w:before="0"/>
        <w:jc w:val="left"/>
        <w:rPr>
          <w:lang w:val="sk-SK"/>
        </w:rPr>
      </w:pPr>
      <w:r w:rsidRPr="000617E9">
        <w:rPr>
          <w:lang w:val="sk-SK"/>
        </w:rPr>
        <w:t xml:space="preserve">Každá tableta obsahuje 40 mg </w:t>
      </w:r>
      <w:proofErr w:type="spellStart"/>
      <w:r w:rsidRPr="000617E9">
        <w:rPr>
          <w:lang w:val="sk-SK"/>
        </w:rPr>
        <w:t>furosemidu</w:t>
      </w:r>
      <w:proofErr w:type="spellEnd"/>
      <w:r w:rsidR="00BA2578">
        <w:rPr>
          <w:lang w:val="sk-SK"/>
        </w:rPr>
        <w:t>.</w:t>
      </w:r>
    </w:p>
    <w:p w14:paraId="114C157E" w14:textId="77777777" w:rsidR="00780926" w:rsidRDefault="00F35CE2" w:rsidP="000617E9">
      <w:pPr>
        <w:pStyle w:val="EMEAEnBodyText"/>
        <w:autoSpaceDE w:val="0"/>
        <w:autoSpaceDN w:val="0"/>
        <w:adjustRightInd w:val="0"/>
        <w:spacing w:before="0" w:after="0"/>
        <w:jc w:val="left"/>
        <w:rPr>
          <w:u w:val="single"/>
          <w:lang w:val="sk-SK"/>
        </w:rPr>
      </w:pPr>
      <w:r w:rsidRPr="00B13F68">
        <w:rPr>
          <w:u w:val="single"/>
          <w:lang w:val="sk-SK"/>
        </w:rPr>
        <w:t>Pomocná látka</w:t>
      </w:r>
      <w:r w:rsidR="000617E9">
        <w:rPr>
          <w:u w:val="single"/>
          <w:lang w:val="sk-SK"/>
        </w:rPr>
        <w:t xml:space="preserve"> </w:t>
      </w:r>
      <w:r w:rsidR="00CB25B2" w:rsidRPr="003021DE">
        <w:rPr>
          <w:noProof/>
          <w:szCs w:val="24"/>
          <w:u w:val="single"/>
          <w:lang w:val="sk-SK"/>
        </w:rPr>
        <w:t>so známym účinkom</w:t>
      </w:r>
    </w:p>
    <w:p w14:paraId="2EE13594" w14:textId="77777777" w:rsidR="000617E9" w:rsidRPr="000617E9" w:rsidRDefault="000617E9" w:rsidP="000617E9">
      <w:pPr>
        <w:pStyle w:val="EMEAEnBodyText"/>
        <w:autoSpaceDE w:val="0"/>
        <w:autoSpaceDN w:val="0"/>
        <w:adjustRightInd w:val="0"/>
        <w:spacing w:before="0" w:after="0"/>
        <w:jc w:val="left"/>
        <w:rPr>
          <w:lang w:val="sk-SK"/>
        </w:rPr>
      </w:pPr>
      <w:r w:rsidRPr="000617E9">
        <w:rPr>
          <w:lang w:val="sk-SK"/>
        </w:rPr>
        <w:t>Každá tableta obsahuje 105 mg laktózy.</w:t>
      </w:r>
    </w:p>
    <w:p w14:paraId="10D12817" w14:textId="77777777" w:rsidR="000617E9" w:rsidRDefault="000617E9" w:rsidP="00E41B3F">
      <w:pPr>
        <w:tabs>
          <w:tab w:val="left" w:pos="567"/>
        </w:tabs>
        <w:spacing w:line="260" w:lineRule="exact"/>
        <w:ind w:left="0" w:firstLine="0"/>
      </w:pPr>
    </w:p>
    <w:p w14:paraId="42FBAC1C" w14:textId="77777777" w:rsidR="00780926" w:rsidRPr="003021DE" w:rsidRDefault="0049191E" w:rsidP="00E41B3F">
      <w:pPr>
        <w:tabs>
          <w:tab w:val="left" w:pos="567"/>
        </w:tabs>
        <w:spacing w:line="260" w:lineRule="exact"/>
        <w:ind w:left="0" w:firstLine="0"/>
        <w:rPr>
          <w:szCs w:val="20"/>
          <w:lang w:eastAsia="en-US"/>
        </w:rPr>
      </w:pPr>
      <w:r w:rsidRPr="003021DE">
        <w:rPr>
          <w:szCs w:val="20"/>
          <w:lang w:eastAsia="en-US"/>
        </w:rPr>
        <w:t>Úplný zoznam pomocných látok, pozri časť 6.1.</w:t>
      </w:r>
    </w:p>
    <w:p w14:paraId="4C067906" w14:textId="77777777" w:rsidR="00780926" w:rsidRPr="003021DE" w:rsidRDefault="00780926" w:rsidP="00E36A98">
      <w:pPr>
        <w:ind w:left="0" w:firstLine="0"/>
        <w:rPr>
          <w:szCs w:val="22"/>
        </w:rPr>
      </w:pPr>
    </w:p>
    <w:p w14:paraId="2F5DC6A1" w14:textId="77777777" w:rsidR="00780926" w:rsidRPr="003021DE" w:rsidRDefault="00780926" w:rsidP="00E41B3F">
      <w:pPr>
        <w:rPr>
          <w:szCs w:val="22"/>
        </w:rPr>
      </w:pPr>
    </w:p>
    <w:p w14:paraId="3B99D419" w14:textId="77777777" w:rsidR="00780926" w:rsidRPr="003021DE" w:rsidRDefault="00F35CE2" w:rsidP="00E41B3F">
      <w:pPr>
        <w:rPr>
          <w:caps/>
          <w:szCs w:val="22"/>
        </w:rPr>
      </w:pPr>
      <w:r w:rsidRPr="003021DE">
        <w:rPr>
          <w:b/>
          <w:szCs w:val="22"/>
        </w:rPr>
        <w:t>3.</w:t>
      </w:r>
      <w:r w:rsidRPr="003021DE">
        <w:rPr>
          <w:b/>
          <w:szCs w:val="22"/>
        </w:rPr>
        <w:tab/>
        <w:t>LIEKOVÁ FORMA</w:t>
      </w:r>
    </w:p>
    <w:p w14:paraId="176A931C" w14:textId="77777777" w:rsidR="00780926" w:rsidRPr="003021DE" w:rsidRDefault="00780926" w:rsidP="00E41B3F"/>
    <w:p w14:paraId="6E9A4C58" w14:textId="77777777" w:rsidR="00780926" w:rsidRPr="003021DE" w:rsidRDefault="00E36A98" w:rsidP="00E41B3F">
      <w:r>
        <w:t>Tableta.</w:t>
      </w:r>
    </w:p>
    <w:p w14:paraId="306FCE7F" w14:textId="77777777" w:rsidR="00780926" w:rsidRPr="003021DE" w:rsidRDefault="00780926" w:rsidP="00E41B3F"/>
    <w:p w14:paraId="4C51A1CC" w14:textId="77777777" w:rsidR="00780926" w:rsidRPr="003021DE" w:rsidRDefault="00E36A98" w:rsidP="00E41B3F">
      <w:pPr>
        <w:pStyle w:val="Zkladntext"/>
        <w:rPr>
          <w:noProof/>
        </w:rPr>
      </w:pPr>
      <w:r>
        <w:rPr>
          <w:noProof/>
        </w:rPr>
        <w:t>Biele až takmer biele</w:t>
      </w:r>
      <w:r w:rsidR="00C56CB4">
        <w:rPr>
          <w:noProof/>
        </w:rPr>
        <w:t>,</w:t>
      </w:r>
      <w:r>
        <w:rPr>
          <w:noProof/>
        </w:rPr>
        <w:t xml:space="preserve"> okrúhle tablety, s priemerom približne 8 mm, označené na jednej strane „F 40“ („F“ &amp; „40“ sú oddelené deliacou ryhou) a hladké na druhej strane.</w:t>
      </w:r>
    </w:p>
    <w:p w14:paraId="72B8E9C5" w14:textId="77777777" w:rsidR="00780926" w:rsidRPr="003021DE" w:rsidRDefault="00F35CE2" w:rsidP="00E41B3F">
      <w:pPr>
        <w:rPr>
          <w:noProof/>
        </w:rPr>
      </w:pPr>
      <w:r w:rsidRPr="003021DE">
        <w:rPr>
          <w:noProof/>
        </w:rPr>
        <w:t xml:space="preserve">Tableta sa môže rozdeliť na rovnaké </w:t>
      </w:r>
      <w:r w:rsidR="00CF76C2" w:rsidRPr="003021DE">
        <w:rPr>
          <w:noProof/>
        </w:rPr>
        <w:t>dávky</w:t>
      </w:r>
      <w:r w:rsidRPr="003021DE">
        <w:rPr>
          <w:noProof/>
        </w:rPr>
        <w:t>.</w:t>
      </w:r>
    </w:p>
    <w:p w14:paraId="3AED2287" w14:textId="77777777" w:rsidR="00780926" w:rsidRPr="003021DE" w:rsidRDefault="00780926" w:rsidP="00E41B3F">
      <w:pPr>
        <w:rPr>
          <w:szCs w:val="22"/>
        </w:rPr>
      </w:pPr>
    </w:p>
    <w:p w14:paraId="3652678A" w14:textId="77777777" w:rsidR="00780926" w:rsidRPr="003021DE" w:rsidRDefault="00780926" w:rsidP="00E41B3F">
      <w:pPr>
        <w:rPr>
          <w:szCs w:val="22"/>
        </w:rPr>
      </w:pPr>
    </w:p>
    <w:p w14:paraId="125AF273" w14:textId="77777777" w:rsidR="00780926" w:rsidRPr="003021DE" w:rsidRDefault="00F35CE2" w:rsidP="00E41B3F">
      <w:pPr>
        <w:rPr>
          <w:caps/>
          <w:szCs w:val="22"/>
        </w:rPr>
      </w:pPr>
      <w:r w:rsidRPr="003021DE">
        <w:rPr>
          <w:b/>
          <w:caps/>
          <w:szCs w:val="22"/>
        </w:rPr>
        <w:t>4.</w:t>
      </w:r>
      <w:r w:rsidRPr="003021DE">
        <w:rPr>
          <w:b/>
          <w:caps/>
          <w:szCs w:val="22"/>
        </w:rPr>
        <w:tab/>
        <w:t>KLINICKÉ ÚDAJE</w:t>
      </w:r>
    </w:p>
    <w:p w14:paraId="4613ED09" w14:textId="77777777" w:rsidR="00780926" w:rsidRPr="003021DE" w:rsidRDefault="00780926" w:rsidP="00E41B3F">
      <w:pPr>
        <w:rPr>
          <w:szCs w:val="22"/>
        </w:rPr>
      </w:pPr>
    </w:p>
    <w:p w14:paraId="05794226" w14:textId="77777777" w:rsidR="00780926" w:rsidRPr="003021DE" w:rsidRDefault="00F35CE2" w:rsidP="00E41B3F">
      <w:pPr>
        <w:rPr>
          <w:szCs w:val="22"/>
        </w:rPr>
      </w:pPr>
      <w:r w:rsidRPr="003021DE">
        <w:rPr>
          <w:b/>
          <w:szCs w:val="22"/>
        </w:rPr>
        <w:t>4.1</w:t>
      </w:r>
      <w:r w:rsidRPr="003021DE">
        <w:rPr>
          <w:b/>
          <w:szCs w:val="22"/>
        </w:rPr>
        <w:tab/>
        <w:t>Terapeutické indikácie</w:t>
      </w:r>
    </w:p>
    <w:p w14:paraId="17EB510C" w14:textId="77777777" w:rsidR="00780926" w:rsidRPr="003021DE" w:rsidRDefault="00780926" w:rsidP="00E41B3F">
      <w:pPr>
        <w:rPr>
          <w:szCs w:val="22"/>
        </w:rPr>
      </w:pPr>
    </w:p>
    <w:p w14:paraId="3990F767" w14:textId="77777777" w:rsidR="00780926" w:rsidRDefault="00D74EA7">
      <w:pPr>
        <w:rPr>
          <w:szCs w:val="22"/>
        </w:rPr>
      </w:pPr>
      <w:r>
        <w:rPr>
          <w:szCs w:val="22"/>
        </w:rPr>
        <w:t xml:space="preserve">Liečba edémov </w:t>
      </w:r>
      <w:r w:rsidR="00AE3FC3">
        <w:rPr>
          <w:szCs w:val="22"/>
        </w:rPr>
        <w:t>srdcového pôvodu.</w:t>
      </w:r>
    </w:p>
    <w:p w14:paraId="096FED2F" w14:textId="77777777" w:rsidR="00AE3FC3" w:rsidRDefault="00AE3FC3">
      <w:pPr>
        <w:rPr>
          <w:szCs w:val="22"/>
        </w:rPr>
      </w:pPr>
      <w:r>
        <w:rPr>
          <w:szCs w:val="22"/>
        </w:rPr>
        <w:t xml:space="preserve">Liečba edémov pečeňového pôvodu. </w:t>
      </w:r>
    </w:p>
    <w:p w14:paraId="25EAD17C" w14:textId="77777777" w:rsidR="00AE3FC3" w:rsidRDefault="00AE3FC3" w:rsidP="00AE3FC3">
      <w:pPr>
        <w:tabs>
          <w:tab w:val="left" w:pos="567"/>
        </w:tabs>
        <w:ind w:left="6" w:hanging="6"/>
        <w:rPr>
          <w:szCs w:val="22"/>
        </w:rPr>
      </w:pPr>
      <w:r>
        <w:rPr>
          <w:szCs w:val="22"/>
        </w:rPr>
        <w:t xml:space="preserve">Liečba edémov obličkového pôvodu </w:t>
      </w:r>
      <w:r w:rsidRPr="00EA6CC5">
        <w:rPr>
          <w:szCs w:val="22"/>
        </w:rPr>
        <w:t xml:space="preserve">(pri </w:t>
      </w:r>
      <w:proofErr w:type="spellStart"/>
      <w:r w:rsidRPr="00EA6CC5">
        <w:rPr>
          <w:szCs w:val="22"/>
        </w:rPr>
        <w:t>nefrotickom</w:t>
      </w:r>
      <w:proofErr w:type="spellEnd"/>
      <w:r w:rsidRPr="00EA6CC5">
        <w:rPr>
          <w:szCs w:val="22"/>
        </w:rPr>
        <w:t xml:space="preserve"> syndróme je nevyhnutná liečb</w:t>
      </w:r>
      <w:r>
        <w:rPr>
          <w:szCs w:val="22"/>
        </w:rPr>
        <w:t xml:space="preserve">a </w:t>
      </w:r>
      <w:r w:rsidRPr="00EA6CC5">
        <w:rPr>
          <w:szCs w:val="22"/>
        </w:rPr>
        <w:t>primárne</w:t>
      </w:r>
      <w:r w:rsidRPr="00AE38C6">
        <w:rPr>
          <w:szCs w:val="22"/>
        </w:rPr>
        <w:t>ho ochorenia)</w:t>
      </w:r>
      <w:r>
        <w:rPr>
          <w:szCs w:val="22"/>
        </w:rPr>
        <w:t>.</w:t>
      </w:r>
    </w:p>
    <w:p w14:paraId="3C73385F" w14:textId="5CCCBD95" w:rsidR="00AE3FC3" w:rsidRDefault="00AE3FC3" w:rsidP="00AE3FC3">
      <w:pPr>
        <w:tabs>
          <w:tab w:val="left" w:pos="567"/>
        </w:tabs>
        <w:ind w:left="6" w:hanging="6"/>
        <w:rPr>
          <w:szCs w:val="22"/>
        </w:rPr>
      </w:pPr>
      <w:r>
        <w:rPr>
          <w:szCs w:val="22"/>
        </w:rPr>
        <w:t>Art</w:t>
      </w:r>
      <w:r w:rsidR="00C56CB4">
        <w:rPr>
          <w:szCs w:val="22"/>
        </w:rPr>
        <w:t>ériová</w:t>
      </w:r>
      <w:r>
        <w:rPr>
          <w:szCs w:val="22"/>
        </w:rPr>
        <w:t xml:space="preserve"> hypertenzia.</w:t>
      </w:r>
    </w:p>
    <w:p w14:paraId="2B466270" w14:textId="77777777" w:rsidR="00AE3FC3" w:rsidRDefault="00AE3FC3" w:rsidP="00AE3FC3">
      <w:pPr>
        <w:tabs>
          <w:tab w:val="left" w:pos="567"/>
        </w:tabs>
        <w:ind w:left="6" w:hanging="6"/>
        <w:rPr>
          <w:szCs w:val="22"/>
        </w:rPr>
      </w:pPr>
    </w:p>
    <w:p w14:paraId="463B38EE" w14:textId="77777777" w:rsidR="00AE3FC3" w:rsidRDefault="00AE3FC3" w:rsidP="00AE3FC3">
      <w:pPr>
        <w:tabs>
          <w:tab w:val="left" w:pos="567"/>
        </w:tabs>
        <w:ind w:left="6" w:hanging="6"/>
        <w:rPr>
          <w:szCs w:val="22"/>
        </w:rPr>
      </w:pPr>
      <w:proofErr w:type="spellStart"/>
      <w:r>
        <w:rPr>
          <w:szCs w:val="22"/>
        </w:rPr>
        <w:t>Furosemid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Medreg</w:t>
      </w:r>
      <w:proofErr w:type="spellEnd"/>
      <w:r>
        <w:rPr>
          <w:szCs w:val="22"/>
        </w:rPr>
        <w:t xml:space="preserve"> je indikovaný u dospelých, dospievajúcich a detí.</w:t>
      </w:r>
    </w:p>
    <w:p w14:paraId="6903DEEC" w14:textId="77777777" w:rsidR="00D74EA7" w:rsidRPr="00B13F68" w:rsidRDefault="00D74EA7">
      <w:pPr>
        <w:rPr>
          <w:szCs w:val="22"/>
        </w:rPr>
      </w:pPr>
    </w:p>
    <w:p w14:paraId="548BE31E" w14:textId="77777777" w:rsidR="00780926" w:rsidRPr="00B13F68" w:rsidRDefault="00F35CE2">
      <w:pPr>
        <w:rPr>
          <w:b/>
          <w:szCs w:val="22"/>
        </w:rPr>
      </w:pPr>
      <w:r w:rsidRPr="00B13F68">
        <w:rPr>
          <w:b/>
          <w:szCs w:val="22"/>
        </w:rPr>
        <w:t>4.2</w:t>
      </w:r>
      <w:r w:rsidRPr="00B13F68">
        <w:rPr>
          <w:b/>
          <w:szCs w:val="22"/>
        </w:rPr>
        <w:tab/>
        <w:t>Dávkovanie a</w:t>
      </w:r>
      <w:r w:rsidR="00BD7004">
        <w:rPr>
          <w:b/>
          <w:szCs w:val="22"/>
        </w:rPr>
        <w:t> </w:t>
      </w:r>
      <w:r w:rsidRPr="00B13F68">
        <w:rPr>
          <w:b/>
          <w:szCs w:val="22"/>
        </w:rPr>
        <w:t>spôsob podávania</w:t>
      </w:r>
    </w:p>
    <w:p w14:paraId="1594D882" w14:textId="77777777" w:rsidR="00780926" w:rsidRPr="00B13F68" w:rsidRDefault="00780926">
      <w:pPr>
        <w:rPr>
          <w:szCs w:val="22"/>
        </w:rPr>
      </w:pPr>
    </w:p>
    <w:p w14:paraId="0A42A834" w14:textId="77777777" w:rsidR="00E1698A" w:rsidRPr="00B13F68" w:rsidRDefault="00F35CE2" w:rsidP="00E41B3F">
      <w:pPr>
        <w:rPr>
          <w:szCs w:val="22"/>
          <w:u w:val="single"/>
        </w:rPr>
      </w:pPr>
      <w:r w:rsidRPr="00B13F68">
        <w:rPr>
          <w:szCs w:val="22"/>
          <w:u w:val="single"/>
        </w:rPr>
        <w:t>Dávkovanie</w:t>
      </w:r>
    </w:p>
    <w:p w14:paraId="3A3B967A" w14:textId="77777777" w:rsidR="00E1698A" w:rsidRDefault="00E1698A" w:rsidP="00E41B3F">
      <w:pPr>
        <w:rPr>
          <w:szCs w:val="22"/>
        </w:rPr>
      </w:pPr>
    </w:p>
    <w:p w14:paraId="1B089A05" w14:textId="3591E6EE" w:rsidR="00AE3FC3" w:rsidRDefault="00AE3FC3" w:rsidP="00E41B3F">
      <w:pPr>
        <w:rPr>
          <w:szCs w:val="22"/>
        </w:rPr>
      </w:pPr>
      <w:r>
        <w:rPr>
          <w:szCs w:val="22"/>
        </w:rPr>
        <w:t>Vždy sa má použiť najnižšia</w:t>
      </w:r>
      <w:r w:rsidR="00B16048">
        <w:rPr>
          <w:szCs w:val="22"/>
        </w:rPr>
        <w:t xml:space="preserve"> </w:t>
      </w:r>
      <w:r w:rsidR="00C56CB4">
        <w:rPr>
          <w:szCs w:val="22"/>
        </w:rPr>
        <w:t>účinná</w:t>
      </w:r>
      <w:r>
        <w:rPr>
          <w:szCs w:val="22"/>
        </w:rPr>
        <w:t xml:space="preserve"> dávka</w:t>
      </w:r>
      <w:r w:rsidR="00B16048">
        <w:rPr>
          <w:szCs w:val="22"/>
        </w:rPr>
        <w:t>.</w:t>
      </w:r>
    </w:p>
    <w:p w14:paraId="3409612C" w14:textId="77777777" w:rsidR="00B16048" w:rsidRDefault="00B16048" w:rsidP="00E41B3F">
      <w:pPr>
        <w:rPr>
          <w:szCs w:val="22"/>
        </w:rPr>
      </w:pPr>
    </w:p>
    <w:p w14:paraId="66E1A707" w14:textId="0CA9884F" w:rsidR="00B16048" w:rsidRDefault="00B16048" w:rsidP="00B16048">
      <w:pPr>
        <w:ind w:left="0" w:firstLine="0"/>
        <w:rPr>
          <w:szCs w:val="22"/>
        </w:rPr>
      </w:pPr>
      <w:r>
        <w:rPr>
          <w:szCs w:val="22"/>
        </w:rPr>
        <w:t>U dospelých je o</w:t>
      </w:r>
      <w:r w:rsidR="00C56CB4">
        <w:rPr>
          <w:szCs w:val="22"/>
        </w:rPr>
        <w:t>d</w:t>
      </w:r>
      <w:r>
        <w:rPr>
          <w:szCs w:val="22"/>
        </w:rPr>
        <w:t>poručená maximálna denná dávka 1</w:t>
      </w:r>
      <w:r w:rsidR="00C56CB4">
        <w:rPr>
          <w:szCs w:val="22"/>
        </w:rPr>
        <w:t xml:space="preserve"> </w:t>
      </w:r>
      <w:r>
        <w:rPr>
          <w:szCs w:val="22"/>
        </w:rPr>
        <w:t xml:space="preserve">500 mg pri </w:t>
      </w:r>
      <w:r w:rsidR="00C56CB4">
        <w:rPr>
          <w:szCs w:val="22"/>
        </w:rPr>
        <w:t>perorálnom</w:t>
      </w:r>
      <w:r>
        <w:rPr>
          <w:szCs w:val="22"/>
        </w:rPr>
        <w:t xml:space="preserve"> </w:t>
      </w:r>
      <w:r w:rsidR="00C56CB4">
        <w:rPr>
          <w:szCs w:val="22"/>
        </w:rPr>
        <w:t>po</w:t>
      </w:r>
      <w:r>
        <w:rPr>
          <w:szCs w:val="22"/>
        </w:rPr>
        <w:t xml:space="preserve">užití. Použitie </w:t>
      </w:r>
    </w:p>
    <w:p w14:paraId="79D1B3C5" w14:textId="60E3C3AB" w:rsidR="00B16048" w:rsidRPr="00B13F68" w:rsidRDefault="00B16048" w:rsidP="00B16048">
      <w:pPr>
        <w:ind w:left="0" w:firstLine="0"/>
        <w:rPr>
          <w:szCs w:val="22"/>
        </w:rPr>
      </w:pPr>
      <w:r>
        <w:rPr>
          <w:szCs w:val="22"/>
        </w:rPr>
        <w:t>maximálnej dávky zá</w:t>
      </w:r>
      <w:r w:rsidR="00C56CB4">
        <w:rPr>
          <w:szCs w:val="22"/>
        </w:rPr>
        <w:t>visí</w:t>
      </w:r>
      <w:r>
        <w:rPr>
          <w:szCs w:val="22"/>
        </w:rPr>
        <w:t xml:space="preserve"> </w:t>
      </w:r>
      <w:r w:rsidR="00C56CB4">
        <w:rPr>
          <w:szCs w:val="22"/>
        </w:rPr>
        <w:t>od</w:t>
      </w:r>
      <w:r>
        <w:rPr>
          <w:szCs w:val="22"/>
        </w:rPr>
        <w:t xml:space="preserve"> individuálnej reakci</w:t>
      </w:r>
      <w:r w:rsidR="00C56CB4">
        <w:rPr>
          <w:szCs w:val="22"/>
        </w:rPr>
        <w:t>e</w:t>
      </w:r>
      <w:r>
        <w:rPr>
          <w:szCs w:val="22"/>
        </w:rPr>
        <w:t xml:space="preserve"> pacienta.</w:t>
      </w:r>
    </w:p>
    <w:p w14:paraId="7CEA92E9" w14:textId="77777777" w:rsidR="00B16048" w:rsidRDefault="00B16048" w:rsidP="00E41B3F">
      <w:pPr>
        <w:rPr>
          <w:i/>
          <w:noProof/>
          <w:szCs w:val="22"/>
        </w:rPr>
      </w:pPr>
    </w:p>
    <w:p w14:paraId="4E12E8B5" w14:textId="77777777" w:rsidR="00B16048" w:rsidRDefault="00B16048" w:rsidP="00E41B3F">
      <w:pPr>
        <w:rPr>
          <w:i/>
          <w:noProof/>
          <w:szCs w:val="22"/>
        </w:rPr>
      </w:pPr>
      <w:r>
        <w:rPr>
          <w:i/>
          <w:noProof/>
          <w:szCs w:val="22"/>
        </w:rPr>
        <w:t>Dospelí</w:t>
      </w:r>
    </w:p>
    <w:p w14:paraId="46764F88" w14:textId="221D2539" w:rsidR="00B16048" w:rsidRDefault="00B16048" w:rsidP="00E41B3F">
      <w:pPr>
        <w:rPr>
          <w:b/>
          <w:bCs/>
          <w:iCs/>
          <w:noProof/>
          <w:szCs w:val="22"/>
        </w:rPr>
      </w:pPr>
      <w:r>
        <w:rPr>
          <w:b/>
          <w:bCs/>
          <w:iCs/>
          <w:noProof/>
          <w:szCs w:val="22"/>
        </w:rPr>
        <w:t>Edém</w:t>
      </w:r>
      <w:r w:rsidR="006749E5">
        <w:rPr>
          <w:b/>
          <w:bCs/>
          <w:iCs/>
          <w:noProof/>
          <w:szCs w:val="22"/>
        </w:rPr>
        <w:t>y</w:t>
      </w:r>
      <w:r>
        <w:rPr>
          <w:b/>
          <w:bCs/>
          <w:iCs/>
          <w:noProof/>
          <w:szCs w:val="22"/>
        </w:rPr>
        <w:t xml:space="preserve"> srdcového pôvodu</w:t>
      </w:r>
    </w:p>
    <w:p w14:paraId="43D5DDD6" w14:textId="77777777" w:rsidR="000210CC" w:rsidRDefault="000210CC" w:rsidP="000210CC">
      <w:pPr>
        <w:ind w:left="0" w:firstLine="0"/>
        <w:rPr>
          <w:iCs/>
          <w:noProof/>
          <w:szCs w:val="22"/>
        </w:rPr>
      </w:pPr>
      <w:r w:rsidRPr="000210CC">
        <w:rPr>
          <w:iCs/>
          <w:noProof/>
          <w:szCs w:val="22"/>
        </w:rPr>
        <w:t xml:space="preserve">Odporúčaná počiatočná </w:t>
      </w:r>
      <w:r w:rsidR="00C56CB4">
        <w:rPr>
          <w:iCs/>
          <w:noProof/>
          <w:szCs w:val="22"/>
        </w:rPr>
        <w:t xml:space="preserve">perorálna </w:t>
      </w:r>
      <w:r w:rsidRPr="000210CC">
        <w:rPr>
          <w:iCs/>
          <w:noProof/>
          <w:szCs w:val="22"/>
        </w:rPr>
        <w:t>dávka</w:t>
      </w:r>
      <w:r>
        <w:rPr>
          <w:iCs/>
          <w:noProof/>
          <w:szCs w:val="22"/>
        </w:rPr>
        <w:t xml:space="preserve"> </w:t>
      </w:r>
      <w:r w:rsidR="005B2D17">
        <w:rPr>
          <w:iCs/>
          <w:noProof/>
          <w:szCs w:val="22"/>
        </w:rPr>
        <w:t xml:space="preserve">je </w:t>
      </w:r>
      <w:r>
        <w:rPr>
          <w:iCs/>
          <w:noProof/>
          <w:szCs w:val="22"/>
        </w:rPr>
        <w:t xml:space="preserve">20 mg až 80 mg denne. </w:t>
      </w:r>
      <w:r w:rsidRPr="000210CC">
        <w:rPr>
          <w:iCs/>
          <w:noProof/>
          <w:szCs w:val="22"/>
        </w:rPr>
        <w:t>Táto dávka môže byť upravená podľa potreby na základe odpovede na liečbu.</w:t>
      </w:r>
      <w:r>
        <w:rPr>
          <w:iCs/>
          <w:noProof/>
          <w:szCs w:val="22"/>
        </w:rPr>
        <w:t xml:space="preserve"> Dennú dávku sa odporúča rozdeliť do dvoch alebo troch individuálnych dávok. </w:t>
      </w:r>
    </w:p>
    <w:p w14:paraId="7EAC34E1" w14:textId="77777777" w:rsidR="000210CC" w:rsidRDefault="000210CC" w:rsidP="000210CC">
      <w:pPr>
        <w:ind w:left="0" w:firstLine="0"/>
        <w:rPr>
          <w:iCs/>
          <w:noProof/>
          <w:szCs w:val="22"/>
        </w:rPr>
      </w:pPr>
    </w:p>
    <w:p w14:paraId="2F758949" w14:textId="5329CF40" w:rsidR="000210CC" w:rsidRPr="000210CC" w:rsidRDefault="000210CC" w:rsidP="000210CC">
      <w:pPr>
        <w:ind w:left="0" w:firstLine="0"/>
        <w:rPr>
          <w:b/>
          <w:bCs/>
          <w:iCs/>
          <w:noProof/>
          <w:szCs w:val="22"/>
        </w:rPr>
      </w:pPr>
      <w:r w:rsidRPr="000210CC">
        <w:rPr>
          <w:b/>
          <w:bCs/>
          <w:iCs/>
          <w:noProof/>
          <w:szCs w:val="22"/>
        </w:rPr>
        <w:t>Edém</w:t>
      </w:r>
      <w:r w:rsidR="006749E5">
        <w:rPr>
          <w:b/>
          <w:bCs/>
          <w:iCs/>
          <w:noProof/>
          <w:szCs w:val="22"/>
        </w:rPr>
        <w:t>y</w:t>
      </w:r>
      <w:r w:rsidRPr="000210CC">
        <w:rPr>
          <w:b/>
          <w:bCs/>
          <w:iCs/>
          <w:noProof/>
          <w:szCs w:val="22"/>
        </w:rPr>
        <w:t xml:space="preserve"> pečeňového pôvodu</w:t>
      </w:r>
    </w:p>
    <w:p w14:paraId="4B207E93" w14:textId="6F3C40A9" w:rsidR="00B16048" w:rsidRDefault="000210CC" w:rsidP="000E7645">
      <w:pPr>
        <w:ind w:left="0" w:firstLine="0"/>
        <w:rPr>
          <w:iCs/>
          <w:noProof/>
          <w:szCs w:val="22"/>
        </w:rPr>
      </w:pPr>
      <w:r>
        <w:rPr>
          <w:iCs/>
          <w:noProof/>
          <w:szCs w:val="22"/>
        </w:rPr>
        <w:t>Furosemid</w:t>
      </w:r>
      <w:r w:rsidR="000E7645">
        <w:rPr>
          <w:iCs/>
          <w:noProof/>
          <w:szCs w:val="22"/>
        </w:rPr>
        <w:t xml:space="preserve"> sa používa ako doplnenie liečby antagonistami aldoster</w:t>
      </w:r>
      <w:r w:rsidR="00C56CB4">
        <w:rPr>
          <w:iCs/>
          <w:noProof/>
          <w:szCs w:val="22"/>
        </w:rPr>
        <w:t>ó</w:t>
      </w:r>
      <w:r w:rsidR="000E7645">
        <w:rPr>
          <w:iCs/>
          <w:noProof/>
          <w:szCs w:val="22"/>
        </w:rPr>
        <w:t xml:space="preserve">nu v prípade, </w:t>
      </w:r>
      <w:r w:rsidR="00C56CB4">
        <w:rPr>
          <w:iCs/>
          <w:noProof/>
          <w:szCs w:val="22"/>
        </w:rPr>
        <w:t>ak</w:t>
      </w:r>
      <w:r w:rsidR="000E7645">
        <w:rPr>
          <w:iCs/>
          <w:noProof/>
          <w:szCs w:val="22"/>
        </w:rPr>
        <w:t xml:space="preserve"> liečba týmito l</w:t>
      </w:r>
      <w:r w:rsidR="00C56CB4">
        <w:rPr>
          <w:iCs/>
          <w:noProof/>
          <w:szCs w:val="22"/>
        </w:rPr>
        <w:t>iečivami</w:t>
      </w:r>
      <w:r w:rsidR="000E7645">
        <w:rPr>
          <w:iCs/>
          <w:noProof/>
          <w:szCs w:val="22"/>
        </w:rPr>
        <w:t xml:space="preserve"> nie je dosta</w:t>
      </w:r>
      <w:r w:rsidR="00C56CB4">
        <w:rPr>
          <w:iCs/>
          <w:noProof/>
          <w:szCs w:val="22"/>
        </w:rPr>
        <w:t>točná</w:t>
      </w:r>
      <w:r w:rsidR="000E7645">
        <w:rPr>
          <w:iCs/>
          <w:noProof/>
          <w:szCs w:val="22"/>
        </w:rPr>
        <w:t>. Aby sa predišlo komplikáciam</w:t>
      </w:r>
      <w:r w:rsidR="000377B5">
        <w:rPr>
          <w:iCs/>
          <w:noProof/>
          <w:szCs w:val="22"/>
        </w:rPr>
        <w:t xml:space="preserve"> ako je ortostatická hypotenzia alebo </w:t>
      </w:r>
      <w:r w:rsidR="000377B5">
        <w:rPr>
          <w:iCs/>
          <w:noProof/>
          <w:szCs w:val="22"/>
        </w:rPr>
        <w:lastRenderedPageBreak/>
        <w:t>nerovnováha</w:t>
      </w:r>
      <w:r w:rsidR="00C56CB4">
        <w:rPr>
          <w:iCs/>
          <w:noProof/>
          <w:szCs w:val="22"/>
        </w:rPr>
        <w:t xml:space="preserve"> elektrolytov alebo acido-bázicka nerovnováha</w:t>
      </w:r>
      <w:r w:rsidR="00607AA6">
        <w:rPr>
          <w:iCs/>
          <w:noProof/>
          <w:szCs w:val="22"/>
        </w:rPr>
        <w:t>,</w:t>
      </w:r>
      <w:r w:rsidR="003F13B8">
        <w:rPr>
          <w:iCs/>
          <w:noProof/>
          <w:szCs w:val="22"/>
        </w:rPr>
        <w:t xml:space="preserve"> </w:t>
      </w:r>
      <w:r w:rsidR="000377B5">
        <w:rPr>
          <w:iCs/>
          <w:noProof/>
          <w:szCs w:val="22"/>
        </w:rPr>
        <w:t xml:space="preserve">dávku </w:t>
      </w:r>
      <w:r w:rsidR="00607AA6">
        <w:rPr>
          <w:iCs/>
          <w:noProof/>
          <w:szCs w:val="22"/>
        </w:rPr>
        <w:t xml:space="preserve">je </w:t>
      </w:r>
      <w:r w:rsidR="000377B5">
        <w:rPr>
          <w:iCs/>
          <w:noProof/>
          <w:szCs w:val="22"/>
        </w:rPr>
        <w:t>potrebné pozorne titrovať</w:t>
      </w:r>
      <w:r w:rsidR="003F13B8">
        <w:rPr>
          <w:iCs/>
          <w:noProof/>
          <w:szCs w:val="22"/>
        </w:rPr>
        <w:t>,</w:t>
      </w:r>
      <w:r w:rsidR="000377B5">
        <w:rPr>
          <w:iCs/>
          <w:noProof/>
          <w:szCs w:val="22"/>
        </w:rPr>
        <w:t xml:space="preserve"> aby bola počiatočná strata tekutín postupná. U dospelých pacientov ide o</w:t>
      </w:r>
      <w:r w:rsidR="00A70F9F">
        <w:rPr>
          <w:iCs/>
          <w:noProof/>
          <w:szCs w:val="22"/>
        </w:rPr>
        <w:t> </w:t>
      </w:r>
      <w:r w:rsidR="000377B5">
        <w:rPr>
          <w:iCs/>
          <w:noProof/>
          <w:szCs w:val="22"/>
        </w:rPr>
        <w:t>dávku</w:t>
      </w:r>
      <w:r w:rsidR="00A70F9F">
        <w:rPr>
          <w:iCs/>
          <w:noProof/>
          <w:szCs w:val="22"/>
        </w:rPr>
        <w:t>,</w:t>
      </w:r>
      <w:r w:rsidR="000377B5">
        <w:rPr>
          <w:iCs/>
          <w:noProof/>
          <w:szCs w:val="22"/>
        </w:rPr>
        <w:t xml:space="preserve"> ktorá vedie k strate hmotnosti približne 0,5 kg telesnej hmotnosti </w:t>
      </w:r>
      <w:r w:rsidR="00C56CB4">
        <w:rPr>
          <w:iCs/>
          <w:noProof/>
          <w:szCs w:val="22"/>
        </w:rPr>
        <w:t>denne</w:t>
      </w:r>
      <w:r w:rsidR="000377B5">
        <w:rPr>
          <w:iCs/>
          <w:noProof/>
          <w:szCs w:val="22"/>
        </w:rPr>
        <w:t>.</w:t>
      </w:r>
      <w:r w:rsidR="000E7645">
        <w:rPr>
          <w:iCs/>
          <w:noProof/>
          <w:szCs w:val="22"/>
        </w:rPr>
        <w:t xml:space="preserve"> </w:t>
      </w:r>
    </w:p>
    <w:p w14:paraId="38A4AB10" w14:textId="77777777" w:rsidR="00A70F9F" w:rsidRDefault="00A70F9F" w:rsidP="000E7645">
      <w:pPr>
        <w:ind w:left="0" w:firstLine="0"/>
        <w:rPr>
          <w:iCs/>
          <w:noProof/>
          <w:szCs w:val="22"/>
        </w:rPr>
      </w:pPr>
    </w:p>
    <w:p w14:paraId="2043609A" w14:textId="47712155" w:rsidR="00A70F9F" w:rsidRDefault="00A70F9F" w:rsidP="000E7645">
      <w:pPr>
        <w:ind w:left="0" w:firstLine="0"/>
        <w:rPr>
          <w:iCs/>
          <w:noProof/>
          <w:szCs w:val="22"/>
        </w:rPr>
      </w:pPr>
      <w:r>
        <w:rPr>
          <w:iCs/>
          <w:noProof/>
          <w:szCs w:val="22"/>
        </w:rPr>
        <w:t xml:space="preserve">Odporúčaná počiatočná perorálna dávka je 20 mg až 80 mg denne. Táto dávka môže byť upravená v závislosti </w:t>
      </w:r>
      <w:r w:rsidR="00C56CB4">
        <w:rPr>
          <w:iCs/>
          <w:noProof/>
          <w:szCs w:val="22"/>
        </w:rPr>
        <w:t>od</w:t>
      </w:r>
      <w:r>
        <w:rPr>
          <w:iCs/>
          <w:noProof/>
          <w:szCs w:val="22"/>
        </w:rPr>
        <w:t xml:space="preserve"> získanej odpoved</w:t>
      </w:r>
      <w:r w:rsidR="00C56CB4">
        <w:rPr>
          <w:iCs/>
          <w:noProof/>
          <w:szCs w:val="22"/>
        </w:rPr>
        <w:t>e</w:t>
      </w:r>
      <w:r>
        <w:rPr>
          <w:iCs/>
          <w:noProof/>
          <w:szCs w:val="22"/>
        </w:rPr>
        <w:t>. Táto denná dávka môže byť podaná v jednej dávke alebo rozdelená do viacerých dávok.</w:t>
      </w:r>
    </w:p>
    <w:p w14:paraId="53DDBAFA" w14:textId="77777777" w:rsidR="00A70F9F" w:rsidRDefault="00A70F9F" w:rsidP="000E7645">
      <w:pPr>
        <w:ind w:left="0" w:firstLine="0"/>
        <w:rPr>
          <w:iCs/>
          <w:noProof/>
          <w:szCs w:val="22"/>
        </w:rPr>
      </w:pPr>
    </w:p>
    <w:p w14:paraId="7C5AEA26" w14:textId="0600B866" w:rsidR="00A70F9F" w:rsidRDefault="00A70F9F" w:rsidP="000E7645">
      <w:pPr>
        <w:ind w:left="0" w:firstLine="0"/>
        <w:rPr>
          <w:b/>
          <w:bCs/>
          <w:iCs/>
          <w:noProof/>
          <w:szCs w:val="22"/>
        </w:rPr>
      </w:pPr>
      <w:r w:rsidRPr="00A70F9F">
        <w:rPr>
          <w:b/>
          <w:bCs/>
          <w:iCs/>
          <w:noProof/>
          <w:szCs w:val="22"/>
        </w:rPr>
        <w:t>Edém</w:t>
      </w:r>
      <w:r w:rsidR="006749E5">
        <w:rPr>
          <w:b/>
          <w:bCs/>
          <w:iCs/>
          <w:noProof/>
          <w:szCs w:val="22"/>
        </w:rPr>
        <w:t>y</w:t>
      </w:r>
      <w:r w:rsidRPr="00A70F9F">
        <w:rPr>
          <w:b/>
          <w:bCs/>
          <w:iCs/>
          <w:noProof/>
          <w:szCs w:val="22"/>
        </w:rPr>
        <w:t xml:space="preserve"> obličkového pôvodu</w:t>
      </w:r>
    </w:p>
    <w:p w14:paraId="46D5B222" w14:textId="2A6CC6AB" w:rsidR="007239C8" w:rsidRDefault="00A70F9F" w:rsidP="000E7645">
      <w:pPr>
        <w:ind w:left="0" w:firstLine="0"/>
        <w:rPr>
          <w:iCs/>
          <w:noProof/>
          <w:szCs w:val="22"/>
        </w:rPr>
      </w:pPr>
      <w:r w:rsidRPr="00A70F9F">
        <w:rPr>
          <w:iCs/>
          <w:noProof/>
          <w:szCs w:val="22"/>
        </w:rPr>
        <w:t>N</w:t>
      </w:r>
      <w:r w:rsidR="005110D2">
        <w:rPr>
          <w:iCs/>
          <w:noProof/>
          <w:szCs w:val="22"/>
        </w:rPr>
        <w:t>á</w:t>
      </w:r>
      <w:r w:rsidRPr="00A70F9F">
        <w:rPr>
          <w:iCs/>
          <w:noProof/>
          <w:szCs w:val="22"/>
        </w:rPr>
        <w:t>triuretická odpoveď na furosemid</w:t>
      </w:r>
      <w:r>
        <w:rPr>
          <w:iCs/>
          <w:noProof/>
          <w:szCs w:val="22"/>
        </w:rPr>
        <w:t xml:space="preserve"> závisí </w:t>
      </w:r>
      <w:r w:rsidR="005110D2">
        <w:rPr>
          <w:iCs/>
          <w:noProof/>
          <w:szCs w:val="22"/>
        </w:rPr>
        <w:t>od</w:t>
      </w:r>
      <w:r>
        <w:rPr>
          <w:iCs/>
          <w:noProof/>
          <w:szCs w:val="22"/>
        </w:rPr>
        <w:t xml:space="preserve"> viacerých faktoro</w:t>
      </w:r>
      <w:r w:rsidR="005110D2">
        <w:rPr>
          <w:iCs/>
          <w:noProof/>
          <w:szCs w:val="22"/>
        </w:rPr>
        <w:t>v</w:t>
      </w:r>
      <w:r>
        <w:rPr>
          <w:iCs/>
          <w:noProof/>
          <w:szCs w:val="22"/>
        </w:rPr>
        <w:t>, vrátane závažnosti zlyh</w:t>
      </w:r>
      <w:r w:rsidR="005110D2">
        <w:rPr>
          <w:iCs/>
          <w:noProof/>
          <w:szCs w:val="22"/>
        </w:rPr>
        <w:t>ávania</w:t>
      </w:r>
      <w:r>
        <w:rPr>
          <w:iCs/>
          <w:noProof/>
          <w:szCs w:val="22"/>
        </w:rPr>
        <w:t xml:space="preserve"> obličiek a rovnová</w:t>
      </w:r>
      <w:r w:rsidR="005B2D17">
        <w:rPr>
          <w:iCs/>
          <w:noProof/>
          <w:szCs w:val="22"/>
        </w:rPr>
        <w:t>h</w:t>
      </w:r>
      <w:r>
        <w:rPr>
          <w:iCs/>
          <w:noProof/>
          <w:szCs w:val="22"/>
        </w:rPr>
        <w:t>y sodíka. Z tohto dôvodu nie je možné presne odhadnúť účinok dávky. U pacientov s chronickým zlyh</w:t>
      </w:r>
      <w:r w:rsidR="005110D2">
        <w:rPr>
          <w:iCs/>
          <w:noProof/>
          <w:szCs w:val="22"/>
        </w:rPr>
        <w:t>ávaním</w:t>
      </w:r>
      <w:r>
        <w:rPr>
          <w:iCs/>
          <w:noProof/>
          <w:szCs w:val="22"/>
        </w:rPr>
        <w:t xml:space="preserve"> obličiek</w:t>
      </w:r>
      <w:r w:rsidR="007239C8">
        <w:rPr>
          <w:iCs/>
          <w:noProof/>
          <w:szCs w:val="22"/>
        </w:rPr>
        <w:t xml:space="preserve"> je potrebné dávku titrovať opatrne</w:t>
      </w:r>
      <w:r w:rsidR="005110D2">
        <w:rPr>
          <w:iCs/>
          <w:noProof/>
          <w:szCs w:val="22"/>
        </w:rPr>
        <w:t>,</w:t>
      </w:r>
      <w:r w:rsidR="007239C8">
        <w:rPr>
          <w:iCs/>
          <w:noProof/>
          <w:szCs w:val="22"/>
        </w:rPr>
        <w:t xml:space="preserve"> aby bol odtok edému postupný. U dospelých to znamená dávku, ktorá vedie k strate približne 2 kg telesnej hmotnosti (približne 280 mmol Na</w:t>
      </w:r>
      <w:r w:rsidR="007239C8" w:rsidRPr="007239C8">
        <w:rPr>
          <w:iCs/>
          <w:noProof/>
          <w:szCs w:val="22"/>
          <w:vertAlign w:val="superscript"/>
        </w:rPr>
        <w:t>+</w:t>
      </w:r>
      <w:r w:rsidR="007239C8">
        <w:rPr>
          <w:iCs/>
          <w:noProof/>
          <w:szCs w:val="22"/>
        </w:rPr>
        <w:t xml:space="preserve">) </w:t>
      </w:r>
      <w:r w:rsidR="005110D2">
        <w:rPr>
          <w:iCs/>
          <w:noProof/>
          <w:szCs w:val="22"/>
        </w:rPr>
        <w:t>denne</w:t>
      </w:r>
      <w:r w:rsidR="007239C8">
        <w:rPr>
          <w:iCs/>
          <w:noProof/>
          <w:szCs w:val="22"/>
        </w:rPr>
        <w:t>.</w:t>
      </w:r>
    </w:p>
    <w:p w14:paraId="0F1FA5C9" w14:textId="77777777" w:rsidR="007239C8" w:rsidRDefault="007239C8" w:rsidP="000E7645">
      <w:pPr>
        <w:ind w:left="0" w:firstLine="0"/>
        <w:rPr>
          <w:iCs/>
          <w:noProof/>
          <w:szCs w:val="22"/>
        </w:rPr>
      </w:pPr>
    </w:p>
    <w:p w14:paraId="4C27C4EB" w14:textId="2A0E6A49" w:rsidR="007239C8" w:rsidRDefault="007239C8" w:rsidP="000E7645">
      <w:pPr>
        <w:ind w:left="0" w:firstLine="0"/>
        <w:rPr>
          <w:iCs/>
          <w:noProof/>
          <w:szCs w:val="22"/>
        </w:rPr>
      </w:pPr>
      <w:r>
        <w:rPr>
          <w:iCs/>
          <w:noProof/>
          <w:szCs w:val="22"/>
        </w:rPr>
        <w:t xml:space="preserve">Odporúčaná počiatočná perorálna dávka je 40 mg až 80 mg denne. Ak je to potrebné, dávka môže byť upravená na základe odpovede na liečbu. Denná dávka môže byť podaná v jednej dávke alebo rozdelená do dvoch </w:t>
      </w:r>
      <w:r w:rsidR="00D369A0">
        <w:rPr>
          <w:iCs/>
          <w:noProof/>
          <w:szCs w:val="22"/>
        </w:rPr>
        <w:t xml:space="preserve">individuálnych </w:t>
      </w:r>
      <w:r>
        <w:rPr>
          <w:iCs/>
          <w:noProof/>
          <w:szCs w:val="22"/>
        </w:rPr>
        <w:t>dávok. U pacientov</w:t>
      </w:r>
      <w:r w:rsidR="00D369A0">
        <w:rPr>
          <w:iCs/>
          <w:noProof/>
          <w:szCs w:val="22"/>
        </w:rPr>
        <w:t xml:space="preserve"> podstupujúcich dialýzu</w:t>
      </w:r>
      <w:r>
        <w:rPr>
          <w:iCs/>
          <w:noProof/>
          <w:szCs w:val="22"/>
        </w:rPr>
        <w:t xml:space="preserve"> je zvyčajná udržiavacia perorálna dávka 250 mg a</w:t>
      </w:r>
      <w:r w:rsidR="005B2D17">
        <w:rPr>
          <w:iCs/>
          <w:noProof/>
          <w:szCs w:val="22"/>
        </w:rPr>
        <w:t>ž</w:t>
      </w:r>
      <w:r>
        <w:rPr>
          <w:iCs/>
          <w:noProof/>
          <w:szCs w:val="22"/>
        </w:rPr>
        <w:t xml:space="preserve"> 1</w:t>
      </w:r>
      <w:r w:rsidR="00D369A0">
        <w:rPr>
          <w:iCs/>
          <w:noProof/>
          <w:szCs w:val="22"/>
        </w:rPr>
        <w:t xml:space="preserve"> </w:t>
      </w:r>
      <w:r>
        <w:rPr>
          <w:iCs/>
          <w:noProof/>
          <w:szCs w:val="22"/>
        </w:rPr>
        <w:t>500 mg denne.</w:t>
      </w:r>
    </w:p>
    <w:p w14:paraId="2CBA4E5A" w14:textId="77777777" w:rsidR="007239C8" w:rsidRDefault="007239C8" w:rsidP="000E7645">
      <w:pPr>
        <w:ind w:left="0" w:firstLine="0"/>
        <w:rPr>
          <w:iCs/>
          <w:noProof/>
          <w:szCs w:val="22"/>
        </w:rPr>
      </w:pPr>
    </w:p>
    <w:p w14:paraId="025CAA84" w14:textId="77777777" w:rsidR="007239C8" w:rsidRDefault="007239C8" w:rsidP="000E7645">
      <w:pPr>
        <w:ind w:left="0" w:firstLine="0"/>
        <w:rPr>
          <w:iCs/>
          <w:noProof/>
          <w:szCs w:val="22"/>
        </w:rPr>
      </w:pPr>
      <w:r>
        <w:rPr>
          <w:iCs/>
          <w:noProof/>
          <w:szCs w:val="22"/>
        </w:rPr>
        <w:t>Edém v súvislosti s nefrotickým syndrómom</w:t>
      </w:r>
    </w:p>
    <w:p w14:paraId="380638EF" w14:textId="77777777" w:rsidR="007239C8" w:rsidRDefault="007239C8" w:rsidP="000E7645">
      <w:pPr>
        <w:ind w:left="0" w:firstLine="0"/>
        <w:rPr>
          <w:iCs/>
          <w:noProof/>
          <w:szCs w:val="22"/>
        </w:rPr>
      </w:pPr>
      <w:r>
        <w:rPr>
          <w:iCs/>
          <w:noProof/>
          <w:szCs w:val="22"/>
        </w:rPr>
        <w:t xml:space="preserve">Odporúčaná počiatočná dávka je 40 mg až 80 mg podávaná denne. Táto dávka môže byť upravená </w:t>
      </w:r>
      <w:r w:rsidR="00D369A0">
        <w:rPr>
          <w:iCs/>
          <w:noProof/>
          <w:szCs w:val="22"/>
        </w:rPr>
        <w:t xml:space="preserve">podľa potreby </w:t>
      </w:r>
      <w:r>
        <w:rPr>
          <w:iCs/>
          <w:noProof/>
          <w:szCs w:val="22"/>
        </w:rPr>
        <w:t xml:space="preserve">na základe odpovede na liečbu. Denná dávka môže byť podaná v jednej dávke alebo rozdelená do viacerých dávok. </w:t>
      </w:r>
    </w:p>
    <w:p w14:paraId="61C2FE65" w14:textId="77777777" w:rsidR="007239C8" w:rsidRDefault="007239C8" w:rsidP="000E7645">
      <w:pPr>
        <w:ind w:left="0" w:firstLine="0"/>
        <w:rPr>
          <w:iCs/>
          <w:noProof/>
          <w:szCs w:val="22"/>
        </w:rPr>
      </w:pPr>
    </w:p>
    <w:p w14:paraId="10A643CF" w14:textId="06103609" w:rsidR="007239C8" w:rsidRDefault="007239C8" w:rsidP="000E7645">
      <w:pPr>
        <w:ind w:left="0" w:firstLine="0"/>
        <w:rPr>
          <w:b/>
          <w:bCs/>
          <w:iCs/>
          <w:noProof/>
          <w:szCs w:val="22"/>
        </w:rPr>
      </w:pPr>
      <w:r w:rsidRPr="007239C8">
        <w:rPr>
          <w:b/>
          <w:bCs/>
          <w:iCs/>
          <w:noProof/>
          <w:szCs w:val="22"/>
        </w:rPr>
        <w:t>Art</w:t>
      </w:r>
      <w:r w:rsidR="00D369A0">
        <w:rPr>
          <w:b/>
          <w:bCs/>
          <w:iCs/>
          <w:noProof/>
          <w:szCs w:val="22"/>
        </w:rPr>
        <w:t>ériová</w:t>
      </w:r>
      <w:r w:rsidRPr="007239C8">
        <w:rPr>
          <w:b/>
          <w:bCs/>
          <w:iCs/>
          <w:noProof/>
          <w:szCs w:val="22"/>
        </w:rPr>
        <w:t xml:space="preserve"> hypertenzia</w:t>
      </w:r>
    </w:p>
    <w:p w14:paraId="55840AE1" w14:textId="36F59DA2" w:rsidR="00091C58" w:rsidRDefault="007239C8" w:rsidP="000E7645">
      <w:pPr>
        <w:ind w:left="0" w:firstLine="0"/>
        <w:rPr>
          <w:iCs/>
          <w:noProof/>
          <w:szCs w:val="22"/>
        </w:rPr>
      </w:pPr>
      <w:r>
        <w:rPr>
          <w:iCs/>
          <w:noProof/>
          <w:szCs w:val="22"/>
        </w:rPr>
        <w:t xml:space="preserve">Zvyčajná udržiavacia dávka je 20 mg až 40 mg denne. </w:t>
      </w:r>
      <w:r w:rsidR="00091C58">
        <w:rPr>
          <w:iCs/>
          <w:noProof/>
          <w:szCs w:val="22"/>
        </w:rPr>
        <w:t>V prípade hypertenzie spojenej s chronickým zlyh</w:t>
      </w:r>
      <w:r w:rsidR="00D369A0">
        <w:rPr>
          <w:iCs/>
          <w:noProof/>
          <w:szCs w:val="22"/>
        </w:rPr>
        <w:t>ávaním</w:t>
      </w:r>
      <w:r w:rsidR="00091C58">
        <w:rPr>
          <w:iCs/>
          <w:noProof/>
          <w:szCs w:val="22"/>
        </w:rPr>
        <w:t xml:space="preserve"> obličiek môžu byť potrebné vyššie dávky.</w:t>
      </w:r>
    </w:p>
    <w:p w14:paraId="45A239CC" w14:textId="07AD29B2" w:rsidR="00091C58" w:rsidRDefault="00091C58" w:rsidP="000E7645">
      <w:pPr>
        <w:ind w:left="0" w:firstLine="0"/>
        <w:rPr>
          <w:iCs/>
          <w:noProof/>
          <w:szCs w:val="22"/>
        </w:rPr>
      </w:pPr>
      <w:r>
        <w:rPr>
          <w:iCs/>
          <w:noProof/>
          <w:szCs w:val="22"/>
        </w:rPr>
        <w:t>Furosemid môže byť použitý samostatne alebo v kombinácii s inými antihypertenzívnymi l</w:t>
      </w:r>
      <w:r w:rsidR="00D369A0">
        <w:rPr>
          <w:iCs/>
          <w:noProof/>
          <w:szCs w:val="22"/>
        </w:rPr>
        <w:t>iečivami</w:t>
      </w:r>
      <w:r>
        <w:rPr>
          <w:iCs/>
          <w:noProof/>
          <w:szCs w:val="22"/>
        </w:rPr>
        <w:t>.</w:t>
      </w:r>
    </w:p>
    <w:p w14:paraId="7B901BB3" w14:textId="77777777" w:rsidR="00091C58" w:rsidRDefault="00091C58" w:rsidP="000E7645">
      <w:pPr>
        <w:ind w:left="0" w:firstLine="0"/>
        <w:rPr>
          <w:iCs/>
          <w:noProof/>
          <w:szCs w:val="22"/>
        </w:rPr>
      </w:pPr>
    </w:p>
    <w:p w14:paraId="6283A500" w14:textId="19253CFA" w:rsidR="000210CC" w:rsidRPr="00091C58" w:rsidRDefault="00D369A0" w:rsidP="000E7645">
      <w:pPr>
        <w:ind w:left="0" w:firstLine="0"/>
        <w:rPr>
          <w:iCs/>
          <w:noProof/>
          <w:szCs w:val="22"/>
          <w:u w:val="single"/>
        </w:rPr>
      </w:pPr>
      <w:r>
        <w:rPr>
          <w:iCs/>
          <w:noProof/>
          <w:szCs w:val="22"/>
          <w:u w:val="single"/>
        </w:rPr>
        <w:t xml:space="preserve">Osobitné </w:t>
      </w:r>
      <w:r w:rsidR="00091C58">
        <w:rPr>
          <w:iCs/>
          <w:noProof/>
          <w:szCs w:val="22"/>
          <w:u w:val="single"/>
        </w:rPr>
        <w:t>populácie</w:t>
      </w:r>
    </w:p>
    <w:p w14:paraId="6F5DDE51" w14:textId="77777777" w:rsidR="00B06E24" w:rsidRDefault="00F35CE2" w:rsidP="00E41B3F">
      <w:pPr>
        <w:rPr>
          <w:i/>
          <w:noProof/>
          <w:szCs w:val="22"/>
        </w:rPr>
      </w:pPr>
      <w:r w:rsidRPr="003021DE">
        <w:rPr>
          <w:i/>
          <w:noProof/>
          <w:szCs w:val="22"/>
        </w:rPr>
        <w:t>Pediatrická populácia</w:t>
      </w:r>
    </w:p>
    <w:p w14:paraId="7F26CA26" w14:textId="6E04540E" w:rsidR="00091C58" w:rsidRDefault="00091C58" w:rsidP="00091C58">
      <w:pPr>
        <w:ind w:left="0" w:firstLine="0"/>
        <w:rPr>
          <w:iCs/>
          <w:noProof/>
          <w:szCs w:val="22"/>
        </w:rPr>
      </w:pPr>
      <w:r>
        <w:rPr>
          <w:iCs/>
          <w:noProof/>
          <w:szCs w:val="22"/>
        </w:rPr>
        <w:t xml:space="preserve">U detí má byť dávka znížená v závislosti </w:t>
      </w:r>
      <w:r w:rsidR="00D369A0">
        <w:rPr>
          <w:iCs/>
          <w:noProof/>
          <w:szCs w:val="22"/>
        </w:rPr>
        <w:t>od</w:t>
      </w:r>
      <w:r>
        <w:rPr>
          <w:iCs/>
          <w:noProof/>
          <w:szCs w:val="22"/>
        </w:rPr>
        <w:t xml:space="preserve"> telesnej hmotnosti, s odporúčanou dávkou 2 mg/kg až maximálne 6 mg/kg telesnej hmotnosti. Dávka nemá presiahnuť 40 mg </w:t>
      </w:r>
      <w:r w:rsidR="00D369A0">
        <w:rPr>
          <w:iCs/>
          <w:noProof/>
          <w:szCs w:val="22"/>
        </w:rPr>
        <w:t>denne</w:t>
      </w:r>
      <w:r>
        <w:rPr>
          <w:iCs/>
          <w:noProof/>
          <w:szCs w:val="22"/>
        </w:rPr>
        <w:t>.</w:t>
      </w:r>
    </w:p>
    <w:p w14:paraId="0E261668" w14:textId="77777777" w:rsidR="00091C58" w:rsidRDefault="00091C58" w:rsidP="00091C58">
      <w:pPr>
        <w:ind w:left="0" w:firstLine="0"/>
        <w:rPr>
          <w:iCs/>
          <w:noProof/>
          <w:szCs w:val="22"/>
        </w:rPr>
      </w:pPr>
    </w:p>
    <w:p w14:paraId="66365E55" w14:textId="77777777" w:rsidR="00091C58" w:rsidRDefault="00091C58" w:rsidP="00091C58">
      <w:pPr>
        <w:ind w:left="0" w:firstLine="0"/>
        <w:rPr>
          <w:i/>
          <w:noProof/>
          <w:szCs w:val="22"/>
        </w:rPr>
      </w:pPr>
      <w:r w:rsidRPr="00091C58">
        <w:rPr>
          <w:i/>
          <w:noProof/>
          <w:szCs w:val="22"/>
        </w:rPr>
        <w:t>Starší pacienti</w:t>
      </w:r>
    </w:p>
    <w:p w14:paraId="4ECDD8D1" w14:textId="77777777" w:rsidR="00091C58" w:rsidRDefault="00091C58" w:rsidP="00091C58">
      <w:pPr>
        <w:ind w:left="0" w:firstLine="0"/>
        <w:rPr>
          <w:iCs/>
          <w:noProof/>
          <w:szCs w:val="22"/>
        </w:rPr>
      </w:pPr>
      <w:r>
        <w:rPr>
          <w:iCs/>
          <w:noProof/>
          <w:szCs w:val="22"/>
        </w:rPr>
        <w:t>Perorálna počiatočná dávka je 20 mg/deň</w:t>
      </w:r>
      <w:r w:rsidR="00CE4889">
        <w:rPr>
          <w:iCs/>
          <w:noProof/>
          <w:szCs w:val="22"/>
        </w:rPr>
        <w:t>, ktorá sa postupne zvyšuje až do požadovanej odpovede.</w:t>
      </w:r>
    </w:p>
    <w:p w14:paraId="4A03A005" w14:textId="77777777" w:rsidR="00E1698A" w:rsidRPr="00B13F68" w:rsidRDefault="00E1698A" w:rsidP="00B13F68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081EAE58" w14:textId="77777777" w:rsidR="00E1698A" w:rsidRDefault="00F35CE2" w:rsidP="00E41B3F">
      <w:pPr>
        <w:rPr>
          <w:noProof/>
          <w:szCs w:val="22"/>
          <w:u w:val="single"/>
        </w:rPr>
      </w:pPr>
      <w:r w:rsidRPr="003021DE">
        <w:rPr>
          <w:szCs w:val="22"/>
          <w:u w:val="single"/>
        </w:rPr>
        <w:t>Spôsob</w:t>
      </w:r>
      <w:r w:rsidR="00B06E24" w:rsidRPr="003021DE">
        <w:rPr>
          <w:noProof/>
          <w:szCs w:val="22"/>
          <w:u w:val="single"/>
        </w:rPr>
        <w:t xml:space="preserve"> podávania</w:t>
      </w:r>
    </w:p>
    <w:p w14:paraId="1C13273C" w14:textId="77777777" w:rsidR="00CE4889" w:rsidRDefault="00CE4889" w:rsidP="00E41B3F">
      <w:pPr>
        <w:rPr>
          <w:noProof/>
          <w:szCs w:val="22"/>
          <w:u w:val="single"/>
        </w:rPr>
      </w:pPr>
    </w:p>
    <w:p w14:paraId="25D4E44B" w14:textId="77777777" w:rsidR="00CE4889" w:rsidRDefault="00CE4889" w:rsidP="00E41B3F">
      <w:pPr>
        <w:rPr>
          <w:noProof/>
          <w:szCs w:val="22"/>
        </w:rPr>
      </w:pPr>
      <w:r w:rsidRPr="00CE4889">
        <w:rPr>
          <w:noProof/>
          <w:szCs w:val="22"/>
        </w:rPr>
        <w:t xml:space="preserve">Tablety </w:t>
      </w:r>
      <w:r w:rsidR="00AB2720">
        <w:rPr>
          <w:noProof/>
          <w:szCs w:val="22"/>
        </w:rPr>
        <w:t>sa majú prehĺtnuť celé a zapiť tekutinou na prázdny žalúdok.</w:t>
      </w:r>
    </w:p>
    <w:p w14:paraId="7346CD43" w14:textId="6A9789F1" w:rsidR="00E1698A" w:rsidRPr="003021DE" w:rsidRDefault="00AB2720" w:rsidP="00AB2720">
      <w:pPr>
        <w:ind w:left="0" w:firstLine="0"/>
        <w:rPr>
          <w:szCs w:val="22"/>
        </w:rPr>
      </w:pPr>
      <w:r>
        <w:rPr>
          <w:noProof/>
          <w:szCs w:val="22"/>
        </w:rPr>
        <w:t xml:space="preserve">Dĺžka liečby závisí </w:t>
      </w:r>
      <w:r w:rsidR="00D369A0">
        <w:rPr>
          <w:noProof/>
          <w:szCs w:val="22"/>
        </w:rPr>
        <w:t>od</w:t>
      </w:r>
      <w:r>
        <w:rPr>
          <w:noProof/>
          <w:szCs w:val="22"/>
        </w:rPr>
        <w:t xml:space="preserve"> terapeutických indikáci</w:t>
      </w:r>
      <w:r w:rsidR="00D369A0">
        <w:rPr>
          <w:noProof/>
          <w:szCs w:val="22"/>
        </w:rPr>
        <w:t>í</w:t>
      </w:r>
      <w:r>
        <w:rPr>
          <w:noProof/>
          <w:szCs w:val="22"/>
        </w:rPr>
        <w:t xml:space="preserve"> a je stanovená lekárom pre každého pacienta individuálne. </w:t>
      </w:r>
    </w:p>
    <w:p w14:paraId="7E3D7022" w14:textId="77777777" w:rsidR="00780926" w:rsidRPr="003021DE" w:rsidRDefault="00780926" w:rsidP="00E41B3F">
      <w:pPr>
        <w:rPr>
          <w:szCs w:val="22"/>
        </w:rPr>
      </w:pPr>
    </w:p>
    <w:p w14:paraId="1603BEAB" w14:textId="77777777" w:rsidR="00780926" w:rsidRPr="003021DE" w:rsidRDefault="00F35CE2" w:rsidP="00E41B3F">
      <w:pPr>
        <w:rPr>
          <w:szCs w:val="22"/>
        </w:rPr>
      </w:pPr>
      <w:r w:rsidRPr="003021DE">
        <w:rPr>
          <w:b/>
          <w:szCs w:val="22"/>
        </w:rPr>
        <w:t>4.3</w:t>
      </w:r>
      <w:r w:rsidRPr="003021DE">
        <w:rPr>
          <w:b/>
          <w:szCs w:val="22"/>
        </w:rPr>
        <w:tab/>
        <w:t>Kontraindikácie</w:t>
      </w:r>
    </w:p>
    <w:p w14:paraId="28B65268" w14:textId="77777777" w:rsidR="00780926" w:rsidRPr="003021DE" w:rsidRDefault="00780926" w:rsidP="00E41B3F">
      <w:pPr>
        <w:rPr>
          <w:szCs w:val="22"/>
        </w:rPr>
      </w:pPr>
    </w:p>
    <w:p w14:paraId="758420AB" w14:textId="77777777" w:rsidR="00780926" w:rsidRDefault="00BA508B" w:rsidP="00BA508B">
      <w:pPr>
        <w:pStyle w:val="Zkladntext"/>
        <w:ind w:left="567" w:hanging="56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</w:r>
      <w:r w:rsidR="00F35CE2" w:rsidRPr="003021DE">
        <w:rPr>
          <w:szCs w:val="22"/>
        </w:rPr>
        <w:t xml:space="preserve">Precitlivenosť na liečivo alebo na </w:t>
      </w:r>
      <w:r w:rsidR="00F35CE2" w:rsidRPr="003021DE">
        <w:rPr>
          <w:noProof/>
          <w:szCs w:val="22"/>
        </w:rPr>
        <w:t>ktorúkoľvek</w:t>
      </w:r>
      <w:r w:rsidR="00F35CE2" w:rsidRPr="003021DE">
        <w:rPr>
          <w:szCs w:val="22"/>
        </w:rPr>
        <w:t xml:space="preserve"> z pomocných látok </w:t>
      </w:r>
      <w:r w:rsidR="001B73FD" w:rsidRPr="003021DE">
        <w:rPr>
          <w:noProof/>
        </w:rPr>
        <w:t xml:space="preserve">uvedených v časti 6.1 </w:t>
      </w:r>
      <w:r>
        <w:rPr>
          <w:szCs w:val="22"/>
        </w:rPr>
        <w:t>P</w:t>
      </w:r>
      <w:r w:rsidRPr="00E02E1A">
        <w:rPr>
          <w:szCs w:val="22"/>
        </w:rPr>
        <w:t>acienti alergickí na s</w:t>
      </w:r>
      <w:r>
        <w:rPr>
          <w:szCs w:val="22"/>
        </w:rPr>
        <w:t>u</w:t>
      </w:r>
      <w:r w:rsidRPr="00E02E1A">
        <w:rPr>
          <w:szCs w:val="22"/>
        </w:rPr>
        <w:t>lfónamidy</w:t>
      </w:r>
      <w:r>
        <w:rPr>
          <w:szCs w:val="22"/>
        </w:rPr>
        <w:t xml:space="preserve"> (napr. sulfónamidové antibiotiká alebo </w:t>
      </w:r>
      <w:r w:rsidR="00D369A0">
        <w:rPr>
          <w:szCs w:val="22"/>
        </w:rPr>
        <w:t xml:space="preserve">deriváty </w:t>
      </w:r>
      <w:proofErr w:type="spellStart"/>
      <w:r>
        <w:rPr>
          <w:szCs w:val="22"/>
        </w:rPr>
        <w:t>sulfonylmočoviny</w:t>
      </w:r>
      <w:proofErr w:type="spellEnd"/>
      <w:r>
        <w:rPr>
          <w:szCs w:val="22"/>
        </w:rPr>
        <w:t>)</w:t>
      </w:r>
      <w:r w:rsidRPr="00E02E1A">
        <w:rPr>
          <w:szCs w:val="22"/>
        </w:rPr>
        <w:t xml:space="preserve"> môžu mať skríženú senzitivitu na </w:t>
      </w:r>
      <w:proofErr w:type="spellStart"/>
      <w:r w:rsidRPr="00E02E1A">
        <w:rPr>
          <w:szCs w:val="22"/>
        </w:rPr>
        <w:t>furosemid</w:t>
      </w:r>
      <w:proofErr w:type="spellEnd"/>
      <w:r>
        <w:rPr>
          <w:szCs w:val="22"/>
        </w:rPr>
        <w:t>.</w:t>
      </w:r>
    </w:p>
    <w:p w14:paraId="68E6257F" w14:textId="77777777" w:rsidR="00BA508B" w:rsidRDefault="00BA508B" w:rsidP="00BA508B">
      <w:pPr>
        <w:pStyle w:val="Zkladntext"/>
        <w:ind w:left="567" w:hanging="56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</w:r>
      <w:proofErr w:type="spellStart"/>
      <w:r>
        <w:rPr>
          <w:szCs w:val="22"/>
        </w:rPr>
        <w:t>Hypovolémia</w:t>
      </w:r>
      <w:proofErr w:type="spellEnd"/>
      <w:r>
        <w:rPr>
          <w:szCs w:val="22"/>
        </w:rPr>
        <w:t xml:space="preserve"> alebo dehydratácia</w:t>
      </w:r>
    </w:p>
    <w:p w14:paraId="60397032" w14:textId="77777777" w:rsidR="00BA508B" w:rsidRDefault="00BA508B" w:rsidP="00BA508B">
      <w:pPr>
        <w:pStyle w:val="Zkladntext"/>
        <w:ind w:left="567" w:hanging="56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Zlyhávanie obličiek s </w:t>
      </w:r>
      <w:proofErr w:type="spellStart"/>
      <w:r>
        <w:rPr>
          <w:szCs w:val="22"/>
        </w:rPr>
        <w:t>anúriou</w:t>
      </w:r>
      <w:proofErr w:type="spellEnd"/>
      <w:r>
        <w:rPr>
          <w:szCs w:val="22"/>
        </w:rPr>
        <w:t xml:space="preserve">, ktoré nereaguje na liečbu </w:t>
      </w:r>
      <w:proofErr w:type="spellStart"/>
      <w:r>
        <w:rPr>
          <w:szCs w:val="22"/>
        </w:rPr>
        <w:t>furosemidom</w:t>
      </w:r>
      <w:proofErr w:type="spellEnd"/>
    </w:p>
    <w:p w14:paraId="1692200F" w14:textId="77777777" w:rsidR="00BA508B" w:rsidRDefault="00BA508B" w:rsidP="00BA508B">
      <w:pPr>
        <w:numPr>
          <w:ilvl w:val="0"/>
          <w:numId w:val="13"/>
        </w:numPr>
        <w:tabs>
          <w:tab w:val="clear" w:pos="720"/>
          <w:tab w:val="num" w:pos="567"/>
        </w:tabs>
        <w:ind w:left="0" w:firstLine="0"/>
        <w:rPr>
          <w:szCs w:val="22"/>
        </w:rPr>
      </w:pPr>
      <w:r>
        <w:rPr>
          <w:szCs w:val="22"/>
        </w:rPr>
        <w:t xml:space="preserve">Závažná </w:t>
      </w:r>
      <w:proofErr w:type="spellStart"/>
      <w:r>
        <w:rPr>
          <w:szCs w:val="22"/>
        </w:rPr>
        <w:t>hypokaliémia</w:t>
      </w:r>
      <w:proofErr w:type="spellEnd"/>
      <w:r>
        <w:rPr>
          <w:szCs w:val="22"/>
        </w:rPr>
        <w:t xml:space="preserve"> (pozri časť 4.8)</w:t>
      </w:r>
    </w:p>
    <w:p w14:paraId="7EE49685" w14:textId="77777777" w:rsidR="00160508" w:rsidRPr="00EE0CFE" w:rsidRDefault="00160508" w:rsidP="00160508">
      <w:pPr>
        <w:numPr>
          <w:ilvl w:val="0"/>
          <w:numId w:val="13"/>
        </w:numPr>
        <w:tabs>
          <w:tab w:val="clear" w:pos="720"/>
          <w:tab w:val="num" w:pos="567"/>
        </w:tabs>
        <w:ind w:left="0" w:firstLine="0"/>
        <w:rPr>
          <w:szCs w:val="22"/>
        </w:rPr>
      </w:pPr>
      <w:r>
        <w:rPr>
          <w:szCs w:val="22"/>
        </w:rPr>
        <w:t>Z</w:t>
      </w:r>
      <w:r w:rsidRPr="00EE0CFE">
        <w:rPr>
          <w:szCs w:val="22"/>
        </w:rPr>
        <w:t xml:space="preserve">ávažná </w:t>
      </w:r>
      <w:proofErr w:type="spellStart"/>
      <w:r w:rsidRPr="00EE0CFE">
        <w:rPr>
          <w:szCs w:val="22"/>
        </w:rPr>
        <w:t>hyponatriémia</w:t>
      </w:r>
      <w:proofErr w:type="spellEnd"/>
      <w:r w:rsidRPr="00EE0CFE">
        <w:rPr>
          <w:szCs w:val="22"/>
        </w:rPr>
        <w:t xml:space="preserve"> </w:t>
      </w:r>
    </w:p>
    <w:p w14:paraId="226F5990" w14:textId="77777777" w:rsidR="00BA508B" w:rsidRDefault="00160508" w:rsidP="00BA508B">
      <w:pPr>
        <w:numPr>
          <w:ilvl w:val="0"/>
          <w:numId w:val="13"/>
        </w:numPr>
        <w:tabs>
          <w:tab w:val="clear" w:pos="720"/>
          <w:tab w:val="num" w:pos="567"/>
        </w:tabs>
        <w:ind w:left="0" w:firstLine="0"/>
        <w:rPr>
          <w:szCs w:val="22"/>
        </w:rPr>
      </w:pPr>
      <w:proofErr w:type="spellStart"/>
      <w:r>
        <w:rPr>
          <w:szCs w:val="22"/>
        </w:rPr>
        <w:t>Hepatická</w:t>
      </w:r>
      <w:proofErr w:type="spellEnd"/>
      <w:r>
        <w:rPr>
          <w:szCs w:val="22"/>
        </w:rPr>
        <w:t xml:space="preserve"> kóma alebo </w:t>
      </w:r>
      <w:proofErr w:type="spellStart"/>
      <w:r>
        <w:rPr>
          <w:szCs w:val="22"/>
        </w:rPr>
        <w:t>prekóma</w:t>
      </w:r>
      <w:proofErr w:type="spellEnd"/>
      <w:r>
        <w:rPr>
          <w:szCs w:val="22"/>
        </w:rPr>
        <w:t xml:space="preserve"> súvisiaca s </w:t>
      </w:r>
      <w:proofErr w:type="spellStart"/>
      <w:r>
        <w:rPr>
          <w:szCs w:val="22"/>
        </w:rPr>
        <w:t>hepatálnou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encefalopatiou</w:t>
      </w:r>
      <w:proofErr w:type="spellEnd"/>
    </w:p>
    <w:p w14:paraId="24CBBCDC" w14:textId="77777777" w:rsidR="00BA508B" w:rsidRPr="00160508" w:rsidRDefault="00160508" w:rsidP="00BA508B">
      <w:pPr>
        <w:numPr>
          <w:ilvl w:val="0"/>
          <w:numId w:val="13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60508">
        <w:rPr>
          <w:szCs w:val="22"/>
        </w:rPr>
        <w:t>Laktácia</w:t>
      </w:r>
    </w:p>
    <w:p w14:paraId="37190BB4" w14:textId="77777777" w:rsidR="00BA508B" w:rsidRPr="00B13F68" w:rsidRDefault="00BA508B" w:rsidP="00BA508B">
      <w:pPr>
        <w:pStyle w:val="Zkladntext"/>
        <w:ind w:left="567" w:hanging="567"/>
        <w:rPr>
          <w:szCs w:val="22"/>
        </w:rPr>
      </w:pPr>
    </w:p>
    <w:p w14:paraId="56E2D2AE" w14:textId="77777777" w:rsidR="00780926" w:rsidRPr="00B13F68" w:rsidRDefault="00F35CE2" w:rsidP="00E41B3F">
      <w:pPr>
        <w:rPr>
          <w:b/>
          <w:szCs w:val="22"/>
        </w:rPr>
      </w:pPr>
      <w:r w:rsidRPr="00B13F68">
        <w:rPr>
          <w:b/>
          <w:szCs w:val="22"/>
        </w:rPr>
        <w:t>4.4</w:t>
      </w:r>
      <w:r w:rsidRPr="00B13F68">
        <w:rPr>
          <w:b/>
          <w:szCs w:val="22"/>
        </w:rPr>
        <w:tab/>
        <w:t>Osobitné upozornenia a opatrenia pri používaní</w:t>
      </w:r>
    </w:p>
    <w:p w14:paraId="56B93254" w14:textId="77777777" w:rsidR="00E1698A" w:rsidRDefault="00E1698A" w:rsidP="00E41B3F">
      <w:pPr>
        <w:rPr>
          <w:szCs w:val="22"/>
        </w:rPr>
      </w:pPr>
    </w:p>
    <w:p w14:paraId="19CCA78B" w14:textId="77777777" w:rsidR="00160508" w:rsidRDefault="00160508" w:rsidP="00160508">
      <w:pPr>
        <w:ind w:left="0" w:firstLine="0"/>
        <w:rPr>
          <w:szCs w:val="22"/>
        </w:rPr>
      </w:pPr>
      <w:r>
        <w:rPr>
          <w:szCs w:val="22"/>
        </w:rPr>
        <w:t xml:space="preserve">Je potrebné zabezpečiť vylučovanie moču. </w:t>
      </w:r>
      <w:r w:rsidRPr="005A327D">
        <w:rPr>
          <w:szCs w:val="22"/>
        </w:rPr>
        <w:t xml:space="preserve">U pacientov s poruchou odtoku moču (napr. </w:t>
      </w:r>
      <w:r w:rsidR="00F9795B">
        <w:rPr>
          <w:szCs w:val="22"/>
        </w:rPr>
        <w:t xml:space="preserve">pacienti so zmenami vyprázdňovania močového mechúra, </w:t>
      </w:r>
      <w:r w:rsidR="00F9795B" w:rsidRPr="00384905">
        <w:rPr>
          <w:noProof/>
          <w:szCs w:val="22"/>
        </w:rPr>
        <w:t>hyperplázi</w:t>
      </w:r>
      <w:r w:rsidR="00F9795B">
        <w:rPr>
          <w:noProof/>
          <w:szCs w:val="22"/>
        </w:rPr>
        <w:t>ou</w:t>
      </w:r>
      <w:r w:rsidR="00F9795B" w:rsidRPr="00384905">
        <w:rPr>
          <w:noProof/>
          <w:szCs w:val="22"/>
        </w:rPr>
        <w:t xml:space="preserve"> prostaty</w:t>
      </w:r>
      <w:r w:rsidR="00F9795B">
        <w:rPr>
          <w:noProof/>
          <w:szCs w:val="22"/>
        </w:rPr>
        <w:t xml:space="preserve"> alebo</w:t>
      </w:r>
      <w:r w:rsidR="00F9795B" w:rsidRPr="00384905">
        <w:rPr>
          <w:noProof/>
          <w:szCs w:val="22"/>
        </w:rPr>
        <w:t xml:space="preserve"> zúžen</w:t>
      </w:r>
      <w:r w:rsidR="00F9795B">
        <w:rPr>
          <w:noProof/>
          <w:szCs w:val="22"/>
        </w:rPr>
        <w:t>ím</w:t>
      </w:r>
      <w:r w:rsidR="00F9795B" w:rsidRPr="00384905">
        <w:rPr>
          <w:noProof/>
          <w:szCs w:val="22"/>
        </w:rPr>
        <w:t xml:space="preserve"> močovodu</w:t>
      </w:r>
      <w:r w:rsidRPr="005A327D">
        <w:rPr>
          <w:szCs w:val="22"/>
        </w:rPr>
        <w:t>)</w:t>
      </w:r>
      <w:r w:rsidR="00F9795B">
        <w:rPr>
          <w:szCs w:val="22"/>
        </w:rPr>
        <w:t xml:space="preserve"> môže zvýšená tvorba moču spôsobiť alebo zhoršiť ťažkosti</w:t>
      </w:r>
      <w:r w:rsidRPr="005A327D">
        <w:rPr>
          <w:szCs w:val="22"/>
        </w:rPr>
        <w:t>.</w:t>
      </w:r>
      <w:r w:rsidR="00F9795B">
        <w:rPr>
          <w:szCs w:val="22"/>
        </w:rPr>
        <w:t xml:space="preserve"> Preto je týchto pacientov potrebné starostlivo sledovať – najmä v počiatočných štádiách liečby.</w:t>
      </w:r>
    </w:p>
    <w:p w14:paraId="5B444FF8" w14:textId="77777777" w:rsidR="00F9795B" w:rsidRDefault="00F9795B" w:rsidP="00160508">
      <w:pPr>
        <w:ind w:left="0" w:firstLine="0"/>
        <w:rPr>
          <w:szCs w:val="22"/>
        </w:rPr>
      </w:pPr>
    </w:p>
    <w:p w14:paraId="66BCBA14" w14:textId="5293CA67" w:rsidR="00F9795B" w:rsidRDefault="0002088D" w:rsidP="00160508">
      <w:pPr>
        <w:ind w:left="0" w:firstLine="0"/>
        <w:rPr>
          <w:szCs w:val="22"/>
        </w:rPr>
      </w:pPr>
      <w:r>
        <w:rPr>
          <w:szCs w:val="22"/>
        </w:rPr>
        <w:t xml:space="preserve">Liečba </w:t>
      </w:r>
      <w:proofErr w:type="spellStart"/>
      <w:r>
        <w:rPr>
          <w:szCs w:val="22"/>
        </w:rPr>
        <w:t>Furosemidom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Medreg</w:t>
      </w:r>
      <w:proofErr w:type="spellEnd"/>
      <w:r>
        <w:rPr>
          <w:szCs w:val="22"/>
        </w:rPr>
        <w:t xml:space="preserve"> vyžaduje pravidelný lekársky dohľad, a je potrebné zvlášť dôkladné sledovanie v prípade:</w:t>
      </w:r>
    </w:p>
    <w:p w14:paraId="713B7B10" w14:textId="77777777" w:rsidR="0002088D" w:rsidRDefault="0002088D" w:rsidP="0002088D">
      <w:pPr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pacientov s hypotenziou</w:t>
      </w:r>
    </w:p>
    <w:p w14:paraId="11ED00F0" w14:textId="36556FEB" w:rsidR="0002088D" w:rsidRDefault="0002088D" w:rsidP="0002088D">
      <w:pPr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</w:r>
      <w:r w:rsidR="003F13B8">
        <w:rPr>
          <w:szCs w:val="22"/>
        </w:rPr>
        <w:t xml:space="preserve">pacientov s osobitným rizikom </w:t>
      </w:r>
      <w:r w:rsidR="005210D5">
        <w:rPr>
          <w:szCs w:val="22"/>
        </w:rPr>
        <w:t>výrazného</w:t>
      </w:r>
      <w:r w:rsidR="00024F41">
        <w:rPr>
          <w:szCs w:val="22"/>
        </w:rPr>
        <w:t xml:space="preserve"> poklesu tlaku krvi, napr. </w:t>
      </w:r>
      <w:r w:rsidR="00024F41" w:rsidRPr="00024F41">
        <w:rPr>
          <w:szCs w:val="22"/>
        </w:rPr>
        <w:t xml:space="preserve">pacienti s významnou </w:t>
      </w:r>
      <w:proofErr w:type="spellStart"/>
      <w:r w:rsidR="00024F41" w:rsidRPr="00024F41">
        <w:rPr>
          <w:szCs w:val="22"/>
        </w:rPr>
        <w:t>stenózou</w:t>
      </w:r>
      <w:proofErr w:type="spellEnd"/>
      <w:r w:rsidR="00024F41" w:rsidRPr="00024F41">
        <w:rPr>
          <w:szCs w:val="22"/>
        </w:rPr>
        <w:t xml:space="preserve"> koronárnych artérií alebo krvných ciev zásobujúcich mozog</w:t>
      </w:r>
    </w:p>
    <w:p w14:paraId="4C49AEDC" w14:textId="71BAAA57" w:rsidR="00024F41" w:rsidRDefault="00024F41" w:rsidP="0002088D">
      <w:pPr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pacientov s</w:t>
      </w:r>
      <w:r w:rsidRPr="00E02E1A">
        <w:rPr>
          <w:szCs w:val="22"/>
        </w:rPr>
        <w:t xml:space="preserve"> </w:t>
      </w:r>
      <w:proofErr w:type="spellStart"/>
      <w:r w:rsidRPr="00E02E1A">
        <w:rPr>
          <w:szCs w:val="22"/>
        </w:rPr>
        <w:t>manifestn</w:t>
      </w:r>
      <w:r w:rsidR="005210D5">
        <w:rPr>
          <w:szCs w:val="22"/>
        </w:rPr>
        <w:t>ým</w:t>
      </w:r>
      <w:proofErr w:type="spellEnd"/>
      <w:r w:rsidRPr="00E02E1A">
        <w:rPr>
          <w:szCs w:val="22"/>
        </w:rPr>
        <w:t xml:space="preserve"> alebo latentn</w:t>
      </w:r>
      <w:r w:rsidR="005210D5">
        <w:rPr>
          <w:szCs w:val="22"/>
        </w:rPr>
        <w:t>ým diabetom mellitus</w:t>
      </w:r>
    </w:p>
    <w:p w14:paraId="41C60630" w14:textId="77777777" w:rsidR="00024F41" w:rsidRDefault="00024F41" w:rsidP="0002088D">
      <w:pPr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pacientov s dnou</w:t>
      </w:r>
    </w:p>
    <w:p w14:paraId="64E8383A" w14:textId="2125AD17" w:rsidR="00024F41" w:rsidRDefault="00024F41" w:rsidP="00024F41">
      <w:pPr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pacientov </w:t>
      </w:r>
      <w:r w:rsidRPr="00E73336">
        <w:rPr>
          <w:szCs w:val="22"/>
        </w:rPr>
        <w:t>s</w:t>
      </w:r>
      <w:r>
        <w:rPr>
          <w:szCs w:val="22"/>
        </w:rPr>
        <w:t> </w:t>
      </w:r>
      <w:proofErr w:type="spellStart"/>
      <w:r w:rsidRPr="00E73336">
        <w:rPr>
          <w:szCs w:val="22"/>
        </w:rPr>
        <w:t>hypo</w:t>
      </w:r>
      <w:r>
        <w:rPr>
          <w:szCs w:val="22"/>
        </w:rPr>
        <w:t>proteiné</w:t>
      </w:r>
      <w:r w:rsidRPr="00E02E1A">
        <w:rPr>
          <w:szCs w:val="22"/>
        </w:rPr>
        <w:t>miou</w:t>
      </w:r>
      <w:proofErr w:type="spellEnd"/>
      <w:r>
        <w:rPr>
          <w:szCs w:val="22"/>
        </w:rPr>
        <w:t xml:space="preserve">, </w:t>
      </w:r>
      <w:r w:rsidRPr="00E02E1A">
        <w:rPr>
          <w:szCs w:val="22"/>
        </w:rPr>
        <w:t xml:space="preserve">napr. spojenou s </w:t>
      </w:r>
      <w:proofErr w:type="spellStart"/>
      <w:r w:rsidRPr="00E02E1A">
        <w:rPr>
          <w:szCs w:val="22"/>
        </w:rPr>
        <w:t>nefrotickým</w:t>
      </w:r>
      <w:proofErr w:type="spellEnd"/>
      <w:r w:rsidRPr="00E02E1A">
        <w:rPr>
          <w:szCs w:val="22"/>
        </w:rPr>
        <w:t xml:space="preserve"> syndrómom</w:t>
      </w:r>
      <w:r>
        <w:rPr>
          <w:szCs w:val="22"/>
        </w:rPr>
        <w:t xml:space="preserve"> (účinok </w:t>
      </w:r>
      <w:proofErr w:type="spellStart"/>
      <w:r>
        <w:rPr>
          <w:szCs w:val="22"/>
        </w:rPr>
        <w:t>furosemidu</w:t>
      </w:r>
      <w:proofErr w:type="spellEnd"/>
      <w:r>
        <w:rPr>
          <w:szCs w:val="22"/>
        </w:rPr>
        <w:t xml:space="preserve"> môže byť oslabený a jeho </w:t>
      </w:r>
      <w:proofErr w:type="spellStart"/>
      <w:r>
        <w:rPr>
          <w:szCs w:val="22"/>
        </w:rPr>
        <w:t>ototoxicita</w:t>
      </w:r>
      <w:proofErr w:type="spellEnd"/>
      <w:r>
        <w:rPr>
          <w:szCs w:val="22"/>
        </w:rPr>
        <w:t xml:space="preserve"> </w:t>
      </w:r>
      <w:r w:rsidR="000F7B31">
        <w:rPr>
          <w:szCs w:val="22"/>
        </w:rPr>
        <w:t>zvýšená</w:t>
      </w:r>
      <w:r>
        <w:rPr>
          <w:szCs w:val="22"/>
        </w:rPr>
        <w:t>). Je potrebná opatrná titrácia dávky.</w:t>
      </w:r>
    </w:p>
    <w:p w14:paraId="3BC1EC47" w14:textId="3D6E0AF8" w:rsidR="002D7A20" w:rsidRDefault="00024F41" w:rsidP="00024F41">
      <w:pPr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</w:r>
      <w:r w:rsidR="002D7A20">
        <w:rPr>
          <w:szCs w:val="22"/>
        </w:rPr>
        <w:t xml:space="preserve">pacientov s </w:t>
      </w:r>
      <w:proofErr w:type="spellStart"/>
      <w:r w:rsidR="002D7A20">
        <w:rPr>
          <w:szCs w:val="22"/>
        </w:rPr>
        <w:t>hepatorenálnym</w:t>
      </w:r>
      <w:proofErr w:type="spellEnd"/>
      <w:r w:rsidR="002D7A20">
        <w:rPr>
          <w:szCs w:val="22"/>
        </w:rPr>
        <w:t xml:space="preserve"> syndrómom, t.j. s funkčným zlyh</w:t>
      </w:r>
      <w:r w:rsidR="000F7B31">
        <w:rPr>
          <w:szCs w:val="22"/>
        </w:rPr>
        <w:t>ávaním</w:t>
      </w:r>
      <w:r w:rsidR="002D7A20">
        <w:rPr>
          <w:szCs w:val="22"/>
        </w:rPr>
        <w:t xml:space="preserve"> obličiek spojeným so závažným ochorením pečene</w:t>
      </w:r>
    </w:p>
    <w:p w14:paraId="19922627" w14:textId="77777777" w:rsidR="002D7A20" w:rsidRDefault="002D7A20" w:rsidP="002D7A20">
      <w:pPr>
        <w:tabs>
          <w:tab w:val="left" w:pos="567"/>
        </w:tabs>
        <w:ind w:left="0" w:firstLine="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u predčasne narodených detí (riziko vzniku </w:t>
      </w:r>
      <w:proofErr w:type="spellStart"/>
      <w:r>
        <w:rPr>
          <w:szCs w:val="22"/>
        </w:rPr>
        <w:t>nefrokalcinózy</w:t>
      </w:r>
      <w:proofErr w:type="spellEnd"/>
      <w:r>
        <w:rPr>
          <w:szCs w:val="22"/>
        </w:rPr>
        <w:t>/</w:t>
      </w:r>
      <w:proofErr w:type="spellStart"/>
      <w:r>
        <w:rPr>
          <w:szCs w:val="22"/>
        </w:rPr>
        <w:t>nefrolitiázy</w:t>
      </w:r>
      <w:proofErr w:type="spellEnd"/>
      <w:r>
        <w:rPr>
          <w:szCs w:val="22"/>
        </w:rPr>
        <w:t xml:space="preserve">; majú sa sledovať </w:t>
      </w:r>
    </w:p>
    <w:p w14:paraId="16CE6F27" w14:textId="0EB258D3" w:rsidR="002D7A20" w:rsidRDefault="002D7A20" w:rsidP="002D7A20">
      <w:pPr>
        <w:tabs>
          <w:tab w:val="left" w:pos="567"/>
        </w:tabs>
        <w:ind w:left="0" w:firstLine="0"/>
        <w:rPr>
          <w:szCs w:val="22"/>
        </w:rPr>
      </w:pPr>
      <w:r>
        <w:rPr>
          <w:szCs w:val="22"/>
        </w:rPr>
        <w:t xml:space="preserve">          renálne funkcie a má sa vykonať sonografia obličiek)</w:t>
      </w:r>
      <w:r w:rsidR="000F7B31">
        <w:rPr>
          <w:szCs w:val="22"/>
        </w:rPr>
        <w:t>.</w:t>
      </w:r>
    </w:p>
    <w:p w14:paraId="088ADB80" w14:textId="77777777" w:rsidR="00024F41" w:rsidRDefault="002D7A20" w:rsidP="002D7A20">
      <w:pPr>
        <w:ind w:left="0" w:firstLine="0"/>
        <w:rPr>
          <w:szCs w:val="22"/>
        </w:rPr>
      </w:pPr>
      <w:r>
        <w:rPr>
          <w:szCs w:val="22"/>
        </w:rPr>
        <w:t>S</w:t>
      </w:r>
      <w:r w:rsidRPr="005A327D">
        <w:rPr>
          <w:szCs w:val="22"/>
        </w:rPr>
        <w:t xml:space="preserve">ymptomatická hypotenzia </w:t>
      </w:r>
      <w:r>
        <w:rPr>
          <w:szCs w:val="22"/>
        </w:rPr>
        <w:t>môže viesť</w:t>
      </w:r>
      <w:r w:rsidRPr="005A327D">
        <w:rPr>
          <w:szCs w:val="22"/>
        </w:rPr>
        <w:t xml:space="preserve"> k závratu, mdlobám alebo strate vedomia u pacientov liečených </w:t>
      </w:r>
      <w:proofErr w:type="spellStart"/>
      <w:r w:rsidRPr="005A327D">
        <w:rPr>
          <w:szCs w:val="22"/>
        </w:rPr>
        <w:t>furosemidom</w:t>
      </w:r>
      <w:proofErr w:type="spellEnd"/>
      <w:r w:rsidRPr="005A327D">
        <w:rPr>
          <w:szCs w:val="22"/>
        </w:rPr>
        <w:t>, a to hlavne u starších pacientov, pacientov užívajúcich iné lieky, ktoré môžu spôsobovať hypotenziu a u pacientov s inými zdravotnými ťažkosťami, ktor</w:t>
      </w:r>
      <w:r>
        <w:rPr>
          <w:szCs w:val="22"/>
        </w:rPr>
        <w:t>é predstavujú</w:t>
      </w:r>
      <w:r w:rsidRPr="005A327D">
        <w:rPr>
          <w:szCs w:val="22"/>
        </w:rPr>
        <w:t xml:space="preserve"> riziko výskytu hypotenzie</w:t>
      </w:r>
      <w:r>
        <w:rPr>
          <w:szCs w:val="22"/>
        </w:rPr>
        <w:t xml:space="preserve">. </w:t>
      </w:r>
    </w:p>
    <w:p w14:paraId="5213770B" w14:textId="77777777" w:rsidR="00E357E3" w:rsidRDefault="00E357E3" w:rsidP="002D7A20">
      <w:pPr>
        <w:ind w:left="0" w:firstLine="0"/>
        <w:rPr>
          <w:szCs w:val="22"/>
        </w:rPr>
      </w:pPr>
    </w:p>
    <w:p w14:paraId="4FCACE04" w14:textId="58CEE566" w:rsidR="00E357E3" w:rsidRPr="00D16BB2" w:rsidRDefault="00E357E3" w:rsidP="002D7A20">
      <w:pPr>
        <w:ind w:left="0" w:firstLine="0"/>
        <w:rPr>
          <w:szCs w:val="22"/>
        </w:rPr>
      </w:pPr>
      <w:r>
        <w:rPr>
          <w:szCs w:val="22"/>
        </w:rPr>
        <w:t xml:space="preserve">U väčšiny pacientov sa odporúča </w:t>
      </w:r>
      <w:r w:rsidR="000F7B31">
        <w:rPr>
          <w:szCs w:val="22"/>
        </w:rPr>
        <w:t xml:space="preserve">pravidelne </w:t>
      </w:r>
      <w:r>
        <w:rPr>
          <w:szCs w:val="22"/>
        </w:rPr>
        <w:t xml:space="preserve">monitorovať sérové hladiny sodíka a draslíka a taktiež </w:t>
      </w:r>
      <w:proofErr w:type="spellStart"/>
      <w:r>
        <w:rPr>
          <w:szCs w:val="22"/>
        </w:rPr>
        <w:t>kreatínu</w:t>
      </w:r>
      <w:proofErr w:type="spellEnd"/>
      <w:r w:rsidR="00D16BB2">
        <w:rPr>
          <w:szCs w:val="22"/>
        </w:rPr>
        <w:t xml:space="preserve"> počas liečby </w:t>
      </w:r>
      <w:proofErr w:type="spellStart"/>
      <w:r w:rsidR="00D16BB2">
        <w:rPr>
          <w:szCs w:val="22"/>
        </w:rPr>
        <w:t>furosemidom</w:t>
      </w:r>
      <w:proofErr w:type="spellEnd"/>
      <w:r w:rsidR="00D16BB2">
        <w:rPr>
          <w:szCs w:val="22"/>
        </w:rPr>
        <w:t xml:space="preserve">. Zvlášť starostlivé sledovanie sa vyžaduje u pacientov so zvýšeným rizikom rozvoja nerovnováhy elektrolytov, </w:t>
      </w:r>
      <w:r w:rsidR="00D16BB2" w:rsidRPr="005A327D">
        <w:rPr>
          <w:rStyle w:val="hps"/>
          <w:color w:val="222222"/>
          <w:szCs w:val="22"/>
        </w:rPr>
        <w:t>alebo</w:t>
      </w:r>
      <w:r w:rsidR="00D16BB2" w:rsidRPr="005A327D">
        <w:rPr>
          <w:color w:val="222222"/>
          <w:szCs w:val="22"/>
        </w:rPr>
        <w:t xml:space="preserve"> </w:t>
      </w:r>
      <w:r w:rsidR="00D16BB2" w:rsidRPr="005A327D">
        <w:rPr>
          <w:rStyle w:val="hps"/>
          <w:color w:val="222222"/>
          <w:szCs w:val="22"/>
        </w:rPr>
        <w:t>v</w:t>
      </w:r>
      <w:r w:rsidR="00D16BB2" w:rsidRPr="005A327D">
        <w:rPr>
          <w:color w:val="222222"/>
          <w:szCs w:val="22"/>
        </w:rPr>
        <w:t xml:space="preserve"> </w:t>
      </w:r>
      <w:r w:rsidR="00D16BB2" w:rsidRPr="005A327D">
        <w:rPr>
          <w:rStyle w:val="hps"/>
          <w:color w:val="222222"/>
          <w:szCs w:val="22"/>
        </w:rPr>
        <w:t>prípade</w:t>
      </w:r>
      <w:r w:rsidR="00D16BB2" w:rsidRPr="005A327D">
        <w:rPr>
          <w:color w:val="222222"/>
          <w:szCs w:val="22"/>
        </w:rPr>
        <w:t xml:space="preserve"> </w:t>
      </w:r>
      <w:r w:rsidR="00D16BB2" w:rsidRPr="005A327D">
        <w:rPr>
          <w:rStyle w:val="hps"/>
          <w:color w:val="222222"/>
          <w:szCs w:val="22"/>
        </w:rPr>
        <w:t>ďalš</w:t>
      </w:r>
      <w:r w:rsidR="00D16BB2">
        <w:rPr>
          <w:rStyle w:val="hps"/>
          <w:color w:val="222222"/>
          <w:szCs w:val="22"/>
        </w:rPr>
        <w:t>ej</w:t>
      </w:r>
      <w:r w:rsidR="00D16BB2" w:rsidRPr="005A327D">
        <w:rPr>
          <w:rStyle w:val="hps"/>
          <w:color w:val="222222"/>
          <w:szCs w:val="22"/>
        </w:rPr>
        <w:t xml:space="preserve"> </w:t>
      </w:r>
      <w:r w:rsidR="00D16BB2" w:rsidRPr="00E02E1A">
        <w:rPr>
          <w:rStyle w:val="hps"/>
          <w:color w:val="222222"/>
          <w:szCs w:val="22"/>
        </w:rPr>
        <w:t>výraznej</w:t>
      </w:r>
      <w:r w:rsidR="00D16BB2" w:rsidRPr="00E02E1A">
        <w:rPr>
          <w:color w:val="222222"/>
          <w:szCs w:val="22"/>
        </w:rPr>
        <w:t xml:space="preserve"> </w:t>
      </w:r>
      <w:r w:rsidR="00D16BB2" w:rsidRPr="005A327D">
        <w:rPr>
          <w:rStyle w:val="hps"/>
          <w:color w:val="222222"/>
          <w:szCs w:val="22"/>
        </w:rPr>
        <w:t>strat</w:t>
      </w:r>
      <w:r w:rsidR="00D16BB2">
        <w:rPr>
          <w:rStyle w:val="hps"/>
          <w:color w:val="222222"/>
          <w:szCs w:val="22"/>
        </w:rPr>
        <w:t>y</w:t>
      </w:r>
      <w:r w:rsidR="00D16BB2" w:rsidRPr="005A327D">
        <w:rPr>
          <w:color w:val="222222"/>
          <w:szCs w:val="22"/>
        </w:rPr>
        <w:t xml:space="preserve"> </w:t>
      </w:r>
      <w:r w:rsidR="00D16BB2" w:rsidRPr="005A327D">
        <w:rPr>
          <w:rStyle w:val="hps"/>
          <w:color w:val="222222"/>
          <w:szCs w:val="22"/>
        </w:rPr>
        <w:t>tekutín</w:t>
      </w:r>
      <w:r w:rsidR="00281929">
        <w:rPr>
          <w:rStyle w:val="hps"/>
          <w:color w:val="222222"/>
          <w:szCs w:val="22"/>
        </w:rPr>
        <w:t xml:space="preserve"> (napr. </w:t>
      </w:r>
      <w:r w:rsidR="00281929" w:rsidRPr="00AD0D2F">
        <w:rPr>
          <w:szCs w:val="22"/>
        </w:rPr>
        <w:t>vracan</w:t>
      </w:r>
      <w:r w:rsidR="00281929">
        <w:rPr>
          <w:szCs w:val="22"/>
        </w:rPr>
        <w:t>ie</w:t>
      </w:r>
      <w:r w:rsidR="00281929" w:rsidRPr="00AD0D2F">
        <w:rPr>
          <w:szCs w:val="22"/>
        </w:rPr>
        <w:t>, hnačk</w:t>
      </w:r>
      <w:r w:rsidR="00281929">
        <w:rPr>
          <w:szCs w:val="22"/>
        </w:rPr>
        <w:t>a</w:t>
      </w:r>
      <w:r w:rsidR="00281929" w:rsidRPr="00AD0D2F">
        <w:rPr>
          <w:szCs w:val="22"/>
        </w:rPr>
        <w:t xml:space="preserve"> a intenzívn</w:t>
      </w:r>
      <w:r w:rsidR="00281929">
        <w:rPr>
          <w:szCs w:val="22"/>
        </w:rPr>
        <w:t>e</w:t>
      </w:r>
      <w:r w:rsidR="00281929" w:rsidRPr="00AD0D2F">
        <w:rPr>
          <w:szCs w:val="22"/>
        </w:rPr>
        <w:t xml:space="preserve"> poten</w:t>
      </w:r>
      <w:r w:rsidR="00281929">
        <w:rPr>
          <w:szCs w:val="22"/>
        </w:rPr>
        <w:t>ie)</w:t>
      </w:r>
      <w:r w:rsidR="00D16BB2" w:rsidRPr="005A327D">
        <w:rPr>
          <w:color w:val="222222"/>
          <w:szCs w:val="22"/>
        </w:rPr>
        <w:t>.</w:t>
      </w:r>
      <w:r w:rsidR="00281929">
        <w:rPr>
          <w:color w:val="222222"/>
          <w:szCs w:val="22"/>
        </w:rPr>
        <w:t xml:space="preserve"> </w:t>
      </w:r>
      <w:proofErr w:type="spellStart"/>
      <w:r w:rsidR="00281929" w:rsidRPr="00281929">
        <w:rPr>
          <w:color w:val="222222"/>
          <w:szCs w:val="22"/>
        </w:rPr>
        <w:t>Hypovolémia</w:t>
      </w:r>
      <w:proofErr w:type="spellEnd"/>
      <w:r w:rsidR="00281929" w:rsidRPr="00281929">
        <w:rPr>
          <w:color w:val="222222"/>
          <w:szCs w:val="22"/>
        </w:rPr>
        <w:t xml:space="preserve"> alebo dehydratácia, ako aj všetky významné </w:t>
      </w:r>
      <w:proofErr w:type="spellStart"/>
      <w:r w:rsidR="00281929" w:rsidRPr="00281929">
        <w:rPr>
          <w:color w:val="222222"/>
          <w:szCs w:val="22"/>
        </w:rPr>
        <w:t>elektrolytové</w:t>
      </w:r>
      <w:proofErr w:type="spellEnd"/>
      <w:r w:rsidR="00281929" w:rsidRPr="00281929">
        <w:rPr>
          <w:color w:val="222222"/>
          <w:szCs w:val="22"/>
        </w:rPr>
        <w:t xml:space="preserve"> a</w:t>
      </w:r>
      <w:r w:rsidR="000F7B31">
        <w:rPr>
          <w:color w:val="222222"/>
          <w:szCs w:val="22"/>
        </w:rPr>
        <w:t> </w:t>
      </w:r>
      <w:proofErr w:type="spellStart"/>
      <w:r w:rsidR="00281929" w:rsidRPr="00281929">
        <w:rPr>
          <w:color w:val="222222"/>
          <w:szCs w:val="22"/>
        </w:rPr>
        <w:t>acido</w:t>
      </w:r>
      <w:proofErr w:type="spellEnd"/>
      <w:r w:rsidR="000F7B31">
        <w:rPr>
          <w:color w:val="222222"/>
          <w:szCs w:val="22"/>
        </w:rPr>
        <w:t>-</w:t>
      </w:r>
      <w:r w:rsidR="00281929" w:rsidRPr="00281929">
        <w:rPr>
          <w:color w:val="222222"/>
          <w:szCs w:val="22"/>
        </w:rPr>
        <w:t>bázické poruchy musia byť upravené.</w:t>
      </w:r>
      <w:r w:rsidR="00281929">
        <w:rPr>
          <w:color w:val="222222"/>
          <w:szCs w:val="22"/>
        </w:rPr>
        <w:t xml:space="preserve"> </w:t>
      </w:r>
      <w:r w:rsidR="000F7B31">
        <w:rPr>
          <w:color w:val="222222"/>
          <w:szCs w:val="22"/>
        </w:rPr>
        <w:t>Aby sa to dosiahlo, m</w:t>
      </w:r>
      <w:r w:rsidR="0044064C">
        <w:rPr>
          <w:color w:val="222222"/>
          <w:szCs w:val="22"/>
        </w:rPr>
        <w:t xml:space="preserve">ôže byť potrebné prerušiť liečbu </w:t>
      </w:r>
      <w:proofErr w:type="spellStart"/>
      <w:r w:rsidR="0044064C">
        <w:rPr>
          <w:color w:val="222222"/>
          <w:szCs w:val="22"/>
        </w:rPr>
        <w:t>furosemidom</w:t>
      </w:r>
      <w:proofErr w:type="spellEnd"/>
      <w:r w:rsidR="0044064C">
        <w:rPr>
          <w:color w:val="222222"/>
          <w:szCs w:val="22"/>
        </w:rPr>
        <w:t xml:space="preserve">. </w:t>
      </w:r>
      <w:r w:rsidR="00D16BB2">
        <w:rPr>
          <w:szCs w:val="22"/>
        </w:rPr>
        <w:t xml:space="preserve"> </w:t>
      </w:r>
    </w:p>
    <w:p w14:paraId="324E544F" w14:textId="77777777" w:rsidR="00024F41" w:rsidRDefault="00024F41" w:rsidP="0002088D">
      <w:pPr>
        <w:rPr>
          <w:szCs w:val="22"/>
        </w:rPr>
      </w:pPr>
    </w:p>
    <w:p w14:paraId="020520E9" w14:textId="77777777" w:rsidR="0044064C" w:rsidRDefault="0044064C" w:rsidP="0002088D">
      <w:pPr>
        <w:rPr>
          <w:szCs w:val="22"/>
        </w:rPr>
      </w:pPr>
      <w:r>
        <w:rPr>
          <w:szCs w:val="22"/>
        </w:rPr>
        <w:t>Súbežné užívanie s </w:t>
      </w:r>
      <w:proofErr w:type="spellStart"/>
      <w:r>
        <w:rPr>
          <w:szCs w:val="22"/>
        </w:rPr>
        <w:t>risperidónom</w:t>
      </w:r>
      <w:proofErr w:type="spellEnd"/>
    </w:p>
    <w:p w14:paraId="19CC45B1" w14:textId="5D053D6B" w:rsidR="0044064C" w:rsidRDefault="0044064C" w:rsidP="0044064C">
      <w:pPr>
        <w:ind w:left="0" w:firstLine="0"/>
        <w:rPr>
          <w:color w:val="222222"/>
          <w:szCs w:val="22"/>
        </w:rPr>
      </w:pPr>
      <w:r w:rsidRPr="0044064C">
        <w:rPr>
          <w:szCs w:val="22"/>
        </w:rPr>
        <w:t xml:space="preserve">V placebom kontrolovaných klinických štúdiách s </w:t>
      </w:r>
      <w:proofErr w:type="spellStart"/>
      <w:r w:rsidRPr="0044064C">
        <w:rPr>
          <w:szCs w:val="22"/>
        </w:rPr>
        <w:t>risperidónom</w:t>
      </w:r>
      <w:proofErr w:type="spellEnd"/>
      <w:r w:rsidRPr="0044064C">
        <w:rPr>
          <w:szCs w:val="22"/>
        </w:rPr>
        <w:t xml:space="preserve"> u starších pacientov s demenciou sa pozorovala vyššia </w:t>
      </w:r>
      <w:proofErr w:type="spellStart"/>
      <w:r w:rsidRPr="0044064C">
        <w:rPr>
          <w:szCs w:val="22"/>
        </w:rPr>
        <w:t>incidencia</w:t>
      </w:r>
      <w:proofErr w:type="spellEnd"/>
      <w:r w:rsidRPr="0044064C">
        <w:rPr>
          <w:szCs w:val="22"/>
        </w:rPr>
        <w:t xml:space="preserve"> mortality u tých, ktorí boli liečení </w:t>
      </w:r>
      <w:proofErr w:type="spellStart"/>
      <w:r w:rsidRPr="0044064C">
        <w:rPr>
          <w:szCs w:val="22"/>
        </w:rPr>
        <w:t>furosemidom</w:t>
      </w:r>
      <w:proofErr w:type="spellEnd"/>
      <w:r w:rsidRPr="0044064C">
        <w:rPr>
          <w:szCs w:val="22"/>
        </w:rPr>
        <w:t xml:space="preserve"> súbežne s</w:t>
      </w:r>
      <w:r w:rsidR="00C13301">
        <w:rPr>
          <w:szCs w:val="22"/>
        </w:rPr>
        <w:t> </w:t>
      </w:r>
      <w:proofErr w:type="spellStart"/>
      <w:r w:rsidRPr="0044064C">
        <w:rPr>
          <w:szCs w:val="22"/>
        </w:rPr>
        <w:t>risperidónom</w:t>
      </w:r>
      <w:proofErr w:type="spellEnd"/>
      <w:r w:rsidR="00C13301">
        <w:rPr>
          <w:szCs w:val="22"/>
        </w:rPr>
        <w:t xml:space="preserve"> </w:t>
      </w:r>
      <w:r w:rsidR="00C13301" w:rsidRPr="00C13301">
        <w:rPr>
          <w:szCs w:val="22"/>
        </w:rPr>
        <w:t xml:space="preserve">(7,3%; </w:t>
      </w:r>
      <w:r w:rsidR="000F7B31">
        <w:rPr>
          <w:szCs w:val="22"/>
        </w:rPr>
        <w:t>medián</w:t>
      </w:r>
      <w:r w:rsidR="00C13301" w:rsidRPr="00C13301">
        <w:rPr>
          <w:szCs w:val="22"/>
        </w:rPr>
        <w:t xml:space="preserve"> vek</w:t>
      </w:r>
      <w:r w:rsidR="000F7B31">
        <w:rPr>
          <w:szCs w:val="22"/>
        </w:rPr>
        <w:t>u</w:t>
      </w:r>
      <w:r w:rsidR="00C13301" w:rsidRPr="00C13301">
        <w:rPr>
          <w:szCs w:val="22"/>
        </w:rPr>
        <w:t>: 89 rokov, vekové rozpätie: 75-97 rokov)</w:t>
      </w:r>
      <w:r w:rsidRPr="0044064C">
        <w:rPr>
          <w:szCs w:val="22"/>
        </w:rPr>
        <w:t xml:space="preserve"> v porovnaní s pacientmi liečenými samotným </w:t>
      </w:r>
      <w:proofErr w:type="spellStart"/>
      <w:r w:rsidRPr="0044064C">
        <w:rPr>
          <w:szCs w:val="22"/>
        </w:rPr>
        <w:t>risperidónom</w:t>
      </w:r>
      <w:proofErr w:type="spellEnd"/>
      <w:r w:rsidRPr="0044064C">
        <w:rPr>
          <w:szCs w:val="22"/>
        </w:rPr>
        <w:t xml:space="preserve"> </w:t>
      </w:r>
      <w:r w:rsidR="00C13301" w:rsidRPr="00C13301">
        <w:rPr>
          <w:szCs w:val="22"/>
        </w:rPr>
        <w:t xml:space="preserve">(3,1%; </w:t>
      </w:r>
      <w:r w:rsidR="000F7B31">
        <w:rPr>
          <w:szCs w:val="22"/>
        </w:rPr>
        <w:t>medián</w:t>
      </w:r>
      <w:r w:rsidR="00C13301" w:rsidRPr="00C13301">
        <w:rPr>
          <w:szCs w:val="22"/>
        </w:rPr>
        <w:t xml:space="preserve"> vek</w:t>
      </w:r>
      <w:r w:rsidR="000F7B31">
        <w:rPr>
          <w:szCs w:val="22"/>
        </w:rPr>
        <w:t>u</w:t>
      </w:r>
      <w:r w:rsidR="00C13301" w:rsidRPr="00C13301">
        <w:rPr>
          <w:szCs w:val="22"/>
        </w:rPr>
        <w:t>: 84 rokov, vekové rozpätie: 70-96 rokov)</w:t>
      </w:r>
      <w:r w:rsidR="00C13301">
        <w:rPr>
          <w:szCs w:val="22"/>
        </w:rPr>
        <w:t xml:space="preserve"> </w:t>
      </w:r>
      <w:r w:rsidRPr="0044064C">
        <w:rPr>
          <w:szCs w:val="22"/>
        </w:rPr>
        <w:t xml:space="preserve">alebo samotným </w:t>
      </w:r>
      <w:proofErr w:type="spellStart"/>
      <w:r w:rsidRPr="0044064C">
        <w:rPr>
          <w:szCs w:val="22"/>
        </w:rPr>
        <w:t>furosemidom</w:t>
      </w:r>
      <w:proofErr w:type="spellEnd"/>
      <w:r w:rsidR="00C13301">
        <w:rPr>
          <w:szCs w:val="22"/>
        </w:rPr>
        <w:t xml:space="preserve"> </w:t>
      </w:r>
      <w:r w:rsidR="00C13301" w:rsidRPr="00C13301">
        <w:rPr>
          <w:szCs w:val="22"/>
        </w:rPr>
        <w:t xml:space="preserve">(4,1%; </w:t>
      </w:r>
      <w:r w:rsidR="000F7B31">
        <w:rPr>
          <w:szCs w:val="22"/>
        </w:rPr>
        <w:t>medián</w:t>
      </w:r>
      <w:r w:rsidR="00C13301" w:rsidRPr="00C13301">
        <w:rPr>
          <w:szCs w:val="22"/>
        </w:rPr>
        <w:t xml:space="preserve"> vek</w:t>
      </w:r>
      <w:r w:rsidR="000F7B31">
        <w:rPr>
          <w:szCs w:val="22"/>
        </w:rPr>
        <w:t>u</w:t>
      </w:r>
      <w:r w:rsidR="00C13301" w:rsidRPr="00C13301">
        <w:rPr>
          <w:szCs w:val="22"/>
        </w:rPr>
        <w:t>: 80 rokov, vekové rozpätie: 67-90 rokov).</w:t>
      </w:r>
      <w:r w:rsidR="00C13301">
        <w:rPr>
          <w:szCs w:val="22"/>
        </w:rPr>
        <w:t xml:space="preserve"> </w:t>
      </w:r>
      <w:r w:rsidR="00C13301" w:rsidRPr="005A327D">
        <w:rPr>
          <w:rStyle w:val="hps"/>
          <w:color w:val="222222"/>
          <w:szCs w:val="22"/>
        </w:rPr>
        <w:t>Sú</w:t>
      </w:r>
      <w:r w:rsidR="000F7B31">
        <w:rPr>
          <w:rStyle w:val="hps"/>
          <w:color w:val="222222"/>
          <w:szCs w:val="22"/>
        </w:rPr>
        <w:t>bežné</w:t>
      </w:r>
      <w:r w:rsidR="00C13301" w:rsidRPr="005A327D">
        <w:rPr>
          <w:color w:val="222222"/>
          <w:szCs w:val="22"/>
        </w:rPr>
        <w:t xml:space="preserve"> </w:t>
      </w:r>
      <w:r w:rsidR="00C13301" w:rsidRPr="005A327D">
        <w:rPr>
          <w:rStyle w:val="hps"/>
          <w:color w:val="222222"/>
          <w:szCs w:val="22"/>
        </w:rPr>
        <w:t>užívanie</w:t>
      </w:r>
      <w:r w:rsidR="00C13301" w:rsidRPr="005A327D">
        <w:rPr>
          <w:color w:val="222222"/>
          <w:szCs w:val="22"/>
        </w:rPr>
        <w:t xml:space="preserve"> </w:t>
      </w:r>
      <w:proofErr w:type="spellStart"/>
      <w:r w:rsidR="00C13301" w:rsidRPr="005A327D">
        <w:rPr>
          <w:rStyle w:val="hps"/>
          <w:color w:val="222222"/>
          <w:szCs w:val="22"/>
        </w:rPr>
        <w:t>risperidónu</w:t>
      </w:r>
      <w:proofErr w:type="spellEnd"/>
      <w:r w:rsidR="00C13301" w:rsidRPr="005A327D">
        <w:rPr>
          <w:color w:val="222222"/>
          <w:szCs w:val="22"/>
        </w:rPr>
        <w:t xml:space="preserve"> </w:t>
      </w:r>
      <w:r w:rsidR="00C13301" w:rsidRPr="005A327D">
        <w:rPr>
          <w:rStyle w:val="hps"/>
          <w:color w:val="222222"/>
          <w:szCs w:val="22"/>
        </w:rPr>
        <w:t>a iných diuretík</w:t>
      </w:r>
      <w:r w:rsidR="00C13301" w:rsidRPr="005A327D">
        <w:rPr>
          <w:color w:val="222222"/>
          <w:szCs w:val="22"/>
        </w:rPr>
        <w:t xml:space="preserve"> </w:t>
      </w:r>
      <w:r w:rsidR="00C13301" w:rsidRPr="005A327D">
        <w:rPr>
          <w:rStyle w:val="hps"/>
          <w:color w:val="222222"/>
          <w:szCs w:val="22"/>
        </w:rPr>
        <w:t>(</w:t>
      </w:r>
      <w:r w:rsidR="00C13301" w:rsidRPr="005A327D">
        <w:rPr>
          <w:color w:val="222222"/>
          <w:szCs w:val="22"/>
        </w:rPr>
        <w:t xml:space="preserve">najmä </w:t>
      </w:r>
      <w:proofErr w:type="spellStart"/>
      <w:r w:rsidR="00C13301" w:rsidRPr="005A327D">
        <w:rPr>
          <w:color w:val="222222"/>
          <w:szCs w:val="22"/>
        </w:rPr>
        <w:t>tiazidových</w:t>
      </w:r>
      <w:proofErr w:type="spellEnd"/>
      <w:r w:rsidR="00C13301" w:rsidRPr="005A327D">
        <w:rPr>
          <w:color w:val="222222"/>
          <w:szCs w:val="22"/>
        </w:rPr>
        <w:t xml:space="preserve"> </w:t>
      </w:r>
      <w:r w:rsidR="00C13301" w:rsidRPr="005A327D">
        <w:rPr>
          <w:rStyle w:val="hps"/>
          <w:color w:val="222222"/>
          <w:szCs w:val="22"/>
        </w:rPr>
        <w:t>diuretík užívaných</w:t>
      </w:r>
      <w:r w:rsidR="00C13301" w:rsidRPr="005A327D">
        <w:rPr>
          <w:color w:val="222222"/>
          <w:szCs w:val="22"/>
        </w:rPr>
        <w:t xml:space="preserve"> </w:t>
      </w:r>
      <w:r w:rsidR="00C13301" w:rsidRPr="005A327D">
        <w:rPr>
          <w:rStyle w:val="hps"/>
          <w:color w:val="222222"/>
          <w:szCs w:val="22"/>
        </w:rPr>
        <w:t>v</w:t>
      </w:r>
      <w:r w:rsidR="00C13301">
        <w:rPr>
          <w:color w:val="222222"/>
          <w:szCs w:val="22"/>
        </w:rPr>
        <w:t> </w:t>
      </w:r>
      <w:r w:rsidR="00C13301" w:rsidRPr="005A327D">
        <w:rPr>
          <w:rStyle w:val="hps"/>
          <w:color w:val="222222"/>
          <w:szCs w:val="22"/>
        </w:rPr>
        <w:t>nízkych dávkach)</w:t>
      </w:r>
      <w:r w:rsidR="00C13301" w:rsidRPr="005A327D">
        <w:rPr>
          <w:color w:val="222222"/>
          <w:szCs w:val="22"/>
        </w:rPr>
        <w:t xml:space="preserve"> </w:t>
      </w:r>
      <w:r w:rsidR="00C13301" w:rsidRPr="005A327D">
        <w:rPr>
          <w:rStyle w:val="hps"/>
          <w:color w:val="222222"/>
          <w:szCs w:val="22"/>
        </w:rPr>
        <w:t>nebolo spojené</w:t>
      </w:r>
      <w:r w:rsidR="00C13301" w:rsidRPr="005A327D">
        <w:rPr>
          <w:color w:val="222222"/>
          <w:szCs w:val="22"/>
        </w:rPr>
        <w:t xml:space="preserve"> </w:t>
      </w:r>
      <w:r w:rsidR="00C13301" w:rsidRPr="005A327D">
        <w:rPr>
          <w:rStyle w:val="hps"/>
          <w:color w:val="222222"/>
          <w:szCs w:val="22"/>
        </w:rPr>
        <w:t>s</w:t>
      </w:r>
      <w:r w:rsidR="00C13301" w:rsidRPr="005A327D">
        <w:rPr>
          <w:color w:val="222222"/>
          <w:szCs w:val="22"/>
        </w:rPr>
        <w:t xml:space="preserve"> </w:t>
      </w:r>
      <w:r w:rsidR="00C13301" w:rsidRPr="005A327D">
        <w:rPr>
          <w:rStyle w:val="hps"/>
          <w:color w:val="222222"/>
          <w:szCs w:val="22"/>
        </w:rPr>
        <w:t>podobnými</w:t>
      </w:r>
      <w:r w:rsidR="00C13301" w:rsidRPr="005A327D">
        <w:rPr>
          <w:color w:val="222222"/>
          <w:szCs w:val="22"/>
        </w:rPr>
        <w:t xml:space="preserve"> </w:t>
      </w:r>
      <w:r w:rsidR="000F7B31">
        <w:rPr>
          <w:color w:val="222222"/>
          <w:szCs w:val="22"/>
        </w:rPr>
        <w:t>zisteniami</w:t>
      </w:r>
      <w:r w:rsidR="00C13301" w:rsidRPr="005A327D">
        <w:rPr>
          <w:color w:val="222222"/>
          <w:szCs w:val="22"/>
        </w:rPr>
        <w:t>.</w:t>
      </w:r>
    </w:p>
    <w:p w14:paraId="4C9A4FE0" w14:textId="2D122BA2" w:rsidR="00C13301" w:rsidRDefault="00C13301" w:rsidP="0044064C">
      <w:pPr>
        <w:ind w:left="0" w:firstLine="0"/>
        <w:rPr>
          <w:szCs w:val="22"/>
        </w:rPr>
      </w:pPr>
      <w:r w:rsidRPr="00C13301">
        <w:rPr>
          <w:szCs w:val="22"/>
        </w:rPr>
        <w:t xml:space="preserve">Nebol identifikovaný žiadny </w:t>
      </w:r>
      <w:proofErr w:type="spellStart"/>
      <w:r w:rsidRPr="00C13301">
        <w:rPr>
          <w:szCs w:val="22"/>
        </w:rPr>
        <w:t>patofyziologický</w:t>
      </w:r>
      <w:proofErr w:type="spellEnd"/>
      <w:r w:rsidRPr="00C13301">
        <w:rPr>
          <w:szCs w:val="22"/>
        </w:rPr>
        <w:t xml:space="preserve"> mechanizmus, ktorý by vysvetľoval tento výskyt, a nebol pozorovaný </w:t>
      </w:r>
      <w:r w:rsidRPr="001D6050">
        <w:rPr>
          <w:szCs w:val="22"/>
        </w:rPr>
        <w:t>konzistentný vzorec</w:t>
      </w:r>
      <w:r w:rsidRPr="00C13301">
        <w:rPr>
          <w:szCs w:val="22"/>
        </w:rPr>
        <w:t xml:space="preserve"> pre príčinu smrti. Pred rozhodnutím o použití tohto lieku je však potrebná opatrnosť, </w:t>
      </w:r>
      <w:r>
        <w:rPr>
          <w:szCs w:val="22"/>
        </w:rPr>
        <w:t xml:space="preserve">a je potrebné vziať </w:t>
      </w:r>
      <w:r w:rsidRPr="00C13301">
        <w:rPr>
          <w:szCs w:val="22"/>
        </w:rPr>
        <w:t>do úvahy riziká a prínosy tejto kombinácie alebo súbežnej liečby inými silnými diuretikami.</w:t>
      </w:r>
      <w:r>
        <w:rPr>
          <w:szCs w:val="22"/>
        </w:rPr>
        <w:t xml:space="preserve"> </w:t>
      </w:r>
      <w:r w:rsidRPr="00C13301">
        <w:rPr>
          <w:szCs w:val="22"/>
        </w:rPr>
        <w:t>Nezistil sa zvýšený výskyt úmrtnosti u pacientov užívajúcich sú</w:t>
      </w:r>
      <w:r w:rsidR="000F7B31">
        <w:rPr>
          <w:szCs w:val="22"/>
        </w:rPr>
        <w:t>bežne</w:t>
      </w:r>
      <w:r w:rsidRPr="00C13301">
        <w:rPr>
          <w:szCs w:val="22"/>
        </w:rPr>
        <w:t xml:space="preserve"> s </w:t>
      </w:r>
      <w:proofErr w:type="spellStart"/>
      <w:r w:rsidRPr="00C13301">
        <w:rPr>
          <w:szCs w:val="22"/>
        </w:rPr>
        <w:t>risperidónom</w:t>
      </w:r>
      <w:proofErr w:type="spellEnd"/>
      <w:r w:rsidRPr="00C13301">
        <w:rPr>
          <w:szCs w:val="22"/>
        </w:rPr>
        <w:t xml:space="preserve"> ďalšie diuretiká. Bez ohľadu na liečbu</w:t>
      </w:r>
      <w:r>
        <w:rPr>
          <w:szCs w:val="22"/>
        </w:rPr>
        <w:t>,</w:t>
      </w:r>
      <w:r w:rsidRPr="00C13301">
        <w:rPr>
          <w:szCs w:val="22"/>
        </w:rPr>
        <w:t xml:space="preserve"> dehydratácia bola faktorom celkového rizika úmrtnosti, a preto sa jej treba vyhnúť u pacientov s demenciou (pozri časť 4.3).</w:t>
      </w:r>
    </w:p>
    <w:p w14:paraId="56F7142C" w14:textId="77777777" w:rsidR="00C13301" w:rsidRDefault="00C13301" w:rsidP="0044064C">
      <w:pPr>
        <w:ind w:left="0" w:firstLine="0"/>
        <w:rPr>
          <w:szCs w:val="22"/>
        </w:rPr>
      </w:pPr>
    </w:p>
    <w:p w14:paraId="5FCDC6FB" w14:textId="77777777" w:rsidR="00C13301" w:rsidRPr="005A327D" w:rsidRDefault="00C13301" w:rsidP="00C13301">
      <w:pPr>
        <w:ind w:right="-1"/>
        <w:rPr>
          <w:szCs w:val="22"/>
        </w:rPr>
      </w:pPr>
      <w:r w:rsidRPr="005A327D">
        <w:rPr>
          <w:szCs w:val="22"/>
        </w:rPr>
        <w:t xml:space="preserve">Existuje možnosť exacerbácie alebo aktivácie systémového </w:t>
      </w:r>
      <w:proofErr w:type="spellStart"/>
      <w:r w:rsidRPr="00AA1141">
        <w:rPr>
          <w:i/>
          <w:szCs w:val="22"/>
        </w:rPr>
        <w:t>lupusu</w:t>
      </w:r>
      <w:proofErr w:type="spellEnd"/>
      <w:r w:rsidRPr="00AA1141">
        <w:rPr>
          <w:i/>
          <w:szCs w:val="22"/>
        </w:rPr>
        <w:t xml:space="preserve"> </w:t>
      </w:r>
      <w:proofErr w:type="spellStart"/>
      <w:r w:rsidRPr="00AA1141">
        <w:rPr>
          <w:i/>
          <w:szCs w:val="22"/>
        </w:rPr>
        <w:t>erythematosus</w:t>
      </w:r>
      <w:proofErr w:type="spellEnd"/>
      <w:r w:rsidRPr="005A327D">
        <w:rPr>
          <w:szCs w:val="22"/>
        </w:rPr>
        <w:t>.</w:t>
      </w:r>
    </w:p>
    <w:p w14:paraId="745773B5" w14:textId="77777777" w:rsidR="00C13301" w:rsidRDefault="00C13301" w:rsidP="0044064C">
      <w:pPr>
        <w:ind w:left="0" w:firstLine="0"/>
        <w:rPr>
          <w:szCs w:val="22"/>
        </w:rPr>
      </w:pPr>
    </w:p>
    <w:p w14:paraId="59FECF81" w14:textId="77777777" w:rsidR="00F56A41" w:rsidRDefault="00F56A41" w:rsidP="0044064C">
      <w:pPr>
        <w:ind w:left="0" w:firstLine="0"/>
      </w:pPr>
      <w:r>
        <w:t xml:space="preserve">Tento liek obsahuje laktózu. Pacienti so zriedkavými dedičnými problémami </w:t>
      </w:r>
      <w:proofErr w:type="spellStart"/>
      <w:r>
        <w:t>galaktózovej</w:t>
      </w:r>
      <w:proofErr w:type="spellEnd"/>
      <w:r>
        <w:t xml:space="preserve"> intolerancie, celkovým deficitom </w:t>
      </w:r>
      <w:proofErr w:type="spellStart"/>
      <w:r>
        <w:t>laktázy</w:t>
      </w:r>
      <w:proofErr w:type="spellEnd"/>
      <w:r>
        <w:t xml:space="preserve"> alebo </w:t>
      </w:r>
      <w:proofErr w:type="spellStart"/>
      <w:r>
        <w:t>glukózo-galaktózovou</w:t>
      </w:r>
      <w:proofErr w:type="spellEnd"/>
      <w:r>
        <w:t xml:space="preserve"> </w:t>
      </w:r>
      <w:proofErr w:type="spellStart"/>
      <w:r>
        <w:t>malabsorpciou</w:t>
      </w:r>
      <w:proofErr w:type="spellEnd"/>
      <w:r>
        <w:t xml:space="preserve"> nesmú užívať tento liek.</w:t>
      </w:r>
    </w:p>
    <w:p w14:paraId="1F6B5F4F" w14:textId="77777777" w:rsidR="00F56A41" w:rsidRDefault="00F56A41" w:rsidP="0044064C">
      <w:pPr>
        <w:ind w:left="0" w:firstLine="0"/>
      </w:pPr>
    </w:p>
    <w:p w14:paraId="75340C33" w14:textId="2D209FB3" w:rsidR="0044064C" w:rsidRPr="005A327D" w:rsidRDefault="00F56A41" w:rsidP="00F56A41">
      <w:pPr>
        <w:ind w:left="0" w:firstLine="0"/>
        <w:rPr>
          <w:szCs w:val="22"/>
        </w:rPr>
      </w:pPr>
      <w:r w:rsidRPr="00F56A41">
        <w:t>Tento liek obsahuje menej ako 1 mmol sodíka (23 mg) v</w:t>
      </w:r>
      <w:r>
        <w:t xml:space="preserve"> tablete</w:t>
      </w:r>
      <w:r w:rsidRPr="00F56A41">
        <w:t>, t.j. v podstate zanedbateľné množstvo sodíka.</w:t>
      </w:r>
    </w:p>
    <w:p w14:paraId="68C4EAB3" w14:textId="77777777" w:rsidR="00780926" w:rsidRPr="003021DE" w:rsidRDefault="00780926" w:rsidP="00E41B3F">
      <w:pPr>
        <w:rPr>
          <w:szCs w:val="22"/>
        </w:rPr>
      </w:pPr>
    </w:p>
    <w:p w14:paraId="656CBDB3" w14:textId="77777777" w:rsidR="00780926" w:rsidRPr="003021DE" w:rsidRDefault="00F35CE2" w:rsidP="00E41B3F">
      <w:pPr>
        <w:rPr>
          <w:b/>
          <w:szCs w:val="22"/>
        </w:rPr>
      </w:pPr>
      <w:r w:rsidRPr="003021DE">
        <w:rPr>
          <w:b/>
          <w:szCs w:val="22"/>
        </w:rPr>
        <w:t>4.5</w:t>
      </w:r>
      <w:r w:rsidRPr="003021DE">
        <w:rPr>
          <w:b/>
          <w:szCs w:val="22"/>
        </w:rPr>
        <w:tab/>
        <w:t>Liekové a</w:t>
      </w:r>
      <w:r w:rsidR="00A236CF">
        <w:rPr>
          <w:b/>
          <w:szCs w:val="22"/>
        </w:rPr>
        <w:t> </w:t>
      </w:r>
      <w:r w:rsidRPr="003021DE">
        <w:rPr>
          <w:b/>
          <w:szCs w:val="22"/>
        </w:rPr>
        <w:t>iné interakcie</w:t>
      </w:r>
    </w:p>
    <w:p w14:paraId="17B672B7" w14:textId="77777777" w:rsidR="00ED6CFB" w:rsidRDefault="00ED6CFB" w:rsidP="00ED6CFB">
      <w:pPr>
        <w:ind w:left="0" w:firstLine="0"/>
        <w:rPr>
          <w:noProof/>
        </w:rPr>
      </w:pPr>
    </w:p>
    <w:p w14:paraId="4D5BA588" w14:textId="77777777" w:rsidR="00780926" w:rsidRDefault="00ED6CFB" w:rsidP="00E41B3F">
      <w:pPr>
        <w:rPr>
          <w:noProof/>
        </w:rPr>
      </w:pPr>
      <w:r>
        <w:rPr>
          <w:noProof/>
        </w:rPr>
        <w:lastRenderedPageBreak/>
        <w:t>Neodporúčané kombinácie:</w:t>
      </w:r>
    </w:p>
    <w:p w14:paraId="4FEA1E15" w14:textId="77777777" w:rsidR="00ED6CFB" w:rsidRDefault="00ED6CFB" w:rsidP="00E41B3F">
      <w:pPr>
        <w:rPr>
          <w:noProof/>
        </w:rPr>
      </w:pPr>
    </w:p>
    <w:p w14:paraId="6390F700" w14:textId="77777777" w:rsidR="00ED6CFB" w:rsidRDefault="00ED6CFB" w:rsidP="00E41B3F">
      <w:pPr>
        <w:rPr>
          <w:noProof/>
          <w:u w:val="single"/>
        </w:rPr>
      </w:pPr>
      <w:r w:rsidRPr="00ED6CFB">
        <w:rPr>
          <w:noProof/>
          <w:u w:val="single"/>
        </w:rPr>
        <w:t>Chlóralhydrát</w:t>
      </w:r>
    </w:p>
    <w:p w14:paraId="4B60A001" w14:textId="579B5232" w:rsidR="00ED6CFB" w:rsidRDefault="00ED6CFB" w:rsidP="00ED6CFB">
      <w:pPr>
        <w:ind w:left="0" w:firstLine="0"/>
        <w:rPr>
          <w:noProof/>
        </w:rPr>
      </w:pPr>
      <w:r w:rsidRPr="00ED6CFB">
        <w:rPr>
          <w:noProof/>
        </w:rPr>
        <w:t>V ojedinelých prípadoch môže intravenózne podanie furosemidu do 24 hodín po podaní chl</w:t>
      </w:r>
      <w:r>
        <w:rPr>
          <w:noProof/>
        </w:rPr>
        <w:t>ó</w:t>
      </w:r>
      <w:r w:rsidRPr="00ED6CFB">
        <w:rPr>
          <w:noProof/>
        </w:rPr>
        <w:t>ralhydrátu viesť k začervenaniu, úzkosti, nevoľnosti, zvýšenému krvnému tlaku a tachykardii. Z tohto dôvodu sa sú</w:t>
      </w:r>
      <w:r w:rsidR="0041799E">
        <w:rPr>
          <w:noProof/>
        </w:rPr>
        <w:t>bežné</w:t>
      </w:r>
      <w:r w:rsidRPr="00ED6CFB">
        <w:rPr>
          <w:noProof/>
        </w:rPr>
        <w:t xml:space="preserve"> použitie furosemidu a chl</w:t>
      </w:r>
      <w:r>
        <w:rPr>
          <w:noProof/>
        </w:rPr>
        <w:t>ó</w:t>
      </w:r>
      <w:r w:rsidRPr="00ED6CFB">
        <w:rPr>
          <w:noProof/>
        </w:rPr>
        <w:t>ralhydrátu neodporúča.</w:t>
      </w:r>
    </w:p>
    <w:p w14:paraId="54E71A82" w14:textId="77777777" w:rsidR="00ED6CFB" w:rsidRDefault="00ED6CFB" w:rsidP="00ED6CFB">
      <w:pPr>
        <w:ind w:left="0" w:firstLine="0"/>
        <w:rPr>
          <w:noProof/>
        </w:rPr>
      </w:pPr>
    </w:p>
    <w:p w14:paraId="40F0C664" w14:textId="77777777" w:rsidR="00ED6CFB" w:rsidRDefault="00ED6CFB" w:rsidP="00ED6CFB">
      <w:pPr>
        <w:ind w:left="0" w:firstLine="0"/>
        <w:rPr>
          <w:noProof/>
          <w:u w:val="single"/>
        </w:rPr>
      </w:pPr>
      <w:r w:rsidRPr="00ED6CFB">
        <w:rPr>
          <w:noProof/>
          <w:u w:val="single"/>
        </w:rPr>
        <w:t>Aminoglykozidové antibiotiká a iné ototoxické liečivá</w:t>
      </w:r>
    </w:p>
    <w:p w14:paraId="6FF7CA02" w14:textId="7D89CAB6" w:rsidR="00ED6CFB" w:rsidRDefault="00ED6CFB" w:rsidP="00ED6CFB">
      <w:pPr>
        <w:ind w:left="0" w:firstLine="0"/>
        <w:rPr>
          <w:noProof/>
        </w:rPr>
      </w:pPr>
      <w:r w:rsidRPr="00ED6CFB">
        <w:rPr>
          <w:noProof/>
        </w:rPr>
        <w:t>Furosemid môže zosilniť ototoxický účinok aminoglykozidových antibiotík, ako je kanamycín, gentamicín a tobramycín, alebo iných ototoxických lie</w:t>
      </w:r>
      <w:r>
        <w:rPr>
          <w:noProof/>
        </w:rPr>
        <w:t>či</w:t>
      </w:r>
      <w:r w:rsidRPr="00ED6CFB">
        <w:rPr>
          <w:noProof/>
        </w:rPr>
        <w:t xml:space="preserve">v. </w:t>
      </w:r>
      <w:r w:rsidR="000B09E6">
        <w:rPr>
          <w:noProof/>
        </w:rPr>
        <w:t>T</w:t>
      </w:r>
      <w:r w:rsidRPr="00ED6CFB">
        <w:rPr>
          <w:noProof/>
        </w:rPr>
        <w:t>ento typ lie</w:t>
      </w:r>
      <w:r w:rsidR="0041799E">
        <w:rPr>
          <w:noProof/>
        </w:rPr>
        <w:t>čiv</w:t>
      </w:r>
      <w:r w:rsidRPr="00ED6CFB">
        <w:rPr>
          <w:noProof/>
        </w:rPr>
        <w:t xml:space="preserve"> by sa mal používať sú</w:t>
      </w:r>
      <w:r w:rsidR="0041799E">
        <w:rPr>
          <w:noProof/>
        </w:rPr>
        <w:t>bežn</w:t>
      </w:r>
      <w:r w:rsidRPr="00ED6CFB">
        <w:rPr>
          <w:noProof/>
        </w:rPr>
        <w:t xml:space="preserve">e s furosemidom, iba ak to </w:t>
      </w:r>
      <w:r w:rsidR="00ED49A2">
        <w:rPr>
          <w:noProof/>
        </w:rPr>
        <w:t>podporujú</w:t>
      </w:r>
      <w:r w:rsidRPr="00ED6CFB">
        <w:rPr>
          <w:noProof/>
        </w:rPr>
        <w:t xml:space="preserve"> </w:t>
      </w:r>
      <w:r w:rsidR="00ED49A2">
        <w:rPr>
          <w:noProof/>
        </w:rPr>
        <w:t xml:space="preserve">dostatočne závažné </w:t>
      </w:r>
      <w:r w:rsidRPr="00ED6CFB">
        <w:rPr>
          <w:noProof/>
        </w:rPr>
        <w:t>klinické dôvody</w:t>
      </w:r>
      <w:r w:rsidR="000B09E6">
        <w:rPr>
          <w:noProof/>
        </w:rPr>
        <w:t>, p</w:t>
      </w:r>
      <w:r w:rsidR="000B09E6" w:rsidRPr="00ED6CFB">
        <w:rPr>
          <w:noProof/>
        </w:rPr>
        <w:t>retože sa môže vyskytnúť nevratné poškodenie</w:t>
      </w:r>
      <w:r w:rsidR="000B09E6">
        <w:rPr>
          <w:noProof/>
        </w:rPr>
        <w:t xml:space="preserve"> sluchu</w:t>
      </w:r>
      <w:r w:rsidRPr="00ED6CFB">
        <w:rPr>
          <w:noProof/>
        </w:rPr>
        <w:t>.</w:t>
      </w:r>
    </w:p>
    <w:p w14:paraId="100DAD35" w14:textId="77777777" w:rsidR="00ED49A2" w:rsidRDefault="00ED49A2" w:rsidP="00ED6CFB">
      <w:pPr>
        <w:ind w:left="0" w:firstLine="0"/>
        <w:rPr>
          <w:noProof/>
        </w:rPr>
      </w:pPr>
    </w:p>
    <w:p w14:paraId="77BA951B" w14:textId="2A32AEB1" w:rsidR="00ED49A2" w:rsidRDefault="00B4039A" w:rsidP="00ED6CFB">
      <w:pPr>
        <w:ind w:left="0" w:firstLine="0"/>
        <w:rPr>
          <w:noProof/>
        </w:rPr>
      </w:pPr>
      <w:r>
        <w:rPr>
          <w:noProof/>
        </w:rPr>
        <w:t xml:space="preserve">Opatrnosť pri </w:t>
      </w:r>
      <w:r w:rsidR="00B62EA7">
        <w:rPr>
          <w:noProof/>
        </w:rPr>
        <w:t>u</w:t>
      </w:r>
      <w:r>
        <w:rPr>
          <w:noProof/>
        </w:rPr>
        <w:t>žívaní:</w:t>
      </w:r>
    </w:p>
    <w:p w14:paraId="4BF71841" w14:textId="77777777" w:rsidR="00B4039A" w:rsidRDefault="00B4039A" w:rsidP="00ED6CFB">
      <w:pPr>
        <w:ind w:left="0" w:firstLine="0"/>
        <w:rPr>
          <w:noProof/>
        </w:rPr>
      </w:pPr>
    </w:p>
    <w:p w14:paraId="616A61BC" w14:textId="77777777" w:rsidR="00B4039A" w:rsidRDefault="00B4039A" w:rsidP="00ED6CFB">
      <w:pPr>
        <w:ind w:left="0" w:firstLine="0"/>
        <w:rPr>
          <w:noProof/>
          <w:u w:val="single"/>
        </w:rPr>
      </w:pPr>
      <w:r w:rsidRPr="00B4039A">
        <w:rPr>
          <w:noProof/>
          <w:u w:val="single"/>
        </w:rPr>
        <w:t>Cisplatina</w:t>
      </w:r>
    </w:p>
    <w:p w14:paraId="49344742" w14:textId="75647877" w:rsidR="00F07529" w:rsidRDefault="00B4039A" w:rsidP="00B4039A">
      <w:pPr>
        <w:ind w:left="0" w:firstLine="0"/>
        <w:rPr>
          <w:noProof/>
        </w:rPr>
      </w:pPr>
      <w:r w:rsidRPr="00B4039A">
        <w:rPr>
          <w:noProof/>
        </w:rPr>
        <w:t xml:space="preserve">V prípade súbežného podávania cisplatiny a furosemidu existuje riziko ototoxického účinku. Okrem toho sa nefrotoxicita cisplatiny môže zvýšiť, ak sa furosemid nepodáva v nízkych dávkach (napríklad 40 mg pacientom s normálnou funkciou obličiek) a s pozitívnou rovnováhou tekutín, ak sa používa na dosiahnutie </w:t>
      </w:r>
      <w:r w:rsidR="00B62EA7">
        <w:rPr>
          <w:noProof/>
        </w:rPr>
        <w:t>forsírovanej</w:t>
      </w:r>
      <w:r w:rsidRPr="00B4039A">
        <w:rPr>
          <w:noProof/>
        </w:rPr>
        <w:t xml:space="preserve"> diurézy počas liečby cisplatinou.</w:t>
      </w:r>
    </w:p>
    <w:p w14:paraId="759E8045" w14:textId="77777777" w:rsidR="00B4039A" w:rsidRDefault="00B4039A" w:rsidP="00B4039A">
      <w:pPr>
        <w:ind w:left="0" w:firstLine="0"/>
        <w:rPr>
          <w:noProof/>
        </w:rPr>
      </w:pPr>
    </w:p>
    <w:p w14:paraId="5CABDA57" w14:textId="77777777" w:rsidR="00B4039A" w:rsidRDefault="00B4039A" w:rsidP="00B4039A">
      <w:pPr>
        <w:ind w:left="0" w:firstLine="0"/>
        <w:rPr>
          <w:noProof/>
          <w:u w:val="single"/>
        </w:rPr>
      </w:pPr>
      <w:r w:rsidRPr="00B4039A">
        <w:rPr>
          <w:noProof/>
          <w:u w:val="single"/>
        </w:rPr>
        <w:t>Sukralfát</w:t>
      </w:r>
    </w:p>
    <w:p w14:paraId="47E41E70" w14:textId="2A6E67F7" w:rsidR="00B4039A" w:rsidRDefault="00B4039A" w:rsidP="00B4039A">
      <w:pPr>
        <w:ind w:left="0" w:firstLine="0"/>
        <w:rPr>
          <w:noProof/>
        </w:rPr>
      </w:pPr>
      <w:r w:rsidRPr="00B4039A">
        <w:rPr>
          <w:noProof/>
        </w:rPr>
        <w:t>Furosemid podávaný perorálne a sukralfát sa nemajú podávať v intervaloch kratších alebo rovných 2 hodinám</w:t>
      </w:r>
      <w:r w:rsidR="000B09E6">
        <w:rPr>
          <w:noProof/>
        </w:rPr>
        <w:t xml:space="preserve"> medzi </w:t>
      </w:r>
      <w:r w:rsidR="00B62EA7">
        <w:rPr>
          <w:noProof/>
        </w:rPr>
        <w:t>nimi</w:t>
      </w:r>
      <w:r w:rsidRPr="00B4039A">
        <w:rPr>
          <w:noProof/>
        </w:rPr>
        <w:t>, pretože sukralfát znižuje absorpciu furosemidu z čreva, a tým znižuje jeho účinok.</w:t>
      </w:r>
    </w:p>
    <w:p w14:paraId="15707892" w14:textId="77777777" w:rsidR="00C90228" w:rsidRDefault="00C90228" w:rsidP="00B4039A">
      <w:pPr>
        <w:ind w:left="0" w:firstLine="0"/>
        <w:rPr>
          <w:noProof/>
        </w:rPr>
      </w:pPr>
    </w:p>
    <w:p w14:paraId="16CE3044" w14:textId="77777777" w:rsidR="00C90228" w:rsidRDefault="00C90228" w:rsidP="00B4039A">
      <w:pPr>
        <w:ind w:left="0" w:firstLine="0"/>
        <w:rPr>
          <w:noProof/>
          <w:u w:val="single"/>
        </w:rPr>
      </w:pPr>
      <w:r w:rsidRPr="00C90228">
        <w:rPr>
          <w:noProof/>
          <w:u w:val="single"/>
        </w:rPr>
        <w:t>Lítium</w:t>
      </w:r>
    </w:p>
    <w:p w14:paraId="7F1E4F28" w14:textId="77777777" w:rsidR="00C90228" w:rsidRDefault="00C90228" w:rsidP="00C90228">
      <w:pPr>
        <w:ind w:left="0" w:firstLine="0"/>
        <w:rPr>
          <w:noProof/>
        </w:rPr>
      </w:pPr>
      <w:r>
        <w:rPr>
          <w:noProof/>
        </w:rPr>
        <w:t>Vylučovanie solí lítia je znížené furosemidom, čo môže spôsobiť zvýšenie hladín lítia v sére, a tým vedie k zvýšenému riziku toxicity súvisiacej s lítiom vrátane zvýšeného rizika kardiotoxických a neurotoxických účinkov lítia.</w:t>
      </w:r>
    </w:p>
    <w:p w14:paraId="48CFA30C" w14:textId="77777777" w:rsidR="00C90228" w:rsidRPr="00C90228" w:rsidRDefault="00C90228" w:rsidP="00C90228">
      <w:pPr>
        <w:ind w:left="0" w:firstLine="0"/>
        <w:rPr>
          <w:noProof/>
        </w:rPr>
      </w:pPr>
      <w:r>
        <w:rPr>
          <w:noProof/>
        </w:rPr>
        <w:t>Preto sa odporúča starostlivo sledovať hladinu lítia u pacientov liečených touto kombináciou.</w:t>
      </w:r>
    </w:p>
    <w:p w14:paraId="60AEE464" w14:textId="77777777" w:rsidR="00B4039A" w:rsidRPr="003021DE" w:rsidRDefault="00B4039A" w:rsidP="00E41B3F">
      <w:pPr>
        <w:rPr>
          <w:noProof/>
        </w:rPr>
      </w:pPr>
    </w:p>
    <w:p w14:paraId="307CB2C9" w14:textId="68973696" w:rsidR="008C0743" w:rsidRDefault="008C0743" w:rsidP="00E41B3F">
      <w:pPr>
        <w:rPr>
          <w:noProof/>
          <w:szCs w:val="22"/>
          <w:u w:val="single"/>
        </w:rPr>
      </w:pPr>
      <w:r w:rsidRPr="008C0743">
        <w:rPr>
          <w:noProof/>
          <w:szCs w:val="22"/>
          <w:u w:val="single"/>
        </w:rPr>
        <w:t>Inhibítory ACE/antagonist</w:t>
      </w:r>
      <w:r w:rsidR="00B62EA7">
        <w:rPr>
          <w:noProof/>
          <w:szCs w:val="22"/>
          <w:u w:val="single"/>
        </w:rPr>
        <w:t>y</w:t>
      </w:r>
      <w:r w:rsidRPr="008C0743">
        <w:rPr>
          <w:noProof/>
          <w:szCs w:val="22"/>
          <w:u w:val="single"/>
        </w:rPr>
        <w:t xml:space="preserve"> receptorov angiotenzínu II</w:t>
      </w:r>
    </w:p>
    <w:p w14:paraId="3AE3966C" w14:textId="77777777" w:rsidR="008C0743" w:rsidRPr="008C0743" w:rsidRDefault="008C0743" w:rsidP="00BD6A40">
      <w:pPr>
        <w:ind w:left="0" w:firstLine="0"/>
        <w:rPr>
          <w:noProof/>
          <w:szCs w:val="22"/>
        </w:rPr>
      </w:pPr>
      <w:r w:rsidRPr="008C0743">
        <w:rPr>
          <w:noProof/>
          <w:szCs w:val="22"/>
        </w:rPr>
        <w:t>U pacientov užívajúcich diuretiká sa môže vyskytnúť výrazná hypotenzia a porucha funkcie obličiek, vrátane prípadov zlyhania obličiek, najmä pri prvom podaní alebo po prv</w:t>
      </w:r>
      <w:r>
        <w:rPr>
          <w:noProof/>
          <w:szCs w:val="22"/>
        </w:rPr>
        <w:t>om podaní</w:t>
      </w:r>
      <w:r w:rsidRPr="008C0743">
        <w:rPr>
          <w:noProof/>
          <w:szCs w:val="22"/>
        </w:rPr>
        <w:t xml:space="preserve"> vysokých dáv</w:t>
      </w:r>
      <w:r w:rsidR="00BD6A40">
        <w:rPr>
          <w:noProof/>
          <w:szCs w:val="22"/>
        </w:rPr>
        <w:t>ok</w:t>
      </w:r>
      <w:r w:rsidRPr="008C0743">
        <w:rPr>
          <w:noProof/>
          <w:szCs w:val="22"/>
        </w:rPr>
        <w:t xml:space="preserve"> inhibítorov enzýmu konvertujúceho angiotenzín (ACE inhibítory) alebo </w:t>
      </w:r>
      <w:r w:rsidR="00BD6A40">
        <w:rPr>
          <w:noProof/>
          <w:szCs w:val="22"/>
        </w:rPr>
        <w:t xml:space="preserve">antagonistov receptorov </w:t>
      </w:r>
      <w:r w:rsidRPr="008C0743">
        <w:rPr>
          <w:noProof/>
          <w:szCs w:val="22"/>
        </w:rPr>
        <w:t xml:space="preserve">angiotenzínu II. </w:t>
      </w:r>
    </w:p>
    <w:p w14:paraId="480E7910" w14:textId="77777777" w:rsidR="008C0743" w:rsidRDefault="008C0743" w:rsidP="00BD6A40">
      <w:pPr>
        <w:ind w:left="0" w:firstLine="0"/>
        <w:rPr>
          <w:noProof/>
          <w:szCs w:val="22"/>
        </w:rPr>
      </w:pPr>
      <w:r w:rsidRPr="008C0743">
        <w:rPr>
          <w:noProof/>
          <w:szCs w:val="22"/>
        </w:rPr>
        <w:t>Je potrebné vziať do úvahy možnosť dočasného prerušenia podávania furosemidu alebo aspoň zníženia dávky počas troch dní pred začatím liečby alebo zvýšenia dávky inhibítorov</w:t>
      </w:r>
      <w:r w:rsidR="00BD6A40">
        <w:rPr>
          <w:noProof/>
          <w:szCs w:val="22"/>
        </w:rPr>
        <w:t xml:space="preserve"> ACE</w:t>
      </w:r>
      <w:r w:rsidRPr="008C0743">
        <w:rPr>
          <w:noProof/>
          <w:szCs w:val="22"/>
        </w:rPr>
        <w:t xml:space="preserve"> alebo antagonistov receptora angiotenzínu II.</w:t>
      </w:r>
    </w:p>
    <w:p w14:paraId="6E472DC1" w14:textId="77777777" w:rsidR="00BD6A40" w:rsidRDefault="00BD6A40" w:rsidP="00BD6A40">
      <w:pPr>
        <w:ind w:left="0" w:firstLine="0"/>
        <w:rPr>
          <w:noProof/>
          <w:szCs w:val="22"/>
        </w:rPr>
      </w:pPr>
    </w:p>
    <w:p w14:paraId="3BB3483D" w14:textId="77777777" w:rsidR="00BD6A40" w:rsidRDefault="00BD6A40" w:rsidP="00BD6A40">
      <w:pPr>
        <w:ind w:left="0" w:firstLine="0"/>
        <w:rPr>
          <w:noProof/>
          <w:szCs w:val="22"/>
          <w:u w:val="single"/>
        </w:rPr>
      </w:pPr>
      <w:r w:rsidRPr="00BD6A40">
        <w:rPr>
          <w:noProof/>
          <w:szCs w:val="22"/>
          <w:u w:val="single"/>
        </w:rPr>
        <w:t>Risperidón</w:t>
      </w:r>
    </w:p>
    <w:p w14:paraId="67E72134" w14:textId="367F6356" w:rsidR="00BD6A40" w:rsidRDefault="00BD6A40" w:rsidP="00BD6A40">
      <w:pPr>
        <w:ind w:left="0" w:firstLine="0"/>
        <w:rPr>
          <w:noProof/>
          <w:szCs w:val="22"/>
        </w:rPr>
      </w:pPr>
      <w:r w:rsidRPr="00BD6A40">
        <w:rPr>
          <w:noProof/>
          <w:szCs w:val="22"/>
        </w:rPr>
        <w:t xml:space="preserve">Pred rozhodnutím o použití tohto lieku je potrebné venovať pozornosť rizikám a </w:t>
      </w:r>
      <w:r w:rsidR="00B62EA7">
        <w:rPr>
          <w:noProof/>
          <w:szCs w:val="22"/>
        </w:rPr>
        <w:t>prínosom</w:t>
      </w:r>
      <w:r w:rsidR="00B62EA7" w:rsidRPr="00BD6A40">
        <w:rPr>
          <w:noProof/>
          <w:szCs w:val="22"/>
        </w:rPr>
        <w:t xml:space="preserve"> </w:t>
      </w:r>
      <w:r w:rsidRPr="00BD6A40">
        <w:rPr>
          <w:noProof/>
          <w:szCs w:val="22"/>
        </w:rPr>
        <w:t>kombinácie alebo sú</w:t>
      </w:r>
      <w:r w:rsidR="00B62EA7">
        <w:rPr>
          <w:noProof/>
          <w:szCs w:val="22"/>
        </w:rPr>
        <w:t>bežnej</w:t>
      </w:r>
      <w:r w:rsidRPr="00BD6A40">
        <w:rPr>
          <w:noProof/>
          <w:szCs w:val="22"/>
        </w:rPr>
        <w:t xml:space="preserve"> liečby furosemidom alebo inými silnými diuretikami. </w:t>
      </w:r>
      <w:r>
        <w:rPr>
          <w:noProof/>
          <w:szCs w:val="22"/>
        </w:rPr>
        <w:t>P</w:t>
      </w:r>
      <w:r w:rsidRPr="00BD6A40">
        <w:rPr>
          <w:noProof/>
          <w:szCs w:val="22"/>
        </w:rPr>
        <w:t>ozri časť 4.4.</w:t>
      </w:r>
      <w:r>
        <w:rPr>
          <w:noProof/>
          <w:szCs w:val="22"/>
        </w:rPr>
        <w:t xml:space="preserve"> kvôli z</w:t>
      </w:r>
      <w:r w:rsidRPr="00BD6A40">
        <w:rPr>
          <w:noProof/>
          <w:szCs w:val="22"/>
        </w:rPr>
        <w:t>výšen</w:t>
      </w:r>
      <w:r>
        <w:rPr>
          <w:noProof/>
          <w:szCs w:val="22"/>
        </w:rPr>
        <w:t>ej</w:t>
      </w:r>
      <w:r w:rsidRPr="00BD6A40">
        <w:rPr>
          <w:noProof/>
          <w:szCs w:val="22"/>
        </w:rPr>
        <w:t xml:space="preserve"> úmrtnos</w:t>
      </w:r>
      <w:r>
        <w:rPr>
          <w:noProof/>
          <w:szCs w:val="22"/>
        </w:rPr>
        <w:t>ti</w:t>
      </w:r>
      <w:r w:rsidRPr="00BD6A40">
        <w:rPr>
          <w:noProof/>
          <w:szCs w:val="22"/>
        </w:rPr>
        <w:t xml:space="preserve"> u starších pacientov s demenciou súbežne liečených</w:t>
      </w:r>
      <w:r>
        <w:rPr>
          <w:noProof/>
          <w:szCs w:val="22"/>
        </w:rPr>
        <w:t> </w:t>
      </w:r>
      <w:r w:rsidRPr="00BD6A40">
        <w:rPr>
          <w:noProof/>
          <w:szCs w:val="22"/>
        </w:rPr>
        <w:t>risperidónom</w:t>
      </w:r>
      <w:r>
        <w:rPr>
          <w:noProof/>
          <w:szCs w:val="22"/>
        </w:rPr>
        <w:t>.</w:t>
      </w:r>
    </w:p>
    <w:p w14:paraId="28F1A7F3" w14:textId="77777777" w:rsidR="00BD6A40" w:rsidRDefault="00BD6A40" w:rsidP="00BD6A40">
      <w:pPr>
        <w:ind w:left="0" w:firstLine="0"/>
        <w:rPr>
          <w:noProof/>
          <w:szCs w:val="22"/>
        </w:rPr>
      </w:pPr>
    </w:p>
    <w:p w14:paraId="59C4E9DF" w14:textId="77777777" w:rsidR="00BD6A40" w:rsidRDefault="00BD6A40" w:rsidP="00BD6A40">
      <w:pPr>
        <w:ind w:left="0" w:firstLine="0"/>
        <w:rPr>
          <w:noProof/>
          <w:szCs w:val="22"/>
          <w:u w:val="single"/>
        </w:rPr>
      </w:pPr>
      <w:r w:rsidRPr="00BD6A40">
        <w:rPr>
          <w:noProof/>
          <w:szCs w:val="22"/>
          <w:u w:val="single"/>
        </w:rPr>
        <w:t>Levotyroxín</w:t>
      </w:r>
    </w:p>
    <w:p w14:paraId="724CEC9F" w14:textId="77777777" w:rsidR="00BD6A40" w:rsidRDefault="00BD6A40" w:rsidP="00BD6A40">
      <w:pPr>
        <w:ind w:left="0" w:firstLine="0"/>
        <w:rPr>
          <w:noProof/>
          <w:szCs w:val="22"/>
        </w:rPr>
      </w:pPr>
      <w:r w:rsidRPr="00BD6A40">
        <w:rPr>
          <w:noProof/>
          <w:szCs w:val="22"/>
        </w:rPr>
        <w:t>Vysoké dávky furosemidu môžu inhibovať väzbu hormónov štítnej žľazy na proteín</w:t>
      </w:r>
      <w:r>
        <w:rPr>
          <w:noProof/>
          <w:szCs w:val="22"/>
        </w:rPr>
        <w:t>ové nosiče, čo môže</w:t>
      </w:r>
      <w:r w:rsidRPr="00BD6A40">
        <w:rPr>
          <w:noProof/>
          <w:szCs w:val="22"/>
        </w:rPr>
        <w:t xml:space="preserve"> následne viesť k počiatočnému prechodnému zvýšeniu voľných hormónov štítnej žľazy</w:t>
      </w:r>
      <w:r>
        <w:rPr>
          <w:noProof/>
          <w:szCs w:val="22"/>
        </w:rPr>
        <w:t xml:space="preserve"> a ná</w:t>
      </w:r>
      <w:r w:rsidRPr="00BD6A40">
        <w:rPr>
          <w:noProof/>
          <w:szCs w:val="22"/>
        </w:rPr>
        <w:t>sled</w:t>
      </w:r>
      <w:r>
        <w:rPr>
          <w:noProof/>
          <w:szCs w:val="22"/>
        </w:rPr>
        <w:t>nemu</w:t>
      </w:r>
      <w:r w:rsidRPr="00BD6A40">
        <w:rPr>
          <w:noProof/>
          <w:szCs w:val="22"/>
        </w:rPr>
        <w:t xml:space="preserve"> </w:t>
      </w:r>
      <w:r>
        <w:rPr>
          <w:noProof/>
          <w:szCs w:val="22"/>
        </w:rPr>
        <w:t>poklesu</w:t>
      </w:r>
      <w:r w:rsidRPr="00BD6A40">
        <w:rPr>
          <w:noProof/>
          <w:szCs w:val="22"/>
        </w:rPr>
        <w:t xml:space="preserve"> celkových hladín hormónov štítnej žľazy. </w:t>
      </w:r>
      <w:r>
        <w:rPr>
          <w:noProof/>
          <w:szCs w:val="22"/>
        </w:rPr>
        <w:t>Hladina</w:t>
      </w:r>
      <w:r w:rsidRPr="00BD6A40">
        <w:rPr>
          <w:noProof/>
          <w:szCs w:val="22"/>
        </w:rPr>
        <w:t xml:space="preserve"> hormónov štítnej žľazy</w:t>
      </w:r>
      <w:r>
        <w:rPr>
          <w:noProof/>
          <w:szCs w:val="22"/>
        </w:rPr>
        <w:t xml:space="preserve"> sa má</w:t>
      </w:r>
      <w:r w:rsidRPr="00BD6A40">
        <w:rPr>
          <w:noProof/>
          <w:szCs w:val="22"/>
        </w:rPr>
        <w:t xml:space="preserve"> monitorovať.</w:t>
      </w:r>
    </w:p>
    <w:p w14:paraId="0C1E7D16" w14:textId="77777777" w:rsidR="00D83627" w:rsidRDefault="00D83627" w:rsidP="00BD6A40">
      <w:pPr>
        <w:ind w:left="0" w:firstLine="0"/>
        <w:rPr>
          <w:noProof/>
          <w:szCs w:val="22"/>
        </w:rPr>
      </w:pPr>
    </w:p>
    <w:p w14:paraId="08B16912" w14:textId="77777777" w:rsidR="00D83627" w:rsidRDefault="00D83627" w:rsidP="00BD6A40">
      <w:pPr>
        <w:ind w:left="0" w:firstLine="0"/>
        <w:rPr>
          <w:noProof/>
          <w:szCs w:val="22"/>
        </w:rPr>
      </w:pPr>
      <w:r w:rsidRPr="00D83627">
        <w:rPr>
          <w:noProof/>
          <w:szCs w:val="22"/>
        </w:rPr>
        <w:t>Je potrebné vziať do úvahy:</w:t>
      </w:r>
    </w:p>
    <w:p w14:paraId="1918943C" w14:textId="77777777" w:rsidR="00D83627" w:rsidRDefault="00D83627" w:rsidP="00BD6A40">
      <w:pPr>
        <w:ind w:left="0" w:firstLine="0"/>
        <w:rPr>
          <w:noProof/>
          <w:szCs w:val="22"/>
        </w:rPr>
      </w:pPr>
    </w:p>
    <w:p w14:paraId="5EFB7A37" w14:textId="77777777" w:rsidR="00D83627" w:rsidRDefault="00D83627" w:rsidP="00BD6A40">
      <w:pPr>
        <w:ind w:left="0" w:firstLine="0"/>
        <w:rPr>
          <w:noProof/>
          <w:szCs w:val="22"/>
          <w:u w:val="single"/>
        </w:rPr>
      </w:pPr>
      <w:r w:rsidRPr="00BB65B7">
        <w:rPr>
          <w:noProof/>
          <w:szCs w:val="22"/>
          <w:u w:val="single"/>
        </w:rPr>
        <w:t>Nesteroidné antiflogistiká</w:t>
      </w:r>
    </w:p>
    <w:p w14:paraId="708C8790" w14:textId="77777777" w:rsidR="00BB65B7" w:rsidRDefault="00BB65B7" w:rsidP="00BD6A40">
      <w:pPr>
        <w:ind w:left="0" w:firstLine="0"/>
        <w:rPr>
          <w:noProof/>
          <w:szCs w:val="22"/>
        </w:rPr>
      </w:pPr>
      <w:r w:rsidRPr="00BB65B7">
        <w:rPr>
          <w:noProof/>
          <w:szCs w:val="22"/>
        </w:rPr>
        <w:lastRenderedPageBreak/>
        <w:t xml:space="preserve">Súbežné podávanie nesteroidných </w:t>
      </w:r>
      <w:r>
        <w:rPr>
          <w:noProof/>
          <w:szCs w:val="22"/>
        </w:rPr>
        <w:t>antiflogistík,</w:t>
      </w:r>
      <w:r w:rsidRPr="00BB65B7">
        <w:rPr>
          <w:noProof/>
          <w:szCs w:val="22"/>
        </w:rPr>
        <w:t xml:space="preserve"> vrátane kyseliny acetylsalicylovej</w:t>
      </w:r>
      <w:r>
        <w:rPr>
          <w:noProof/>
          <w:szCs w:val="22"/>
        </w:rPr>
        <w:t>,</w:t>
      </w:r>
      <w:r w:rsidRPr="00BB65B7">
        <w:rPr>
          <w:noProof/>
          <w:szCs w:val="22"/>
        </w:rPr>
        <w:t xml:space="preserve"> môže znížiť účinok furosemidu. U dehydratovaných alebo hypovolemických pacientov môžu nesteroidné </w:t>
      </w:r>
      <w:r>
        <w:rPr>
          <w:noProof/>
          <w:szCs w:val="22"/>
        </w:rPr>
        <w:t>antiflogistiká</w:t>
      </w:r>
      <w:r w:rsidRPr="00BB65B7">
        <w:rPr>
          <w:noProof/>
          <w:szCs w:val="22"/>
        </w:rPr>
        <w:t xml:space="preserve"> spôsobiť akútne zlyhanie obličiek. Toxicita salicylátov môže byť furosemidom zvýšená.</w:t>
      </w:r>
    </w:p>
    <w:p w14:paraId="5A399B9E" w14:textId="77777777" w:rsidR="00BB65B7" w:rsidRDefault="00BB65B7" w:rsidP="00BD6A40">
      <w:pPr>
        <w:ind w:left="0" w:firstLine="0"/>
        <w:rPr>
          <w:noProof/>
          <w:szCs w:val="22"/>
        </w:rPr>
      </w:pPr>
    </w:p>
    <w:p w14:paraId="6F13E36C" w14:textId="77777777" w:rsidR="00BB65B7" w:rsidRDefault="00BB65B7" w:rsidP="00BD6A40">
      <w:pPr>
        <w:ind w:left="0" w:firstLine="0"/>
        <w:rPr>
          <w:noProof/>
          <w:szCs w:val="22"/>
          <w:u w:val="single"/>
        </w:rPr>
      </w:pPr>
      <w:r w:rsidRPr="00BB65B7">
        <w:rPr>
          <w:noProof/>
          <w:szCs w:val="22"/>
          <w:u w:val="single"/>
        </w:rPr>
        <w:t>Fenytoín</w:t>
      </w:r>
    </w:p>
    <w:p w14:paraId="69089D12" w14:textId="77777777" w:rsidR="00BB65B7" w:rsidRPr="003B1BEA" w:rsidRDefault="00BB65B7" w:rsidP="00BB65B7">
      <w:pPr>
        <w:rPr>
          <w:szCs w:val="22"/>
        </w:rPr>
      </w:pPr>
      <w:r>
        <w:rPr>
          <w:szCs w:val="22"/>
        </w:rPr>
        <w:t>Súbežná liečba</w:t>
      </w:r>
      <w:r w:rsidR="00774C86">
        <w:rPr>
          <w:szCs w:val="22"/>
        </w:rPr>
        <w:t xml:space="preserve"> </w:t>
      </w:r>
      <w:proofErr w:type="spellStart"/>
      <w:r w:rsidR="00774C86">
        <w:rPr>
          <w:szCs w:val="22"/>
        </w:rPr>
        <w:t>fenytoínom</w:t>
      </w:r>
      <w:proofErr w:type="spellEnd"/>
      <w:r>
        <w:rPr>
          <w:szCs w:val="22"/>
        </w:rPr>
        <w:t xml:space="preserve"> môže mať za následok oslabenie účinku </w:t>
      </w:r>
      <w:proofErr w:type="spellStart"/>
      <w:r w:rsidRPr="003B1BEA">
        <w:rPr>
          <w:szCs w:val="22"/>
        </w:rPr>
        <w:t>furosemidu</w:t>
      </w:r>
      <w:proofErr w:type="spellEnd"/>
      <w:r w:rsidRPr="003B1BEA">
        <w:rPr>
          <w:szCs w:val="22"/>
        </w:rPr>
        <w:t>.</w:t>
      </w:r>
    </w:p>
    <w:p w14:paraId="0A7E98AE" w14:textId="77777777" w:rsidR="00BB65B7" w:rsidRDefault="00BB65B7" w:rsidP="00BD6A40">
      <w:pPr>
        <w:ind w:left="0" w:firstLine="0"/>
        <w:rPr>
          <w:noProof/>
          <w:szCs w:val="22"/>
        </w:rPr>
      </w:pPr>
    </w:p>
    <w:p w14:paraId="35B3F639" w14:textId="77777777" w:rsidR="00BB65B7" w:rsidRDefault="002474F0" w:rsidP="00BD6A40">
      <w:pPr>
        <w:ind w:left="0" w:firstLine="0"/>
        <w:rPr>
          <w:noProof/>
          <w:szCs w:val="22"/>
          <w:u w:val="single"/>
          <w:lang w:val="cs-CZ"/>
        </w:rPr>
      </w:pPr>
      <w:r w:rsidRPr="002474F0">
        <w:rPr>
          <w:noProof/>
          <w:szCs w:val="22"/>
          <w:u w:val="single"/>
          <w:lang w:val="cs-CZ"/>
        </w:rPr>
        <w:t>Kortikosteroidy/karbenoxolón/laxatíva/sladké drievko</w:t>
      </w:r>
    </w:p>
    <w:p w14:paraId="53F9A639" w14:textId="5556A000" w:rsidR="002474F0" w:rsidRDefault="005565BB" w:rsidP="00BD6A40">
      <w:pPr>
        <w:ind w:left="0" w:firstLine="0"/>
        <w:rPr>
          <w:noProof/>
          <w:szCs w:val="22"/>
          <w:lang w:val="cs-CZ"/>
        </w:rPr>
      </w:pPr>
      <w:r>
        <w:rPr>
          <w:noProof/>
          <w:szCs w:val="22"/>
          <w:lang w:val="cs-CZ"/>
        </w:rPr>
        <w:t>Užívanie kortikosteroidov, karbenoxolónu alebo sladkého drievka vo veľkom množstve a dlhodobé užívanie laxatív môže zvýšiť riziko vzniku hypokal</w:t>
      </w:r>
      <w:r w:rsidR="00855562">
        <w:rPr>
          <w:noProof/>
          <w:szCs w:val="22"/>
          <w:lang w:val="cs-CZ"/>
        </w:rPr>
        <w:t>i</w:t>
      </w:r>
      <w:r>
        <w:rPr>
          <w:noProof/>
          <w:szCs w:val="22"/>
          <w:lang w:val="cs-CZ"/>
        </w:rPr>
        <w:t>émie.</w:t>
      </w:r>
    </w:p>
    <w:p w14:paraId="2B6AB76B" w14:textId="77777777" w:rsidR="005565BB" w:rsidRDefault="005565BB" w:rsidP="00BD6A40">
      <w:pPr>
        <w:ind w:left="0" w:firstLine="0"/>
        <w:rPr>
          <w:noProof/>
          <w:szCs w:val="22"/>
          <w:lang w:val="cs-CZ"/>
        </w:rPr>
      </w:pPr>
    </w:p>
    <w:p w14:paraId="380B4E20" w14:textId="5012A29F" w:rsidR="005565BB" w:rsidRDefault="005565BB" w:rsidP="00BD6A40">
      <w:pPr>
        <w:ind w:left="0" w:firstLine="0"/>
        <w:rPr>
          <w:noProof/>
          <w:szCs w:val="22"/>
          <w:u w:val="single"/>
          <w:lang w:val="cs-CZ"/>
        </w:rPr>
      </w:pPr>
      <w:r w:rsidRPr="005565BB">
        <w:rPr>
          <w:noProof/>
          <w:szCs w:val="22"/>
          <w:u w:val="single"/>
          <w:lang w:val="cs-CZ"/>
        </w:rPr>
        <w:t>Srdcové glykozidy a lieky predĺžujúce interval</w:t>
      </w:r>
      <w:r w:rsidR="00855562">
        <w:rPr>
          <w:noProof/>
          <w:szCs w:val="22"/>
          <w:u w:val="single"/>
          <w:lang w:val="cs-CZ"/>
        </w:rPr>
        <w:t xml:space="preserve"> QT</w:t>
      </w:r>
    </w:p>
    <w:p w14:paraId="24C0FBB1" w14:textId="02C9C1DF" w:rsidR="005565BB" w:rsidRDefault="005565BB" w:rsidP="00BD6A40">
      <w:pPr>
        <w:ind w:left="0" w:firstLine="0"/>
        <w:rPr>
          <w:noProof/>
          <w:szCs w:val="22"/>
        </w:rPr>
      </w:pPr>
      <w:r w:rsidRPr="005565BB">
        <w:rPr>
          <w:noProof/>
          <w:szCs w:val="22"/>
        </w:rPr>
        <w:t xml:space="preserve">Niektoré zmeny elektrolytov (napr. </w:t>
      </w:r>
      <w:r>
        <w:rPr>
          <w:noProof/>
          <w:szCs w:val="22"/>
        </w:rPr>
        <w:t>h</w:t>
      </w:r>
      <w:r w:rsidRPr="005565BB">
        <w:rPr>
          <w:noProof/>
          <w:szCs w:val="22"/>
        </w:rPr>
        <w:t xml:space="preserve">ypokaliémia, hypomagneziémia) môžu zvýšiť toxicitu niektorých liekov (ako sú </w:t>
      </w:r>
      <w:r w:rsidR="00855562">
        <w:rPr>
          <w:noProof/>
          <w:szCs w:val="22"/>
        </w:rPr>
        <w:t>srdcové glykozidy</w:t>
      </w:r>
      <w:r w:rsidRPr="005565BB">
        <w:rPr>
          <w:noProof/>
          <w:szCs w:val="22"/>
        </w:rPr>
        <w:t xml:space="preserve"> a lie</w:t>
      </w:r>
      <w:r w:rsidR="004A5259">
        <w:rPr>
          <w:noProof/>
          <w:szCs w:val="22"/>
        </w:rPr>
        <w:t>čivá</w:t>
      </w:r>
      <w:r w:rsidRPr="005565BB">
        <w:rPr>
          <w:noProof/>
          <w:szCs w:val="22"/>
        </w:rPr>
        <w:t>, ktoré indukujú syndróm predĺženia intervalu</w:t>
      </w:r>
      <w:r w:rsidR="00855562">
        <w:rPr>
          <w:noProof/>
          <w:szCs w:val="22"/>
        </w:rPr>
        <w:t xml:space="preserve"> QT</w:t>
      </w:r>
      <w:r w:rsidRPr="005565BB">
        <w:rPr>
          <w:noProof/>
          <w:szCs w:val="22"/>
        </w:rPr>
        <w:t>).</w:t>
      </w:r>
    </w:p>
    <w:p w14:paraId="1A847584" w14:textId="77777777" w:rsidR="00C207E4" w:rsidRDefault="00C207E4" w:rsidP="00BD6A40">
      <w:pPr>
        <w:ind w:left="0" w:firstLine="0"/>
        <w:rPr>
          <w:noProof/>
          <w:szCs w:val="22"/>
        </w:rPr>
      </w:pPr>
    </w:p>
    <w:p w14:paraId="669D15FA" w14:textId="77777777" w:rsidR="00C207E4" w:rsidRPr="00072119" w:rsidRDefault="00072119" w:rsidP="00BD6A40">
      <w:pPr>
        <w:ind w:left="0" w:firstLine="0"/>
        <w:rPr>
          <w:noProof/>
          <w:szCs w:val="22"/>
          <w:u w:val="single"/>
        </w:rPr>
      </w:pPr>
      <w:r w:rsidRPr="00072119">
        <w:rPr>
          <w:noProof/>
          <w:szCs w:val="22"/>
          <w:u w:val="single"/>
        </w:rPr>
        <w:t>Antihypertenzíva</w:t>
      </w:r>
    </w:p>
    <w:p w14:paraId="33610D89" w14:textId="111F3366" w:rsidR="00072119" w:rsidRDefault="00072119" w:rsidP="00BD6A40">
      <w:pPr>
        <w:ind w:left="0" w:firstLine="0"/>
        <w:rPr>
          <w:noProof/>
          <w:szCs w:val="22"/>
        </w:rPr>
      </w:pPr>
      <w:r w:rsidRPr="00072119">
        <w:rPr>
          <w:noProof/>
          <w:szCs w:val="22"/>
        </w:rPr>
        <w:t>Ak sa sú</w:t>
      </w:r>
      <w:r w:rsidR="004A5259">
        <w:rPr>
          <w:noProof/>
          <w:szCs w:val="22"/>
        </w:rPr>
        <w:t>bežne</w:t>
      </w:r>
      <w:r w:rsidRPr="00072119">
        <w:rPr>
          <w:noProof/>
          <w:szCs w:val="22"/>
        </w:rPr>
        <w:t xml:space="preserve"> s furosemidom podávajú antihypertenzíva, diuretiká alebo iné lieky, ktoré môžu znižovať krvný tlak, je potrebné predpokladať výraznejší pokles</w:t>
      </w:r>
      <w:r>
        <w:rPr>
          <w:noProof/>
          <w:szCs w:val="22"/>
        </w:rPr>
        <w:t xml:space="preserve"> krvného tlaku</w:t>
      </w:r>
      <w:r w:rsidRPr="00072119">
        <w:rPr>
          <w:noProof/>
          <w:szCs w:val="22"/>
        </w:rPr>
        <w:t>.</w:t>
      </w:r>
    </w:p>
    <w:p w14:paraId="2D5101F5" w14:textId="77777777" w:rsidR="00072119" w:rsidRDefault="00072119" w:rsidP="00BD6A40">
      <w:pPr>
        <w:ind w:left="0" w:firstLine="0"/>
        <w:rPr>
          <w:noProof/>
          <w:szCs w:val="22"/>
        </w:rPr>
      </w:pPr>
    </w:p>
    <w:p w14:paraId="17C4EEE5" w14:textId="77777777" w:rsidR="00072119" w:rsidRPr="00072119" w:rsidRDefault="00072119" w:rsidP="00BD6A40">
      <w:pPr>
        <w:ind w:left="0" w:firstLine="0"/>
        <w:rPr>
          <w:noProof/>
          <w:szCs w:val="22"/>
          <w:u w:val="single"/>
        </w:rPr>
      </w:pPr>
      <w:r w:rsidRPr="00072119">
        <w:rPr>
          <w:noProof/>
          <w:szCs w:val="22"/>
          <w:u w:val="single"/>
        </w:rPr>
        <w:t>Probenecid/metotrexát</w:t>
      </w:r>
    </w:p>
    <w:p w14:paraId="790D8754" w14:textId="158AAF71" w:rsidR="00D83627" w:rsidRDefault="00072119" w:rsidP="00BD6A40">
      <w:pPr>
        <w:ind w:left="0" w:firstLine="0"/>
        <w:rPr>
          <w:noProof/>
          <w:szCs w:val="22"/>
        </w:rPr>
      </w:pPr>
      <w:r w:rsidRPr="00072119">
        <w:rPr>
          <w:noProof/>
          <w:szCs w:val="22"/>
        </w:rPr>
        <w:t>Probenecid, metotrexát a ďalšie lie</w:t>
      </w:r>
      <w:r w:rsidR="004A5259">
        <w:rPr>
          <w:noProof/>
          <w:szCs w:val="22"/>
        </w:rPr>
        <w:t>čivá</w:t>
      </w:r>
      <w:r w:rsidRPr="00072119">
        <w:rPr>
          <w:noProof/>
          <w:szCs w:val="22"/>
        </w:rPr>
        <w:t>, ktoré podobne ako furosemid podliehajú významnej renálnej tubulárnej sekrécii, môžu znížiť účinok furosemidu. Naopak, furosemid môže znižovať renálnu elimináciu týchto lie</w:t>
      </w:r>
      <w:r w:rsidR="004A5259">
        <w:rPr>
          <w:noProof/>
          <w:szCs w:val="22"/>
        </w:rPr>
        <w:t>čiv</w:t>
      </w:r>
      <w:r w:rsidRPr="00072119">
        <w:rPr>
          <w:noProof/>
          <w:szCs w:val="22"/>
        </w:rPr>
        <w:t xml:space="preserve">. V prípade liečby vysokými dávkami (najmä ak sa furosemid </w:t>
      </w:r>
      <w:r>
        <w:rPr>
          <w:noProof/>
          <w:szCs w:val="22"/>
        </w:rPr>
        <w:t xml:space="preserve">a </w:t>
      </w:r>
      <w:r w:rsidRPr="00072119">
        <w:rPr>
          <w:noProof/>
          <w:szCs w:val="22"/>
        </w:rPr>
        <w:t xml:space="preserve">aj iné lieky podávajú vo vysokých dávkach) to môže viesť k zvýšeniu plazmatických </w:t>
      </w:r>
      <w:r w:rsidR="004A5259">
        <w:rPr>
          <w:noProof/>
          <w:szCs w:val="22"/>
        </w:rPr>
        <w:t>koncentrácií</w:t>
      </w:r>
      <w:r w:rsidRPr="00072119">
        <w:rPr>
          <w:noProof/>
          <w:szCs w:val="22"/>
        </w:rPr>
        <w:t xml:space="preserve"> a zvýšenému riziku nežiaducich účinkov spojených s furosemidom alebo so súbežnou liečbou.</w:t>
      </w:r>
    </w:p>
    <w:p w14:paraId="170D8DF1" w14:textId="77777777" w:rsidR="00072119" w:rsidRDefault="00072119" w:rsidP="00BD6A40">
      <w:pPr>
        <w:ind w:left="0" w:firstLine="0"/>
        <w:rPr>
          <w:noProof/>
          <w:szCs w:val="22"/>
        </w:rPr>
      </w:pPr>
    </w:p>
    <w:p w14:paraId="7E0B03BB" w14:textId="77777777" w:rsidR="00072119" w:rsidRPr="003F2CE7" w:rsidRDefault="003F2CE7" w:rsidP="00025A58">
      <w:pPr>
        <w:ind w:left="0" w:firstLine="0"/>
        <w:jc w:val="both"/>
        <w:rPr>
          <w:noProof/>
          <w:szCs w:val="22"/>
          <w:u w:val="single"/>
          <w:lang w:val="cs-CZ"/>
        </w:rPr>
      </w:pPr>
      <w:r w:rsidRPr="003F2CE7">
        <w:rPr>
          <w:noProof/>
          <w:szCs w:val="22"/>
          <w:u w:val="single"/>
          <w:lang w:val="cs-CZ"/>
        </w:rPr>
        <w:t>Antidiabetiká/sympatomimetiká/teofylín</w:t>
      </w:r>
    </w:p>
    <w:p w14:paraId="079B0B15" w14:textId="2A26C827" w:rsidR="008C0743" w:rsidRDefault="003F2CE7" w:rsidP="003F2CE7">
      <w:pPr>
        <w:ind w:left="0" w:firstLine="0"/>
        <w:rPr>
          <w:noProof/>
          <w:szCs w:val="22"/>
        </w:rPr>
      </w:pPr>
      <w:r w:rsidRPr="003F2CE7">
        <w:rPr>
          <w:noProof/>
          <w:szCs w:val="22"/>
        </w:rPr>
        <w:t xml:space="preserve">Účinok antidiabetík a sympatomimetík zvyšujúcich krvný tlak (ako je adrenalín, noradrenalín) môže byť znížený. Môžu sa zvýšiť </w:t>
      </w:r>
      <w:r w:rsidR="007E1603" w:rsidRPr="007E1603">
        <w:rPr>
          <w:noProof/>
          <w:szCs w:val="22"/>
        </w:rPr>
        <w:t xml:space="preserve">liečebné </w:t>
      </w:r>
      <w:r w:rsidR="003F13B8">
        <w:rPr>
          <w:noProof/>
          <w:szCs w:val="22"/>
        </w:rPr>
        <w:t xml:space="preserve">účinky </w:t>
      </w:r>
      <w:r w:rsidRPr="007E1603">
        <w:rPr>
          <w:noProof/>
          <w:szCs w:val="22"/>
        </w:rPr>
        <w:t>svalových relaxancií alebo teofylínu.</w:t>
      </w:r>
    </w:p>
    <w:p w14:paraId="6204D8B4" w14:textId="77777777" w:rsidR="003F2CE7" w:rsidRDefault="003F2CE7" w:rsidP="00E41B3F">
      <w:pPr>
        <w:rPr>
          <w:noProof/>
          <w:szCs w:val="22"/>
        </w:rPr>
      </w:pPr>
    </w:p>
    <w:p w14:paraId="6EFA5471" w14:textId="3C4BC815" w:rsidR="004D0C6B" w:rsidRPr="004D0C6B" w:rsidRDefault="004D0C6B" w:rsidP="00E41B3F">
      <w:pPr>
        <w:rPr>
          <w:noProof/>
          <w:szCs w:val="22"/>
          <w:u w:val="single"/>
        </w:rPr>
      </w:pPr>
      <w:r w:rsidRPr="004D0C6B">
        <w:rPr>
          <w:noProof/>
          <w:szCs w:val="22"/>
          <w:u w:val="single"/>
        </w:rPr>
        <w:t>Nefrotoxické lie</w:t>
      </w:r>
      <w:r w:rsidR="00E90634">
        <w:rPr>
          <w:noProof/>
          <w:szCs w:val="22"/>
          <w:u w:val="single"/>
        </w:rPr>
        <w:t>čivá</w:t>
      </w:r>
    </w:p>
    <w:p w14:paraId="14867834" w14:textId="42479D0E" w:rsidR="004D0C6B" w:rsidRDefault="004D0C6B" w:rsidP="00E41B3F">
      <w:pPr>
        <w:rPr>
          <w:noProof/>
          <w:szCs w:val="22"/>
        </w:rPr>
      </w:pPr>
      <w:r w:rsidRPr="004D0C6B">
        <w:rPr>
          <w:noProof/>
          <w:szCs w:val="22"/>
        </w:rPr>
        <w:t>Môže dôjsť k zvýšeniu škodlivého účinku nefrotoxických lie</w:t>
      </w:r>
      <w:r w:rsidR="00E90634">
        <w:rPr>
          <w:noProof/>
          <w:szCs w:val="22"/>
        </w:rPr>
        <w:t>čiv</w:t>
      </w:r>
      <w:r w:rsidRPr="004D0C6B">
        <w:rPr>
          <w:noProof/>
          <w:szCs w:val="22"/>
        </w:rPr>
        <w:t xml:space="preserve"> na obličky.</w:t>
      </w:r>
    </w:p>
    <w:p w14:paraId="05BE0DD4" w14:textId="77777777" w:rsidR="004D0C6B" w:rsidRDefault="004D0C6B" w:rsidP="00E41B3F">
      <w:pPr>
        <w:rPr>
          <w:noProof/>
          <w:szCs w:val="22"/>
        </w:rPr>
      </w:pPr>
    </w:p>
    <w:p w14:paraId="67253490" w14:textId="77777777" w:rsidR="004D0C6B" w:rsidRPr="004D0C6B" w:rsidRDefault="004D0C6B" w:rsidP="00E41B3F">
      <w:pPr>
        <w:rPr>
          <w:noProof/>
          <w:szCs w:val="22"/>
          <w:u w:val="single"/>
        </w:rPr>
      </w:pPr>
      <w:r w:rsidRPr="004D0C6B">
        <w:rPr>
          <w:noProof/>
          <w:szCs w:val="22"/>
          <w:u w:val="single"/>
        </w:rPr>
        <w:t>Cefalosporíny</w:t>
      </w:r>
    </w:p>
    <w:p w14:paraId="195E5B25" w14:textId="5060EA3E" w:rsidR="004D0C6B" w:rsidRDefault="004D0C6B" w:rsidP="004D0C6B">
      <w:pPr>
        <w:ind w:left="0" w:firstLine="0"/>
        <w:rPr>
          <w:szCs w:val="22"/>
        </w:rPr>
      </w:pPr>
      <w:r w:rsidRPr="005A327D">
        <w:rPr>
          <w:szCs w:val="22"/>
        </w:rPr>
        <w:t xml:space="preserve">U pacientov dostávajúcich súbežnú liečbu </w:t>
      </w:r>
      <w:proofErr w:type="spellStart"/>
      <w:r w:rsidRPr="005A327D">
        <w:rPr>
          <w:szCs w:val="22"/>
        </w:rPr>
        <w:t>furosemidom</w:t>
      </w:r>
      <w:proofErr w:type="spellEnd"/>
      <w:r w:rsidRPr="005A327D">
        <w:rPr>
          <w:szCs w:val="22"/>
        </w:rPr>
        <w:t xml:space="preserve"> a vysokými dávkami </w:t>
      </w:r>
      <w:r w:rsidR="00E90634">
        <w:rPr>
          <w:szCs w:val="22"/>
        </w:rPr>
        <w:t>niektorých</w:t>
      </w:r>
      <w:r w:rsidR="00E90634" w:rsidRPr="005A327D">
        <w:rPr>
          <w:szCs w:val="22"/>
        </w:rPr>
        <w:t xml:space="preserve"> </w:t>
      </w:r>
      <w:proofErr w:type="spellStart"/>
      <w:r w:rsidRPr="005A327D">
        <w:rPr>
          <w:szCs w:val="22"/>
        </w:rPr>
        <w:t>cefalosporínov</w:t>
      </w:r>
      <w:proofErr w:type="spellEnd"/>
      <w:r w:rsidRPr="005A327D">
        <w:rPr>
          <w:szCs w:val="22"/>
        </w:rPr>
        <w:t xml:space="preserve"> sa môže rozvinúť poškodenie obličiek.</w:t>
      </w:r>
    </w:p>
    <w:p w14:paraId="53DB6452" w14:textId="77777777" w:rsidR="004D0C6B" w:rsidRDefault="004D0C6B" w:rsidP="004D0C6B">
      <w:pPr>
        <w:ind w:left="0" w:firstLine="0"/>
        <w:rPr>
          <w:szCs w:val="22"/>
        </w:rPr>
      </w:pPr>
    </w:p>
    <w:p w14:paraId="22A47B60" w14:textId="77777777" w:rsidR="004D0C6B" w:rsidRPr="004D0C6B" w:rsidRDefault="004D0C6B" w:rsidP="004D0C6B">
      <w:pPr>
        <w:ind w:left="0" w:firstLine="0"/>
        <w:rPr>
          <w:szCs w:val="22"/>
          <w:u w:val="single"/>
        </w:rPr>
      </w:pPr>
      <w:proofErr w:type="spellStart"/>
      <w:r w:rsidRPr="004D0C6B">
        <w:rPr>
          <w:szCs w:val="22"/>
          <w:u w:val="single"/>
        </w:rPr>
        <w:t>Cyklosporín</w:t>
      </w:r>
      <w:proofErr w:type="spellEnd"/>
      <w:r w:rsidRPr="004D0C6B">
        <w:rPr>
          <w:szCs w:val="22"/>
          <w:u w:val="single"/>
        </w:rPr>
        <w:t xml:space="preserve"> A</w:t>
      </w:r>
    </w:p>
    <w:p w14:paraId="1B1DE6B2" w14:textId="77777777" w:rsidR="004D0C6B" w:rsidRDefault="004D0C6B" w:rsidP="004D0C6B">
      <w:pPr>
        <w:ind w:left="0" w:firstLine="0"/>
        <w:rPr>
          <w:szCs w:val="22"/>
        </w:rPr>
      </w:pPr>
      <w:r w:rsidRPr="005A327D">
        <w:rPr>
          <w:szCs w:val="22"/>
        </w:rPr>
        <w:t xml:space="preserve">Súbežné používanie </w:t>
      </w:r>
      <w:proofErr w:type="spellStart"/>
      <w:r w:rsidRPr="005A327D">
        <w:rPr>
          <w:szCs w:val="22"/>
        </w:rPr>
        <w:t>cyklosporínu</w:t>
      </w:r>
      <w:proofErr w:type="spellEnd"/>
      <w:r w:rsidRPr="005A327D">
        <w:rPr>
          <w:szCs w:val="22"/>
        </w:rPr>
        <w:t xml:space="preserve"> A </w:t>
      </w:r>
      <w:proofErr w:type="spellStart"/>
      <w:r w:rsidRPr="005A327D">
        <w:rPr>
          <w:szCs w:val="22"/>
        </w:rPr>
        <w:t>a</w:t>
      </w:r>
      <w:proofErr w:type="spellEnd"/>
      <w:r w:rsidRPr="005A327D">
        <w:rPr>
          <w:szCs w:val="22"/>
        </w:rPr>
        <w:t xml:space="preserve"> </w:t>
      </w:r>
      <w:proofErr w:type="spellStart"/>
      <w:r w:rsidRPr="005A327D">
        <w:rPr>
          <w:szCs w:val="22"/>
        </w:rPr>
        <w:t>furosemidu</w:t>
      </w:r>
      <w:proofErr w:type="spellEnd"/>
      <w:r w:rsidRPr="005A327D">
        <w:rPr>
          <w:szCs w:val="22"/>
        </w:rPr>
        <w:t xml:space="preserve"> je spojené so zvýšeným rizikom </w:t>
      </w:r>
      <w:proofErr w:type="spellStart"/>
      <w:r w:rsidRPr="005A327D">
        <w:rPr>
          <w:szCs w:val="22"/>
        </w:rPr>
        <w:t>dnavej</w:t>
      </w:r>
      <w:proofErr w:type="spellEnd"/>
      <w:r w:rsidRPr="005A327D">
        <w:rPr>
          <w:szCs w:val="22"/>
        </w:rPr>
        <w:t xml:space="preserve"> artritídy sekundárne k </w:t>
      </w:r>
      <w:proofErr w:type="spellStart"/>
      <w:r w:rsidRPr="005A327D">
        <w:rPr>
          <w:szCs w:val="22"/>
        </w:rPr>
        <w:t>hyperurikémii</w:t>
      </w:r>
      <w:proofErr w:type="spellEnd"/>
      <w:r w:rsidRPr="005A327D">
        <w:rPr>
          <w:szCs w:val="22"/>
        </w:rPr>
        <w:t xml:space="preserve"> vyvolanej </w:t>
      </w:r>
      <w:proofErr w:type="spellStart"/>
      <w:r w:rsidRPr="005A327D">
        <w:rPr>
          <w:szCs w:val="22"/>
        </w:rPr>
        <w:t>furosemidom</w:t>
      </w:r>
      <w:proofErr w:type="spellEnd"/>
      <w:r w:rsidRPr="005A327D">
        <w:rPr>
          <w:szCs w:val="22"/>
        </w:rPr>
        <w:t xml:space="preserve"> a rizikom zhoršenia vylučovania </w:t>
      </w:r>
      <w:proofErr w:type="spellStart"/>
      <w:r w:rsidRPr="005A327D">
        <w:rPr>
          <w:szCs w:val="22"/>
        </w:rPr>
        <w:t>urátov</w:t>
      </w:r>
      <w:proofErr w:type="spellEnd"/>
      <w:r w:rsidRPr="005A327D">
        <w:rPr>
          <w:szCs w:val="22"/>
        </w:rPr>
        <w:t xml:space="preserve"> obličkami</w:t>
      </w:r>
      <w:r>
        <w:rPr>
          <w:szCs w:val="22"/>
        </w:rPr>
        <w:t xml:space="preserve"> spojené s </w:t>
      </w:r>
      <w:proofErr w:type="spellStart"/>
      <w:r>
        <w:rPr>
          <w:szCs w:val="22"/>
        </w:rPr>
        <w:t>cyklosporínom</w:t>
      </w:r>
      <w:proofErr w:type="spellEnd"/>
      <w:r w:rsidRPr="005A327D">
        <w:rPr>
          <w:szCs w:val="22"/>
        </w:rPr>
        <w:t>.</w:t>
      </w:r>
    </w:p>
    <w:p w14:paraId="652805D1" w14:textId="77777777" w:rsidR="004D0C6B" w:rsidRDefault="004D0C6B" w:rsidP="004D0C6B">
      <w:pPr>
        <w:ind w:left="0" w:firstLine="0"/>
        <w:rPr>
          <w:szCs w:val="22"/>
        </w:rPr>
      </w:pPr>
    </w:p>
    <w:p w14:paraId="4B7403E2" w14:textId="77777777" w:rsidR="004D0C6B" w:rsidRPr="004D0C6B" w:rsidRDefault="004D0C6B" w:rsidP="004D0C6B">
      <w:pPr>
        <w:ind w:left="0" w:firstLine="0"/>
        <w:rPr>
          <w:szCs w:val="22"/>
          <w:u w:val="single"/>
        </w:rPr>
      </w:pPr>
      <w:proofErr w:type="spellStart"/>
      <w:r w:rsidRPr="004D0C6B">
        <w:rPr>
          <w:szCs w:val="22"/>
          <w:u w:val="single"/>
        </w:rPr>
        <w:t>Rádiokontrastné</w:t>
      </w:r>
      <w:proofErr w:type="spellEnd"/>
      <w:r w:rsidRPr="004D0C6B">
        <w:rPr>
          <w:szCs w:val="22"/>
          <w:u w:val="single"/>
        </w:rPr>
        <w:t xml:space="preserve"> látky</w:t>
      </w:r>
    </w:p>
    <w:p w14:paraId="3CC5D097" w14:textId="3107234B" w:rsidR="004D0C6B" w:rsidRDefault="004D0C6B" w:rsidP="004D0C6B">
      <w:pPr>
        <w:ind w:left="0" w:firstLine="0"/>
        <w:rPr>
          <w:noProof/>
          <w:szCs w:val="22"/>
        </w:rPr>
      </w:pPr>
      <w:r w:rsidRPr="004D0C6B">
        <w:rPr>
          <w:noProof/>
          <w:szCs w:val="22"/>
        </w:rPr>
        <w:t>U pacientov s rizikom rádiokontrastnej nefropatie liečených furosemidom došlo po podaní rádiokontrast</w:t>
      </w:r>
      <w:r w:rsidR="00E90634">
        <w:rPr>
          <w:noProof/>
          <w:szCs w:val="22"/>
        </w:rPr>
        <w:t>ných látok</w:t>
      </w:r>
      <w:r w:rsidRPr="004D0C6B">
        <w:rPr>
          <w:noProof/>
          <w:szCs w:val="22"/>
        </w:rPr>
        <w:t xml:space="preserve"> k vyššiemu výskytu zhoršenia funkcie obličiek v porovnaní s</w:t>
      </w:r>
      <w:r>
        <w:rPr>
          <w:noProof/>
          <w:szCs w:val="22"/>
        </w:rPr>
        <w:t> </w:t>
      </w:r>
      <w:r w:rsidRPr="004D0C6B">
        <w:rPr>
          <w:noProof/>
          <w:szCs w:val="22"/>
        </w:rPr>
        <w:t>pacientmi</w:t>
      </w:r>
      <w:r>
        <w:rPr>
          <w:noProof/>
          <w:szCs w:val="22"/>
        </w:rPr>
        <w:t xml:space="preserve"> s vysokým rizikom</w:t>
      </w:r>
      <w:r w:rsidRPr="004D0C6B">
        <w:rPr>
          <w:noProof/>
          <w:szCs w:val="22"/>
        </w:rPr>
        <w:t>, ktorí pred podaním rádiokontrastných látok dostali iba intravenóznu hydratáciu.</w:t>
      </w:r>
    </w:p>
    <w:p w14:paraId="0BE00262" w14:textId="77777777" w:rsidR="004D0C6B" w:rsidRDefault="004D0C6B" w:rsidP="00E41B3F">
      <w:pPr>
        <w:rPr>
          <w:noProof/>
          <w:szCs w:val="22"/>
        </w:rPr>
      </w:pPr>
    </w:p>
    <w:p w14:paraId="2BC80EB1" w14:textId="77777777" w:rsidR="004D0C6B" w:rsidRPr="004D0C6B" w:rsidRDefault="004D0C6B" w:rsidP="00E41B3F">
      <w:pPr>
        <w:rPr>
          <w:noProof/>
          <w:szCs w:val="22"/>
          <w:u w:val="single"/>
        </w:rPr>
      </w:pPr>
      <w:r w:rsidRPr="004D0C6B">
        <w:rPr>
          <w:noProof/>
          <w:szCs w:val="22"/>
          <w:u w:val="single"/>
        </w:rPr>
        <w:t>Jedlo</w:t>
      </w:r>
    </w:p>
    <w:p w14:paraId="34E872C5" w14:textId="2CD95A75" w:rsidR="004D0C6B" w:rsidRDefault="004D0C6B" w:rsidP="004D0C6B">
      <w:pPr>
        <w:ind w:left="0" w:firstLine="0"/>
        <w:rPr>
          <w:noProof/>
          <w:szCs w:val="22"/>
        </w:rPr>
      </w:pPr>
      <w:r w:rsidRPr="004D0C6B">
        <w:rPr>
          <w:noProof/>
          <w:szCs w:val="22"/>
        </w:rPr>
        <w:t xml:space="preserve">Spôsob, akým furosemid </w:t>
      </w:r>
      <w:r w:rsidR="00AD5E0C">
        <w:rPr>
          <w:noProof/>
          <w:szCs w:val="22"/>
        </w:rPr>
        <w:t xml:space="preserve">je alebo nie je </w:t>
      </w:r>
      <w:r w:rsidRPr="004D0C6B">
        <w:rPr>
          <w:noProof/>
          <w:szCs w:val="22"/>
        </w:rPr>
        <w:t xml:space="preserve">ovplyvňovaný príjmom potravy a rozsah tejto interakcie závisia od príslušnej liekovej formy. Odporúča sa užívať perorálne </w:t>
      </w:r>
      <w:r w:rsidR="00E90634">
        <w:rPr>
          <w:noProof/>
          <w:szCs w:val="22"/>
        </w:rPr>
        <w:t>liekové formy</w:t>
      </w:r>
      <w:r w:rsidR="00E90634" w:rsidRPr="004D0C6B">
        <w:rPr>
          <w:noProof/>
          <w:szCs w:val="22"/>
        </w:rPr>
        <w:t xml:space="preserve"> </w:t>
      </w:r>
      <w:r w:rsidRPr="004D0C6B">
        <w:rPr>
          <w:noProof/>
          <w:szCs w:val="22"/>
        </w:rPr>
        <w:t>na</w:t>
      </w:r>
      <w:r w:rsidR="00E90634">
        <w:rPr>
          <w:noProof/>
          <w:szCs w:val="22"/>
        </w:rPr>
        <w:t>lačno.</w:t>
      </w:r>
    </w:p>
    <w:p w14:paraId="5487BA92" w14:textId="77777777" w:rsidR="00780926" w:rsidRPr="003021DE" w:rsidRDefault="00780926" w:rsidP="00E41B3F">
      <w:pPr>
        <w:rPr>
          <w:szCs w:val="22"/>
        </w:rPr>
      </w:pPr>
    </w:p>
    <w:p w14:paraId="760D460E" w14:textId="77777777" w:rsidR="00780926" w:rsidRPr="003021DE" w:rsidRDefault="00F35CE2" w:rsidP="00E41B3F">
      <w:pPr>
        <w:rPr>
          <w:szCs w:val="22"/>
        </w:rPr>
      </w:pPr>
      <w:r w:rsidRPr="003021DE">
        <w:rPr>
          <w:b/>
          <w:szCs w:val="22"/>
        </w:rPr>
        <w:t>4.6</w:t>
      </w:r>
      <w:r w:rsidRPr="003021DE">
        <w:rPr>
          <w:b/>
          <w:szCs w:val="22"/>
        </w:rPr>
        <w:tab/>
      </w:r>
      <w:r w:rsidR="00E1698A" w:rsidRPr="003021DE">
        <w:rPr>
          <w:b/>
          <w:noProof/>
          <w:szCs w:val="22"/>
        </w:rPr>
        <w:t>Fertilita, g</w:t>
      </w:r>
      <w:r w:rsidRPr="003021DE">
        <w:rPr>
          <w:b/>
          <w:szCs w:val="22"/>
        </w:rPr>
        <w:t>ravidita a</w:t>
      </w:r>
      <w:r w:rsidR="00BD7004" w:rsidRPr="00B13F68">
        <w:rPr>
          <w:b/>
          <w:szCs w:val="22"/>
        </w:rPr>
        <w:t> </w:t>
      </w:r>
      <w:r w:rsidRPr="003021DE">
        <w:rPr>
          <w:b/>
          <w:szCs w:val="22"/>
        </w:rPr>
        <w:t>laktácia</w:t>
      </w:r>
    </w:p>
    <w:p w14:paraId="7645912D" w14:textId="77777777" w:rsidR="00E1698A" w:rsidRPr="00B13F68" w:rsidRDefault="00E1698A" w:rsidP="00E41B3F"/>
    <w:p w14:paraId="65DF628E" w14:textId="77777777" w:rsidR="00E1698A" w:rsidRDefault="00F35CE2" w:rsidP="00E41B3F">
      <w:pPr>
        <w:rPr>
          <w:noProof/>
          <w:szCs w:val="22"/>
          <w:u w:val="single"/>
        </w:rPr>
      </w:pPr>
      <w:r w:rsidRPr="00B13F68">
        <w:rPr>
          <w:noProof/>
          <w:szCs w:val="22"/>
          <w:u w:val="single"/>
        </w:rPr>
        <w:t>Gravidita</w:t>
      </w:r>
    </w:p>
    <w:p w14:paraId="45D4E17D" w14:textId="77777777" w:rsidR="00AD5E0C" w:rsidRDefault="00AD5E0C" w:rsidP="00AD5E0C">
      <w:pPr>
        <w:ind w:left="0" w:firstLine="0"/>
        <w:rPr>
          <w:noProof/>
          <w:szCs w:val="22"/>
        </w:rPr>
      </w:pPr>
      <w:r w:rsidRPr="00AD5E0C">
        <w:rPr>
          <w:noProof/>
          <w:szCs w:val="22"/>
        </w:rPr>
        <w:t>Furosemid prechádza placentárnou bariérou. Počas tehotenstva sa má furosemid používať iba v nevyhnutných prípadoch. Liečba furosemidom počas tehotenstva vyžaduje sledovanie rastu plodu.</w:t>
      </w:r>
    </w:p>
    <w:p w14:paraId="12DB5493" w14:textId="77777777" w:rsidR="00AD5E0C" w:rsidRPr="003021DE" w:rsidRDefault="00AD5E0C" w:rsidP="00E41B3F">
      <w:pPr>
        <w:rPr>
          <w:noProof/>
          <w:szCs w:val="22"/>
        </w:rPr>
      </w:pPr>
    </w:p>
    <w:p w14:paraId="03484EEB" w14:textId="77777777" w:rsidR="00E1698A" w:rsidRDefault="00BB6D67" w:rsidP="00E41B3F">
      <w:pPr>
        <w:rPr>
          <w:noProof/>
          <w:szCs w:val="22"/>
          <w:u w:val="single"/>
        </w:rPr>
      </w:pPr>
      <w:r>
        <w:rPr>
          <w:noProof/>
          <w:szCs w:val="22"/>
          <w:u w:val="single"/>
        </w:rPr>
        <w:lastRenderedPageBreak/>
        <w:t>Dojčenie</w:t>
      </w:r>
    </w:p>
    <w:p w14:paraId="080833BD" w14:textId="77777777" w:rsidR="00AD5E0C" w:rsidRDefault="00AD5E0C" w:rsidP="00AD5E0C">
      <w:pPr>
        <w:ind w:left="0" w:firstLine="0"/>
        <w:rPr>
          <w:noProof/>
          <w:szCs w:val="22"/>
        </w:rPr>
      </w:pPr>
      <w:r w:rsidRPr="00AD5E0C">
        <w:rPr>
          <w:noProof/>
          <w:szCs w:val="22"/>
        </w:rPr>
        <w:t>Počas dojčenia je potrebné vziať do úvahy, že furosemid prechádza do materského mlieka, čo môže inhibovať tvorbu mlieka. Liečba furosemidom u dojčiacich žien je preto kontraindikovaná (pozri časť 4.3) a ženy by nemali dojčiť, ak sú liečené furosemidom.</w:t>
      </w:r>
    </w:p>
    <w:p w14:paraId="3DB58D24" w14:textId="77777777" w:rsidR="00AD5E0C" w:rsidRPr="003021DE" w:rsidRDefault="00AD5E0C" w:rsidP="00AD5E0C">
      <w:pPr>
        <w:ind w:left="0" w:firstLine="0"/>
        <w:rPr>
          <w:noProof/>
          <w:szCs w:val="22"/>
        </w:rPr>
      </w:pPr>
    </w:p>
    <w:p w14:paraId="78F46061" w14:textId="77777777" w:rsidR="00E1698A" w:rsidRDefault="00F35CE2" w:rsidP="00E41B3F">
      <w:pPr>
        <w:rPr>
          <w:noProof/>
          <w:szCs w:val="22"/>
          <w:u w:val="single"/>
        </w:rPr>
      </w:pPr>
      <w:r w:rsidRPr="00B13F68">
        <w:rPr>
          <w:noProof/>
          <w:szCs w:val="22"/>
          <w:u w:val="single"/>
        </w:rPr>
        <w:t>Fertilita</w:t>
      </w:r>
    </w:p>
    <w:p w14:paraId="522250A3" w14:textId="77777777" w:rsidR="00AD5E0C" w:rsidRPr="003021DE" w:rsidRDefault="00AD5E0C" w:rsidP="00AD5E0C">
      <w:pPr>
        <w:ind w:left="0" w:firstLine="0"/>
        <w:rPr>
          <w:noProof/>
          <w:szCs w:val="22"/>
        </w:rPr>
      </w:pPr>
      <w:r w:rsidRPr="00AD5E0C">
        <w:rPr>
          <w:noProof/>
          <w:szCs w:val="22"/>
        </w:rPr>
        <w:t>Nie sú k dispozícii žiadne údaje o účinkoch furosemidu na plodnosť u ľudí. Štúdie na zvieratách neodhalili vplyv na fertilitu pri liečbe furosemidom (pozri časť 5.3).</w:t>
      </w:r>
    </w:p>
    <w:p w14:paraId="097C7088" w14:textId="77777777" w:rsidR="00780926" w:rsidRPr="003021DE" w:rsidRDefault="00780926" w:rsidP="00E41B3F">
      <w:pPr>
        <w:rPr>
          <w:szCs w:val="22"/>
        </w:rPr>
      </w:pPr>
    </w:p>
    <w:p w14:paraId="05F5D9CA" w14:textId="77777777" w:rsidR="00780926" w:rsidRPr="003021DE" w:rsidRDefault="00F35CE2" w:rsidP="00E41B3F">
      <w:pPr>
        <w:rPr>
          <w:szCs w:val="22"/>
        </w:rPr>
      </w:pPr>
      <w:r w:rsidRPr="003021DE">
        <w:rPr>
          <w:b/>
          <w:szCs w:val="22"/>
        </w:rPr>
        <w:t>4.7</w:t>
      </w:r>
      <w:r w:rsidRPr="003021DE">
        <w:rPr>
          <w:b/>
          <w:szCs w:val="22"/>
        </w:rPr>
        <w:tab/>
        <w:t>Ovplyvnenie schopnosti viesť vozidlá a</w:t>
      </w:r>
      <w:r w:rsidR="00F9666C">
        <w:rPr>
          <w:b/>
          <w:szCs w:val="22"/>
        </w:rPr>
        <w:t> </w:t>
      </w:r>
      <w:r w:rsidRPr="003021DE">
        <w:rPr>
          <w:b/>
          <w:szCs w:val="22"/>
        </w:rPr>
        <w:t>obsluhovať stroje</w:t>
      </w:r>
    </w:p>
    <w:p w14:paraId="43B0DFB1" w14:textId="77777777" w:rsidR="00780926" w:rsidRPr="003021DE" w:rsidRDefault="00780926" w:rsidP="00E41B3F">
      <w:pPr>
        <w:rPr>
          <w:szCs w:val="22"/>
        </w:rPr>
      </w:pPr>
    </w:p>
    <w:p w14:paraId="738263D0" w14:textId="29F78D7F" w:rsidR="00780926" w:rsidRDefault="00AD5E0C" w:rsidP="00AD5E0C">
      <w:pPr>
        <w:ind w:left="0" w:firstLine="0"/>
        <w:rPr>
          <w:szCs w:val="22"/>
        </w:rPr>
      </w:pPr>
      <w:r w:rsidRPr="00AD5E0C">
        <w:rPr>
          <w:szCs w:val="22"/>
        </w:rPr>
        <w:t xml:space="preserve">Niektoré nepriaznivé účinky (napr. </w:t>
      </w:r>
      <w:r>
        <w:rPr>
          <w:szCs w:val="22"/>
        </w:rPr>
        <w:t>v</w:t>
      </w:r>
      <w:r w:rsidRPr="00AD5E0C">
        <w:rPr>
          <w:szCs w:val="22"/>
        </w:rPr>
        <w:t>ýrazné a nežiaduce zníženie krvného tlaku) môžu mať vplyv na schopnosť pacienta sústrediť sa a</w:t>
      </w:r>
      <w:r w:rsidR="00180DD9">
        <w:rPr>
          <w:szCs w:val="22"/>
        </w:rPr>
        <w:t> </w:t>
      </w:r>
      <w:r w:rsidRPr="00AD5E0C">
        <w:rPr>
          <w:szCs w:val="22"/>
        </w:rPr>
        <w:t>reagovať</w:t>
      </w:r>
      <w:r w:rsidR="00180DD9">
        <w:rPr>
          <w:szCs w:val="22"/>
        </w:rPr>
        <w:t>,</w:t>
      </w:r>
      <w:r w:rsidRPr="00AD5E0C">
        <w:rPr>
          <w:szCs w:val="22"/>
        </w:rPr>
        <w:t xml:space="preserve"> v dôsledku </w:t>
      </w:r>
      <w:r w:rsidR="00180DD9">
        <w:rPr>
          <w:szCs w:val="22"/>
        </w:rPr>
        <w:t>čoh</w:t>
      </w:r>
      <w:r w:rsidRPr="00AD5E0C">
        <w:rPr>
          <w:szCs w:val="22"/>
        </w:rPr>
        <w:t>o predstavujú riziko v situáciách, k</w:t>
      </w:r>
      <w:r w:rsidR="00BE3EDE">
        <w:rPr>
          <w:szCs w:val="22"/>
        </w:rPr>
        <w:t>e</w:t>
      </w:r>
      <w:r w:rsidR="00E90634">
        <w:rPr>
          <w:szCs w:val="22"/>
        </w:rPr>
        <w:t>ď</w:t>
      </w:r>
      <w:r w:rsidRPr="00AD5E0C">
        <w:rPr>
          <w:szCs w:val="22"/>
        </w:rPr>
        <w:t xml:space="preserve"> sú tieto </w:t>
      </w:r>
      <w:r w:rsidR="00BE3EDE">
        <w:rPr>
          <w:szCs w:val="22"/>
        </w:rPr>
        <w:t>schopnosti</w:t>
      </w:r>
      <w:r w:rsidRPr="00AD5E0C">
        <w:rPr>
          <w:szCs w:val="22"/>
        </w:rPr>
        <w:t xml:space="preserve"> obzvlášť dôležité (napr. </w:t>
      </w:r>
      <w:r w:rsidR="00BE3EDE">
        <w:rPr>
          <w:szCs w:val="22"/>
        </w:rPr>
        <w:t>p</w:t>
      </w:r>
      <w:r w:rsidRPr="00AD5E0C">
        <w:rPr>
          <w:szCs w:val="22"/>
        </w:rPr>
        <w:t>ri vedení vozidla alebo obsluhe strojov).</w:t>
      </w:r>
    </w:p>
    <w:p w14:paraId="6C3C0C95" w14:textId="77777777" w:rsidR="00AD5E0C" w:rsidRPr="003021DE" w:rsidRDefault="00AD5E0C" w:rsidP="00A75ECC">
      <w:pPr>
        <w:rPr>
          <w:szCs w:val="22"/>
        </w:rPr>
      </w:pPr>
    </w:p>
    <w:p w14:paraId="56BBB13B" w14:textId="77777777" w:rsidR="00780926" w:rsidRPr="003021DE" w:rsidRDefault="00F35CE2" w:rsidP="00D513D2">
      <w:pPr>
        <w:rPr>
          <w:b/>
          <w:szCs w:val="22"/>
        </w:rPr>
      </w:pPr>
      <w:r w:rsidRPr="003021DE">
        <w:rPr>
          <w:b/>
          <w:szCs w:val="22"/>
        </w:rPr>
        <w:t>4.8</w:t>
      </w:r>
      <w:r w:rsidRPr="003021DE">
        <w:rPr>
          <w:b/>
          <w:szCs w:val="22"/>
        </w:rPr>
        <w:tab/>
        <w:t>Nežiaduce účinky</w:t>
      </w:r>
    </w:p>
    <w:p w14:paraId="798AFD12" w14:textId="77777777" w:rsidR="00780926" w:rsidRPr="00B13F68" w:rsidRDefault="00780926" w:rsidP="00D513D2"/>
    <w:p w14:paraId="641B972B" w14:textId="18FC0DF1" w:rsidR="00BE3EDE" w:rsidRDefault="00BE3EDE" w:rsidP="00B13F68">
      <w:pPr>
        <w:pStyle w:val="Zkladntext"/>
        <w:rPr>
          <w:noProof/>
          <w:szCs w:val="22"/>
        </w:rPr>
      </w:pPr>
      <w:r w:rsidRPr="00BE3EDE">
        <w:rPr>
          <w:noProof/>
          <w:szCs w:val="22"/>
        </w:rPr>
        <w:t xml:space="preserve">Frekvencia </w:t>
      </w:r>
      <w:r w:rsidR="00E90634">
        <w:rPr>
          <w:noProof/>
          <w:szCs w:val="22"/>
        </w:rPr>
        <w:t>nežiaducich</w:t>
      </w:r>
      <w:r w:rsidRPr="00BE3EDE">
        <w:rPr>
          <w:noProof/>
          <w:szCs w:val="22"/>
        </w:rPr>
        <w:t xml:space="preserve"> účinkov je definovaná ako: veľmi časté (≥ 1/10), časté (≥ 1/100 až &lt;1/10), menej časté (≥ 1/1 000 až &lt;1/100), zriedkavé (≥ 1/10 000 až &lt;1/1 000), veľmi zriedkavé (&lt;1/10 000), neznáme (</w:t>
      </w:r>
      <w:r>
        <w:rPr>
          <w:szCs w:val="22"/>
        </w:rPr>
        <w:t>n</w:t>
      </w:r>
      <w:r w:rsidRPr="00BE6AA7">
        <w:rPr>
          <w:szCs w:val="22"/>
        </w:rPr>
        <w:t>edá sa odhadnúť z dostupných údajov</w:t>
      </w:r>
      <w:r w:rsidRPr="00BE3EDE">
        <w:rPr>
          <w:noProof/>
          <w:szCs w:val="22"/>
        </w:rPr>
        <w:t>).</w:t>
      </w:r>
    </w:p>
    <w:p w14:paraId="118341BD" w14:textId="77777777" w:rsidR="00BE3EDE" w:rsidRDefault="00BE3EDE" w:rsidP="00B13F68">
      <w:pPr>
        <w:pStyle w:val="Zkladntext"/>
        <w:rPr>
          <w:noProof/>
          <w:szCs w:val="22"/>
        </w:rPr>
      </w:pPr>
    </w:p>
    <w:p w14:paraId="737D9F76" w14:textId="3FEE8898" w:rsidR="00BE3EDE" w:rsidRDefault="00BE3EDE" w:rsidP="00B13F68">
      <w:pPr>
        <w:pStyle w:val="Zkladntext"/>
        <w:rPr>
          <w:noProof/>
          <w:szCs w:val="22"/>
        </w:rPr>
      </w:pPr>
      <w:r w:rsidRPr="00BE3EDE">
        <w:rPr>
          <w:noProof/>
          <w:szCs w:val="22"/>
        </w:rPr>
        <w:t>Frekvencie sú odvodené z údajov z</w:t>
      </w:r>
      <w:r w:rsidR="005F7F6E">
        <w:rPr>
          <w:noProof/>
          <w:szCs w:val="22"/>
        </w:rPr>
        <w:t> </w:t>
      </w:r>
      <w:r w:rsidRPr="00BE3EDE">
        <w:rPr>
          <w:noProof/>
          <w:szCs w:val="22"/>
        </w:rPr>
        <w:t>literatúry</w:t>
      </w:r>
      <w:r w:rsidR="005F7F6E">
        <w:rPr>
          <w:noProof/>
          <w:szCs w:val="22"/>
        </w:rPr>
        <w:t>,</w:t>
      </w:r>
      <w:r w:rsidRPr="00BE3EDE">
        <w:rPr>
          <w:noProof/>
          <w:szCs w:val="22"/>
        </w:rPr>
        <w:t xml:space="preserve"> </w:t>
      </w:r>
      <w:r w:rsidR="005F7F6E">
        <w:rPr>
          <w:noProof/>
          <w:szCs w:val="22"/>
        </w:rPr>
        <w:t xml:space="preserve">ktoré sa odkazujú </w:t>
      </w:r>
      <w:r w:rsidR="00E90634">
        <w:rPr>
          <w:noProof/>
          <w:szCs w:val="22"/>
        </w:rPr>
        <w:t>do</w:t>
      </w:r>
      <w:r w:rsidRPr="00BE3EDE">
        <w:rPr>
          <w:noProof/>
          <w:szCs w:val="22"/>
        </w:rPr>
        <w:t xml:space="preserve"> štúdi</w:t>
      </w:r>
      <w:r w:rsidR="00E90634">
        <w:rPr>
          <w:noProof/>
          <w:szCs w:val="22"/>
        </w:rPr>
        <w:t>í</w:t>
      </w:r>
      <w:r w:rsidRPr="00BE3EDE">
        <w:rPr>
          <w:noProof/>
          <w:szCs w:val="22"/>
        </w:rPr>
        <w:t xml:space="preserve">, v ktorých sa furosemid použil celkovo u 1 387 pacientov </w:t>
      </w:r>
      <w:r w:rsidR="005F7F6E">
        <w:rPr>
          <w:noProof/>
          <w:szCs w:val="22"/>
        </w:rPr>
        <w:t xml:space="preserve">v </w:t>
      </w:r>
      <w:r w:rsidRPr="00BE3EDE">
        <w:rPr>
          <w:noProof/>
          <w:szCs w:val="22"/>
        </w:rPr>
        <w:t>akejkoľvek dávke a indikácii. V prípadoch, keď bola kategória frekvencií pre ten istý nepriaznivý účinok odlišná, bola vybraná kategória s najvyššou frekvenciou.</w:t>
      </w:r>
    </w:p>
    <w:p w14:paraId="355B6DBA" w14:textId="77777777" w:rsidR="00BE3EDE" w:rsidRDefault="00BE3EDE" w:rsidP="00B13F68">
      <w:pPr>
        <w:pStyle w:val="Zkladntext"/>
        <w:rPr>
          <w:noProof/>
          <w:szCs w:val="22"/>
        </w:rPr>
      </w:pPr>
    </w:p>
    <w:p w14:paraId="0F8D35CA" w14:textId="77777777" w:rsidR="005F7F6E" w:rsidRPr="00CA2806" w:rsidRDefault="005F7F6E" w:rsidP="005F7F6E">
      <w:pPr>
        <w:pStyle w:val="Default"/>
        <w:rPr>
          <w:iCs/>
          <w:color w:val="auto"/>
          <w:sz w:val="22"/>
          <w:szCs w:val="22"/>
          <w:u w:val="single"/>
          <w:lang w:val="sk-SK"/>
        </w:rPr>
      </w:pPr>
      <w:r w:rsidRPr="00CA2806">
        <w:rPr>
          <w:iCs/>
          <w:color w:val="auto"/>
          <w:sz w:val="22"/>
          <w:szCs w:val="22"/>
          <w:u w:val="single"/>
          <w:lang w:val="sk-SK"/>
        </w:rPr>
        <w:t xml:space="preserve">Poruchy krvi a lymfatického systému </w:t>
      </w:r>
    </w:p>
    <w:p w14:paraId="37554938" w14:textId="77777777" w:rsidR="005F7F6E" w:rsidRPr="00CA2806" w:rsidRDefault="005F7F6E" w:rsidP="005F7F6E">
      <w:pPr>
        <w:pStyle w:val="Default"/>
        <w:ind w:left="1701" w:hanging="1701"/>
        <w:rPr>
          <w:color w:val="auto"/>
          <w:sz w:val="22"/>
          <w:szCs w:val="22"/>
          <w:lang w:val="sk-SK"/>
        </w:rPr>
      </w:pPr>
      <w:r w:rsidRPr="00CA2806">
        <w:rPr>
          <w:i/>
          <w:iCs/>
          <w:color w:val="auto"/>
          <w:sz w:val="22"/>
          <w:szCs w:val="22"/>
          <w:lang w:val="sk-SK"/>
        </w:rPr>
        <w:t>Časté:</w:t>
      </w:r>
      <w:r w:rsidRPr="00CA2806">
        <w:rPr>
          <w:iCs/>
          <w:color w:val="auto"/>
          <w:sz w:val="22"/>
          <w:szCs w:val="22"/>
          <w:lang w:val="sk-SK"/>
        </w:rPr>
        <w:t xml:space="preserve"> </w:t>
      </w:r>
      <w:r w:rsidRPr="00CA2806">
        <w:rPr>
          <w:iCs/>
          <w:color w:val="auto"/>
          <w:sz w:val="22"/>
          <w:szCs w:val="22"/>
          <w:lang w:val="sk-SK"/>
        </w:rPr>
        <w:tab/>
      </w:r>
      <w:proofErr w:type="spellStart"/>
      <w:r w:rsidRPr="00CA2806">
        <w:rPr>
          <w:iCs/>
          <w:color w:val="auto"/>
          <w:sz w:val="22"/>
          <w:szCs w:val="22"/>
          <w:lang w:val="sk-SK"/>
        </w:rPr>
        <w:t>hemokoncentrácia</w:t>
      </w:r>
      <w:proofErr w:type="spellEnd"/>
      <w:r w:rsidRPr="00CA2806">
        <w:rPr>
          <w:iCs/>
          <w:color w:val="auto"/>
          <w:sz w:val="22"/>
          <w:szCs w:val="22"/>
          <w:lang w:val="sk-SK"/>
        </w:rPr>
        <w:t xml:space="preserve"> </w:t>
      </w:r>
    </w:p>
    <w:p w14:paraId="5DE6C415" w14:textId="77777777" w:rsidR="005F7F6E" w:rsidRPr="00CA2806" w:rsidRDefault="005F7F6E" w:rsidP="005F7F6E">
      <w:pPr>
        <w:pStyle w:val="Default"/>
        <w:ind w:left="1701" w:hanging="1701"/>
        <w:rPr>
          <w:color w:val="auto"/>
          <w:sz w:val="22"/>
          <w:szCs w:val="22"/>
          <w:lang w:val="sk-SK"/>
        </w:rPr>
      </w:pPr>
      <w:r w:rsidRPr="00CA2806">
        <w:rPr>
          <w:i/>
          <w:color w:val="auto"/>
          <w:sz w:val="22"/>
          <w:szCs w:val="22"/>
          <w:lang w:val="sk-SK"/>
        </w:rPr>
        <w:t>Menej časté:</w:t>
      </w:r>
      <w:r w:rsidRPr="00CA2806">
        <w:rPr>
          <w:i/>
          <w:color w:val="auto"/>
          <w:sz w:val="22"/>
          <w:szCs w:val="22"/>
          <w:lang w:val="sk-SK"/>
        </w:rPr>
        <w:tab/>
      </w:r>
      <w:proofErr w:type="spellStart"/>
      <w:r w:rsidRPr="00CA2806">
        <w:rPr>
          <w:color w:val="auto"/>
          <w:sz w:val="22"/>
          <w:szCs w:val="22"/>
          <w:lang w:val="sk-SK"/>
        </w:rPr>
        <w:t>trombocytopénia</w:t>
      </w:r>
      <w:proofErr w:type="spellEnd"/>
    </w:p>
    <w:p w14:paraId="78FD3231" w14:textId="77777777" w:rsidR="005F7F6E" w:rsidRPr="00CA2806" w:rsidRDefault="005F7F6E" w:rsidP="005F7F6E">
      <w:pPr>
        <w:pStyle w:val="Default"/>
        <w:tabs>
          <w:tab w:val="left" w:pos="1843"/>
        </w:tabs>
        <w:ind w:left="1701" w:hanging="1701"/>
        <w:rPr>
          <w:color w:val="auto"/>
          <w:sz w:val="22"/>
          <w:szCs w:val="22"/>
          <w:lang w:val="sk-SK"/>
        </w:rPr>
      </w:pPr>
      <w:r w:rsidRPr="00CA2806">
        <w:rPr>
          <w:i/>
          <w:color w:val="auto"/>
          <w:sz w:val="22"/>
          <w:szCs w:val="22"/>
          <w:lang w:val="sk-SK"/>
        </w:rPr>
        <w:t>Zriedkavé:</w:t>
      </w:r>
      <w:r w:rsidRPr="00CA2806">
        <w:rPr>
          <w:color w:val="auto"/>
          <w:sz w:val="22"/>
          <w:szCs w:val="22"/>
          <w:lang w:val="sk-SK"/>
        </w:rPr>
        <w:t xml:space="preserve"> </w:t>
      </w:r>
      <w:r w:rsidRPr="00CA2806">
        <w:rPr>
          <w:color w:val="auto"/>
          <w:sz w:val="22"/>
          <w:szCs w:val="22"/>
          <w:lang w:val="sk-SK"/>
        </w:rPr>
        <w:tab/>
      </w:r>
      <w:proofErr w:type="spellStart"/>
      <w:r w:rsidRPr="00CA2806">
        <w:rPr>
          <w:color w:val="auto"/>
          <w:sz w:val="22"/>
          <w:szCs w:val="22"/>
          <w:lang w:val="sk-SK"/>
        </w:rPr>
        <w:t>eozinofília</w:t>
      </w:r>
      <w:proofErr w:type="spellEnd"/>
      <w:r w:rsidRPr="00CA2806">
        <w:rPr>
          <w:color w:val="auto"/>
          <w:sz w:val="22"/>
          <w:szCs w:val="22"/>
          <w:lang w:val="sk-SK"/>
        </w:rPr>
        <w:t xml:space="preserve">, </w:t>
      </w:r>
      <w:proofErr w:type="spellStart"/>
      <w:r w:rsidRPr="00CA2806">
        <w:rPr>
          <w:color w:val="auto"/>
          <w:sz w:val="22"/>
          <w:szCs w:val="22"/>
          <w:lang w:val="sk-SK"/>
        </w:rPr>
        <w:t>leukopénia</w:t>
      </w:r>
      <w:proofErr w:type="spellEnd"/>
    </w:p>
    <w:p w14:paraId="247B7677" w14:textId="77777777" w:rsidR="005F7F6E" w:rsidRPr="00CA2806" w:rsidRDefault="005F7F6E" w:rsidP="005F7F6E">
      <w:pPr>
        <w:pStyle w:val="Default"/>
        <w:ind w:left="1701" w:hanging="1701"/>
        <w:rPr>
          <w:color w:val="auto"/>
          <w:sz w:val="22"/>
          <w:szCs w:val="22"/>
          <w:lang w:val="sk-SK"/>
        </w:rPr>
      </w:pPr>
      <w:r w:rsidRPr="00CA2806">
        <w:rPr>
          <w:i/>
          <w:color w:val="auto"/>
          <w:sz w:val="22"/>
          <w:szCs w:val="22"/>
          <w:lang w:val="sk-SK"/>
        </w:rPr>
        <w:t xml:space="preserve">Veľmi zriedkavé: </w:t>
      </w:r>
      <w:r w:rsidRPr="00CA2806">
        <w:rPr>
          <w:i/>
          <w:color w:val="auto"/>
          <w:sz w:val="22"/>
          <w:szCs w:val="22"/>
          <w:lang w:val="sk-SK"/>
        </w:rPr>
        <w:tab/>
      </w:r>
      <w:proofErr w:type="spellStart"/>
      <w:r w:rsidRPr="00CA2806">
        <w:rPr>
          <w:color w:val="auto"/>
          <w:sz w:val="22"/>
          <w:szCs w:val="22"/>
          <w:lang w:val="sk-SK"/>
        </w:rPr>
        <w:t>hemolytická</w:t>
      </w:r>
      <w:proofErr w:type="spellEnd"/>
      <w:r w:rsidRPr="00CA2806">
        <w:rPr>
          <w:color w:val="auto"/>
          <w:sz w:val="22"/>
          <w:szCs w:val="22"/>
          <w:lang w:val="sk-SK"/>
        </w:rPr>
        <w:t xml:space="preserve"> anémia, </w:t>
      </w:r>
      <w:proofErr w:type="spellStart"/>
      <w:r w:rsidRPr="00CA2806">
        <w:rPr>
          <w:color w:val="auto"/>
          <w:sz w:val="22"/>
          <w:szCs w:val="22"/>
          <w:lang w:val="sk-SK"/>
        </w:rPr>
        <w:t>aplastická</w:t>
      </w:r>
      <w:proofErr w:type="spellEnd"/>
      <w:r w:rsidRPr="00CA2806">
        <w:rPr>
          <w:color w:val="auto"/>
          <w:sz w:val="22"/>
          <w:szCs w:val="22"/>
          <w:lang w:val="sk-SK"/>
        </w:rPr>
        <w:t xml:space="preserve"> anémia, </w:t>
      </w:r>
      <w:proofErr w:type="spellStart"/>
      <w:r w:rsidRPr="00CA2806">
        <w:rPr>
          <w:color w:val="auto"/>
          <w:sz w:val="22"/>
          <w:szCs w:val="22"/>
          <w:lang w:val="sk-SK"/>
        </w:rPr>
        <w:t>agranulocytóza</w:t>
      </w:r>
      <w:proofErr w:type="spellEnd"/>
    </w:p>
    <w:p w14:paraId="2F7C8607" w14:textId="77777777" w:rsidR="005F7F6E" w:rsidRDefault="005F7F6E" w:rsidP="00B13F68">
      <w:pPr>
        <w:pStyle w:val="Zkladntext"/>
        <w:rPr>
          <w:noProof/>
          <w:szCs w:val="22"/>
        </w:rPr>
      </w:pPr>
    </w:p>
    <w:p w14:paraId="572E895E" w14:textId="77777777" w:rsidR="005F7F6E" w:rsidRPr="005F7F6E" w:rsidRDefault="005F7F6E" w:rsidP="005F7F6E">
      <w:pPr>
        <w:pStyle w:val="Default"/>
        <w:rPr>
          <w:color w:val="auto"/>
          <w:sz w:val="22"/>
          <w:szCs w:val="22"/>
          <w:u w:val="single"/>
          <w:lang w:val="sk-SK"/>
        </w:rPr>
      </w:pPr>
      <w:r w:rsidRPr="00CA2806">
        <w:rPr>
          <w:iCs/>
          <w:color w:val="auto"/>
          <w:sz w:val="22"/>
          <w:szCs w:val="22"/>
          <w:u w:val="single"/>
          <w:lang w:val="sk-SK"/>
        </w:rPr>
        <w:t xml:space="preserve">Poruchy imunitného systému </w:t>
      </w:r>
    </w:p>
    <w:p w14:paraId="2F58B849" w14:textId="77777777" w:rsidR="005F7F6E" w:rsidRPr="00CA2806" w:rsidRDefault="005F7F6E" w:rsidP="005F7F6E">
      <w:pPr>
        <w:pStyle w:val="Default"/>
        <w:ind w:left="1701" w:hanging="1701"/>
        <w:rPr>
          <w:iCs/>
          <w:color w:val="auto"/>
          <w:sz w:val="22"/>
          <w:szCs w:val="22"/>
          <w:lang w:val="sk-SK"/>
        </w:rPr>
      </w:pPr>
      <w:r w:rsidRPr="00CA2806">
        <w:rPr>
          <w:i/>
          <w:color w:val="auto"/>
          <w:sz w:val="22"/>
          <w:szCs w:val="22"/>
          <w:lang w:val="sk-SK"/>
        </w:rPr>
        <w:t>Zriedkavé</w:t>
      </w:r>
      <w:r w:rsidRPr="00CA2806">
        <w:rPr>
          <w:color w:val="auto"/>
          <w:sz w:val="22"/>
          <w:szCs w:val="22"/>
          <w:lang w:val="sk-SK"/>
        </w:rPr>
        <w:t xml:space="preserve">: </w:t>
      </w:r>
      <w:r w:rsidRPr="00CA2806">
        <w:rPr>
          <w:color w:val="auto"/>
          <w:sz w:val="22"/>
          <w:szCs w:val="22"/>
          <w:lang w:val="sk-SK"/>
        </w:rPr>
        <w:tab/>
        <w:t xml:space="preserve">závažné </w:t>
      </w:r>
      <w:proofErr w:type="spellStart"/>
      <w:r w:rsidRPr="00CA2806">
        <w:rPr>
          <w:color w:val="auto"/>
          <w:sz w:val="22"/>
          <w:szCs w:val="22"/>
          <w:lang w:val="sk-SK"/>
        </w:rPr>
        <w:t>anafylaktické</w:t>
      </w:r>
      <w:proofErr w:type="spellEnd"/>
      <w:r w:rsidRPr="00CA2806">
        <w:rPr>
          <w:color w:val="auto"/>
          <w:sz w:val="22"/>
          <w:szCs w:val="22"/>
          <w:lang w:val="sk-SK"/>
        </w:rPr>
        <w:t xml:space="preserve"> a </w:t>
      </w:r>
      <w:proofErr w:type="spellStart"/>
      <w:r w:rsidRPr="00CA2806">
        <w:rPr>
          <w:color w:val="auto"/>
          <w:sz w:val="22"/>
          <w:szCs w:val="22"/>
          <w:lang w:val="sk-SK"/>
        </w:rPr>
        <w:t>anafylaktoidné</w:t>
      </w:r>
      <w:proofErr w:type="spellEnd"/>
      <w:r w:rsidRPr="00CA2806">
        <w:rPr>
          <w:color w:val="auto"/>
          <w:sz w:val="22"/>
          <w:szCs w:val="22"/>
          <w:lang w:val="sk-SK"/>
        </w:rPr>
        <w:t xml:space="preserve"> reakcie akým je </w:t>
      </w:r>
      <w:proofErr w:type="spellStart"/>
      <w:r w:rsidRPr="00CA2806">
        <w:rPr>
          <w:color w:val="auto"/>
          <w:sz w:val="22"/>
          <w:szCs w:val="22"/>
          <w:lang w:val="sk-SK"/>
        </w:rPr>
        <w:t>anafylaktický</w:t>
      </w:r>
      <w:proofErr w:type="spellEnd"/>
      <w:r w:rsidRPr="00CA2806">
        <w:rPr>
          <w:color w:val="auto"/>
          <w:sz w:val="22"/>
          <w:szCs w:val="22"/>
          <w:lang w:val="sk-SK"/>
        </w:rPr>
        <w:t xml:space="preserve"> šok </w:t>
      </w:r>
    </w:p>
    <w:p w14:paraId="79A299E3" w14:textId="194580FF" w:rsidR="005F7F6E" w:rsidRDefault="005F7F6E" w:rsidP="005F7F6E">
      <w:pPr>
        <w:pStyle w:val="Default"/>
        <w:ind w:left="1701" w:hanging="1701"/>
        <w:rPr>
          <w:color w:val="auto"/>
          <w:sz w:val="22"/>
          <w:szCs w:val="22"/>
          <w:lang w:val="sk-SK"/>
        </w:rPr>
      </w:pPr>
      <w:r w:rsidRPr="00CA2806">
        <w:rPr>
          <w:i/>
          <w:iCs/>
          <w:color w:val="auto"/>
          <w:sz w:val="22"/>
          <w:szCs w:val="22"/>
          <w:lang w:val="sk-SK"/>
        </w:rPr>
        <w:t>Neznáme</w:t>
      </w:r>
      <w:r w:rsidRPr="00CA2806">
        <w:rPr>
          <w:iCs/>
          <w:color w:val="auto"/>
          <w:sz w:val="22"/>
          <w:szCs w:val="22"/>
          <w:lang w:val="sk-SK"/>
        </w:rPr>
        <w:t xml:space="preserve">: </w:t>
      </w:r>
      <w:r w:rsidRPr="00CA2806">
        <w:rPr>
          <w:iCs/>
          <w:color w:val="auto"/>
          <w:sz w:val="22"/>
          <w:szCs w:val="22"/>
          <w:lang w:val="sk-SK"/>
        </w:rPr>
        <w:tab/>
      </w:r>
      <w:proofErr w:type="spellStart"/>
      <w:r w:rsidRPr="00CA2806">
        <w:rPr>
          <w:iCs/>
          <w:color w:val="auto"/>
          <w:sz w:val="22"/>
          <w:szCs w:val="22"/>
          <w:lang w:val="sk-SK"/>
        </w:rPr>
        <w:t>exacerbácia</w:t>
      </w:r>
      <w:proofErr w:type="spellEnd"/>
      <w:r w:rsidRPr="00CA2806">
        <w:rPr>
          <w:iCs/>
          <w:color w:val="auto"/>
          <w:sz w:val="22"/>
          <w:szCs w:val="22"/>
          <w:lang w:val="sk-SK"/>
        </w:rPr>
        <w:t xml:space="preserve"> alebo aktivácia systémového </w:t>
      </w:r>
      <w:proofErr w:type="spellStart"/>
      <w:r w:rsidRPr="00AA1141">
        <w:rPr>
          <w:i/>
          <w:color w:val="auto"/>
          <w:sz w:val="22"/>
          <w:szCs w:val="22"/>
          <w:lang w:val="sk-SK"/>
        </w:rPr>
        <w:t>lupus</w:t>
      </w:r>
      <w:r w:rsidR="00E90634">
        <w:rPr>
          <w:i/>
          <w:color w:val="auto"/>
          <w:sz w:val="22"/>
          <w:szCs w:val="22"/>
          <w:lang w:val="sk-SK"/>
        </w:rPr>
        <w:t>u</w:t>
      </w:r>
      <w:proofErr w:type="spellEnd"/>
      <w:r w:rsidRPr="00AA1141">
        <w:rPr>
          <w:i/>
          <w:color w:val="auto"/>
          <w:sz w:val="22"/>
          <w:szCs w:val="22"/>
          <w:lang w:val="sk-SK"/>
        </w:rPr>
        <w:t xml:space="preserve"> </w:t>
      </w:r>
      <w:proofErr w:type="spellStart"/>
      <w:r w:rsidRPr="00AA1141">
        <w:rPr>
          <w:i/>
          <w:color w:val="auto"/>
          <w:sz w:val="22"/>
          <w:szCs w:val="22"/>
          <w:lang w:val="sk-SK"/>
        </w:rPr>
        <w:t>erythematosus</w:t>
      </w:r>
      <w:proofErr w:type="spellEnd"/>
    </w:p>
    <w:p w14:paraId="6DF6A3B4" w14:textId="77777777" w:rsidR="005F7F6E" w:rsidRDefault="005F7F6E" w:rsidP="005F7F6E">
      <w:pPr>
        <w:pStyle w:val="Default"/>
        <w:ind w:left="1701" w:hanging="1701"/>
        <w:rPr>
          <w:color w:val="auto"/>
          <w:sz w:val="22"/>
          <w:szCs w:val="22"/>
          <w:lang w:val="sk-SK"/>
        </w:rPr>
      </w:pPr>
    </w:p>
    <w:p w14:paraId="29F3358A" w14:textId="77777777" w:rsidR="005F7F6E" w:rsidRPr="00CA2806" w:rsidRDefault="005F7F6E" w:rsidP="005F7F6E">
      <w:pPr>
        <w:pStyle w:val="Default"/>
        <w:ind w:left="1843" w:hanging="1843"/>
        <w:rPr>
          <w:color w:val="auto"/>
          <w:sz w:val="22"/>
          <w:szCs w:val="22"/>
          <w:u w:val="single"/>
          <w:lang w:val="sk-SK"/>
        </w:rPr>
      </w:pPr>
      <w:r w:rsidRPr="00CA2806">
        <w:rPr>
          <w:iCs/>
          <w:color w:val="auto"/>
          <w:sz w:val="22"/>
          <w:szCs w:val="22"/>
          <w:u w:val="single"/>
          <w:lang w:val="sk-SK"/>
        </w:rPr>
        <w:t xml:space="preserve">Poruchy metabolizmu a výživy (pozri časť 4.4) </w:t>
      </w:r>
    </w:p>
    <w:p w14:paraId="7259C06D" w14:textId="77777777" w:rsidR="005F7F6E" w:rsidRPr="00CA2806" w:rsidRDefault="005F7F6E" w:rsidP="005F7F6E">
      <w:pPr>
        <w:pStyle w:val="Default"/>
        <w:ind w:left="1701" w:hanging="1701"/>
        <w:rPr>
          <w:color w:val="auto"/>
          <w:sz w:val="22"/>
          <w:szCs w:val="22"/>
          <w:lang w:val="sk-SK"/>
        </w:rPr>
      </w:pPr>
      <w:r w:rsidRPr="00CA2806">
        <w:rPr>
          <w:i/>
          <w:color w:val="auto"/>
          <w:sz w:val="22"/>
          <w:szCs w:val="22"/>
          <w:lang w:val="sk-SK"/>
        </w:rPr>
        <w:t>Veľmi časté:</w:t>
      </w:r>
      <w:r w:rsidRPr="00CA2806">
        <w:rPr>
          <w:color w:val="auto"/>
          <w:sz w:val="22"/>
          <w:szCs w:val="22"/>
          <w:lang w:val="sk-SK"/>
        </w:rPr>
        <w:t xml:space="preserve"> </w:t>
      </w:r>
      <w:r w:rsidRPr="00CA2806">
        <w:rPr>
          <w:color w:val="auto"/>
          <w:sz w:val="22"/>
          <w:szCs w:val="22"/>
          <w:lang w:val="sk-SK"/>
        </w:rPr>
        <w:tab/>
      </w:r>
      <w:r>
        <w:rPr>
          <w:color w:val="auto"/>
          <w:sz w:val="22"/>
          <w:szCs w:val="22"/>
          <w:lang w:val="sk-SK"/>
        </w:rPr>
        <w:t>ne</w:t>
      </w:r>
      <w:r w:rsidRPr="00CA2806">
        <w:rPr>
          <w:color w:val="auto"/>
          <w:sz w:val="22"/>
          <w:szCs w:val="22"/>
          <w:lang w:val="sk-SK"/>
        </w:rPr>
        <w:t>rovnováh</w:t>
      </w:r>
      <w:r>
        <w:rPr>
          <w:color w:val="auto"/>
          <w:sz w:val="22"/>
          <w:szCs w:val="22"/>
          <w:lang w:val="sk-SK"/>
        </w:rPr>
        <w:t>a</w:t>
      </w:r>
      <w:r w:rsidRPr="00CA2806">
        <w:rPr>
          <w:color w:val="auto"/>
          <w:sz w:val="22"/>
          <w:szCs w:val="22"/>
          <w:lang w:val="sk-SK"/>
        </w:rPr>
        <w:t xml:space="preserve"> elektrolytov (vrátane symptomatickej), dehydratácia a </w:t>
      </w:r>
      <w:proofErr w:type="spellStart"/>
      <w:r w:rsidRPr="00CA2806">
        <w:rPr>
          <w:color w:val="auto"/>
          <w:sz w:val="22"/>
          <w:szCs w:val="22"/>
          <w:lang w:val="sk-SK"/>
        </w:rPr>
        <w:t>hypovolémia</w:t>
      </w:r>
      <w:proofErr w:type="spellEnd"/>
      <w:r w:rsidRPr="00CA2806">
        <w:rPr>
          <w:color w:val="auto"/>
          <w:sz w:val="22"/>
          <w:szCs w:val="22"/>
          <w:lang w:val="sk-SK"/>
        </w:rPr>
        <w:t xml:space="preserve"> (najmä u starších pacientov), zvýšená hladina</w:t>
      </w:r>
      <w:r>
        <w:rPr>
          <w:color w:val="auto"/>
          <w:sz w:val="22"/>
          <w:szCs w:val="22"/>
          <w:lang w:val="sk-SK"/>
        </w:rPr>
        <w:t xml:space="preserve"> kreatinínu a</w:t>
      </w:r>
      <w:r w:rsidRPr="00CA2806">
        <w:rPr>
          <w:color w:val="auto"/>
          <w:sz w:val="22"/>
          <w:szCs w:val="22"/>
          <w:lang w:val="sk-SK"/>
        </w:rPr>
        <w:t xml:space="preserve"> tr</w:t>
      </w:r>
      <w:r w:rsidRPr="00CA2806">
        <w:rPr>
          <w:color w:val="auto"/>
          <w:sz w:val="22"/>
          <w:szCs w:val="22"/>
          <w:shd w:val="clear" w:color="auto" w:fill="FFFFFF"/>
          <w:lang w:val="sk-SK"/>
        </w:rPr>
        <w:t>i</w:t>
      </w:r>
      <w:r>
        <w:rPr>
          <w:color w:val="auto"/>
          <w:sz w:val="22"/>
          <w:szCs w:val="22"/>
          <w:shd w:val="clear" w:color="auto" w:fill="FFFFFF"/>
          <w:lang w:val="sk-SK"/>
        </w:rPr>
        <w:t>acylglycerolov</w:t>
      </w:r>
      <w:r w:rsidRPr="00CA2806">
        <w:rPr>
          <w:color w:val="auto"/>
          <w:sz w:val="22"/>
          <w:szCs w:val="22"/>
          <w:shd w:val="clear" w:color="auto" w:fill="FFFFFF"/>
          <w:lang w:val="sk-SK"/>
        </w:rPr>
        <w:t xml:space="preserve"> v krvi</w:t>
      </w:r>
      <w:r w:rsidRPr="00CA2806">
        <w:rPr>
          <w:color w:val="auto"/>
          <w:sz w:val="22"/>
          <w:szCs w:val="22"/>
          <w:lang w:val="sk-SK"/>
        </w:rPr>
        <w:t xml:space="preserve"> </w:t>
      </w:r>
    </w:p>
    <w:p w14:paraId="783818DE" w14:textId="77777777" w:rsidR="005F7F6E" w:rsidRDefault="005F7F6E" w:rsidP="005F7F6E">
      <w:pPr>
        <w:pStyle w:val="Default"/>
        <w:ind w:left="1701" w:hanging="1701"/>
        <w:rPr>
          <w:color w:val="auto"/>
          <w:sz w:val="22"/>
          <w:szCs w:val="22"/>
          <w:lang w:val="sk-SK"/>
        </w:rPr>
      </w:pPr>
      <w:r w:rsidRPr="00CA2806">
        <w:rPr>
          <w:i/>
          <w:color w:val="auto"/>
          <w:sz w:val="22"/>
          <w:szCs w:val="22"/>
          <w:lang w:val="sk-SK"/>
        </w:rPr>
        <w:t>Časté:</w:t>
      </w:r>
      <w:r w:rsidRPr="00CA2806">
        <w:rPr>
          <w:color w:val="auto"/>
          <w:sz w:val="22"/>
          <w:szCs w:val="22"/>
          <w:lang w:val="sk-SK"/>
        </w:rPr>
        <w:t xml:space="preserve"> </w:t>
      </w:r>
      <w:r w:rsidRPr="00CA2806">
        <w:rPr>
          <w:color w:val="auto"/>
          <w:sz w:val="22"/>
          <w:szCs w:val="22"/>
          <w:lang w:val="sk-SK"/>
        </w:rPr>
        <w:tab/>
      </w:r>
      <w:proofErr w:type="spellStart"/>
      <w:r w:rsidRPr="00CA2806">
        <w:rPr>
          <w:color w:val="auto"/>
          <w:sz w:val="22"/>
          <w:szCs w:val="22"/>
          <w:lang w:val="sk-SK"/>
        </w:rPr>
        <w:t>hyponatriémia</w:t>
      </w:r>
      <w:proofErr w:type="spellEnd"/>
      <w:r w:rsidRPr="00CA2806">
        <w:rPr>
          <w:color w:val="auto"/>
          <w:sz w:val="22"/>
          <w:szCs w:val="22"/>
          <w:lang w:val="sk-SK"/>
        </w:rPr>
        <w:t xml:space="preserve"> a </w:t>
      </w:r>
      <w:proofErr w:type="spellStart"/>
      <w:r w:rsidRPr="00CA2806">
        <w:rPr>
          <w:color w:val="auto"/>
          <w:sz w:val="22"/>
          <w:szCs w:val="22"/>
          <w:lang w:val="sk-SK"/>
        </w:rPr>
        <w:t>hypochlorémia</w:t>
      </w:r>
      <w:proofErr w:type="spellEnd"/>
      <w:r w:rsidRPr="00CA2806">
        <w:rPr>
          <w:color w:val="auto"/>
          <w:sz w:val="22"/>
          <w:szCs w:val="22"/>
          <w:lang w:val="sk-SK"/>
        </w:rPr>
        <w:t xml:space="preserve">, </w:t>
      </w:r>
      <w:proofErr w:type="spellStart"/>
      <w:r w:rsidRPr="00CA2806">
        <w:rPr>
          <w:color w:val="auto"/>
          <w:sz w:val="22"/>
          <w:szCs w:val="22"/>
          <w:lang w:val="sk-SK"/>
        </w:rPr>
        <w:t>hypokaliémia</w:t>
      </w:r>
      <w:proofErr w:type="spellEnd"/>
      <w:r>
        <w:rPr>
          <w:color w:val="auto"/>
          <w:sz w:val="22"/>
          <w:szCs w:val="22"/>
          <w:lang w:val="sk-SK"/>
        </w:rPr>
        <w:t>,</w:t>
      </w:r>
      <w:r w:rsidRPr="00CA2806">
        <w:rPr>
          <w:color w:val="auto"/>
          <w:sz w:val="22"/>
          <w:szCs w:val="22"/>
          <w:lang w:val="sk-SK"/>
        </w:rPr>
        <w:t xml:space="preserve"> zvýšená hladina cholesterol</w:t>
      </w:r>
      <w:r>
        <w:rPr>
          <w:color w:val="auto"/>
          <w:sz w:val="22"/>
          <w:szCs w:val="22"/>
          <w:lang w:val="sk-SK"/>
        </w:rPr>
        <w:t>u</w:t>
      </w:r>
      <w:r w:rsidRPr="00CA2806">
        <w:rPr>
          <w:color w:val="auto"/>
          <w:sz w:val="22"/>
          <w:szCs w:val="22"/>
          <w:lang w:val="sk-SK"/>
        </w:rPr>
        <w:t xml:space="preserve"> v krvi, zvýšená hladina kyseliny močovej v krvi a záchvaty dny</w:t>
      </w:r>
      <w:r>
        <w:rPr>
          <w:color w:val="auto"/>
          <w:sz w:val="22"/>
          <w:szCs w:val="22"/>
          <w:lang w:val="sk-SK"/>
        </w:rPr>
        <w:t>, zvýšený objem moču</w:t>
      </w:r>
    </w:p>
    <w:p w14:paraId="1B1F05D8" w14:textId="77777777" w:rsidR="005F7F6E" w:rsidRDefault="005F7F6E" w:rsidP="005F7F6E">
      <w:pPr>
        <w:pStyle w:val="Default"/>
        <w:ind w:left="1701" w:hanging="1701"/>
        <w:rPr>
          <w:color w:val="auto"/>
          <w:sz w:val="22"/>
          <w:szCs w:val="22"/>
          <w:lang w:val="sk-SK"/>
        </w:rPr>
      </w:pPr>
      <w:r w:rsidRPr="00CA2806">
        <w:rPr>
          <w:i/>
          <w:color w:val="auto"/>
          <w:sz w:val="22"/>
          <w:szCs w:val="22"/>
          <w:shd w:val="clear" w:color="auto" w:fill="FFFFFF"/>
          <w:lang w:val="sk-SK"/>
        </w:rPr>
        <w:t>Menej časté:</w:t>
      </w:r>
      <w:r w:rsidRPr="00CA2806">
        <w:rPr>
          <w:i/>
          <w:color w:val="auto"/>
          <w:sz w:val="22"/>
          <w:szCs w:val="22"/>
          <w:shd w:val="clear" w:color="auto" w:fill="FFFFFF"/>
          <w:lang w:val="sk-SK"/>
        </w:rPr>
        <w:tab/>
      </w:r>
      <w:r>
        <w:rPr>
          <w:color w:val="auto"/>
          <w:sz w:val="22"/>
          <w:szCs w:val="22"/>
          <w:shd w:val="clear" w:color="auto" w:fill="FFFFFF"/>
          <w:lang w:val="sk-SK"/>
        </w:rPr>
        <w:t>porucha glukózovej tolerancie</w:t>
      </w:r>
      <w:r>
        <w:rPr>
          <w:color w:val="auto"/>
          <w:sz w:val="22"/>
          <w:szCs w:val="22"/>
          <w:lang w:val="sk-SK"/>
        </w:rPr>
        <w:t>, m</w:t>
      </w:r>
      <w:r w:rsidRPr="00CA2806">
        <w:rPr>
          <w:color w:val="auto"/>
          <w:sz w:val="22"/>
          <w:szCs w:val="22"/>
          <w:lang w:val="sk-SK"/>
        </w:rPr>
        <w:t xml:space="preserve">ôže sa prejaviť latentný </w:t>
      </w:r>
      <w:r w:rsidRPr="00AA1141">
        <w:rPr>
          <w:i/>
          <w:iCs/>
          <w:color w:val="auto"/>
          <w:sz w:val="22"/>
          <w:szCs w:val="22"/>
          <w:lang w:val="sk-SK"/>
        </w:rPr>
        <w:t>diabetes mellitus</w:t>
      </w:r>
      <w:r w:rsidRPr="00CA2806">
        <w:rPr>
          <w:color w:val="auto"/>
          <w:sz w:val="22"/>
          <w:szCs w:val="22"/>
          <w:lang w:val="sk-SK"/>
        </w:rPr>
        <w:t xml:space="preserve"> (pozri časť 4.4)</w:t>
      </w:r>
    </w:p>
    <w:p w14:paraId="102FF96D" w14:textId="3CFB0CCE" w:rsidR="005F7F6E" w:rsidRPr="00CA2806" w:rsidRDefault="005F7F6E" w:rsidP="00657737">
      <w:pPr>
        <w:pStyle w:val="Default"/>
        <w:tabs>
          <w:tab w:val="left" w:pos="1965"/>
        </w:tabs>
        <w:ind w:left="1701" w:hanging="1701"/>
        <w:rPr>
          <w:color w:val="auto"/>
          <w:sz w:val="22"/>
          <w:szCs w:val="22"/>
          <w:lang w:val="sk-SK"/>
        </w:rPr>
      </w:pPr>
      <w:r w:rsidRPr="00CA2806">
        <w:rPr>
          <w:i/>
          <w:color w:val="auto"/>
          <w:sz w:val="22"/>
          <w:szCs w:val="22"/>
          <w:lang w:val="sk-SK"/>
        </w:rPr>
        <w:t>Neznáme:</w:t>
      </w:r>
      <w:r w:rsidRPr="00CA2806">
        <w:rPr>
          <w:i/>
          <w:color w:val="auto"/>
          <w:sz w:val="22"/>
          <w:szCs w:val="22"/>
          <w:lang w:val="sk-SK"/>
        </w:rPr>
        <w:tab/>
      </w:r>
      <w:proofErr w:type="spellStart"/>
      <w:r w:rsidRPr="00CA2806">
        <w:rPr>
          <w:color w:val="auto"/>
          <w:sz w:val="22"/>
          <w:szCs w:val="22"/>
          <w:lang w:val="sk-SK"/>
        </w:rPr>
        <w:t>hypokalciémia</w:t>
      </w:r>
      <w:proofErr w:type="spellEnd"/>
      <w:r w:rsidRPr="00CA2806">
        <w:rPr>
          <w:color w:val="auto"/>
          <w:sz w:val="22"/>
          <w:szCs w:val="22"/>
          <w:lang w:val="sk-SK"/>
        </w:rPr>
        <w:t xml:space="preserve">, </w:t>
      </w:r>
      <w:proofErr w:type="spellStart"/>
      <w:r w:rsidRPr="00CA2806">
        <w:rPr>
          <w:color w:val="auto"/>
          <w:sz w:val="22"/>
          <w:szCs w:val="22"/>
          <w:lang w:val="sk-SK"/>
        </w:rPr>
        <w:t>hypomagneziémia</w:t>
      </w:r>
      <w:proofErr w:type="spellEnd"/>
      <w:r w:rsidRPr="00CA2806">
        <w:rPr>
          <w:color w:val="auto"/>
          <w:sz w:val="22"/>
          <w:szCs w:val="22"/>
          <w:lang w:val="sk-SK"/>
        </w:rPr>
        <w:t xml:space="preserve">, </w:t>
      </w:r>
      <w:r w:rsidR="00657737">
        <w:rPr>
          <w:color w:val="auto"/>
          <w:sz w:val="22"/>
          <w:szCs w:val="22"/>
          <w:lang w:val="sk-SK"/>
        </w:rPr>
        <w:t xml:space="preserve">zvýšená hladina močoviny v krvi, </w:t>
      </w:r>
      <w:r w:rsidRPr="00CA2806">
        <w:rPr>
          <w:color w:val="auto"/>
          <w:sz w:val="22"/>
          <w:szCs w:val="22"/>
          <w:lang w:val="sk-SK"/>
        </w:rPr>
        <w:t xml:space="preserve">metabolická </w:t>
      </w:r>
      <w:proofErr w:type="spellStart"/>
      <w:r w:rsidRPr="00CA2806">
        <w:rPr>
          <w:color w:val="auto"/>
          <w:sz w:val="22"/>
          <w:szCs w:val="22"/>
          <w:lang w:val="sk-SK"/>
        </w:rPr>
        <w:t>alkalóza</w:t>
      </w:r>
      <w:proofErr w:type="spellEnd"/>
      <w:r w:rsidRPr="00CA2806">
        <w:rPr>
          <w:color w:val="auto"/>
          <w:sz w:val="22"/>
          <w:szCs w:val="22"/>
          <w:lang w:val="sk-SK"/>
        </w:rPr>
        <w:t xml:space="preserve">, </w:t>
      </w:r>
      <w:proofErr w:type="spellStart"/>
      <w:r w:rsidRPr="00AE38C6">
        <w:rPr>
          <w:color w:val="auto"/>
          <w:sz w:val="22"/>
          <w:szCs w:val="22"/>
          <w:lang w:val="sk-SK"/>
        </w:rPr>
        <w:t>P</w:t>
      </w:r>
      <w:r w:rsidRPr="00DA694D">
        <w:rPr>
          <w:color w:val="auto"/>
          <w:sz w:val="22"/>
          <w:szCs w:val="22"/>
          <w:lang w:val="sk-SK"/>
        </w:rPr>
        <w:t>seudo-Bartter</w:t>
      </w:r>
      <w:r w:rsidRPr="00EA6CC5">
        <w:rPr>
          <w:color w:val="auto"/>
          <w:sz w:val="22"/>
          <w:szCs w:val="22"/>
          <w:lang w:val="sk-SK"/>
        </w:rPr>
        <w:t>ov</w:t>
      </w:r>
      <w:proofErr w:type="spellEnd"/>
      <w:r w:rsidRPr="00CA2806">
        <w:rPr>
          <w:color w:val="auto"/>
          <w:sz w:val="22"/>
          <w:szCs w:val="22"/>
          <w:lang w:val="sk-SK"/>
        </w:rPr>
        <w:t xml:space="preserve"> syndróm</w:t>
      </w:r>
      <w:r w:rsidR="00657737">
        <w:rPr>
          <w:color w:val="auto"/>
          <w:sz w:val="22"/>
          <w:szCs w:val="22"/>
          <w:lang w:val="sk-SK"/>
        </w:rPr>
        <w:t xml:space="preserve"> </w:t>
      </w:r>
      <w:r w:rsidRPr="00CA2806">
        <w:rPr>
          <w:color w:val="auto"/>
          <w:sz w:val="22"/>
          <w:szCs w:val="22"/>
          <w:lang w:val="sk-SK"/>
        </w:rPr>
        <w:t xml:space="preserve">(v súvislosti s nadmerným užívaním a/alebo pri dlhodobej liečbe </w:t>
      </w:r>
      <w:proofErr w:type="spellStart"/>
      <w:r w:rsidRPr="00CA2806">
        <w:rPr>
          <w:color w:val="auto"/>
          <w:sz w:val="22"/>
          <w:szCs w:val="22"/>
          <w:lang w:val="sk-SK"/>
        </w:rPr>
        <w:t>furosemidom</w:t>
      </w:r>
      <w:proofErr w:type="spellEnd"/>
      <w:r w:rsidRPr="00CA2806">
        <w:rPr>
          <w:color w:val="auto"/>
          <w:sz w:val="22"/>
          <w:szCs w:val="22"/>
          <w:shd w:val="clear" w:color="auto" w:fill="FFFFFF"/>
          <w:lang w:val="sk-SK"/>
        </w:rPr>
        <w:t>)</w:t>
      </w:r>
    </w:p>
    <w:p w14:paraId="1B8088CA" w14:textId="77777777" w:rsidR="005F7F6E" w:rsidRDefault="005F7F6E" w:rsidP="005F7F6E">
      <w:pPr>
        <w:pStyle w:val="Default"/>
        <w:ind w:left="1701" w:hanging="1701"/>
        <w:rPr>
          <w:color w:val="auto"/>
          <w:sz w:val="22"/>
          <w:szCs w:val="22"/>
          <w:lang w:val="sk-SK"/>
        </w:rPr>
      </w:pPr>
    </w:p>
    <w:p w14:paraId="2D0C7E15" w14:textId="77777777" w:rsidR="00657737" w:rsidRPr="008C1B9E" w:rsidRDefault="00657737" w:rsidP="00657737">
      <w:pPr>
        <w:pStyle w:val="Default"/>
        <w:rPr>
          <w:iCs/>
          <w:color w:val="auto"/>
          <w:sz w:val="22"/>
          <w:szCs w:val="22"/>
          <w:u w:val="single"/>
          <w:lang w:val="sk-SK"/>
        </w:rPr>
      </w:pPr>
      <w:r w:rsidRPr="008C1B9E">
        <w:rPr>
          <w:iCs/>
          <w:color w:val="auto"/>
          <w:sz w:val="22"/>
          <w:szCs w:val="22"/>
          <w:u w:val="single"/>
          <w:lang w:val="sk-SK"/>
        </w:rPr>
        <w:t xml:space="preserve">Poruchy nervového systému </w:t>
      </w:r>
    </w:p>
    <w:p w14:paraId="534DB728" w14:textId="77777777" w:rsidR="00657737" w:rsidRPr="008C1B9E" w:rsidRDefault="00657737" w:rsidP="00657737">
      <w:pPr>
        <w:pStyle w:val="Default"/>
        <w:ind w:left="1701" w:hanging="1701"/>
        <w:rPr>
          <w:color w:val="auto"/>
          <w:sz w:val="22"/>
          <w:szCs w:val="22"/>
          <w:lang w:val="sk-SK"/>
        </w:rPr>
      </w:pPr>
      <w:r w:rsidRPr="008C1B9E">
        <w:rPr>
          <w:i/>
          <w:iCs/>
          <w:color w:val="auto"/>
          <w:sz w:val="22"/>
          <w:szCs w:val="22"/>
          <w:lang w:val="sk-SK"/>
        </w:rPr>
        <w:t>Časté:</w:t>
      </w:r>
      <w:r w:rsidRPr="008C1B9E">
        <w:rPr>
          <w:iCs/>
          <w:color w:val="auto"/>
          <w:sz w:val="22"/>
          <w:szCs w:val="22"/>
          <w:lang w:val="sk-SK"/>
        </w:rPr>
        <w:t xml:space="preserve"> </w:t>
      </w:r>
      <w:r w:rsidRPr="008C1B9E">
        <w:rPr>
          <w:iCs/>
          <w:color w:val="auto"/>
          <w:sz w:val="22"/>
          <w:szCs w:val="22"/>
          <w:lang w:val="sk-SK"/>
        </w:rPr>
        <w:tab/>
      </w:r>
      <w:proofErr w:type="spellStart"/>
      <w:r w:rsidRPr="008C1B9E">
        <w:rPr>
          <w:iCs/>
          <w:color w:val="auto"/>
          <w:sz w:val="22"/>
          <w:szCs w:val="22"/>
          <w:lang w:val="sk-SK"/>
        </w:rPr>
        <w:t>hepatálna</w:t>
      </w:r>
      <w:proofErr w:type="spellEnd"/>
      <w:r w:rsidRPr="008C1B9E">
        <w:rPr>
          <w:iCs/>
          <w:color w:val="auto"/>
          <w:sz w:val="22"/>
          <w:szCs w:val="22"/>
          <w:lang w:val="sk-SK"/>
        </w:rPr>
        <w:t xml:space="preserve"> </w:t>
      </w:r>
      <w:proofErr w:type="spellStart"/>
      <w:r w:rsidRPr="008C1B9E">
        <w:rPr>
          <w:iCs/>
          <w:color w:val="auto"/>
          <w:sz w:val="22"/>
          <w:szCs w:val="22"/>
          <w:lang w:val="sk-SK"/>
        </w:rPr>
        <w:t>encefalopatia</w:t>
      </w:r>
      <w:proofErr w:type="spellEnd"/>
      <w:r w:rsidRPr="008C1B9E">
        <w:rPr>
          <w:iCs/>
          <w:color w:val="auto"/>
          <w:sz w:val="22"/>
          <w:szCs w:val="22"/>
          <w:lang w:val="sk-SK"/>
        </w:rPr>
        <w:t xml:space="preserve"> u pacientov s </w:t>
      </w:r>
      <w:proofErr w:type="spellStart"/>
      <w:r w:rsidRPr="008C1B9E">
        <w:rPr>
          <w:iCs/>
          <w:color w:val="auto"/>
          <w:sz w:val="22"/>
          <w:szCs w:val="22"/>
          <w:lang w:val="sk-SK"/>
        </w:rPr>
        <w:t>hepatálnou</w:t>
      </w:r>
      <w:proofErr w:type="spellEnd"/>
      <w:r w:rsidRPr="008C1B9E">
        <w:rPr>
          <w:iCs/>
          <w:color w:val="auto"/>
          <w:sz w:val="22"/>
          <w:szCs w:val="22"/>
          <w:lang w:val="sk-SK"/>
        </w:rPr>
        <w:t xml:space="preserve"> </w:t>
      </w:r>
      <w:proofErr w:type="spellStart"/>
      <w:r w:rsidRPr="008C1B9E">
        <w:rPr>
          <w:iCs/>
          <w:color w:val="auto"/>
          <w:sz w:val="22"/>
          <w:szCs w:val="22"/>
          <w:lang w:val="sk-SK"/>
        </w:rPr>
        <w:t>insuficienciou</w:t>
      </w:r>
      <w:proofErr w:type="spellEnd"/>
      <w:r w:rsidRPr="008C1B9E">
        <w:rPr>
          <w:iCs/>
          <w:color w:val="auto"/>
          <w:sz w:val="22"/>
          <w:szCs w:val="22"/>
          <w:lang w:val="sk-SK"/>
        </w:rPr>
        <w:t xml:space="preserve"> </w:t>
      </w:r>
      <w:r w:rsidRPr="008C1B9E">
        <w:rPr>
          <w:color w:val="auto"/>
          <w:sz w:val="22"/>
          <w:szCs w:val="22"/>
          <w:lang w:val="sk-SK"/>
        </w:rPr>
        <w:t>(pozri časť 4.3)</w:t>
      </w:r>
    </w:p>
    <w:p w14:paraId="677856F7" w14:textId="06270FA9" w:rsidR="00657737" w:rsidRPr="008C1B9E" w:rsidRDefault="00657737" w:rsidP="00657737">
      <w:pPr>
        <w:pStyle w:val="Default"/>
        <w:ind w:left="1701" w:hanging="1701"/>
        <w:rPr>
          <w:color w:val="auto"/>
          <w:sz w:val="22"/>
          <w:szCs w:val="22"/>
          <w:lang w:val="sk-SK"/>
        </w:rPr>
      </w:pPr>
      <w:r w:rsidRPr="008C1B9E">
        <w:rPr>
          <w:i/>
          <w:color w:val="auto"/>
          <w:sz w:val="22"/>
          <w:szCs w:val="22"/>
          <w:lang w:val="sk-SK"/>
        </w:rPr>
        <w:t>Zriedkavé:</w:t>
      </w:r>
      <w:r w:rsidRPr="008C1B9E">
        <w:rPr>
          <w:color w:val="auto"/>
          <w:sz w:val="22"/>
          <w:szCs w:val="22"/>
          <w:lang w:val="sk-SK"/>
        </w:rPr>
        <w:t xml:space="preserve"> </w:t>
      </w:r>
      <w:r w:rsidRPr="008C1B9E">
        <w:rPr>
          <w:color w:val="auto"/>
          <w:sz w:val="22"/>
          <w:szCs w:val="22"/>
          <w:lang w:val="sk-SK"/>
        </w:rPr>
        <w:tab/>
      </w:r>
      <w:proofErr w:type="spellStart"/>
      <w:r w:rsidRPr="008C1B9E">
        <w:rPr>
          <w:color w:val="auto"/>
          <w:sz w:val="22"/>
          <w:szCs w:val="22"/>
          <w:lang w:val="sk-SK"/>
        </w:rPr>
        <w:t>parestézi</w:t>
      </w:r>
      <w:r w:rsidR="00E90634">
        <w:rPr>
          <w:color w:val="auto"/>
          <w:sz w:val="22"/>
          <w:szCs w:val="22"/>
          <w:lang w:val="sk-SK"/>
        </w:rPr>
        <w:t>e</w:t>
      </w:r>
      <w:proofErr w:type="spellEnd"/>
    </w:p>
    <w:p w14:paraId="0EAD2EFB" w14:textId="77777777" w:rsidR="00657737" w:rsidRPr="008C1B9E" w:rsidRDefault="00657737" w:rsidP="00657737">
      <w:pPr>
        <w:pStyle w:val="Default"/>
        <w:ind w:left="1701" w:hanging="1701"/>
        <w:rPr>
          <w:color w:val="auto"/>
          <w:sz w:val="22"/>
          <w:szCs w:val="22"/>
          <w:lang w:val="sk-SK"/>
        </w:rPr>
      </w:pPr>
      <w:r w:rsidRPr="008C1B9E">
        <w:rPr>
          <w:i/>
          <w:color w:val="auto"/>
          <w:sz w:val="22"/>
          <w:szCs w:val="22"/>
          <w:lang w:val="sk-SK"/>
        </w:rPr>
        <w:t>Neznáme:</w:t>
      </w:r>
      <w:r w:rsidRPr="008C1B9E">
        <w:rPr>
          <w:color w:val="auto"/>
          <w:sz w:val="22"/>
          <w:szCs w:val="22"/>
          <w:lang w:val="sk-SK"/>
        </w:rPr>
        <w:t xml:space="preserve"> </w:t>
      </w:r>
      <w:r w:rsidRPr="008C1B9E">
        <w:rPr>
          <w:color w:val="auto"/>
          <w:sz w:val="22"/>
          <w:szCs w:val="22"/>
          <w:lang w:val="sk-SK"/>
        </w:rPr>
        <w:tab/>
        <w:t>závrat, mdloby a</w:t>
      </w:r>
      <w:r>
        <w:rPr>
          <w:color w:val="auto"/>
          <w:sz w:val="22"/>
          <w:szCs w:val="22"/>
          <w:lang w:val="sk-SK"/>
        </w:rPr>
        <w:t xml:space="preserve"> strata</w:t>
      </w:r>
      <w:r w:rsidRPr="008C1B9E">
        <w:rPr>
          <w:color w:val="auto"/>
          <w:sz w:val="22"/>
          <w:szCs w:val="22"/>
          <w:lang w:val="sk-SK"/>
        </w:rPr>
        <w:t xml:space="preserve"> vedomi</w:t>
      </w:r>
      <w:r>
        <w:rPr>
          <w:color w:val="auto"/>
          <w:sz w:val="22"/>
          <w:szCs w:val="22"/>
          <w:lang w:val="sk-SK"/>
        </w:rPr>
        <w:t>a (spôsobená symptomatickou hypotenziou alebo inými príčinami),</w:t>
      </w:r>
      <w:r w:rsidRPr="008C1B9E">
        <w:rPr>
          <w:color w:val="auto"/>
          <w:sz w:val="22"/>
          <w:szCs w:val="22"/>
          <w:lang w:val="sk-SK"/>
        </w:rPr>
        <w:t xml:space="preserve"> bolesť hlavy </w:t>
      </w:r>
    </w:p>
    <w:p w14:paraId="24F00038" w14:textId="77777777" w:rsidR="00657737" w:rsidRPr="00CA2806" w:rsidRDefault="00657737" w:rsidP="005F7F6E">
      <w:pPr>
        <w:pStyle w:val="Default"/>
        <w:ind w:left="1701" w:hanging="1701"/>
        <w:rPr>
          <w:color w:val="auto"/>
          <w:sz w:val="22"/>
          <w:szCs w:val="22"/>
          <w:lang w:val="sk-SK"/>
        </w:rPr>
      </w:pPr>
    </w:p>
    <w:p w14:paraId="26451E31" w14:textId="77777777" w:rsidR="00657737" w:rsidRPr="008C1B9E" w:rsidRDefault="00657737" w:rsidP="00657737">
      <w:pPr>
        <w:pStyle w:val="Default"/>
        <w:rPr>
          <w:color w:val="auto"/>
          <w:sz w:val="22"/>
          <w:szCs w:val="22"/>
          <w:u w:val="single"/>
          <w:lang w:val="sk-SK"/>
        </w:rPr>
      </w:pPr>
      <w:r w:rsidRPr="008C1B9E">
        <w:rPr>
          <w:iCs/>
          <w:color w:val="auto"/>
          <w:sz w:val="22"/>
          <w:szCs w:val="22"/>
          <w:u w:val="single"/>
          <w:lang w:val="sk-SK"/>
        </w:rPr>
        <w:t xml:space="preserve">Poruchy ucha a labyrintu </w:t>
      </w:r>
    </w:p>
    <w:p w14:paraId="44A3F9F8" w14:textId="77777777" w:rsidR="00657737" w:rsidRDefault="00657737" w:rsidP="00657737">
      <w:pPr>
        <w:pStyle w:val="Default"/>
        <w:ind w:left="1701" w:hanging="1701"/>
        <w:rPr>
          <w:color w:val="auto"/>
          <w:sz w:val="22"/>
          <w:szCs w:val="22"/>
          <w:lang w:val="sk-SK"/>
        </w:rPr>
      </w:pPr>
      <w:r w:rsidRPr="008C1B9E">
        <w:rPr>
          <w:i/>
          <w:color w:val="auto"/>
          <w:sz w:val="22"/>
          <w:szCs w:val="22"/>
          <w:lang w:val="sk-SK"/>
        </w:rPr>
        <w:t>Menej časté:</w:t>
      </w:r>
      <w:r w:rsidRPr="008C1B9E">
        <w:rPr>
          <w:color w:val="auto"/>
          <w:sz w:val="22"/>
          <w:szCs w:val="22"/>
          <w:lang w:val="sk-SK"/>
        </w:rPr>
        <w:t xml:space="preserve"> </w:t>
      </w:r>
      <w:r w:rsidRPr="008C1B9E">
        <w:rPr>
          <w:color w:val="auto"/>
          <w:sz w:val="22"/>
          <w:szCs w:val="22"/>
          <w:lang w:val="sk-SK"/>
        </w:rPr>
        <w:tab/>
        <w:t>poruchy sluch</w:t>
      </w:r>
      <w:r>
        <w:rPr>
          <w:color w:val="auto"/>
          <w:sz w:val="22"/>
          <w:szCs w:val="22"/>
          <w:lang w:val="sk-SK"/>
        </w:rPr>
        <w:t>u</w:t>
      </w:r>
      <w:r w:rsidRPr="008C1B9E">
        <w:rPr>
          <w:color w:val="auto"/>
          <w:sz w:val="22"/>
          <w:szCs w:val="22"/>
          <w:lang w:val="sk-SK"/>
        </w:rPr>
        <w:t xml:space="preserve"> (zväčša reverzibilné) najm</w:t>
      </w:r>
      <w:r>
        <w:rPr>
          <w:color w:val="auto"/>
          <w:sz w:val="22"/>
          <w:szCs w:val="22"/>
          <w:lang w:val="sk-SK"/>
        </w:rPr>
        <w:t>ä</w:t>
      </w:r>
      <w:r w:rsidRPr="008C1B9E">
        <w:rPr>
          <w:color w:val="auto"/>
          <w:sz w:val="22"/>
          <w:szCs w:val="22"/>
          <w:lang w:val="sk-SK"/>
        </w:rPr>
        <w:t xml:space="preserve"> u pacientov s </w:t>
      </w:r>
      <w:proofErr w:type="spellStart"/>
      <w:r w:rsidRPr="008C1B9E">
        <w:rPr>
          <w:color w:val="auto"/>
          <w:sz w:val="22"/>
          <w:szCs w:val="22"/>
          <w:lang w:val="sk-SK"/>
        </w:rPr>
        <w:t>renálnou</w:t>
      </w:r>
      <w:proofErr w:type="spellEnd"/>
      <w:r w:rsidRPr="008C1B9E">
        <w:rPr>
          <w:color w:val="auto"/>
          <w:sz w:val="22"/>
          <w:szCs w:val="22"/>
          <w:lang w:val="sk-SK"/>
        </w:rPr>
        <w:t xml:space="preserve"> </w:t>
      </w:r>
      <w:proofErr w:type="spellStart"/>
      <w:r w:rsidRPr="008C1B9E">
        <w:rPr>
          <w:color w:val="auto"/>
          <w:sz w:val="22"/>
          <w:szCs w:val="22"/>
          <w:lang w:val="sk-SK"/>
        </w:rPr>
        <w:t>insuficienciou</w:t>
      </w:r>
      <w:proofErr w:type="spellEnd"/>
      <w:r w:rsidRPr="008C1B9E">
        <w:rPr>
          <w:color w:val="auto"/>
          <w:sz w:val="22"/>
          <w:szCs w:val="22"/>
          <w:lang w:val="sk-SK"/>
        </w:rPr>
        <w:t xml:space="preserve"> alebo </w:t>
      </w:r>
      <w:proofErr w:type="spellStart"/>
      <w:r w:rsidRPr="008C1B9E">
        <w:rPr>
          <w:color w:val="auto"/>
          <w:sz w:val="22"/>
          <w:szCs w:val="22"/>
          <w:lang w:val="sk-SK"/>
        </w:rPr>
        <w:t>hypoproteinémiou</w:t>
      </w:r>
      <w:proofErr w:type="spellEnd"/>
      <w:r w:rsidRPr="008C1B9E">
        <w:rPr>
          <w:color w:val="auto"/>
          <w:sz w:val="22"/>
          <w:szCs w:val="22"/>
          <w:lang w:val="sk-SK"/>
        </w:rPr>
        <w:t xml:space="preserve"> (napr. </w:t>
      </w:r>
      <w:r>
        <w:rPr>
          <w:color w:val="auto"/>
          <w:sz w:val="22"/>
          <w:szCs w:val="22"/>
          <w:lang w:val="sk-SK"/>
        </w:rPr>
        <w:t xml:space="preserve">pri </w:t>
      </w:r>
      <w:proofErr w:type="spellStart"/>
      <w:r w:rsidRPr="008C1B9E">
        <w:rPr>
          <w:color w:val="auto"/>
          <w:sz w:val="22"/>
          <w:szCs w:val="22"/>
          <w:lang w:val="sk-SK"/>
        </w:rPr>
        <w:t>nefrotick</w:t>
      </w:r>
      <w:r>
        <w:rPr>
          <w:color w:val="auto"/>
          <w:sz w:val="22"/>
          <w:szCs w:val="22"/>
          <w:lang w:val="sk-SK"/>
        </w:rPr>
        <w:t>om</w:t>
      </w:r>
      <w:proofErr w:type="spellEnd"/>
      <w:r w:rsidRPr="008C1B9E">
        <w:rPr>
          <w:color w:val="auto"/>
          <w:sz w:val="22"/>
          <w:szCs w:val="22"/>
          <w:lang w:val="sk-SK"/>
        </w:rPr>
        <w:t xml:space="preserve"> syndróm</w:t>
      </w:r>
      <w:r>
        <w:rPr>
          <w:color w:val="auto"/>
          <w:sz w:val="22"/>
          <w:szCs w:val="22"/>
          <w:lang w:val="sk-SK"/>
        </w:rPr>
        <w:t>e</w:t>
      </w:r>
      <w:r w:rsidRPr="008C1B9E">
        <w:rPr>
          <w:color w:val="auto"/>
          <w:sz w:val="22"/>
          <w:szCs w:val="22"/>
          <w:lang w:val="sk-SK"/>
        </w:rPr>
        <w:t xml:space="preserve">) </w:t>
      </w:r>
    </w:p>
    <w:p w14:paraId="61B97376" w14:textId="77777777" w:rsidR="00657737" w:rsidRPr="008C1B9E" w:rsidRDefault="00657737" w:rsidP="00657737">
      <w:pPr>
        <w:pStyle w:val="Default"/>
        <w:ind w:left="1701" w:hanging="1701"/>
        <w:rPr>
          <w:color w:val="auto"/>
          <w:sz w:val="22"/>
          <w:szCs w:val="22"/>
          <w:lang w:val="sk-SK"/>
        </w:rPr>
      </w:pPr>
      <w:r w:rsidRPr="008C1B9E">
        <w:rPr>
          <w:i/>
          <w:color w:val="auto"/>
          <w:sz w:val="22"/>
          <w:szCs w:val="22"/>
          <w:lang w:val="sk-SK"/>
        </w:rPr>
        <w:t>Zriedkavé:</w:t>
      </w:r>
      <w:r w:rsidRPr="008C1B9E">
        <w:rPr>
          <w:color w:val="auto"/>
          <w:sz w:val="22"/>
          <w:szCs w:val="22"/>
          <w:lang w:val="sk-SK"/>
        </w:rPr>
        <w:t xml:space="preserve"> </w:t>
      </w:r>
      <w:r w:rsidRPr="008C1B9E">
        <w:rPr>
          <w:color w:val="auto"/>
          <w:sz w:val="22"/>
          <w:szCs w:val="22"/>
          <w:lang w:val="sk-SK"/>
        </w:rPr>
        <w:tab/>
        <w:t>strata sluchu (niekedy ireverzibilná)</w:t>
      </w:r>
      <w:r>
        <w:rPr>
          <w:color w:val="auto"/>
          <w:sz w:val="22"/>
          <w:szCs w:val="22"/>
          <w:lang w:val="sk-SK"/>
        </w:rPr>
        <w:t xml:space="preserve">, </w:t>
      </w:r>
      <w:proofErr w:type="spellStart"/>
      <w:r w:rsidRPr="008C1B9E">
        <w:rPr>
          <w:color w:val="auto"/>
          <w:sz w:val="22"/>
          <w:szCs w:val="22"/>
          <w:lang w:val="sk-SK"/>
        </w:rPr>
        <w:t>tinitus</w:t>
      </w:r>
      <w:proofErr w:type="spellEnd"/>
    </w:p>
    <w:p w14:paraId="228F63F0" w14:textId="77777777" w:rsidR="005F7F6E" w:rsidRPr="00CA2806" w:rsidRDefault="005F7F6E" w:rsidP="005F7F6E">
      <w:pPr>
        <w:pStyle w:val="Default"/>
        <w:ind w:left="1701" w:hanging="1701"/>
        <w:rPr>
          <w:color w:val="auto"/>
          <w:sz w:val="22"/>
          <w:szCs w:val="22"/>
          <w:shd w:val="clear" w:color="auto" w:fill="FFFFFF"/>
          <w:lang w:val="sk-SK"/>
        </w:rPr>
      </w:pPr>
    </w:p>
    <w:p w14:paraId="71F9C181" w14:textId="77777777" w:rsidR="00657737" w:rsidRPr="008C1B9E" w:rsidRDefault="00657737" w:rsidP="00657737">
      <w:pPr>
        <w:pStyle w:val="Default"/>
        <w:ind w:left="1701" w:hanging="1701"/>
        <w:rPr>
          <w:iCs/>
          <w:color w:val="auto"/>
          <w:sz w:val="22"/>
          <w:szCs w:val="22"/>
          <w:u w:val="single"/>
          <w:lang w:val="sk-SK"/>
        </w:rPr>
      </w:pPr>
      <w:r w:rsidRPr="008C1B9E">
        <w:rPr>
          <w:iCs/>
          <w:color w:val="auto"/>
          <w:sz w:val="22"/>
          <w:szCs w:val="22"/>
          <w:u w:val="single"/>
          <w:lang w:val="sk-SK"/>
        </w:rPr>
        <w:t xml:space="preserve">Poruchy ciev </w:t>
      </w:r>
    </w:p>
    <w:p w14:paraId="15817178" w14:textId="77777777" w:rsidR="00657737" w:rsidRPr="008C1B9E" w:rsidRDefault="00657737" w:rsidP="00657737">
      <w:pPr>
        <w:pStyle w:val="Default"/>
        <w:ind w:left="1701" w:hanging="1701"/>
        <w:rPr>
          <w:color w:val="auto"/>
          <w:sz w:val="22"/>
          <w:szCs w:val="22"/>
          <w:lang w:val="sk-SK"/>
        </w:rPr>
      </w:pPr>
      <w:r w:rsidRPr="008C1B9E">
        <w:rPr>
          <w:i/>
          <w:color w:val="auto"/>
          <w:sz w:val="22"/>
          <w:szCs w:val="22"/>
          <w:lang w:val="sk-SK"/>
        </w:rPr>
        <w:t>Zriedkavé</w:t>
      </w:r>
      <w:r w:rsidRPr="008C1B9E">
        <w:rPr>
          <w:color w:val="auto"/>
          <w:sz w:val="22"/>
          <w:szCs w:val="22"/>
          <w:lang w:val="sk-SK"/>
        </w:rPr>
        <w:t xml:space="preserve">: </w:t>
      </w:r>
      <w:r w:rsidRPr="008C1B9E">
        <w:rPr>
          <w:color w:val="auto"/>
          <w:sz w:val="22"/>
          <w:szCs w:val="22"/>
          <w:lang w:val="sk-SK"/>
        </w:rPr>
        <w:tab/>
      </w:r>
      <w:proofErr w:type="spellStart"/>
      <w:r w:rsidRPr="008C1B9E">
        <w:rPr>
          <w:color w:val="auto"/>
          <w:sz w:val="22"/>
          <w:szCs w:val="22"/>
          <w:lang w:val="sk-SK"/>
        </w:rPr>
        <w:t>vaskulitída</w:t>
      </w:r>
      <w:proofErr w:type="spellEnd"/>
    </w:p>
    <w:p w14:paraId="21EAC8F6" w14:textId="77777777" w:rsidR="00657737" w:rsidRDefault="00657737" w:rsidP="00AE2D79">
      <w:pPr>
        <w:pStyle w:val="Default"/>
        <w:ind w:left="1701" w:hanging="1701"/>
        <w:rPr>
          <w:color w:val="auto"/>
          <w:sz w:val="22"/>
          <w:szCs w:val="22"/>
          <w:lang w:val="sk-SK"/>
        </w:rPr>
      </w:pPr>
      <w:r w:rsidRPr="008C1B9E">
        <w:rPr>
          <w:i/>
          <w:color w:val="auto"/>
          <w:sz w:val="22"/>
          <w:szCs w:val="22"/>
          <w:lang w:val="sk-SK"/>
        </w:rPr>
        <w:t>Neznáme</w:t>
      </w:r>
      <w:r w:rsidRPr="008C1B9E">
        <w:rPr>
          <w:color w:val="auto"/>
          <w:sz w:val="22"/>
          <w:szCs w:val="22"/>
          <w:lang w:val="sk-SK"/>
        </w:rPr>
        <w:t xml:space="preserve">: </w:t>
      </w:r>
      <w:r w:rsidRPr="008C1B9E">
        <w:rPr>
          <w:color w:val="auto"/>
          <w:sz w:val="22"/>
          <w:szCs w:val="22"/>
          <w:lang w:val="sk-SK"/>
        </w:rPr>
        <w:tab/>
        <w:t xml:space="preserve">trombóza </w:t>
      </w:r>
    </w:p>
    <w:p w14:paraId="472C39F7" w14:textId="77777777" w:rsidR="00AE2D79" w:rsidRDefault="00AE2D79" w:rsidP="00AE2D79">
      <w:pPr>
        <w:pStyle w:val="Default"/>
        <w:ind w:left="1701" w:hanging="1701"/>
        <w:rPr>
          <w:color w:val="auto"/>
          <w:sz w:val="22"/>
          <w:szCs w:val="22"/>
          <w:lang w:val="sk-SK"/>
        </w:rPr>
      </w:pPr>
    </w:p>
    <w:p w14:paraId="06B8A634" w14:textId="77777777" w:rsidR="00657737" w:rsidRPr="008C1B9E" w:rsidRDefault="00657737" w:rsidP="00657737">
      <w:pPr>
        <w:pStyle w:val="Default"/>
        <w:ind w:left="1701" w:hanging="1701"/>
        <w:rPr>
          <w:iCs/>
          <w:color w:val="auto"/>
          <w:sz w:val="22"/>
          <w:szCs w:val="22"/>
          <w:u w:val="single"/>
          <w:lang w:val="sk-SK"/>
        </w:rPr>
      </w:pPr>
      <w:r w:rsidRPr="008C1B9E">
        <w:rPr>
          <w:iCs/>
          <w:color w:val="auto"/>
          <w:sz w:val="22"/>
          <w:szCs w:val="22"/>
          <w:u w:val="single"/>
          <w:lang w:val="sk-SK"/>
        </w:rPr>
        <w:t>Poruchy gastrointestinálneho traktu</w:t>
      </w:r>
    </w:p>
    <w:p w14:paraId="74CCDAD3" w14:textId="77777777" w:rsidR="00657737" w:rsidRPr="008C1B9E" w:rsidRDefault="00657737" w:rsidP="00657737">
      <w:pPr>
        <w:pStyle w:val="Default"/>
        <w:tabs>
          <w:tab w:val="left" w:pos="1701"/>
        </w:tabs>
        <w:ind w:left="1701" w:hanging="1701"/>
        <w:rPr>
          <w:iCs/>
          <w:color w:val="auto"/>
          <w:sz w:val="22"/>
          <w:szCs w:val="22"/>
          <w:lang w:val="sk-SK"/>
        </w:rPr>
      </w:pPr>
      <w:r w:rsidRPr="008C1B9E">
        <w:rPr>
          <w:i/>
          <w:iCs/>
          <w:color w:val="auto"/>
          <w:sz w:val="22"/>
          <w:szCs w:val="22"/>
          <w:lang w:val="sk-SK"/>
        </w:rPr>
        <w:t>Menej časté:</w:t>
      </w:r>
      <w:r w:rsidRPr="008C1B9E">
        <w:rPr>
          <w:iCs/>
          <w:color w:val="auto"/>
          <w:sz w:val="22"/>
          <w:szCs w:val="22"/>
          <w:lang w:val="sk-SK"/>
        </w:rPr>
        <w:t xml:space="preserve"> </w:t>
      </w:r>
      <w:r w:rsidRPr="008C1B9E">
        <w:rPr>
          <w:iCs/>
          <w:color w:val="auto"/>
          <w:sz w:val="22"/>
          <w:szCs w:val="22"/>
          <w:lang w:val="sk-SK"/>
        </w:rPr>
        <w:tab/>
        <w:t>nauzea</w:t>
      </w:r>
    </w:p>
    <w:p w14:paraId="71F3CADC" w14:textId="77777777" w:rsidR="00657737" w:rsidRPr="008C1B9E" w:rsidRDefault="00657737" w:rsidP="00657737">
      <w:pPr>
        <w:pStyle w:val="Default"/>
        <w:tabs>
          <w:tab w:val="left" w:pos="1701"/>
        </w:tabs>
        <w:ind w:left="1701" w:hanging="1701"/>
        <w:rPr>
          <w:iCs/>
          <w:color w:val="auto"/>
          <w:sz w:val="22"/>
          <w:szCs w:val="22"/>
          <w:lang w:val="sk-SK"/>
        </w:rPr>
      </w:pPr>
      <w:r w:rsidRPr="008C1B9E">
        <w:rPr>
          <w:i/>
          <w:iCs/>
          <w:color w:val="auto"/>
          <w:sz w:val="22"/>
          <w:szCs w:val="22"/>
          <w:lang w:val="sk-SK"/>
        </w:rPr>
        <w:t>Zriedkavé:</w:t>
      </w:r>
      <w:r w:rsidRPr="008C1B9E">
        <w:rPr>
          <w:iCs/>
          <w:color w:val="auto"/>
          <w:sz w:val="22"/>
          <w:szCs w:val="22"/>
          <w:lang w:val="sk-SK"/>
        </w:rPr>
        <w:t xml:space="preserve"> </w:t>
      </w:r>
      <w:r w:rsidRPr="008C1B9E">
        <w:rPr>
          <w:iCs/>
          <w:color w:val="auto"/>
          <w:sz w:val="22"/>
          <w:szCs w:val="22"/>
          <w:lang w:val="sk-SK"/>
        </w:rPr>
        <w:tab/>
        <w:t>vracanie, hnačka</w:t>
      </w:r>
    </w:p>
    <w:p w14:paraId="30BA3DA7" w14:textId="77777777" w:rsidR="00657737" w:rsidRPr="008C1B9E" w:rsidRDefault="00657737" w:rsidP="00657737">
      <w:pPr>
        <w:pStyle w:val="Default"/>
        <w:tabs>
          <w:tab w:val="left" w:pos="1701"/>
        </w:tabs>
        <w:ind w:left="1701" w:hanging="1701"/>
        <w:rPr>
          <w:iCs/>
          <w:color w:val="auto"/>
          <w:sz w:val="22"/>
          <w:szCs w:val="22"/>
          <w:lang w:val="sk-SK"/>
        </w:rPr>
      </w:pPr>
      <w:r w:rsidRPr="008C1B9E">
        <w:rPr>
          <w:i/>
          <w:iCs/>
          <w:color w:val="auto"/>
          <w:sz w:val="22"/>
          <w:szCs w:val="22"/>
          <w:lang w:val="sk-SK"/>
        </w:rPr>
        <w:t>Veľmi zriedkavé:</w:t>
      </w:r>
      <w:r w:rsidRPr="008C1B9E">
        <w:rPr>
          <w:iCs/>
          <w:color w:val="auto"/>
          <w:sz w:val="22"/>
          <w:szCs w:val="22"/>
          <w:lang w:val="sk-SK"/>
        </w:rPr>
        <w:t xml:space="preserve"> </w:t>
      </w:r>
      <w:r w:rsidRPr="008C1B9E">
        <w:rPr>
          <w:iCs/>
          <w:color w:val="auto"/>
          <w:sz w:val="22"/>
          <w:szCs w:val="22"/>
          <w:lang w:val="sk-SK"/>
        </w:rPr>
        <w:tab/>
        <w:t>akútna pankreatitída</w:t>
      </w:r>
    </w:p>
    <w:p w14:paraId="73DC0083" w14:textId="77777777" w:rsidR="00657737" w:rsidRDefault="00657737" w:rsidP="00AE2D79">
      <w:pPr>
        <w:pStyle w:val="Default"/>
        <w:ind w:left="1701" w:hanging="1701"/>
        <w:rPr>
          <w:color w:val="auto"/>
          <w:sz w:val="22"/>
          <w:szCs w:val="22"/>
          <w:lang w:val="sk-SK"/>
        </w:rPr>
      </w:pPr>
    </w:p>
    <w:p w14:paraId="5A0CA16B" w14:textId="77777777" w:rsidR="00657737" w:rsidRPr="008C1B9E" w:rsidRDefault="00657737" w:rsidP="00657737">
      <w:pPr>
        <w:pStyle w:val="Default"/>
        <w:tabs>
          <w:tab w:val="left" w:pos="1701"/>
        </w:tabs>
        <w:rPr>
          <w:color w:val="auto"/>
          <w:sz w:val="22"/>
          <w:szCs w:val="22"/>
          <w:u w:val="single"/>
          <w:lang w:val="sk-SK"/>
        </w:rPr>
      </w:pPr>
      <w:r w:rsidRPr="008C1B9E">
        <w:rPr>
          <w:iCs/>
          <w:color w:val="auto"/>
          <w:sz w:val="22"/>
          <w:szCs w:val="22"/>
          <w:u w:val="single"/>
          <w:lang w:val="sk-SK"/>
        </w:rPr>
        <w:t xml:space="preserve">Poruchy pečene a žlčových ciest </w:t>
      </w:r>
    </w:p>
    <w:p w14:paraId="31995B37" w14:textId="77777777" w:rsidR="00657737" w:rsidRDefault="00657737" w:rsidP="00657737">
      <w:pPr>
        <w:pStyle w:val="Default"/>
        <w:ind w:left="1701" w:hanging="1701"/>
        <w:rPr>
          <w:iCs/>
          <w:color w:val="auto"/>
          <w:sz w:val="22"/>
          <w:szCs w:val="22"/>
          <w:lang w:val="sk-SK"/>
        </w:rPr>
      </w:pPr>
      <w:r w:rsidRPr="008C1B9E">
        <w:rPr>
          <w:i/>
          <w:iCs/>
          <w:color w:val="auto"/>
          <w:sz w:val="22"/>
          <w:szCs w:val="22"/>
          <w:lang w:val="sk-SK"/>
        </w:rPr>
        <w:t>Veľmi zriedkavé:</w:t>
      </w:r>
      <w:r w:rsidRPr="008C1B9E">
        <w:rPr>
          <w:iCs/>
          <w:color w:val="auto"/>
          <w:sz w:val="22"/>
          <w:szCs w:val="22"/>
          <w:lang w:val="sk-SK"/>
        </w:rPr>
        <w:t xml:space="preserve"> </w:t>
      </w:r>
      <w:r w:rsidRPr="008C1B9E">
        <w:rPr>
          <w:iCs/>
          <w:color w:val="auto"/>
          <w:sz w:val="22"/>
          <w:szCs w:val="22"/>
          <w:lang w:val="sk-SK"/>
        </w:rPr>
        <w:tab/>
      </w:r>
      <w:proofErr w:type="spellStart"/>
      <w:r w:rsidRPr="008C1B9E">
        <w:rPr>
          <w:iCs/>
          <w:color w:val="auto"/>
          <w:sz w:val="22"/>
          <w:szCs w:val="22"/>
          <w:lang w:val="sk-SK"/>
        </w:rPr>
        <w:t>cholestáza</w:t>
      </w:r>
      <w:proofErr w:type="spellEnd"/>
      <w:r w:rsidRPr="008C1B9E">
        <w:rPr>
          <w:iCs/>
          <w:color w:val="auto"/>
          <w:sz w:val="22"/>
          <w:szCs w:val="22"/>
          <w:lang w:val="sk-SK"/>
        </w:rPr>
        <w:t xml:space="preserve">, zvýšenie </w:t>
      </w:r>
      <w:proofErr w:type="spellStart"/>
      <w:r w:rsidRPr="008C1B9E">
        <w:rPr>
          <w:iCs/>
          <w:color w:val="auto"/>
          <w:sz w:val="22"/>
          <w:szCs w:val="22"/>
          <w:lang w:val="sk-SK"/>
        </w:rPr>
        <w:t>transamináz</w:t>
      </w:r>
      <w:proofErr w:type="spellEnd"/>
      <w:r w:rsidRPr="008C1B9E">
        <w:rPr>
          <w:iCs/>
          <w:color w:val="auto"/>
          <w:sz w:val="22"/>
          <w:szCs w:val="22"/>
          <w:lang w:val="sk-SK"/>
        </w:rPr>
        <w:t xml:space="preserve"> </w:t>
      </w:r>
    </w:p>
    <w:p w14:paraId="634D228C" w14:textId="77777777" w:rsidR="00657737" w:rsidRDefault="00657737" w:rsidP="00657737">
      <w:pPr>
        <w:pStyle w:val="Default"/>
        <w:ind w:left="1701" w:hanging="1701"/>
        <w:rPr>
          <w:color w:val="auto"/>
          <w:sz w:val="22"/>
          <w:szCs w:val="22"/>
          <w:lang w:val="sk-SK"/>
        </w:rPr>
      </w:pPr>
    </w:p>
    <w:p w14:paraId="21333F56" w14:textId="77777777" w:rsidR="00403306" w:rsidRPr="008C1B9E" w:rsidRDefault="00403306" w:rsidP="00403306">
      <w:pPr>
        <w:pStyle w:val="Default"/>
        <w:rPr>
          <w:iCs/>
          <w:color w:val="auto"/>
          <w:sz w:val="22"/>
          <w:szCs w:val="22"/>
          <w:u w:val="single"/>
          <w:lang w:val="sk-SK"/>
        </w:rPr>
      </w:pPr>
      <w:r w:rsidRPr="008C1B9E">
        <w:rPr>
          <w:iCs/>
          <w:color w:val="auto"/>
          <w:sz w:val="22"/>
          <w:szCs w:val="22"/>
          <w:u w:val="single"/>
          <w:lang w:val="sk-SK"/>
        </w:rPr>
        <w:t xml:space="preserve">Poruchy kože a podkožného tkaniva </w:t>
      </w:r>
    </w:p>
    <w:p w14:paraId="46117DFD" w14:textId="77777777" w:rsidR="00403306" w:rsidRPr="008C1B9E" w:rsidRDefault="00403306" w:rsidP="00403306">
      <w:pPr>
        <w:pStyle w:val="Default"/>
        <w:ind w:left="1701" w:hanging="1701"/>
        <w:rPr>
          <w:color w:val="auto"/>
          <w:sz w:val="22"/>
          <w:szCs w:val="22"/>
          <w:lang w:val="sk-SK"/>
        </w:rPr>
      </w:pPr>
      <w:r w:rsidRPr="008C1B9E">
        <w:rPr>
          <w:i/>
          <w:color w:val="auto"/>
          <w:sz w:val="22"/>
          <w:szCs w:val="22"/>
          <w:lang w:val="sk-SK"/>
        </w:rPr>
        <w:t>Menej časté</w:t>
      </w:r>
      <w:r w:rsidRPr="008C1B9E">
        <w:rPr>
          <w:color w:val="auto"/>
          <w:sz w:val="22"/>
          <w:szCs w:val="22"/>
          <w:lang w:val="sk-SK"/>
        </w:rPr>
        <w:t xml:space="preserve">: </w:t>
      </w:r>
      <w:r w:rsidRPr="008C1B9E">
        <w:rPr>
          <w:color w:val="auto"/>
          <w:sz w:val="22"/>
          <w:szCs w:val="22"/>
          <w:lang w:val="sk-SK"/>
        </w:rPr>
        <w:tab/>
      </w:r>
      <w:proofErr w:type="spellStart"/>
      <w:r w:rsidRPr="008C1B9E">
        <w:rPr>
          <w:color w:val="auto"/>
          <w:sz w:val="22"/>
          <w:szCs w:val="22"/>
          <w:lang w:val="sk-SK"/>
        </w:rPr>
        <w:t>pruritus</w:t>
      </w:r>
      <w:proofErr w:type="spellEnd"/>
      <w:r w:rsidRPr="008C1B9E">
        <w:rPr>
          <w:color w:val="auto"/>
          <w:sz w:val="22"/>
          <w:szCs w:val="22"/>
          <w:lang w:val="sk-SK"/>
        </w:rPr>
        <w:t xml:space="preserve">, </w:t>
      </w:r>
      <w:proofErr w:type="spellStart"/>
      <w:r w:rsidRPr="008C1B9E">
        <w:rPr>
          <w:color w:val="auto"/>
          <w:sz w:val="22"/>
          <w:szCs w:val="22"/>
          <w:lang w:val="sk-SK"/>
        </w:rPr>
        <w:t>urtikária</w:t>
      </w:r>
      <w:proofErr w:type="spellEnd"/>
      <w:r w:rsidRPr="008C1B9E">
        <w:rPr>
          <w:color w:val="auto"/>
          <w:sz w:val="22"/>
          <w:szCs w:val="22"/>
          <w:lang w:val="sk-SK"/>
        </w:rPr>
        <w:t xml:space="preserve">, vyrážka, </w:t>
      </w:r>
      <w:proofErr w:type="spellStart"/>
      <w:r w:rsidRPr="008C1B9E">
        <w:rPr>
          <w:color w:val="auto"/>
          <w:sz w:val="22"/>
          <w:szCs w:val="22"/>
          <w:lang w:val="sk-SK"/>
        </w:rPr>
        <w:t>bulózny</w:t>
      </w:r>
      <w:proofErr w:type="spellEnd"/>
      <w:r w:rsidRPr="008C1B9E">
        <w:rPr>
          <w:color w:val="auto"/>
          <w:sz w:val="22"/>
          <w:szCs w:val="22"/>
          <w:lang w:val="sk-SK"/>
        </w:rPr>
        <w:t xml:space="preserve"> exantém, </w:t>
      </w:r>
      <w:proofErr w:type="spellStart"/>
      <w:r w:rsidRPr="008C1B9E">
        <w:rPr>
          <w:color w:val="auto"/>
          <w:sz w:val="22"/>
          <w:szCs w:val="22"/>
          <w:lang w:val="sk-SK"/>
        </w:rPr>
        <w:t>multiformný</w:t>
      </w:r>
      <w:proofErr w:type="spellEnd"/>
      <w:r w:rsidRPr="008C1B9E">
        <w:rPr>
          <w:color w:val="auto"/>
          <w:sz w:val="22"/>
          <w:szCs w:val="22"/>
          <w:lang w:val="sk-SK"/>
        </w:rPr>
        <w:t xml:space="preserve"> </w:t>
      </w:r>
      <w:proofErr w:type="spellStart"/>
      <w:r w:rsidRPr="008C1B9E">
        <w:rPr>
          <w:color w:val="auto"/>
          <w:sz w:val="22"/>
          <w:szCs w:val="22"/>
          <w:lang w:val="sk-SK"/>
        </w:rPr>
        <w:t>erytém</w:t>
      </w:r>
      <w:proofErr w:type="spellEnd"/>
      <w:r w:rsidRPr="008C1B9E">
        <w:rPr>
          <w:color w:val="auto"/>
          <w:sz w:val="22"/>
          <w:szCs w:val="22"/>
          <w:lang w:val="sk-SK"/>
        </w:rPr>
        <w:t xml:space="preserve">, </w:t>
      </w:r>
      <w:proofErr w:type="spellStart"/>
      <w:r w:rsidRPr="008C1B9E">
        <w:rPr>
          <w:color w:val="auto"/>
          <w:sz w:val="22"/>
          <w:szCs w:val="22"/>
          <w:lang w:val="sk-SK"/>
        </w:rPr>
        <w:t>pemfigoid</w:t>
      </w:r>
      <w:proofErr w:type="spellEnd"/>
      <w:r w:rsidRPr="008C1B9E">
        <w:rPr>
          <w:color w:val="auto"/>
          <w:sz w:val="22"/>
          <w:szCs w:val="22"/>
          <w:lang w:val="sk-SK"/>
        </w:rPr>
        <w:t xml:space="preserve">, </w:t>
      </w:r>
      <w:proofErr w:type="spellStart"/>
      <w:r w:rsidRPr="008C1B9E">
        <w:rPr>
          <w:color w:val="auto"/>
          <w:sz w:val="22"/>
          <w:szCs w:val="22"/>
          <w:lang w:val="sk-SK"/>
        </w:rPr>
        <w:t>exfoliatívna</w:t>
      </w:r>
      <w:proofErr w:type="spellEnd"/>
      <w:r w:rsidRPr="008C1B9E">
        <w:rPr>
          <w:color w:val="auto"/>
          <w:sz w:val="22"/>
          <w:szCs w:val="22"/>
          <w:lang w:val="sk-SK"/>
        </w:rPr>
        <w:t xml:space="preserve"> dermatitída, </w:t>
      </w:r>
      <w:proofErr w:type="spellStart"/>
      <w:r w:rsidRPr="008C1B9E">
        <w:rPr>
          <w:color w:val="auto"/>
          <w:sz w:val="22"/>
          <w:szCs w:val="22"/>
          <w:lang w:val="sk-SK"/>
        </w:rPr>
        <w:t>purpura</w:t>
      </w:r>
      <w:proofErr w:type="spellEnd"/>
      <w:r w:rsidRPr="008C1B9E">
        <w:rPr>
          <w:color w:val="auto"/>
          <w:sz w:val="22"/>
          <w:szCs w:val="22"/>
          <w:lang w:val="sk-SK"/>
        </w:rPr>
        <w:t xml:space="preserve">, </w:t>
      </w:r>
      <w:proofErr w:type="spellStart"/>
      <w:r w:rsidRPr="008C1B9E">
        <w:rPr>
          <w:color w:val="auto"/>
          <w:sz w:val="22"/>
          <w:szCs w:val="22"/>
          <w:lang w:val="sk-SK"/>
        </w:rPr>
        <w:t>fotosenzitiv</w:t>
      </w:r>
      <w:r>
        <w:rPr>
          <w:color w:val="auto"/>
          <w:sz w:val="22"/>
          <w:szCs w:val="22"/>
          <w:lang w:val="sk-SK"/>
        </w:rPr>
        <w:t>ívne</w:t>
      </w:r>
      <w:proofErr w:type="spellEnd"/>
      <w:r>
        <w:rPr>
          <w:color w:val="auto"/>
          <w:sz w:val="22"/>
          <w:szCs w:val="22"/>
          <w:lang w:val="sk-SK"/>
        </w:rPr>
        <w:t xml:space="preserve"> reakcie</w:t>
      </w:r>
    </w:p>
    <w:p w14:paraId="281B3225" w14:textId="766CCB07" w:rsidR="00403306" w:rsidRPr="008C1B9E" w:rsidRDefault="00403306" w:rsidP="00403306">
      <w:pPr>
        <w:pStyle w:val="Default"/>
        <w:ind w:left="1701" w:hanging="1701"/>
        <w:rPr>
          <w:b/>
          <w:color w:val="auto"/>
          <w:sz w:val="22"/>
          <w:szCs w:val="22"/>
          <w:lang w:val="sk-SK"/>
        </w:rPr>
      </w:pPr>
      <w:r w:rsidRPr="008C1B9E">
        <w:rPr>
          <w:i/>
          <w:color w:val="auto"/>
          <w:sz w:val="22"/>
          <w:szCs w:val="22"/>
          <w:lang w:val="sk-SK"/>
        </w:rPr>
        <w:t>Neznáme</w:t>
      </w:r>
      <w:r w:rsidRPr="008C1B9E">
        <w:rPr>
          <w:color w:val="auto"/>
          <w:sz w:val="22"/>
          <w:szCs w:val="22"/>
          <w:lang w:val="sk-SK"/>
        </w:rPr>
        <w:t xml:space="preserve">: </w:t>
      </w:r>
      <w:r w:rsidRPr="008C1B9E">
        <w:rPr>
          <w:color w:val="auto"/>
          <w:sz w:val="22"/>
          <w:szCs w:val="22"/>
          <w:lang w:val="sk-SK"/>
        </w:rPr>
        <w:tab/>
      </w:r>
      <w:proofErr w:type="spellStart"/>
      <w:r w:rsidRPr="008C1B9E">
        <w:rPr>
          <w:color w:val="auto"/>
          <w:sz w:val="22"/>
          <w:szCs w:val="22"/>
          <w:lang w:val="sk-SK"/>
        </w:rPr>
        <w:t>Stevensov-Johnsonov</w:t>
      </w:r>
      <w:proofErr w:type="spellEnd"/>
      <w:r w:rsidRPr="008C1B9E">
        <w:rPr>
          <w:color w:val="auto"/>
          <w:sz w:val="22"/>
          <w:szCs w:val="22"/>
          <w:lang w:val="sk-SK"/>
        </w:rPr>
        <w:t xml:space="preserve"> syndróm (SJS), toxická </w:t>
      </w:r>
      <w:proofErr w:type="spellStart"/>
      <w:r w:rsidRPr="008C1B9E">
        <w:rPr>
          <w:color w:val="auto"/>
          <w:sz w:val="22"/>
          <w:szCs w:val="22"/>
          <w:lang w:val="sk-SK"/>
        </w:rPr>
        <w:t>epidermálna</w:t>
      </w:r>
      <w:proofErr w:type="spellEnd"/>
      <w:r w:rsidRPr="008C1B9E">
        <w:rPr>
          <w:color w:val="auto"/>
          <w:sz w:val="22"/>
          <w:szCs w:val="22"/>
          <w:lang w:val="sk-SK"/>
        </w:rPr>
        <w:t xml:space="preserve"> </w:t>
      </w:r>
      <w:proofErr w:type="spellStart"/>
      <w:r w:rsidRPr="008C1B9E">
        <w:rPr>
          <w:color w:val="auto"/>
          <w:sz w:val="22"/>
          <w:szCs w:val="22"/>
          <w:lang w:val="sk-SK"/>
        </w:rPr>
        <w:t>nekrolýza</w:t>
      </w:r>
      <w:proofErr w:type="spellEnd"/>
      <w:r w:rsidRPr="008C1B9E">
        <w:rPr>
          <w:color w:val="auto"/>
          <w:sz w:val="22"/>
          <w:szCs w:val="22"/>
          <w:lang w:val="sk-SK"/>
        </w:rPr>
        <w:t xml:space="preserve"> (TEN), akútna generalizovaná </w:t>
      </w:r>
      <w:proofErr w:type="spellStart"/>
      <w:r w:rsidRPr="008C1B9E">
        <w:rPr>
          <w:color w:val="auto"/>
          <w:sz w:val="22"/>
          <w:szCs w:val="22"/>
          <w:lang w:val="sk-SK"/>
        </w:rPr>
        <w:t>exantematózna</w:t>
      </w:r>
      <w:proofErr w:type="spellEnd"/>
      <w:r w:rsidRPr="008C1B9E">
        <w:rPr>
          <w:color w:val="auto"/>
          <w:sz w:val="22"/>
          <w:szCs w:val="22"/>
          <w:lang w:val="sk-SK"/>
        </w:rPr>
        <w:t xml:space="preserve"> </w:t>
      </w:r>
      <w:proofErr w:type="spellStart"/>
      <w:r w:rsidRPr="008C1B9E">
        <w:rPr>
          <w:color w:val="auto"/>
          <w:sz w:val="22"/>
          <w:szCs w:val="22"/>
          <w:lang w:val="sk-SK"/>
        </w:rPr>
        <w:t>pustulóza</w:t>
      </w:r>
      <w:proofErr w:type="spellEnd"/>
      <w:r w:rsidRPr="008C1B9E">
        <w:rPr>
          <w:color w:val="auto"/>
          <w:sz w:val="22"/>
          <w:szCs w:val="22"/>
          <w:lang w:val="sk-SK"/>
        </w:rPr>
        <w:t xml:space="preserve"> (AGEP), lieková vyrážka s </w:t>
      </w:r>
      <w:proofErr w:type="spellStart"/>
      <w:r w:rsidRPr="008C1B9E">
        <w:rPr>
          <w:color w:val="auto"/>
          <w:sz w:val="22"/>
          <w:szCs w:val="22"/>
          <w:lang w:val="sk-SK"/>
        </w:rPr>
        <w:t>eozinofíliou</w:t>
      </w:r>
      <w:proofErr w:type="spellEnd"/>
      <w:r w:rsidRPr="008C1B9E">
        <w:rPr>
          <w:color w:val="auto"/>
          <w:sz w:val="22"/>
          <w:szCs w:val="22"/>
          <w:lang w:val="sk-SK"/>
        </w:rPr>
        <w:t xml:space="preserve"> a systémovými príznakmi </w:t>
      </w:r>
      <w:r w:rsidRPr="008C1B9E">
        <w:rPr>
          <w:b/>
          <w:color w:val="auto"/>
          <w:sz w:val="22"/>
          <w:szCs w:val="22"/>
          <w:shd w:val="clear" w:color="auto" w:fill="FFFFFF"/>
          <w:lang w:val="sk-SK"/>
        </w:rPr>
        <w:t>(</w:t>
      </w:r>
      <w:r w:rsidRPr="008C1B9E">
        <w:rPr>
          <w:rStyle w:val="Zvraznenie"/>
          <w:b w:val="0"/>
          <w:bCs w:val="0"/>
          <w:color w:val="auto"/>
          <w:sz w:val="22"/>
          <w:szCs w:val="22"/>
          <w:shd w:val="clear" w:color="auto" w:fill="FFFFFF"/>
          <w:lang w:val="sk-SK"/>
        </w:rPr>
        <w:t>DRESS</w:t>
      </w:r>
      <w:r>
        <w:rPr>
          <w:rStyle w:val="Zvraznenie"/>
          <w:b w:val="0"/>
          <w:bCs w:val="0"/>
          <w:color w:val="auto"/>
          <w:sz w:val="22"/>
          <w:szCs w:val="22"/>
          <w:shd w:val="clear" w:color="auto" w:fill="FFFFFF"/>
          <w:lang w:val="sk-SK"/>
        </w:rPr>
        <w:t xml:space="preserve"> syndróm</w:t>
      </w:r>
      <w:r w:rsidRPr="008C1B9E">
        <w:rPr>
          <w:rStyle w:val="Zvraznenie"/>
          <w:b w:val="0"/>
          <w:bCs w:val="0"/>
          <w:color w:val="auto"/>
          <w:sz w:val="22"/>
          <w:szCs w:val="22"/>
          <w:shd w:val="clear" w:color="auto" w:fill="FFFFFF"/>
          <w:lang w:val="sk-SK"/>
        </w:rPr>
        <w:t xml:space="preserve">), </w:t>
      </w:r>
      <w:proofErr w:type="spellStart"/>
      <w:r w:rsidRPr="00DA694D">
        <w:rPr>
          <w:rStyle w:val="Zvraznenie"/>
          <w:b w:val="0"/>
          <w:bCs w:val="0"/>
          <w:color w:val="auto"/>
          <w:sz w:val="22"/>
          <w:szCs w:val="22"/>
          <w:shd w:val="clear" w:color="auto" w:fill="FFFFFF"/>
          <w:lang w:val="sk-SK"/>
        </w:rPr>
        <w:t>lichenoidná</w:t>
      </w:r>
      <w:proofErr w:type="spellEnd"/>
      <w:r w:rsidRPr="00DA694D">
        <w:rPr>
          <w:rStyle w:val="Zvraznenie"/>
          <w:b w:val="0"/>
          <w:bCs w:val="0"/>
          <w:color w:val="auto"/>
          <w:sz w:val="22"/>
          <w:szCs w:val="22"/>
          <w:shd w:val="clear" w:color="auto" w:fill="FFFFFF"/>
          <w:lang w:val="sk-SK"/>
        </w:rPr>
        <w:t xml:space="preserve"> </w:t>
      </w:r>
      <w:r w:rsidR="00E90634">
        <w:rPr>
          <w:rStyle w:val="Zvraznenie"/>
          <w:b w:val="0"/>
          <w:bCs w:val="0"/>
          <w:color w:val="auto"/>
          <w:sz w:val="22"/>
          <w:szCs w:val="22"/>
          <w:shd w:val="clear" w:color="auto" w:fill="FFFFFF"/>
          <w:lang w:val="sk-SK"/>
        </w:rPr>
        <w:t>vyrážka</w:t>
      </w:r>
    </w:p>
    <w:p w14:paraId="365F8A1C" w14:textId="77777777" w:rsidR="00657737" w:rsidRPr="008C1B9E" w:rsidRDefault="00657737" w:rsidP="00657737">
      <w:pPr>
        <w:pStyle w:val="Default"/>
        <w:ind w:left="1701" w:hanging="1701"/>
        <w:rPr>
          <w:color w:val="auto"/>
          <w:sz w:val="22"/>
          <w:szCs w:val="22"/>
          <w:lang w:val="sk-SK"/>
        </w:rPr>
      </w:pPr>
    </w:p>
    <w:p w14:paraId="0A4237C1" w14:textId="77777777" w:rsidR="00403306" w:rsidRPr="008C1B9E" w:rsidRDefault="00403306" w:rsidP="00403306">
      <w:pPr>
        <w:pStyle w:val="Default"/>
        <w:rPr>
          <w:noProof/>
          <w:color w:val="auto"/>
          <w:sz w:val="22"/>
          <w:szCs w:val="22"/>
          <w:u w:val="single"/>
          <w:lang w:val="sk-SK"/>
        </w:rPr>
      </w:pPr>
      <w:r w:rsidRPr="008C1B9E">
        <w:rPr>
          <w:noProof/>
          <w:color w:val="auto"/>
          <w:sz w:val="22"/>
          <w:szCs w:val="22"/>
          <w:u w:val="single"/>
          <w:lang w:val="sk-SK"/>
        </w:rPr>
        <w:t>Poruchy kostrovej sústavy a spojivového tkaniva</w:t>
      </w:r>
    </w:p>
    <w:p w14:paraId="2961A9F3" w14:textId="77777777" w:rsidR="00403306" w:rsidRPr="008C1B9E" w:rsidRDefault="00403306" w:rsidP="00403306">
      <w:pPr>
        <w:pStyle w:val="Default"/>
        <w:ind w:left="1701" w:hanging="1701"/>
        <w:rPr>
          <w:iCs/>
          <w:color w:val="auto"/>
          <w:sz w:val="22"/>
          <w:szCs w:val="22"/>
          <w:lang w:val="sk-SK"/>
        </w:rPr>
      </w:pPr>
      <w:r w:rsidRPr="008C1B9E">
        <w:rPr>
          <w:i/>
          <w:iCs/>
          <w:color w:val="auto"/>
          <w:sz w:val="22"/>
          <w:szCs w:val="22"/>
          <w:lang w:val="sk-SK"/>
        </w:rPr>
        <w:t>Neznáme:</w:t>
      </w:r>
      <w:r w:rsidRPr="008C1B9E">
        <w:rPr>
          <w:iCs/>
          <w:color w:val="auto"/>
          <w:sz w:val="22"/>
          <w:szCs w:val="22"/>
          <w:lang w:val="sk-SK"/>
        </w:rPr>
        <w:t xml:space="preserve"> </w:t>
      </w:r>
      <w:r w:rsidRPr="008C1B9E">
        <w:rPr>
          <w:iCs/>
          <w:color w:val="auto"/>
          <w:sz w:val="22"/>
          <w:szCs w:val="22"/>
          <w:lang w:val="sk-SK"/>
        </w:rPr>
        <w:tab/>
        <w:t xml:space="preserve">boli hlásené prípady </w:t>
      </w:r>
      <w:proofErr w:type="spellStart"/>
      <w:r w:rsidRPr="008C1B9E">
        <w:rPr>
          <w:iCs/>
          <w:color w:val="auto"/>
          <w:sz w:val="22"/>
          <w:szCs w:val="22"/>
          <w:lang w:val="sk-SK"/>
        </w:rPr>
        <w:t>rabdomyolýzy</w:t>
      </w:r>
      <w:proofErr w:type="spellEnd"/>
      <w:r w:rsidRPr="008C1B9E">
        <w:rPr>
          <w:iCs/>
          <w:color w:val="auto"/>
          <w:sz w:val="22"/>
          <w:szCs w:val="22"/>
          <w:lang w:val="sk-SK"/>
        </w:rPr>
        <w:t>, často v súvislosti so závažnou hypokaliémiou (pozri časť 4.3)</w:t>
      </w:r>
    </w:p>
    <w:p w14:paraId="22C1AA05" w14:textId="77777777" w:rsidR="00657737" w:rsidRPr="008C1B9E" w:rsidRDefault="00657737" w:rsidP="00AE2D79">
      <w:pPr>
        <w:pStyle w:val="Default"/>
        <w:ind w:left="1701" w:hanging="1701"/>
        <w:rPr>
          <w:color w:val="auto"/>
          <w:sz w:val="22"/>
          <w:szCs w:val="22"/>
          <w:lang w:val="sk-SK"/>
        </w:rPr>
      </w:pPr>
    </w:p>
    <w:p w14:paraId="7AA43404" w14:textId="77777777" w:rsidR="00403306" w:rsidRPr="00403306" w:rsidRDefault="00403306" w:rsidP="00403306">
      <w:pPr>
        <w:pStyle w:val="Default"/>
        <w:rPr>
          <w:iCs/>
          <w:color w:val="auto"/>
          <w:sz w:val="22"/>
          <w:szCs w:val="22"/>
          <w:u w:val="single"/>
          <w:lang w:val="sk-SK"/>
        </w:rPr>
      </w:pPr>
      <w:r w:rsidRPr="008C1B9E">
        <w:rPr>
          <w:iCs/>
          <w:color w:val="auto"/>
          <w:sz w:val="22"/>
          <w:szCs w:val="22"/>
          <w:u w:val="single"/>
          <w:lang w:val="sk-SK"/>
        </w:rPr>
        <w:t>Poruchy obličiek a močových ciest</w:t>
      </w:r>
    </w:p>
    <w:p w14:paraId="086C721F" w14:textId="77777777" w:rsidR="00403306" w:rsidRPr="008C1B9E" w:rsidRDefault="00403306" w:rsidP="00403306">
      <w:pPr>
        <w:pStyle w:val="Default"/>
        <w:ind w:left="1701" w:hanging="1701"/>
        <w:rPr>
          <w:iCs/>
          <w:color w:val="auto"/>
          <w:sz w:val="22"/>
          <w:szCs w:val="22"/>
          <w:lang w:val="sk-SK"/>
        </w:rPr>
      </w:pPr>
      <w:r w:rsidRPr="008C1B9E">
        <w:rPr>
          <w:i/>
          <w:iCs/>
          <w:color w:val="auto"/>
          <w:sz w:val="22"/>
          <w:szCs w:val="22"/>
          <w:lang w:val="sk-SK"/>
        </w:rPr>
        <w:t>Zriedkavé</w:t>
      </w:r>
      <w:r w:rsidRPr="008C1B9E">
        <w:rPr>
          <w:iCs/>
          <w:color w:val="auto"/>
          <w:sz w:val="22"/>
          <w:szCs w:val="22"/>
          <w:lang w:val="sk-SK"/>
        </w:rPr>
        <w:t xml:space="preserve">: </w:t>
      </w:r>
      <w:r w:rsidRPr="008C1B9E">
        <w:rPr>
          <w:iCs/>
          <w:color w:val="auto"/>
          <w:sz w:val="22"/>
          <w:szCs w:val="22"/>
          <w:lang w:val="sk-SK"/>
        </w:rPr>
        <w:tab/>
      </w:r>
      <w:proofErr w:type="spellStart"/>
      <w:r w:rsidRPr="008C1B9E">
        <w:rPr>
          <w:iCs/>
          <w:color w:val="auto"/>
          <w:sz w:val="22"/>
          <w:szCs w:val="22"/>
          <w:lang w:val="sk-SK"/>
        </w:rPr>
        <w:t>tubulointersticiálna</w:t>
      </w:r>
      <w:proofErr w:type="spellEnd"/>
      <w:r w:rsidRPr="008C1B9E">
        <w:rPr>
          <w:iCs/>
          <w:color w:val="auto"/>
          <w:sz w:val="22"/>
          <w:szCs w:val="22"/>
          <w:lang w:val="sk-SK"/>
        </w:rPr>
        <w:t xml:space="preserve"> </w:t>
      </w:r>
      <w:proofErr w:type="spellStart"/>
      <w:r w:rsidRPr="008C1B9E">
        <w:rPr>
          <w:iCs/>
          <w:color w:val="auto"/>
          <w:sz w:val="22"/>
          <w:szCs w:val="22"/>
          <w:lang w:val="sk-SK"/>
        </w:rPr>
        <w:t>nefritída</w:t>
      </w:r>
      <w:proofErr w:type="spellEnd"/>
    </w:p>
    <w:p w14:paraId="4362BBB2" w14:textId="77777777" w:rsidR="00403306" w:rsidRDefault="00403306" w:rsidP="00403306">
      <w:pPr>
        <w:pStyle w:val="Default"/>
        <w:ind w:left="1701" w:hanging="1701"/>
        <w:rPr>
          <w:iCs/>
          <w:color w:val="auto"/>
          <w:sz w:val="22"/>
          <w:szCs w:val="22"/>
          <w:lang w:val="sk-SK"/>
        </w:rPr>
      </w:pPr>
      <w:r w:rsidRPr="008C1B9E">
        <w:rPr>
          <w:i/>
          <w:iCs/>
          <w:color w:val="auto"/>
          <w:sz w:val="22"/>
          <w:szCs w:val="22"/>
          <w:lang w:val="sk-SK"/>
        </w:rPr>
        <w:t>Neznáme</w:t>
      </w:r>
      <w:r w:rsidRPr="008C1B9E">
        <w:rPr>
          <w:iCs/>
          <w:color w:val="auto"/>
          <w:sz w:val="22"/>
          <w:szCs w:val="22"/>
          <w:lang w:val="sk-SK"/>
        </w:rPr>
        <w:t xml:space="preserve">: </w:t>
      </w:r>
      <w:r w:rsidRPr="008C1B9E">
        <w:rPr>
          <w:iCs/>
          <w:color w:val="auto"/>
          <w:sz w:val="22"/>
          <w:szCs w:val="22"/>
          <w:lang w:val="sk-SK"/>
        </w:rPr>
        <w:tab/>
        <w:t xml:space="preserve">zvýšená hladina sodíka v moči, zvýšená hladina chloridov v moči, </w:t>
      </w:r>
      <w:proofErr w:type="spellStart"/>
      <w:r w:rsidRPr="008C1B9E">
        <w:rPr>
          <w:color w:val="auto"/>
          <w:sz w:val="22"/>
          <w:szCs w:val="22"/>
          <w:lang w:val="sk-SK"/>
        </w:rPr>
        <w:t>retencia</w:t>
      </w:r>
      <w:proofErr w:type="spellEnd"/>
      <w:r w:rsidRPr="008C1B9E">
        <w:rPr>
          <w:color w:val="auto"/>
          <w:sz w:val="22"/>
          <w:szCs w:val="22"/>
          <w:lang w:val="sk-SK"/>
        </w:rPr>
        <w:t xml:space="preserve"> moču </w:t>
      </w:r>
      <w:r>
        <w:rPr>
          <w:color w:val="auto"/>
          <w:sz w:val="22"/>
          <w:szCs w:val="22"/>
          <w:lang w:val="sk-SK"/>
        </w:rPr>
        <w:t>(</w:t>
      </w:r>
      <w:r w:rsidRPr="00403306">
        <w:rPr>
          <w:color w:val="auto"/>
          <w:sz w:val="22"/>
          <w:szCs w:val="22"/>
          <w:lang w:val="sk-SK"/>
        </w:rPr>
        <w:t>u pacientov s čiastočnou obštrukciou vylučovania moču (pozri časť 4.4)</w:t>
      </w:r>
      <w:r>
        <w:rPr>
          <w:color w:val="auto"/>
          <w:sz w:val="22"/>
          <w:szCs w:val="22"/>
          <w:lang w:val="sk-SK"/>
        </w:rPr>
        <w:t xml:space="preserve">),  </w:t>
      </w:r>
      <w:proofErr w:type="spellStart"/>
      <w:r w:rsidRPr="008C1B9E">
        <w:rPr>
          <w:color w:val="auto"/>
          <w:sz w:val="22"/>
          <w:szCs w:val="22"/>
          <w:lang w:val="sk-SK"/>
        </w:rPr>
        <w:t>nefrokalcinóza</w:t>
      </w:r>
      <w:proofErr w:type="spellEnd"/>
      <w:r w:rsidRPr="008C1B9E">
        <w:rPr>
          <w:color w:val="auto"/>
          <w:sz w:val="22"/>
          <w:szCs w:val="22"/>
          <w:lang w:val="sk-SK"/>
        </w:rPr>
        <w:t xml:space="preserve"> a/alebo </w:t>
      </w:r>
      <w:proofErr w:type="spellStart"/>
      <w:r w:rsidRPr="008C1B9E">
        <w:rPr>
          <w:color w:val="auto"/>
          <w:sz w:val="22"/>
          <w:szCs w:val="22"/>
          <w:lang w:val="sk-SK"/>
        </w:rPr>
        <w:t>nefrolitiáza</w:t>
      </w:r>
      <w:proofErr w:type="spellEnd"/>
      <w:r w:rsidRPr="008C1B9E">
        <w:rPr>
          <w:color w:val="auto"/>
          <w:sz w:val="22"/>
          <w:szCs w:val="22"/>
          <w:lang w:val="sk-SK"/>
        </w:rPr>
        <w:t xml:space="preserve"> u predčasne narodených detí </w:t>
      </w:r>
      <w:r w:rsidRPr="008C1B9E">
        <w:rPr>
          <w:iCs/>
          <w:color w:val="auto"/>
          <w:sz w:val="22"/>
          <w:szCs w:val="22"/>
          <w:lang w:val="sk-SK"/>
        </w:rPr>
        <w:t>(pozri časť 4.4</w:t>
      </w:r>
      <w:r>
        <w:rPr>
          <w:iCs/>
          <w:color w:val="auto"/>
          <w:sz w:val="22"/>
          <w:szCs w:val="22"/>
          <w:lang w:val="sk-SK"/>
        </w:rPr>
        <w:t>)</w:t>
      </w:r>
      <w:r w:rsidRPr="008C1B9E">
        <w:rPr>
          <w:iCs/>
          <w:color w:val="auto"/>
          <w:sz w:val="22"/>
          <w:szCs w:val="22"/>
          <w:lang w:val="sk-SK"/>
        </w:rPr>
        <w:t>, renálne zlyhanie (pozri časť 4.5)</w:t>
      </w:r>
    </w:p>
    <w:p w14:paraId="3DC76A7D" w14:textId="77777777" w:rsidR="00403306" w:rsidRPr="00D75289" w:rsidRDefault="00403306" w:rsidP="00403306">
      <w:pPr>
        <w:ind w:left="0" w:firstLine="0"/>
        <w:rPr>
          <w:szCs w:val="22"/>
        </w:rPr>
      </w:pPr>
    </w:p>
    <w:p w14:paraId="264D1A8C" w14:textId="77777777" w:rsidR="00403306" w:rsidRPr="00D75289" w:rsidRDefault="00403306" w:rsidP="00403306">
      <w:pPr>
        <w:rPr>
          <w:szCs w:val="22"/>
          <w:u w:val="single"/>
        </w:rPr>
      </w:pPr>
      <w:r>
        <w:rPr>
          <w:szCs w:val="22"/>
          <w:u w:val="single"/>
        </w:rPr>
        <w:t>Tehotenstvo</w:t>
      </w:r>
      <w:r w:rsidRPr="00D75289">
        <w:rPr>
          <w:szCs w:val="22"/>
          <w:u w:val="single"/>
        </w:rPr>
        <w:t xml:space="preserve">, </w:t>
      </w:r>
      <w:proofErr w:type="spellStart"/>
      <w:r w:rsidRPr="00D75289">
        <w:rPr>
          <w:szCs w:val="22"/>
          <w:u w:val="single"/>
        </w:rPr>
        <w:t>puerperium</w:t>
      </w:r>
      <w:proofErr w:type="spellEnd"/>
      <w:r w:rsidRPr="00D75289">
        <w:rPr>
          <w:szCs w:val="22"/>
          <w:u w:val="single"/>
        </w:rPr>
        <w:t xml:space="preserve"> and </w:t>
      </w:r>
      <w:proofErr w:type="spellStart"/>
      <w:r w:rsidRPr="00D75289">
        <w:rPr>
          <w:szCs w:val="22"/>
          <w:u w:val="single"/>
        </w:rPr>
        <w:t>perinat</w:t>
      </w:r>
      <w:r>
        <w:rPr>
          <w:szCs w:val="22"/>
          <w:u w:val="single"/>
        </w:rPr>
        <w:t>álne</w:t>
      </w:r>
      <w:proofErr w:type="spellEnd"/>
      <w:r w:rsidRPr="00D75289">
        <w:rPr>
          <w:szCs w:val="22"/>
          <w:u w:val="single"/>
        </w:rPr>
        <w:t xml:space="preserve"> </w:t>
      </w:r>
      <w:r>
        <w:rPr>
          <w:szCs w:val="22"/>
          <w:u w:val="single"/>
        </w:rPr>
        <w:t>stavy</w:t>
      </w:r>
    </w:p>
    <w:p w14:paraId="77003E3A" w14:textId="77777777" w:rsidR="00403306" w:rsidRPr="00FB0324" w:rsidRDefault="00403306" w:rsidP="00403306">
      <w:pPr>
        <w:pStyle w:val="Default"/>
        <w:ind w:left="1701" w:hanging="1701"/>
        <w:rPr>
          <w:color w:val="auto"/>
          <w:sz w:val="22"/>
          <w:szCs w:val="22"/>
          <w:lang w:val="sk-SK"/>
        </w:rPr>
      </w:pPr>
      <w:r w:rsidRPr="00FB0324">
        <w:rPr>
          <w:i/>
          <w:iCs/>
          <w:color w:val="auto"/>
          <w:sz w:val="22"/>
          <w:szCs w:val="22"/>
          <w:lang w:val="sk-SK"/>
        </w:rPr>
        <w:t>Neznáme</w:t>
      </w:r>
      <w:r w:rsidRPr="00FB0324">
        <w:rPr>
          <w:iCs/>
          <w:color w:val="auto"/>
          <w:sz w:val="22"/>
          <w:szCs w:val="22"/>
          <w:lang w:val="sk-SK"/>
        </w:rPr>
        <w:t>:</w:t>
      </w:r>
      <w:r w:rsidRPr="00FB0324">
        <w:rPr>
          <w:iCs/>
          <w:color w:val="auto"/>
          <w:sz w:val="22"/>
          <w:szCs w:val="22"/>
          <w:lang w:val="sk-SK"/>
        </w:rPr>
        <w:tab/>
        <w:t xml:space="preserve">zvýšené riziko otvoreného </w:t>
      </w:r>
      <w:proofErr w:type="spellStart"/>
      <w:r w:rsidRPr="00FB0324">
        <w:rPr>
          <w:i/>
          <w:iCs/>
          <w:color w:val="auto"/>
          <w:sz w:val="22"/>
          <w:szCs w:val="22"/>
          <w:lang w:val="sk-SK"/>
        </w:rPr>
        <w:t>ductus</w:t>
      </w:r>
      <w:proofErr w:type="spellEnd"/>
      <w:r w:rsidRPr="00FB0324">
        <w:rPr>
          <w:i/>
          <w:iCs/>
          <w:color w:val="auto"/>
          <w:sz w:val="22"/>
          <w:szCs w:val="22"/>
          <w:lang w:val="sk-SK"/>
        </w:rPr>
        <w:t xml:space="preserve"> </w:t>
      </w:r>
      <w:proofErr w:type="spellStart"/>
      <w:r w:rsidRPr="00FB0324">
        <w:rPr>
          <w:i/>
          <w:iCs/>
          <w:color w:val="auto"/>
          <w:sz w:val="22"/>
          <w:szCs w:val="22"/>
          <w:lang w:val="sk-SK"/>
        </w:rPr>
        <w:t>arteriosus</w:t>
      </w:r>
      <w:proofErr w:type="spellEnd"/>
      <w:r w:rsidRPr="00FB0324">
        <w:rPr>
          <w:iCs/>
          <w:color w:val="auto"/>
          <w:sz w:val="22"/>
          <w:szCs w:val="22"/>
          <w:lang w:val="sk-SK"/>
        </w:rPr>
        <w:t xml:space="preserve"> u predčasne narodených detí liečených </w:t>
      </w:r>
      <w:proofErr w:type="spellStart"/>
      <w:r w:rsidRPr="00FB0324">
        <w:rPr>
          <w:iCs/>
          <w:color w:val="auto"/>
          <w:sz w:val="22"/>
          <w:szCs w:val="22"/>
          <w:lang w:val="sk-SK"/>
        </w:rPr>
        <w:t>furosemidom</w:t>
      </w:r>
      <w:proofErr w:type="spellEnd"/>
      <w:r w:rsidRPr="00FB0324">
        <w:rPr>
          <w:iCs/>
          <w:color w:val="auto"/>
          <w:sz w:val="22"/>
          <w:szCs w:val="22"/>
          <w:lang w:val="sk-SK"/>
        </w:rPr>
        <w:t xml:space="preserve"> počas prvých týždňov života</w:t>
      </w:r>
    </w:p>
    <w:p w14:paraId="5F604150" w14:textId="77777777" w:rsidR="00403306" w:rsidRDefault="00403306" w:rsidP="00403306">
      <w:pPr>
        <w:pStyle w:val="Default"/>
        <w:ind w:left="1701" w:hanging="1701"/>
        <w:rPr>
          <w:color w:val="auto"/>
          <w:sz w:val="22"/>
          <w:szCs w:val="22"/>
          <w:lang w:val="sk-SK"/>
        </w:rPr>
      </w:pPr>
    </w:p>
    <w:p w14:paraId="0AB678DA" w14:textId="77777777" w:rsidR="00403306" w:rsidRPr="00FB0324" w:rsidRDefault="00403306" w:rsidP="00403306">
      <w:pPr>
        <w:pStyle w:val="Default"/>
        <w:ind w:left="1701" w:hanging="1701"/>
        <w:rPr>
          <w:color w:val="auto"/>
          <w:sz w:val="22"/>
          <w:szCs w:val="22"/>
          <w:u w:val="single"/>
          <w:lang w:val="pl-PL"/>
        </w:rPr>
      </w:pPr>
      <w:r w:rsidRPr="00FB0324">
        <w:rPr>
          <w:iCs/>
          <w:color w:val="auto"/>
          <w:sz w:val="22"/>
          <w:szCs w:val="22"/>
          <w:u w:val="single"/>
          <w:lang w:val="pl-PL"/>
        </w:rPr>
        <w:t xml:space="preserve">Celkové poruchy a reakcie v mieste podania </w:t>
      </w:r>
    </w:p>
    <w:p w14:paraId="1546EE0F" w14:textId="77777777" w:rsidR="00403306" w:rsidRPr="00FB0324" w:rsidRDefault="00403306" w:rsidP="00403306">
      <w:pPr>
        <w:pStyle w:val="Default"/>
        <w:ind w:left="1701" w:hanging="1701"/>
        <w:rPr>
          <w:color w:val="auto"/>
          <w:sz w:val="22"/>
          <w:szCs w:val="22"/>
          <w:lang w:val="pl-PL"/>
        </w:rPr>
      </w:pPr>
      <w:r w:rsidRPr="00FB0324">
        <w:rPr>
          <w:i/>
          <w:color w:val="auto"/>
          <w:sz w:val="22"/>
          <w:szCs w:val="22"/>
          <w:lang w:val="pl-PL"/>
        </w:rPr>
        <w:t>Zriedkavé:</w:t>
      </w:r>
      <w:r w:rsidRPr="00FB0324">
        <w:rPr>
          <w:color w:val="auto"/>
          <w:sz w:val="22"/>
          <w:szCs w:val="22"/>
          <w:lang w:val="pl-PL"/>
        </w:rPr>
        <w:t xml:space="preserve"> </w:t>
      </w:r>
      <w:r w:rsidRPr="00FB0324">
        <w:rPr>
          <w:color w:val="auto"/>
          <w:sz w:val="22"/>
          <w:szCs w:val="22"/>
          <w:lang w:val="pl-PL"/>
        </w:rPr>
        <w:tab/>
        <w:t>horúčka</w:t>
      </w:r>
    </w:p>
    <w:p w14:paraId="5D276507" w14:textId="77777777" w:rsidR="00780926" w:rsidRPr="003021DE" w:rsidRDefault="00780926" w:rsidP="00403306">
      <w:pPr>
        <w:ind w:left="0" w:firstLine="0"/>
        <w:rPr>
          <w:szCs w:val="22"/>
        </w:rPr>
      </w:pPr>
    </w:p>
    <w:p w14:paraId="4B5BA47E" w14:textId="77777777" w:rsidR="007E5956" w:rsidRPr="003021DE" w:rsidRDefault="00F35CE2" w:rsidP="00B13F68">
      <w:pPr>
        <w:suppressLineNumbers/>
        <w:autoSpaceDE w:val="0"/>
        <w:autoSpaceDN w:val="0"/>
        <w:adjustRightInd w:val="0"/>
        <w:rPr>
          <w:szCs w:val="22"/>
          <w:u w:val="single"/>
        </w:rPr>
      </w:pPr>
      <w:r w:rsidRPr="003021DE">
        <w:rPr>
          <w:noProof/>
          <w:szCs w:val="22"/>
          <w:u w:val="single"/>
        </w:rPr>
        <w:t>Hlásenie podozrení na nežiaduce reakcie</w:t>
      </w:r>
    </w:p>
    <w:p w14:paraId="15C265A5" w14:textId="46B5CD65" w:rsidR="007E5956" w:rsidRPr="003021DE" w:rsidRDefault="00F35CE2" w:rsidP="00B13F68">
      <w:pPr>
        <w:suppressLineNumbers/>
        <w:autoSpaceDE w:val="0"/>
        <w:autoSpaceDN w:val="0"/>
        <w:adjustRightInd w:val="0"/>
        <w:ind w:left="0" w:firstLine="0"/>
        <w:rPr>
          <w:noProof/>
          <w:szCs w:val="22"/>
        </w:rPr>
      </w:pPr>
      <w:r w:rsidRPr="003021DE">
        <w:rPr>
          <w:noProof/>
          <w:szCs w:val="22"/>
        </w:rPr>
        <w:t>Hlásenie podozrení na nežiaduce reakcie po registrácii lieku je dôležité.</w:t>
      </w:r>
      <w:r w:rsidRPr="003021DE">
        <w:rPr>
          <w:szCs w:val="22"/>
        </w:rPr>
        <w:t xml:space="preserve"> </w:t>
      </w:r>
      <w:r w:rsidRPr="003021DE">
        <w:rPr>
          <w:noProof/>
          <w:szCs w:val="22"/>
        </w:rPr>
        <w:t>Umožňuje priebežné monitorovanie pomeru prínosu a rizika lieku.</w:t>
      </w:r>
      <w:r w:rsidRPr="003021DE">
        <w:rPr>
          <w:szCs w:val="22"/>
        </w:rPr>
        <w:t xml:space="preserve"> Od </w:t>
      </w:r>
      <w:r w:rsidRPr="003021DE">
        <w:rPr>
          <w:noProof/>
          <w:szCs w:val="22"/>
        </w:rPr>
        <w:t xml:space="preserve">zdravotníckych pracovníkov sa vyžaduje, aby hlásili akékoľvek podozrenia na nežiaduce reakcie </w:t>
      </w:r>
      <w:r w:rsidR="00F66A28">
        <w:rPr>
          <w:noProof/>
          <w:szCs w:val="22"/>
        </w:rPr>
        <w:t>na</w:t>
      </w:r>
      <w:r w:rsidR="00F66A28" w:rsidRPr="003021DE">
        <w:rPr>
          <w:noProof/>
          <w:szCs w:val="22"/>
        </w:rPr>
        <w:t xml:space="preserve"> </w:t>
      </w:r>
      <w:r w:rsidRPr="00B13F68">
        <w:rPr>
          <w:noProof/>
          <w:szCs w:val="22"/>
          <w:highlight w:val="lightGray"/>
        </w:rPr>
        <w:t xml:space="preserve">národné </w:t>
      </w:r>
      <w:r w:rsidR="00F66A28">
        <w:rPr>
          <w:noProof/>
          <w:szCs w:val="22"/>
          <w:highlight w:val="lightGray"/>
        </w:rPr>
        <w:t>centrum</w:t>
      </w:r>
      <w:r w:rsidR="00F66A28" w:rsidRPr="00B13F68">
        <w:rPr>
          <w:noProof/>
          <w:szCs w:val="22"/>
          <w:highlight w:val="lightGray"/>
        </w:rPr>
        <w:t xml:space="preserve"> </w:t>
      </w:r>
      <w:r w:rsidRPr="00B13F68">
        <w:rPr>
          <w:noProof/>
          <w:szCs w:val="22"/>
          <w:highlight w:val="lightGray"/>
        </w:rPr>
        <w:t>hlásenia uvedené v </w:t>
      </w:r>
      <w:hyperlink r:id="rId7" w:history="1">
        <w:r w:rsidRPr="00B13F68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="00BB6D67" w:rsidRPr="003021DE">
        <w:rPr>
          <w:noProof/>
          <w:szCs w:val="22"/>
        </w:rPr>
        <w:t>.</w:t>
      </w:r>
    </w:p>
    <w:p w14:paraId="5DC225AF" w14:textId="77777777" w:rsidR="007E5956" w:rsidRPr="003021DE" w:rsidRDefault="007E5956" w:rsidP="00E41B3F">
      <w:pPr>
        <w:rPr>
          <w:szCs w:val="22"/>
        </w:rPr>
      </w:pPr>
    </w:p>
    <w:p w14:paraId="7C2C93FF" w14:textId="77777777" w:rsidR="00780926" w:rsidRPr="003021DE" w:rsidRDefault="00F35CE2" w:rsidP="00223E9F">
      <w:pPr>
        <w:keepNext/>
        <w:rPr>
          <w:szCs w:val="22"/>
        </w:rPr>
      </w:pPr>
      <w:r w:rsidRPr="003021DE">
        <w:rPr>
          <w:b/>
          <w:szCs w:val="22"/>
        </w:rPr>
        <w:t>4.9</w:t>
      </w:r>
      <w:r w:rsidRPr="003021DE">
        <w:rPr>
          <w:b/>
          <w:szCs w:val="22"/>
        </w:rPr>
        <w:tab/>
        <w:t>Predávkovanie</w:t>
      </w:r>
    </w:p>
    <w:p w14:paraId="55368D47" w14:textId="77777777" w:rsidR="00780926" w:rsidRPr="003021DE" w:rsidRDefault="00780926" w:rsidP="00223E9F">
      <w:pPr>
        <w:keepNext/>
        <w:rPr>
          <w:szCs w:val="22"/>
        </w:rPr>
      </w:pPr>
    </w:p>
    <w:p w14:paraId="28D6CF83" w14:textId="77777777" w:rsidR="00403306" w:rsidRPr="00F83FA7" w:rsidRDefault="00403306" w:rsidP="00403306">
      <w:pPr>
        <w:tabs>
          <w:tab w:val="left" w:pos="540"/>
          <w:tab w:val="left" w:pos="8505"/>
        </w:tabs>
        <w:ind w:left="0" w:firstLine="0"/>
        <w:rPr>
          <w:szCs w:val="22"/>
          <w:u w:val="single"/>
        </w:rPr>
      </w:pPr>
      <w:r w:rsidRPr="00F83FA7">
        <w:rPr>
          <w:szCs w:val="22"/>
          <w:u w:val="single"/>
        </w:rPr>
        <w:t>Príznaky predávkovania</w:t>
      </w:r>
    </w:p>
    <w:p w14:paraId="53E38B96" w14:textId="4A8E824E" w:rsidR="00780926" w:rsidRDefault="00403306" w:rsidP="00403306">
      <w:pPr>
        <w:ind w:left="0" w:firstLine="0"/>
        <w:rPr>
          <w:szCs w:val="22"/>
        </w:rPr>
      </w:pPr>
      <w:r w:rsidRPr="00691B63">
        <w:rPr>
          <w:szCs w:val="22"/>
        </w:rPr>
        <w:t>Klinický obraz akútneho</w:t>
      </w:r>
      <w:r>
        <w:rPr>
          <w:szCs w:val="22"/>
        </w:rPr>
        <w:t xml:space="preserve"> </w:t>
      </w:r>
      <w:r w:rsidRPr="00691B63">
        <w:rPr>
          <w:szCs w:val="22"/>
        </w:rPr>
        <w:t>alebo chronického predávkovania závisí od rozsahu straty vody a elektrolytov</w:t>
      </w:r>
      <w:r w:rsidRPr="003021DE">
        <w:rPr>
          <w:szCs w:val="22"/>
        </w:rPr>
        <w:t xml:space="preserve"> </w:t>
      </w:r>
      <w:r>
        <w:rPr>
          <w:szCs w:val="22"/>
        </w:rPr>
        <w:t xml:space="preserve">(napr. </w:t>
      </w:r>
      <w:proofErr w:type="spellStart"/>
      <w:r w:rsidR="008B329A">
        <w:rPr>
          <w:szCs w:val="22"/>
        </w:rPr>
        <w:t>hypovolémia</w:t>
      </w:r>
      <w:proofErr w:type="spellEnd"/>
      <w:r w:rsidR="008B329A">
        <w:rPr>
          <w:szCs w:val="22"/>
        </w:rPr>
        <w:t xml:space="preserve">, dehydratácia, </w:t>
      </w:r>
      <w:proofErr w:type="spellStart"/>
      <w:r w:rsidR="008B329A">
        <w:rPr>
          <w:szCs w:val="22"/>
        </w:rPr>
        <w:t>hemokoncentrácia</w:t>
      </w:r>
      <w:proofErr w:type="spellEnd"/>
      <w:r w:rsidR="008B329A">
        <w:rPr>
          <w:szCs w:val="22"/>
        </w:rPr>
        <w:t xml:space="preserve">, srdcová </w:t>
      </w:r>
      <w:proofErr w:type="spellStart"/>
      <w:r w:rsidR="008B329A">
        <w:rPr>
          <w:szCs w:val="22"/>
        </w:rPr>
        <w:t>arytmia</w:t>
      </w:r>
      <w:proofErr w:type="spellEnd"/>
      <w:r w:rsidR="008B329A">
        <w:rPr>
          <w:szCs w:val="22"/>
        </w:rPr>
        <w:t xml:space="preserve"> vrátane </w:t>
      </w:r>
      <w:proofErr w:type="spellStart"/>
      <w:r w:rsidR="008B329A">
        <w:rPr>
          <w:szCs w:val="22"/>
        </w:rPr>
        <w:t>a</w:t>
      </w:r>
      <w:r w:rsidR="008B329A" w:rsidRPr="008B329A">
        <w:rPr>
          <w:szCs w:val="22"/>
        </w:rPr>
        <w:t>trioventrikulárn</w:t>
      </w:r>
      <w:r w:rsidR="008B329A">
        <w:rPr>
          <w:szCs w:val="22"/>
        </w:rPr>
        <w:t>ej</w:t>
      </w:r>
      <w:proofErr w:type="spellEnd"/>
      <w:r w:rsidR="008B329A" w:rsidRPr="008B329A">
        <w:rPr>
          <w:szCs w:val="22"/>
        </w:rPr>
        <w:t xml:space="preserve"> blokád</w:t>
      </w:r>
      <w:r w:rsidR="008B329A">
        <w:rPr>
          <w:szCs w:val="22"/>
        </w:rPr>
        <w:t>y a </w:t>
      </w:r>
      <w:proofErr w:type="spellStart"/>
      <w:r w:rsidR="008B329A">
        <w:rPr>
          <w:szCs w:val="22"/>
        </w:rPr>
        <w:t>fibrilácie</w:t>
      </w:r>
      <w:proofErr w:type="spellEnd"/>
      <w:r w:rsidR="008B329A">
        <w:rPr>
          <w:szCs w:val="22"/>
        </w:rPr>
        <w:t xml:space="preserve"> komôr).</w:t>
      </w:r>
      <w:r w:rsidR="00480E7C">
        <w:rPr>
          <w:szCs w:val="22"/>
        </w:rPr>
        <w:t xml:space="preserve"> </w:t>
      </w:r>
      <w:r w:rsidR="00480E7C" w:rsidRPr="00480E7C">
        <w:rPr>
          <w:szCs w:val="22"/>
        </w:rPr>
        <w:t xml:space="preserve">Medzi </w:t>
      </w:r>
      <w:r w:rsidR="00480E7C">
        <w:rPr>
          <w:szCs w:val="22"/>
        </w:rPr>
        <w:t>symptómy</w:t>
      </w:r>
      <w:r w:rsidR="00480E7C" w:rsidRPr="00480E7C">
        <w:rPr>
          <w:szCs w:val="22"/>
        </w:rPr>
        <w:t xml:space="preserve"> týchto zmien patrí: ťažká hypotenzia (a progresia</w:t>
      </w:r>
      <w:r w:rsidR="0032560F">
        <w:rPr>
          <w:szCs w:val="22"/>
        </w:rPr>
        <w:t xml:space="preserve"> do</w:t>
      </w:r>
      <w:r w:rsidR="00480E7C" w:rsidRPr="00480E7C">
        <w:rPr>
          <w:szCs w:val="22"/>
        </w:rPr>
        <w:t xml:space="preserve"> šoku), akútne zlyhanie obličiek, trombóza, </w:t>
      </w:r>
      <w:r w:rsidR="00480E7C">
        <w:rPr>
          <w:szCs w:val="22"/>
        </w:rPr>
        <w:t>delíriové</w:t>
      </w:r>
      <w:r w:rsidR="00480E7C" w:rsidRPr="00480E7C">
        <w:rPr>
          <w:szCs w:val="22"/>
        </w:rPr>
        <w:t xml:space="preserve"> stavy, </w:t>
      </w:r>
      <w:proofErr w:type="spellStart"/>
      <w:r w:rsidR="0032560F">
        <w:rPr>
          <w:szCs w:val="22"/>
        </w:rPr>
        <w:t>flacidná</w:t>
      </w:r>
      <w:proofErr w:type="spellEnd"/>
      <w:r w:rsidR="0032560F">
        <w:rPr>
          <w:szCs w:val="22"/>
        </w:rPr>
        <w:t xml:space="preserve"> paralýza</w:t>
      </w:r>
      <w:r w:rsidR="00480E7C" w:rsidRPr="00480E7C">
        <w:rPr>
          <w:szCs w:val="22"/>
        </w:rPr>
        <w:t>, apatia a zmätenosť.</w:t>
      </w:r>
    </w:p>
    <w:p w14:paraId="5B6EDFC5" w14:textId="77777777" w:rsidR="00480E7C" w:rsidRDefault="00480E7C" w:rsidP="00403306">
      <w:pPr>
        <w:ind w:left="0" w:firstLine="0"/>
        <w:rPr>
          <w:szCs w:val="22"/>
        </w:rPr>
      </w:pPr>
    </w:p>
    <w:p w14:paraId="478B6015" w14:textId="77777777" w:rsidR="00D27695" w:rsidRPr="00D27695" w:rsidRDefault="00D27695" w:rsidP="00403306">
      <w:pPr>
        <w:ind w:left="0" w:firstLine="0"/>
        <w:rPr>
          <w:szCs w:val="22"/>
          <w:u w:val="single"/>
        </w:rPr>
      </w:pPr>
      <w:r w:rsidRPr="00D27695">
        <w:rPr>
          <w:szCs w:val="22"/>
          <w:u w:val="single"/>
        </w:rPr>
        <w:t>Liečba</w:t>
      </w:r>
    </w:p>
    <w:p w14:paraId="48F1E576" w14:textId="0F867025" w:rsidR="00480E7C" w:rsidRDefault="00D27695" w:rsidP="00403306">
      <w:pPr>
        <w:ind w:left="0" w:firstLine="0"/>
        <w:rPr>
          <w:szCs w:val="22"/>
        </w:rPr>
      </w:pPr>
      <w:r w:rsidRPr="00D27695">
        <w:rPr>
          <w:szCs w:val="22"/>
        </w:rPr>
        <w:t xml:space="preserve">Špecifické </w:t>
      </w:r>
      <w:proofErr w:type="spellStart"/>
      <w:r w:rsidRPr="00D27695">
        <w:rPr>
          <w:szCs w:val="22"/>
        </w:rPr>
        <w:t>antidotum</w:t>
      </w:r>
      <w:proofErr w:type="spellEnd"/>
      <w:r w:rsidRPr="00D27695">
        <w:rPr>
          <w:szCs w:val="22"/>
        </w:rPr>
        <w:t xml:space="preserve"> </w:t>
      </w:r>
      <w:proofErr w:type="spellStart"/>
      <w:r w:rsidRPr="00D27695">
        <w:rPr>
          <w:szCs w:val="22"/>
        </w:rPr>
        <w:t>furosemid</w:t>
      </w:r>
      <w:r w:rsidR="0032560F">
        <w:rPr>
          <w:szCs w:val="22"/>
        </w:rPr>
        <w:t>u</w:t>
      </w:r>
      <w:proofErr w:type="spellEnd"/>
      <w:r w:rsidRPr="00D27695">
        <w:rPr>
          <w:szCs w:val="22"/>
        </w:rPr>
        <w:t xml:space="preserve"> nie je známe. Ak </w:t>
      </w:r>
      <w:r>
        <w:rPr>
          <w:szCs w:val="22"/>
        </w:rPr>
        <w:t>od</w:t>
      </w:r>
      <w:r w:rsidRPr="00D27695">
        <w:rPr>
          <w:szCs w:val="22"/>
        </w:rPr>
        <w:t xml:space="preserve"> </w:t>
      </w:r>
      <w:r>
        <w:rPr>
          <w:szCs w:val="22"/>
        </w:rPr>
        <w:t>užitia uplynul iba krátky čas</w:t>
      </w:r>
      <w:r w:rsidRPr="00D27695">
        <w:rPr>
          <w:szCs w:val="22"/>
        </w:rPr>
        <w:t xml:space="preserve">, je možné pokúsiť sa obmedziť rozsiahlejšiu systémovú absorpciu </w:t>
      </w:r>
      <w:r w:rsidR="0032560F">
        <w:rPr>
          <w:szCs w:val="22"/>
        </w:rPr>
        <w:t>liečiva</w:t>
      </w:r>
      <w:r w:rsidRPr="00D27695">
        <w:rPr>
          <w:szCs w:val="22"/>
        </w:rPr>
        <w:t xml:space="preserve"> pomocou opatrení, ako je </w:t>
      </w:r>
      <w:proofErr w:type="spellStart"/>
      <w:r w:rsidR="0032560F">
        <w:rPr>
          <w:szCs w:val="22"/>
        </w:rPr>
        <w:t>gastrická</w:t>
      </w:r>
      <w:proofErr w:type="spellEnd"/>
      <w:r w:rsidR="0032560F">
        <w:rPr>
          <w:szCs w:val="22"/>
        </w:rPr>
        <w:t xml:space="preserve"> </w:t>
      </w:r>
      <w:proofErr w:type="spellStart"/>
      <w:r w:rsidR="0032560F">
        <w:rPr>
          <w:szCs w:val="22"/>
        </w:rPr>
        <w:t>laváž</w:t>
      </w:r>
      <w:proofErr w:type="spellEnd"/>
      <w:r w:rsidRPr="00D27695">
        <w:rPr>
          <w:szCs w:val="22"/>
        </w:rPr>
        <w:t xml:space="preserve"> alebo iné, ktoré sú určené na zníženie absorpcie (napr. </w:t>
      </w:r>
      <w:r>
        <w:rPr>
          <w:szCs w:val="22"/>
        </w:rPr>
        <w:t>p</w:t>
      </w:r>
      <w:r w:rsidRPr="00D27695">
        <w:rPr>
          <w:szCs w:val="22"/>
        </w:rPr>
        <w:t>oužitie aktívneho uhlia).</w:t>
      </w:r>
    </w:p>
    <w:p w14:paraId="02FCC5EC" w14:textId="77777777" w:rsidR="00D27695" w:rsidRDefault="00D27695" w:rsidP="00403306">
      <w:pPr>
        <w:ind w:left="0" w:firstLine="0"/>
        <w:rPr>
          <w:szCs w:val="22"/>
        </w:rPr>
      </w:pPr>
    </w:p>
    <w:p w14:paraId="3641B159" w14:textId="403058F1" w:rsidR="00D27695" w:rsidRDefault="00D3239E" w:rsidP="00403306">
      <w:pPr>
        <w:ind w:left="0" w:firstLine="0"/>
        <w:rPr>
          <w:szCs w:val="22"/>
        </w:rPr>
      </w:pPr>
      <w:r>
        <w:rPr>
          <w:szCs w:val="22"/>
        </w:rPr>
        <w:lastRenderedPageBreak/>
        <w:t>K</w:t>
      </w:r>
      <w:r w:rsidR="00D27695" w:rsidRPr="00D27695">
        <w:rPr>
          <w:szCs w:val="22"/>
        </w:rPr>
        <w:t>linicky relevantn</w:t>
      </w:r>
      <w:r>
        <w:rPr>
          <w:szCs w:val="22"/>
        </w:rPr>
        <w:t>é zmeny</w:t>
      </w:r>
      <w:r w:rsidR="00D27695" w:rsidRPr="00D27695">
        <w:rPr>
          <w:szCs w:val="22"/>
        </w:rPr>
        <w:t xml:space="preserve"> rovnováh</w:t>
      </w:r>
      <w:r>
        <w:rPr>
          <w:szCs w:val="22"/>
        </w:rPr>
        <w:t>y</w:t>
      </w:r>
      <w:r w:rsidR="00D27695" w:rsidRPr="00D27695">
        <w:rPr>
          <w:szCs w:val="22"/>
        </w:rPr>
        <w:t xml:space="preserve"> </w:t>
      </w:r>
      <w:r>
        <w:rPr>
          <w:szCs w:val="22"/>
        </w:rPr>
        <w:t>vody a</w:t>
      </w:r>
      <w:r w:rsidR="00683731">
        <w:rPr>
          <w:szCs w:val="22"/>
        </w:rPr>
        <w:t xml:space="preserve"> </w:t>
      </w:r>
      <w:r w:rsidR="00D27695" w:rsidRPr="00D27695">
        <w:rPr>
          <w:szCs w:val="22"/>
        </w:rPr>
        <w:t xml:space="preserve">elektrolytov musia byť </w:t>
      </w:r>
      <w:r w:rsidR="00D27695">
        <w:rPr>
          <w:szCs w:val="22"/>
        </w:rPr>
        <w:t>u</w:t>
      </w:r>
      <w:r w:rsidR="00D27695" w:rsidRPr="00D27695">
        <w:rPr>
          <w:szCs w:val="22"/>
        </w:rPr>
        <w:t>pravené. V spojení s prevenciou a liečením závažných komplikácií vznikajúcich v dôsledku nerovnováhy a iných účinkov na organizmus</w:t>
      </w:r>
      <w:r w:rsidR="00D27695">
        <w:rPr>
          <w:szCs w:val="22"/>
        </w:rPr>
        <w:t>,</w:t>
      </w:r>
      <w:r w:rsidR="00D27695" w:rsidRPr="00D27695">
        <w:rPr>
          <w:szCs w:val="22"/>
        </w:rPr>
        <w:t xml:space="preserve">  t</w:t>
      </w:r>
      <w:r w:rsidR="00D27695">
        <w:rPr>
          <w:szCs w:val="22"/>
        </w:rPr>
        <w:t>ieto</w:t>
      </w:r>
      <w:r w:rsidR="00D27695" w:rsidRPr="00D27695">
        <w:rPr>
          <w:szCs w:val="22"/>
        </w:rPr>
        <w:t xml:space="preserve"> nápravné opatreni</w:t>
      </w:r>
      <w:r w:rsidR="00D27695">
        <w:rPr>
          <w:szCs w:val="22"/>
        </w:rPr>
        <w:t>a</w:t>
      </w:r>
      <w:r w:rsidR="00D27695" w:rsidRPr="00D27695">
        <w:rPr>
          <w:szCs w:val="22"/>
        </w:rPr>
        <w:t xml:space="preserve"> môž</w:t>
      </w:r>
      <w:r w:rsidR="00AE2D79">
        <w:rPr>
          <w:szCs w:val="22"/>
        </w:rPr>
        <w:t>u</w:t>
      </w:r>
      <w:r w:rsidR="00D27695" w:rsidRPr="00D27695">
        <w:rPr>
          <w:szCs w:val="22"/>
        </w:rPr>
        <w:t xml:space="preserve"> vyžadovať intenzívne všeobecné a špecifické lekárske sledovanie, ako aj terapeutické opatrenia.</w:t>
      </w:r>
    </w:p>
    <w:p w14:paraId="113D692C" w14:textId="77777777" w:rsidR="00E00D8F" w:rsidRPr="003021DE" w:rsidRDefault="00E00D8F" w:rsidP="00403306">
      <w:pPr>
        <w:ind w:left="0" w:firstLine="0"/>
        <w:rPr>
          <w:szCs w:val="22"/>
        </w:rPr>
      </w:pPr>
    </w:p>
    <w:p w14:paraId="7BF86C30" w14:textId="77777777" w:rsidR="00780926" w:rsidRPr="003021DE" w:rsidRDefault="00780926" w:rsidP="00E41B3F">
      <w:pPr>
        <w:rPr>
          <w:szCs w:val="22"/>
        </w:rPr>
      </w:pPr>
    </w:p>
    <w:p w14:paraId="045B57EA" w14:textId="77777777" w:rsidR="00780926" w:rsidRPr="003021DE" w:rsidRDefault="00F35CE2" w:rsidP="00E41B3F">
      <w:pPr>
        <w:rPr>
          <w:szCs w:val="22"/>
        </w:rPr>
      </w:pPr>
      <w:r w:rsidRPr="003021DE">
        <w:rPr>
          <w:b/>
          <w:szCs w:val="22"/>
        </w:rPr>
        <w:t>5.</w:t>
      </w:r>
      <w:r w:rsidRPr="003021DE">
        <w:rPr>
          <w:b/>
          <w:szCs w:val="22"/>
        </w:rPr>
        <w:tab/>
        <w:t>FARMAKOLOGICKÉ VLASTNOSTI</w:t>
      </w:r>
    </w:p>
    <w:p w14:paraId="3F4863D4" w14:textId="77777777" w:rsidR="00780926" w:rsidRPr="003021DE" w:rsidRDefault="00780926" w:rsidP="00E41B3F">
      <w:pPr>
        <w:rPr>
          <w:bCs/>
          <w:szCs w:val="22"/>
        </w:rPr>
      </w:pPr>
    </w:p>
    <w:p w14:paraId="572AA237" w14:textId="77777777" w:rsidR="00780926" w:rsidRPr="003021DE" w:rsidRDefault="00F35CE2" w:rsidP="00E41B3F">
      <w:pPr>
        <w:rPr>
          <w:szCs w:val="22"/>
        </w:rPr>
      </w:pPr>
      <w:r w:rsidRPr="003021DE">
        <w:rPr>
          <w:b/>
          <w:szCs w:val="22"/>
        </w:rPr>
        <w:t>5.1</w:t>
      </w:r>
      <w:r w:rsidRPr="003021DE">
        <w:rPr>
          <w:b/>
          <w:szCs w:val="22"/>
        </w:rPr>
        <w:tab/>
        <w:t>Farmakodynamické vlastnosti</w:t>
      </w:r>
    </w:p>
    <w:p w14:paraId="199E0EE5" w14:textId="77777777" w:rsidR="00780926" w:rsidRPr="003021DE" w:rsidRDefault="00780926" w:rsidP="00E41B3F">
      <w:pPr>
        <w:rPr>
          <w:szCs w:val="22"/>
        </w:rPr>
      </w:pPr>
    </w:p>
    <w:p w14:paraId="5FAE24C8" w14:textId="77777777" w:rsidR="00780926" w:rsidRDefault="00F35CE2" w:rsidP="00E41B3F">
      <w:pPr>
        <w:outlineLvl w:val="0"/>
        <w:rPr>
          <w:szCs w:val="22"/>
        </w:rPr>
      </w:pPr>
      <w:proofErr w:type="spellStart"/>
      <w:r w:rsidRPr="003021DE">
        <w:rPr>
          <w:szCs w:val="22"/>
        </w:rPr>
        <w:t>Farmakoterapeutická</w:t>
      </w:r>
      <w:proofErr w:type="spellEnd"/>
      <w:r w:rsidRPr="003021DE">
        <w:rPr>
          <w:szCs w:val="22"/>
        </w:rPr>
        <w:t xml:space="preserve"> skupina: </w:t>
      </w:r>
      <w:r w:rsidR="00E00D8F">
        <w:rPr>
          <w:szCs w:val="22"/>
        </w:rPr>
        <w:t>diuretiká, sulfónamidy samotné</w:t>
      </w:r>
    </w:p>
    <w:p w14:paraId="36C5F256" w14:textId="77777777" w:rsidR="00E00D8F" w:rsidRPr="003B1BEA" w:rsidRDefault="00E00D8F" w:rsidP="00E00D8F">
      <w:pPr>
        <w:jc w:val="both"/>
        <w:rPr>
          <w:szCs w:val="22"/>
        </w:rPr>
      </w:pPr>
      <w:r w:rsidRPr="005A327D">
        <w:rPr>
          <w:szCs w:val="22"/>
        </w:rPr>
        <w:t>ATC kód:</w:t>
      </w:r>
      <w:r>
        <w:rPr>
          <w:szCs w:val="22"/>
        </w:rPr>
        <w:t xml:space="preserve"> </w:t>
      </w:r>
      <w:r w:rsidRPr="003B1BEA">
        <w:rPr>
          <w:szCs w:val="22"/>
        </w:rPr>
        <w:t>C03CA01</w:t>
      </w:r>
    </w:p>
    <w:p w14:paraId="62EE9360" w14:textId="77777777" w:rsidR="00E00D8F" w:rsidRDefault="00E00D8F" w:rsidP="00E41B3F">
      <w:pPr>
        <w:outlineLvl w:val="0"/>
        <w:rPr>
          <w:szCs w:val="22"/>
        </w:rPr>
      </w:pPr>
    </w:p>
    <w:p w14:paraId="7598A44F" w14:textId="77777777" w:rsidR="00E00D8F" w:rsidRDefault="00E00D8F" w:rsidP="00E41B3F">
      <w:pPr>
        <w:outlineLvl w:val="0"/>
        <w:rPr>
          <w:szCs w:val="22"/>
          <w:u w:val="single"/>
        </w:rPr>
      </w:pPr>
      <w:r w:rsidRPr="00E00D8F">
        <w:rPr>
          <w:szCs w:val="22"/>
          <w:u w:val="single"/>
        </w:rPr>
        <w:t>Mechanizmus účinku</w:t>
      </w:r>
    </w:p>
    <w:p w14:paraId="7BE4741D" w14:textId="68B49DA4" w:rsidR="00E00D8F" w:rsidRDefault="00E00D8F" w:rsidP="00BC42E1">
      <w:pPr>
        <w:ind w:left="0" w:firstLine="0"/>
        <w:outlineLvl w:val="0"/>
        <w:rPr>
          <w:szCs w:val="22"/>
        </w:rPr>
      </w:pPr>
      <w:proofErr w:type="spellStart"/>
      <w:r w:rsidRPr="00E00D8F">
        <w:rPr>
          <w:szCs w:val="22"/>
        </w:rPr>
        <w:t>Furosemid</w:t>
      </w:r>
      <w:proofErr w:type="spellEnd"/>
      <w:r w:rsidRPr="00E00D8F">
        <w:rPr>
          <w:szCs w:val="22"/>
        </w:rPr>
        <w:t xml:space="preserve"> </w:t>
      </w:r>
      <w:proofErr w:type="spellStart"/>
      <w:r w:rsidRPr="00E00D8F">
        <w:rPr>
          <w:szCs w:val="22"/>
        </w:rPr>
        <w:t>Medreg</w:t>
      </w:r>
      <w:proofErr w:type="spellEnd"/>
      <w:r w:rsidR="000C3E07">
        <w:rPr>
          <w:szCs w:val="22"/>
        </w:rPr>
        <w:t xml:space="preserve">, s obsahom liečiva </w:t>
      </w:r>
      <w:proofErr w:type="spellStart"/>
      <w:r w:rsidR="000C3E07">
        <w:rPr>
          <w:szCs w:val="22"/>
        </w:rPr>
        <w:t>furosemid</w:t>
      </w:r>
      <w:proofErr w:type="spellEnd"/>
      <w:r w:rsidR="000C3E07">
        <w:rPr>
          <w:szCs w:val="22"/>
        </w:rPr>
        <w:t>,</w:t>
      </w:r>
      <w:r>
        <w:rPr>
          <w:szCs w:val="22"/>
        </w:rPr>
        <w:t xml:space="preserve"> </w:t>
      </w:r>
      <w:r w:rsidR="0031669D">
        <w:rPr>
          <w:szCs w:val="22"/>
        </w:rPr>
        <w:t xml:space="preserve">je silné </w:t>
      </w:r>
      <w:proofErr w:type="spellStart"/>
      <w:r w:rsidR="0031669D">
        <w:rPr>
          <w:szCs w:val="22"/>
        </w:rPr>
        <w:t>kľučkové</w:t>
      </w:r>
      <w:proofErr w:type="spellEnd"/>
      <w:r w:rsidR="0031669D">
        <w:rPr>
          <w:szCs w:val="22"/>
        </w:rPr>
        <w:t xml:space="preserve"> diuretikum s relatívne rýchlym nástupom účinku. </w:t>
      </w:r>
      <w:r w:rsidR="0031669D" w:rsidRPr="00FD515D">
        <w:rPr>
          <w:szCs w:val="22"/>
        </w:rPr>
        <w:t xml:space="preserve">Z farmakologického hľadiska </w:t>
      </w:r>
      <w:proofErr w:type="spellStart"/>
      <w:r w:rsidR="0031669D" w:rsidRPr="00FD515D">
        <w:rPr>
          <w:szCs w:val="22"/>
        </w:rPr>
        <w:t>furosemid</w:t>
      </w:r>
      <w:proofErr w:type="spellEnd"/>
      <w:r w:rsidR="0031669D" w:rsidRPr="00FD515D">
        <w:rPr>
          <w:szCs w:val="22"/>
        </w:rPr>
        <w:t xml:space="preserve"> </w:t>
      </w:r>
      <w:proofErr w:type="spellStart"/>
      <w:r w:rsidR="0031669D" w:rsidRPr="00FD515D">
        <w:rPr>
          <w:szCs w:val="22"/>
        </w:rPr>
        <w:t>inhibuje</w:t>
      </w:r>
      <w:proofErr w:type="spellEnd"/>
      <w:r w:rsidR="0031669D" w:rsidRPr="00FD515D">
        <w:rPr>
          <w:szCs w:val="22"/>
        </w:rPr>
        <w:t xml:space="preserve"> </w:t>
      </w:r>
      <w:proofErr w:type="spellStart"/>
      <w:r w:rsidR="0031669D" w:rsidRPr="00FD515D">
        <w:rPr>
          <w:szCs w:val="22"/>
        </w:rPr>
        <w:t>kotransportný</w:t>
      </w:r>
      <w:proofErr w:type="spellEnd"/>
      <w:r w:rsidR="0031669D" w:rsidRPr="00FD515D">
        <w:rPr>
          <w:szCs w:val="22"/>
        </w:rPr>
        <w:t xml:space="preserve"> systém (</w:t>
      </w:r>
      <w:proofErr w:type="spellStart"/>
      <w:r w:rsidR="0031669D" w:rsidRPr="00FD515D">
        <w:rPr>
          <w:szCs w:val="22"/>
        </w:rPr>
        <w:t>reabsorpciu</w:t>
      </w:r>
      <w:proofErr w:type="spellEnd"/>
      <w:r w:rsidR="0031669D" w:rsidRPr="00FD515D">
        <w:rPr>
          <w:szCs w:val="22"/>
        </w:rPr>
        <w:t>) elektrolytov Na</w:t>
      </w:r>
      <w:r w:rsidR="0031669D" w:rsidRPr="003C6C26">
        <w:rPr>
          <w:szCs w:val="22"/>
          <w:vertAlign w:val="superscript"/>
        </w:rPr>
        <w:t>+</w:t>
      </w:r>
      <w:r w:rsidR="0031669D" w:rsidRPr="00FD515D">
        <w:rPr>
          <w:szCs w:val="22"/>
        </w:rPr>
        <w:t>, K</w:t>
      </w:r>
      <w:r w:rsidR="0031669D" w:rsidRPr="003C6C26">
        <w:rPr>
          <w:szCs w:val="22"/>
          <w:vertAlign w:val="superscript"/>
        </w:rPr>
        <w:t>+</w:t>
      </w:r>
      <w:r w:rsidR="0031669D" w:rsidRPr="00FD515D">
        <w:rPr>
          <w:szCs w:val="22"/>
        </w:rPr>
        <w:t> a 2Cl</w:t>
      </w:r>
      <w:r w:rsidR="0031669D" w:rsidRPr="003C6C26">
        <w:rPr>
          <w:szCs w:val="22"/>
          <w:vertAlign w:val="superscript"/>
        </w:rPr>
        <w:t xml:space="preserve">- </w:t>
      </w:r>
      <w:r w:rsidR="0031669D" w:rsidRPr="00FD515D">
        <w:rPr>
          <w:szCs w:val="22"/>
        </w:rPr>
        <w:t xml:space="preserve">, ktorý je lokalizovaný na membráne </w:t>
      </w:r>
      <w:proofErr w:type="spellStart"/>
      <w:r w:rsidR="0031669D" w:rsidRPr="00FD515D">
        <w:rPr>
          <w:szCs w:val="22"/>
        </w:rPr>
        <w:t>luminálnej</w:t>
      </w:r>
      <w:proofErr w:type="spellEnd"/>
      <w:r w:rsidR="0031669D" w:rsidRPr="00FD515D">
        <w:rPr>
          <w:szCs w:val="22"/>
        </w:rPr>
        <w:t xml:space="preserve"> bunky </w:t>
      </w:r>
      <w:r w:rsidR="0031669D">
        <w:rPr>
          <w:szCs w:val="22"/>
        </w:rPr>
        <w:t xml:space="preserve">v ascendentnom </w:t>
      </w:r>
      <w:r w:rsidR="0031669D" w:rsidRPr="00FD515D">
        <w:rPr>
          <w:szCs w:val="22"/>
        </w:rPr>
        <w:t xml:space="preserve">ramienku </w:t>
      </w:r>
      <w:proofErr w:type="spellStart"/>
      <w:r w:rsidR="0031669D" w:rsidRPr="00FD515D">
        <w:rPr>
          <w:szCs w:val="22"/>
        </w:rPr>
        <w:t>Henleho</w:t>
      </w:r>
      <w:proofErr w:type="spellEnd"/>
      <w:r w:rsidR="0031669D" w:rsidRPr="00FD515D">
        <w:rPr>
          <w:szCs w:val="22"/>
        </w:rPr>
        <w:t xml:space="preserve"> kľučky.</w:t>
      </w:r>
      <w:r w:rsidR="0031669D">
        <w:rPr>
          <w:szCs w:val="22"/>
        </w:rPr>
        <w:t xml:space="preserve"> </w:t>
      </w:r>
      <w:r w:rsidR="0031669D" w:rsidRPr="00FD515D">
        <w:rPr>
          <w:szCs w:val="22"/>
        </w:rPr>
        <w:t xml:space="preserve">V dôsledku toho </w:t>
      </w:r>
      <w:proofErr w:type="spellStart"/>
      <w:r w:rsidR="0031669D">
        <w:rPr>
          <w:szCs w:val="22"/>
        </w:rPr>
        <w:t>saluretická</w:t>
      </w:r>
      <w:proofErr w:type="spellEnd"/>
      <w:r w:rsidR="0031669D">
        <w:rPr>
          <w:szCs w:val="22"/>
        </w:rPr>
        <w:t xml:space="preserve"> </w:t>
      </w:r>
      <w:r w:rsidR="0031669D" w:rsidRPr="00FD515D">
        <w:rPr>
          <w:szCs w:val="22"/>
        </w:rPr>
        <w:t xml:space="preserve">účinnosť </w:t>
      </w:r>
      <w:proofErr w:type="spellStart"/>
      <w:r w:rsidR="0031669D" w:rsidRPr="00FD515D">
        <w:rPr>
          <w:szCs w:val="22"/>
        </w:rPr>
        <w:t>furosemidu</w:t>
      </w:r>
      <w:proofErr w:type="spellEnd"/>
      <w:r w:rsidR="0031669D" w:rsidRPr="00FD515D">
        <w:rPr>
          <w:szCs w:val="22"/>
        </w:rPr>
        <w:t xml:space="preserve"> závisí od prieniku </w:t>
      </w:r>
      <w:r w:rsidR="0031669D">
        <w:rPr>
          <w:szCs w:val="22"/>
        </w:rPr>
        <w:t xml:space="preserve">lieku </w:t>
      </w:r>
      <w:r w:rsidR="0031669D" w:rsidRPr="00FD515D">
        <w:rPr>
          <w:szCs w:val="22"/>
        </w:rPr>
        <w:t xml:space="preserve">do </w:t>
      </w:r>
      <w:proofErr w:type="spellStart"/>
      <w:r w:rsidR="0031669D" w:rsidRPr="00FD515D">
        <w:rPr>
          <w:szCs w:val="22"/>
        </w:rPr>
        <w:t>l</w:t>
      </w:r>
      <w:r w:rsidR="000C3E07">
        <w:rPr>
          <w:szCs w:val="22"/>
        </w:rPr>
        <w:t>u</w:t>
      </w:r>
      <w:r w:rsidR="0031669D" w:rsidRPr="00FD515D">
        <w:rPr>
          <w:szCs w:val="22"/>
        </w:rPr>
        <w:t>men</w:t>
      </w:r>
      <w:r w:rsidR="0031669D">
        <w:rPr>
          <w:szCs w:val="22"/>
        </w:rPr>
        <w:t>u</w:t>
      </w:r>
      <w:proofErr w:type="spellEnd"/>
      <w:r w:rsidR="0031669D" w:rsidRPr="00FD515D">
        <w:rPr>
          <w:szCs w:val="22"/>
        </w:rPr>
        <w:t xml:space="preserve"> </w:t>
      </w:r>
      <w:proofErr w:type="spellStart"/>
      <w:r w:rsidR="0031669D" w:rsidRPr="00FD515D">
        <w:rPr>
          <w:szCs w:val="22"/>
        </w:rPr>
        <w:t>tubulu</w:t>
      </w:r>
      <w:proofErr w:type="spellEnd"/>
      <w:r w:rsidR="0031669D" w:rsidRPr="00FD515D">
        <w:rPr>
          <w:szCs w:val="22"/>
        </w:rPr>
        <w:t xml:space="preserve"> prostredníctvom aniónového transportného mechanizmu.</w:t>
      </w:r>
      <w:r w:rsidR="0031669D">
        <w:rPr>
          <w:szCs w:val="22"/>
        </w:rPr>
        <w:t xml:space="preserve"> </w:t>
      </w:r>
      <w:r w:rsidR="0031669D" w:rsidRPr="0031669D">
        <w:rPr>
          <w:szCs w:val="22"/>
        </w:rPr>
        <w:t xml:space="preserve">Diuretický účinok vyplýva z inhibície </w:t>
      </w:r>
      <w:proofErr w:type="spellStart"/>
      <w:r w:rsidR="0031669D" w:rsidRPr="0031669D">
        <w:rPr>
          <w:szCs w:val="22"/>
        </w:rPr>
        <w:t>reabsorpcie</w:t>
      </w:r>
      <w:proofErr w:type="spellEnd"/>
      <w:r w:rsidR="0031669D" w:rsidRPr="0031669D">
        <w:rPr>
          <w:szCs w:val="22"/>
        </w:rPr>
        <w:t xml:space="preserve"> chloridu sodného v tomto úseku </w:t>
      </w:r>
      <w:proofErr w:type="spellStart"/>
      <w:r w:rsidR="0031669D" w:rsidRPr="0031669D">
        <w:rPr>
          <w:szCs w:val="22"/>
        </w:rPr>
        <w:t>Henleho</w:t>
      </w:r>
      <w:proofErr w:type="spellEnd"/>
      <w:r w:rsidR="0031669D" w:rsidRPr="0031669D">
        <w:rPr>
          <w:szCs w:val="22"/>
        </w:rPr>
        <w:t xml:space="preserve"> kľučky. Následkom toho frakcia vylúčeného sodíka môže vzrásť na 35 % glomerulárnej filtrácie sodíka. Sekundárne účinky zvýšenej eliminácie sodíka sú zvýšenie vylučovania moču a zvýšenie sekrécie draslíka v </w:t>
      </w:r>
      <w:proofErr w:type="spellStart"/>
      <w:r w:rsidR="0031669D" w:rsidRPr="0031669D">
        <w:rPr>
          <w:szCs w:val="22"/>
        </w:rPr>
        <w:t>distálnom</w:t>
      </w:r>
      <w:proofErr w:type="spellEnd"/>
      <w:r w:rsidR="0031669D" w:rsidRPr="0031669D">
        <w:rPr>
          <w:szCs w:val="22"/>
        </w:rPr>
        <w:t xml:space="preserve"> </w:t>
      </w:r>
      <w:proofErr w:type="spellStart"/>
      <w:r w:rsidR="0031669D" w:rsidRPr="0031669D">
        <w:rPr>
          <w:szCs w:val="22"/>
        </w:rPr>
        <w:t>tubule</w:t>
      </w:r>
      <w:proofErr w:type="spellEnd"/>
      <w:r w:rsidR="0031669D" w:rsidRPr="0031669D">
        <w:rPr>
          <w:szCs w:val="22"/>
        </w:rPr>
        <w:t xml:space="preserve">. Vylučovanie vápnikových a horčíkových </w:t>
      </w:r>
      <w:r w:rsidR="000C3E07">
        <w:rPr>
          <w:szCs w:val="22"/>
        </w:rPr>
        <w:t>iónov</w:t>
      </w:r>
      <w:r w:rsidR="0031669D" w:rsidRPr="0031669D">
        <w:rPr>
          <w:szCs w:val="22"/>
        </w:rPr>
        <w:t xml:space="preserve"> je tiež zvýšené.</w:t>
      </w:r>
    </w:p>
    <w:p w14:paraId="237213F6" w14:textId="6A74828E" w:rsidR="00683731" w:rsidRDefault="00683731" w:rsidP="00BC42E1">
      <w:pPr>
        <w:ind w:left="0" w:firstLine="0"/>
        <w:outlineLvl w:val="0"/>
        <w:rPr>
          <w:szCs w:val="22"/>
        </w:rPr>
      </w:pPr>
    </w:p>
    <w:p w14:paraId="12C178A6" w14:textId="31912C57" w:rsidR="00683731" w:rsidRPr="00E00D8F" w:rsidRDefault="00E75305" w:rsidP="00BC42E1">
      <w:pPr>
        <w:ind w:left="0" w:firstLine="0"/>
        <w:outlineLvl w:val="0"/>
        <w:rPr>
          <w:szCs w:val="22"/>
        </w:rPr>
      </w:pPr>
      <w:proofErr w:type="spellStart"/>
      <w:r>
        <w:rPr>
          <w:szCs w:val="22"/>
        </w:rPr>
        <w:t>Furosemid</w:t>
      </w:r>
      <w:proofErr w:type="spellEnd"/>
      <w:r>
        <w:rPr>
          <w:szCs w:val="22"/>
        </w:rPr>
        <w:t xml:space="preserve"> na</w:t>
      </w:r>
      <w:r w:rsidR="00683731" w:rsidRPr="00683731">
        <w:rPr>
          <w:szCs w:val="22"/>
        </w:rPr>
        <w:t xml:space="preserve">rušuje mechanizmus </w:t>
      </w:r>
      <w:proofErr w:type="spellStart"/>
      <w:r w:rsidR="00683731" w:rsidRPr="00683731">
        <w:rPr>
          <w:szCs w:val="22"/>
        </w:rPr>
        <w:t>tubuloglomerulárnej</w:t>
      </w:r>
      <w:proofErr w:type="spellEnd"/>
      <w:r w:rsidR="00683731" w:rsidRPr="00683731">
        <w:rPr>
          <w:szCs w:val="22"/>
        </w:rPr>
        <w:t xml:space="preserve"> spätnej väzby v</w:t>
      </w:r>
      <w:r w:rsidR="00683731">
        <w:rPr>
          <w:szCs w:val="22"/>
        </w:rPr>
        <w:t> </w:t>
      </w:r>
      <w:proofErr w:type="spellStart"/>
      <w:r w:rsidR="00683731" w:rsidRPr="00683731">
        <w:rPr>
          <w:szCs w:val="22"/>
        </w:rPr>
        <w:t>ma</w:t>
      </w:r>
      <w:r w:rsidR="00683731">
        <w:rPr>
          <w:szCs w:val="22"/>
        </w:rPr>
        <w:t>c</w:t>
      </w:r>
      <w:r w:rsidR="00683731" w:rsidRPr="00683731">
        <w:rPr>
          <w:szCs w:val="22"/>
        </w:rPr>
        <w:t>ule</w:t>
      </w:r>
      <w:proofErr w:type="spellEnd"/>
      <w:r w:rsidR="00683731">
        <w:rPr>
          <w:szCs w:val="22"/>
        </w:rPr>
        <w:t xml:space="preserve"> </w:t>
      </w:r>
      <w:proofErr w:type="spellStart"/>
      <w:r w:rsidR="00683731">
        <w:rPr>
          <w:szCs w:val="22"/>
        </w:rPr>
        <w:t>densa</w:t>
      </w:r>
      <w:proofErr w:type="spellEnd"/>
      <w:r w:rsidR="00683731" w:rsidRPr="00683731">
        <w:rPr>
          <w:szCs w:val="22"/>
        </w:rPr>
        <w:t xml:space="preserve">, </w:t>
      </w:r>
      <w:r w:rsidR="00CF493B">
        <w:rPr>
          <w:szCs w:val="22"/>
        </w:rPr>
        <w:t>takže nie je oslabená</w:t>
      </w:r>
      <w:r w:rsidR="00683731" w:rsidRPr="00683731">
        <w:rPr>
          <w:szCs w:val="22"/>
        </w:rPr>
        <w:t xml:space="preserve"> </w:t>
      </w:r>
      <w:proofErr w:type="spellStart"/>
      <w:r w:rsidR="00683731" w:rsidRPr="00683731">
        <w:rPr>
          <w:szCs w:val="22"/>
        </w:rPr>
        <w:t>saluretick</w:t>
      </w:r>
      <w:r w:rsidR="00CF493B">
        <w:rPr>
          <w:szCs w:val="22"/>
        </w:rPr>
        <w:t>á</w:t>
      </w:r>
      <w:proofErr w:type="spellEnd"/>
      <w:r w:rsidR="00683731" w:rsidRPr="00683731">
        <w:rPr>
          <w:szCs w:val="22"/>
        </w:rPr>
        <w:t xml:space="preserve"> aktivit</w:t>
      </w:r>
      <w:r w:rsidR="00CF493B">
        <w:rPr>
          <w:szCs w:val="22"/>
        </w:rPr>
        <w:t>a</w:t>
      </w:r>
      <w:r>
        <w:rPr>
          <w:szCs w:val="22"/>
        </w:rPr>
        <w:t xml:space="preserve">. </w:t>
      </w:r>
      <w:proofErr w:type="spellStart"/>
      <w:r>
        <w:rPr>
          <w:szCs w:val="22"/>
        </w:rPr>
        <w:t>Furosemid</w:t>
      </w:r>
      <w:proofErr w:type="spellEnd"/>
      <w:r>
        <w:rPr>
          <w:szCs w:val="22"/>
        </w:rPr>
        <w:t xml:space="preserve"> spôsobuje od dávky</w:t>
      </w:r>
      <w:r w:rsidR="00683731" w:rsidRPr="00683731">
        <w:rPr>
          <w:szCs w:val="22"/>
        </w:rPr>
        <w:t xml:space="preserve"> závislú stimuláciu systému </w:t>
      </w:r>
      <w:proofErr w:type="spellStart"/>
      <w:r w:rsidR="00683731" w:rsidRPr="00683731">
        <w:rPr>
          <w:szCs w:val="22"/>
        </w:rPr>
        <w:t>renín</w:t>
      </w:r>
      <w:proofErr w:type="spellEnd"/>
      <w:r w:rsidR="00683731" w:rsidRPr="00683731">
        <w:rPr>
          <w:szCs w:val="22"/>
        </w:rPr>
        <w:t>-angiotenzín-</w:t>
      </w:r>
      <w:proofErr w:type="spellStart"/>
      <w:r w:rsidR="00683731" w:rsidRPr="00683731">
        <w:rPr>
          <w:szCs w:val="22"/>
        </w:rPr>
        <w:t>aldosterón</w:t>
      </w:r>
      <w:proofErr w:type="spellEnd"/>
      <w:r w:rsidR="00683731" w:rsidRPr="00683731">
        <w:rPr>
          <w:szCs w:val="22"/>
        </w:rPr>
        <w:t>.</w:t>
      </w:r>
    </w:p>
    <w:p w14:paraId="064781D6" w14:textId="77777777" w:rsidR="00780926" w:rsidRDefault="00780926" w:rsidP="00BC42E1">
      <w:pPr>
        <w:ind w:left="0" w:firstLine="0"/>
        <w:outlineLvl w:val="0"/>
        <w:rPr>
          <w:szCs w:val="22"/>
        </w:rPr>
      </w:pPr>
    </w:p>
    <w:p w14:paraId="004CA79E" w14:textId="001EC652" w:rsidR="00BC42E1" w:rsidRPr="00FD515D" w:rsidRDefault="00BC42E1" w:rsidP="00BC42E1">
      <w:pPr>
        <w:ind w:left="0" w:firstLine="0"/>
        <w:rPr>
          <w:szCs w:val="22"/>
        </w:rPr>
      </w:pPr>
      <w:r w:rsidRPr="00FD515D">
        <w:rPr>
          <w:szCs w:val="22"/>
        </w:rPr>
        <w:t>V prípade zlyh</w:t>
      </w:r>
      <w:r w:rsidR="000C3E07">
        <w:rPr>
          <w:szCs w:val="22"/>
        </w:rPr>
        <w:t>ávania</w:t>
      </w:r>
      <w:r w:rsidRPr="00FD515D">
        <w:rPr>
          <w:szCs w:val="22"/>
        </w:rPr>
        <w:t xml:space="preserve"> srdca </w:t>
      </w:r>
      <w:proofErr w:type="spellStart"/>
      <w:r w:rsidRPr="00FD515D">
        <w:rPr>
          <w:szCs w:val="22"/>
        </w:rPr>
        <w:t>furosemid</w:t>
      </w:r>
      <w:proofErr w:type="spellEnd"/>
      <w:r w:rsidRPr="00FD515D">
        <w:rPr>
          <w:szCs w:val="22"/>
        </w:rPr>
        <w:t xml:space="preserve"> </w:t>
      </w:r>
      <w:r>
        <w:rPr>
          <w:szCs w:val="22"/>
        </w:rPr>
        <w:t xml:space="preserve">vyvoláva </w:t>
      </w:r>
      <w:r w:rsidRPr="00FD515D">
        <w:rPr>
          <w:szCs w:val="22"/>
        </w:rPr>
        <w:t>akútn</w:t>
      </w:r>
      <w:r>
        <w:rPr>
          <w:szCs w:val="22"/>
        </w:rPr>
        <w:t>e</w:t>
      </w:r>
      <w:r w:rsidRPr="00FD515D">
        <w:rPr>
          <w:szCs w:val="22"/>
        </w:rPr>
        <w:t xml:space="preserve"> </w:t>
      </w:r>
      <w:r>
        <w:rPr>
          <w:szCs w:val="22"/>
        </w:rPr>
        <w:t xml:space="preserve">zníženie </w:t>
      </w:r>
      <w:r w:rsidR="000C3E07">
        <w:rPr>
          <w:szCs w:val="22"/>
        </w:rPr>
        <w:t>„</w:t>
      </w:r>
      <w:proofErr w:type="spellStart"/>
      <w:r w:rsidR="000C3E07" w:rsidRPr="00261056">
        <w:rPr>
          <w:szCs w:val="22"/>
        </w:rPr>
        <w:t>preloadu</w:t>
      </w:r>
      <w:proofErr w:type="spellEnd"/>
      <w:r w:rsidR="000C3E07" w:rsidRPr="00261056">
        <w:rPr>
          <w:szCs w:val="22"/>
        </w:rPr>
        <w:t>“</w:t>
      </w:r>
      <w:r w:rsidR="00F57F36">
        <w:rPr>
          <w:szCs w:val="22"/>
        </w:rPr>
        <w:t xml:space="preserve"> </w:t>
      </w:r>
      <w:r w:rsidRPr="001C1621">
        <w:rPr>
          <w:szCs w:val="22"/>
        </w:rPr>
        <w:t>srdca</w:t>
      </w:r>
      <w:r w:rsidRPr="00FD515D">
        <w:rPr>
          <w:szCs w:val="22"/>
        </w:rPr>
        <w:t xml:space="preserve"> (</w:t>
      </w:r>
      <w:r w:rsidRPr="001C1621">
        <w:rPr>
          <w:szCs w:val="22"/>
        </w:rPr>
        <w:t>zvýšením kapacity</w:t>
      </w:r>
      <w:r>
        <w:rPr>
          <w:szCs w:val="22"/>
        </w:rPr>
        <w:t xml:space="preserve"> krvných </w:t>
      </w:r>
      <w:r w:rsidR="000C3E07">
        <w:rPr>
          <w:szCs w:val="22"/>
        </w:rPr>
        <w:t>ciev</w:t>
      </w:r>
      <w:r w:rsidRPr="00FD515D">
        <w:rPr>
          <w:szCs w:val="22"/>
        </w:rPr>
        <w:t xml:space="preserve">). Zdá sa, že tento </w:t>
      </w:r>
      <w:r>
        <w:rPr>
          <w:szCs w:val="22"/>
        </w:rPr>
        <w:t xml:space="preserve">skorý </w:t>
      </w:r>
      <w:r w:rsidRPr="00FD515D">
        <w:rPr>
          <w:szCs w:val="22"/>
        </w:rPr>
        <w:t xml:space="preserve">účinok na cievy je sprostredkovaný </w:t>
      </w:r>
      <w:proofErr w:type="spellStart"/>
      <w:r w:rsidRPr="00FD515D">
        <w:rPr>
          <w:szCs w:val="22"/>
        </w:rPr>
        <w:t>prostaglandínmi</w:t>
      </w:r>
      <w:proofErr w:type="spellEnd"/>
      <w:r w:rsidRPr="00FD515D">
        <w:rPr>
          <w:szCs w:val="22"/>
        </w:rPr>
        <w:t xml:space="preserve"> a predpokladá primeranú funkciu obličiek s aktiváciou systému </w:t>
      </w:r>
      <w:proofErr w:type="spellStart"/>
      <w:r w:rsidRPr="00FD515D">
        <w:rPr>
          <w:szCs w:val="22"/>
        </w:rPr>
        <w:t>renín</w:t>
      </w:r>
      <w:proofErr w:type="spellEnd"/>
      <w:r w:rsidRPr="00FD515D">
        <w:rPr>
          <w:szCs w:val="22"/>
        </w:rPr>
        <w:t>-angiotenzín a </w:t>
      </w:r>
      <w:r w:rsidR="001C1621" w:rsidRPr="0045259F">
        <w:rPr>
          <w:szCs w:val="22"/>
        </w:rPr>
        <w:t>zachovanú</w:t>
      </w:r>
      <w:r w:rsidR="001C1621">
        <w:rPr>
          <w:szCs w:val="22"/>
        </w:rPr>
        <w:t xml:space="preserve"> </w:t>
      </w:r>
      <w:r w:rsidRPr="00FD515D">
        <w:rPr>
          <w:szCs w:val="22"/>
        </w:rPr>
        <w:t xml:space="preserve">syntézu </w:t>
      </w:r>
      <w:proofErr w:type="spellStart"/>
      <w:r w:rsidRPr="00FD515D">
        <w:rPr>
          <w:szCs w:val="22"/>
        </w:rPr>
        <w:t>prostaglandínov</w:t>
      </w:r>
      <w:proofErr w:type="spellEnd"/>
      <w:r w:rsidRPr="00FD515D">
        <w:rPr>
          <w:szCs w:val="22"/>
        </w:rPr>
        <w:t xml:space="preserve">. </w:t>
      </w:r>
      <w:r>
        <w:rPr>
          <w:szCs w:val="22"/>
        </w:rPr>
        <w:t xml:space="preserve">Taktiež kvôli </w:t>
      </w:r>
      <w:r w:rsidRPr="00FD515D">
        <w:rPr>
          <w:szCs w:val="22"/>
        </w:rPr>
        <w:t>svoj</w:t>
      </w:r>
      <w:r>
        <w:rPr>
          <w:szCs w:val="22"/>
        </w:rPr>
        <w:t>mu</w:t>
      </w:r>
      <w:r w:rsidRPr="00FD515D">
        <w:rPr>
          <w:szCs w:val="22"/>
        </w:rPr>
        <w:t xml:space="preserve"> </w:t>
      </w:r>
      <w:proofErr w:type="spellStart"/>
      <w:r w:rsidRPr="00FD515D">
        <w:rPr>
          <w:szCs w:val="22"/>
        </w:rPr>
        <w:t>n</w:t>
      </w:r>
      <w:r w:rsidR="00796E32">
        <w:rPr>
          <w:szCs w:val="22"/>
        </w:rPr>
        <w:t>á</w:t>
      </w:r>
      <w:r w:rsidRPr="00FD515D">
        <w:rPr>
          <w:szCs w:val="22"/>
        </w:rPr>
        <w:t>triuretick</w:t>
      </w:r>
      <w:r>
        <w:rPr>
          <w:szCs w:val="22"/>
        </w:rPr>
        <w:t>ému</w:t>
      </w:r>
      <w:proofErr w:type="spellEnd"/>
      <w:r w:rsidRPr="00FD515D">
        <w:rPr>
          <w:szCs w:val="22"/>
        </w:rPr>
        <w:t xml:space="preserve"> účinku </w:t>
      </w:r>
      <w:proofErr w:type="spellStart"/>
      <w:r w:rsidRPr="00FD515D">
        <w:rPr>
          <w:szCs w:val="22"/>
        </w:rPr>
        <w:t>furosemid</w:t>
      </w:r>
      <w:proofErr w:type="spellEnd"/>
      <w:r w:rsidRPr="00FD515D">
        <w:rPr>
          <w:szCs w:val="22"/>
        </w:rPr>
        <w:t xml:space="preserve"> znižuje reaktivitu ciev na katecholamíny, ktorá je zvýšená u pacientov s hypertenziou.</w:t>
      </w:r>
    </w:p>
    <w:p w14:paraId="17C706B5" w14:textId="77777777" w:rsidR="00BC42E1" w:rsidRPr="00FD515D" w:rsidRDefault="00BC42E1" w:rsidP="00BC42E1">
      <w:pPr>
        <w:rPr>
          <w:szCs w:val="22"/>
        </w:rPr>
      </w:pPr>
    </w:p>
    <w:p w14:paraId="49590AF9" w14:textId="77777777" w:rsidR="0031669D" w:rsidRDefault="00BC42E1" w:rsidP="00BC42E1">
      <w:pPr>
        <w:ind w:left="0" w:firstLine="0"/>
        <w:outlineLvl w:val="0"/>
        <w:rPr>
          <w:szCs w:val="22"/>
        </w:rPr>
      </w:pPr>
      <w:proofErr w:type="spellStart"/>
      <w:r w:rsidRPr="00FD515D">
        <w:rPr>
          <w:szCs w:val="22"/>
        </w:rPr>
        <w:t>Antihypertenzitívny</w:t>
      </w:r>
      <w:proofErr w:type="spellEnd"/>
      <w:r w:rsidRPr="00FD515D">
        <w:rPr>
          <w:szCs w:val="22"/>
        </w:rPr>
        <w:t xml:space="preserve"> účinok </w:t>
      </w:r>
      <w:proofErr w:type="spellStart"/>
      <w:r w:rsidRPr="00FD515D">
        <w:rPr>
          <w:szCs w:val="22"/>
        </w:rPr>
        <w:t>furosemidu</w:t>
      </w:r>
      <w:proofErr w:type="spellEnd"/>
      <w:r w:rsidRPr="00FD515D">
        <w:rPr>
          <w:szCs w:val="22"/>
        </w:rPr>
        <w:t xml:space="preserve"> sa prisudzuje zvýšeniu vylučovania sodíka, zníženiu objemu krvi a odpovedi hladkej svaloviny ciev na </w:t>
      </w:r>
      <w:proofErr w:type="spellStart"/>
      <w:r w:rsidRPr="00FD515D">
        <w:rPr>
          <w:szCs w:val="22"/>
        </w:rPr>
        <w:t>vazokonstrikčné</w:t>
      </w:r>
      <w:proofErr w:type="spellEnd"/>
      <w:r w:rsidRPr="00FD515D">
        <w:rPr>
          <w:szCs w:val="22"/>
        </w:rPr>
        <w:t xml:space="preserve"> podnety.</w:t>
      </w:r>
    </w:p>
    <w:p w14:paraId="7806C3A8" w14:textId="77777777" w:rsidR="0031669D" w:rsidRPr="00E00D8F" w:rsidRDefault="0031669D" w:rsidP="00E41B3F">
      <w:pPr>
        <w:ind w:left="0" w:firstLine="0"/>
        <w:outlineLvl w:val="0"/>
        <w:rPr>
          <w:szCs w:val="22"/>
        </w:rPr>
      </w:pPr>
    </w:p>
    <w:p w14:paraId="368D0835" w14:textId="77777777" w:rsidR="00E1698A" w:rsidRDefault="00F8384D" w:rsidP="00B13F68">
      <w:pPr>
        <w:autoSpaceDE w:val="0"/>
        <w:autoSpaceDN w:val="0"/>
        <w:adjustRightInd w:val="0"/>
        <w:rPr>
          <w:noProof/>
          <w:u w:val="single"/>
        </w:rPr>
      </w:pPr>
      <w:r w:rsidRPr="003021DE">
        <w:rPr>
          <w:noProof/>
          <w:u w:val="single"/>
        </w:rPr>
        <w:t>Farmakodynamické účinky</w:t>
      </w:r>
    </w:p>
    <w:p w14:paraId="5B809C9D" w14:textId="77777777" w:rsidR="00BC42E1" w:rsidRDefault="00C36159" w:rsidP="00C36159">
      <w:pPr>
        <w:autoSpaceDE w:val="0"/>
        <w:autoSpaceDN w:val="0"/>
        <w:adjustRightInd w:val="0"/>
        <w:ind w:left="0" w:firstLine="0"/>
        <w:rPr>
          <w:noProof/>
        </w:rPr>
      </w:pPr>
      <w:r w:rsidRPr="00C36159">
        <w:rPr>
          <w:noProof/>
        </w:rPr>
        <w:t>Diuretický účinok furosemidu sa prejaví do 15 minút po intravenóznom podaní dávky a do 1 hodiny po perorálnom podaní.</w:t>
      </w:r>
    </w:p>
    <w:p w14:paraId="70051830" w14:textId="77777777" w:rsidR="00C36159" w:rsidRDefault="00C36159" w:rsidP="00C36159">
      <w:pPr>
        <w:autoSpaceDE w:val="0"/>
        <w:autoSpaceDN w:val="0"/>
        <w:adjustRightInd w:val="0"/>
        <w:ind w:left="0" w:firstLine="0"/>
        <w:rPr>
          <w:noProof/>
        </w:rPr>
      </w:pPr>
    </w:p>
    <w:p w14:paraId="0E7DCB86" w14:textId="20212BA4" w:rsidR="00C36159" w:rsidRPr="00FD515D" w:rsidRDefault="00C36159" w:rsidP="00C36159">
      <w:pPr>
        <w:ind w:left="0" w:firstLine="0"/>
        <w:rPr>
          <w:szCs w:val="22"/>
        </w:rPr>
      </w:pPr>
      <w:r w:rsidRPr="00FD515D">
        <w:rPr>
          <w:szCs w:val="22"/>
        </w:rPr>
        <w:t xml:space="preserve">Od dávky závislý vzostup </w:t>
      </w:r>
      <w:proofErr w:type="spellStart"/>
      <w:r w:rsidRPr="00FD515D">
        <w:rPr>
          <w:szCs w:val="22"/>
        </w:rPr>
        <w:t>diurézy</w:t>
      </w:r>
      <w:proofErr w:type="spellEnd"/>
      <w:r w:rsidRPr="00FD515D">
        <w:rPr>
          <w:szCs w:val="22"/>
        </w:rPr>
        <w:t xml:space="preserve"> a </w:t>
      </w:r>
      <w:proofErr w:type="spellStart"/>
      <w:r w:rsidRPr="00FD515D">
        <w:rPr>
          <w:szCs w:val="22"/>
        </w:rPr>
        <w:t>n</w:t>
      </w:r>
      <w:r w:rsidR="009F4552">
        <w:rPr>
          <w:szCs w:val="22"/>
        </w:rPr>
        <w:t>á</w:t>
      </w:r>
      <w:r w:rsidRPr="00FD515D">
        <w:rPr>
          <w:szCs w:val="22"/>
        </w:rPr>
        <w:t>triurézy</w:t>
      </w:r>
      <w:proofErr w:type="spellEnd"/>
      <w:r w:rsidRPr="00FD515D">
        <w:rPr>
          <w:szCs w:val="22"/>
        </w:rPr>
        <w:t xml:space="preserve"> bol zistený u zdravých </w:t>
      </w:r>
      <w:r w:rsidR="000C3E07">
        <w:rPr>
          <w:szCs w:val="22"/>
        </w:rPr>
        <w:t>osôb</w:t>
      </w:r>
      <w:r w:rsidRPr="00FD515D">
        <w:rPr>
          <w:szCs w:val="22"/>
        </w:rPr>
        <w:t xml:space="preserve">, ktorým </w:t>
      </w:r>
      <w:r>
        <w:rPr>
          <w:szCs w:val="22"/>
        </w:rPr>
        <w:t>sa</w:t>
      </w:r>
      <w:r w:rsidRPr="00FD515D">
        <w:rPr>
          <w:szCs w:val="22"/>
        </w:rPr>
        <w:t xml:space="preserve"> podáva</w:t>
      </w:r>
      <w:r>
        <w:rPr>
          <w:szCs w:val="22"/>
        </w:rPr>
        <w:t xml:space="preserve">l </w:t>
      </w:r>
      <w:proofErr w:type="spellStart"/>
      <w:r w:rsidRPr="00FD515D">
        <w:rPr>
          <w:szCs w:val="22"/>
        </w:rPr>
        <w:t>furosemid</w:t>
      </w:r>
      <w:proofErr w:type="spellEnd"/>
      <w:r w:rsidRPr="00FD515D">
        <w:rPr>
          <w:szCs w:val="22"/>
        </w:rPr>
        <w:t xml:space="preserve"> (dávky medzi 10</w:t>
      </w:r>
      <w:r w:rsidR="000C3E07">
        <w:rPr>
          <w:szCs w:val="22"/>
        </w:rPr>
        <w:t xml:space="preserve"> mg</w:t>
      </w:r>
      <w:r w:rsidRPr="00FD515D">
        <w:rPr>
          <w:szCs w:val="22"/>
        </w:rPr>
        <w:t xml:space="preserve"> a 100 mg). Trvanie účinku u zdravých </w:t>
      </w:r>
      <w:r w:rsidR="000C3E07">
        <w:rPr>
          <w:szCs w:val="22"/>
        </w:rPr>
        <w:t>osôb</w:t>
      </w:r>
      <w:r w:rsidR="000C3E07" w:rsidRPr="00FD515D">
        <w:rPr>
          <w:szCs w:val="22"/>
        </w:rPr>
        <w:t xml:space="preserve"> </w:t>
      </w:r>
      <w:r w:rsidRPr="00FD515D">
        <w:rPr>
          <w:szCs w:val="22"/>
        </w:rPr>
        <w:t>po intravenóznom podaní dávky</w:t>
      </w:r>
      <w:r w:rsidR="000C3E07">
        <w:rPr>
          <w:szCs w:val="22"/>
        </w:rPr>
        <w:t xml:space="preserve"> 20 mg</w:t>
      </w:r>
      <w:r w:rsidRPr="00FD515D">
        <w:rPr>
          <w:szCs w:val="22"/>
        </w:rPr>
        <w:t xml:space="preserve"> </w:t>
      </w:r>
      <w:proofErr w:type="spellStart"/>
      <w:r w:rsidRPr="00FD515D">
        <w:rPr>
          <w:szCs w:val="22"/>
        </w:rPr>
        <w:t>furosemidu</w:t>
      </w:r>
      <w:proofErr w:type="spellEnd"/>
      <w:r w:rsidRPr="00FD515D">
        <w:rPr>
          <w:szCs w:val="22"/>
        </w:rPr>
        <w:t xml:space="preserve"> je približne 3 hodiny a 3 až 6 hodín po perorálnom podaní </w:t>
      </w:r>
      <w:r>
        <w:rPr>
          <w:szCs w:val="22"/>
        </w:rPr>
        <w:t>dávky</w:t>
      </w:r>
      <w:r w:rsidR="000C3E07">
        <w:rPr>
          <w:szCs w:val="22"/>
        </w:rPr>
        <w:t xml:space="preserve"> 40 mg</w:t>
      </w:r>
      <w:r>
        <w:rPr>
          <w:szCs w:val="22"/>
        </w:rPr>
        <w:t>.</w:t>
      </w:r>
    </w:p>
    <w:p w14:paraId="0AF57E51" w14:textId="77777777" w:rsidR="00C36159" w:rsidRPr="00C36159" w:rsidRDefault="00C36159" w:rsidP="00C36159">
      <w:pPr>
        <w:autoSpaceDE w:val="0"/>
        <w:autoSpaceDN w:val="0"/>
        <w:adjustRightInd w:val="0"/>
        <w:ind w:left="0" w:firstLine="0"/>
        <w:rPr>
          <w:noProof/>
        </w:rPr>
      </w:pPr>
    </w:p>
    <w:p w14:paraId="06FBAA78" w14:textId="37AAE293" w:rsidR="00BC42E1" w:rsidRPr="003021DE" w:rsidRDefault="00C36159" w:rsidP="002846AB">
      <w:pPr>
        <w:ind w:left="0" w:firstLine="0"/>
        <w:rPr>
          <w:szCs w:val="22"/>
        </w:rPr>
      </w:pPr>
      <w:r w:rsidRPr="00FD515D">
        <w:rPr>
          <w:szCs w:val="22"/>
        </w:rPr>
        <w:t xml:space="preserve">U chorých pacientov vzťah medzi </w:t>
      </w:r>
      <w:proofErr w:type="spellStart"/>
      <w:r w:rsidRPr="00FD515D">
        <w:rPr>
          <w:szCs w:val="22"/>
        </w:rPr>
        <w:t>tubulárnou</w:t>
      </w:r>
      <w:proofErr w:type="spellEnd"/>
      <w:r w:rsidRPr="00FD515D">
        <w:rPr>
          <w:szCs w:val="22"/>
        </w:rPr>
        <w:t xml:space="preserve"> koncentráciou </w:t>
      </w:r>
      <w:r>
        <w:rPr>
          <w:szCs w:val="22"/>
        </w:rPr>
        <w:t>(</w:t>
      </w:r>
      <w:r w:rsidRPr="00FD515D">
        <w:rPr>
          <w:szCs w:val="22"/>
        </w:rPr>
        <w:t>voľného</w:t>
      </w:r>
      <w:r>
        <w:rPr>
          <w:szCs w:val="22"/>
        </w:rPr>
        <w:t>)</w:t>
      </w:r>
      <w:r w:rsidRPr="00FD515D">
        <w:rPr>
          <w:szCs w:val="22"/>
        </w:rPr>
        <w:t xml:space="preserve"> </w:t>
      </w:r>
      <w:proofErr w:type="spellStart"/>
      <w:r w:rsidRPr="00FD515D">
        <w:rPr>
          <w:szCs w:val="22"/>
        </w:rPr>
        <w:t>furosemidu</w:t>
      </w:r>
      <w:proofErr w:type="spellEnd"/>
      <w:r w:rsidRPr="00FD515D">
        <w:rPr>
          <w:szCs w:val="22"/>
        </w:rPr>
        <w:t xml:space="preserve"> </w:t>
      </w:r>
      <w:r>
        <w:rPr>
          <w:szCs w:val="22"/>
        </w:rPr>
        <w:t>v neviazanej forme</w:t>
      </w:r>
      <w:r w:rsidR="004E71A7">
        <w:rPr>
          <w:szCs w:val="22"/>
        </w:rPr>
        <w:t xml:space="preserve"> </w:t>
      </w:r>
      <w:r w:rsidRPr="00FD515D">
        <w:rPr>
          <w:szCs w:val="22"/>
        </w:rPr>
        <w:t>(určený rýchlosťou vylučovania</w:t>
      </w:r>
      <w:r>
        <w:rPr>
          <w:szCs w:val="22"/>
        </w:rPr>
        <w:t xml:space="preserve"> </w:t>
      </w:r>
      <w:proofErr w:type="spellStart"/>
      <w:r>
        <w:rPr>
          <w:szCs w:val="22"/>
        </w:rPr>
        <w:t>furosemidu</w:t>
      </w:r>
      <w:proofErr w:type="spellEnd"/>
      <w:r>
        <w:rPr>
          <w:szCs w:val="22"/>
        </w:rPr>
        <w:t xml:space="preserve"> </w:t>
      </w:r>
      <w:r w:rsidR="000C3E07">
        <w:rPr>
          <w:szCs w:val="22"/>
        </w:rPr>
        <w:t>močom</w:t>
      </w:r>
      <w:r w:rsidRPr="00FD515D">
        <w:rPr>
          <w:szCs w:val="22"/>
        </w:rPr>
        <w:t xml:space="preserve">) a jeho </w:t>
      </w:r>
      <w:proofErr w:type="spellStart"/>
      <w:r w:rsidRPr="00FD515D">
        <w:rPr>
          <w:szCs w:val="22"/>
        </w:rPr>
        <w:t>n</w:t>
      </w:r>
      <w:r w:rsidR="00796E32">
        <w:rPr>
          <w:szCs w:val="22"/>
        </w:rPr>
        <w:t>á</w:t>
      </w:r>
      <w:r w:rsidRPr="00FD515D">
        <w:rPr>
          <w:szCs w:val="22"/>
        </w:rPr>
        <w:t>triuretickým</w:t>
      </w:r>
      <w:proofErr w:type="spellEnd"/>
      <w:r w:rsidRPr="00FD515D">
        <w:rPr>
          <w:szCs w:val="22"/>
        </w:rPr>
        <w:t xml:space="preserve"> účinkom je graficky znázornený </w:t>
      </w:r>
      <w:proofErr w:type="spellStart"/>
      <w:r w:rsidR="004E71A7">
        <w:rPr>
          <w:szCs w:val="22"/>
        </w:rPr>
        <w:t>sigmoidnou</w:t>
      </w:r>
      <w:proofErr w:type="spellEnd"/>
      <w:r w:rsidR="004E71A7">
        <w:rPr>
          <w:szCs w:val="22"/>
        </w:rPr>
        <w:t xml:space="preserve"> </w:t>
      </w:r>
      <w:r w:rsidRPr="00FD515D">
        <w:rPr>
          <w:szCs w:val="22"/>
        </w:rPr>
        <w:t>krivkou</w:t>
      </w:r>
      <w:r w:rsidR="004E71A7">
        <w:rPr>
          <w:szCs w:val="22"/>
        </w:rPr>
        <w:t>,</w:t>
      </w:r>
      <w:r w:rsidRPr="00FD515D">
        <w:rPr>
          <w:szCs w:val="22"/>
        </w:rPr>
        <w:t xml:space="preserve"> s minimálnou rýchlosťou účinného vylučovania približne 10 mikrogramov za minútu. V dôsledku toho je kontinuálna infúzia </w:t>
      </w:r>
      <w:proofErr w:type="spellStart"/>
      <w:r w:rsidRPr="00FD515D">
        <w:rPr>
          <w:szCs w:val="22"/>
        </w:rPr>
        <w:t>furosemidu</w:t>
      </w:r>
      <w:proofErr w:type="spellEnd"/>
      <w:r w:rsidRPr="00FD515D">
        <w:rPr>
          <w:szCs w:val="22"/>
        </w:rPr>
        <w:t xml:space="preserve"> účinnejšia ako opakované </w:t>
      </w:r>
      <w:proofErr w:type="spellStart"/>
      <w:r w:rsidRPr="00FD515D">
        <w:rPr>
          <w:szCs w:val="22"/>
        </w:rPr>
        <w:t>bolusové</w:t>
      </w:r>
      <w:proofErr w:type="spellEnd"/>
      <w:r w:rsidRPr="00FD515D">
        <w:rPr>
          <w:szCs w:val="22"/>
        </w:rPr>
        <w:t xml:space="preserve"> injekcie. </w:t>
      </w:r>
      <w:r w:rsidR="002846AB">
        <w:rPr>
          <w:szCs w:val="22"/>
        </w:rPr>
        <w:t>Okrem toho n</w:t>
      </w:r>
      <w:r w:rsidRPr="00FD515D">
        <w:rPr>
          <w:szCs w:val="22"/>
        </w:rPr>
        <w:t xml:space="preserve">ad určitú dávku podanú vo forme bolusu účinky lieku už významne nevzrastajú. </w:t>
      </w:r>
      <w:r>
        <w:rPr>
          <w:szCs w:val="22"/>
        </w:rPr>
        <w:t xml:space="preserve">Účinnosť </w:t>
      </w:r>
      <w:proofErr w:type="spellStart"/>
      <w:r w:rsidRPr="00FD515D">
        <w:rPr>
          <w:szCs w:val="22"/>
        </w:rPr>
        <w:t>furosemidu</w:t>
      </w:r>
      <w:proofErr w:type="spellEnd"/>
      <w:r w:rsidRPr="00FD515D">
        <w:rPr>
          <w:szCs w:val="22"/>
        </w:rPr>
        <w:t xml:space="preserve"> je znížená v prípadoch zníženej </w:t>
      </w:r>
      <w:proofErr w:type="spellStart"/>
      <w:r w:rsidRPr="00FD515D">
        <w:rPr>
          <w:szCs w:val="22"/>
        </w:rPr>
        <w:t>tubulárnej</w:t>
      </w:r>
      <w:proofErr w:type="spellEnd"/>
      <w:r w:rsidRPr="00FD515D">
        <w:rPr>
          <w:szCs w:val="22"/>
        </w:rPr>
        <w:t xml:space="preserve"> sekrécie alebo v prípadoch </w:t>
      </w:r>
      <w:proofErr w:type="spellStart"/>
      <w:r w:rsidRPr="00FD515D">
        <w:rPr>
          <w:szCs w:val="22"/>
        </w:rPr>
        <w:t>intratubulárnej</w:t>
      </w:r>
      <w:proofErr w:type="spellEnd"/>
      <w:r w:rsidRPr="00FD515D">
        <w:rPr>
          <w:szCs w:val="22"/>
        </w:rPr>
        <w:t xml:space="preserve"> väzby liečiva na albumín.</w:t>
      </w:r>
    </w:p>
    <w:p w14:paraId="7FC7642E" w14:textId="77777777" w:rsidR="0049191E" w:rsidRPr="003021DE" w:rsidRDefault="0049191E" w:rsidP="00E41B3F">
      <w:pPr>
        <w:rPr>
          <w:szCs w:val="22"/>
        </w:rPr>
      </w:pPr>
    </w:p>
    <w:p w14:paraId="1F5B2775" w14:textId="77777777" w:rsidR="00780926" w:rsidRPr="003021DE" w:rsidRDefault="00F35CE2" w:rsidP="00E41B3F">
      <w:pPr>
        <w:rPr>
          <w:b/>
          <w:szCs w:val="22"/>
        </w:rPr>
      </w:pPr>
      <w:r w:rsidRPr="003021DE">
        <w:rPr>
          <w:b/>
          <w:szCs w:val="22"/>
        </w:rPr>
        <w:t>5.2</w:t>
      </w:r>
      <w:r w:rsidRPr="003021DE">
        <w:rPr>
          <w:b/>
          <w:szCs w:val="22"/>
        </w:rPr>
        <w:tab/>
        <w:t>Farmakokinetické vlastnosti</w:t>
      </w:r>
    </w:p>
    <w:p w14:paraId="070578F7" w14:textId="77777777" w:rsidR="00E1698A" w:rsidRPr="003021DE" w:rsidRDefault="00E1698A" w:rsidP="00E41B3F">
      <w:pPr>
        <w:rPr>
          <w:szCs w:val="22"/>
        </w:rPr>
      </w:pPr>
    </w:p>
    <w:p w14:paraId="77FE5DD0" w14:textId="77777777" w:rsidR="00FC6918" w:rsidRDefault="00F35CE2" w:rsidP="00E41B3F">
      <w:pPr>
        <w:numPr>
          <w:ilvl w:val="12"/>
          <w:numId w:val="0"/>
        </w:numPr>
        <w:suppressLineNumbers/>
        <w:ind w:right="-2"/>
        <w:rPr>
          <w:noProof/>
          <w:u w:val="single"/>
        </w:rPr>
      </w:pPr>
      <w:r w:rsidRPr="00B13F68">
        <w:rPr>
          <w:noProof/>
          <w:u w:val="single"/>
        </w:rPr>
        <w:t>Absorpcia</w:t>
      </w:r>
    </w:p>
    <w:p w14:paraId="7461FCB4" w14:textId="06C3A6B5" w:rsidR="002846AB" w:rsidRPr="002846AB" w:rsidRDefault="002846AB" w:rsidP="002846AB">
      <w:pPr>
        <w:numPr>
          <w:ilvl w:val="12"/>
          <w:numId w:val="0"/>
        </w:numPr>
        <w:suppressLineNumbers/>
        <w:ind w:right="-2"/>
        <w:rPr>
          <w:noProof/>
        </w:rPr>
      </w:pPr>
      <w:r w:rsidRPr="002846AB">
        <w:rPr>
          <w:noProof/>
        </w:rPr>
        <w:lastRenderedPageBreak/>
        <w:t>Furosemid sa rýchlo vstrebáva z gastrointestinálneho traktu a t</w:t>
      </w:r>
      <w:r w:rsidRPr="002846AB">
        <w:rPr>
          <w:noProof/>
          <w:vertAlign w:val="subscript"/>
        </w:rPr>
        <w:t>max</w:t>
      </w:r>
      <w:r w:rsidRPr="002846AB">
        <w:rPr>
          <w:noProof/>
        </w:rPr>
        <w:t xml:space="preserve"> je 1 až 1,5 hodiny. Absorpcia liečiva </w:t>
      </w:r>
      <w:r w:rsidR="002103CB">
        <w:rPr>
          <w:noProof/>
        </w:rPr>
        <w:t>naznačuje</w:t>
      </w:r>
      <w:r w:rsidRPr="002846AB">
        <w:rPr>
          <w:noProof/>
        </w:rPr>
        <w:t xml:space="preserve"> veľkú intra</w:t>
      </w:r>
      <w:r w:rsidR="00B8759F">
        <w:rPr>
          <w:noProof/>
        </w:rPr>
        <w:t>-</w:t>
      </w:r>
      <w:r w:rsidRPr="002846AB">
        <w:rPr>
          <w:noProof/>
        </w:rPr>
        <w:t xml:space="preserve"> a</w:t>
      </w:r>
      <w:r w:rsidR="00B8759F">
        <w:rPr>
          <w:noProof/>
        </w:rPr>
        <w:t> </w:t>
      </w:r>
      <w:r w:rsidR="002103CB">
        <w:rPr>
          <w:noProof/>
        </w:rPr>
        <w:t>inter</w:t>
      </w:r>
      <w:r w:rsidR="00B8759F">
        <w:rPr>
          <w:noProof/>
        </w:rPr>
        <w:t xml:space="preserve">individuálnu </w:t>
      </w:r>
      <w:r w:rsidRPr="002846AB">
        <w:rPr>
          <w:noProof/>
        </w:rPr>
        <w:t>variabilitu.</w:t>
      </w:r>
    </w:p>
    <w:p w14:paraId="6E28873D" w14:textId="61E86E72" w:rsidR="002846AB" w:rsidRDefault="002846AB" w:rsidP="002846AB">
      <w:pPr>
        <w:numPr>
          <w:ilvl w:val="12"/>
          <w:numId w:val="0"/>
        </w:numPr>
        <w:suppressLineNumbers/>
        <w:ind w:right="-2"/>
        <w:rPr>
          <w:noProof/>
        </w:rPr>
      </w:pPr>
      <w:r w:rsidRPr="002846AB">
        <w:rPr>
          <w:noProof/>
        </w:rPr>
        <w:t>Bi</w:t>
      </w:r>
      <w:r w:rsidR="002103CB">
        <w:rPr>
          <w:noProof/>
        </w:rPr>
        <w:t>o</w:t>
      </w:r>
      <w:r w:rsidR="00B8759F">
        <w:rPr>
          <w:noProof/>
        </w:rPr>
        <w:t xml:space="preserve">logická </w:t>
      </w:r>
      <w:r w:rsidRPr="002846AB">
        <w:rPr>
          <w:noProof/>
        </w:rPr>
        <w:t xml:space="preserve">dostupnosť furosemidu u zdravých dobrovoľníkov je </w:t>
      </w:r>
      <w:r w:rsidR="00B8759F">
        <w:rPr>
          <w:noProof/>
        </w:rPr>
        <w:t>pri</w:t>
      </w:r>
      <w:r w:rsidRPr="002846AB">
        <w:rPr>
          <w:noProof/>
        </w:rPr>
        <w:t xml:space="preserve"> tabl</w:t>
      </w:r>
      <w:r w:rsidR="00B8759F">
        <w:rPr>
          <w:noProof/>
        </w:rPr>
        <w:t>etách</w:t>
      </w:r>
      <w:r w:rsidRPr="002846AB">
        <w:rPr>
          <w:noProof/>
        </w:rPr>
        <w:t xml:space="preserve"> približne 50% až 70%. V prípade </w:t>
      </w:r>
      <w:r w:rsidR="00B8759F">
        <w:rPr>
          <w:noProof/>
        </w:rPr>
        <w:t>pacientov</w:t>
      </w:r>
      <w:r w:rsidRPr="002846AB">
        <w:rPr>
          <w:noProof/>
        </w:rPr>
        <w:t xml:space="preserve"> je bio</w:t>
      </w:r>
      <w:r w:rsidR="00B8759F">
        <w:rPr>
          <w:noProof/>
        </w:rPr>
        <w:t xml:space="preserve">logická </w:t>
      </w:r>
      <w:r w:rsidRPr="002846AB">
        <w:rPr>
          <w:noProof/>
        </w:rPr>
        <w:t xml:space="preserve">dostupnosť lieku ovplyvnená </w:t>
      </w:r>
      <w:r w:rsidR="002103CB">
        <w:rPr>
          <w:noProof/>
        </w:rPr>
        <w:t>viacerými</w:t>
      </w:r>
      <w:r w:rsidRPr="002846AB">
        <w:rPr>
          <w:noProof/>
        </w:rPr>
        <w:t xml:space="preserve"> faktormi, vrátane sprievodných ochorení, ktoré sú schopné zníž</w:t>
      </w:r>
      <w:r w:rsidR="002103CB">
        <w:rPr>
          <w:noProof/>
        </w:rPr>
        <w:t xml:space="preserve">iť </w:t>
      </w:r>
      <w:r w:rsidR="002103CB" w:rsidRPr="002846AB">
        <w:rPr>
          <w:noProof/>
        </w:rPr>
        <w:t>bio</w:t>
      </w:r>
      <w:r w:rsidR="00B8759F">
        <w:rPr>
          <w:noProof/>
        </w:rPr>
        <w:t xml:space="preserve">logickú </w:t>
      </w:r>
      <w:r w:rsidR="002103CB" w:rsidRPr="002846AB">
        <w:rPr>
          <w:noProof/>
        </w:rPr>
        <w:t>dostupnosť</w:t>
      </w:r>
      <w:r w:rsidRPr="002846AB">
        <w:rPr>
          <w:noProof/>
        </w:rPr>
        <w:t xml:space="preserve"> </w:t>
      </w:r>
      <w:r w:rsidR="00B8759F">
        <w:rPr>
          <w:noProof/>
        </w:rPr>
        <w:t>o</w:t>
      </w:r>
      <w:r w:rsidRPr="002846AB">
        <w:rPr>
          <w:noProof/>
        </w:rPr>
        <w:t xml:space="preserve"> 30% (napríklad v prípade nefrotického syndrómu).</w:t>
      </w:r>
    </w:p>
    <w:p w14:paraId="23D9271F" w14:textId="2CE20207" w:rsidR="002846AB" w:rsidRDefault="002103CB" w:rsidP="002846AB">
      <w:pPr>
        <w:numPr>
          <w:ilvl w:val="12"/>
          <w:numId w:val="0"/>
        </w:numPr>
        <w:suppressLineNumbers/>
        <w:ind w:right="-2"/>
        <w:rPr>
          <w:noProof/>
        </w:rPr>
      </w:pPr>
      <w:r w:rsidRPr="002103CB">
        <w:rPr>
          <w:noProof/>
        </w:rPr>
        <w:t xml:space="preserve">Skutočnosť, že absorpcia furosemidu môže byť ovplyvnená príjmom potravy a rozsah tohto </w:t>
      </w:r>
      <w:r w:rsidR="007E7F45">
        <w:rPr>
          <w:noProof/>
        </w:rPr>
        <w:t>vplyvu</w:t>
      </w:r>
      <w:r w:rsidRPr="002103CB">
        <w:rPr>
          <w:noProof/>
        </w:rPr>
        <w:t xml:space="preserve">  sa</w:t>
      </w:r>
      <w:r>
        <w:rPr>
          <w:noProof/>
        </w:rPr>
        <w:t xml:space="preserve"> </w:t>
      </w:r>
      <w:r w:rsidR="007E7F45">
        <w:rPr>
          <w:noProof/>
        </w:rPr>
        <w:t xml:space="preserve">zdá </w:t>
      </w:r>
      <w:r>
        <w:rPr>
          <w:noProof/>
        </w:rPr>
        <w:t>byť</w:t>
      </w:r>
      <w:r w:rsidRPr="002103CB">
        <w:rPr>
          <w:noProof/>
        </w:rPr>
        <w:t xml:space="preserve"> závis</w:t>
      </w:r>
      <w:r>
        <w:rPr>
          <w:noProof/>
        </w:rPr>
        <w:t>lý od</w:t>
      </w:r>
      <w:r w:rsidRPr="002103CB">
        <w:rPr>
          <w:noProof/>
        </w:rPr>
        <w:t xml:space="preserve"> príslušn</w:t>
      </w:r>
      <w:r>
        <w:rPr>
          <w:noProof/>
        </w:rPr>
        <w:t>ej</w:t>
      </w:r>
      <w:r w:rsidRPr="002103CB">
        <w:rPr>
          <w:noProof/>
        </w:rPr>
        <w:t xml:space="preserve"> </w:t>
      </w:r>
      <w:r w:rsidR="007E7F45">
        <w:rPr>
          <w:noProof/>
        </w:rPr>
        <w:t>liekovej formy</w:t>
      </w:r>
      <w:r w:rsidRPr="002103CB">
        <w:rPr>
          <w:noProof/>
        </w:rPr>
        <w:t>.</w:t>
      </w:r>
    </w:p>
    <w:p w14:paraId="5CBEA2C2" w14:textId="77777777" w:rsidR="002103CB" w:rsidRPr="002846AB" w:rsidRDefault="002103CB" w:rsidP="002846AB">
      <w:pPr>
        <w:numPr>
          <w:ilvl w:val="12"/>
          <w:numId w:val="0"/>
        </w:numPr>
        <w:suppressLineNumbers/>
        <w:ind w:right="-2"/>
        <w:rPr>
          <w:noProof/>
        </w:rPr>
      </w:pPr>
    </w:p>
    <w:p w14:paraId="1876C5CB" w14:textId="77777777" w:rsidR="00FC6918" w:rsidRDefault="00F35CE2" w:rsidP="00E41B3F">
      <w:pPr>
        <w:numPr>
          <w:ilvl w:val="12"/>
          <w:numId w:val="0"/>
        </w:numPr>
        <w:suppressLineNumbers/>
        <w:ind w:right="-2"/>
        <w:rPr>
          <w:noProof/>
          <w:u w:val="single"/>
        </w:rPr>
      </w:pPr>
      <w:r w:rsidRPr="00B13F68">
        <w:rPr>
          <w:noProof/>
          <w:u w:val="single"/>
        </w:rPr>
        <w:t>Distribúcia</w:t>
      </w:r>
    </w:p>
    <w:p w14:paraId="1F8EC401" w14:textId="77777777" w:rsidR="007E7F45" w:rsidRPr="007E7F45" w:rsidRDefault="007E7F45" w:rsidP="007E7F45">
      <w:pPr>
        <w:numPr>
          <w:ilvl w:val="12"/>
          <w:numId w:val="0"/>
        </w:numPr>
        <w:suppressLineNumbers/>
        <w:ind w:right="-2"/>
        <w:rPr>
          <w:noProof/>
        </w:rPr>
      </w:pPr>
      <w:r w:rsidRPr="007E7F45">
        <w:rPr>
          <w:noProof/>
        </w:rPr>
        <w:t>Distribučný objem furosemidu je 0,1 až 1,2 litra na kg telesnej hmotnosti. Distribučný objem môže byť vyšší v závislosti od typu sprievodného ochorenia.</w:t>
      </w:r>
    </w:p>
    <w:p w14:paraId="43022A3D" w14:textId="77777777" w:rsidR="007E7F45" w:rsidRPr="007E7F45" w:rsidRDefault="007E7F45" w:rsidP="007E7F45">
      <w:pPr>
        <w:numPr>
          <w:ilvl w:val="12"/>
          <w:numId w:val="0"/>
        </w:numPr>
        <w:suppressLineNumbers/>
        <w:ind w:right="-2"/>
        <w:rPr>
          <w:noProof/>
        </w:rPr>
      </w:pPr>
      <w:r w:rsidRPr="007E7F45">
        <w:rPr>
          <w:noProof/>
        </w:rPr>
        <w:t xml:space="preserve">Väzba na plazmatické bielkoviny (väčšinou na albumín) je </w:t>
      </w:r>
      <w:r>
        <w:rPr>
          <w:noProof/>
        </w:rPr>
        <w:t>vyššia</w:t>
      </w:r>
      <w:r w:rsidRPr="007E7F45">
        <w:rPr>
          <w:noProof/>
        </w:rPr>
        <w:t xml:space="preserve"> ako 98%.</w:t>
      </w:r>
    </w:p>
    <w:p w14:paraId="451B31C3" w14:textId="77777777" w:rsidR="007E7F45" w:rsidRPr="00B13F68" w:rsidRDefault="007E7F45" w:rsidP="00E41B3F">
      <w:pPr>
        <w:numPr>
          <w:ilvl w:val="12"/>
          <w:numId w:val="0"/>
        </w:numPr>
        <w:suppressLineNumbers/>
        <w:ind w:right="-2"/>
        <w:rPr>
          <w:noProof/>
          <w:u w:val="single"/>
        </w:rPr>
      </w:pPr>
    </w:p>
    <w:p w14:paraId="3F50EA3E" w14:textId="77777777" w:rsidR="00FC6918" w:rsidRDefault="00F35CE2" w:rsidP="00E41B3F">
      <w:pPr>
        <w:numPr>
          <w:ilvl w:val="12"/>
          <w:numId w:val="0"/>
        </w:numPr>
        <w:suppressLineNumbers/>
        <w:ind w:right="-2"/>
        <w:rPr>
          <w:noProof/>
          <w:u w:val="single"/>
        </w:rPr>
      </w:pPr>
      <w:r w:rsidRPr="00B13F68">
        <w:rPr>
          <w:noProof/>
          <w:u w:val="single"/>
        </w:rPr>
        <w:t>Biotransformácia</w:t>
      </w:r>
      <w:r w:rsidR="007E7F45">
        <w:rPr>
          <w:noProof/>
          <w:u w:val="single"/>
        </w:rPr>
        <w:t xml:space="preserve"> a e</w:t>
      </w:r>
      <w:r w:rsidRPr="00B13F68">
        <w:rPr>
          <w:noProof/>
          <w:u w:val="single"/>
        </w:rPr>
        <w:t>liminácia</w:t>
      </w:r>
    </w:p>
    <w:p w14:paraId="1E3735A6" w14:textId="31C2F061" w:rsidR="007E7F45" w:rsidRDefault="007E7F45" w:rsidP="00E41B3F">
      <w:pPr>
        <w:numPr>
          <w:ilvl w:val="12"/>
          <w:numId w:val="0"/>
        </w:numPr>
        <w:suppressLineNumbers/>
        <w:ind w:right="-2"/>
        <w:rPr>
          <w:noProof/>
        </w:rPr>
      </w:pPr>
      <w:r w:rsidRPr="007E7F45">
        <w:rPr>
          <w:noProof/>
        </w:rPr>
        <w:t xml:space="preserve">Furosemid sa vylučuje väčšinou v nekonjugovanej forme, hlavne sekréciou na úrovni proximálneho tubulu. Glukurónový metabolit furosemidu predstavuje 10% až 20% látok </w:t>
      </w:r>
      <w:r w:rsidR="00B8759F">
        <w:rPr>
          <w:noProof/>
        </w:rPr>
        <w:t>vylúčených močom</w:t>
      </w:r>
      <w:r w:rsidRPr="007E7F45">
        <w:rPr>
          <w:noProof/>
        </w:rPr>
        <w:t xml:space="preserve">. Zvyšná dávka sa vylučuje stolicou, pravdepodobne po </w:t>
      </w:r>
      <w:r w:rsidR="00B8759F">
        <w:rPr>
          <w:noProof/>
        </w:rPr>
        <w:t xml:space="preserve">biliárnej </w:t>
      </w:r>
      <w:r>
        <w:rPr>
          <w:noProof/>
        </w:rPr>
        <w:t>sekrécii</w:t>
      </w:r>
      <w:r w:rsidRPr="007E7F45">
        <w:rPr>
          <w:noProof/>
        </w:rPr>
        <w:t>.</w:t>
      </w:r>
    </w:p>
    <w:p w14:paraId="4711F513" w14:textId="77777777" w:rsidR="007E7F45" w:rsidRDefault="007E7F45" w:rsidP="00E41B3F">
      <w:pPr>
        <w:numPr>
          <w:ilvl w:val="12"/>
          <w:numId w:val="0"/>
        </w:numPr>
        <w:suppressLineNumbers/>
        <w:ind w:right="-2"/>
        <w:rPr>
          <w:noProof/>
        </w:rPr>
      </w:pPr>
    </w:p>
    <w:p w14:paraId="16F3B697" w14:textId="79E38D53" w:rsidR="007E7F45" w:rsidRPr="00FD515D" w:rsidRDefault="007E7F45" w:rsidP="007E7F45">
      <w:pPr>
        <w:ind w:left="0" w:firstLine="0"/>
        <w:rPr>
          <w:szCs w:val="22"/>
        </w:rPr>
      </w:pPr>
      <w:proofErr w:type="spellStart"/>
      <w:r w:rsidRPr="00FD515D">
        <w:rPr>
          <w:szCs w:val="22"/>
        </w:rPr>
        <w:t>Furosemid</w:t>
      </w:r>
      <w:proofErr w:type="spellEnd"/>
      <w:r w:rsidRPr="00FD515D">
        <w:rPr>
          <w:szCs w:val="22"/>
        </w:rPr>
        <w:t xml:space="preserve"> sa vylučuje do materského mlieka. Prechádza placentárnou bari</w:t>
      </w:r>
      <w:r>
        <w:rPr>
          <w:szCs w:val="22"/>
        </w:rPr>
        <w:t>é</w:t>
      </w:r>
      <w:r w:rsidRPr="00FD515D">
        <w:rPr>
          <w:szCs w:val="22"/>
        </w:rPr>
        <w:t xml:space="preserve">rou a pomaly </w:t>
      </w:r>
      <w:r w:rsidR="00BA4DDD">
        <w:rPr>
          <w:szCs w:val="22"/>
        </w:rPr>
        <w:t xml:space="preserve">prestupuje </w:t>
      </w:r>
      <w:r w:rsidRPr="00FD515D">
        <w:rPr>
          <w:szCs w:val="22"/>
        </w:rPr>
        <w:t xml:space="preserve">do plodu. </w:t>
      </w:r>
      <w:proofErr w:type="spellStart"/>
      <w:r w:rsidRPr="00FD515D">
        <w:rPr>
          <w:szCs w:val="22"/>
        </w:rPr>
        <w:t>Furosemid</w:t>
      </w:r>
      <w:proofErr w:type="spellEnd"/>
      <w:r w:rsidRPr="00FD515D">
        <w:rPr>
          <w:szCs w:val="22"/>
        </w:rPr>
        <w:t xml:space="preserve"> dosahuje podobné koncentrácie u matky, plodu alebo novorodenca.</w:t>
      </w:r>
    </w:p>
    <w:p w14:paraId="1EB08CC9" w14:textId="77777777" w:rsidR="007E7F45" w:rsidRPr="007E7F45" w:rsidRDefault="007E7F45" w:rsidP="007E7F45">
      <w:pPr>
        <w:numPr>
          <w:ilvl w:val="12"/>
          <w:numId w:val="0"/>
        </w:numPr>
        <w:suppressLineNumbers/>
        <w:ind w:right="-2"/>
        <w:rPr>
          <w:noProof/>
        </w:rPr>
      </w:pPr>
    </w:p>
    <w:p w14:paraId="7615AAE5" w14:textId="29B1B425" w:rsidR="007E7F45" w:rsidRDefault="0059553A" w:rsidP="00E41B3F">
      <w:pPr>
        <w:numPr>
          <w:ilvl w:val="12"/>
          <w:numId w:val="0"/>
        </w:numPr>
        <w:suppressLineNumbers/>
        <w:ind w:right="-2"/>
        <w:rPr>
          <w:noProof/>
          <w:u w:val="single"/>
        </w:rPr>
      </w:pPr>
      <w:r>
        <w:rPr>
          <w:noProof/>
          <w:u w:val="single"/>
        </w:rPr>
        <w:t>Osobitné</w:t>
      </w:r>
      <w:r w:rsidR="00825580">
        <w:rPr>
          <w:noProof/>
          <w:u w:val="single"/>
        </w:rPr>
        <w:t xml:space="preserve"> populácie</w:t>
      </w:r>
    </w:p>
    <w:p w14:paraId="384A1604" w14:textId="77777777" w:rsidR="00825580" w:rsidRPr="00825580" w:rsidRDefault="00770D61" w:rsidP="00825580">
      <w:pPr>
        <w:numPr>
          <w:ilvl w:val="12"/>
          <w:numId w:val="0"/>
        </w:numPr>
        <w:suppressLineNumbers/>
        <w:ind w:right="-2"/>
        <w:rPr>
          <w:i/>
          <w:iCs/>
          <w:noProof/>
        </w:rPr>
      </w:pPr>
      <w:r>
        <w:rPr>
          <w:i/>
          <w:iCs/>
          <w:noProof/>
        </w:rPr>
        <w:t>Porucha funkcie obličiek</w:t>
      </w:r>
    </w:p>
    <w:p w14:paraId="0D3B76FD" w14:textId="65DE2472" w:rsidR="00825580" w:rsidRDefault="00825580" w:rsidP="00825580">
      <w:pPr>
        <w:numPr>
          <w:ilvl w:val="12"/>
          <w:numId w:val="0"/>
        </w:numPr>
        <w:suppressLineNumbers/>
        <w:ind w:right="-2"/>
        <w:rPr>
          <w:noProof/>
        </w:rPr>
      </w:pPr>
      <w:r>
        <w:rPr>
          <w:noProof/>
        </w:rPr>
        <w:t>V prípade zlyhania obličiek je eliminácia furosemidu pomalšia a jeho polčas je predĺžený, terminálny polčas môže u pacientov so závažným zlyh</w:t>
      </w:r>
      <w:r w:rsidR="0059553A">
        <w:rPr>
          <w:noProof/>
        </w:rPr>
        <w:t>ávaním</w:t>
      </w:r>
      <w:r>
        <w:rPr>
          <w:noProof/>
        </w:rPr>
        <w:t>obličiek dosiahnuť 24 hodín.</w:t>
      </w:r>
    </w:p>
    <w:p w14:paraId="3D509217" w14:textId="77777777" w:rsidR="00825580" w:rsidRDefault="00825580" w:rsidP="00825580">
      <w:pPr>
        <w:numPr>
          <w:ilvl w:val="12"/>
          <w:numId w:val="0"/>
        </w:numPr>
        <w:suppressLineNumbers/>
        <w:ind w:right="-2"/>
        <w:rPr>
          <w:noProof/>
        </w:rPr>
      </w:pPr>
    </w:p>
    <w:p w14:paraId="57014F73" w14:textId="77777777" w:rsidR="00825580" w:rsidRDefault="00825580" w:rsidP="00825580">
      <w:pPr>
        <w:numPr>
          <w:ilvl w:val="12"/>
          <w:numId w:val="0"/>
        </w:numPr>
        <w:suppressLineNumbers/>
        <w:ind w:right="-2"/>
        <w:rPr>
          <w:noProof/>
        </w:rPr>
      </w:pPr>
      <w:r>
        <w:rPr>
          <w:noProof/>
        </w:rPr>
        <w:t xml:space="preserve">V prípade nefrotického syndrómu vedie nižšia koncentrácia plazmatických proteínov k </w:t>
      </w:r>
      <w:r w:rsidR="00770D61">
        <w:rPr>
          <w:noProof/>
        </w:rPr>
        <w:t>zvý</w:t>
      </w:r>
      <w:r>
        <w:rPr>
          <w:noProof/>
        </w:rPr>
        <w:t>š</w:t>
      </w:r>
      <w:r w:rsidR="00770D61">
        <w:rPr>
          <w:noProof/>
        </w:rPr>
        <w:t>eným</w:t>
      </w:r>
      <w:r>
        <w:rPr>
          <w:noProof/>
        </w:rPr>
        <w:t xml:space="preserve"> koncentráciám nekonjugovaného (voľného) furosemidu. Na druhej strane je účinnosť furosemidu u týchto pacientov znížená v dôsledku väzby na intratubulárny albumín a zníženej tubulárnej sekrécie.</w:t>
      </w:r>
    </w:p>
    <w:p w14:paraId="6851D979" w14:textId="77777777" w:rsidR="00825580" w:rsidRDefault="00825580" w:rsidP="00E41B3F">
      <w:pPr>
        <w:numPr>
          <w:ilvl w:val="12"/>
          <w:numId w:val="0"/>
        </w:numPr>
        <w:suppressLineNumbers/>
        <w:ind w:right="-2"/>
        <w:rPr>
          <w:noProof/>
        </w:rPr>
      </w:pPr>
    </w:p>
    <w:p w14:paraId="2710E9F9" w14:textId="77777777" w:rsidR="00825580" w:rsidRDefault="00825580" w:rsidP="00825580">
      <w:pPr>
        <w:numPr>
          <w:ilvl w:val="12"/>
          <w:numId w:val="0"/>
        </w:numPr>
        <w:suppressLineNumbers/>
        <w:ind w:right="-2"/>
        <w:rPr>
          <w:noProof/>
        </w:rPr>
      </w:pPr>
      <w:r>
        <w:rPr>
          <w:noProof/>
        </w:rPr>
        <w:t xml:space="preserve">Furosemid je </w:t>
      </w:r>
      <w:r w:rsidR="00770D61">
        <w:rPr>
          <w:noProof/>
        </w:rPr>
        <w:t>slabo</w:t>
      </w:r>
      <w:r>
        <w:rPr>
          <w:noProof/>
        </w:rPr>
        <w:t xml:space="preserve"> dialyzovateľný u pacientov podstupujúcich hemodialýzu, peritoneálnu dialýzu alebo nepretržitú ambulantnú peritoneálnu dialýzu.</w:t>
      </w:r>
    </w:p>
    <w:p w14:paraId="4EECC854" w14:textId="77777777" w:rsidR="00825580" w:rsidRDefault="00825580" w:rsidP="00825580">
      <w:pPr>
        <w:numPr>
          <w:ilvl w:val="12"/>
          <w:numId w:val="0"/>
        </w:numPr>
        <w:suppressLineNumbers/>
        <w:ind w:right="-2"/>
        <w:rPr>
          <w:noProof/>
        </w:rPr>
      </w:pPr>
    </w:p>
    <w:p w14:paraId="6CCE144E" w14:textId="77777777" w:rsidR="00825580" w:rsidRPr="00825580" w:rsidRDefault="00770D61" w:rsidP="00825580">
      <w:pPr>
        <w:numPr>
          <w:ilvl w:val="12"/>
          <w:numId w:val="0"/>
        </w:numPr>
        <w:suppressLineNumbers/>
        <w:ind w:right="-2"/>
        <w:rPr>
          <w:i/>
          <w:iCs/>
          <w:noProof/>
        </w:rPr>
      </w:pPr>
      <w:r>
        <w:rPr>
          <w:i/>
          <w:iCs/>
          <w:noProof/>
        </w:rPr>
        <w:t>Porucha funkcie pečene</w:t>
      </w:r>
    </w:p>
    <w:p w14:paraId="38EDF3B7" w14:textId="16292978" w:rsidR="00825580" w:rsidRDefault="00825580" w:rsidP="00825580">
      <w:pPr>
        <w:numPr>
          <w:ilvl w:val="12"/>
          <w:numId w:val="0"/>
        </w:numPr>
        <w:suppressLineNumbers/>
        <w:ind w:right="-2"/>
        <w:rPr>
          <w:noProof/>
        </w:rPr>
      </w:pPr>
      <w:r>
        <w:rPr>
          <w:noProof/>
        </w:rPr>
        <w:t>V prípade zlyh</w:t>
      </w:r>
      <w:r w:rsidR="0059553A">
        <w:rPr>
          <w:noProof/>
        </w:rPr>
        <w:t>ávania</w:t>
      </w:r>
      <w:r>
        <w:rPr>
          <w:noProof/>
        </w:rPr>
        <w:t xml:space="preserve"> pečene sa polčas furosemidu zvyšuje o 30% až 90%, hlavne z dôvodu v</w:t>
      </w:r>
      <w:r w:rsidR="00770D61">
        <w:rPr>
          <w:noProof/>
        </w:rPr>
        <w:t>äčšieho</w:t>
      </w:r>
      <w:r>
        <w:rPr>
          <w:noProof/>
        </w:rPr>
        <w:t xml:space="preserve"> distribučného objemu. Okrem toho </w:t>
      </w:r>
      <w:r w:rsidR="00770D61">
        <w:rPr>
          <w:noProof/>
        </w:rPr>
        <w:t xml:space="preserve">je </w:t>
      </w:r>
      <w:r>
        <w:rPr>
          <w:noProof/>
        </w:rPr>
        <w:t>v tejto skupine pacientov veľká variabilita farmakokinetických parametrov.</w:t>
      </w:r>
    </w:p>
    <w:p w14:paraId="1BAB853B" w14:textId="77777777" w:rsidR="00825580" w:rsidRDefault="00825580" w:rsidP="00825580">
      <w:pPr>
        <w:numPr>
          <w:ilvl w:val="12"/>
          <w:numId w:val="0"/>
        </w:numPr>
        <w:suppressLineNumbers/>
        <w:ind w:right="-2"/>
        <w:rPr>
          <w:noProof/>
        </w:rPr>
      </w:pPr>
    </w:p>
    <w:p w14:paraId="1E22E26E" w14:textId="1C1FDB48" w:rsidR="00825580" w:rsidRPr="00825580" w:rsidRDefault="00825580" w:rsidP="00825580">
      <w:pPr>
        <w:numPr>
          <w:ilvl w:val="12"/>
          <w:numId w:val="0"/>
        </w:numPr>
        <w:suppressLineNumbers/>
        <w:ind w:right="-2"/>
        <w:rPr>
          <w:i/>
          <w:iCs/>
          <w:noProof/>
        </w:rPr>
      </w:pPr>
      <w:r w:rsidRPr="00825580">
        <w:rPr>
          <w:i/>
          <w:iCs/>
          <w:noProof/>
        </w:rPr>
        <w:t>Kongestívne</w:t>
      </w:r>
      <w:r w:rsidR="0059553A">
        <w:rPr>
          <w:i/>
          <w:iCs/>
          <w:noProof/>
        </w:rPr>
        <w:t xml:space="preserve"> zlyhávanie srdca</w:t>
      </w:r>
      <w:r w:rsidRPr="00825580">
        <w:rPr>
          <w:i/>
          <w:iCs/>
          <w:noProof/>
        </w:rPr>
        <w:t xml:space="preserve">, </w:t>
      </w:r>
      <w:r w:rsidR="0059553A">
        <w:rPr>
          <w:i/>
          <w:iCs/>
          <w:noProof/>
        </w:rPr>
        <w:t>závažná</w:t>
      </w:r>
      <w:r w:rsidRPr="00825580">
        <w:rPr>
          <w:i/>
          <w:iCs/>
          <w:noProof/>
        </w:rPr>
        <w:t xml:space="preserve"> hypertenzia, starší </w:t>
      </w:r>
      <w:r w:rsidR="0059553A">
        <w:rPr>
          <w:i/>
          <w:iCs/>
          <w:noProof/>
        </w:rPr>
        <w:t>pacienti</w:t>
      </w:r>
    </w:p>
    <w:p w14:paraId="3B556011" w14:textId="5894F85D" w:rsidR="00825580" w:rsidRDefault="00825580" w:rsidP="00825580">
      <w:pPr>
        <w:numPr>
          <w:ilvl w:val="12"/>
          <w:numId w:val="0"/>
        </w:numPr>
        <w:suppressLineNumbers/>
        <w:ind w:right="-2"/>
        <w:rPr>
          <w:noProof/>
        </w:rPr>
      </w:pPr>
      <w:r>
        <w:rPr>
          <w:noProof/>
        </w:rPr>
        <w:t>Eliminácia furosemidu je pomalšia u pacientov s kongestívnym zlyh</w:t>
      </w:r>
      <w:r w:rsidR="0059553A">
        <w:rPr>
          <w:noProof/>
        </w:rPr>
        <w:t>ávaním</w:t>
      </w:r>
      <w:r>
        <w:rPr>
          <w:noProof/>
        </w:rPr>
        <w:t xml:space="preserve"> srdca, </w:t>
      </w:r>
      <w:r w:rsidR="0059553A">
        <w:rPr>
          <w:noProof/>
        </w:rPr>
        <w:t xml:space="preserve">závažnou </w:t>
      </w:r>
      <w:r>
        <w:rPr>
          <w:noProof/>
        </w:rPr>
        <w:t xml:space="preserve">hypertenziou alebo u starších </w:t>
      </w:r>
      <w:r w:rsidR="0059553A">
        <w:rPr>
          <w:noProof/>
        </w:rPr>
        <w:t>pacientov</w:t>
      </w:r>
      <w:r w:rsidRPr="00825580">
        <w:rPr>
          <w:noProof/>
        </w:rPr>
        <w:t xml:space="preserve"> </w:t>
      </w:r>
      <w:r>
        <w:rPr>
          <w:noProof/>
        </w:rPr>
        <w:t>v dôsledku zníženej funkcie obličiek.</w:t>
      </w:r>
    </w:p>
    <w:p w14:paraId="5553384D" w14:textId="77777777" w:rsidR="00825580" w:rsidRDefault="00825580" w:rsidP="00825580">
      <w:pPr>
        <w:numPr>
          <w:ilvl w:val="12"/>
          <w:numId w:val="0"/>
        </w:numPr>
        <w:suppressLineNumbers/>
        <w:ind w:right="-2"/>
        <w:rPr>
          <w:noProof/>
        </w:rPr>
      </w:pPr>
    </w:p>
    <w:p w14:paraId="74A3D0CA" w14:textId="77777777" w:rsidR="00825580" w:rsidRPr="00825580" w:rsidRDefault="00825580" w:rsidP="00825580">
      <w:pPr>
        <w:numPr>
          <w:ilvl w:val="12"/>
          <w:numId w:val="0"/>
        </w:numPr>
        <w:suppressLineNumbers/>
        <w:ind w:right="-2"/>
        <w:rPr>
          <w:i/>
          <w:iCs/>
          <w:noProof/>
        </w:rPr>
      </w:pPr>
      <w:r w:rsidRPr="00825580">
        <w:rPr>
          <w:i/>
          <w:iCs/>
          <w:noProof/>
        </w:rPr>
        <w:t>Predčasne narodené deti a novorodenci</w:t>
      </w:r>
    </w:p>
    <w:p w14:paraId="4B8DC806" w14:textId="77777777" w:rsidR="00825580" w:rsidRPr="00825580" w:rsidRDefault="00825580" w:rsidP="00825580">
      <w:pPr>
        <w:numPr>
          <w:ilvl w:val="12"/>
          <w:numId w:val="0"/>
        </w:numPr>
        <w:suppressLineNumbers/>
        <w:ind w:right="-2"/>
        <w:rPr>
          <w:noProof/>
        </w:rPr>
      </w:pPr>
      <w:r>
        <w:rPr>
          <w:noProof/>
        </w:rPr>
        <w:t>V závislosti od zrelosti obličiek môže byť eliminácia furosemidu pomalšia. Metabolizmus liečiva sa znižuje aj v prípade detí s nedostatočnou kapacitou glukoroni</w:t>
      </w:r>
      <w:r w:rsidR="00770D61">
        <w:rPr>
          <w:noProof/>
        </w:rPr>
        <w:t>z</w:t>
      </w:r>
      <w:r>
        <w:rPr>
          <w:noProof/>
        </w:rPr>
        <w:t xml:space="preserve">ácie. Terminálny polčas je </w:t>
      </w:r>
      <w:r w:rsidR="00770D61">
        <w:rPr>
          <w:noProof/>
        </w:rPr>
        <w:t xml:space="preserve">menej ako 12 hodín </w:t>
      </w:r>
      <w:r>
        <w:rPr>
          <w:noProof/>
        </w:rPr>
        <w:t xml:space="preserve">u detí starších ako 33 týždňov </w:t>
      </w:r>
      <w:r w:rsidR="00770D61">
        <w:rPr>
          <w:noProof/>
        </w:rPr>
        <w:t>od počatia</w:t>
      </w:r>
      <w:r>
        <w:rPr>
          <w:noProof/>
        </w:rPr>
        <w:t>. U</w:t>
      </w:r>
      <w:r w:rsidR="00770D61">
        <w:rPr>
          <w:noProof/>
        </w:rPr>
        <w:t> dvojmesačných a starších detí</w:t>
      </w:r>
      <w:r>
        <w:rPr>
          <w:noProof/>
        </w:rPr>
        <w:t xml:space="preserve"> je terminálny klírens rovnaký ako u dospelých.</w:t>
      </w:r>
    </w:p>
    <w:p w14:paraId="193F64B9" w14:textId="77777777" w:rsidR="00780926" w:rsidRPr="003021DE" w:rsidRDefault="00780926" w:rsidP="00E41B3F">
      <w:pPr>
        <w:rPr>
          <w:szCs w:val="22"/>
        </w:rPr>
      </w:pPr>
    </w:p>
    <w:p w14:paraId="3007DF2E" w14:textId="77777777" w:rsidR="00780926" w:rsidRPr="003021DE" w:rsidRDefault="00F35CE2" w:rsidP="00223E9F">
      <w:pPr>
        <w:keepNext/>
        <w:rPr>
          <w:szCs w:val="22"/>
        </w:rPr>
      </w:pPr>
      <w:r w:rsidRPr="003021DE">
        <w:rPr>
          <w:b/>
          <w:szCs w:val="22"/>
        </w:rPr>
        <w:t>5.3</w:t>
      </w:r>
      <w:r w:rsidRPr="003021DE">
        <w:rPr>
          <w:b/>
          <w:szCs w:val="22"/>
        </w:rPr>
        <w:tab/>
        <w:t>Predklinické údaje o</w:t>
      </w:r>
      <w:r w:rsidR="00FA099B">
        <w:rPr>
          <w:b/>
          <w:szCs w:val="22"/>
        </w:rPr>
        <w:t> </w:t>
      </w:r>
      <w:r w:rsidRPr="003021DE">
        <w:rPr>
          <w:b/>
          <w:szCs w:val="22"/>
        </w:rPr>
        <w:t>bezpečnosti</w:t>
      </w:r>
    </w:p>
    <w:p w14:paraId="3909B69C" w14:textId="77777777" w:rsidR="00780926" w:rsidRPr="003021DE" w:rsidRDefault="00780926" w:rsidP="00223E9F">
      <w:pPr>
        <w:keepNext/>
        <w:rPr>
          <w:szCs w:val="22"/>
        </w:rPr>
      </w:pPr>
    </w:p>
    <w:p w14:paraId="44AF62C7" w14:textId="77777777" w:rsidR="00780926" w:rsidRDefault="00770D61" w:rsidP="00E41B3F">
      <w:pPr>
        <w:rPr>
          <w:szCs w:val="22"/>
          <w:u w:val="single"/>
        </w:rPr>
      </w:pPr>
      <w:r w:rsidRPr="00770D61">
        <w:rPr>
          <w:szCs w:val="22"/>
          <w:u w:val="single"/>
        </w:rPr>
        <w:t>Akútna toxicita</w:t>
      </w:r>
    </w:p>
    <w:p w14:paraId="176D398C" w14:textId="234D6F06" w:rsidR="008B68EF" w:rsidRPr="008B68EF" w:rsidRDefault="008B68EF" w:rsidP="008B68EF">
      <w:pPr>
        <w:ind w:left="0" w:firstLine="0"/>
        <w:rPr>
          <w:szCs w:val="22"/>
        </w:rPr>
      </w:pPr>
      <w:r w:rsidRPr="008B68EF">
        <w:rPr>
          <w:szCs w:val="22"/>
        </w:rPr>
        <w:t xml:space="preserve">Štúdie vykonané </w:t>
      </w:r>
      <w:r w:rsidR="00993F2C">
        <w:rPr>
          <w:szCs w:val="22"/>
        </w:rPr>
        <w:t>po</w:t>
      </w:r>
      <w:r w:rsidRPr="008B68EF">
        <w:rPr>
          <w:szCs w:val="22"/>
        </w:rPr>
        <w:t xml:space="preserve"> peroráln</w:t>
      </w:r>
      <w:r w:rsidR="00993F2C">
        <w:rPr>
          <w:szCs w:val="22"/>
        </w:rPr>
        <w:t>om</w:t>
      </w:r>
      <w:r w:rsidRPr="008B68EF">
        <w:rPr>
          <w:szCs w:val="22"/>
        </w:rPr>
        <w:t xml:space="preserve"> a intravenózn</w:t>
      </w:r>
      <w:r w:rsidR="00993F2C">
        <w:rPr>
          <w:szCs w:val="22"/>
        </w:rPr>
        <w:t>om</w:t>
      </w:r>
      <w:r w:rsidRPr="008B68EF">
        <w:rPr>
          <w:szCs w:val="22"/>
        </w:rPr>
        <w:t xml:space="preserve"> podaní </w:t>
      </w:r>
      <w:proofErr w:type="spellStart"/>
      <w:r w:rsidRPr="008B68EF">
        <w:rPr>
          <w:szCs w:val="22"/>
        </w:rPr>
        <w:t>furosemidu</w:t>
      </w:r>
      <w:proofErr w:type="spellEnd"/>
      <w:r w:rsidRPr="008B68EF">
        <w:rPr>
          <w:szCs w:val="22"/>
        </w:rPr>
        <w:t xml:space="preserve"> niekoľký</w:t>
      </w:r>
      <w:r w:rsidR="00993F2C">
        <w:rPr>
          <w:szCs w:val="22"/>
        </w:rPr>
        <w:t>m</w:t>
      </w:r>
      <w:r w:rsidRPr="008B68EF">
        <w:rPr>
          <w:szCs w:val="22"/>
        </w:rPr>
        <w:t xml:space="preserve"> druho</w:t>
      </w:r>
      <w:r w:rsidR="00993F2C">
        <w:rPr>
          <w:szCs w:val="22"/>
        </w:rPr>
        <w:t>m</w:t>
      </w:r>
      <w:r w:rsidRPr="008B68EF">
        <w:rPr>
          <w:szCs w:val="22"/>
        </w:rPr>
        <w:t xml:space="preserve"> hlodavco</w:t>
      </w:r>
      <w:r w:rsidR="00993F2C">
        <w:rPr>
          <w:szCs w:val="22"/>
        </w:rPr>
        <w:t>v</w:t>
      </w:r>
      <w:r w:rsidRPr="008B68EF">
        <w:rPr>
          <w:szCs w:val="22"/>
        </w:rPr>
        <w:t xml:space="preserve"> a psov preukázali nízku akútnu toxicitu.</w:t>
      </w:r>
    </w:p>
    <w:p w14:paraId="54456DC0" w14:textId="77777777" w:rsidR="008B68EF" w:rsidRPr="008B68EF" w:rsidRDefault="008B68EF" w:rsidP="008B68EF">
      <w:pPr>
        <w:ind w:left="0" w:firstLine="0"/>
        <w:rPr>
          <w:szCs w:val="22"/>
        </w:rPr>
      </w:pPr>
      <w:r w:rsidRPr="008B68EF">
        <w:rPr>
          <w:szCs w:val="22"/>
        </w:rPr>
        <w:t>Perorálna LD</w:t>
      </w:r>
      <w:r w:rsidRPr="008B68EF">
        <w:rPr>
          <w:szCs w:val="22"/>
          <w:vertAlign w:val="subscript"/>
        </w:rPr>
        <w:t>50</w:t>
      </w:r>
      <w:r w:rsidRPr="008B68EF">
        <w:rPr>
          <w:szCs w:val="22"/>
        </w:rPr>
        <w:t xml:space="preserve"> je medzi 1 050 a 4 600 mg/kg telesnej hmotnosti u myší a potkanov a 243 mg/kg telesnej hmotnosti u morčiat.</w:t>
      </w:r>
    </w:p>
    <w:p w14:paraId="069039F1" w14:textId="77777777" w:rsidR="00E1698A" w:rsidRDefault="008B68EF" w:rsidP="00513589">
      <w:pPr>
        <w:ind w:left="0" w:firstLine="0"/>
        <w:rPr>
          <w:szCs w:val="22"/>
        </w:rPr>
      </w:pPr>
      <w:r w:rsidRPr="008B68EF">
        <w:rPr>
          <w:szCs w:val="22"/>
        </w:rPr>
        <w:lastRenderedPageBreak/>
        <w:t>U psov je perorálna LD</w:t>
      </w:r>
      <w:r w:rsidRPr="008B68EF">
        <w:rPr>
          <w:szCs w:val="22"/>
          <w:vertAlign w:val="subscript"/>
        </w:rPr>
        <w:t>50</w:t>
      </w:r>
      <w:r w:rsidRPr="008B68EF">
        <w:rPr>
          <w:szCs w:val="22"/>
        </w:rPr>
        <w:t xml:space="preserve"> asi 2 000 mg/kg telesnej hmotnosti, pričom LD</w:t>
      </w:r>
      <w:r w:rsidRPr="008B68EF">
        <w:rPr>
          <w:szCs w:val="22"/>
          <w:vertAlign w:val="subscript"/>
        </w:rPr>
        <w:t>50</w:t>
      </w:r>
      <w:r w:rsidRPr="008B68EF">
        <w:rPr>
          <w:szCs w:val="22"/>
        </w:rPr>
        <w:t xml:space="preserve"> </w:t>
      </w:r>
      <w:proofErr w:type="spellStart"/>
      <w:r w:rsidRPr="008B68EF">
        <w:rPr>
          <w:szCs w:val="22"/>
        </w:rPr>
        <w:t>i.v</w:t>
      </w:r>
      <w:proofErr w:type="spellEnd"/>
      <w:r w:rsidRPr="008B68EF">
        <w:rPr>
          <w:szCs w:val="22"/>
        </w:rPr>
        <w:t xml:space="preserve">. </w:t>
      </w:r>
      <w:r w:rsidR="00C81D7C">
        <w:rPr>
          <w:szCs w:val="22"/>
        </w:rPr>
        <w:t xml:space="preserve">je </w:t>
      </w:r>
      <w:r w:rsidRPr="008B68EF">
        <w:rPr>
          <w:szCs w:val="22"/>
        </w:rPr>
        <w:t>viac ako 400 mg/kg telesnej hmotnosti.</w:t>
      </w:r>
    </w:p>
    <w:p w14:paraId="660B8833" w14:textId="77777777" w:rsidR="00513589" w:rsidRDefault="00513589" w:rsidP="00513589">
      <w:pPr>
        <w:ind w:left="0" w:firstLine="0"/>
        <w:rPr>
          <w:szCs w:val="22"/>
        </w:rPr>
      </w:pPr>
    </w:p>
    <w:p w14:paraId="6374E876" w14:textId="77777777" w:rsidR="00513589" w:rsidRPr="00513589" w:rsidRDefault="00513589" w:rsidP="00513589">
      <w:pPr>
        <w:ind w:left="0" w:firstLine="0"/>
        <w:rPr>
          <w:szCs w:val="22"/>
          <w:u w:val="single"/>
        </w:rPr>
      </w:pPr>
      <w:r w:rsidRPr="00513589">
        <w:rPr>
          <w:szCs w:val="22"/>
          <w:u w:val="single"/>
        </w:rPr>
        <w:t>Chronická toxicita</w:t>
      </w:r>
    </w:p>
    <w:p w14:paraId="1706F234" w14:textId="77777777" w:rsidR="00513589" w:rsidRDefault="00513589" w:rsidP="00513589">
      <w:pPr>
        <w:ind w:left="0" w:firstLine="0"/>
        <w:rPr>
          <w:szCs w:val="22"/>
        </w:rPr>
      </w:pPr>
      <w:r w:rsidRPr="00513589">
        <w:rPr>
          <w:szCs w:val="22"/>
        </w:rPr>
        <w:t xml:space="preserve">Podávanie </w:t>
      </w:r>
      <w:proofErr w:type="spellStart"/>
      <w:r w:rsidRPr="00513589">
        <w:rPr>
          <w:szCs w:val="22"/>
        </w:rPr>
        <w:t>furosemidu</w:t>
      </w:r>
      <w:proofErr w:type="spellEnd"/>
      <w:r w:rsidRPr="00513589">
        <w:rPr>
          <w:szCs w:val="22"/>
        </w:rPr>
        <w:t xml:space="preserve"> počas 6 a 12 mesiacov potkanom a psom ukázalo zmeny obličiek (vrátane fokálnej fibrózy a kalcifikácie) v skupinách s vyššími dávkami (10 až 20-násobok terapeutickej dávky u ľudí).</w:t>
      </w:r>
    </w:p>
    <w:p w14:paraId="0086679F" w14:textId="77777777" w:rsidR="00513589" w:rsidRDefault="00513589" w:rsidP="00513589">
      <w:pPr>
        <w:ind w:left="0" w:firstLine="0"/>
        <w:rPr>
          <w:szCs w:val="22"/>
        </w:rPr>
      </w:pPr>
    </w:p>
    <w:p w14:paraId="3F41F11D" w14:textId="77777777" w:rsidR="00513589" w:rsidRPr="00513589" w:rsidRDefault="00513589" w:rsidP="00513589">
      <w:pPr>
        <w:ind w:left="0" w:firstLine="0"/>
        <w:rPr>
          <w:szCs w:val="22"/>
          <w:u w:val="single"/>
        </w:rPr>
      </w:pPr>
      <w:proofErr w:type="spellStart"/>
      <w:r w:rsidRPr="00513589">
        <w:rPr>
          <w:szCs w:val="22"/>
          <w:u w:val="single"/>
        </w:rPr>
        <w:t>Ototoxicita</w:t>
      </w:r>
      <w:proofErr w:type="spellEnd"/>
    </w:p>
    <w:p w14:paraId="5FCBC1C5" w14:textId="6CA8FF76" w:rsidR="00513589" w:rsidRDefault="00513589" w:rsidP="00513589">
      <w:pPr>
        <w:ind w:left="0" w:firstLine="0"/>
        <w:rPr>
          <w:szCs w:val="22"/>
        </w:rPr>
      </w:pPr>
      <w:proofErr w:type="spellStart"/>
      <w:r w:rsidRPr="00513589">
        <w:rPr>
          <w:szCs w:val="22"/>
        </w:rPr>
        <w:t>Furosemid</w:t>
      </w:r>
      <w:proofErr w:type="spellEnd"/>
      <w:r w:rsidRPr="00513589">
        <w:rPr>
          <w:szCs w:val="22"/>
        </w:rPr>
        <w:t xml:space="preserve"> môže interferovať s transportnými procesmi vo </w:t>
      </w:r>
      <w:r w:rsidRPr="00FA3914">
        <w:rPr>
          <w:szCs w:val="22"/>
        </w:rPr>
        <w:t>vaskulárn</w:t>
      </w:r>
      <w:r w:rsidR="00FA3914">
        <w:rPr>
          <w:szCs w:val="22"/>
        </w:rPr>
        <w:t>om</w:t>
      </w:r>
      <w:r w:rsidRPr="00FA3914">
        <w:rPr>
          <w:szCs w:val="22"/>
        </w:rPr>
        <w:t xml:space="preserve"> páse vnútorného</w:t>
      </w:r>
      <w:r w:rsidRPr="00513589">
        <w:rPr>
          <w:szCs w:val="22"/>
        </w:rPr>
        <w:t xml:space="preserve"> ucha, čo môže viesť k poruchám sluchu - zvyčajne reverzibilným.</w:t>
      </w:r>
    </w:p>
    <w:p w14:paraId="26D59EE0" w14:textId="77777777" w:rsidR="00513589" w:rsidRDefault="00513589" w:rsidP="00513589">
      <w:pPr>
        <w:ind w:left="0" w:firstLine="0"/>
        <w:rPr>
          <w:szCs w:val="22"/>
        </w:rPr>
      </w:pPr>
    </w:p>
    <w:p w14:paraId="6C3CB7F6" w14:textId="77777777" w:rsidR="00513589" w:rsidRPr="00513589" w:rsidRDefault="00513589" w:rsidP="00513589">
      <w:pPr>
        <w:ind w:left="0" w:firstLine="0"/>
        <w:rPr>
          <w:szCs w:val="22"/>
          <w:u w:val="single"/>
        </w:rPr>
      </w:pPr>
      <w:r w:rsidRPr="00513589">
        <w:rPr>
          <w:szCs w:val="22"/>
          <w:u w:val="single"/>
        </w:rPr>
        <w:t>Karcinogenita</w:t>
      </w:r>
    </w:p>
    <w:p w14:paraId="706A483C" w14:textId="55903769" w:rsidR="00513589" w:rsidRDefault="00513589" w:rsidP="00513589">
      <w:pPr>
        <w:ind w:left="0" w:firstLine="0"/>
        <w:rPr>
          <w:szCs w:val="22"/>
        </w:rPr>
      </w:pPr>
      <w:proofErr w:type="spellStart"/>
      <w:r w:rsidRPr="00513589">
        <w:rPr>
          <w:szCs w:val="22"/>
        </w:rPr>
        <w:t>Furosemid</w:t>
      </w:r>
      <w:proofErr w:type="spellEnd"/>
      <w:r w:rsidRPr="00513589">
        <w:rPr>
          <w:szCs w:val="22"/>
        </w:rPr>
        <w:t xml:space="preserve"> v koncentrácii približne 200 mg/kg telesnej hmotnosti (14 000 </w:t>
      </w:r>
      <w:proofErr w:type="spellStart"/>
      <w:r w:rsidRPr="00513589">
        <w:rPr>
          <w:szCs w:val="22"/>
        </w:rPr>
        <w:t>ppm</w:t>
      </w:r>
      <w:proofErr w:type="spellEnd"/>
      <w:r w:rsidRPr="00513589">
        <w:rPr>
          <w:szCs w:val="22"/>
        </w:rPr>
        <w:t>)</w:t>
      </w:r>
      <w:r w:rsidR="00F4102D">
        <w:rPr>
          <w:szCs w:val="22"/>
        </w:rPr>
        <w:t xml:space="preserve"> </w:t>
      </w:r>
      <w:r w:rsidRPr="00513589">
        <w:rPr>
          <w:szCs w:val="22"/>
        </w:rPr>
        <w:t xml:space="preserve">denne </w:t>
      </w:r>
      <w:r w:rsidR="00993F2C">
        <w:rPr>
          <w:szCs w:val="22"/>
        </w:rPr>
        <w:t xml:space="preserve">sa </w:t>
      </w:r>
      <w:r w:rsidRPr="00513589">
        <w:rPr>
          <w:szCs w:val="22"/>
        </w:rPr>
        <w:t xml:space="preserve">podával potkanom a samiciam myší po dobu 2 rokov súčasne s ich stravou. U myší bol zistený zvýšený výskyt </w:t>
      </w:r>
      <w:proofErr w:type="spellStart"/>
      <w:r w:rsidRPr="00513589">
        <w:rPr>
          <w:szCs w:val="22"/>
        </w:rPr>
        <w:t>adenokarcinómu</w:t>
      </w:r>
      <w:proofErr w:type="spellEnd"/>
      <w:r w:rsidRPr="00513589">
        <w:rPr>
          <w:szCs w:val="22"/>
        </w:rPr>
        <w:t xml:space="preserve"> prsníka, ale nie u potkanov. Táto dávka je podstatne vyššia ako terapeutická dávka podávaná ľudským pacientom. Ďalej boli tieto nádory morfologicky identické so spontánne sa vyskytujúcimi nádormi pozorovanými u 2% až 8% kontrolných zvierat.</w:t>
      </w:r>
    </w:p>
    <w:p w14:paraId="386206FB" w14:textId="77777777" w:rsidR="00513589" w:rsidRDefault="00513589" w:rsidP="00513589">
      <w:pPr>
        <w:ind w:left="0" w:firstLine="0"/>
        <w:rPr>
          <w:szCs w:val="22"/>
        </w:rPr>
      </w:pPr>
    </w:p>
    <w:p w14:paraId="23B2954A" w14:textId="77777777" w:rsidR="00F4102D" w:rsidRPr="00F4102D" w:rsidRDefault="00F4102D" w:rsidP="00F4102D">
      <w:pPr>
        <w:ind w:left="0" w:firstLine="0"/>
        <w:rPr>
          <w:szCs w:val="22"/>
        </w:rPr>
      </w:pPr>
      <w:r w:rsidRPr="00F4102D">
        <w:rPr>
          <w:szCs w:val="22"/>
        </w:rPr>
        <w:t xml:space="preserve">Okrem toho je nepravdepodobné, že tento výskyt nádorov </w:t>
      </w:r>
      <w:r>
        <w:rPr>
          <w:szCs w:val="22"/>
        </w:rPr>
        <w:t>je</w:t>
      </w:r>
      <w:r w:rsidRPr="00F4102D">
        <w:rPr>
          <w:szCs w:val="22"/>
        </w:rPr>
        <w:t xml:space="preserve"> pre liečbu ľudí relevantný. V skutočnosti neexistujú dôkazy o zvýšenom výskyte </w:t>
      </w:r>
      <w:proofErr w:type="spellStart"/>
      <w:r w:rsidRPr="00F4102D">
        <w:rPr>
          <w:szCs w:val="22"/>
        </w:rPr>
        <w:t>adenokarcinómu</w:t>
      </w:r>
      <w:proofErr w:type="spellEnd"/>
      <w:r w:rsidRPr="00F4102D">
        <w:rPr>
          <w:szCs w:val="22"/>
        </w:rPr>
        <w:t xml:space="preserve"> prsníka u ľudí po použití </w:t>
      </w:r>
      <w:proofErr w:type="spellStart"/>
      <w:r w:rsidRPr="00F4102D">
        <w:rPr>
          <w:szCs w:val="22"/>
        </w:rPr>
        <w:t>furosemidu</w:t>
      </w:r>
      <w:proofErr w:type="spellEnd"/>
      <w:r w:rsidRPr="00F4102D">
        <w:rPr>
          <w:szCs w:val="22"/>
        </w:rPr>
        <w:t xml:space="preserve">. Na základe epidemiologických štúdií nie je možné klasifikovať </w:t>
      </w:r>
      <w:proofErr w:type="spellStart"/>
      <w:r w:rsidRPr="00F4102D">
        <w:rPr>
          <w:szCs w:val="22"/>
        </w:rPr>
        <w:t>furosemid</w:t>
      </w:r>
      <w:proofErr w:type="spellEnd"/>
      <w:r w:rsidRPr="00F4102D">
        <w:rPr>
          <w:szCs w:val="22"/>
        </w:rPr>
        <w:t xml:space="preserve"> z hľadiska karcinogenity u ľudí.</w:t>
      </w:r>
    </w:p>
    <w:p w14:paraId="15160403" w14:textId="77777777" w:rsidR="00F4102D" w:rsidRPr="00F4102D" w:rsidRDefault="00F4102D" w:rsidP="00F4102D">
      <w:pPr>
        <w:ind w:left="0" w:firstLine="0"/>
        <w:rPr>
          <w:szCs w:val="22"/>
        </w:rPr>
      </w:pPr>
    </w:p>
    <w:p w14:paraId="08A4AF8D" w14:textId="054A5642" w:rsidR="00F4102D" w:rsidRPr="00F4102D" w:rsidRDefault="00F4102D" w:rsidP="00F4102D">
      <w:pPr>
        <w:ind w:left="0" w:firstLine="0"/>
        <w:rPr>
          <w:szCs w:val="22"/>
        </w:rPr>
      </w:pPr>
      <w:r w:rsidRPr="00F4102D">
        <w:rPr>
          <w:szCs w:val="22"/>
        </w:rPr>
        <w:t xml:space="preserve">V štúdii karcinogenity sa potkanom podávali denné dávky </w:t>
      </w:r>
      <w:proofErr w:type="spellStart"/>
      <w:r w:rsidRPr="00F4102D">
        <w:rPr>
          <w:szCs w:val="22"/>
        </w:rPr>
        <w:t>furosemidu</w:t>
      </w:r>
      <w:proofErr w:type="spellEnd"/>
      <w:r w:rsidRPr="00F4102D">
        <w:rPr>
          <w:szCs w:val="22"/>
        </w:rPr>
        <w:t xml:space="preserve"> rádovo 15 a 30 mg/kg telesnej hmotnosti. Samce potkanov v </w:t>
      </w:r>
      <w:r w:rsidR="00993F2C">
        <w:rPr>
          <w:szCs w:val="22"/>
        </w:rPr>
        <w:t>skupine</w:t>
      </w:r>
      <w:r w:rsidR="00993F2C" w:rsidRPr="00F4102D">
        <w:rPr>
          <w:szCs w:val="22"/>
        </w:rPr>
        <w:t xml:space="preserve"> </w:t>
      </w:r>
      <w:r w:rsidRPr="00F4102D">
        <w:rPr>
          <w:szCs w:val="22"/>
        </w:rPr>
        <w:t xml:space="preserve">s dávkou 15 mg/kg, ale nie v </w:t>
      </w:r>
      <w:r w:rsidR="00993F2C">
        <w:rPr>
          <w:szCs w:val="22"/>
        </w:rPr>
        <w:t>skupine</w:t>
      </w:r>
      <w:r w:rsidR="00993F2C" w:rsidRPr="00F4102D">
        <w:rPr>
          <w:szCs w:val="22"/>
        </w:rPr>
        <w:t xml:space="preserve"> </w:t>
      </w:r>
      <w:r w:rsidRPr="00F4102D">
        <w:rPr>
          <w:szCs w:val="22"/>
        </w:rPr>
        <w:t xml:space="preserve">s dávkou 30 mg/kg, vykazovali </w:t>
      </w:r>
      <w:r w:rsidR="00993F2C">
        <w:rPr>
          <w:szCs w:val="22"/>
        </w:rPr>
        <w:t>zanedbateľný</w:t>
      </w:r>
      <w:r w:rsidR="00993F2C" w:rsidRPr="00F4102D">
        <w:rPr>
          <w:szCs w:val="22"/>
        </w:rPr>
        <w:t xml:space="preserve"> </w:t>
      </w:r>
      <w:r w:rsidRPr="00F4102D">
        <w:rPr>
          <w:szCs w:val="22"/>
        </w:rPr>
        <w:t>nárast neobvyklých nádorov. Tieto prípady sa považovali za zriedkavé.</w:t>
      </w:r>
    </w:p>
    <w:p w14:paraId="30EF5A23" w14:textId="77777777" w:rsidR="00F4102D" w:rsidRPr="00F4102D" w:rsidRDefault="00F4102D" w:rsidP="00F4102D">
      <w:pPr>
        <w:ind w:left="0" w:firstLine="0"/>
        <w:rPr>
          <w:szCs w:val="22"/>
        </w:rPr>
      </w:pPr>
    </w:p>
    <w:p w14:paraId="6961C71B" w14:textId="01983DCC" w:rsidR="00F4102D" w:rsidRDefault="00F4102D" w:rsidP="00F4102D">
      <w:pPr>
        <w:ind w:left="0" w:firstLine="0"/>
        <w:rPr>
          <w:szCs w:val="22"/>
        </w:rPr>
      </w:pPr>
      <w:proofErr w:type="spellStart"/>
      <w:r w:rsidRPr="00F4102D">
        <w:rPr>
          <w:szCs w:val="22"/>
        </w:rPr>
        <w:t>Karcinogenéza</w:t>
      </w:r>
      <w:proofErr w:type="spellEnd"/>
      <w:r w:rsidRPr="00F4102D">
        <w:rPr>
          <w:szCs w:val="22"/>
        </w:rPr>
        <w:t xml:space="preserve"> močového mechúra vyvolaná </w:t>
      </w:r>
      <w:proofErr w:type="spellStart"/>
      <w:r w:rsidRPr="00F4102D">
        <w:rPr>
          <w:szCs w:val="22"/>
        </w:rPr>
        <w:t>nitr</w:t>
      </w:r>
      <w:r w:rsidR="00993F2C">
        <w:rPr>
          <w:szCs w:val="22"/>
        </w:rPr>
        <w:t>ó</w:t>
      </w:r>
      <w:r w:rsidRPr="00F4102D">
        <w:rPr>
          <w:szCs w:val="22"/>
        </w:rPr>
        <w:t>z</w:t>
      </w:r>
      <w:r w:rsidR="00993F2C">
        <w:rPr>
          <w:szCs w:val="22"/>
        </w:rPr>
        <w:t>o</w:t>
      </w:r>
      <w:r w:rsidRPr="00F4102D">
        <w:rPr>
          <w:szCs w:val="22"/>
        </w:rPr>
        <w:t>amín</w:t>
      </w:r>
      <w:r w:rsidR="00993F2C">
        <w:rPr>
          <w:szCs w:val="22"/>
        </w:rPr>
        <w:t>mi</w:t>
      </w:r>
      <w:proofErr w:type="spellEnd"/>
      <w:r w:rsidRPr="00F4102D">
        <w:rPr>
          <w:szCs w:val="22"/>
        </w:rPr>
        <w:t xml:space="preserve"> u potkanov nepreukázala žiadny dôkaz o tom, že by </w:t>
      </w:r>
      <w:proofErr w:type="spellStart"/>
      <w:r w:rsidRPr="00F4102D">
        <w:rPr>
          <w:szCs w:val="22"/>
        </w:rPr>
        <w:t>furosemid</w:t>
      </w:r>
      <w:proofErr w:type="spellEnd"/>
      <w:r w:rsidRPr="00F4102D">
        <w:rPr>
          <w:szCs w:val="22"/>
        </w:rPr>
        <w:t xml:space="preserve"> bol faktorom podporujúcim </w:t>
      </w:r>
      <w:proofErr w:type="spellStart"/>
      <w:r w:rsidRPr="00F4102D">
        <w:rPr>
          <w:szCs w:val="22"/>
        </w:rPr>
        <w:t>karcinogenézu</w:t>
      </w:r>
      <w:proofErr w:type="spellEnd"/>
      <w:r w:rsidRPr="00F4102D">
        <w:rPr>
          <w:szCs w:val="22"/>
        </w:rPr>
        <w:t>.</w:t>
      </w:r>
    </w:p>
    <w:p w14:paraId="67204134" w14:textId="77777777" w:rsidR="00F4102D" w:rsidRDefault="00F4102D" w:rsidP="00F4102D">
      <w:pPr>
        <w:ind w:left="0" w:firstLine="0"/>
        <w:rPr>
          <w:szCs w:val="22"/>
        </w:rPr>
      </w:pPr>
    </w:p>
    <w:p w14:paraId="5B726565" w14:textId="77777777" w:rsidR="00F4102D" w:rsidRPr="00F4102D" w:rsidRDefault="00F4102D" w:rsidP="00F4102D">
      <w:pPr>
        <w:ind w:left="0" w:firstLine="0"/>
        <w:rPr>
          <w:szCs w:val="22"/>
          <w:u w:val="single"/>
        </w:rPr>
      </w:pPr>
      <w:r w:rsidRPr="00F4102D">
        <w:rPr>
          <w:szCs w:val="22"/>
          <w:u w:val="single"/>
        </w:rPr>
        <w:t>Mutagenita</w:t>
      </w:r>
    </w:p>
    <w:p w14:paraId="4EA8B70C" w14:textId="5E4C12F4" w:rsidR="00F4102D" w:rsidRPr="00F4102D" w:rsidRDefault="00993F2C" w:rsidP="00F4102D">
      <w:pPr>
        <w:ind w:left="0" w:firstLine="0"/>
        <w:rPr>
          <w:szCs w:val="22"/>
        </w:rPr>
      </w:pPr>
      <w:r>
        <w:rPr>
          <w:szCs w:val="22"/>
        </w:rPr>
        <w:t>V</w:t>
      </w:r>
      <w:r w:rsidR="00F4102D" w:rsidRPr="00F4102D">
        <w:rPr>
          <w:szCs w:val="22"/>
        </w:rPr>
        <w:t xml:space="preserve"> </w:t>
      </w:r>
      <w:r w:rsidR="00F4102D" w:rsidRPr="00AA1141">
        <w:rPr>
          <w:i/>
          <w:szCs w:val="22"/>
        </w:rPr>
        <w:t>in vitro</w:t>
      </w:r>
      <w:r w:rsidR="00F4102D" w:rsidRPr="00F4102D">
        <w:rPr>
          <w:szCs w:val="22"/>
        </w:rPr>
        <w:t xml:space="preserve"> testoch uskutočňovaných na bunkách baktérií a</w:t>
      </w:r>
      <w:r>
        <w:rPr>
          <w:szCs w:val="22"/>
        </w:rPr>
        <w:t> </w:t>
      </w:r>
      <w:r w:rsidR="00F4102D" w:rsidRPr="00F4102D">
        <w:rPr>
          <w:szCs w:val="22"/>
        </w:rPr>
        <w:t>cicavcov</w:t>
      </w:r>
      <w:r>
        <w:rPr>
          <w:szCs w:val="22"/>
        </w:rPr>
        <w:t xml:space="preserve"> sa získali pozitívne aj negatívne výsledky</w:t>
      </w:r>
      <w:r w:rsidR="00F4102D" w:rsidRPr="00F4102D">
        <w:rPr>
          <w:szCs w:val="22"/>
        </w:rPr>
        <w:t>. Indukcia genetických a chromoz</w:t>
      </w:r>
      <w:r>
        <w:rPr>
          <w:szCs w:val="22"/>
        </w:rPr>
        <w:t>ómových</w:t>
      </w:r>
      <w:r w:rsidR="00F4102D" w:rsidRPr="00F4102D">
        <w:rPr>
          <w:szCs w:val="22"/>
        </w:rPr>
        <w:t xml:space="preserve"> mutácií sa však pozorovala až vtedy, keď </w:t>
      </w:r>
      <w:proofErr w:type="spellStart"/>
      <w:r w:rsidR="00F4102D" w:rsidRPr="00F4102D">
        <w:rPr>
          <w:szCs w:val="22"/>
        </w:rPr>
        <w:t>furosemid</w:t>
      </w:r>
      <w:proofErr w:type="spellEnd"/>
      <w:r w:rsidR="00F4102D" w:rsidRPr="00F4102D">
        <w:rPr>
          <w:szCs w:val="22"/>
        </w:rPr>
        <w:t xml:space="preserve"> dosiahol </w:t>
      </w:r>
      <w:proofErr w:type="spellStart"/>
      <w:r w:rsidR="00F4102D" w:rsidRPr="00F4102D">
        <w:rPr>
          <w:szCs w:val="22"/>
        </w:rPr>
        <w:t>cytotoxické</w:t>
      </w:r>
      <w:proofErr w:type="spellEnd"/>
      <w:r w:rsidR="00F4102D" w:rsidRPr="00F4102D">
        <w:rPr>
          <w:szCs w:val="22"/>
        </w:rPr>
        <w:t xml:space="preserve"> koncentrácie.</w:t>
      </w:r>
    </w:p>
    <w:p w14:paraId="39831BA8" w14:textId="77777777" w:rsidR="00F4102D" w:rsidRPr="00F4102D" w:rsidRDefault="00F4102D" w:rsidP="00F4102D">
      <w:pPr>
        <w:ind w:left="0" w:firstLine="0"/>
        <w:rPr>
          <w:szCs w:val="22"/>
        </w:rPr>
      </w:pPr>
    </w:p>
    <w:p w14:paraId="75C8BCC4" w14:textId="77777777" w:rsidR="00F4102D" w:rsidRPr="00F4102D" w:rsidRDefault="00F4102D" w:rsidP="00F4102D">
      <w:pPr>
        <w:ind w:left="0" w:firstLine="0"/>
        <w:rPr>
          <w:szCs w:val="22"/>
          <w:u w:val="single"/>
        </w:rPr>
      </w:pPr>
      <w:r w:rsidRPr="00F4102D">
        <w:rPr>
          <w:szCs w:val="22"/>
          <w:u w:val="single"/>
        </w:rPr>
        <w:t>Reprodukčná toxicita</w:t>
      </w:r>
    </w:p>
    <w:p w14:paraId="30FEA902" w14:textId="77777777" w:rsidR="00513589" w:rsidRDefault="00F4102D" w:rsidP="00513589">
      <w:pPr>
        <w:ind w:left="0" w:firstLine="0"/>
        <w:rPr>
          <w:szCs w:val="22"/>
        </w:rPr>
      </w:pPr>
      <w:proofErr w:type="spellStart"/>
      <w:r w:rsidRPr="00F4102D">
        <w:rPr>
          <w:szCs w:val="22"/>
        </w:rPr>
        <w:t>Furosemid</w:t>
      </w:r>
      <w:proofErr w:type="spellEnd"/>
      <w:r w:rsidRPr="00F4102D">
        <w:rPr>
          <w:szCs w:val="22"/>
        </w:rPr>
        <w:t xml:space="preserve"> nemal negatívny vplyv na plodnosť u samcov a samíc potkanov pri denných dávkach 90 mg/kg telesnej hmotnosti, ani u samcov a samíc myší pri denných dávkach 200 mg/kg telesnej hmotnosti podávaných perorálne.</w:t>
      </w:r>
    </w:p>
    <w:p w14:paraId="34A68AAB" w14:textId="77777777" w:rsidR="00F4102D" w:rsidRDefault="00F4102D" w:rsidP="00513589">
      <w:pPr>
        <w:ind w:left="0" w:firstLine="0"/>
        <w:rPr>
          <w:szCs w:val="22"/>
        </w:rPr>
      </w:pPr>
    </w:p>
    <w:p w14:paraId="74228CE6" w14:textId="77777777" w:rsidR="00F4102D" w:rsidRPr="00F4102D" w:rsidRDefault="00F4102D" w:rsidP="00F4102D">
      <w:pPr>
        <w:ind w:left="0" w:firstLine="0"/>
        <w:rPr>
          <w:szCs w:val="22"/>
        </w:rPr>
      </w:pPr>
      <w:r w:rsidRPr="00F4102D">
        <w:rPr>
          <w:szCs w:val="22"/>
        </w:rPr>
        <w:t xml:space="preserve">Po liečbe </w:t>
      </w:r>
      <w:proofErr w:type="spellStart"/>
      <w:r w:rsidRPr="00F4102D">
        <w:rPr>
          <w:szCs w:val="22"/>
        </w:rPr>
        <w:t>furosemidom</w:t>
      </w:r>
      <w:proofErr w:type="spellEnd"/>
      <w:r w:rsidRPr="00F4102D">
        <w:rPr>
          <w:szCs w:val="22"/>
        </w:rPr>
        <w:t xml:space="preserve"> sa nezistili žiadne </w:t>
      </w:r>
      <w:proofErr w:type="spellStart"/>
      <w:r w:rsidRPr="00F4102D">
        <w:rPr>
          <w:szCs w:val="22"/>
        </w:rPr>
        <w:t>embryotoxické</w:t>
      </w:r>
      <w:proofErr w:type="spellEnd"/>
      <w:r w:rsidRPr="00F4102D">
        <w:rPr>
          <w:szCs w:val="22"/>
        </w:rPr>
        <w:t xml:space="preserve"> alebo </w:t>
      </w:r>
      <w:proofErr w:type="spellStart"/>
      <w:r w:rsidRPr="00F4102D">
        <w:rPr>
          <w:szCs w:val="22"/>
        </w:rPr>
        <w:t>teratogénne</w:t>
      </w:r>
      <w:proofErr w:type="spellEnd"/>
      <w:r w:rsidRPr="00F4102D">
        <w:rPr>
          <w:szCs w:val="22"/>
        </w:rPr>
        <w:t xml:space="preserve"> účinky na rôzne druhy cicavcov, vrátane myší, potkanov, mačiek, králikov a psov.</w:t>
      </w:r>
    </w:p>
    <w:p w14:paraId="6C843808" w14:textId="77777777" w:rsidR="00F4102D" w:rsidRPr="00F4102D" w:rsidRDefault="00F4102D" w:rsidP="00F4102D">
      <w:pPr>
        <w:ind w:left="0" w:firstLine="0"/>
        <w:rPr>
          <w:szCs w:val="22"/>
        </w:rPr>
      </w:pPr>
    </w:p>
    <w:p w14:paraId="27667B13" w14:textId="77777777" w:rsidR="00F4102D" w:rsidRPr="00F4102D" w:rsidRDefault="00F4102D" w:rsidP="00F4102D">
      <w:pPr>
        <w:ind w:left="0" w:firstLine="0"/>
        <w:rPr>
          <w:szCs w:val="22"/>
        </w:rPr>
      </w:pPr>
      <w:r w:rsidRPr="00F4102D">
        <w:rPr>
          <w:szCs w:val="22"/>
        </w:rPr>
        <w:t xml:space="preserve">U potomkov potkanov liečených 75 mg </w:t>
      </w:r>
      <w:proofErr w:type="spellStart"/>
      <w:r w:rsidRPr="00F4102D">
        <w:rPr>
          <w:szCs w:val="22"/>
        </w:rPr>
        <w:t>furosemidu</w:t>
      </w:r>
      <w:proofErr w:type="spellEnd"/>
      <w:r w:rsidRPr="00F4102D">
        <w:rPr>
          <w:szCs w:val="22"/>
        </w:rPr>
        <w:t xml:space="preserve"> na kg telesnej hmotnosti počas 7</w:t>
      </w:r>
      <w:r>
        <w:rPr>
          <w:szCs w:val="22"/>
        </w:rPr>
        <w:t xml:space="preserve">. </w:t>
      </w:r>
      <w:r w:rsidR="00C81D7C">
        <w:rPr>
          <w:szCs w:val="22"/>
        </w:rPr>
        <w:t xml:space="preserve">- </w:t>
      </w:r>
      <w:r w:rsidRPr="00F4102D">
        <w:rPr>
          <w:szCs w:val="22"/>
        </w:rPr>
        <w:t>11</w:t>
      </w:r>
      <w:r>
        <w:rPr>
          <w:szCs w:val="22"/>
        </w:rPr>
        <w:t>.</w:t>
      </w:r>
      <w:r w:rsidRPr="00F4102D">
        <w:rPr>
          <w:szCs w:val="22"/>
        </w:rPr>
        <w:t xml:space="preserve"> a</w:t>
      </w:r>
      <w:r>
        <w:rPr>
          <w:szCs w:val="22"/>
        </w:rPr>
        <w:t> </w:t>
      </w:r>
      <w:r w:rsidRPr="00F4102D">
        <w:rPr>
          <w:szCs w:val="22"/>
        </w:rPr>
        <w:t>14</w:t>
      </w:r>
      <w:r>
        <w:rPr>
          <w:szCs w:val="22"/>
        </w:rPr>
        <w:t>.</w:t>
      </w:r>
      <w:r w:rsidR="00C81D7C">
        <w:rPr>
          <w:szCs w:val="22"/>
        </w:rPr>
        <w:t xml:space="preserve"> - </w:t>
      </w:r>
      <w:r w:rsidRPr="00F4102D">
        <w:rPr>
          <w:szCs w:val="22"/>
        </w:rPr>
        <w:t>18</w:t>
      </w:r>
      <w:r>
        <w:rPr>
          <w:szCs w:val="22"/>
        </w:rPr>
        <w:t>.</w:t>
      </w:r>
      <w:r w:rsidRPr="00F4102D">
        <w:rPr>
          <w:szCs w:val="22"/>
        </w:rPr>
        <w:t xml:space="preserve"> </w:t>
      </w:r>
      <w:proofErr w:type="spellStart"/>
      <w:r w:rsidRPr="00FD027D">
        <w:rPr>
          <w:szCs w:val="22"/>
        </w:rPr>
        <w:t>gestačn</w:t>
      </w:r>
      <w:r>
        <w:rPr>
          <w:szCs w:val="22"/>
        </w:rPr>
        <w:t>ého</w:t>
      </w:r>
      <w:proofErr w:type="spellEnd"/>
      <w:r w:rsidRPr="00FD027D">
        <w:rPr>
          <w:szCs w:val="22"/>
        </w:rPr>
        <w:t xml:space="preserve"> d</w:t>
      </w:r>
      <w:r>
        <w:rPr>
          <w:szCs w:val="22"/>
        </w:rPr>
        <w:t>ňa</w:t>
      </w:r>
      <w:r w:rsidRPr="00F4102D">
        <w:rPr>
          <w:szCs w:val="22"/>
        </w:rPr>
        <w:t xml:space="preserve"> bolo popísané oneskorené dozrievanie obličiek - zníženie počtu diferencovaných </w:t>
      </w:r>
      <w:proofErr w:type="spellStart"/>
      <w:r w:rsidRPr="00F4102D">
        <w:rPr>
          <w:szCs w:val="22"/>
        </w:rPr>
        <w:t>glomerulov</w:t>
      </w:r>
      <w:proofErr w:type="spellEnd"/>
      <w:r w:rsidRPr="00F4102D">
        <w:rPr>
          <w:szCs w:val="22"/>
        </w:rPr>
        <w:t>.</w:t>
      </w:r>
    </w:p>
    <w:p w14:paraId="218C5E99" w14:textId="77777777" w:rsidR="00F4102D" w:rsidRPr="00F4102D" w:rsidRDefault="00F4102D" w:rsidP="00F4102D">
      <w:pPr>
        <w:ind w:left="0" w:firstLine="0"/>
        <w:rPr>
          <w:szCs w:val="22"/>
        </w:rPr>
      </w:pPr>
    </w:p>
    <w:p w14:paraId="2115CD21" w14:textId="77777777" w:rsidR="00F4102D" w:rsidRDefault="00F4102D" w:rsidP="00513589">
      <w:pPr>
        <w:ind w:left="0" w:firstLine="0"/>
        <w:rPr>
          <w:szCs w:val="22"/>
        </w:rPr>
      </w:pPr>
      <w:proofErr w:type="spellStart"/>
      <w:r w:rsidRPr="00F4102D">
        <w:rPr>
          <w:szCs w:val="22"/>
        </w:rPr>
        <w:t>Furosemid</w:t>
      </w:r>
      <w:proofErr w:type="spellEnd"/>
      <w:r w:rsidRPr="00F4102D">
        <w:rPr>
          <w:szCs w:val="22"/>
        </w:rPr>
        <w:t xml:space="preserve"> prechádza placentárnou bariérou a dosahuje 100% koncentrácií v sére matky v pupočníku. Doteraz neboli u ľudí zistené žiadne </w:t>
      </w:r>
      <w:proofErr w:type="spellStart"/>
      <w:r w:rsidRPr="00F4102D">
        <w:rPr>
          <w:szCs w:val="22"/>
        </w:rPr>
        <w:t>malformácie</w:t>
      </w:r>
      <w:proofErr w:type="spellEnd"/>
      <w:r w:rsidRPr="00F4102D">
        <w:rPr>
          <w:szCs w:val="22"/>
        </w:rPr>
        <w:t xml:space="preserve">, ktoré by mohli súvisieť s expozíciou </w:t>
      </w:r>
      <w:proofErr w:type="spellStart"/>
      <w:r w:rsidRPr="00F4102D">
        <w:rPr>
          <w:szCs w:val="22"/>
        </w:rPr>
        <w:t>furosemidu</w:t>
      </w:r>
      <w:proofErr w:type="spellEnd"/>
      <w:r w:rsidRPr="00F4102D">
        <w:rPr>
          <w:szCs w:val="22"/>
        </w:rPr>
        <w:t xml:space="preserve">. </w:t>
      </w:r>
      <w:r w:rsidR="00210D0D">
        <w:rPr>
          <w:szCs w:val="22"/>
        </w:rPr>
        <w:t>Dosiaľ však nie sú</w:t>
      </w:r>
      <w:r w:rsidRPr="00F4102D">
        <w:rPr>
          <w:szCs w:val="22"/>
        </w:rPr>
        <w:t xml:space="preserve"> dostatočné skúsenosti na to, aby bolo možné jednoznačne posúdiť možné škodlivé účinky na embryo/plod. Produkcia moču plodu môže byť stimulovaná </w:t>
      </w:r>
      <w:proofErr w:type="spellStart"/>
      <w:r w:rsidRPr="00F4102D">
        <w:rPr>
          <w:szCs w:val="22"/>
        </w:rPr>
        <w:t>intrauterinne</w:t>
      </w:r>
      <w:proofErr w:type="spellEnd"/>
      <w:r w:rsidRPr="00F4102D">
        <w:rPr>
          <w:szCs w:val="22"/>
        </w:rPr>
        <w:t>.</w:t>
      </w:r>
    </w:p>
    <w:p w14:paraId="5C6B31A5" w14:textId="77777777" w:rsidR="00210D0D" w:rsidRDefault="00210D0D" w:rsidP="00513589">
      <w:pPr>
        <w:ind w:left="0" w:firstLine="0"/>
        <w:rPr>
          <w:szCs w:val="22"/>
        </w:rPr>
      </w:pPr>
    </w:p>
    <w:p w14:paraId="175C6BCC" w14:textId="77777777" w:rsidR="00210D0D" w:rsidRPr="00210D0D" w:rsidRDefault="00210D0D" w:rsidP="00210D0D">
      <w:pPr>
        <w:ind w:left="0" w:firstLine="0"/>
        <w:rPr>
          <w:szCs w:val="22"/>
        </w:rPr>
      </w:pPr>
      <w:r w:rsidRPr="00210D0D">
        <w:rPr>
          <w:szCs w:val="22"/>
        </w:rPr>
        <w:t xml:space="preserve">Po liečbe </w:t>
      </w:r>
      <w:proofErr w:type="spellStart"/>
      <w:r w:rsidRPr="00210D0D">
        <w:rPr>
          <w:szCs w:val="22"/>
        </w:rPr>
        <w:t>furosemidom</w:t>
      </w:r>
      <w:proofErr w:type="spellEnd"/>
      <w:r w:rsidRPr="00210D0D">
        <w:rPr>
          <w:szCs w:val="22"/>
        </w:rPr>
        <w:t xml:space="preserve"> u predčasne narodených detí sa vyskytli prípady </w:t>
      </w:r>
      <w:proofErr w:type="spellStart"/>
      <w:r w:rsidRPr="00210D0D">
        <w:rPr>
          <w:szCs w:val="22"/>
        </w:rPr>
        <w:t>urolitiázy</w:t>
      </w:r>
      <w:proofErr w:type="spellEnd"/>
      <w:r w:rsidRPr="00210D0D">
        <w:rPr>
          <w:szCs w:val="22"/>
        </w:rPr>
        <w:t xml:space="preserve"> a </w:t>
      </w:r>
      <w:proofErr w:type="spellStart"/>
      <w:r w:rsidRPr="00210D0D">
        <w:rPr>
          <w:szCs w:val="22"/>
        </w:rPr>
        <w:t>nefrokalcinózy</w:t>
      </w:r>
      <w:proofErr w:type="spellEnd"/>
      <w:r w:rsidRPr="00210D0D">
        <w:rPr>
          <w:szCs w:val="22"/>
        </w:rPr>
        <w:t>.</w:t>
      </w:r>
    </w:p>
    <w:p w14:paraId="4FA03751" w14:textId="77777777" w:rsidR="00210D0D" w:rsidRPr="00210D0D" w:rsidRDefault="00210D0D" w:rsidP="00210D0D">
      <w:pPr>
        <w:ind w:left="0" w:firstLine="0"/>
        <w:rPr>
          <w:szCs w:val="22"/>
        </w:rPr>
      </w:pPr>
    </w:p>
    <w:p w14:paraId="5076FFD5" w14:textId="77777777" w:rsidR="00210D0D" w:rsidRDefault="00210D0D" w:rsidP="00210D0D">
      <w:pPr>
        <w:ind w:left="0" w:firstLine="0"/>
        <w:rPr>
          <w:szCs w:val="22"/>
        </w:rPr>
      </w:pPr>
      <w:r w:rsidRPr="00210D0D">
        <w:rPr>
          <w:szCs w:val="22"/>
        </w:rPr>
        <w:t xml:space="preserve">Neuskutočnili sa žiadne štúdie hodnotiace účinky </w:t>
      </w:r>
      <w:proofErr w:type="spellStart"/>
      <w:r w:rsidRPr="00210D0D">
        <w:rPr>
          <w:szCs w:val="22"/>
        </w:rPr>
        <w:t>furosemidu</w:t>
      </w:r>
      <w:proofErr w:type="spellEnd"/>
      <w:r w:rsidRPr="00210D0D">
        <w:rPr>
          <w:szCs w:val="22"/>
        </w:rPr>
        <w:t xml:space="preserve"> na deti</w:t>
      </w:r>
      <w:r w:rsidR="00C81D7C">
        <w:rPr>
          <w:szCs w:val="22"/>
        </w:rPr>
        <w:t xml:space="preserve"> pri </w:t>
      </w:r>
      <w:r w:rsidRPr="00210D0D">
        <w:rPr>
          <w:szCs w:val="22"/>
        </w:rPr>
        <w:t>užíva</w:t>
      </w:r>
      <w:r w:rsidR="00C81D7C">
        <w:rPr>
          <w:szCs w:val="22"/>
        </w:rPr>
        <w:t>ní</w:t>
      </w:r>
      <w:r w:rsidRPr="00210D0D">
        <w:rPr>
          <w:szCs w:val="22"/>
        </w:rPr>
        <w:t xml:space="preserve"> spolu s materským mliekom.</w:t>
      </w:r>
    </w:p>
    <w:p w14:paraId="00416D51" w14:textId="77777777" w:rsidR="00210D0D" w:rsidRDefault="00210D0D" w:rsidP="00210D0D">
      <w:pPr>
        <w:ind w:left="0" w:firstLine="0"/>
        <w:rPr>
          <w:szCs w:val="22"/>
        </w:rPr>
      </w:pPr>
    </w:p>
    <w:p w14:paraId="690B7538" w14:textId="77777777" w:rsidR="00F4102D" w:rsidRPr="003021DE" w:rsidRDefault="00F4102D" w:rsidP="00513589">
      <w:pPr>
        <w:ind w:left="0" w:firstLine="0"/>
        <w:rPr>
          <w:szCs w:val="22"/>
        </w:rPr>
      </w:pPr>
    </w:p>
    <w:p w14:paraId="779CD968" w14:textId="77777777" w:rsidR="00780926" w:rsidRPr="003021DE" w:rsidRDefault="00F35CE2" w:rsidP="00E41B3F">
      <w:pPr>
        <w:rPr>
          <w:b/>
          <w:szCs w:val="22"/>
        </w:rPr>
      </w:pPr>
      <w:r w:rsidRPr="003021DE">
        <w:rPr>
          <w:b/>
          <w:szCs w:val="22"/>
        </w:rPr>
        <w:t>6.</w:t>
      </w:r>
      <w:r w:rsidRPr="003021DE">
        <w:rPr>
          <w:b/>
          <w:szCs w:val="22"/>
        </w:rPr>
        <w:tab/>
        <w:t>FARMACEUTICKÉ INFORMÁCIE</w:t>
      </w:r>
    </w:p>
    <w:p w14:paraId="574D60DE" w14:textId="77777777" w:rsidR="00780926" w:rsidRPr="003021DE" w:rsidRDefault="00780926" w:rsidP="00E41B3F">
      <w:pPr>
        <w:rPr>
          <w:szCs w:val="22"/>
        </w:rPr>
      </w:pPr>
    </w:p>
    <w:p w14:paraId="4E8A08AD" w14:textId="77777777" w:rsidR="00780926" w:rsidRPr="003021DE" w:rsidRDefault="00F35CE2" w:rsidP="00E41B3F">
      <w:pPr>
        <w:rPr>
          <w:szCs w:val="22"/>
        </w:rPr>
      </w:pPr>
      <w:r w:rsidRPr="003021DE">
        <w:rPr>
          <w:b/>
          <w:szCs w:val="22"/>
        </w:rPr>
        <w:t>6.1</w:t>
      </w:r>
      <w:r w:rsidRPr="003021DE">
        <w:rPr>
          <w:b/>
          <w:szCs w:val="22"/>
        </w:rPr>
        <w:tab/>
        <w:t>Zoznam pomocných látok</w:t>
      </w:r>
    </w:p>
    <w:p w14:paraId="207BC17F" w14:textId="77777777" w:rsidR="00780926" w:rsidRPr="003021DE" w:rsidRDefault="00780926" w:rsidP="00E41B3F"/>
    <w:p w14:paraId="46BAE726" w14:textId="27800557" w:rsidR="00096CAA" w:rsidRDefault="00993F2C" w:rsidP="00E41B3F">
      <w:pPr>
        <w:rPr>
          <w:noProof/>
        </w:rPr>
      </w:pPr>
      <w:r>
        <w:rPr>
          <w:noProof/>
        </w:rPr>
        <w:t>l</w:t>
      </w:r>
      <w:r w:rsidR="00210D0D">
        <w:rPr>
          <w:noProof/>
        </w:rPr>
        <w:t>aktóza</w:t>
      </w:r>
      <w:r>
        <w:rPr>
          <w:noProof/>
        </w:rPr>
        <w:t>,</w:t>
      </w:r>
      <w:r w:rsidR="00210D0D">
        <w:rPr>
          <w:noProof/>
        </w:rPr>
        <w:t xml:space="preserve"> monohydrát</w:t>
      </w:r>
    </w:p>
    <w:p w14:paraId="0B42779F" w14:textId="7559A741" w:rsidR="00210D0D" w:rsidRDefault="00993F2C" w:rsidP="00E41B3F">
      <w:pPr>
        <w:rPr>
          <w:noProof/>
        </w:rPr>
      </w:pPr>
      <w:r>
        <w:rPr>
          <w:noProof/>
        </w:rPr>
        <w:t>k</w:t>
      </w:r>
      <w:r w:rsidR="00210D0D">
        <w:rPr>
          <w:noProof/>
        </w:rPr>
        <w:t>ukuričný škrob</w:t>
      </w:r>
    </w:p>
    <w:p w14:paraId="0FF3C7EF" w14:textId="0B7261DA" w:rsidR="00210D0D" w:rsidRDefault="00993F2C" w:rsidP="00E41B3F">
      <w:pPr>
        <w:rPr>
          <w:noProof/>
        </w:rPr>
      </w:pPr>
      <w:r>
        <w:rPr>
          <w:noProof/>
        </w:rPr>
        <w:t>k</w:t>
      </w:r>
      <w:r w:rsidR="00210D0D">
        <w:rPr>
          <w:noProof/>
        </w:rPr>
        <w:t>ukuričný škrob, predželatinovaný</w:t>
      </w:r>
    </w:p>
    <w:p w14:paraId="1649E602" w14:textId="3E2097C6" w:rsidR="00210D0D" w:rsidRDefault="00993F2C" w:rsidP="00E41B3F">
      <w:proofErr w:type="spellStart"/>
      <w:r>
        <w:t>k</w:t>
      </w:r>
      <w:r w:rsidR="00210D0D" w:rsidRPr="00210D0D">
        <w:t>arboxymetylškrob</w:t>
      </w:r>
      <w:proofErr w:type="spellEnd"/>
      <w:r w:rsidR="00210D0D" w:rsidRPr="00210D0D">
        <w:t xml:space="preserve"> A, sodná soľ</w:t>
      </w:r>
    </w:p>
    <w:p w14:paraId="2C098776" w14:textId="036B6DE3" w:rsidR="00210D0D" w:rsidRPr="003021DE" w:rsidRDefault="00993F2C" w:rsidP="00E41B3F">
      <w:proofErr w:type="spellStart"/>
      <w:r>
        <w:t>s</w:t>
      </w:r>
      <w:r w:rsidR="00210D0D">
        <w:t>tearát</w:t>
      </w:r>
      <w:proofErr w:type="spellEnd"/>
      <w:r w:rsidR="00210D0D">
        <w:t xml:space="preserve"> horečnatý</w:t>
      </w:r>
    </w:p>
    <w:p w14:paraId="049E7E35" w14:textId="77777777" w:rsidR="00780926" w:rsidRPr="00563A2D" w:rsidRDefault="00780926" w:rsidP="00E41B3F">
      <w:pPr>
        <w:rPr>
          <w:szCs w:val="22"/>
          <w:lang w:val="cs-CZ"/>
        </w:rPr>
      </w:pPr>
    </w:p>
    <w:p w14:paraId="4F5C5D8B" w14:textId="77777777" w:rsidR="00780926" w:rsidRPr="003021DE" w:rsidRDefault="00F35CE2" w:rsidP="00E41B3F">
      <w:pPr>
        <w:rPr>
          <w:szCs w:val="22"/>
        </w:rPr>
      </w:pPr>
      <w:r w:rsidRPr="003021DE">
        <w:rPr>
          <w:b/>
          <w:szCs w:val="22"/>
        </w:rPr>
        <w:t>6.2</w:t>
      </w:r>
      <w:r w:rsidRPr="003021DE">
        <w:rPr>
          <w:b/>
          <w:szCs w:val="22"/>
        </w:rPr>
        <w:tab/>
        <w:t>Inkompatibility</w:t>
      </w:r>
    </w:p>
    <w:p w14:paraId="257D705E" w14:textId="77777777" w:rsidR="00780926" w:rsidRPr="003021DE" w:rsidRDefault="00780926" w:rsidP="00E41B3F">
      <w:pPr>
        <w:rPr>
          <w:szCs w:val="22"/>
        </w:rPr>
      </w:pPr>
    </w:p>
    <w:p w14:paraId="584C9BF1" w14:textId="77777777" w:rsidR="00780926" w:rsidRPr="003021DE" w:rsidRDefault="00F35CE2" w:rsidP="00E41B3F">
      <w:pPr>
        <w:rPr>
          <w:szCs w:val="22"/>
        </w:rPr>
      </w:pPr>
      <w:r w:rsidRPr="003021DE">
        <w:t>Neaplikovateľné</w:t>
      </w:r>
      <w:r w:rsidRPr="003021DE">
        <w:rPr>
          <w:szCs w:val="22"/>
        </w:rPr>
        <w:t>.</w:t>
      </w:r>
    </w:p>
    <w:p w14:paraId="0E074592" w14:textId="77777777" w:rsidR="00780926" w:rsidRPr="003021DE" w:rsidRDefault="00780926" w:rsidP="00563A2D">
      <w:pPr>
        <w:ind w:left="0" w:firstLine="0"/>
        <w:rPr>
          <w:szCs w:val="22"/>
        </w:rPr>
      </w:pPr>
    </w:p>
    <w:p w14:paraId="48049D6C" w14:textId="77777777" w:rsidR="00780926" w:rsidRPr="003021DE" w:rsidRDefault="00F35CE2" w:rsidP="00D513D2">
      <w:pPr>
        <w:rPr>
          <w:szCs w:val="22"/>
        </w:rPr>
      </w:pPr>
      <w:r w:rsidRPr="003021DE">
        <w:rPr>
          <w:b/>
          <w:szCs w:val="22"/>
        </w:rPr>
        <w:t>6.3</w:t>
      </w:r>
      <w:r w:rsidRPr="003021DE">
        <w:rPr>
          <w:b/>
          <w:szCs w:val="22"/>
        </w:rPr>
        <w:tab/>
        <w:t>Čas použiteľnosti</w:t>
      </w:r>
    </w:p>
    <w:p w14:paraId="74181897" w14:textId="77777777" w:rsidR="00780926" w:rsidRPr="003021DE" w:rsidRDefault="00780926" w:rsidP="00B13F68">
      <w:pPr>
        <w:rPr>
          <w:szCs w:val="22"/>
        </w:rPr>
      </w:pPr>
    </w:p>
    <w:p w14:paraId="5B744952" w14:textId="77777777" w:rsidR="00780926" w:rsidRPr="003021DE" w:rsidRDefault="00F35CE2" w:rsidP="00B13F68">
      <w:pPr>
        <w:ind w:left="540" w:hanging="540"/>
        <w:rPr>
          <w:szCs w:val="22"/>
        </w:rPr>
      </w:pPr>
      <w:r w:rsidRPr="003021DE">
        <w:rPr>
          <w:szCs w:val="22"/>
        </w:rPr>
        <w:t>3 roky</w:t>
      </w:r>
    </w:p>
    <w:p w14:paraId="172DC15B" w14:textId="77777777" w:rsidR="00780926" w:rsidRPr="003021DE" w:rsidRDefault="00780926" w:rsidP="00B13F68"/>
    <w:p w14:paraId="515F8F7B" w14:textId="77777777" w:rsidR="00780926" w:rsidRPr="003021DE" w:rsidRDefault="00F35CE2" w:rsidP="00B13F68">
      <w:pPr>
        <w:rPr>
          <w:szCs w:val="22"/>
        </w:rPr>
      </w:pPr>
      <w:r w:rsidRPr="003021DE">
        <w:rPr>
          <w:b/>
          <w:szCs w:val="22"/>
        </w:rPr>
        <w:t>6.4</w:t>
      </w:r>
      <w:r w:rsidRPr="003021DE">
        <w:rPr>
          <w:b/>
          <w:szCs w:val="22"/>
        </w:rPr>
        <w:tab/>
        <w:t>Špeciálne upozornenia na uchovávanie</w:t>
      </w:r>
    </w:p>
    <w:p w14:paraId="5A105034" w14:textId="77777777" w:rsidR="00780926" w:rsidRPr="00B13F68" w:rsidRDefault="00780926" w:rsidP="00B13F68"/>
    <w:p w14:paraId="3EE1B1A8" w14:textId="77777777" w:rsidR="00780926" w:rsidRPr="00B13F68" w:rsidRDefault="00563A2D" w:rsidP="00B13F68">
      <w:pPr>
        <w:rPr>
          <w:i/>
        </w:rPr>
      </w:pPr>
      <w:r>
        <w:rPr>
          <w:noProof/>
        </w:rPr>
        <w:t>Tento liek nevyžaduje žiadne zvláštne podmienky na uchovávanie.</w:t>
      </w:r>
    </w:p>
    <w:p w14:paraId="736960E8" w14:textId="77777777" w:rsidR="00780926" w:rsidRPr="003021DE" w:rsidRDefault="00780926" w:rsidP="00B13F68"/>
    <w:p w14:paraId="2CB78D2F" w14:textId="77777777" w:rsidR="00780926" w:rsidRPr="003021DE" w:rsidRDefault="00F35CE2" w:rsidP="00B13F68">
      <w:pPr>
        <w:rPr>
          <w:szCs w:val="22"/>
        </w:rPr>
      </w:pPr>
      <w:r w:rsidRPr="003021DE">
        <w:rPr>
          <w:b/>
          <w:szCs w:val="22"/>
        </w:rPr>
        <w:t>6.5</w:t>
      </w:r>
      <w:r w:rsidRPr="003021DE">
        <w:rPr>
          <w:b/>
          <w:szCs w:val="22"/>
        </w:rPr>
        <w:tab/>
        <w:t>Druh obalu a obsah balenia</w:t>
      </w:r>
      <w:r w:rsidRPr="003021DE">
        <w:rPr>
          <w:b/>
          <w:color w:val="0000FF"/>
          <w:szCs w:val="22"/>
        </w:rPr>
        <w:t xml:space="preserve"> </w:t>
      </w:r>
    </w:p>
    <w:p w14:paraId="18B002F1" w14:textId="77777777" w:rsidR="00780926" w:rsidRPr="003021DE" w:rsidRDefault="00780926" w:rsidP="00B13F68">
      <w:pPr>
        <w:rPr>
          <w:szCs w:val="22"/>
        </w:rPr>
      </w:pPr>
    </w:p>
    <w:p w14:paraId="336D9A3D" w14:textId="4B63409B" w:rsidR="00780926" w:rsidRDefault="00563A2D" w:rsidP="00B13F68">
      <w:pPr>
        <w:rPr>
          <w:szCs w:val="22"/>
        </w:rPr>
      </w:pPr>
      <w:r>
        <w:rPr>
          <w:szCs w:val="22"/>
        </w:rPr>
        <w:t xml:space="preserve">PVC/PVDC/Al </w:t>
      </w:r>
      <w:proofErr w:type="spellStart"/>
      <w:r>
        <w:rPr>
          <w:szCs w:val="22"/>
        </w:rPr>
        <w:t>blister</w:t>
      </w:r>
      <w:proofErr w:type="spellEnd"/>
      <w:r>
        <w:rPr>
          <w:szCs w:val="22"/>
        </w:rPr>
        <w:t xml:space="preserve">, papierová </w:t>
      </w:r>
      <w:r w:rsidR="00CD20F9">
        <w:rPr>
          <w:szCs w:val="22"/>
        </w:rPr>
        <w:t>škatuľka</w:t>
      </w:r>
    </w:p>
    <w:p w14:paraId="0EC2E2F7" w14:textId="77777777" w:rsidR="00563A2D" w:rsidRDefault="00563A2D" w:rsidP="00B13F68">
      <w:pPr>
        <w:rPr>
          <w:szCs w:val="22"/>
        </w:rPr>
      </w:pPr>
    </w:p>
    <w:p w14:paraId="6589D82C" w14:textId="77777777" w:rsidR="00563A2D" w:rsidRDefault="00563A2D" w:rsidP="00B13F68">
      <w:pPr>
        <w:rPr>
          <w:szCs w:val="22"/>
        </w:rPr>
      </w:pPr>
      <w:r>
        <w:rPr>
          <w:szCs w:val="22"/>
        </w:rPr>
        <w:t>Ve</w:t>
      </w:r>
      <w:r w:rsidR="00BE1792">
        <w:rPr>
          <w:szCs w:val="22"/>
        </w:rPr>
        <w:t>ľ</w:t>
      </w:r>
      <w:r>
        <w:rPr>
          <w:szCs w:val="22"/>
        </w:rPr>
        <w:t>kosti balenia: 10,</w:t>
      </w:r>
      <w:r w:rsidR="00BE1792">
        <w:rPr>
          <w:szCs w:val="22"/>
        </w:rPr>
        <w:t xml:space="preserve"> </w:t>
      </w:r>
      <w:r>
        <w:rPr>
          <w:szCs w:val="22"/>
        </w:rPr>
        <w:t>20, 30, 40, 50, 60, 70, 80, 90 a 100 tabliet</w:t>
      </w:r>
    </w:p>
    <w:p w14:paraId="743703E5" w14:textId="77777777" w:rsidR="00563A2D" w:rsidRDefault="00563A2D" w:rsidP="00B13F68">
      <w:pPr>
        <w:rPr>
          <w:szCs w:val="22"/>
        </w:rPr>
      </w:pPr>
      <w:r>
        <w:rPr>
          <w:szCs w:val="22"/>
        </w:rPr>
        <w:t>Na trh nemusia byť uvedené všetky veľkosti balenia.</w:t>
      </w:r>
    </w:p>
    <w:p w14:paraId="7D9D6851" w14:textId="77777777" w:rsidR="00563A2D" w:rsidRPr="00563A2D" w:rsidRDefault="00563A2D" w:rsidP="00B13F68"/>
    <w:p w14:paraId="1AB7DCA5" w14:textId="77777777" w:rsidR="00780926" w:rsidRPr="00B13F68" w:rsidRDefault="00F35CE2" w:rsidP="00B13F68">
      <w:pPr>
        <w:rPr>
          <w:b/>
          <w:bCs/>
          <w:noProof/>
        </w:rPr>
      </w:pPr>
      <w:r w:rsidRPr="00D513D2">
        <w:rPr>
          <w:b/>
          <w:szCs w:val="22"/>
        </w:rPr>
        <w:t>6.6</w:t>
      </w:r>
      <w:r w:rsidRPr="00D513D2">
        <w:rPr>
          <w:b/>
          <w:szCs w:val="22"/>
        </w:rPr>
        <w:tab/>
      </w:r>
      <w:r w:rsidRPr="00B13F68">
        <w:rPr>
          <w:b/>
          <w:bCs/>
          <w:noProof/>
        </w:rPr>
        <w:t>Špeciálne opatrenia na likvidáciu</w:t>
      </w:r>
      <w:r w:rsidRPr="003021DE">
        <w:rPr>
          <w:b/>
          <w:szCs w:val="22"/>
        </w:rPr>
        <w:t xml:space="preserve"> </w:t>
      </w:r>
    </w:p>
    <w:p w14:paraId="1A986B1A" w14:textId="77777777" w:rsidR="00780926" w:rsidRPr="00B13F68" w:rsidRDefault="00780926" w:rsidP="00B13F68">
      <w:pPr>
        <w:rPr>
          <w:bCs/>
          <w:noProof/>
        </w:rPr>
      </w:pPr>
    </w:p>
    <w:p w14:paraId="64519105" w14:textId="77777777" w:rsidR="00780926" w:rsidRPr="00563A2D" w:rsidRDefault="00BB6D67" w:rsidP="00563A2D">
      <w:pPr>
        <w:ind w:left="0" w:firstLine="0"/>
        <w:rPr>
          <w:noProof/>
        </w:rPr>
      </w:pPr>
      <w:r w:rsidRPr="00C03EA6">
        <w:rPr>
          <w:szCs w:val="22"/>
        </w:rPr>
        <w:t>Všetok nepoužitý liek alebo odpad</w:t>
      </w:r>
      <w:r w:rsidR="000E2174">
        <w:rPr>
          <w:szCs w:val="22"/>
        </w:rPr>
        <w:t xml:space="preserve"> </w:t>
      </w:r>
      <w:r w:rsidRPr="00C03EA6">
        <w:rPr>
          <w:szCs w:val="22"/>
        </w:rPr>
        <w:t>vzniknutý z lieku sa má zlikvidovať v súlade s národnými požiadavkami</w:t>
      </w:r>
      <w:r w:rsidR="00F35CE2" w:rsidRPr="003021DE">
        <w:rPr>
          <w:szCs w:val="22"/>
        </w:rPr>
        <w:t>.</w:t>
      </w:r>
    </w:p>
    <w:p w14:paraId="28355F15" w14:textId="77777777" w:rsidR="00780926" w:rsidRPr="003021DE" w:rsidRDefault="00780926" w:rsidP="00E41B3F">
      <w:pPr>
        <w:rPr>
          <w:szCs w:val="22"/>
        </w:rPr>
      </w:pPr>
    </w:p>
    <w:p w14:paraId="228D828C" w14:textId="77777777" w:rsidR="00780926" w:rsidRPr="003021DE" w:rsidRDefault="00780926" w:rsidP="00E41B3F">
      <w:pPr>
        <w:rPr>
          <w:szCs w:val="22"/>
        </w:rPr>
      </w:pPr>
    </w:p>
    <w:p w14:paraId="29D5E723" w14:textId="77777777" w:rsidR="00780926" w:rsidRPr="003021DE" w:rsidRDefault="00F35CE2" w:rsidP="00E41B3F">
      <w:pPr>
        <w:rPr>
          <w:b/>
          <w:szCs w:val="22"/>
        </w:rPr>
      </w:pPr>
      <w:r w:rsidRPr="003021DE">
        <w:rPr>
          <w:b/>
          <w:szCs w:val="22"/>
        </w:rPr>
        <w:t>7.</w:t>
      </w:r>
      <w:r w:rsidRPr="003021DE">
        <w:rPr>
          <w:b/>
          <w:szCs w:val="22"/>
        </w:rPr>
        <w:tab/>
        <w:t>DRŽITEĽ ROZHODNUTIA O REGISTRÁCII</w:t>
      </w:r>
    </w:p>
    <w:p w14:paraId="0E10FEFD" w14:textId="77777777" w:rsidR="00780926" w:rsidRPr="003021DE" w:rsidRDefault="00780926" w:rsidP="00E41B3F">
      <w:pPr>
        <w:rPr>
          <w:szCs w:val="22"/>
        </w:rPr>
      </w:pPr>
    </w:p>
    <w:p w14:paraId="3D12D826" w14:textId="150FF9AF" w:rsidR="00780926" w:rsidRDefault="00563A2D" w:rsidP="00E41B3F">
      <w:pPr>
        <w:rPr>
          <w:noProof/>
        </w:rPr>
      </w:pPr>
      <w:r>
        <w:rPr>
          <w:noProof/>
        </w:rPr>
        <w:t>Medre</w:t>
      </w:r>
      <w:r w:rsidR="00884303">
        <w:rPr>
          <w:noProof/>
        </w:rPr>
        <w:t>g</w:t>
      </w:r>
      <w:bookmarkStart w:id="0" w:name="_GoBack"/>
      <w:bookmarkEnd w:id="0"/>
      <w:r>
        <w:rPr>
          <w:noProof/>
        </w:rPr>
        <w:t xml:space="preserve"> s.r.o.</w:t>
      </w:r>
    </w:p>
    <w:p w14:paraId="16FAF20A" w14:textId="77777777" w:rsidR="00563A2D" w:rsidRDefault="00563A2D" w:rsidP="00E41B3F">
      <w:pPr>
        <w:rPr>
          <w:noProof/>
        </w:rPr>
      </w:pPr>
      <w:r>
        <w:rPr>
          <w:noProof/>
        </w:rPr>
        <w:t>Na Florenci 2116/15</w:t>
      </w:r>
    </w:p>
    <w:p w14:paraId="34242102" w14:textId="77777777" w:rsidR="00563A2D" w:rsidRDefault="00563A2D" w:rsidP="00E41B3F">
      <w:pPr>
        <w:rPr>
          <w:noProof/>
        </w:rPr>
      </w:pPr>
      <w:r>
        <w:rPr>
          <w:noProof/>
        </w:rPr>
        <w:t>Nové Město</w:t>
      </w:r>
    </w:p>
    <w:p w14:paraId="6913061E" w14:textId="77777777" w:rsidR="00563A2D" w:rsidRDefault="00563A2D" w:rsidP="00E41B3F">
      <w:pPr>
        <w:rPr>
          <w:noProof/>
        </w:rPr>
      </w:pPr>
      <w:r>
        <w:rPr>
          <w:noProof/>
        </w:rPr>
        <w:t>110 00 Praha 1</w:t>
      </w:r>
    </w:p>
    <w:p w14:paraId="19DE962D" w14:textId="77777777" w:rsidR="00563A2D" w:rsidRPr="00B13F68" w:rsidRDefault="00563A2D" w:rsidP="00E41B3F">
      <w:pPr>
        <w:rPr>
          <w:szCs w:val="22"/>
        </w:rPr>
      </w:pPr>
      <w:r>
        <w:rPr>
          <w:noProof/>
        </w:rPr>
        <w:t>Česká republika</w:t>
      </w:r>
    </w:p>
    <w:p w14:paraId="0B33F7B2" w14:textId="77777777" w:rsidR="00780926" w:rsidRDefault="00780926" w:rsidP="00E41B3F">
      <w:pPr>
        <w:rPr>
          <w:szCs w:val="22"/>
        </w:rPr>
      </w:pPr>
    </w:p>
    <w:p w14:paraId="63B215BE" w14:textId="77777777" w:rsidR="00BE1792" w:rsidRPr="00B13F68" w:rsidRDefault="00BE1792" w:rsidP="00E41B3F">
      <w:pPr>
        <w:rPr>
          <w:szCs w:val="22"/>
        </w:rPr>
      </w:pPr>
    </w:p>
    <w:p w14:paraId="41F90F10" w14:textId="77777777" w:rsidR="00780926" w:rsidRPr="00B13F68" w:rsidRDefault="00F35CE2" w:rsidP="00E41B3F">
      <w:r w:rsidRPr="00B13F68">
        <w:rPr>
          <w:b/>
          <w:szCs w:val="22"/>
        </w:rPr>
        <w:t>8.</w:t>
      </w:r>
      <w:r w:rsidRPr="00B13F68">
        <w:rPr>
          <w:b/>
          <w:szCs w:val="22"/>
        </w:rPr>
        <w:tab/>
        <w:t xml:space="preserve">REGISTRAČNÉ </w:t>
      </w:r>
      <w:r w:rsidRPr="003021DE">
        <w:rPr>
          <w:b/>
          <w:szCs w:val="22"/>
        </w:rPr>
        <w:t>ČÍSLO</w:t>
      </w:r>
    </w:p>
    <w:p w14:paraId="0AC3A804" w14:textId="77777777" w:rsidR="00780926" w:rsidRDefault="00780926" w:rsidP="00A75ECC">
      <w:pPr>
        <w:rPr>
          <w:szCs w:val="22"/>
        </w:rPr>
      </w:pPr>
    </w:p>
    <w:p w14:paraId="47BAF9D0" w14:textId="212001F8" w:rsidR="000A3ED0" w:rsidRDefault="000A3ED0" w:rsidP="00A75ECC">
      <w:pPr>
        <w:rPr>
          <w:szCs w:val="22"/>
        </w:rPr>
      </w:pPr>
      <w:r w:rsidRPr="000A3ED0">
        <w:rPr>
          <w:szCs w:val="22"/>
        </w:rPr>
        <w:t>50/0032/21-S</w:t>
      </w:r>
    </w:p>
    <w:p w14:paraId="1E8C8C56" w14:textId="77777777" w:rsidR="00F57F36" w:rsidRPr="003021DE" w:rsidRDefault="00F57F36" w:rsidP="00A75ECC">
      <w:pPr>
        <w:rPr>
          <w:szCs w:val="22"/>
        </w:rPr>
      </w:pPr>
    </w:p>
    <w:p w14:paraId="0F1154B5" w14:textId="77777777" w:rsidR="00780926" w:rsidRPr="003021DE" w:rsidRDefault="00780926" w:rsidP="00D513D2">
      <w:pPr>
        <w:rPr>
          <w:szCs w:val="22"/>
        </w:rPr>
      </w:pPr>
    </w:p>
    <w:p w14:paraId="26EB6086" w14:textId="77777777" w:rsidR="00780926" w:rsidRPr="003021DE" w:rsidRDefault="00F35CE2" w:rsidP="00D513D2">
      <w:pPr>
        <w:rPr>
          <w:b/>
          <w:szCs w:val="22"/>
        </w:rPr>
      </w:pPr>
      <w:r w:rsidRPr="003021DE">
        <w:rPr>
          <w:b/>
          <w:szCs w:val="22"/>
        </w:rPr>
        <w:t>9.</w:t>
      </w:r>
      <w:r w:rsidRPr="003021DE">
        <w:rPr>
          <w:b/>
          <w:szCs w:val="22"/>
        </w:rPr>
        <w:tab/>
        <w:t>DÁTUM PRVEJ REGISTRÁCIE/PREDĹŽENIA REGISTRÁCIE</w:t>
      </w:r>
    </w:p>
    <w:p w14:paraId="2EE2B412" w14:textId="77777777" w:rsidR="00780926" w:rsidRPr="003021DE" w:rsidRDefault="00780926" w:rsidP="00B13F68">
      <w:pPr>
        <w:rPr>
          <w:szCs w:val="22"/>
        </w:rPr>
      </w:pPr>
    </w:p>
    <w:p w14:paraId="4A22E3A4" w14:textId="77777777" w:rsidR="001D1B4B" w:rsidRPr="00B13F68" w:rsidRDefault="00F35CE2" w:rsidP="00B13F68">
      <w:pPr>
        <w:rPr>
          <w:noProof/>
        </w:rPr>
      </w:pPr>
      <w:r w:rsidRPr="00B13F68">
        <w:rPr>
          <w:noProof/>
        </w:rPr>
        <w:t xml:space="preserve">Dátum prvej registrácie: </w:t>
      </w:r>
    </w:p>
    <w:p w14:paraId="3783E0E5" w14:textId="77777777" w:rsidR="00780926" w:rsidRPr="003021DE" w:rsidRDefault="00F35CE2" w:rsidP="00B13F68">
      <w:pPr>
        <w:rPr>
          <w:szCs w:val="22"/>
        </w:rPr>
      </w:pPr>
      <w:r w:rsidRPr="00B13F68">
        <w:rPr>
          <w:noProof/>
        </w:rPr>
        <w:t>Dátum posledného predĺženia</w:t>
      </w:r>
      <w:r w:rsidR="00D71CEA" w:rsidRPr="00B13F68">
        <w:rPr>
          <w:noProof/>
        </w:rPr>
        <w:t xml:space="preserve"> registr</w:t>
      </w:r>
      <w:r w:rsidR="00D71CEA" w:rsidRPr="003021DE">
        <w:rPr>
          <w:noProof/>
        </w:rPr>
        <w:t>ácie</w:t>
      </w:r>
      <w:r w:rsidRPr="00B13F68">
        <w:rPr>
          <w:noProof/>
        </w:rPr>
        <w:t xml:space="preserve">: </w:t>
      </w:r>
    </w:p>
    <w:p w14:paraId="5957949F" w14:textId="77777777" w:rsidR="00780926" w:rsidRPr="003021DE" w:rsidRDefault="00780926" w:rsidP="00B13F68">
      <w:pPr>
        <w:rPr>
          <w:szCs w:val="22"/>
        </w:rPr>
      </w:pPr>
    </w:p>
    <w:p w14:paraId="0FED7307" w14:textId="77777777" w:rsidR="00780926" w:rsidRPr="003021DE" w:rsidRDefault="00780926" w:rsidP="00B13F68">
      <w:pPr>
        <w:rPr>
          <w:szCs w:val="22"/>
        </w:rPr>
      </w:pPr>
    </w:p>
    <w:p w14:paraId="23629029" w14:textId="77777777" w:rsidR="00780926" w:rsidRDefault="00F35CE2" w:rsidP="00B13F68">
      <w:pPr>
        <w:rPr>
          <w:b/>
          <w:szCs w:val="22"/>
        </w:rPr>
      </w:pPr>
      <w:r w:rsidRPr="003021DE">
        <w:rPr>
          <w:b/>
          <w:szCs w:val="22"/>
        </w:rPr>
        <w:lastRenderedPageBreak/>
        <w:t>10.</w:t>
      </w:r>
      <w:r w:rsidRPr="003021DE">
        <w:rPr>
          <w:b/>
          <w:szCs w:val="22"/>
        </w:rPr>
        <w:tab/>
        <w:t>DÁTUM REVÍZIE TEXTU</w:t>
      </w:r>
    </w:p>
    <w:p w14:paraId="1AD62863" w14:textId="77777777" w:rsidR="00B4630C" w:rsidRDefault="00B4630C" w:rsidP="00B13F68">
      <w:pPr>
        <w:rPr>
          <w:szCs w:val="22"/>
        </w:rPr>
      </w:pPr>
    </w:p>
    <w:p w14:paraId="10F08394" w14:textId="75F4916A" w:rsidR="00F57F36" w:rsidRPr="00F57F36" w:rsidRDefault="00F57F36" w:rsidP="00B13F68">
      <w:pPr>
        <w:rPr>
          <w:szCs w:val="22"/>
        </w:rPr>
      </w:pPr>
      <w:r w:rsidRPr="00F57F36">
        <w:rPr>
          <w:szCs w:val="22"/>
        </w:rPr>
        <w:t>02/2021</w:t>
      </w:r>
    </w:p>
    <w:p w14:paraId="17414CB7" w14:textId="77777777" w:rsidR="00780926" w:rsidRPr="00B13F68" w:rsidRDefault="00780926" w:rsidP="00B13F68">
      <w:pPr>
        <w:rPr>
          <w:szCs w:val="22"/>
        </w:rPr>
      </w:pPr>
    </w:p>
    <w:p w14:paraId="3F28B776" w14:textId="77777777" w:rsidR="00780926" w:rsidRPr="003021DE" w:rsidRDefault="00780926" w:rsidP="00B13F68"/>
    <w:p w14:paraId="1812FF70" w14:textId="77777777" w:rsidR="00780926" w:rsidRPr="00B13F68" w:rsidRDefault="00780926" w:rsidP="00B13F68">
      <w:pPr>
        <w:rPr>
          <w:noProof/>
          <w:highlight w:val="cyan"/>
        </w:rPr>
      </w:pPr>
    </w:p>
    <w:p w14:paraId="2BDE2FCD" w14:textId="77777777" w:rsidR="00780926" w:rsidRPr="00B13F68" w:rsidRDefault="00780926" w:rsidP="00B13F68">
      <w:pPr>
        <w:rPr>
          <w:szCs w:val="22"/>
        </w:rPr>
      </w:pPr>
    </w:p>
    <w:p w14:paraId="05DC8339" w14:textId="77777777" w:rsidR="00780926" w:rsidRPr="00B13F68" w:rsidRDefault="00780926" w:rsidP="000617E9">
      <w:pPr>
        <w:ind w:left="0" w:firstLine="0"/>
        <w:rPr>
          <w:noProof/>
          <w:szCs w:val="22"/>
        </w:rPr>
      </w:pPr>
    </w:p>
    <w:sectPr w:rsidR="00780926" w:rsidRPr="00B13F68" w:rsidSect="00AA1141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DE7AC6" w14:textId="77777777" w:rsidR="00030090" w:rsidRDefault="00030090">
      <w:r>
        <w:separator/>
      </w:r>
    </w:p>
  </w:endnote>
  <w:endnote w:type="continuationSeparator" w:id="0">
    <w:p w14:paraId="49A850F6" w14:textId="77777777" w:rsidR="00030090" w:rsidRDefault="00030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6BD5CA" w14:textId="77777777" w:rsidR="005210D5" w:rsidRPr="00B13F68" w:rsidRDefault="005210D5">
    <w:pPr>
      <w:pStyle w:val="Pta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 w:rsidRPr="00B13F68">
      <w:rPr>
        <w:rFonts w:ascii="Arial" w:hAnsi="Arial" w:cs="Arial"/>
      </w:rPr>
      <w:fldChar w:fldCharType="begin"/>
    </w:r>
    <w:r w:rsidRPr="00B13F68">
      <w:rPr>
        <w:rFonts w:ascii="Arial" w:hAnsi="Arial" w:cs="Arial"/>
      </w:rPr>
      <w:instrText xml:space="preserve"> EQ </w:instrText>
    </w:r>
    <w:r w:rsidRPr="00B13F68">
      <w:rPr>
        <w:rFonts w:ascii="Arial" w:hAnsi="Arial" w:cs="Arial"/>
      </w:rPr>
      <w:fldChar w:fldCharType="end"/>
    </w:r>
    <w:r w:rsidRPr="00D513D2">
      <w:rPr>
        <w:rStyle w:val="slostrany"/>
        <w:rFonts w:ascii="Arial" w:hAnsi="Arial" w:cs="Arial"/>
      </w:rPr>
      <w:fldChar w:fldCharType="begin"/>
    </w:r>
    <w:r w:rsidRPr="00B13F68">
      <w:rPr>
        <w:rStyle w:val="slostrany"/>
        <w:rFonts w:ascii="Arial" w:hAnsi="Arial" w:cs="Arial"/>
      </w:rPr>
      <w:instrText xml:space="preserve">PAGE  </w:instrText>
    </w:r>
    <w:r w:rsidRPr="00D513D2">
      <w:rPr>
        <w:rStyle w:val="slostrany"/>
        <w:rFonts w:ascii="Arial" w:hAnsi="Arial" w:cs="Arial"/>
      </w:rPr>
      <w:fldChar w:fldCharType="separate"/>
    </w:r>
    <w:r w:rsidR="00884303">
      <w:rPr>
        <w:rStyle w:val="slostrany"/>
        <w:rFonts w:ascii="Arial" w:hAnsi="Arial" w:cs="Arial"/>
        <w:noProof/>
      </w:rPr>
      <w:t>12</w:t>
    </w:r>
    <w:r w:rsidRPr="00D513D2">
      <w:rPr>
        <w:rStyle w:val="slostrany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B3230B" w14:textId="77777777" w:rsidR="005210D5" w:rsidRDefault="005210D5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slostrany"/>
        <w:rFonts w:ascii="Arial" w:hAnsi="Arial" w:cs="Arial"/>
      </w:rPr>
      <w:fldChar w:fldCharType="begin"/>
    </w:r>
    <w:r>
      <w:rPr>
        <w:rStyle w:val="slostrany"/>
        <w:rFonts w:ascii="Arial" w:hAnsi="Arial" w:cs="Arial"/>
      </w:rPr>
      <w:instrText xml:space="preserve">PAGE  </w:instrText>
    </w:r>
    <w:r>
      <w:rPr>
        <w:rStyle w:val="slostrany"/>
        <w:rFonts w:ascii="Arial" w:hAnsi="Arial" w:cs="Arial"/>
      </w:rPr>
      <w:fldChar w:fldCharType="separate"/>
    </w:r>
    <w:r w:rsidR="001D6050">
      <w:rPr>
        <w:rStyle w:val="slostrany"/>
        <w:rFonts w:ascii="Arial" w:hAnsi="Arial" w:cs="Arial"/>
        <w:noProof/>
      </w:rPr>
      <w:t>1</w:t>
    </w:r>
    <w:r>
      <w:rPr>
        <w:rStyle w:val="slostran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74F1D9" w14:textId="77777777" w:rsidR="00030090" w:rsidRDefault="00030090">
      <w:r>
        <w:separator/>
      </w:r>
    </w:p>
  </w:footnote>
  <w:footnote w:type="continuationSeparator" w:id="0">
    <w:p w14:paraId="74933FC6" w14:textId="77777777" w:rsidR="00030090" w:rsidRDefault="000300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CEEDFD" w14:textId="77777777" w:rsidR="0001728A" w:rsidRPr="0066313F" w:rsidRDefault="0001728A" w:rsidP="0001728A">
    <w:pPr>
      <w:pStyle w:val="Hlavika"/>
      <w:rPr>
        <w:rFonts w:ascii="Times New Roman" w:hAnsi="Times New Roman"/>
        <w:sz w:val="18"/>
      </w:rPr>
    </w:pPr>
    <w:r w:rsidRPr="0066313F">
      <w:rPr>
        <w:rFonts w:ascii="Times New Roman" w:hAnsi="Times New Roman"/>
        <w:sz w:val="18"/>
      </w:rPr>
      <w:t xml:space="preserve">Schválený text k </w:t>
    </w:r>
    <w:proofErr w:type="spellStart"/>
    <w:r w:rsidRPr="0066313F">
      <w:rPr>
        <w:rFonts w:ascii="Times New Roman" w:hAnsi="Times New Roman"/>
        <w:sz w:val="18"/>
      </w:rPr>
      <w:t>rozhodnutiu</w:t>
    </w:r>
    <w:proofErr w:type="spellEnd"/>
    <w:r w:rsidRPr="0066313F">
      <w:rPr>
        <w:rFonts w:ascii="Times New Roman" w:hAnsi="Times New Roman"/>
        <w:sz w:val="18"/>
      </w:rPr>
      <w:t xml:space="preserve"> o </w:t>
    </w:r>
    <w:proofErr w:type="spellStart"/>
    <w:r w:rsidRPr="0066313F">
      <w:rPr>
        <w:rFonts w:ascii="Times New Roman" w:hAnsi="Times New Roman"/>
        <w:sz w:val="18"/>
      </w:rPr>
      <w:t>registrácii</w:t>
    </w:r>
    <w:proofErr w:type="spellEnd"/>
    <w:r w:rsidRPr="0066313F">
      <w:rPr>
        <w:rFonts w:ascii="Times New Roman" w:hAnsi="Times New Roman"/>
        <w:sz w:val="18"/>
      </w:rPr>
      <w:t>, ev. č.: 2019/06385-REG</w:t>
    </w:r>
  </w:p>
  <w:p w14:paraId="25405172" w14:textId="77777777" w:rsidR="000C7E39" w:rsidRDefault="000C7E39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2C199C" w14:textId="67692427" w:rsidR="005210D5" w:rsidRPr="00AA1141" w:rsidRDefault="006C76C4">
    <w:pPr>
      <w:pStyle w:val="Hlavika"/>
      <w:rPr>
        <w:rFonts w:ascii="Times New Roman" w:hAnsi="Times New Roman"/>
      </w:rPr>
    </w:pPr>
    <w:r w:rsidRPr="00AA1141">
      <w:rPr>
        <w:rFonts w:ascii="Times New Roman" w:hAnsi="Times New Roman"/>
      </w:rPr>
      <w:t xml:space="preserve">Schválený text k </w:t>
    </w:r>
    <w:proofErr w:type="spellStart"/>
    <w:r w:rsidRPr="00AA1141">
      <w:rPr>
        <w:rFonts w:ascii="Times New Roman" w:hAnsi="Times New Roman"/>
      </w:rPr>
      <w:t>rozhodnutiu</w:t>
    </w:r>
    <w:proofErr w:type="spellEnd"/>
    <w:r w:rsidRPr="00AA1141">
      <w:rPr>
        <w:rFonts w:ascii="Times New Roman" w:hAnsi="Times New Roman"/>
      </w:rPr>
      <w:t xml:space="preserve"> o </w:t>
    </w:r>
    <w:proofErr w:type="spellStart"/>
    <w:r w:rsidRPr="00AA1141">
      <w:rPr>
        <w:rFonts w:ascii="Times New Roman" w:hAnsi="Times New Roman"/>
      </w:rPr>
      <w:t>registrácii</w:t>
    </w:r>
    <w:proofErr w:type="spellEnd"/>
    <w:r w:rsidRPr="00AA1141">
      <w:rPr>
        <w:rFonts w:ascii="Times New Roman" w:hAnsi="Times New Roman"/>
      </w:rPr>
      <w:t>, ev. č.:</w:t>
    </w:r>
    <w:r>
      <w:rPr>
        <w:rFonts w:ascii="Times New Roman" w:hAnsi="Times New Roman"/>
      </w:rPr>
      <w:t xml:space="preserve"> </w:t>
    </w:r>
    <w:r w:rsidRPr="006C76C4">
      <w:rPr>
        <w:rFonts w:ascii="Times New Roman" w:hAnsi="Times New Roman"/>
      </w:rPr>
      <w:t>2019/06385-REG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1D3DB7"/>
    <w:multiLevelType w:val="hybridMultilevel"/>
    <w:tmpl w:val="A46666A6"/>
    <w:lvl w:ilvl="0" w:tplc="54C6CA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73897"/>
    <w:multiLevelType w:val="hybridMultilevel"/>
    <w:tmpl w:val="80C8162A"/>
    <w:lvl w:ilvl="0" w:tplc="24D2FB74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16EE1A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768C3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8084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3694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6921A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14D3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9685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D36B0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1583E83"/>
    <w:multiLevelType w:val="hybridMultilevel"/>
    <w:tmpl w:val="AD784DE4"/>
    <w:lvl w:ilvl="0" w:tplc="916C6C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7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8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9" w15:restartNumberingAfterBreak="0">
    <w:nsid w:val="6A342AD7"/>
    <w:multiLevelType w:val="multilevel"/>
    <w:tmpl w:val="5A6AF1B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1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2" w15:restartNumberingAfterBreak="0">
    <w:nsid w:val="7A100D28"/>
    <w:multiLevelType w:val="hybridMultilevel"/>
    <w:tmpl w:val="2F94C0BA"/>
    <w:lvl w:ilvl="0" w:tplc="21B0AD70">
      <w:start w:val="1"/>
      <w:numFmt w:val="upperLetter"/>
      <w:lvlText w:val="%1."/>
      <w:lvlJc w:val="left"/>
      <w:pPr>
        <w:ind w:left="5670" w:hanging="5670"/>
      </w:pPr>
      <w:rPr>
        <w:b/>
      </w:rPr>
    </w:lvl>
    <w:lvl w:ilvl="1" w:tplc="45CE42B0">
      <w:start w:val="1"/>
      <w:numFmt w:val="decimal"/>
      <w:lvlText w:val="%2."/>
      <w:lvlJc w:val="left"/>
      <w:pPr>
        <w:ind w:left="1650" w:hanging="570"/>
      </w:pPr>
      <w:rPr>
        <w:b/>
        <w:i w:val="0"/>
      </w:rPr>
    </w:lvl>
    <w:lvl w:ilvl="2" w:tplc="DCC04F5E">
      <w:start w:val="1"/>
      <w:numFmt w:val="lowerRoman"/>
      <w:lvlText w:val="%3."/>
      <w:lvlJc w:val="right"/>
      <w:pPr>
        <w:ind w:left="2160" w:hanging="180"/>
      </w:pPr>
    </w:lvl>
    <w:lvl w:ilvl="3" w:tplc="4AE8F712">
      <w:start w:val="1"/>
      <w:numFmt w:val="decimal"/>
      <w:lvlText w:val="%4."/>
      <w:lvlJc w:val="left"/>
      <w:pPr>
        <w:ind w:left="2880" w:hanging="360"/>
      </w:pPr>
    </w:lvl>
    <w:lvl w:ilvl="4" w:tplc="14B4A8C2">
      <w:start w:val="1"/>
      <w:numFmt w:val="lowerLetter"/>
      <w:lvlText w:val="%5."/>
      <w:lvlJc w:val="left"/>
      <w:pPr>
        <w:ind w:left="3600" w:hanging="360"/>
      </w:pPr>
    </w:lvl>
    <w:lvl w:ilvl="5" w:tplc="C84CA804">
      <w:start w:val="1"/>
      <w:numFmt w:val="lowerRoman"/>
      <w:lvlText w:val="%6."/>
      <w:lvlJc w:val="right"/>
      <w:pPr>
        <w:ind w:left="4320" w:hanging="180"/>
      </w:pPr>
    </w:lvl>
    <w:lvl w:ilvl="6" w:tplc="26E47576">
      <w:start w:val="1"/>
      <w:numFmt w:val="decimal"/>
      <w:lvlText w:val="%7."/>
      <w:lvlJc w:val="left"/>
      <w:pPr>
        <w:ind w:left="5040" w:hanging="360"/>
      </w:pPr>
    </w:lvl>
    <w:lvl w:ilvl="7" w:tplc="BFA0E48E">
      <w:start w:val="1"/>
      <w:numFmt w:val="lowerLetter"/>
      <w:lvlText w:val="%8."/>
      <w:lvlJc w:val="left"/>
      <w:pPr>
        <w:ind w:left="5760" w:hanging="360"/>
      </w:pPr>
    </w:lvl>
    <w:lvl w:ilvl="8" w:tplc="CF301B4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0"/>
  </w:num>
  <w:num w:numId="5">
    <w:abstractNumId w:val="4"/>
  </w:num>
  <w:num w:numId="6">
    <w:abstractNumId w:val="7"/>
  </w:num>
  <w:num w:numId="7">
    <w:abstractNumId w:val="6"/>
  </w:num>
  <w:num w:numId="8">
    <w:abstractNumId w:val="3"/>
  </w:num>
  <w:num w:numId="9">
    <w:abstractNumId w:val="8"/>
  </w:num>
  <w:num w:numId="10">
    <w:abstractNumId w:val="9"/>
  </w:num>
  <w:num w:numId="11">
    <w:abstractNumId w:val="2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780926"/>
    <w:rsid w:val="00010F37"/>
    <w:rsid w:val="00014749"/>
    <w:rsid w:val="0001728A"/>
    <w:rsid w:val="0002088D"/>
    <w:rsid w:val="000210CC"/>
    <w:rsid w:val="00024F41"/>
    <w:rsid w:val="00025A58"/>
    <w:rsid w:val="00030090"/>
    <w:rsid w:val="000377B5"/>
    <w:rsid w:val="00040726"/>
    <w:rsid w:val="00052EE2"/>
    <w:rsid w:val="00056045"/>
    <w:rsid w:val="00061445"/>
    <w:rsid w:val="000617E9"/>
    <w:rsid w:val="00072119"/>
    <w:rsid w:val="00077CF6"/>
    <w:rsid w:val="00085939"/>
    <w:rsid w:val="00090230"/>
    <w:rsid w:val="00091C58"/>
    <w:rsid w:val="00096CAA"/>
    <w:rsid w:val="000A21E7"/>
    <w:rsid w:val="000A3ED0"/>
    <w:rsid w:val="000B09E6"/>
    <w:rsid w:val="000B13AD"/>
    <w:rsid w:val="000B6759"/>
    <w:rsid w:val="000C3E07"/>
    <w:rsid w:val="000C534D"/>
    <w:rsid w:val="000C6D5B"/>
    <w:rsid w:val="000C7E39"/>
    <w:rsid w:val="000D3B1B"/>
    <w:rsid w:val="000E2174"/>
    <w:rsid w:val="000E3D7D"/>
    <w:rsid w:val="000E7645"/>
    <w:rsid w:val="000E7685"/>
    <w:rsid w:val="000F7B31"/>
    <w:rsid w:val="001001CE"/>
    <w:rsid w:val="001026C2"/>
    <w:rsid w:val="001114AF"/>
    <w:rsid w:val="00111E1A"/>
    <w:rsid w:val="001150F2"/>
    <w:rsid w:val="00117A3D"/>
    <w:rsid w:val="001334A2"/>
    <w:rsid w:val="00134B55"/>
    <w:rsid w:val="00135894"/>
    <w:rsid w:val="0014054E"/>
    <w:rsid w:val="001406FE"/>
    <w:rsid w:val="00141412"/>
    <w:rsid w:val="00141BD1"/>
    <w:rsid w:val="0015367B"/>
    <w:rsid w:val="00160508"/>
    <w:rsid w:val="001765D9"/>
    <w:rsid w:val="00177A4A"/>
    <w:rsid w:val="00180DD9"/>
    <w:rsid w:val="00185CB1"/>
    <w:rsid w:val="00187ECC"/>
    <w:rsid w:val="001967D9"/>
    <w:rsid w:val="001A3218"/>
    <w:rsid w:val="001B08B2"/>
    <w:rsid w:val="001B73FD"/>
    <w:rsid w:val="001C1621"/>
    <w:rsid w:val="001C463D"/>
    <w:rsid w:val="001C4F42"/>
    <w:rsid w:val="001D1B4B"/>
    <w:rsid w:val="001D4230"/>
    <w:rsid w:val="001D6050"/>
    <w:rsid w:val="001F7CF0"/>
    <w:rsid w:val="002003FB"/>
    <w:rsid w:val="0020194F"/>
    <w:rsid w:val="00205FC2"/>
    <w:rsid w:val="002103CB"/>
    <w:rsid w:val="00210D0D"/>
    <w:rsid w:val="00211FA8"/>
    <w:rsid w:val="00220A3F"/>
    <w:rsid w:val="002227EB"/>
    <w:rsid w:val="00223E9F"/>
    <w:rsid w:val="0022527A"/>
    <w:rsid w:val="00227375"/>
    <w:rsid w:val="002474F0"/>
    <w:rsid w:val="0025422C"/>
    <w:rsid w:val="0025696C"/>
    <w:rsid w:val="00261056"/>
    <w:rsid w:val="002651FD"/>
    <w:rsid w:val="002660C8"/>
    <w:rsid w:val="00270B82"/>
    <w:rsid w:val="002776F1"/>
    <w:rsid w:val="00281929"/>
    <w:rsid w:val="00281C02"/>
    <w:rsid w:val="00282559"/>
    <w:rsid w:val="002846AB"/>
    <w:rsid w:val="00284EEF"/>
    <w:rsid w:val="002A1D7C"/>
    <w:rsid w:val="002A24BE"/>
    <w:rsid w:val="002A46DA"/>
    <w:rsid w:val="002A6AB5"/>
    <w:rsid w:val="002B7838"/>
    <w:rsid w:val="002C428B"/>
    <w:rsid w:val="002C5553"/>
    <w:rsid w:val="002C64A9"/>
    <w:rsid w:val="002D5C3E"/>
    <w:rsid w:val="002D6730"/>
    <w:rsid w:val="002D7A20"/>
    <w:rsid w:val="002F73EF"/>
    <w:rsid w:val="003015F6"/>
    <w:rsid w:val="003021DE"/>
    <w:rsid w:val="00302F2A"/>
    <w:rsid w:val="00306120"/>
    <w:rsid w:val="0031186C"/>
    <w:rsid w:val="00314AD5"/>
    <w:rsid w:val="0031669D"/>
    <w:rsid w:val="0032560F"/>
    <w:rsid w:val="00330840"/>
    <w:rsid w:val="00332DC3"/>
    <w:rsid w:val="003461A9"/>
    <w:rsid w:val="00346633"/>
    <w:rsid w:val="00355F02"/>
    <w:rsid w:val="003724D2"/>
    <w:rsid w:val="00374CAD"/>
    <w:rsid w:val="00382713"/>
    <w:rsid w:val="003A706F"/>
    <w:rsid w:val="003C383B"/>
    <w:rsid w:val="003F13B8"/>
    <w:rsid w:val="003F1419"/>
    <w:rsid w:val="003F2753"/>
    <w:rsid w:val="003F2CE7"/>
    <w:rsid w:val="00403306"/>
    <w:rsid w:val="004104FE"/>
    <w:rsid w:val="00410B86"/>
    <w:rsid w:val="0041172C"/>
    <w:rsid w:val="00411A8F"/>
    <w:rsid w:val="0041799E"/>
    <w:rsid w:val="004210D4"/>
    <w:rsid w:val="0042356B"/>
    <w:rsid w:val="00432830"/>
    <w:rsid w:val="0044064C"/>
    <w:rsid w:val="0045259F"/>
    <w:rsid w:val="00457BB5"/>
    <w:rsid w:val="004605F8"/>
    <w:rsid w:val="00480E7C"/>
    <w:rsid w:val="0048412D"/>
    <w:rsid w:val="00486C3D"/>
    <w:rsid w:val="0048718C"/>
    <w:rsid w:val="0049191E"/>
    <w:rsid w:val="004A5259"/>
    <w:rsid w:val="004C0111"/>
    <w:rsid w:val="004D0C6B"/>
    <w:rsid w:val="004D457B"/>
    <w:rsid w:val="004D69CE"/>
    <w:rsid w:val="004D71F7"/>
    <w:rsid w:val="004E71A7"/>
    <w:rsid w:val="004E770D"/>
    <w:rsid w:val="004E78AD"/>
    <w:rsid w:val="004F1DC7"/>
    <w:rsid w:val="004F3B6D"/>
    <w:rsid w:val="00504C89"/>
    <w:rsid w:val="00510CCB"/>
    <w:rsid w:val="005110D2"/>
    <w:rsid w:val="00513589"/>
    <w:rsid w:val="005210D5"/>
    <w:rsid w:val="005279ED"/>
    <w:rsid w:val="00530718"/>
    <w:rsid w:val="00536B25"/>
    <w:rsid w:val="00537894"/>
    <w:rsid w:val="005423D5"/>
    <w:rsid w:val="005529E6"/>
    <w:rsid w:val="005565BB"/>
    <w:rsid w:val="00560D93"/>
    <w:rsid w:val="00563A2D"/>
    <w:rsid w:val="0058262C"/>
    <w:rsid w:val="0059553A"/>
    <w:rsid w:val="005971B0"/>
    <w:rsid w:val="005A5717"/>
    <w:rsid w:val="005B2D17"/>
    <w:rsid w:val="005C01F5"/>
    <w:rsid w:val="005E4F97"/>
    <w:rsid w:val="005F7F6E"/>
    <w:rsid w:val="00607357"/>
    <w:rsid w:val="00607AA6"/>
    <w:rsid w:val="00610BC7"/>
    <w:rsid w:val="006114F0"/>
    <w:rsid w:val="00626759"/>
    <w:rsid w:val="00635C39"/>
    <w:rsid w:val="00650EBD"/>
    <w:rsid w:val="00657737"/>
    <w:rsid w:val="0066313F"/>
    <w:rsid w:val="00664192"/>
    <w:rsid w:val="00666A5F"/>
    <w:rsid w:val="00670E30"/>
    <w:rsid w:val="00671E24"/>
    <w:rsid w:val="0067386E"/>
    <w:rsid w:val="006749E5"/>
    <w:rsid w:val="00683731"/>
    <w:rsid w:val="006864DC"/>
    <w:rsid w:val="00693217"/>
    <w:rsid w:val="006A0574"/>
    <w:rsid w:val="006A44C5"/>
    <w:rsid w:val="006A4970"/>
    <w:rsid w:val="006A513D"/>
    <w:rsid w:val="006A68C6"/>
    <w:rsid w:val="006B1053"/>
    <w:rsid w:val="006C3768"/>
    <w:rsid w:val="006C6631"/>
    <w:rsid w:val="006C76C4"/>
    <w:rsid w:val="006D7D4F"/>
    <w:rsid w:val="006E41C1"/>
    <w:rsid w:val="006F3CD9"/>
    <w:rsid w:val="007141AF"/>
    <w:rsid w:val="007239C8"/>
    <w:rsid w:val="00724E11"/>
    <w:rsid w:val="007262FE"/>
    <w:rsid w:val="0073167B"/>
    <w:rsid w:val="00734C0D"/>
    <w:rsid w:val="00740C03"/>
    <w:rsid w:val="00751BAC"/>
    <w:rsid w:val="00752FD9"/>
    <w:rsid w:val="00770D61"/>
    <w:rsid w:val="00774C86"/>
    <w:rsid w:val="00780926"/>
    <w:rsid w:val="00780EE8"/>
    <w:rsid w:val="007824C5"/>
    <w:rsid w:val="00783152"/>
    <w:rsid w:val="0078730F"/>
    <w:rsid w:val="00791189"/>
    <w:rsid w:val="00796E32"/>
    <w:rsid w:val="007A4C2E"/>
    <w:rsid w:val="007C3776"/>
    <w:rsid w:val="007C71C8"/>
    <w:rsid w:val="007E1603"/>
    <w:rsid w:val="007E1F8F"/>
    <w:rsid w:val="007E5956"/>
    <w:rsid w:val="007E7F45"/>
    <w:rsid w:val="007F570D"/>
    <w:rsid w:val="00803622"/>
    <w:rsid w:val="00803841"/>
    <w:rsid w:val="00806F1C"/>
    <w:rsid w:val="00820679"/>
    <w:rsid w:val="0082445A"/>
    <w:rsid w:val="00825580"/>
    <w:rsid w:val="0082743C"/>
    <w:rsid w:val="00837096"/>
    <w:rsid w:val="00852371"/>
    <w:rsid w:val="0085357F"/>
    <w:rsid w:val="00855562"/>
    <w:rsid w:val="008575F1"/>
    <w:rsid w:val="00873520"/>
    <w:rsid w:val="00884303"/>
    <w:rsid w:val="00884AB9"/>
    <w:rsid w:val="008873CC"/>
    <w:rsid w:val="00891D76"/>
    <w:rsid w:val="008B329A"/>
    <w:rsid w:val="008B68EF"/>
    <w:rsid w:val="008C0743"/>
    <w:rsid w:val="008C1B51"/>
    <w:rsid w:val="008E0812"/>
    <w:rsid w:val="008E4CFA"/>
    <w:rsid w:val="008F0FB1"/>
    <w:rsid w:val="008F6BC1"/>
    <w:rsid w:val="009058FE"/>
    <w:rsid w:val="0091185E"/>
    <w:rsid w:val="0093424C"/>
    <w:rsid w:val="0094502F"/>
    <w:rsid w:val="00946672"/>
    <w:rsid w:val="00951D3F"/>
    <w:rsid w:val="0095258D"/>
    <w:rsid w:val="009612A3"/>
    <w:rsid w:val="00990742"/>
    <w:rsid w:val="00993F2C"/>
    <w:rsid w:val="009976B6"/>
    <w:rsid w:val="009B423F"/>
    <w:rsid w:val="009C221B"/>
    <w:rsid w:val="009C5E1E"/>
    <w:rsid w:val="009D5E45"/>
    <w:rsid w:val="009D773C"/>
    <w:rsid w:val="009E0E67"/>
    <w:rsid w:val="009E50E4"/>
    <w:rsid w:val="009F4552"/>
    <w:rsid w:val="00A0053E"/>
    <w:rsid w:val="00A10438"/>
    <w:rsid w:val="00A236CF"/>
    <w:rsid w:val="00A2444C"/>
    <w:rsid w:val="00A244BE"/>
    <w:rsid w:val="00A31A9C"/>
    <w:rsid w:val="00A37C43"/>
    <w:rsid w:val="00A416B8"/>
    <w:rsid w:val="00A43F3E"/>
    <w:rsid w:val="00A44297"/>
    <w:rsid w:val="00A63C0B"/>
    <w:rsid w:val="00A70F9F"/>
    <w:rsid w:val="00A72672"/>
    <w:rsid w:val="00A737B8"/>
    <w:rsid w:val="00A74BAD"/>
    <w:rsid w:val="00A75ECC"/>
    <w:rsid w:val="00A80F9E"/>
    <w:rsid w:val="00A824EB"/>
    <w:rsid w:val="00A833E5"/>
    <w:rsid w:val="00A85CCE"/>
    <w:rsid w:val="00AA1141"/>
    <w:rsid w:val="00AB2720"/>
    <w:rsid w:val="00AD5E0C"/>
    <w:rsid w:val="00AE2D79"/>
    <w:rsid w:val="00AE3FC3"/>
    <w:rsid w:val="00AE4D65"/>
    <w:rsid w:val="00B04CE0"/>
    <w:rsid w:val="00B06E24"/>
    <w:rsid w:val="00B07509"/>
    <w:rsid w:val="00B07EB7"/>
    <w:rsid w:val="00B1281C"/>
    <w:rsid w:val="00B13F68"/>
    <w:rsid w:val="00B16048"/>
    <w:rsid w:val="00B21796"/>
    <w:rsid w:val="00B323B9"/>
    <w:rsid w:val="00B36EA3"/>
    <w:rsid w:val="00B4039A"/>
    <w:rsid w:val="00B4630C"/>
    <w:rsid w:val="00B464C1"/>
    <w:rsid w:val="00B62EA7"/>
    <w:rsid w:val="00B77873"/>
    <w:rsid w:val="00B8759F"/>
    <w:rsid w:val="00B95A19"/>
    <w:rsid w:val="00BA2578"/>
    <w:rsid w:val="00BA4DDD"/>
    <w:rsid w:val="00BA508B"/>
    <w:rsid w:val="00BB65B7"/>
    <w:rsid w:val="00BB6D67"/>
    <w:rsid w:val="00BC42E1"/>
    <w:rsid w:val="00BC798A"/>
    <w:rsid w:val="00BD19A3"/>
    <w:rsid w:val="00BD1AC2"/>
    <w:rsid w:val="00BD6A40"/>
    <w:rsid w:val="00BD7004"/>
    <w:rsid w:val="00BE1792"/>
    <w:rsid w:val="00BE24F8"/>
    <w:rsid w:val="00BE3E86"/>
    <w:rsid w:val="00BE3EDE"/>
    <w:rsid w:val="00BF0071"/>
    <w:rsid w:val="00BF5AB0"/>
    <w:rsid w:val="00BF6308"/>
    <w:rsid w:val="00C03EA6"/>
    <w:rsid w:val="00C04195"/>
    <w:rsid w:val="00C13301"/>
    <w:rsid w:val="00C207E4"/>
    <w:rsid w:val="00C213A6"/>
    <w:rsid w:val="00C2249C"/>
    <w:rsid w:val="00C233E9"/>
    <w:rsid w:val="00C26F80"/>
    <w:rsid w:val="00C36159"/>
    <w:rsid w:val="00C3762E"/>
    <w:rsid w:val="00C55DBB"/>
    <w:rsid w:val="00C56CB4"/>
    <w:rsid w:val="00C81D7C"/>
    <w:rsid w:val="00C82AA0"/>
    <w:rsid w:val="00C85B40"/>
    <w:rsid w:val="00C90228"/>
    <w:rsid w:val="00CA06FC"/>
    <w:rsid w:val="00CA1ABB"/>
    <w:rsid w:val="00CA34F6"/>
    <w:rsid w:val="00CB25B2"/>
    <w:rsid w:val="00CC644C"/>
    <w:rsid w:val="00CD175A"/>
    <w:rsid w:val="00CD20F9"/>
    <w:rsid w:val="00CE110B"/>
    <w:rsid w:val="00CE4889"/>
    <w:rsid w:val="00CF0244"/>
    <w:rsid w:val="00CF0342"/>
    <w:rsid w:val="00CF28BB"/>
    <w:rsid w:val="00CF493B"/>
    <w:rsid w:val="00CF76C2"/>
    <w:rsid w:val="00D06B2B"/>
    <w:rsid w:val="00D10860"/>
    <w:rsid w:val="00D15C7A"/>
    <w:rsid w:val="00D16BB2"/>
    <w:rsid w:val="00D27695"/>
    <w:rsid w:val="00D3239E"/>
    <w:rsid w:val="00D326E1"/>
    <w:rsid w:val="00D33F2E"/>
    <w:rsid w:val="00D369A0"/>
    <w:rsid w:val="00D513D2"/>
    <w:rsid w:val="00D51F58"/>
    <w:rsid w:val="00D52196"/>
    <w:rsid w:val="00D67CF2"/>
    <w:rsid w:val="00D71CEA"/>
    <w:rsid w:val="00D74EA7"/>
    <w:rsid w:val="00D83627"/>
    <w:rsid w:val="00D92F55"/>
    <w:rsid w:val="00D96D7D"/>
    <w:rsid w:val="00D96F2E"/>
    <w:rsid w:val="00DA4090"/>
    <w:rsid w:val="00DA63C9"/>
    <w:rsid w:val="00DD452B"/>
    <w:rsid w:val="00E00D8F"/>
    <w:rsid w:val="00E13A3E"/>
    <w:rsid w:val="00E1698A"/>
    <w:rsid w:val="00E23A3A"/>
    <w:rsid w:val="00E26B6E"/>
    <w:rsid w:val="00E357E3"/>
    <w:rsid w:val="00E36A98"/>
    <w:rsid w:val="00E41B3F"/>
    <w:rsid w:val="00E4563B"/>
    <w:rsid w:val="00E5053B"/>
    <w:rsid w:val="00E53CD7"/>
    <w:rsid w:val="00E65206"/>
    <w:rsid w:val="00E75305"/>
    <w:rsid w:val="00E877C8"/>
    <w:rsid w:val="00E90634"/>
    <w:rsid w:val="00EA405A"/>
    <w:rsid w:val="00EC1CF9"/>
    <w:rsid w:val="00EC2CE9"/>
    <w:rsid w:val="00ED49A2"/>
    <w:rsid w:val="00ED6CFB"/>
    <w:rsid w:val="00EE1F4B"/>
    <w:rsid w:val="00EE62D2"/>
    <w:rsid w:val="00F00D87"/>
    <w:rsid w:val="00F02F60"/>
    <w:rsid w:val="00F05B3A"/>
    <w:rsid w:val="00F06F4D"/>
    <w:rsid w:val="00F07529"/>
    <w:rsid w:val="00F11AE3"/>
    <w:rsid w:val="00F145AE"/>
    <w:rsid w:val="00F222AA"/>
    <w:rsid w:val="00F30177"/>
    <w:rsid w:val="00F35CE2"/>
    <w:rsid w:val="00F4102D"/>
    <w:rsid w:val="00F44613"/>
    <w:rsid w:val="00F500E3"/>
    <w:rsid w:val="00F54EF0"/>
    <w:rsid w:val="00F55076"/>
    <w:rsid w:val="00F56A41"/>
    <w:rsid w:val="00F57F36"/>
    <w:rsid w:val="00F6288E"/>
    <w:rsid w:val="00F63DAD"/>
    <w:rsid w:val="00F66A28"/>
    <w:rsid w:val="00F81142"/>
    <w:rsid w:val="00F8384D"/>
    <w:rsid w:val="00F85EAC"/>
    <w:rsid w:val="00F9666C"/>
    <w:rsid w:val="00F9795B"/>
    <w:rsid w:val="00FA099B"/>
    <w:rsid w:val="00FA3914"/>
    <w:rsid w:val="00FB533E"/>
    <w:rsid w:val="00FC01EA"/>
    <w:rsid w:val="00FC6918"/>
    <w:rsid w:val="00FF25FE"/>
    <w:rsid w:val="00FF2EC0"/>
    <w:rsid w:val="00FF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C7EF42"/>
  <w15:docId w15:val="{092C8B16-A62E-4234-952C-20C8B6220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ind w:left="567" w:hanging="567"/>
    </w:pPr>
    <w:rPr>
      <w:sz w:val="22"/>
      <w:szCs w:val="24"/>
      <w:lang w:val="sk-SK" w:eastAsia="sk-SK"/>
    </w:rPr>
  </w:style>
  <w:style w:type="paragraph" w:styleId="Nadpis1">
    <w:name w:val="heading 1"/>
    <w:basedOn w:val="Normlny"/>
    <w:next w:val="Normlny"/>
    <w:qFormat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y"/>
    <w:next w:val="Normlny"/>
    <w:qFormat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qFormat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qFormat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</w:style>
  <w:style w:type="paragraph" w:styleId="Pta">
    <w:name w:val="footer"/>
    <w:basedOn w:val="Normlny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Hlavika">
    <w:name w:val="header"/>
    <w:basedOn w:val="Normlny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pPr>
      <w:ind w:left="0" w:firstLine="0"/>
    </w:p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character" w:styleId="PouitHypertextovPrepojenie">
    <w:name w:val="FollowedHyperlink"/>
    <w:rPr>
      <w:color w:val="800080"/>
      <w:u w:val="single"/>
    </w:rPr>
  </w:style>
  <w:style w:type="character" w:styleId="Odkaznakomentr">
    <w:name w:val="annotation reference"/>
    <w:uiPriority w:val="9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character" w:customStyle="1" w:styleId="TextkomentraChar">
    <w:name w:val="Text komentára Char"/>
    <w:link w:val="Textkomentra"/>
    <w:uiPriority w:val="99"/>
    <w:rsid w:val="006D7D4F"/>
  </w:style>
  <w:style w:type="character" w:customStyle="1" w:styleId="tlid-translation">
    <w:name w:val="tlid-translation"/>
    <w:rsid w:val="002660C8"/>
  </w:style>
  <w:style w:type="paragraph" w:styleId="Revzia">
    <w:name w:val="Revision"/>
    <w:hidden/>
    <w:uiPriority w:val="99"/>
    <w:semiHidden/>
    <w:rsid w:val="003F1419"/>
    <w:rPr>
      <w:sz w:val="22"/>
      <w:szCs w:val="24"/>
      <w:lang w:val="sk-SK" w:eastAsia="sk-SK"/>
    </w:rPr>
  </w:style>
  <w:style w:type="character" w:customStyle="1" w:styleId="hps">
    <w:name w:val="hps"/>
    <w:rsid w:val="00D16BB2"/>
  </w:style>
  <w:style w:type="paragraph" w:customStyle="1" w:styleId="Default">
    <w:name w:val="Default"/>
    <w:rsid w:val="005F7F6E"/>
    <w:pPr>
      <w:autoSpaceDE w:val="0"/>
      <w:autoSpaceDN w:val="0"/>
      <w:adjustRightInd w:val="0"/>
    </w:pPr>
    <w:rPr>
      <w:color w:val="000000"/>
      <w:sz w:val="24"/>
      <w:szCs w:val="24"/>
      <w:lang w:val="fr-FR" w:eastAsia="fr-FR"/>
    </w:rPr>
  </w:style>
  <w:style w:type="character" w:styleId="Zvraznenie">
    <w:name w:val="Emphasis"/>
    <w:uiPriority w:val="20"/>
    <w:qFormat/>
    <w:rsid w:val="00403306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12</Pages>
  <Words>4438</Words>
  <Characters>25300</Characters>
  <Application>Microsoft Office Word</Application>
  <DocSecurity>0</DocSecurity>
  <Lines>210</Lines>
  <Paragraphs>59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Hreferralspcclean_sk</vt:lpstr>
      <vt:lpstr>Hreferralspcclean_sk</vt:lpstr>
      <vt:lpstr>Hreferralspccleansk rev.1 08-2016</vt:lpstr>
    </vt:vector>
  </TitlesOfParts>
  <Company>EMEA</Company>
  <LinksUpToDate>false</LinksUpToDate>
  <CharactersWithSpaces>29679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Hreferralspcclean_sk</dc:title>
  <dc:subject>General-EMA/53564/2010</dc:subject>
  <dc:creator>European Medicines Agency</dc:creator>
  <cp:lastModifiedBy>PM</cp:lastModifiedBy>
  <cp:revision>45</cp:revision>
  <cp:lastPrinted>2003-05-16T08:55:00Z</cp:lastPrinted>
  <dcterms:created xsi:type="dcterms:W3CDTF">2021-01-14T10:52:00Z</dcterms:created>
  <dcterms:modified xsi:type="dcterms:W3CDTF">2021-01-28T14:16:00Z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 All EMA Staff and Contractors</vt:lpwstr>
  </property>
  <property fmtid="{D5CDD505-2E9C-101B-9397-08002B2CF9AE}" pid="3" name="DM_Author">
    <vt:lpwstr/>
  </property>
  <property fmtid="{D5CDD505-2E9C-101B-9397-08002B2CF9AE}" pid="4" name="DM_Authors">
    <vt:lpwstr/>
  </property>
  <property fmtid="{D5CDD505-2E9C-101B-9397-08002B2CF9AE}" pid="5" name="DM_Category">
    <vt:lpwstr>Templates and Form</vt:lpwstr>
  </property>
  <property fmtid="{D5CDD505-2E9C-101B-9397-08002B2CF9AE}" pid="6" name="DM_Creation_Date">
    <vt:lpwstr>03/02/2020 15:43:37</vt:lpwstr>
  </property>
  <property fmtid="{D5CDD505-2E9C-101B-9397-08002B2CF9AE}" pid="7" name="DM_Creator_Name">
    <vt:lpwstr>Akhtar Timea</vt:lpwstr>
  </property>
  <property fmtid="{D5CDD505-2E9C-101B-9397-08002B2CF9AE}" pid="8" name="DM_DocRefId">
    <vt:lpwstr>EMA/59346/2020</vt:lpwstr>
  </property>
  <property fmtid="{D5CDD505-2E9C-101B-9397-08002B2CF9AE}" pid="9" name="DM_emea_bcc">
    <vt:lpwstr/>
  </property>
  <property fmtid="{D5CDD505-2E9C-101B-9397-08002B2CF9AE}" pid="10" name="DM_emea_cc">
    <vt:lpwstr/>
  </property>
  <property fmtid="{D5CDD505-2E9C-101B-9397-08002B2CF9AE}" pid="11" name="DM_emea_doc_category">
    <vt:lpwstr>General</vt:lpwstr>
  </property>
  <property fmtid="{D5CDD505-2E9C-101B-9397-08002B2CF9AE}" pid="12" name="DM_emea_doc_lang">
    <vt:lpwstr/>
  </property>
  <property fmtid="{D5CDD505-2E9C-101B-9397-08002B2CF9AE}" pid="13" name="DM_emea_doc_number">
    <vt:lpwstr>53564</vt:lpwstr>
  </property>
  <property fmtid="{D5CDD505-2E9C-101B-9397-08002B2CF9AE}" pid="14" name="DM_emea_doc_ref_id">
    <vt:lpwstr>EMA/59346/2020</vt:lpwstr>
  </property>
  <property fmtid="{D5CDD505-2E9C-101B-9397-08002B2CF9AE}" pid="15" name="DM_emea_from">
    <vt:lpwstr/>
  </property>
  <property fmtid="{D5CDD505-2E9C-101B-9397-08002B2CF9AE}" pid="16" name="DM_emea_internal_label">
    <vt:lpwstr>EMA</vt:lpwstr>
  </property>
  <property fmtid="{D5CDD505-2E9C-101B-9397-08002B2CF9AE}" pid="17" name="DM_emea_legal_date">
    <vt:lpwstr>nulldate</vt:lpwstr>
  </property>
  <property fmtid="{D5CDD505-2E9C-101B-9397-08002B2CF9AE}" pid="18" name="DM_emea_meeting_action">
    <vt:lpwstr/>
  </property>
  <property fmtid="{D5CDD505-2E9C-101B-9397-08002B2CF9AE}" pid="19" name="DM_emea_meeting_flags">
    <vt:lpwstr/>
  </property>
  <property fmtid="{D5CDD505-2E9C-101B-9397-08002B2CF9AE}" pid="20" name="DM_emea_meeting_hyperlink">
    <vt:lpwstr/>
  </property>
  <property fmtid="{D5CDD505-2E9C-101B-9397-08002B2CF9AE}" pid="21" name="DM_emea_meeting_ref">
    <vt:lpwstr/>
  </property>
  <property fmtid="{D5CDD505-2E9C-101B-9397-08002B2CF9AE}" pid="22" name="DM_emea_meeting_status">
    <vt:lpwstr/>
  </property>
  <property fmtid="{D5CDD505-2E9C-101B-9397-08002B2CF9AE}" pid="23" name="DM_emea_meeting_title">
    <vt:lpwstr/>
  </property>
  <property fmtid="{D5CDD505-2E9C-101B-9397-08002B2CF9AE}" pid="24" name="DM_emea_message_subject">
    <vt:lpwstr/>
  </property>
  <property fmtid="{D5CDD505-2E9C-101B-9397-08002B2CF9AE}" pid="25" name="DM_emea_received_date">
    <vt:lpwstr>nulldate</vt:lpwstr>
  </property>
  <property fmtid="{D5CDD505-2E9C-101B-9397-08002B2CF9AE}" pid="26" name="DM_emea_resp_body">
    <vt:lpwstr/>
  </property>
  <property fmtid="{D5CDD505-2E9C-101B-9397-08002B2CF9AE}" pid="27" name="DM_emea_revision_label">
    <vt:lpwstr/>
  </property>
  <property fmtid="{D5CDD505-2E9C-101B-9397-08002B2CF9AE}" pid="28" name="DM_emea_sent_date">
    <vt:lpwstr>nulldate</vt:lpwstr>
  </property>
  <property fmtid="{D5CDD505-2E9C-101B-9397-08002B2CF9AE}" pid="29" name="DM_emea_to">
    <vt:lpwstr/>
  </property>
  <property fmtid="{D5CDD505-2E9C-101B-9397-08002B2CF9AE}" pid="30" name="DM_emea_year">
    <vt:lpwstr>2010</vt:lpwstr>
  </property>
  <property fmtid="{D5CDD505-2E9C-101B-9397-08002B2CF9AE}" pid="31" name="DM_Keywords">
    <vt:lpwstr/>
  </property>
  <property fmtid="{D5CDD505-2E9C-101B-9397-08002B2CF9AE}" pid="32" name="DM_Language">
    <vt:lpwstr/>
  </property>
  <property fmtid="{D5CDD505-2E9C-101B-9397-08002B2CF9AE}" pid="33" name="DM_Modifer_Name">
    <vt:lpwstr>Akhtar Timea</vt:lpwstr>
  </property>
  <property fmtid="{D5CDD505-2E9C-101B-9397-08002B2CF9AE}" pid="34" name="DM_Modified_Date">
    <vt:lpwstr>17/02/2020 15:09:36</vt:lpwstr>
  </property>
  <property fmtid="{D5CDD505-2E9C-101B-9397-08002B2CF9AE}" pid="35" name="DM_Modifier_Name">
    <vt:lpwstr>Akhtar Timea</vt:lpwstr>
  </property>
  <property fmtid="{D5CDD505-2E9C-101B-9397-08002B2CF9AE}" pid="36" name="DM_Modify_Date">
    <vt:lpwstr>17/02/2020 15:09:36</vt:lpwstr>
  </property>
  <property fmtid="{D5CDD505-2E9C-101B-9397-08002B2CF9AE}" pid="37" name="DM_Name">
    <vt:lpwstr>Hreferralspcclean_sk</vt:lpwstr>
  </property>
  <property fmtid="{D5CDD505-2E9C-101B-9397-08002B2CF9AE}" pid="38" name="DM_Owner">
    <vt:lpwstr>Espinasse Claire</vt:lpwstr>
  </property>
  <property fmtid="{D5CDD505-2E9C-101B-9397-08002B2CF9AE}" pid="39" name="DM_Path">
    <vt:lpwstr>/02b. Administration of Scientific Meeting/WPs SAGs DGs and other WGs/CxMP - QRD/3. Other activities/02. Procedures/01. QRD PI templates/03 QRD H-Referral templates/2019-06 H Referral template v 4.1 Dec 19/Publication February 2020/Final CLEAN templates f</vt:lpwstr>
  </property>
  <property fmtid="{D5CDD505-2E9C-101B-9397-08002B2CF9AE}" pid="40" name="DM_Status">
    <vt:lpwstr/>
  </property>
  <property fmtid="{D5CDD505-2E9C-101B-9397-08002B2CF9AE}" pid="41" name="DM_Subject">
    <vt:lpwstr/>
  </property>
  <property fmtid="{D5CDD505-2E9C-101B-9397-08002B2CF9AE}" pid="42" name="DM_Title">
    <vt:lpwstr/>
  </property>
  <property fmtid="{D5CDD505-2E9C-101B-9397-08002B2CF9AE}" pid="43" name="DM_Type">
    <vt:lpwstr>emea_document</vt:lpwstr>
  </property>
  <property fmtid="{D5CDD505-2E9C-101B-9397-08002B2CF9AE}" pid="44" name="DM_Version">
    <vt:lpwstr>1.0,CURRENT</vt:lpwstr>
  </property>
  <property fmtid="{D5CDD505-2E9C-101B-9397-08002B2CF9AE}" pid="45" name="MSIP_Label_0eea11ca-d417-4147-80ed-01a58412c458_ActionId">
    <vt:lpwstr>d9608360-ec08-4717-b086-3f0c673eb2c2</vt:lpwstr>
  </property>
  <property fmtid="{D5CDD505-2E9C-101B-9397-08002B2CF9AE}" pid="46" name="MSIP_Label_0eea11ca-d417-4147-80ed-01a58412c458_Application">
    <vt:lpwstr>Microsoft Azure Information Protection</vt:lpwstr>
  </property>
  <property fmtid="{D5CDD505-2E9C-101B-9397-08002B2CF9AE}" pid="47" name="MSIP_Label_0eea11ca-d417-4147-80ed-01a58412c458_Enabled">
    <vt:lpwstr>True</vt:lpwstr>
  </property>
  <property fmtid="{D5CDD505-2E9C-101B-9397-08002B2CF9AE}" pid="48" name="MSIP_Label_0eea11ca-d417-4147-80ed-01a58412c458_Extended_MSFT_Method">
    <vt:lpwstr>Automatic</vt:lpwstr>
  </property>
  <property fmtid="{D5CDD505-2E9C-101B-9397-08002B2CF9AE}" pid="49" name="MSIP_Label_0eea11ca-d417-4147-80ed-01a58412c458_Name">
    <vt:lpwstr>All EMA Staff and Contractors</vt:lpwstr>
  </property>
  <property fmtid="{D5CDD505-2E9C-101B-9397-08002B2CF9AE}" pid="50" name="MSIP_Label_0eea11ca-d417-4147-80ed-01a58412c458_Owner">
    <vt:lpwstr>Tia.Akhtar@ema.europa.eu</vt:lpwstr>
  </property>
  <property fmtid="{D5CDD505-2E9C-101B-9397-08002B2CF9AE}" pid="51" name="MSIP_Label_0eea11ca-d417-4147-80ed-01a58412c458_Parent">
    <vt:lpwstr>afe1b31d-cec0-4074-b4bd-f07689e43d84</vt:lpwstr>
  </property>
  <property fmtid="{D5CDD505-2E9C-101B-9397-08002B2CF9AE}" pid="52" name="MSIP_Label_0eea11ca-d417-4147-80ed-01a58412c458_SetDate">
    <vt:lpwstr>2020-02-03T14:36:57.5274532Z</vt:lpwstr>
  </property>
  <property fmtid="{D5CDD505-2E9C-101B-9397-08002B2CF9AE}" pid="53" name="MSIP_Label_0eea11ca-d417-4147-80ed-01a58412c458_SiteId">
    <vt:lpwstr>bc9dc15c-61bc-4f03-b60b-e5b6d8922839</vt:lpwstr>
  </property>
  <property fmtid="{D5CDD505-2E9C-101B-9397-08002B2CF9AE}" pid="54" name="MSIP_Label_afe1b31d-cec0-4074-b4bd-f07689e43d84_ActionId">
    <vt:lpwstr>d9608360-ec08-4717-b086-3f0c673eb2c2</vt:lpwstr>
  </property>
  <property fmtid="{D5CDD505-2E9C-101B-9397-08002B2CF9AE}" pid="55" name="MSIP_Label_afe1b31d-cec0-4074-b4bd-f07689e43d84_Application">
    <vt:lpwstr>Microsoft Azure Information Protection</vt:lpwstr>
  </property>
  <property fmtid="{D5CDD505-2E9C-101B-9397-08002B2CF9AE}" pid="56" name="MSIP_Label_afe1b31d-cec0-4074-b4bd-f07689e43d84_Enabled">
    <vt:lpwstr>True</vt:lpwstr>
  </property>
  <property fmtid="{D5CDD505-2E9C-101B-9397-08002B2CF9AE}" pid="57" name="MSIP_Label_afe1b31d-cec0-4074-b4bd-f07689e43d84_Extended_MSFT_Method">
    <vt:lpwstr>Automatic</vt:lpwstr>
  </property>
  <property fmtid="{D5CDD505-2E9C-101B-9397-08002B2CF9AE}" pid="58" name="MSIP_Label_afe1b31d-cec0-4074-b4bd-f07689e43d84_Name">
    <vt:lpwstr>Internal</vt:lpwstr>
  </property>
  <property fmtid="{D5CDD505-2E9C-101B-9397-08002B2CF9AE}" pid="59" name="MSIP_Label_afe1b31d-cec0-4074-b4bd-f07689e43d84_Owner">
    <vt:lpwstr>Tia.Akhtar@ema.europa.eu</vt:lpwstr>
  </property>
  <property fmtid="{D5CDD505-2E9C-101B-9397-08002B2CF9AE}" pid="60" name="MSIP_Label_afe1b31d-cec0-4074-b4bd-f07689e43d84_SetDate">
    <vt:lpwstr>2020-02-03T14:36:57.5274532Z</vt:lpwstr>
  </property>
  <property fmtid="{D5CDD505-2E9C-101B-9397-08002B2CF9AE}" pid="61" name="MSIP_Label_afe1b31d-cec0-4074-b4bd-f07689e43d84_SiteId">
    <vt:lpwstr>bc9dc15c-61bc-4f03-b60b-e5b6d8922839</vt:lpwstr>
  </property>
</Properties>
</file>