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46E38C" w14:textId="77777777" w:rsidR="00920419" w:rsidRPr="00E079AF" w:rsidRDefault="00BF7FC7" w:rsidP="0076418E">
      <w:pPr>
        <w:jc w:val="center"/>
        <w:rPr>
          <w:b/>
          <w:szCs w:val="22"/>
        </w:rPr>
      </w:pPr>
      <w:r w:rsidRPr="00E079AF">
        <w:rPr>
          <w:b/>
          <w:szCs w:val="22"/>
        </w:rPr>
        <w:t>SÚHRN CHARAKTERISTICKÝCH VLASTNOSTÍ LIEKU</w:t>
      </w:r>
    </w:p>
    <w:p w14:paraId="50941872" w14:textId="77777777" w:rsidR="00BF7FC7" w:rsidRPr="00E079AF" w:rsidRDefault="00BF7FC7" w:rsidP="00C92B0B">
      <w:pPr>
        <w:rPr>
          <w:b/>
          <w:szCs w:val="22"/>
        </w:rPr>
      </w:pPr>
    </w:p>
    <w:p w14:paraId="5C7ABC28" w14:textId="77777777" w:rsidR="00350BD4" w:rsidRPr="00E079AF" w:rsidRDefault="00350BD4" w:rsidP="00C92B0B">
      <w:pPr>
        <w:rPr>
          <w:b/>
          <w:szCs w:val="22"/>
        </w:rPr>
      </w:pPr>
    </w:p>
    <w:p w14:paraId="6B913633" w14:textId="77777777" w:rsidR="00FF6BE0" w:rsidRPr="00E079AF" w:rsidRDefault="00FF6BE0" w:rsidP="00C92B0B">
      <w:pPr>
        <w:rPr>
          <w:szCs w:val="22"/>
        </w:rPr>
      </w:pPr>
      <w:r w:rsidRPr="00E079AF">
        <w:rPr>
          <w:b/>
          <w:szCs w:val="22"/>
        </w:rPr>
        <w:t>1.</w:t>
      </w:r>
      <w:r w:rsidRPr="00E079AF">
        <w:rPr>
          <w:b/>
          <w:szCs w:val="22"/>
        </w:rPr>
        <w:tab/>
        <w:t>NÁZOV LIEK</w:t>
      </w:r>
      <w:r w:rsidR="00810BCC" w:rsidRPr="00E079AF">
        <w:rPr>
          <w:b/>
          <w:szCs w:val="22"/>
        </w:rPr>
        <w:t>U</w:t>
      </w:r>
    </w:p>
    <w:p w14:paraId="3CD94368" w14:textId="77777777" w:rsidR="00FF6BE0" w:rsidRPr="00E079AF" w:rsidRDefault="00FF6BE0" w:rsidP="00C92B0B">
      <w:pPr>
        <w:rPr>
          <w:szCs w:val="22"/>
        </w:rPr>
      </w:pPr>
    </w:p>
    <w:p w14:paraId="53ACB9B7" w14:textId="2348F379" w:rsidR="00350BD4" w:rsidRPr="00E079AF" w:rsidRDefault="00597FF6" w:rsidP="00C92B0B">
      <w:pPr>
        <w:rPr>
          <w:szCs w:val="22"/>
        </w:rPr>
      </w:pPr>
      <w:r w:rsidRPr="00414128">
        <w:rPr>
          <w:color w:val="000000"/>
          <w:sz w:val="23"/>
          <w:szCs w:val="23"/>
        </w:rPr>
        <w:t xml:space="preserve">Azacitidine </w:t>
      </w:r>
      <w:r w:rsidR="00DA31F3">
        <w:rPr>
          <w:szCs w:val="22"/>
        </w:rPr>
        <w:t xml:space="preserve">MSN </w:t>
      </w:r>
      <w:r w:rsidR="00EA4F2B" w:rsidRPr="00E079AF">
        <w:rPr>
          <w:szCs w:val="22"/>
        </w:rPr>
        <w:t>25 mg/ml prášok na injekčnú suspenziu</w:t>
      </w:r>
    </w:p>
    <w:p w14:paraId="245D733B" w14:textId="77777777" w:rsidR="00EA4F2B" w:rsidRPr="00E079AF" w:rsidRDefault="00EA4F2B" w:rsidP="00C92B0B">
      <w:pPr>
        <w:rPr>
          <w:szCs w:val="22"/>
        </w:rPr>
      </w:pPr>
    </w:p>
    <w:p w14:paraId="301A586E" w14:textId="77777777" w:rsidR="00FF6BE0" w:rsidRPr="00E079AF" w:rsidRDefault="00FF6BE0" w:rsidP="00C92B0B">
      <w:pPr>
        <w:ind w:left="0" w:firstLine="0"/>
        <w:rPr>
          <w:szCs w:val="22"/>
        </w:rPr>
      </w:pPr>
    </w:p>
    <w:p w14:paraId="7DBF3E10" w14:textId="77777777" w:rsidR="00FF6BE0" w:rsidRPr="00E079AF" w:rsidRDefault="00FF6BE0" w:rsidP="00C92B0B">
      <w:pPr>
        <w:rPr>
          <w:szCs w:val="22"/>
        </w:rPr>
      </w:pPr>
      <w:r w:rsidRPr="00E079AF">
        <w:rPr>
          <w:b/>
          <w:szCs w:val="22"/>
        </w:rPr>
        <w:t>2.</w:t>
      </w:r>
      <w:r w:rsidRPr="00E079AF">
        <w:rPr>
          <w:b/>
          <w:szCs w:val="22"/>
        </w:rPr>
        <w:tab/>
        <w:t>KVALITATÍVNE A KVANTITATÍVNE ZLOŽENIE</w:t>
      </w:r>
    </w:p>
    <w:p w14:paraId="2CBCDE4E" w14:textId="77777777" w:rsidR="00FF6BE0" w:rsidRPr="00E079AF" w:rsidRDefault="00FF6BE0" w:rsidP="00C92B0B">
      <w:pPr>
        <w:ind w:left="0" w:firstLine="0"/>
        <w:rPr>
          <w:szCs w:val="22"/>
        </w:rPr>
      </w:pPr>
    </w:p>
    <w:p w14:paraId="64A91EC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Každá injekčná liekovka obsahuje 100 mg azacitidínu. Po rekonštitúcii obsahuje každý ml suspenzie 25 mg azacitidínu. </w:t>
      </w:r>
    </w:p>
    <w:p w14:paraId="470F1E06" w14:textId="77777777" w:rsidR="00EA4F2B" w:rsidRPr="00E079AF" w:rsidRDefault="00EA4F2B" w:rsidP="00EA4F2B">
      <w:pPr>
        <w:autoSpaceDE w:val="0"/>
        <w:autoSpaceDN w:val="0"/>
        <w:adjustRightInd w:val="0"/>
        <w:ind w:left="0" w:firstLine="0"/>
        <w:rPr>
          <w:color w:val="000000"/>
          <w:szCs w:val="22"/>
        </w:rPr>
      </w:pPr>
    </w:p>
    <w:p w14:paraId="29FFA293" w14:textId="77777777" w:rsidR="00FF6BE0" w:rsidRPr="00E079AF" w:rsidRDefault="00EA4F2B" w:rsidP="00EA4F2B">
      <w:pPr>
        <w:rPr>
          <w:color w:val="000000"/>
          <w:szCs w:val="22"/>
        </w:rPr>
      </w:pPr>
      <w:r w:rsidRPr="00E079AF">
        <w:rPr>
          <w:color w:val="000000"/>
          <w:szCs w:val="22"/>
        </w:rPr>
        <w:t>Úplný zoznam pomocných látok, pozri časť 6.1.</w:t>
      </w:r>
    </w:p>
    <w:p w14:paraId="4F0CA570" w14:textId="77777777" w:rsidR="00EA4F2B" w:rsidRPr="00E079AF" w:rsidRDefault="00EA4F2B" w:rsidP="00EA4F2B">
      <w:pPr>
        <w:rPr>
          <w:szCs w:val="22"/>
        </w:rPr>
      </w:pPr>
    </w:p>
    <w:p w14:paraId="333390D5" w14:textId="77777777" w:rsidR="00920419" w:rsidRPr="00E079AF" w:rsidRDefault="00920419" w:rsidP="00C92B0B">
      <w:pPr>
        <w:rPr>
          <w:szCs w:val="22"/>
        </w:rPr>
      </w:pPr>
    </w:p>
    <w:p w14:paraId="5C47F85E" w14:textId="77777777" w:rsidR="00FF6BE0" w:rsidRPr="00E079AF" w:rsidRDefault="00FF6BE0" w:rsidP="00C92B0B">
      <w:pPr>
        <w:rPr>
          <w:caps/>
          <w:szCs w:val="22"/>
        </w:rPr>
      </w:pPr>
      <w:r w:rsidRPr="00E079AF">
        <w:rPr>
          <w:b/>
          <w:szCs w:val="22"/>
        </w:rPr>
        <w:t>3.</w:t>
      </w:r>
      <w:r w:rsidRPr="00E079AF">
        <w:rPr>
          <w:b/>
          <w:szCs w:val="22"/>
        </w:rPr>
        <w:tab/>
        <w:t>LIEKOVÁ FORMA</w:t>
      </w:r>
    </w:p>
    <w:p w14:paraId="501028CE" w14:textId="77777777" w:rsidR="00FF6BE0" w:rsidRPr="00E079AF" w:rsidRDefault="00FF6BE0" w:rsidP="00C92B0B">
      <w:pPr>
        <w:rPr>
          <w:szCs w:val="22"/>
        </w:rPr>
      </w:pPr>
    </w:p>
    <w:p w14:paraId="16FA4DF1"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Prášok na injekčnú suspenziu. </w:t>
      </w:r>
    </w:p>
    <w:p w14:paraId="1B8CC7A2" w14:textId="77777777" w:rsidR="00EA4F2B" w:rsidRPr="00E079AF" w:rsidRDefault="00EA4F2B" w:rsidP="00EA4F2B">
      <w:pPr>
        <w:autoSpaceDE w:val="0"/>
        <w:autoSpaceDN w:val="0"/>
        <w:adjustRightInd w:val="0"/>
        <w:ind w:left="0" w:firstLine="0"/>
        <w:rPr>
          <w:color w:val="000000"/>
          <w:szCs w:val="22"/>
        </w:rPr>
      </w:pPr>
    </w:p>
    <w:p w14:paraId="04C8E7EB" w14:textId="77777777" w:rsidR="00597FF6" w:rsidRPr="001C4E12" w:rsidRDefault="00597FF6" w:rsidP="00597FF6">
      <w:pPr>
        <w:pStyle w:val="Odsekzoznamu"/>
        <w:tabs>
          <w:tab w:val="left" w:pos="142"/>
          <w:tab w:val="left" w:pos="804"/>
          <w:tab w:val="left" w:pos="806"/>
        </w:tabs>
        <w:ind w:left="0" w:right="9" w:firstLine="0"/>
      </w:pPr>
      <w:r w:rsidRPr="001C4E12">
        <w:t>Biely lyofilizovaný</w:t>
      </w:r>
      <w:r w:rsidRPr="001C4E12">
        <w:rPr>
          <w:spacing w:val="1"/>
        </w:rPr>
        <w:t xml:space="preserve"> </w:t>
      </w:r>
      <w:r>
        <w:rPr>
          <w:spacing w:val="1"/>
        </w:rPr>
        <w:t xml:space="preserve">koláč alebo </w:t>
      </w:r>
      <w:r w:rsidRPr="001C4E12">
        <w:t>prášok.</w:t>
      </w:r>
    </w:p>
    <w:p w14:paraId="7DF21ADE" w14:textId="77777777" w:rsidR="00EA4F2B" w:rsidRPr="00E079AF" w:rsidRDefault="00EA4F2B" w:rsidP="00EA4F2B">
      <w:pPr>
        <w:ind w:left="0" w:firstLine="0"/>
        <w:rPr>
          <w:szCs w:val="22"/>
        </w:rPr>
      </w:pPr>
    </w:p>
    <w:p w14:paraId="4BFD9F40" w14:textId="77777777" w:rsidR="00FF6BE0" w:rsidRPr="00E079AF" w:rsidRDefault="00FF6BE0" w:rsidP="00C92B0B">
      <w:pPr>
        <w:ind w:left="0" w:firstLine="0"/>
        <w:rPr>
          <w:szCs w:val="22"/>
        </w:rPr>
      </w:pPr>
    </w:p>
    <w:p w14:paraId="5BD33AAE" w14:textId="77777777" w:rsidR="00FF6BE0" w:rsidRPr="00E079AF" w:rsidRDefault="00FF6BE0" w:rsidP="00C92B0B">
      <w:pPr>
        <w:rPr>
          <w:caps/>
          <w:szCs w:val="22"/>
        </w:rPr>
      </w:pPr>
      <w:r w:rsidRPr="00E079AF">
        <w:rPr>
          <w:b/>
          <w:caps/>
          <w:szCs w:val="22"/>
        </w:rPr>
        <w:t>4.</w:t>
      </w:r>
      <w:r w:rsidRPr="00E079AF">
        <w:rPr>
          <w:b/>
          <w:caps/>
          <w:szCs w:val="22"/>
        </w:rPr>
        <w:tab/>
        <w:t>KLINICKÉ ÚDAJE</w:t>
      </w:r>
    </w:p>
    <w:p w14:paraId="517F1CA5" w14:textId="77777777" w:rsidR="00FF6BE0" w:rsidRPr="00E079AF" w:rsidRDefault="00FF6BE0" w:rsidP="00C92B0B">
      <w:pPr>
        <w:rPr>
          <w:szCs w:val="22"/>
        </w:rPr>
      </w:pPr>
    </w:p>
    <w:p w14:paraId="147AD450" w14:textId="77777777" w:rsidR="00FF6BE0" w:rsidRPr="00E079AF" w:rsidRDefault="00FF6BE0" w:rsidP="00C92B0B">
      <w:pPr>
        <w:rPr>
          <w:szCs w:val="22"/>
        </w:rPr>
      </w:pPr>
      <w:r w:rsidRPr="00E079AF">
        <w:rPr>
          <w:b/>
          <w:szCs w:val="22"/>
        </w:rPr>
        <w:t>4.1</w:t>
      </w:r>
      <w:r w:rsidRPr="00E079AF">
        <w:rPr>
          <w:b/>
          <w:szCs w:val="22"/>
        </w:rPr>
        <w:tab/>
        <w:t>Terapeutické indikácie</w:t>
      </w:r>
    </w:p>
    <w:p w14:paraId="472FC9E5" w14:textId="77777777" w:rsidR="00FF6BE0" w:rsidRPr="00E079AF" w:rsidRDefault="00FF6BE0" w:rsidP="00C92B0B">
      <w:pPr>
        <w:rPr>
          <w:szCs w:val="22"/>
        </w:rPr>
      </w:pPr>
    </w:p>
    <w:p w14:paraId="0F611EF3" w14:textId="2A75E5F5" w:rsidR="00EA4F2B" w:rsidRPr="00E079AF" w:rsidRDefault="00597FF6" w:rsidP="00EA4F2B">
      <w:pPr>
        <w:autoSpaceDE w:val="0"/>
        <w:autoSpaceDN w:val="0"/>
        <w:adjustRightInd w:val="0"/>
        <w:ind w:left="0" w:firstLine="0"/>
        <w:rPr>
          <w:color w:val="000000"/>
          <w:szCs w:val="22"/>
        </w:rPr>
      </w:pPr>
      <w:r>
        <w:rPr>
          <w:color w:val="000000"/>
          <w:szCs w:val="22"/>
        </w:rPr>
        <w:t xml:space="preserve">Azacitidine MSN </w:t>
      </w:r>
      <w:r w:rsidR="00EA4F2B" w:rsidRPr="00E079AF">
        <w:rPr>
          <w:color w:val="000000"/>
          <w:szCs w:val="22"/>
        </w:rPr>
        <w:t>je indikovaný na liečbu dospelých pacientov, ktorí nie sú spôsobilí na transplantáciu hematopoetických kmeňových buniek (</w:t>
      </w:r>
      <w:r w:rsidR="00EA4F2B" w:rsidRPr="00E079AF">
        <w:rPr>
          <w:i/>
          <w:iCs/>
          <w:color w:val="000000"/>
          <w:szCs w:val="22"/>
        </w:rPr>
        <w:t xml:space="preserve">haematopoetic stem cell transplantation, </w:t>
      </w:r>
      <w:r w:rsidR="00EA4F2B" w:rsidRPr="00E079AF">
        <w:rPr>
          <w:color w:val="000000"/>
          <w:szCs w:val="22"/>
        </w:rPr>
        <w:t xml:space="preserve">HSCT): </w:t>
      </w:r>
    </w:p>
    <w:p w14:paraId="1BED1211" w14:textId="7A778772" w:rsidR="00EA4F2B" w:rsidRPr="00E079AF" w:rsidRDefault="00EA4F2B" w:rsidP="00EA4F2B">
      <w:pPr>
        <w:autoSpaceDE w:val="0"/>
        <w:autoSpaceDN w:val="0"/>
        <w:adjustRightInd w:val="0"/>
        <w:ind w:left="0" w:firstLine="0"/>
        <w:rPr>
          <w:color w:val="000000"/>
          <w:szCs w:val="22"/>
        </w:rPr>
      </w:pPr>
      <w:r w:rsidRPr="00E079AF">
        <w:rPr>
          <w:color w:val="000000"/>
          <w:szCs w:val="22"/>
        </w:rPr>
        <w:t>• so stredne-2 a vysokorizikovým myelodysplastickým syndrómom (</w:t>
      </w:r>
      <w:r w:rsidR="00DF7B0B" w:rsidRPr="00854A48">
        <w:rPr>
          <w:i/>
        </w:rPr>
        <w:t>myelodysplastic syndromes</w:t>
      </w:r>
      <w:r w:rsidR="00DF7B0B">
        <w:t xml:space="preserve">, </w:t>
      </w:r>
      <w:r w:rsidRPr="00E079AF">
        <w:rPr>
          <w:color w:val="000000"/>
          <w:szCs w:val="22"/>
        </w:rPr>
        <w:t>MDS) podľa medzinárodného prognostického hodnotiaceho systému (</w:t>
      </w:r>
      <w:r w:rsidRPr="00E079AF">
        <w:rPr>
          <w:i/>
          <w:iCs/>
          <w:color w:val="000000"/>
          <w:szCs w:val="22"/>
        </w:rPr>
        <w:t>International Prognostic Scoring System</w:t>
      </w:r>
      <w:r w:rsidRPr="00E079AF">
        <w:rPr>
          <w:color w:val="000000"/>
          <w:szCs w:val="22"/>
        </w:rPr>
        <w:t xml:space="preserve">, IPSS), </w:t>
      </w:r>
    </w:p>
    <w:p w14:paraId="70DADC15" w14:textId="2E1FAE57" w:rsidR="00EA4F2B" w:rsidRPr="00E079AF" w:rsidRDefault="00EA4F2B" w:rsidP="00EA4F2B">
      <w:pPr>
        <w:autoSpaceDE w:val="0"/>
        <w:autoSpaceDN w:val="0"/>
        <w:adjustRightInd w:val="0"/>
        <w:ind w:left="0" w:firstLine="0"/>
        <w:rPr>
          <w:color w:val="000000"/>
          <w:szCs w:val="22"/>
        </w:rPr>
      </w:pPr>
      <w:r w:rsidRPr="00E079AF">
        <w:rPr>
          <w:color w:val="000000"/>
          <w:szCs w:val="22"/>
        </w:rPr>
        <w:t>• s chronickou myelomonocytovou leukémiou (</w:t>
      </w:r>
      <w:r w:rsidR="00DF7B0B" w:rsidRPr="00854A48">
        <w:rPr>
          <w:i/>
        </w:rPr>
        <w:t>chronic myelomonocytic leukaemia</w:t>
      </w:r>
      <w:r w:rsidR="00DF7B0B">
        <w:t xml:space="preserve">, </w:t>
      </w:r>
      <w:r w:rsidRPr="00E079AF">
        <w:rPr>
          <w:color w:val="000000"/>
          <w:szCs w:val="22"/>
        </w:rPr>
        <w:t xml:space="preserve">CMML) s 10-29 % blastov v kostnej dreni bez myeloproliferatívnej poruchy, </w:t>
      </w:r>
    </w:p>
    <w:p w14:paraId="1739FD87" w14:textId="10701A46" w:rsidR="00EA4F2B" w:rsidRPr="00E079AF" w:rsidRDefault="00EA4F2B" w:rsidP="00EA4F2B">
      <w:pPr>
        <w:autoSpaceDE w:val="0"/>
        <w:autoSpaceDN w:val="0"/>
        <w:adjustRightInd w:val="0"/>
        <w:ind w:left="0" w:firstLine="0"/>
        <w:rPr>
          <w:color w:val="000000"/>
          <w:szCs w:val="22"/>
        </w:rPr>
      </w:pPr>
      <w:r w:rsidRPr="00E079AF">
        <w:rPr>
          <w:color w:val="000000"/>
          <w:szCs w:val="22"/>
        </w:rPr>
        <w:t>• s akútnou myeloblastovou leukémiou (</w:t>
      </w:r>
      <w:r w:rsidR="00DF7B0B" w:rsidRPr="00854A48">
        <w:rPr>
          <w:i/>
        </w:rPr>
        <w:t>acute myeloid leukaemia</w:t>
      </w:r>
      <w:r w:rsidR="00DF7B0B">
        <w:t xml:space="preserve">, </w:t>
      </w:r>
      <w:r w:rsidRPr="00E079AF">
        <w:rPr>
          <w:color w:val="000000"/>
          <w:szCs w:val="22"/>
        </w:rPr>
        <w:t xml:space="preserve">AML) s 20-30 % blastov a viacrodovou dyspláziou podľa klasifikácie Svetovej zdravotníckej organizácie (WHO), </w:t>
      </w:r>
    </w:p>
    <w:p w14:paraId="26BFED1A"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 s AML s &gt; 30 % blastov v kostnej dreni podľa klasifikácie WHO. </w:t>
      </w:r>
    </w:p>
    <w:p w14:paraId="2BF7B5BE" w14:textId="77777777" w:rsidR="00EA4F2B" w:rsidRPr="00E079AF" w:rsidRDefault="00EA4F2B" w:rsidP="00C92B0B">
      <w:pPr>
        <w:ind w:left="0" w:firstLine="0"/>
        <w:rPr>
          <w:b/>
          <w:szCs w:val="22"/>
        </w:rPr>
      </w:pPr>
    </w:p>
    <w:p w14:paraId="590415CF" w14:textId="77777777" w:rsidR="00FF6BE0" w:rsidRPr="00E079AF" w:rsidRDefault="00FF6BE0" w:rsidP="00C92B0B">
      <w:pPr>
        <w:rPr>
          <w:b/>
          <w:szCs w:val="22"/>
        </w:rPr>
      </w:pPr>
      <w:r w:rsidRPr="00E079AF">
        <w:rPr>
          <w:b/>
          <w:szCs w:val="22"/>
        </w:rPr>
        <w:t>4.2</w:t>
      </w:r>
      <w:r w:rsidRPr="00E079AF">
        <w:rPr>
          <w:b/>
          <w:szCs w:val="22"/>
        </w:rPr>
        <w:tab/>
        <w:t>Dávkovanie a spôsob podávania</w:t>
      </w:r>
    </w:p>
    <w:p w14:paraId="0CC59399" w14:textId="77777777" w:rsidR="00FF60EF" w:rsidRPr="00E079AF" w:rsidRDefault="00FF60EF" w:rsidP="00C92B0B">
      <w:pPr>
        <w:rPr>
          <w:szCs w:val="22"/>
          <w:u w:val="single"/>
        </w:rPr>
      </w:pPr>
    </w:p>
    <w:p w14:paraId="12BC0F8E" w14:textId="3733A28E" w:rsidR="00EA4F2B" w:rsidRPr="00E079AF" w:rsidRDefault="00EA4F2B" w:rsidP="00EA4F2B">
      <w:pPr>
        <w:autoSpaceDE w:val="0"/>
        <w:autoSpaceDN w:val="0"/>
        <w:adjustRightInd w:val="0"/>
        <w:ind w:left="0" w:firstLine="0"/>
        <w:rPr>
          <w:color w:val="000000"/>
          <w:szCs w:val="22"/>
        </w:rPr>
      </w:pPr>
      <w:r w:rsidRPr="00E079AF">
        <w:rPr>
          <w:color w:val="000000"/>
          <w:szCs w:val="22"/>
        </w:rPr>
        <w:t>Liečb</w:t>
      </w:r>
      <w:r w:rsidR="009D6FD2">
        <w:rPr>
          <w:color w:val="000000"/>
          <w:szCs w:val="22"/>
        </w:rPr>
        <w:t>u</w:t>
      </w:r>
      <w:r w:rsidRPr="00E079AF">
        <w:rPr>
          <w:color w:val="000000"/>
          <w:szCs w:val="22"/>
        </w:rPr>
        <w:t xml:space="preserve"> </w:t>
      </w:r>
      <w:r w:rsidR="00AD3676">
        <w:rPr>
          <w:color w:val="000000"/>
          <w:szCs w:val="22"/>
        </w:rPr>
        <w:t xml:space="preserve">liekom </w:t>
      </w:r>
      <w:r w:rsidR="00AD3676" w:rsidRPr="00AD3676">
        <w:rPr>
          <w:color w:val="000000"/>
          <w:szCs w:val="22"/>
        </w:rPr>
        <w:t xml:space="preserve">Azacitidine MSN </w:t>
      </w:r>
      <w:r w:rsidRPr="00E079AF">
        <w:rPr>
          <w:color w:val="000000"/>
          <w:szCs w:val="22"/>
        </w:rPr>
        <w:t xml:space="preserve">má začať a sledovať lekár skúsený v oblasti používania chemoterapeutík. Pacientom sa majú pred liečbou podať antiemetiká proti nevoľnosti a vracaniu. </w:t>
      </w:r>
    </w:p>
    <w:p w14:paraId="53AD6C30" w14:textId="77777777" w:rsidR="00EA4F2B" w:rsidRPr="00E079AF" w:rsidRDefault="00EA4F2B" w:rsidP="00EA4F2B">
      <w:pPr>
        <w:autoSpaceDE w:val="0"/>
        <w:autoSpaceDN w:val="0"/>
        <w:adjustRightInd w:val="0"/>
        <w:ind w:left="0" w:firstLine="0"/>
        <w:rPr>
          <w:color w:val="000000"/>
          <w:szCs w:val="22"/>
        </w:rPr>
      </w:pPr>
    </w:p>
    <w:p w14:paraId="3F1C50B8" w14:textId="77777777" w:rsidR="00EA4F2B" w:rsidRPr="00E079AF" w:rsidRDefault="00EA4F2B" w:rsidP="00EA4F2B">
      <w:pPr>
        <w:autoSpaceDE w:val="0"/>
        <w:autoSpaceDN w:val="0"/>
        <w:adjustRightInd w:val="0"/>
        <w:ind w:left="0" w:firstLine="0"/>
        <w:rPr>
          <w:color w:val="000000"/>
          <w:szCs w:val="22"/>
          <w:u w:val="single"/>
        </w:rPr>
      </w:pPr>
      <w:r w:rsidRPr="00E079AF">
        <w:rPr>
          <w:color w:val="000000"/>
          <w:szCs w:val="22"/>
          <w:u w:val="single"/>
        </w:rPr>
        <w:t xml:space="preserve">Dávkovanie </w:t>
      </w:r>
    </w:p>
    <w:p w14:paraId="3C51702C" w14:textId="77777777" w:rsidR="00EA4F2B" w:rsidRPr="00E079AF" w:rsidRDefault="00EA4F2B" w:rsidP="00EA4F2B">
      <w:pPr>
        <w:autoSpaceDE w:val="0"/>
        <w:autoSpaceDN w:val="0"/>
        <w:adjustRightInd w:val="0"/>
        <w:ind w:left="0" w:firstLine="0"/>
        <w:rPr>
          <w:color w:val="000000"/>
          <w:szCs w:val="22"/>
        </w:rPr>
      </w:pPr>
    </w:p>
    <w:p w14:paraId="1B490CD9" w14:textId="063F33E8"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Odporúčaná </w:t>
      </w:r>
      <w:r w:rsidR="00365F49">
        <w:rPr>
          <w:color w:val="000000"/>
          <w:szCs w:val="22"/>
        </w:rPr>
        <w:t>začiatočná</w:t>
      </w:r>
      <w:r w:rsidRPr="00E079AF">
        <w:rPr>
          <w:color w:val="000000"/>
          <w:szCs w:val="22"/>
        </w:rPr>
        <w:t xml:space="preserve"> dávka pre prvý liečebný cyklus je u všetkých pacientov bez ohľadu na začiatočné hematologické laboratórne hodnoty 75 mg/m</w:t>
      </w:r>
      <w:r w:rsidRPr="00854A48">
        <w:rPr>
          <w:color w:val="000000"/>
          <w:szCs w:val="22"/>
          <w:vertAlign w:val="superscript"/>
        </w:rPr>
        <w:t>2</w:t>
      </w:r>
      <w:r w:rsidRPr="00E079AF">
        <w:rPr>
          <w:color w:val="000000"/>
          <w:szCs w:val="22"/>
        </w:rPr>
        <w:t xml:space="preserve"> </w:t>
      </w:r>
      <w:r w:rsidR="00365F49">
        <w:rPr>
          <w:color w:val="000000"/>
          <w:szCs w:val="22"/>
        </w:rPr>
        <w:t xml:space="preserve">plochy </w:t>
      </w:r>
      <w:r w:rsidRPr="00E079AF">
        <w:rPr>
          <w:color w:val="000000"/>
          <w:szCs w:val="22"/>
        </w:rPr>
        <w:t xml:space="preserve">povrchu tela a podáva sa denne subkutánnou injekciou po dobu 7 dní, po ktorých nasleduje 21-dňová prestávka (28-dňový liečebný cyklus). </w:t>
      </w:r>
    </w:p>
    <w:p w14:paraId="5C7E9189" w14:textId="77777777" w:rsidR="00EA4F2B" w:rsidRPr="00E079AF" w:rsidRDefault="00EA4F2B" w:rsidP="00EA4F2B">
      <w:pPr>
        <w:autoSpaceDE w:val="0"/>
        <w:autoSpaceDN w:val="0"/>
        <w:adjustRightInd w:val="0"/>
        <w:ind w:left="0" w:firstLine="0"/>
        <w:rPr>
          <w:color w:val="000000"/>
          <w:szCs w:val="22"/>
        </w:rPr>
      </w:pPr>
    </w:p>
    <w:p w14:paraId="7EA2112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Odporúča sa liečiť pacientov minimálne počas 6 cyklov. Liečba má pokračovať dovtedy, kým je pre pacienta prospešná, alebo do progresie ochorenia. </w:t>
      </w:r>
    </w:p>
    <w:p w14:paraId="2A7903F3" w14:textId="77777777" w:rsidR="00EA4F2B" w:rsidRPr="00E079AF" w:rsidRDefault="00EA4F2B" w:rsidP="00EA4F2B">
      <w:pPr>
        <w:autoSpaceDE w:val="0"/>
        <w:autoSpaceDN w:val="0"/>
        <w:adjustRightInd w:val="0"/>
        <w:ind w:left="0" w:firstLine="0"/>
        <w:rPr>
          <w:color w:val="000000"/>
          <w:szCs w:val="22"/>
        </w:rPr>
      </w:pPr>
    </w:p>
    <w:p w14:paraId="7F9941A3" w14:textId="77777777" w:rsidR="00EA4F2B" w:rsidRPr="00E079AF" w:rsidRDefault="00EA4F2B" w:rsidP="00EA4F2B">
      <w:pPr>
        <w:autoSpaceDE w:val="0"/>
        <w:autoSpaceDN w:val="0"/>
        <w:adjustRightInd w:val="0"/>
        <w:ind w:left="0" w:firstLine="0"/>
        <w:rPr>
          <w:szCs w:val="22"/>
        </w:rPr>
      </w:pPr>
      <w:r w:rsidRPr="00E079AF">
        <w:rPr>
          <w:szCs w:val="22"/>
        </w:rPr>
        <w:t>U pacientov sa má sledovať hematologická odpoveď/toxicita a renálne toxicity (pozri časť 4.4). Je možné, že v súlade s nižšie uvedenými informáciami bude potrebné odložiť nasledujúci cyklus na neskôr alebo znížiť dávku.</w:t>
      </w:r>
    </w:p>
    <w:p w14:paraId="35780B8B" w14:textId="77777777" w:rsidR="00EA4F2B" w:rsidRPr="00E079AF" w:rsidRDefault="00EA4F2B" w:rsidP="00EA4F2B">
      <w:pPr>
        <w:autoSpaceDE w:val="0"/>
        <w:autoSpaceDN w:val="0"/>
        <w:adjustRightInd w:val="0"/>
        <w:ind w:left="0" w:firstLine="0"/>
        <w:rPr>
          <w:szCs w:val="22"/>
        </w:rPr>
      </w:pPr>
    </w:p>
    <w:p w14:paraId="595F9AC0" w14:textId="77777777" w:rsidR="00EA4F2B" w:rsidRPr="00E079AF" w:rsidRDefault="00EA4F2B" w:rsidP="00EA4F2B">
      <w:pPr>
        <w:autoSpaceDE w:val="0"/>
        <w:autoSpaceDN w:val="0"/>
        <w:adjustRightInd w:val="0"/>
        <w:ind w:left="0" w:firstLine="0"/>
        <w:rPr>
          <w:color w:val="000000"/>
          <w:szCs w:val="22"/>
          <w:u w:val="single"/>
        </w:rPr>
      </w:pPr>
      <w:r w:rsidRPr="00BF306F">
        <w:rPr>
          <w:i/>
          <w:iCs/>
          <w:color w:val="000000"/>
          <w:szCs w:val="22"/>
          <w:u w:val="single"/>
        </w:rPr>
        <w:lastRenderedPageBreak/>
        <w:t>Laboratórne testy</w:t>
      </w:r>
      <w:r w:rsidRPr="00E079AF">
        <w:rPr>
          <w:i/>
          <w:iCs/>
          <w:color w:val="000000"/>
          <w:szCs w:val="22"/>
          <w:u w:val="single"/>
        </w:rPr>
        <w:t xml:space="preserve"> </w:t>
      </w:r>
    </w:p>
    <w:p w14:paraId="43C0ADFD" w14:textId="77777777" w:rsidR="00EA4F2B" w:rsidRPr="00E079AF" w:rsidRDefault="00EA4F2B" w:rsidP="00EA4F2B">
      <w:pPr>
        <w:autoSpaceDE w:val="0"/>
        <w:autoSpaceDN w:val="0"/>
        <w:adjustRightInd w:val="0"/>
        <w:ind w:left="0" w:firstLine="0"/>
        <w:rPr>
          <w:color w:val="000000"/>
          <w:szCs w:val="22"/>
        </w:rPr>
      </w:pPr>
    </w:p>
    <w:p w14:paraId="51DF8E83" w14:textId="77777777" w:rsidR="00EA4F2B" w:rsidRPr="00E079AF" w:rsidRDefault="00EA4F2B" w:rsidP="00EA4F2B">
      <w:pPr>
        <w:autoSpaceDE w:val="0"/>
        <w:autoSpaceDN w:val="0"/>
        <w:adjustRightInd w:val="0"/>
        <w:ind w:left="0" w:firstLine="0"/>
        <w:rPr>
          <w:i/>
          <w:iCs/>
          <w:color w:val="000000"/>
          <w:szCs w:val="22"/>
        </w:rPr>
      </w:pPr>
      <w:r w:rsidRPr="00E079AF">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w:t>
      </w:r>
      <w:r w:rsidRPr="00E079AF">
        <w:rPr>
          <w:i/>
          <w:iCs/>
          <w:color w:val="000000"/>
          <w:szCs w:val="22"/>
        </w:rPr>
        <w:t xml:space="preserve">. </w:t>
      </w:r>
    </w:p>
    <w:p w14:paraId="086B1BFF" w14:textId="77777777" w:rsidR="00EA4F2B" w:rsidRPr="00E079AF" w:rsidRDefault="00EA4F2B" w:rsidP="00EA4F2B">
      <w:pPr>
        <w:autoSpaceDE w:val="0"/>
        <w:autoSpaceDN w:val="0"/>
        <w:adjustRightInd w:val="0"/>
        <w:ind w:left="0" w:firstLine="0"/>
        <w:rPr>
          <w:color w:val="000000"/>
          <w:szCs w:val="22"/>
        </w:rPr>
      </w:pPr>
    </w:p>
    <w:p w14:paraId="101DC867"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Úprava dávky z dôvodu hematologickej toxicity </w:t>
      </w:r>
    </w:p>
    <w:p w14:paraId="619DC4D3"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Hematologická toxicita je definovaná ako najnižší počet krvných buniek dosiahnutý v danom cykle (nadir), ak je počet trombocytov ≤ 50,0 x 10</w:t>
      </w:r>
      <w:r w:rsidRPr="00854A48">
        <w:rPr>
          <w:color w:val="000000"/>
          <w:szCs w:val="22"/>
          <w:vertAlign w:val="superscript"/>
        </w:rPr>
        <w:t>9</w:t>
      </w:r>
      <w:r w:rsidRPr="00E079AF">
        <w:rPr>
          <w:color w:val="000000"/>
          <w:szCs w:val="22"/>
        </w:rPr>
        <w:t>/l a/alebo absolútny počet neutrofilov (</w:t>
      </w:r>
      <w:r w:rsidRPr="00E079AF">
        <w:rPr>
          <w:i/>
          <w:iCs/>
          <w:color w:val="000000"/>
          <w:szCs w:val="22"/>
        </w:rPr>
        <w:t>absolute neutrophil count</w:t>
      </w:r>
      <w:r w:rsidRPr="00E079AF">
        <w:rPr>
          <w:color w:val="000000"/>
          <w:szCs w:val="22"/>
        </w:rPr>
        <w:t>, ANC) ≤ 1 x 10</w:t>
      </w:r>
      <w:r w:rsidRPr="00E079AF">
        <w:rPr>
          <w:color w:val="000000"/>
          <w:szCs w:val="22"/>
          <w:vertAlign w:val="superscript"/>
        </w:rPr>
        <w:t>9</w:t>
      </w:r>
      <w:r w:rsidRPr="00E079AF">
        <w:rPr>
          <w:color w:val="000000"/>
          <w:szCs w:val="22"/>
        </w:rPr>
        <w:t xml:space="preserve">/l. </w:t>
      </w:r>
    </w:p>
    <w:p w14:paraId="7C94AF56" w14:textId="77777777" w:rsidR="00EA4F2B" w:rsidRPr="00E079AF" w:rsidRDefault="00EA4F2B" w:rsidP="00EA4F2B">
      <w:pPr>
        <w:autoSpaceDE w:val="0"/>
        <w:autoSpaceDN w:val="0"/>
        <w:adjustRightInd w:val="0"/>
        <w:ind w:left="0" w:firstLine="0"/>
        <w:rPr>
          <w:color w:val="000000"/>
          <w:szCs w:val="22"/>
        </w:rPr>
      </w:pPr>
    </w:p>
    <w:p w14:paraId="6F176A87" w14:textId="77777777"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Obnovenie je definované ako nárast v bunkovej línii (bunkových líniách), v ktorej (v ktorých) bola pozorovaná hematologická toxicita, na hodnotu nadir plus najmenej polovica rozdielu medzi začiatočným počtom a počtom nadir (t. j. počet krvných buniek pri obnovení ≥ počet nadir + (0,5 x [začiatočný počet – počet nadir]). </w:t>
      </w:r>
    </w:p>
    <w:p w14:paraId="705EB9A5" w14:textId="77777777" w:rsidR="00EA4F2B" w:rsidRPr="00E079AF" w:rsidRDefault="00EA4F2B" w:rsidP="00EA4F2B">
      <w:pPr>
        <w:autoSpaceDE w:val="0"/>
        <w:autoSpaceDN w:val="0"/>
        <w:adjustRightInd w:val="0"/>
        <w:ind w:left="0" w:firstLine="0"/>
        <w:rPr>
          <w:color w:val="000000"/>
          <w:szCs w:val="22"/>
        </w:rPr>
      </w:pPr>
    </w:p>
    <w:p w14:paraId="7D04F1D6" w14:textId="77777777" w:rsidR="00EA4F2B" w:rsidRPr="00E079AF" w:rsidRDefault="00EA4F2B" w:rsidP="00EA4F2B">
      <w:pPr>
        <w:autoSpaceDE w:val="0"/>
        <w:autoSpaceDN w:val="0"/>
        <w:adjustRightInd w:val="0"/>
        <w:ind w:left="0" w:firstLine="0"/>
        <w:rPr>
          <w:color w:val="000000"/>
          <w:szCs w:val="22"/>
        </w:rPr>
      </w:pPr>
      <w:r w:rsidRPr="00E079AF">
        <w:rPr>
          <w:i/>
          <w:iCs/>
          <w:color w:val="000000"/>
          <w:szCs w:val="22"/>
        </w:rPr>
        <w:t xml:space="preserve">Pacienti bez znížených začiatočných počtov krvných buniek (t. j. počet leukocytov (white blood cells, WBC) ≥ 3,0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ANC ≥ 1,5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007F54E0" w:rsidRPr="00E079AF">
        <w:rPr>
          <w:i/>
          <w:iCs/>
          <w:color w:val="000000"/>
          <w:szCs w:val="22"/>
        </w:rPr>
        <w:t xml:space="preserve"> </w:t>
      </w:r>
      <w:r w:rsidRPr="00E079AF">
        <w:rPr>
          <w:i/>
          <w:iCs/>
          <w:color w:val="000000"/>
          <w:szCs w:val="22"/>
        </w:rPr>
        <w:t xml:space="preserve">a počet trombocytov ≥ 75,0 x </w:t>
      </w:r>
      <w:r w:rsidR="007F54E0" w:rsidRPr="00E079AF">
        <w:rPr>
          <w:i/>
          <w:color w:val="000000"/>
          <w:szCs w:val="22"/>
        </w:rPr>
        <w:t>10</w:t>
      </w:r>
      <w:r w:rsidR="007F54E0" w:rsidRPr="00E079AF">
        <w:rPr>
          <w:i/>
          <w:color w:val="000000"/>
          <w:szCs w:val="22"/>
          <w:vertAlign w:val="superscript"/>
        </w:rPr>
        <w:t>9</w:t>
      </w:r>
      <w:r w:rsidR="007F54E0" w:rsidRPr="00E079AF">
        <w:rPr>
          <w:i/>
          <w:color w:val="000000"/>
          <w:szCs w:val="22"/>
        </w:rPr>
        <w:t>/l</w:t>
      </w:r>
      <w:r w:rsidRPr="00E079AF">
        <w:rPr>
          <w:i/>
          <w:iCs/>
          <w:color w:val="000000"/>
          <w:szCs w:val="22"/>
        </w:rPr>
        <w:t xml:space="preserve">) pred prvou liečbou </w:t>
      </w:r>
    </w:p>
    <w:p w14:paraId="41BEAB88" w14:textId="02F5301E" w:rsidR="00EA4F2B" w:rsidRPr="00E079AF" w:rsidRDefault="00EA4F2B" w:rsidP="00EA4F2B">
      <w:pPr>
        <w:autoSpaceDE w:val="0"/>
        <w:autoSpaceDN w:val="0"/>
        <w:adjustRightInd w:val="0"/>
        <w:ind w:left="0" w:firstLine="0"/>
        <w:rPr>
          <w:color w:val="000000"/>
          <w:szCs w:val="22"/>
        </w:rPr>
      </w:pPr>
      <w:r w:rsidRPr="00E079AF">
        <w:rPr>
          <w:color w:val="000000"/>
          <w:szCs w:val="22"/>
        </w:rPr>
        <w:t xml:space="preserve">Ak sa po liečbe </w:t>
      </w:r>
      <w:r w:rsidR="00C26428">
        <w:rPr>
          <w:color w:val="000000"/>
          <w:szCs w:val="22"/>
        </w:rPr>
        <w:t>a</w:t>
      </w:r>
      <w:r w:rsidRPr="00E079AF">
        <w:rPr>
          <w:color w:val="000000"/>
          <w:szCs w:val="22"/>
        </w:rPr>
        <w:t>zacitid</w:t>
      </w:r>
      <w:r w:rsidR="009D6FD2">
        <w:rPr>
          <w:color w:val="000000"/>
          <w:szCs w:val="22"/>
        </w:rPr>
        <w:t>í</w:t>
      </w:r>
      <w:r w:rsidRPr="00E079AF">
        <w:rPr>
          <w:color w:val="000000"/>
          <w:szCs w:val="22"/>
        </w:rPr>
        <w:t>n</w:t>
      </w:r>
      <w:r w:rsidR="009D6FD2">
        <w:rPr>
          <w:color w:val="000000"/>
          <w:szCs w:val="22"/>
        </w:rPr>
        <w:t>om</w:t>
      </w:r>
      <w:r w:rsidRPr="00E079AF">
        <w:rPr>
          <w:color w:val="000000"/>
          <w:szCs w:val="22"/>
        </w:rPr>
        <w:t xml:space="preserve"> zistí hematologická toxicita, má sa ďalší cyklus liečby odložiť dovtedy, kým sa neobnoví počet trombocytov a ANC. Ak sa obnovenie dosiahne do 14 dní, nevyžaduje sa žiadna úprava dávky. Ak sa však obnovenie nedosiahne do 14 dní, dávka sa má znížiť podľa nasledujúcej tabuľky. Po úprave dávky sa má trvanie cyklu vrátiť späť na 28 dní.</w:t>
      </w:r>
    </w:p>
    <w:p w14:paraId="4AC765EF" w14:textId="77777777" w:rsidR="007F54E0" w:rsidRPr="00E079AF" w:rsidRDefault="007F54E0" w:rsidP="00EA4F2B">
      <w:pPr>
        <w:autoSpaceDE w:val="0"/>
        <w:autoSpaceDN w:val="0"/>
        <w:adjustRightInd w:val="0"/>
        <w:ind w:left="0" w:firstLine="0"/>
        <w:rPr>
          <w:color w:val="000000"/>
          <w:szCs w:val="22"/>
        </w:rPr>
      </w:pPr>
    </w:p>
    <w:tbl>
      <w:tblPr>
        <w:tblW w:w="9072" w:type="dxa"/>
        <w:tblInd w:w="108" w:type="dxa"/>
        <w:tblCellMar>
          <w:top w:w="15" w:type="dxa"/>
          <w:right w:w="115" w:type="dxa"/>
        </w:tblCellMar>
        <w:tblLook w:val="04A0" w:firstRow="1" w:lastRow="0" w:firstColumn="1" w:lastColumn="0" w:noHBand="0" w:noVBand="1"/>
      </w:tblPr>
      <w:tblGrid>
        <w:gridCol w:w="2638"/>
        <w:gridCol w:w="2750"/>
        <w:gridCol w:w="3684"/>
      </w:tblGrid>
      <w:tr w:rsidR="007F54E0" w:rsidRPr="0048428A" w14:paraId="72538ABB" w14:textId="77777777" w:rsidTr="0048428A">
        <w:tc>
          <w:tcPr>
            <w:tcW w:w="5388" w:type="dxa"/>
            <w:gridSpan w:val="2"/>
            <w:tcBorders>
              <w:top w:val="single" w:sz="6" w:space="0" w:color="000000"/>
              <w:left w:val="single" w:sz="6" w:space="0" w:color="000000"/>
              <w:right w:val="single" w:sz="6" w:space="0" w:color="000000"/>
            </w:tcBorders>
            <w:shd w:val="clear" w:color="auto" w:fill="auto"/>
          </w:tcPr>
          <w:p w14:paraId="5E9E6062" w14:textId="77777777" w:rsidR="007F54E0" w:rsidRPr="0048428A" w:rsidRDefault="007F54E0" w:rsidP="007F54E0">
            <w:pPr>
              <w:pStyle w:val="Default"/>
              <w:rPr>
                <w:sz w:val="22"/>
                <w:szCs w:val="22"/>
                <w:lang w:val="sk-SK"/>
              </w:rPr>
            </w:pPr>
            <w:r w:rsidRPr="0048428A">
              <w:rPr>
                <w:sz w:val="22"/>
                <w:szCs w:val="22"/>
                <w:lang w:val="sk-SK"/>
              </w:rPr>
              <w:t xml:space="preserve">Počty nadir </w:t>
            </w:r>
          </w:p>
          <w:p w14:paraId="7CE47247" w14:textId="77777777" w:rsidR="007F54E0" w:rsidRPr="0048428A" w:rsidRDefault="007F54E0" w:rsidP="00E079AF">
            <w:pPr>
              <w:rPr>
                <w:szCs w:val="22"/>
                <w:lang w:eastAsia="de-DE"/>
              </w:rPr>
            </w:pPr>
          </w:p>
        </w:tc>
        <w:tc>
          <w:tcPr>
            <w:tcW w:w="3684" w:type="dxa"/>
            <w:vMerge w:val="restart"/>
            <w:tcBorders>
              <w:top w:val="single" w:sz="6" w:space="0" w:color="000000"/>
              <w:left w:val="single" w:sz="6" w:space="0" w:color="000000"/>
              <w:bottom w:val="single" w:sz="6" w:space="0" w:color="000000"/>
              <w:right w:val="single" w:sz="6" w:space="0" w:color="000000"/>
            </w:tcBorders>
            <w:shd w:val="clear" w:color="auto" w:fill="auto"/>
          </w:tcPr>
          <w:p w14:paraId="63011676" w14:textId="77777777" w:rsidR="007F54E0" w:rsidRPr="0048428A" w:rsidRDefault="007F54E0" w:rsidP="0048428A">
            <w:pPr>
              <w:ind w:left="174" w:hanging="174"/>
              <w:rPr>
                <w:szCs w:val="22"/>
                <w:lang w:eastAsia="de-DE"/>
              </w:rPr>
            </w:pPr>
            <w:r w:rsidRPr="0048428A">
              <w:rPr>
                <w:szCs w:val="22"/>
                <w:lang w:eastAsia="de-DE"/>
              </w:rPr>
              <w:t xml:space="preserve">% dávky v nasledujúcom cykle, ak sa obnovenie* nedosiahne do 14 dní </w:t>
            </w:r>
          </w:p>
          <w:p w14:paraId="3BC792B2" w14:textId="77777777" w:rsidR="007F54E0" w:rsidRPr="0048428A" w:rsidRDefault="007F54E0" w:rsidP="00E079AF">
            <w:pPr>
              <w:rPr>
                <w:szCs w:val="22"/>
                <w:lang w:eastAsia="de-DE"/>
              </w:rPr>
            </w:pPr>
          </w:p>
        </w:tc>
      </w:tr>
      <w:tr w:rsidR="0048428A" w:rsidRPr="0048428A" w14:paraId="480FA8D7"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09FE207F" w14:textId="77777777" w:rsidR="007F54E0" w:rsidRPr="0048428A" w:rsidRDefault="007F54E0" w:rsidP="00E079AF">
            <w:pPr>
              <w:rPr>
                <w:szCs w:val="22"/>
                <w:lang w:eastAsia="de-DE"/>
              </w:rPr>
            </w:pPr>
            <w:r w:rsidRPr="0048428A">
              <w:rPr>
                <w:szCs w:val="22"/>
                <w:lang w:eastAsia="de-DE"/>
              </w:rPr>
              <w:t>ANC (x 10</w:t>
            </w:r>
            <w:r w:rsidRPr="0048428A">
              <w:rPr>
                <w:szCs w:val="22"/>
                <w:vertAlign w:val="superscript"/>
                <w:lang w:eastAsia="de-DE"/>
              </w:rPr>
              <w:t>9</w:t>
            </w:r>
            <w:r w:rsidRPr="0048428A">
              <w:rPr>
                <w:szCs w:val="22"/>
                <w:lang w:eastAsia="de-DE"/>
              </w:rPr>
              <w:t>/l)</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753165A6" w14:textId="77777777" w:rsidR="007F54E0" w:rsidRPr="0048428A" w:rsidRDefault="007F54E0" w:rsidP="007F54E0">
            <w:pPr>
              <w:pStyle w:val="Default"/>
              <w:rPr>
                <w:sz w:val="22"/>
                <w:szCs w:val="22"/>
                <w:lang w:val="sk-SK"/>
              </w:rPr>
            </w:pPr>
            <w:r w:rsidRPr="0048428A">
              <w:rPr>
                <w:sz w:val="22"/>
                <w:szCs w:val="22"/>
                <w:lang w:val="sk-SK"/>
              </w:rPr>
              <w:t xml:space="preserve">Trombocyty </w:t>
            </w:r>
          </w:p>
          <w:p w14:paraId="03159662" w14:textId="77777777" w:rsidR="007F54E0" w:rsidRPr="0048428A" w:rsidRDefault="007F54E0" w:rsidP="00E079AF">
            <w:pPr>
              <w:rPr>
                <w:szCs w:val="22"/>
                <w:lang w:eastAsia="de-DE"/>
              </w:rPr>
            </w:pPr>
            <w:r w:rsidRPr="0048428A">
              <w:rPr>
                <w:szCs w:val="22"/>
                <w:lang w:eastAsia="de-DE"/>
              </w:rPr>
              <w:t>(x 10</w:t>
            </w:r>
            <w:r w:rsidRPr="0048428A">
              <w:rPr>
                <w:szCs w:val="22"/>
                <w:vertAlign w:val="superscript"/>
                <w:lang w:eastAsia="de-DE"/>
              </w:rPr>
              <w:t>9</w:t>
            </w:r>
            <w:r w:rsidRPr="0048428A">
              <w:rPr>
                <w:szCs w:val="22"/>
                <w:lang w:eastAsia="de-DE"/>
              </w:rPr>
              <w:t>/l)</w:t>
            </w:r>
          </w:p>
        </w:tc>
        <w:tc>
          <w:tcPr>
            <w:tcW w:w="3684" w:type="dxa"/>
            <w:vMerge/>
            <w:tcBorders>
              <w:top w:val="nil"/>
              <w:left w:val="single" w:sz="6" w:space="0" w:color="000000"/>
              <w:bottom w:val="single" w:sz="6" w:space="0" w:color="000000"/>
              <w:right w:val="single" w:sz="6" w:space="0" w:color="000000"/>
            </w:tcBorders>
            <w:shd w:val="clear" w:color="auto" w:fill="auto"/>
          </w:tcPr>
          <w:p w14:paraId="6E36D17D" w14:textId="77777777" w:rsidR="007F54E0" w:rsidRPr="0048428A" w:rsidRDefault="007F54E0" w:rsidP="00E079AF">
            <w:pPr>
              <w:rPr>
                <w:szCs w:val="22"/>
                <w:lang w:eastAsia="de-DE"/>
              </w:rPr>
            </w:pPr>
          </w:p>
        </w:tc>
      </w:tr>
      <w:tr w:rsidR="007F54E0" w:rsidRPr="0048428A" w14:paraId="67C7266E"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1BCD1766" w14:textId="77777777" w:rsidR="007F54E0" w:rsidRPr="0048428A" w:rsidRDefault="007F54E0" w:rsidP="007F54E0">
            <w:pPr>
              <w:rPr>
                <w:szCs w:val="22"/>
                <w:lang w:eastAsia="de-DE"/>
              </w:rPr>
            </w:pPr>
            <w:r w:rsidRPr="0048428A">
              <w:rPr>
                <w:szCs w:val="22"/>
                <w:lang w:eastAsia="de-DE"/>
              </w:rPr>
              <w: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26076EFC" w14:textId="77777777" w:rsidR="007F54E0" w:rsidRPr="0048428A" w:rsidRDefault="007F54E0" w:rsidP="007F54E0">
            <w:pPr>
              <w:rPr>
                <w:szCs w:val="22"/>
                <w:lang w:eastAsia="de-DE"/>
              </w:rPr>
            </w:pPr>
            <w:r w:rsidRPr="0048428A">
              <w:rPr>
                <w:szCs w:val="22"/>
                <w:lang w:eastAsia="de-DE"/>
              </w:rPr>
              <w: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639859A" w14:textId="77777777" w:rsidR="007F54E0" w:rsidRPr="0048428A" w:rsidRDefault="007F54E0" w:rsidP="00E079AF">
            <w:pPr>
              <w:rPr>
                <w:szCs w:val="22"/>
                <w:lang w:eastAsia="de-DE"/>
              </w:rPr>
            </w:pPr>
            <w:r w:rsidRPr="0048428A">
              <w:rPr>
                <w:szCs w:val="22"/>
                <w:lang w:eastAsia="de-DE"/>
              </w:rPr>
              <w:t>50 %</w:t>
            </w:r>
          </w:p>
        </w:tc>
      </w:tr>
      <w:tr w:rsidR="007F54E0" w:rsidRPr="0048428A" w14:paraId="2FB004E0" w14:textId="77777777" w:rsidTr="0048428A">
        <w:tc>
          <w:tcPr>
            <w:tcW w:w="2638" w:type="dxa"/>
            <w:tcBorders>
              <w:top w:val="single" w:sz="6" w:space="0" w:color="000000"/>
              <w:left w:val="single" w:sz="6" w:space="0" w:color="000000"/>
              <w:bottom w:val="single" w:sz="6" w:space="0" w:color="000000"/>
              <w:right w:val="single" w:sz="6" w:space="0" w:color="000000"/>
            </w:tcBorders>
            <w:shd w:val="clear" w:color="auto" w:fill="auto"/>
          </w:tcPr>
          <w:p w14:paraId="5E1A40B9" w14:textId="77777777" w:rsidR="007F54E0" w:rsidRPr="0048428A" w:rsidRDefault="007F54E0" w:rsidP="007F54E0">
            <w:pPr>
              <w:rPr>
                <w:szCs w:val="22"/>
                <w:lang w:eastAsia="de-DE"/>
              </w:rPr>
            </w:pPr>
            <w:r w:rsidRPr="0048428A">
              <w:rPr>
                <w:szCs w:val="22"/>
                <w:lang w:eastAsia="de-DE"/>
              </w:rPr>
              <w:t>&gt; 1,0</w:t>
            </w:r>
          </w:p>
        </w:tc>
        <w:tc>
          <w:tcPr>
            <w:tcW w:w="2750" w:type="dxa"/>
            <w:tcBorders>
              <w:top w:val="single" w:sz="6" w:space="0" w:color="000000"/>
              <w:left w:val="single" w:sz="6" w:space="0" w:color="000000"/>
              <w:bottom w:val="single" w:sz="6" w:space="0" w:color="000000"/>
              <w:right w:val="single" w:sz="6" w:space="0" w:color="000000"/>
            </w:tcBorders>
            <w:shd w:val="clear" w:color="auto" w:fill="auto"/>
          </w:tcPr>
          <w:p w14:paraId="3031CF3A" w14:textId="77777777" w:rsidR="007F54E0" w:rsidRPr="0048428A" w:rsidRDefault="007F54E0" w:rsidP="007F54E0">
            <w:pPr>
              <w:rPr>
                <w:szCs w:val="22"/>
                <w:lang w:eastAsia="de-DE"/>
              </w:rPr>
            </w:pPr>
            <w:r w:rsidRPr="0048428A">
              <w:rPr>
                <w:szCs w:val="22"/>
                <w:lang w:eastAsia="de-DE"/>
              </w:rPr>
              <w:t>&gt; 50,0</w:t>
            </w:r>
          </w:p>
        </w:tc>
        <w:tc>
          <w:tcPr>
            <w:tcW w:w="3684" w:type="dxa"/>
            <w:tcBorders>
              <w:top w:val="single" w:sz="6" w:space="0" w:color="000000"/>
              <w:left w:val="single" w:sz="6" w:space="0" w:color="000000"/>
              <w:bottom w:val="single" w:sz="6" w:space="0" w:color="000000"/>
              <w:right w:val="single" w:sz="6" w:space="0" w:color="000000"/>
            </w:tcBorders>
            <w:shd w:val="clear" w:color="auto" w:fill="auto"/>
          </w:tcPr>
          <w:p w14:paraId="01E7ABA2" w14:textId="77777777" w:rsidR="007F54E0" w:rsidRPr="0048428A" w:rsidRDefault="007F54E0" w:rsidP="00E079AF">
            <w:pPr>
              <w:rPr>
                <w:szCs w:val="22"/>
                <w:lang w:eastAsia="de-DE"/>
              </w:rPr>
            </w:pPr>
            <w:r w:rsidRPr="0048428A">
              <w:rPr>
                <w:szCs w:val="22"/>
                <w:lang w:eastAsia="de-DE"/>
              </w:rPr>
              <w:t>100 %</w:t>
            </w:r>
          </w:p>
        </w:tc>
      </w:tr>
    </w:tbl>
    <w:p w14:paraId="0EB7C080"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3A609EAE" w14:textId="77777777" w:rsidR="007F54E0" w:rsidRPr="007F54E0" w:rsidRDefault="007F54E0" w:rsidP="007F54E0">
      <w:pPr>
        <w:autoSpaceDE w:val="0"/>
        <w:autoSpaceDN w:val="0"/>
        <w:adjustRightInd w:val="0"/>
        <w:ind w:left="0" w:firstLine="0"/>
        <w:rPr>
          <w:color w:val="000000"/>
          <w:szCs w:val="22"/>
        </w:rPr>
      </w:pPr>
    </w:p>
    <w:p w14:paraId="27B44B2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Pacienti so zníženými začiatočnými počtami krvných buniek (t. j. počet leukocytov &lt; 3,0 x 10</w:t>
      </w:r>
      <w:r w:rsidRPr="00854A48">
        <w:rPr>
          <w:i/>
          <w:iCs/>
          <w:color w:val="000000"/>
          <w:szCs w:val="22"/>
          <w:vertAlign w:val="superscript"/>
        </w:rPr>
        <w:t>9</w:t>
      </w:r>
      <w:r w:rsidRPr="007F54E0">
        <w:rPr>
          <w:i/>
          <w:iCs/>
          <w:color w:val="000000"/>
          <w:szCs w:val="22"/>
        </w:rPr>
        <w:t xml:space="preserve">/l alebo ANC &lt; 1,5 x </w:t>
      </w:r>
      <w:r w:rsidRPr="00E079AF">
        <w:rPr>
          <w:i/>
          <w:color w:val="000000"/>
          <w:szCs w:val="22"/>
        </w:rPr>
        <w:t>10</w:t>
      </w:r>
      <w:r w:rsidRPr="00E079AF">
        <w:rPr>
          <w:i/>
          <w:color w:val="000000"/>
          <w:szCs w:val="22"/>
          <w:vertAlign w:val="superscript"/>
        </w:rPr>
        <w:t>9</w:t>
      </w:r>
      <w:r w:rsidRPr="00E079AF">
        <w:rPr>
          <w:i/>
          <w:color w:val="000000"/>
          <w:szCs w:val="22"/>
        </w:rPr>
        <w:t>/l</w:t>
      </w:r>
      <w:r w:rsidRPr="00E079AF">
        <w:rPr>
          <w:i/>
          <w:iCs/>
          <w:color w:val="000000"/>
          <w:szCs w:val="22"/>
        </w:rPr>
        <w:t xml:space="preserve"> </w:t>
      </w:r>
      <w:r w:rsidRPr="007F54E0">
        <w:rPr>
          <w:i/>
          <w:iCs/>
          <w:color w:val="000000"/>
          <w:szCs w:val="22"/>
        </w:rPr>
        <w:t xml:space="preserve">alebo počet trombocytov &lt; 75,0 x </w:t>
      </w:r>
      <w:r w:rsidRPr="00E079AF">
        <w:rPr>
          <w:i/>
          <w:color w:val="000000"/>
          <w:szCs w:val="22"/>
        </w:rPr>
        <w:t>10</w:t>
      </w:r>
      <w:r w:rsidRPr="00E079AF">
        <w:rPr>
          <w:i/>
          <w:color w:val="000000"/>
          <w:szCs w:val="22"/>
          <w:vertAlign w:val="superscript"/>
        </w:rPr>
        <w:t>9</w:t>
      </w:r>
      <w:r w:rsidRPr="00E079AF">
        <w:rPr>
          <w:i/>
          <w:color w:val="000000"/>
          <w:szCs w:val="22"/>
        </w:rPr>
        <w:t>/l</w:t>
      </w:r>
      <w:r w:rsidRPr="007F54E0">
        <w:rPr>
          <w:i/>
          <w:iCs/>
          <w:color w:val="000000"/>
          <w:szCs w:val="22"/>
        </w:rPr>
        <w:t xml:space="preserve">) pred prvou liečbou </w:t>
      </w:r>
    </w:p>
    <w:p w14:paraId="4AB518F9" w14:textId="46BE9AD2"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Ak je pokles počtu leukocytov, ANC alebo počtu trombocytov po liečbe </w:t>
      </w:r>
      <w:r w:rsidR="003616D4">
        <w:rPr>
          <w:color w:val="000000"/>
          <w:szCs w:val="22"/>
        </w:rPr>
        <w:t>a</w:t>
      </w:r>
      <w:r w:rsidRPr="007F54E0">
        <w:rPr>
          <w:color w:val="000000"/>
          <w:szCs w:val="22"/>
        </w:rPr>
        <w:t>zacitid</w:t>
      </w:r>
      <w:r w:rsidR="009D6FD2">
        <w:rPr>
          <w:color w:val="000000"/>
          <w:szCs w:val="22"/>
        </w:rPr>
        <w:t>í</w:t>
      </w:r>
      <w:r w:rsidRPr="007F54E0">
        <w:rPr>
          <w:color w:val="000000"/>
          <w:szCs w:val="22"/>
        </w:rPr>
        <w:t>n</w:t>
      </w:r>
      <w:r w:rsidR="009D6FD2">
        <w:rPr>
          <w:color w:val="000000"/>
          <w:szCs w:val="22"/>
        </w:rPr>
        <w:t>om</w:t>
      </w:r>
      <w:r w:rsidRPr="007F54E0">
        <w:rPr>
          <w:color w:val="000000"/>
          <w:szCs w:val="22"/>
        </w:rPr>
        <w:t xml:space="preserve"> v porovnaní s hodnotou pred liečbou ≤ 50 % alebo vyšší ako 50 % so súčasným zlepšením diferenciácie ktorejkoľvek bunkovej línie, nemá sa ďalší cyklus oneskoriť a dávka sa nemusí upraviť. </w:t>
      </w:r>
    </w:p>
    <w:p w14:paraId="208BEC90" w14:textId="77777777" w:rsidR="007F54E0" w:rsidRPr="00E079AF" w:rsidRDefault="007F54E0" w:rsidP="007F54E0">
      <w:pPr>
        <w:rPr>
          <w:color w:val="000000"/>
          <w:szCs w:val="22"/>
        </w:rPr>
      </w:pPr>
    </w:p>
    <w:p w14:paraId="32FF1D91" w14:textId="56941407" w:rsidR="00B12DB6" w:rsidRPr="00E079AF" w:rsidRDefault="007F54E0" w:rsidP="007F54E0">
      <w:pPr>
        <w:ind w:left="0" w:firstLine="0"/>
        <w:rPr>
          <w:color w:val="000000"/>
          <w:szCs w:val="22"/>
        </w:rPr>
      </w:pPr>
      <w:r w:rsidRPr="00E079AF">
        <w:rPr>
          <w:color w:val="000000"/>
          <w:szCs w:val="22"/>
        </w:rPr>
        <w:t xml:space="preserve">Ak počet leukocytov, ANC alebo trombocytov klesol viac ako </w:t>
      </w:r>
      <w:r w:rsidR="003616D4">
        <w:rPr>
          <w:color w:val="000000"/>
          <w:szCs w:val="22"/>
        </w:rPr>
        <w:t xml:space="preserve">o </w:t>
      </w:r>
      <w:r w:rsidRPr="00E079AF">
        <w:rPr>
          <w:color w:val="000000"/>
          <w:szCs w:val="22"/>
        </w:rPr>
        <w:t xml:space="preserve">50 % v porovnaní s hodnotou pred liečbou a nedôjde k zlepšeniu diferenciácie bunkových línií, má sa ďalší cyklus liečby </w:t>
      </w:r>
      <w:r w:rsidR="003616D4">
        <w:rPr>
          <w:color w:val="000000"/>
          <w:szCs w:val="22"/>
        </w:rPr>
        <w:t>a</w:t>
      </w:r>
      <w:r w:rsidR="009D6FD2">
        <w:rPr>
          <w:color w:val="000000"/>
          <w:szCs w:val="22"/>
        </w:rPr>
        <w:t>zacitidínom</w:t>
      </w:r>
      <w:r w:rsidRPr="00E079AF">
        <w:rPr>
          <w:color w:val="000000"/>
          <w:szCs w:val="22"/>
        </w:rPr>
        <w:t xml:space="preserve"> odložiť dovtedy, kým sa neobnoví počet trombocytov a ANC. Ak sa obnovenie dosiahne do 14 dní, nevyžaduje sa žiadna úprava dávky. Ak sa však obnovenie nedosiahne do 14 dní, má sa stanoviť celularita kostnej drene. Ak je hodnota celularity kostnej drene &gt; 50 %, dávka sa nemusí upraviť. Ak je hodnota celularity kostnej drene ≤ 50 %, má sa liečba odložiť a dávka znížiť podľa nasledujúcej tabuľky:</w:t>
      </w:r>
    </w:p>
    <w:p w14:paraId="001E0192" w14:textId="77777777" w:rsidR="007F54E0" w:rsidRPr="00E079AF" w:rsidRDefault="007F54E0" w:rsidP="007F54E0">
      <w:pPr>
        <w:rPr>
          <w:szCs w:val="22"/>
        </w:rPr>
      </w:pPr>
    </w:p>
    <w:tbl>
      <w:tblPr>
        <w:tblW w:w="9356" w:type="dxa"/>
        <w:tblInd w:w="-65" w:type="dxa"/>
        <w:tblCellMar>
          <w:top w:w="12" w:type="dxa"/>
          <w:left w:w="106" w:type="dxa"/>
          <w:right w:w="115" w:type="dxa"/>
        </w:tblCellMar>
        <w:tblLook w:val="04A0" w:firstRow="1" w:lastRow="0" w:firstColumn="1" w:lastColumn="0" w:noHBand="0" w:noVBand="1"/>
      </w:tblPr>
      <w:tblGrid>
        <w:gridCol w:w="2635"/>
        <w:gridCol w:w="3360"/>
        <w:gridCol w:w="3361"/>
      </w:tblGrid>
      <w:tr w:rsidR="007F54E0" w:rsidRPr="0048428A" w14:paraId="46E08CA4" w14:textId="77777777" w:rsidTr="0048428A">
        <w:trPr>
          <w:trHeight w:val="266"/>
        </w:trPr>
        <w:tc>
          <w:tcPr>
            <w:tcW w:w="2635" w:type="dxa"/>
            <w:vMerge w:val="restart"/>
            <w:tcBorders>
              <w:top w:val="single" w:sz="6" w:space="0" w:color="000000"/>
              <w:left w:val="single" w:sz="6" w:space="0" w:color="000000"/>
              <w:right w:val="single" w:sz="4" w:space="0" w:color="000000"/>
            </w:tcBorders>
            <w:shd w:val="clear" w:color="auto" w:fill="auto"/>
          </w:tcPr>
          <w:p w14:paraId="1A2EF2DE" w14:textId="77777777" w:rsidR="007F54E0" w:rsidRPr="0048428A" w:rsidRDefault="007F54E0" w:rsidP="007F54E0">
            <w:pPr>
              <w:pStyle w:val="Default"/>
              <w:rPr>
                <w:sz w:val="22"/>
                <w:szCs w:val="22"/>
                <w:lang w:val="sk-SK"/>
              </w:rPr>
            </w:pPr>
            <w:r w:rsidRPr="0048428A">
              <w:rPr>
                <w:sz w:val="22"/>
                <w:szCs w:val="22"/>
                <w:lang w:val="sk-SK"/>
              </w:rPr>
              <w:t xml:space="preserve">Celularita kostnej drene </w:t>
            </w:r>
          </w:p>
          <w:p w14:paraId="1627E44D" w14:textId="77777777" w:rsidR="007F54E0" w:rsidRPr="0048428A" w:rsidRDefault="007F54E0" w:rsidP="00E079AF">
            <w:pPr>
              <w:rPr>
                <w:szCs w:val="22"/>
                <w:lang w:eastAsia="de-DE"/>
              </w:rPr>
            </w:pPr>
          </w:p>
        </w:tc>
        <w:tc>
          <w:tcPr>
            <w:tcW w:w="6721" w:type="dxa"/>
            <w:gridSpan w:val="2"/>
            <w:tcBorders>
              <w:top w:val="single" w:sz="6" w:space="0" w:color="000000"/>
              <w:left w:val="single" w:sz="4" w:space="0" w:color="000000"/>
              <w:bottom w:val="single" w:sz="4" w:space="0" w:color="000000"/>
              <w:right w:val="single" w:sz="6" w:space="0" w:color="000000"/>
            </w:tcBorders>
            <w:shd w:val="clear" w:color="auto" w:fill="auto"/>
          </w:tcPr>
          <w:p w14:paraId="136E21EB" w14:textId="77777777" w:rsidR="007F54E0" w:rsidRPr="0048428A" w:rsidRDefault="007F54E0" w:rsidP="007F54E0">
            <w:pPr>
              <w:pStyle w:val="Default"/>
              <w:rPr>
                <w:sz w:val="22"/>
                <w:szCs w:val="22"/>
                <w:lang w:val="sk-SK"/>
              </w:rPr>
            </w:pPr>
            <w:r w:rsidRPr="0048428A">
              <w:rPr>
                <w:sz w:val="22"/>
                <w:szCs w:val="22"/>
                <w:lang w:val="sk-SK"/>
              </w:rPr>
              <w:t xml:space="preserve">% dávky v nasledujúcom cykle, ak sa obnovenie nedosiahne do 14 dní </w:t>
            </w:r>
          </w:p>
          <w:p w14:paraId="0317E609" w14:textId="77777777" w:rsidR="007F54E0" w:rsidRPr="0048428A" w:rsidRDefault="007F54E0" w:rsidP="00E079AF">
            <w:pPr>
              <w:rPr>
                <w:szCs w:val="22"/>
                <w:lang w:eastAsia="de-DE"/>
              </w:rPr>
            </w:pPr>
          </w:p>
        </w:tc>
      </w:tr>
      <w:tr w:rsidR="0048428A" w:rsidRPr="0048428A" w14:paraId="3591B553" w14:textId="77777777" w:rsidTr="0048428A">
        <w:trPr>
          <w:trHeight w:val="264"/>
        </w:trPr>
        <w:tc>
          <w:tcPr>
            <w:tcW w:w="2635" w:type="dxa"/>
            <w:vMerge/>
            <w:tcBorders>
              <w:left w:val="single" w:sz="6" w:space="0" w:color="000000"/>
              <w:bottom w:val="single" w:sz="4" w:space="0" w:color="000000"/>
              <w:right w:val="single" w:sz="4" w:space="0" w:color="000000"/>
            </w:tcBorders>
            <w:shd w:val="clear" w:color="auto" w:fill="auto"/>
          </w:tcPr>
          <w:p w14:paraId="2F804368" w14:textId="77777777" w:rsidR="007F54E0" w:rsidRPr="0048428A" w:rsidRDefault="007F54E0" w:rsidP="00E079AF">
            <w:pPr>
              <w:rPr>
                <w:szCs w:val="22"/>
                <w:lang w:eastAsia="de-DE"/>
              </w:rPr>
            </w:pP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66A6C8F1" w14:textId="77777777" w:rsidR="007F54E0" w:rsidRPr="0048428A" w:rsidRDefault="007F54E0" w:rsidP="007F54E0">
            <w:pPr>
              <w:rPr>
                <w:szCs w:val="22"/>
                <w:lang w:eastAsia="de-DE"/>
              </w:rPr>
            </w:pPr>
            <w:r w:rsidRPr="0048428A">
              <w:rPr>
                <w:szCs w:val="22"/>
                <w:lang w:eastAsia="de-DE"/>
              </w:rPr>
              <w:t>Obnovenie* ≤ 21 dní</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2777AF6D" w14:textId="77777777" w:rsidR="007F54E0" w:rsidRPr="0048428A" w:rsidRDefault="007F54E0" w:rsidP="007F54E0">
            <w:pPr>
              <w:rPr>
                <w:szCs w:val="22"/>
                <w:lang w:eastAsia="de-DE"/>
              </w:rPr>
            </w:pPr>
            <w:r w:rsidRPr="0048428A">
              <w:rPr>
                <w:szCs w:val="22"/>
                <w:lang w:eastAsia="de-DE"/>
              </w:rPr>
              <w:t>Obnovenie* &gt; 21 dní</w:t>
            </w:r>
          </w:p>
        </w:tc>
      </w:tr>
      <w:tr w:rsidR="0048428A" w:rsidRPr="0048428A" w14:paraId="7F9BE28F" w14:textId="77777777" w:rsidTr="0048428A">
        <w:trPr>
          <w:trHeight w:val="262"/>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31E60AFE" w14:textId="77777777" w:rsidR="007F54E0" w:rsidRPr="0048428A" w:rsidRDefault="007F54E0" w:rsidP="00E079AF">
            <w:pPr>
              <w:rPr>
                <w:szCs w:val="22"/>
                <w:lang w:eastAsia="de-DE"/>
              </w:rPr>
            </w:pPr>
            <w:r w:rsidRPr="0048428A">
              <w:rPr>
                <w:szCs w:val="22"/>
                <w:lang w:eastAsia="de-DE"/>
              </w:rPr>
              <w:t>15-50 %</w:t>
            </w:r>
          </w:p>
        </w:tc>
        <w:tc>
          <w:tcPr>
            <w:tcW w:w="3360" w:type="dxa"/>
            <w:tcBorders>
              <w:top w:val="single" w:sz="4" w:space="0" w:color="000000"/>
              <w:left w:val="single" w:sz="4" w:space="0" w:color="000000"/>
              <w:bottom w:val="single" w:sz="4" w:space="0" w:color="000000"/>
              <w:right w:val="single" w:sz="4" w:space="0" w:color="000000"/>
            </w:tcBorders>
            <w:shd w:val="clear" w:color="auto" w:fill="auto"/>
          </w:tcPr>
          <w:p w14:paraId="614083F2"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4" w:space="0" w:color="000000"/>
              <w:bottom w:val="single" w:sz="4" w:space="0" w:color="000000"/>
              <w:right w:val="single" w:sz="6" w:space="0" w:color="000000"/>
            </w:tcBorders>
            <w:shd w:val="clear" w:color="auto" w:fill="auto"/>
          </w:tcPr>
          <w:p w14:paraId="0312B44F" w14:textId="77777777" w:rsidR="007F54E0" w:rsidRPr="0048428A" w:rsidRDefault="007F54E0" w:rsidP="00E079AF">
            <w:pPr>
              <w:rPr>
                <w:szCs w:val="22"/>
                <w:lang w:eastAsia="de-DE"/>
              </w:rPr>
            </w:pPr>
            <w:r w:rsidRPr="0048428A">
              <w:rPr>
                <w:szCs w:val="22"/>
                <w:lang w:eastAsia="de-DE"/>
              </w:rPr>
              <w:t>50 %</w:t>
            </w:r>
          </w:p>
        </w:tc>
      </w:tr>
      <w:tr w:rsidR="0048428A" w:rsidRPr="0048428A" w14:paraId="5AA472AD" w14:textId="77777777" w:rsidTr="0048428A">
        <w:trPr>
          <w:trHeight w:val="264"/>
        </w:trPr>
        <w:tc>
          <w:tcPr>
            <w:tcW w:w="2635" w:type="dxa"/>
            <w:tcBorders>
              <w:top w:val="single" w:sz="4" w:space="0" w:color="000000"/>
              <w:left w:val="single" w:sz="6" w:space="0" w:color="000000"/>
              <w:bottom w:val="single" w:sz="4" w:space="0" w:color="000000"/>
              <w:right w:val="single" w:sz="4" w:space="0" w:color="000000"/>
            </w:tcBorders>
            <w:shd w:val="clear" w:color="auto" w:fill="auto"/>
          </w:tcPr>
          <w:p w14:paraId="1A4F7A12" w14:textId="77777777" w:rsidR="007F54E0" w:rsidRPr="0048428A" w:rsidRDefault="007F54E0" w:rsidP="00E079AF">
            <w:pPr>
              <w:rPr>
                <w:szCs w:val="22"/>
                <w:lang w:eastAsia="de-DE"/>
              </w:rPr>
            </w:pPr>
            <w:r w:rsidRPr="0048428A">
              <w:rPr>
                <w:szCs w:val="22"/>
                <w:lang w:eastAsia="de-DE"/>
              </w:rPr>
              <w:t>&lt; 15 %</w:t>
            </w:r>
          </w:p>
        </w:tc>
        <w:tc>
          <w:tcPr>
            <w:tcW w:w="3360" w:type="dxa"/>
            <w:tcBorders>
              <w:top w:val="single" w:sz="4" w:space="0" w:color="000000"/>
              <w:left w:val="single" w:sz="4" w:space="0" w:color="000000"/>
              <w:bottom w:val="single" w:sz="4" w:space="0" w:color="000000"/>
              <w:right w:val="single" w:sz="6" w:space="0" w:color="000000"/>
            </w:tcBorders>
            <w:shd w:val="clear" w:color="auto" w:fill="auto"/>
          </w:tcPr>
          <w:p w14:paraId="760AC127" w14:textId="77777777" w:rsidR="007F54E0" w:rsidRPr="0048428A" w:rsidRDefault="007F54E0" w:rsidP="00E079AF">
            <w:pPr>
              <w:rPr>
                <w:szCs w:val="22"/>
                <w:lang w:eastAsia="de-DE"/>
              </w:rPr>
            </w:pPr>
            <w:r w:rsidRPr="0048428A">
              <w:rPr>
                <w:szCs w:val="22"/>
                <w:lang w:eastAsia="de-DE"/>
              </w:rPr>
              <w:t>100 %</w:t>
            </w:r>
          </w:p>
        </w:tc>
        <w:tc>
          <w:tcPr>
            <w:tcW w:w="3361" w:type="dxa"/>
            <w:tcBorders>
              <w:top w:val="single" w:sz="4" w:space="0" w:color="000000"/>
              <w:left w:val="single" w:sz="6" w:space="0" w:color="000000"/>
              <w:bottom w:val="single" w:sz="4" w:space="0" w:color="000000"/>
              <w:right w:val="single" w:sz="6" w:space="0" w:color="000000"/>
            </w:tcBorders>
            <w:shd w:val="clear" w:color="auto" w:fill="auto"/>
          </w:tcPr>
          <w:p w14:paraId="15A0F35A" w14:textId="77777777" w:rsidR="007F54E0" w:rsidRPr="0048428A" w:rsidRDefault="007F54E0" w:rsidP="00E079AF">
            <w:pPr>
              <w:rPr>
                <w:szCs w:val="22"/>
                <w:lang w:eastAsia="de-DE"/>
              </w:rPr>
            </w:pPr>
            <w:r w:rsidRPr="0048428A">
              <w:rPr>
                <w:szCs w:val="22"/>
                <w:lang w:eastAsia="de-DE"/>
              </w:rPr>
              <w:t>33 %</w:t>
            </w:r>
          </w:p>
        </w:tc>
      </w:tr>
    </w:tbl>
    <w:p w14:paraId="71D02C6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*Obnovenie = počty krvných buniek ≥ počet nadir + (0,5 x [začiatočný počet – počet nadir]) </w:t>
      </w:r>
    </w:p>
    <w:p w14:paraId="5A44C8FB" w14:textId="77777777" w:rsidR="007F54E0" w:rsidRPr="00E079AF" w:rsidRDefault="007F54E0" w:rsidP="007F54E0">
      <w:pPr>
        <w:rPr>
          <w:color w:val="000000"/>
          <w:szCs w:val="22"/>
        </w:rPr>
      </w:pPr>
      <w:r w:rsidRPr="00E079AF">
        <w:rPr>
          <w:color w:val="000000"/>
          <w:szCs w:val="22"/>
        </w:rPr>
        <w:t>Po úprave dávky sa má trvanie cyklu vrátiť späť na 28 dní.</w:t>
      </w:r>
    </w:p>
    <w:p w14:paraId="1BDF235F" w14:textId="77777777" w:rsidR="007F54E0" w:rsidRPr="00E079AF" w:rsidRDefault="007F54E0" w:rsidP="007F54E0">
      <w:pPr>
        <w:rPr>
          <w:color w:val="000000"/>
          <w:szCs w:val="22"/>
        </w:rPr>
      </w:pPr>
    </w:p>
    <w:p w14:paraId="5A5CB359" w14:textId="77777777" w:rsidR="007F54E0" w:rsidRPr="007F54E0" w:rsidRDefault="007F54E0" w:rsidP="007F54E0">
      <w:pPr>
        <w:autoSpaceDE w:val="0"/>
        <w:autoSpaceDN w:val="0"/>
        <w:adjustRightInd w:val="0"/>
        <w:ind w:left="0" w:firstLine="0"/>
        <w:rPr>
          <w:color w:val="000000"/>
          <w:szCs w:val="22"/>
          <w:u w:val="single"/>
        </w:rPr>
      </w:pPr>
      <w:r w:rsidRPr="007F54E0">
        <w:rPr>
          <w:i/>
          <w:iCs/>
          <w:color w:val="000000"/>
          <w:szCs w:val="22"/>
          <w:u w:val="single"/>
        </w:rPr>
        <w:t xml:space="preserve">Osobitné populácie </w:t>
      </w:r>
    </w:p>
    <w:p w14:paraId="3159543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Starší pacienti </w:t>
      </w:r>
    </w:p>
    <w:p w14:paraId="4B01B27A"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lastRenderedPageBreak/>
        <w:t xml:space="preserve">U starších pacientov sa neodporúčajú žiadne špecifické úpravy dávky. Keďže u starších pacientov je vyššia pravdepodobnosť zníženej funkcie obličiek, môže byť vhodné sledovať ich funkciu. </w:t>
      </w:r>
    </w:p>
    <w:p w14:paraId="1B28D800" w14:textId="77777777" w:rsidR="007F54E0" w:rsidRPr="007F54E0" w:rsidRDefault="007F54E0" w:rsidP="007F54E0">
      <w:pPr>
        <w:autoSpaceDE w:val="0"/>
        <w:autoSpaceDN w:val="0"/>
        <w:adjustRightInd w:val="0"/>
        <w:ind w:left="0" w:firstLine="0"/>
        <w:rPr>
          <w:color w:val="000000"/>
          <w:szCs w:val="22"/>
        </w:rPr>
      </w:pPr>
    </w:p>
    <w:p w14:paraId="08F33E23"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obličiek </w:t>
      </w:r>
    </w:p>
    <w:p w14:paraId="76A378C9"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Azacitidín môže byť podávaný pacientom s poruchou funkcie obličiek bez úpravy úvodnej dávky (pozri časť 5.2). Ak sa vyskytne nevysvetliteľný pokles bikarbonátu v sére na menej ako 20 mmol/l, dávka sa má v nasledujúcom cykle znížiť o 50 %. Ak sa vyskytne nevysvetliteľný vzostup </w:t>
      </w:r>
      <w:r w:rsidR="00526BFB">
        <w:rPr>
          <w:color w:val="000000"/>
          <w:szCs w:val="22"/>
        </w:rPr>
        <w:t xml:space="preserve">sérového </w:t>
      </w:r>
      <w:r w:rsidRPr="007F54E0">
        <w:rPr>
          <w:color w:val="000000"/>
          <w:szCs w:val="22"/>
        </w:rPr>
        <w:t>kreatinínu alebo močovinového dusíka v krvi (</w:t>
      </w:r>
      <w:r w:rsidRPr="007F54E0">
        <w:rPr>
          <w:i/>
          <w:iCs/>
          <w:color w:val="000000"/>
          <w:szCs w:val="22"/>
        </w:rPr>
        <w:t>blood urea nitrogen</w:t>
      </w:r>
      <w:r w:rsidRPr="007F54E0">
        <w:rPr>
          <w:color w:val="000000"/>
          <w:szCs w:val="22"/>
        </w:rPr>
        <w:t>, BUN) na úroveň ≥ 2-násobne vyššiu, ako sú začiatočné hodnoty a nad horný limit normálnej hodnoty (</w:t>
      </w:r>
      <w:r w:rsidRPr="007F54E0">
        <w:rPr>
          <w:i/>
          <w:iCs/>
          <w:color w:val="000000"/>
          <w:szCs w:val="22"/>
        </w:rPr>
        <w:t>upper limit of normal</w:t>
      </w:r>
      <w:r w:rsidRPr="007F54E0">
        <w:rPr>
          <w:color w:val="000000"/>
          <w:szCs w:val="22"/>
        </w:rPr>
        <w:t xml:space="preserve">, ULN), ďalší cyklus sa má odložiť dovtedy, kým sa hodnoty nevrátia na normálnu alebo začiatočnú úroveň a v nasledujúcom liečebnom cykle sa má znížiť dávka o 50 % (pozri časť 4.4). </w:t>
      </w:r>
    </w:p>
    <w:p w14:paraId="785DC06F" w14:textId="77777777" w:rsidR="007F54E0" w:rsidRPr="007F54E0" w:rsidRDefault="007F54E0" w:rsidP="007F54E0">
      <w:pPr>
        <w:autoSpaceDE w:val="0"/>
        <w:autoSpaceDN w:val="0"/>
        <w:adjustRightInd w:val="0"/>
        <w:ind w:left="0" w:firstLine="0"/>
        <w:rPr>
          <w:color w:val="000000"/>
          <w:szCs w:val="22"/>
        </w:rPr>
      </w:pPr>
    </w:p>
    <w:p w14:paraId="3FAC679F" w14:textId="77777777" w:rsidR="007F54E0" w:rsidRPr="007F54E0" w:rsidRDefault="007F54E0" w:rsidP="007F54E0">
      <w:pPr>
        <w:autoSpaceDE w:val="0"/>
        <w:autoSpaceDN w:val="0"/>
        <w:adjustRightInd w:val="0"/>
        <w:ind w:left="0" w:firstLine="0"/>
        <w:rPr>
          <w:color w:val="000000"/>
          <w:szCs w:val="22"/>
        </w:rPr>
      </w:pPr>
      <w:r w:rsidRPr="007F54E0">
        <w:rPr>
          <w:i/>
          <w:iCs/>
          <w:color w:val="000000"/>
          <w:szCs w:val="22"/>
        </w:rPr>
        <w:t xml:space="preserve">Pacienti s poruchou funkcie pečene </w:t>
      </w:r>
    </w:p>
    <w:p w14:paraId="54101DFF" w14:textId="52EFFE6C"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U pacientov s poruchou funkcie pečene neboli vykonané žiadne </w:t>
      </w:r>
      <w:r w:rsidR="006B66F1">
        <w:rPr>
          <w:color w:val="000000"/>
          <w:szCs w:val="22"/>
        </w:rPr>
        <w:t>formálne</w:t>
      </w:r>
      <w:r w:rsidR="006B66F1" w:rsidRPr="007F54E0">
        <w:rPr>
          <w:color w:val="000000"/>
          <w:szCs w:val="22"/>
        </w:rPr>
        <w:t xml:space="preserve"> </w:t>
      </w:r>
      <w:r w:rsidRPr="007F54E0">
        <w:rPr>
          <w:color w:val="000000"/>
          <w:szCs w:val="22"/>
        </w:rPr>
        <w:t xml:space="preserve">štúdie (pozri časť 4.4). Pacienti so závažnou poruchou funkcie pečene sa majú pozorne sledovať na výskyt nežiaducich účinkov. U pacientov s poruchou funkcie pečene pred začatím liečby sa neodporúča žiadna špecifická úprava úvodnej dávky a následné úpravy dávky majú vychádzať z hematologických laboratórnych hodnôt. </w:t>
      </w:r>
      <w:r w:rsidR="009D6FD2">
        <w:rPr>
          <w:color w:val="000000"/>
          <w:szCs w:val="22"/>
        </w:rPr>
        <w:t>Azacitidín</w:t>
      </w:r>
      <w:r w:rsidRPr="007F54E0">
        <w:rPr>
          <w:color w:val="000000"/>
          <w:szCs w:val="22"/>
        </w:rPr>
        <w:t xml:space="preserve"> je kontraindikovaný u pacientov s malígnymi pečeňovými nádormi v pokročilom štádiu (pozri časti 4.3 a 4.4). </w:t>
      </w:r>
    </w:p>
    <w:p w14:paraId="095B944F" w14:textId="77777777" w:rsidR="007F54E0" w:rsidRPr="007F54E0" w:rsidRDefault="007F54E0" w:rsidP="007F54E0">
      <w:pPr>
        <w:autoSpaceDE w:val="0"/>
        <w:autoSpaceDN w:val="0"/>
        <w:adjustRightInd w:val="0"/>
        <w:ind w:left="0" w:firstLine="0"/>
        <w:rPr>
          <w:color w:val="000000"/>
          <w:szCs w:val="22"/>
        </w:rPr>
      </w:pPr>
    </w:p>
    <w:p w14:paraId="195557EB" w14:textId="77777777" w:rsidR="007F54E0" w:rsidRPr="007F54E0" w:rsidRDefault="007F54E0" w:rsidP="007F54E0">
      <w:pPr>
        <w:autoSpaceDE w:val="0"/>
        <w:autoSpaceDN w:val="0"/>
        <w:adjustRightInd w:val="0"/>
        <w:ind w:left="0" w:firstLine="0"/>
        <w:rPr>
          <w:color w:val="000000"/>
          <w:szCs w:val="22"/>
          <w:u w:val="single"/>
        </w:rPr>
      </w:pPr>
      <w:r w:rsidRPr="007F54E0">
        <w:rPr>
          <w:iCs/>
          <w:color w:val="000000"/>
          <w:szCs w:val="22"/>
          <w:u w:val="single"/>
        </w:rPr>
        <w:t xml:space="preserve">Pediatrická populácia </w:t>
      </w:r>
    </w:p>
    <w:p w14:paraId="7A1A9534" w14:textId="77777777" w:rsidR="007F54E0" w:rsidRPr="00E079AF" w:rsidRDefault="007F54E0" w:rsidP="007F54E0">
      <w:pPr>
        <w:autoSpaceDE w:val="0"/>
        <w:autoSpaceDN w:val="0"/>
        <w:adjustRightInd w:val="0"/>
        <w:ind w:left="0" w:firstLine="0"/>
        <w:rPr>
          <w:color w:val="000000"/>
          <w:szCs w:val="22"/>
        </w:rPr>
      </w:pPr>
      <w:r w:rsidRPr="007F54E0">
        <w:rPr>
          <w:color w:val="000000"/>
          <w:szCs w:val="22"/>
        </w:rPr>
        <w:t xml:space="preserve">Bezpečnosť a účinnosť azacitidínu u detí vo veku 0-17 rokov neboli doteraz stanovené. K dispozícii nie sú žiadne údaje. </w:t>
      </w:r>
    </w:p>
    <w:p w14:paraId="68DAECFD" w14:textId="77777777" w:rsidR="007F54E0" w:rsidRPr="007F54E0" w:rsidRDefault="007F54E0" w:rsidP="007F54E0">
      <w:pPr>
        <w:autoSpaceDE w:val="0"/>
        <w:autoSpaceDN w:val="0"/>
        <w:adjustRightInd w:val="0"/>
        <w:ind w:left="0" w:firstLine="0"/>
        <w:rPr>
          <w:color w:val="000000"/>
          <w:szCs w:val="22"/>
        </w:rPr>
      </w:pPr>
    </w:p>
    <w:p w14:paraId="31C2A4EA" w14:textId="77777777" w:rsidR="007F54E0" w:rsidRPr="007F54E0" w:rsidRDefault="007F54E0" w:rsidP="007F54E0">
      <w:pPr>
        <w:autoSpaceDE w:val="0"/>
        <w:autoSpaceDN w:val="0"/>
        <w:adjustRightInd w:val="0"/>
        <w:ind w:left="0" w:firstLine="0"/>
        <w:rPr>
          <w:color w:val="000000"/>
          <w:szCs w:val="22"/>
          <w:u w:val="single"/>
        </w:rPr>
      </w:pPr>
      <w:r w:rsidRPr="007F54E0">
        <w:rPr>
          <w:color w:val="000000"/>
          <w:szCs w:val="22"/>
          <w:u w:val="single"/>
        </w:rPr>
        <w:t xml:space="preserve">Spôsob podávania </w:t>
      </w:r>
    </w:p>
    <w:p w14:paraId="133D7A47" w14:textId="5C005118" w:rsidR="007F54E0" w:rsidRPr="007F54E0" w:rsidRDefault="007F54E0" w:rsidP="007F54E0">
      <w:pPr>
        <w:autoSpaceDE w:val="0"/>
        <w:autoSpaceDN w:val="0"/>
        <w:adjustRightInd w:val="0"/>
        <w:ind w:left="0" w:firstLine="0"/>
        <w:rPr>
          <w:color w:val="000000"/>
          <w:szCs w:val="22"/>
        </w:rPr>
      </w:pPr>
      <w:r w:rsidRPr="007F54E0">
        <w:rPr>
          <w:color w:val="000000"/>
          <w:szCs w:val="22"/>
        </w:rPr>
        <w:t xml:space="preserve">Rekonštituovaný </w:t>
      </w:r>
      <w:r w:rsidR="006B66F1">
        <w:rPr>
          <w:color w:val="000000"/>
          <w:szCs w:val="22"/>
        </w:rPr>
        <w:t>azacitidín</w:t>
      </w:r>
      <w:r w:rsidR="00597FF6">
        <w:rPr>
          <w:color w:val="000000"/>
          <w:szCs w:val="22"/>
        </w:rPr>
        <w:t xml:space="preserve"> </w:t>
      </w:r>
      <w:r w:rsidRPr="007F54E0">
        <w:rPr>
          <w:color w:val="000000"/>
          <w:szCs w:val="22"/>
        </w:rPr>
        <w:t xml:space="preserve">sa má podávať subkutánnou injekciou do ramena, stehna alebo brucha. Miesta injekčnej aplikácie sa majú meniť. Nové injekcie sa majú aplikovať najmenej 2,5 cm od predchádzajúceho miesta vpichu a nikdy nie do oblastí, v ktorých je miesto vpichu bolestivé, s podliatinami, </w:t>
      </w:r>
      <w:r w:rsidR="00B64FAD">
        <w:rPr>
          <w:color w:val="000000"/>
          <w:szCs w:val="22"/>
        </w:rPr>
        <w:t>s</w:t>
      </w:r>
      <w:r w:rsidRPr="007F54E0">
        <w:rPr>
          <w:color w:val="000000"/>
          <w:szCs w:val="22"/>
        </w:rPr>
        <w:t>červen</w:t>
      </w:r>
      <w:r w:rsidR="00B64FAD">
        <w:rPr>
          <w:color w:val="000000"/>
          <w:szCs w:val="22"/>
        </w:rPr>
        <w:t>e</w:t>
      </w:r>
      <w:r w:rsidRPr="007F54E0">
        <w:rPr>
          <w:color w:val="000000"/>
          <w:szCs w:val="22"/>
        </w:rPr>
        <w:t xml:space="preserve">né alebo stvrdnuté. </w:t>
      </w:r>
    </w:p>
    <w:p w14:paraId="69BD8A37" w14:textId="77777777" w:rsidR="006B66F1" w:rsidRDefault="006B66F1" w:rsidP="007F54E0">
      <w:pPr>
        <w:ind w:left="0" w:firstLine="0"/>
        <w:rPr>
          <w:color w:val="000000"/>
          <w:szCs w:val="22"/>
        </w:rPr>
      </w:pPr>
    </w:p>
    <w:p w14:paraId="3888C465" w14:textId="77777777" w:rsidR="007F54E0" w:rsidRPr="00E079AF" w:rsidRDefault="007F54E0" w:rsidP="007F54E0">
      <w:pPr>
        <w:ind w:left="0" w:firstLine="0"/>
        <w:rPr>
          <w:color w:val="000000"/>
          <w:szCs w:val="22"/>
        </w:rPr>
      </w:pPr>
      <w:r w:rsidRPr="00E079AF">
        <w:rPr>
          <w:color w:val="000000"/>
          <w:szCs w:val="22"/>
        </w:rPr>
        <w:t>Po rekonštitúcii sa suspenzia nemá filtrovať. Pokyny na rekonštitúciu lieku pred podaním, pozri časť 6.6.</w:t>
      </w:r>
    </w:p>
    <w:p w14:paraId="71E31EEB" w14:textId="77777777" w:rsidR="007F54E0" w:rsidRPr="00E079AF" w:rsidRDefault="007F54E0" w:rsidP="007F54E0">
      <w:pPr>
        <w:rPr>
          <w:b/>
          <w:szCs w:val="22"/>
        </w:rPr>
      </w:pPr>
    </w:p>
    <w:p w14:paraId="31262179" w14:textId="77777777" w:rsidR="00FF6BE0" w:rsidRPr="00E079AF" w:rsidRDefault="00FF6BE0" w:rsidP="00C92B0B">
      <w:pPr>
        <w:rPr>
          <w:szCs w:val="22"/>
        </w:rPr>
      </w:pPr>
      <w:r w:rsidRPr="00E079AF">
        <w:rPr>
          <w:b/>
          <w:szCs w:val="22"/>
        </w:rPr>
        <w:t>4.3</w:t>
      </w:r>
      <w:r w:rsidRPr="00E079AF">
        <w:rPr>
          <w:b/>
          <w:szCs w:val="22"/>
        </w:rPr>
        <w:tab/>
        <w:t xml:space="preserve">Kontraindikácie </w:t>
      </w:r>
    </w:p>
    <w:p w14:paraId="1EDEDB6D" w14:textId="77777777" w:rsidR="00B12DB6" w:rsidRPr="00E079AF" w:rsidRDefault="00B12DB6" w:rsidP="006321A9">
      <w:pPr>
        <w:autoSpaceDE w:val="0"/>
        <w:autoSpaceDN w:val="0"/>
        <w:adjustRightInd w:val="0"/>
        <w:ind w:left="0" w:firstLine="0"/>
        <w:rPr>
          <w:rFonts w:eastAsia="TimesNewRoman"/>
          <w:szCs w:val="22"/>
          <w:lang w:eastAsia="en-US"/>
        </w:rPr>
      </w:pPr>
    </w:p>
    <w:p w14:paraId="6694AE7A" w14:textId="77777777" w:rsidR="007F54E0" w:rsidRPr="007F54E0" w:rsidRDefault="007F54E0" w:rsidP="00247C47">
      <w:pPr>
        <w:autoSpaceDE w:val="0"/>
        <w:autoSpaceDN w:val="0"/>
        <w:adjustRightInd w:val="0"/>
        <w:ind w:left="0" w:firstLine="0"/>
        <w:rPr>
          <w:color w:val="000000"/>
          <w:szCs w:val="22"/>
        </w:rPr>
      </w:pPr>
      <w:r w:rsidRPr="007F54E0">
        <w:rPr>
          <w:color w:val="000000"/>
          <w:szCs w:val="22"/>
        </w:rPr>
        <w:t xml:space="preserve">Precitlivenosť na liečivo alebo na ktorúkoľvek z pomocných látok uvedených v časti 6.1. </w:t>
      </w:r>
    </w:p>
    <w:p w14:paraId="70F65BE7" w14:textId="77777777" w:rsidR="007F54E0" w:rsidRPr="007F54E0" w:rsidRDefault="007F54E0" w:rsidP="00247C47">
      <w:pPr>
        <w:autoSpaceDE w:val="0"/>
        <w:autoSpaceDN w:val="0"/>
        <w:adjustRightInd w:val="0"/>
        <w:ind w:left="0" w:firstLine="0"/>
        <w:rPr>
          <w:color w:val="000000"/>
          <w:szCs w:val="22"/>
        </w:rPr>
      </w:pPr>
      <w:r w:rsidRPr="007F54E0">
        <w:rPr>
          <w:color w:val="000000"/>
          <w:szCs w:val="22"/>
        </w:rPr>
        <w:t xml:space="preserve">Malígne pečeňové nádory v pokročilom štádiu (pozri časť 4.4). </w:t>
      </w:r>
    </w:p>
    <w:p w14:paraId="3630A81A" w14:textId="77777777" w:rsidR="00387A8B" w:rsidRPr="00E079AF" w:rsidRDefault="007F54E0" w:rsidP="00247C47">
      <w:pPr>
        <w:ind w:left="0" w:firstLine="0"/>
        <w:rPr>
          <w:color w:val="000000"/>
          <w:szCs w:val="22"/>
        </w:rPr>
      </w:pPr>
      <w:r w:rsidRPr="00E079AF">
        <w:rPr>
          <w:color w:val="000000"/>
          <w:szCs w:val="22"/>
        </w:rPr>
        <w:t>Dojčenie (pozri časť 4.6).</w:t>
      </w:r>
    </w:p>
    <w:p w14:paraId="03ADB89A" w14:textId="77777777" w:rsidR="007F54E0" w:rsidRPr="00E079AF" w:rsidRDefault="007F54E0" w:rsidP="007F54E0">
      <w:pPr>
        <w:rPr>
          <w:b/>
          <w:szCs w:val="22"/>
        </w:rPr>
      </w:pPr>
    </w:p>
    <w:p w14:paraId="3A8FA68A" w14:textId="77777777" w:rsidR="00FF6BE0" w:rsidRPr="00E079AF" w:rsidRDefault="00FF6BE0" w:rsidP="00C92B0B">
      <w:pPr>
        <w:rPr>
          <w:b/>
          <w:szCs w:val="22"/>
        </w:rPr>
      </w:pPr>
      <w:r w:rsidRPr="00E079AF">
        <w:rPr>
          <w:b/>
          <w:szCs w:val="22"/>
        </w:rPr>
        <w:t>4.4</w:t>
      </w:r>
      <w:r w:rsidRPr="00E079AF">
        <w:rPr>
          <w:b/>
          <w:szCs w:val="22"/>
        </w:rPr>
        <w:tab/>
        <w:t>Osobitné upozornenia a opatrenia pri používaní</w:t>
      </w:r>
    </w:p>
    <w:p w14:paraId="33F4D79F" w14:textId="77777777" w:rsidR="00190622" w:rsidRPr="00E079AF" w:rsidRDefault="00190622" w:rsidP="00C92B0B">
      <w:pPr>
        <w:ind w:left="0" w:firstLine="0"/>
        <w:rPr>
          <w:szCs w:val="22"/>
        </w:rPr>
      </w:pPr>
    </w:p>
    <w:p w14:paraId="5300C04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Hematologická toxicita </w:t>
      </w:r>
    </w:p>
    <w:p w14:paraId="5EDD7BF9" w14:textId="61CF6BB2" w:rsidR="004D39D1" w:rsidRPr="00E079AF" w:rsidRDefault="00A02502" w:rsidP="00A02502">
      <w:pPr>
        <w:ind w:left="0" w:firstLine="0"/>
        <w:rPr>
          <w:color w:val="000000"/>
          <w:szCs w:val="22"/>
        </w:rPr>
      </w:pPr>
      <w:r w:rsidRPr="00E079AF">
        <w:rPr>
          <w:color w:val="000000"/>
          <w:szCs w:val="22"/>
        </w:rPr>
        <w:t>Liečba azacitidínom je spojená s anémiou, neutropéniou a trombocytopéniou, najmä počas prvých 2 cyklov (pozri časť 4.8). V prípade potreby (avšak aspoň pred každým liečebným cyklom) sa má stanoviť kompletný krvný obraz s cieľom sledovania odpovede a toxicity</w:t>
      </w:r>
      <w:r w:rsidRPr="00E079AF">
        <w:rPr>
          <w:i/>
          <w:iCs/>
          <w:color w:val="000000"/>
          <w:szCs w:val="22"/>
        </w:rPr>
        <w:t xml:space="preserve">. </w:t>
      </w:r>
      <w:r w:rsidRPr="00E079AF">
        <w:rPr>
          <w:color w:val="000000"/>
          <w:szCs w:val="22"/>
        </w:rPr>
        <w:t xml:space="preserve">Po podaní odporúčanej dávky v prvom cykle sa má dávka na základe hodnoty nadir a hematologickej odpovede pre následné cykly znížiť alebo jej podanie odložiť na neskôr (pozri časť 4.2). Pacienti majú byť poučení, aby ihneď hlásili prípady horúčky. Pacienti a lekári majú sledovať </w:t>
      </w:r>
      <w:r w:rsidR="00603755">
        <w:rPr>
          <w:color w:val="000000"/>
          <w:szCs w:val="22"/>
        </w:rPr>
        <w:t>prejavy</w:t>
      </w:r>
      <w:r w:rsidRPr="00E079AF">
        <w:rPr>
          <w:color w:val="000000"/>
          <w:szCs w:val="22"/>
        </w:rPr>
        <w:t xml:space="preserve"> a príznaky krvácania.</w:t>
      </w:r>
    </w:p>
    <w:p w14:paraId="71E9D5EC" w14:textId="77777777" w:rsidR="00A02502" w:rsidRPr="00E079AF" w:rsidRDefault="00A02502" w:rsidP="00A02502">
      <w:pPr>
        <w:ind w:left="0" w:firstLine="0"/>
        <w:rPr>
          <w:color w:val="000000"/>
          <w:szCs w:val="22"/>
        </w:rPr>
      </w:pPr>
    </w:p>
    <w:p w14:paraId="32C0B01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pečene </w:t>
      </w:r>
    </w:p>
    <w:p w14:paraId="2530A88B" w14:textId="1333FA16"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s poruchou funkcie pečene neboli vykonané žiadne </w:t>
      </w:r>
      <w:r w:rsidR="00D74AC0">
        <w:rPr>
          <w:color w:val="000000"/>
          <w:szCs w:val="22"/>
        </w:rPr>
        <w:t>formálne</w:t>
      </w:r>
      <w:r w:rsidRPr="00A02502">
        <w:rPr>
          <w:color w:val="000000"/>
          <w:szCs w:val="22"/>
        </w:rPr>
        <w:t xml:space="preserve"> štúdie. U pacientov s rozsiahlou nádorovou záťažou z dôvodu metastatického ochorenia bola hlásená progresívna pečeňová kóma a úmrtie počas liečby azacitidínom, a to najmä u pacientov so začiatočnými hodnotami albumínu v sére &lt; 30 g/l. Azacitidín je kontraindikovaný u pacientov s malígnymi pečeňovými nádormi v pokročilom štádiu (pozri časť 4.3). </w:t>
      </w:r>
    </w:p>
    <w:p w14:paraId="56BEA0D4" w14:textId="77777777" w:rsidR="00A02502" w:rsidRPr="00A02502" w:rsidRDefault="00A02502" w:rsidP="00A02502">
      <w:pPr>
        <w:autoSpaceDE w:val="0"/>
        <w:autoSpaceDN w:val="0"/>
        <w:adjustRightInd w:val="0"/>
        <w:ind w:left="0" w:firstLine="0"/>
        <w:rPr>
          <w:color w:val="000000"/>
          <w:szCs w:val="22"/>
        </w:rPr>
      </w:pPr>
    </w:p>
    <w:p w14:paraId="6A2CD807"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Porucha funkcie obličiek </w:t>
      </w:r>
    </w:p>
    <w:p w14:paraId="55687DC7" w14:textId="433C392C" w:rsidR="00A02502" w:rsidRPr="00E079AF" w:rsidRDefault="00D74AC0" w:rsidP="00A02502">
      <w:pPr>
        <w:autoSpaceDE w:val="0"/>
        <w:autoSpaceDN w:val="0"/>
        <w:adjustRightInd w:val="0"/>
        <w:ind w:left="0" w:firstLine="0"/>
        <w:rPr>
          <w:color w:val="000000"/>
          <w:szCs w:val="22"/>
        </w:rPr>
      </w:pPr>
      <w:r>
        <w:rPr>
          <w:color w:val="000000"/>
          <w:szCs w:val="22"/>
        </w:rPr>
        <w:lastRenderedPageBreak/>
        <w:t>Poruchy o</w:t>
      </w:r>
      <w:r w:rsidR="00A02502" w:rsidRPr="00A02502">
        <w:rPr>
          <w:color w:val="000000"/>
          <w:szCs w:val="22"/>
        </w:rPr>
        <w:t>blič</w:t>
      </w:r>
      <w:r>
        <w:rPr>
          <w:color w:val="000000"/>
          <w:szCs w:val="22"/>
        </w:rPr>
        <w:t>iek</w:t>
      </w:r>
      <w:r w:rsidR="00A02502" w:rsidRPr="00A02502">
        <w:rPr>
          <w:color w:val="000000"/>
          <w:szCs w:val="22"/>
        </w:rPr>
        <w:t xml:space="preserve"> počínajúc od zvýšených hodnôt kreatinínu v sére až po zlyhanie obličiek a úmrtie boli pozorované u pacientov intravenózne liečených azacitidínom v kombinácii s inými chemoterapeutikami. Okrem toho sa u 5 pacientov s chronickou myeloidnou leukémiou (CML), ktorí boli liečení azacitidínom a etopozidom, vyvinula renálna tubulárna acidóza, definovaná ako pokles hladiny bikarbonátu v sére na &lt; 20 mmol/l spojen</w:t>
      </w:r>
      <w:r>
        <w:rPr>
          <w:color w:val="000000"/>
          <w:szCs w:val="22"/>
        </w:rPr>
        <w:t>á</w:t>
      </w:r>
      <w:r w:rsidR="00A02502" w:rsidRPr="00A02502">
        <w:rPr>
          <w:color w:val="000000"/>
          <w:szCs w:val="22"/>
        </w:rPr>
        <w:t xml:space="preserve"> s alkalickým močom a hypokaliémiou (draslík v sére &lt; 3 mmol/l). Ak sa vyskytne nevysvetliteľný pokles bikarbonátu v sére (&lt; 20 mmol/l) alebo vzostup sérového kreatinínu alebo BUN, dávka sa má znížiť alebo jej podanie odložiť na neskôr (pozri časť 4.2). </w:t>
      </w:r>
    </w:p>
    <w:p w14:paraId="24AE1116" w14:textId="77777777" w:rsidR="00F75247" w:rsidRPr="00A02502" w:rsidRDefault="00F75247" w:rsidP="00A02502">
      <w:pPr>
        <w:autoSpaceDE w:val="0"/>
        <w:autoSpaceDN w:val="0"/>
        <w:adjustRightInd w:val="0"/>
        <w:ind w:left="0" w:firstLine="0"/>
        <w:rPr>
          <w:color w:val="000000"/>
          <w:szCs w:val="22"/>
        </w:rPr>
      </w:pPr>
    </w:p>
    <w:p w14:paraId="5F034A50" w14:textId="1C297546"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Pacientom sa má odporučiť, aby okamžite hlásili oligúriu a anúriu poskytovateľovi zdravotnej starostlivosti. Hoci neboli zaznamenané žiadne klinicky významné rozdiely vo frekvencii nežiaducich reakcií medzi pacientmi s normálnou funkciou obličiek v porovnaní s pacientmi s poruchou funkcie obličiek, pacienti s poruchou funkcie obličiek sa majú dôkladne sledovať na toxicitu, pretože azacitidín a/alebo jeho metabolity sa primárne vylučujú obličkami (pozri časť 4.2). </w:t>
      </w:r>
    </w:p>
    <w:p w14:paraId="1C46CF88" w14:textId="77777777" w:rsidR="00F75247" w:rsidRPr="00A02502" w:rsidRDefault="00F75247" w:rsidP="00A02502">
      <w:pPr>
        <w:autoSpaceDE w:val="0"/>
        <w:autoSpaceDN w:val="0"/>
        <w:adjustRightInd w:val="0"/>
        <w:ind w:left="0" w:firstLine="0"/>
        <w:rPr>
          <w:color w:val="000000"/>
          <w:szCs w:val="22"/>
        </w:rPr>
      </w:pPr>
    </w:p>
    <w:p w14:paraId="63946088"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Laboratórne testy </w:t>
      </w:r>
    </w:p>
    <w:p w14:paraId="4E48303A" w14:textId="77777777" w:rsidR="00A02502" w:rsidRPr="00E079AF" w:rsidRDefault="00A02502" w:rsidP="00A02502">
      <w:pPr>
        <w:autoSpaceDE w:val="0"/>
        <w:autoSpaceDN w:val="0"/>
        <w:adjustRightInd w:val="0"/>
        <w:ind w:left="0" w:firstLine="0"/>
        <w:rPr>
          <w:i/>
          <w:iCs/>
          <w:color w:val="000000"/>
          <w:szCs w:val="22"/>
        </w:rPr>
      </w:pPr>
      <w:r w:rsidRPr="00A02502">
        <w:rPr>
          <w:color w:val="000000"/>
          <w:szCs w:val="22"/>
        </w:rPr>
        <w:t>Pred začatím liečby a pred každým liečebným cyklom je potrebné stanoviť hodnoty pečeňových testov, kreatinínu v sére a bikarbonátu v sére. Pred začatím liečby a v prípade potreby (minimálne však pred každým liečebným cyklom) sa má stanoviť kompletný krvný obraz s cieľom sledovania odpovede a toxicity, pozri tiež časť 4.8</w:t>
      </w:r>
      <w:r w:rsidRPr="00A02502">
        <w:rPr>
          <w:i/>
          <w:iCs/>
          <w:color w:val="000000"/>
          <w:szCs w:val="22"/>
        </w:rPr>
        <w:t xml:space="preserve">. </w:t>
      </w:r>
    </w:p>
    <w:p w14:paraId="426EED59" w14:textId="77777777" w:rsidR="00F75247" w:rsidRPr="00A02502" w:rsidRDefault="00F75247" w:rsidP="00A02502">
      <w:pPr>
        <w:autoSpaceDE w:val="0"/>
        <w:autoSpaceDN w:val="0"/>
        <w:adjustRightInd w:val="0"/>
        <w:ind w:left="0" w:firstLine="0"/>
        <w:rPr>
          <w:color w:val="000000"/>
          <w:szCs w:val="22"/>
        </w:rPr>
      </w:pPr>
    </w:p>
    <w:p w14:paraId="349445BA"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Ochorenie srdca a pľúc </w:t>
      </w:r>
    </w:p>
    <w:p w14:paraId="3743B49B" w14:textId="7D84C3E3" w:rsidR="00A02502" w:rsidRPr="00E079AF" w:rsidRDefault="00A02502" w:rsidP="00A02502">
      <w:pPr>
        <w:autoSpaceDE w:val="0"/>
        <w:autoSpaceDN w:val="0"/>
        <w:adjustRightInd w:val="0"/>
        <w:ind w:left="0" w:firstLine="0"/>
        <w:rPr>
          <w:color w:val="000000"/>
          <w:szCs w:val="22"/>
        </w:rPr>
      </w:pPr>
      <w:r w:rsidRPr="00A02502">
        <w:rPr>
          <w:color w:val="000000"/>
          <w:szCs w:val="22"/>
        </w:rPr>
        <w:t>Pacienti s anamnézou závažného kongestívneho zlyh</w:t>
      </w:r>
      <w:r w:rsidR="007B7D2E">
        <w:rPr>
          <w:color w:val="000000"/>
          <w:szCs w:val="22"/>
        </w:rPr>
        <w:t>ávania</w:t>
      </w:r>
      <w:r w:rsidRPr="00A02502">
        <w:rPr>
          <w:color w:val="000000"/>
          <w:szCs w:val="22"/>
        </w:rPr>
        <w:t xml:space="preserve"> srdca, klinicky nestabilného ochorenia srdca alebo pľúc boli vylúčení z pivotných registračných štúdií (AZA PH GL 2003 CL 001 a AZA-AML-001), a preto nebola u týchto pacientov stanovená bezpečnosť a účinnosť azacitidínu. Posledné údaje z klinického skúšania u pacientov so známou anamnézou kardiovaskulárneho alebo pľúcneho ochorenia preukázali významné zvýšenie výskytu srdcových príhod v súvislosti s azacitidínom (pozri časť 4.8). Preto sa odporúča opatrnosť pri predpisovaní azacitidínu týmto pacientom. Pred liečbou a počas liečby je potrebné zvážiť kardiopulmonálne vyšetrenie. </w:t>
      </w:r>
    </w:p>
    <w:p w14:paraId="3B747573" w14:textId="77777777" w:rsidR="00F75247" w:rsidRPr="00A02502" w:rsidRDefault="00F75247" w:rsidP="00A02502">
      <w:pPr>
        <w:autoSpaceDE w:val="0"/>
        <w:autoSpaceDN w:val="0"/>
        <w:adjustRightInd w:val="0"/>
        <w:ind w:left="0" w:firstLine="0"/>
        <w:rPr>
          <w:color w:val="000000"/>
          <w:szCs w:val="22"/>
        </w:rPr>
      </w:pPr>
    </w:p>
    <w:p w14:paraId="7DCAA021"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Nekrotizujúca fasciitída </w:t>
      </w:r>
    </w:p>
    <w:p w14:paraId="616E0CA5" w14:textId="77777777" w:rsidR="00A02502" w:rsidRPr="00E079AF" w:rsidRDefault="00A02502" w:rsidP="00A02502">
      <w:pPr>
        <w:autoSpaceDE w:val="0"/>
        <w:autoSpaceDN w:val="0"/>
        <w:adjustRightInd w:val="0"/>
        <w:ind w:left="0" w:firstLine="0"/>
        <w:rPr>
          <w:color w:val="000000"/>
          <w:szCs w:val="22"/>
        </w:rPr>
      </w:pPr>
      <w:r w:rsidRPr="00A02502">
        <w:rPr>
          <w:color w:val="000000"/>
          <w:szCs w:val="22"/>
        </w:rPr>
        <w:t xml:space="preserve">U pacientov liečených azacitidínom bola hlásená nekrotizujúca fasciitída, vrátane fatálnych prípadov. U pacientov, u ktorých sa rozvíja nekrotizujúca fasciitída, sa má liečba azacitidínom ukončiť a má sa okamžite začať s vhodnou liečbou. </w:t>
      </w:r>
    </w:p>
    <w:p w14:paraId="55E7FD1E" w14:textId="77777777" w:rsidR="00F75247" w:rsidRPr="00A02502" w:rsidRDefault="00F75247" w:rsidP="00A02502">
      <w:pPr>
        <w:autoSpaceDE w:val="0"/>
        <w:autoSpaceDN w:val="0"/>
        <w:adjustRightInd w:val="0"/>
        <w:ind w:left="0" w:firstLine="0"/>
        <w:rPr>
          <w:color w:val="000000"/>
          <w:szCs w:val="22"/>
        </w:rPr>
      </w:pPr>
    </w:p>
    <w:p w14:paraId="3FE6464F" w14:textId="77777777" w:rsidR="00A02502" w:rsidRPr="00A02502" w:rsidRDefault="00A02502" w:rsidP="00A02502">
      <w:pPr>
        <w:autoSpaceDE w:val="0"/>
        <w:autoSpaceDN w:val="0"/>
        <w:adjustRightInd w:val="0"/>
        <w:ind w:left="0" w:firstLine="0"/>
        <w:rPr>
          <w:color w:val="000000"/>
          <w:szCs w:val="22"/>
          <w:u w:val="single"/>
        </w:rPr>
      </w:pPr>
      <w:r w:rsidRPr="00A02502">
        <w:rPr>
          <w:color w:val="000000"/>
          <w:szCs w:val="22"/>
          <w:u w:val="single"/>
        </w:rPr>
        <w:t xml:space="preserve">Syndróm z rozpadu nádoru </w:t>
      </w:r>
    </w:p>
    <w:p w14:paraId="00241973" w14:textId="77777777" w:rsidR="00A02502" w:rsidRPr="00E079AF" w:rsidRDefault="00A02502" w:rsidP="00A02502">
      <w:pPr>
        <w:ind w:left="0" w:firstLine="0"/>
        <w:rPr>
          <w:szCs w:val="22"/>
          <w:u w:val="single"/>
        </w:rPr>
      </w:pPr>
      <w:r w:rsidRPr="00E079AF">
        <w:rPr>
          <w:color w:val="000000"/>
          <w:szCs w:val="22"/>
        </w:rPr>
        <w:t>Pacienti vykazujúci pred liečbou vysokú nádorovú záťaž sú ohrození syndrómom z rozpadu nádoru. Títo pacienti sa majú dôkladne sledovať a majú byť vykonané vhodné preventívne opatrenia.</w:t>
      </w:r>
    </w:p>
    <w:p w14:paraId="03F0EE9A" w14:textId="77777777" w:rsidR="00A02502" w:rsidRPr="00E079AF" w:rsidRDefault="00A02502" w:rsidP="00C75CFD">
      <w:pPr>
        <w:ind w:left="0" w:firstLine="0"/>
        <w:rPr>
          <w:szCs w:val="22"/>
          <w:u w:val="single"/>
        </w:rPr>
      </w:pPr>
    </w:p>
    <w:p w14:paraId="4CFE48A9" w14:textId="77777777" w:rsidR="00FF6BE0" w:rsidRPr="00E079AF" w:rsidRDefault="00FF6BE0" w:rsidP="00C92B0B">
      <w:pPr>
        <w:rPr>
          <w:b/>
          <w:szCs w:val="22"/>
        </w:rPr>
      </w:pPr>
      <w:r w:rsidRPr="00E079AF">
        <w:rPr>
          <w:b/>
          <w:szCs w:val="22"/>
        </w:rPr>
        <w:t>4.5</w:t>
      </w:r>
      <w:r w:rsidRPr="00E079AF">
        <w:rPr>
          <w:b/>
          <w:szCs w:val="22"/>
        </w:rPr>
        <w:tab/>
        <w:t>Liekové a iné interakcie</w:t>
      </w:r>
    </w:p>
    <w:p w14:paraId="523664E1" w14:textId="77777777" w:rsidR="00C52B78" w:rsidRPr="00E079AF" w:rsidRDefault="00C52B78" w:rsidP="00C92B0B">
      <w:pPr>
        <w:ind w:left="0" w:firstLine="0"/>
        <w:rPr>
          <w:szCs w:val="22"/>
          <w:u w:val="single"/>
        </w:rPr>
      </w:pPr>
    </w:p>
    <w:p w14:paraId="0BC8EB80" w14:textId="0077C9F1" w:rsidR="00057A09" w:rsidRPr="00E079AF" w:rsidRDefault="00F75247" w:rsidP="00057A09">
      <w:pPr>
        <w:ind w:left="0" w:firstLine="0"/>
        <w:rPr>
          <w:szCs w:val="22"/>
        </w:rPr>
      </w:pPr>
      <w:r w:rsidRPr="00E079AF">
        <w:rPr>
          <w:szCs w:val="22"/>
        </w:rPr>
        <w:t xml:space="preserve">Na základe údajov </w:t>
      </w:r>
      <w:r w:rsidRPr="00E079AF">
        <w:rPr>
          <w:i/>
          <w:iCs/>
          <w:szCs w:val="22"/>
        </w:rPr>
        <w:t xml:space="preserve">in vitro </w:t>
      </w:r>
      <w:r w:rsidRPr="00E079AF">
        <w:rPr>
          <w:szCs w:val="22"/>
        </w:rPr>
        <w:t>sa metabolizmus azacitidínu nezdá byť sprostredkovaný izoenzýmami cytochrómu P450 (CYP), UDP-glukurono</w:t>
      </w:r>
      <w:r w:rsidR="007B7D2E">
        <w:rPr>
          <w:szCs w:val="22"/>
        </w:rPr>
        <w:t>z</w:t>
      </w:r>
      <w:r w:rsidRPr="00E079AF">
        <w:rPr>
          <w:szCs w:val="22"/>
        </w:rPr>
        <w:t>yltransferázami (UGT), sulfotransferázami (SULT) ani glutati</w:t>
      </w:r>
      <w:r w:rsidR="007B7D2E">
        <w:rPr>
          <w:szCs w:val="22"/>
        </w:rPr>
        <w:t>ó</w:t>
      </w:r>
      <w:r w:rsidRPr="00E079AF">
        <w:rPr>
          <w:szCs w:val="22"/>
        </w:rPr>
        <w:t xml:space="preserve">ntransferázami (GST). Interakcie súvisiace s týmito metabolickými enzýmami </w:t>
      </w:r>
      <w:r w:rsidRPr="00E079AF">
        <w:rPr>
          <w:i/>
          <w:iCs/>
          <w:szCs w:val="22"/>
        </w:rPr>
        <w:t xml:space="preserve">in vivo </w:t>
      </w:r>
      <w:r w:rsidRPr="00E079AF">
        <w:rPr>
          <w:szCs w:val="22"/>
        </w:rPr>
        <w:t>sú preto považované za nepravdepodobné.</w:t>
      </w:r>
    </w:p>
    <w:p w14:paraId="35FF4639" w14:textId="77777777" w:rsidR="00F75247" w:rsidRPr="00E079AF" w:rsidRDefault="00F75247" w:rsidP="00057A09">
      <w:pPr>
        <w:ind w:left="0" w:firstLine="0"/>
        <w:rPr>
          <w:szCs w:val="22"/>
        </w:rPr>
      </w:pPr>
    </w:p>
    <w:p w14:paraId="1D35BF7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Klinicky významné inhibičné alebo indukčné účinky azacitidínu na enzýmy cytochrómu P450 sú nepravdepodobné (pozri časť 5.2). </w:t>
      </w:r>
    </w:p>
    <w:p w14:paraId="31FE1783" w14:textId="77777777" w:rsidR="00F75247" w:rsidRPr="00F75247" w:rsidRDefault="00F75247" w:rsidP="00F75247">
      <w:pPr>
        <w:autoSpaceDE w:val="0"/>
        <w:autoSpaceDN w:val="0"/>
        <w:adjustRightInd w:val="0"/>
        <w:ind w:left="0" w:firstLine="0"/>
        <w:rPr>
          <w:color w:val="000000"/>
          <w:szCs w:val="22"/>
        </w:rPr>
      </w:pPr>
    </w:p>
    <w:p w14:paraId="7BD8BEAC" w14:textId="77777777" w:rsidR="00F75247" w:rsidRPr="00E079AF" w:rsidRDefault="00F75247" w:rsidP="00F75247">
      <w:pPr>
        <w:ind w:left="0" w:firstLine="0"/>
        <w:rPr>
          <w:color w:val="000000"/>
          <w:szCs w:val="22"/>
        </w:rPr>
      </w:pPr>
      <w:r w:rsidRPr="00E079AF">
        <w:rPr>
          <w:color w:val="000000"/>
          <w:szCs w:val="22"/>
        </w:rPr>
        <w:t>Neuskutočnili sa žiadne formálne klinické štúdie liekových interakcií s azacitidínom.</w:t>
      </w:r>
    </w:p>
    <w:p w14:paraId="4517D4A1" w14:textId="77777777" w:rsidR="00F75247" w:rsidRPr="00E079AF" w:rsidRDefault="00F75247" w:rsidP="00F75247">
      <w:pPr>
        <w:ind w:left="0" w:firstLine="0"/>
        <w:rPr>
          <w:rFonts w:eastAsia="TimesNewRoman"/>
          <w:szCs w:val="22"/>
          <w:lang w:eastAsia="en-US"/>
        </w:rPr>
      </w:pPr>
    </w:p>
    <w:p w14:paraId="3E44FFFA" w14:textId="77777777" w:rsidR="00990F68" w:rsidRPr="00E079AF" w:rsidRDefault="00990F68" w:rsidP="00C92B0B">
      <w:pPr>
        <w:rPr>
          <w:b/>
          <w:szCs w:val="22"/>
        </w:rPr>
      </w:pPr>
      <w:r w:rsidRPr="00967AB3">
        <w:rPr>
          <w:b/>
          <w:szCs w:val="22"/>
        </w:rPr>
        <w:t>4.6</w:t>
      </w:r>
      <w:r w:rsidR="00636C42" w:rsidRPr="00525907">
        <w:rPr>
          <w:b/>
          <w:szCs w:val="22"/>
        </w:rPr>
        <w:tab/>
      </w:r>
      <w:r w:rsidRPr="00525907">
        <w:rPr>
          <w:b/>
          <w:szCs w:val="22"/>
        </w:rPr>
        <w:t>Fertilita, gravidita a laktácia</w:t>
      </w:r>
    </w:p>
    <w:p w14:paraId="781CEB57" w14:textId="77777777" w:rsidR="00555D28" w:rsidRPr="00E079AF" w:rsidRDefault="00555D28" w:rsidP="00C92B0B">
      <w:pPr>
        <w:ind w:left="0" w:firstLine="0"/>
        <w:rPr>
          <w:szCs w:val="22"/>
        </w:rPr>
      </w:pPr>
    </w:p>
    <w:p w14:paraId="087D5A6D" w14:textId="0E8AE58A"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Ženy, ktoré môžu otehotnieť/</w:t>
      </w:r>
      <w:r w:rsidR="007B7D2E">
        <w:rPr>
          <w:color w:val="000000"/>
          <w:szCs w:val="22"/>
          <w:u w:val="single"/>
        </w:rPr>
        <w:t>a</w:t>
      </w:r>
      <w:r w:rsidRPr="00F75247">
        <w:rPr>
          <w:color w:val="000000"/>
          <w:szCs w:val="22"/>
          <w:u w:val="single"/>
        </w:rPr>
        <w:t xml:space="preserve">ntikoncepcia u mužov a žien </w:t>
      </w:r>
    </w:p>
    <w:p w14:paraId="4C02B7C7"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Ženy, ktoré môžu otehotnieť a muži majú používať účinnú antikoncepciu počas liečby a 3 mesiace po liečbe. </w:t>
      </w:r>
    </w:p>
    <w:p w14:paraId="1F511F44" w14:textId="77777777" w:rsidR="00F75247" w:rsidRPr="00F75247" w:rsidRDefault="00F75247" w:rsidP="00F75247">
      <w:pPr>
        <w:autoSpaceDE w:val="0"/>
        <w:autoSpaceDN w:val="0"/>
        <w:adjustRightInd w:val="0"/>
        <w:ind w:left="0" w:firstLine="0"/>
        <w:rPr>
          <w:color w:val="000000"/>
          <w:szCs w:val="22"/>
        </w:rPr>
      </w:pPr>
    </w:p>
    <w:p w14:paraId="0629429B"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lastRenderedPageBreak/>
        <w:t xml:space="preserve">Gravidita </w:t>
      </w:r>
    </w:p>
    <w:p w14:paraId="77ECF20C" w14:textId="43708A83"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sú k dispozícii dostatočné údaje o použití azacitidínu u gravidných žien. Štúdie </w:t>
      </w:r>
      <w:r w:rsidR="007B7D2E">
        <w:rPr>
          <w:color w:val="000000"/>
          <w:szCs w:val="22"/>
        </w:rPr>
        <w:t>na</w:t>
      </w:r>
      <w:r w:rsidRPr="00F75247">
        <w:rPr>
          <w:color w:val="000000"/>
          <w:szCs w:val="22"/>
        </w:rPr>
        <w:t xml:space="preserve"> myš</w:t>
      </w:r>
      <w:r w:rsidR="007B7D2E">
        <w:rPr>
          <w:color w:val="000000"/>
          <w:szCs w:val="22"/>
        </w:rPr>
        <w:t>iach</w:t>
      </w:r>
      <w:r w:rsidRPr="00F75247">
        <w:rPr>
          <w:color w:val="000000"/>
          <w:szCs w:val="22"/>
        </w:rPr>
        <w:t xml:space="preserve"> preukázali reprodukčnú toxicitu (pozri časť 5.3). Nie je známe potenciálne riziko </w:t>
      </w:r>
      <w:r w:rsidR="007B7D2E">
        <w:rPr>
          <w:color w:val="000000"/>
          <w:szCs w:val="22"/>
        </w:rPr>
        <w:t>pre</w:t>
      </w:r>
      <w:r w:rsidRPr="00F75247">
        <w:rPr>
          <w:color w:val="000000"/>
          <w:szCs w:val="22"/>
        </w:rPr>
        <w:t xml:space="preserve"> ľudí. Na základe výsledkov zo štúdií na zvieratách a mechanizmu účinku sa azacitidín nemá používať počas gravidity, najmä počas prvého trimestra, pokiaľ jeho použitie nie je jednoznačne nevyhnutné. Prínos liečby sa má individuálne zvážiť vzhľadom na možné riziko pre plod. </w:t>
      </w:r>
    </w:p>
    <w:p w14:paraId="580EA9F9" w14:textId="77777777" w:rsidR="00F75247" w:rsidRPr="00F75247" w:rsidRDefault="00F75247" w:rsidP="00F75247">
      <w:pPr>
        <w:autoSpaceDE w:val="0"/>
        <w:autoSpaceDN w:val="0"/>
        <w:adjustRightInd w:val="0"/>
        <w:ind w:left="0" w:firstLine="0"/>
        <w:rPr>
          <w:color w:val="000000"/>
          <w:szCs w:val="22"/>
        </w:rPr>
      </w:pPr>
    </w:p>
    <w:p w14:paraId="459B99C9"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Dojčenie </w:t>
      </w:r>
    </w:p>
    <w:p w14:paraId="7D67962C" w14:textId="3DB050A8"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Nie je známe, či sa azacitidín/metabolity vylučujú do ľudského mlieka. Z dôvodu potenciálne závažných nežiaducich reakcií u dojčeného dieťaťa, je dojčenie počas liečby azacitidínom kontraindikované. </w:t>
      </w:r>
    </w:p>
    <w:p w14:paraId="09F9143E" w14:textId="77777777" w:rsidR="00F75247" w:rsidRPr="00F75247" w:rsidRDefault="00F75247" w:rsidP="00F75247">
      <w:pPr>
        <w:autoSpaceDE w:val="0"/>
        <w:autoSpaceDN w:val="0"/>
        <w:adjustRightInd w:val="0"/>
        <w:ind w:left="0" w:firstLine="0"/>
        <w:rPr>
          <w:color w:val="000000"/>
          <w:szCs w:val="22"/>
        </w:rPr>
      </w:pPr>
    </w:p>
    <w:p w14:paraId="338A448C"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Fertilita </w:t>
      </w:r>
    </w:p>
    <w:p w14:paraId="5A748746" w14:textId="443AD373" w:rsidR="00F75247" w:rsidRPr="00E079AF" w:rsidRDefault="00F75247" w:rsidP="00F75247">
      <w:pPr>
        <w:ind w:left="0" w:firstLine="0"/>
        <w:rPr>
          <w:rFonts w:eastAsia="TimesNewRoman"/>
          <w:szCs w:val="22"/>
          <w:u w:val="single"/>
          <w:lang w:eastAsia="en-US"/>
        </w:rPr>
      </w:pPr>
      <w:r w:rsidRPr="00E079AF">
        <w:rPr>
          <w:color w:val="000000"/>
          <w:szCs w:val="22"/>
        </w:rPr>
        <w:t>Nie sú k dispozícii žiadne údaje o vplyve azacitidínu na plodnosť u ľudí. U zvierat boli pri použití azacitidínu dokumentované nežiaduce reakcie na plodnosť samcov (pozri časť 5.3). Mužom sa má odporučiť, aby sa vyvarovali splodeniu dieťaťa počas liečby, pričom musia v priebehu liečby a ešte 3 mesiace po jej ukončení používať účinnú antikoncepciu. Pred začatím liečby sa má mužom odporučiť, aby navštívili poradňu ohľadne uchovania spermií.</w:t>
      </w:r>
    </w:p>
    <w:p w14:paraId="43766F28" w14:textId="77777777" w:rsidR="00F75247" w:rsidRPr="00E079AF" w:rsidRDefault="00F75247" w:rsidP="00057A09">
      <w:pPr>
        <w:ind w:left="0" w:firstLine="0"/>
        <w:rPr>
          <w:szCs w:val="22"/>
        </w:rPr>
      </w:pPr>
    </w:p>
    <w:p w14:paraId="31932C7F" w14:textId="77777777" w:rsidR="00990F68" w:rsidRPr="00E079AF" w:rsidRDefault="00990F68" w:rsidP="00C92B0B">
      <w:pPr>
        <w:rPr>
          <w:b/>
          <w:szCs w:val="22"/>
        </w:rPr>
      </w:pPr>
      <w:r w:rsidRPr="00E079AF">
        <w:rPr>
          <w:b/>
          <w:szCs w:val="22"/>
        </w:rPr>
        <w:t>4.7</w:t>
      </w:r>
      <w:r w:rsidR="00636C42" w:rsidRPr="00E079AF">
        <w:rPr>
          <w:b/>
          <w:szCs w:val="22"/>
        </w:rPr>
        <w:tab/>
      </w:r>
      <w:r w:rsidRPr="00E079AF">
        <w:rPr>
          <w:b/>
          <w:szCs w:val="22"/>
        </w:rPr>
        <w:t>Ovplyvnenie schopnosti viesť vozidlá a obsluhovať stroje</w:t>
      </w:r>
    </w:p>
    <w:p w14:paraId="761ECB3E" w14:textId="77777777" w:rsidR="00555D28" w:rsidRPr="00E079AF" w:rsidRDefault="00555D28" w:rsidP="00C92B0B">
      <w:pPr>
        <w:rPr>
          <w:szCs w:val="22"/>
        </w:rPr>
      </w:pPr>
    </w:p>
    <w:p w14:paraId="1667F1D4" w14:textId="77777777" w:rsidR="00F75247" w:rsidRPr="00E079AF" w:rsidRDefault="00F75247" w:rsidP="00F75247">
      <w:pPr>
        <w:ind w:left="0" w:firstLine="0"/>
        <w:rPr>
          <w:rFonts w:eastAsia="TimesNewRoman"/>
          <w:szCs w:val="22"/>
          <w:lang w:eastAsia="en-US"/>
        </w:rPr>
      </w:pPr>
      <w:r w:rsidRPr="00E079AF">
        <w:rPr>
          <w:szCs w:val="22"/>
        </w:rPr>
        <w:t>Azacitidín má malý alebo mierny vplyv na schopnosť viesť vozidlá a obsluhovať stroje. Pri používaní azacitidínu sa zaznamenala únava. Preto sa pri vedení vozidla alebo obsluhovaní strojov odporúča opatrnosť.</w:t>
      </w:r>
    </w:p>
    <w:p w14:paraId="2CB4FF80" w14:textId="77777777" w:rsidR="00F75247" w:rsidRPr="00E079AF" w:rsidRDefault="00F75247" w:rsidP="00C92B0B">
      <w:pPr>
        <w:rPr>
          <w:rFonts w:eastAsia="TimesNewRoman"/>
          <w:szCs w:val="22"/>
          <w:lang w:eastAsia="en-US"/>
        </w:rPr>
      </w:pPr>
    </w:p>
    <w:p w14:paraId="36BA8ECB" w14:textId="77777777" w:rsidR="00990F68" w:rsidRPr="00E079AF" w:rsidRDefault="00990F68" w:rsidP="00C92B0B">
      <w:pPr>
        <w:rPr>
          <w:b/>
          <w:szCs w:val="22"/>
        </w:rPr>
      </w:pPr>
      <w:r w:rsidRPr="00FB1950">
        <w:rPr>
          <w:b/>
          <w:szCs w:val="22"/>
        </w:rPr>
        <w:t>4.8</w:t>
      </w:r>
      <w:r w:rsidR="00636C42" w:rsidRPr="00816669">
        <w:rPr>
          <w:b/>
          <w:szCs w:val="22"/>
        </w:rPr>
        <w:tab/>
      </w:r>
      <w:r w:rsidRPr="00930B9B">
        <w:rPr>
          <w:b/>
          <w:szCs w:val="22"/>
        </w:rPr>
        <w:t>Nežiaduce účinky</w:t>
      </w:r>
      <w:r w:rsidRPr="00E079AF">
        <w:rPr>
          <w:b/>
          <w:szCs w:val="22"/>
        </w:rPr>
        <w:t xml:space="preserve"> </w:t>
      </w:r>
    </w:p>
    <w:p w14:paraId="2E04CB8D" w14:textId="77777777" w:rsidR="00CB77D3" w:rsidRPr="00E079AF" w:rsidRDefault="00CB77D3" w:rsidP="00C92B0B">
      <w:pPr>
        <w:rPr>
          <w:szCs w:val="22"/>
          <w:u w:val="single"/>
        </w:rPr>
      </w:pPr>
    </w:p>
    <w:p w14:paraId="0901B6D8" w14:textId="77777777" w:rsidR="00F75247" w:rsidRPr="00E079AF"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Súhrn profilu bezpečnosti </w:t>
      </w:r>
    </w:p>
    <w:p w14:paraId="21D02F0C" w14:textId="77777777" w:rsidR="00F75247" w:rsidRPr="00F75247" w:rsidRDefault="00F75247" w:rsidP="00F75247">
      <w:pPr>
        <w:autoSpaceDE w:val="0"/>
        <w:autoSpaceDN w:val="0"/>
        <w:adjustRightInd w:val="0"/>
        <w:ind w:left="0" w:firstLine="0"/>
        <w:rPr>
          <w:color w:val="000000"/>
          <w:szCs w:val="22"/>
          <w:u w:val="single"/>
        </w:rPr>
      </w:pPr>
    </w:p>
    <w:p w14:paraId="4AA9AA23"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s MDS, CMML a AML (20-30 % blastov v kostnej dreni) </w:t>
      </w:r>
    </w:p>
    <w:p w14:paraId="69F0E531"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Nežiaduce reakcie považované za možno alebo pravdepodobne súvisiace s podávaním azacitidínu sa vyskytli u 97 % pacientov. </w:t>
      </w:r>
    </w:p>
    <w:p w14:paraId="599578E4" w14:textId="77777777" w:rsidR="00F75247" w:rsidRPr="00F75247" w:rsidRDefault="00F75247" w:rsidP="00F75247">
      <w:pPr>
        <w:autoSpaceDE w:val="0"/>
        <w:autoSpaceDN w:val="0"/>
        <w:adjustRightInd w:val="0"/>
        <w:ind w:left="0" w:firstLine="0"/>
        <w:rPr>
          <w:color w:val="000000"/>
          <w:szCs w:val="22"/>
        </w:rPr>
      </w:pPr>
    </w:p>
    <w:p w14:paraId="564BB8D7"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Najčastejšie závažné nežiaduce reakcie pozorované v rámci pivotnej štúdie (AZA PH GL 2003 CL 001), ktoré boli tiež pozorované v podporných štúdiách (CALGB 9221 a CALGB 8921), zahŕňali febrilnú neutropéniu (8,0 %) a anémiu (2,3 %). Ďalšie závažné nežiaduce reakcie z týchto 3 štúdií zahŕňali infekcie, ako je neutropenická sepsa (0,8 %) a zápal pľúc (2,5 %) (niektoré prípady s fatálnym výsledkom), trombocytopénia (3,5 %), reakcie precitlivenosti (0,25 %) a prípady krvácania (napr. mozgové krvácanie [0,5 %], gastrointestinálne krvácanie [0,8 %] a in</w:t>
      </w:r>
      <w:r w:rsidR="00930B9B">
        <w:rPr>
          <w:color w:val="000000"/>
          <w:szCs w:val="22"/>
        </w:rPr>
        <w:t>t</w:t>
      </w:r>
      <w:r w:rsidRPr="00F75247">
        <w:rPr>
          <w:color w:val="000000"/>
          <w:szCs w:val="22"/>
        </w:rPr>
        <w:t xml:space="preserve">rakraniálne krvácanie [0,5 %]). </w:t>
      </w:r>
    </w:p>
    <w:p w14:paraId="31FEED2B" w14:textId="77777777" w:rsidR="00F75247" w:rsidRPr="00E079AF" w:rsidRDefault="00F75247" w:rsidP="00F75247">
      <w:pPr>
        <w:autoSpaceDE w:val="0"/>
        <w:autoSpaceDN w:val="0"/>
        <w:adjustRightInd w:val="0"/>
        <w:ind w:left="0" w:firstLine="0"/>
        <w:rPr>
          <w:color w:val="000000"/>
          <w:szCs w:val="22"/>
        </w:rPr>
      </w:pPr>
    </w:p>
    <w:p w14:paraId="1BDD5507" w14:textId="4F7EAA77" w:rsidR="00F22078" w:rsidRPr="00E079AF" w:rsidRDefault="00F75247" w:rsidP="00F75247">
      <w:pPr>
        <w:autoSpaceDE w:val="0"/>
        <w:autoSpaceDN w:val="0"/>
        <w:adjustRightInd w:val="0"/>
        <w:ind w:left="0" w:firstLine="0"/>
        <w:rPr>
          <w:rFonts w:eastAsia="TimesNewRoman"/>
          <w:szCs w:val="22"/>
          <w:lang w:eastAsia="en-US"/>
        </w:rPr>
      </w:pPr>
      <w:r w:rsidRPr="00E079AF">
        <w:rPr>
          <w:color w:val="000000"/>
          <w:szCs w:val="22"/>
        </w:rPr>
        <w:t xml:space="preserve">Najčastejšie uvádzané nežiaduce reakcie počas liečby azacitidínom boli hematologické reakcie (71,4 %) vrátane trombocytopénie, neutropénie a leukopénie (zvyčajne 3.-4. stupňa), gastrointestinálne </w:t>
      </w:r>
      <w:r w:rsidR="00414128">
        <w:rPr>
          <w:color w:val="000000"/>
          <w:szCs w:val="22"/>
        </w:rPr>
        <w:t>udalosti</w:t>
      </w:r>
      <w:r w:rsidRPr="00E079AF">
        <w:rPr>
          <w:color w:val="000000"/>
          <w:szCs w:val="22"/>
        </w:rPr>
        <w:t xml:space="preserve"> (60,6 %) vrátane nevoľnosti, vracania (zvyčajne 1.-2. stupňa) alebo reakcie v mieste vpichu (77,1 %, zvyčajne 1.-2. stupňa).</w:t>
      </w:r>
    </w:p>
    <w:p w14:paraId="1513AF2F" w14:textId="77777777" w:rsidR="00F75247" w:rsidRPr="00E079AF" w:rsidRDefault="00F75247" w:rsidP="00057A09">
      <w:pPr>
        <w:autoSpaceDE w:val="0"/>
        <w:autoSpaceDN w:val="0"/>
        <w:adjustRightInd w:val="0"/>
        <w:ind w:left="0" w:firstLine="0"/>
        <w:rPr>
          <w:rFonts w:eastAsia="TimesNewRoman"/>
          <w:szCs w:val="22"/>
          <w:lang w:eastAsia="en-US"/>
        </w:rPr>
      </w:pPr>
    </w:p>
    <w:p w14:paraId="2F34560C" w14:textId="77777777" w:rsidR="00F75247" w:rsidRPr="00F75247" w:rsidRDefault="00F75247" w:rsidP="00F75247">
      <w:pPr>
        <w:autoSpaceDE w:val="0"/>
        <w:autoSpaceDN w:val="0"/>
        <w:adjustRightInd w:val="0"/>
        <w:ind w:left="0" w:firstLine="0"/>
        <w:rPr>
          <w:color w:val="000000"/>
          <w:szCs w:val="22"/>
        </w:rPr>
      </w:pPr>
      <w:r w:rsidRPr="00F75247">
        <w:rPr>
          <w:i/>
          <w:iCs/>
          <w:color w:val="000000"/>
          <w:szCs w:val="22"/>
        </w:rPr>
        <w:t xml:space="preserve">Dospelá populácia vo veku 65 rokov alebo starší s AML s &gt; 30 % blastov v kostnej dreni </w:t>
      </w:r>
    </w:p>
    <w:p w14:paraId="05D5D824" w14:textId="77777777" w:rsidR="00F75247" w:rsidRDefault="00F75247" w:rsidP="00F75247">
      <w:pPr>
        <w:autoSpaceDE w:val="0"/>
        <w:autoSpaceDN w:val="0"/>
        <w:adjustRightInd w:val="0"/>
        <w:ind w:left="0" w:firstLine="0"/>
        <w:rPr>
          <w:color w:val="000000"/>
          <w:szCs w:val="22"/>
        </w:rPr>
      </w:pPr>
      <w:r w:rsidRPr="00F75247">
        <w:rPr>
          <w:color w:val="000000"/>
          <w:szCs w:val="22"/>
        </w:rPr>
        <w:t xml:space="preserve">Najčastejšie závažné nežiaduce reakcie (≥ 10%) pozorované z AZA-AML-001 v rámci skupiny s azacitidínom zahŕňali febrilnú neutropéniu (25,0 %), zápal pľúc (20,3 %) a pyrexiu (10,6 %). Iné menej často hlásené závažné nežiaduce reakcie v skupine s azacitidínom zahŕňali sepsu (5,1 %), anémiu (4,2 %), neutropenickú sepsu (3,0 %), infekciu močových ciest (3,0 %), trombocytopéniu (2,5 %), neutropéniu (2,1 %), celulitídu (2,1 %), závrat (2,1 %) a dyspnoe (2,1 %). </w:t>
      </w:r>
    </w:p>
    <w:p w14:paraId="10F2CA11" w14:textId="77777777" w:rsidR="00247C47" w:rsidRPr="00F75247" w:rsidRDefault="00247C47" w:rsidP="00F75247">
      <w:pPr>
        <w:autoSpaceDE w:val="0"/>
        <w:autoSpaceDN w:val="0"/>
        <w:adjustRightInd w:val="0"/>
        <w:ind w:left="0" w:firstLine="0"/>
        <w:rPr>
          <w:color w:val="000000"/>
          <w:szCs w:val="22"/>
        </w:rPr>
      </w:pPr>
    </w:p>
    <w:p w14:paraId="77D17F04"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Najčastejšie hlásené nežiaduce reakcie (≥ 30 %) počas liečby azacitidínom boli gastrointestinálne príhody vrátane zápchy (41,9 %), nevoľnosti (39,8 %) a hnačky (36,9 %), (zvyčajne 1.-2. stupňa), celkové poruchy a reakcie v mieste podania vrátane pyrexie (37,7 %; zvyčajne 1.-2.stupňa) a hematologické príhody vrátane febrilnej neutropénie (32,2 %) a neutropénie (30,1 %), (zvyčajne </w:t>
      </w:r>
    </w:p>
    <w:p w14:paraId="3B02C785" w14:textId="77777777"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3.-4. stupňa). </w:t>
      </w:r>
    </w:p>
    <w:p w14:paraId="74AD17F3" w14:textId="77777777" w:rsidR="00F75247" w:rsidRPr="00F75247" w:rsidRDefault="00F75247" w:rsidP="00F75247">
      <w:pPr>
        <w:autoSpaceDE w:val="0"/>
        <w:autoSpaceDN w:val="0"/>
        <w:adjustRightInd w:val="0"/>
        <w:ind w:left="0" w:firstLine="0"/>
        <w:rPr>
          <w:color w:val="000000"/>
          <w:szCs w:val="22"/>
        </w:rPr>
      </w:pPr>
    </w:p>
    <w:p w14:paraId="2F7CAEED" w14:textId="77777777" w:rsidR="00F75247" w:rsidRPr="00F75247" w:rsidRDefault="00F75247" w:rsidP="00F75247">
      <w:pPr>
        <w:autoSpaceDE w:val="0"/>
        <w:autoSpaceDN w:val="0"/>
        <w:adjustRightInd w:val="0"/>
        <w:ind w:left="0" w:firstLine="0"/>
        <w:rPr>
          <w:color w:val="000000"/>
          <w:szCs w:val="22"/>
          <w:u w:val="single"/>
        </w:rPr>
      </w:pPr>
      <w:r w:rsidRPr="00F75247">
        <w:rPr>
          <w:color w:val="000000"/>
          <w:szCs w:val="22"/>
          <w:u w:val="single"/>
        </w:rPr>
        <w:t xml:space="preserve">Zoznam nežiaducich reakcií v tabuľke </w:t>
      </w:r>
    </w:p>
    <w:p w14:paraId="5D4F986E" w14:textId="77777777" w:rsidR="00F75247" w:rsidRPr="00F75247" w:rsidRDefault="00F75247" w:rsidP="00F75247">
      <w:pPr>
        <w:autoSpaceDE w:val="0"/>
        <w:autoSpaceDN w:val="0"/>
        <w:adjustRightInd w:val="0"/>
        <w:ind w:left="0" w:firstLine="0"/>
        <w:rPr>
          <w:color w:val="000000"/>
          <w:szCs w:val="22"/>
        </w:rPr>
      </w:pPr>
      <w:r w:rsidRPr="00F75247">
        <w:rPr>
          <w:color w:val="000000"/>
          <w:szCs w:val="22"/>
        </w:rPr>
        <w:t xml:space="preserve">Nižšie uvedená tabuľka 1 obsahuje nežiaduce reakcie súvisiace s liečbou azacitidínom získané z hlavných klinických štúdií s MDS a AML a zo sledovania po uvedení lieku na trh. </w:t>
      </w:r>
    </w:p>
    <w:p w14:paraId="5197A819" w14:textId="0F587382" w:rsidR="00F75247" w:rsidRPr="00E079AF" w:rsidRDefault="00F75247" w:rsidP="00F75247">
      <w:pPr>
        <w:autoSpaceDE w:val="0"/>
        <w:autoSpaceDN w:val="0"/>
        <w:adjustRightInd w:val="0"/>
        <w:ind w:left="0" w:firstLine="0"/>
        <w:rPr>
          <w:color w:val="000000"/>
          <w:szCs w:val="22"/>
        </w:rPr>
      </w:pPr>
      <w:r w:rsidRPr="00F75247">
        <w:rPr>
          <w:color w:val="000000"/>
          <w:szCs w:val="22"/>
        </w:rPr>
        <w:t xml:space="preserve">Frekvencie sú definované nasledovne: veľmi časté (≥ 1/10), časté (≥ 1/100 až &lt; 1/10), menej časté (≥ 1/1 000 až &lt; 1/100), zriedkavé (≥ 1/10 000 až &lt; 1/1 000), veľmi zriedkavé (&lt; 1/10 000), neznáme (z dostupných údajov). V rámci jednotlivých skupín frekvencií sú nežiaduce účinky usporiadané v poradí klesajúcej závažnosti. Nežiaduce reakcie sú uvedené v tabuľke nižšie podľa najvyššej frekvencie pozorovanej v akejkoľvek z hlavných klinických štúdií. </w:t>
      </w:r>
    </w:p>
    <w:p w14:paraId="4218B5C0" w14:textId="77777777" w:rsidR="00F75247" w:rsidRPr="00F75247" w:rsidRDefault="00F75247" w:rsidP="00F75247">
      <w:pPr>
        <w:autoSpaceDE w:val="0"/>
        <w:autoSpaceDN w:val="0"/>
        <w:adjustRightInd w:val="0"/>
        <w:ind w:left="0" w:firstLine="0"/>
        <w:rPr>
          <w:color w:val="000000"/>
          <w:szCs w:val="22"/>
        </w:rPr>
      </w:pPr>
    </w:p>
    <w:p w14:paraId="49016B74" w14:textId="77777777" w:rsidR="00F75247" w:rsidRPr="00E079AF" w:rsidRDefault="00F75247" w:rsidP="00F75247">
      <w:pPr>
        <w:autoSpaceDE w:val="0"/>
        <w:autoSpaceDN w:val="0"/>
        <w:adjustRightInd w:val="0"/>
        <w:ind w:left="0" w:firstLine="0"/>
        <w:rPr>
          <w:rFonts w:eastAsia="TimesNewRoman"/>
          <w:szCs w:val="22"/>
          <w:lang w:eastAsia="en-US"/>
        </w:rPr>
      </w:pPr>
      <w:r w:rsidRPr="00E079AF">
        <w:rPr>
          <w:b/>
          <w:bCs/>
          <w:color w:val="000000"/>
          <w:szCs w:val="22"/>
        </w:rPr>
        <w:t>Tabuľka 1: Nežiaduce reakcie hlásené u pacientov s MDS alebo AML liečených azacitidínom (klinické štúdie a informácie po uvedení lieku na trh)</w:t>
      </w:r>
    </w:p>
    <w:p w14:paraId="56841FC6" w14:textId="77777777" w:rsidR="00F75247" w:rsidRPr="00E079AF" w:rsidRDefault="00F75247" w:rsidP="00057A09">
      <w:pPr>
        <w:autoSpaceDE w:val="0"/>
        <w:autoSpaceDN w:val="0"/>
        <w:adjustRightInd w:val="0"/>
        <w:ind w:left="0" w:firstLine="0"/>
        <w:rPr>
          <w:rFonts w:eastAsia="TimesNewRoman"/>
          <w:szCs w:val="22"/>
          <w:lang w:eastAsia="en-US"/>
        </w:rPr>
      </w:pPr>
    </w:p>
    <w:tbl>
      <w:tblPr>
        <w:tblW w:w="10773" w:type="dxa"/>
        <w:tblInd w:w="-856" w:type="dxa"/>
        <w:tblCellMar>
          <w:top w:w="14" w:type="dxa"/>
          <w:right w:w="63" w:type="dxa"/>
        </w:tblCellMar>
        <w:tblLook w:val="04A0" w:firstRow="1" w:lastRow="0" w:firstColumn="1" w:lastColumn="0" w:noHBand="0" w:noVBand="1"/>
      </w:tblPr>
      <w:tblGrid>
        <w:gridCol w:w="2079"/>
        <w:gridCol w:w="2082"/>
        <w:gridCol w:w="2102"/>
        <w:gridCol w:w="1747"/>
        <w:gridCol w:w="1381"/>
        <w:gridCol w:w="1382"/>
      </w:tblGrid>
      <w:tr w:rsidR="0048428A" w:rsidRPr="0048428A" w14:paraId="2B8AD3D1" w14:textId="77777777" w:rsidTr="0048428A">
        <w:trPr>
          <w:trHeight w:val="470"/>
          <w:tblHeader/>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5C3D895" w14:textId="77777777" w:rsidR="00F75247" w:rsidRPr="0048428A" w:rsidRDefault="00F75247">
            <w:pPr>
              <w:pStyle w:val="Default"/>
              <w:rPr>
                <w:sz w:val="22"/>
                <w:szCs w:val="22"/>
                <w:lang w:val="sk-SK"/>
              </w:rPr>
            </w:pPr>
            <w:r w:rsidRPr="0048428A">
              <w:rPr>
                <w:b/>
                <w:bCs/>
                <w:sz w:val="22"/>
                <w:szCs w:val="22"/>
                <w:lang w:val="sk-SK"/>
              </w:rPr>
              <w:t xml:space="preserve">Trieda orgánových systémov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655883F3" w14:textId="77777777" w:rsidR="00F75247" w:rsidRPr="0048428A" w:rsidRDefault="00F75247">
            <w:pPr>
              <w:pStyle w:val="Default"/>
              <w:rPr>
                <w:sz w:val="22"/>
                <w:szCs w:val="22"/>
                <w:lang w:val="sk-SK"/>
              </w:rPr>
            </w:pPr>
            <w:r w:rsidRPr="0048428A">
              <w:rPr>
                <w:b/>
                <w:bCs/>
                <w:sz w:val="22"/>
                <w:szCs w:val="22"/>
                <w:lang w:val="sk-SK"/>
              </w:rPr>
              <w:t xml:space="preserve">Veľmi časté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FCAE77C" w14:textId="77777777" w:rsidR="00F75247" w:rsidRPr="0048428A" w:rsidRDefault="00F75247">
            <w:pPr>
              <w:pStyle w:val="Default"/>
              <w:rPr>
                <w:sz w:val="22"/>
                <w:szCs w:val="22"/>
                <w:lang w:val="sk-SK"/>
              </w:rPr>
            </w:pPr>
            <w:r w:rsidRPr="0048428A">
              <w:rPr>
                <w:b/>
                <w:bCs/>
                <w:sz w:val="22"/>
                <w:szCs w:val="22"/>
                <w:lang w:val="sk-SK"/>
              </w:rPr>
              <w:t xml:space="preserve">Časté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1F2A3B" w14:textId="77777777" w:rsidR="00F75247" w:rsidRPr="0048428A" w:rsidRDefault="00F75247">
            <w:pPr>
              <w:pStyle w:val="Default"/>
              <w:rPr>
                <w:sz w:val="22"/>
                <w:szCs w:val="22"/>
                <w:lang w:val="sk-SK"/>
              </w:rPr>
            </w:pPr>
            <w:r w:rsidRPr="0048428A">
              <w:rPr>
                <w:b/>
                <w:bCs/>
                <w:sz w:val="22"/>
                <w:szCs w:val="22"/>
                <w:lang w:val="sk-SK"/>
              </w:rPr>
              <w:t xml:space="preserve">Menej časté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4A3FD64" w14:textId="77777777" w:rsidR="00F75247" w:rsidRPr="0048428A" w:rsidRDefault="00F75247">
            <w:pPr>
              <w:pStyle w:val="Default"/>
              <w:rPr>
                <w:sz w:val="22"/>
                <w:szCs w:val="22"/>
                <w:lang w:val="sk-SK"/>
              </w:rPr>
            </w:pPr>
            <w:r w:rsidRPr="0048428A">
              <w:rPr>
                <w:b/>
                <w:bCs/>
                <w:sz w:val="22"/>
                <w:szCs w:val="22"/>
                <w:lang w:val="sk-SK"/>
              </w:rPr>
              <w:t xml:space="preserve">Zriedkavé </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23CA4CB" w14:textId="77777777" w:rsidR="00F75247" w:rsidRPr="0048428A" w:rsidRDefault="00F75247">
            <w:pPr>
              <w:pStyle w:val="Default"/>
              <w:rPr>
                <w:sz w:val="22"/>
                <w:szCs w:val="22"/>
                <w:lang w:val="sk-SK"/>
              </w:rPr>
            </w:pPr>
            <w:r w:rsidRPr="0048428A">
              <w:rPr>
                <w:b/>
                <w:bCs/>
                <w:sz w:val="22"/>
                <w:szCs w:val="22"/>
                <w:lang w:val="sk-SK"/>
              </w:rPr>
              <w:t xml:space="preserve">Neznáme </w:t>
            </w:r>
          </w:p>
        </w:tc>
      </w:tr>
      <w:tr w:rsidR="0048428A" w:rsidRPr="0048428A" w14:paraId="73290D53" w14:textId="77777777" w:rsidTr="0048428A">
        <w:trPr>
          <w:trHeight w:val="368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7ECCB20" w14:textId="77777777" w:rsidR="00F75247" w:rsidRPr="0048428A" w:rsidRDefault="00F75247">
            <w:pPr>
              <w:pStyle w:val="Default"/>
              <w:rPr>
                <w:sz w:val="22"/>
                <w:szCs w:val="22"/>
                <w:lang w:val="sk-SK"/>
              </w:rPr>
            </w:pPr>
            <w:r w:rsidRPr="0048428A">
              <w:rPr>
                <w:b/>
                <w:bCs/>
                <w:sz w:val="22"/>
                <w:szCs w:val="22"/>
                <w:lang w:val="sk-SK"/>
              </w:rPr>
              <w:t xml:space="preserve">Infekcie a nákazy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2394811" w14:textId="77777777" w:rsidR="00F75247" w:rsidRPr="0048428A" w:rsidRDefault="00F75247">
            <w:pPr>
              <w:pStyle w:val="Default"/>
              <w:rPr>
                <w:sz w:val="22"/>
                <w:szCs w:val="22"/>
                <w:lang w:val="sk-SK"/>
              </w:rPr>
            </w:pPr>
            <w:r w:rsidRPr="0048428A">
              <w:rPr>
                <w:sz w:val="22"/>
                <w:szCs w:val="22"/>
                <w:lang w:val="sk-SK"/>
              </w:rPr>
              <w:t xml:space="preserve">zápal pľúc* (vrátane bakteriálneho, vírusového a plesňového), nazofaryngitída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A8E8BEC" w14:textId="77777777" w:rsidR="00F75247" w:rsidRPr="0048428A" w:rsidRDefault="00F75247">
            <w:pPr>
              <w:pStyle w:val="Default"/>
              <w:rPr>
                <w:sz w:val="22"/>
                <w:szCs w:val="22"/>
                <w:lang w:val="sk-SK"/>
              </w:rPr>
            </w:pPr>
            <w:r w:rsidRPr="0048428A">
              <w:rPr>
                <w:sz w:val="22"/>
                <w:szCs w:val="22"/>
                <w:lang w:val="sk-SK"/>
              </w:rPr>
              <w:t xml:space="preserve">sepsa* (vrátane bakteriálnej, vírusovej a plesňovej), neutropenická sepsa*, infekcia dýchacích ciest (vrátane horných dýchacích ciest a bronchitídy), infekcia močových ciest, celulitída, divertikulitída, orálna plesňová infekcia, sinusitída, faryngitída, rinitída, herpes simplex, kožná infekcia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99A84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7E36D13"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ADC5C00" w14:textId="77777777" w:rsidR="00F75247" w:rsidRPr="0048428A" w:rsidRDefault="00F75247" w:rsidP="00F75247">
            <w:pPr>
              <w:pStyle w:val="Default"/>
              <w:rPr>
                <w:sz w:val="22"/>
                <w:szCs w:val="22"/>
                <w:lang w:val="sk-SK"/>
              </w:rPr>
            </w:pPr>
            <w:r w:rsidRPr="0048428A">
              <w:rPr>
                <w:sz w:val="22"/>
                <w:szCs w:val="22"/>
                <w:lang w:val="sk-SK"/>
              </w:rPr>
              <w:t xml:space="preserve">nekrotizujúca fasciitída* </w:t>
            </w:r>
          </w:p>
          <w:p w14:paraId="02C24DA3" w14:textId="77777777" w:rsidR="00F75247" w:rsidRPr="0048428A" w:rsidRDefault="00F75247" w:rsidP="0048428A">
            <w:pPr>
              <w:spacing w:before="60" w:after="60"/>
              <w:rPr>
                <w:szCs w:val="22"/>
                <w:lang w:eastAsia="de-DE"/>
              </w:rPr>
            </w:pPr>
          </w:p>
        </w:tc>
      </w:tr>
      <w:tr w:rsidR="0048428A" w:rsidRPr="0048428A" w14:paraId="1E44AFE5" w14:textId="77777777" w:rsidTr="0048428A">
        <w:trPr>
          <w:trHeight w:val="139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8F12251" w14:textId="77777777" w:rsidR="00F75247" w:rsidRPr="0048428A" w:rsidRDefault="00F75247">
            <w:pPr>
              <w:pStyle w:val="Default"/>
              <w:rPr>
                <w:sz w:val="22"/>
                <w:szCs w:val="22"/>
                <w:lang w:val="sk-SK"/>
              </w:rPr>
            </w:pPr>
            <w:r w:rsidRPr="0048428A">
              <w:rPr>
                <w:b/>
                <w:bCs/>
                <w:sz w:val="22"/>
                <w:szCs w:val="22"/>
                <w:lang w:val="sk-SK"/>
              </w:rPr>
              <w:t xml:space="preserve">Poruchy krvi a lymfatického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5BE3CE4" w14:textId="77777777" w:rsidR="00F75247" w:rsidRPr="0048428A" w:rsidRDefault="00F75247">
            <w:pPr>
              <w:pStyle w:val="Default"/>
              <w:rPr>
                <w:sz w:val="22"/>
                <w:szCs w:val="22"/>
                <w:lang w:val="sk-SK"/>
              </w:rPr>
            </w:pPr>
            <w:r w:rsidRPr="0048428A">
              <w:rPr>
                <w:sz w:val="22"/>
                <w:szCs w:val="22"/>
                <w:lang w:val="sk-SK"/>
              </w:rPr>
              <w:t xml:space="preserve">febrilná neutropénia*, neutropénia, leukopénia, trombocytopénia, anémia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E32CAE7" w14:textId="77777777" w:rsidR="00F75247" w:rsidRPr="0048428A" w:rsidRDefault="00F75247">
            <w:pPr>
              <w:pStyle w:val="Default"/>
              <w:rPr>
                <w:sz w:val="22"/>
                <w:szCs w:val="22"/>
                <w:lang w:val="sk-SK"/>
              </w:rPr>
            </w:pPr>
            <w:r w:rsidRPr="0048428A">
              <w:rPr>
                <w:sz w:val="22"/>
                <w:szCs w:val="22"/>
                <w:lang w:val="sk-SK"/>
              </w:rPr>
              <w:t>pancytopénia*, zlyhanie kostnej drene</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D9EABC0"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B2FC88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32DC753" w14:textId="77777777" w:rsidR="00F75247" w:rsidRPr="0048428A" w:rsidRDefault="00F75247" w:rsidP="0048428A">
            <w:pPr>
              <w:spacing w:before="60" w:after="60"/>
              <w:rPr>
                <w:szCs w:val="22"/>
                <w:lang w:eastAsia="de-DE"/>
              </w:rPr>
            </w:pPr>
          </w:p>
        </w:tc>
      </w:tr>
      <w:tr w:rsidR="0048428A" w:rsidRPr="0048428A" w14:paraId="1417E0F5"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C1C9784" w14:textId="77777777" w:rsidR="00F75247" w:rsidRPr="0048428A" w:rsidRDefault="00F75247" w:rsidP="00F75247">
            <w:pPr>
              <w:pStyle w:val="Default"/>
              <w:rPr>
                <w:sz w:val="22"/>
                <w:szCs w:val="22"/>
                <w:lang w:val="sk-SK"/>
              </w:rPr>
            </w:pPr>
            <w:r w:rsidRPr="0048428A">
              <w:rPr>
                <w:b/>
                <w:bCs/>
                <w:sz w:val="22"/>
                <w:szCs w:val="22"/>
                <w:lang w:val="sk-SK"/>
              </w:rPr>
              <w:t xml:space="preserve">Poruchy imunitného systému </w:t>
            </w:r>
          </w:p>
          <w:p w14:paraId="7FED8D0C" w14:textId="77777777" w:rsidR="00F75247" w:rsidRPr="0048428A" w:rsidRDefault="00F75247" w:rsidP="0048428A">
            <w:pPr>
              <w:spacing w:before="60" w:after="60"/>
              <w:rPr>
                <w:b/>
                <w:i/>
                <w:szCs w:val="22"/>
                <w:lang w:eastAsia="de-DE"/>
              </w:rPr>
            </w:pP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7490D5A"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892299C"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0A531F71" w14:textId="77777777" w:rsidR="00F75247" w:rsidRPr="0048428A" w:rsidRDefault="00F75247" w:rsidP="0048428A">
            <w:pPr>
              <w:spacing w:before="60" w:after="60"/>
              <w:ind w:left="50" w:firstLine="0"/>
              <w:rPr>
                <w:szCs w:val="22"/>
                <w:lang w:eastAsia="de-DE"/>
              </w:rPr>
            </w:pPr>
            <w:r w:rsidRPr="0048428A">
              <w:rPr>
                <w:szCs w:val="22"/>
                <w:lang w:eastAsia="de-DE"/>
              </w:rPr>
              <w:t>reakcie z precitliven</w:t>
            </w:r>
            <w:r w:rsidR="00D12A60" w:rsidRPr="0048428A">
              <w:rPr>
                <w:szCs w:val="22"/>
                <w:lang w:eastAsia="de-DE"/>
              </w:rPr>
              <w:t>osti</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1E9D664"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2D297D6" w14:textId="77777777" w:rsidR="00F75247" w:rsidRPr="0048428A" w:rsidRDefault="00F75247" w:rsidP="0048428A">
            <w:pPr>
              <w:spacing w:before="60" w:after="60"/>
              <w:rPr>
                <w:szCs w:val="22"/>
                <w:lang w:eastAsia="de-DE"/>
              </w:rPr>
            </w:pPr>
          </w:p>
        </w:tc>
      </w:tr>
      <w:tr w:rsidR="0048428A" w:rsidRPr="0048428A" w14:paraId="181C7A3D" w14:textId="77777777" w:rsidTr="0048428A">
        <w:trPr>
          <w:trHeight w:val="93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31DE65A" w14:textId="77777777" w:rsidR="00D12A60" w:rsidRPr="0048428A" w:rsidRDefault="00D12A60">
            <w:pPr>
              <w:pStyle w:val="Default"/>
              <w:rPr>
                <w:sz w:val="22"/>
                <w:szCs w:val="22"/>
                <w:lang w:val="sk-SK"/>
              </w:rPr>
            </w:pPr>
            <w:r w:rsidRPr="0048428A">
              <w:rPr>
                <w:b/>
                <w:bCs/>
                <w:sz w:val="22"/>
                <w:szCs w:val="22"/>
                <w:lang w:val="sk-SK"/>
              </w:rPr>
              <w:t xml:space="preserve">Poruchy metabolizmu a výživy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D1AF23F" w14:textId="77777777" w:rsidR="00D12A60" w:rsidRPr="0048428A" w:rsidRDefault="00D12A60">
            <w:pPr>
              <w:pStyle w:val="Default"/>
              <w:rPr>
                <w:sz w:val="22"/>
                <w:szCs w:val="22"/>
                <w:lang w:val="sk-SK"/>
              </w:rPr>
            </w:pPr>
            <w:r w:rsidRPr="0048428A">
              <w:rPr>
                <w:sz w:val="22"/>
                <w:szCs w:val="22"/>
                <w:lang w:val="sk-SK"/>
              </w:rPr>
              <w:t xml:space="preserve">anorexia, znížená chuť do jedla, hypokaliémia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CC35EC" w14:textId="77777777" w:rsidR="00D12A60" w:rsidRPr="0048428A" w:rsidRDefault="00D12A60">
            <w:pPr>
              <w:pStyle w:val="Default"/>
              <w:rPr>
                <w:sz w:val="22"/>
                <w:szCs w:val="22"/>
                <w:lang w:val="sk-SK"/>
              </w:rPr>
            </w:pPr>
            <w:r w:rsidRPr="0048428A">
              <w:rPr>
                <w:sz w:val="22"/>
                <w:szCs w:val="22"/>
                <w:lang w:val="sk-SK"/>
              </w:rPr>
              <w:t xml:space="preserve">dehydratácia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E3D932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B43E351" w14:textId="77777777" w:rsidR="00D12A60" w:rsidRPr="0048428A" w:rsidRDefault="00D12A60" w:rsidP="0048428A">
            <w:pPr>
              <w:spacing w:before="60" w:after="60"/>
              <w:ind w:left="0" w:firstLine="0"/>
              <w:rPr>
                <w:szCs w:val="22"/>
                <w:lang w:eastAsia="de-DE"/>
              </w:rPr>
            </w:pPr>
            <w:r w:rsidRPr="0048428A">
              <w:rPr>
                <w:szCs w:val="22"/>
                <w:lang w:eastAsia="de-DE"/>
              </w:rPr>
              <w:t>syndróm z rozpadu nádoru</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6745637" w14:textId="77777777" w:rsidR="00D12A60" w:rsidRPr="0048428A" w:rsidRDefault="00D12A60" w:rsidP="0048428A">
            <w:pPr>
              <w:spacing w:before="60" w:after="60"/>
              <w:rPr>
                <w:szCs w:val="22"/>
                <w:lang w:eastAsia="de-DE"/>
              </w:rPr>
            </w:pPr>
          </w:p>
        </w:tc>
      </w:tr>
      <w:tr w:rsidR="0048428A" w:rsidRPr="0048428A" w14:paraId="1D814E43"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78A2C1C" w14:textId="77777777" w:rsidR="00D12A60" w:rsidRPr="0048428A" w:rsidRDefault="00D12A60">
            <w:pPr>
              <w:pStyle w:val="Default"/>
              <w:rPr>
                <w:sz w:val="22"/>
                <w:szCs w:val="22"/>
                <w:lang w:val="sk-SK"/>
              </w:rPr>
            </w:pPr>
            <w:r w:rsidRPr="0048428A">
              <w:rPr>
                <w:b/>
                <w:bCs/>
                <w:sz w:val="22"/>
                <w:szCs w:val="22"/>
                <w:lang w:val="sk-SK"/>
              </w:rPr>
              <w:t xml:space="preserve">Psychické poruchy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ACAFF9F" w14:textId="6D637CF4" w:rsidR="00D12A60" w:rsidRPr="0048428A" w:rsidRDefault="008929A1">
            <w:pPr>
              <w:pStyle w:val="Default"/>
              <w:rPr>
                <w:sz w:val="22"/>
                <w:szCs w:val="22"/>
                <w:lang w:val="sk-SK"/>
              </w:rPr>
            </w:pPr>
            <w:r>
              <w:rPr>
                <w:sz w:val="22"/>
                <w:szCs w:val="22"/>
                <w:lang w:val="sk-SK"/>
              </w:rPr>
              <w:t>n</w:t>
            </w:r>
            <w:r w:rsidR="00D12A60" w:rsidRPr="0048428A">
              <w:rPr>
                <w:sz w:val="22"/>
                <w:szCs w:val="22"/>
                <w:lang w:val="sk-SK"/>
              </w:rPr>
              <w:t xml:space="preserve">espavosť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48BD3B3F" w14:textId="77777777" w:rsidR="00D12A60" w:rsidRPr="0048428A" w:rsidRDefault="00D12A60">
            <w:pPr>
              <w:pStyle w:val="Default"/>
              <w:rPr>
                <w:sz w:val="22"/>
                <w:szCs w:val="22"/>
                <w:lang w:val="sk-SK"/>
              </w:rPr>
            </w:pPr>
            <w:r w:rsidRPr="0048428A">
              <w:rPr>
                <w:sz w:val="22"/>
                <w:szCs w:val="22"/>
                <w:lang w:val="sk-SK"/>
              </w:rPr>
              <w:t xml:space="preserve">zmätenosť, úzkosť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E96BA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7CA4F4"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23D0D4D2" w14:textId="77777777" w:rsidR="00D12A60" w:rsidRPr="0048428A" w:rsidRDefault="00D12A60" w:rsidP="0048428A">
            <w:pPr>
              <w:spacing w:before="60" w:after="60"/>
              <w:rPr>
                <w:szCs w:val="22"/>
                <w:lang w:eastAsia="de-DE"/>
              </w:rPr>
            </w:pPr>
          </w:p>
        </w:tc>
      </w:tr>
      <w:tr w:rsidR="0048428A" w:rsidRPr="0048428A" w14:paraId="3F35600F"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A42F3E" w14:textId="77777777" w:rsidR="00D12A60" w:rsidRPr="0048428A" w:rsidRDefault="00D12A60">
            <w:pPr>
              <w:pStyle w:val="Default"/>
              <w:rPr>
                <w:sz w:val="22"/>
                <w:szCs w:val="22"/>
                <w:lang w:val="sk-SK"/>
              </w:rPr>
            </w:pPr>
            <w:r w:rsidRPr="0048428A">
              <w:rPr>
                <w:b/>
                <w:bCs/>
                <w:sz w:val="22"/>
                <w:szCs w:val="22"/>
                <w:lang w:val="sk-SK"/>
              </w:rPr>
              <w:t xml:space="preserve">Poruchy nervového systému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29B51B44" w14:textId="77777777" w:rsidR="00D12A60" w:rsidRPr="0048428A" w:rsidRDefault="00D12A60">
            <w:pPr>
              <w:pStyle w:val="Default"/>
              <w:rPr>
                <w:sz w:val="22"/>
                <w:szCs w:val="22"/>
                <w:lang w:val="sk-SK"/>
              </w:rPr>
            </w:pPr>
            <w:r w:rsidRPr="0048428A">
              <w:rPr>
                <w:sz w:val="22"/>
                <w:szCs w:val="22"/>
                <w:lang w:val="sk-SK"/>
              </w:rPr>
              <w:t xml:space="preserve">závrat, bolesť hlavy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23E3CCF5" w14:textId="77777777" w:rsidR="00D12A60" w:rsidRPr="0048428A" w:rsidRDefault="00D12A60">
            <w:pPr>
              <w:pStyle w:val="Default"/>
              <w:rPr>
                <w:sz w:val="22"/>
                <w:szCs w:val="22"/>
                <w:lang w:val="sk-SK"/>
              </w:rPr>
            </w:pPr>
            <w:r w:rsidRPr="0048428A">
              <w:rPr>
                <w:sz w:val="22"/>
                <w:szCs w:val="22"/>
                <w:lang w:val="sk-SK"/>
              </w:rPr>
              <w:t xml:space="preserve">intrakraniálne krvácanie*, synkopa, somnolencia, letargia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53A90E4"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62D57C6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117154" w14:textId="77777777" w:rsidR="00D12A60" w:rsidRPr="0048428A" w:rsidRDefault="00D12A60" w:rsidP="0048428A">
            <w:pPr>
              <w:spacing w:before="60" w:after="60"/>
              <w:rPr>
                <w:szCs w:val="22"/>
                <w:lang w:eastAsia="de-DE"/>
              </w:rPr>
            </w:pPr>
          </w:p>
        </w:tc>
      </w:tr>
      <w:tr w:rsidR="0048428A" w:rsidRPr="0048428A" w14:paraId="487265F7" w14:textId="77777777" w:rsidTr="0048428A">
        <w:trPr>
          <w:trHeight w:val="69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7DB2F04B" w14:textId="77777777" w:rsidR="00F75247" w:rsidRPr="0048428A" w:rsidRDefault="00D12A60" w:rsidP="0048428A">
            <w:pPr>
              <w:spacing w:before="60" w:after="60"/>
              <w:rPr>
                <w:b/>
                <w:i/>
                <w:szCs w:val="22"/>
                <w:lang w:eastAsia="de-DE"/>
              </w:rPr>
            </w:pPr>
            <w:r w:rsidRPr="0048428A">
              <w:rPr>
                <w:b/>
                <w:i/>
                <w:szCs w:val="22"/>
                <w:lang w:eastAsia="de-DE"/>
              </w:rPr>
              <w:t>Poruchy oka</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4B96D13"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89A473E" w14:textId="1CBD8F0F" w:rsidR="00D12A60" w:rsidRPr="0048428A" w:rsidRDefault="00D12A60" w:rsidP="00D12A60">
            <w:pPr>
              <w:pStyle w:val="Default"/>
              <w:rPr>
                <w:sz w:val="22"/>
                <w:szCs w:val="22"/>
                <w:lang w:val="sk-SK"/>
              </w:rPr>
            </w:pPr>
            <w:r w:rsidRPr="0048428A">
              <w:rPr>
                <w:sz w:val="22"/>
                <w:szCs w:val="22"/>
                <w:lang w:val="sk-SK"/>
              </w:rPr>
              <w:t>krvácanie do oka, krvácanie do spoj</w:t>
            </w:r>
            <w:r w:rsidR="008929A1">
              <w:rPr>
                <w:sz w:val="22"/>
                <w:szCs w:val="22"/>
                <w:lang w:val="sk-SK"/>
              </w:rPr>
              <w:t>o</w:t>
            </w:r>
            <w:r w:rsidRPr="0048428A">
              <w:rPr>
                <w:sz w:val="22"/>
                <w:szCs w:val="22"/>
                <w:lang w:val="sk-SK"/>
              </w:rPr>
              <w:t xml:space="preserve">viek </w:t>
            </w:r>
          </w:p>
          <w:p w14:paraId="01AC1175"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126799D"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C145A2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3D333AE" w14:textId="77777777" w:rsidR="00F75247" w:rsidRPr="0048428A" w:rsidRDefault="00F75247" w:rsidP="0048428A">
            <w:pPr>
              <w:spacing w:before="60" w:after="60"/>
              <w:rPr>
                <w:szCs w:val="22"/>
                <w:lang w:eastAsia="de-DE"/>
              </w:rPr>
            </w:pPr>
          </w:p>
        </w:tc>
      </w:tr>
      <w:tr w:rsidR="0048428A" w:rsidRPr="0048428A" w14:paraId="1C93303A" w14:textId="77777777" w:rsidTr="0048428A">
        <w:trPr>
          <w:trHeight w:val="47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E80B5" w14:textId="77777777" w:rsidR="00D12A60" w:rsidRPr="0048428A" w:rsidRDefault="00D12A60" w:rsidP="0048428A">
            <w:pPr>
              <w:spacing w:before="60" w:after="60"/>
              <w:ind w:left="0" w:firstLine="0"/>
              <w:rPr>
                <w:b/>
                <w:i/>
                <w:szCs w:val="22"/>
                <w:lang w:eastAsia="de-DE"/>
              </w:rPr>
            </w:pPr>
            <w:r w:rsidRPr="0048428A">
              <w:rPr>
                <w:b/>
                <w:i/>
                <w:szCs w:val="22"/>
                <w:lang w:eastAsia="de-DE"/>
              </w:rPr>
              <w:lastRenderedPageBreak/>
              <w:t>Poruchy srdca a srdcovej činnosti</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25C80A4"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1BFC1BD" w14:textId="77777777" w:rsidR="00D12A60" w:rsidRPr="0048428A" w:rsidRDefault="00D12A60">
            <w:pPr>
              <w:pStyle w:val="Default"/>
              <w:rPr>
                <w:sz w:val="22"/>
                <w:szCs w:val="22"/>
                <w:lang w:val="sk-SK"/>
              </w:rPr>
            </w:pPr>
            <w:r w:rsidRPr="0048428A">
              <w:rPr>
                <w:sz w:val="22"/>
                <w:szCs w:val="22"/>
                <w:lang w:val="sk-SK"/>
              </w:rPr>
              <w:t xml:space="preserve">perikardiálny výpotok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4781EF1" w14:textId="77777777" w:rsidR="00D12A60" w:rsidRPr="0048428A" w:rsidRDefault="00D12A60">
            <w:pPr>
              <w:pStyle w:val="Default"/>
              <w:rPr>
                <w:sz w:val="22"/>
                <w:szCs w:val="22"/>
                <w:lang w:val="sk-SK"/>
              </w:rPr>
            </w:pPr>
            <w:r w:rsidRPr="0048428A">
              <w:rPr>
                <w:sz w:val="22"/>
                <w:szCs w:val="22"/>
                <w:lang w:val="sk-SK"/>
              </w:rPr>
              <w:t xml:space="preserve">perikarditída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7F47CEA1"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0CEE77C" w14:textId="77777777" w:rsidR="00D12A60" w:rsidRPr="0048428A" w:rsidRDefault="00D12A60" w:rsidP="0048428A">
            <w:pPr>
              <w:spacing w:before="60" w:after="60"/>
              <w:rPr>
                <w:szCs w:val="22"/>
                <w:lang w:eastAsia="de-DE"/>
              </w:rPr>
            </w:pPr>
          </w:p>
        </w:tc>
      </w:tr>
      <w:tr w:rsidR="0048428A" w:rsidRPr="0048428A" w14:paraId="5B69C968"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ADF30B" w14:textId="77777777" w:rsidR="00F75247" w:rsidRPr="0048428A" w:rsidRDefault="00D12A60" w:rsidP="0048428A">
            <w:pPr>
              <w:spacing w:before="60" w:after="60"/>
              <w:rPr>
                <w:b/>
                <w:i/>
                <w:szCs w:val="22"/>
                <w:lang w:eastAsia="de-DE"/>
              </w:rPr>
            </w:pPr>
            <w:r w:rsidRPr="0048428A">
              <w:rPr>
                <w:b/>
                <w:i/>
                <w:szCs w:val="22"/>
                <w:lang w:eastAsia="de-DE"/>
              </w:rPr>
              <w:t>Poruchy ciev</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D51C767"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55B607C" w14:textId="77777777" w:rsidR="00D12A60" w:rsidRPr="0048428A" w:rsidRDefault="00D12A60" w:rsidP="00D12A60">
            <w:pPr>
              <w:pStyle w:val="Default"/>
              <w:rPr>
                <w:sz w:val="22"/>
                <w:szCs w:val="22"/>
                <w:lang w:val="sk-SK"/>
              </w:rPr>
            </w:pPr>
            <w:r w:rsidRPr="0048428A">
              <w:rPr>
                <w:sz w:val="22"/>
                <w:szCs w:val="22"/>
                <w:lang w:val="sk-SK"/>
              </w:rPr>
              <w:t xml:space="preserve">hypotenzia*, hypertenzia, ortostatická hypotenzia, hematóm </w:t>
            </w:r>
          </w:p>
          <w:p w14:paraId="6D913303"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65EDC3E" w14:textId="77777777" w:rsidR="00F75247" w:rsidRPr="0048428A" w:rsidRDefault="00F75247"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303434EE"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DDF526B" w14:textId="77777777" w:rsidR="00F75247" w:rsidRPr="0048428A" w:rsidRDefault="00F75247" w:rsidP="0048428A">
            <w:pPr>
              <w:spacing w:before="60" w:after="60"/>
              <w:rPr>
                <w:szCs w:val="22"/>
                <w:lang w:eastAsia="de-DE"/>
              </w:rPr>
            </w:pPr>
          </w:p>
        </w:tc>
      </w:tr>
      <w:tr w:rsidR="0048428A" w:rsidRPr="0048428A" w14:paraId="1FE80BAB" w14:textId="77777777" w:rsidTr="00854A48">
        <w:trPr>
          <w:trHeight w:val="115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04608243" w14:textId="77777777" w:rsidR="00D12A60" w:rsidRPr="0048428A" w:rsidRDefault="00D12A60">
            <w:pPr>
              <w:pStyle w:val="Default"/>
              <w:rPr>
                <w:sz w:val="22"/>
                <w:szCs w:val="22"/>
                <w:lang w:val="sk-SK"/>
              </w:rPr>
            </w:pPr>
            <w:r w:rsidRPr="0048428A">
              <w:rPr>
                <w:b/>
                <w:bCs/>
                <w:sz w:val="22"/>
                <w:szCs w:val="22"/>
                <w:lang w:val="sk-SK"/>
              </w:rPr>
              <w:t xml:space="preserve">Poruchy dýchacej sústavy, hrudníka a mediastína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571F1E6" w14:textId="77777777" w:rsidR="00D12A60" w:rsidRPr="0048428A" w:rsidRDefault="00D12A60">
            <w:pPr>
              <w:pStyle w:val="Default"/>
              <w:rPr>
                <w:sz w:val="22"/>
                <w:szCs w:val="22"/>
                <w:lang w:val="sk-SK"/>
              </w:rPr>
            </w:pPr>
            <w:r w:rsidRPr="0048428A">
              <w:rPr>
                <w:sz w:val="22"/>
                <w:szCs w:val="22"/>
                <w:lang w:val="sk-SK"/>
              </w:rPr>
              <w:t xml:space="preserve">dyspnoe, epistaxa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F59C8D0" w14:textId="77777777" w:rsidR="00D12A60" w:rsidRPr="0048428A" w:rsidRDefault="00D12A60">
            <w:pPr>
              <w:pStyle w:val="Default"/>
              <w:rPr>
                <w:sz w:val="22"/>
                <w:szCs w:val="22"/>
                <w:lang w:val="sk-SK"/>
              </w:rPr>
            </w:pPr>
            <w:r w:rsidRPr="0048428A">
              <w:rPr>
                <w:sz w:val="22"/>
                <w:szCs w:val="22"/>
                <w:lang w:val="sk-SK"/>
              </w:rPr>
              <w:t>pleurálny výpotok, námahové dyspnoe, faryngolaryngeálna</w:t>
            </w:r>
            <w:r w:rsidR="00E04C3D">
              <w:rPr>
                <w:sz w:val="22"/>
                <w:szCs w:val="22"/>
                <w:lang w:val="sk-SK"/>
              </w:rPr>
              <w:t xml:space="preserve"> bolesť</w:t>
            </w:r>
            <w:r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3279BF9C"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B89AD1" w14:textId="762CC207" w:rsidR="00D12A60" w:rsidRPr="0048428A" w:rsidRDefault="00D12A60" w:rsidP="0048428A">
            <w:pPr>
              <w:spacing w:before="60" w:after="60"/>
              <w:ind w:left="73" w:firstLine="0"/>
              <w:rPr>
                <w:szCs w:val="22"/>
                <w:lang w:eastAsia="de-DE"/>
              </w:rPr>
            </w:pPr>
            <w:r w:rsidRPr="0048428A">
              <w:rPr>
                <w:szCs w:val="22"/>
                <w:lang w:eastAsia="de-DE"/>
              </w:rPr>
              <w:t>intersticiáln</w:t>
            </w:r>
            <w:r w:rsidR="00BB4D3E">
              <w:rPr>
                <w:szCs w:val="22"/>
                <w:lang w:eastAsia="de-DE"/>
              </w:rPr>
              <w:t>a</w:t>
            </w:r>
            <w:r w:rsidRPr="0048428A">
              <w:rPr>
                <w:szCs w:val="22"/>
                <w:lang w:eastAsia="de-DE"/>
              </w:rPr>
              <w:t xml:space="preserve"> </w:t>
            </w:r>
            <w:r w:rsidR="00BB4D3E">
              <w:rPr>
                <w:szCs w:val="22"/>
                <w:lang w:eastAsia="de-DE"/>
              </w:rPr>
              <w:t>choroba</w:t>
            </w:r>
            <w:r w:rsidRPr="0048428A">
              <w:rPr>
                <w:szCs w:val="22"/>
                <w:lang w:eastAsia="de-DE"/>
              </w:rPr>
              <w:t xml:space="preserve"> pľúc</w:t>
            </w: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5C1800EB" w14:textId="77777777" w:rsidR="00D12A60" w:rsidRPr="0048428A" w:rsidRDefault="00D12A60" w:rsidP="0048428A">
            <w:pPr>
              <w:spacing w:before="60" w:after="60"/>
              <w:rPr>
                <w:szCs w:val="22"/>
                <w:lang w:eastAsia="de-DE"/>
              </w:rPr>
            </w:pPr>
          </w:p>
        </w:tc>
      </w:tr>
      <w:tr w:rsidR="0048428A" w:rsidRPr="0048428A" w14:paraId="23C14487" w14:textId="77777777" w:rsidTr="0048428A">
        <w:trPr>
          <w:trHeight w:val="1848"/>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24145FDC" w14:textId="77777777" w:rsidR="00D12A60" w:rsidRPr="0048428A" w:rsidRDefault="00D12A60">
            <w:pPr>
              <w:pStyle w:val="Default"/>
              <w:rPr>
                <w:sz w:val="22"/>
                <w:szCs w:val="22"/>
                <w:lang w:val="sk-SK"/>
              </w:rPr>
            </w:pPr>
            <w:r w:rsidRPr="0048428A">
              <w:rPr>
                <w:b/>
                <w:bCs/>
                <w:sz w:val="22"/>
                <w:szCs w:val="22"/>
                <w:lang w:val="sk-SK"/>
              </w:rPr>
              <w:t xml:space="preserve">Poruchy gastrointestinálneho traktu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3CAE525D" w14:textId="77777777" w:rsidR="00D12A60" w:rsidRPr="0048428A" w:rsidRDefault="00D12A60">
            <w:pPr>
              <w:pStyle w:val="Default"/>
              <w:rPr>
                <w:sz w:val="22"/>
                <w:szCs w:val="22"/>
                <w:lang w:val="sk-SK"/>
              </w:rPr>
            </w:pPr>
            <w:r w:rsidRPr="0048428A">
              <w:rPr>
                <w:sz w:val="22"/>
                <w:szCs w:val="22"/>
                <w:lang w:val="sk-SK"/>
              </w:rPr>
              <w:t xml:space="preserve">hnačka, vracanie, zápcha, nevoľnosť, bolesť brucha (vrátane bolestí hornej časti brucha a abdominálneho dyskomfortu)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069A92A7" w14:textId="77777777" w:rsidR="00D12A60" w:rsidRPr="0048428A" w:rsidRDefault="00D12A60">
            <w:pPr>
              <w:pStyle w:val="Default"/>
              <w:rPr>
                <w:sz w:val="22"/>
                <w:szCs w:val="22"/>
                <w:lang w:val="sk-SK"/>
              </w:rPr>
            </w:pPr>
            <w:r w:rsidRPr="0048428A">
              <w:rPr>
                <w:sz w:val="22"/>
                <w:szCs w:val="22"/>
                <w:lang w:val="sk-SK"/>
              </w:rPr>
              <w:t xml:space="preserve">gastrointestinálne krvácanie* (vrátane krvácania z úst), krvácanie z hemoroidov, stomatitída, krvácanie ďasien, dyspepsia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2F8D47A"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4EFC34EB"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870B17" w14:textId="77777777" w:rsidR="00D12A60" w:rsidRPr="0048428A" w:rsidRDefault="00D12A60" w:rsidP="0048428A">
            <w:pPr>
              <w:spacing w:before="60" w:after="60"/>
              <w:rPr>
                <w:szCs w:val="22"/>
                <w:lang w:eastAsia="de-DE"/>
              </w:rPr>
            </w:pPr>
          </w:p>
        </w:tc>
      </w:tr>
      <w:tr w:rsidR="0048428A" w:rsidRPr="0048428A" w14:paraId="2A69C4C1" w14:textId="77777777" w:rsidTr="0048428A">
        <w:trPr>
          <w:trHeight w:val="70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86EBA59" w14:textId="77777777" w:rsidR="00F75247" w:rsidRPr="009D6FD2" w:rsidRDefault="00D12A60" w:rsidP="0048428A">
            <w:pPr>
              <w:spacing w:before="60" w:after="60"/>
              <w:ind w:left="0" w:firstLine="0"/>
              <w:rPr>
                <w:b/>
                <w:szCs w:val="22"/>
                <w:lang w:eastAsia="de-DE"/>
              </w:rPr>
            </w:pPr>
            <w:r w:rsidRPr="009D6FD2">
              <w:rPr>
                <w:b/>
                <w:szCs w:val="22"/>
                <w:lang w:eastAsia="de-DE"/>
              </w:rPr>
              <w:t>Poruchy pečene a žlčových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5AEFB0DC" w14:textId="77777777" w:rsidR="00F75247" w:rsidRPr="0048428A" w:rsidRDefault="00F75247"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3860E188" w14:textId="77777777" w:rsidR="00F75247" w:rsidRPr="0048428A" w:rsidRDefault="00F75247"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77B8F0AD" w14:textId="77777777" w:rsidR="00D12A60" w:rsidRPr="0048428A" w:rsidRDefault="00D12A60" w:rsidP="00D12A60">
            <w:pPr>
              <w:pStyle w:val="Default"/>
              <w:rPr>
                <w:sz w:val="22"/>
                <w:szCs w:val="22"/>
                <w:lang w:val="sk-SK"/>
              </w:rPr>
            </w:pPr>
            <w:r w:rsidRPr="0048428A">
              <w:rPr>
                <w:sz w:val="22"/>
                <w:szCs w:val="22"/>
                <w:lang w:val="sk-SK"/>
              </w:rPr>
              <w:t xml:space="preserve">zlyhanie pečene*, progresívna hepatálna kóma </w:t>
            </w:r>
          </w:p>
          <w:p w14:paraId="0CF607A0" w14:textId="77777777" w:rsidR="00F75247" w:rsidRPr="0048428A" w:rsidRDefault="00F75247" w:rsidP="0048428A">
            <w:pPr>
              <w:spacing w:before="60" w:after="60"/>
              <w:ind w:left="0" w:firstLine="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58F3275" w14:textId="77777777" w:rsidR="00F75247" w:rsidRPr="0048428A" w:rsidRDefault="00F75247"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718F8838" w14:textId="77777777" w:rsidR="00F75247" w:rsidRPr="0048428A" w:rsidRDefault="00F75247" w:rsidP="0048428A">
            <w:pPr>
              <w:spacing w:before="60" w:after="60"/>
              <w:rPr>
                <w:szCs w:val="22"/>
                <w:lang w:eastAsia="de-DE"/>
              </w:rPr>
            </w:pPr>
          </w:p>
        </w:tc>
      </w:tr>
      <w:tr w:rsidR="0048428A" w:rsidRPr="0048428A" w14:paraId="2973A90B" w14:textId="77777777" w:rsidTr="0048428A">
        <w:trPr>
          <w:trHeight w:val="115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36ADF60F" w14:textId="77777777" w:rsidR="00D12A60" w:rsidRPr="0048428A" w:rsidRDefault="00D12A60">
            <w:pPr>
              <w:pStyle w:val="Default"/>
              <w:rPr>
                <w:sz w:val="22"/>
                <w:szCs w:val="22"/>
                <w:lang w:val="sk-SK"/>
              </w:rPr>
            </w:pPr>
            <w:r w:rsidRPr="0048428A">
              <w:rPr>
                <w:b/>
                <w:bCs/>
                <w:sz w:val="22"/>
                <w:szCs w:val="22"/>
                <w:lang w:val="sk-SK"/>
              </w:rPr>
              <w:t xml:space="preserve">Poruchy kože a podkožného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AC55E09" w14:textId="77777777" w:rsidR="00D12A60" w:rsidRPr="0048428A" w:rsidRDefault="00D12A60">
            <w:pPr>
              <w:pStyle w:val="Default"/>
              <w:rPr>
                <w:sz w:val="22"/>
                <w:szCs w:val="22"/>
                <w:lang w:val="sk-SK"/>
              </w:rPr>
            </w:pPr>
            <w:r w:rsidRPr="0048428A">
              <w:rPr>
                <w:sz w:val="22"/>
                <w:szCs w:val="22"/>
                <w:lang w:val="sk-SK"/>
              </w:rPr>
              <w:t xml:space="preserve">petechie, svrbenie (vrátane generalizovaného), vyrážky, ekchymóza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0B56F24" w14:textId="77777777" w:rsidR="00D12A60" w:rsidRPr="0048428A" w:rsidRDefault="00D12A60">
            <w:pPr>
              <w:pStyle w:val="Default"/>
              <w:rPr>
                <w:sz w:val="22"/>
                <w:szCs w:val="22"/>
                <w:lang w:val="sk-SK"/>
              </w:rPr>
            </w:pPr>
            <w:r w:rsidRPr="0048428A">
              <w:rPr>
                <w:sz w:val="22"/>
                <w:szCs w:val="22"/>
                <w:lang w:val="sk-SK"/>
              </w:rPr>
              <w:t xml:space="preserve">purpura, alopécia, urtikária, erytém, makulárne vyrážky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B7572D3" w14:textId="77777777" w:rsidR="00D12A60" w:rsidRPr="0048428A" w:rsidRDefault="00D12A60">
            <w:pPr>
              <w:pStyle w:val="Default"/>
              <w:rPr>
                <w:sz w:val="22"/>
                <w:szCs w:val="22"/>
                <w:lang w:val="sk-SK"/>
              </w:rPr>
            </w:pPr>
            <w:r w:rsidRPr="0048428A">
              <w:rPr>
                <w:sz w:val="22"/>
                <w:szCs w:val="22"/>
                <w:lang w:val="sk-SK"/>
              </w:rPr>
              <w:t xml:space="preserve">akútna febrilná neutrofilná dermatóza, pyoderma gangrenosum </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3C2CBB8"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630DF4C2" w14:textId="77777777" w:rsidR="00D12A60" w:rsidRPr="0048428A" w:rsidRDefault="00D12A60" w:rsidP="0048428A">
            <w:pPr>
              <w:spacing w:before="60" w:after="60"/>
              <w:rPr>
                <w:szCs w:val="22"/>
                <w:lang w:eastAsia="de-DE"/>
              </w:rPr>
            </w:pPr>
          </w:p>
        </w:tc>
      </w:tr>
      <w:tr w:rsidR="0048428A" w:rsidRPr="0048428A" w14:paraId="3BEF5591" w14:textId="77777777" w:rsidTr="0048428A">
        <w:trPr>
          <w:trHeight w:val="1161"/>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5528DA6B" w14:textId="77777777" w:rsidR="00D12A60" w:rsidRPr="0048428A" w:rsidRDefault="00D12A60">
            <w:pPr>
              <w:pStyle w:val="Default"/>
              <w:rPr>
                <w:sz w:val="22"/>
                <w:szCs w:val="22"/>
                <w:lang w:val="sk-SK"/>
              </w:rPr>
            </w:pPr>
            <w:r w:rsidRPr="0048428A">
              <w:rPr>
                <w:b/>
                <w:bCs/>
                <w:sz w:val="22"/>
                <w:szCs w:val="22"/>
                <w:lang w:val="sk-SK"/>
              </w:rPr>
              <w:t xml:space="preserve">Poruchy kostrovej a svalovej sústavy a spojivového tkaniva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1B502965" w14:textId="77777777" w:rsidR="00D12A60" w:rsidRPr="0048428A" w:rsidRDefault="00D12A60">
            <w:pPr>
              <w:pStyle w:val="Default"/>
              <w:rPr>
                <w:sz w:val="22"/>
                <w:szCs w:val="22"/>
                <w:lang w:val="sk-SK"/>
              </w:rPr>
            </w:pPr>
            <w:r w:rsidRPr="0048428A">
              <w:rPr>
                <w:sz w:val="22"/>
                <w:szCs w:val="22"/>
                <w:lang w:val="sk-SK"/>
              </w:rPr>
              <w:t xml:space="preserve">artralgia, muskuloskeletálna bolesť (vrátane chrbta, kostí a bolesti končatín)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6D50B818" w14:textId="77777777" w:rsidR="00D12A60" w:rsidRPr="0048428A" w:rsidRDefault="00D12A60">
            <w:pPr>
              <w:pStyle w:val="Default"/>
              <w:rPr>
                <w:sz w:val="22"/>
                <w:szCs w:val="22"/>
                <w:lang w:val="sk-SK"/>
              </w:rPr>
            </w:pPr>
            <w:r w:rsidRPr="0048428A">
              <w:rPr>
                <w:sz w:val="22"/>
                <w:szCs w:val="22"/>
                <w:lang w:val="sk-SK"/>
              </w:rPr>
              <w:t xml:space="preserve">svalové spazmy, myalgia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4CB35798"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17344B32"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C3582FF" w14:textId="77777777" w:rsidR="00D12A60" w:rsidRPr="0048428A" w:rsidRDefault="00D12A60" w:rsidP="0048428A">
            <w:pPr>
              <w:spacing w:before="60" w:after="60"/>
              <w:rPr>
                <w:szCs w:val="22"/>
                <w:lang w:eastAsia="de-DE"/>
              </w:rPr>
            </w:pPr>
          </w:p>
        </w:tc>
      </w:tr>
      <w:tr w:rsidR="0048428A" w:rsidRPr="0048428A" w14:paraId="36E351ED" w14:textId="77777777" w:rsidTr="0048428A">
        <w:trPr>
          <w:trHeight w:val="929"/>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67B268DA" w14:textId="77777777" w:rsidR="00D12A60" w:rsidRPr="009D6FD2" w:rsidRDefault="00D12A60" w:rsidP="0048428A">
            <w:pPr>
              <w:spacing w:before="60" w:after="60"/>
              <w:ind w:left="0" w:firstLine="0"/>
              <w:rPr>
                <w:b/>
                <w:szCs w:val="22"/>
                <w:lang w:eastAsia="de-DE"/>
              </w:rPr>
            </w:pPr>
            <w:r w:rsidRPr="009D6FD2">
              <w:rPr>
                <w:b/>
                <w:szCs w:val="22"/>
                <w:lang w:eastAsia="de-DE"/>
              </w:rPr>
              <w:t>Poruchy obličiek a močových ciest</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26D507B" w14:textId="77777777" w:rsidR="00D12A60" w:rsidRPr="0048428A" w:rsidRDefault="00D12A60" w:rsidP="0048428A">
            <w:pPr>
              <w:spacing w:before="60" w:after="60"/>
              <w:rPr>
                <w:szCs w:val="22"/>
                <w:lang w:eastAsia="de-DE"/>
              </w:rPr>
            </w:pP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B55DFD" w14:textId="77777777" w:rsidR="00D12A60" w:rsidRPr="0048428A" w:rsidRDefault="00D12A60">
            <w:pPr>
              <w:pStyle w:val="Default"/>
              <w:rPr>
                <w:sz w:val="22"/>
                <w:szCs w:val="22"/>
                <w:lang w:val="sk-SK"/>
              </w:rPr>
            </w:pPr>
            <w:r w:rsidRPr="0048428A">
              <w:rPr>
                <w:sz w:val="22"/>
                <w:szCs w:val="22"/>
                <w:lang w:val="sk-SK"/>
              </w:rPr>
              <w:t xml:space="preserve">renálne zlyhanie*, hematúria, zvýšená hladina sérového kreatinínu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26E3B4EA" w14:textId="77777777" w:rsidR="00D12A60" w:rsidRPr="0048428A" w:rsidRDefault="00D12A60">
            <w:pPr>
              <w:pStyle w:val="Default"/>
              <w:rPr>
                <w:sz w:val="22"/>
                <w:szCs w:val="22"/>
                <w:lang w:val="sk-SK"/>
              </w:rPr>
            </w:pPr>
            <w:r w:rsidRPr="0048428A">
              <w:rPr>
                <w:sz w:val="22"/>
                <w:szCs w:val="22"/>
                <w:lang w:val="sk-SK"/>
              </w:rPr>
              <w:t>renálna tubulárna acidóza</w:t>
            </w: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08A02E2F"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041864E5" w14:textId="77777777" w:rsidR="00D12A60" w:rsidRPr="0048428A" w:rsidRDefault="00D12A60" w:rsidP="0048428A">
            <w:pPr>
              <w:spacing w:before="60" w:after="60"/>
              <w:rPr>
                <w:szCs w:val="22"/>
                <w:lang w:eastAsia="de-DE"/>
              </w:rPr>
            </w:pPr>
          </w:p>
        </w:tc>
      </w:tr>
      <w:tr w:rsidR="0048428A" w:rsidRPr="0048428A" w14:paraId="427BAB94" w14:textId="77777777" w:rsidTr="00854A48">
        <w:trPr>
          <w:trHeight w:val="2987"/>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49CAB56F" w14:textId="77777777" w:rsidR="00D12A60" w:rsidRPr="0048428A" w:rsidRDefault="00D12A60">
            <w:pPr>
              <w:pStyle w:val="Default"/>
              <w:rPr>
                <w:sz w:val="22"/>
                <w:szCs w:val="22"/>
                <w:lang w:val="sk-SK"/>
              </w:rPr>
            </w:pPr>
            <w:r w:rsidRPr="009E0332">
              <w:rPr>
                <w:b/>
                <w:bCs/>
                <w:sz w:val="22"/>
                <w:szCs w:val="22"/>
                <w:lang w:val="sk-SK"/>
              </w:rPr>
              <w:t>Celkové poruchy a reakcie v mieste podania</w:t>
            </w:r>
            <w:r w:rsidRPr="0048428A">
              <w:rPr>
                <w:b/>
                <w:bCs/>
                <w:sz w:val="22"/>
                <w:szCs w:val="22"/>
                <w:lang w:val="sk-SK"/>
              </w:rPr>
              <w:t xml:space="preserve">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009F2FFB" w14:textId="77777777" w:rsidR="00D12A60" w:rsidRPr="0048428A" w:rsidRDefault="00D12A60">
            <w:pPr>
              <w:pStyle w:val="Default"/>
              <w:rPr>
                <w:sz w:val="22"/>
                <w:szCs w:val="22"/>
                <w:lang w:val="sk-SK"/>
              </w:rPr>
            </w:pPr>
            <w:r w:rsidRPr="0048428A">
              <w:rPr>
                <w:sz w:val="22"/>
                <w:szCs w:val="22"/>
                <w:lang w:val="sk-SK"/>
              </w:rPr>
              <w:t xml:space="preserve">pyrexia*, únava, asténia, bolesť na hrudi, erytém v mieste vpichu injekcie, bolesť v mieste vpichu injekcie, reakcia v mieste vpichu injekcie (nešpecifikovaná)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76005CB0" w14:textId="77777777" w:rsidR="00D12A60" w:rsidRPr="0048428A" w:rsidRDefault="00D12A60">
            <w:pPr>
              <w:pStyle w:val="Default"/>
              <w:rPr>
                <w:sz w:val="22"/>
                <w:szCs w:val="22"/>
                <w:lang w:val="sk-SK"/>
              </w:rPr>
            </w:pPr>
            <w:r w:rsidRPr="0048428A">
              <w:rPr>
                <w:sz w:val="22"/>
                <w:szCs w:val="22"/>
                <w:lang w:val="sk-SK"/>
              </w:rPr>
              <w:t xml:space="preserve">podliatiny, hematóm, stvrdnutie, vyrážky, svrbenie, zápal, zmena sfarbenia pokožky, uzlíky a krvácanie (v mieste vpichu injekcie), </w:t>
            </w:r>
          </w:p>
          <w:p w14:paraId="06F0C819" w14:textId="2E1C79B6" w:rsidR="00D12A60" w:rsidRPr="0048428A" w:rsidRDefault="00373E96">
            <w:pPr>
              <w:pStyle w:val="Default"/>
              <w:rPr>
                <w:sz w:val="22"/>
                <w:szCs w:val="22"/>
                <w:lang w:val="sk-SK"/>
              </w:rPr>
            </w:pPr>
            <w:r>
              <w:rPr>
                <w:sz w:val="22"/>
                <w:szCs w:val="22"/>
                <w:lang w:val="sk-SK"/>
              </w:rPr>
              <w:t>celkový pocit choroby</w:t>
            </w:r>
            <w:r w:rsidR="00D12A60" w:rsidRPr="0048428A">
              <w:rPr>
                <w:sz w:val="22"/>
                <w:szCs w:val="22"/>
                <w:lang w:val="sk-SK"/>
              </w:rPr>
              <w:t>, zimnica, krvácanie v mieste zavedenia</w:t>
            </w:r>
            <w:r w:rsidR="005D799D">
              <w:rPr>
                <w:sz w:val="22"/>
                <w:szCs w:val="22"/>
                <w:lang w:val="sk-SK"/>
              </w:rPr>
              <w:t xml:space="preserve"> katétra</w:t>
            </w:r>
            <w:r w:rsidR="00D12A60" w:rsidRPr="0048428A">
              <w:rPr>
                <w:sz w:val="22"/>
                <w:szCs w:val="22"/>
                <w:lang w:val="sk-SK"/>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5E392559"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515A9EFF" w14:textId="77777777" w:rsidR="00D12A60" w:rsidRPr="0048428A" w:rsidRDefault="00D12A60" w:rsidP="00D12A60">
            <w:pPr>
              <w:pStyle w:val="Default"/>
              <w:rPr>
                <w:sz w:val="22"/>
                <w:szCs w:val="22"/>
                <w:lang w:val="sk-SK"/>
              </w:rPr>
            </w:pPr>
            <w:r w:rsidRPr="0048428A">
              <w:rPr>
                <w:sz w:val="22"/>
                <w:szCs w:val="22"/>
                <w:lang w:val="sk-SK"/>
              </w:rPr>
              <w:t xml:space="preserve">nekróza v mieste injekcie (v mieste vpichu) </w:t>
            </w:r>
          </w:p>
          <w:p w14:paraId="1C928A69"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3CD49598" w14:textId="77777777" w:rsidR="00D12A60" w:rsidRPr="0048428A" w:rsidRDefault="00D12A60" w:rsidP="0048428A">
            <w:pPr>
              <w:spacing w:before="60" w:after="60"/>
              <w:rPr>
                <w:szCs w:val="22"/>
                <w:lang w:eastAsia="de-DE"/>
              </w:rPr>
            </w:pPr>
          </w:p>
        </w:tc>
      </w:tr>
      <w:tr w:rsidR="0048428A" w:rsidRPr="0048428A" w14:paraId="771B14B4" w14:textId="77777777" w:rsidTr="0048428A">
        <w:trPr>
          <w:trHeight w:val="240"/>
        </w:trPr>
        <w:tc>
          <w:tcPr>
            <w:tcW w:w="2079" w:type="dxa"/>
            <w:tcBorders>
              <w:top w:val="single" w:sz="4" w:space="0" w:color="000000"/>
              <w:left w:val="single" w:sz="4" w:space="0" w:color="000000"/>
              <w:bottom w:val="single" w:sz="4" w:space="0" w:color="000000"/>
              <w:right w:val="single" w:sz="4" w:space="0" w:color="000000"/>
            </w:tcBorders>
            <w:shd w:val="clear" w:color="auto" w:fill="auto"/>
          </w:tcPr>
          <w:p w14:paraId="1D7231EC" w14:textId="77777777" w:rsidR="00D12A60" w:rsidRPr="0048428A" w:rsidRDefault="00D12A60">
            <w:pPr>
              <w:pStyle w:val="Default"/>
              <w:rPr>
                <w:sz w:val="22"/>
                <w:szCs w:val="22"/>
                <w:lang w:val="sk-SK"/>
              </w:rPr>
            </w:pPr>
            <w:r w:rsidRPr="0048428A">
              <w:rPr>
                <w:b/>
                <w:bCs/>
                <w:sz w:val="22"/>
                <w:szCs w:val="22"/>
                <w:lang w:val="sk-SK"/>
              </w:rPr>
              <w:lastRenderedPageBreak/>
              <w:t xml:space="preserve">Laboratórne a funkčné vyšetrenia </w:t>
            </w:r>
          </w:p>
        </w:tc>
        <w:tc>
          <w:tcPr>
            <w:tcW w:w="2082" w:type="dxa"/>
            <w:tcBorders>
              <w:top w:val="single" w:sz="4" w:space="0" w:color="000000"/>
              <w:left w:val="single" w:sz="4" w:space="0" w:color="000000"/>
              <w:bottom w:val="single" w:sz="4" w:space="0" w:color="000000"/>
              <w:right w:val="single" w:sz="4" w:space="0" w:color="000000"/>
            </w:tcBorders>
            <w:shd w:val="clear" w:color="auto" w:fill="auto"/>
          </w:tcPr>
          <w:p w14:paraId="40F1E674" w14:textId="77777777" w:rsidR="00D12A60" w:rsidRPr="0048428A" w:rsidRDefault="00D12A60">
            <w:pPr>
              <w:pStyle w:val="Default"/>
              <w:rPr>
                <w:sz w:val="22"/>
                <w:szCs w:val="22"/>
                <w:lang w:val="sk-SK"/>
              </w:rPr>
            </w:pPr>
            <w:r w:rsidRPr="0048428A">
              <w:rPr>
                <w:sz w:val="22"/>
                <w:szCs w:val="22"/>
                <w:lang w:val="sk-SK"/>
              </w:rPr>
              <w:t xml:space="preserve">pokles telesnej hmotnosti </w:t>
            </w:r>
          </w:p>
        </w:tc>
        <w:tc>
          <w:tcPr>
            <w:tcW w:w="2102" w:type="dxa"/>
            <w:tcBorders>
              <w:top w:val="single" w:sz="4" w:space="0" w:color="000000"/>
              <w:left w:val="single" w:sz="4" w:space="0" w:color="000000"/>
              <w:bottom w:val="single" w:sz="4" w:space="0" w:color="000000"/>
              <w:right w:val="single" w:sz="4" w:space="0" w:color="000000"/>
            </w:tcBorders>
            <w:shd w:val="clear" w:color="auto" w:fill="auto"/>
          </w:tcPr>
          <w:p w14:paraId="1B22C111" w14:textId="77777777" w:rsidR="00D12A60" w:rsidRPr="0048428A" w:rsidRDefault="00D12A60" w:rsidP="0048428A">
            <w:pPr>
              <w:spacing w:before="60" w:after="60"/>
              <w:rPr>
                <w:szCs w:val="22"/>
                <w:lang w:eastAsia="de-DE"/>
              </w:rPr>
            </w:pP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14:paraId="1F55633F" w14:textId="77777777" w:rsidR="00D12A60" w:rsidRPr="0048428A" w:rsidRDefault="00D12A60" w:rsidP="0048428A">
            <w:pPr>
              <w:spacing w:before="60" w:after="60"/>
              <w:rPr>
                <w:szCs w:val="22"/>
                <w:lang w:eastAsia="de-DE"/>
              </w:rPr>
            </w:pPr>
          </w:p>
        </w:tc>
        <w:tc>
          <w:tcPr>
            <w:tcW w:w="1381" w:type="dxa"/>
            <w:tcBorders>
              <w:top w:val="single" w:sz="4" w:space="0" w:color="000000"/>
              <w:left w:val="single" w:sz="4" w:space="0" w:color="000000"/>
              <w:bottom w:val="single" w:sz="4" w:space="0" w:color="000000"/>
              <w:right w:val="single" w:sz="4" w:space="0" w:color="000000"/>
            </w:tcBorders>
            <w:shd w:val="clear" w:color="auto" w:fill="auto"/>
          </w:tcPr>
          <w:p w14:paraId="29CD38F6" w14:textId="77777777" w:rsidR="00D12A60" w:rsidRPr="0048428A" w:rsidRDefault="00D12A60" w:rsidP="0048428A">
            <w:pPr>
              <w:spacing w:before="60" w:after="60"/>
              <w:rPr>
                <w:szCs w:val="22"/>
                <w:lang w:eastAsia="de-DE"/>
              </w:rPr>
            </w:pPr>
          </w:p>
        </w:tc>
        <w:tc>
          <w:tcPr>
            <w:tcW w:w="1382" w:type="dxa"/>
            <w:tcBorders>
              <w:top w:val="single" w:sz="4" w:space="0" w:color="000000"/>
              <w:left w:val="single" w:sz="4" w:space="0" w:color="000000"/>
              <w:bottom w:val="single" w:sz="4" w:space="0" w:color="000000"/>
              <w:right w:val="single" w:sz="4" w:space="0" w:color="000000"/>
            </w:tcBorders>
            <w:shd w:val="clear" w:color="auto" w:fill="auto"/>
          </w:tcPr>
          <w:p w14:paraId="410EFD60" w14:textId="77777777" w:rsidR="00D12A60" w:rsidRPr="0048428A" w:rsidRDefault="00D12A60" w:rsidP="0048428A">
            <w:pPr>
              <w:spacing w:before="60" w:after="60"/>
              <w:rPr>
                <w:szCs w:val="22"/>
                <w:lang w:eastAsia="de-DE"/>
              </w:rPr>
            </w:pPr>
          </w:p>
        </w:tc>
      </w:tr>
    </w:tbl>
    <w:p w14:paraId="64F62C82"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w:t>
      </w:r>
      <w:r w:rsidRPr="00D12A60">
        <w:rPr>
          <w:color w:val="000000"/>
          <w:szCs w:val="22"/>
        </w:rPr>
        <w:t xml:space="preserve">= zriedkavo sa zaznamenali fatálne prípady </w:t>
      </w:r>
    </w:p>
    <w:p w14:paraId="53165F73" w14:textId="77777777" w:rsidR="00D12A60" w:rsidRPr="00E079AF" w:rsidRDefault="00D12A60" w:rsidP="00D12A60">
      <w:pPr>
        <w:autoSpaceDE w:val="0"/>
        <w:autoSpaceDN w:val="0"/>
        <w:adjustRightInd w:val="0"/>
        <w:ind w:left="0" w:firstLine="0"/>
        <w:rPr>
          <w:color w:val="000000"/>
          <w:szCs w:val="22"/>
        </w:rPr>
      </w:pPr>
    </w:p>
    <w:p w14:paraId="1C58B205" w14:textId="77777777" w:rsidR="00D12A60" w:rsidRPr="00D12A60" w:rsidRDefault="00D12A60" w:rsidP="00D12A60">
      <w:pPr>
        <w:autoSpaceDE w:val="0"/>
        <w:autoSpaceDN w:val="0"/>
        <w:adjustRightInd w:val="0"/>
        <w:ind w:left="0" w:firstLine="0"/>
        <w:rPr>
          <w:color w:val="000000"/>
          <w:szCs w:val="22"/>
          <w:u w:val="single"/>
        </w:rPr>
      </w:pPr>
      <w:r w:rsidRPr="00E079AF">
        <w:rPr>
          <w:color w:val="000000"/>
          <w:szCs w:val="22"/>
          <w:u w:val="single"/>
        </w:rPr>
        <w:t>O</w:t>
      </w:r>
      <w:r w:rsidRPr="00D12A60">
        <w:rPr>
          <w:color w:val="000000"/>
          <w:szCs w:val="22"/>
          <w:u w:val="single"/>
        </w:rPr>
        <w:t xml:space="preserve">pis vybraných nežiaducich reakcií </w:t>
      </w:r>
    </w:p>
    <w:p w14:paraId="11B22B3B" w14:textId="77777777" w:rsidR="00D12A60" w:rsidRPr="00E079AF" w:rsidRDefault="00D12A60" w:rsidP="00D12A60">
      <w:pPr>
        <w:autoSpaceDE w:val="0"/>
        <w:autoSpaceDN w:val="0"/>
        <w:adjustRightInd w:val="0"/>
        <w:ind w:left="0" w:firstLine="0"/>
        <w:rPr>
          <w:i/>
          <w:iCs/>
          <w:color w:val="000000"/>
          <w:szCs w:val="22"/>
        </w:rPr>
      </w:pPr>
    </w:p>
    <w:p w14:paraId="7B313F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Hematologické nežiaduce reakcie </w:t>
      </w:r>
    </w:p>
    <w:p w14:paraId="386C6A33" w14:textId="77777777" w:rsidR="00373E96" w:rsidRDefault="00D12A60" w:rsidP="00D12A60">
      <w:pPr>
        <w:autoSpaceDE w:val="0"/>
        <w:autoSpaceDN w:val="0"/>
        <w:adjustRightInd w:val="0"/>
        <w:ind w:left="0" w:firstLine="0"/>
        <w:rPr>
          <w:color w:val="000000"/>
          <w:szCs w:val="22"/>
        </w:rPr>
      </w:pPr>
      <w:r w:rsidRPr="00D12A60">
        <w:rPr>
          <w:color w:val="000000"/>
          <w:szCs w:val="22"/>
        </w:rPr>
        <w:t xml:space="preserve">Najčastejšie pozorované (≥ 10%) hematologické nežiaduce reakcie súvisiace s liečbou azacitidínom zahŕňajú anémiu, trombocytopéniu, neutropéniu, febrilnú neutropéniu a leukopéniu, zvyčajne 3. alebo 4. stupňa. V priebehu prvých 2 cyklov existuje vyššie riziko výskytu týchto reakcií, potom sa u pacientov tieto reakcie vyskytujú s menšou frekvenciou a obnovuje sa hematologická funkcia. </w:t>
      </w:r>
    </w:p>
    <w:p w14:paraId="66466E7D" w14:textId="77777777" w:rsidR="00373E96" w:rsidRDefault="00373E96" w:rsidP="00D12A60">
      <w:pPr>
        <w:autoSpaceDE w:val="0"/>
        <w:autoSpaceDN w:val="0"/>
        <w:adjustRightInd w:val="0"/>
        <w:ind w:left="0" w:firstLine="0"/>
        <w:rPr>
          <w:color w:val="000000"/>
          <w:szCs w:val="22"/>
        </w:rPr>
      </w:pPr>
    </w:p>
    <w:p w14:paraId="2B6BDB6D" w14:textId="3232E9F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Väčšina hematologických nežiaducich reakcií bola kontrolovaná bežným sledovaním kompletného krvného obrazu a oneskorením podania azacitidínu v ďalšom cykle, profylaktickými antibiotikami a/alebo podľa potreby podpornou liečbou neutropénie rastovým faktorom (napr. G-CSF) a anémie alebo trombocytopénie transfúziami. </w:t>
      </w:r>
    </w:p>
    <w:p w14:paraId="63CDABDA" w14:textId="77777777" w:rsidR="00D12A60" w:rsidRPr="00D12A60" w:rsidRDefault="00D12A60" w:rsidP="00D12A60">
      <w:pPr>
        <w:autoSpaceDE w:val="0"/>
        <w:autoSpaceDN w:val="0"/>
        <w:adjustRightInd w:val="0"/>
        <w:ind w:left="0" w:firstLine="0"/>
        <w:rPr>
          <w:color w:val="000000"/>
          <w:szCs w:val="22"/>
        </w:rPr>
      </w:pPr>
    </w:p>
    <w:p w14:paraId="6446C06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Infekcie </w:t>
      </w:r>
    </w:p>
    <w:p w14:paraId="09512DEE"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Myelosupresia môže viesť k neutropénii a zvýšenému riziku infekcie. U pacientov dostávajúcich azacitidín boli hlásené závažné nežiaduce reakcie ako sú sepsa, vrátane neutropenickej sepsy, a zápal pľúc, pričom niektoré mali fatálny výsledok. Infekcie možno kontrolovať použitím liekov proti infekcii a podpornou liečbou neutropénie rastovým faktorom (napríklad G-CSF). </w:t>
      </w:r>
    </w:p>
    <w:p w14:paraId="0A5BC181" w14:textId="77777777" w:rsidR="00D12A60" w:rsidRPr="00D12A60" w:rsidRDefault="00D12A60" w:rsidP="00D12A60">
      <w:pPr>
        <w:autoSpaceDE w:val="0"/>
        <w:autoSpaceDN w:val="0"/>
        <w:adjustRightInd w:val="0"/>
        <w:ind w:left="0" w:firstLine="0"/>
        <w:rPr>
          <w:color w:val="000000"/>
          <w:szCs w:val="22"/>
        </w:rPr>
      </w:pPr>
    </w:p>
    <w:p w14:paraId="7D1B349F"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Krvácanie </w:t>
      </w:r>
    </w:p>
    <w:p w14:paraId="17BEB1E6" w14:textId="5E0EEE74"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sa môže vyskytnúť krvácanie. Boli hlásené závažné nežiaduce reakcie ako napríklad gastrointestinálne krvácanie a intrakraniálne krvácanie. U pacientov sa majú sledovať </w:t>
      </w:r>
      <w:r w:rsidR="003E5FFD">
        <w:rPr>
          <w:color w:val="000000"/>
          <w:szCs w:val="22"/>
        </w:rPr>
        <w:t>prejavy</w:t>
      </w:r>
      <w:r w:rsidRPr="00D12A60">
        <w:rPr>
          <w:color w:val="000000"/>
          <w:szCs w:val="22"/>
        </w:rPr>
        <w:t xml:space="preserve"> a príznaky krvácania, a to najmä u pacientov s existujúcou alebo s liečbou súvisiacou trombocytopéniou. </w:t>
      </w:r>
    </w:p>
    <w:p w14:paraId="09BB7B08" w14:textId="77777777" w:rsidR="00D12A60" w:rsidRPr="00D12A60" w:rsidRDefault="00D12A60" w:rsidP="00D12A60">
      <w:pPr>
        <w:autoSpaceDE w:val="0"/>
        <w:autoSpaceDN w:val="0"/>
        <w:adjustRightInd w:val="0"/>
        <w:ind w:left="0" w:firstLine="0"/>
        <w:rPr>
          <w:color w:val="000000"/>
          <w:szCs w:val="22"/>
        </w:rPr>
      </w:pPr>
    </w:p>
    <w:p w14:paraId="786B976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Precitlivenosť </w:t>
      </w:r>
    </w:p>
    <w:p w14:paraId="529C3EC8"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dostávajúcich azacitidín boli hlásené závažné reakcie z precitlivenosti. V prípade reakcie podobnej anafylaktickému šoku sa má liečba azacitidínom ihneď ukončiť a má sa začať vhodná symptomatická liečba. </w:t>
      </w:r>
    </w:p>
    <w:p w14:paraId="4F215BF1" w14:textId="77777777" w:rsidR="00D12A60" w:rsidRPr="00D12A60" w:rsidRDefault="00D12A60" w:rsidP="00D12A60">
      <w:pPr>
        <w:autoSpaceDE w:val="0"/>
        <w:autoSpaceDN w:val="0"/>
        <w:adjustRightInd w:val="0"/>
        <w:ind w:left="0" w:firstLine="0"/>
        <w:rPr>
          <w:color w:val="000000"/>
          <w:szCs w:val="22"/>
        </w:rPr>
      </w:pPr>
    </w:p>
    <w:p w14:paraId="4DD10BD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Nežiaduce reakcie kože a podkožného tkaniva </w:t>
      </w:r>
    </w:p>
    <w:p w14:paraId="67C0D28F" w14:textId="59225867" w:rsidR="00F75247" w:rsidRPr="00E079AF" w:rsidRDefault="00D12A60" w:rsidP="00D12A60">
      <w:pPr>
        <w:autoSpaceDE w:val="0"/>
        <w:autoSpaceDN w:val="0"/>
        <w:adjustRightInd w:val="0"/>
        <w:ind w:left="0" w:firstLine="0"/>
        <w:rPr>
          <w:color w:val="000000"/>
          <w:szCs w:val="22"/>
        </w:rPr>
      </w:pPr>
      <w:r w:rsidRPr="00E079AF">
        <w:rPr>
          <w:color w:val="000000"/>
          <w:szCs w:val="22"/>
        </w:rPr>
        <w:t>Väčšina nežiaducich reakcií kože a podkožného tkaniva súvisela s miestom vpichu injekcie. Žiadna z uvedených nežiaducich reakcií neviedla k prerušeniu podávania azacitidínu, ani k zníženiu dávky azacitidínu počas pivotných štúdií. Väčšina nežiaducich reakcií sa vyskytla počas prvých 2 cyklov a v následných cykloch sa ich počet znižoval. Subkutánne nežiaduce reakcie, ako napríklad vyrážky, zápal a svrbenie v mieste vpichu injekcie, vyrážky, erytém a kožné lézie, môžu vyžadovať súbežnú liečbu napríklad antihistaminikami, kortikosteroidmi a nesteroid</w:t>
      </w:r>
      <w:r w:rsidR="00D23064">
        <w:rPr>
          <w:color w:val="000000"/>
          <w:szCs w:val="22"/>
        </w:rPr>
        <w:t>o</w:t>
      </w:r>
      <w:r w:rsidR="00531D40">
        <w:rPr>
          <w:color w:val="000000"/>
          <w:szCs w:val="22"/>
        </w:rPr>
        <w:t>v</w:t>
      </w:r>
      <w:r w:rsidRPr="00E079AF">
        <w:rPr>
          <w:color w:val="000000"/>
          <w:szCs w:val="22"/>
        </w:rPr>
        <w:t>ými protizápalovými liekmi (</w:t>
      </w:r>
      <w:r w:rsidRPr="00E079AF">
        <w:rPr>
          <w:i/>
          <w:iCs/>
          <w:color w:val="000000"/>
          <w:szCs w:val="22"/>
        </w:rPr>
        <w:t>non-steroidal anti-inflammatory drugs</w:t>
      </w:r>
      <w:r w:rsidRPr="00E079AF">
        <w:rPr>
          <w:color w:val="000000"/>
          <w:szCs w:val="22"/>
        </w:rPr>
        <w:t>, NSAID). Tieto kožné reakcie sa musia odlíšiť od infekcií</w:t>
      </w:r>
    </w:p>
    <w:p w14:paraId="6B5A9768" w14:textId="77777777" w:rsidR="00D12A60" w:rsidRPr="00E079AF" w:rsidRDefault="00D12A60" w:rsidP="00D12A60">
      <w:pPr>
        <w:autoSpaceDE w:val="0"/>
        <w:autoSpaceDN w:val="0"/>
        <w:adjustRightInd w:val="0"/>
        <w:ind w:left="0" w:firstLine="0"/>
        <w:rPr>
          <w:color w:val="000000"/>
          <w:szCs w:val="22"/>
        </w:rPr>
      </w:pPr>
    </w:p>
    <w:p w14:paraId="0D6F5A5C" w14:textId="2805898F"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mäkkých tkanív, ktoré sa niekedy objavujú v mieste vpichu injekcie. Po uvedení lieku na trh boli pri liečbe azacitidínom hlásené infekcie mäkkých tkanív, vrátane celulitídy a nekrotizujúcej fasciitídy, ktoré v zriedkavých prípadoch viedli k smrti. Pre postup pri liečbe infekčných nežiaducich reakcií pozri časť 4.8 Infekcie. </w:t>
      </w:r>
    </w:p>
    <w:p w14:paraId="03EA2C5B" w14:textId="77777777" w:rsidR="00D12A60" w:rsidRPr="00D12A60" w:rsidRDefault="00D12A60" w:rsidP="00D12A60">
      <w:pPr>
        <w:autoSpaceDE w:val="0"/>
        <w:autoSpaceDN w:val="0"/>
        <w:adjustRightInd w:val="0"/>
        <w:ind w:left="0" w:firstLine="0"/>
        <w:rPr>
          <w:color w:val="000000"/>
          <w:szCs w:val="22"/>
        </w:rPr>
      </w:pPr>
    </w:p>
    <w:p w14:paraId="49B443A0" w14:textId="77777777" w:rsidR="00D12A60" w:rsidRPr="00D12A60" w:rsidRDefault="00D12A60" w:rsidP="00D12A60">
      <w:pPr>
        <w:autoSpaceDE w:val="0"/>
        <w:autoSpaceDN w:val="0"/>
        <w:adjustRightInd w:val="0"/>
        <w:ind w:left="0" w:firstLine="0"/>
        <w:rPr>
          <w:color w:val="000000"/>
          <w:szCs w:val="22"/>
        </w:rPr>
      </w:pPr>
      <w:r w:rsidRPr="00D73A49">
        <w:rPr>
          <w:i/>
          <w:iCs/>
          <w:color w:val="000000"/>
          <w:szCs w:val="22"/>
        </w:rPr>
        <w:t>Gastrointestinálne nežiaduce reakcie</w:t>
      </w:r>
      <w:r w:rsidRPr="00D12A60">
        <w:rPr>
          <w:i/>
          <w:iCs/>
          <w:color w:val="000000"/>
          <w:szCs w:val="22"/>
        </w:rPr>
        <w:t xml:space="preserve"> </w:t>
      </w:r>
    </w:p>
    <w:p w14:paraId="23931D2E" w14:textId="44B5296E"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Najčastejšie hlásené gastrointestinálne </w:t>
      </w:r>
      <w:r w:rsidR="00DC481C">
        <w:rPr>
          <w:color w:val="000000"/>
          <w:szCs w:val="22"/>
        </w:rPr>
        <w:t xml:space="preserve">nežiaduce </w:t>
      </w:r>
      <w:r w:rsidRPr="00D12A60">
        <w:rPr>
          <w:color w:val="000000"/>
          <w:szCs w:val="22"/>
        </w:rPr>
        <w:t xml:space="preserve">reakcie súvisiace s liečbou azacitidínom zahŕňali zápchu, hnačku, nevoľnosť a vracanie. Tieto nežiaduce reakcie boli liečené symptomaticky antiemetikami v prípade nevoľnosti a vracania, </w:t>
      </w:r>
      <w:r w:rsidR="00DC481C">
        <w:rPr>
          <w:color w:val="000000"/>
          <w:szCs w:val="22"/>
        </w:rPr>
        <w:t>antidiaroikami</w:t>
      </w:r>
      <w:r w:rsidRPr="00D12A60">
        <w:rPr>
          <w:color w:val="000000"/>
          <w:szCs w:val="22"/>
        </w:rPr>
        <w:t xml:space="preserve"> v prípade hnačky a laxatívami a/alebo prípravkami na zmäkčenie stolice v prípade zápchy. </w:t>
      </w:r>
    </w:p>
    <w:p w14:paraId="5DD32F32" w14:textId="77777777" w:rsidR="00D12A60" w:rsidRPr="00D12A60" w:rsidRDefault="00D12A60" w:rsidP="00D12A60">
      <w:pPr>
        <w:autoSpaceDE w:val="0"/>
        <w:autoSpaceDN w:val="0"/>
        <w:adjustRightInd w:val="0"/>
        <w:ind w:left="0" w:firstLine="0"/>
        <w:rPr>
          <w:color w:val="000000"/>
          <w:szCs w:val="22"/>
        </w:rPr>
      </w:pPr>
    </w:p>
    <w:p w14:paraId="09C687EE"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Renálne nežiaduce reakcie </w:t>
      </w:r>
    </w:p>
    <w:p w14:paraId="2059651E" w14:textId="1575F5A4" w:rsidR="00D12A60" w:rsidRPr="00E079AF" w:rsidRDefault="00D12A60" w:rsidP="00D12A60">
      <w:pPr>
        <w:autoSpaceDE w:val="0"/>
        <w:autoSpaceDN w:val="0"/>
        <w:adjustRightInd w:val="0"/>
        <w:ind w:left="0" w:firstLine="0"/>
        <w:rPr>
          <w:color w:val="000000"/>
          <w:szCs w:val="22"/>
        </w:rPr>
      </w:pPr>
      <w:r w:rsidRPr="00D12A60">
        <w:rPr>
          <w:color w:val="000000"/>
          <w:szCs w:val="22"/>
        </w:rPr>
        <w:lastRenderedPageBreak/>
        <w:t xml:space="preserve">U pacientov liečených azacitidínom sa zaznamenali </w:t>
      </w:r>
      <w:r w:rsidR="00373E96">
        <w:rPr>
          <w:color w:val="000000"/>
          <w:szCs w:val="22"/>
        </w:rPr>
        <w:t>poruchy obličiek</w:t>
      </w:r>
      <w:r w:rsidRPr="00D12A60">
        <w:rPr>
          <w:color w:val="000000"/>
          <w:szCs w:val="22"/>
        </w:rPr>
        <w:t xml:space="preserve"> v rozsahu od zvýšenej hladiny kreatinínu v sére a hematúrie po renálnu tubulárnu acidózu, renálne zlyhanie a úmrtie (pozri časť 4.4). </w:t>
      </w:r>
    </w:p>
    <w:p w14:paraId="2088F775" w14:textId="77777777" w:rsidR="00D12A60" w:rsidRPr="00D12A60" w:rsidRDefault="00D12A60" w:rsidP="00D12A60">
      <w:pPr>
        <w:autoSpaceDE w:val="0"/>
        <w:autoSpaceDN w:val="0"/>
        <w:adjustRightInd w:val="0"/>
        <w:ind w:left="0" w:firstLine="0"/>
        <w:rPr>
          <w:color w:val="000000"/>
          <w:szCs w:val="22"/>
        </w:rPr>
      </w:pPr>
    </w:p>
    <w:p w14:paraId="418A08E3"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Hepatálne nežiaduce reakcie </w:t>
      </w:r>
    </w:p>
    <w:p w14:paraId="6783CDF2" w14:textId="77777777"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U pacientov s výraznou nádorovou záťažou z dôvodu metastázujúceho ochorenia sa počas liečby azacitidínom zaznamenalo zlyhanie pečene, progresívna hepatálna kóma a úmrtie (pozri časť 4.4). </w:t>
      </w:r>
    </w:p>
    <w:p w14:paraId="4680A2D1" w14:textId="77777777" w:rsidR="00D12A60" w:rsidRPr="00D12A60" w:rsidRDefault="00D12A60" w:rsidP="00D12A60">
      <w:pPr>
        <w:autoSpaceDE w:val="0"/>
        <w:autoSpaceDN w:val="0"/>
        <w:adjustRightInd w:val="0"/>
        <w:ind w:left="0" w:firstLine="0"/>
        <w:rPr>
          <w:color w:val="000000"/>
          <w:szCs w:val="22"/>
        </w:rPr>
      </w:pPr>
    </w:p>
    <w:p w14:paraId="4FF306F7"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Srdcové príhody </w:t>
      </w:r>
    </w:p>
    <w:p w14:paraId="395EFFCE" w14:textId="24D6755E" w:rsidR="00D12A60" w:rsidRPr="00E079AF" w:rsidRDefault="00D12A60" w:rsidP="00D12A60">
      <w:pPr>
        <w:autoSpaceDE w:val="0"/>
        <w:autoSpaceDN w:val="0"/>
        <w:adjustRightInd w:val="0"/>
        <w:ind w:left="0" w:firstLine="0"/>
        <w:rPr>
          <w:color w:val="000000"/>
          <w:szCs w:val="22"/>
        </w:rPr>
      </w:pPr>
      <w:r w:rsidRPr="00D12A60">
        <w:rPr>
          <w:color w:val="000000"/>
          <w:szCs w:val="22"/>
        </w:rPr>
        <w:t>Údaje z klinick</w:t>
      </w:r>
      <w:r w:rsidR="00B22E4F">
        <w:rPr>
          <w:color w:val="000000"/>
          <w:szCs w:val="22"/>
        </w:rPr>
        <w:t>ého skúšania</w:t>
      </w:r>
      <w:r w:rsidRPr="00D12A60">
        <w:rPr>
          <w:color w:val="000000"/>
          <w:szCs w:val="22"/>
        </w:rPr>
        <w:t xml:space="preserve">, ktoré povolilo zaradenie pacientov so známou anamnézou kardiovaskulárneho alebo pľúcneho ochorenia, preukázali štatisticky významné zvýšenie srdcových príhod u pacientov s novodiagnostikovanou AML liečenou azacitidínom (pozri časť 4.4). </w:t>
      </w:r>
    </w:p>
    <w:p w14:paraId="0C886605" w14:textId="77777777" w:rsidR="00D12A60" w:rsidRPr="00D12A60" w:rsidRDefault="00D12A60" w:rsidP="00D12A60">
      <w:pPr>
        <w:autoSpaceDE w:val="0"/>
        <w:autoSpaceDN w:val="0"/>
        <w:adjustRightInd w:val="0"/>
        <w:ind w:left="0" w:firstLine="0"/>
        <w:rPr>
          <w:color w:val="000000"/>
          <w:szCs w:val="22"/>
        </w:rPr>
      </w:pPr>
    </w:p>
    <w:p w14:paraId="67BE7BAC" w14:textId="77777777" w:rsidR="00D12A60" w:rsidRPr="00D12A60" w:rsidRDefault="00D12A60" w:rsidP="00D12A60">
      <w:pPr>
        <w:autoSpaceDE w:val="0"/>
        <w:autoSpaceDN w:val="0"/>
        <w:adjustRightInd w:val="0"/>
        <w:ind w:left="0" w:firstLine="0"/>
        <w:rPr>
          <w:color w:val="000000"/>
          <w:szCs w:val="22"/>
        </w:rPr>
      </w:pPr>
      <w:r w:rsidRPr="00D12A60">
        <w:rPr>
          <w:i/>
          <w:iCs/>
          <w:color w:val="000000"/>
          <w:szCs w:val="22"/>
        </w:rPr>
        <w:t xml:space="preserve">Staršia populácia </w:t>
      </w:r>
    </w:p>
    <w:p w14:paraId="119B559F" w14:textId="77777777" w:rsidR="00D12A60" w:rsidRPr="00E079AF" w:rsidRDefault="00D12A60" w:rsidP="007B0644">
      <w:pPr>
        <w:autoSpaceDE w:val="0"/>
        <w:autoSpaceDN w:val="0"/>
        <w:adjustRightInd w:val="0"/>
        <w:ind w:left="0" w:firstLine="0"/>
        <w:rPr>
          <w:rFonts w:eastAsia="TimesNewRoman"/>
          <w:color w:val="000000"/>
          <w:szCs w:val="22"/>
          <w:lang w:eastAsia="en-US"/>
        </w:rPr>
      </w:pPr>
      <w:r w:rsidRPr="00E079AF">
        <w:rPr>
          <w:color w:val="000000"/>
          <w:szCs w:val="22"/>
        </w:rPr>
        <w:t>K dispozícii je obmedzené množstvo informácií o bezpečnosti použitia azacitidínu u pacientov ≥85 rokov (so 14 [5,9 %] pacientmi ≥ 85 rokov v štúdii AZA-AML-001).</w:t>
      </w:r>
    </w:p>
    <w:p w14:paraId="0F3069F7" w14:textId="77777777" w:rsidR="00F75247" w:rsidRPr="00E079AF" w:rsidRDefault="00F75247" w:rsidP="007B0644">
      <w:pPr>
        <w:autoSpaceDE w:val="0"/>
        <w:autoSpaceDN w:val="0"/>
        <w:adjustRightInd w:val="0"/>
        <w:ind w:left="0" w:firstLine="0"/>
        <w:rPr>
          <w:rFonts w:eastAsia="TimesNewRoman"/>
          <w:color w:val="000000"/>
          <w:szCs w:val="22"/>
          <w:lang w:eastAsia="en-US"/>
        </w:rPr>
      </w:pPr>
    </w:p>
    <w:p w14:paraId="4E5BA87B" w14:textId="77777777" w:rsidR="00B22E4F" w:rsidRPr="001C4E12" w:rsidRDefault="00B22E4F" w:rsidP="00B22E4F">
      <w:pPr>
        <w:pStyle w:val="Zkladntext"/>
        <w:ind w:right="9"/>
      </w:pPr>
      <w:r w:rsidRPr="001C4E12">
        <w:rPr>
          <w:u w:val="single"/>
        </w:rPr>
        <w:t>Hlásenie podozrení na nežiaduce reakcie</w:t>
      </w:r>
    </w:p>
    <w:p w14:paraId="2D5B5B04" w14:textId="39D5FBF1" w:rsidR="00B22E4F" w:rsidRPr="001C4E12" w:rsidRDefault="00B22E4F" w:rsidP="00B22E4F">
      <w:pPr>
        <w:pStyle w:val="Zkladntext"/>
        <w:spacing w:before="1"/>
        <w:ind w:right="9"/>
      </w:pPr>
      <w:r w:rsidRPr="001C4E12">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Pr="00414128">
        <w:rPr>
          <w:highlight w:val="lightGray"/>
          <w:shd w:val="clear" w:color="auto" w:fill="C0C0C0"/>
        </w:rPr>
        <w:t xml:space="preserve">na národné centrum uvedené </w:t>
      </w:r>
      <w:r w:rsidR="005F223D" w:rsidRPr="005F223D">
        <w:rPr>
          <w:noProof/>
          <w:szCs w:val="22"/>
          <w:highlight w:val="lightGray"/>
        </w:rPr>
        <w:t>v </w:t>
      </w:r>
      <w:hyperlink r:id="rId9" w:history="1">
        <w:r w:rsidR="005F223D">
          <w:rPr>
            <w:rStyle w:val="Hypertextovprepojenie"/>
            <w:noProof/>
            <w:szCs w:val="22"/>
            <w:highlight w:val="lightGray"/>
          </w:rPr>
          <w:t>Prílohe V</w:t>
        </w:r>
      </w:hyperlink>
      <w:r w:rsidRPr="001C4E12">
        <w:rPr>
          <w:u w:val="single"/>
        </w:rPr>
        <w:t>.</w:t>
      </w:r>
    </w:p>
    <w:p w14:paraId="24BF643F" w14:textId="77777777" w:rsidR="00B22E4F" w:rsidRPr="00E079AF" w:rsidRDefault="00B22E4F">
      <w:pPr>
        <w:ind w:left="0" w:firstLine="0"/>
        <w:rPr>
          <w:b/>
          <w:szCs w:val="22"/>
        </w:rPr>
      </w:pPr>
    </w:p>
    <w:p w14:paraId="775D4CFC" w14:textId="77777777" w:rsidR="00FF6BE0" w:rsidRPr="00E079AF" w:rsidRDefault="00FF6BE0" w:rsidP="007B0644">
      <w:pPr>
        <w:ind w:left="0" w:firstLine="0"/>
        <w:rPr>
          <w:szCs w:val="22"/>
        </w:rPr>
      </w:pPr>
      <w:r w:rsidRPr="00E079AF">
        <w:rPr>
          <w:b/>
          <w:szCs w:val="22"/>
        </w:rPr>
        <w:t>4.9</w:t>
      </w:r>
      <w:r w:rsidRPr="00E079AF">
        <w:rPr>
          <w:b/>
          <w:szCs w:val="22"/>
        </w:rPr>
        <w:tab/>
        <w:t>Predávkovanie</w:t>
      </w:r>
    </w:p>
    <w:p w14:paraId="515F4453" w14:textId="77777777" w:rsidR="007873EC" w:rsidRPr="00E079AF" w:rsidRDefault="007873EC" w:rsidP="007B0644">
      <w:pPr>
        <w:ind w:left="0" w:firstLine="0"/>
        <w:rPr>
          <w:szCs w:val="22"/>
          <w:u w:val="single"/>
        </w:rPr>
      </w:pPr>
    </w:p>
    <w:p w14:paraId="4ECD09D4" w14:textId="77777777" w:rsidR="00D12A60" w:rsidRPr="00D12A60" w:rsidRDefault="00D12A60" w:rsidP="007B0644">
      <w:pPr>
        <w:autoSpaceDE w:val="0"/>
        <w:autoSpaceDN w:val="0"/>
        <w:adjustRightInd w:val="0"/>
        <w:ind w:left="0" w:firstLine="0"/>
        <w:rPr>
          <w:color w:val="000000"/>
          <w:szCs w:val="22"/>
        </w:rPr>
      </w:pPr>
      <w:r w:rsidRPr="00D12A60">
        <w:rPr>
          <w:color w:val="000000"/>
          <w:szCs w:val="22"/>
        </w:rPr>
        <w:t>Počas klinických štúdií sa vyskytol jeden prípad predávkovania azacitidínom. U tohto pacienta sa vyskytla hnačka, nevoľnosť a vracanie po podaní jednej intravenóznej dávky približne 290 mg/m</w:t>
      </w:r>
      <w:r w:rsidRPr="00E079AF">
        <w:rPr>
          <w:color w:val="000000"/>
          <w:szCs w:val="22"/>
          <w:vertAlign w:val="superscript"/>
        </w:rPr>
        <w:t>2</w:t>
      </w:r>
      <w:r w:rsidRPr="00D12A60">
        <w:rPr>
          <w:color w:val="000000"/>
          <w:szCs w:val="22"/>
        </w:rPr>
        <w:t xml:space="preserve">, čo je takmer 4-násobok odporúčanej úvodnej dávky. </w:t>
      </w:r>
    </w:p>
    <w:p w14:paraId="014AD11D" w14:textId="77777777" w:rsidR="00103B21" w:rsidRDefault="00103B21" w:rsidP="00D12A60">
      <w:pPr>
        <w:ind w:left="0" w:firstLine="0"/>
        <w:rPr>
          <w:color w:val="000000"/>
          <w:szCs w:val="22"/>
        </w:rPr>
      </w:pPr>
    </w:p>
    <w:p w14:paraId="2AFEF683" w14:textId="5CC9639B" w:rsidR="00210401" w:rsidRPr="00E079AF" w:rsidRDefault="00D12A60" w:rsidP="00D12A60">
      <w:pPr>
        <w:ind w:left="0" w:firstLine="0"/>
        <w:rPr>
          <w:szCs w:val="22"/>
        </w:rPr>
      </w:pPr>
      <w:r w:rsidRPr="00E079AF">
        <w:rPr>
          <w:color w:val="000000"/>
          <w:szCs w:val="22"/>
        </w:rPr>
        <w:t>V prípade predávkovania sa má u pacienta sledovať krvný obraz a podľa potreby sa mu má podať podporná liečba. Nie je znám</w:t>
      </w:r>
      <w:r w:rsidR="00354936">
        <w:rPr>
          <w:color w:val="000000"/>
          <w:szCs w:val="22"/>
        </w:rPr>
        <w:t>e</w:t>
      </w:r>
      <w:r w:rsidRPr="00E079AF">
        <w:rPr>
          <w:color w:val="000000"/>
          <w:szCs w:val="22"/>
        </w:rPr>
        <w:t xml:space="preserve"> žiadn</w:t>
      </w:r>
      <w:r w:rsidR="00354936">
        <w:rPr>
          <w:color w:val="000000"/>
          <w:szCs w:val="22"/>
        </w:rPr>
        <w:t>e</w:t>
      </w:r>
      <w:r w:rsidRPr="00E079AF">
        <w:rPr>
          <w:color w:val="000000"/>
          <w:szCs w:val="22"/>
        </w:rPr>
        <w:t xml:space="preserve"> špecifick</w:t>
      </w:r>
      <w:r w:rsidR="00354936">
        <w:rPr>
          <w:color w:val="000000"/>
          <w:szCs w:val="22"/>
        </w:rPr>
        <w:t>é</w:t>
      </w:r>
      <w:r w:rsidRPr="00E079AF">
        <w:rPr>
          <w:color w:val="000000"/>
          <w:szCs w:val="22"/>
        </w:rPr>
        <w:t xml:space="preserve"> </w:t>
      </w:r>
      <w:r w:rsidR="00354936">
        <w:rPr>
          <w:color w:val="000000"/>
          <w:szCs w:val="22"/>
        </w:rPr>
        <w:t>antidotum</w:t>
      </w:r>
      <w:r w:rsidRPr="00E079AF">
        <w:rPr>
          <w:color w:val="000000"/>
          <w:szCs w:val="22"/>
        </w:rPr>
        <w:t xml:space="preserve"> na predávkovanie azacitidínom.</w:t>
      </w:r>
    </w:p>
    <w:p w14:paraId="1243DA08" w14:textId="77777777" w:rsidR="009B2C13" w:rsidRDefault="009B2C13" w:rsidP="00C92B0B">
      <w:pPr>
        <w:ind w:left="0" w:firstLine="0"/>
        <w:rPr>
          <w:szCs w:val="22"/>
        </w:rPr>
      </w:pPr>
    </w:p>
    <w:p w14:paraId="4460B5A9" w14:textId="77777777" w:rsidR="00A6296C" w:rsidRPr="00E079AF" w:rsidRDefault="00A6296C" w:rsidP="00C92B0B">
      <w:pPr>
        <w:ind w:left="0" w:firstLine="0"/>
        <w:rPr>
          <w:szCs w:val="22"/>
        </w:rPr>
      </w:pPr>
    </w:p>
    <w:p w14:paraId="50102199" w14:textId="77777777" w:rsidR="00FF6BE0" w:rsidRPr="00E079AF" w:rsidRDefault="00FF6BE0" w:rsidP="00C92B0B">
      <w:pPr>
        <w:rPr>
          <w:szCs w:val="22"/>
        </w:rPr>
      </w:pPr>
      <w:r w:rsidRPr="00E079AF">
        <w:rPr>
          <w:b/>
          <w:szCs w:val="22"/>
        </w:rPr>
        <w:t>5.</w:t>
      </w:r>
      <w:r w:rsidRPr="00E079AF">
        <w:rPr>
          <w:b/>
          <w:szCs w:val="22"/>
        </w:rPr>
        <w:tab/>
        <w:t>FARMAKOLOGICKÉ VLASTNOSTI</w:t>
      </w:r>
    </w:p>
    <w:p w14:paraId="15E5C95F" w14:textId="77777777" w:rsidR="00FF6BE0" w:rsidRPr="00E079AF" w:rsidRDefault="00FF6BE0" w:rsidP="00C92B0B">
      <w:pPr>
        <w:rPr>
          <w:bCs/>
          <w:szCs w:val="22"/>
        </w:rPr>
      </w:pPr>
    </w:p>
    <w:p w14:paraId="2B6AEC5F" w14:textId="77777777" w:rsidR="00FF6BE0" w:rsidRPr="00E079AF" w:rsidRDefault="00FF6BE0" w:rsidP="00C92B0B">
      <w:pPr>
        <w:rPr>
          <w:szCs w:val="22"/>
        </w:rPr>
      </w:pPr>
      <w:r w:rsidRPr="00E079AF">
        <w:rPr>
          <w:b/>
          <w:szCs w:val="22"/>
        </w:rPr>
        <w:t>5.1</w:t>
      </w:r>
      <w:r w:rsidRPr="00E079AF">
        <w:rPr>
          <w:b/>
          <w:szCs w:val="22"/>
        </w:rPr>
        <w:tab/>
        <w:t>Farmakodynamické vlastnosti</w:t>
      </w:r>
    </w:p>
    <w:p w14:paraId="3FFACE74" w14:textId="77777777" w:rsidR="00FF6BE0" w:rsidRPr="00E079AF" w:rsidRDefault="00FF6BE0" w:rsidP="00C92B0B">
      <w:pPr>
        <w:rPr>
          <w:szCs w:val="22"/>
        </w:rPr>
      </w:pPr>
    </w:p>
    <w:p w14:paraId="13CF1F18" w14:textId="75032A76" w:rsidR="00D12A60" w:rsidRPr="00E079AF" w:rsidRDefault="00D12A60" w:rsidP="00D12A60">
      <w:pPr>
        <w:autoSpaceDE w:val="0"/>
        <w:autoSpaceDN w:val="0"/>
        <w:adjustRightInd w:val="0"/>
        <w:ind w:left="0" w:firstLine="0"/>
        <w:rPr>
          <w:color w:val="000000"/>
          <w:szCs w:val="22"/>
        </w:rPr>
      </w:pPr>
      <w:r w:rsidRPr="00D12A60">
        <w:rPr>
          <w:color w:val="000000"/>
          <w:szCs w:val="22"/>
        </w:rPr>
        <w:t xml:space="preserve">Farmakoterapeutická skupina: </w:t>
      </w:r>
      <w:r w:rsidR="002242AC">
        <w:rPr>
          <w:color w:val="000000"/>
          <w:szCs w:val="22"/>
        </w:rPr>
        <w:t>Cytostatiká</w:t>
      </w:r>
      <w:r w:rsidRPr="00D12A60">
        <w:rPr>
          <w:color w:val="000000"/>
          <w:szCs w:val="22"/>
        </w:rPr>
        <w:t xml:space="preserve">, analógy pyrimidínu; ATC kód: L01BC07 </w:t>
      </w:r>
    </w:p>
    <w:p w14:paraId="0BE8A53A" w14:textId="77777777" w:rsidR="009806AF" w:rsidRPr="00D12A60" w:rsidRDefault="009806AF" w:rsidP="00D12A60">
      <w:pPr>
        <w:autoSpaceDE w:val="0"/>
        <w:autoSpaceDN w:val="0"/>
        <w:adjustRightInd w:val="0"/>
        <w:ind w:left="0" w:firstLine="0"/>
        <w:rPr>
          <w:color w:val="000000"/>
          <w:szCs w:val="22"/>
        </w:rPr>
      </w:pPr>
    </w:p>
    <w:p w14:paraId="77175CD0"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Mechanizmus účinku </w:t>
      </w:r>
    </w:p>
    <w:p w14:paraId="565080FC" w14:textId="77777777" w:rsidR="009806AF" w:rsidRPr="009806AF" w:rsidRDefault="009806AF" w:rsidP="009806AF">
      <w:pPr>
        <w:autoSpaceDE w:val="0"/>
        <w:autoSpaceDN w:val="0"/>
        <w:adjustRightInd w:val="0"/>
        <w:ind w:left="0" w:firstLine="0"/>
        <w:rPr>
          <w:color w:val="000000"/>
          <w:szCs w:val="22"/>
          <w:u w:val="single"/>
        </w:rPr>
      </w:pPr>
    </w:p>
    <w:p w14:paraId="36C88AE0" w14:textId="639B2995" w:rsidR="009806AF" w:rsidRPr="00E079AF" w:rsidRDefault="00790E76" w:rsidP="00414128">
      <w:pPr>
        <w:ind w:left="0" w:firstLine="0"/>
        <w:rPr>
          <w:color w:val="000000"/>
          <w:szCs w:val="22"/>
        </w:rPr>
      </w:pPr>
      <w:r>
        <w:rPr>
          <w:color w:val="000000"/>
          <w:szCs w:val="22"/>
        </w:rPr>
        <w:t>P</w:t>
      </w:r>
      <w:r w:rsidR="009806AF" w:rsidRPr="00E079AF">
        <w:rPr>
          <w:color w:val="000000"/>
          <w:szCs w:val="22"/>
        </w:rPr>
        <w:t>redpokladá</w:t>
      </w:r>
      <w:r>
        <w:rPr>
          <w:color w:val="000000"/>
          <w:szCs w:val="22"/>
        </w:rPr>
        <w:t xml:space="preserve"> sa</w:t>
      </w:r>
      <w:r w:rsidR="009806AF" w:rsidRPr="00E079AF">
        <w:rPr>
          <w:color w:val="000000"/>
          <w:szCs w:val="22"/>
        </w:rPr>
        <w:t xml:space="preserve">, že </w:t>
      </w:r>
      <w:r>
        <w:rPr>
          <w:color w:val="000000"/>
          <w:szCs w:val="22"/>
        </w:rPr>
        <w:t xml:space="preserve">azacitidín </w:t>
      </w:r>
      <w:r w:rsidR="009806AF" w:rsidRPr="00E079AF">
        <w:rPr>
          <w:color w:val="000000"/>
          <w:szCs w:val="22"/>
        </w:rPr>
        <w:t>vykazuje svoje antineoplastické účinky pomocou viacerých mechanizmov vrátane cytotoxicity pôsobiacej na abnormálne hematopoetické bunky v kostnej dreni a hypometylácie DNA. Cytotoxické účinky azacitidínu môžu byť výsledkom viacerých mechanizmov vrátane inhibície syntézy DNA, RNA a proteínov, inkorporácie do RNA a DNA a aktivácie dráh vedúcich k poškodeniu DNA. Neproliferujúce bunky sú relatívne necitlivé na azacitidín. Inkorporácia</w:t>
      </w:r>
      <w:r w:rsidR="009806AF" w:rsidRPr="009806AF">
        <w:rPr>
          <w:color w:val="000000"/>
          <w:szCs w:val="22"/>
        </w:rPr>
        <w:t xml:space="preserve">azacitidínu do DNA má za následok inaktiváciu DNA metyltransferáz, čo vedie k hypometylácii DNA. Hypometylácia DNA u aberantne metylovaných génov zapojených do regulácie normálneho bunkového cyklu, diferenciácie a dráh bunkovej smrti, môže spôsobiť opätovnú exprimáciu týchto génov a obnovenie funkcií potláčajúcich tvorbu nádorov v nádorových bunkách. Relatívny význam hypometylácie DNA v porovnaní s cytotoxicitou alebo inými účinkami azacitidínu na klinické výsledky nebola stanovená. </w:t>
      </w:r>
    </w:p>
    <w:p w14:paraId="46847EAE" w14:textId="77777777" w:rsidR="009806AF" w:rsidRPr="009806AF" w:rsidRDefault="009806AF" w:rsidP="009806AF">
      <w:pPr>
        <w:autoSpaceDE w:val="0"/>
        <w:autoSpaceDN w:val="0"/>
        <w:adjustRightInd w:val="0"/>
        <w:ind w:left="0" w:firstLine="0"/>
        <w:rPr>
          <w:color w:val="000000"/>
          <w:szCs w:val="22"/>
        </w:rPr>
      </w:pPr>
    </w:p>
    <w:p w14:paraId="63FCA1BD" w14:textId="77777777" w:rsidR="009806AF" w:rsidRPr="00E079AF" w:rsidRDefault="009806AF" w:rsidP="009806AF">
      <w:pPr>
        <w:autoSpaceDE w:val="0"/>
        <w:autoSpaceDN w:val="0"/>
        <w:adjustRightInd w:val="0"/>
        <w:ind w:left="0" w:firstLine="0"/>
        <w:rPr>
          <w:color w:val="000000"/>
          <w:szCs w:val="22"/>
          <w:u w:val="single"/>
        </w:rPr>
      </w:pPr>
      <w:r w:rsidRPr="009806AF">
        <w:rPr>
          <w:color w:val="000000"/>
          <w:szCs w:val="22"/>
          <w:u w:val="single"/>
        </w:rPr>
        <w:t xml:space="preserve">Klinická účinnosť a bezpečnosť </w:t>
      </w:r>
    </w:p>
    <w:p w14:paraId="6DD5C944" w14:textId="77777777" w:rsidR="009806AF" w:rsidRPr="009806AF" w:rsidRDefault="009806AF" w:rsidP="009806AF">
      <w:pPr>
        <w:autoSpaceDE w:val="0"/>
        <w:autoSpaceDN w:val="0"/>
        <w:adjustRightInd w:val="0"/>
        <w:ind w:left="0" w:firstLine="0"/>
        <w:rPr>
          <w:color w:val="000000"/>
          <w:szCs w:val="22"/>
          <w:u w:val="single"/>
        </w:rPr>
      </w:pPr>
    </w:p>
    <w:p w14:paraId="3D972E57"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(MDS, CMML a AML [20-30 % blastov v kostnej dreni]) </w:t>
      </w:r>
    </w:p>
    <w:p w14:paraId="6BD9842A" w14:textId="3E1719D9" w:rsidR="009806AF" w:rsidRPr="009806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w:t>
      </w:r>
      <w:r w:rsidR="00790E76">
        <w:rPr>
          <w:color w:val="000000"/>
          <w:szCs w:val="22"/>
        </w:rPr>
        <w:t>ovej</w:t>
      </w:r>
      <w:r w:rsidRPr="009806AF">
        <w:rPr>
          <w:color w:val="000000"/>
          <w:szCs w:val="22"/>
        </w:rPr>
        <w:t xml:space="preserve">, kontrolovanej, otvorenej, randomizovanej, komparatívnej štúdii fázy 3 s paralelnými skupinami (AZA PH GL 2003 CL 001) u dospelých pacientov so stredne-2 a vysokorizikovým MDS podľa medzinárodného </w:t>
      </w:r>
      <w:r w:rsidRPr="009806AF">
        <w:rPr>
          <w:color w:val="000000"/>
          <w:szCs w:val="22"/>
        </w:rPr>
        <w:lastRenderedPageBreak/>
        <w:t>prognostického hodnotiaceho systému (IPSS), u pacientov s refraktérnou anémiou s prevahou blastov (</w:t>
      </w:r>
      <w:r w:rsidRPr="009806AF">
        <w:rPr>
          <w:i/>
          <w:iCs/>
          <w:color w:val="000000"/>
          <w:szCs w:val="22"/>
        </w:rPr>
        <w:t>refractory anaemia with excess blasts</w:t>
      </w:r>
      <w:r w:rsidRPr="009806AF">
        <w:rPr>
          <w:color w:val="000000"/>
          <w:szCs w:val="22"/>
        </w:rPr>
        <w:t>, RAEB), u pacientov s refraktérnou anémiou s prevahou blastov v transformácii (</w:t>
      </w:r>
      <w:r w:rsidRPr="009806AF">
        <w:rPr>
          <w:i/>
          <w:iCs/>
          <w:color w:val="000000"/>
          <w:szCs w:val="22"/>
        </w:rPr>
        <w:t>refractory anaemia with excess blasts in transformation</w:t>
      </w:r>
      <w:r w:rsidRPr="009806AF">
        <w:rPr>
          <w:color w:val="000000"/>
          <w:szCs w:val="22"/>
        </w:rPr>
        <w:t>, RAEB-T) a u pacientov s modifikovanou chronickou myelomonocytovou leukémiou (mCMML) podľa francúzsko-americko-britského (FAB) klasifikačného systému. Pacienti s RAEB-T (21-30 % blastov) sa podľa aktuálneho klasifikačného systému WHO považujú za pacientov s AML. Azacitidín spolu s najlepšou podpornou liečbou (</w:t>
      </w:r>
      <w:r w:rsidRPr="009806AF">
        <w:rPr>
          <w:i/>
          <w:iCs/>
          <w:color w:val="000000"/>
          <w:szCs w:val="22"/>
        </w:rPr>
        <w:t>best supportive care</w:t>
      </w:r>
      <w:r w:rsidRPr="009806AF">
        <w:rPr>
          <w:color w:val="000000"/>
          <w:szCs w:val="22"/>
        </w:rPr>
        <w:t>, BSC); (n = 179) sa porovnával s konvenčnými režimami liečby (</w:t>
      </w:r>
      <w:r w:rsidRPr="009806AF">
        <w:rPr>
          <w:i/>
          <w:iCs/>
          <w:color w:val="000000"/>
          <w:szCs w:val="22"/>
        </w:rPr>
        <w:t>conventional care regimens</w:t>
      </w:r>
      <w:r w:rsidRPr="009806AF">
        <w:rPr>
          <w:color w:val="000000"/>
          <w:szCs w:val="22"/>
        </w:rPr>
        <w:t xml:space="preserve">, CCR). CCR sa skladali zo samostatnej BSC (n = 105), nízkej dávky cytarabínu a BSC (n = 49) alebo zo štandardnej indukčnej chemoterapie a BSC (n = 25). Pacienti boli pred randomizáciou vyberaní svojím lekárom do 1 z 3 režimov CCR. Ak neboli pacienti randomizovaní na liečbu azacitidínom, boli liečení týmto vopred vybraným režimom. Ako súčasť kritérií </w:t>
      </w:r>
      <w:r w:rsidR="00790E76">
        <w:rPr>
          <w:color w:val="000000"/>
          <w:szCs w:val="22"/>
        </w:rPr>
        <w:t>na</w:t>
      </w:r>
      <w:r w:rsidRPr="009806AF">
        <w:rPr>
          <w:color w:val="000000"/>
          <w:szCs w:val="22"/>
        </w:rPr>
        <w:t xml:space="preserve"> zaradenie museli pacienti dosiahnuť výkonnostný stav podľa kritérií </w:t>
      </w:r>
      <w:r w:rsidRPr="009806AF">
        <w:rPr>
          <w:i/>
          <w:iCs/>
          <w:color w:val="000000"/>
          <w:szCs w:val="22"/>
        </w:rPr>
        <w:t xml:space="preserve">Eastern Cooperative Oncology Group </w:t>
      </w:r>
      <w:r w:rsidRPr="009806AF">
        <w:rPr>
          <w:color w:val="000000"/>
          <w:szCs w:val="22"/>
        </w:rPr>
        <w:t>(ECOG) na úrovni 0-2. Pacienti so sekundárnym MDS boli vylúčení zo štúdie. Primárnym cieľo</w:t>
      </w:r>
      <w:r w:rsidR="00790E76">
        <w:rPr>
          <w:color w:val="000000"/>
          <w:szCs w:val="22"/>
        </w:rPr>
        <w:t>vým ukazovateľom</w:t>
      </w:r>
      <w:r w:rsidRPr="009806AF">
        <w:rPr>
          <w:color w:val="000000"/>
          <w:szCs w:val="22"/>
        </w:rPr>
        <w:t xml:space="preserve"> štúdie bola celková doba prežívania. Azacitidín sa podával vo forme subkutánnej dávky 75 mg/m</w:t>
      </w:r>
      <w:r w:rsidRPr="00854A48">
        <w:rPr>
          <w:color w:val="000000"/>
          <w:szCs w:val="22"/>
          <w:vertAlign w:val="superscript"/>
        </w:rPr>
        <w:t xml:space="preserve">2 </w:t>
      </w:r>
      <w:r w:rsidRPr="009806AF">
        <w:rPr>
          <w:color w:val="000000"/>
          <w:szCs w:val="22"/>
        </w:rPr>
        <w:t xml:space="preserve">denne po dobu 7 dní, po ktorých nasledovala 21-dňová prestávka (28-dňový liečebný cyklus), pričom medián počtu cyklov bol 9 (rozsah = 1-39) a priemerný počet cyklov bol 10,2. V rámci populácie </w:t>
      </w:r>
      <w:r w:rsidRPr="009806AF">
        <w:rPr>
          <w:i/>
          <w:iCs/>
          <w:color w:val="000000"/>
          <w:szCs w:val="22"/>
        </w:rPr>
        <w:t xml:space="preserve">intent to treat </w:t>
      </w:r>
      <w:r w:rsidRPr="009806AF">
        <w:rPr>
          <w:color w:val="000000"/>
          <w:szCs w:val="22"/>
        </w:rPr>
        <w:t xml:space="preserve">(ITT, populácia všetkých randomizovaných pacientov) bol stredný vek 69 rokov (rozsah bol 38 až 88 rokov). </w:t>
      </w:r>
    </w:p>
    <w:p w14:paraId="17CA3408" w14:textId="77777777" w:rsidR="00EB748E" w:rsidRDefault="00EB748E" w:rsidP="009806AF">
      <w:pPr>
        <w:ind w:left="0" w:firstLine="0"/>
        <w:rPr>
          <w:color w:val="000000"/>
          <w:szCs w:val="22"/>
        </w:rPr>
      </w:pPr>
    </w:p>
    <w:p w14:paraId="12B020D1" w14:textId="38A47285" w:rsidR="009806AF" w:rsidRPr="00E079AF" w:rsidRDefault="009806AF" w:rsidP="009806AF">
      <w:pPr>
        <w:ind w:left="0" w:firstLine="0"/>
        <w:rPr>
          <w:color w:val="000000"/>
          <w:szCs w:val="22"/>
        </w:rPr>
      </w:pPr>
      <w:r w:rsidRPr="00E079AF">
        <w:rPr>
          <w:color w:val="000000"/>
          <w:szCs w:val="22"/>
        </w:rPr>
        <w:t>V rámci ITT analýzy 358 pacientov (179 pacientov liečených azacitidínom a 179 liečených CCR), viedla liečba azac</w:t>
      </w:r>
      <w:r w:rsidR="00EB748E">
        <w:rPr>
          <w:color w:val="000000"/>
          <w:szCs w:val="22"/>
        </w:rPr>
        <w:t>i</w:t>
      </w:r>
      <w:r w:rsidRPr="00E079AF">
        <w:rPr>
          <w:color w:val="000000"/>
          <w:szCs w:val="22"/>
        </w:rPr>
        <w:t>tidínom k mediánu prežívania 24,46 mesiacov oproti 15,02 mesiacom u pacientov liečených CCR, čo je rozdiel 9,4 mesiacov, so stratifikovanou log-rank p-hodnotou = 0,0001. Miera rizika pre liečebný účinok bola 0,58 (95 % CI: 0,43; 0,77). Dvojročné miery prežívania boli 50,8 % u pacientov dostávajúcich azacitidín oproti 26,2 % u pacientov dostávajúcich CCR (p &lt; 0,0001).</w:t>
      </w:r>
    </w:p>
    <w:p w14:paraId="09E7B896" w14:textId="77777777" w:rsidR="009806AF" w:rsidRPr="00E079AF" w:rsidRDefault="009806AF" w:rsidP="00C22352">
      <w:pPr>
        <w:ind w:left="0" w:firstLine="0"/>
        <w:rPr>
          <w:color w:val="000000"/>
          <w:szCs w:val="22"/>
        </w:rPr>
      </w:pPr>
    </w:p>
    <w:p w14:paraId="19A110FC" w14:textId="07535EB6" w:rsidR="009806AF" w:rsidRPr="00E079AF" w:rsidRDefault="009806AF" w:rsidP="00C22352">
      <w:pPr>
        <w:ind w:left="0" w:firstLine="0"/>
        <w:rPr>
          <w:color w:val="000000"/>
          <w:szCs w:val="22"/>
        </w:rPr>
      </w:pPr>
    </w:p>
    <w:p w14:paraId="531559C1" w14:textId="77777777" w:rsidR="009806AF" w:rsidRPr="00E079AF" w:rsidRDefault="009806AF" w:rsidP="00C22352">
      <w:pPr>
        <w:ind w:left="0" w:firstLine="0"/>
        <w:rPr>
          <w:color w:val="000000"/>
          <w:szCs w:val="22"/>
        </w:rPr>
      </w:pPr>
    </w:p>
    <w:p w14:paraId="378E6EE8" w14:textId="4FE34ADC" w:rsidR="00D17F21" w:rsidRDefault="00D17F21" w:rsidP="009806AF">
      <w:pPr>
        <w:autoSpaceDE w:val="0"/>
        <w:autoSpaceDN w:val="0"/>
        <w:adjustRightInd w:val="0"/>
        <w:ind w:left="0" w:firstLine="0"/>
        <w:rPr>
          <w:color w:val="000000"/>
          <w:szCs w:val="22"/>
        </w:rPr>
      </w:pPr>
      <w:r w:rsidRPr="001C4E12">
        <w:rPr>
          <w:noProof/>
        </w:rPr>
        <mc:AlternateContent>
          <mc:Choice Requires="wpg">
            <w:drawing>
              <wp:anchor distT="0" distB="0" distL="0" distR="0" simplePos="0" relativeHeight="251659264" behindDoc="1" locked="0" layoutInCell="1" allowOverlap="1" wp14:anchorId="5DBBA84C" wp14:editId="076DED49">
                <wp:simplePos x="0" y="0"/>
                <wp:positionH relativeFrom="page">
                  <wp:posOffset>904875</wp:posOffset>
                </wp:positionH>
                <wp:positionV relativeFrom="paragraph">
                  <wp:posOffset>165735</wp:posOffset>
                </wp:positionV>
                <wp:extent cx="5405755" cy="3627120"/>
                <wp:effectExtent l="0" t="0" r="4445" b="0"/>
                <wp:wrapTopAndBottom/>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5755" cy="3627120"/>
                          <a:chOff x="1799" y="192"/>
                          <a:chExt cx="8513" cy="5712"/>
                        </a:xfrm>
                      </wpg:grpSpPr>
                      <pic:pic xmlns:pic="http://schemas.openxmlformats.org/drawingml/2006/picture">
                        <pic:nvPicPr>
                          <pic:cNvPr id="41" name="Picture 4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799" y="192"/>
                            <a:ext cx="8513" cy="57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2" name="Text Box 45"/>
                        <wps:cNvSpPr txBox="1">
                          <a:spLocks noChangeArrowheads="1"/>
                        </wps:cNvSpPr>
                        <wps:spPr bwMode="auto">
                          <a:xfrm>
                            <a:off x="6651" y="385"/>
                            <a:ext cx="3353" cy="6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524EC" w14:textId="77777777" w:rsidR="00C761F1" w:rsidRDefault="00C761F1" w:rsidP="00D17F21">
                              <w:pPr>
                                <w:spacing w:line="252" w:lineRule="auto"/>
                                <w:rPr>
                                  <w:rFonts w:ascii="Arial" w:hAnsi="Arial"/>
                                  <w:sz w:val="18"/>
                                </w:rPr>
                              </w:pPr>
                              <w:r>
                                <w:rPr>
                                  <w:rFonts w:ascii="Arial" w:hAnsi="Arial"/>
                                  <w:sz w:val="18"/>
                                </w:rPr>
                                <w:t xml:space="preserve">Log-rank p-hodnota = 0,0001 </w:t>
                              </w:r>
                            </w:p>
                            <w:p w14:paraId="1F34C8C3" w14:textId="65D6546A" w:rsidR="00C761F1" w:rsidRDefault="00C761F1" w:rsidP="00D17F21">
                              <w:pPr>
                                <w:spacing w:line="252" w:lineRule="auto"/>
                                <w:rPr>
                                  <w:rFonts w:ascii="Arial" w:hAnsi="Arial"/>
                                  <w:sz w:val="18"/>
                                </w:rPr>
                              </w:pPr>
                              <w:r>
                                <w:rPr>
                                  <w:rFonts w:ascii="Arial" w:hAnsi="Arial"/>
                                  <w:sz w:val="18"/>
                                </w:rPr>
                                <w:t>HR 0,58 [95 % CI: 0,43-0,77]</w:t>
                              </w:r>
                            </w:p>
                            <w:p w14:paraId="6377CAF8" w14:textId="4706A001" w:rsidR="00C761F1" w:rsidRDefault="00C761F1" w:rsidP="00D17F21">
                              <w:pPr>
                                <w:spacing w:line="252" w:lineRule="auto"/>
                                <w:rPr>
                                  <w:rFonts w:ascii="Arial" w:hAnsi="Arial"/>
                                  <w:sz w:val="18"/>
                                </w:rPr>
                              </w:pPr>
                              <w:r>
                                <w:rPr>
                                  <w:rFonts w:ascii="Arial" w:hAnsi="Arial"/>
                                  <w:sz w:val="18"/>
                                </w:rPr>
                                <w:t xml:space="preserve"> Úmrtia: AZA = 82, CCR = 113</w:t>
                              </w:r>
                            </w:p>
                          </w:txbxContent>
                        </wps:txbx>
                        <wps:bodyPr rot="0" vert="horz" wrap="square" lIns="0" tIns="0" rIns="0" bIns="0" anchor="t" anchorCtr="0" upright="1">
                          <a:noAutofit/>
                        </wps:bodyPr>
                      </wps:wsp>
                      <wps:wsp>
                        <wps:cNvPr id="43" name="Text Box 44"/>
                        <wps:cNvSpPr txBox="1">
                          <a:spLocks noChangeArrowheads="1"/>
                        </wps:cNvSpPr>
                        <wps:spPr bwMode="auto">
                          <a:xfrm>
                            <a:off x="7675" y="2339"/>
                            <a:ext cx="80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B271ED" w14:textId="77777777" w:rsidR="00C761F1" w:rsidRDefault="00C761F1" w:rsidP="00D17F21">
                              <w:pPr>
                                <w:spacing w:line="204" w:lineRule="exact"/>
                                <w:rPr>
                                  <w:rFonts w:ascii="Arial"/>
                                  <w:sz w:val="18"/>
                                </w:rPr>
                              </w:pPr>
                              <w:r>
                                <w:rPr>
                                  <w:rFonts w:ascii="Arial"/>
                                  <w:sz w:val="18"/>
                                </w:rPr>
                                <w:t>mesiacov</w:t>
                              </w:r>
                            </w:p>
                          </w:txbxContent>
                        </wps:txbx>
                        <wps:bodyPr rot="0" vert="horz" wrap="square" lIns="0" tIns="0" rIns="0" bIns="0" anchor="t" anchorCtr="0" upright="1">
                          <a:noAutofit/>
                        </wps:bodyPr>
                      </wps:wsp>
                      <wps:wsp>
                        <wps:cNvPr id="44" name="Text Box 43"/>
                        <wps:cNvSpPr txBox="1">
                          <a:spLocks noChangeArrowheads="1"/>
                        </wps:cNvSpPr>
                        <wps:spPr bwMode="auto">
                          <a:xfrm>
                            <a:off x="4566" y="2981"/>
                            <a:ext cx="812"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C93ECE" w14:textId="77777777" w:rsidR="00C761F1" w:rsidRDefault="00C761F1" w:rsidP="00D17F21">
                              <w:pPr>
                                <w:spacing w:line="204" w:lineRule="exact"/>
                                <w:rPr>
                                  <w:rFonts w:ascii="Arial"/>
                                  <w:sz w:val="18"/>
                                </w:rPr>
                              </w:pPr>
                              <w:r>
                                <w:rPr>
                                  <w:rFonts w:ascii="Arial"/>
                                  <w:sz w:val="18"/>
                                </w:rPr>
                                <w:t>mesiacov</w:t>
                              </w:r>
                            </w:p>
                          </w:txbxContent>
                        </wps:txbx>
                        <wps:bodyPr rot="0" vert="horz" wrap="square" lIns="0" tIns="0" rIns="0" bIns="0" anchor="t" anchorCtr="0" upright="1">
                          <a:noAutofit/>
                        </wps:bodyPr>
                      </wps:wsp>
                      <wps:wsp>
                        <wps:cNvPr id="45" name="Text Box 42"/>
                        <wps:cNvSpPr txBox="1">
                          <a:spLocks noChangeArrowheads="1"/>
                        </wps:cNvSpPr>
                        <wps:spPr bwMode="auto">
                          <a:xfrm>
                            <a:off x="4751" y="5131"/>
                            <a:ext cx="2969" cy="2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B3709" w14:textId="77777777" w:rsidR="00C761F1" w:rsidRDefault="00C761F1" w:rsidP="00D17F21">
                              <w:pPr>
                                <w:spacing w:line="204" w:lineRule="exact"/>
                                <w:rPr>
                                  <w:rFonts w:ascii="Arial" w:hAnsi="Arial"/>
                                  <w:sz w:val="18"/>
                                </w:rPr>
                              </w:pPr>
                              <w:r>
                                <w:rPr>
                                  <w:rFonts w:ascii="Arial" w:hAnsi="Arial"/>
                                  <w:sz w:val="18"/>
                                </w:rPr>
                                <w:t>Čas (v mesiacoch) od randomizácie</w:t>
                              </w:r>
                            </w:p>
                          </w:txbxContent>
                        </wps:txbx>
                        <wps:bodyPr rot="0" vert="horz" wrap="square" lIns="0" tIns="0" rIns="0" bIns="0" anchor="t" anchorCtr="0" upright="1">
                          <a:noAutofit/>
                        </wps:bodyPr>
                      </wps:wsp>
                      <wps:wsp>
                        <wps:cNvPr id="46" name="Text Box 41"/>
                        <wps:cNvSpPr txBox="1">
                          <a:spLocks noChangeArrowheads="1"/>
                        </wps:cNvSpPr>
                        <wps:spPr bwMode="auto">
                          <a:xfrm>
                            <a:off x="1825" y="5419"/>
                            <a:ext cx="1275"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B11B7" w14:textId="77777777" w:rsidR="00C761F1" w:rsidRDefault="00C761F1" w:rsidP="00D17F21">
                              <w:pPr>
                                <w:spacing w:line="190" w:lineRule="exact"/>
                                <w:rPr>
                                  <w:rFonts w:ascii="Arial" w:hAnsi="Arial"/>
                                  <w:sz w:val="17"/>
                                </w:rPr>
                              </w:pPr>
                              <w:r>
                                <w:rPr>
                                  <w:rFonts w:ascii="Arial" w:hAnsi="Arial"/>
                                  <w:spacing w:val="-3"/>
                                  <w:sz w:val="17"/>
                                </w:rPr>
                                <w:t xml:space="preserve">Počet </w:t>
                              </w:r>
                              <w:r>
                                <w:rPr>
                                  <w:rFonts w:ascii="Arial" w:hAnsi="Arial"/>
                                  <w:sz w:val="17"/>
                                </w:rPr>
                                <w:t xml:space="preserve">v </w:t>
                              </w:r>
                              <w:r>
                                <w:rPr>
                                  <w:rFonts w:ascii="Arial" w:hAnsi="Arial"/>
                                  <w:spacing w:val="-3"/>
                                  <w:sz w:val="17"/>
                                </w:rPr>
                                <w:t>ohrození</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5DBBA84C" id="Group 40" o:spid="_x0000_s1026" style="position:absolute;margin-left:71.25pt;margin-top:13.05pt;width:425.65pt;height:285.6pt;z-index:-251657216;mso-wrap-distance-left:0;mso-wrap-distance-right:0;mso-position-horizontal-relative:page" coordorigin="1799,192" coordsize="8513,57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6" o:spid="_x0000_s1027" type="#_x0000_t75" style="position:absolute;left:1799;top:192;width:8513;height:57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NozKPEAAAA2wAAAA8AAABkcnMvZG93bnJldi54bWxEj0FrAjEUhO8F/0N4Qm+aXW2LbI0iilS8&#10;lKrQ9vbYPDeLm5ewSXX990YQehxm5htmOu9sI87UhtqxgnyYgSAuna65UnDYrwcTECEia2wck4Ir&#10;BZjPek9TLLS78Bedd7ESCcKhQAUmRl9IGUpDFsPQeeLkHV1rMSbZVlK3eElw28hRlr1JizWnBYOe&#10;lobK0+7PKvj49uOTXZmf/HNzyLfLV59p+6vUc79bvIOI1MX/8KO90Qpecrh/ST9Az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NozKPEAAAA2wAAAA8AAAAAAAAAAAAAAAAA&#10;nwIAAGRycy9kb3ducmV2LnhtbFBLBQYAAAAABAAEAPcAAACQAwAAAAA=&#10;">
                  <v:imagedata r:id="rId11" o:title=""/>
                </v:shape>
                <v:shapetype id="_x0000_t202" coordsize="21600,21600" o:spt="202" path="m,l,21600r21600,l21600,xe">
                  <v:stroke joinstyle="miter"/>
                  <v:path gradientshapeok="t" o:connecttype="rect"/>
                </v:shapetype>
                <v:shape id="Text Box 45" o:spid="_x0000_s1028" type="#_x0000_t202" style="position:absolute;left:6651;top:385;width:3353;height: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14:paraId="643524EC" w14:textId="77777777" w:rsidR="00C761F1" w:rsidRDefault="00C761F1" w:rsidP="00D17F21">
                        <w:pPr>
                          <w:spacing w:line="252" w:lineRule="auto"/>
                          <w:rPr>
                            <w:rFonts w:ascii="Arial" w:hAnsi="Arial"/>
                            <w:sz w:val="18"/>
                          </w:rPr>
                        </w:pPr>
                        <w:r>
                          <w:rPr>
                            <w:rFonts w:ascii="Arial" w:hAnsi="Arial"/>
                            <w:sz w:val="18"/>
                          </w:rPr>
                          <w:t xml:space="preserve">Log-rank p-hodnota = 0,0001 </w:t>
                        </w:r>
                      </w:p>
                      <w:p w14:paraId="1F34C8C3" w14:textId="65D6546A" w:rsidR="00C761F1" w:rsidRDefault="00C761F1" w:rsidP="00D17F21">
                        <w:pPr>
                          <w:spacing w:line="252" w:lineRule="auto"/>
                          <w:rPr>
                            <w:rFonts w:ascii="Arial" w:hAnsi="Arial"/>
                            <w:sz w:val="18"/>
                          </w:rPr>
                        </w:pPr>
                        <w:r>
                          <w:rPr>
                            <w:rFonts w:ascii="Arial" w:hAnsi="Arial"/>
                            <w:sz w:val="18"/>
                          </w:rPr>
                          <w:t>HR 0,58 [95 % CI: 0,43-0,77]</w:t>
                        </w:r>
                      </w:p>
                      <w:p w14:paraId="6377CAF8" w14:textId="4706A001" w:rsidR="00C761F1" w:rsidRDefault="00C761F1" w:rsidP="00D17F21">
                        <w:pPr>
                          <w:spacing w:line="252" w:lineRule="auto"/>
                          <w:rPr>
                            <w:rFonts w:ascii="Arial" w:hAnsi="Arial"/>
                            <w:sz w:val="18"/>
                          </w:rPr>
                        </w:pPr>
                        <w:r>
                          <w:rPr>
                            <w:rFonts w:ascii="Arial" w:hAnsi="Arial"/>
                            <w:sz w:val="18"/>
                          </w:rPr>
                          <w:t xml:space="preserve"> Úmrtia: AZA = 82, CCR = 113</w:t>
                        </w:r>
                      </w:p>
                    </w:txbxContent>
                  </v:textbox>
                </v:shape>
                <v:shape id="Text Box 44" o:spid="_x0000_s1029" type="#_x0000_t202" style="position:absolute;left:7675;top:2339;width:80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14:paraId="05B271ED" w14:textId="77777777" w:rsidR="00C761F1" w:rsidRDefault="00C761F1" w:rsidP="00D17F21">
                        <w:pPr>
                          <w:spacing w:line="204" w:lineRule="exact"/>
                          <w:rPr>
                            <w:rFonts w:ascii="Arial"/>
                            <w:sz w:val="18"/>
                          </w:rPr>
                        </w:pPr>
                        <w:r>
                          <w:rPr>
                            <w:rFonts w:ascii="Arial"/>
                            <w:sz w:val="18"/>
                          </w:rPr>
                          <w:t>mesiacov</w:t>
                        </w:r>
                      </w:p>
                    </w:txbxContent>
                  </v:textbox>
                </v:shape>
                <v:shape id="Text Box 43" o:spid="_x0000_s1030" type="#_x0000_t202" style="position:absolute;left:4566;top:2981;width:812;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14:paraId="29C93ECE" w14:textId="77777777" w:rsidR="00C761F1" w:rsidRDefault="00C761F1" w:rsidP="00D17F21">
                        <w:pPr>
                          <w:spacing w:line="204" w:lineRule="exact"/>
                          <w:rPr>
                            <w:rFonts w:ascii="Arial"/>
                            <w:sz w:val="18"/>
                          </w:rPr>
                        </w:pPr>
                        <w:r>
                          <w:rPr>
                            <w:rFonts w:ascii="Arial"/>
                            <w:sz w:val="18"/>
                          </w:rPr>
                          <w:t>mesiacov</w:t>
                        </w:r>
                      </w:p>
                    </w:txbxContent>
                  </v:textbox>
                </v:shape>
                <v:shape id="Text Box 42" o:spid="_x0000_s1031" type="#_x0000_t202" style="position:absolute;left:4751;top:5131;width:2969;height:2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14:paraId="287B3709" w14:textId="77777777" w:rsidR="00C761F1" w:rsidRDefault="00C761F1" w:rsidP="00D17F21">
                        <w:pPr>
                          <w:spacing w:line="204" w:lineRule="exact"/>
                          <w:rPr>
                            <w:rFonts w:ascii="Arial" w:hAnsi="Arial"/>
                            <w:sz w:val="18"/>
                          </w:rPr>
                        </w:pPr>
                        <w:r>
                          <w:rPr>
                            <w:rFonts w:ascii="Arial" w:hAnsi="Arial"/>
                            <w:sz w:val="18"/>
                          </w:rPr>
                          <w:t>Čas (v mesiacoch) od randomizácie</w:t>
                        </w:r>
                      </w:p>
                    </w:txbxContent>
                  </v:textbox>
                </v:shape>
                <v:shape id="Text Box 41" o:spid="_x0000_s1032" type="#_x0000_t202" style="position:absolute;left:1825;top:5419;width:1275;height:1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14:paraId="19FB11B7" w14:textId="77777777" w:rsidR="00C761F1" w:rsidRDefault="00C761F1" w:rsidP="00D17F21">
                        <w:pPr>
                          <w:spacing w:line="190" w:lineRule="exact"/>
                          <w:rPr>
                            <w:rFonts w:ascii="Arial" w:hAnsi="Arial"/>
                            <w:sz w:val="17"/>
                          </w:rPr>
                        </w:pPr>
                        <w:r>
                          <w:rPr>
                            <w:rFonts w:ascii="Arial" w:hAnsi="Arial"/>
                            <w:spacing w:val="-3"/>
                            <w:sz w:val="17"/>
                          </w:rPr>
                          <w:t xml:space="preserve">Počet </w:t>
                        </w:r>
                        <w:r>
                          <w:rPr>
                            <w:rFonts w:ascii="Arial" w:hAnsi="Arial"/>
                            <w:sz w:val="17"/>
                          </w:rPr>
                          <w:t xml:space="preserve">v </w:t>
                        </w:r>
                        <w:r>
                          <w:rPr>
                            <w:rFonts w:ascii="Arial" w:hAnsi="Arial"/>
                            <w:spacing w:val="-3"/>
                            <w:sz w:val="17"/>
                          </w:rPr>
                          <w:t>ohrození</w:t>
                        </w:r>
                      </w:p>
                    </w:txbxContent>
                  </v:textbox>
                </v:shape>
                <w10:wrap type="topAndBottom" anchorx="page"/>
              </v:group>
            </w:pict>
          </mc:Fallback>
        </mc:AlternateContent>
      </w:r>
    </w:p>
    <w:p w14:paraId="6E418AD4" w14:textId="77777777" w:rsidR="00D17F21" w:rsidRDefault="00D17F21" w:rsidP="009806AF">
      <w:pPr>
        <w:autoSpaceDE w:val="0"/>
        <w:autoSpaceDN w:val="0"/>
        <w:adjustRightInd w:val="0"/>
        <w:ind w:left="0" w:firstLine="0"/>
        <w:rPr>
          <w:color w:val="000000"/>
          <w:szCs w:val="22"/>
        </w:rPr>
      </w:pPr>
    </w:p>
    <w:p w14:paraId="75212284"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LEGENDA: AZA = azacitidín, CCR = konvenčné režimy liečby (</w:t>
      </w:r>
      <w:r w:rsidRPr="009806AF">
        <w:rPr>
          <w:i/>
          <w:iCs/>
          <w:color w:val="000000"/>
          <w:szCs w:val="22"/>
        </w:rPr>
        <w:t>conventional care regimens</w:t>
      </w:r>
      <w:r w:rsidRPr="009806AF">
        <w:rPr>
          <w:color w:val="000000"/>
          <w:szCs w:val="22"/>
        </w:rPr>
        <w:t>), CI = interval spoľahlivosti (</w:t>
      </w:r>
      <w:r w:rsidRPr="009806AF">
        <w:rPr>
          <w:i/>
          <w:iCs/>
          <w:color w:val="000000"/>
          <w:szCs w:val="22"/>
        </w:rPr>
        <w:t>confidence interval</w:t>
      </w:r>
      <w:r w:rsidRPr="009806AF">
        <w:rPr>
          <w:color w:val="000000"/>
          <w:szCs w:val="22"/>
        </w:rPr>
        <w:t>), HR = miera rizika (</w:t>
      </w:r>
      <w:r w:rsidRPr="009806AF">
        <w:rPr>
          <w:i/>
          <w:iCs/>
          <w:color w:val="000000"/>
          <w:szCs w:val="22"/>
        </w:rPr>
        <w:t>hazard ratio</w:t>
      </w:r>
      <w:r w:rsidRPr="009806AF">
        <w:rPr>
          <w:color w:val="000000"/>
          <w:szCs w:val="22"/>
        </w:rPr>
        <w:t xml:space="preserve">) </w:t>
      </w:r>
    </w:p>
    <w:p w14:paraId="13362741" w14:textId="77777777" w:rsidR="009806AF" w:rsidRPr="009806AF" w:rsidRDefault="009806AF" w:rsidP="009806AF">
      <w:pPr>
        <w:autoSpaceDE w:val="0"/>
        <w:autoSpaceDN w:val="0"/>
        <w:adjustRightInd w:val="0"/>
        <w:ind w:left="0" w:firstLine="0"/>
        <w:rPr>
          <w:color w:val="000000"/>
          <w:szCs w:val="22"/>
        </w:rPr>
      </w:pPr>
    </w:p>
    <w:p w14:paraId="1F8CA17C" w14:textId="328178B5" w:rsidR="009806AF" w:rsidRPr="00E079AF" w:rsidRDefault="009806AF" w:rsidP="009806AF">
      <w:pPr>
        <w:autoSpaceDE w:val="0"/>
        <w:autoSpaceDN w:val="0"/>
        <w:adjustRightInd w:val="0"/>
        <w:ind w:left="0" w:firstLine="0"/>
        <w:rPr>
          <w:color w:val="000000"/>
          <w:szCs w:val="22"/>
        </w:rPr>
      </w:pPr>
      <w:r w:rsidRPr="003D0E05">
        <w:rPr>
          <w:color w:val="000000"/>
          <w:szCs w:val="22"/>
        </w:rPr>
        <w:lastRenderedPageBreak/>
        <w:t>Prínosy liečby azacitidínom v dĺžke prežívania</w:t>
      </w:r>
      <w:r w:rsidRPr="009806AF">
        <w:rPr>
          <w:color w:val="000000"/>
          <w:szCs w:val="22"/>
        </w:rPr>
        <w:t xml:space="preserve"> boli </w:t>
      </w:r>
      <w:r w:rsidR="001E28A9">
        <w:rPr>
          <w:color w:val="000000"/>
          <w:szCs w:val="22"/>
        </w:rPr>
        <w:t>zhodné</w:t>
      </w:r>
      <w:r w:rsidR="001E28A9" w:rsidRPr="009806AF">
        <w:rPr>
          <w:color w:val="000000"/>
          <w:szCs w:val="22"/>
        </w:rPr>
        <w:t xml:space="preserve"> </w:t>
      </w:r>
      <w:r w:rsidR="001E28A9">
        <w:rPr>
          <w:color w:val="000000"/>
          <w:szCs w:val="22"/>
        </w:rPr>
        <w:t>bez ohľadu na</w:t>
      </w:r>
      <w:r w:rsidRPr="009806AF">
        <w:rPr>
          <w:color w:val="000000"/>
          <w:szCs w:val="22"/>
        </w:rPr>
        <w:t xml:space="preserve"> možnosti liečby CCR (samostatne BSC, nízke dávky cytarabínu s BSC alebo štandardná indukčná chemoterapia s BSC) použitými v kontrolnej skupine. </w:t>
      </w:r>
    </w:p>
    <w:p w14:paraId="711BE6B7" w14:textId="77777777" w:rsidR="009806AF" w:rsidRPr="009806AF" w:rsidRDefault="009806AF" w:rsidP="009806AF">
      <w:pPr>
        <w:autoSpaceDE w:val="0"/>
        <w:autoSpaceDN w:val="0"/>
        <w:adjustRightInd w:val="0"/>
        <w:ind w:left="0" w:firstLine="0"/>
        <w:rPr>
          <w:color w:val="000000"/>
          <w:szCs w:val="22"/>
        </w:rPr>
      </w:pPr>
    </w:p>
    <w:p w14:paraId="566EDE0F"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Pri analýze cytogenetických podskupín IPSS bol zistený podobný medián celkovej doby prežívania vo všetkých skupinách (priaznivá, intermediálna, nepriaznivá cytogenetika, vrátane monozómie 7). </w:t>
      </w:r>
    </w:p>
    <w:p w14:paraId="7649CEB8" w14:textId="77777777" w:rsidR="009806AF" w:rsidRPr="009806AF" w:rsidRDefault="009806AF" w:rsidP="009806AF">
      <w:pPr>
        <w:autoSpaceDE w:val="0"/>
        <w:autoSpaceDN w:val="0"/>
        <w:adjustRightInd w:val="0"/>
        <w:ind w:left="0" w:firstLine="0"/>
        <w:rPr>
          <w:color w:val="000000"/>
          <w:szCs w:val="22"/>
        </w:rPr>
      </w:pPr>
    </w:p>
    <w:p w14:paraId="088C70EB"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V rámci analýz vekových podskupín bol vo všetkých skupinách (&lt; 65 rokov, ≥ 65 rokov a ≥ 75 rokov) zistený nárast mediánu celkovej doby prežívania. </w:t>
      </w:r>
    </w:p>
    <w:p w14:paraId="0ED49575" w14:textId="77777777" w:rsidR="009806AF" w:rsidRPr="009806AF" w:rsidRDefault="009806AF" w:rsidP="009806AF">
      <w:pPr>
        <w:autoSpaceDE w:val="0"/>
        <w:autoSpaceDN w:val="0"/>
        <w:adjustRightInd w:val="0"/>
        <w:ind w:left="0" w:firstLine="0"/>
        <w:rPr>
          <w:color w:val="000000"/>
          <w:szCs w:val="22"/>
        </w:rPr>
      </w:pPr>
    </w:p>
    <w:p w14:paraId="0C7651D2"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Liečba azacitidínom bola spojená s mediánom doby do úmrtia alebo do transformácie na AML 13,0 mesiaca oproti 7,6 mesiaca u pacientov podstupujúcich liečbu CCR, čo je zlepšenie o 5,4 mesiaca so stratifikovanou log-rank p-hodnotou = 0,0025. </w:t>
      </w:r>
    </w:p>
    <w:p w14:paraId="322D8E20" w14:textId="77777777" w:rsidR="009806AF" w:rsidRPr="009806AF" w:rsidRDefault="009806AF" w:rsidP="009806AF">
      <w:pPr>
        <w:autoSpaceDE w:val="0"/>
        <w:autoSpaceDN w:val="0"/>
        <w:adjustRightInd w:val="0"/>
        <w:ind w:left="0" w:firstLine="0"/>
        <w:rPr>
          <w:color w:val="000000"/>
          <w:szCs w:val="22"/>
        </w:rPr>
      </w:pPr>
    </w:p>
    <w:p w14:paraId="18B23B3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Liečba azacitidínom bola tiež spojená s poklesom cytopénií a s nimi súvisiacich príznakov. Liečba azacitidínom viedla k zníženej potrebe transfúzie erytrocytov a trombocytov. Z pacientov v skupine liečenej azacitidínom, ktorí boli na začiatku liečby závislí od transfúzie erytrocytov, sa 45,0 % počas liečby stalo nezávislými od transfúzie erytrocytov v porovnaní s 11,4 % pacientov v kombinácii skupín CCR (štatisticky významný (p &lt; 0,0001) rozdiel bol 33,6 % (95 % CI: 22,4; 44,6)). U pacientov v skupine liečenej azacitidínom, ktorí boli na začiatku závislí od transfúzie erytrocytov a stali sa od nej nezávislými, bol medián doby nezávislosti od transfúzie erytrocytov 13 mesiacov.</w:t>
      </w:r>
    </w:p>
    <w:p w14:paraId="0897764B" w14:textId="77777777" w:rsidR="009806AF" w:rsidRPr="009806AF" w:rsidRDefault="009806AF" w:rsidP="009806AF">
      <w:pPr>
        <w:autoSpaceDE w:val="0"/>
        <w:autoSpaceDN w:val="0"/>
        <w:adjustRightInd w:val="0"/>
        <w:ind w:left="0" w:firstLine="0"/>
        <w:rPr>
          <w:color w:val="000000"/>
          <w:szCs w:val="22"/>
        </w:rPr>
      </w:pPr>
      <w:r w:rsidRPr="009806AF">
        <w:rPr>
          <w:color w:val="000000"/>
          <w:szCs w:val="22"/>
        </w:rPr>
        <w:t xml:space="preserve"> </w:t>
      </w:r>
    </w:p>
    <w:p w14:paraId="35A1DAA3" w14:textId="77777777" w:rsidR="009806AF" w:rsidRPr="00EA332A" w:rsidRDefault="009806AF" w:rsidP="009806AF">
      <w:pPr>
        <w:pStyle w:val="Default"/>
        <w:rPr>
          <w:sz w:val="22"/>
          <w:szCs w:val="22"/>
          <w:lang w:val="sk-SK" w:eastAsia="sk-SK"/>
        </w:rPr>
      </w:pPr>
      <w:r w:rsidRPr="00854A48">
        <w:rPr>
          <w:sz w:val="22"/>
          <w:szCs w:val="22"/>
          <w:lang w:val="sk-SK"/>
        </w:rPr>
        <w:t>Odpoveď bola vyhodnotená skúšajúcim alebo nezávislou komisiou (</w:t>
      </w:r>
      <w:r w:rsidRPr="00854A48">
        <w:rPr>
          <w:i/>
          <w:iCs/>
          <w:sz w:val="22"/>
          <w:szCs w:val="22"/>
          <w:lang w:val="sk-SK"/>
        </w:rPr>
        <w:t>Independet Review Committee</w:t>
      </w:r>
      <w:r w:rsidRPr="00854A48">
        <w:rPr>
          <w:sz w:val="22"/>
          <w:szCs w:val="22"/>
          <w:lang w:val="sk-SK"/>
        </w:rPr>
        <w:t>, IRC). Celková odpoveď (úplná remisia [CR] + čiastočná remisia [PR]) stanovená skúšajúcim bola 29 % v skupine liečenej azacitidínom a 12 % v kombinácii skupín CCR (p = 0,0001). Celková odpoveď (CR + PR) stanovená IRC v štúdii AZA PH GL 2003 CL 001 bola 7 % (12/179) v skupine liečenej azacitidínom v porovnaní s 1 % (2/179) v kombinácii skupín CCR (p = 0,0113). Rozdiely medzi hodnotením IRC a hodnotením skúšajúceho boli dôsledkom kritérií medzinárodnej pracovnej skupiny (</w:t>
      </w:r>
      <w:r w:rsidRPr="00854A48">
        <w:rPr>
          <w:i/>
          <w:iCs/>
          <w:sz w:val="22"/>
          <w:szCs w:val="22"/>
          <w:lang w:val="sk-SK"/>
        </w:rPr>
        <w:t>International Working Group</w:t>
      </w:r>
      <w:r w:rsidRPr="00854A48">
        <w:rPr>
          <w:sz w:val="22"/>
          <w:szCs w:val="22"/>
          <w:lang w:val="sk-SK"/>
        </w:rPr>
        <w:t xml:space="preserve">, IWG), vyžadujúcimi zlepšenie periférneho krvného obrazu </w:t>
      </w:r>
      <w:r w:rsidRPr="003733DA">
        <w:rPr>
          <w:sz w:val="22"/>
          <w:szCs w:val="22"/>
          <w:lang w:val="sk-SK" w:eastAsia="sk-SK"/>
        </w:rPr>
        <w:t xml:space="preserve">a zachovanie tohto zlepšenia po dobu najmenej 56 dní. Prínos v prežívaní bol preukázaný aj u pacientov, ktorí nedosiahli úplnú/čiastočnú odpoveď na liečbu azacitidínom. Hematologické zlepšenie (veľké alebo malé) stanovené IRC sa dosiahlo u 49 % pacientov dostávajúcich azacitidín v porovnaní s 29 % pacientov v kombinácii skupín CCR (p &lt; 0,0001). </w:t>
      </w:r>
    </w:p>
    <w:p w14:paraId="1D4D6C52" w14:textId="77777777" w:rsidR="009806AF" w:rsidRPr="00E079AF" w:rsidRDefault="009806AF" w:rsidP="009806AF">
      <w:pPr>
        <w:pStyle w:val="Default"/>
        <w:rPr>
          <w:sz w:val="22"/>
          <w:szCs w:val="22"/>
          <w:lang w:val="sk-SK" w:eastAsia="sk-SK"/>
        </w:rPr>
      </w:pPr>
    </w:p>
    <w:p w14:paraId="3E4135BE" w14:textId="77777777"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U pacientov s jednou alebo viacerými cytogenetickými abnormalitami na začiatku liečby bolo percento pacientov s veľkou cytogenetickou odpoveďou podobné v skupine s azacitidínom a v kombinácii skupín CCR. Malá cytogenetická odpoveď bola štatisticky významne (p = 0,0015) vyššia v skupine s azacitidínom (34 %) v porovnaní s kombináciou skupín CCR (10 %). </w:t>
      </w:r>
    </w:p>
    <w:p w14:paraId="66B79D74" w14:textId="77777777" w:rsidR="009806AF" w:rsidRPr="009806AF" w:rsidRDefault="009806AF" w:rsidP="009806AF">
      <w:pPr>
        <w:autoSpaceDE w:val="0"/>
        <w:autoSpaceDN w:val="0"/>
        <w:adjustRightInd w:val="0"/>
        <w:ind w:left="0" w:firstLine="0"/>
        <w:rPr>
          <w:color w:val="000000"/>
          <w:szCs w:val="22"/>
        </w:rPr>
      </w:pPr>
    </w:p>
    <w:p w14:paraId="2D204668" w14:textId="77777777" w:rsidR="009806AF" w:rsidRPr="009806AF" w:rsidRDefault="009806AF" w:rsidP="009806AF">
      <w:pPr>
        <w:autoSpaceDE w:val="0"/>
        <w:autoSpaceDN w:val="0"/>
        <w:adjustRightInd w:val="0"/>
        <w:ind w:left="0" w:firstLine="0"/>
        <w:rPr>
          <w:color w:val="000000"/>
          <w:szCs w:val="22"/>
        </w:rPr>
      </w:pPr>
      <w:r w:rsidRPr="009806AF">
        <w:rPr>
          <w:i/>
          <w:iCs/>
          <w:color w:val="000000"/>
          <w:szCs w:val="22"/>
        </w:rPr>
        <w:t xml:space="preserve">Dospelá populácia vo veku 65 rokov alebo staršia s AML s &gt; 30 % blastov v kostnej dreni </w:t>
      </w:r>
    </w:p>
    <w:p w14:paraId="4A39C066" w14:textId="19B01DC3"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Nižšie uvedené výsledky reprezentujú </w:t>
      </w:r>
      <w:r w:rsidRPr="000A599B">
        <w:rPr>
          <w:color w:val="000000"/>
          <w:szCs w:val="22"/>
        </w:rPr>
        <w:t>populáciu všetkých randomizovaných pacientov</w:t>
      </w:r>
      <w:r w:rsidRPr="009806AF">
        <w:rPr>
          <w:color w:val="000000"/>
          <w:szCs w:val="22"/>
        </w:rPr>
        <w:t xml:space="preserve"> (</w:t>
      </w:r>
      <w:r w:rsidR="000A599B">
        <w:rPr>
          <w:color w:val="000000"/>
          <w:szCs w:val="22"/>
        </w:rPr>
        <w:t xml:space="preserve">intent-to-treat, </w:t>
      </w:r>
      <w:r w:rsidRPr="009806AF">
        <w:rPr>
          <w:color w:val="000000"/>
          <w:szCs w:val="22"/>
        </w:rPr>
        <w:t xml:space="preserve">ITT) študovanú v AZA-AML-001 (pozri časť 4.1 pre schválené indikácie). </w:t>
      </w:r>
    </w:p>
    <w:p w14:paraId="2496E0DF" w14:textId="77777777" w:rsidR="009806AF" w:rsidRPr="009806AF" w:rsidRDefault="009806AF" w:rsidP="009806AF">
      <w:pPr>
        <w:autoSpaceDE w:val="0"/>
        <w:autoSpaceDN w:val="0"/>
        <w:adjustRightInd w:val="0"/>
        <w:ind w:left="0" w:firstLine="0"/>
        <w:rPr>
          <w:color w:val="000000"/>
          <w:szCs w:val="22"/>
        </w:rPr>
      </w:pPr>
    </w:p>
    <w:p w14:paraId="4B3DA05B" w14:textId="2B883548" w:rsidR="009806AF" w:rsidRPr="00E079AF" w:rsidRDefault="009806AF" w:rsidP="009806AF">
      <w:pPr>
        <w:autoSpaceDE w:val="0"/>
        <w:autoSpaceDN w:val="0"/>
        <w:adjustRightInd w:val="0"/>
        <w:ind w:left="0" w:firstLine="0"/>
        <w:rPr>
          <w:color w:val="000000"/>
          <w:szCs w:val="22"/>
        </w:rPr>
      </w:pPr>
      <w:r w:rsidRPr="009806AF">
        <w:rPr>
          <w:color w:val="000000"/>
          <w:szCs w:val="22"/>
        </w:rPr>
        <w:t>Účinnosť a bezpečnosť azacitidínu boli sledované v medzinárodnej, multicentr</w:t>
      </w:r>
      <w:r w:rsidR="00CE6C00">
        <w:rPr>
          <w:color w:val="000000"/>
          <w:szCs w:val="22"/>
        </w:rPr>
        <w:t>ovej</w:t>
      </w:r>
      <w:r w:rsidRPr="009806AF">
        <w:rPr>
          <w:color w:val="000000"/>
          <w:szCs w:val="22"/>
        </w:rPr>
        <w:t>, kontrolovanej, otvorenej štúdii fázy 3 s paralelnými skupinami u pacientov vo veku 65 rokov a starších s novodiagnostikovanou AML alebo sekundárnou AML s &gt; 30 % blastov v kostnej dreni podľa klasifikácie WHO, ktorí neboli spôsobilí na HSCT. Azacitidín spolu s BSC (n=241) sa porovnával s CCR. CCR pozostával zo samotnej BSC (n=45), nízkej dávky cytarabínu spolu s BSC (n=158) alebo zo štandardnej intenzívnej chemoterapie s cytarabínom a antracyklínom spolu s BSC (n=44). Pred randomizáciou lekár vybral pacientom 1 z 3 režimov CCR. Ak pacienti neboli randomizovaní na liečbu azac</w:t>
      </w:r>
      <w:r w:rsidR="0056695C">
        <w:rPr>
          <w:color w:val="000000"/>
          <w:szCs w:val="22"/>
        </w:rPr>
        <w:t>i</w:t>
      </w:r>
      <w:r w:rsidRPr="009806AF">
        <w:rPr>
          <w:color w:val="000000"/>
          <w:szCs w:val="22"/>
        </w:rPr>
        <w:t>tidínom, boli liečení vopred vybraným režimom. Ako súčasť kritérií pre zaradenie museli pacienti dosiahnuť výkonnostný stav podľa ECOG na úrovni 0-2 a vykazovať stredne alebo málo rizikové cytogenetické abnormality. Primárnym cieľo</w:t>
      </w:r>
      <w:r w:rsidR="00CE6C00">
        <w:rPr>
          <w:color w:val="000000"/>
          <w:szCs w:val="22"/>
        </w:rPr>
        <w:t>vým ukazovateľom</w:t>
      </w:r>
      <w:r w:rsidRPr="009806AF">
        <w:rPr>
          <w:color w:val="000000"/>
          <w:szCs w:val="22"/>
        </w:rPr>
        <w:t xml:space="preserve"> štúdie bola celková doba prežívania. </w:t>
      </w:r>
    </w:p>
    <w:p w14:paraId="163D98A1" w14:textId="77777777" w:rsidR="009806AF" w:rsidRPr="009806AF" w:rsidRDefault="009806AF" w:rsidP="009806AF">
      <w:pPr>
        <w:autoSpaceDE w:val="0"/>
        <w:autoSpaceDN w:val="0"/>
        <w:adjustRightInd w:val="0"/>
        <w:ind w:left="0" w:firstLine="0"/>
        <w:rPr>
          <w:color w:val="000000"/>
          <w:szCs w:val="22"/>
        </w:rPr>
      </w:pPr>
    </w:p>
    <w:p w14:paraId="54151C99" w14:textId="0FC3E4AB" w:rsidR="009806AF" w:rsidRPr="00E079AF" w:rsidRDefault="009806AF" w:rsidP="009806AF">
      <w:pPr>
        <w:autoSpaceDE w:val="0"/>
        <w:autoSpaceDN w:val="0"/>
        <w:adjustRightInd w:val="0"/>
        <w:ind w:left="0" w:firstLine="0"/>
        <w:rPr>
          <w:color w:val="000000"/>
          <w:szCs w:val="22"/>
        </w:rPr>
      </w:pPr>
      <w:r w:rsidRPr="009806AF">
        <w:rPr>
          <w:color w:val="000000"/>
          <w:szCs w:val="22"/>
        </w:rPr>
        <w:t>Azacitidín sa podával subkutánne v dávke 75 mg/m</w:t>
      </w:r>
      <w:r w:rsidRPr="00854A48">
        <w:rPr>
          <w:color w:val="000000"/>
          <w:szCs w:val="22"/>
          <w:vertAlign w:val="superscript"/>
        </w:rPr>
        <w:t>2</w:t>
      </w:r>
      <w:r w:rsidRPr="009806AF">
        <w:rPr>
          <w:color w:val="000000"/>
          <w:szCs w:val="22"/>
        </w:rPr>
        <w:t xml:space="preserve">/deň po dobu 7 dní, po ktorých nasledovala 21-dňová prestávka (28-dňový liečebný cyklus), pričom medián počtu cyklov bol 6 (rozsah: 1 až 28), u </w:t>
      </w:r>
      <w:r w:rsidRPr="009806AF">
        <w:rPr>
          <w:color w:val="000000"/>
          <w:szCs w:val="22"/>
        </w:rPr>
        <w:lastRenderedPageBreak/>
        <w:t xml:space="preserve">pacientov iba s BSC bol medián počtu cyklov 3 (rozsah: 1 až 20), u pacientov s nízkou dávkou cytarabínu bol medián počtu cyklov 4 (rozsah: 1 až 25) a u pacientov so štandardnou intenzívnou chemoterapiou bol medián počtu cyklov 2 (rozsah 1 až 3, indukčný cyklus plus 1 alebo 2 konsolidačné cykly). </w:t>
      </w:r>
    </w:p>
    <w:p w14:paraId="48F6F7B1" w14:textId="77777777" w:rsidR="009806AF" w:rsidRPr="009806AF" w:rsidRDefault="009806AF" w:rsidP="009806AF">
      <w:pPr>
        <w:autoSpaceDE w:val="0"/>
        <w:autoSpaceDN w:val="0"/>
        <w:adjustRightInd w:val="0"/>
        <w:ind w:left="0" w:firstLine="0"/>
        <w:rPr>
          <w:color w:val="000000"/>
          <w:szCs w:val="22"/>
        </w:rPr>
      </w:pPr>
    </w:p>
    <w:p w14:paraId="45892089" w14:textId="51C33184" w:rsidR="009806AF" w:rsidRPr="00E079AF" w:rsidRDefault="009806AF" w:rsidP="009806AF">
      <w:pPr>
        <w:autoSpaceDE w:val="0"/>
        <w:autoSpaceDN w:val="0"/>
        <w:adjustRightInd w:val="0"/>
        <w:ind w:left="0" w:firstLine="0"/>
        <w:rPr>
          <w:color w:val="000000"/>
          <w:szCs w:val="22"/>
        </w:rPr>
      </w:pPr>
      <w:r w:rsidRPr="009806AF">
        <w:rPr>
          <w:color w:val="000000"/>
          <w:szCs w:val="22"/>
        </w:rPr>
        <w:t xml:space="preserve">Jednotlivé východiskové parametre boli porovnateľné medzi skupinami s azacitidínom a CCR. Medián veku pacientov bol 75,0 rokov (rozsah: 64 až 91 rokov), 75,2 % boli bielej rasy a 59,0 % boli muži. Na začiatku bolo 60,7 % pacientov klasifikovaných ako AML inak nešpecifikovaná, 32,4 % ako AML so zmenami podobnými myelodysplázii, 4,1% myeloidné neoplazmy súvisiace s terapiou a 2,9 % pacientov ako AML s rekurentnými genetickými abnormalitami podľa klasifikácie WHO. </w:t>
      </w:r>
    </w:p>
    <w:p w14:paraId="38B1FC70" w14:textId="77777777" w:rsidR="009806AF" w:rsidRPr="009806AF" w:rsidRDefault="009806AF" w:rsidP="009806AF">
      <w:pPr>
        <w:autoSpaceDE w:val="0"/>
        <w:autoSpaceDN w:val="0"/>
        <w:adjustRightInd w:val="0"/>
        <w:ind w:left="0" w:firstLine="0"/>
        <w:rPr>
          <w:color w:val="000000"/>
          <w:szCs w:val="22"/>
        </w:rPr>
      </w:pPr>
    </w:p>
    <w:p w14:paraId="1F2E3845" w14:textId="2370DC3B" w:rsidR="009806AF" w:rsidRPr="00E079AF" w:rsidRDefault="009806AF" w:rsidP="009806AF">
      <w:pPr>
        <w:ind w:left="0" w:firstLine="0"/>
        <w:rPr>
          <w:color w:val="000000"/>
          <w:szCs w:val="22"/>
        </w:rPr>
      </w:pPr>
      <w:r w:rsidRPr="00E079AF">
        <w:rPr>
          <w:color w:val="000000"/>
          <w:szCs w:val="22"/>
        </w:rPr>
        <w:t>V rámci analýzy</w:t>
      </w:r>
      <w:r w:rsidR="00CE6C00">
        <w:rPr>
          <w:color w:val="000000"/>
          <w:szCs w:val="22"/>
        </w:rPr>
        <w:t xml:space="preserve"> ITT</w:t>
      </w:r>
      <w:r w:rsidRPr="00E079AF">
        <w:rPr>
          <w:color w:val="000000"/>
          <w:szCs w:val="22"/>
        </w:rPr>
        <w:t xml:space="preserve"> 488 pacientov (241 na azacitidín</w:t>
      </w:r>
      <w:r w:rsidR="00A179B7">
        <w:rPr>
          <w:color w:val="000000"/>
          <w:szCs w:val="22"/>
        </w:rPr>
        <w:t>e</w:t>
      </w:r>
      <w:r w:rsidRPr="00E079AF">
        <w:rPr>
          <w:color w:val="000000"/>
          <w:szCs w:val="22"/>
        </w:rPr>
        <w:t xml:space="preserve"> a 247 na CCR) bola liečba azacitidínom spojená s mediánom prežívania 10,4 mesiacov verzus 6,5 mesiacov u pacientov liečených CCR, čo je rozdiel 3,8 mesiacov, so stratifikovanou log-rank p-hodnotou 0,1009 (obojstranná). Miera rizika pre liečebný účinok bola 0,85 (95 % CI=0,69; 1,03). Ročné miery prežívania boli 46,5 % u pacientov liečených azacitidínom verzus 34,3 % u pacientov na CCR.</w:t>
      </w:r>
    </w:p>
    <w:p w14:paraId="4B3171E7" w14:textId="77777777" w:rsidR="009806AF" w:rsidRPr="00E079AF" w:rsidRDefault="009806AF" w:rsidP="00C22352">
      <w:pPr>
        <w:ind w:left="0" w:firstLine="0"/>
        <w:rPr>
          <w:color w:val="000000"/>
          <w:szCs w:val="22"/>
        </w:rPr>
      </w:pPr>
    </w:p>
    <w:p w14:paraId="42EB85A8" w14:textId="77777777" w:rsidR="009806AF" w:rsidRPr="00E079AF" w:rsidRDefault="009806AF" w:rsidP="00C22352">
      <w:pPr>
        <w:ind w:left="0" w:firstLine="0"/>
        <w:rPr>
          <w:color w:val="000000"/>
          <w:szCs w:val="22"/>
        </w:rPr>
      </w:pPr>
    </w:p>
    <w:p w14:paraId="60735698" w14:textId="77777777" w:rsidR="009806AF" w:rsidRPr="00E079AF" w:rsidRDefault="009806AF" w:rsidP="00C22352">
      <w:pPr>
        <w:ind w:left="0" w:firstLine="0"/>
        <w:rPr>
          <w:color w:val="000000"/>
          <w:szCs w:val="22"/>
        </w:rPr>
      </w:pPr>
    </w:p>
    <w:p w14:paraId="43CDF9E2" w14:textId="77777777" w:rsidR="009806AF" w:rsidRPr="00E079AF" w:rsidRDefault="009806AF" w:rsidP="00C22352">
      <w:pPr>
        <w:ind w:left="0" w:firstLine="0"/>
        <w:rPr>
          <w:color w:val="000000"/>
          <w:szCs w:val="22"/>
        </w:rPr>
      </w:pPr>
    </w:p>
    <w:p w14:paraId="4FF825D2" w14:textId="77777777" w:rsidR="009806AF" w:rsidRPr="00E079AF" w:rsidRDefault="009806AF" w:rsidP="00C22352">
      <w:pPr>
        <w:ind w:left="0" w:firstLine="0"/>
        <w:rPr>
          <w:color w:val="000000"/>
          <w:szCs w:val="22"/>
        </w:rPr>
      </w:pPr>
    </w:p>
    <w:p w14:paraId="7DCFD781" w14:textId="77777777" w:rsidR="009806AF" w:rsidRPr="00E079AF" w:rsidRDefault="009806AF" w:rsidP="00C22352">
      <w:pPr>
        <w:ind w:left="0" w:firstLine="0"/>
        <w:rPr>
          <w:color w:val="000000"/>
          <w:szCs w:val="22"/>
        </w:rPr>
      </w:pPr>
    </w:p>
    <w:p w14:paraId="298B777C" w14:textId="77777777" w:rsidR="009806AF" w:rsidRPr="00E079AF" w:rsidRDefault="009806AF" w:rsidP="00C22352">
      <w:pPr>
        <w:ind w:left="0" w:firstLine="0"/>
        <w:rPr>
          <w:color w:val="000000"/>
          <w:szCs w:val="22"/>
        </w:rPr>
      </w:pPr>
    </w:p>
    <w:p w14:paraId="6673A131" w14:textId="77777777" w:rsidR="009806AF" w:rsidRPr="00E079AF" w:rsidRDefault="009806AF" w:rsidP="00C22352">
      <w:pPr>
        <w:ind w:left="0" w:firstLine="0"/>
        <w:rPr>
          <w:color w:val="000000"/>
          <w:szCs w:val="22"/>
        </w:rPr>
      </w:pPr>
    </w:p>
    <w:p w14:paraId="7CFBCA23" w14:textId="77777777" w:rsidR="009806AF" w:rsidRPr="00E079AF" w:rsidRDefault="009806AF" w:rsidP="00C22352">
      <w:pPr>
        <w:ind w:left="0" w:firstLine="0"/>
        <w:rPr>
          <w:color w:val="000000"/>
          <w:szCs w:val="22"/>
        </w:rPr>
      </w:pPr>
    </w:p>
    <w:p w14:paraId="62868BC9" w14:textId="77777777" w:rsidR="009806AF" w:rsidRPr="00E079AF" w:rsidRDefault="009806AF" w:rsidP="00C22352">
      <w:pPr>
        <w:ind w:left="0" w:firstLine="0"/>
        <w:rPr>
          <w:color w:val="000000"/>
          <w:szCs w:val="22"/>
        </w:rPr>
      </w:pPr>
    </w:p>
    <w:p w14:paraId="5EAD8D96" w14:textId="77777777" w:rsidR="009806AF" w:rsidRPr="00E079AF" w:rsidRDefault="009806AF" w:rsidP="00C22352">
      <w:pPr>
        <w:ind w:left="0" w:firstLine="0"/>
        <w:rPr>
          <w:color w:val="000000"/>
          <w:szCs w:val="22"/>
        </w:rPr>
      </w:pPr>
    </w:p>
    <w:p w14:paraId="431D9F17" w14:textId="77777777" w:rsidR="009806AF" w:rsidRPr="00E079AF" w:rsidRDefault="009806AF" w:rsidP="00C22352">
      <w:pPr>
        <w:ind w:left="0" w:firstLine="0"/>
        <w:rPr>
          <w:color w:val="000000"/>
          <w:szCs w:val="22"/>
        </w:rPr>
      </w:pPr>
    </w:p>
    <w:p w14:paraId="626D08E6" w14:textId="558F8D3F" w:rsidR="009806AF" w:rsidRPr="00E079AF" w:rsidRDefault="009806AF" w:rsidP="00C22352">
      <w:pPr>
        <w:ind w:left="0" w:firstLine="0"/>
        <w:rPr>
          <w:color w:val="000000"/>
          <w:szCs w:val="22"/>
        </w:rPr>
      </w:pPr>
    </w:p>
    <w:p w14:paraId="0BFB4DB4" w14:textId="77777777" w:rsidR="00512D99" w:rsidRPr="00E079AF" w:rsidRDefault="00512D99" w:rsidP="00C22352">
      <w:pPr>
        <w:ind w:left="0" w:firstLine="0"/>
        <w:rPr>
          <w:color w:val="000000"/>
          <w:szCs w:val="22"/>
        </w:rPr>
      </w:pPr>
    </w:p>
    <w:p w14:paraId="6537D59E" w14:textId="3BBD8B71" w:rsidR="009806AF" w:rsidRPr="00E079AF" w:rsidRDefault="006A5202" w:rsidP="006A5202">
      <w:pPr>
        <w:autoSpaceDE w:val="0"/>
        <w:autoSpaceDN w:val="0"/>
        <w:adjustRightInd w:val="0"/>
        <w:ind w:left="0" w:firstLine="0"/>
        <w:rPr>
          <w:color w:val="000000"/>
          <w:szCs w:val="22"/>
        </w:rPr>
      </w:pPr>
      <w:r w:rsidRPr="00E079AF">
        <w:rPr>
          <w:color w:val="000000"/>
          <w:szCs w:val="22"/>
        </w:rPr>
        <w:t xml:space="preserve"> </w:t>
      </w:r>
      <w:r w:rsidR="00AD3676">
        <w:rPr>
          <w:noProof/>
          <w:color w:val="000000"/>
          <w:szCs w:val="22"/>
        </w:rPr>
        <w:drawing>
          <wp:inline distT="0" distB="0" distL="0" distR="0" wp14:anchorId="6BF671F7" wp14:editId="285AADB4">
            <wp:extent cx="5657850" cy="3289448"/>
            <wp:effectExtent l="0" t="0" r="0" b="635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69118" cy="3295999"/>
                    </a:xfrm>
                    <a:prstGeom prst="rect">
                      <a:avLst/>
                    </a:prstGeom>
                    <a:noFill/>
                    <a:ln>
                      <a:noFill/>
                    </a:ln>
                  </pic:spPr>
                </pic:pic>
              </a:graphicData>
            </a:graphic>
          </wp:inline>
        </w:drawing>
      </w:r>
    </w:p>
    <w:p w14:paraId="6D1243CA" w14:textId="77777777" w:rsidR="006A5202" w:rsidRDefault="006A5202" w:rsidP="00E079AF">
      <w:pPr>
        <w:autoSpaceDE w:val="0"/>
        <w:autoSpaceDN w:val="0"/>
        <w:adjustRightInd w:val="0"/>
        <w:ind w:left="0" w:firstLine="0"/>
        <w:rPr>
          <w:color w:val="000000"/>
          <w:szCs w:val="22"/>
        </w:rPr>
      </w:pPr>
    </w:p>
    <w:p w14:paraId="2A0AFFEB"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Coxov model proporcionálneho rizika upravený pre vopred špecifikované východiskové prognostické faktory definovaný ako HR azacitidínu oproti CCR 0,80 (95% CI= 0,66; 0,99; p = 0,0355). </w:t>
      </w:r>
    </w:p>
    <w:p w14:paraId="030894F8" w14:textId="77777777" w:rsidR="00E079AF" w:rsidRPr="00E079AF" w:rsidRDefault="00E079AF" w:rsidP="00E079AF">
      <w:pPr>
        <w:autoSpaceDE w:val="0"/>
        <w:autoSpaceDN w:val="0"/>
        <w:adjustRightInd w:val="0"/>
        <w:ind w:left="0" w:firstLine="0"/>
        <w:rPr>
          <w:color w:val="000000"/>
          <w:szCs w:val="22"/>
        </w:rPr>
      </w:pPr>
    </w:p>
    <w:p w14:paraId="7B47A337" w14:textId="72D4EE58" w:rsidR="00E079AF" w:rsidRPr="00E079AF" w:rsidRDefault="00E079AF" w:rsidP="00E079AF">
      <w:pPr>
        <w:autoSpaceDE w:val="0"/>
        <w:autoSpaceDN w:val="0"/>
        <w:adjustRightInd w:val="0"/>
        <w:ind w:left="0" w:firstLine="0"/>
        <w:rPr>
          <w:color w:val="000000"/>
          <w:szCs w:val="22"/>
        </w:rPr>
      </w:pPr>
      <w:r w:rsidRPr="00E079AF">
        <w:rPr>
          <w:color w:val="000000"/>
          <w:szCs w:val="22"/>
        </w:rPr>
        <w:t xml:space="preserve">Okrem toho, hoci cieľom štúdie nebolo preukázanie štatisticky významného rozdielu pri porovnaní azacitidínu a vopred vybraných CCR </w:t>
      </w:r>
      <w:r w:rsidR="00CE24BD">
        <w:rPr>
          <w:color w:val="000000"/>
          <w:szCs w:val="22"/>
        </w:rPr>
        <w:t>liečených</w:t>
      </w:r>
      <w:r w:rsidR="00CE24BD" w:rsidRPr="00E079AF">
        <w:rPr>
          <w:color w:val="000000"/>
          <w:szCs w:val="22"/>
        </w:rPr>
        <w:t xml:space="preserve"> </w:t>
      </w:r>
      <w:r w:rsidRPr="00E079AF">
        <w:rPr>
          <w:color w:val="000000"/>
          <w:szCs w:val="22"/>
        </w:rPr>
        <w:t xml:space="preserve">skupín, pri liečbe pacientov azacitidínom bola dĺžka </w:t>
      </w:r>
      <w:r w:rsidRPr="00E079AF">
        <w:rPr>
          <w:color w:val="000000"/>
          <w:szCs w:val="22"/>
        </w:rPr>
        <w:lastRenderedPageBreak/>
        <w:t xml:space="preserve">prežívania väčšia v porovnaní s liečbou CCR - BSC samostatne a nízkou dávkou cytarabínu s BSC, a bola podobná v porovnaní so štandardnou intenzívnou chemoterapiou s BSC. </w:t>
      </w:r>
    </w:p>
    <w:p w14:paraId="064D6CDF" w14:textId="77777777" w:rsidR="00E079AF" w:rsidRPr="00E079AF" w:rsidRDefault="00E079AF" w:rsidP="00E079AF">
      <w:pPr>
        <w:autoSpaceDE w:val="0"/>
        <w:autoSpaceDN w:val="0"/>
        <w:adjustRightInd w:val="0"/>
        <w:ind w:left="0" w:firstLine="0"/>
        <w:rPr>
          <w:color w:val="000000"/>
          <w:szCs w:val="22"/>
        </w:rPr>
      </w:pPr>
    </w:p>
    <w:p w14:paraId="6356632D"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Vo všetkých vopred definovaných podskupinách veku (˂ 75 rokov a ≥ 75 rokov), pohlavia, rasy, výkonnostného stavu ECOG (0 alebo 1 a 2), východiskového cytogenetického rizika (stredné a malé), geografického regiónu, WHO klasifikácie AML (vrátane AML so zmenami podobnými myelodysplázii), východiskového počtu WBC (≤ 5 x10</w:t>
      </w:r>
      <w:r w:rsidRPr="00854A48">
        <w:rPr>
          <w:color w:val="000000"/>
          <w:szCs w:val="22"/>
          <w:vertAlign w:val="superscript"/>
        </w:rPr>
        <w:t>9</w:t>
      </w:r>
      <w:r w:rsidRPr="00E079AF">
        <w:rPr>
          <w:color w:val="000000"/>
          <w:szCs w:val="22"/>
        </w:rPr>
        <w:t>/l a &gt; 5 x 10</w:t>
      </w:r>
      <w:r w:rsidRPr="00854A48">
        <w:rPr>
          <w:color w:val="000000"/>
          <w:szCs w:val="22"/>
          <w:vertAlign w:val="superscript"/>
        </w:rPr>
        <w:t>9</w:t>
      </w:r>
      <w:r w:rsidRPr="00E079AF">
        <w:rPr>
          <w:color w:val="000000"/>
          <w:szCs w:val="22"/>
        </w:rPr>
        <w:t>/l), východiskového počtu blastov v kostnej dreni (≤ 50 % a &gt; 50 %) a predchádzajúcej MDS v anamnéze, bola tendencia k prínosu k celkovej dobe prežitia (OS) v prospech azacitidínu. V niektorých vopred definovaných podskupinách pomer rizika celkovej doby prežitia bola štatistického významu, vrátane pacientov s malým cytogenetickým rizikom, pacientov s AML so zmenami súvisiacimi s myelodyspláziou, pacientov &lt;</w:t>
      </w:r>
      <w:r w:rsidR="00D111D0">
        <w:rPr>
          <w:color w:val="000000"/>
          <w:szCs w:val="22"/>
        </w:rPr>
        <w:t xml:space="preserve"> </w:t>
      </w:r>
      <w:r w:rsidRPr="00E079AF">
        <w:rPr>
          <w:color w:val="000000"/>
          <w:szCs w:val="22"/>
        </w:rPr>
        <w:t xml:space="preserve">75 rokov, žien a pacientov bielej rasy. </w:t>
      </w:r>
    </w:p>
    <w:p w14:paraId="0427B016" w14:textId="77777777" w:rsidR="00E079AF" w:rsidRPr="00E079AF" w:rsidRDefault="00E079AF" w:rsidP="00E079AF">
      <w:pPr>
        <w:autoSpaceDE w:val="0"/>
        <w:autoSpaceDN w:val="0"/>
        <w:adjustRightInd w:val="0"/>
        <w:ind w:left="0" w:firstLine="0"/>
        <w:rPr>
          <w:color w:val="000000"/>
          <w:szCs w:val="22"/>
        </w:rPr>
      </w:pPr>
    </w:p>
    <w:p w14:paraId="019ADD57" w14:textId="77777777" w:rsidR="00E079AF" w:rsidRPr="009D6FD2" w:rsidRDefault="00E079AF" w:rsidP="00E079AF">
      <w:pPr>
        <w:autoSpaceDE w:val="0"/>
        <w:autoSpaceDN w:val="0"/>
        <w:adjustRightInd w:val="0"/>
        <w:ind w:left="0" w:firstLine="0"/>
        <w:rPr>
          <w:color w:val="000000"/>
          <w:szCs w:val="22"/>
        </w:rPr>
      </w:pPr>
      <w:r w:rsidRPr="00E079AF">
        <w:rPr>
          <w:color w:val="000000"/>
          <w:szCs w:val="22"/>
        </w:rPr>
        <w:t>Hematologické a cytogenetické odpovede boli vyhodnotené skúšajúcim a IRC s podobnými výsledkami. Celková miera odpovede (úplná remisia [CR] + úplná remisia s neúplným obnovením krvného obrazu [CRi]), ktorú stanovila IRC, bola 27,8 % v skupine liečenej azacitidínom a 25,1</w:t>
      </w:r>
      <w:r w:rsidR="004E6B49">
        <w:rPr>
          <w:color w:val="000000"/>
          <w:szCs w:val="22"/>
        </w:rPr>
        <w:t xml:space="preserve"> </w:t>
      </w:r>
      <w:r w:rsidRPr="00E079AF">
        <w:rPr>
          <w:color w:val="000000"/>
          <w:szCs w:val="22"/>
        </w:rPr>
        <w:t xml:space="preserve">% v kombinácii skupín CCR (p = 0,5384). U pacientov, ktorí dosiahli CR alebo CRi, bola stredná doba </w:t>
      </w:r>
      <w:r w:rsidRPr="009D6FD2">
        <w:rPr>
          <w:color w:val="000000"/>
          <w:szCs w:val="22"/>
        </w:rPr>
        <w:t>trvania remisie u pacientov liečených azacitidínom 10,4 mesiacov (95% CI = 7,2; 15,2) a 12,3 mesiacov (95</w:t>
      </w:r>
      <w:r w:rsidR="004E6B49">
        <w:rPr>
          <w:color w:val="000000"/>
          <w:szCs w:val="22"/>
        </w:rPr>
        <w:t xml:space="preserve"> </w:t>
      </w:r>
      <w:r w:rsidRPr="009D6FD2">
        <w:rPr>
          <w:color w:val="000000"/>
          <w:szCs w:val="22"/>
        </w:rPr>
        <w:t xml:space="preserve">% CI = 9,0; 17,0) u pacientov liečených CCR. Prínos v prežívaní bol taktiež preukázaný u pacientov, ktorí nedosiahli kompletnú odpoveď pri liečbe azacitidínom v porovnaní s CCR. </w:t>
      </w:r>
    </w:p>
    <w:p w14:paraId="2D29FF90" w14:textId="77777777" w:rsidR="00E079AF" w:rsidRPr="009D6FD2" w:rsidRDefault="00E079AF" w:rsidP="00E079AF">
      <w:pPr>
        <w:autoSpaceDE w:val="0"/>
        <w:autoSpaceDN w:val="0"/>
        <w:adjustRightInd w:val="0"/>
        <w:ind w:left="0" w:firstLine="0"/>
        <w:rPr>
          <w:color w:val="000000"/>
          <w:szCs w:val="22"/>
        </w:rPr>
      </w:pPr>
    </w:p>
    <w:p w14:paraId="3F3E108E" w14:textId="77777777" w:rsidR="00E079AF" w:rsidRPr="009D6FD2" w:rsidRDefault="00E079AF" w:rsidP="00E079AF">
      <w:pPr>
        <w:pStyle w:val="Default"/>
        <w:rPr>
          <w:sz w:val="22"/>
          <w:szCs w:val="22"/>
          <w:lang w:val="sk-SK" w:eastAsia="sk-SK"/>
        </w:rPr>
      </w:pPr>
      <w:r w:rsidRPr="009D6FD2">
        <w:rPr>
          <w:sz w:val="22"/>
          <w:szCs w:val="22"/>
          <w:lang w:val="sk-SK"/>
        </w:rPr>
        <w:t xml:space="preserve">Liečba azacitidínom zlepšila periférny krvný obraz a viedla k zníženiu potreby transfúzií erytrocytov a trombocytov. Pacient bol považovaný za závislého na transfúzii erytrocytov alebo trombocytov na začiatku liečby, ak mal jednu alebo viac transfúzií erytrocytov alebo trombocytov počas 56 dní (8 týždňov) pri alebo pred randomizáciou, v tomto poradí. Pacient bol považovaný za nezávislého od transfúzie erytrocytov alebo trombocytov počas obdobia liečby, ak nemal žiadnu transfúziu </w:t>
      </w:r>
      <w:r w:rsidRPr="009D6FD2">
        <w:rPr>
          <w:sz w:val="22"/>
          <w:szCs w:val="22"/>
          <w:lang w:val="sk-SK" w:eastAsia="sk-SK"/>
        </w:rPr>
        <w:t xml:space="preserve">erytrocytov alebo trombocytov počas ktorýchkoľvek 56 po sebe idúcich dní počas sledovaného obdobia. </w:t>
      </w:r>
    </w:p>
    <w:p w14:paraId="4B0DE360" w14:textId="77777777" w:rsidR="00E079AF" w:rsidRPr="009D6FD2" w:rsidRDefault="00E079AF" w:rsidP="00E079AF">
      <w:pPr>
        <w:autoSpaceDE w:val="0"/>
        <w:autoSpaceDN w:val="0"/>
        <w:adjustRightInd w:val="0"/>
        <w:ind w:left="0" w:firstLine="0"/>
        <w:rPr>
          <w:color w:val="000000"/>
          <w:szCs w:val="22"/>
        </w:rPr>
      </w:pPr>
    </w:p>
    <w:p w14:paraId="6ED8BC7A" w14:textId="77777777" w:rsidR="00E079AF" w:rsidRPr="00E079AF" w:rsidRDefault="00E079AF" w:rsidP="00E079AF">
      <w:pPr>
        <w:autoSpaceDE w:val="0"/>
        <w:autoSpaceDN w:val="0"/>
        <w:adjustRightInd w:val="0"/>
        <w:ind w:left="0" w:firstLine="0"/>
        <w:rPr>
          <w:color w:val="000000"/>
          <w:szCs w:val="22"/>
        </w:rPr>
      </w:pPr>
      <w:r w:rsidRPr="009D6FD2">
        <w:rPr>
          <w:color w:val="000000"/>
          <w:szCs w:val="22"/>
        </w:rPr>
        <w:t>Z pacientov v skupine s azacitidínom, ktorí boli na začiatku liečby závislí na transfúzii erytrocytov, sa počas obdobia liečby stalo 38,5 % (95</w:t>
      </w:r>
      <w:r w:rsidR="00353984">
        <w:rPr>
          <w:color w:val="000000"/>
          <w:szCs w:val="22"/>
        </w:rPr>
        <w:t xml:space="preserve"> </w:t>
      </w:r>
      <w:r w:rsidRPr="009D6FD2">
        <w:rPr>
          <w:color w:val="000000"/>
          <w:szCs w:val="22"/>
        </w:rPr>
        <w:t>% CI = 31,1; 46,2) nezávislých na transfúzii erytrocytov, v porovnaní s 27,6 % (95</w:t>
      </w:r>
      <w:r w:rsidR="00353984">
        <w:rPr>
          <w:color w:val="000000"/>
          <w:szCs w:val="22"/>
        </w:rPr>
        <w:t xml:space="preserve"> </w:t>
      </w:r>
      <w:r w:rsidRPr="009D6FD2">
        <w:rPr>
          <w:color w:val="000000"/>
          <w:szCs w:val="22"/>
        </w:rPr>
        <w:t>% CI = 20,9; 35,1) pacientov</w:t>
      </w:r>
      <w:r w:rsidRPr="00E079AF">
        <w:rPr>
          <w:color w:val="000000"/>
          <w:szCs w:val="22"/>
        </w:rPr>
        <w:t xml:space="preserve"> v kombinácii skupín CCR. U pacientov, ktorí boli závislí na transfúzii erytrocytov na začiatku liečby a počas liečby dosiahli nezávislosť na transfúzii, bola stredná doba trvania nezávislosti na transfúzii erytrocytov v skupine s azacitidínom 13,9 mesiacov a v skupine CCR sa nezávislosť nedosiahla. </w:t>
      </w:r>
    </w:p>
    <w:p w14:paraId="0BC39606" w14:textId="77777777" w:rsidR="00E079AF" w:rsidRPr="00E079AF" w:rsidRDefault="00E079AF" w:rsidP="00E079AF">
      <w:pPr>
        <w:autoSpaceDE w:val="0"/>
        <w:autoSpaceDN w:val="0"/>
        <w:adjustRightInd w:val="0"/>
        <w:ind w:left="0" w:firstLine="0"/>
        <w:rPr>
          <w:color w:val="000000"/>
          <w:szCs w:val="22"/>
        </w:rPr>
      </w:pPr>
    </w:p>
    <w:p w14:paraId="695F27D6" w14:textId="77777777" w:rsidR="00E079AF" w:rsidRPr="00E079AF" w:rsidRDefault="00E079AF" w:rsidP="00E079AF">
      <w:pPr>
        <w:autoSpaceDE w:val="0"/>
        <w:autoSpaceDN w:val="0"/>
        <w:adjustRightInd w:val="0"/>
        <w:ind w:left="0" w:firstLine="0"/>
        <w:rPr>
          <w:color w:val="000000"/>
          <w:szCs w:val="22"/>
        </w:rPr>
      </w:pPr>
      <w:r w:rsidRPr="00E079AF">
        <w:rPr>
          <w:color w:val="000000"/>
          <w:szCs w:val="22"/>
        </w:rPr>
        <w:t>Z pacientov v skupine s azacitidínom, ktorí boli na začiatku liečby závislí na transfúzii trombocytov, sa počas obdobia liečby stalo 40,6 % (95</w:t>
      </w:r>
      <w:r w:rsidR="00353984">
        <w:rPr>
          <w:color w:val="000000"/>
          <w:szCs w:val="22"/>
        </w:rPr>
        <w:t xml:space="preserve"> </w:t>
      </w:r>
      <w:r w:rsidRPr="00E079AF">
        <w:rPr>
          <w:color w:val="000000"/>
          <w:szCs w:val="22"/>
        </w:rPr>
        <w:t>% CI = 30,9; 50,8) nezávislých na transfúzii trombocytov, v porovnaní s 29,3 % (95</w:t>
      </w:r>
      <w:r w:rsidR="00353984">
        <w:rPr>
          <w:color w:val="000000"/>
          <w:szCs w:val="22"/>
        </w:rPr>
        <w:t xml:space="preserve"> </w:t>
      </w:r>
      <w:r w:rsidRPr="00E079AF">
        <w:rPr>
          <w:color w:val="000000"/>
          <w:szCs w:val="22"/>
        </w:rPr>
        <w:t xml:space="preserve">% CI = 19,7; 40,4) pacientov v kombinácii skupín CCR. U pacientov, ktorí boli závislí na transfúzii trombocytov na začiatku liečby a počas liečby dosiahli nezávislosť na transfúzii, bola stredná doba trvania nezávislosti na transfúzii trombocytov v skupine s azacitidínom 10,8 mesiacov a 19,2 mesiacov v skupine s CCR. </w:t>
      </w:r>
    </w:p>
    <w:p w14:paraId="02883DC6" w14:textId="77777777" w:rsidR="00E079AF" w:rsidRPr="00E079AF" w:rsidRDefault="00E079AF" w:rsidP="00E079AF">
      <w:pPr>
        <w:ind w:left="0" w:firstLine="0"/>
        <w:rPr>
          <w:color w:val="000000"/>
          <w:szCs w:val="22"/>
        </w:rPr>
      </w:pPr>
    </w:p>
    <w:p w14:paraId="3FB6802A" w14:textId="77777777" w:rsidR="00E079AF" w:rsidRPr="00E079AF" w:rsidRDefault="00E079AF" w:rsidP="00E079AF">
      <w:pPr>
        <w:ind w:left="0" w:firstLine="0"/>
        <w:rPr>
          <w:color w:val="000000"/>
          <w:szCs w:val="22"/>
        </w:rPr>
      </w:pPr>
      <w:r w:rsidRPr="00E079AF">
        <w:rPr>
          <w:color w:val="000000"/>
          <w:szCs w:val="22"/>
        </w:rPr>
        <w:t>Kvalita života súvisiaca so zdravím (</w:t>
      </w:r>
      <w:r w:rsidRPr="00E079AF">
        <w:rPr>
          <w:i/>
          <w:iCs/>
          <w:color w:val="000000"/>
          <w:szCs w:val="22"/>
        </w:rPr>
        <w:t>Health-Related Quality of Life</w:t>
      </w:r>
      <w:r w:rsidRPr="00E079AF">
        <w:rPr>
          <w:color w:val="000000"/>
          <w:szCs w:val="22"/>
        </w:rPr>
        <w:t>, HRQoL) sa hodnotila pomocou dotazníka kvality života Európskej organizácie pre výskum a liečbu rakoviny (</w:t>
      </w:r>
      <w:r w:rsidRPr="00E079AF">
        <w:rPr>
          <w:i/>
          <w:iCs/>
          <w:color w:val="000000"/>
          <w:szCs w:val="22"/>
        </w:rPr>
        <w:t>European Organization for Research and Treatment of Cancer Core Quality of Life Questionnaire</w:t>
      </w:r>
      <w:r w:rsidRPr="00E079AF">
        <w:rPr>
          <w:color w:val="000000"/>
          <w:szCs w:val="22"/>
        </w:rPr>
        <w:t>, EORTC QLQ-C30). HRQoL údaje sa mohli analyzovať v podskupine celej populácie klinickej štúdie. Napriek tomu, že v analýze existujú obmedzenia, dostupné údaje naznačujú, že pacienti počas liečby azacitidínom nepociťujú významné zhoršenie kvality života.</w:t>
      </w:r>
    </w:p>
    <w:p w14:paraId="575F9DAE" w14:textId="77777777" w:rsidR="00E079AF" w:rsidRPr="00E079AF" w:rsidRDefault="00E079AF" w:rsidP="00C22352">
      <w:pPr>
        <w:ind w:left="0" w:firstLine="0"/>
        <w:rPr>
          <w:color w:val="000000"/>
          <w:szCs w:val="22"/>
        </w:rPr>
      </w:pPr>
    </w:p>
    <w:p w14:paraId="0A310590" w14:textId="77777777" w:rsidR="00EE6E61" w:rsidRPr="00E079AF" w:rsidRDefault="00EE6E61" w:rsidP="00C92B0B">
      <w:pPr>
        <w:rPr>
          <w:b/>
          <w:szCs w:val="22"/>
        </w:rPr>
      </w:pPr>
      <w:r w:rsidRPr="008B5C1E">
        <w:rPr>
          <w:b/>
          <w:szCs w:val="22"/>
        </w:rPr>
        <w:t>5.2</w:t>
      </w:r>
      <w:r w:rsidR="00512679" w:rsidRPr="008B5C1E">
        <w:rPr>
          <w:b/>
          <w:szCs w:val="22"/>
        </w:rPr>
        <w:tab/>
      </w:r>
      <w:r w:rsidRPr="00337027">
        <w:rPr>
          <w:b/>
          <w:szCs w:val="22"/>
        </w:rPr>
        <w:t>Farmakokinetické vlastnosti</w:t>
      </w:r>
    </w:p>
    <w:p w14:paraId="15AF27A0" w14:textId="77777777" w:rsidR="00A61A1D" w:rsidRPr="00E079AF" w:rsidRDefault="00A61A1D" w:rsidP="00C92B0B">
      <w:pPr>
        <w:ind w:left="0" w:firstLine="0"/>
        <w:rPr>
          <w:i/>
          <w:szCs w:val="22"/>
        </w:rPr>
      </w:pPr>
    </w:p>
    <w:p w14:paraId="7B8FF57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Absorpcia</w:t>
      </w:r>
    </w:p>
    <w:p w14:paraId="5CC80BD3" w14:textId="3013161F" w:rsidR="00E079AF" w:rsidRDefault="00E079AF" w:rsidP="00E079AF">
      <w:pPr>
        <w:autoSpaceDE w:val="0"/>
        <w:autoSpaceDN w:val="0"/>
        <w:adjustRightInd w:val="0"/>
        <w:ind w:left="0" w:firstLine="0"/>
        <w:rPr>
          <w:color w:val="000000"/>
          <w:szCs w:val="22"/>
        </w:rPr>
      </w:pPr>
      <w:r w:rsidRPr="00E079AF">
        <w:rPr>
          <w:color w:val="000000"/>
          <w:szCs w:val="22"/>
        </w:rPr>
        <w:t>Po subkutánnom podaní jednorazovej dávky 75 mg/m</w:t>
      </w:r>
      <w:r w:rsidRPr="00E079AF">
        <w:rPr>
          <w:color w:val="000000"/>
          <w:szCs w:val="22"/>
          <w:vertAlign w:val="superscript"/>
        </w:rPr>
        <w:t>2</w:t>
      </w:r>
      <w:r w:rsidRPr="00E079AF">
        <w:rPr>
          <w:color w:val="000000"/>
          <w:szCs w:val="22"/>
        </w:rPr>
        <w:t xml:space="preserve">, sa azacitidín rýchlo absorboval s maximálnymi plazmatickými koncentráciami 750 ± 403 ng/ml vyskytujúcimi sa po 0,5 h od podania dávky (prvý bod odberu). Absolútna biologická dostupnosť azacitidínu po subkutánnom podaní v </w:t>
      </w:r>
      <w:r w:rsidRPr="00E079AF">
        <w:rPr>
          <w:color w:val="000000"/>
          <w:szCs w:val="22"/>
        </w:rPr>
        <w:lastRenderedPageBreak/>
        <w:t>porovnaní s intravenóznym podaním (jednorazové dávky 75 mg/m</w:t>
      </w:r>
      <w:r w:rsidRPr="00854A48">
        <w:rPr>
          <w:color w:val="000000"/>
          <w:szCs w:val="22"/>
          <w:vertAlign w:val="superscript"/>
        </w:rPr>
        <w:t>2</w:t>
      </w:r>
      <w:r w:rsidRPr="00E079AF">
        <w:rPr>
          <w:color w:val="000000"/>
          <w:szCs w:val="22"/>
        </w:rPr>
        <w:t xml:space="preserve">) bola na základe plochy pod krivkou (AUC) približne 89 %. </w:t>
      </w:r>
    </w:p>
    <w:p w14:paraId="017A8FC6" w14:textId="77777777" w:rsidR="00E079AF" w:rsidRPr="00E079AF" w:rsidRDefault="00E079AF" w:rsidP="00E079AF">
      <w:pPr>
        <w:autoSpaceDE w:val="0"/>
        <w:autoSpaceDN w:val="0"/>
        <w:adjustRightInd w:val="0"/>
        <w:ind w:left="0" w:firstLine="0"/>
        <w:rPr>
          <w:color w:val="000000"/>
          <w:szCs w:val="22"/>
        </w:rPr>
      </w:pPr>
    </w:p>
    <w:p w14:paraId="55EA448B" w14:textId="551CDC1B" w:rsidR="001A5E7C" w:rsidRDefault="00E079AF" w:rsidP="00E079AF">
      <w:pPr>
        <w:autoSpaceDE w:val="0"/>
        <w:autoSpaceDN w:val="0"/>
        <w:adjustRightInd w:val="0"/>
        <w:ind w:left="0" w:firstLine="0"/>
        <w:rPr>
          <w:rFonts w:eastAsia="TimesNewRoman"/>
          <w:szCs w:val="22"/>
          <w:lang w:eastAsia="en-US"/>
        </w:rPr>
      </w:pPr>
      <w:r w:rsidRPr="00E079AF">
        <w:rPr>
          <w:color w:val="000000"/>
          <w:szCs w:val="22"/>
        </w:rPr>
        <w:t>Plocha pod krivkou a maximálna plazmatická koncentrácia (</w:t>
      </w:r>
      <w:r w:rsidR="008901CF">
        <w:rPr>
          <w:color w:val="000000"/>
          <w:szCs w:val="22"/>
        </w:rPr>
        <w:t>C</w:t>
      </w:r>
      <w:r w:rsidRPr="00E079AF">
        <w:rPr>
          <w:color w:val="000000"/>
          <w:sz w:val="14"/>
          <w:szCs w:val="14"/>
        </w:rPr>
        <w:t>max</w:t>
      </w:r>
      <w:r w:rsidRPr="00E079AF">
        <w:rPr>
          <w:color w:val="000000"/>
          <w:szCs w:val="22"/>
        </w:rPr>
        <w:t>) subkutánneho podania azacitidínu boli približne priamo úmerné v medziach dávky 25 až 100 mg/m</w:t>
      </w:r>
      <w:r w:rsidRPr="00E079AF">
        <w:rPr>
          <w:color w:val="000000"/>
          <w:szCs w:val="22"/>
          <w:vertAlign w:val="superscript"/>
        </w:rPr>
        <w:t>2</w:t>
      </w:r>
      <w:r w:rsidRPr="00E079AF">
        <w:rPr>
          <w:color w:val="000000"/>
          <w:szCs w:val="22"/>
        </w:rPr>
        <w:t>.</w:t>
      </w:r>
    </w:p>
    <w:p w14:paraId="17546962" w14:textId="77777777" w:rsidR="00E079AF" w:rsidRDefault="00E079AF" w:rsidP="00D47819">
      <w:pPr>
        <w:autoSpaceDE w:val="0"/>
        <w:autoSpaceDN w:val="0"/>
        <w:adjustRightInd w:val="0"/>
        <w:ind w:left="0" w:firstLine="0"/>
        <w:rPr>
          <w:rFonts w:eastAsia="TimesNewRoman"/>
          <w:szCs w:val="22"/>
          <w:lang w:eastAsia="en-US"/>
        </w:rPr>
      </w:pPr>
    </w:p>
    <w:p w14:paraId="1C5B8E39"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Distribúcia</w:t>
      </w:r>
    </w:p>
    <w:p w14:paraId="7F6BEE54" w14:textId="446B0571" w:rsidR="00C06B08" w:rsidRDefault="00E079AF" w:rsidP="00D47819">
      <w:pPr>
        <w:autoSpaceDE w:val="0"/>
        <w:autoSpaceDN w:val="0"/>
        <w:adjustRightInd w:val="0"/>
        <w:ind w:left="0" w:firstLine="0"/>
        <w:rPr>
          <w:rFonts w:eastAsia="TimesNewRoman"/>
          <w:szCs w:val="22"/>
          <w:lang w:eastAsia="en-US"/>
        </w:rPr>
      </w:pPr>
      <w:r>
        <w:rPr>
          <w:szCs w:val="22"/>
        </w:rPr>
        <w:t xml:space="preserve">Po intravenóznom podaní bol priemerný </w:t>
      </w:r>
      <w:r w:rsidR="001F3324">
        <w:rPr>
          <w:szCs w:val="22"/>
        </w:rPr>
        <w:t xml:space="preserve">distribučný </w:t>
      </w:r>
      <w:r>
        <w:rPr>
          <w:szCs w:val="22"/>
        </w:rPr>
        <w:t>objem 76 ± 26 l a systémový klírens bol 147 ± 47 l/h.</w:t>
      </w:r>
    </w:p>
    <w:p w14:paraId="6AA3139C" w14:textId="77777777" w:rsidR="00E079AF" w:rsidRPr="00E079AF" w:rsidRDefault="00E079AF" w:rsidP="00D47819">
      <w:pPr>
        <w:autoSpaceDE w:val="0"/>
        <w:autoSpaceDN w:val="0"/>
        <w:adjustRightInd w:val="0"/>
        <w:ind w:left="0" w:firstLine="0"/>
        <w:rPr>
          <w:rFonts w:eastAsia="TimesNewRoman"/>
          <w:szCs w:val="22"/>
          <w:lang w:eastAsia="en-US"/>
        </w:rPr>
      </w:pPr>
    </w:p>
    <w:p w14:paraId="0D3434B2"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5A1A9E">
        <w:rPr>
          <w:rFonts w:eastAsia="TimesNewRoman"/>
          <w:szCs w:val="22"/>
          <w:u w:val="single"/>
          <w:lang w:eastAsia="en-US"/>
        </w:rPr>
        <w:t>Biotransformácia</w:t>
      </w:r>
    </w:p>
    <w:p w14:paraId="26D64F28" w14:textId="53DEEEBA" w:rsidR="00E079AF" w:rsidRDefault="00E079AF" w:rsidP="00E079AF">
      <w:pPr>
        <w:autoSpaceDE w:val="0"/>
        <w:autoSpaceDN w:val="0"/>
        <w:adjustRightInd w:val="0"/>
        <w:ind w:left="0" w:firstLine="0"/>
        <w:rPr>
          <w:color w:val="000000"/>
          <w:szCs w:val="22"/>
        </w:rPr>
      </w:pPr>
      <w:r w:rsidRPr="00E079AF">
        <w:rPr>
          <w:color w:val="000000"/>
          <w:szCs w:val="22"/>
        </w:rPr>
        <w:t xml:space="preserve">Na základe údajov </w:t>
      </w:r>
      <w:r w:rsidRPr="00E079AF">
        <w:rPr>
          <w:i/>
          <w:iCs/>
          <w:color w:val="000000"/>
          <w:szCs w:val="22"/>
        </w:rPr>
        <w:t xml:space="preserve">in vitro </w:t>
      </w:r>
      <w:r w:rsidRPr="00E079AF">
        <w:rPr>
          <w:color w:val="000000"/>
          <w:szCs w:val="22"/>
        </w:rPr>
        <w:t>sa metabolizmus azacitidínu nezdá byť sprostredkovaný izoenzýmami cytochrómu P450 (CYP), UDP-glukurono</w:t>
      </w:r>
      <w:r w:rsidR="001F3324">
        <w:rPr>
          <w:color w:val="000000"/>
          <w:szCs w:val="22"/>
        </w:rPr>
        <w:t>z</w:t>
      </w:r>
      <w:r w:rsidRPr="00E079AF">
        <w:rPr>
          <w:color w:val="000000"/>
          <w:szCs w:val="22"/>
        </w:rPr>
        <w:t>yltransferázami (UGT), sulfotransferázami (SULT) ani glutati</w:t>
      </w:r>
      <w:r w:rsidR="001F3324">
        <w:rPr>
          <w:color w:val="000000"/>
          <w:szCs w:val="22"/>
        </w:rPr>
        <w:t>ó</w:t>
      </w:r>
      <w:r w:rsidRPr="00E079AF">
        <w:rPr>
          <w:color w:val="000000"/>
          <w:szCs w:val="22"/>
        </w:rPr>
        <w:t xml:space="preserve">ntransferázami (GST). </w:t>
      </w:r>
    </w:p>
    <w:p w14:paraId="06A777BE" w14:textId="77777777" w:rsidR="00E079AF" w:rsidRPr="00E079AF" w:rsidRDefault="00E079AF" w:rsidP="00E079AF">
      <w:pPr>
        <w:autoSpaceDE w:val="0"/>
        <w:autoSpaceDN w:val="0"/>
        <w:adjustRightInd w:val="0"/>
        <w:ind w:left="0" w:firstLine="0"/>
        <w:rPr>
          <w:color w:val="000000"/>
          <w:szCs w:val="22"/>
        </w:rPr>
      </w:pPr>
    </w:p>
    <w:p w14:paraId="61A96F11" w14:textId="77777777" w:rsidR="008D4732" w:rsidRDefault="00E079AF" w:rsidP="00E079AF">
      <w:pPr>
        <w:autoSpaceDE w:val="0"/>
        <w:autoSpaceDN w:val="0"/>
        <w:adjustRightInd w:val="0"/>
        <w:ind w:left="0" w:firstLine="0"/>
        <w:rPr>
          <w:rFonts w:eastAsia="TimesNewRoman"/>
          <w:szCs w:val="22"/>
          <w:lang w:eastAsia="en-US"/>
        </w:rPr>
      </w:pPr>
      <w:r w:rsidRPr="00E079AF">
        <w:rPr>
          <w:color w:val="000000"/>
          <w:szCs w:val="22"/>
        </w:rPr>
        <w:t xml:space="preserve">Azacitidín podlieha spontánnej hydrolýze a deaminácii sprostredkovanej cytidín-deaminázou. V S9 frakciách z ľudskej pečene bolo vytváranie metabolitov nezávislé od NADPH, čo naznačuje, že metabolizmus azacitidínu nebol sprostredkovaný izoenzýmami cytochrómu P450. </w:t>
      </w:r>
      <w:r w:rsidRPr="00E079AF">
        <w:rPr>
          <w:i/>
          <w:iCs/>
          <w:color w:val="000000"/>
          <w:szCs w:val="22"/>
        </w:rPr>
        <w:t xml:space="preserve">In vitro </w:t>
      </w:r>
      <w:r w:rsidRPr="00E079AF">
        <w:rPr>
          <w:color w:val="000000"/>
          <w:szCs w:val="22"/>
        </w:rPr>
        <w:t>štúdia azacitidínu s kultivovanými ľudskými hepatocytmi naznačuje, že koncentrácie od 1,0 μM až 100 μM (t. j. až do 30-násobku hodnôt klinicky dosiahnuteľných koncentrácií) azacitidínu neindukuje CYP 1A2, 2C19, 3A4 ani 3A5. V štúdiách zameraných na vyhodnotenie inhibície série izoenzýmov P450 (CYP 1A2, 2B6, 2C8, 2C9, 2C19, 2D6, 2E1 a 3A4) azacitidín v koncentrácii až do 100 μM nespôsoboval inhibíciu. Preto je indukcia alebo inhibícia CYP enzýmov azacitidínom pri klinicky dosiahnuteľných plazmatických koncentráciách nepravdepodobná.</w:t>
      </w:r>
    </w:p>
    <w:p w14:paraId="3C16BE1C" w14:textId="77777777" w:rsidR="00E079AF" w:rsidRDefault="00E079AF" w:rsidP="00D47819">
      <w:pPr>
        <w:autoSpaceDE w:val="0"/>
        <w:autoSpaceDN w:val="0"/>
        <w:adjustRightInd w:val="0"/>
        <w:ind w:left="0" w:firstLine="0"/>
        <w:rPr>
          <w:rFonts w:eastAsia="TimesNewRoman"/>
          <w:szCs w:val="22"/>
          <w:lang w:eastAsia="en-US"/>
        </w:rPr>
      </w:pPr>
    </w:p>
    <w:p w14:paraId="4F881755"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Eliminácia</w:t>
      </w:r>
    </w:p>
    <w:p w14:paraId="32F3E595" w14:textId="07A38F3B" w:rsidR="00D47819" w:rsidRDefault="00E079AF" w:rsidP="00C92B0B">
      <w:pPr>
        <w:ind w:left="0" w:firstLine="0"/>
        <w:rPr>
          <w:rFonts w:eastAsia="TimesNewRoman"/>
          <w:szCs w:val="22"/>
          <w:lang w:eastAsia="en-US"/>
        </w:rPr>
      </w:pPr>
      <w:r>
        <w:rPr>
          <w:szCs w:val="22"/>
        </w:rPr>
        <w:t xml:space="preserve">Azacitidín sa rýchlo vylučuje z plazmy so stredným </w:t>
      </w:r>
      <w:r w:rsidR="001F3324">
        <w:rPr>
          <w:szCs w:val="22"/>
        </w:rPr>
        <w:t xml:space="preserve">eliminačným </w:t>
      </w:r>
      <w:r>
        <w:rPr>
          <w:szCs w:val="22"/>
        </w:rPr>
        <w:t>polčasom (t</w:t>
      </w:r>
      <w:r w:rsidRPr="00854A48">
        <w:rPr>
          <w:szCs w:val="22"/>
          <w:vertAlign w:val="subscript"/>
        </w:rPr>
        <w:t>½</w:t>
      </w:r>
      <w:r>
        <w:rPr>
          <w:szCs w:val="22"/>
        </w:rPr>
        <w:t>) 41 ± 8 minút po subkutánnom podaní. Po subkutánnom podaní 75 mg/m</w:t>
      </w:r>
      <w:r w:rsidRPr="00854A48">
        <w:rPr>
          <w:szCs w:val="22"/>
          <w:vertAlign w:val="superscript"/>
        </w:rPr>
        <w:t>2</w:t>
      </w:r>
      <w:r>
        <w:rPr>
          <w:sz w:val="14"/>
          <w:szCs w:val="14"/>
        </w:rPr>
        <w:t xml:space="preserve"> </w:t>
      </w:r>
      <w:r>
        <w:rPr>
          <w:szCs w:val="22"/>
        </w:rPr>
        <w:t xml:space="preserve">azacitidínu jedenkrát denne počas 7 dní nedochádza k jeho akumulácii. Vylučovanie močom je primárnou cestou eliminácie azacitidínu a/alebo jeho metabolitov. Po intravenóznom a subkutánnom podaní </w:t>
      </w:r>
      <w:r w:rsidRPr="00854A48">
        <w:rPr>
          <w:szCs w:val="22"/>
          <w:vertAlign w:val="superscript"/>
        </w:rPr>
        <w:t>14</w:t>
      </w:r>
      <w:r>
        <w:rPr>
          <w:szCs w:val="22"/>
        </w:rPr>
        <w:t>C-azacitidínu sa 85 a 50 % (v závislosti od spôsobu podania) podan</w:t>
      </w:r>
      <w:r w:rsidR="001F3324">
        <w:rPr>
          <w:szCs w:val="22"/>
        </w:rPr>
        <w:t>ého rádioaktívne značeného liečiva</w:t>
      </w:r>
      <w:r>
        <w:rPr>
          <w:szCs w:val="22"/>
        </w:rPr>
        <w:t xml:space="preserve"> vylúčilo močom a &lt; 1 % sa vylúčilo stolicou.</w:t>
      </w:r>
    </w:p>
    <w:p w14:paraId="51BB4677" w14:textId="77777777" w:rsidR="00E079AF" w:rsidRPr="00E079AF" w:rsidRDefault="00E079AF" w:rsidP="00C92B0B">
      <w:pPr>
        <w:ind w:left="0" w:firstLine="0"/>
        <w:rPr>
          <w:i/>
          <w:szCs w:val="22"/>
        </w:rPr>
      </w:pPr>
    </w:p>
    <w:p w14:paraId="188B2C0F" w14:textId="77777777" w:rsidR="00D47819" w:rsidRPr="00E079AF" w:rsidRDefault="00D47819" w:rsidP="00D47819">
      <w:pPr>
        <w:autoSpaceDE w:val="0"/>
        <w:autoSpaceDN w:val="0"/>
        <w:adjustRightInd w:val="0"/>
        <w:ind w:left="0" w:firstLine="0"/>
        <w:rPr>
          <w:rFonts w:eastAsia="TimesNewRoman"/>
          <w:szCs w:val="22"/>
          <w:u w:val="single"/>
          <w:lang w:eastAsia="en-US"/>
        </w:rPr>
      </w:pPr>
      <w:r w:rsidRPr="00E079AF">
        <w:rPr>
          <w:rFonts w:eastAsia="TimesNewRoman"/>
          <w:szCs w:val="22"/>
          <w:u w:val="single"/>
          <w:lang w:eastAsia="en-US"/>
        </w:rPr>
        <w:t>Osobitné skupiny pacientov</w:t>
      </w:r>
    </w:p>
    <w:p w14:paraId="2E25F359" w14:textId="28BA8C72" w:rsidR="00790A1E" w:rsidRDefault="00790A1E" w:rsidP="00D47819">
      <w:pPr>
        <w:autoSpaceDE w:val="0"/>
        <w:autoSpaceDN w:val="0"/>
        <w:adjustRightInd w:val="0"/>
        <w:ind w:left="0" w:firstLine="0"/>
        <w:rPr>
          <w:rFonts w:eastAsia="TimesNewRoman,Italic"/>
          <w:i/>
          <w:iCs/>
          <w:szCs w:val="22"/>
          <w:lang w:eastAsia="en-US"/>
        </w:rPr>
      </w:pPr>
      <w:r>
        <w:rPr>
          <w:szCs w:val="22"/>
        </w:rPr>
        <w:t xml:space="preserve">Vplyv poruchy funkcie pečene (pozri časť 4.2), pohlavia, veku alebo rasy na farmakokinetické vlastnosti azacitidínu sa </w:t>
      </w:r>
      <w:r w:rsidR="001F3324">
        <w:rPr>
          <w:szCs w:val="22"/>
        </w:rPr>
        <w:t>formálne</w:t>
      </w:r>
      <w:r>
        <w:rPr>
          <w:szCs w:val="22"/>
        </w:rPr>
        <w:t xml:space="preserve"> neskúmali.</w:t>
      </w:r>
    </w:p>
    <w:p w14:paraId="00F56425" w14:textId="77777777" w:rsidR="00790A1E" w:rsidRPr="00E079AF" w:rsidRDefault="00790A1E" w:rsidP="00D47819">
      <w:pPr>
        <w:autoSpaceDE w:val="0"/>
        <w:autoSpaceDN w:val="0"/>
        <w:adjustRightInd w:val="0"/>
        <w:ind w:left="0" w:firstLine="0"/>
        <w:rPr>
          <w:rFonts w:eastAsia="TimesNewRoman,Italic"/>
          <w:i/>
          <w:iCs/>
          <w:szCs w:val="22"/>
          <w:lang w:eastAsia="en-US"/>
        </w:rPr>
      </w:pPr>
    </w:p>
    <w:p w14:paraId="610F8581" w14:textId="77777777" w:rsidR="00D47819" w:rsidRPr="00790A1E" w:rsidRDefault="00D47819" w:rsidP="00D47819">
      <w:pPr>
        <w:autoSpaceDE w:val="0"/>
        <w:autoSpaceDN w:val="0"/>
        <w:adjustRightInd w:val="0"/>
        <w:ind w:left="0" w:firstLine="0"/>
        <w:rPr>
          <w:rFonts w:eastAsia="TimesNewRoman,Italic"/>
          <w:iCs/>
          <w:szCs w:val="22"/>
          <w:u w:val="single"/>
          <w:lang w:eastAsia="en-US"/>
        </w:rPr>
      </w:pPr>
      <w:r w:rsidRPr="006D2F0C">
        <w:rPr>
          <w:rFonts w:eastAsia="TimesNewRoman,Italic"/>
          <w:iCs/>
          <w:szCs w:val="22"/>
          <w:u w:val="single"/>
          <w:lang w:eastAsia="en-US"/>
        </w:rPr>
        <w:t>Porucha funkcie obličiek</w:t>
      </w:r>
    </w:p>
    <w:p w14:paraId="2B818A32" w14:textId="278EE001" w:rsidR="00387ED6" w:rsidRPr="00790A1E" w:rsidRDefault="00790A1E" w:rsidP="00D47819">
      <w:pPr>
        <w:ind w:left="0" w:firstLine="0"/>
        <w:rPr>
          <w:szCs w:val="22"/>
        </w:rPr>
      </w:pPr>
      <w:r>
        <w:rPr>
          <w:szCs w:val="22"/>
        </w:rPr>
        <w:t xml:space="preserve">Porucha funkcie obličiek nemá významný vplyv na farmakokinetickú expozíciu azacitidínu po jednorazovom a </w:t>
      </w:r>
      <w:r w:rsidR="001F3324">
        <w:rPr>
          <w:szCs w:val="22"/>
        </w:rPr>
        <w:t>opakovanom</w:t>
      </w:r>
      <w:r>
        <w:rPr>
          <w:szCs w:val="22"/>
        </w:rPr>
        <w:t xml:space="preserve"> subkutánnom podaní. Po subkutánnom podaní jednorazovej dávky 75 mg/m</w:t>
      </w:r>
      <w:r w:rsidRPr="00854A48">
        <w:rPr>
          <w:szCs w:val="22"/>
          <w:vertAlign w:val="superscript"/>
        </w:rPr>
        <w:t>2</w:t>
      </w:r>
      <w:r>
        <w:rPr>
          <w:szCs w:val="22"/>
        </w:rPr>
        <w:t xml:space="preserve">, sa priemerné hodnoty expozície (AUC a </w:t>
      </w:r>
      <w:r w:rsidR="008901CF">
        <w:rPr>
          <w:szCs w:val="22"/>
        </w:rPr>
        <w:t>C</w:t>
      </w:r>
      <w:r w:rsidRPr="00854A48">
        <w:rPr>
          <w:szCs w:val="22"/>
          <w:vertAlign w:val="subscript"/>
        </w:rPr>
        <w:t>max</w:t>
      </w:r>
      <w:r>
        <w:rPr>
          <w:szCs w:val="22"/>
        </w:rPr>
        <w:t>) u pacientov s miernou, stredne ťažkou alebo ťažkou poruchou funkcie obličiek zvýšili o 11-21 %, 15-27 %, a 41-66 %, v porovnaní s pacientmi s normálnou funkciou obličiek. Avšak, expozícia bola v rámci rovnakého všeobecného rozmedzia expozícií pozorovaná u pacientov s normálnou funkciou obličiek. Azacitidín môže byť podávaný pacientom s poruchou funkcie obličiek bez úpravy úvodnej dávky za predpokladu, že títo pacienti sú sledovaní na toxicitu, pretože azacitidín a/alebo jeho metabolity sa primárne vylučujú obličkami.</w:t>
      </w:r>
    </w:p>
    <w:p w14:paraId="239F676C" w14:textId="77777777" w:rsidR="00790A1E" w:rsidRDefault="00790A1E" w:rsidP="00D47819">
      <w:pPr>
        <w:ind w:left="0" w:firstLine="0"/>
        <w:rPr>
          <w:i/>
          <w:szCs w:val="22"/>
        </w:rPr>
      </w:pPr>
    </w:p>
    <w:p w14:paraId="354F6A1C" w14:textId="77777777" w:rsidR="00790A1E" w:rsidRPr="00790A1E" w:rsidRDefault="00790A1E" w:rsidP="00790A1E">
      <w:pPr>
        <w:autoSpaceDE w:val="0"/>
        <w:autoSpaceDN w:val="0"/>
        <w:adjustRightInd w:val="0"/>
        <w:ind w:left="0" w:firstLine="0"/>
        <w:rPr>
          <w:color w:val="000000"/>
          <w:szCs w:val="22"/>
          <w:u w:val="single"/>
        </w:rPr>
      </w:pPr>
      <w:r w:rsidRPr="00790A1E">
        <w:rPr>
          <w:color w:val="000000"/>
          <w:szCs w:val="22"/>
          <w:u w:val="single"/>
        </w:rPr>
        <w:t xml:space="preserve">Farmakogenomika </w:t>
      </w:r>
    </w:p>
    <w:p w14:paraId="42A67FC6" w14:textId="070F807E" w:rsidR="002F20F1" w:rsidRDefault="00790A1E" w:rsidP="00790A1E">
      <w:pPr>
        <w:ind w:left="0" w:firstLine="0"/>
        <w:rPr>
          <w:color w:val="000000"/>
          <w:szCs w:val="22"/>
        </w:rPr>
      </w:pPr>
      <w:r w:rsidRPr="00790A1E">
        <w:rPr>
          <w:color w:val="000000"/>
          <w:szCs w:val="22"/>
        </w:rPr>
        <w:t xml:space="preserve">Účinok známeho polymorfizmu cytidín-deaminázy na metabolizmus azacitidínu sa </w:t>
      </w:r>
      <w:r w:rsidR="001F3324">
        <w:rPr>
          <w:color w:val="000000"/>
          <w:szCs w:val="22"/>
        </w:rPr>
        <w:t>formálne</w:t>
      </w:r>
      <w:r w:rsidRPr="00790A1E">
        <w:rPr>
          <w:color w:val="000000"/>
          <w:szCs w:val="22"/>
        </w:rPr>
        <w:t xml:space="preserve"> neskúmal.</w:t>
      </w:r>
    </w:p>
    <w:p w14:paraId="0880B356" w14:textId="77777777" w:rsidR="00790A1E" w:rsidRPr="00E079AF" w:rsidRDefault="00790A1E" w:rsidP="00790A1E">
      <w:pPr>
        <w:ind w:left="0" w:firstLine="0"/>
        <w:rPr>
          <w:i/>
          <w:szCs w:val="22"/>
        </w:rPr>
      </w:pPr>
    </w:p>
    <w:p w14:paraId="4C6CAD01" w14:textId="77777777" w:rsidR="00EE6E61" w:rsidRPr="00E079AF" w:rsidRDefault="00626362" w:rsidP="00C92B0B">
      <w:pPr>
        <w:rPr>
          <w:b/>
          <w:szCs w:val="22"/>
        </w:rPr>
      </w:pPr>
      <w:r w:rsidRPr="00E079AF">
        <w:rPr>
          <w:b/>
          <w:szCs w:val="22"/>
        </w:rPr>
        <w:t>5.3</w:t>
      </w:r>
      <w:r w:rsidR="00636C42" w:rsidRPr="00E079AF">
        <w:rPr>
          <w:b/>
          <w:szCs w:val="22"/>
        </w:rPr>
        <w:tab/>
      </w:r>
      <w:r w:rsidR="00EE6E61" w:rsidRPr="00E079AF">
        <w:rPr>
          <w:b/>
          <w:szCs w:val="22"/>
        </w:rPr>
        <w:t>Predklinické údaje o bezpečnosti</w:t>
      </w:r>
    </w:p>
    <w:p w14:paraId="0035D323" w14:textId="77777777" w:rsidR="00DB3CFA" w:rsidRPr="00E079AF" w:rsidRDefault="00DB3CFA" w:rsidP="00C92B0B">
      <w:pPr>
        <w:ind w:left="0" w:firstLine="0"/>
        <w:rPr>
          <w:szCs w:val="22"/>
          <w:u w:val="single"/>
        </w:rPr>
      </w:pPr>
    </w:p>
    <w:p w14:paraId="2BF19C0A" w14:textId="78C10E81"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Azacitidín indukuje génové mutácie aj chromozómové aberácie v bunkových systémoch baktérií a cicavcov </w:t>
      </w:r>
      <w:r w:rsidRPr="00790A1E">
        <w:rPr>
          <w:i/>
          <w:iCs/>
          <w:color w:val="000000"/>
          <w:szCs w:val="22"/>
        </w:rPr>
        <w:t>in vitro</w:t>
      </w:r>
      <w:r w:rsidRPr="00790A1E">
        <w:rPr>
          <w:color w:val="000000"/>
          <w:szCs w:val="22"/>
        </w:rPr>
        <w:t xml:space="preserve">. Potenciálna karcinogenita azacitidínu bola hodnotená u myší a potkanov. Azacitidín vyvolával nádory hematopoetického systému u samíc myší pri intraperitoneálnom podávaní 3-krát týždenne po dobu 52 týždňov. Zvýšený výskyt nádorov v lymforetikulárnom systéme, pľúcach, </w:t>
      </w:r>
      <w:r w:rsidRPr="00790A1E">
        <w:rPr>
          <w:color w:val="000000"/>
          <w:szCs w:val="22"/>
        </w:rPr>
        <w:lastRenderedPageBreak/>
        <w:t>mliečnych žľazách a koži bol pozorovaný u myší, ktorým bol podávaný azacitidín intraperitoneálne po dobu 50 týždňov. Štúdia tumor</w:t>
      </w:r>
      <w:r w:rsidR="00DF2D41">
        <w:rPr>
          <w:color w:val="000000"/>
          <w:szCs w:val="22"/>
        </w:rPr>
        <w:t>o</w:t>
      </w:r>
      <w:r w:rsidRPr="00790A1E">
        <w:rPr>
          <w:color w:val="000000"/>
          <w:szCs w:val="22"/>
        </w:rPr>
        <w:t xml:space="preserve">genicity u potkanov odhalila zvýšený výskyt testikulárnych nádorov. </w:t>
      </w:r>
    </w:p>
    <w:p w14:paraId="6EFBF98F" w14:textId="77777777" w:rsidR="00790A1E" w:rsidRDefault="00790A1E" w:rsidP="00790A1E">
      <w:pPr>
        <w:autoSpaceDE w:val="0"/>
        <w:autoSpaceDN w:val="0"/>
        <w:adjustRightInd w:val="0"/>
        <w:ind w:left="0" w:firstLine="0"/>
        <w:rPr>
          <w:color w:val="000000"/>
          <w:szCs w:val="22"/>
        </w:rPr>
      </w:pPr>
    </w:p>
    <w:p w14:paraId="53A1C794" w14:textId="081D41F8" w:rsidR="00790A1E" w:rsidRPr="00790A1E" w:rsidRDefault="00790A1E" w:rsidP="00790A1E">
      <w:pPr>
        <w:autoSpaceDE w:val="0"/>
        <w:autoSpaceDN w:val="0"/>
        <w:adjustRightInd w:val="0"/>
        <w:ind w:left="0" w:firstLine="0"/>
        <w:rPr>
          <w:color w:val="000000"/>
          <w:szCs w:val="22"/>
        </w:rPr>
      </w:pPr>
      <w:r w:rsidRPr="00790A1E">
        <w:rPr>
          <w:color w:val="000000"/>
          <w:szCs w:val="22"/>
        </w:rPr>
        <w:t xml:space="preserve">Štúdie zamerané na skorú embryotoxicitu u myší odhalili 44 % výskyt vnútromaternicových embryonálnych úmrtí (zvýšená resorpcia) po podaní jednej intraperitoneálnej injekcie azacitidínu počas organogenézy. U myší, ktorým sa podával azacitidín v čase uzatvorenia tvrdého podnebia alebo pred ním, boli zistené vývojové </w:t>
      </w:r>
      <w:r w:rsidR="00DF2D41">
        <w:rPr>
          <w:color w:val="000000"/>
          <w:szCs w:val="22"/>
        </w:rPr>
        <w:t>poruchy</w:t>
      </w:r>
      <w:r w:rsidRPr="00790A1E">
        <w:rPr>
          <w:color w:val="000000"/>
          <w:szCs w:val="22"/>
        </w:rPr>
        <w:t xml:space="preserve"> mozgu. U potkanov azacitidín nespôsobil žiadne nežiaduce reakcie pri podávaní pred uhniezdením oplodneného vajíčka, bol však jednoznačne embryotoxický pri podávaní počas organogenézy. </w:t>
      </w:r>
      <w:r w:rsidR="00DF2D41">
        <w:rPr>
          <w:color w:val="000000"/>
          <w:szCs w:val="22"/>
        </w:rPr>
        <w:t>Poškodenia</w:t>
      </w:r>
      <w:r w:rsidRPr="00790A1E">
        <w:rPr>
          <w:color w:val="000000"/>
          <w:szCs w:val="22"/>
        </w:rPr>
        <w:t xml:space="preserve"> plodu počas organogenézy u potkanov zahŕňajú anomálie centrálneho nervového systému (exencefália/encefalokéla), anomálie končatín (mikromélia, vbočená noha, syndaktýlia, oligodaktýlia) a iné (mikroftalmia, mikrognatia, gastroschíza, edém a abnormality rebier). </w:t>
      </w:r>
    </w:p>
    <w:p w14:paraId="00725083" w14:textId="77777777" w:rsidR="00790A1E" w:rsidRDefault="00790A1E" w:rsidP="00790A1E">
      <w:pPr>
        <w:autoSpaceDE w:val="0"/>
        <w:autoSpaceDN w:val="0"/>
        <w:adjustRightInd w:val="0"/>
        <w:ind w:left="0" w:firstLine="0"/>
        <w:rPr>
          <w:color w:val="000000"/>
          <w:szCs w:val="22"/>
        </w:rPr>
      </w:pPr>
    </w:p>
    <w:p w14:paraId="3C87599A" w14:textId="58F7B0BD" w:rsidR="00226790" w:rsidRPr="00E079AF" w:rsidRDefault="00790A1E" w:rsidP="00790A1E">
      <w:pPr>
        <w:autoSpaceDE w:val="0"/>
        <w:autoSpaceDN w:val="0"/>
        <w:adjustRightInd w:val="0"/>
        <w:ind w:left="0" w:firstLine="0"/>
        <w:rPr>
          <w:rFonts w:eastAsia="TimesNewRoman"/>
          <w:szCs w:val="22"/>
          <w:lang w:eastAsia="en-US"/>
        </w:rPr>
      </w:pPr>
      <w:r w:rsidRPr="00790A1E">
        <w:rPr>
          <w:color w:val="000000"/>
          <w:szCs w:val="22"/>
        </w:rPr>
        <w:t>Podávanie azacitidínu samcom myší pred párením s neliečenými samicami myší viedlo k zníženiu plodnosti a strate potomstva počas následného embryonálneho a postnatálneho výv</w:t>
      </w:r>
      <w:r w:rsidR="00DF2D41">
        <w:rPr>
          <w:color w:val="000000"/>
          <w:szCs w:val="22"/>
        </w:rPr>
        <w:t>inu</w:t>
      </w:r>
      <w:r w:rsidRPr="00790A1E">
        <w:rPr>
          <w:color w:val="000000"/>
          <w:szCs w:val="22"/>
        </w:rPr>
        <w:t xml:space="preserve">. Liečba samcov potkanov viedla k zníženiu hmotnosti semenníkov a nadsemenníkov, zníženiu počtu spermií, zníženiu frekvencie gravidity, zvýšeniu počtu </w:t>
      </w:r>
      <w:r w:rsidR="00DF2D41">
        <w:rPr>
          <w:color w:val="000000"/>
          <w:szCs w:val="22"/>
        </w:rPr>
        <w:t xml:space="preserve">poškodených </w:t>
      </w:r>
      <w:r w:rsidRPr="00790A1E">
        <w:rPr>
          <w:color w:val="000000"/>
          <w:szCs w:val="22"/>
        </w:rPr>
        <w:t>embryí a k zvýšeným stratám embryí u oplodnených samíc (pozri časť 4.4).</w:t>
      </w:r>
    </w:p>
    <w:p w14:paraId="2F8542A3" w14:textId="77777777" w:rsidR="00D47819" w:rsidRPr="00E079AF" w:rsidRDefault="00D47819" w:rsidP="00C92B0B">
      <w:pPr>
        <w:ind w:left="0" w:firstLine="0"/>
        <w:rPr>
          <w:i/>
          <w:szCs w:val="22"/>
        </w:rPr>
      </w:pPr>
    </w:p>
    <w:p w14:paraId="265A366A" w14:textId="77777777" w:rsidR="00636C42" w:rsidRPr="00E079AF" w:rsidRDefault="00636C42" w:rsidP="00C92B0B">
      <w:pPr>
        <w:ind w:left="0" w:firstLine="0"/>
        <w:rPr>
          <w:b/>
          <w:szCs w:val="22"/>
        </w:rPr>
      </w:pPr>
    </w:p>
    <w:p w14:paraId="6DE65A1F" w14:textId="77777777" w:rsidR="00FF6BE0" w:rsidRPr="00E079AF" w:rsidRDefault="00FF6BE0" w:rsidP="00C92B0B">
      <w:pPr>
        <w:rPr>
          <w:b/>
          <w:szCs w:val="22"/>
        </w:rPr>
      </w:pPr>
      <w:r w:rsidRPr="00E079AF">
        <w:rPr>
          <w:b/>
          <w:szCs w:val="22"/>
        </w:rPr>
        <w:t>6.</w:t>
      </w:r>
      <w:r w:rsidRPr="00E079AF">
        <w:rPr>
          <w:b/>
          <w:szCs w:val="22"/>
        </w:rPr>
        <w:tab/>
        <w:t>FARMACEUTICKÉ INFORMÁCIE</w:t>
      </w:r>
    </w:p>
    <w:p w14:paraId="391C3A65" w14:textId="77777777" w:rsidR="00FF6BE0" w:rsidRPr="00E079AF" w:rsidRDefault="00FF6BE0" w:rsidP="00C92B0B">
      <w:pPr>
        <w:rPr>
          <w:szCs w:val="22"/>
        </w:rPr>
      </w:pPr>
    </w:p>
    <w:p w14:paraId="0AF8F429" w14:textId="77777777" w:rsidR="00FF6BE0" w:rsidRPr="00E079AF" w:rsidRDefault="00FF6BE0" w:rsidP="00C92B0B">
      <w:pPr>
        <w:rPr>
          <w:szCs w:val="22"/>
        </w:rPr>
      </w:pPr>
      <w:r w:rsidRPr="00E079AF">
        <w:rPr>
          <w:b/>
          <w:szCs w:val="22"/>
        </w:rPr>
        <w:t>6.1</w:t>
      </w:r>
      <w:r w:rsidRPr="00E079AF">
        <w:rPr>
          <w:b/>
          <w:szCs w:val="22"/>
        </w:rPr>
        <w:tab/>
        <w:t>Zoznam pomocných látok</w:t>
      </w:r>
    </w:p>
    <w:p w14:paraId="0BBB769B" w14:textId="77777777" w:rsidR="00FF6BE0" w:rsidRPr="00E079AF" w:rsidRDefault="00FF6BE0" w:rsidP="00C92B0B">
      <w:pPr>
        <w:rPr>
          <w:szCs w:val="22"/>
        </w:rPr>
      </w:pPr>
    </w:p>
    <w:p w14:paraId="31C1C425" w14:textId="77777777" w:rsidR="00D47819" w:rsidRPr="00E079AF" w:rsidRDefault="00126470" w:rsidP="00D47819">
      <w:pPr>
        <w:autoSpaceDE w:val="0"/>
        <w:autoSpaceDN w:val="0"/>
        <w:adjustRightInd w:val="0"/>
        <w:ind w:left="0" w:firstLine="0"/>
        <w:rPr>
          <w:rFonts w:eastAsia="TimesNewRoman"/>
          <w:szCs w:val="22"/>
          <w:lang w:eastAsia="en-US"/>
        </w:rPr>
      </w:pPr>
      <w:r w:rsidRPr="00E079AF">
        <w:rPr>
          <w:rFonts w:eastAsia="TimesNewRoman"/>
          <w:szCs w:val="22"/>
          <w:lang w:eastAsia="en-US"/>
        </w:rPr>
        <w:t>m</w:t>
      </w:r>
      <w:r w:rsidR="00D47819" w:rsidRPr="00E079AF">
        <w:rPr>
          <w:rFonts w:eastAsia="TimesNewRoman"/>
          <w:szCs w:val="22"/>
          <w:lang w:eastAsia="en-US"/>
        </w:rPr>
        <w:t xml:space="preserve">anitol </w:t>
      </w:r>
      <w:r w:rsidR="00790A1E">
        <w:rPr>
          <w:rFonts w:eastAsia="TimesNewRoman"/>
          <w:szCs w:val="22"/>
          <w:lang w:eastAsia="en-US"/>
        </w:rPr>
        <w:t>(E421)</w:t>
      </w:r>
    </w:p>
    <w:p w14:paraId="718E7CE1" w14:textId="77777777" w:rsidR="00FB095A" w:rsidRPr="00E079AF" w:rsidRDefault="00FB095A" w:rsidP="00C92B0B">
      <w:pPr>
        <w:rPr>
          <w:b/>
          <w:szCs w:val="22"/>
        </w:rPr>
      </w:pPr>
    </w:p>
    <w:p w14:paraId="0259C1D9" w14:textId="77777777" w:rsidR="00FF6BE0" w:rsidRPr="00E079AF" w:rsidRDefault="00FF6BE0" w:rsidP="00C92B0B">
      <w:pPr>
        <w:rPr>
          <w:szCs w:val="22"/>
        </w:rPr>
      </w:pPr>
      <w:r w:rsidRPr="00E079AF">
        <w:rPr>
          <w:b/>
          <w:szCs w:val="22"/>
        </w:rPr>
        <w:t>6.2</w:t>
      </w:r>
      <w:r w:rsidRPr="00E079AF">
        <w:rPr>
          <w:b/>
          <w:szCs w:val="22"/>
        </w:rPr>
        <w:tab/>
        <w:t>Inkompatibility</w:t>
      </w:r>
    </w:p>
    <w:p w14:paraId="486E49EB" w14:textId="77777777" w:rsidR="00FF6BE0" w:rsidRPr="00E079AF" w:rsidRDefault="00FF6BE0" w:rsidP="00C92B0B">
      <w:pPr>
        <w:rPr>
          <w:szCs w:val="22"/>
        </w:rPr>
      </w:pPr>
    </w:p>
    <w:p w14:paraId="4A169D08" w14:textId="77777777" w:rsidR="00FF6BE0" w:rsidRPr="00E079AF" w:rsidRDefault="00D47819" w:rsidP="00C92B0B">
      <w:pPr>
        <w:ind w:left="0" w:firstLine="0"/>
        <w:rPr>
          <w:rFonts w:eastAsia="TimesNewRoman"/>
          <w:szCs w:val="22"/>
          <w:lang w:eastAsia="en-US"/>
        </w:rPr>
      </w:pPr>
      <w:r w:rsidRPr="00E079AF">
        <w:rPr>
          <w:rFonts w:eastAsia="TimesNewRoman"/>
          <w:szCs w:val="22"/>
          <w:lang w:eastAsia="en-US"/>
        </w:rPr>
        <w:t>Tento liek sa nesmie miešať s inými liekmi okrem tých, ktoré sú uvedené v časti 6.6.</w:t>
      </w:r>
    </w:p>
    <w:p w14:paraId="60931286" w14:textId="77777777" w:rsidR="00D47819" w:rsidRPr="00E079AF" w:rsidRDefault="00D47819" w:rsidP="00C92B0B">
      <w:pPr>
        <w:ind w:left="0" w:firstLine="0"/>
        <w:rPr>
          <w:szCs w:val="22"/>
        </w:rPr>
      </w:pPr>
    </w:p>
    <w:p w14:paraId="053A77A0" w14:textId="77777777" w:rsidR="00FF6BE0" w:rsidRPr="00E079AF" w:rsidRDefault="00FF6BE0" w:rsidP="00C92B0B">
      <w:pPr>
        <w:rPr>
          <w:szCs w:val="22"/>
        </w:rPr>
      </w:pPr>
      <w:r w:rsidRPr="00E079AF">
        <w:rPr>
          <w:b/>
          <w:szCs w:val="22"/>
        </w:rPr>
        <w:t>6.3</w:t>
      </w:r>
      <w:r w:rsidRPr="00E079AF">
        <w:rPr>
          <w:b/>
          <w:szCs w:val="22"/>
        </w:rPr>
        <w:tab/>
        <w:t>Čas použiteľnosti</w:t>
      </w:r>
    </w:p>
    <w:p w14:paraId="2F0BD98B" w14:textId="77777777" w:rsidR="00FF6BE0" w:rsidRPr="00E079AF" w:rsidRDefault="00FF6BE0" w:rsidP="00C92B0B">
      <w:pPr>
        <w:rPr>
          <w:szCs w:val="22"/>
        </w:rPr>
      </w:pPr>
    </w:p>
    <w:p w14:paraId="52E36218" w14:textId="77777777" w:rsidR="006A5202" w:rsidRDefault="00790A1E" w:rsidP="00790A1E">
      <w:pPr>
        <w:autoSpaceDE w:val="0"/>
        <w:autoSpaceDN w:val="0"/>
        <w:adjustRightInd w:val="0"/>
        <w:ind w:left="0" w:firstLine="0"/>
        <w:rPr>
          <w:color w:val="000000"/>
          <w:szCs w:val="22"/>
        </w:rPr>
      </w:pPr>
      <w:r w:rsidRPr="00790A1E">
        <w:rPr>
          <w:color w:val="000000"/>
          <w:szCs w:val="22"/>
          <w:u w:val="single"/>
        </w:rPr>
        <w:t>Neotvorená injekčná liekovka s práškom</w:t>
      </w:r>
      <w:r>
        <w:rPr>
          <w:color w:val="000000"/>
          <w:szCs w:val="22"/>
        </w:rPr>
        <w:t xml:space="preserve">: </w:t>
      </w:r>
    </w:p>
    <w:p w14:paraId="74A5679C" w14:textId="783710C0" w:rsidR="00790A1E" w:rsidRDefault="00790A1E" w:rsidP="00790A1E">
      <w:pPr>
        <w:autoSpaceDE w:val="0"/>
        <w:autoSpaceDN w:val="0"/>
        <w:adjustRightInd w:val="0"/>
        <w:ind w:left="0" w:firstLine="0"/>
        <w:rPr>
          <w:color w:val="000000"/>
          <w:szCs w:val="22"/>
        </w:rPr>
      </w:pPr>
      <w:r>
        <w:rPr>
          <w:color w:val="000000"/>
          <w:szCs w:val="22"/>
        </w:rPr>
        <w:t>2</w:t>
      </w:r>
      <w:r w:rsidRPr="00790A1E">
        <w:rPr>
          <w:color w:val="000000"/>
          <w:szCs w:val="22"/>
        </w:rPr>
        <w:t xml:space="preserve"> roky </w:t>
      </w:r>
    </w:p>
    <w:p w14:paraId="0884BBC5" w14:textId="77777777" w:rsidR="00790A1E" w:rsidRPr="00790A1E" w:rsidRDefault="00790A1E" w:rsidP="00790A1E">
      <w:pPr>
        <w:autoSpaceDE w:val="0"/>
        <w:autoSpaceDN w:val="0"/>
        <w:adjustRightInd w:val="0"/>
        <w:ind w:left="0" w:firstLine="0"/>
        <w:rPr>
          <w:color w:val="000000"/>
          <w:szCs w:val="22"/>
        </w:rPr>
      </w:pPr>
    </w:p>
    <w:p w14:paraId="67241DDA" w14:textId="77777777" w:rsidR="00790A1E" w:rsidRPr="00790A1E" w:rsidRDefault="00790A1E" w:rsidP="00790A1E">
      <w:pPr>
        <w:autoSpaceDE w:val="0"/>
        <w:autoSpaceDN w:val="0"/>
        <w:adjustRightInd w:val="0"/>
        <w:ind w:left="0" w:firstLine="0"/>
        <w:rPr>
          <w:color w:val="000000"/>
          <w:szCs w:val="22"/>
        </w:rPr>
      </w:pPr>
      <w:r w:rsidRPr="0039645B">
        <w:rPr>
          <w:color w:val="000000"/>
          <w:szCs w:val="22"/>
          <w:u w:val="single"/>
        </w:rPr>
        <w:t>Po rekonštitúcii</w:t>
      </w:r>
      <w:r w:rsidRPr="00B20B35">
        <w:rPr>
          <w:color w:val="000000"/>
          <w:szCs w:val="22"/>
        </w:rPr>
        <w:t>:</w:t>
      </w:r>
    </w:p>
    <w:p w14:paraId="6F9A1141" w14:textId="53D2E093" w:rsidR="00790A1E" w:rsidRDefault="00790A1E" w:rsidP="00790A1E">
      <w:pPr>
        <w:autoSpaceDE w:val="0"/>
        <w:autoSpaceDN w:val="0"/>
        <w:adjustRightInd w:val="0"/>
        <w:ind w:left="0" w:firstLine="0"/>
        <w:rPr>
          <w:color w:val="000000"/>
          <w:szCs w:val="22"/>
        </w:rPr>
      </w:pPr>
      <w:r w:rsidRPr="00790A1E">
        <w:rPr>
          <w:color w:val="000000"/>
          <w:szCs w:val="22"/>
        </w:rPr>
        <w:t xml:space="preserve">Keď sa </w:t>
      </w:r>
      <w:r w:rsidR="00850D1D">
        <w:rPr>
          <w:color w:val="000000"/>
          <w:szCs w:val="22"/>
        </w:rPr>
        <w:t>a</w:t>
      </w:r>
      <w:r w:rsidR="00597FF6">
        <w:rPr>
          <w:color w:val="000000"/>
          <w:szCs w:val="22"/>
        </w:rPr>
        <w:t>zacitid</w:t>
      </w:r>
      <w:r w:rsidR="00850D1D">
        <w:rPr>
          <w:color w:val="000000"/>
          <w:szCs w:val="22"/>
        </w:rPr>
        <w:t>ín</w:t>
      </w:r>
      <w:r w:rsidR="00597FF6">
        <w:rPr>
          <w:color w:val="000000"/>
          <w:szCs w:val="22"/>
        </w:rPr>
        <w:t xml:space="preserve"> </w:t>
      </w:r>
      <w:r w:rsidRPr="00790A1E">
        <w:rPr>
          <w:color w:val="000000"/>
          <w:szCs w:val="22"/>
        </w:rPr>
        <w:t>rekonštituuje pomocou vody na injekci</w:t>
      </w:r>
      <w:r w:rsidR="003C2972">
        <w:rPr>
          <w:color w:val="000000"/>
          <w:szCs w:val="22"/>
        </w:rPr>
        <w:t>e</w:t>
      </w:r>
      <w:r w:rsidRPr="00790A1E">
        <w:rPr>
          <w:color w:val="000000"/>
          <w:szCs w:val="22"/>
        </w:rPr>
        <w:t xml:space="preserve">, ktorá sa neuchovávala v chladničke, chemická a fyzikálna stabilita rekonštituovaného lieku </w:t>
      </w:r>
      <w:r w:rsidR="003C2972">
        <w:rPr>
          <w:color w:val="000000"/>
          <w:szCs w:val="22"/>
        </w:rPr>
        <w:t xml:space="preserve">počas používania </w:t>
      </w:r>
      <w:r w:rsidRPr="00790A1E">
        <w:rPr>
          <w:color w:val="000000"/>
          <w:szCs w:val="22"/>
        </w:rPr>
        <w:t>bola preukázaná pri teplote 25 °C po</w:t>
      </w:r>
      <w:r>
        <w:rPr>
          <w:color w:val="000000"/>
          <w:szCs w:val="22"/>
        </w:rPr>
        <w:t xml:space="preserve">čas </w:t>
      </w:r>
      <w:r w:rsidR="006A5202">
        <w:rPr>
          <w:color w:val="000000"/>
          <w:szCs w:val="22"/>
        </w:rPr>
        <w:t>60</w:t>
      </w:r>
      <w:r w:rsidRPr="00790A1E">
        <w:rPr>
          <w:color w:val="000000"/>
          <w:szCs w:val="22"/>
        </w:rPr>
        <w:t xml:space="preserve"> minút a pri teplote 2 °C až 8 °C po</w:t>
      </w:r>
      <w:r>
        <w:rPr>
          <w:color w:val="000000"/>
          <w:szCs w:val="22"/>
        </w:rPr>
        <w:t>čas</w:t>
      </w:r>
      <w:r w:rsidRPr="00790A1E">
        <w:rPr>
          <w:color w:val="000000"/>
          <w:szCs w:val="22"/>
        </w:rPr>
        <w:t xml:space="preserve"> </w:t>
      </w:r>
      <w:r w:rsidR="00850D1D">
        <w:rPr>
          <w:color w:val="000000"/>
          <w:szCs w:val="22"/>
        </w:rPr>
        <w:t>24</w:t>
      </w:r>
      <w:r w:rsidRPr="00790A1E">
        <w:rPr>
          <w:color w:val="000000"/>
          <w:szCs w:val="22"/>
        </w:rPr>
        <w:t xml:space="preserve"> hodín</w:t>
      </w:r>
      <w:r w:rsidR="006A5202">
        <w:rPr>
          <w:color w:val="000000"/>
          <w:szCs w:val="22"/>
        </w:rPr>
        <w:t xml:space="preserve">, ak sa uchováva </w:t>
      </w:r>
      <w:r w:rsidR="006A5202" w:rsidRPr="001C4E12">
        <w:rPr>
          <w:rStyle w:val="tlid-translation"/>
        </w:rPr>
        <w:t>v injekčnej liekovke a injekčnej striekačke</w:t>
      </w:r>
      <w:r w:rsidR="006A5202" w:rsidRPr="001C4E12">
        <w:t>.</w:t>
      </w:r>
    </w:p>
    <w:p w14:paraId="0494DB62" w14:textId="77777777" w:rsidR="00790A1E" w:rsidRPr="00790A1E" w:rsidRDefault="00790A1E" w:rsidP="00790A1E">
      <w:pPr>
        <w:autoSpaceDE w:val="0"/>
        <w:autoSpaceDN w:val="0"/>
        <w:adjustRightInd w:val="0"/>
        <w:ind w:left="0" w:firstLine="0"/>
        <w:rPr>
          <w:color w:val="000000"/>
          <w:szCs w:val="22"/>
        </w:rPr>
      </w:pPr>
    </w:p>
    <w:p w14:paraId="5DB10050" w14:textId="477DD224" w:rsidR="00790A1E" w:rsidRDefault="00790A1E" w:rsidP="00790A1E">
      <w:pPr>
        <w:autoSpaceDE w:val="0"/>
        <w:autoSpaceDN w:val="0"/>
        <w:adjustRightInd w:val="0"/>
        <w:ind w:left="0" w:firstLine="0"/>
        <w:rPr>
          <w:color w:val="000000"/>
          <w:szCs w:val="22"/>
        </w:rPr>
      </w:pPr>
      <w:r w:rsidRPr="00790A1E">
        <w:rPr>
          <w:color w:val="000000"/>
          <w:szCs w:val="22"/>
        </w:rPr>
        <w:t>Čas použiteľnosti rekonštituovaného lieku sa môže predĺžiť rekonštitúciou pomocou chladenej (2 °C až 8 °C) vody na injekci</w:t>
      </w:r>
      <w:r w:rsidR="003C2972">
        <w:rPr>
          <w:color w:val="000000"/>
          <w:szCs w:val="22"/>
        </w:rPr>
        <w:t>e</w:t>
      </w:r>
      <w:r w:rsidRPr="00790A1E">
        <w:rPr>
          <w:color w:val="000000"/>
          <w:szCs w:val="22"/>
        </w:rPr>
        <w:t xml:space="preserve">. Keď sa </w:t>
      </w:r>
      <w:r w:rsidR="00850D1D">
        <w:rPr>
          <w:color w:val="000000"/>
          <w:szCs w:val="22"/>
        </w:rPr>
        <w:t>a</w:t>
      </w:r>
      <w:r w:rsidR="00597FF6">
        <w:rPr>
          <w:color w:val="000000"/>
          <w:szCs w:val="22"/>
        </w:rPr>
        <w:t>zacitid</w:t>
      </w:r>
      <w:r w:rsidR="00850D1D">
        <w:rPr>
          <w:color w:val="000000"/>
          <w:szCs w:val="22"/>
        </w:rPr>
        <w:t>ín</w:t>
      </w:r>
      <w:r w:rsidR="00597FF6">
        <w:rPr>
          <w:color w:val="000000"/>
          <w:szCs w:val="22"/>
        </w:rPr>
        <w:t xml:space="preserve"> </w:t>
      </w:r>
      <w:r w:rsidRPr="00790A1E">
        <w:rPr>
          <w:color w:val="000000"/>
          <w:szCs w:val="22"/>
        </w:rPr>
        <w:t>rekonštituuje pomocou chladenej (2 °C až 8 °C) vody na injekci</w:t>
      </w:r>
      <w:r w:rsidR="003C2972">
        <w:rPr>
          <w:color w:val="000000"/>
          <w:szCs w:val="22"/>
        </w:rPr>
        <w:t>e</w:t>
      </w:r>
      <w:r w:rsidRPr="00790A1E">
        <w:rPr>
          <w:color w:val="000000"/>
          <w:szCs w:val="22"/>
        </w:rPr>
        <w:t>, chemická a fyzikálna stabilita rekonštituovaného lieku počas používania bola preukázaná pri teplote 2 °C až 8 °C po</w:t>
      </w:r>
      <w:r>
        <w:rPr>
          <w:color w:val="000000"/>
          <w:szCs w:val="22"/>
        </w:rPr>
        <w:t>čas</w:t>
      </w:r>
      <w:r w:rsidRPr="00790A1E">
        <w:rPr>
          <w:color w:val="000000"/>
          <w:szCs w:val="22"/>
        </w:rPr>
        <w:t xml:space="preserve"> </w:t>
      </w:r>
      <w:r w:rsidR="00D10474">
        <w:rPr>
          <w:color w:val="000000"/>
          <w:szCs w:val="22"/>
        </w:rPr>
        <w:t>36</w:t>
      </w:r>
      <w:r w:rsidRPr="00790A1E">
        <w:rPr>
          <w:color w:val="000000"/>
          <w:szCs w:val="22"/>
        </w:rPr>
        <w:t xml:space="preserve"> hodín</w:t>
      </w:r>
      <w:r w:rsidR="00D10474">
        <w:rPr>
          <w:color w:val="000000"/>
          <w:szCs w:val="22"/>
        </w:rPr>
        <w:t xml:space="preserve"> </w:t>
      </w:r>
      <w:r w:rsidR="00D10474" w:rsidRPr="001C4E12">
        <w:rPr>
          <w:rStyle w:val="tlid-translation"/>
        </w:rPr>
        <w:t>pri uchovávaní v injekčnej liekovke a 30 hodín pri uchovávaní v injekčnej striekačke</w:t>
      </w:r>
      <w:r w:rsidR="00D10474" w:rsidRPr="001C4E12">
        <w:t>.</w:t>
      </w:r>
      <w:r w:rsidRPr="00790A1E">
        <w:rPr>
          <w:color w:val="000000"/>
          <w:szCs w:val="22"/>
        </w:rPr>
        <w:t xml:space="preserve"> </w:t>
      </w:r>
    </w:p>
    <w:p w14:paraId="6A65E25D" w14:textId="77777777" w:rsidR="00790A1E" w:rsidRPr="00790A1E" w:rsidRDefault="00790A1E" w:rsidP="00790A1E">
      <w:pPr>
        <w:autoSpaceDE w:val="0"/>
        <w:autoSpaceDN w:val="0"/>
        <w:adjustRightInd w:val="0"/>
        <w:ind w:left="0" w:firstLine="0"/>
        <w:rPr>
          <w:color w:val="000000"/>
          <w:szCs w:val="22"/>
        </w:rPr>
      </w:pPr>
    </w:p>
    <w:p w14:paraId="61A9F9CD" w14:textId="25A11ABD" w:rsidR="00790A1E" w:rsidRDefault="00790A1E" w:rsidP="00790A1E">
      <w:pPr>
        <w:autoSpaceDE w:val="0"/>
        <w:autoSpaceDN w:val="0"/>
        <w:adjustRightInd w:val="0"/>
        <w:ind w:left="0" w:firstLine="0"/>
        <w:rPr>
          <w:rFonts w:eastAsia="TimesNewRoman"/>
          <w:szCs w:val="22"/>
          <w:u w:val="single"/>
          <w:lang w:eastAsia="en-US"/>
        </w:rPr>
      </w:pPr>
      <w:r w:rsidRPr="00790A1E">
        <w:rPr>
          <w:color w:val="000000"/>
          <w:szCs w:val="22"/>
        </w:rPr>
        <w:t xml:space="preserve">Z mikrobiologického hľadiska sa má rekonštituovaný liek použiť okamžite. Ak sa nepoužije okamžite, za čas a podmienky uchovávania </w:t>
      </w:r>
      <w:r w:rsidR="003C2972">
        <w:rPr>
          <w:color w:val="000000"/>
          <w:szCs w:val="22"/>
        </w:rPr>
        <w:t>pred použitím</w:t>
      </w:r>
      <w:r w:rsidRPr="00790A1E">
        <w:rPr>
          <w:color w:val="000000"/>
          <w:szCs w:val="22"/>
        </w:rPr>
        <w:t xml:space="preserve"> zodpovedá používateľ, nesmie </w:t>
      </w:r>
      <w:r>
        <w:rPr>
          <w:color w:val="000000"/>
          <w:szCs w:val="22"/>
        </w:rPr>
        <w:t xml:space="preserve">však </w:t>
      </w:r>
      <w:r w:rsidRPr="00790A1E">
        <w:rPr>
          <w:color w:val="000000"/>
          <w:szCs w:val="22"/>
        </w:rPr>
        <w:t xml:space="preserve">byť dlhší ako </w:t>
      </w:r>
      <w:r w:rsidR="00D10474">
        <w:rPr>
          <w:color w:val="000000"/>
          <w:szCs w:val="22"/>
        </w:rPr>
        <w:t>24</w:t>
      </w:r>
      <w:r w:rsidRPr="00790A1E">
        <w:rPr>
          <w:color w:val="000000"/>
          <w:szCs w:val="22"/>
        </w:rPr>
        <w:t xml:space="preserve"> hodín pri teplote 2 °C až 8 °C, keď sa rekonštituoval pomocou vody na injekci</w:t>
      </w:r>
      <w:r w:rsidR="003C2972">
        <w:rPr>
          <w:color w:val="000000"/>
          <w:szCs w:val="22"/>
        </w:rPr>
        <w:t>e</w:t>
      </w:r>
      <w:r w:rsidRPr="00790A1E">
        <w:rPr>
          <w:color w:val="000000"/>
          <w:szCs w:val="22"/>
        </w:rPr>
        <w:t xml:space="preserve">, ktorá sa neuchovávala v chladničke a nie dlhší ako </w:t>
      </w:r>
      <w:r w:rsidR="00D10474">
        <w:rPr>
          <w:color w:val="000000"/>
          <w:szCs w:val="22"/>
        </w:rPr>
        <w:t>36</w:t>
      </w:r>
      <w:r w:rsidRPr="00790A1E">
        <w:rPr>
          <w:color w:val="000000"/>
          <w:szCs w:val="22"/>
        </w:rPr>
        <w:t xml:space="preserve"> hodín</w:t>
      </w:r>
      <w:r w:rsidR="00D10474">
        <w:rPr>
          <w:color w:val="000000"/>
          <w:szCs w:val="22"/>
        </w:rPr>
        <w:t xml:space="preserve"> </w:t>
      </w:r>
      <w:r w:rsidR="00D10474" w:rsidRPr="001C4E12">
        <w:rPr>
          <w:rStyle w:val="tlid-translation"/>
        </w:rPr>
        <w:t>(ak</w:t>
      </w:r>
      <w:r w:rsidR="00D10474">
        <w:rPr>
          <w:rStyle w:val="tlid-translation"/>
        </w:rPr>
        <w:t xml:space="preserve"> sa uchováva </w:t>
      </w:r>
      <w:r w:rsidR="00D10474" w:rsidRPr="001C4E12">
        <w:rPr>
          <w:rStyle w:val="tlid-translation"/>
        </w:rPr>
        <w:t xml:space="preserve">v injekčnej liekovke) alebo 30 hodín (ak </w:t>
      </w:r>
      <w:r w:rsidR="00D10474">
        <w:rPr>
          <w:rStyle w:val="tlid-translation"/>
        </w:rPr>
        <w:t xml:space="preserve">sa uchováva </w:t>
      </w:r>
      <w:r w:rsidR="00D10474" w:rsidRPr="001C4E12">
        <w:rPr>
          <w:rStyle w:val="tlid-translation"/>
        </w:rPr>
        <w:t>v injekčnej striekačke)</w:t>
      </w:r>
      <w:r w:rsidRPr="00790A1E">
        <w:rPr>
          <w:color w:val="000000"/>
          <w:szCs w:val="22"/>
        </w:rPr>
        <w:t>, keď sa rekonštituoval chladenou (2 °C až 8 °C) vodou na injekci</w:t>
      </w:r>
      <w:r w:rsidR="003C2972">
        <w:rPr>
          <w:color w:val="000000"/>
          <w:szCs w:val="22"/>
        </w:rPr>
        <w:t>e</w:t>
      </w:r>
      <w:r w:rsidRPr="00790A1E">
        <w:rPr>
          <w:color w:val="000000"/>
          <w:szCs w:val="22"/>
        </w:rPr>
        <w:t>.</w:t>
      </w:r>
    </w:p>
    <w:p w14:paraId="50E11C84" w14:textId="77777777" w:rsidR="001E7D3E" w:rsidRDefault="001E7D3E" w:rsidP="001E7D3E">
      <w:pPr>
        <w:autoSpaceDE w:val="0"/>
        <w:autoSpaceDN w:val="0"/>
        <w:adjustRightInd w:val="0"/>
        <w:ind w:left="0" w:firstLine="0"/>
        <w:rPr>
          <w:rFonts w:eastAsia="TimesNewRoman"/>
          <w:szCs w:val="22"/>
          <w:lang w:eastAsia="en-US"/>
        </w:rPr>
      </w:pPr>
    </w:p>
    <w:p w14:paraId="670FD522" w14:textId="77777777" w:rsidR="00FF6BE0" w:rsidRPr="00E079AF" w:rsidRDefault="00FF6BE0" w:rsidP="00C92B0B">
      <w:pPr>
        <w:rPr>
          <w:szCs w:val="22"/>
        </w:rPr>
      </w:pPr>
      <w:r w:rsidRPr="00FC07BB">
        <w:rPr>
          <w:b/>
          <w:szCs w:val="22"/>
        </w:rPr>
        <w:t>6.4</w:t>
      </w:r>
      <w:r w:rsidRPr="00FC07BB">
        <w:rPr>
          <w:b/>
          <w:szCs w:val="22"/>
        </w:rPr>
        <w:tab/>
        <w:t>Špeciálne upozornenia na uchovávanie</w:t>
      </w:r>
    </w:p>
    <w:p w14:paraId="657069BE" w14:textId="77777777" w:rsidR="007567B5" w:rsidRPr="00E079AF" w:rsidRDefault="007567B5" w:rsidP="00C92B0B">
      <w:pPr>
        <w:autoSpaceDE w:val="0"/>
        <w:autoSpaceDN w:val="0"/>
        <w:adjustRightInd w:val="0"/>
        <w:ind w:left="0" w:firstLine="0"/>
        <w:rPr>
          <w:szCs w:val="22"/>
        </w:rPr>
      </w:pPr>
    </w:p>
    <w:p w14:paraId="2495898C"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Neotvorené injekčné liekovky </w:t>
      </w:r>
    </w:p>
    <w:p w14:paraId="17CA8C70" w14:textId="77777777" w:rsidR="002C1688" w:rsidRDefault="002C1688" w:rsidP="002C1688">
      <w:pPr>
        <w:autoSpaceDE w:val="0"/>
        <w:autoSpaceDN w:val="0"/>
        <w:adjustRightInd w:val="0"/>
        <w:ind w:left="0" w:firstLine="0"/>
        <w:rPr>
          <w:color w:val="000000"/>
          <w:szCs w:val="22"/>
        </w:rPr>
      </w:pPr>
      <w:r w:rsidRPr="002C1688">
        <w:rPr>
          <w:color w:val="000000"/>
          <w:szCs w:val="22"/>
        </w:rPr>
        <w:lastRenderedPageBreak/>
        <w:t xml:space="preserve">Tento liek nevyžaduje žiadne zvláštne podmienky na uchovávanie. </w:t>
      </w:r>
    </w:p>
    <w:p w14:paraId="507A7097" w14:textId="77777777" w:rsidR="002C1688" w:rsidRPr="002C1688" w:rsidRDefault="002C1688" w:rsidP="002C1688">
      <w:pPr>
        <w:autoSpaceDE w:val="0"/>
        <w:autoSpaceDN w:val="0"/>
        <w:adjustRightInd w:val="0"/>
        <w:ind w:left="0" w:firstLine="0"/>
        <w:rPr>
          <w:color w:val="000000"/>
          <w:szCs w:val="22"/>
        </w:rPr>
      </w:pPr>
    </w:p>
    <w:p w14:paraId="043E2AC6"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Rekonštituovaná suspenzia </w:t>
      </w:r>
    </w:p>
    <w:p w14:paraId="5FFBA034" w14:textId="77777777" w:rsidR="002C1688" w:rsidRDefault="002C1688" w:rsidP="002C1688">
      <w:pPr>
        <w:rPr>
          <w:color w:val="000000"/>
          <w:szCs w:val="22"/>
        </w:rPr>
      </w:pPr>
      <w:r w:rsidRPr="002C1688">
        <w:rPr>
          <w:color w:val="000000"/>
          <w:szCs w:val="22"/>
        </w:rPr>
        <w:t>Podmienky na uchovávanie po rekonštitúcii lieku, pozri časť 6.3.</w:t>
      </w:r>
    </w:p>
    <w:p w14:paraId="533DE685" w14:textId="77777777" w:rsidR="009C2BB1" w:rsidRPr="00E079AF" w:rsidRDefault="009C2BB1" w:rsidP="00D47819">
      <w:pPr>
        <w:autoSpaceDE w:val="0"/>
        <w:autoSpaceDN w:val="0"/>
        <w:adjustRightInd w:val="0"/>
        <w:ind w:left="0" w:firstLine="0"/>
        <w:rPr>
          <w:rFonts w:eastAsia="TimesNewRoman"/>
          <w:szCs w:val="22"/>
          <w:lang w:eastAsia="en-US"/>
        </w:rPr>
      </w:pPr>
    </w:p>
    <w:p w14:paraId="08C17148" w14:textId="77777777" w:rsidR="00FF6BE0" w:rsidRPr="00E079AF" w:rsidRDefault="00FF6BE0" w:rsidP="00C92B0B">
      <w:pPr>
        <w:rPr>
          <w:szCs w:val="22"/>
        </w:rPr>
      </w:pPr>
      <w:r w:rsidRPr="00E079AF">
        <w:rPr>
          <w:b/>
          <w:szCs w:val="22"/>
        </w:rPr>
        <w:t>6.5</w:t>
      </w:r>
      <w:r w:rsidRPr="00E079AF">
        <w:rPr>
          <w:b/>
          <w:szCs w:val="22"/>
        </w:rPr>
        <w:tab/>
        <w:t>Druh obalu a obsah balenia</w:t>
      </w:r>
      <w:r w:rsidRPr="00E079AF">
        <w:rPr>
          <w:b/>
          <w:color w:val="0000FF"/>
          <w:szCs w:val="22"/>
        </w:rPr>
        <w:t xml:space="preserve"> </w:t>
      </w:r>
    </w:p>
    <w:p w14:paraId="00239F64" w14:textId="77777777" w:rsidR="00D21D8D" w:rsidRPr="00E079AF" w:rsidRDefault="00D21D8D" w:rsidP="00C92B0B">
      <w:pPr>
        <w:rPr>
          <w:szCs w:val="22"/>
        </w:rPr>
      </w:pPr>
    </w:p>
    <w:p w14:paraId="68B17A92" w14:textId="6FA595C0" w:rsidR="005C6752" w:rsidRPr="001C4E12" w:rsidRDefault="005C6752" w:rsidP="005C6752">
      <w:pPr>
        <w:pStyle w:val="Zkladntext"/>
        <w:ind w:right="9"/>
      </w:pPr>
      <w:r w:rsidRPr="001C4E12">
        <w:rPr>
          <w:rStyle w:val="tlid-translation"/>
        </w:rPr>
        <w:t xml:space="preserve">Bezfarebná injekčná liekovka </w:t>
      </w:r>
      <w:r w:rsidR="00850D1D">
        <w:rPr>
          <w:rStyle w:val="tlid-translation"/>
        </w:rPr>
        <w:t xml:space="preserve">zo skla </w:t>
      </w:r>
      <w:r w:rsidRPr="001C4E12">
        <w:rPr>
          <w:rStyle w:val="tlid-translation"/>
        </w:rPr>
        <w:t xml:space="preserve">typu I uzavretá brómbutylovou gumenou zátkou a hliníkovým </w:t>
      </w:r>
      <w:r w:rsidRPr="00F8384D">
        <w:rPr>
          <w:color w:val="000000"/>
          <w:szCs w:val="22"/>
        </w:rPr>
        <w:t xml:space="preserve">tesnením </w:t>
      </w:r>
      <w:r w:rsidRPr="001C4E12">
        <w:rPr>
          <w:rStyle w:val="tlid-translation"/>
        </w:rPr>
        <w:t>s polypropylénovým plastovým diskom obsahujúca 100 mg azacitidínu.</w:t>
      </w:r>
      <w:r w:rsidRPr="001C4E12">
        <w:br/>
      </w:r>
      <w:r w:rsidRPr="001C4E12">
        <w:rPr>
          <w:rStyle w:val="tlid-translation"/>
        </w:rPr>
        <w:t xml:space="preserve">Injekčné liekovky môžu byť vložené do </w:t>
      </w:r>
      <w:r w:rsidRPr="009148EA">
        <w:rPr>
          <w:rStyle w:val="tlid-translation"/>
        </w:rPr>
        <w:t>polypropylénového krytu injekčných liekoviek</w:t>
      </w:r>
      <w:r w:rsidRPr="001C4E12">
        <w:rPr>
          <w:rStyle w:val="tlid-translation"/>
        </w:rPr>
        <w:t xml:space="preserve"> (doln</w:t>
      </w:r>
      <w:r>
        <w:rPr>
          <w:rStyle w:val="tlid-translation"/>
        </w:rPr>
        <w:t>é</w:t>
      </w:r>
      <w:r w:rsidRPr="001C4E12">
        <w:rPr>
          <w:rStyle w:val="tlid-translation"/>
        </w:rPr>
        <w:t xml:space="preserve"> a horn</w:t>
      </w:r>
      <w:r>
        <w:rPr>
          <w:rStyle w:val="tlid-translation"/>
        </w:rPr>
        <w:t>é</w:t>
      </w:r>
      <w:r w:rsidRPr="001C4E12">
        <w:rPr>
          <w:rStyle w:val="tlid-translation"/>
        </w:rPr>
        <w:t xml:space="preserve"> </w:t>
      </w:r>
      <w:r>
        <w:rPr>
          <w:rStyle w:val="tlid-translation"/>
        </w:rPr>
        <w:t xml:space="preserve">časti </w:t>
      </w:r>
      <w:r w:rsidRPr="001C4E12">
        <w:rPr>
          <w:rStyle w:val="tlid-translation"/>
        </w:rPr>
        <w:t>a drážk</w:t>
      </w:r>
      <w:r>
        <w:rPr>
          <w:rStyle w:val="tlid-translation"/>
        </w:rPr>
        <w:t>y</w:t>
      </w:r>
      <w:r w:rsidRPr="001C4E12">
        <w:rPr>
          <w:rStyle w:val="tlid-translation"/>
        </w:rPr>
        <w:t xml:space="preserve"> sú zarovnané), ak je to potrebné, alebo môžu byť priamo zabalené v škatu</w:t>
      </w:r>
      <w:r>
        <w:rPr>
          <w:rStyle w:val="tlid-translation"/>
        </w:rPr>
        <w:t>ľke</w:t>
      </w:r>
      <w:r w:rsidRPr="001C4E12">
        <w:rPr>
          <w:rStyle w:val="tlid-translation"/>
        </w:rPr>
        <w:t>.</w:t>
      </w:r>
    </w:p>
    <w:p w14:paraId="7BB81BDC" w14:textId="77777777" w:rsidR="005C6752" w:rsidRPr="001C4E12" w:rsidRDefault="005C6752" w:rsidP="005C6752">
      <w:pPr>
        <w:pStyle w:val="Zkladntext"/>
        <w:spacing w:before="4"/>
        <w:ind w:right="9"/>
      </w:pPr>
    </w:p>
    <w:p w14:paraId="6111CB8B" w14:textId="77777777" w:rsidR="005C6752" w:rsidRPr="001C4E12" w:rsidRDefault="005C6752" w:rsidP="005C6752">
      <w:pPr>
        <w:pStyle w:val="Zkladntext"/>
        <w:ind w:right="9"/>
      </w:pPr>
      <w:r w:rsidRPr="001C4E12">
        <w:t>Veľkosť balenia: 1 injekčná liekovka</w:t>
      </w:r>
    </w:p>
    <w:p w14:paraId="7FBDE6BA" w14:textId="77777777" w:rsidR="005C6752" w:rsidRPr="00E079AF" w:rsidRDefault="005C6752">
      <w:pPr>
        <w:rPr>
          <w:b/>
          <w:szCs w:val="22"/>
        </w:rPr>
      </w:pPr>
    </w:p>
    <w:p w14:paraId="0D909B57" w14:textId="77777777" w:rsidR="00FF6BE0" w:rsidRPr="00E079AF" w:rsidRDefault="00FF6BE0" w:rsidP="00597FF6">
      <w:pPr>
        <w:rPr>
          <w:b/>
          <w:bCs/>
          <w:szCs w:val="22"/>
        </w:rPr>
      </w:pPr>
      <w:r w:rsidRPr="00E079AF">
        <w:rPr>
          <w:b/>
          <w:szCs w:val="22"/>
        </w:rPr>
        <w:t>6.6</w:t>
      </w:r>
      <w:r w:rsidRPr="00E079AF">
        <w:rPr>
          <w:b/>
          <w:szCs w:val="22"/>
        </w:rPr>
        <w:tab/>
      </w:r>
      <w:r w:rsidRPr="00E079AF">
        <w:rPr>
          <w:b/>
          <w:bCs/>
          <w:szCs w:val="22"/>
        </w:rPr>
        <w:t>Špeciálne opatrenia na likvidáciu</w:t>
      </w:r>
      <w:r w:rsidR="003A24D7" w:rsidRPr="00E079AF">
        <w:rPr>
          <w:b/>
          <w:bCs/>
          <w:szCs w:val="22"/>
        </w:rPr>
        <w:t xml:space="preserve"> a iné zaobchádzanie s liekom</w:t>
      </w:r>
    </w:p>
    <w:p w14:paraId="7FA41512" w14:textId="77777777" w:rsidR="00FF6BE0" w:rsidRPr="00E079AF" w:rsidRDefault="00FF6BE0" w:rsidP="00597FF6">
      <w:pPr>
        <w:rPr>
          <w:b/>
          <w:bCs/>
          <w:szCs w:val="22"/>
        </w:rPr>
      </w:pPr>
    </w:p>
    <w:p w14:paraId="7AEC3815" w14:textId="77777777" w:rsidR="002C1688" w:rsidRPr="002C1688" w:rsidRDefault="002C1688" w:rsidP="00597FF6">
      <w:pPr>
        <w:autoSpaceDE w:val="0"/>
        <w:autoSpaceDN w:val="0"/>
        <w:adjustRightInd w:val="0"/>
        <w:ind w:left="0" w:firstLine="0"/>
        <w:rPr>
          <w:color w:val="000000"/>
          <w:szCs w:val="22"/>
          <w:u w:val="single"/>
        </w:rPr>
      </w:pPr>
      <w:r w:rsidRPr="002C1688">
        <w:rPr>
          <w:color w:val="000000"/>
          <w:szCs w:val="22"/>
          <w:u w:val="single"/>
        </w:rPr>
        <w:t xml:space="preserve">Odporúčania na bezpečné zaobchádzanie s liekom </w:t>
      </w:r>
    </w:p>
    <w:p w14:paraId="533066E7" w14:textId="0803BBB4" w:rsidR="002C1688" w:rsidRPr="002C1688" w:rsidRDefault="00597FF6" w:rsidP="00597FF6">
      <w:pPr>
        <w:autoSpaceDE w:val="0"/>
        <w:autoSpaceDN w:val="0"/>
        <w:adjustRightInd w:val="0"/>
        <w:ind w:left="0" w:firstLine="0"/>
        <w:rPr>
          <w:color w:val="000000"/>
          <w:szCs w:val="22"/>
        </w:rPr>
      </w:pPr>
      <w:r>
        <w:rPr>
          <w:color w:val="000000"/>
          <w:szCs w:val="22"/>
        </w:rPr>
        <w:t xml:space="preserve">Azacitidine MSN </w:t>
      </w:r>
      <w:r w:rsidR="002C1688" w:rsidRPr="002C1688">
        <w:rPr>
          <w:color w:val="000000"/>
          <w:szCs w:val="22"/>
        </w:rPr>
        <w:t xml:space="preserve">je cytotoxický liek a rovnako ako v prípade iných potenciálne toxických zlúčenín sa počas manipulácie a prípravy suspenzie azacitidínu musí postupovať opatrne. Je potrebné dodržiavať postupy na bezpečnú manipuláciu a likvidáciu protinádorových liekov. </w:t>
      </w:r>
    </w:p>
    <w:p w14:paraId="02E88DB4" w14:textId="77777777" w:rsidR="002C1688" w:rsidRDefault="002C1688" w:rsidP="00597FF6">
      <w:pPr>
        <w:ind w:left="0" w:firstLine="0"/>
        <w:rPr>
          <w:color w:val="000000"/>
          <w:szCs w:val="22"/>
        </w:rPr>
      </w:pPr>
    </w:p>
    <w:p w14:paraId="2E90E771" w14:textId="07FCC79D" w:rsidR="002C1688" w:rsidRDefault="002C1688" w:rsidP="00597FF6">
      <w:pPr>
        <w:ind w:left="0" w:firstLine="0"/>
        <w:rPr>
          <w:color w:val="000000"/>
          <w:szCs w:val="22"/>
        </w:rPr>
      </w:pPr>
      <w:r w:rsidRPr="002C1688">
        <w:rPr>
          <w:color w:val="000000"/>
          <w:szCs w:val="22"/>
        </w:rPr>
        <w:t xml:space="preserve">Ak dôjde ku kontaktu rekonštituovaného azacitidínu s </w:t>
      </w:r>
      <w:r w:rsidR="00895B56">
        <w:rPr>
          <w:color w:val="000000"/>
          <w:szCs w:val="22"/>
        </w:rPr>
        <w:t>kožou</w:t>
      </w:r>
      <w:r w:rsidRPr="002C1688">
        <w:rPr>
          <w:color w:val="000000"/>
          <w:szCs w:val="22"/>
        </w:rPr>
        <w:t>, zasiahnuté miesto okamžite a dôkladne umyte mydlom a vodou. Ak sa dostane do kontaktu so sliznicami, zasiahnuté miesto dôkladne opláchnite vodou.</w:t>
      </w:r>
    </w:p>
    <w:p w14:paraId="124497C0" w14:textId="77777777" w:rsidR="00597FF6" w:rsidRDefault="00597FF6" w:rsidP="00597FF6">
      <w:pPr>
        <w:ind w:left="0" w:firstLine="0"/>
        <w:rPr>
          <w:bCs/>
          <w:szCs w:val="22"/>
        </w:rPr>
      </w:pPr>
    </w:p>
    <w:p w14:paraId="6F923659" w14:textId="77777777" w:rsidR="002730AE" w:rsidRPr="001C4E12" w:rsidRDefault="002730AE" w:rsidP="00597FF6">
      <w:pPr>
        <w:pStyle w:val="Zkladntext"/>
        <w:ind w:right="9"/>
      </w:pPr>
      <w:r w:rsidRPr="001C4E12">
        <w:rPr>
          <w:u w:val="single"/>
        </w:rPr>
        <w:t>Postup rekonštitúcie</w:t>
      </w:r>
    </w:p>
    <w:p w14:paraId="573BDC42" w14:textId="2A8CA68D" w:rsidR="002730AE" w:rsidRDefault="002730AE" w:rsidP="00597FF6">
      <w:pPr>
        <w:pStyle w:val="Zkladntext"/>
        <w:ind w:right="9"/>
      </w:pPr>
      <w:r w:rsidRPr="001C4E12">
        <w:t xml:space="preserve">Azacitidín sa má </w:t>
      </w:r>
      <w:r w:rsidR="007C5DE1">
        <w:t>rekonštituovať vodou na injekcie</w:t>
      </w:r>
      <w:r w:rsidRPr="001C4E12">
        <w:t>. Čas použiteľnosti rekonštituovaného lieku sa môže predĺžiť rekonštitúciou pomocou chladenej</w:t>
      </w:r>
      <w:r w:rsidR="007C5DE1">
        <w:t xml:space="preserve"> (2 °C až 8 °C) vody na injekcie</w:t>
      </w:r>
      <w:r w:rsidRPr="001C4E12">
        <w:t>. Podrobnosti o uchovávaní rekonštituovaného lieku sú uvedené nižšie.</w:t>
      </w:r>
    </w:p>
    <w:p w14:paraId="027E15A0" w14:textId="77777777" w:rsidR="003275A5" w:rsidRPr="001C4E12" w:rsidRDefault="003275A5" w:rsidP="002730AE">
      <w:pPr>
        <w:pStyle w:val="Zkladntext"/>
        <w:spacing w:before="1"/>
        <w:ind w:right="9"/>
      </w:pPr>
    </w:p>
    <w:p w14:paraId="2E7DA76B" w14:textId="77777777" w:rsidR="002730AE" w:rsidRPr="001C4E12" w:rsidRDefault="002730AE" w:rsidP="002730AE">
      <w:pPr>
        <w:pStyle w:val="Odsekzoznamu"/>
        <w:numPr>
          <w:ilvl w:val="0"/>
          <w:numId w:val="13"/>
        </w:numPr>
        <w:tabs>
          <w:tab w:val="left" w:pos="567"/>
        </w:tabs>
        <w:spacing w:before="1"/>
        <w:ind w:left="567" w:right="9" w:hanging="567"/>
      </w:pPr>
      <w:r w:rsidRPr="001C4E12">
        <w:t>Pripravte si nasledovné</w:t>
      </w:r>
      <w:r w:rsidRPr="001C4E12">
        <w:rPr>
          <w:spacing w:val="-1"/>
        </w:rPr>
        <w:t xml:space="preserve"> </w:t>
      </w:r>
      <w:r w:rsidRPr="001C4E12">
        <w:t>pomôcky:</w:t>
      </w:r>
    </w:p>
    <w:p w14:paraId="258C8CBD" w14:textId="459D14DD" w:rsidR="002730AE" w:rsidRDefault="002730AE" w:rsidP="002730AE">
      <w:pPr>
        <w:pStyle w:val="Zkladntext"/>
        <w:tabs>
          <w:tab w:val="left" w:pos="567"/>
        </w:tabs>
        <w:spacing w:before="1"/>
        <w:ind w:left="567" w:right="9" w:hanging="567"/>
      </w:pPr>
      <w:r w:rsidRPr="001C4E12">
        <w:tab/>
        <w:t>Injekčnú liekovku (injekčné liekovky) s azacitidínom, injekčnú liekovku (injekč</w:t>
      </w:r>
      <w:r w:rsidR="007C5DE1">
        <w:t>né liekovky) s vodou na injekcie</w:t>
      </w:r>
      <w:r w:rsidRPr="001C4E12">
        <w:t>, nesterilné chirurgické rukavice; alkoholové tampóny, 5 ml injekčnú striekačku (injekčné striekačky) s ihlou (ihlami).</w:t>
      </w:r>
    </w:p>
    <w:p w14:paraId="3A104DB4" w14:textId="77777777" w:rsidR="003275A5" w:rsidRPr="001C4E12" w:rsidRDefault="003275A5" w:rsidP="002730AE">
      <w:pPr>
        <w:pStyle w:val="Zkladntext"/>
        <w:tabs>
          <w:tab w:val="left" w:pos="567"/>
        </w:tabs>
        <w:spacing w:before="1"/>
        <w:ind w:left="567" w:right="9" w:hanging="567"/>
      </w:pPr>
    </w:p>
    <w:p w14:paraId="1BFFF279" w14:textId="2D6011F9" w:rsidR="002730AE" w:rsidRDefault="002730AE" w:rsidP="002730AE">
      <w:pPr>
        <w:pStyle w:val="Odsekzoznamu"/>
        <w:numPr>
          <w:ilvl w:val="0"/>
          <w:numId w:val="13"/>
        </w:numPr>
        <w:tabs>
          <w:tab w:val="left" w:pos="567"/>
        </w:tabs>
        <w:spacing w:before="4"/>
        <w:ind w:left="567" w:right="9" w:hanging="567"/>
      </w:pPr>
      <w:r w:rsidRPr="001C4E12">
        <w:t>Odoberte 4 ml vody na injekci</w:t>
      </w:r>
      <w:r w:rsidR="007C5DE1">
        <w:t>e</w:t>
      </w:r>
      <w:r w:rsidRPr="001C4E12">
        <w:t xml:space="preserve"> do injekčnej striekačky a dbajte na vytlačenie všetkého vzduchu z</w:t>
      </w:r>
      <w:r w:rsidR="007C5DE1">
        <w:t xml:space="preserve"> injekčnej </w:t>
      </w:r>
      <w:r w:rsidRPr="001C4E12">
        <w:t>striekačky.</w:t>
      </w:r>
    </w:p>
    <w:p w14:paraId="1E81BD2C" w14:textId="77777777" w:rsidR="003275A5" w:rsidRPr="001C4E12" w:rsidRDefault="003275A5" w:rsidP="003275A5">
      <w:pPr>
        <w:pStyle w:val="Odsekzoznamu"/>
        <w:tabs>
          <w:tab w:val="left" w:pos="567"/>
        </w:tabs>
        <w:spacing w:before="4"/>
        <w:ind w:left="567" w:right="9" w:firstLine="0"/>
      </w:pPr>
    </w:p>
    <w:p w14:paraId="4505CE32" w14:textId="0E31EC6B" w:rsidR="002730AE" w:rsidRDefault="002730AE" w:rsidP="002730AE">
      <w:pPr>
        <w:pStyle w:val="Odsekzoznamu"/>
        <w:numPr>
          <w:ilvl w:val="0"/>
          <w:numId w:val="13"/>
        </w:numPr>
        <w:tabs>
          <w:tab w:val="left" w:pos="567"/>
        </w:tabs>
        <w:spacing w:before="3"/>
        <w:ind w:left="567" w:right="9" w:hanging="567"/>
      </w:pPr>
      <w:r w:rsidRPr="001C4E12">
        <w:t>Zasuňte ihlu injekčnej striekačky obsahujúcej 4 ml vody na injekci</w:t>
      </w:r>
      <w:r w:rsidR="007C5DE1">
        <w:t>e</w:t>
      </w:r>
      <w:r w:rsidRPr="001C4E12">
        <w:t xml:space="preserve"> cez gumené viečko do injekčnej liekovky s azacitidínom a vstreknite vodu na injekci</w:t>
      </w:r>
      <w:r w:rsidR="007C5DE1">
        <w:t>e</w:t>
      </w:r>
      <w:r w:rsidRPr="001C4E12">
        <w:t xml:space="preserve"> do injekčnej</w:t>
      </w:r>
      <w:r w:rsidRPr="001C4E12">
        <w:rPr>
          <w:spacing w:val="-10"/>
        </w:rPr>
        <w:t xml:space="preserve"> </w:t>
      </w:r>
      <w:r w:rsidRPr="001C4E12">
        <w:t>liekovky.</w:t>
      </w:r>
    </w:p>
    <w:p w14:paraId="7243161A" w14:textId="77777777" w:rsidR="003275A5" w:rsidRPr="001C4E12" w:rsidRDefault="003275A5" w:rsidP="003275A5">
      <w:pPr>
        <w:pStyle w:val="Odsekzoznamu"/>
        <w:tabs>
          <w:tab w:val="left" w:pos="567"/>
        </w:tabs>
        <w:spacing w:before="3"/>
        <w:ind w:left="567" w:right="9" w:firstLine="0"/>
      </w:pPr>
    </w:p>
    <w:p w14:paraId="0AC41D86" w14:textId="77777777" w:rsidR="002730AE" w:rsidRPr="003275A5" w:rsidRDefault="002730AE" w:rsidP="002730AE">
      <w:pPr>
        <w:pStyle w:val="Odsekzoznamu"/>
        <w:numPr>
          <w:ilvl w:val="0"/>
          <w:numId w:val="13"/>
        </w:numPr>
        <w:tabs>
          <w:tab w:val="left" w:pos="567"/>
        </w:tabs>
        <w:spacing w:before="3"/>
        <w:ind w:left="567" w:right="9" w:hanging="567"/>
      </w:pPr>
      <w:r w:rsidRPr="001C4E12">
        <w:t xml:space="preserve">Vytiahnite injekčnú striekačku a ihlu a silno pretrepte injekčnú liekovku, až kým sa nevytvorí homogénna zakalená suspenzia. Po rekonštitúcii obsahuje každý ml suspenzie 25 mg azacitidínu (100 mg/4 ml). Rekonštituovaný liek je homogénna, zakalená suspenzia, bez aglomerátov. </w:t>
      </w:r>
      <w:r w:rsidRPr="001C4E12">
        <w:rPr>
          <w:u w:val="single"/>
        </w:rPr>
        <w:t>Ak suspenzia obsahuje veľké častice alebo aglomeráty, treba ju zlikvidovať. Po rekonštitúcii suspenziu nefiltrujte, mohlo by sa tým odstrániť liečivo. Musí sa zohľadniť, že filtre sa nachádzajú v niektorých adaptéroch, ihlách a uzatvorených systémoch; preto na podanie lieku po rekonštitúcii sa takéto systémy nemajú používať.</w:t>
      </w:r>
    </w:p>
    <w:p w14:paraId="12B3CA7A" w14:textId="77777777" w:rsidR="003275A5" w:rsidRPr="001C4E12" w:rsidRDefault="003275A5" w:rsidP="003275A5">
      <w:pPr>
        <w:pStyle w:val="Odsekzoznamu"/>
        <w:tabs>
          <w:tab w:val="left" w:pos="567"/>
        </w:tabs>
        <w:spacing w:before="3"/>
        <w:ind w:left="567" w:right="9" w:firstLine="0"/>
      </w:pPr>
    </w:p>
    <w:p w14:paraId="20AD4A7D" w14:textId="3C5A75F2" w:rsidR="002730AE" w:rsidRDefault="002730AE" w:rsidP="002730AE">
      <w:pPr>
        <w:pStyle w:val="Odsekzoznamu"/>
        <w:numPr>
          <w:ilvl w:val="0"/>
          <w:numId w:val="13"/>
        </w:numPr>
        <w:tabs>
          <w:tab w:val="left" w:pos="567"/>
        </w:tabs>
        <w:spacing w:before="10"/>
        <w:ind w:left="567" w:right="9" w:hanging="567"/>
      </w:pPr>
      <w:r w:rsidRPr="001C4E12">
        <w:t xml:space="preserve">Očistite gumené viečko a zasuňte novú injekčnú striekačku s ihlou do injekčnej liekovky. Prevráťte injekčnú liekovku hore dnom, pričom dbajte na to, aby bol hrot ihly pod hladinou tekutiny. Potiahnutím piesta dozadu </w:t>
      </w:r>
      <w:r w:rsidR="00850D1D">
        <w:t>odoberte</w:t>
      </w:r>
      <w:r w:rsidRPr="001C4E12">
        <w:t xml:space="preserve"> množstvo lieku požadované </w:t>
      </w:r>
      <w:r w:rsidR="00850D1D">
        <w:t>na</w:t>
      </w:r>
      <w:r w:rsidRPr="001C4E12">
        <w:t xml:space="preserve"> správnu dávku a dbajte na vytlačenie všetkého vzduchu z</w:t>
      </w:r>
      <w:r w:rsidR="007C5DE1">
        <w:t xml:space="preserve"> injekčnej </w:t>
      </w:r>
      <w:r w:rsidRPr="001C4E12">
        <w:t>striekačky. Vytiahnite injekčnú striekačku s ihlou z injekčnej liekovky a ihlu</w:t>
      </w:r>
      <w:r w:rsidRPr="001C4E12">
        <w:rPr>
          <w:spacing w:val="1"/>
        </w:rPr>
        <w:t xml:space="preserve"> </w:t>
      </w:r>
      <w:r w:rsidRPr="001C4E12">
        <w:t>zlikvidujte.</w:t>
      </w:r>
    </w:p>
    <w:p w14:paraId="166B5482" w14:textId="77777777" w:rsidR="003275A5" w:rsidRPr="001C4E12" w:rsidRDefault="003275A5" w:rsidP="003275A5">
      <w:pPr>
        <w:pStyle w:val="Odsekzoznamu"/>
        <w:tabs>
          <w:tab w:val="left" w:pos="567"/>
        </w:tabs>
        <w:spacing w:before="10"/>
        <w:ind w:left="567" w:right="9" w:firstLine="0"/>
      </w:pPr>
    </w:p>
    <w:p w14:paraId="330F68B7" w14:textId="67763799" w:rsidR="002730AE" w:rsidRDefault="002730AE" w:rsidP="002730AE">
      <w:pPr>
        <w:pStyle w:val="Odsekzoznamu"/>
        <w:numPr>
          <w:ilvl w:val="0"/>
          <w:numId w:val="13"/>
        </w:numPr>
        <w:tabs>
          <w:tab w:val="left" w:pos="567"/>
        </w:tabs>
        <w:spacing w:before="7"/>
        <w:ind w:left="567" w:right="9" w:hanging="567"/>
      </w:pPr>
      <w:r w:rsidRPr="001C4E12">
        <w:t xml:space="preserve">Pevne nasaďte novú subkutánnu ihlu (odporúča sa kaliber 25) na injekčnú striekačku. </w:t>
      </w:r>
      <w:r w:rsidR="00850D1D">
        <w:t>Do i</w:t>
      </w:r>
      <w:r w:rsidRPr="001C4E12">
        <w:t>hl</w:t>
      </w:r>
      <w:r w:rsidR="00850D1D">
        <w:t>y</w:t>
      </w:r>
      <w:r w:rsidRPr="001C4E12">
        <w:t xml:space="preserve"> sa nemá </w:t>
      </w:r>
      <w:r w:rsidR="00850D1D">
        <w:t>pred podaním injekcie nasať suspenzia</w:t>
      </w:r>
      <w:r w:rsidRPr="001C4E12">
        <w:t>, aby sa znížil výskyt lokálnych reakcií v mieste</w:t>
      </w:r>
      <w:r w:rsidRPr="001C4E12">
        <w:rPr>
          <w:spacing w:val="-19"/>
        </w:rPr>
        <w:t xml:space="preserve"> </w:t>
      </w:r>
      <w:r w:rsidRPr="001C4E12">
        <w:lastRenderedPageBreak/>
        <w:t>vpichu.</w:t>
      </w:r>
    </w:p>
    <w:p w14:paraId="2E95BCD2" w14:textId="77777777" w:rsidR="003275A5" w:rsidRPr="001C4E12" w:rsidRDefault="003275A5" w:rsidP="003275A5">
      <w:pPr>
        <w:pStyle w:val="Odsekzoznamu"/>
        <w:tabs>
          <w:tab w:val="left" w:pos="567"/>
        </w:tabs>
        <w:spacing w:before="7"/>
        <w:ind w:left="567" w:right="9" w:firstLine="0"/>
      </w:pPr>
    </w:p>
    <w:p w14:paraId="7130FD02" w14:textId="3D3FC6FE" w:rsidR="002730AE" w:rsidRDefault="002730AE" w:rsidP="002730AE">
      <w:pPr>
        <w:pStyle w:val="Odsekzoznamu"/>
        <w:numPr>
          <w:ilvl w:val="0"/>
          <w:numId w:val="13"/>
        </w:numPr>
        <w:tabs>
          <w:tab w:val="left" w:pos="567"/>
        </w:tabs>
        <w:spacing w:before="3"/>
        <w:ind w:left="567" w:right="9" w:hanging="567"/>
      </w:pPr>
      <w:r w:rsidRPr="001C4E12">
        <w:t>Ak je potrebn</w:t>
      </w:r>
      <w:r w:rsidR="007C5DE1">
        <w:t>á</w:t>
      </w:r>
      <w:r w:rsidRPr="001C4E12">
        <w:t xml:space="preserve"> viac ako 1 injekčná liekovka, zopakujte všetky vyššie uvedené kroky na prípravu suspenzie. V prípade dávok, ktoré vyžadujú viac ako 1 injekčnú liekovku, treba dávku rovnomerne rozdeliť, napríklad dávka 150 mg = 6 ml, 2 injekčné striekačky s 3 ml v každej injekčnej striekačke. V dôsledku retencie v injekčnej liekovke a ihle nemusí byť možné </w:t>
      </w:r>
      <w:r w:rsidR="00850D1D">
        <w:t>odobrať celú</w:t>
      </w:r>
      <w:r w:rsidRPr="001C4E12">
        <w:t xml:space="preserve"> suspenziu z injekčnej</w:t>
      </w:r>
      <w:r w:rsidRPr="001C4E12">
        <w:rPr>
          <w:spacing w:val="-1"/>
        </w:rPr>
        <w:t xml:space="preserve"> </w:t>
      </w:r>
      <w:r w:rsidRPr="001C4E12">
        <w:t>liekovky.</w:t>
      </w:r>
    </w:p>
    <w:p w14:paraId="4179839B" w14:textId="77777777" w:rsidR="003275A5" w:rsidRPr="001C4E12" w:rsidRDefault="003275A5" w:rsidP="003275A5">
      <w:pPr>
        <w:pStyle w:val="Odsekzoznamu"/>
        <w:tabs>
          <w:tab w:val="left" w:pos="567"/>
        </w:tabs>
        <w:spacing w:before="3"/>
        <w:ind w:left="567" w:right="9" w:firstLine="0"/>
      </w:pPr>
    </w:p>
    <w:p w14:paraId="7F672F55" w14:textId="77777777" w:rsidR="002730AE" w:rsidRPr="001C4E12" w:rsidRDefault="002730AE" w:rsidP="002730AE">
      <w:pPr>
        <w:pStyle w:val="Odsekzoznamu"/>
        <w:numPr>
          <w:ilvl w:val="0"/>
          <w:numId w:val="13"/>
        </w:numPr>
        <w:tabs>
          <w:tab w:val="left" w:pos="567"/>
        </w:tabs>
        <w:spacing w:before="7"/>
        <w:ind w:left="567" w:right="9" w:hanging="567"/>
      </w:pPr>
      <w:r w:rsidRPr="001C4E12">
        <w:t xml:space="preserve">Obsah dávkovacej injekčnej striekačky sa musí premiešať tesne pred podaním. Injekčná striekačka naplnená rekonštituovanou suspenziou sa má pred podaním ponechať pri teplote približne 20 °C-25 °C po dobu do 30 minút. Ak uplynie viac než 30 minút, suspenzia sa musí príslušným spôsobom zlikvidovať a musí sa pripraviť nová dávka. Na premiešanie rýchlo rolujte injekčnú striekačku medzi dlaňami dovtedy, kým sa nevytvorí homogénna, zakalená suspenzia. </w:t>
      </w:r>
      <w:r w:rsidRPr="001C4E12">
        <w:rPr>
          <w:u w:val="single"/>
        </w:rPr>
        <w:t>Ak suspenzia obsahuje veľké častice alebo aglomeráty, treba ju</w:t>
      </w:r>
      <w:r w:rsidRPr="001C4E12">
        <w:rPr>
          <w:spacing w:val="-8"/>
          <w:u w:val="single"/>
        </w:rPr>
        <w:t xml:space="preserve"> </w:t>
      </w:r>
      <w:r w:rsidRPr="001C4E12">
        <w:rPr>
          <w:u w:val="single"/>
        </w:rPr>
        <w:t>zlikvidovať.</w:t>
      </w:r>
    </w:p>
    <w:p w14:paraId="348FC897" w14:textId="77777777" w:rsidR="002730AE" w:rsidRPr="001C4E12" w:rsidRDefault="002730AE" w:rsidP="002730AE">
      <w:pPr>
        <w:pStyle w:val="Zkladntext"/>
        <w:tabs>
          <w:tab w:val="left" w:pos="567"/>
        </w:tabs>
        <w:ind w:left="567" w:right="9" w:hanging="567"/>
      </w:pPr>
    </w:p>
    <w:p w14:paraId="0B0F1450" w14:textId="77777777" w:rsidR="002730AE" w:rsidRPr="001C4E12" w:rsidRDefault="002730AE" w:rsidP="002730AE">
      <w:pPr>
        <w:pStyle w:val="Zkladntext"/>
        <w:spacing w:before="90"/>
        <w:ind w:right="9"/>
      </w:pPr>
      <w:r w:rsidRPr="001C4E12">
        <w:rPr>
          <w:u w:val="single"/>
        </w:rPr>
        <w:t>Uchovávanie rekonštituovaného lieku</w:t>
      </w:r>
    </w:p>
    <w:p w14:paraId="5C8AF12A" w14:textId="77777777" w:rsidR="002730AE" w:rsidRPr="001C4E12" w:rsidRDefault="002730AE" w:rsidP="002730AE">
      <w:pPr>
        <w:pStyle w:val="Zkladntext"/>
        <w:spacing w:before="2"/>
        <w:ind w:right="9"/>
      </w:pPr>
      <w:r w:rsidRPr="001C4E12">
        <w:t>Podmienky na uchovávanie po rekonštitúcii lieku, pozri časť 6.3.</w:t>
      </w:r>
    </w:p>
    <w:p w14:paraId="5952C9A0" w14:textId="77777777" w:rsidR="002730AE" w:rsidRPr="002C1688" w:rsidRDefault="002730AE">
      <w:pPr>
        <w:autoSpaceDE w:val="0"/>
        <w:autoSpaceDN w:val="0"/>
        <w:adjustRightInd w:val="0"/>
        <w:ind w:left="0" w:firstLine="0"/>
        <w:rPr>
          <w:color w:val="000000"/>
          <w:szCs w:val="22"/>
          <w:u w:val="single"/>
        </w:rPr>
      </w:pPr>
    </w:p>
    <w:p w14:paraId="6C616EA8" w14:textId="77777777" w:rsidR="002C1688" w:rsidRPr="002C1688" w:rsidRDefault="002C1688" w:rsidP="002C1688">
      <w:pPr>
        <w:autoSpaceDE w:val="0"/>
        <w:autoSpaceDN w:val="0"/>
        <w:adjustRightInd w:val="0"/>
        <w:ind w:left="0" w:firstLine="0"/>
        <w:rPr>
          <w:color w:val="000000"/>
          <w:szCs w:val="22"/>
          <w:u w:val="single"/>
        </w:rPr>
      </w:pPr>
      <w:r w:rsidRPr="002C1688">
        <w:rPr>
          <w:color w:val="000000"/>
          <w:szCs w:val="22"/>
          <w:u w:val="single"/>
        </w:rPr>
        <w:t xml:space="preserve">Výpočet individuálnej dávky </w:t>
      </w:r>
    </w:p>
    <w:p w14:paraId="70DF257B"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 xml:space="preserve">Celkovú dávku podľa </w:t>
      </w:r>
      <w:r w:rsidR="00DF032A">
        <w:rPr>
          <w:color w:val="000000"/>
          <w:szCs w:val="22"/>
        </w:rPr>
        <w:t xml:space="preserve">plochy </w:t>
      </w:r>
      <w:r w:rsidRPr="002C1688">
        <w:rPr>
          <w:color w:val="000000"/>
          <w:szCs w:val="22"/>
        </w:rPr>
        <w:t>povrchu tela (</w:t>
      </w:r>
      <w:r w:rsidRPr="002C1688">
        <w:rPr>
          <w:i/>
          <w:iCs/>
          <w:color w:val="000000"/>
          <w:szCs w:val="22"/>
        </w:rPr>
        <w:t>body surface area</w:t>
      </w:r>
      <w:r w:rsidRPr="002C1688">
        <w:rPr>
          <w:color w:val="000000"/>
          <w:szCs w:val="22"/>
        </w:rPr>
        <w:t xml:space="preserve">, BSA) možno vypočítať nasledovne: </w:t>
      </w:r>
    </w:p>
    <w:p w14:paraId="3BADC2AA" w14:textId="77777777" w:rsidR="002C1688" w:rsidRPr="002C1688" w:rsidRDefault="002C1688" w:rsidP="002C1688">
      <w:pPr>
        <w:autoSpaceDE w:val="0"/>
        <w:autoSpaceDN w:val="0"/>
        <w:adjustRightInd w:val="0"/>
        <w:ind w:left="0" w:firstLine="0"/>
        <w:rPr>
          <w:color w:val="000000"/>
          <w:szCs w:val="22"/>
        </w:rPr>
      </w:pPr>
      <w:r w:rsidRPr="002C1688">
        <w:rPr>
          <w:color w:val="000000"/>
          <w:szCs w:val="22"/>
        </w:rPr>
        <w:t>Celková dávka (mg) = dávka (mg/m</w:t>
      </w:r>
      <w:r w:rsidRPr="002C1688">
        <w:rPr>
          <w:color w:val="000000"/>
          <w:szCs w:val="22"/>
          <w:vertAlign w:val="superscript"/>
        </w:rPr>
        <w:t>2</w:t>
      </w:r>
      <w:r w:rsidRPr="002C1688">
        <w:rPr>
          <w:color w:val="000000"/>
          <w:szCs w:val="22"/>
        </w:rPr>
        <w:t>) x BSA (m</w:t>
      </w:r>
      <w:r w:rsidR="00BB69D3" w:rsidRPr="002C1688">
        <w:rPr>
          <w:color w:val="000000"/>
          <w:szCs w:val="22"/>
          <w:vertAlign w:val="superscript"/>
        </w:rPr>
        <w:t>2</w:t>
      </w:r>
      <w:r w:rsidRPr="002C1688">
        <w:rPr>
          <w:color w:val="000000"/>
          <w:szCs w:val="22"/>
        </w:rPr>
        <w:t xml:space="preserve">) </w:t>
      </w:r>
    </w:p>
    <w:p w14:paraId="1411CBA7" w14:textId="77777777" w:rsidR="00BB69D3" w:rsidRDefault="00BB69D3" w:rsidP="002C1688">
      <w:pPr>
        <w:ind w:left="0" w:firstLine="0"/>
        <w:rPr>
          <w:color w:val="000000"/>
          <w:szCs w:val="22"/>
        </w:rPr>
      </w:pPr>
    </w:p>
    <w:p w14:paraId="09BE7B9F" w14:textId="1AD7C704" w:rsidR="002C1688" w:rsidRDefault="002C1688" w:rsidP="002C1688">
      <w:pPr>
        <w:ind w:left="0" w:firstLine="0"/>
        <w:rPr>
          <w:bCs/>
          <w:szCs w:val="22"/>
        </w:rPr>
      </w:pPr>
      <w:r w:rsidRPr="002C1688">
        <w:rPr>
          <w:color w:val="000000"/>
          <w:szCs w:val="22"/>
        </w:rPr>
        <w:t>Nasled</w:t>
      </w:r>
      <w:r w:rsidR="007C5DE1">
        <w:rPr>
          <w:color w:val="000000"/>
          <w:szCs w:val="22"/>
        </w:rPr>
        <w:t>ovná ta</w:t>
      </w:r>
      <w:r w:rsidRPr="002C1688">
        <w:rPr>
          <w:color w:val="000000"/>
          <w:szCs w:val="22"/>
        </w:rPr>
        <w:t>buľka je uvedená iba ako príklad výpočtu individuálnych dávok azacitidínu na základe priemernej hodnoty BSA na úrovni 1,8 m</w:t>
      </w:r>
      <w:r w:rsidR="00BB69D3" w:rsidRPr="002C1688">
        <w:rPr>
          <w:color w:val="000000"/>
          <w:szCs w:val="22"/>
          <w:vertAlign w:val="superscript"/>
        </w:rPr>
        <w:t>2</w:t>
      </w:r>
      <w:r w:rsidRPr="002C1688">
        <w:rPr>
          <w:color w:val="000000"/>
          <w:szCs w:val="22"/>
        </w:rPr>
        <w:t>.</w:t>
      </w:r>
    </w:p>
    <w:p w14:paraId="6B992DD8" w14:textId="77777777" w:rsidR="002C1688" w:rsidRPr="00E079AF" w:rsidRDefault="002C1688" w:rsidP="00C92B0B">
      <w:pPr>
        <w:rPr>
          <w:bCs/>
          <w:szCs w:val="22"/>
        </w:rPr>
      </w:pPr>
    </w:p>
    <w:tbl>
      <w:tblPr>
        <w:tblW w:w="9639" w:type="dxa"/>
        <w:tblInd w:w="-65" w:type="dxa"/>
        <w:tblCellMar>
          <w:top w:w="12" w:type="dxa"/>
          <w:left w:w="106" w:type="dxa"/>
          <w:right w:w="115" w:type="dxa"/>
        </w:tblCellMar>
        <w:tblLook w:val="04A0" w:firstRow="1" w:lastRow="0" w:firstColumn="1" w:lastColumn="0" w:noHBand="0" w:noVBand="1"/>
      </w:tblPr>
      <w:tblGrid>
        <w:gridCol w:w="2408"/>
        <w:gridCol w:w="2411"/>
        <w:gridCol w:w="2409"/>
        <w:gridCol w:w="2411"/>
      </w:tblGrid>
      <w:tr w:rsidR="0048428A" w:rsidRPr="00BB69D3" w14:paraId="288BAD38" w14:textId="77777777" w:rsidTr="0048428A">
        <w:trPr>
          <w:trHeight w:val="770"/>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318D9BD3" w14:textId="77777777" w:rsidR="00BB69D3" w:rsidRPr="0048428A" w:rsidRDefault="00BB69D3">
            <w:pPr>
              <w:pStyle w:val="Default"/>
              <w:rPr>
                <w:b/>
                <w:sz w:val="22"/>
                <w:szCs w:val="22"/>
                <w:lang w:val="sk-SK"/>
              </w:rPr>
            </w:pPr>
            <w:r w:rsidRPr="0048428A">
              <w:rPr>
                <w:b/>
                <w:sz w:val="22"/>
                <w:szCs w:val="22"/>
                <w:lang w:val="sk-SK"/>
              </w:rPr>
              <w:t>Dávka mg/m</w:t>
            </w:r>
            <w:r w:rsidRPr="00854A48">
              <w:rPr>
                <w:b/>
                <w:sz w:val="22"/>
                <w:szCs w:val="22"/>
                <w:vertAlign w:val="superscript"/>
                <w:lang w:val="sk-SK"/>
              </w:rPr>
              <w:t>2</w:t>
            </w:r>
            <w:r w:rsidRPr="0048428A">
              <w:rPr>
                <w:b/>
                <w:sz w:val="22"/>
                <w:szCs w:val="22"/>
                <w:lang w:val="sk-SK"/>
              </w:rPr>
              <w:t xml:space="preserve"> </w:t>
            </w:r>
          </w:p>
          <w:p w14:paraId="209FBC41" w14:textId="77777777" w:rsidR="00BB69D3" w:rsidRPr="0048428A" w:rsidRDefault="00BB69D3">
            <w:pPr>
              <w:pStyle w:val="Default"/>
              <w:rPr>
                <w:b/>
                <w:sz w:val="22"/>
                <w:szCs w:val="22"/>
                <w:lang w:val="sk-SK"/>
              </w:rPr>
            </w:pPr>
            <w:r w:rsidRPr="0048428A">
              <w:rPr>
                <w:b/>
                <w:i/>
                <w:iCs/>
                <w:sz w:val="22"/>
                <w:szCs w:val="22"/>
                <w:lang w:val="sk-SK"/>
              </w:rPr>
              <w:t xml:space="preserve">(% odporúčanej úvodnej dávky)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2B05D1D9" w14:textId="77777777" w:rsidR="00BB69D3" w:rsidRPr="0048428A" w:rsidRDefault="00BB69D3">
            <w:pPr>
              <w:pStyle w:val="Default"/>
              <w:rPr>
                <w:b/>
                <w:sz w:val="22"/>
                <w:szCs w:val="22"/>
                <w:lang w:val="sk-SK"/>
              </w:rPr>
            </w:pPr>
            <w:r w:rsidRPr="0048428A">
              <w:rPr>
                <w:b/>
                <w:sz w:val="22"/>
                <w:szCs w:val="22"/>
                <w:lang w:val="sk-SK"/>
              </w:rPr>
              <w:t>Celková dávka na základe hodnoty BSA 1,8 m</w:t>
            </w:r>
            <w:r w:rsidRPr="00854A48">
              <w:rPr>
                <w:b/>
                <w:sz w:val="22"/>
                <w:szCs w:val="22"/>
                <w:vertAlign w:val="superscript"/>
                <w:lang w:val="sk-SK"/>
              </w:rPr>
              <w:t>2</w:t>
            </w:r>
            <w:r w:rsidRPr="0048428A">
              <w:rPr>
                <w:b/>
                <w:sz w:val="22"/>
                <w:szCs w:val="22"/>
                <w:lang w:val="sk-SK"/>
              </w:rPr>
              <w:t xml:space="preserve">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9502935" w14:textId="77777777" w:rsidR="00BB69D3" w:rsidRPr="0048428A" w:rsidRDefault="00BB69D3">
            <w:pPr>
              <w:pStyle w:val="Default"/>
              <w:rPr>
                <w:b/>
                <w:sz w:val="22"/>
                <w:szCs w:val="22"/>
                <w:lang w:val="sk-SK"/>
              </w:rPr>
            </w:pPr>
            <w:r w:rsidRPr="0048428A">
              <w:rPr>
                <w:b/>
                <w:sz w:val="22"/>
                <w:szCs w:val="22"/>
                <w:lang w:val="sk-SK"/>
              </w:rPr>
              <w:t xml:space="preserve">Požadovaný počet injekčných liekoviek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334992A6" w14:textId="77777777" w:rsidR="00BB69D3" w:rsidRPr="0048428A" w:rsidRDefault="00BB69D3">
            <w:pPr>
              <w:pStyle w:val="Default"/>
              <w:rPr>
                <w:b/>
                <w:sz w:val="22"/>
                <w:szCs w:val="22"/>
                <w:lang w:val="sk-SK"/>
              </w:rPr>
            </w:pPr>
            <w:r w:rsidRPr="0048428A">
              <w:rPr>
                <w:b/>
                <w:sz w:val="22"/>
                <w:szCs w:val="22"/>
                <w:lang w:val="sk-SK"/>
              </w:rPr>
              <w:t xml:space="preserve">Celkový potrebný objem rekonštituovanej suspenzie </w:t>
            </w:r>
          </w:p>
        </w:tc>
      </w:tr>
      <w:tr w:rsidR="0048428A" w:rsidRPr="00BB69D3" w14:paraId="36B5BDE3" w14:textId="77777777" w:rsidTr="0048428A">
        <w:trPr>
          <w:trHeight w:val="261"/>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1180F8B1" w14:textId="77777777" w:rsidR="00BB69D3" w:rsidRPr="0048428A" w:rsidRDefault="00BB69D3" w:rsidP="003616D4">
            <w:pPr>
              <w:rPr>
                <w:color w:val="000000"/>
                <w:szCs w:val="22"/>
                <w:lang w:eastAsia="de-DE"/>
              </w:rPr>
            </w:pPr>
            <w:r w:rsidRPr="0048428A">
              <w:rPr>
                <w:color w:val="000000"/>
                <w:szCs w:val="22"/>
                <w:lang w:eastAsia="de-DE"/>
              </w:rPr>
              <w:t>75 mg/m</w:t>
            </w:r>
            <w:r w:rsidRPr="0048428A">
              <w:rPr>
                <w:color w:val="000000"/>
                <w:szCs w:val="22"/>
                <w:vertAlign w:val="superscript"/>
                <w:lang w:eastAsia="de-DE"/>
              </w:rPr>
              <w:t xml:space="preserve">2 </w:t>
            </w:r>
            <w:r w:rsidRPr="0048428A">
              <w:rPr>
                <w:color w:val="000000"/>
                <w:szCs w:val="22"/>
                <w:lang w:eastAsia="de-DE"/>
              </w:rPr>
              <w:t>(100 %)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BD14C62" w14:textId="77777777" w:rsidR="00BB69D3" w:rsidRPr="0048428A" w:rsidRDefault="00BB69D3" w:rsidP="003616D4">
            <w:pPr>
              <w:rPr>
                <w:color w:val="000000"/>
                <w:szCs w:val="22"/>
                <w:lang w:eastAsia="de-DE"/>
              </w:rPr>
            </w:pPr>
            <w:r w:rsidRPr="0048428A">
              <w:rPr>
                <w:color w:val="000000"/>
                <w:szCs w:val="22"/>
                <w:lang w:eastAsia="de-DE"/>
              </w:rPr>
              <w:t>135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476C1A47" w14:textId="77777777" w:rsidR="00BB69D3" w:rsidRPr="0048428A" w:rsidRDefault="00BB69D3" w:rsidP="00BB69D3">
            <w:pPr>
              <w:rPr>
                <w:color w:val="000000"/>
                <w:szCs w:val="22"/>
                <w:lang w:eastAsia="de-DE"/>
              </w:rPr>
            </w:pPr>
            <w:r w:rsidRPr="0048428A">
              <w:rPr>
                <w:color w:val="000000"/>
                <w:szCs w:val="22"/>
                <w:lang w:eastAsia="de-DE"/>
              </w:rPr>
              <w:t>2 injekčné liekovky</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938E4FF" w14:textId="77777777" w:rsidR="00BB69D3" w:rsidRPr="0048428A" w:rsidRDefault="00BB69D3" w:rsidP="00BB69D3">
            <w:pPr>
              <w:rPr>
                <w:color w:val="000000"/>
                <w:szCs w:val="22"/>
                <w:lang w:eastAsia="de-DE"/>
              </w:rPr>
            </w:pPr>
            <w:r w:rsidRPr="0048428A">
              <w:rPr>
                <w:color w:val="000000"/>
                <w:szCs w:val="22"/>
                <w:lang w:eastAsia="de-DE"/>
              </w:rPr>
              <w:t>5,4 ml</w:t>
            </w:r>
          </w:p>
        </w:tc>
      </w:tr>
      <w:tr w:rsidR="0048428A" w:rsidRPr="00BB69D3" w14:paraId="134A4CEB"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75429098" w14:textId="77777777" w:rsidR="00BB69D3" w:rsidRPr="0048428A" w:rsidRDefault="00BB69D3" w:rsidP="00BB69D3">
            <w:pPr>
              <w:rPr>
                <w:color w:val="000000"/>
                <w:szCs w:val="22"/>
                <w:lang w:eastAsia="de-DE"/>
              </w:rPr>
            </w:pPr>
            <w:r w:rsidRPr="0048428A">
              <w:rPr>
                <w:color w:val="000000"/>
                <w:szCs w:val="22"/>
                <w:lang w:eastAsia="de-DE"/>
              </w:rPr>
              <w:t>37,5 mg/m</w:t>
            </w:r>
            <w:r w:rsidRPr="0048428A">
              <w:rPr>
                <w:color w:val="000000"/>
                <w:szCs w:val="22"/>
                <w:vertAlign w:val="superscript"/>
                <w:lang w:eastAsia="de-DE"/>
              </w:rPr>
              <w:t xml:space="preserve">2 </w:t>
            </w:r>
            <w:r w:rsidRPr="0048428A">
              <w:rPr>
                <w:color w:val="000000"/>
                <w:szCs w:val="22"/>
                <w:lang w:eastAsia="de-DE"/>
              </w:rPr>
              <w:t>(50 %)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15B1FCF9" w14:textId="77777777" w:rsidR="00BB69D3" w:rsidRPr="0048428A" w:rsidRDefault="00BB69D3" w:rsidP="00BB69D3">
            <w:pPr>
              <w:rPr>
                <w:color w:val="000000"/>
                <w:szCs w:val="22"/>
                <w:lang w:eastAsia="de-DE"/>
              </w:rPr>
            </w:pPr>
            <w:r w:rsidRPr="0048428A">
              <w:rPr>
                <w:color w:val="000000"/>
                <w:szCs w:val="22"/>
                <w:lang w:eastAsia="de-DE"/>
              </w:rPr>
              <w:t>67,5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6842A9B5"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60756902" w14:textId="77777777" w:rsidR="00BB69D3" w:rsidRPr="0048428A" w:rsidRDefault="00BB69D3" w:rsidP="00BB69D3">
            <w:pPr>
              <w:rPr>
                <w:color w:val="000000"/>
                <w:szCs w:val="22"/>
                <w:lang w:eastAsia="de-DE"/>
              </w:rPr>
            </w:pPr>
            <w:r w:rsidRPr="0048428A">
              <w:rPr>
                <w:color w:val="000000"/>
                <w:szCs w:val="22"/>
                <w:lang w:eastAsia="de-DE"/>
              </w:rPr>
              <w:t>2,7 ml</w:t>
            </w:r>
          </w:p>
        </w:tc>
      </w:tr>
      <w:tr w:rsidR="0048428A" w:rsidRPr="00BB69D3" w14:paraId="0D611A90" w14:textId="77777777" w:rsidTr="0048428A">
        <w:trPr>
          <w:trHeight w:val="264"/>
        </w:trPr>
        <w:tc>
          <w:tcPr>
            <w:tcW w:w="2408" w:type="dxa"/>
            <w:tcBorders>
              <w:top w:val="single" w:sz="4" w:space="0" w:color="000000"/>
              <w:left w:val="single" w:sz="4" w:space="0" w:color="000000"/>
              <w:bottom w:val="single" w:sz="4" w:space="0" w:color="000000"/>
              <w:right w:val="single" w:sz="4" w:space="0" w:color="000000"/>
            </w:tcBorders>
            <w:shd w:val="clear" w:color="auto" w:fill="auto"/>
          </w:tcPr>
          <w:p w14:paraId="24758906" w14:textId="77777777" w:rsidR="00BB69D3" w:rsidRPr="0048428A" w:rsidRDefault="00BB69D3" w:rsidP="003616D4">
            <w:pPr>
              <w:rPr>
                <w:color w:val="000000"/>
                <w:szCs w:val="22"/>
                <w:lang w:eastAsia="de-DE"/>
              </w:rPr>
            </w:pPr>
            <w:r w:rsidRPr="0048428A">
              <w:rPr>
                <w:color w:val="000000"/>
                <w:szCs w:val="22"/>
                <w:lang w:eastAsia="de-DE"/>
              </w:rPr>
              <w:t>25 mg/m</w:t>
            </w:r>
            <w:r w:rsidRPr="0048428A">
              <w:rPr>
                <w:color w:val="000000"/>
                <w:szCs w:val="22"/>
                <w:vertAlign w:val="superscript"/>
                <w:lang w:eastAsia="de-DE"/>
              </w:rPr>
              <w:t xml:space="preserve">2 </w:t>
            </w:r>
            <w:r w:rsidRPr="0048428A">
              <w:rPr>
                <w:color w:val="000000"/>
                <w:szCs w:val="22"/>
                <w:lang w:eastAsia="de-DE"/>
              </w:rPr>
              <w:t>(33 %)</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4C1660C1" w14:textId="77777777" w:rsidR="00BB69D3" w:rsidRPr="0048428A" w:rsidRDefault="00BB69D3" w:rsidP="003616D4">
            <w:pPr>
              <w:rPr>
                <w:color w:val="000000"/>
                <w:szCs w:val="22"/>
                <w:lang w:eastAsia="de-DE"/>
              </w:rPr>
            </w:pPr>
            <w:r w:rsidRPr="0048428A">
              <w:rPr>
                <w:color w:val="000000"/>
                <w:szCs w:val="22"/>
                <w:lang w:eastAsia="de-DE"/>
              </w:rPr>
              <w:t>45 mg</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118AA116" w14:textId="77777777" w:rsidR="00BB69D3" w:rsidRPr="0048428A" w:rsidRDefault="00BB69D3" w:rsidP="00BB69D3">
            <w:pPr>
              <w:rPr>
                <w:color w:val="000000"/>
                <w:szCs w:val="22"/>
                <w:lang w:eastAsia="de-DE"/>
              </w:rPr>
            </w:pPr>
            <w:r w:rsidRPr="0048428A">
              <w:rPr>
                <w:color w:val="000000"/>
                <w:szCs w:val="22"/>
                <w:lang w:eastAsia="de-DE"/>
              </w:rPr>
              <w:t>1 injekčná liekovka</w:t>
            </w: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14:paraId="0E527BB9" w14:textId="77777777" w:rsidR="00BB69D3" w:rsidRPr="0048428A" w:rsidRDefault="00BB69D3" w:rsidP="00BB69D3">
            <w:pPr>
              <w:rPr>
                <w:color w:val="000000"/>
                <w:szCs w:val="22"/>
                <w:lang w:eastAsia="de-DE"/>
              </w:rPr>
            </w:pPr>
            <w:r w:rsidRPr="0048428A">
              <w:rPr>
                <w:color w:val="000000"/>
                <w:szCs w:val="22"/>
                <w:lang w:eastAsia="de-DE"/>
              </w:rPr>
              <w:t>1,8 ml</w:t>
            </w:r>
          </w:p>
        </w:tc>
      </w:tr>
    </w:tbl>
    <w:p w14:paraId="6144BC2F" w14:textId="77777777" w:rsidR="00FF6BE0" w:rsidRDefault="00FF6BE0" w:rsidP="00C92B0B">
      <w:pPr>
        <w:rPr>
          <w:szCs w:val="22"/>
        </w:rPr>
      </w:pPr>
    </w:p>
    <w:p w14:paraId="24F447EB" w14:textId="77777777" w:rsidR="00674C8A" w:rsidRPr="00674C8A" w:rsidRDefault="00674C8A" w:rsidP="00674C8A">
      <w:pPr>
        <w:rPr>
          <w:szCs w:val="22"/>
        </w:rPr>
      </w:pPr>
      <w:r w:rsidRPr="00674C8A">
        <w:rPr>
          <w:szCs w:val="22"/>
        </w:rPr>
        <w:t>Spôsob podávania</w:t>
      </w:r>
    </w:p>
    <w:p w14:paraId="4A77CAFA" w14:textId="006ECE75" w:rsidR="00674C8A" w:rsidRPr="00674C8A" w:rsidRDefault="003421E4" w:rsidP="00854A48">
      <w:pPr>
        <w:ind w:left="0" w:firstLine="0"/>
        <w:rPr>
          <w:szCs w:val="22"/>
        </w:rPr>
      </w:pPr>
      <w:r>
        <w:rPr>
          <w:szCs w:val="22"/>
        </w:rPr>
        <w:t xml:space="preserve">Rekonštituovaný </w:t>
      </w:r>
      <w:r w:rsidR="009148EA">
        <w:rPr>
          <w:szCs w:val="22"/>
        </w:rPr>
        <w:t>a</w:t>
      </w:r>
      <w:r w:rsidR="00597FF6">
        <w:rPr>
          <w:szCs w:val="22"/>
        </w:rPr>
        <w:t>zacitid</w:t>
      </w:r>
      <w:r w:rsidR="009148EA">
        <w:rPr>
          <w:szCs w:val="22"/>
        </w:rPr>
        <w:t>ín</w:t>
      </w:r>
      <w:r w:rsidR="00597FF6">
        <w:rPr>
          <w:szCs w:val="22"/>
        </w:rPr>
        <w:t xml:space="preserve"> </w:t>
      </w:r>
      <w:r w:rsidR="00674C8A" w:rsidRPr="00674C8A">
        <w:rPr>
          <w:szCs w:val="22"/>
        </w:rPr>
        <w:t>sa má podávať subkutánnou in</w:t>
      </w:r>
      <w:r>
        <w:rPr>
          <w:szCs w:val="22"/>
        </w:rPr>
        <w:t xml:space="preserve">jekciou (ihlu zaveďte pod uhlom </w:t>
      </w:r>
      <w:r w:rsidR="00674C8A" w:rsidRPr="00674C8A">
        <w:rPr>
          <w:szCs w:val="22"/>
        </w:rPr>
        <w:t>45 – 90°) do</w:t>
      </w:r>
      <w:r w:rsidR="001B187B">
        <w:rPr>
          <w:szCs w:val="22"/>
        </w:rPr>
        <w:t xml:space="preserve"> </w:t>
      </w:r>
      <w:r w:rsidR="00674C8A" w:rsidRPr="00674C8A">
        <w:rPr>
          <w:szCs w:val="22"/>
        </w:rPr>
        <w:t>ramena, stehna alebo brucha použitím injekčnej ihly kalibr</w:t>
      </w:r>
      <w:r w:rsidR="009148EA">
        <w:rPr>
          <w:szCs w:val="22"/>
        </w:rPr>
        <w:t>u</w:t>
      </w:r>
      <w:r w:rsidR="00674C8A" w:rsidRPr="00674C8A">
        <w:rPr>
          <w:szCs w:val="22"/>
        </w:rPr>
        <w:t xml:space="preserve"> 25.</w:t>
      </w:r>
    </w:p>
    <w:p w14:paraId="79ED9CCC" w14:textId="77777777" w:rsidR="007C5DE1" w:rsidRDefault="007C5DE1" w:rsidP="00674C8A">
      <w:pPr>
        <w:rPr>
          <w:szCs w:val="22"/>
        </w:rPr>
      </w:pPr>
    </w:p>
    <w:p w14:paraId="70B2B308" w14:textId="495BD7FA" w:rsidR="00674C8A" w:rsidRPr="00674C8A" w:rsidRDefault="00674C8A" w:rsidP="00674C8A">
      <w:pPr>
        <w:rPr>
          <w:szCs w:val="22"/>
        </w:rPr>
      </w:pPr>
      <w:r w:rsidRPr="00674C8A">
        <w:rPr>
          <w:szCs w:val="22"/>
        </w:rPr>
        <w:t>Dávky v</w:t>
      </w:r>
      <w:r w:rsidR="009148EA">
        <w:rPr>
          <w:szCs w:val="22"/>
        </w:rPr>
        <w:t>yššie</w:t>
      </w:r>
      <w:r w:rsidRPr="00674C8A">
        <w:rPr>
          <w:szCs w:val="22"/>
        </w:rPr>
        <w:t xml:space="preserve"> než 4 ml sa majú injekčne aplikovať do dvoch rôznych miest vpichu.</w:t>
      </w:r>
    </w:p>
    <w:p w14:paraId="2BA53AB7" w14:textId="77777777" w:rsidR="007C5DE1" w:rsidRDefault="007C5DE1" w:rsidP="00674C8A">
      <w:pPr>
        <w:rPr>
          <w:szCs w:val="22"/>
        </w:rPr>
      </w:pPr>
    </w:p>
    <w:p w14:paraId="128B2E6C" w14:textId="77777777" w:rsidR="00674C8A" w:rsidRPr="00674C8A" w:rsidRDefault="00674C8A" w:rsidP="00674C8A">
      <w:pPr>
        <w:rPr>
          <w:szCs w:val="22"/>
        </w:rPr>
      </w:pPr>
      <w:r w:rsidRPr="00674C8A">
        <w:rPr>
          <w:szCs w:val="22"/>
        </w:rPr>
        <w:t>Miesta injekčnej aplikácie sa majú meniť. Nové injekcie sa majú aplikovať najmenej 2,5 cm od</w:t>
      </w:r>
    </w:p>
    <w:p w14:paraId="0080AA19" w14:textId="77777777" w:rsidR="00674C8A" w:rsidRPr="00674C8A" w:rsidRDefault="00674C8A" w:rsidP="00674C8A">
      <w:pPr>
        <w:rPr>
          <w:szCs w:val="22"/>
        </w:rPr>
      </w:pPr>
      <w:r w:rsidRPr="00674C8A">
        <w:rPr>
          <w:szCs w:val="22"/>
        </w:rPr>
        <w:t>predchádzajúceho miesta vpichu a nikdy nie do oblastí, v ktorých je miesto vpichu bolestivé,</w:t>
      </w:r>
    </w:p>
    <w:p w14:paraId="630A31C9" w14:textId="77777777" w:rsidR="00674C8A" w:rsidRPr="00674C8A" w:rsidRDefault="001E46B9" w:rsidP="00674C8A">
      <w:pPr>
        <w:rPr>
          <w:szCs w:val="22"/>
        </w:rPr>
      </w:pPr>
      <w:r>
        <w:rPr>
          <w:szCs w:val="22"/>
        </w:rPr>
        <w:t>s podliatinami, sčervene</w:t>
      </w:r>
      <w:r w:rsidR="00674C8A" w:rsidRPr="00674C8A">
        <w:rPr>
          <w:szCs w:val="22"/>
        </w:rPr>
        <w:t>né alebo stvrdnuté.</w:t>
      </w:r>
    </w:p>
    <w:p w14:paraId="7CCA5B03" w14:textId="77777777" w:rsidR="007C5DE1" w:rsidRDefault="007C5DE1" w:rsidP="00674C8A">
      <w:pPr>
        <w:rPr>
          <w:szCs w:val="22"/>
        </w:rPr>
      </w:pPr>
    </w:p>
    <w:p w14:paraId="1924C869" w14:textId="77777777" w:rsidR="00674C8A" w:rsidRPr="00674C8A" w:rsidRDefault="00674C8A" w:rsidP="00674C8A">
      <w:pPr>
        <w:rPr>
          <w:szCs w:val="22"/>
        </w:rPr>
      </w:pPr>
      <w:r w:rsidRPr="00674C8A">
        <w:rPr>
          <w:szCs w:val="22"/>
        </w:rPr>
        <w:t>Všetok nepoužitý liek alebo odpad vzniknutý z lieku sa má zlikvidovať v súlade s národnými</w:t>
      </w:r>
    </w:p>
    <w:p w14:paraId="332921A9" w14:textId="77777777" w:rsidR="00674C8A" w:rsidRPr="00BB69D3" w:rsidRDefault="00674C8A" w:rsidP="00674C8A">
      <w:pPr>
        <w:rPr>
          <w:szCs w:val="22"/>
        </w:rPr>
      </w:pPr>
      <w:r w:rsidRPr="00674C8A">
        <w:rPr>
          <w:szCs w:val="22"/>
        </w:rPr>
        <w:t>požiadavkami.</w:t>
      </w:r>
    </w:p>
    <w:p w14:paraId="4BFD2F1A" w14:textId="77777777" w:rsidR="00D21D8D" w:rsidRDefault="00D21D8D" w:rsidP="00C92B0B">
      <w:pPr>
        <w:rPr>
          <w:szCs w:val="22"/>
        </w:rPr>
      </w:pPr>
    </w:p>
    <w:p w14:paraId="38D4596E" w14:textId="77777777" w:rsidR="00657D43" w:rsidRPr="00BB69D3" w:rsidRDefault="00657D43" w:rsidP="00C92B0B">
      <w:pPr>
        <w:rPr>
          <w:szCs w:val="22"/>
        </w:rPr>
      </w:pPr>
    </w:p>
    <w:p w14:paraId="4B04E910" w14:textId="77777777" w:rsidR="00FF6BE0" w:rsidRPr="00BB69D3" w:rsidRDefault="00FF6BE0" w:rsidP="00C92B0B">
      <w:pPr>
        <w:rPr>
          <w:b/>
          <w:szCs w:val="22"/>
        </w:rPr>
      </w:pPr>
      <w:r w:rsidRPr="00BB69D3">
        <w:rPr>
          <w:b/>
          <w:szCs w:val="22"/>
        </w:rPr>
        <w:t>7.</w:t>
      </w:r>
      <w:r w:rsidRPr="00BB69D3">
        <w:rPr>
          <w:b/>
          <w:szCs w:val="22"/>
        </w:rPr>
        <w:tab/>
        <w:t>DRŽITEĽ ROZHODNUTIA O REGISTRÁCII</w:t>
      </w:r>
    </w:p>
    <w:p w14:paraId="166DE4E1" w14:textId="77777777" w:rsidR="00FF6BE0" w:rsidRPr="00BB69D3" w:rsidRDefault="00FF6BE0" w:rsidP="00C92B0B">
      <w:pPr>
        <w:rPr>
          <w:szCs w:val="22"/>
        </w:rPr>
      </w:pPr>
    </w:p>
    <w:p w14:paraId="038E0A72" w14:textId="77777777" w:rsidR="00015B15" w:rsidRDefault="00015B15" w:rsidP="00015B15">
      <w:pPr>
        <w:rPr>
          <w:szCs w:val="22"/>
        </w:rPr>
      </w:pPr>
      <w:r>
        <w:rPr>
          <w:szCs w:val="22"/>
        </w:rPr>
        <w:t>STADA Arzneimittel AG</w:t>
      </w:r>
    </w:p>
    <w:p w14:paraId="7B336F3B" w14:textId="77777777" w:rsidR="00015B15" w:rsidRDefault="00015B15" w:rsidP="00015B15">
      <w:pPr>
        <w:rPr>
          <w:szCs w:val="22"/>
          <w:lang w:val="en-US" w:eastAsia="en-US"/>
        </w:rPr>
      </w:pPr>
      <w:r>
        <w:rPr>
          <w:szCs w:val="22"/>
        </w:rPr>
        <w:t>Stadastrasse 2-18</w:t>
      </w:r>
    </w:p>
    <w:p w14:paraId="7F3F36FF" w14:textId="77777777" w:rsidR="00015B15" w:rsidRDefault="00015B15" w:rsidP="00015B15">
      <w:pPr>
        <w:rPr>
          <w:szCs w:val="22"/>
        </w:rPr>
      </w:pPr>
      <w:r>
        <w:rPr>
          <w:szCs w:val="22"/>
        </w:rPr>
        <w:t>61118 Bad Vilbel</w:t>
      </w:r>
    </w:p>
    <w:p w14:paraId="372DCB8C" w14:textId="77777777" w:rsidR="00015B15" w:rsidRPr="005150A0" w:rsidDel="00E61941" w:rsidRDefault="00015B15" w:rsidP="00015B15">
      <w:pPr>
        <w:rPr>
          <w:szCs w:val="22"/>
        </w:rPr>
      </w:pPr>
      <w:r>
        <w:rPr>
          <w:szCs w:val="22"/>
        </w:rPr>
        <w:t>Nemecko</w:t>
      </w:r>
    </w:p>
    <w:p w14:paraId="7EB8107A" w14:textId="77777777" w:rsidR="008764DA" w:rsidRPr="007C5DE1" w:rsidRDefault="008764DA" w:rsidP="00C92B0B">
      <w:pPr>
        <w:ind w:left="0" w:firstLine="0"/>
        <w:rPr>
          <w:szCs w:val="22"/>
        </w:rPr>
      </w:pPr>
    </w:p>
    <w:p w14:paraId="765D0CC2" w14:textId="77777777" w:rsidR="00FF6BE0" w:rsidRPr="007C5DE1" w:rsidRDefault="00FF6BE0" w:rsidP="00C92B0B">
      <w:pPr>
        <w:rPr>
          <w:szCs w:val="22"/>
        </w:rPr>
      </w:pPr>
    </w:p>
    <w:p w14:paraId="6CEC9DC4" w14:textId="63796E21" w:rsidR="007C5DE1" w:rsidRDefault="007C5DE1" w:rsidP="007C5DE1">
      <w:pPr>
        <w:pStyle w:val="Nadpis1"/>
        <w:tabs>
          <w:tab w:val="left" w:pos="567"/>
        </w:tabs>
        <w:ind w:left="0" w:right="9"/>
        <w:rPr>
          <w:spacing w:val="-3"/>
        </w:rPr>
      </w:pPr>
      <w:r>
        <w:t xml:space="preserve">8. </w:t>
      </w:r>
      <w:r>
        <w:tab/>
      </w:r>
      <w:r w:rsidRPr="007C5DE1">
        <w:t>REGISTRAČNÉ ČÍSLO</w:t>
      </w:r>
      <w:r w:rsidRPr="007C5DE1">
        <w:rPr>
          <w:spacing w:val="-3"/>
        </w:rPr>
        <w:t xml:space="preserve"> </w:t>
      </w:r>
    </w:p>
    <w:p w14:paraId="5014C2EB" w14:textId="77777777" w:rsidR="00F34EF8" w:rsidRPr="00F34EF8" w:rsidRDefault="00F34EF8" w:rsidP="007C5DE1">
      <w:pPr>
        <w:pStyle w:val="Nadpis1"/>
        <w:tabs>
          <w:tab w:val="left" w:pos="567"/>
        </w:tabs>
        <w:ind w:left="0" w:right="9"/>
        <w:rPr>
          <w:b w:val="0"/>
        </w:rPr>
      </w:pPr>
    </w:p>
    <w:p w14:paraId="3A157F2F" w14:textId="2E3229B5" w:rsidR="00F34EF8" w:rsidRPr="00F34EF8" w:rsidRDefault="00F34EF8" w:rsidP="007C5DE1">
      <w:pPr>
        <w:pStyle w:val="Nadpis1"/>
        <w:tabs>
          <w:tab w:val="left" w:pos="567"/>
        </w:tabs>
        <w:ind w:left="0" w:right="9"/>
        <w:rPr>
          <w:b w:val="0"/>
        </w:rPr>
      </w:pPr>
      <w:r w:rsidRPr="00F34EF8">
        <w:rPr>
          <w:b w:val="0"/>
        </w:rPr>
        <w:t>44/0003/21-S</w:t>
      </w:r>
    </w:p>
    <w:p w14:paraId="4C6D475D" w14:textId="77777777" w:rsidR="007C5DE1" w:rsidRPr="007C5DE1" w:rsidRDefault="007C5DE1" w:rsidP="00C92B0B">
      <w:pPr>
        <w:rPr>
          <w:b/>
          <w:szCs w:val="22"/>
        </w:rPr>
      </w:pPr>
    </w:p>
    <w:p w14:paraId="175788A3" w14:textId="77777777" w:rsidR="007C5DE1" w:rsidRPr="007C5DE1" w:rsidRDefault="007C5DE1" w:rsidP="00C92B0B">
      <w:pPr>
        <w:rPr>
          <w:b/>
          <w:szCs w:val="22"/>
        </w:rPr>
      </w:pPr>
    </w:p>
    <w:p w14:paraId="0028D245" w14:textId="77777777" w:rsidR="00FF6BE0" w:rsidRPr="007C5DE1" w:rsidRDefault="00FF6BE0" w:rsidP="00C92B0B">
      <w:pPr>
        <w:rPr>
          <w:b/>
          <w:szCs w:val="22"/>
        </w:rPr>
      </w:pPr>
      <w:r w:rsidRPr="007C5DE1">
        <w:rPr>
          <w:b/>
          <w:szCs w:val="22"/>
        </w:rPr>
        <w:t>9.</w:t>
      </w:r>
      <w:r w:rsidRPr="007C5DE1">
        <w:rPr>
          <w:b/>
          <w:szCs w:val="22"/>
        </w:rPr>
        <w:tab/>
        <w:t>DÁTUM PRVEJ REGISTRÁCIE/PREDĹŽENIA REGISTRÁCIE</w:t>
      </w:r>
    </w:p>
    <w:p w14:paraId="391740B0" w14:textId="77777777" w:rsidR="00D534C5" w:rsidRPr="007C5DE1" w:rsidRDefault="00D534C5" w:rsidP="00C92B0B">
      <w:pPr>
        <w:ind w:left="0" w:firstLine="0"/>
        <w:rPr>
          <w:szCs w:val="22"/>
        </w:rPr>
      </w:pPr>
    </w:p>
    <w:p w14:paraId="4C196C71" w14:textId="71D31D36" w:rsidR="00FF6BE0" w:rsidRPr="007C5DE1" w:rsidRDefault="00D534C5" w:rsidP="00C92B0B">
      <w:pPr>
        <w:ind w:left="0" w:firstLine="0"/>
        <w:rPr>
          <w:szCs w:val="22"/>
        </w:rPr>
      </w:pPr>
      <w:r w:rsidRPr="007C5DE1">
        <w:rPr>
          <w:szCs w:val="22"/>
        </w:rPr>
        <w:t xml:space="preserve">Dátum prvej registrácie: </w:t>
      </w:r>
    </w:p>
    <w:p w14:paraId="0661FE60" w14:textId="77777777" w:rsidR="00586500" w:rsidRPr="007C5DE1" w:rsidRDefault="00586500" w:rsidP="00C92B0B">
      <w:pPr>
        <w:ind w:left="0" w:firstLine="0"/>
        <w:rPr>
          <w:szCs w:val="22"/>
        </w:rPr>
      </w:pPr>
    </w:p>
    <w:p w14:paraId="78685BC0" w14:textId="77777777" w:rsidR="00FF6BE0" w:rsidRPr="007C5DE1" w:rsidRDefault="00FF6BE0" w:rsidP="00C92B0B">
      <w:pPr>
        <w:rPr>
          <w:szCs w:val="22"/>
        </w:rPr>
      </w:pPr>
    </w:p>
    <w:p w14:paraId="5694BB67" w14:textId="77777777" w:rsidR="00FF6BE0" w:rsidRPr="007C5DE1" w:rsidRDefault="00FF6BE0" w:rsidP="00C92B0B">
      <w:pPr>
        <w:rPr>
          <w:b/>
          <w:szCs w:val="22"/>
        </w:rPr>
      </w:pPr>
      <w:r w:rsidRPr="007C5DE1">
        <w:rPr>
          <w:b/>
          <w:szCs w:val="22"/>
        </w:rPr>
        <w:t>10.</w:t>
      </w:r>
      <w:r w:rsidRPr="007C5DE1">
        <w:rPr>
          <w:b/>
          <w:szCs w:val="22"/>
        </w:rPr>
        <w:tab/>
        <w:t>DÁTUM REVÍZIE TEXTU</w:t>
      </w:r>
    </w:p>
    <w:p w14:paraId="22E63291" w14:textId="77777777" w:rsidR="005760B0" w:rsidRPr="007C5DE1" w:rsidRDefault="005760B0" w:rsidP="00C92B0B">
      <w:pPr>
        <w:rPr>
          <w:szCs w:val="22"/>
        </w:rPr>
      </w:pPr>
    </w:p>
    <w:p w14:paraId="3A760301" w14:textId="0B56456F" w:rsidR="00F277C3" w:rsidRPr="007C5DE1" w:rsidRDefault="00D43C3E" w:rsidP="00C92B0B">
      <w:pPr>
        <w:rPr>
          <w:szCs w:val="22"/>
        </w:rPr>
      </w:pPr>
      <w:r>
        <w:rPr>
          <w:szCs w:val="22"/>
        </w:rPr>
        <w:t>0</w:t>
      </w:r>
      <w:r w:rsidR="00A37EEF">
        <w:rPr>
          <w:szCs w:val="22"/>
        </w:rPr>
        <w:t>2</w:t>
      </w:r>
      <w:bookmarkStart w:id="0" w:name="_GoBack"/>
      <w:bookmarkEnd w:id="0"/>
      <w:r>
        <w:rPr>
          <w:szCs w:val="22"/>
        </w:rPr>
        <w:t>/2021</w:t>
      </w:r>
    </w:p>
    <w:sectPr w:rsidR="00F277C3" w:rsidRPr="007C5DE1" w:rsidSect="00591529">
      <w:headerReference w:type="default" r:id="rId13"/>
      <w:footerReference w:type="default" r:id="rId14"/>
      <w:headerReference w:type="first" r:id="rId15"/>
      <w:footerReference w:type="first" r:id="rId16"/>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9DB89B" w16cex:dateUtc="2021-01-04T14: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3F2C56B" w16cid:durableId="239DB396"/>
  <w16cid:commentId w16cid:paraId="159DEED1" w16cid:durableId="23A03B61"/>
  <w16cid:commentId w16cid:paraId="2960C657" w16cid:durableId="23A2D7E5"/>
  <w16cid:commentId w16cid:paraId="07995B6E" w16cid:durableId="23A03B62"/>
  <w16cid:commentId w16cid:paraId="38B4367D" w16cid:durableId="23A03B63"/>
  <w16cid:commentId w16cid:paraId="4DD97748" w16cid:durableId="23A2D7E8"/>
  <w16cid:commentId w16cid:paraId="45C5F950" w16cid:durableId="23A03B64"/>
  <w16cid:commentId w16cid:paraId="71506BF0" w16cid:durableId="23A2D7EA"/>
  <w16cid:commentId w16cid:paraId="456E85D7" w16cid:durableId="23A03B65"/>
  <w16cid:commentId w16cid:paraId="1AB4374D" w16cid:durableId="23A2D7EC"/>
  <w16cid:commentId w16cid:paraId="3233BF6D" w16cid:durableId="23A03B66"/>
  <w16cid:commentId w16cid:paraId="1C9AFCD8" w16cid:durableId="23A2D7EE"/>
  <w16cid:commentId w16cid:paraId="120219D7" w16cid:durableId="23A03B67"/>
  <w16cid:commentId w16cid:paraId="3F361AA1" w16cid:durableId="23A2D7F0"/>
  <w16cid:commentId w16cid:paraId="02A8ABD6" w16cid:durableId="23A03B68"/>
  <w16cid:commentId w16cid:paraId="59D99ACE" w16cid:durableId="23A2D7F2"/>
  <w16cid:commentId w16cid:paraId="7BE299E6" w16cid:durableId="23A03B69"/>
  <w16cid:commentId w16cid:paraId="637A3EEA" w16cid:durableId="23A2D7F4"/>
  <w16cid:commentId w16cid:paraId="68E789FD" w16cid:durableId="23A03B6A"/>
  <w16cid:commentId w16cid:paraId="50815156" w16cid:durableId="23A2D7F6"/>
  <w16cid:commentId w16cid:paraId="2799F1AC" w16cid:durableId="23A03B6B"/>
  <w16cid:commentId w16cid:paraId="49069948" w16cid:durableId="23A2D7F8"/>
  <w16cid:commentId w16cid:paraId="0CF46789" w16cid:durableId="239DB397"/>
  <w16cid:commentId w16cid:paraId="1390FEB7" w16cid:durableId="239DB89B"/>
  <w16cid:commentId w16cid:paraId="1D5B8D33" w16cid:durableId="23A03B6E"/>
  <w16cid:commentId w16cid:paraId="484F82A6" w16cid:durableId="23A2D7FC"/>
  <w16cid:commentId w16cid:paraId="2964AF82" w16cid:durableId="23A03B6F"/>
  <w16cid:commentId w16cid:paraId="6546B5EC" w16cid:durableId="23A03B70"/>
  <w16cid:commentId w16cid:paraId="47B94BA6" w16cid:durableId="23A2D7FF"/>
  <w16cid:commentId w16cid:paraId="0B83751F" w16cid:durableId="23A03B71"/>
  <w16cid:commentId w16cid:paraId="155199E7" w16cid:durableId="23A2D801"/>
  <w16cid:commentId w16cid:paraId="30E0F320" w16cid:durableId="23A03B72"/>
  <w16cid:commentId w16cid:paraId="0C762E65" w16cid:durableId="23A2D803"/>
  <w16cid:commentId w16cid:paraId="387091F6" w16cid:durableId="23A03B73"/>
  <w16cid:commentId w16cid:paraId="4185C961" w16cid:durableId="23A2D805"/>
  <w16cid:commentId w16cid:paraId="2E1DD4F5" w16cid:durableId="23A03B74"/>
  <w16cid:commentId w16cid:paraId="3B4E142D" w16cid:durableId="23A2D807"/>
  <w16cid:commentId w16cid:paraId="4F2E4A60" w16cid:durableId="23A03B75"/>
  <w16cid:commentId w16cid:paraId="4BD55D55" w16cid:durableId="23A2D809"/>
  <w16cid:commentId w16cid:paraId="553A0A22" w16cid:durableId="23A03B76"/>
  <w16cid:commentId w16cid:paraId="6AE728C8" w16cid:durableId="23A2D80B"/>
  <w16cid:commentId w16cid:paraId="16C7A173" w16cid:durableId="23A03B77"/>
  <w16cid:commentId w16cid:paraId="08462920" w16cid:durableId="23A2D80D"/>
  <w16cid:commentId w16cid:paraId="0C02FC75" w16cid:durableId="23A03B78"/>
  <w16cid:commentId w16cid:paraId="02C013D2" w16cid:durableId="23A2D80F"/>
  <w16cid:commentId w16cid:paraId="6D7B66D0" w16cid:durableId="23A03B79"/>
  <w16cid:commentId w16cid:paraId="09658771" w16cid:durableId="23A2D81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F904E2" w14:textId="77777777" w:rsidR="00FB28FA" w:rsidRDefault="00FB28FA" w:rsidP="0035564D">
      <w:r>
        <w:separator/>
      </w:r>
    </w:p>
  </w:endnote>
  <w:endnote w:type="continuationSeparator" w:id="0">
    <w:p w14:paraId="0D869154" w14:textId="77777777" w:rsidR="00FB28FA" w:rsidRDefault="00FB28FA" w:rsidP="0035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00" w:usb1="08070000" w:usb2="00000010" w:usb3="00000000" w:csb0="00020001" w:csb1="00000000"/>
  </w:font>
  <w:font w:name="Arial">
    <w:panose1 w:val="020B0604020202020204"/>
    <w:charset w:val="EE"/>
    <w:family w:val="swiss"/>
    <w:pitch w:val="variable"/>
    <w:sig w:usb0="E0002EFF" w:usb1="C000785B" w:usb2="00000009" w:usb3="00000000" w:csb0="000001FF" w:csb1="00000000"/>
  </w:font>
  <w:font w:name="TimesNewRoman,Italic">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88314" w14:textId="77777777" w:rsidR="00C761F1" w:rsidRPr="007950D7" w:rsidRDefault="00C761F1">
    <w:pPr>
      <w:pStyle w:val="Pta"/>
      <w:jc w:val="center"/>
      <w:rPr>
        <w:sz w:val="18"/>
        <w:szCs w:val="18"/>
      </w:rPr>
    </w:pPr>
    <w:r w:rsidRPr="007950D7">
      <w:rPr>
        <w:sz w:val="18"/>
        <w:szCs w:val="18"/>
      </w:rPr>
      <w:fldChar w:fldCharType="begin"/>
    </w:r>
    <w:r w:rsidRPr="007950D7">
      <w:rPr>
        <w:sz w:val="18"/>
        <w:szCs w:val="18"/>
      </w:rPr>
      <w:instrText xml:space="preserve"> PAGE   \* MERGEFORMAT </w:instrText>
    </w:r>
    <w:r w:rsidRPr="007950D7">
      <w:rPr>
        <w:sz w:val="18"/>
        <w:szCs w:val="18"/>
      </w:rPr>
      <w:fldChar w:fldCharType="separate"/>
    </w:r>
    <w:r w:rsidR="00A37EEF">
      <w:rPr>
        <w:noProof/>
        <w:sz w:val="18"/>
        <w:szCs w:val="18"/>
      </w:rPr>
      <w:t>17</w:t>
    </w:r>
    <w:r w:rsidRPr="007950D7">
      <w:rPr>
        <w:noProof/>
        <w:sz w:val="18"/>
        <w:szCs w:val="18"/>
      </w:rPr>
      <w:fldChar w:fldCharType="end"/>
    </w:r>
  </w:p>
  <w:p w14:paraId="063955A9" w14:textId="77777777" w:rsidR="00C761F1" w:rsidRDefault="00C761F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6AB87C" w14:textId="77777777" w:rsidR="00C761F1" w:rsidRPr="0056175F" w:rsidRDefault="00C761F1">
    <w:pPr>
      <w:pStyle w:val="Pta"/>
      <w:jc w:val="center"/>
      <w:rPr>
        <w:sz w:val="18"/>
        <w:szCs w:val="18"/>
      </w:rPr>
    </w:pPr>
    <w:r w:rsidRPr="0056175F">
      <w:rPr>
        <w:sz w:val="18"/>
        <w:szCs w:val="18"/>
      </w:rPr>
      <w:fldChar w:fldCharType="begin"/>
    </w:r>
    <w:r w:rsidRPr="0056175F">
      <w:rPr>
        <w:sz w:val="18"/>
        <w:szCs w:val="18"/>
      </w:rPr>
      <w:instrText xml:space="preserve"> PAGE   \* MERGEFORMAT </w:instrText>
    </w:r>
    <w:r w:rsidRPr="0056175F">
      <w:rPr>
        <w:sz w:val="18"/>
        <w:szCs w:val="18"/>
      </w:rPr>
      <w:fldChar w:fldCharType="separate"/>
    </w:r>
    <w:r>
      <w:rPr>
        <w:noProof/>
        <w:sz w:val="18"/>
        <w:szCs w:val="18"/>
      </w:rPr>
      <w:t>1</w:t>
    </w:r>
    <w:r w:rsidRPr="0056175F">
      <w:rPr>
        <w:sz w:val="18"/>
        <w:szCs w:val="18"/>
      </w:rPr>
      <w:fldChar w:fldCharType="end"/>
    </w:r>
  </w:p>
  <w:p w14:paraId="0734502E" w14:textId="77777777" w:rsidR="00C761F1" w:rsidRDefault="00C761F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9C75F" w14:textId="77777777" w:rsidR="00FB28FA" w:rsidRDefault="00FB28FA" w:rsidP="0035564D">
      <w:r>
        <w:separator/>
      </w:r>
    </w:p>
  </w:footnote>
  <w:footnote w:type="continuationSeparator" w:id="0">
    <w:p w14:paraId="6FA066FC" w14:textId="77777777" w:rsidR="00FB28FA" w:rsidRDefault="00FB28FA" w:rsidP="003556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EFE521" w14:textId="4A4EEF39" w:rsidR="00C761F1" w:rsidRDefault="00C761F1" w:rsidP="00C955FE">
    <w:pPr>
      <w:ind w:left="0" w:firstLine="0"/>
      <w:rPr>
        <w:sz w:val="18"/>
        <w:szCs w:val="18"/>
      </w:rPr>
    </w:pPr>
    <w:r>
      <w:rPr>
        <w:sz w:val="18"/>
        <w:szCs w:val="18"/>
      </w:rPr>
      <w:t>Schválený text k</w:t>
    </w:r>
    <w:r w:rsidR="00F83771">
      <w:rPr>
        <w:sz w:val="18"/>
        <w:szCs w:val="18"/>
      </w:rPr>
      <w:t> rozhodnutiu o </w:t>
    </w:r>
    <w:r w:rsidR="00015B15">
      <w:rPr>
        <w:sz w:val="18"/>
        <w:szCs w:val="18"/>
      </w:rPr>
      <w:t>prevod</w:t>
    </w:r>
    <w:r w:rsidR="00F83771">
      <w:rPr>
        <w:sz w:val="18"/>
        <w:szCs w:val="18"/>
      </w:rPr>
      <w:t xml:space="preserve">e, </w:t>
    </w:r>
    <w:r w:rsidRPr="00BF7256">
      <w:rPr>
        <w:sz w:val="18"/>
        <w:szCs w:val="18"/>
      </w:rPr>
      <w:t>ev.</w:t>
    </w:r>
    <w:r>
      <w:rPr>
        <w:sz w:val="18"/>
        <w:szCs w:val="18"/>
      </w:rPr>
      <w:t xml:space="preserve"> </w:t>
    </w:r>
    <w:r w:rsidRPr="00BF7256">
      <w:rPr>
        <w:sz w:val="18"/>
        <w:szCs w:val="18"/>
      </w:rPr>
      <w:t>č</w:t>
    </w:r>
    <w:r>
      <w:rPr>
        <w:sz w:val="18"/>
        <w:szCs w:val="18"/>
      </w:rPr>
      <w:t xml:space="preserve">.: </w:t>
    </w:r>
    <w:r w:rsidR="00F83771">
      <w:rPr>
        <w:sz w:val="18"/>
        <w:szCs w:val="18"/>
      </w:rPr>
      <w:t>2021/00601-TR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E7DAB" w14:textId="77777777" w:rsidR="00C761F1" w:rsidRDefault="00C761F1" w:rsidP="009E145F">
    <w:pPr>
      <w:ind w:left="0" w:firstLine="0"/>
    </w:pPr>
    <w:r>
      <w:rPr>
        <w:sz w:val="18"/>
        <w:szCs w:val="18"/>
      </w:rPr>
      <w:t>Schválený text k</w:t>
    </w:r>
    <w:r w:rsidRPr="00BF7256">
      <w:rPr>
        <w:sz w:val="18"/>
        <w:szCs w:val="18"/>
      </w:rPr>
      <w:t> rozhodnutiu o registrácii lieku, ev.</w:t>
    </w:r>
    <w:r>
      <w:rPr>
        <w:sz w:val="18"/>
        <w:szCs w:val="18"/>
      </w:rPr>
      <w:t xml:space="preserve"> </w:t>
    </w:r>
    <w:r w:rsidRPr="00BF7256">
      <w:rPr>
        <w:sz w:val="18"/>
        <w:szCs w:val="18"/>
      </w:rPr>
      <w:t>č</w:t>
    </w:r>
    <w:r>
      <w:rPr>
        <w:sz w:val="18"/>
        <w:szCs w:val="18"/>
      </w:rPr>
      <w:t>.: 2016/06359-REG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809F9"/>
    <w:multiLevelType w:val="hybridMultilevel"/>
    <w:tmpl w:val="7590A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B60EF"/>
    <w:multiLevelType w:val="hybridMultilevel"/>
    <w:tmpl w:val="F98E6BE0"/>
    <w:lvl w:ilvl="0" w:tplc="11FAFAEC">
      <w:start w:val="1"/>
      <w:numFmt w:val="decimal"/>
      <w:lvlText w:val="%1."/>
      <w:lvlJc w:val="left"/>
      <w:pPr>
        <w:ind w:left="799" w:hanging="562"/>
      </w:pPr>
      <w:rPr>
        <w:rFonts w:ascii="Times New Roman" w:eastAsia="Times New Roman" w:hAnsi="Times New Roman" w:cs="Times New Roman" w:hint="default"/>
        <w:w w:val="99"/>
        <w:sz w:val="22"/>
        <w:szCs w:val="22"/>
        <w:lang w:val="sk-SK" w:eastAsia="en-US" w:bidi="ar-SA"/>
      </w:rPr>
    </w:lvl>
    <w:lvl w:ilvl="1" w:tplc="BFF6F1AE">
      <w:numFmt w:val="bullet"/>
      <w:lvlText w:val="•"/>
      <w:lvlJc w:val="left"/>
      <w:pPr>
        <w:ind w:left="1698" w:hanging="562"/>
      </w:pPr>
      <w:rPr>
        <w:rFonts w:hint="default"/>
        <w:lang w:val="sk-SK" w:eastAsia="en-US" w:bidi="ar-SA"/>
      </w:rPr>
    </w:lvl>
    <w:lvl w:ilvl="2" w:tplc="4A1C7736">
      <w:numFmt w:val="bullet"/>
      <w:lvlText w:val="•"/>
      <w:lvlJc w:val="left"/>
      <w:pPr>
        <w:ind w:left="2596" w:hanging="562"/>
      </w:pPr>
      <w:rPr>
        <w:rFonts w:hint="default"/>
        <w:lang w:val="sk-SK" w:eastAsia="en-US" w:bidi="ar-SA"/>
      </w:rPr>
    </w:lvl>
    <w:lvl w:ilvl="3" w:tplc="C41E50AE">
      <w:numFmt w:val="bullet"/>
      <w:lvlText w:val="•"/>
      <w:lvlJc w:val="left"/>
      <w:pPr>
        <w:ind w:left="3495" w:hanging="562"/>
      </w:pPr>
      <w:rPr>
        <w:rFonts w:hint="default"/>
        <w:lang w:val="sk-SK" w:eastAsia="en-US" w:bidi="ar-SA"/>
      </w:rPr>
    </w:lvl>
    <w:lvl w:ilvl="4" w:tplc="B288C1C4">
      <w:numFmt w:val="bullet"/>
      <w:lvlText w:val="•"/>
      <w:lvlJc w:val="left"/>
      <w:pPr>
        <w:ind w:left="4393" w:hanging="562"/>
      </w:pPr>
      <w:rPr>
        <w:rFonts w:hint="default"/>
        <w:lang w:val="sk-SK" w:eastAsia="en-US" w:bidi="ar-SA"/>
      </w:rPr>
    </w:lvl>
    <w:lvl w:ilvl="5" w:tplc="11229394">
      <w:numFmt w:val="bullet"/>
      <w:lvlText w:val="•"/>
      <w:lvlJc w:val="left"/>
      <w:pPr>
        <w:ind w:left="5292" w:hanging="562"/>
      </w:pPr>
      <w:rPr>
        <w:rFonts w:hint="default"/>
        <w:lang w:val="sk-SK" w:eastAsia="en-US" w:bidi="ar-SA"/>
      </w:rPr>
    </w:lvl>
    <w:lvl w:ilvl="6" w:tplc="1C7E4F9E">
      <w:numFmt w:val="bullet"/>
      <w:lvlText w:val="•"/>
      <w:lvlJc w:val="left"/>
      <w:pPr>
        <w:ind w:left="6190" w:hanging="562"/>
      </w:pPr>
      <w:rPr>
        <w:rFonts w:hint="default"/>
        <w:lang w:val="sk-SK" w:eastAsia="en-US" w:bidi="ar-SA"/>
      </w:rPr>
    </w:lvl>
    <w:lvl w:ilvl="7" w:tplc="E518803A">
      <w:numFmt w:val="bullet"/>
      <w:lvlText w:val="•"/>
      <w:lvlJc w:val="left"/>
      <w:pPr>
        <w:ind w:left="7089" w:hanging="562"/>
      </w:pPr>
      <w:rPr>
        <w:rFonts w:hint="default"/>
        <w:lang w:val="sk-SK" w:eastAsia="en-US" w:bidi="ar-SA"/>
      </w:rPr>
    </w:lvl>
    <w:lvl w:ilvl="8" w:tplc="A754E7AE">
      <w:numFmt w:val="bullet"/>
      <w:lvlText w:val="•"/>
      <w:lvlJc w:val="left"/>
      <w:pPr>
        <w:ind w:left="7987" w:hanging="562"/>
      </w:pPr>
      <w:rPr>
        <w:rFonts w:hint="default"/>
        <w:lang w:val="sk-SK" w:eastAsia="en-US" w:bidi="ar-SA"/>
      </w:rPr>
    </w:lvl>
  </w:abstractNum>
  <w:abstractNum w:abstractNumId="2">
    <w:nsid w:val="134733DD"/>
    <w:multiLevelType w:val="hybridMultilevel"/>
    <w:tmpl w:val="968E5C1C"/>
    <w:lvl w:ilvl="0" w:tplc="041B000B">
      <w:start w:val="103"/>
      <w:numFmt w:val="bullet"/>
      <w:lvlText w:val=""/>
      <w:lvlJc w:val="left"/>
      <w:pPr>
        <w:ind w:left="720" w:hanging="360"/>
      </w:pPr>
      <w:rPr>
        <w:rFonts w:ascii="Wingdings" w:eastAsia="Times New Roman" w:hAnsi="Wingdings"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11F5848"/>
    <w:multiLevelType w:val="hybridMultilevel"/>
    <w:tmpl w:val="0C92AEA0"/>
    <w:lvl w:ilvl="0" w:tplc="45E24A76">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1EA3417"/>
    <w:multiLevelType w:val="hybridMultilevel"/>
    <w:tmpl w:val="4BFA3D9C"/>
    <w:lvl w:ilvl="0" w:tplc="8CBC7664">
      <w:numFmt w:val="bullet"/>
      <w:lvlText w:val="-"/>
      <w:lvlJc w:val="left"/>
      <w:pPr>
        <w:tabs>
          <w:tab w:val="num" w:pos="720"/>
        </w:tabs>
        <w:ind w:left="720" w:hanging="360"/>
      </w:pPr>
      <w:rPr>
        <w:rFonts w:ascii="Times New Roman" w:eastAsia="MS Mincho"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5">
    <w:nsid w:val="272C6E0D"/>
    <w:multiLevelType w:val="hybridMultilevel"/>
    <w:tmpl w:val="4D7C174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E61F46"/>
    <w:multiLevelType w:val="hybridMultilevel"/>
    <w:tmpl w:val="12441F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366450FC"/>
    <w:multiLevelType w:val="multilevel"/>
    <w:tmpl w:val="335CA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C2A5231"/>
    <w:multiLevelType w:val="hybridMultilevel"/>
    <w:tmpl w:val="92D2244C"/>
    <w:lvl w:ilvl="0" w:tplc="2D50C9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25830AE"/>
    <w:multiLevelType w:val="hybridMultilevel"/>
    <w:tmpl w:val="E0D04E6E"/>
    <w:lvl w:ilvl="0" w:tplc="040C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0">
    <w:nsid w:val="59393043"/>
    <w:multiLevelType w:val="hybridMultilevel"/>
    <w:tmpl w:val="AEA0A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81691B"/>
    <w:multiLevelType w:val="hybridMultilevel"/>
    <w:tmpl w:val="80DCF726"/>
    <w:lvl w:ilvl="0" w:tplc="2BDC1E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04B01"/>
    <w:multiLevelType w:val="hybridMultilevel"/>
    <w:tmpl w:val="5E124714"/>
    <w:lvl w:ilvl="0" w:tplc="53EACF66">
      <w:start w:val="7"/>
      <w:numFmt w:val="decimal"/>
      <w:lvlText w:val="%1."/>
      <w:lvlJc w:val="left"/>
      <w:pPr>
        <w:ind w:left="804" w:hanging="567"/>
      </w:pPr>
      <w:rPr>
        <w:rFonts w:ascii="Times New Roman" w:eastAsia="Times New Roman" w:hAnsi="Times New Roman" w:cs="Times New Roman" w:hint="default"/>
        <w:b/>
        <w:bCs/>
        <w:spacing w:val="-1"/>
        <w:w w:val="99"/>
        <w:sz w:val="22"/>
        <w:szCs w:val="22"/>
        <w:lang w:val="sk-SK" w:eastAsia="en-US" w:bidi="ar-SA"/>
      </w:rPr>
    </w:lvl>
    <w:lvl w:ilvl="1" w:tplc="F5B0EF2E">
      <w:start w:val="1"/>
      <w:numFmt w:val="upperLetter"/>
      <w:lvlText w:val="%2."/>
      <w:lvlJc w:val="left"/>
      <w:pPr>
        <w:ind w:left="1939" w:hanging="568"/>
      </w:pPr>
      <w:rPr>
        <w:rFonts w:ascii="Times New Roman" w:eastAsia="Times New Roman" w:hAnsi="Times New Roman" w:cs="Times New Roman" w:hint="default"/>
        <w:b/>
        <w:bCs/>
        <w:spacing w:val="-1"/>
        <w:w w:val="99"/>
        <w:sz w:val="22"/>
        <w:szCs w:val="22"/>
        <w:lang w:val="sk-SK" w:eastAsia="en-US" w:bidi="ar-SA"/>
      </w:rPr>
    </w:lvl>
    <w:lvl w:ilvl="2" w:tplc="443C1718">
      <w:numFmt w:val="bullet"/>
      <w:lvlText w:val="•"/>
      <w:lvlJc w:val="left"/>
      <w:pPr>
        <w:ind w:left="2811" w:hanging="568"/>
      </w:pPr>
      <w:rPr>
        <w:rFonts w:hint="default"/>
        <w:lang w:val="sk-SK" w:eastAsia="en-US" w:bidi="ar-SA"/>
      </w:rPr>
    </w:lvl>
    <w:lvl w:ilvl="3" w:tplc="30D25572">
      <w:numFmt w:val="bullet"/>
      <w:lvlText w:val="•"/>
      <w:lvlJc w:val="left"/>
      <w:pPr>
        <w:ind w:left="3683" w:hanging="568"/>
      </w:pPr>
      <w:rPr>
        <w:rFonts w:hint="default"/>
        <w:lang w:val="sk-SK" w:eastAsia="en-US" w:bidi="ar-SA"/>
      </w:rPr>
    </w:lvl>
    <w:lvl w:ilvl="4" w:tplc="5374DDC4">
      <w:numFmt w:val="bullet"/>
      <w:lvlText w:val="•"/>
      <w:lvlJc w:val="left"/>
      <w:pPr>
        <w:ind w:left="4554" w:hanging="568"/>
      </w:pPr>
      <w:rPr>
        <w:rFonts w:hint="default"/>
        <w:lang w:val="sk-SK" w:eastAsia="en-US" w:bidi="ar-SA"/>
      </w:rPr>
    </w:lvl>
    <w:lvl w:ilvl="5" w:tplc="2674B4F4">
      <w:numFmt w:val="bullet"/>
      <w:lvlText w:val="•"/>
      <w:lvlJc w:val="left"/>
      <w:pPr>
        <w:ind w:left="5426" w:hanging="568"/>
      </w:pPr>
      <w:rPr>
        <w:rFonts w:hint="default"/>
        <w:lang w:val="sk-SK" w:eastAsia="en-US" w:bidi="ar-SA"/>
      </w:rPr>
    </w:lvl>
    <w:lvl w:ilvl="6" w:tplc="9638553A">
      <w:numFmt w:val="bullet"/>
      <w:lvlText w:val="•"/>
      <w:lvlJc w:val="left"/>
      <w:pPr>
        <w:ind w:left="6298" w:hanging="568"/>
      </w:pPr>
      <w:rPr>
        <w:rFonts w:hint="default"/>
        <w:lang w:val="sk-SK" w:eastAsia="en-US" w:bidi="ar-SA"/>
      </w:rPr>
    </w:lvl>
    <w:lvl w:ilvl="7" w:tplc="E33E6B7C">
      <w:numFmt w:val="bullet"/>
      <w:lvlText w:val="•"/>
      <w:lvlJc w:val="left"/>
      <w:pPr>
        <w:ind w:left="7169" w:hanging="568"/>
      </w:pPr>
      <w:rPr>
        <w:rFonts w:hint="default"/>
        <w:lang w:val="sk-SK" w:eastAsia="en-US" w:bidi="ar-SA"/>
      </w:rPr>
    </w:lvl>
    <w:lvl w:ilvl="8" w:tplc="E81C0D00">
      <w:numFmt w:val="bullet"/>
      <w:lvlText w:val="•"/>
      <w:lvlJc w:val="left"/>
      <w:pPr>
        <w:ind w:left="8041" w:hanging="568"/>
      </w:pPr>
      <w:rPr>
        <w:rFonts w:hint="default"/>
        <w:lang w:val="sk-SK" w:eastAsia="en-US" w:bidi="ar-SA"/>
      </w:rPr>
    </w:lvl>
  </w:abstractNum>
  <w:abstractNum w:abstractNumId="13">
    <w:nsid w:val="7528433C"/>
    <w:multiLevelType w:val="hybridMultilevel"/>
    <w:tmpl w:val="1BA02BD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4"/>
  </w:num>
  <w:num w:numId="5">
    <w:abstractNumId w:val="9"/>
  </w:num>
  <w:num w:numId="6">
    <w:abstractNumId w:val="7"/>
  </w:num>
  <w:num w:numId="7">
    <w:abstractNumId w:val="5"/>
  </w:num>
  <w:num w:numId="8">
    <w:abstractNumId w:val="0"/>
  </w:num>
  <w:num w:numId="9">
    <w:abstractNumId w:val="13"/>
  </w:num>
  <w:num w:numId="10">
    <w:abstractNumId w:val="10"/>
  </w:num>
  <w:num w:numId="11">
    <w:abstractNumId w:val="2"/>
  </w:num>
  <w:num w:numId="12">
    <w:abstractNumId w:val="6"/>
  </w:num>
  <w:num w:numId="13">
    <w:abstractNumId w:val="1"/>
  </w:num>
  <w:num w:numId="14">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A 5.10.2020">
    <w15:presenceInfo w15:providerId="None" w15:userId="PRA 5.10.2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70"/>
    <w:rsid w:val="00000393"/>
    <w:rsid w:val="00001FD4"/>
    <w:rsid w:val="0000282B"/>
    <w:rsid w:val="0000557C"/>
    <w:rsid w:val="00015B15"/>
    <w:rsid w:val="00016AD9"/>
    <w:rsid w:val="00017B30"/>
    <w:rsid w:val="00017E0D"/>
    <w:rsid w:val="0002055F"/>
    <w:rsid w:val="00021F45"/>
    <w:rsid w:val="00022A9C"/>
    <w:rsid w:val="00022DDE"/>
    <w:rsid w:val="000242F6"/>
    <w:rsid w:val="0002432A"/>
    <w:rsid w:val="00026D02"/>
    <w:rsid w:val="00026EAF"/>
    <w:rsid w:val="000272DF"/>
    <w:rsid w:val="00030337"/>
    <w:rsid w:val="00032623"/>
    <w:rsid w:val="000337F3"/>
    <w:rsid w:val="00035C58"/>
    <w:rsid w:val="0003605E"/>
    <w:rsid w:val="00041D7C"/>
    <w:rsid w:val="00042DE6"/>
    <w:rsid w:val="0004491C"/>
    <w:rsid w:val="00050031"/>
    <w:rsid w:val="00053821"/>
    <w:rsid w:val="0005539E"/>
    <w:rsid w:val="000563B9"/>
    <w:rsid w:val="00057A09"/>
    <w:rsid w:val="00057DC0"/>
    <w:rsid w:val="000621DD"/>
    <w:rsid w:val="00063713"/>
    <w:rsid w:val="0006510C"/>
    <w:rsid w:val="00065A28"/>
    <w:rsid w:val="0006652A"/>
    <w:rsid w:val="000741CC"/>
    <w:rsid w:val="0008045A"/>
    <w:rsid w:val="00084624"/>
    <w:rsid w:val="000863BA"/>
    <w:rsid w:val="00086A46"/>
    <w:rsid w:val="00087EE0"/>
    <w:rsid w:val="00091173"/>
    <w:rsid w:val="00092285"/>
    <w:rsid w:val="000934F2"/>
    <w:rsid w:val="00094D5D"/>
    <w:rsid w:val="000963BB"/>
    <w:rsid w:val="00097ADC"/>
    <w:rsid w:val="00097EF1"/>
    <w:rsid w:val="000A2851"/>
    <w:rsid w:val="000A2E5F"/>
    <w:rsid w:val="000A43E8"/>
    <w:rsid w:val="000A5899"/>
    <w:rsid w:val="000A599B"/>
    <w:rsid w:val="000A6F52"/>
    <w:rsid w:val="000A7ABD"/>
    <w:rsid w:val="000B129B"/>
    <w:rsid w:val="000B2BAF"/>
    <w:rsid w:val="000C0536"/>
    <w:rsid w:val="000C0A5E"/>
    <w:rsid w:val="000C19AD"/>
    <w:rsid w:val="000C2ED2"/>
    <w:rsid w:val="000C3699"/>
    <w:rsid w:val="000C636C"/>
    <w:rsid w:val="000C69DF"/>
    <w:rsid w:val="000C75BC"/>
    <w:rsid w:val="000D0CF1"/>
    <w:rsid w:val="000D3D55"/>
    <w:rsid w:val="000D4A2B"/>
    <w:rsid w:val="000D5353"/>
    <w:rsid w:val="000D69B3"/>
    <w:rsid w:val="000E1BBD"/>
    <w:rsid w:val="000E1C10"/>
    <w:rsid w:val="000F2F1D"/>
    <w:rsid w:val="000F43E3"/>
    <w:rsid w:val="000F619E"/>
    <w:rsid w:val="000F6BBA"/>
    <w:rsid w:val="00103B21"/>
    <w:rsid w:val="0010561A"/>
    <w:rsid w:val="00111114"/>
    <w:rsid w:val="00113D7B"/>
    <w:rsid w:val="00115538"/>
    <w:rsid w:val="00116387"/>
    <w:rsid w:val="001171A6"/>
    <w:rsid w:val="00121434"/>
    <w:rsid w:val="001214C2"/>
    <w:rsid w:val="00121661"/>
    <w:rsid w:val="00125754"/>
    <w:rsid w:val="00126470"/>
    <w:rsid w:val="00130E3D"/>
    <w:rsid w:val="00133395"/>
    <w:rsid w:val="00134290"/>
    <w:rsid w:val="00134C1D"/>
    <w:rsid w:val="00136F77"/>
    <w:rsid w:val="00141808"/>
    <w:rsid w:val="00142F89"/>
    <w:rsid w:val="001517C4"/>
    <w:rsid w:val="00151C68"/>
    <w:rsid w:val="0015227B"/>
    <w:rsid w:val="00152AA4"/>
    <w:rsid w:val="00155F8F"/>
    <w:rsid w:val="00160C14"/>
    <w:rsid w:val="00162A96"/>
    <w:rsid w:val="001637E7"/>
    <w:rsid w:val="001642BC"/>
    <w:rsid w:val="00165F40"/>
    <w:rsid w:val="00167ED3"/>
    <w:rsid w:val="00171525"/>
    <w:rsid w:val="0017266F"/>
    <w:rsid w:val="00172AFE"/>
    <w:rsid w:val="00172B86"/>
    <w:rsid w:val="00176449"/>
    <w:rsid w:val="0017725B"/>
    <w:rsid w:val="001829AF"/>
    <w:rsid w:val="0018565C"/>
    <w:rsid w:val="001876D3"/>
    <w:rsid w:val="00190622"/>
    <w:rsid w:val="001913AB"/>
    <w:rsid w:val="00192953"/>
    <w:rsid w:val="001929AC"/>
    <w:rsid w:val="001958EC"/>
    <w:rsid w:val="001976FE"/>
    <w:rsid w:val="001A0340"/>
    <w:rsid w:val="001A0480"/>
    <w:rsid w:val="001A1018"/>
    <w:rsid w:val="001A5201"/>
    <w:rsid w:val="001A5E7C"/>
    <w:rsid w:val="001B187B"/>
    <w:rsid w:val="001B1E32"/>
    <w:rsid w:val="001B3103"/>
    <w:rsid w:val="001B4843"/>
    <w:rsid w:val="001B488D"/>
    <w:rsid w:val="001B592E"/>
    <w:rsid w:val="001B7BD1"/>
    <w:rsid w:val="001B7ED2"/>
    <w:rsid w:val="001C0CB3"/>
    <w:rsid w:val="001C1774"/>
    <w:rsid w:val="001C1979"/>
    <w:rsid w:val="001C6883"/>
    <w:rsid w:val="001C6A17"/>
    <w:rsid w:val="001D07AD"/>
    <w:rsid w:val="001D12D9"/>
    <w:rsid w:val="001D3BCE"/>
    <w:rsid w:val="001D66BC"/>
    <w:rsid w:val="001D6D78"/>
    <w:rsid w:val="001D722B"/>
    <w:rsid w:val="001D7FCD"/>
    <w:rsid w:val="001E28A9"/>
    <w:rsid w:val="001E46B9"/>
    <w:rsid w:val="001E7D3E"/>
    <w:rsid w:val="001F2987"/>
    <w:rsid w:val="001F2FBA"/>
    <w:rsid w:val="001F3324"/>
    <w:rsid w:val="001F379B"/>
    <w:rsid w:val="001F3FBF"/>
    <w:rsid w:val="001F44C5"/>
    <w:rsid w:val="001F52ED"/>
    <w:rsid w:val="001F5F6B"/>
    <w:rsid w:val="00201E31"/>
    <w:rsid w:val="00204515"/>
    <w:rsid w:val="002066CC"/>
    <w:rsid w:val="0020718A"/>
    <w:rsid w:val="00207947"/>
    <w:rsid w:val="00210401"/>
    <w:rsid w:val="0021304F"/>
    <w:rsid w:val="00213293"/>
    <w:rsid w:val="00214242"/>
    <w:rsid w:val="00220B14"/>
    <w:rsid w:val="002219D1"/>
    <w:rsid w:val="00222693"/>
    <w:rsid w:val="00222A57"/>
    <w:rsid w:val="00222CDA"/>
    <w:rsid w:val="0022350C"/>
    <w:rsid w:val="002242AC"/>
    <w:rsid w:val="00225393"/>
    <w:rsid w:val="00226790"/>
    <w:rsid w:val="00230D82"/>
    <w:rsid w:val="00230D9A"/>
    <w:rsid w:val="00231D4F"/>
    <w:rsid w:val="002336F1"/>
    <w:rsid w:val="00235A74"/>
    <w:rsid w:val="002405B3"/>
    <w:rsid w:val="0024778E"/>
    <w:rsid w:val="00247C47"/>
    <w:rsid w:val="0025013D"/>
    <w:rsid w:val="00251492"/>
    <w:rsid w:val="00253B30"/>
    <w:rsid w:val="0025774F"/>
    <w:rsid w:val="00261851"/>
    <w:rsid w:val="002701C9"/>
    <w:rsid w:val="0027077F"/>
    <w:rsid w:val="002730AE"/>
    <w:rsid w:val="0027329E"/>
    <w:rsid w:val="002732F1"/>
    <w:rsid w:val="00276D40"/>
    <w:rsid w:val="0028451E"/>
    <w:rsid w:val="00285C91"/>
    <w:rsid w:val="0028720D"/>
    <w:rsid w:val="00290673"/>
    <w:rsid w:val="00291100"/>
    <w:rsid w:val="00293BBC"/>
    <w:rsid w:val="00294F05"/>
    <w:rsid w:val="00296C58"/>
    <w:rsid w:val="00297A6F"/>
    <w:rsid w:val="002A1267"/>
    <w:rsid w:val="002A302C"/>
    <w:rsid w:val="002A3C66"/>
    <w:rsid w:val="002A466B"/>
    <w:rsid w:val="002A68E4"/>
    <w:rsid w:val="002A7763"/>
    <w:rsid w:val="002A77DD"/>
    <w:rsid w:val="002A7FD0"/>
    <w:rsid w:val="002B0971"/>
    <w:rsid w:val="002B0EBE"/>
    <w:rsid w:val="002B2EF5"/>
    <w:rsid w:val="002B3270"/>
    <w:rsid w:val="002B43BA"/>
    <w:rsid w:val="002C1688"/>
    <w:rsid w:val="002C3285"/>
    <w:rsid w:val="002D04D9"/>
    <w:rsid w:val="002D217D"/>
    <w:rsid w:val="002D30A9"/>
    <w:rsid w:val="002D3530"/>
    <w:rsid w:val="002D373C"/>
    <w:rsid w:val="002D5CC0"/>
    <w:rsid w:val="002E04F8"/>
    <w:rsid w:val="002F20F1"/>
    <w:rsid w:val="002F717E"/>
    <w:rsid w:val="00301F3A"/>
    <w:rsid w:val="003033FC"/>
    <w:rsid w:val="0030450E"/>
    <w:rsid w:val="00304887"/>
    <w:rsid w:val="00304A5C"/>
    <w:rsid w:val="00305BF2"/>
    <w:rsid w:val="00311C04"/>
    <w:rsid w:val="00314674"/>
    <w:rsid w:val="00316415"/>
    <w:rsid w:val="0032146E"/>
    <w:rsid w:val="0032147F"/>
    <w:rsid w:val="00321960"/>
    <w:rsid w:val="00322012"/>
    <w:rsid w:val="00323B22"/>
    <w:rsid w:val="003253BE"/>
    <w:rsid w:val="00326712"/>
    <w:rsid w:val="00326A40"/>
    <w:rsid w:val="00326C0E"/>
    <w:rsid w:val="003275A5"/>
    <w:rsid w:val="003308BE"/>
    <w:rsid w:val="00332DA3"/>
    <w:rsid w:val="00333C3B"/>
    <w:rsid w:val="00333D03"/>
    <w:rsid w:val="0033548F"/>
    <w:rsid w:val="00337027"/>
    <w:rsid w:val="003371C5"/>
    <w:rsid w:val="003412BF"/>
    <w:rsid w:val="00341A5B"/>
    <w:rsid w:val="003421E4"/>
    <w:rsid w:val="00342AC6"/>
    <w:rsid w:val="00342EE8"/>
    <w:rsid w:val="00342FBA"/>
    <w:rsid w:val="00343A10"/>
    <w:rsid w:val="00344788"/>
    <w:rsid w:val="00350A32"/>
    <w:rsid w:val="00350BD4"/>
    <w:rsid w:val="00351688"/>
    <w:rsid w:val="00353984"/>
    <w:rsid w:val="00354936"/>
    <w:rsid w:val="00354FF5"/>
    <w:rsid w:val="003555BF"/>
    <w:rsid w:val="0035564D"/>
    <w:rsid w:val="00356FF4"/>
    <w:rsid w:val="00357316"/>
    <w:rsid w:val="003612A9"/>
    <w:rsid w:val="00361670"/>
    <w:rsid w:val="003616D4"/>
    <w:rsid w:val="003619B2"/>
    <w:rsid w:val="00362339"/>
    <w:rsid w:val="00362C4E"/>
    <w:rsid w:val="00363B8B"/>
    <w:rsid w:val="00365F49"/>
    <w:rsid w:val="0036617C"/>
    <w:rsid w:val="00366753"/>
    <w:rsid w:val="00366CA0"/>
    <w:rsid w:val="00370A82"/>
    <w:rsid w:val="00370E6A"/>
    <w:rsid w:val="003733DA"/>
    <w:rsid w:val="00373D38"/>
    <w:rsid w:val="00373E96"/>
    <w:rsid w:val="00374934"/>
    <w:rsid w:val="00375092"/>
    <w:rsid w:val="003769D3"/>
    <w:rsid w:val="0038093E"/>
    <w:rsid w:val="00381A83"/>
    <w:rsid w:val="00387A8B"/>
    <w:rsid w:val="00387ED6"/>
    <w:rsid w:val="0039192C"/>
    <w:rsid w:val="0039295C"/>
    <w:rsid w:val="00393BC8"/>
    <w:rsid w:val="0039645B"/>
    <w:rsid w:val="003A15FE"/>
    <w:rsid w:val="003A1DB0"/>
    <w:rsid w:val="003A2005"/>
    <w:rsid w:val="003A24D7"/>
    <w:rsid w:val="003A5D2D"/>
    <w:rsid w:val="003A6CB0"/>
    <w:rsid w:val="003A7154"/>
    <w:rsid w:val="003B6A9D"/>
    <w:rsid w:val="003B7621"/>
    <w:rsid w:val="003B76DC"/>
    <w:rsid w:val="003C2635"/>
    <w:rsid w:val="003C2972"/>
    <w:rsid w:val="003C46AF"/>
    <w:rsid w:val="003C7A5A"/>
    <w:rsid w:val="003D0A2D"/>
    <w:rsid w:val="003D0E05"/>
    <w:rsid w:val="003D483F"/>
    <w:rsid w:val="003D4F19"/>
    <w:rsid w:val="003D6043"/>
    <w:rsid w:val="003E5FFD"/>
    <w:rsid w:val="003E6717"/>
    <w:rsid w:val="003F4191"/>
    <w:rsid w:val="003F471C"/>
    <w:rsid w:val="003F5557"/>
    <w:rsid w:val="003F56C1"/>
    <w:rsid w:val="003F6CDA"/>
    <w:rsid w:val="004022F5"/>
    <w:rsid w:val="004044E0"/>
    <w:rsid w:val="00404561"/>
    <w:rsid w:val="00407C35"/>
    <w:rsid w:val="00412431"/>
    <w:rsid w:val="00414128"/>
    <w:rsid w:val="004159E3"/>
    <w:rsid w:val="00417FA3"/>
    <w:rsid w:val="00420270"/>
    <w:rsid w:val="00421B17"/>
    <w:rsid w:val="004230DD"/>
    <w:rsid w:val="004250D8"/>
    <w:rsid w:val="00426357"/>
    <w:rsid w:val="0042637C"/>
    <w:rsid w:val="0042671E"/>
    <w:rsid w:val="0042700B"/>
    <w:rsid w:val="004323ED"/>
    <w:rsid w:val="004339B9"/>
    <w:rsid w:val="00434FAE"/>
    <w:rsid w:val="00441847"/>
    <w:rsid w:val="004425DD"/>
    <w:rsid w:val="0044540A"/>
    <w:rsid w:val="0044657F"/>
    <w:rsid w:val="00450E4E"/>
    <w:rsid w:val="0045112F"/>
    <w:rsid w:val="004536C4"/>
    <w:rsid w:val="004538DC"/>
    <w:rsid w:val="004552A7"/>
    <w:rsid w:val="004552D0"/>
    <w:rsid w:val="0045597A"/>
    <w:rsid w:val="00461AD8"/>
    <w:rsid w:val="00463089"/>
    <w:rsid w:val="00463306"/>
    <w:rsid w:val="00466025"/>
    <w:rsid w:val="004665C1"/>
    <w:rsid w:val="004667FA"/>
    <w:rsid w:val="00466ED4"/>
    <w:rsid w:val="00467503"/>
    <w:rsid w:val="0047161D"/>
    <w:rsid w:val="00476C10"/>
    <w:rsid w:val="00477C5E"/>
    <w:rsid w:val="0048414E"/>
    <w:rsid w:val="0048428A"/>
    <w:rsid w:val="004863BF"/>
    <w:rsid w:val="0048755B"/>
    <w:rsid w:val="0049138B"/>
    <w:rsid w:val="004958E2"/>
    <w:rsid w:val="00495E1B"/>
    <w:rsid w:val="00495F24"/>
    <w:rsid w:val="0049656A"/>
    <w:rsid w:val="00496AA0"/>
    <w:rsid w:val="004A5A42"/>
    <w:rsid w:val="004A7FCE"/>
    <w:rsid w:val="004B0442"/>
    <w:rsid w:val="004B592B"/>
    <w:rsid w:val="004B7597"/>
    <w:rsid w:val="004B794C"/>
    <w:rsid w:val="004C1BAC"/>
    <w:rsid w:val="004C24FA"/>
    <w:rsid w:val="004C6EF8"/>
    <w:rsid w:val="004D074C"/>
    <w:rsid w:val="004D1386"/>
    <w:rsid w:val="004D39D1"/>
    <w:rsid w:val="004D3F04"/>
    <w:rsid w:val="004D69AB"/>
    <w:rsid w:val="004D7AAB"/>
    <w:rsid w:val="004E142C"/>
    <w:rsid w:val="004E31B7"/>
    <w:rsid w:val="004E6B26"/>
    <w:rsid w:val="004E6B49"/>
    <w:rsid w:val="004E6F33"/>
    <w:rsid w:val="004F0B1A"/>
    <w:rsid w:val="004F19E1"/>
    <w:rsid w:val="004F2FFE"/>
    <w:rsid w:val="004F4D99"/>
    <w:rsid w:val="00501B81"/>
    <w:rsid w:val="00505AF2"/>
    <w:rsid w:val="00505D59"/>
    <w:rsid w:val="0050604B"/>
    <w:rsid w:val="00506772"/>
    <w:rsid w:val="00507185"/>
    <w:rsid w:val="00512679"/>
    <w:rsid w:val="00512D99"/>
    <w:rsid w:val="0051598B"/>
    <w:rsid w:val="005179BF"/>
    <w:rsid w:val="00517B98"/>
    <w:rsid w:val="00521518"/>
    <w:rsid w:val="00522EC5"/>
    <w:rsid w:val="005258CF"/>
    <w:rsid w:val="00525907"/>
    <w:rsid w:val="00525F8C"/>
    <w:rsid w:val="00526BFB"/>
    <w:rsid w:val="00531703"/>
    <w:rsid w:val="00531D40"/>
    <w:rsid w:val="00533653"/>
    <w:rsid w:val="005351A8"/>
    <w:rsid w:val="00536511"/>
    <w:rsid w:val="0053679A"/>
    <w:rsid w:val="00537BE1"/>
    <w:rsid w:val="00541026"/>
    <w:rsid w:val="00542657"/>
    <w:rsid w:val="005428B8"/>
    <w:rsid w:val="00542F79"/>
    <w:rsid w:val="00550DB0"/>
    <w:rsid w:val="00555D28"/>
    <w:rsid w:val="00556838"/>
    <w:rsid w:val="0055691F"/>
    <w:rsid w:val="0056175F"/>
    <w:rsid w:val="0056230C"/>
    <w:rsid w:val="005632FA"/>
    <w:rsid w:val="00564109"/>
    <w:rsid w:val="0056415D"/>
    <w:rsid w:val="005641E1"/>
    <w:rsid w:val="0056695C"/>
    <w:rsid w:val="00567082"/>
    <w:rsid w:val="0057242D"/>
    <w:rsid w:val="0057429F"/>
    <w:rsid w:val="00574AF0"/>
    <w:rsid w:val="00575663"/>
    <w:rsid w:val="005760B0"/>
    <w:rsid w:val="005802BE"/>
    <w:rsid w:val="005829CA"/>
    <w:rsid w:val="0058394F"/>
    <w:rsid w:val="0058500C"/>
    <w:rsid w:val="005852DA"/>
    <w:rsid w:val="00586500"/>
    <w:rsid w:val="0058715A"/>
    <w:rsid w:val="005875E7"/>
    <w:rsid w:val="005913B3"/>
    <w:rsid w:val="00591529"/>
    <w:rsid w:val="005942E1"/>
    <w:rsid w:val="005952F5"/>
    <w:rsid w:val="00596E39"/>
    <w:rsid w:val="00597FF6"/>
    <w:rsid w:val="005A1A9E"/>
    <w:rsid w:val="005A1D84"/>
    <w:rsid w:val="005A2B0E"/>
    <w:rsid w:val="005A38A4"/>
    <w:rsid w:val="005A43BE"/>
    <w:rsid w:val="005A67C3"/>
    <w:rsid w:val="005B6E63"/>
    <w:rsid w:val="005B75C6"/>
    <w:rsid w:val="005C020A"/>
    <w:rsid w:val="005C43FB"/>
    <w:rsid w:val="005C552E"/>
    <w:rsid w:val="005C5DF7"/>
    <w:rsid w:val="005C6752"/>
    <w:rsid w:val="005D0830"/>
    <w:rsid w:val="005D0FF6"/>
    <w:rsid w:val="005D4F02"/>
    <w:rsid w:val="005D6E03"/>
    <w:rsid w:val="005D799D"/>
    <w:rsid w:val="005D7C7E"/>
    <w:rsid w:val="005D7DDE"/>
    <w:rsid w:val="005E0C19"/>
    <w:rsid w:val="005E39AE"/>
    <w:rsid w:val="005E3E87"/>
    <w:rsid w:val="005E5F27"/>
    <w:rsid w:val="005E735F"/>
    <w:rsid w:val="005F08D3"/>
    <w:rsid w:val="005F149D"/>
    <w:rsid w:val="005F16BC"/>
    <w:rsid w:val="005F223D"/>
    <w:rsid w:val="005F4BCC"/>
    <w:rsid w:val="005F7B7F"/>
    <w:rsid w:val="0060311F"/>
    <w:rsid w:val="00603755"/>
    <w:rsid w:val="00604786"/>
    <w:rsid w:val="0060536D"/>
    <w:rsid w:val="0060671F"/>
    <w:rsid w:val="00606EA7"/>
    <w:rsid w:val="006073F1"/>
    <w:rsid w:val="00607FA4"/>
    <w:rsid w:val="00610650"/>
    <w:rsid w:val="006126B3"/>
    <w:rsid w:val="00612AC5"/>
    <w:rsid w:val="00615D7C"/>
    <w:rsid w:val="006211F2"/>
    <w:rsid w:val="00624B00"/>
    <w:rsid w:val="00626362"/>
    <w:rsid w:val="00627A3D"/>
    <w:rsid w:val="0063164A"/>
    <w:rsid w:val="006321A9"/>
    <w:rsid w:val="00632C61"/>
    <w:rsid w:val="00632DC6"/>
    <w:rsid w:val="00636961"/>
    <w:rsid w:val="00636C42"/>
    <w:rsid w:val="00636D05"/>
    <w:rsid w:val="00640181"/>
    <w:rsid w:val="00640660"/>
    <w:rsid w:val="00641FD0"/>
    <w:rsid w:val="00642A26"/>
    <w:rsid w:val="006440DA"/>
    <w:rsid w:val="0064420C"/>
    <w:rsid w:val="00645216"/>
    <w:rsid w:val="006456B7"/>
    <w:rsid w:val="00645960"/>
    <w:rsid w:val="00646978"/>
    <w:rsid w:val="006477CA"/>
    <w:rsid w:val="00647AFA"/>
    <w:rsid w:val="00655013"/>
    <w:rsid w:val="006571D0"/>
    <w:rsid w:val="00657D43"/>
    <w:rsid w:val="00660D22"/>
    <w:rsid w:val="006616CC"/>
    <w:rsid w:val="00662643"/>
    <w:rsid w:val="006626CF"/>
    <w:rsid w:val="00663E94"/>
    <w:rsid w:val="00666AFB"/>
    <w:rsid w:val="006675BC"/>
    <w:rsid w:val="00667CC3"/>
    <w:rsid w:val="00670744"/>
    <w:rsid w:val="0067169E"/>
    <w:rsid w:val="00674C8A"/>
    <w:rsid w:val="00674DB0"/>
    <w:rsid w:val="00676009"/>
    <w:rsid w:val="00676F6D"/>
    <w:rsid w:val="00680259"/>
    <w:rsid w:val="00680B2F"/>
    <w:rsid w:val="00681452"/>
    <w:rsid w:val="006827D7"/>
    <w:rsid w:val="0068294C"/>
    <w:rsid w:val="00682A4D"/>
    <w:rsid w:val="00683E95"/>
    <w:rsid w:val="0068464F"/>
    <w:rsid w:val="006863FF"/>
    <w:rsid w:val="00690DFA"/>
    <w:rsid w:val="00691FB1"/>
    <w:rsid w:val="00692714"/>
    <w:rsid w:val="00692B47"/>
    <w:rsid w:val="0069523A"/>
    <w:rsid w:val="006A0F90"/>
    <w:rsid w:val="006A1141"/>
    <w:rsid w:val="006A24D9"/>
    <w:rsid w:val="006A3E7B"/>
    <w:rsid w:val="006A46AE"/>
    <w:rsid w:val="006A4761"/>
    <w:rsid w:val="006A498D"/>
    <w:rsid w:val="006A5202"/>
    <w:rsid w:val="006A525E"/>
    <w:rsid w:val="006A58A1"/>
    <w:rsid w:val="006A5B84"/>
    <w:rsid w:val="006B34E5"/>
    <w:rsid w:val="006B3D7B"/>
    <w:rsid w:val="006B3F97"/>
    <w:rsid w:val="006B414D"/>
    <w:rsid w:val="006B45DB"/>
    <w:rsid w:val="006B6451"/>
    <w:rsid w:val="006B66F1"/>
    <w:rsid w:val="006B7136"/>
    <w:rsid w:val="006C0794"/>
    <w:rsid w:val="006C2EA8"/>
    <w:rsid w:val="006C3F98"/>
    <w:rsid w:val="006C4DD5"/>
    <w:rsid w:val="006C63D5"/>
    <w:rsid w:val="006C7292"/>
    <w:rsid w:val="006D0CC4"/>
    <w:rsid w:val="006D2543"/>
    <w:rsid w:val="006D2F0C"/>
    <w:rsid w:val="006D2F37"/>
    <w:rsid w:val="006D5845"/>
    <w:rsid w:val="006D7A3E"/>
    <w:rsid w:val="006E1225"/>
    <w:rsid w:val="006E2B0E"/>
    <w:rsid w:val="006E3F7B"/>
    <w:rsid w:val="006E475E"/>
    <w:rsid w:val="006F22EC"/>
    <w:rsid w:val="006F4D4B"/>
    <w:rsid w:val="006F5161"/>
    <w:rsid w:val="006F6B19"/>
    <w:rsid w:val="006F7B89"/>
    <w:rsid w:val="00701916"/>
    <w:rsid w:val="00702191"/>
    <w:rsid w:val="007021FD"/>
    <w:rsid w:val="00703387"/>
    <w:rsid w:val="0070429F"/>
    <w:rsid w:val="007048B4"/>
    <w:rsid w:val="0070556B"/>
    <w:rsid w:val="00707BEC"/>
    <w:rsid w:val="00707D5C"/>
    <w:rsid w:val="00710A08"/>
    <w:rsid w:val="00712C18"/>
    <w:rsid w:val="007137D2"/>
    <w:rsid w:val="00720F57"/>
    <w:rsid w:val="0072102A"/>
    <w:rsid w:val="00721230"/>
    <w:rsid w:val="00722C5A"/>
    <w:rsid w:val="00722DFB"/>
    <w:rsid w:val="00723259"/>
    <w:rsid w:val="00723720"/>
    <w:rsid w:val="00723D8D"/>
    <w:rsid w:val="007310E4"/>
    <w:rsid w:val="00734197"/>
    <w:rsid w:val="00734386"/>
    <w:rsid w:val="00737B33"/>
    <w:rsid w:val="00740B0B"/>
    <w:rsid w:val="00743473"/>
    <w:rsid w:val="0074480A"/>
    <w:rsid w:val="00744DA2"/>
    <w:rsid w:val="0075553B"/>
    <w:rsid w:val="00755DCD"/>
    <w:rsid w:val="007567B5"/>
    <w:rsid w:val="00760967"/>
    <w:rsid w:val="00762F20"/>
    <w:rsid w:val="0076335A"/>
    <w:rsid w:val="0076418E"/>
    <w:rsid w:val="00766D1B"/>
    <w:rsid w:val="00767D49"/>
    <w:rsid w:val="00767EF5"/>
    <w:rsid w:val="00772B13"/>
    <w:rsid w:val="00775591"/>
    <w:rsid w:val="00775668"/>
    <w:rsid w:val="00775B9F"/>
    <w:rsid w:val="00776342"/>
    <w:rsid w:val="00780817"/>
    <w:rsid w:val="007843AC"/>
    <w:rsid w:val="00786C18"/>
    <w:rsid w:val="007873EC"/>
    <w:rsid w:val="00790189"/>
    <w:rsid w:val="00790783"/>
    <w:rsid w:val="00790A1E"/>
    <w:rsid w:val="00790E76"/>
    <w:rsid w:val="00791834"/>
    <w:rsid w:val="00792F95"/>
    <w:rsid w:val="00794D3C"/>
    <w:rsid w:val="007950D7"/>
    <w:rsid w:val="0079611A"/>
    <w:rsid w:val="007A14F9"/>
    <w:rsid w:val="007A361B"/>
    <w:rsid w:val="007A469B"/>
    <w:rsid w:val="007A6E62"/>
    <w:rsid w:val="007B053F"/>
    <w:rsid w:val="007B0644"/>
    <w:rsid w:val="007B0ABD"/>
    <w:rsid w:val="007B1E19"/>
    <w:rsid w:val="007B734A"/>
    <w:rsid w:val="007B7D2E"/>
    <w:rsid w:val="007C004B"/>
    <w:rsid w:val="007C08AC"/>
    <w:rsid w:val="007C0AA7"/>
    <w:rsid w:val="007C2793"/>
    <w:rsid w:val="007C2DEB"/>
    <w:rsid w:val="007C5DE1"/>
    <w:rsid w:val="007D0687"/>
    <w:rsid w:val="007D09BC"/>
    <w:rsid w:val="007D1215"/>
    <w:rsid w:val="007D2110"/>
    <w:rsid w:val="007D2EB1"/>
    <w:rsid w:val="007D3342"/>
    <w:rsid w:val="007E038F"/>
    <w:rsid w:val="007E4D11"/>
    <w:rsid w:val="007E7CC3"/>
    <w:rsid w:val="007F1C02"/>
    <w:rsid w:val="007F25F6"/>
    <w:rsid w:val="007F2A4A"/>
    <w:rsid w:val="007F54E0"/>
    <w:rsid w:val="007F630E"/>
    <w:rsid w:val="0080405C"/>
    <w:rsid w:val="00804114"/>
    <w:rsid w:val="00804E5F"/>
    <w:rsid w:val="00806617"/>
    <w:rsid w:val="00807828"/>
    <w:rsid w:val="00810BCC"/>
    <w:rsid w:val="00816669"/>
    <w:rsid w:val="00821363"/>
    <w:rsid w:val="008218E5"/>
    <w:rsid w:val="0082242D"/>
    <w:rsid w:val="00822511"/>
    <w:rsid w:val="008258AF"/>
    <w:rsid w:val="00830013"/>
    <w:rsid w:val="00830DB6"/>
    <w:rsid w:val="008315BF"/>
    <w:rsid w:val="008327A5"/>
    <w:rsid w:val="00833ACA"/>
    <w:rsid w:val="00835097"/>
    <w:rsid w:val="00835A31"/>
    <w:rsid w:val="00836F3A"/>
    <w:rsid w:val="00842941"/>
    <w:rsid w:val="00847AA5"/>
    <w:rsid w:val="00850D1D"/>
    <w:rsid w:val="00852D4B"/>
    <w:rsid w:val="00852FEC"/>
    <w:rsid w:val="008537DF"/>
    <w:rsid w:val="00853C51"/>
    <w:rsid w:val="008541DD"/>
    <w:rsid w:val="00854A48"/>
    <w:rsid w:val="00855F45"/>
    <w:rsid w:val="0086093C"/>
    <w:rsid w:val="00860C8B"/>
    <w:rsid w:val="00866FA0"/>
    <w:rsid w:val="00870975"/>
    <w:rsid w:val="00872C68"/>
    <w:rsid w:val="00873391"/>
    <w:rsid w:val="008764DA"/>
    <w:rsid w:val="008830E8"/>
    <w:rsid w:val="00883BAF"/>
    <w:rsid w:val="0088443D"/>
    <w:rsid w:val="00887CC9"/>
    <w:rsid w:val="008901CF"/>
    <w:rsid w:val="008914AF"/>
    <w:rsid w:val="00891FE9"/>
    <w:rsid w:val="008929A1"/>
    <w:rsid w:val="00893574"/>
    <w:rsid w:val="0089395A"/>
    <w:rsid w:val="00895B56"/>
    <w:rsid w:val="008A40EA"/>
    <w:rsid w:val="008A6781"/>
    <w:rsid w:val="008A6DDA"/>
    <w:rsid w:val="008B2B1E"/>
    <w:rsid w:val="008B43B1"/>
    <w:rsid w:val="008B5655"/>
    <w:rsid w:val="008B5894"/>
    <w:rsid w:val="008B5C1E"/>
    <w:rsid w:val="008B6707"/>
    <w:rsid w:val="008B7120"/>
    <w:rsid w:val="008C026F"/>
    <w:rsid w:val="008C0B69"/>
    <w:rsid w:val="008C0F94"/>
    <w:rsid w:val="008C1E56"/>
    <w:rsid w:val="008C1F72"/>
    <w:rsid w:val="008C47F8"/>
    <w:rsid w:val="008C5041"/>
    <w:rsid w:val="008C6B12"/>
    <w:rsid w:val="008D0973"/>
    <w:rsid w:val="008D4732"/>
    <w:rsid w:val="008E3D3A"/>
    <w:rsid w:val="008E3EF1"/>
    <w:rsid w:val="008E47FE"/>
    <w:rsid w:val="008E5220"/>
    <w:rsid w:val="008E5A25"/>
    <w:rsid w:val="008E5DE7"/>
    <w:rsid w:val="008E6817"/>
    <w:rsid w:val="008E758D"/>
    <w:rsid w:val="008F7ACD"/>
    <w:rsid w:val="009008DE"/>
    <w:rsid w:val="00901196"/>
    <w:rsid w:val="00903ED8"/>
    <w:rsid w:val="00904C72"/>
    <w:rsid w:val="009074FD"/>
    <w:rsid w:val="00907C7B"/>
    <w:rsid w:val="0091085B"/>
    <w:rsid w:val="009110A0"/>
    <w:rsid w:val="0091168A"/>
    <w:rsid w:val="009144C8"/>
    <w:rsid w:val="009148EA"/>
    <w:rsid w:val="00915D40"/>
    <w:rsid w:val="00920419"/>
    <w:rsid w:val="009210C1"/>
    <w:rsid w:val="00921368"/>
    <w:rsid w:val="009225E8"/>
    <w:rsid w:val="00925F7E"/>
    <w:rsid w:val="00927521"/>
    <w:rsid w:val="00927DFF"/>
    <w:rsid w:val="00927F38"/>
    <w:rsid w:val="00930398"/>
    <w:rsid w:val="00930B9B"/>
    <w:rsid w:val="00932762"/>
    <w:rsid w:val="0093297B"/>
    <w:rsid w:val="009419A3"/>
    <w:rsid w:val="00945039"/>
    <w:rsid w:val="009460C2"/>
    <w:rsid w:val="009462DF"/>
    <w:rsid w:val="00947D8E"/>
    <w:rsid w:val="00952AA8"/>
    <w:rsid w:val="009578A7"/>
    <w:rsid w:val="00960729"/>
    <w:rsid w:val="00960A47"/>
    <w:rsid w:val="00960B59"/>
    <w:rsid w:val="00964F31"/>
    <w:rsid w:val="00967AB3"/>
    <w:rsid w:val="009714FC"/>
    <w:rsid w:val="00973573"/>
    <w:rsid w:val="00977F3E"/>
    <w:rsid w:val="009806AF"/>
    <w:rsid w:val="00981013"/>
    <w:rsid w:val="00981814"/>
    <w:rsid w:val="00982584"/>
    <w:rsid w:val="0098626F"/>
    <w:rsid w:val="009862AD"/>
    <w:rsid w:val="00986411"/>
    <w:rsid w:val="00990658"/>
    <w:rsid w:val="00990F68"/>
    <w:rsid w:val="00993B76"/>
    <w:rsid w:val="0099431A"/>
    <w:rsid w:val="00994C2C"/>
    <w:rsid w:val="009952BB"/>
    <w:rsid w:val="00996258"/>
    <w:rsid w:val="00997EAD"/>
    <w:rsid w:val="009A0D6A"/>
    <w:rsid w:val="009A2DBE"/>
    <w:rsid w:val="009A30B0"/>
    <w:rsid w:val="009A37A5"/>
    <w:rsid w:val="009A3B75"/>
    <w:rsid w:val="009A48F3"/>
    <w:rsid w:val="009A4D29"/>
    <w:rsid w:val="009A538D"/>
    <w:rsid w:val="009A5560"/>
    <w:rsid w:val="009A61AD"/>
    <w:rsid w:val="009A6FD8"/>
    <w:rsid w:val="009A7086"/>
    <w:rsid w:val="009A7134"/>
    <w:rsid w:val="009B070A"/>
    <w:rsid w:val="009B082E"/>
    <w:rsid w:val="009B19EF"/>
    <w:rsid w:val="009B2C13"/>
    <w:rsid w:val="009B305E"/>
    <w:rsid w:val="009B35A8"/>
    <w:rsid w:val="009B652C"/>
    <w:rsid w:val="009C26D7"/>
    <w:rsid w:val="009C2BB1"/>
    <w:rsid w:val="009C3E7C"/>
    <w:rsid w:val="009C420F"/>
    <w:rsid w:val="009D0F10"/>
    <w:rsid w:val="009D3F81"/>
    <w:rsid w:val="009D6FD2"/>
    <w:rsid w:val="009E0332"/>
    <w:rsid w:val="009E1023"/>
    <w:rsid w:val="009E145F"/>
    <w:rsid w:val="009E1CB4"/>
    <w:rsid w:val="009E3BF8"/>
    <w:rsid w:val="009E59C0"/>
    <w:rsid w:val="009E6376"/>
    <w:rsid w:val="009F032D"/>
    <w:rsid w:val="009F082F"/>
    <w:rsid w:val="009F4832"/>
    <w:rsid w:val="009F4D0F"/>
    <w:rsid w:val="009F53D3"/>
    <w:rsid w:val="009F7C22"/>
    <w:rsid w:val="00A00BA7"/>
    <w:rsid w:val="00A0110B"/>
    <w:rsid w:val="00A018B2"/>
    <w:rsid w:val="00A02502"/>
    <w:rsid w:val="00A03412"/>
    <w:rsid w:val="00A05DE6"/>
    <w:rsid w:val="00A06A75"/>
    <w:rsid w:val="00A13178"/>
    <w:rsid w:val="00A14060"/>
    <w:rsid w:val="00A140D3"/>
    <w:rsid w:val="00A14D1F"/>
    <w:rsid w:val="00A1590E"/>
    <w:rsid w:val="00A179B7"/>
    <w:rsid w:val="00A17AB9"/>
    <w:rsid w:val="00A17FC2"/>
    <w:rsid w:val="00A20F43"/>
    <w:rsid w:val="00A21531"/>
    <w:rsid w:val="00A21F0D"/>
    <w:rsid w:val="00A245FF"/>
    <w:rsid w:val="00A2589F"/>
    <w:rsid w:val="00A30ED5"/>
    <w:rsid w:val="00A3127A"/>
    <w:rsid w:val="00A31F6E"/>
    <w:rsid w:val="00A33184"/>
    <w:rsid w:val="00A34D0F"/>
    <w:rsid w:val="00A3746A"/>
    <w:rsid w:val="00A37EEF"/>
    <w:rsid w:val="00A416EE"/>
    <w:rsid w:val="00A416F6"/>
    <w:rsid w:val="00A43F30"/>
    <w:rsid w:val="00A47DAA"/>
    <w:rsid w:val="00A50E6C"/>
    <w:rsid w:val="00A52522"/>
    <w:rsid w:val="00A52930"/>
    <w:rsid w:val="00A52F4A"/>
    <w:rsid w:val="00A55F4E"/>
    <w:rsid w:val="00A576C4"/>
    <w:rsid w:val="00A61A1D"/>
    <w:rsid w:val="00A61D0D"/>
    <w:rsid w:val="00A6296C"/>
    <w:rsid w:val="00A62985"/>
    <w:rsid w:val="00A62C56"/>
    <w:rsid w:val="00A62F81"/>
    <w:rsid w:val="00A6718E"/>
    <w:rsid w:val="00A720DE"/>
    <w:rsid w:val="00A7306C"/>
    <w:rsid w:val="00A7619D"/>
    <w:rsid w:val="00A76C79"/>
    <w:rsid w:val="00A81DA0"/>
    <w:rsid w:val="00A86587"/>
    <w:rsid w:val="00A86DA3"/>
    <w:rsid w:val="00A90FC3"/>
    <w:rsid w:val="00A92325"/>
    <w:rsid w:val="00A927F8"/>
    <w:rsid w:val="00A93321"/>
    <w:rsid w:val="00A93F5E"/>
    <w:rsid w:val="00A95B99"/>
    <w:rsid w:val="00A95E74"/>
    <w:rsid w:val="00AA2614"/>
    <w:rsid w:val="00AA2EBE"/>
    <w:rsid w:val="00AA2FF0"/>
    <w:rsid w:val="00AA7822"/>
    <w:rsid w:val="00AA7B27"/>
    <w:rsid w:val="00AB55D5"/>
    <w:rsid w:val="00AB69FE"/>
    <w:rsid w:val="00AC4C81"/>
    <w:rsid w:val="00AC5006"/>
    <w:rsid w:val="00AC6A80"/>
    <w:rsid w:val="00AC71C9"/>
    <w:rsid w:val="00AD1A8D"/>
    <w:rsid w:val="00AD20E9"/>
    <w:rsid w:val="00AD3676"/>
    <w:rsid w:val="00AD67CF"/>
    <w:rsid w:val="00AD7624"/>
    <w:rsid w:val="00AE2056"/>
    <w:rsid w:val="00AE5C76"/>
    <w:rsid w:val="00AF073F"/>
    <w:rsid w:val="00AF1E6E"/>
    <w:rsid w:val="00AF26E5"/>
    <w:rsid w:val="00AF332B"/>
    <w:rsid w:val="00AF4666"/>
    <w:rsid w:val="00AF587A"/>
    <w:rsid w:val="00AF5C54"/>
    <w:rsid w:val="00AF7C47"/>
    <w:rsid w:val="00AF7E58"/>
    <w:rsid w:val="00B00E79"/>
    <w:rsid w:val="00B02A4B"/>
    <w:rsid w:val="00B0487E"/>
    <w:rsid w:val="00B1262A"/>
    <w:rsid w:val="00B12DB6"/>
    <w:rsid w:val="00B13414"/>
    <w:rsid w:val="00B15819"/>
    <w:rsid w:val="00B15A1D"/>
    <w:rsid w:val="00B16068"/>
    <w:rsid w:val="00B20B35"/>
    <w:rsid w:val="00B213AA"/>
    <w:rsid w:val="00B22E4F"/>
    <w:rsid w:val="00B2584B"/>
    <w:rsid w:val="00B32BD7"/>
    <w:rsid w:val="00B34AC9"/>
    <w:rsid w:val="00B36D44"/>
    <w:rsid w:val="00B413C8"/>
    <w:rsid w:val="00B4222F"/>
    <w:rsid w:val="00B45726"/>
    <w:rsid w:val="00B46EF2"/>
    <w:rsid w:val="00B50636"/>
    <w:rsid w:val="00B516CF"/>
    <w:rsid w:val="00B51CE4"/>
    <w:rsid w:val="00B5293F"/>
    <w:rsid w:val="00B53EF2"/>
    <w:rsid w:val="00B540C9"/>
    <w:rsid w:val="00B5638C"/>
    <w:rsid w:val="00B56BFE"/>
    <w:rsid w:val="00B57298"/>
    <w:rsid w:val="00B57DE6"/>
    <w:rsid w:val="00B60809"/>
    <w:rsid w:val="00B61FE6"/>
    <w:rsid w:val="00B63B62"/>
    <w:rsid w:val="00B641BA"/>
    <w:rsid w:val="00B645CB"/>
    <w:rsid w:val="00B64FAD"/>
    <w:rsid w:val="00B669E9"/>
    <w:rsid w:val="00B6723E"/>
    <w:rsid w:val="00B72C2F"/>
    <w:rsid w:val="00B7330A"/>
    <w:rsid w:val="00B733FB"/>
    <w:rsid w:val="00B74FFA"/>
    <w:rsid w:val="00B7569C"/>
    <w:rsid w:val="00B8193E"/>
    <w:rsid w:val="00B84AC4"/>
    <w:rsid w:val="00B85A68"/>
    <w:rsid w:val="00B8681B"/>
    <w:rsid w:val="00B86A28"/>
    <w:rsid w:val="00B90B3B"/>
    <w:rsid w:val="00B91742"/>
    <w:rsid w:val="00B929B4"/>
    <w:rsid w:val="00B95196"/>
    <w:rsid w:val="00BA06F1"/>
    <w:rsid w:val="00BA0EA3"/>
    <w:rsid w:val="00BA15E2"/>
    <w:rsid w:val="00BA177B"/>
    <w:rsid w:val="00BA2971"/>
    <w:rsid w:val="00BA3908"/>
    <w:rsid w:val="00BA3A19"/>
    <w:rsid w:val="00BA5A2E"/>
    <w:rsid w:val="00BB04DE"/>
    <w:rsid w:val="00BB05D8"/>
    <w:rsid w:val="00BB41A3"/>
    <w:rsid w:val="00BB4401"/>
    <w:rsid w:val="00BB4D3E"/>
    <w:rsid w:val="00BB5048"/>
    <w:rsid w:val="00BB5A2D"/>
    <w:rsid w:val="00BB69D3"/>
    <w:rsid w:val="00BC0CBB"/>
    <w:rsid w:val="00BC491B"/>
    <w:rsid w:val="00BC584F"/>
    <w:rsid w:val="00BD21B9"/>
    <w:rsid w:val="00BD2899"/>
    <w:rsid w:val="00BD4A74"/>
    <w:rsid w:val="00BD4D70"/>
    <w:rsid w:val="00BD5CC0"/>
    <w:rsid w:val="00BE4209"/>
    <w:rsid w:val="00BE63E1"/>
    <w:rsid w:val="00BE6953"/>
    <w:rsid w:val="00BF005A"/>
    <w:rsid w:val="00BF0862"/>
    <w:rsid w:val="00BF09BE"/>
    <w:rsid w:val="00BF292A"/>
    <w:rsid w:val="00BF306F"/>
    <w:rsid w:val="00BF31D1"/>
    <w:rsid w:val="00BF7D5F"/>
    <w:rsid w:val="00BF7FC7"/>
    <w:rsid w:val="00C06B08"/>
    <w:rsid w:val="00C133A2"/>
    <w:rsid w:val="00C163AA"/>
    <w:rsid w:val="00C17E87"/>
    <w:rsid w:val="00C2031C"/>
    <w:rsid w:val="00C2078F"/>
    <w:rsid w:val="00C22352"/>
    <w:rsid w:val="00C26428"/>
    <w:rsid w:val="00C265C4"/>
    <w:rsid w:val="00C30FC2"/>
    <w:rsid w:val="00C33AD5"/>
    <w:rsid w:val="00C33ED0"/>
    <w:rsid w:val="00C346E9"/>
    <w:rsid w:val="00C41D8E"/>
    <w:rsid w:val="00C44325"/>
    <w:rsid w:val="00C44D0B"/>
    <w:rsid w:val="00C44E01"/>
    <w:rsid w:val="00C45F25"/>
    <w:rsid w:val="00C505C9"/>
    <w:rsid w:val="00C52B78"/>
    <w:rsid w:val="00C5489E"/>
    <w:rsid w:val="00C577E9"/>
    <w:rsid w:val="00C61255"/>
    <w:rsid w:val="00C626AD"/>
    <w:rsid w:val="00C6294F"/>
    <w:rsid w:val="00C62B27"/>
    <w:rsid w:val="00C63739"/>
    <w:rsid w:val="00C637C8"/>
    <w:rsid w:val="00C6419A"/>
    <w:rsid w:val="00C6455A"/>
    <w:rsid w:val="00C67F5B"/>
    <w:rsid w:val="00C711A8"/>
    <w:rsid w:val="00C725A1"/>
    <w:rsid w:val="00C73810"/>
    <w:rsid w:val="00C73960"/>
    <w:rsid w:val="00C7512B"/>
    <w:rsid w:val="00C75CFD"/>
    <w:rsid w:val="00C761F1"/>
    <w:rsid w:val="00C76D68"/>
    <w:rsid w:val="00C81B8F"/>
    <w:rsid w:val="00C830F4"/>
    <w:rsid w:val="00C8779B"/>
    <w:rsid w:val="00C92A77"/>
    <w:rsid w:val="00C92B0B"/>
    <w:rsid w:val="00C933D7"/>
    <w:rsid w:val="00C94E54"/>
    <w:rsid w:val="00C955FE"/>
    <w:rsid w:val="00CA079B"/>
    <w:rsid w:val="00CA3D81"/>
    <w:rsid w:val="00CA413E"/>
    <w:rsid w:val="00CA44FE"/>
    <w:rsid w:val="00CA4C27"/>
    <w:rsid w:val="00CA55F2"/>
    <w:rsid w:val="00CA6DEE"/>
    <w:rsid w:val="00CA7D95"/>
    <w:rsid w:val="00CB5732"/>
    <w:rsid w:val="00CB58EF"/>
    <w:rsid w:val="00CB5BCE"/>
    <w:rsid w:val="00CB6FDF"/>
    <w:rsid w:val="00CB77D3"/>
    <w:rsid w:val="00CB7B4D"/>
    <w:rsid w:val="00CC311A"/>
    <w:rsid w:val="00CC332E"/>
    <w:rsid w:val="00CC4802"/>
    <w:rsid w:val="00CC4CBD"/>
    <w:rsid w:val="00CC585A"/>
    <w:rsid w:val="00CC67CA"/>
    <w:rsid w:val="00CD1E9E"/>
    <w:rsid w:val="00CD3A10"/>
    <w:rsid w:val="00CD3D64"/>
    <w:rsid w:val="00CD684E"/>
    <w:rsid w:val="00CD714B"/>
    <w:rsid w:val="00CD7F91"/>
    <w:rsid w:val="00CE24BD"/>
    <w:rsid w:val="00CE3D68"/>
    <w:rsid w:val="00CE6C00"/>
    <w:rsid w:val="00CF2AA9"/>
    <w:rsid w:val="00CF68DD"/>
    <w:rsid w:val="00D0115E"/>
    <w:rsid w:val="00D03E31"/>
    <w:rsid w:val="00D05C48"/>
    <w:rsid w:val="00D06068"/>
    <w:rsid w:val="00D10474"/>
    <w:rsid w:val="00D111D0"/>
    <w:rsid w:val="00D11288"/>
    <w:rsid w:val="00D12A60"/>
    <w:rsid w:val="00D17F21"/>
    <w:rsid w:val="00D217AB"/>
    <w:rsid w:val="00D21D8D"/>
    <w:rsid w:val="00D23064"/>
    <w:rsid w:val="00D26B78"/>
    <w:rsid w:val="00D27D3D"/>
    <w:rsid w:val="00D30333"/>
    <w:rsid w:val="00D34FED"/>
    <w:rsid w:val="00D35224"/>
    <w:rsid w:val="00D35AF1"/>
    <w:rsid w:val="00D41B96"/>
    <w:rsid w:val="00D43C3E"/>
    <w:rsid w:val="00D43F72"/>
    <w:rsid w:val="00D463F2"/>
    <w:rsid w:val="00D46837"/>
    <w:rsid w:val="00D47819"/>
    <w:rsid w:val="00D50758"/>
    <w:rsid w:val="00D5105B"/>
    <w:rsid w:val="00D5140A"/>
    <w:rsid w:val="00D518F7"/>
    <w:rsid w:val="00D51E12"/>
    <w:rsid w:val="00D534C5"/>
    <w:rsid w:val="00D534CF"/>
    <w:rsid w:val="00D53A77"/>
    <w:rsid w:val="00D610EB"/>
    <w:rsid w:val="00D61E31"/>
    <w:rsid w:val="00D62B97"/>
    <w:rsid w:val="00D65E4D"/>
    <w:rsid w:val="00D67E26"/>
    <w:rsid w:val="00D7029A"/>
    <w:rsid w:val="00D70C62"/>
    <w:rsid w:val="00D7145F"/>
    <w:rsid w:val="00D717C2"/>
    <w:rsid w:val="00D71BE3"/>
    <w:rsid w:val="00D73A49"/>
    <w:rsid w:val="00D74AC0"/>
    <w:rsid w:val="00D76626"/>
    <w:rsid w:val="00D81262"/>
    <w:rsid w:val="00D843AC"/>
    <w:rsid w:val="00D84CF9"/>
    <w:rsid w:val="00D85CB9"/>
    <w:rsid w:val="00D94488"/>
    <w:rsid w:val="00D976B9"/>
    <w:rsid w:val="00D97DF9"/>
    <w:rsid w:val="00DA0C20"/>
    <w:rsid w:val="00DA254C"/>
    <w:rsid w:val="00DA27A7"/>
    <w:rsid w:val="00DA2C83"/>
    <w:rsid w:val="00DA31F3"/>
    <w:rsid w:val="00DA3D49"/>
    <w:rsid w:val="00DA4CBE"/>
    <w:rsid w:val="00DA4DDE"/>
    <w:rsid w:val="00DA73E9"/>
    <w:rsid w:val="00DB0282"/>
    <w:rsid w:val="00DB3CFA"/>
    <w:rsid w:val="00DB62E1"/>
    <w:rsid w:val="00DB6D0F"/>
    <w:rsid w:val="00DB7658"/>
    <w:rsid w:val="00DC1C4D"/>
    <w:rsid w:val="00DC3B36"/>
    <w:rsid w:val="00DC4190"/>
    <w:rsid w:val="00DC481C"/>
    <w:rsid w:val="00DC4868"/>
    <w:rsid w:val="00DC6AF5"/>
    <w:rsid w:val="00DC7FD3"/>
    <w:rsid w:val="00DD0215"/>
    <w:rsid w:val="00DD3729"/>
    <w:rsid w:val="00DD5198"/>
    <w:rsid w:val="00DD685F"/>
    <w:rsid w:val="00DD6C6A"/>
    <w:rsid w:val="00DE0483"/>
    <w:rsid w:val="00DE1F62"/>
    <w:rsid w:val="00DE2338"/>
    <w:rsid w:val="00DE2DE1"/>
    <w:rsid w:val="00DE4288"/>
    <w:rsid w:val="00DE4874"/>
    <w:rsid w:val="00DE53D9"/>
    <w:rsid w:val="00DE5444"/>
    <w:rsid w:val="00DE64DF"/>
    <w:rsid w:val="00DE72BB"/>
    <w:rsid w:val="00DF032A"/>
    <w:rsid w:val="00DF2D41"/>
    <w:rsid w:val="00DF4615"/>
    <w:rsid w:val="00DF4DA1"/>
    <w:rsid w:val="00DF7B0B"/>
    <w:rsid w:val="00E04C3D"/>
    <w:rsid w:val="00E05096"/>
    <w:rsid w:val="00E079AF"/>
    <w:rsid w:val="00E07DCD"/>
    <w:rsid w:val="00E122F7"/>
    <w:rsid w:val="00E128A6"/>
    <w:rsid w:val="00E13D2E"/>
    <w:rsid w:val="00E14099"/>
    <w:rsid w:val="00E1523D"/>
    <w:rsid w:val="00E17BDD"/>
    <w:rsid w:val="00E22A54"/>
    <w:rsid w:val="00E22FC3"/>
    <w:rsid w:val="00E23C45"/>
    <w:rsid w:val="00E32277"/>
    <w:rsid w:val="00E32BE5"/>
    <w:rsid w:val="00E3311C"/>
    <w:rsid w:val="00E3635B"/>
    <w:rsid w:val="00E37CE3"/>
    <w:rsid w:val="00E407B4"/>
    <w:rsid w:val="00E52083"/>
    <w:rsid w:val="00E52AA7"/>
    <w:rsid w:val="00E53024"/>
    <w:rsid w:val="00E54069"/>
    <w:rsid w:val="00E560AB"/>
    <w:rsid w:val="00E57AEA"/>
    <w:rsid w:val="00E61D5F"/>
    <w:rsid w:val="00E6281F"/>
    <w:rsid w:val="00E62FFD"/>
    <w:rsid w:val="00E67113"/>
    <w:rsid w:val="00E67A22"/>
    <w:rsid w:val="00E71B0D"/>
    <w:rsid w:val="00E7303A"/>
    <w:rsid w:val="00E73DD6"/>
    <w:rsid w:val="00E75A2D"/>
    <w:rsid w:val="00E801CB"/>
    <w:rsid w:val="00E83574"/>
    <w:rsid w:val="00E83869"/>
    <w:rsid w:val="00E83DF1"/>
    <w:rsid w:val="00E85923"/>
    <w:rsid w:val="00E908C9"/>
    <w:rsid w:val="00E93E15"/>
    <w:rsid w:val="00EA0C85"/>
    <w:rsid w:val="00EA332A"/>
    <w:rsid w:val="00EA4433"/>
    <w:rsid w:val="00EA4F2B"/>
    <w:rsid w:val="00EA5065"/>
    <w:rsid w:val="00EA64EB"/>
    <w:rsid w:val="00EB153D"/>
    <w:rsid w:val="00EB45A3"/>
    <w:rsid w:val="00EB748E"/>
    <w:rsid w:val="00EC1913"/>
    <w:rsid w:val="00EC2E6E"/>
    <w:rsid w:val="00EC37DF"/>
    <w:rsid w:val="00EC3CA3"/>
    <w:rsid w:val="00ED07D1"/>
    <w:rsid w:val="00ED4952"/>
    <w:rsid w:val="00ED4F8C"/>
    <w:rsid w:val="00EE16B4"/>
    <w:rsid w:val="00EE35B3"/>
    <w:rsid w:val="00EE6E61"/>
    <w:rsid w:val="00EF039F"/>
    <w:rsid w:val="00EF4851"/>
    <w:rsid w:val="00EF515E"/>
    <w:rsid w:val="00EF61FA"/>
    <w:rsid w:val="00F02425"/>
    <w:rsid w:val="00F033F4"/>
    <w:rsid w:val="00F03B45"/>
    <w:rsid w:val="00F11EE5"/>
    <w:rsid w:val="00F131B4"/>
    <w:rsid w:val="00F20B63"/>
    <w:rsid w:val="00F21E69"/>
    <w:rsid w:val="00F22078"/>
    <w:rsid w:val="00F238D1"/>
    <w:rsid w:val="00F243A5"/>
    <w:rsid w:val="00F2516E"/>
    <w:rsid w:val="00F2614F"/>
    <w:rsid w:val="00F26440"/>
    <w:rsid w:val="00F277C3"/>
    <w:rsid w:val="00F343B7"/>
    <w:rsid w:val="00F34EF8"/>
    <w:rsid w:val="00F36AA5"/>
    <w:rsid w:val="00F400D9"/>
    <w:rsid w:val="00F40F62"/>
    <w:rsid w:val="00F4168C"/>
    <w:rsid w:val="00F43CA4"/>
    <w:rsid w:val="00F522BD"/>
    <w:rsid w:val="00F53E30"/>
    <w:rsid w:val="00F57156"/>
    <w:rsid w:val="00F57749"/>
    <w:rsid w:val="00F60861"/>
    <w:rsid w:val="00F61C8C"/>
    <w:rsid w:val="00F65FF4"/>
    <w:rsid w:val="00F67358"/>
    <w:rsid w:val="00F70715"/>
    <w:rsid w:val="00F72769"/>
    <w:rsid w:val="00F73469"/>
    <w:rsid w:val="00F7394C"/>
    <w:rsid w:val="00F74818"/>
    <w:rsid w:val="00F75247"/>
    <w:rsid w:val="00F76EA4"/>
    <w:rsid w:val="00F7712D"/>
    <w:rsid w:val="00F80F77"/>
    <w:rsid w:val="00F8276F"/>
    <w:rsid w:val="00F83771"/>
    <w:rsid w:val="00F8384D"/>
    <w:rsid w:val="00F846B4"/>
    <w:rsid w:val="00F84758"/>
    <w:rsid w:val="00F85DEF"/>
    <w:rsid w:val="00F91CCF"/>
    <w:rsid w:val="00F920D9"/>
    <w:rsid w:val="00F95AC8"/>
    <w:rsid w:val="00F95DA3"/>
    <w:rsid w:val="00F97306"/>
    <w:rsid w:val="00FA1033"/>
    <w:rsid w:val="00FA30D9"/>
    <w:rsid w:val="00FA3EDE"/>
    <w:rsid w:val="00FA675A"/>
    <w:rsid w:val="00FB024A"/>
    <w:rsid w:val="00FB095A"/>
    <w:rsid w:val="00FB1950"/>
    <w:rsid w:val="00FB28FA"/>
    <w:rsid w:val="00FB33D9"/>
    <w:rsid w:val="00FB6377"/>
    <w:rsid w:val="00FB7694"/>
    <w:rsid w:val="00FC00E2"/>
    <w:rsid w:val="00FC07BB"/>
    <w:rsid w:val="00FC130F"/>
    <w:rsid w:val="00FC1862"/>
    <w:rsid w:val="00FC32B4"/>
    <w:rsid w:val="00FC360F"/>
    <w:rsid w:val="00FC3823"/>
    <w:rsid w:val="00FC6AEB"/>
    <w:rsid w:val="00FD09B2"/>
    <w:rsid w:val="00FD2021"/>
    <w:rsid w:val="00FD4455"/>
    <w:rsid w:val="00FD5138"/>
    <w:rsid w:val="00FD6082"/>
    <w:rsid w:val="00FD64C6"/>
    <w:rsid w:val="00FD6CF0"/>
    <w:rsid w:val="00FE1924"/>
    <w:rsid w:val="00FE1EE4"/>
    <w:rsid w:val="00FE3E73"/>
    <w:rsid w:val="00FE664F"/>
    <w:rsid w:val="00FE6CEA"/>
    <w:rsid w:val="00FF0F77"/>
    <w:rsid w:val="00FF5802"/>
    <w:rsid w:val="00FF5A81"/>
    <w:rsid w:val="00FF60EF"/>
    <w:rsid w:val="00FF6BE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2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link w:val="Nadpis1Char"/>
    <w:uiPriority w:val="1"/>
    <w:qFormat/>
    <w:rsid w:val="007C5DE1"/>
    <w:pPr>
      <w:widowControl w:val="0"/>
      <w:autoSpaceDE w:val="0"/>
      <w:autoSpaceDN w:val="0"/>
      <w:ind w:left="109" w:firstLine="0"/>
      <w:outlineLvl w:val="0"/>
    </w:pPr>
    <w:rPr>
      <w:b/>
      <w:bCs/>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link w:val="TextkomentraChar"/>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character" w:customStyle="1" w:styleId="st1">
    <w:name w:val="st1"/>
    <w:rsid w:val="0038093E"/>
  </w:style>
  <w:style w:type="character" w:styleId="Zvraznenie">
    <w:name w:val="Emphasis"/>
    <w:uiPriority w:val="20"/>
    <w:qFormat/>
    <w:rsid w:val="00F73469"/>
    <w:rPr>
      <w:i/>
      <w:iCs/>
    </w:rPr>
  </w:style>
  <w:style w:type="paragraph" w:styleId="Normlnywebov">
    <w:name w:val="Normal (Web)"/>
    <w:basedOn w:val="Normlny"/>
    <w:uiPriority w:val="99"/>
    <w:unhideWhenUsed/>
    <w:rsid w:val="00C52B78"/>
    <w:pPr>
      <w:spacing w:after="100" w:afterAutospacing="1" w:line="336" w:lineRule="auto"/>
      <w:ind w:left="0" w:firstLine="0"/>
    </w:pPr>
    <w:rPr>
      <w:sz w:val="24"/>
      <w:lang w:val="en-US" w:eastAsia="en-US"/>
    </w:rPr>
  </w:style>
  <w:style w:type="paragraph" w:customStyle="1" w:styleId="Default">
    <w:name w:val="Default"/>
    <w:rsid w:val="00646978"/>
    <w:pPr>
      <w:widowControl w:val="0"/>
      <w:autoSpaceDE w:val="0"/>
      <w:autoSpaceDN w:val="0"/>
      <w:adjustRightInd w:val="0"/>
    </w:pPr>
    <w:rPr>
      <w:color w:val="000000"/>
      <w:sz w:val="24"/>
      <w:szCs w:val="24"/>
      <w:lang w:val="en-US" w:eastAsia="en-US"/>
    </w:rPr>
  </w:style>
  <w:style w:type="paragraph" w:styleId="Hlavika">
    <w:name w:val="header"/>
    <w:basedOn w:val="Normlny"/>
    <w:link w:val="HlavikaChar"/>
    <w:uiPriority w:val="99"/>
    <w:unhideWhenUsed/>
    <w:rsid w:val="0035564D"/>
    <w:pPr>
      <w:tabs>
        <w:tab w:val="center" w:pos="4703"/>
        <w:tab w:val="right" w:pos="9406"/>
      </w:tabs>
    </w:pPr>
  </w:style>
  <w:style w:type="character" w:customStyle="1" w:styleId="HlavikaChar">
    <w:name w:val="Hlavička Char"/>
    <w:link w:val="Hlavika"/>
    <w:uiPriority w:val="99"/>
    <w:rsid w:val="0035564D"/>
    <w:rPr>
      <w:sz w:val="22"/>
      <w:szCs w:val="24"/>
      <w:lang w:val="sk-SK" w:eastAsia="sk-SK"/>
    </w:rPr>
  </w:style>
  <w:style w:type="paragraph" w:styleId="Pta">
    <w:name w:val="footer"/>
    <w:basedOn w:val="Normlny"/>
    <w:link w:val="PtaChar"/>
    <w:uiPriority w:val="99"/>
    <w:unhideWhenUsed/>
    <w:rsid w:val="0035564D"/>
    <w:pPr>
      <w:tabs>
        <w:tab w:val="center" w:pos="4703"/>
        <w:tab w:val="right" w:pos="9406"/>
      </w:tabs>
    </w:pPr>
  </w:style>
  <w:style w:type="character" w:customStyle="1" w:styleId="PtaChar">
    <w:name w:val="Päta Char"/>
    <w:link w:val="Pta"/>
    <w:uiPriority w:val="99"/>
    <w:rsid w:val="0035564D"/>
    <w:rPr>
      <w:sz w:val="22"/>
      <w:szCs w:val="24"/>
      <w:lang w:val="sk-SK" w:eastAsia="sk-SK"/>
    </w:rPr>
  </w:style>
  <w:style w:type="table" w:styleId="Mriekatabuky">
    <w:name w:val="Table Grid"/>
    <w:basedOn w:val="Normlnatabuka"/>
    <w:uiPriority w:val="59"/>
    <w:rsid w:val="00273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uiPriority w:val="99"/>
    <w:semiHidden/>
    <w:unhideWhenUsed/>
    <w:rsid w:val="001D66BC"/>
    <w:rPr>
      <w:color w:val="800080"/>
      <w:u w:val="single"/>
    </w:rPr>
  </w:style>
  <w:style w:type="paragraph" w:styleId="Revzia">
    <w:name w:val="Revision"/>
    <w:hidden/>
    <w:uiPriority w:val="99"/>
    <w:semiHidden/>
    <w:rsid w:val="00DE4874"/>
    <w:rPr>
      <w:sz w:val="22"/>
      <w:szCs w:val="24"/>
    </w:rPr>
  </w:style>
  <w:style w:type="character" w:customStyle="1" w:styleId="TextChar1">
    <w:name w:val="Text Char1"/>
    <w:link w:val="Text"/>
    <w:locked/>
    <w:rsid w:val="008F7ACD"/>
    <w:rPr>
      <w:rFonts w:ascii="SimSun" w:hAnsi="SimSun"/>
      <w:color w:val="000000"/>
    </w:rPr>
  </w:style>
  <w:style w:type="paragraph" w:customStyle="1" w:styleId="Text">
    <w:name w:val="Text"/>
    <w:basedOn w:val="Normlny"/>
    <w:link w:val="TextChar1"/>
    <w:rsid w:val="008F7ACD"/>
    <w:pPr>
      <w:spacing w:after="240" w:line="276" w:lineRule="auto"/>
      <w:ind w:left="1134" w:firstLine="0"/>
      <w:jc w:val="both"/>
    </w:pPr>
    <w:rPr>
      <w:rFonts w:ascii="SimSun" w:hAnsi="SimSun"/>
      <w:color w:val="000000"/>
      <w:sz w:val="20"/>
      <w:szCs w:val="20"/>
    </w:rPr>
  </w:style>
  <w:style w:type="table" w:customStyle="1" w:styleId="TableGrid">
    <w:name w:val="TableGrid"/>
    <w:rsid w:val="007F54E0"/>
    <w:rPr>
      <w:rFonts w:ascii="Calibri" w:hAnsi="Calibri"/>
      <w:sz w:val="22"/>
      <w:szCs w:val="22"/>
      <w:lang w:val="de-DE" w:eastAsia="de-DE"/>
    </w:rPr>
    <w:tblPr>
      <w:tblCellMar>
        <w:top w:w="0" w:type="dxa"/>
        <w:left w:w="0" w:type="dxa"/>
        <w:bottom w:w="0" w:type="dxa"/>
        <w:right w:w="0" w:type="dxa"/>
      </w:tblCellMar>
    </w:tblPr>
  </w:style>
  <w:style w:type="character" w:customStyle="1" w:styleId="tlid-translation">
    <w:name w:val="tlid-translation"/>
    <w:basedOn w:val="Predvolenpsmoodseku"/>
    <w:rsid w:val="006A5202"/>
  </w:style>
  <w:style w:type="paragraph" w:styleId="Odsekzoznamu">
    <w:name w:val="List Paragraph"/>
    <w:basedOn w:val="Normlny"/>
    <w:uiPriority w:val="1"/>
    <w:qFormat/>
    <w:rsid w:val="002730AE"/>
    <w:pPr>
      <w:widowControl w:val="0"/>
      <w:autoSpaceDE w:val="0"/>
      <w:autoSpaceDN w:val="0"/>
      <w:ind w:left="806" w:hanging="568"/>
    </w:pPr>
    <w:rPr>
      <w:szCs w:val="22"/>
      <w:lang w:eastAsia="en-US"/>
    </w:rPr>
  </w:style>
  <w:style w:type="character" w:customStyle="1" w:styleId="Nadpis1Char">
    <w:name w:val="Nadpis 1 Char"/>
    <w:basedOn w:val="Predvolenpsmoodseku"/>
    <w:link w:val="Nadpis1"/>
    <w:uiPriority w:val="1"/>
    <w:rsid w:val="007C5DE1"/>
    <w:rPr>
      <w:b/>
      <w:bCs/>
      <w:sz w:val="22"/>
      <w:szCs w:val="22"/>
      <w:lang w:eastAsia="en-US"/>
    </w:rPr>
  </w:style>
  <w:style w:type="character" w:customStyle="1" w:styleId="TextkomentraChar">
    <w:name w:val="Text komentára Char"/>
    <w:basedOn w:val="Predvolenpsmoodseku"/>
    <w:link w:val="Textkomentra"/>
    <w:semiHidden/>
    <w:rsid w:val="00766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F6BE0"/>
    <w:pPr>
      <w:ind w:left="567" w:hanging="567"/>
    </w:pPr>
    <w:rPr>
      <w:sz w:val="22"/>
      <w:szCs w:val="24"/>
    </w:rPr>
  </w:style>
  <w:style w:type="paragraph" w:styleId="Nadpis1">
    <w:name w:val="heading 1"/>
    <w:basedOn w:val="Normlny"/>
    <w:link w:val="Nadpis1Char"/>
    <w:uiPriority w:val="1"/>
    <w:qFormat/>
    <w:rsid w:val="007C5DE1"/>
    <w:pPr>
      <w:widowControl w:val="0"/>
      <w:autoSpaceDE w:val="0"/>
      <w:autoSpaceDN w:val="0"/>
      <w:ind w:left="109" w:firstLine="0"/>
      <w:outlineLvl w:val="0"/>
    </w:pPr>
    <w:rPr>
      <w:b/>
      <w:bCs/>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FF6BE0"/>
    <w:rPr>
      <w:color w:val="0000FF"/>
      <w:u w:val="single"/>
    </w:rPr>
  </w:style>
  <w:style w:type="paragraph" w:styleId="Zkladntext">
    <w:name w:val="Body Text"/>
    <w:basedOn w:val="Normlny"/>
    <w:rsid w:val="00FF6BE0"/>
    <w:pPr>
      <w:ind w:left="0" w:firstLine="0"/>
    </w:pPr>
  </w:style>
  <w:style w:type="paragraph" w:customStyle="1" w:styleId="EMEAEnBodyText">
    <w:name w:val="EMEA En Body Text"/>
    <w:basedOn w:val="Normlny"/>
    <w:rsid w:val="00FF6BE0"/>
    <w:pPr>
      <w:spacing w:before="120" w:after="120"/>
      <w:ind w:left="0" w:firstLine="0"/>
      <w:jc w:val="both"/>
    </w:pPr>
    <w:rPr>
      <w:szCs w:val="20"/>
      <w:lang w:val="en-US" w:eastAsia="en-US"/>
    </w:rPr>
  </w:style>
  <w:style w:type="character" w:styleId="Odkaznakomentr">
    <w:name w:val="annotation reference"/>
    <w:semiHidden/>
    <w:rsid w:val="00D217AB"/>
    <w:rPr>
      <w:sz w:val="16"/>
      <w:szCs w:val="16"/>
    </w:rPr>
  </w:style>
  <w:style w:type="paragraph" w:styleId="Textkomentra">
    <w:name w:val="annotation text"/>
    <w:basedOn w:val="Normlny"/>
    <w:link w:val="TextkomentraChar"/>
    <w:semiHidden/>
    <w:rsid w:val="00D217AB"/>
    <w:rPr>
      <w:sz w:val="20"/>
      <w:szCs w:val="20"/>
    </w:rPr>
  </w:style>
  <w:style w:type="paragraph" w:styleId="Predmetkomentra">
    <w:name w:val="annotation subject"/>
    <w:basedOn w:val="Textkomentra"/>
    <w:next w:val="Textkomentra"/>
    <w:semiHidden/>
    <w:rsid w:val="00D217AB"/>
    <w:rPr>
      <w:b/>
      <w:bCs/>
    </w:rPr>
  </w:style>
  <w:style w:type="paragraph" w:styleId="Textbubliny">
    <w:name w:val="Balloon Text"/>
    <w:basedOn w:val="Normlny"/>
    <w:semiHidden/>
    <w:rsid w:val="00D217AB"/>
    <w:rPr>
      <w:rFonts w:ascii="Tahoma" w:hAnsi="Tahoma" w:cs="Tahoma"/>
      <w:sz w:val="16"/>
      <w:szCs w:val="16"/>
    </w:rPr>
  </w:style>
  <w:style w:type="character" w:customStyle="1" w:styleId="st1">
    <w:name w:val="st1"/>
    <w:rsid w:val="0038093E"/>
  </w:style>
  <w:style w:type="character" w:styleId="Zvraznenie">
    <w:name w:val="Emphasis"/>
    <w:uiPriority w:val="20"/>
    <w:qFormat/>
    <w:rsid w:val="00F73469"/>
    <w:rPr>
      <w:i/>
      <w:iCs/>
    </w:rPr>
  </w:style>
  <w:style w:type="paragraph" w:styleId="Normlnywebov">
    <w:name w:val="Normal (Web)"/>
    <w:basedOn w:val="Normlny"/>
    <w:uiPriority w:val="99"/>
    <w:unhideWhenUsed/>
    <w:rsid w:val="00C52B78"/>
    <w:pPr>
      <w:spacing w:after="100" w:afterAutospacing="1" w:line="336" w:lineRule="auto"/>
      <w:ind w:left="0" w:firstLine="0"/>
    </w:pPr>
    <w:rPr>
      <w:sz w:val="24"/>
      <w:lang w:val="en-US" w:eastAsia="en-US"/>
    </w:rPr>
  </w:style>
  <w:style w:type="paragraph" w:customStyle="1" w:styleId="Default">
    <w:name w:val="Default"/>
    <w:rsid w:val="00646978"/>
    <w:pPr>
      <w:widowControl w:val="0"/>
      <w:autoSpaceDE w:val="0"/>
      <w:autoSpaceDN w:val="0"/>
      <w:adjustRightInd w:val="0"/>
    </w:pPr>
    <w:rPr>
      <w:color w:val="000000"/>
      <w:sz w:val="24"/>
      <w:szCs w:val="24"/>
      <w:lang w:val="en-US" w:eastAsia="en-US"/>
    </w:rPr>
  </w:style>
  <w:style w:type="paragraph" w:styleId="Hlavika">
    <w:name w:val="header"/>
    <w:basedOn w:val="Normlny"/>
    <w:link w:val="HlavikaChar"/>
    <w:uiPriority w:val="99"/>
    <w:unhideWhenUsed/>
    <w:rsid w:val="0035564D"/>
    <w:pPr>
      <w:tabs>
        <w:tab w:val="center" w:pos="4703"/>
        <w:tab w:val="right" w:pos="9406"/>
      </w:tabs>
    </w:pPr>
  </w:style>
  <w:style w:type="character" w:customStyle="1" w:styleId="HlavikaChar">
    <w:name w:val="Hlavička Char"/>
    <w:link w:val="Hlavika"/>
    <w:uiPriority w:val="99"/>
    <w:rsid w:val="0035564D"/>
    <w:rPr>
      <w:sz w:val="22"/>
      <w:szCs w:val="24"/>
      <w:lang w:val="sk-SK" w:eastAsia="sk-SK"/>
    </w:rPr>
  </w:style>
  <w:style w:type="paragraph" w:styleId="Pta">
    <w:name w:val="footer"/>
    <w:basedOn w:val="Normlny"/>
    <w:link w:val="PtaChar"/>
    <w:uiPriority w:val="99"/>
    <w:unhideWhenUsed/>
    <w:rsid w:val="0035564D"/>
    <w:pPr>
      <w:tabs>
        <w:tab w:val="center" w:pos="4703"/>
        <w:tab w:val="right" w:pos="9406"/>
      </w:tabs>
    </w:pPr>
  </w:style>
  <w:style w:type="character" w:customStyle="1" w:styleId="PtaChar">
    <w:name w:val="Päta Char"/>
    <w:link w:val="Pta"/>
    <w:uiPriority w:val="99"/>
    <w:rsid w:val="0035564D"/>
    <w:rPr>
      <w:sz w:val="22"/>
      <w:szCs w:val="24"/>
      <w:lang w:val="sk-SK" w:eastAsia="sk-SK"/>
    </w:rPr>
  </w:style>
  <w:style w:type="table" w:styleId="Mriekatabuky">
    <w:name w:val="Table Grid"/>
    <w:basedOn w:val="Normlnatabuka"/>
    <w:uiPriority w:val="59"/>
    <w:rsid w:val="002732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ouitHypertextovPrepojenie">
    <w:name w:val="FollowedHyperlink"/>
    <w:uiPriority w:val="99"/>
    <w:semiHidden/>
    <w:unhideWhenUsed/>
    <w:rsid w:val="001D66BC"/>
    <w:rPr>
      <w:color w:val="800080"/>
      <w:u w:val="single"/>
    </w:rPr>
  </w:style>
  <w:style w:type="paragraph" w:styleId="Revzia">
    <w:name w:val="Revision"/>
    <w:hidden/>
    <w:uiPriority w:val="99"/>
    <w:semiHidden/>
    <w:rsid w:val="00DE4874"/>
    <w:rPr>
      <w:sz w:val="22"/>
      <w:szCs w:val="24"/>
    </w:rPr>
  </w:style>
  <w:style w:type="character" w:customStyle="1" w:styleId="TextChar1">
    <w:name w:val="Text Char1"/>
    <w:link w:val="Text"/>
    <w:locked/>
    <w:rsid w:val="008F7ACD"/>
    <w:rPr>
      <w:rFonts w:ascii="SimSun" w:hAnsi="SimSun"/>
      <w:color w:val="000000"/>
    </w:rPr>
  </w:style>
  <w:style w:type="paragraph" w:customStyle="1" w:styleId="Text">
    <w:name w:val="Text"/>
    <w:basedOn w:val="Normlny"/>
    <w:link w:val="TextChar1"/>
    <w:rsid w:val="008F7ACD"/>
    <w:pPr>
      <w:spacing w:after="240" w:line="276" w:lineRule="auto"/>
      <w:ind w:left="1134" w:firstLine="0"/>
      <w:jc w:val="both"/>
    </w:pPr>
    <w:rPr>
      <w:rFonts w:ascii="SimSun" w:hAnsi="SimSun"/>
      <w:color w:val="000000"/>
      <w:sz w:val="20"/>
      <w:szCs w:val="20"/>
    </w:rPr>
  </w:style>
  <w:style w:type="table" w:customStyle="1" w:styleId="TableGrid">
    <w:name w:val="TableGrid"/>
    <w:rsid w:val="007F54E0"/>
    <w:rPr>
      <w:rFonts w:ascii="Calibri" w:hAnsi="Calibri"/>
      <w:sz w:val="22"/>
      <w:szCs w:val="22"/>
      <w:lang w:val="de-DE" w:eastAsia="de-DE"/>
    </w:rPr>
    <w:tblPr>
      <w:tblCellMar>
        <w:top w:w="0" w:type="dxa"/>
        <w:left w:w="0" w:type="dxa"/>
        <w:bottom w:w="0" w:type="dxa"/>
        <w:right w:w="0" w:type="dxa"/>
      </w:tblCellMar>
    </w:tblPr>
  </w:style>
  <w:style w:type="character" w:customStyle="1" w:styleId="tlid-translation">
    <w:name w:val="tlid-translation"/>
    <w:basedOn w:val="Predvolenpsmoodseku"/>
    <w:rsid w:val="006A5202"/>
  </w:style>
  <w:style w:type="paragraph" w:styleId="Odsekzoznamu">
    <w:name w:val="List Paragraph"/>
    <w:basedOn w:val="Normlny"/>
    <w:uiPriority w:val="1"/>
    <w:qFormat/>
    <w:rsid w:val="002730AE"/>
    <w:pPr>
      <w:widowControl w:val="0"/>
      <w:autoSpaceDE w:val="0"/>
      <w:autoSpaceDN w:val="0"/>
      <w:ind w:left="806" w:hanging="568"/>
    </w:pPr>
    <w:rPr>
      <w:szCs w:val="22"/>
      <w:lang w:eastAsia="en-US"/>
    </w:rPr>
  </w:style>
  <w:style w:type="character" w:customStyle="1" w:styleId="Nadpis1Char">
    <w:name w:val="Nadpis 1 Char"/>
    <w:basedOn w:val="Predvolenpsmoodseku"/>
    <w:link w:val="Nadpis1"/>
    <w:uiPriority w:val="1"/>
    <w:rsid w:val="007C5DE1"/>
    <w:rPr>
      <w:b/>
      <w:bCs/>
      <w:sz w:val="22"/>
      <w:szCs w:val="22"/>
      <w:lang w:eastAsia="en-US"/>
    </w:rPr>
  </w:style>
  <w:style w:type="character" w:customStyle="1" w:styleId="TextkomentraChar">
    <w:name w:val="Text komentára Char"/>
    <w:basedOn w:val="Predvolenpsmoodseku"/>
    <w:link w:val="Textkomentra"/>
    <w:semiHidden/>
    <w:rsid w:val="00766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4149">
      <w:bodyDiv w:val="1"/>
      <w:marLeft w:val="0"/>
      <w:marRight w:val="0"/>
      <w:marTop w:val="0"/>
      <w:marBottom w:val="0"/>
      <w:divBdr>
        <w:top w:val="none" w:sz="0" w:space="0" w:color="auto"/>
        <w:left w:val="none" w:sz="0" w:space="0" w:color="auto"/>
        <w:bottom w:val="none" w:sz="0" w:space="0" w:color="auto"/>
        <w:right w:val="none" w:sz="0" w:space="0" w:color="auto"/>
      </w:divBdr>
      <w:divsChild>
        <w:div w:id="1326788765">
          <w:marLeft w:val="0"/>
          <w:marRight w:val="0"/>
          <w:marTop w:val="0"/>
          <w:marBottom w:val="0"/>
          <w:divBdr>
            <w:top w:val="none" w:sz="0" w:space="0" w:color="auto"/>
            <w:left w:val="none" w:sz="0" w:space="0" w:color="auto"/>
            <w:bottom w:val="none" w:sz="0" w:space="0" w:color="auto"/>
            <w:right w:val="none" w:sz="0" w:space="0" w:color="auto"/>
          </w:divBdr>
          <w:divsChild>
            <w:div w:id="463239122">
              <w:marLeft w:val="0"/>
              <w:marRight w:val="0"/>
              <w:marTop w:val="0"/>
              <w:marBottom w:val="0"/>
              <w:divBdr>
                <w:top w:val="none" w:sz="0" w:space="0" w:color="auto"/>
                <w:left w:val="none" w:sz="0" w:space="0" w:color="auto"/>
                <w:bottom w:val="none" w:sz="0" w:space="0" w:color="auto"/>
                <w:right w:val="none" w:sz="0" w:space="0" w:color="auto"/>
              </w:divBdr>
              <w:divsChild>
                <w:div w:id="1822186003">
                  <w:marLeft w:val="0"/>
                  <w:marRight w:val="0"/>
                  <w:marTop w:val="0"/>
                  <w:marBottom w:val="0"/>
                  <w:divBdr>
                    <w:top w:val="none" w:sz="0" w:space="0" w:color="auto"/>
                    <w:left w:val="none" w:sz="0" w:space="0" w:color="auto"/>
                    <w:bottom w:val="none" w:sz="0" w:space="0" w:color="auto"/>
                    <w:right w:val="none" w:sz="0" w:space="0" w:color="auto"/>
                  </w:divBdr>
                  <w:divsChild>
                    <w:div w:id="82073238">
                      <w:marLeft w:val="0"/>
                      <w:marRight w:val="0"/>
                      <w:marTop w:val="0"/>
                      <w:marBottom w:val="0"/>
                      <w:divBdr>
                        <w:top w:val="none" w:sz="0" w:space="0" w:color="auto"/>
                        <w:left w:val="none" w:sz="0" w:space="0" w:color="auto"/>
                        <w:bottom w:val="none" w:sz="0" w:space="0" w:color="auto"/>
                        <w:right w:val="none" w:sz="0" w:space="0" w:color="auto"/>
                      </w:divBdr>
                      <w:divsChild>
                        <w:div w:id="378435446">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4559690">
      <w:bodyDiv w:val="1"/>
      <w:marLeft w:val="0"/>
      <w:marRight w:val="0"/>
      <w:marTop w:val="0"/>
      <w:marBottom w:val="0"/>
      <w:divBdr>
        <w:top w:val="none" w:sz="0" w:space="0" w:color="auto"/>
        <w:left w:val="none" w:sz="0" w:space="0" w:color="auto"/>
        <w:bottom w:val="none" w:sz="0" w:space="0" w:color="auto"/>
        <w:right w:val="none" w:sz="0" w:space="0" w:color="auto"/>
      </w:divBdr>
      <w:divsChild>
        <w:div w:id="122038875">
          <w:marLeft w:val="0"/>
          <w:marRight w:val="0"/>
          <w:marTop w:val="0"/>
          <w:marBottom w:val="0"/>
          <w:divBdr>
            <w:top w:val="none" w:sz="0" w:space="0" w:color="auto"/>
            <w:left w:val="none" w:sz="0" w:space="0" w:color="auto"/>
            <w:bottom w:val="none" w:sz="0" w:space="0" w:color="auto"/>
            <w:right w:val="none" w:sz="0" w:space="0" w:color="auto"/>
          </w:divBdr>
          <w:divsChild>
            <w:div w:id="753936854">
              <w:marLeft w:val="0"/>
              <w:marRight w:val="0"/>
              <w:marTop w:val="0"/>
              <w:marBottom w:val="0"/>
              <w:divBdr>
                <w:top w:val="none" w:sz="0" w:space="0" w:color="auto"/>
                <w:left w:val="none" w:sz="0" w:space="0" w:color="auto"/>
                <w:bottom w:val="none" w:sz="0" w:space="0" w:color="auto"/>
                <w:right w:val="none" w:sz="0" w:space="0" w:color="auto"/>
              </w:divBdr>
              <w:divsChild>
                <w:div w:id="1187792305">
                  <w:marLeft w:val="0"/>
                  <w:marRight w:val="0"/>
                  <w:marTop w:val="0"/>
                  <w:marBottom w:val="0"/>
                  <w:divBdr>
                    <w:top w:val="none" w:sz="0" w:space="0" w:color="auto"/>
                    <w:left w:val="none" w:sz="0" w:space="0" w:color="auto"/>
                    <w:bottom w:val="none" w:sz="0" w:space="0" w:color="auto"/>
                    <w:right w:val="none" w:sz="0" w:space="0" w:color="auto"/>
                  </w:divBdr>
                  <w:divsChild>
                    <w:div w:id="1758020618">
                      <w:marLeft w:val="0"/>
                      <w:marRight w:val="0"/>
                      <w:marTop w:val="0"/>
                      <w:marBottom w:val="0"/>
                      <w:divBdr>
                        <w:top w:val="none" w:sz="0" w:space="0" w:color="auto"/>
                        <w:left w:val="none" w:sz="0" w:space="0" w:color="auto"/>
                        <w:bottom w:val="none" w:sz="0" w:space="0" w:color="auto"/>
                        <w:right w:val="none" w:sz="0" w:space="0" w:color="auto"/>
                      </w:divBdr>
                      <w:divsChild>
                        <w:div w:id="170151764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99249704">
      <w:bodyDiv w:val="1"/>
      <w:marLeft w:val="0"/>
      <w:marRight w:val="0"/>
      <w:marTop w:val="0"/>
      <w:marBottom w:val="0"/>
      <w:divBdr>
        <w:top w:val="none" w:sz="0" w:space="0" w:color="auto"/>
        <w:left w:val="none" w:sz="0" w:space="0" w:color="auto"/>
        <w:bottom w:val="none" w:sz="0" w:space="0" w:color="auto"/>
        <w:right w:val="none" w:sz="0" w:space="0" w:color="auto"/>
      </w:divBdr>
      <w:divsChild>
        <w:div w:id="2077623213">
          <w:marLeft w:val="0"/>
          <w:marRight w:val="0"/>
          <w:marTop w:val="0"/>
          <w:marBottom w:val="0"/>
          <w:divBdr>
            <w:top w:val="none" w:sz="0" w:space="0" w:color="auto"/>
            <w:left w:val="none" w:sz="0" w:space="0" w:color="auto"/>
            <w:bottom w:val="none" w:sz="0" w:space="0" w:color="auto"/>
            <w:right w:val="none" w:sz="0" w:space="0" w:color="auto"/>
          </w:divBdr>
          <w:divsChild>
            <w:div w:id="1115054640">
              <w:marLeft w:val="0"/>
              <w:marRight w:val="0"/>
              <w:marTop w:val="0"/>
              <w:marBottom w:val="0"/>
              <w:divBdr>
                <w:top w:val="none" w:sz="0" w:space="0" w:color="auto"/>
                <w:left w:val="none" w:sz="0" w:space="0" w:color="auto"/>
                <w:bottom w:val="none" w:sz="0" w:space="0" w:color="auto"/>
                <w:right w:val="none" w:sz="0" w:space="0" w:color="auto"/>
              </w:divBdr>
              <w:divsChild>
                <w:div w:id="1467745872">
                  <w:marLeft w:val="0"/>
                  <w:marRight w:val="0"/>
                  <w:marTop w:val="0"/>
                  <w:marBottom w:val="0"/>
                  <w:divBdr>
                    <w:top w:val="none" w:sz="0" w:space="0" w:color="auto"/>
                    <w:left w:val="none" w:sz="0" w:space="0" w:color="auto"/>
                    <w:bottom w:val="none" w:sz="0" w:space="0" w:color="auto"/>
                    <w:right w:val="none" w:sz="0" w:space="0" w:color="auto"/>
                  </w:divBdr>
                  <w:divsChild>
                    <w:div w:id="1944414131">
                      <w:marLeft w:val="0"/>
                      <w:marRight w:val="0"/>
                      <w:marTop w:val="0"/>
                      <w:marBottom w:val="0"/>
                      <w:divBdr>
                        <w:top w:val="none" w:sz="0" w:space="0" w:color="auto"/>
                        <w:left w:val="none" w:sz="0" w:space="0" w:color="auto"/>
                        <w:bottom w:val="none" w:sz="0" w:space="0" w:color="auto"/>
                        <w:right w:val="none" w:sz="0" w:space="0" w:color="auto"/>
                      </w:divBdr>
                      <w:divsChild>
                        <w:div w:id="1071658458">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318801372">
      <w:bodyDiv w:val="1"/>
      <w:marLeft w:val="0"/>
      <w:marRight w:val="0"/>
      <w:marTop w:val="0"/>
      <w:marBottom w:val="0"/>
      <w:divBdr>
        <w:top w:val="none" w:sz="0" w:space="0" w:color="auto"/>
        <w:left w:val="none" w:sz="0" w:space="0" w:color="auto"/>
        <w:bottom w:val="none" w:sz="0" w:space="0" w:color="auto"/>
        <w:right w:val="none" w:sz="0" w:space="0" w:color="auto"/>
      </w:divBdr>
      <w:divsChild>
        <w:div w:id="1856531963">
          <w:marLeft w:val="0"/>
          <w:marRight w:val="0"/>
          <w:marTop w:val="0"/>
          <w:marBottom w:val="0"/>
          <w:divBdr>
            <w:top w:val="none" w:sz="0" w:space="0" w:color="auto"/>
            <w:left w:val="none" w:sz="0" w:space="0" w:color="auto"/>
            <w:bottom w:val="none" w:sz="0" w:space="0" w:color="auto"/>
            <w:right w:val="none" w:sz="0" w:space="0" w:color="auto"/>
          </w:divBdr>
          <w:divsChild>
            <w:div w:id="1914006135">
              <w:marLeft w:val="0"/>
              <w:marRight w:val="0"/>
              <w:marTop w:val="0"/>
              <w:marBottom w:val="0"/>
              <w:divBdr>
                <w:top w:val="none" w:sz="0" w:space="0" w:color="auto"/>
                <w:left w:val="none" w:sz="0" w:space="0" w:color="auto"/>
                <w:bottom w:val="none" w:sz="0" w:space="0" w:color="auto"/>
                <w:right w:val="none" w:sz="0" w:space="0" w:color="auto"/>
              </w:divBdr>
              <w:divsChild>
                <w:div w:id="422191276">
                  <w:marLeft w:val="0"/>
                  <w:marRight w:val="0"/>
                  <w:marTop w:val="0"/>
                  <w:marBottom w:val="0"/>
                  <w:divBdr>
                    <w:top w:val="none" w:sz="0" w:space="0" w:color="auto"/>
                    <w:left w:val="none" w:sz="0" w:space="0" w:color="auto"/>
                    <w:bottom w:val="none" w:sz="0" w:space="0" w:color="auto"/>
                    <w:right w:val="none" w:sz="0" w:space="0" w:color="auto"/>
                  </w:divBdr>
                  <w:divsChild>
                    <w:div w:id="1195001248">
                      <w:marLeft w:val="0"/>
                      <w:marRight w:val="0"/>
                      <w:marTop w:val="0"/>
                      <w:marBottom w:val="0"/>
                      <w:divBdr>
                        <w:top w:val="none" w:sz="0" w:space="0" w:color="auto"/>
                        <w:left w:val="none" w:sz="0" w:space="0" w:color="auto"/>
                        <w:bottom w:val="none" w:sz="0" w:space="0" w:color="auto"/>
                        <w:right w:val="none" w:sz="0" w:space="0" w:color="auto"/>
                      </w:divBdr>
                      <w:divsChild>
                        <w:div w:id="1187981507">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620263084">
      <w:bodyDiv w:val="1"/>
      <w:marLeft w:val="0"/>
      <w:marRight w:val="0"/>
      <w:marTop w:val="0"/>
      <w:marBottom w:val="0"/>
      <w:divBdr>
        <w:top w:val="none" w:sz="0" w:space="0" w:color="auto"/>
        <w:left w:val="none" w:sz="0" w:space="0" w:color="auto"/>
        <w:bottom w:val="none" w:sz="0" w:space="0" w:color="auto"/>
        <w:right w:val="none" w:sz="0" w:space="0" w:color="auto"/>
      </w:divBdr>
      <w:divsChild>
        <w:div w:id="1539194690">
          <w:marLeft w:val="0"/>
          <w:marRight w:val="0"/>
          <w:marTop w:val="0"/>
          <w:marBottom w:val="0"/>
          <w:divBdr>
            <w:top w:val="none" w:sz="0" w:space="0" w:color="auto"/>
            <w:left w:val="none" w:sz="0" w:space="0" w:color="auto"/>
            <w:bottom w:val="none" w:sz="0" w:space="0" w:color="auto"/>
            <w:right w:val="none" w:sz="0" w:space="0" w:color="auto"/>
          </w:divBdr>
          <w:divsChild>
            <w:div w:id="941185993">
              <w:marLeft w:val="0"/>
              <w:marRight w:val="0"/>
              <w:marTop w:val="0"/>
              <w:marBottom w:val="0"/>
              <w:divBdr>
                <w:top w:val="none" w:sz="0" w:space="0" w:color="auto"/>
                <w:left w:val="none" w:sz="0" w:space="0" w:color="auto"/>
                <w:bottom w:val="none" w:sz="0" w:space="0" w:color="auto"/>
                <w:right w:val="none" w:sz="0" w:space="0" w:color="auto"/>
              </w:divBdr>
              <w:divsChild>
                <w:div w:id="616454475">
                  <w:marLeft w:val="0"/>
                  <w:marRight w:val="0"/>
                  <w:marTop w:val="0"/>
                  <w:marBottom w:val="0"/>
                  <w:divBdr>
                    <w:top w:val="none" w:sz="0" w:space="0" w:color="auto"/>
                    <w:left w:val="none" w:sz="0" w:space="0" w:color="auto"/>
                    <w:bottom w:val="none" w:sz="0" w:space="0" w:color="auto"/>
                    <w:right w:val="none" w:sz="0" w:space="0" w:color="auto"/>
                  </w:divBdr>
                  <w:divsChild>
                    <w:div w:id="511922216">
                      <w:marLeft w:val="0"/>
                      <w:marRight w:val="0"/>
                      <w:marTop w:val="0"/>
                      <w:marBottom w:val="0"/>
                      <w:divBdr>
                        <w:top w:val="none" w:sz="0" w:space="0" w:color="auto"/>
                        <w:left w:val="none" w:sz="0" w:space="0" w:color="auto"/>
                        <w:bottom w:val="none" w:sz="0" w:space="0" w:color="auto"/>
                        <w:right w:val="none" w:sz="0" w:space="0" w:color="auto"/>
                      </w:divBdr>
                      <w:divsChild>
                        <w:div w:id="50143769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723483766">
      <w:bodyDiv w:val="1"/>
      <w:marLeft w:val="0"/>
      <w:marRight w:val="0"/>
      <w:marTop w:val="0"/>
      <w:marBottom w:val="0"/>
      <w:divBdr>
        <w:top w:val="none" w:sz="0" w:space="0" w:color="auto"/>
        <w:left w:val="none" w:sz="0" w:space="0" w:color="auto"/>
        <w:bottom w:val="none" w:sz="0" w:space="0" w:color="auto"/>
        <w:right w:val="none" w:sz="0" w:space="0" w:color="auto"/>
      </w:divBdr>
      <w:divsChild>
        <w:div w:id="1402412053">
          <w:marLeft w:val="0"/>
          <w:marRight w:val="0"/>
          <w:marTop w:val="0"/>
          <w:marBottom w:val="0"/>
          <w:divBdr>
            <w:top w:val="none" w:sz="0" w:space="0" w:color="auto"/>
            <w:left w:val="none" w:sz="0" w:space="0" w:color="auto"/>
            <w:bottom w:val="none" w:sz="0" w:space="0" w:color="auto"/>
            <w:right w:val="none" w:sz="0" w:space="0" w:color="auto"/>
          </w:divBdr>
          <w:divsChild>
            <w:div w:id="1944607549">
              <w:marLeft w:val="0"/>
              <w:marRight w:val="0"/>
              <w:marTop w:val="0"/>
              <w:marBottom w:val="0"/>
              <w:divBdr>
                <w:top w:val="none" w:sz="0" w:space="0" w:color="auto"/>
                <w:left w:val="none" w:sz="0" w:space="0" w:color="auto"/>
                <w:bottom w:val="none" w:sz="0" w:space="0" w:color="auto"/>
                <w:right w:val="none" w:sz="0" w:space="0" w:color="auto"/>
              </w:divBdr>
              <w:divsChild>
                <w:div w:id="667513754">
                  <w:marLeft w:val="0"/>
                  <w:marRight w:val="0"/>
                  <w:marTop w:val="0"/>
                  <w:marBottom w:val="0"/>
                  <w:divBdr>
                    <w:top w:val="none" w:sz="0" w:space="0" w:color="auto"/>
                    <w:left w:val="none" w:sz="0" w:space="0" w:color="auto"/>
                    <w:bottom w:val="none" w:sz="0" w:space="0" w:color="auto"/>
                    <w:right w:val="none" w:sz="0" w:space="0" w:color="auto"/>
                  </w:divBdr>
                  <w:divsChild>
                    <w:div w:id="1752389352">
                      <w:marLeft w:val="0"/>
                      <w:marRight w:val="0"/>
                      <w:marTop w:val="0"/>
                      <w:marBottom w:val="0"/>
                      <w:divBdr>
                        <w:top w:val="none" w:sz="0" w:space="0" w:color="auto"/>
                        <w:left w:val="none" w:sz="0" w:space="0" w:color="auto"/>
                        <w:bottom w:val="none" w:sz="0" w:space="0" w:color="auto"/>
                        <w:right w:val="none" w:sz="0" w:space="0" w:color="auto"/>
                      </w:divBdr>
                      <w:divsChild>
                        <w:div w:id="2008751923">
                          <w:marLeft w:val="120"/>
                          <w:marRight w:val="12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 w:id="1817605172">
      <w:bodyDiv w:val="1"/>
      <w:marLeft w:val="0"/>
      <w:marRight w:val="0"/>
      <w:marTop w:val="0"/>
      <w:marBottom w:val="0"/>
      <w:divBdr>
        <w:top w:val="none" w:sz="0" w:space="0" w:color="auto"/>
        <w:left w:val="none" w:sz="0" w:space="0" w:color="auto"/>
        <w:bottom w:val="none" w:sz="0" w:space="0" w:color="auto"/>
        <w:right w:val="none" w:sz="0" w:space="0" w:color="auto"/>
      </w:divBdr>
    </w:div>
    <w:div w:id="2094348830">
      <w:bodyDiv w:val="1"/>
      <w:marLeft w:val="0"/>
      <w:marRight w:val="0"/>
      <w:marTop w:val="0"/>
      <w:marBottom w:val="0"/>
      <w:divBdr>
        <w:top w:val="none" w:sz="0" w:space="0" w:color="auto"/>
        <w:left w:val="none" w:sz="0" w:space="0" w:color="auto"/>
        <w:bottom w:val="none" w:sz="0" w:space="0" w:color="auto"/>
        <w:right w:val="none" w:sz="0" w:space="0" w:color="auto"/>
      </w:divBdr>
    </w:div>
    <w:div w:id="214650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C50F33-69B4-4FC6-AA4E-5FDAFEA41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7482</Words>
  <Characters>42649</Characters>
  <Application>Microsoft Office Word</Application>
  <DocSecurity>0</DocSecurity>
  <Lines>355</Lines>
  <Paragraphs>100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1</vt:lpstr>
      <vt:lpstr>1</vt:lpstr>
    </vt:vector>
  </TitlesOfParts>
  <Company>Novartis</Company>
  <LinksUpToDate>false</LinksUpToDate>
  <CharactersWithSpaces>50031</CharactersWithSpaces>
  <SharedDoc>false</SharedDoc>
  <HLinks>
    <vt:vector size="18" baseType="variant">
      <vt:variant>
        <vt:i4>3145768</vt:i4>
      </vt:variant>
      <vt:variant>
        <vt:i4>6</vt:i4>
      </vt:variant>
      <vt:variant>
        <vt:i4>0</vt:i4>
      </vt:variant>
      <vt:variant>
        <vt:i4>5</vt:i4>
      </vt:variant>
      <vt:variant>
        <vt:lpwstr>https://portal.sukl.sk/eskadra/</vt:lpwstr>
      </vt:variant>
      <vt:variant>
        <vt:lpwstr/>
      </vt:variant>
      <vt:variant>
        <vt:i4>7733306</vt:i4>
      </vt:variant>
      <vt:variant>
        <vt:i4>3</vt:i4>
      </vt:variant>
      <vt:variant>
        <vt:i4>0</vt:i4>
      </vt:variant>
      <vt:variant>
        <vt:i4>5</vt:i4>
      </vt:variant>
      <vt:variant>
        <vt:lpwstr>http://www.sukl.sk/</vt:lpwstr>
      </vt:variant>
      <vt:variant>
        <vt:lpwstr/>
      </vt:variant>
      <vt:variant>
        <vt:i4>5898285</vt:i4>
      </vt:variant>
      <vt:variant>
        <vt:i4>0</vt:i4>
      </vt:variant>
      <vt:variant>
        <vt:i4>0</vt:i4>
      </vt:variant>
      <vt:variant>
        <vt:i4>5</vt:i4>
      </vt:variant>
      <vt:variant>
        <vt:lpwstr>mailto:neziaduce.ucinky@sukl.sk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Regpharm;Stada AG</dc:creator>
  <cp:lastModifiedBy>Kubáčková, Jaroslava</cp:lastModifiedBy>
  <cp:revision>4</cp:revision>
  <cp:lastPrinted>2020-05-09T17:23:00Z</cp:lastPrinted>
  <dcterms:created xsi:type="dcterms:W3CDTF">2021-02-10T15:18:00Z</dcterms:created>
  <dcterms:modified xsi:type="dcterms:W3CDTF">2021-02-10T15:23:00Z</dcterms:modified>
</cp:coreProperties>
</file>