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23009" w14:textId="77777777" w:rsidR="007320B3" w:rsidRPr="00B44244" w:rsidRDefault="007320B3" w:rsidP="007320B3">
      <w:pPr>
        <w:spacing w:line="240" w:lineRule="auto"/>
        <w:jc w:val="center"/>
        <w:outlineLvl w:val="0"/>
        <w:rPr>
          <w:szCs w:val="22"/>
        </w:rPr>
      </w:pPr>
      <w:bookmarkStart w:id="0" w:name="_GoBack"/>
      <w:bookmarkEnd w:id="0"/>
      <w:r w:rsidRPr="00B44244">
        <w:rPr>
          <w:b/>
          <w:szCs w:val="22"/>
        </w:rPr>
        <w:t>SÚHRN CHARAKTERISTICKÝCH VLASTNOSTÍ LIEKU</w:t>
      </w:r>
    </w:p>
    <w:p w14:paraId="1159A369" w14:textId="77777777" w:rsidR="007320B3" w:rsidRPr="00B44244" w:rsidRDefault="007320B3" w:rsidP="007320B3">
      <w:pPr>
        <w:spacing w:line="240" w:lineRule="auto"/>
        <w:rPr>
          <w:szCs w:val="22"/>
        </w:rPr>
      </w:pPr>
    </w:p>
    <w:p w14:paraId="36DEBA54" w14:textId="77777777" w:rsidR="007320B3" w:rsidRPr="00B44244" w:rsidRDefault="007320B3" w:rsidP="007320B3">
      <w:pPr>
        <w:spacing w:line="240" w:lineRule="auto"/>
        <w:rPr>
          <w:szCs w:val="22"/>
        </w:rPr>
      </w:pPr>
    </w:p>
    <w:p w14:paraId="199EF16C" w14:textId="77777777" w:rsidR="007320B3" w:rsidRPr="00B44244" w:rsidRDefault="007320B3" w:rsidP="007320B3">
      <w:pPr>
        <w:keepNext/>
        <w:numPr>
          <w:ilvl w:val="0"/>
          <w:numId w:val="1"/>
        </w:numPr>
        <w:suppressAutoHyphens/>
        <w:spacing w:line="240" w:lineRule="auto"/>
        <w:rPr>
          <w:szCs w:val="22"/>
        </w:rPr>
      </w:pPr>
      <w:r w:rsidRPr="00B44244">
        <w:rPr>
          <w:b/>
          <w:szCs w:val="22"/>
        </w:rPr>
        <w:t>NÁZOV LIEKU</w:t>
      </w:r>
    </w:p>
    <w:p w14:paraId="01A08BF6" w14:textId="77777777" w:rsidR="007320B3" w:rsidRPr="00B44244" w:rsidRDefault="007320B3" w:rsidP="007320B3">
      <w:pPr>
        <w:keepNext/>
        <w:spacing w:line="240" w:lineRule="auto"/>
        <w:rPr>
          <w:szCs w:val="22"/>
        </w:rPr>
      </w:pPr>
    </w:p>
    <w:p w14:paraId="07261A09" w14:textId="63B73A4E" w:rsidR="007320B3" w:rsidRPr="00B44244" w:rsidRDefault="007320B3" w:rsidP="007320B3">
      <w:pPr>
        <w:widowControl w:val="0"/>
        <w:spacing w:line="240" w:lineRule="auto"/>
        <w:rPr>
          <w:szCs w:val="22"/>
        </w:rPr>
      </w:pPr>
      <w:r w:rsidRPr="00B44244">
        <w:rPr>
          <w:szCs w:val="22"/>
        </w:rPr>
        <w:t xml:space="preserve">Paracetamol </w:t>
      </w:r>
      <w:r w:rsidR="007B6AE9">
        <w:rPr>
          <w:szCs w:val="22"/>
        </w:rPr>
        <w:t>Dr.Max</w:t>
      </w:r>
      <w:r w:rsidRPr="00B44244">
        <w:rPr>
          <w:szCs w:val="22"/>
        </w:rPr>
        <w:t xml:space="preserve"> 500 mg</w:t>
      </w:r>
    </w:p>
    <w:p w14:paraId="5BC1918D" w14:textId="77777777" w:rsidR="007320B3" w:rsidRPr="00B44244" w:rsidRDefault="007320B3" w:rsidP="007320B3">
      <w:pPr>
        <w:widowControl w:val="0"/>
        <w:spacing w:line="240" w:lineRule="auto"/>
        <w:rPr>
          <w:szCs w:val="22"/>
        </w:rPr>
      </w:pPr>
      <w:r w:rsidRPr="00B44244">
        <w:rPr>
          <w:szCs w:val="22"/>
        </w:rPr>
        <w:t>tablety</w:t>
      </w:r>
    </w:p>
    <w:p w14:paraId="2BF9C21A" w14:textId="77777777" w:rsidR="007320B3" w:rsidRPr="00B44244" w:rsidRDefault="007320B3" w:rsidP="007320B3">
      <w:pPr>
        <w:spacing w:line="240" w:lineRule="auto"/>
        <w:rPr>
          <w:szCs w:val="22"/>
        </w:rPr>
      </w:pPr>
    </w:p>
    <w:p w14:paraId="27982295" w14:textId="77777777" w:rsidR="007320B3" w:rsidRPr="00B44244" w:rsidRDefault="007320B3" w:rsidP="007320B3">
      <w:pPr>
        <w:spacing w:line="240" w:lineRule="auto"/>
        <w:rPr>
          <w:szCs w:val="22"/>
        </w:rPr>
      </w:pPr>
    </w:p>
    <w:p w14:paraId="12737E61" w14:textId="77777777" w:rsidR="007320B3" w:rsidRPr="00B44244" w:rsidRDefault="007320B3" w:rsidP="007320B3">
      <w:pPr>
        <w:keepNext/>
        <w:numPr>
          <w:ilvl w:val="0"/>
          <w:numId w:val="1"/>
        </w:numPr>
        <w:suppressAutoHyphens/>
        <w:spacing w:line="240" w:lineRule="auto"/>
        <w:rPr>
          <w:szCs w:val="22"/>
        </w:rPr>
      </w:pPr>
      <w:r w:rsidRPr="00B44244">
        <w:rPr>
          <w:b/>
          <w:szCs w:val="22"/>
        </w:rPr>
        <w:t>KVALITATÍVNE A</w:t>
      </w:r>
      <w:r w:rsidRPr="00B44244">
        <w:rPr>
          <w:b/>
          <w:noProof/>
          <w:szCs w:val="22"/>
        </w:rPr>
        <w:t> </w:t>
      </w:r>
      <w:r w:rsidRPr="00B44244">
        <w:rPr>
          <w:b/>
          <w:szCs w:val="22"/>
        </w:rPr>
        <w:t>KVANTITATÍVNE ZLOŽENIE</w:t>
      </w:r>
    </w:p>
    <w:p w14:paraId="73C41751" w14:textId="77777777" w:rsidR="007320B3" w:rsidRPr="00B44244" w:rsidRDefault="007320B3" w:rsidP="007320B3">
      <w:pPr>
        <w:keepNext/>
        <w:spacing w:line="240" w:lineRule="auto"/>
        <w:rPr>
          <w:szCs w:val="22"/>
        </w:rPr>
      </w:pPr>
    </w:p>
    <w:p w14:paraId="44BF7496" w14:textId="77777777" w:rsidR="007320B3" w:rsidRPr="00B44244" w:rsidRDefault="007320B3" w:rsidP="007320B3">
      <w:pPr>
        <w:keepNext/>
        <w:spacing w:line="240" w:lineRule="auto"/>
        <w:rPr>
          <w:szCs w:val="22"/>
        </w:rPr>
      </w:pPr>
      <w:r w:rsidRPr="00B44244">
        <w:rPr>
          <w:szCs w:val="22"/>
        </w:rPr>
        <w:t>Každá tableta obsahuje 500 mg paracetamolu.</w:t>
      </w:r>
    </w:p>
    <w:p w14:paraId="7FE88990" w14:textId="77777777" w:rsidR="007320B3" w:rsidRPr="00B44244" w:rsidRDefault="007320B3" w:rsidP="007320B3">
      <w:pPr>
        <w:spacing w:line="240" w:lineRule="auto"/>
        <w:outlineLvl w:val="0"/>
        <w:rPr>
          <w:szCs w:val="22"/>
        </w:rPr>
      </w:pPr>
      <w:r w:rsidRPr="00B44244">
        <w:rPr>
          <w:szCs w:val="22"/>
        </w:rPr>
        <w:t>Úplný zoznam pomocných látok, pozri časť 6.1.</w:t>
      </w:r>
    </w:p>
    <w:p w14:paraId="16F248CF" w14:textId="77777777" w:rsidR="007320B3" w:rsidRPr="00B44244" w:rsidRDefault="007320B3" w:rsidP="007320B3">
      <w:pPr>
        <w:spacing w:line="240" w:lineRule="auto"/>
        <w:rPr>
          <w:szCs w:val="22"/>
        </w:rPr>
      </w:pPr>
    </w:p>
    <w:p w14:paraId="67DFEB76" w14:textId="77777777" w:rsidR="007320B3" w:rsidRPr="00B44244" w:rsidRDefault="007320B3" w:rsidP="007320B3">
      <w:pPr>
        <w:spacing w:line="240" w:lineRule="auto"/>
        <w:rPr>
          <w:szCs w:val="22"/>
        </w:rPr>
      </w:pPr>
    </w:p>
    <w:p w14:paraId="14590BE6" w14:textId="77777777" w:rsidR="007320B3" w:rsidRPr="00B44244" w:rsidRDefault="007320B3" w:rsidP="007320B3">
      <w:pPr>
        <w:keepNext/>
        <w:numPr>
          <w:ilvl w:val="0"/>
          <w:numId w:val="1"/>
        </w:numPr>
        <w:suppressAutoHyphens/>
        <w:spacing w:line="240" w:lineRule="auto"/>
        <w:rPr>
          <w:caps/>
          <w:szCs w:val="22"/>
        </w:rPr>
      </w:pPr>
      <w:r w:rsidRPr="00B44244">
        <w:rPr>
          <w:b/>
          <w:szCs w:val="22"/>
        </w:rPr>
        <w:t>LIEKOVÁ FORMA</w:t>
      </w:r>
    </w:p>
    <w:p w14:paraId="372A3DF6" w14:textId="77777777" w:rsidR="007320B3" w:rsidRPr="00B44244" w:rsidRDefault="007320B3" w:rsidP="007320B3">
      <w:pPr>
        <w:keepNext/>
        <w:spacing w:line="240" w:lineRule="auto"/>
        <w:rPr>
          <w:szCs w:val="22"/>
        </w:rPr>
      </w:pPr>
    </w:p>
    <w:p w14:paraId="6A97E42D" w14:textId="77777777" w:rsidR="007320B3" w:rsidRPr="00B44244" w:rsidRDefault="007320B3" w:rsidP="007320B3">
      <w:pPr>
        <w:spacing w:line="240" w:lineRule="auto"/>
        <w:rPr>
          <w:szCs w:val="22"/>
        </w:rPr>
      </w:pPr>
      <w:r w:rsidRPr="00B44244">
        <w:rPr>
          <w:szCs w:val="22"/>
        </w:rPr>
        <w:t>Tableta</w:t>
      </w:r>
    </w:p>
    <w:p w14:paraId="60197C12" w14:textId="77777777" w:rsidR="007320B3" w:rsidRPr="00B44244" w:rsidRDefault="007320B3" w:rsidP="007320B3">
      <w:pPr>
        <w:spacing w:line="240" w:lineRule="auto"/>
        <w:rPr>
          <w:szCs w:val="22"/>
        </w:rPr>
      </w:pPr>
      <w:r w:rsidRPr="00B44244">
        <w:rPr>
          <w:szCs w:val="22"/>
        </w:rPr>
        <w:t>Takmer biele podlhovasté tablety s deliacou ryhou na oboch stranách, dĺžka 16 mm.</w:t>
      </w:r>
    </w:p>
    <w:p w14:paraId="4CB9A3B1" w14:textId="77777777" w:rsidR="007320B3" w:rsidRPr="00B44244" w:rsidRDefault="007320B3" w:rsidP="007320B3">
      <w:pPr>
        <w:spacing w:line="240" w:lineRule="auto"/>
        <w:rPr>
          <w:szCs w:val="22"/>
        </w:rPr>
      </w:pPr>
      <w:r w:rsidRPr="00B44244">
        <w:rPr>
          <w:szCs w:val="22"/>
        </w:rPr>
        <w:t>Tableta sa môže rozdeliť na rovnaké dávky.</w:t>
      </w:r>
    </w:p>
    <w:p w14:paraId="08C99F63" w14:textId="77777777" w:rsidR="007320B3" w:rsidRPr="00B44244" w:rsidRDefault="007320B3" w:rsidP="007320B3">
      <w:pPr>
        <w:spacing w:line="240" w:lineRule="auto"/>
        <w:rPr>
          <w:szCs w:val="22"/>
        </w:rPr>
      </w:pPr>
    </w:p>
    <w:p w14:paraId="39F44386" w14:textId="77777777" w:rsidR="007320B3" w:rsidRPr="00B44244" w:rsidRDefault="007320B3" w:rsidP="007320B3">
      <w:pPr>
        <w:spacing w:line="240" w:lineRule="auto"/>
        <w:rPr>
          <w:szCs w:val="22"/>
        </w:rPr>
      </w:pPr>
    </w:p>
    <w:p w14:paraId="6ACF4C1C" w14:textId="77777777" w:rsidR="007320B3" w:rsidRPr="00B44244" w:rsidRDefault="007320B3" w:rsidP="007320B3">
      <w:pPr>
        <w:keepNext/>
        <w:numPr>
          <w:ilvl w:val="0"/>
          <w:numId w:val="1"/>
        </w:numPr>
        <w:suppressAutoHyphens/>
        <w:spacing w:line="240" w:lineRule="auto"/>
        <w:rPr>
          <w:caps/>
          <w:szCs w:val="22"/>
        </w:rPr>
      </w:pPr>
      <w:r w:rsidRPr="00B44244">
        <w:rPr>
          <w:b/>
          <w:szCs w:val="22"/>
        </w:rPr>
        <w:t>KLINICKÉ ÚDAJE</w:t>
      </w:r>
    </w:p>
    <w:p w14:paraId="2DA7C59C" w14:textId="77777777" w:rsidR="007320B3" w:rsidRPr="00B44244" w:rsidRDefault="007320B3" w:rsidP="007320B3">
      <w:pPr>
        <w:keepNext/>
        <w:spacing w:line="240" w:lineRule="auto"/>
        <w:rPr>
          <w:szCs w:val="22"/>
        </w:rPr>
      </w:pPr>
    </w:p>
    <w:p w14:paraId="1854B9D5" w14:textId="77777777" w:rsidR="007320B3" w:rsidRPr="00B44244" w:rsidRDefault="007320B3" w:rsidP="007320B3">
      <w:pPr>
        <w:keepNext/>
        <w:numPr>
          <w:ilvl w:val="1"/>
          <w:numId w:val="1"/>
        </w:numPr>
        <w:spacing w:line="240" w:lineRule="auto"/>
        <w:outlineLvl w:val="0"/>
        <w:rPr>
          <w:szCs w:val="22"/>
        </w:rPr>
      </w:pPr>
      <w:r w:rsidRPr="00B44244">
        <w:rPr>
          <w:b/>
          <w:szCs w:val="22"/>
        </w:rPr>
        <w:t>Terapeutické indikácie</w:t>
      </w:r>
    </w:p>
    <w:p w14:paraId="0569D0C9" w14:textId="77777777" w:rsidR="007320B3" w:rsidRPr="00B44244" w:rsidRDefault="007320B3" w:rsidP="007320B3">
      <w:pPr>
        <w:keepNext/>
        <w:spacing w:line="240" w:lineRule="auto"/>
        <w:rPr>
          <w:szCs w:val="22"/>
        </w:rPr>
      </w:pPr>
    </w:p>
    <w:p w14:paraId="477B6F88" w14:textId="0744B7E7" w:rsidR="007320B3" w:rsidRPr="00B44244" w:rsidRDefault="005D787D" w:rsidP="007320B3">
      <w:pPr>
        <w:spacing w:line="240" w:lineRule="auto"/>
        <w:rPr>
          <w:szCs w:val="22"/>
        </w:rPr>
      </w:pPr>
      <w:r w:rsidRPr="00B44244">
        <w:rPr>
          <w:szCs w:val="22"/>
        </w:rPr>
        <w:t xml:space="preserve">Paracetamol </w:t>
      </w:r>
      <w:r w:rsidR="007B6AE9">
        <w:rPr>
          <w:szCs w:val="22"/>
        </w:rPr>
        <w:t>Dr.Max</w:t>
      </w:r>
      <w:r w:rsidRPr="00B44244">
        <w:rPr>
          <w:szCs w:val="22"/>
        </w:rPr>
        <w:t xml:space="preserve"> 500 mg sa používa na úľavu od miernej až stredne silnej bolesti, ako je bolesť hlavy, zubov, neuralgia rôzneho pôvodu, reumatická bolesť, menštru</w:t>
      </w:r>
      <w:r w:rsidR="000C4B6A" w:rsidRPr="00B44244">
        <w:rPr>
          <w:szCs w:val="22"/>
        </w:rPr>
        <w:t>ačná bolesť, bolesť chrbta, sval</w:t>
      </w:r>
      <w:r w:rsidRPr="00B44244">
        <w:rPr>
          <w:szCs w:val="22"/>
        </w:rPr>
        <w:t>ov a</w:t>
      </w:r>
      <w:r w:rsidR="000C4B6A" w:rsidRPr="00B44244">
        <w:rPr>
          <w:szCs w:val="22"/>
        </w:rPr>
        <w:t> </w:t>
      </w:r>
      <w:r w:rsidRPr="00B44244">
        <w:rPr>
          <w:szCs w:val="22"/>
        </w:rPr>
        <w:t>kĺbov</w:t>
      </w:r>
      <w:r w:rsidR="000C4B6A" w:rsidRPr="00B44244">
        <w:rPr>
          <w:szCs w:val="22"/>
        </w:rPr>
        <w:t xml:space="preserve"> sprevádzajúce chrípku alebo akútne prechladnutie a</w:t>
      </w:r>
      <w:r w:rsidR="0049245D" w:rsidRPr="00B44244">
        <w:rPr>
          <w:szCs w:val="22"/>
        </w:rPr>
        <w:t> zápal horných dýchacích ciest</w:t>
      </w:r>
      <w:r w:rsidR="000C4B6A" w:rsidRPr="00B44244">
        <w:rPr>
          <w:szCs w:val="22"/>
        </w:rPr>
        <w:t>. Horúčka.</w:t>
      </w:r>
      <w:r w:rsidRPr="00B44244">
        <w:rPr>
          <w:szCs w:val="22"/>
        </w:rPr>
        <w:t xml:space="preserve"> </w:t>
      </w:r>
    </w:p>
    <w:p w14:paraId="65729D4E" w14:textId="77777777" w:rsidR="007320B3" w:rsidRPr="00B44244" w:rsidRDefault="007320B3" w:rsidP="007320B3">
      <w:pPr>
        <w:spacing w:line="240" w:lineRule="auto"/>
        <w:rPr>
          <w:szCs w:val="22"/>
        </w:rPr>
      </w:pPr>
    </w:p>
    <w:p w14:paraId="79099E90" w14:textId="724FCC2B" w:rsidR="00126325" w:rsidRPr="00B44244" w:rsidRDefault="000C4B6A" w:rsidP="00126325">
      <w:pPr>
        <w:spacing w:line="240" w:lineRule="auto"/>
        <w:rPr>
          <w:szCs w:val="22"/>
        </w:rPr>
      </w:pPr>
      <w:r w:rsidRPr="00B44244">
        <w:rPr>
          <w:szCs w:val="22"/>
        </w:rPr>
        <w:t xml:space="preserve">Paracetamol </w:t>
      </w:r>
      <w:r w:rsidR="007B6AE9">
        <w:rPr>
          <w:szCs w:val="22"/>
        </w:rPr>
        <w:t>Dr.Max</w:t>
      </w:r>
      <w:r w:rsidRPr="00B44244">
        <w:rPr>
          <w:szCs w:val="22"/>
        </w:rPr>
        <w:t xml:space="preserve"> 500 mg</w:t>
      </w:r>
      <w:r w:rsidR="007320B3" w:rsidRPr="00B44244">
        <w:rPr>
          <w:szCs w:val="22"/>
        </w:rPr>
        <w:t xml:space="preserve"> je indikovaný dospelým</w:t>
      </w:r>
      <w:r w:rsidRPr="00B44244">
        <w:rPr>
          <w:szCs w:val="22"/>
        </w:rPr>
        <w:t xml:space="preserve"> a</w:t>
      </w:r>
      <w:r w:rsidR="007320B3" w:rsidRPr="00B44244">
        <w:rPr>
          <w:szCs w:val="22"/>
        </w:rPr>
        <w:t xml:space="preserve"> deťom </w:t>
      </w:r>
      <w:r w:rsidRPr="00B44244">
        <w:rPr>
          <w:szCs w:val="22"/>
        </w:rPr>
        <w:t>od 6</w:t>
      </w:r>
      <w:r w:rsidR="007320B3" w:rsidRPr="00B44244">
        <w:rPr>
          <w:szCs w:val="22"/>
        </w:rPr>
        <w:t xml:space="preserve"> </w:t>
      </w:r>
      <w:r w:rsidRPr="00B44244">
        <w:rPr>
          <w:szCs w:val="22"/>
        </w:rPr>
        <w:t>rokov</w:t>
      </w:r>
      <w:r w:rsidR="007320B3" w:rsidRPr="00B44244">
        <w:rPr>
          <w:szCs w:val="22"/>
        </w:rPr>
        <w:t>.</w:t>
      </w:r>
    </w:p>
    <w:p w14:paraId="0114E35E" w14:textId="77777777" w:rsidR="00126325" w:rsidRPr="00B44244" w:rsidRDefault="00126325" w:rsidP="00126325">
      <w:pPr>
        <w:spacing w:line="240" w:lineRule="auto"/>
        <w:rPr>
          <w:szCs w:val="22"/>
        </w:rPr>
      </w:pPr>
    </w:p>
    <w:p w14:paraId="196333BD" w14:textId="77777777" w:rsidR="00126325" w:rsidRPr="00B44244" w:rsidRDefault="007320B3" w:rsidP="00126325">
      <w:pPr>
        <w:keepNext/>
        <w:numPr>
          <w:ilvl w:val="1"/>
          <w:numId w:val="1"/>
        </w:numPr>
        <w:spacing w:line="240" w:lineRule="auto"/>
        <w:outlineLvl w:val="0"/>
        <w:rPr>
          <w:b/>
          <w:szCs w:val="22"/>
        </w:rPr>
      </w:pPr>
      <w:r w:rsidRPr="00B44244">
        <w:rPr>
          <w:b/>
          <w:szCs w:val="22"/>
        </w:rPr>
        <w:t>Dávkovanie a spôsob podávania</w:t>
      </w:r>
    </w:p>
    <w:p w14:paraId="0DC4A20C" w14:textId="77777777" w:rsidR="008331C3" w:rsidRPr="00B44244" w:rsidRDefault="008331C3" w:rsidP="00126325">
      <w:pPr>
        <w:spacing w:line="240" w:lineRule="auto"/>
        <w:rPr>
          <w:szCs w:val="22"/>
          <w:u w:val="single"/>
        </w:rPr>
      </w:pPr>
    </w:p>
    <w:p w14:paraId="4B8950CE" w14:textId="132B8740" w:rsidR="00126325" w:rsidRDefault="007320B3" w:rsidP="00126325">
      <w:pPr>
        <w:spacing w:line="240" w:lineRule="auto"/>
        <w:rPr>
          <w:szCs w:val="22"/>
          <w:u w:val="single"/>
        </w:rPr>
      </w:pPr>
      <w:r w:rsidRPr="00B44244">
        <w:rPr>
          <w:szCs w:val="22"/>
          <w:u w:val="single"/>
        </w:rPr>
        <w:t>Dávkovanie</w:t>
      </w:r>
    </w:p>
    <w:p w14:paraId="07F04EE9" w14:textId="77777777" w:rsidR="005D6A36" w:rsidRPr="00B44244" w:rsidRDefault="005D6A36" w:rsidP="00126325">
      <w:pPr>
        <w:spacing w:line="240" w:lineRule="auto"/>
        <w:rPr>
          <w:szCs w:val="22"/>
          <w:u w:val="single"/>
        </w:rPr>
      </w:pPr>
    </w:p>
    <w:p w14:paraId="659089DC" w14:textId="77777777" w:rsidR="005D6A36" w:rsidRDefault="000C4B6A" w:rsidP="00126325">
      <w:pPr>
        <w:spacing w:line="240" w:lineRule="auto"/>
        <w:rPr>
          <w:i/>
          <w:szCs w:val="22"/>
        </w:rPr>
      </w:pPr>
      <w:r w:rsidRPr="00B44244">
        <w:rPr>
          <w:i/>
          <w:szCs w:val="22"/>
        </w:rPr>
        <w:t>Dospelí a dospievajúci (od 15 rokov)</w:t>
      </w:r>
      <w:r w:rsidR="00126325" w:rsidRPr="00B44244">
        <w:rPr>
          <w:i/>
          <w:szCs w:val="22"/>
        </w:rPr>
        <w:t xml:space="preserve"> </w:t>
      </w:r>
    </w:p>
    <w:p w14:paraId="6DEDD7FF" w14:textId="261E355A" w:rsidR="00126325" w:rsidRPr="00B44244" w:rsidRDefault="00074CF2" w:rsidP="00126325">
      <w:pPr>
        <w:spacing w:line="240" w:lineRule="auto"/>
        <w:rPr>
          <w:szCs w:val="22"/>
        </w:rPr>
      </w:pPr>
      <w:r w:rsidRPr="00B44244">
        <w:rPr>
          <w:szCs w:val="22"/>
        </w:rPr>
        <w:t>1 – 2 tablety (</w:t>
      </w:r>
      <w:r w:rsidR="000C4B6A" w:rsidRPr="00B44244">
        <w:rPr>
          <w:szCs w:val="22"/>
        </w:rPr>
        <w:t>500 – 1000 mg paracetamolu) podľa potreby s intervalom medzi dávkami aspoň 4 hodiny, maximálna jednotlivá dávka je 1 g paracetamolu. Maximálna denná dávka je 8 tabliet (4 g paracetamolu).</w:t>
      </w:r>
      <w:r w:rsidR="000F473B" w:rsidRPr="00B44244">
        <w:rPr>
          <w:szCs w:val="22"/>
        </w:rPr>
        <w:t xml:space="preserve"> </w:t>
      </w:r>
      <w:r w:rsidR="000C4B6A" w:rsidRPr="00B44244">
        <w:rPr>
          <w:szCs w:val="22"/>
        </w:rPr>
        <w:t xml:space="preserve">V prípade dlhodobej liečby (viac </w:t>
      </w:r>
      <w:r w:rsidR="000F473B" w:rsidRPr="00B44244">
        <w:rPr>
          <w:szCs w:val="22"/>
        </w:rPr>
        <w:t xml:space="preserve">ako 10 dní) sa </w:t>
      </w:r>
      <w:r w:rsidR="005D6A36" w:rsidRPr="00B44244">
        <w:rPr>
          <w:szCs w:val="22"/>
        </w:rPr>
        <w:t xml:space="preserve">nemá prekročiť </w:t>
      </w:r>
      <w:r w:rsidR="000F473B" w:rsidRPr="00B44244">
        <w:rPr>
          <w:szCs w:val="22"/>
        </w:rPr>
        <w:t>denná dávka 2</w:t>
      </w:r>
      <w:r w:rsidR="00A418DA" w:rsidRPr="00B44244">
        <w:rPr>
          <w:szCs w:val="22"/>
        </w:rPr>
        <w:t>,</w:t>
      </w:r>
      <w:r w:rsidR="000F473B" w:rsidRPr="00B44244">
        <w:rPr>
          <w:szCs w:val="22"/>
        </w:rPr>
        <w:t xml:space="preserve">5 </w:t>
      </w:r>
      <w:r w:rsidR="000C4B6A" w:rsidRPr="00B44244">
        <w:rPr>
          <w:szCs w:val="22"/>
        </w:rPr>
        <w:t>g paracetamolu (5 tabliet).</w:t>
      </w:r>
    </w:p>
    <w:p w14:paraId="58843C09" w14:textId="77777777" w:rsidR="00126325" w:rsidRPr="00B44244" w:rsidRDefault="00126325" w:rsidP="00126325">
      <w:pPr>
        <w:spacing w:line="240" w:lineRule="auto"/>
        <w:rPr>
          <w:szCs w:val="22"/>
        </w:rPr>
      </w:pPr>
    </w:p>
    <w:p w14:paraId="63FFFC69" w14:textId="77777777" w:rsidR="00126325" w:rsidRPr="00B44244" w:rsidRDefault="007320B3" w:rsidP="00126325">
      <w:pPr>
        <w:spacing w:line="240" w:lineRule="auto"/>
        <w:rPr>
          <w:i/>
          <w:szCs w:val="22"/>
        </w:rPr>
      </w:pPr>
      <w:r w:rsidRPr="00B44244">
        <w:rPr>
          <w:i/>
          <w:szCs w:val="22"/>
        </w:rPr>
        <w:t>Pediatrická populácia</w:t>
      </w:r>
    </w:p>
    <w:p w14:paraId="6E832B7F" w14:textId="77777777" w:rsidR="00126325" w:rsidRPr="00B44244" w:rsidRDefault="000C4B6A" w:rsidP="00126325">
      <w:pPr>
        <w:spacing w:line="240" w:lineRule="auto"/>
        <w:rPr>
          <w:i/>
          <w:szCs w:val="22"/>
        </w:rPr>
      </w:pPr>
      <w:r w:rsidRPr="00B44244">
        <w:rPr>
          <w:i/>
          <w:szCs w:val="22"/>
        </w:rPr>
        <w:t>Deti a dospievajúci (12 – 15 rokov)</w:t>
      </w:r>
    </w:p>
    <w:p w14:paraId="3928A1CC" w14:textId="77777777" w:rsidR="00126325" w:rsidRPr="00B44244" w:rsidRDefault="000C4B6A" w:rsidP="00126325">
      <w:pPr>
        <w:spacing w:line="240" w:lineRule="auto"/>
        <w:rPr>
          <w:szCs w:val="22"/>
        </w:rPr>
      </w:pPr>
      <w:r w:rsidRPr="00B44244">
        <w:rPr>
          <w:szCs w:val="22"/>
        </w:rPr>
        <w:t>500 mg paracetamolu ako jedna dávka s časovým odstupom medzi dávkami aspoň 6 hodín. Interval sa môže skrátiť, ak je to potrebné, na 4 hodiny, avšak celková denná dávka sa nemá prekročiť.</w:t>
      </w:r>
    </w:p>
    <w:p w14:paraId="66D3CFEC" w14:textId="77777777" w:rsidR="00126325" w:rsidRPr="00B44244" w:rsidRDefault="00126325" w:rsidP="00126325">
      <w:pPr>
        <w:spacing w:line="240" w:lineRule="auto"/>
        <w:rPr>
          <w:szCs w:val="22"/>
        </w:rPr>
      </w:pPr>
    </w:p>
    <w:p w14:paraId="66DC6F24" w14:textId="77777777" w:rsidR="00126325" w:rsidRPr="00B44244" w:rsidRDefault="000C4B6A" w:rsidP="00126325">
      <w:pPr>
        <w:spacing w:line="240" w:lineRule="auto"/>
        <w:rPr>
          <w:i/>
          <w:szCs w:val="22"/>
        </w:rPr>
      </w:pPr>
      <w:r w:rsidRPr="00B44244">
        <w:rPr>
          <w:i/>
          <w:szCs w:val="22"/>
        </w:rPr>
        <w:t xml:space="preserve">Deti (6 – 12 rokov) </w:t>
      </w:r>
    </w:p>
    <w:p w14:paraId="31A0B330" w14:textId="77777777" w:rsidR="00126325" w:rsidRPr="00B44244" w:rsidRDefault="000C4B6A" w:rsidP="00126325">
      <w:pPr>
        <w:spacing w:line="240" w:lineRule="auto"/>
        <w:rPr>
          <w:szCs w:val="22"/>
        </w:rPr>
      </w:pPr>
      <w:r w:rsidRPr="00B44244">
        <w:rPr>
          <w:szCs w:val="22"/>
        </w:rPr>
        <w:t xml:space="preserve">250 – 500 mg paracetamolu </w:t>
      </w:r>
      <w:r w:rsidR="000F473B" w:rsidRPr="00B44244">
        <w:rPr>
          <w:szCs w:val="22"/>
        </w:rPr>
        <w:t xml:space="preserve">ako </w:t>
      </w:r>
      <w:r w:rsidRPr="00B44244">
        <w:rPr>
          <w:szCs w:val="22"/>
        </w:rPr>
        <w:t>jedna dávka s časovým odstupom medzi dávkami aspoň 6 hodín. Interval sa môže skrátiť, ak je to potrebné, na 4 hodiny, avšak celková denná dávka sa nemá prekročiť.</w:t>
      </w:r>
    </w:p>
    <w:p w14:paraId="7D06FC9E" w14:textId="77777777" w:rsidR="00126325" w:rsidRPr="00B44244" w:rsidRDefault="00126325" w:rsidP="00126325">
      <w:pPr>
        <w:spacing w:line="240" w:lineRule="auto"/>
        <w:rPr>
          <w:szCs w:val="22"/>
        </w:rPr>
      </w:pPr>
    </w:p>
    <w:p w14:paraId="101644D8" w14:textId="77777777" w:rsidR="000C4B6A" w:rsidRPr="00B44244" w:rsidRDefault="000C4B6A" w:rsidP="00126325">
      <w:pPr>
        <w:spacing w:line="240" w:lineRule="auto"/>
        <w:rPr>
          <w:szCs w:val="22"/>
        </w:rPr>
      </w:pPr>
      <w:r w:rsidRPr="00B44244">
        <w:rPr>
          <w:szCs w:val="22"/>
        </w:rPr>
        <w:t xml:space="preserve">Maximálne denné dávky podľa veku a telesnej hmotnosti </w:t>
      </w:r>
      <w:r w:rsidR="000F473B" w:rsidRPr="00B44244">
        <w:rPr>
          <w:szCs w:val="22"/>
        </w:rPr>
        <w:t>sú uvedené nižšie</w:t>
      </w:r>
      <w:r w:rsidR="00D81E7C" w:rsidRPr="00B44244">
        <w:rPr>
          <w:szCs w:val="22"/>
        </w:rPr>
        <w:t>:</w:t>
      </w:r>
    </w:p>
    <w:tbl>
      <w:tblPr>
        <w:tblStyle w:val="Mriekatabuky"/>
        <w:tblW w:w="0" w:type="auto"/>
        <w:tblLook w:val="04A0" w:firstRow="1" w:lastRow="0" w:firstColumn="1" w:lastColumn="0" w:noHBand="0" w:noVBand="1"/>
      </w:tblPr>
      <w:tblGrid>
        <w:gridCol w:w="1668"/>
        <w:gridCol w:w="1984"/>
        <w:gridCol w:w="1985"/>
        <w:gridCol w:w="2693"/>
      </w:tblGrid>
      <w:tr w:rsidR="000C4B6A" w:rsidRPr="00B44244" w14:paraId="47774BC8" w14:textId="77777777" w:rsidTr="001E5F29">
        <w:tc>
          <w:tcPr>
            <w:tcW w:w="1668" w:type="dxa"/>
          </w:tcPr>
          <w:p w14:paraId="415BC74B" w14:textId="77777777" w:rsidR="000C4B6A" w:rsidRPr="00B44244" w:rsidRDefault="000C4B6A" w:rsidP="007320B3">
            <w:pPr>
              <w:keepNext/>
              <w:spacing w:line="240" w:lineRule="auto"/>
              <w:rPr>
                <w:b/>
                <w:szCs w:val="22"/>
              </w:rPr>
            </w:pPr>
            <w:r w:rsidRPr="00B44244">
              <w:rPr>
                <w:b/>
                <w:szCs w:val="22"/>
              </w:rPr>
              <w:lastRenderedPageBreak/>
              <w:t xml:space="preserve">Vek </w:t>
            </w:r>
          </w:p>
        </w:tc>
        <w:tc>
          <w:tcPr>
            <w:tcW w:w="1984" w:type="dxa"/>
          </w:tcPr>
          <w:p w14:paraId="78F96441" w14:textId="77777777" w:rsidR="000C4B6A" w:rsidRPr="00B44244" w:rsidRDefault="000C4B6A" w:rsidP="007320B3">
            <w:pPr>
              <w:keepNext/>
              <w:spacing w:line="240" w:lineRule="auto"/>
              <w:rPr>
                <w:b/>
                <w:szCs w:val="22"/>
              </w:rPr>
            </w:pPr>
            <w:r w:rsidRPr="00B44244">
              <w:rPr>
                <w:b/>
                <w:szCs w:val="22"/>
              </w:rPr>
              <w:t>Telesná hmotnosť</w:t>
            </w:r>
          </w:p>
        </w:tc>
        <w:tc>
          <w:tcPr>
            <w:tcW w:w="1985" w:type="dxa"/>
          </w:tcPr>
          <w:p w14:paraId="128813EB" w14:textId="77777777" w:rsidR="000C4B6A" w:rsidRPr="00B44244" w:rsidRDefault="000C4B6A" w:rsidP="007320B3">
            <w:pPr>
              <w:keepNext/>
              <w:spacing w:line="240" w:lineRule="auto"/>
              <w:rPr>
                <w:b/>
                <w:szCs w:val="22"/>
              </w:rPr>
            </w:pPr>
            <w:r w:rsidRPr="00B44244">
              <w:rPr>
                <w:b/>
                <w:szCs w:val="22"/>
              </w:rPr>
              <w:t>Jednotlivá dávka</w:t>
            </w:r>
          </w:p>
        </w:tc>
        <w:tc>
          <w:tcPr>
            <w:tcW w:w="2693" w:type="dxa"/>
          </w:tcPr>
          <w:p w14:paraId="0970CD0E" w14:textId="77777777" w:rsidR="000C4B6A" w:rsidRPr="00B44244" w:rsidRDefault="00203B30" w:rsidP="007320B3">
            <w:pPr>
              <w:keepNext/>
              <w:spacing w:line="240" w:lineRule="auto"/>
              <w:rPr>
                <w:b/>
                <w:szCs w:val="22"/>
              </w:rPr>
            </w:pPr>
            <w:r>
              <w:rPr>
                <w:b/>
                <w:szCs w:val="22"/>
              </w:rPr>
              <w:t>Maximálna denná dávka</w:t>
            </w:r>
          </w:p>
        </w:tc>
      </w:tr>
      <w:tr w:rsidR="001E5F29" w:rsidRPr="00B44244" w14:paraId="6EE7AC6B" w14:textId="77777777" w:rsidTr="000F473B">
        <w:tc>
          <w:tcPr>
            <w:tcW w:w="1668" w:type="dxa"/>
            <w:vMerge w:val="restart"/>
            <w:vAlign w:val="center"/>
          </w:tcPr>
          <w:p w14:paraId="46A30C40" w14:textId="77777777" w:rsidR="001E5F29" w:rsidRPr="00B44244" w:rsidRDefault="00203B30" w:rsidP="000F473B">
            <w:pPr>
              <w:keepNext/>
              <w:spacing w:line="240" w:lineRule="auto"/>
              <w:rPr>
                <w:szCs w:val="22"/>
              </w:rPr>
            </w:pPr>
            <w:r>
              <w:rPr>
                <w:szCs w:val="22"/>
              </w:rPr>
              <w:t>6 – 12 rokov</w:t>
            </w:r>
          </w:p>
        </w:tc>
        <w:tc>
          <w:tcPr>
            <w:tcW w:w="1984" w:type="dxa"/>
          </w:tcPr>
          <w:p w14:paraId="7819CFDC" w14:textId="77777777" w:rsidR="001E5F29" w:rsidRPr="00B44244" w:rsidRDefault="00203B30" w:rsidP="007320B3">
            <w:pPr>
              <w:keepNext/>
              <w:spacing w:line="240" w:lineRule="auto"/>
              <w:rPr>
                <w:szCs w:val="22"/>
              </w:rPr>
            </w:pPr>
            <w:r>
              <w:rPr>
                <w:szCs w:val="22"/>
              </w:rPr>
              <w:t>21 – 25 kg</w:t>
            </w:r>
          </w:p>
        </w:tc>
        <w:tc>
          <w:tcPr>
            <w:tcW w:w="1985" w:type="dxa"/>
            <w:vMerge w:val="restart"/>
            <w:vAlign w:val="center"/>
          </w:tcPr>
          <w:p w14:paraId="1148183F" w14:textId="77777777" w:rsidR="001E5F29" w:rsidRPr="00B44244" w:rsidRDefault="00203B30" w:rsidP="000F473B">
            <w:pPr>
              <w:keepNext/>
              <w:spacing w:line="240" w:lineRule="auto"/>
              <w:rPr>
                <w:szCs w:val="22"/>
              </w:rPr>
            </w:pPr>
            <w:r>
              <w:rPr>
                <w:szCs w:val="22"/>
              </w:rPr>
              <w:t>250 – 500 mg</w:t>
            </w:r>
          </w:p>
        </w:tc>
        <w:tc>
          <w:tcPr>
            <w:tcW w:w="2693" w:type="dxa"/>
          </w:tcPr>
          <w:p w14:paraId="15D6DCF7" w14:textId="77777777" w:rsidR="001E5F29" w:rsidRPr="00B44244" w:rsidRDefault="00203B30" w:rsidP="007320B3">
            <w:pPr>
              <w:keepNext/>
              <w:spacing w:line="240" w:lineRule="auto"/>
              <w:rPr>
                <w:szCs w:val="22"/>
              </w:rPr>
            </w:pPr>
            <w:r>
              <w:rPr>
                <w:szCs w:val="22"/>
              </w:rPr>
              <w:t xml:space="preserve">1,5 g </w:t>
            </w:r>
          </w:p>
        </w:tc>
      </w:tr>
      <w:tr w:rsidR="001E5F29" w:rsidRPr="00B44244" w14:paraId="551D6EC4" w14:textId="77777777" w:rsidTr="001E5F29">
        <w:tc>
          <w:tcPr>
            <w:tcW w:w="1668" w:type="dxa"/>
            <w:vMerge/>
          </w:tcPr>
          <w:p w14:paraId="48CE8A05" w14:textId="77777777" w:rsidR="001E5F29" w:rsidRPr="00B44244" w:rsidRDefault="001E5F29" w:rsidP="007320B3">
            <w:pPr>
              <w:keepNext/>
              <w:spacing w:line="240" w:lineRule="auto"/>
              <w:rPr>
                <w:szCs w:val="22"/>
              </w:rPr>
            </w:pPr>
          </w:p>
        </w:tc>
        <w:tc>
          <w:tcPr>
            <w:tcW w:w="1984" w:type="dxa"/>
          </w:tcPr>
          <w:p w14:paraId="3691B31D" w14:textId="77777777" w:rsidR="001E5F29" w:rsidRPr="00B44244" w:rsidRDefault="00203B30" w:rsidP="007320B3">
            <w:pPr>
              <w:keepNext/>
              <w:spacing w:line="240" w:lineRule="auto"/>
              <w:rPr>
                <w:szCs w:val="22"/>
              </w:rPr>
            </w:pPr>
            <w:r>
              <w:rPr>
                <w:szCs w:val="22"/>
              </w:rPr>
              <w:t>26 – 40 kg</w:t>
            </w:r>
          </w:p>
        </w:tc>
        <w:tc>
          <w:tcPr>
            <w:tcW w:w="1985" w:type="dxa"/>
            <w:vMerge/>
          </w:tcPr>
          <w:p w14:paraId="0E913C73" w14:textId="77777777" w:rsidR="001E5F29" w:rsidRPr="00B44244" w:rsidRDefault="001E5F29" w:rsidP="007320B3">
            <w:pPr>
              <w:keepNext/>
              <w:spacing w:line="240" w:lineRule="auto"/>
              <w:rPr>
                <w:szCs w:val="22"/>
              </w:rPr>
            </w:pPr>
          </w:p>
        </w:tc>
        <w:tc>
          <w:tcPr>
            <w:tcW w:w="2693" w:type="dxa"/>
          </w:tcPr>
          <w:p w14:paraId="74C8C43E" w14:textId="77777777" w:rsidR="001E5F29" w:rsidRPr="00B44244" w:rsidRDefault="00203B30" w:rsidP="007320B3">
            <w:pPr>
              <w:keepNext/>
              <w:spacing w:line="240" w:lineRule="auto"/>
              <w:rPr>
                <w:szCs w:val="22"/>
              </w:rPr>
            </w:pPr>
            <w:r>
              <w:rPr>
                <w:szCs w:val="22"/>
              </w:rPr>
              <w:t>2 g</w:t>
            </w:r>
          </w:p>
        </w:tc>
      </w:tr>
      <w:tr w:rsidR="000C4B6A" w:rsidRPr="00B44244" w14:paraId="7F52E2DD" w14:textId="77777777" w:rsidTr="001E5F29">
        <w:tc>
          <w:tcPr>
            <w:tcW w:w="1668" w:type="dxa"/>
          </w:tcPr>
          <w:p w14:paraId="652F32F0" w14:textId="77777777" w:rsidR="000C4B6A" w:rsidRPr="00B44244" w:rsidRDefault="00203B30" w:rsidP="007320B3">
            <w:pPr>
              <w:keepNext/>
              <w:spacing w:line="240" w:lineRule="auto"/>
              <w:rPr>
                <w:szCs w:val="22"/>
              </w:rPr>
            </w:pPr>
            <w:r>
              <w:rPr>
                <w:szCs w:val="22"/>
              </w:rPr>
              <w:t>12 – 15 rokov</w:t>
            </w:r>
          </w:p>
        </w:tc>
        <w:tc>
          <w:tcPr>
            <w:tcW w:w="1984" w:type="dxa"/>
          </w:tcPr>
          <w:p w14:paraId="5EC203F1" w14:textId="77777777" w:rsidR="000C4B6A" w:rsidRPr="00B44244" w:rsidRDefault="00203B30" w:rsidP="007320B3">
            <w:pPr>
              <w:keepNext/>
              <w:spacing w:line="240" w:lineRule="auto"/>
              <w:rPr>
                <w:szCs w:val="22"/>
              </w:rPr>
            </w:pPr>
            <w:r>
              <w:rPr>
                <w:szCs w:val="22"/>
              </w:rPr>
              <w:t>40 – 50 kg</w:t>
            </w:r>
          </w:p>
        </w:tc>
        <w:tc>
          <w:tcPr>
            <w:tcW w:w="1985" w:type="dxa"/>
          </w:tcPr>
          <w:p w14:paraId="541E1DD3" w14:textId="77777777" w:rsidR="000C4B6A" w:rsidRPr="00B44244" w:rsidRDefault="00203B30" w:rsidP="007320B3">
            <w:pPr>
              <w:keepNext/>
              <w:spacing w:line="240" w:lineRule="auto"/>
              <w:rPr>
                <w:szCs w:val="22"/>
              </w:rPr>
            </w:pPr>
            <w:r>
              <w:rPr>
                <w:szCs w:val="22"/>
              </w:rPr>
              <w:t>500 mg</w:t>
            </w:r>
          </w:p>
        </w:tc>
        <w:tc>
          <w:tcPr>
            <w:tcW w:w="2693" w:type="dxa"/>
          </w:tcPr>
          <w:p w14:paraId="226B095C" w14:textId="77777777" w:rsidR="000C4B6A" w:rsidRPr="00B44244" w:rsidRDefault="00203B30" w:rsidP="007320B3">
            <w:pPr>
              <w:keepNext/>
              <w:spacing w:line="240" w:lineRule="auto"/>
              <w:rPr>
                <w:szCs w:val="22"/>
              </w:rPr>
            </w:pPr>
            <w:r>
              <w:rPr>
                <w:szCs w:val="22"/>
              </w:rPr>
              <w:t>3 g</w:t>
            </w:r>
          </w:p>
        </w:tc>
      </w:tr>
    </w:tbl>
    <w:p w14:paraId="29D62D53" w14:textId="77777777" w:rsidR="000C4B6A" w:rsidRPr="00B44244" w:rsidRDefault="000C4B6A" w:rsidP="007320B3">
      <w:pPr>
        <w:keepNext/>
        <w:spacing w:line="240" w:lineRule="auto"/>
        <w:rPr>
          <w:szCs w:val="22"/>
        </w:rPr>
      </w:pPr>
    </w:p>
    <w:p w14:paraId="18959881" w14:textId="77777777" w:rsidR="001E5F29" w:rsidRPr="00B44244" w:rsidRDefault="00203B30" w:rsidP="007320B3">
      <w:pPr>
        <w:keepNext/>
        <w:spacing w:line="240" w:lineRule="auto"/>
        <w:rPr>
          <w:b/>
          <w:szCs w:val="22"/>
        </w:rPr>
      </w:pPr>
      <w:r>
        <w:rPr>
          <w:b/>
          <w:szCs w:val="22"/>
        </w:rPr>
        <w:t>Paracetamol nie je určený na použitie u detí mladších ako 6 rokov.</w:t>
      </w:r>
    </w:p>
    <w:p w14:paraId="3E084E0D" w14:textId="77777777" w:rsidR="001E5F29" w:rsidRPr="00B44244" w:rsidRDefault="001E5F29" w:rsidP="007320B3">
      <w:pPr>
        <w:keepNext/>
        <w:spacing w:line="240" w:lineRule="auto"/>
        <w:rPr>
          <w:b/>
          <w:szCs w:val="22"/>
        </w:rPr>
      </w:pPr>
    </w:p>
    <w:p w14:paraId="5FA7239C" w14:textId="77777777" w:rsidR="001E5F29" w:rsidRPr="00B44244" w:rsidRDefault="00203B30" w:rsidP="007320B3">
      <w:pPr>
        <w:keepNext/>
        <w:spacing w:line="240" w:lineRule="auto"/>
        <w:rPr>
          <w:i/>
          <w:szCs w:val="22"/>
        </w:rPr>
      </w:pPr>
      <w:r>
        <w:rPr>
          <w:i/>
          <w:szCs w:val="22"/>
        </w:rPr>
        <w:t>Porucha funkcie obličiek</w:t>
      </w:r>
    </w:p>
    <w:p w14:paraId="2A0DFE2D" w14:textId="77777777" w:rsidR="001E5F29" w:rsidRPr="00B44244" w:rsidRDefault="00203B30" w:rsidP="007320B3">
      <w:pPr>
        <w:keepNext/>
        <w:spacing w:line="240" w:lineRule="auto"/>
        <w:rPr>
          <w:szCs w:val="22"/>
        </w:rPr>
      </w:pPr>
      <w:r>
        <w:rPr>
          <w:szCs w:val="22"/>
        </w:rPr>
        <w:t>Pri poruche funkcie obličiek je potrebné upraviť dávku nasledovne:</w:t>
      </w:r>
    </w:p>
    <w:p w14:paraId="75DCCA67" w14:textId="77777777" w:rsidR="001E5F29" w:rsidRPr="00B44244" w:rsidRDefault="00203B30" w:rsidP="001E5F29">
      <w:pPr>
        <w:pStyle w:val="Odsekzoznamu"/>
        <w:keepNext/>
        <w:numPr>
          <w:ilvl w:val="0"/>
          <w:numId w:val="3"/>
        </w:numPr>
        <w:spacing w:line="240" w:lineRule="auto"/>
        <w:rPr>
          <w:szCs w:val="22"/>
        </w:rPr>
      </w:pPr>
      <w:r>
        <w:rPr>
          <w:szCs w:val="22"/>
        </w:rPr>
        <w:t xml:space="preserve">rýchlosť glomerulárnej filtrácie 50 – 10 ml/min: 500 mg každých 6 hodín  </w:t>
      </w:r>
    </w:p>
    <w:p w14:paraId="324DCB41" w14:textId="77777777" w:rsidR="001E5F29" w:rsidRPr="00B44244" w:rsidRDefault="00203B30" w:rsidP="001E5F29">
      <w:pPr>
        <w:pStyle w:val="Odsekzoznamu"/>
        <w:keepNext/>
        <w:numPr>
          <w:ilvl w:val="0"/>
          <w:numId w:val="3"/>
        </w:numPr>
        <w:spacing w:line="240" w:lineRule="auto"/>
        <w:rPr>
          <w:szCs w:val="22"/>
        </w:rPr>
      </w:pPr>
      <w:r>
        <w:rPr>
          <w:szCs w:val="22"/>
        </w:rPr>
        <w:t>rýchlosť glomerulárnej filtrácie menej ako 10 ml/min: 500 mg každých 8 hodín</w:t>
      </w:r>
    </w:p>
    <w:p w14:paraId="6D7B3D93" w14:textId="77777777" w:rsidR="001E5F29" w:rsidRPr="00B44244" w:rsidRDefault="001E5F29" w:rsidP="007320B3">
      <w:pPr>
        <w:keepNext/>
        <w:spacing w:line="240" w:lineRule="auto"/>
        <w:rPr>
          <w:szCs w:val="22"/>
        </w:rPr>
      </w:pPr>
    </w:p>
    <w:p w14:paraId="2BF61CC0" w14:textId="77777777" w:rsidR="007320B3" w:rsidRPr="00B44244" w:rsidRDefault="00203B30" w:rsidP="007320B3">
      <w:pPr>
        <w:keepNext/>
        <w:spacing w:line="240" w:lineRule="auto"/>
        <w:rPr>
          <w:szCs w:val="22"/>
          <w:u w:val="single"/>
        </w:rPr>
      </w:pPr>
      <w:r w:rsidRPr="00203B30">
        <w:rPr>
          <w:szCs w:val="22"/>
          <w:u w:val="single"/>
        </w:rPr>
        <w:t>Spôsob podávania</w:t>
      </w:r>
    </w:p>
    <w:p w14:paraId="1BB9BE67" w14:textId="6FF18AA5" w:rsidR="001E5F29" w:rsidRPr="00B44244" w:rsidRDefault="008D5386" w:rsidP="001E5F29">
      <w:pPr>
        <w:rPr>
          <w:szCs w:val="22"/>
        </w:rPr>
      </w:pPr>
      <w:r>
        <w:rPr>
          <w:szCs w:val="22"/>
        </w:rPr>
        <w:t>P</w:t>
      </w:r>
      <w:r w:rsidR="00203B30">
        <w:rPr>
          <w:szCs w:val="22"/>
        </w:rPr>
        <w:t>erorálne podanie.</w:t>
      </w:r>
    </w:p>
    <w:p w14:paraId="3FCA484A" w14:textId="77777777" w:rsidR="007320B3" w:rsidRPr="00B44244" w:rsidRDefault="007320B3" w:rsidP="007320B3">
      <w:pPr>
        <w:spacing w:line="240" w:lineRule="auto"/>
        <w:rPr>
          <w:szCs w:val="22"/>
        </w:rPr>
      </w:pPr>
    </w:p>
    <w:p w14:paraId="4E4414AD" w14:textId="77777777" w:rsidR="007320B3" w:rsidRPr="00B44244" w:rsidRDefault="00203B30" w:rsidP="007320B3">
      <w:pPr>
        <w:keepNext/>
        <w:numPr>
          <w:ilvl w:val="1"/>
          <w:numId w:val="1"/>
        </w:numPr>
        <w:spacing w:line="240" w:lineRule="auto"/>
        <w:outlineLvl w:val="0"/>
        <w:rPr>
          <w:szCs w:val="22"/>
        </w:rPr>
      </w:pPr>
      <w:r w:rsidRPr="00203B30">
        <w:rPr>
          <w:b/>
          <w:szCs w:val="22"/>
        </w:rPr>
        <w:t>Kontraindikácie</w:t>
      </w:r>
    </w:p>
    <w:p w14:paraId="24DA09DD" w14:textId="77777777" w:rsidR="007320B3" w:rsidRPr="00B44244" w:rsidRDefault="007320B3" w:rsidP="007320B3">
      <w:pPr>
        <w:keepNext/>
        <w:spacing w:line="240" w:lineRule="auto"/>
        <w:rPr>
          <w:szCs w:val="22"/>
        </w:rPr>
      </w:pPr>
    </w:p>
    <w:p w14:paraId="5BB93508" w14:textId="2060CAB0" w:rsidR="007320B3" w:rsidRPr="00B44244" w:rsidRDefault="00203B30" w:rsidP="001E5F29">
      <w:pPr>
        <w:pStyle w:val="Odsekzoznamu"/>
        <w:numPr>
          <w:ilvl w:val="0"/>
          <w:numId w:val="4"/>
        </w:numPr>
        <w:spacing w:line="240" w:lineRule="auto"/>
        <w:ind w:left="567"/>
        <w:rPr>
          <w:szCs w:val="22"/>
        </w:rPr>
      </w:pPr>
      <w:r w:rsidRPr="00203B30">
        <w:rPr>
          <w:szCs w:val="22"/>
        </w:rPr>
        <w:t xml:space="preserve">precitlivenosť na </w:t>
      </w:r>
      <w:r w:rsidR="00640ABD">
        <w:rPr>
          <w:szCs w:val="22"/>
        </w:rPr>
        <w:t>liečivo</w:t>
      </w:r>
      <w:r w:rsidR="00640ABD" w:rsidRPr="00203B30">
        <w:rPr>
          <w:szCs w:val="22"/>
        </w:rPr>
        <w:t xml:space="preserve"> </w:t>
      </w:r>
      <w:r w:rsidRPr="00203B30">
        <w:rPr>
          <w:szCs w:val="22"/>
        </w:rPr>
        <w:t xml:space="preserve">alebo na ktorúkoľvek z pomocných látok uvedených v časti 6.1. </w:t>
      </w:r>
    </w:p>
    <w:p w14:paraId="6B345443" w14:textId="77777777" w:rsidR="001E5F29" w:rsidRPr="00B44244" w:rsidRDefault="00203B30" w:rsidP="001E5F29">
      <w:pPr>
        <w:pStyle w:val="Odsekzoznamu"/>
        <w:numPr>
          <w:ilvl w:val="0"/>
          <w:numId w:val="4"/>
        </w:numPr>
        <w:spacing w:line="240" w:lineRule="auto"/>
        <w:ind w:left="567"/>
        <w:rPr>
          <w:szCs w:val="22"/>
        </w:rPr>
      </w:pPr>
      <w:r w:rsidRPr="00203B30">
        <w:rPr>
          <w:szCs w:val="22"/>
        </w:rPr>
        <w:t>ťažká hemolytická anémia</w:t>
      </w:r>
    </w:p>
    <w:p w14:paraId="51917ECE" w14:textId="77777777" w:rsidR="001E5F29" w:rsidRPr="00B44244" w:rsidRDefault="00203B30" w:rsidP="001E5F29">
      <w:pPr>
        <w:pStyle w:val="Odsekzoznamu"/>
        <w:numPr>
          <w:ilvl w:val="0"/>
          <w:numId w:val="4"/>
        </w:numPr>
        <w:spacing w:line="240" w:lineRule="auto"/>
        <w:ind w:left="567"/>
        <w:rPr>
          <w:szCs w:val="22"/>
        </w:rPr>
      </w:pPr>
      <w:r w:rsidRPr="00203B30">
        <w:rPr>
          <w:szCs w:val="22"/>
        </w:rPr>
        <w:t>ťažká hepatálna insuficiencia</w:t>
      </w:r>
    </w:p>
    <w:p w14:paraId="55BA9766" w14:textId="77777777" w:rsidR="001E5F29" w:rsidRPr="00B44244" w:rsidRDefault="00203B30" w:rsidP="001E5F29">
      <w:pPr>
        <w:pStyle w:val="Odsekzoznamu"/>
        <w:numPr>
          <w:ilvl w:val="0"/>
          <w:numId w:val="4"/>
        </w:numPr>
        <w:spacing w:line="240" w:lineRule="auto"/>
        <w:ind w:left="567"/>
        <w:rPr>
          <w:szCs w:val="22"/>
        </w:rPr>
      </w:pPr>
      <w:r w:rsidRPr="00203B30">
        <w:rPr>
          <w:szCs w:val="22"/>
        </w:rPr>
        <w:t>akútna hepatitída</w:t>
      </w:r>
    </w:p>
    <w:p w14:paraId="724F19D7" w14:textId="77777777" w:rsidR="001E5F29" w:rsidRPr="00B44244" w:rsidRDefault="001E5F29" w:rsidP="007320B3">
      <w:pPr>
        <w:spacing w:line="240" w:lineRule="auto"/>
        <w:rPr>
          <w:szCs w:val="22"/>
        </w:rPr>
      </w:pPr>
    </w:p>
    <w:p w14:paraId="5F9F3BA0" w14:textId="77777777" w:rsidR="007320B3" w:rsidRPr="00B44244" w:rsidRDefault="00203B30" w:rsidP="007320B3">
      <w:pPr>
        <w:keepNext/>
        <w:numPr>
          <w:ilvl w:val="1"/>
          <w:numId w:val="1"/>
        </w:numPr>
        <w:spacing w:line="240" w:lineRule="auto"/>
        <w:outlineLvl w:val="0"/>
        <w:rPr>
          <w:b/>
          <w:szCs w:val="22"/>
        </w:rPr>
      </w:pPr>
      <w:r w:rsidRPr="00203B30">
        <w:rPr>
          <w:b/>
          <w:szCs w:val="22"/>
        </w:rPr>
        <w:t>Osobitné upozornenia a opatrenia pri používaní</w:t>
      </w:r>
    </w:p>
    <w:p w14:paraId="7ABF3FF7" w14:textId="77777777" w:rsidR="007320B3" w:rsidRPr="00B44244" w:rsidRDefault="007320B3" w:rsidP="007320B3">
      <w:pPr>
        <w:keepNext/>
        <w:spacing w:line="240" w:lineRule="auto"/>
        <w:ind w:left="567" w:hanging="567"/>
        <w:rPr>
          <w:b/>
          <w:szCs w:val="22"/>
        </w:rPr>
      </w:pPr>
    </w:p>
    <w:p w14:paraId="1605D494" w14:textId="3C4C8766" w:rsidR="001E5F29" w:rsidRPr="00B44244" w:rsidRDefault="00203B30" w:rsidP="001E5F29">
      <w:pPr>
        <w:rPr>
          <w:szCs w:val="22"/>
        </w:rPr>
      </w:pPr>
      <w:r>
        <w:rPr>
          <w:szCs w:val="22"/>
        </w:rPr>
        <w:t>Zvýšená opatrnosť je potrebná u pacientov s deficitom glukóz</w:t>
      </w:r>
      <w:r w:rsidR="00640ABD">
        <w:rPr>
          <w:szCs w:val="22"/>
        </w:rPr>
        <w:t>a</w:t>
      </w:r>
      <w:r>
        <w:rPr>
          <w:szCs w:val="22"/>
        </w:rPr>
        <w:t>-6-fosfátdehydrogenázy a u pacientov s hemolytickou anémiou.</w:t>
      </w:r>
    </w:p>
    <w:p w14:paraId="78B8F054" w14:textId="77777777" w:rsidR="001208D6" w:rsidRPr="00B44244" w:rsidRDefault="001208D6" w:rsidP="001E5F29">
      <w:pPr>
        <w:rPr>
          <w:szCs w:val="22"/>
        </w:rPr>
      </w:pPr>
    </w:p>
    <w:p w14:paraId="69E8BA0E" w14:textId="7A5870BF" w:rsidR="001208D6" w:rsidRPr="00B44244" w:rsidRDefault="00203B30" w:rsidP="001E5F29">
      <w:pPr>
        <w:rPr>
          <w:szCs w:val="22"/>
        </w:rPr>
      </w:pPr>
      <w:r>
        <w:rPr>
          <w:szCs w:val="22"/>
        </w:rPr>
        <w:t xml:space="preserve">Opatrnosť je tiež potrebná u pacientov s poruchou funkcie obličiek, odporúča sa postupná úprava dávkovania (pozri časť 4.2). Pri dlhodobej liečbe Paracetamolom </w:t>
      </w:r>
      <w:r w:rsidR="007B6AE9">
        <w:rPr>
          <w:szCs w:val="22"/>
        </w:rPr>
        <w:t>Dr.Max</w:t>
      </w:r>
      <w:r>
        <w:rPr>
          <w:szCs w:val="22"/>
        </w:rPr>
        <w:t xml:space="preserve"> 500 mg nemožno vylúčiť obličkovú nedostatočnosť. </w:t>
      </w:r>
    </w:p>
    <w:p w14:paraId="20368886" w14:textId="77777777" w:rsidR="001208D6" w:rsidRPr="00B44244" w:rsidRDefault="001208D6" w:rsidP="001E5F29">
      <w:pPr>
        <w:rPr>
          <w:szCs w:val="22"/>
        </w:rPr>
      </w:pPr>
    </w:p>
    <w:p w14:paraId="6720438F" w14:textId="77777777" w:rsidR="001208D6" w:rsidRPr="00B44244" w:rsidRDefault="00203B30" w:rsidP="001E5F29">
      <w:pPr>
        <w:rPr>
          <w:szCs w:val="22"/>
        </w:rPr>
      </w:pPr>
      <w:r>
        <w:rPr>
          <w:szCs w:val="22"/>
        </w:rPr>
        <w:t>Užívanie vyšších dávok ako odporúčaných môže viesť k ťažkej poruche funkcie pečene.</w:t>
      </w:r>
    </w:p>
    <w:p w14:paraId="5BCCBEB5" w14:textId="77777777" w:rsidR="001208D6" w:rsidRPr="00B44244" w:rsidRDefault="00203B30" w:rsidP="001E5F29">
      <w:pPr>
        <w:rPr>
          <w:szCs w:val="22"/>
        </w:rPr>
      </w:pPr>
      <w:r>
        <w:rPr>
          <w:szCs w:val="22"/>
        </w:rPr>
        <w:t>Pravidelné kontroly funkcie pečene sa odporúčajú u pacientov s miernym až stredne závažným ochorením pečene a u pacientov dlhodobo užívajúcich vysoké dávky paracetamolu. Riziko predávkovania je vyššie u pacientov s ochorením pečene.</w:t>
      </w:r>
    </w:p>
    <w:p w14:paraId="58BD05F6" w14:textId="77777777" w:rsidR="00B87E6A" w:rsidRPr="00B44244" w:rsidRDefault="00B87E6A" w:rsidP="001E5F29">
      <w:pPr>
        <w:rPr>
          <w:szCs w:val="22"/>
        </w:rPr>
      </w:pPr>
    </w:p>
    <w:p w14:paraId="669A90E5" w14:textId="77777777" w:rsidR="00B87E6A" w:rsidRPr="00B44244" w:rsidRDefault="00203B30" w:rsidP="00B87E6A">
      <w:pPr>
        <w:keepNext/>
        <w:tabs>
          <w:tab w:val="clear" w:pos="567"/>
          <w:tab w:val="left" w:pos="0"/>
        </w:tabs>
        <w:spacing w:line="240" w:lineRule="auto"/>
        <w:rPr>
          <w:szCs w:val="22"/>
        </w:rPr>
      </w:pPr>
      <w:r w:rsidRPr="00203B30">
        <w:rPr>
          <w:szCs w:val="22"/>
        </w:rPr>
        <w:t>Vzhľadom na post-marketingové skúsenosti s paracetamolom, hepatotoxicita sa môže tiež objaviť pri nižších dávkach alebo počas krátkodobej liečby u pacientov bez predchádzajúcej poruchy funkcie pečene, ak je spoluaktívny alkohol, hepatálne induktory alebo iné látky toxické pre pečeň (pozri časť 4.5). Dlhodobá závislosť na alkohole zvyšuje riziko paracetamolovej hepatotoxicity. Najvyššie riziko je u chronických alkoholikov, ktorí krátkodobo abstinujú (12 hodín).</w:t>
      </w:r>
    </w:p>
    <w:p w14:paraId="52B59BEC" w14:textId="77777777" w:rsidR="00B87E6A" w:rsidRPr="00B44244" w:rsidRDefault="00B87E6A" w:rsidP="00B87E6A">
      <w:pPr>
        <w:keepNext/>
        <w:tabs>
          <w:tab w:val="clear" w:pos="567"/>
          <w:tab w:val="left" w:pos="0"/>
        </w:tabs>
        <w:spacing w:line="240" w:lineRule="auto"/>
        <w:rPr>
          <w:szCs w:val="22"/>
        </w:rPr>
      </w:pPr>
    </w:p>
    <w:p w14:paraId="1C2B9ACE" w14:textId="2DEA5B94" w:rsidR="00891A33" w:rsidRPr="00B44244" w:rsidRDefault="00203B30" w:rsidP="00B87E6A">
      <w:pPr>
        <w:keepNext/>
        <w:tabs>
          <w:tab w:val="clear" w:pos="567"/>
          <w:tab w:val="left" w:pos="0"/>
        </w:tabs>
        <w:spacing w:line="240" w:lineRule="auto"/>
        <w:rPr>
          <w:szCs w:val="22"/>
        </w:rPr>
      </w:pPr>
      <w:r w:rsidRPr="00203B30">
        <w:rPr>
          <w:szCs w:val="22"/>
        </w:rPr>
        <w:t xml:space="preserve">Počas liečby Paracetamolom </w:t>
      </w:r>
      <w:r w:rsidR="007B6AE9">
        <w:rPr>
          <w:szCs w:val="22"/>
        </w:rPr>
        <w:t>Dr.Max</w:t>
      </w:r>
      <w:r w:rsidRPr="00203B30">
        <w:rPr>
          <w:szCs w:val="22"/>
        </w:rPr>
        <w:t xml:space="preserve"> 500 mg sa treba vyhnúť konzumácii alkoholu.</w:t>
      </w:r>
    </w:p>
    <w:p w14:paraId="4FDEA428" w14:textId="77777777" w:rsidR="00891A33" w:rsidRPr="00B44244" w:rsidRDefault="00891A33" w:rsidP="00B87E6A">
      <w:pPr>
        <w:keepNext/>
        <w:tabs>
          <w:tab w:val="clear" w:pos="567"/>
          <w:tab w:val="left" w:pos="0"/>
        </w:tabs>
        <w:spacing w:line="240" w:lineRule="auto"/>
        <w:rPr>
          <w:szCs w:val="22"/>
        </w:rPr>
      </w:pPr>
    </w:p>
    <w:p w14:paraId="2B4C6BC6" w14:textId="12C810EA" w:rsidR="001E5F29" w:rsidRPr="00B44244" w:rsidRDefault="00203B30" w:rsidP="00B87E6A">
      <w:pPr>
        <w:keepNext/>
        <w:tabs>
          <w:tab w:val="clear" w:pos="567"/>
          <w:tab w:val="left" w:pos="0"/>
        </w:tabs>
        <w:spacing w:line="240" w:lineRule="auto"/>
        <w:rPr>
          <w:szCs w:val="22"/>
        </w:rPr>
      </w:pPr>
      <w:r w:rsidRPr="00203B30">
        <w:rPr>
          <w:szCs w:val="22"/>
        </w:rPr>
        <w:t xml:space="preserve">Paracetamol </w:t>
      </w:r>
      <w:r w:rsidR="007B6AE9">
        <w:rPr>
          <w:szCs w:val="22"/>
        </w:rPr>
        <w:t>Dr.Max</w:t>
      </w:r>
      <w:r w:rsidRPr="00203B30">
        <w:rPr>
          <w:szCs w:val="22"/>
        </w:rPr>
        <w:t xml:space="preserve"> 500 mg nemajú bez konzultácie s lekárom užívať pacienti trpiaci ochorením pečene a/alebo tí, ktorí užívajú iné lieky obsahujúce paracetamol.    </w:t>
      </w:r>
    </w:p>
    <w:p w14:paraId="2DCF4B38" w14:textId="77777777" w:rsidR="001E5F29" w:rsidRPr="00B44244" w:rsidRDefault="001E5F29" w:rsidP="007320B3">
      <w:pPr>
        <w:keepNext/>
        <w:spacing w:line="240" w:lineRule="auto"/>
        <w:ind w:left="567" w:hanging="567"/>
        <w:rPr>
          <w:szCs w:val="22"/>
        </w:rPr>
      </w:pPr>
    </w:p>
    <w:p w14:paraId="04857758" w14:textId="3264A28D" w:rsidR="001E5F29" w:rsidRDefault="00203B30" w:rsidP="00B00CD7">
      <w:pPr>
        <w:keepNext/>
        <w:tabs>
          <w:tab w:val="clear" w:pos="567"/>
          <w:tab w:val="left" w:pos="0"/>
        </w:tabs>
        <w:spacing w:line="240" w:lineRule="auto"/>
        <w:rPr>
          <w:szCs w:val="22"/>
        </w:rPr>
      </w:pPr>
      <w:r w:rsidRPr="00203B30">
        <w:rPr>
          <w:szCs w:val="22"/>
        </w:rPr>
        <w:t xml:space="preserve">Protrombínový čas sa má sledovať u pacientov užívajúcich perorálne antikoagulanciá a vyššie dávky paracetamolu, najmä v kombinácii s dextropropoxyfénom alebo kodeínom. </w:t>
      </w:r>
    </w:p>
    <w:p w14:paraId="59BCD62F" w14:textId="3C71B68C" w:rsidR="00C2118E" w:rsidRDefault="00C2118E" w:rsidP="00B00CD7">
      <w:pPr>
        <w:keepNext/>
        <w:tabs>
          <w:tab w:val="clear" w:pos="567"/>
          <w:tab w:val="left" w:pos="0"/>
        </w:tabs>
        <w:spacing w:line="240" w:lineRule="auto"/>
        <w:rPr>
          <w:szCs w:val="22"/>
        </w:rPr>
      </w:pPr>
    </w:p>
    <w:p w14:paraId="7174DACB" w14:textId="3A51CC56" w:rsidR="00C2118E" w:rsidRPr="00B44244" w:rsidRDefault="00C2118E" w:rsidP="00B00CD7">
      <w:pPr>
        <w:keepNext/>
        <w:tabs>
          <w:tab w:val="clear" w:pos="567"/>
          <w:tab w:val="left" w:pos="0"/>
        </w:tabs>
        <w:spacing w:line="240" w:lineRule="auto"/>
        <w:rPr>
          <w:szCs w:val="22"/>
        </w:rPr>
      </w:pPr>
      <w:r>
        <w:t>Tento liek obsahuje menej ako 1 mmol sodíka (23 mg) v jednej tablete, t.j. v podstate zanedbateľné množstvo sodíka.</w:t>
      </w:r>
    </w:p>
    <w:p w14:paraId="0F400FD6" w14:textId="77777777" w:rsidR="00B00CD7" w:rsidRPr="00B44244" w:rsidRDefault="00B00CD7" w:rsidP="007320B3">
      <w:pPr>
        <w:keepNext/>
        <w:spacing w:line="240" w:lineRule="auto"/>
        <w:ind w:left="567" w:hanging="567"/>
        <w:rPr>
          <w:szCs w:val="22"/>
        </w:rPr>
      </w:pPr>
    </w:p>
    <w:p w14:paraId="27AC464E" w14:textId="77777777" w:rsidR="007320B3" w:rsidRPr="00B44244" w:rsidRDefault="00203B30" w:rsidP="007320B3">
      <w:pPr>
        <w:spacing w:line="240" w:lineRule="auto"/>
        <w:rPr>
          <w:i/>
          <w:szCs w:val="22"/>
        </w:rPr>
      </w:pPr>
      <w:r w:rsidRPr="00203B30">
        <w:rPr>
          <w:szCs w:val="22"/>
          <w:u w:val="single"/>
        </w:rPr>
        <w:t>Pediatrická populácia</w:t>
      </w:r>
    </w:p>
    <w:p w14:paraId="1711F5B5" w14:textId="203D93D0" w:rsidR="007320B3" w:rsidRPr="00B44244" w:rsidRDefault="00203B30" w:rsidP="007320B3">
      <w:pPr>
        <w:spacing w:line="240" w:lineRule="auto"/>
        <w:outlineLvl w:val="0"/>
        <w:rPr>
          <w:szCs w:val="22"/>
        </w:rPr>
      </w:pPr>
      <w:r w:rsidRPr="00203B30">
        <w:rPr>
          <w:szCs w:val="22"/>
        </w:rPr>
        <w:t xml:space="preserve">Paracetamol </w:t>
      </w:r>
      <w:r w:rsidR="007B6AE9">
        <w:rPr>
          <w:szCs w:val="22"/>
        </w:rPr>
        <w:t>Dr.Max</w:t>
      </w:r>
      <w:r w:rsidRPr="00203B30">
        <w:rPr>
          <w:szCs w:val="22"/>
        </w:rPr>
        <w:t xml:space="preserve"> 500 mg nie je určený pre deti mladšie ako 6 rokov. </w:t>
      </w:r>
    </w:p>
    <w:p w14:paraId="270BCC4A" w14:textId="77777777" w:rsidR="00B00CD7" w:rsidRPr="00B44244" w:rsidRDefault="00B00CD7" w:rsidP="007320B3">
      <w:pPr>
        <w:spacing w:line="240" w:lineRule="auto"/>
        <w:outlineLvl w:val="0"/>
        <w:rPr>
          <w:szCs w:val="22"/>
        </w:rPr>
      </w:pPr>
    </w:p>
    <w:p w14:paraId="0AA8FAD1" w14:textId="77777777" w:rsidR="007320B3" w:rsidRPr="00B44244" w:rsidRDefault="00203B30" w:rsidP="007320B3">
      <w:pPr>
        <w:keepNext/>
        <w:numPr>
          <w:ilvl w:val="1"/>
          <w:numId w:val="1"/>
        </w:numPr>
        <w:spacing w:line="240" w:lineRule="auto"/>
        <w:outlineLvl w:val="0"/>
        <w:rPr>
          <w:szCs w:val="22"/>
        </w:rPr>
      </w:pPr>
      <w:r w:rsidRPr="00203B30">
        <w:rPr>
          <w:b/>
          <w:szCs w:val="22"/>
        </w:rPr>
        <w:t>Liekové a iné interakcie</w:t>
      </w:r>
    </w:p>
    <w:p w14:paraId="0FAAE5CB" w14:textId="77777777" w:rsidR="007320B3" w:rsidRPr="00B44244" w:rsidRDefault="007320B3" w:rsidP="007320B3">
      <w:pPr>
        <w:keepNext/>
        <w:spacing w:line="240" w:lineRule="auto"/>
        <w:rPr>
          <w:szCs w:val="22"/>
        </w:rPr>
      </w:pPr>
    </w:p>
    <w:p w14:paraId="2A3E4343" w14:textId="5EF31624" w:rsidR="007320B3" w:rsidRPr="00B44244" w:rsidRDefault="00203B30" w:rsidP="007320B3">
      <w:pPr>
        <w:spacing w:line="240" w:lineRule="auto"/>
        <w:rPr>
          <w:szCs w:val="22"/>
        </w:rPr>
      </w:pPr>
      <w:r w:rsidRPr="00203B30">
        <w:rPr>
          <w:i/>
          <w:szCs w:val="22"/>
        </w:rPr>
        <w:t xml:space="preserve">Hepatotoxické látky </w:t>
      </w:r>
      <w:r w:rsidRPr="00203B30">
        <w:rPr>
          <w:szCs w:val="22"/>
        </w:rPr>
        <w:t xml:space="preserve">môžu zvyšovať riziko </w:t>
      </w:r>
      <w:r w:rsidR="00C2118E">
        <w:rPr>
          <w:szCs w:val="22"/>
        </w:rPr>
        <w:t>akumulácie</w:t>
      </w:r>
      <w:r w:rsidRPr="00203B30">
        <w:rPr>
          <w:szCs w:val="22"/>
        </w:rPr>
        <w:t xml:space="preserve"> a predávkovania sa  paracetamolom. </w:t>
      </w:r>
    </w:p>
    <w:p w14:paraId="31A722C1" w14:textId="77777777" w:rsidR="00B00CD7" w:rsidRPr="00B44244" w:rsidRDefault="00B00CD7" w:rsidP="007320B3">
      <w:pPr>
        <w:spacing w:line="240" w:lineRule="auto"/>
        <w:rPr>
          <w:szCs w:val="22"/>
        </w:rPr>
      </w:pPr>
    </w:p>
    <w:p w14:paraId="73ED0F8A" w14:textId="77777777" w:rsidR="00B00CD7" w:rsidRPr="00B44244" w:rsidRDefault="00203B30" w:rsidP="007320B3">
      <w:pPr>
        <w:spacing w:line="240" w:lineRule="auto"/>
        <w:rPr>
          <w:szCs w:val="22"/>
        </w:rPr>
      </w:pPr>
      <w:r w:rsidRPr="00203B30">
        <w:rPr>
          <w:szCs w:val="22"/>
        </w:rPr>
        <w:t xml:space="preserve">Paracetamol zvyšuje plazmatické hladiny </w:t>
      </w:r>
      <w:r w:rsidRPr="00203B30">
        <w:rPr>
          <w:i/>
          <w:szCs w:val="22"/>
        </w:rPr>
        <w:t>kyseliny acetylsalicylovej</w:t>
      </w:r>
      <w:r w:rsidRPr="00203B30">
        <w:rPr>
          <w:szCs w:val="22"/>
        </w:rPr>
        <w:t xml:space="preserve"> a </w:t>
      </w:r>
      <w:r w:rsidRPr="00203B30">
        <w:rPr>
          <w:i/>
          <w:szCs w:val="22"/>
        </w:rPr>
        <w:t>chloramfenikolu</w:t>
      </w:r>
      <w:r w:rsidRPr="00203B30">
        <w:rPr>
          <w:szCs w:val="22"/>
        </w:rPr>
        <w:t>.</w:t>
      </w:r>
    </w:p>
    <w:p w14:paraId="687A21A2" w14:textId="77777777" w:rsidR="00B00CD7" w:rsidRPr="00B44244" w:rsidRDefault="00203B30" w:rsidP="007320B3">
      <w:pPr>
        <w:spacing w:line="240" w:lineRule="auto"/>
        <w:rPr>
          <w:szCs w:val="22"/>
        </w:rPr>
      </w:pPr>
      <w:r w:rsidRPr="00203B30">
        <w:rPr>
          <w:szCs w:val="22"/>
        </w:rPr>
        <w:t>Súbežné užívanie paracetamolu s NSAID (najmä kyselina acetylsalicylová) vo vyšších dávkach zvyšuje riziko analgetickej nefropatie a iných renálnych nežiaducich účinkov.</w:t>
      </w:r>
    </w:p>
    <w:p w14:paraId="30693179" w14:textId="77777777" w:rsidR="00B00CD7" w:rsidRPr="00B44244" w:rsidRDefault="00B00CD7" w:rsidP="007320B3">
      <w:pPr>
        <w:spacing w:line="240" w:lineRule="auto"/>
        <w:rPr>
          <w:szCs w:val="22"/>
        </w:rPr>
      </w:pPr>
    </w:p>
    <w:p w14:paraId="4E9BBED4" w14:textId="77777777" w:rsidR="00B00CD7" w:rsidRPr="00B44244" w:rsidRDefault="00203B30" w:rsidP="007320B3">
      <w:pPr>
        <w:spacing w:line="240" w:lineRule="auto"/>
        <w:rPr>
          <w:szCs w:val="22"/>
        </w:rPr>
      </w:pPr>
      <w:r w:rsidRPr="00203B30">
        <w:rPr>
          <w:szCs w:val="22"/>
        </w:rPr>
        <w:t xml:space="preserve">Súbežné užívanie </w:t>
      </w:r>
      <w:r w:rsidRPr="00203B30">
        <w:rPr>
          <w:i/>
          <w:szCs w:val="22"/>
        </w:rPr>
        <w:t>induktorov hepatálnych enzýmov</w:t>
      </w:r>
      <w:r w:rsidRPr="00203B30">
        <w:rPr>
          <w:szCs w:val="22"/>
        </w:rPr>
        <w:t>, napr. barbituráty, inhibítory monoaminooxidázy, tricyklické antidepresíva, ľubovník bodkovaný, antiepileptiká (okrem glutetimidu, fenobarbitalu, fenytoínu, karbamazepínu) a </w:t>
      </w:r>
      <w:r w:rsidRPr="00203B30">
        <w:rPr>
          <w:i/>
          <w:szCs w:val="22"/>
        </w:rPr>
        <w:t>rifampicínu</w:t>
      </w:r>
      <w:r w:rsidRPr="00203B30">
        <w:rPr>
          <w:szCs w:val="22"/>
        </w:rPr>
        <w:t xml:space="preserve"> - dávky paracetamolu, ktoré sú zvyčajne bezpečné, môžu viesť k poruche funkcie pečene. To isté platí aj pre nadmernú konzumáciu </w:t>
      </w:r>
      <w:r w:rsidRPr="00203B30">
        <w:rPr>
          <w:i/>
          <w:szCs w:val="22"/>
        </w:rPr>
        <w:t>alkoholu</w:t>
      </w:r>
      <w:r w:rsidRPr="00203B30">
        <w:rPr>
          <w:szCs w:val="22"/>
        </w:rPr>
        <w:t xml:space="preserve">.  </w:t>
      </w:r>
    </w:p>
    <w:p w14:paraId="47F4BCFB" w14:textId="77777777" w:rsidR="00B00CD7" w:rsidRPr="00B44244" w:rsidRDefault="00B00CD7" w:rsidP="007320B3">
      <w:pPr>
        <w:spacing w:line="240" w:lineRule="auto"/>
        <w:rPr>
          <w:i/>
          <w:szCs w:val="22"/>
        </w:rPr>
      </w:pPr>
    </w:p>
    <w:p w14:paraId="1302CD97" w14:textId="77777777" w:rsidR="007320B3" w:rsidRPr="00B44244" w:rsidRDefault="00203B30" w:rsidP="007320B3">
      <w:pPr>
        <w:spacing w:line="240" w:lineRule="auto"/>
        <w:rPr>
          <w:szCs w:val="22"/>
        </w:rPr>
      </w:pPr>
      <w:r w:rsidRPr="00203B30">
        <w:rPr>
          <w:szCs w:val="22"/>
        </w:rPr>
        <w:t xml:space="preserve">Absorpcia paracetamolu môže byť zvýšená  </w:t>
      </w:r>
      <w:r w:rsidRPr="00203B30">
        <w:rPr>
          <w:i/>
          <w:szCs w:val="22"/>
        </w:rPr>
        <w:t>metoklopramidom</w:t>
      </w:r>
      <w:r w:rsidRPr="00203B30">
        <w:rPr>
          <w:szCs w:val="22"/>
        </w:rPr>
        <w:t xml:space="preserve"> alebo </w:t>
      </w:r>
      <w:r w:rsidRPr="00203B30">
        <w:rPr>
          <w:i/>
          <w:szCs w:val="22"/>
        </w:rPr>
        <w:t>domperidónom</w:t>
      </w:r>
      <w:r w:rsidRPr="00203B30">
        <w:rPr>
          <w:szCs w:val="22"/>
        </w:rPr>
        <w:t xml:space="preserve"> a znížená </w:t>
      </w:r>
      <w:r w:rsidR="00B44244">
        <w:rPr>
          <w:i/>
          <w:szCs w:val="22"/>
        </w:rPr>
        <w:t>k</w:t>
      </w:r>
      <w:r w:rsidR="00655744" w:rsidRPr="00B44244">
        <w:rPr>
          <w:i/>
          <w:szCs w:val="22"/>
        </w:rPr>
        <w:t>olestyramínom</w:t>
      </w:r>
      <w:r w:rsidR="00655744" w:rsidRPr="00B44244">
        <w:rPr>
          <w:szCs w:val="22"/>
        </w:rPr>
        <w:t xml:space="preserve">. </w:t>
      </w:r>
    </w:p>
    <w:p w14:paraId="6D95DC9D" w14:textId="77777777" w:rsidR="00655744" w:rsidRPr="00B44244" w:rsidRDefault="00655744" w:rsidP="007320B3">
      <w:pPr>
        <w:spacing w:line="240" w:lineRule="auto"/>
        <w:rPr>
          <w:szCs w:val="22"/>
        </w:rPr>
      </w:pPr>
    </w:p>
    <w:p w14:paraId="293D6D2C" w14:textId="77777777" w:rsidR="00655744" w:rsidRPr="00B44244" w:rsidRDefault="00203B30" w:rsidP="007320B3">
      <w:pPr>
        <w:spacing w:line="240" w:lineRule="auto"/>
        <w:rPr>
          <w:szCs w:val="22"/>
        </w:rPr>
      </w:pPr>
      <w:r w:rsidRPr="00203B30">
        <w:rPr>
          <w:i/>
          <w:szCs w:val="22"/>
        </w:rPr>
        <w:t>Probenecid</w:t>
      </w:r>
      <w:r w:rsidRPr="00203B30">
        <w:rPr>
          <w:szCs w:val="22"/>
        </w:rPr>
        <w:t xml:space="preserve"> a </w:t>
      </w:r>
      <w:r w:rsidRPr="00203B30">
        <w:rPr>
          <w:i/>
          <w:szCs w:val="22"/>
        </w:rPr>
        <w:t>salicylamid</w:t>
      </w:r>
      <w:r w:rsidRPr="00203B30">
        <w:rPr>
          <w:szCs w:val="22"/>
        </w:rPr>
        <w:t xml:space="preserve"> ovplyvňujú vylučovanie a koncentráciu paracetamolu v plazme.</w:t>
      </w:r>
    </w:p>
    <w:p w14:paraId="3491E775" w14:textId="77777777" w:rsidR="00655744" w:rsidRPr="00B44244" w:rsidRDefault="00655744" w:rsidP="007320B3">
      <w:pPr>
        <w:spacing w:line="240" w:lineRule="auto"/>
        <w:rPr>
          <w:szCs w:val="22"/>
        </w:rPr>
      </w:pPr>
    </w:p>
    <w:p w14:paraId="5C694F5D" w14:textId="77777777" w:rsidR="00655744" w:rsidRPr="00B44244" w:rsidRDefault="00203B30" w:rsidP="007320B3">
      <w:pPr>
        <w:spacing w:line="240" w:lineRule="auto"/>
        <w:rPr>
          <w:szCs w:val="22"/>
        </w:rPr>
      </w:pPr>
      <w:r w:rsidRPr="00203B30">
        <w:rPr>
          <w:szCs w:val="22"/>
        </w:rPr>
        <w:t xml:space="preserve">Antikoagulačný účinok </w:t>
      </w:r>
      <w:r w:rsidRPr="00203B30">
        <w:rPr>
          <w:i/>
          <w:szCs w:val="22"/>
        </w:rPr>
        <w:t xml:space="preserve">warfarínu </w:t>
      </w:r>
      <w:r w:rsidRPr="00203B30">
        <w:rPr>
          <w:szCs w:val="22"/>
        </w:rPr>
        <w:t>a </w:t>
      </w:r>
      <w:r w:rsidRPr="00203B30">
        <w:rPr>
          <w:i/>
          <w:szCs w:val="22"/>
        </w:rPr>
        <w:t>iných kumarínov</w:t>
      </w:r>
      <w:r w:rsidRPr="00203B30">
        <w:rPr>
          <w:szCs w:val="22"/>
        </w:rPr>
        <w:t xml:space="preserve"> môže byť zvýšený predĺženým pravidelným denným užívaním paracetamolu so zvýšeným rizikom krvácania. Občasné užitie nemá žiadny významný účinok. </w:t>
      </w:r>
    </w:p>
    <w:p w14:paraId="4F169726" w14:textId="77777777" w:rsidR="006B5D4C" w:rsidRPr="00B44244" w:rsidRDefault="006B5D4C" w:rsidP="007320B3">
      <w:pPr>
        <w:spacing w:line="240" w:lineRule="auto"/>
        <w:rPr>
          <w:szCs w:val="22"/>
        </w:rPr>
      </w:pPr>
    </w:p>
    <w:p w14:paraId="30B16A04" w14:textId="77777777" w:rsidR="006B5D4C" w:rsidRPr="00B44244" w:rsidRDefault="00203B30" w:rsidP="007320B3">
      <w:pPr>
        <w:spacing w:line="240" w:lineRule="auto"/>
        <w:rPr>
          <w:szCs w:val="22"/>
        </w:rPr>
      </w:pPr>
      <w:r w:rsidRPr="00203B30">
        <w:rPr>
          <w:szCs w:val="22"/>
        </w:rPr>
        <w:t xml:space="preserve">Súbežné užívanie liekov predlžujúcich vyprázdňovanie žalúdka, ako je </w:t>
      </w:r>
      <w:r w:rsidRPr="00203B30">
        <w:rPr>
          <w:i/>
          <w:szCs w:val="22"/>
        </w:rPr>
        <w:t>propantelín</w:t>
      </w:r>
      <w:r w:rsidRPr="00203B30">
        <w:rPr>
          <w:szCs w:val="22"/>
        </w:rPr>
        <w:t>, môže viesť k pomalšej absorpcii a predĺženému účinku paracetamolu.</w:t>
      </w:r>
    </w:p>
    <w:p w14:paraId="213CF3CC" w14:textId="77777777" w:rsidR="006B5D4C" w:rsidRPr="00B44244" w:rsidRDefault="006B5D4C" w:rsidP="007320B3">
      <w:pPr>
        <w:spacing w:line="240" w:lineRule="auto"/>
        <w:rPr>
          <w:szCs w:val="22"/>
        </w:rPr>
      </w:pPr>
    </w:p>
    <w:p w14:paraId="3A619281" w14:textId="77777777" w:rsidR="006B5D4C" w:rsidRPr="00B44244" w:rsidRDefault="00203B30" w:rsidP="007320B3">
      <w:pPr>
        <w:spacing w:line="240" w:lineRule="auto"/>
        <w:rPr>
          <w:szCs w:val="22"/>
        </w:rPr>
      </w:pPr>
      <w:r w:rsidRPr="00203B30">
        <w:rPr>
          <w:szCs w:val="22"/>
        </w:rPr>
        <w:t xml:space="preserve">Zníženie účinku </w:t>
      </w:r>
      <w:r w:rsidRPr="00203B30">
        <w:rPr>
          <w:i/>
          <w:szCs w:val="22"/>
        </w:rPr>
        <w:t>lamotrigínu</w:t>
      </w:r>
      <w:r w:rsidRPr="00203B30">
        <w:rPr>
          <w:szCs w:val="22"/>
        </w:rPr>
        <w:t xml:space="preserve"> spoločne s jeho zvýšeným hepatálnym klírensom bolo hlásené u pacientov súbežne užívajúcich paracetamol. </w:t>
      </w:r>
    </w:p>
    <w:p w14:paraId="4C3E3DF2" w14:textId="77777777" w:rsidR="006B5D4C" w:rsidRPr="00B44244" w:rsidRDefault="006B5D4C" w:rsidP="007320B3">
      <w:pPr>
        <w:spacing w:line="240" w:lineRule="auto"/>
        <w:rPr>
          <w:szCs w:val="22"/>
        </w:rPr>
      </w:pPr>
    </w:p>
    <w:p w14:paraId="0ADB5A03" w14:textId="77777777" w:rsidR="006B5D4C" w:rsidRPr="00B44244" w:rsidRDefault="00203B30" w:rsidP="007320B3">
      <w:pPr>
        <w:spacing w:line="240" w:lineRule="auto"/>
        <w:rPr>
          <w:szCs w:val="22"/>
        </w:rPr>
      </w:pPr>
      <w:r w:rsidRPr="00203B30">
        <w:rPr>
          <w:szCs w:val="22"/>
        </w:rPr>
        <w:t>Súbežné užívanie paracetamolu a </w:t>
      </w:r>
      <w:r w:rsidRPr="00203B30">
        <w:rPr>
          <w:i/>
          <w:szCs w:val="22"/>
        </w:rPr>
        <w:t>izoniazidu</w:t>
      </w:r>
      <w:r w:rsidRPr="00203B30">
        <w:rPr>
          <w:szCs w:val="22"/>
        </w:rPr>
        <w:t xml:space="preserve"> môže zvyšovať riziko hepatotoxicity.</w:t>
      </w:r>
    </w:p>
    <w:p w14:paraId="1C18EA8D" w14:textId="77777777" w:rsidR="006B5D4C" w:rsidRPr="00B44244" w:rsidRDefault="006B5D4C" w:rsidP="007320B3">
      <w:pPr>
        <w:spacing w:line="240" w:lineRule="auto"/>
        <w:rPr>
          <w:szCs w:val="22"/>
        </w:rPr>
      </w:pPr>
    </w:p>
    <w:p w14:paraId="02EAE550" w14:textId="755C4BE1" w:rsidR="006B5D4C" w:rsidRPr="00B44244" w:rsidRDefault="00203B30" w:rsidP="007320B3">
      <w:pPr>
        <w:spacing w:line="240" w:lineRule="auto"/>
        <w:rPr>
          <w:szCs w:val="22"/>
        </w:rPr>
      </w:pPr>
      <w:r w:rsidRPr="00203B30">
        <w:rPr>
          <w:szCs w:val="22"/>
        </w:rPr>
        <w:t>Rozvoj neutropénie a hepatotoxicity sa pozoroval pri súbežnej liečbe paracetamolom a </w:t>
      </w:r>
      <w:r w:rsidRPr="00203B30">
        <w:rPr>
          <w:i/>
          <w:szCs w:val="22"/>
        </w:rPr>
        <w:t>zidovudínom</w:t>
      </w:r>
      <w:r w:rsidRPr="00203B30">
        <w:rPr>
          <w:szCs w:val="22"/>
        </w:rPr>
        <w:t xml:space="preserve">. Paracetamol </w:t>
      </w:r>
      <w:r w:rsidR="007B6AE9">
        <w:rPr>
          <w:szCs w:val="22"/>
        </w:rPr>
        <w:t>Dr.Max</w:t>
      </w:r>
      <w:r w:rsidRPr="00203B30">
        <w:rPr>
          <w:szCs w:val="22"/>
        </w:rPr>
        <w:t xml:space="preserve"> 500 mg sa má užívať len po starostlivom zvážení prínosov a rizík. </w:t>
      </w:r>
    </w:p>
    <w:p w14:paraId="086BE97C" w14:textId="77777777" w:rsidR="00655744" w:rsidRPr="00B44244" w:rsidRDefault="00655744" w:rsidP="007320B3">
      <w:pPr>
        <w:spacing w:line="240" w:lineRule="auto"/>
        <w:rPr>
          <w:szCs w:val="22"/>
        </w:rPr>
      </w:pPr>
    </w:p>
    <w:p w14:paraId="2EE8EF1A" w14:textId="77777777" w:rsidR="007320B3" w:rsidRPr="00B44244" w:rsidRDefault="00203B30" w:rsidP="007320B3">
      <w:pPr>
        <w:keepNext/>
        <w:numPr>
          <w:ilvl w:val="1"/>
          <w:numId w:val="1"/>
        </w:numPr>
        <w:spacing w:line="240" w:lineRule="auto"/>
        <w:outlineLvl w:val="0"/>
        <w:rPr>
          <w:szCs w:val="22"/>
        </w:rPr>
      </w:pPr>
      <w:r w:rsidRPr="00203B30">
        <w:rPr>
          <w:b/>
          <w:szCs w:val="22"/>
        </w:rPr>
        <w:t>Fertilita, gravidita a laktácia</w:t>
      </w:r>
    </w:p>
    <w:p w14:paraId="392973A1" w14:textId="77777777" w:rsidR="007320B3" w:rsidRPr="00B44244" w:rsidRDefault="007320B3" w:rsidP="007320B3">
      <w:pPr>
        <w:keepNext/>
        <w:spacing w:line="240" w:lineRule="auto"/>
        <w:rPr>
          <w:szCs w:val="22"/>
        </w:rPr>
      </w:pPr>
    </w:p>
    <w:p w14:paraId="0645C51D" w14:textId="77777777" w:rsidR="007320B3" w:rsidRPr="00B44244" w:rsidRDefault="00203B30" w:rsidP="007320B3">
      <w:pPr>
        <w:spacing w:line="240" w:lineRule="auto"/>
        <w:rPr>
          <w:szCs w:val="22"/>
        </w:rPr>
      </w:pPr>
      <w:r w:rsidRPr="00203B30">
        <w:rPr>
          <w:szCs w:val="22"/>
          <w:u w:val="single"/>
        </w:rPr>
        <w:t>Gravidita</w:t>
      </w:r>
    </w:p>
    <w:p w14:paraId="3DA7AE9F" w14:textId="77777777" w:rsidR="00B17C97" w:rsidRPr="00B44244" w:rsidRDefault="00203B30" w:rsidP="00B17C97">
      <w:pPr>
        <w:widowControl w:val="0"/>
        <w:rPr>
          <w:szCs w:val="22"/>
        </w:rPr>
      </w:pPr>
      <w:r w:rsidRPr="00203B30">
        <w:rPr>
          <w:szCs w:val="22"/>
        </w:rPr>
        <w:t xml:space="preserve">Veľké množstvo údajov </w:t>
      </w:r>
      <w:r w:rsidR="00A33DCA">
        <w:rPr>
          <w:szCs w:val="22"/>
        </w:rPr>
        <w:t>od</w:t>
      </w:r>
      <w:r w:rsidR="00A33DCA" w:rsidRPr="00203B30">
        <w:rPr>
          <w:szCs w:val="22"/>
        </w:rPr>
        <w:t xml:space="preserve"> </w:t>
      </w:r>
      <w:r w:rsidR="00A33DCA">
        <w:rPr>
          <w:szCs w:val="22"/>
        </w:rPr>
        <w:t>tehotných</w:t>
      </w:r>
      <w:r w:rsidRPr="00203B30">
        <w:rPr>
          <w:szCs w:val="22"/>
        </w:rPr>
        <w:t xml:space="preserve"> žien nepoukazuje na malformačnú </w:t>
      </w:r>
      <w:r w:rsidR="00A33DCA">
        <w:rPr>
          <w:szCs w:val="22"/>
        </w:rPr>
        <w:t xml:space="preserve">ani feto/neonatálnu </w:t>
      </w:r>
      <w:r w:rsidRPr="00203B30">
        <w:rPr>
          <w:szCs w:val="22"/>
        </w:rPr>
        <w:t xml:space="preserve">toxicitu. </w:t>
      </w:r>
      <w:r w:rsidR="00A33DCA" w:rsidRPr="00A33DCA">
        <w:rPr>
          <w:szCs w:val="22"/>
        </w:rPr>
        <w:t xml:space="preserve">Epidemiologické štúdie týkajúce sa vývinu nervovej sústavy u detí vystavených paracetamolu </w:t>
      </w:r>
      <w:r w:rsidR="00A33DCA" w:rsidRPr="00343CDF">
        <w:rPr>
          <w:i/>
          <w:szCs w:val="22"/>
        </w:rPr>
        <w:t>in utero</w:t>
      </w:r>
      <w:r w:rsidR="00A33DCA" w:rsidRPr="00A33DCA">
        <w:rPr>
          <w:szCs w:val="22"/>
        </w:rPr>
        <w:t xml:space="preserve"> poskytujú nepresvedčivé výsledky. Ak je to klinicky potrebné</w:t>
      </w:r>
      <w:r w:rsidR="00A33DCA">
        <w:rPr>
          <w:szCs w:val="22"/>
        </w:rPr>
        <w:t>, p</w:t>
      </w:r>
      <w:r w:rsidRPr="00203B30">
        <w:rPr>
          <w:szCs w:val="22"/>
        </w:rPr>
        <w:t xml:space="preserve">aracetamol </w:t>
      </w:r>
      <w:r w:rsidR="00942023">
        <w:rPr>
          <w:szCs w:val="22"/>
        </w:rPr>
        <w:t>je možné používať</w:t>
      </w:r>
      <w:r w:rsidRPr="00203B30">
        <w:rPr>
          <w:szCs w:val="22"/>
        </w:rPr>
        <w:t xml:space="preserve"> počas tehotenstva,</w:t>
      </w:r>
      <w:r w:rsidR="00942023" w:rsidRPr="00203B30" w:rsidDel="00942023">
        <w:rPr>
          <w:szCs w:val="22"/>
        </w:rPr>
        <w:t xml:space="preserve"> </w:t>
      </w:r>
      <w:r w:rsidRPr="00203B30">
        <w:rPr>
          <w:szCs w:val="22"/>
        </w:rPr>
        <w:t xml:space="preserve">má sa </w:t>
      </w:r>
      <w:r w:rsidR="00942023">
        <w:rPr>
          <w:szCs w:val="22"/>
        </w:rPr>
        <w:t xml:space="preserve">však používať v najnižšej </w:t>
      </w:r>
      <w:r w:rsidRPr="00203B30">
        <w:rPr>
          <w:szCs w:val="22"/>
        </w:rPr>
        <w:t>účinn</w:t>
      </w:r>
      <w:r w:rsidR="00942023">
        <w:rPr>
          <w:szCs w:val="22"/>
        </w:rPr>
        <w:t>ej</w:t>
      </w:r>
      <w:r w:rsidRPr="00203B30">
        <w:rPr>
          <w:szCs w:val="22"/>
        </w:rPr>
        <w:t xml:space="preserve"> dávk</w:t>
      </w:r>
      <w:r w:rsidR="00942023">
        <w:rPr>
          <w:szCs w:val="22"/>
        </w:rPr>
        <w:t>e</w:t>
      </w:r>
      <w:r w:rsidRPr="00203B30">
        <w:rPr>
          <w:szCs w:val="22"/>
        </w:rPr>
        <w:t xml:space="preserve"> počas najkratšej možnej doby a</w:t>
      </w:r>
      <w:r w:rsidR="00942023">
        <w:rPr>
          <w:szCs w:val="22"/>
        </w:rPr>
        <w:t xml:space="preserve"> v </w:t>
      </w:r>
      <w:r w:rsidRPr="00203B30">
        <w:rPr>
          <w:szCs w:val="22"/>
        </w:rPr>
        <w:t>najnižš</w:t>
      </w:r>
      <w:r w:rsidR="00942023">
        <w:rPr>
          <w:szCs w:val="22"/>
        </w:rPr>
        <w:t>ej</w:t>
      </w:r>
      <w:r w:rsidRPr="00203B30">
        <w:rPr>
          <w:szCs w:val="22"/>
        </w:rPr>
        <w:t xml:space="preserve"> </w:t>
      </w:r>
      <w:r w:rsidR="00942023" w:rsidRPr="00203B30">
        <w:rPr>
          <w:szCs w:val="22"/>
        </w:rPr>
        <w:t>možn</w:t>
      </w:r>
      <w:r w:rsidR="00942023">
        <w:rPr>
          <w:szCs w:val="22"/>
        </w:rPr>
        <w:t>ej</w:t>
      </w:r>
      <w:r w:rsidR="00942023" w:rsidRPr="00203B30">
        <w:rPr>
          <w:szCs w:val="22"/>
        </w:rPr>
        <w:t xml:space="preserve"> </w:t>
      </w:r>
      <w:r w:rsidRPr="00203B30">
        <w:rPr>
          <w:szCs w:val="22"/>
        </w:rPr>
        <w:t>frekvenci</w:t>
      </w:r>
      <w:r w:rsidR="00942023">
        <w:rPr>
          <w:szCs w:val="22"/>
        </w:rPr>
        <w:t>i dávkovania</w:t>
      </w:r>
      <w:r w:rsidRPr="00203B30">
        <w:rPr>
          <w:szCs w:val="22"/>
        </w:rPr>
        <w:t>.</w:t>
      </w:r>
    </w:p>
    <w:p w14:paraId="64E2CF5E" w14:textId="77777777" w:rsidR="00B17C97" w:rsidRPr="00B44244" w:rsidRDefault="00B17C97" w:rsidP="007320B3">
      <w:pPr>
        <w:spacing w:line="240" w:lineRule="auto"/>
        <w:rPr>
          <w:szCs w:val="22"/>
        </w:rPr>
      </w:pPr>
    </w:p>
    <w:p w14:paraId="6C3A3F88" w14:textId="77777777" w:rsidR="007320B3" w:rsidRPr="00B44244" w:rsidRDefault="00203B30" w:rsidP="007320B3">
      <w:pPr>
        <w:spacing w:line="240" w:lineRule="auto"/>
        <w:rPr>
          <w:szCs w:val="22"/>
          <w:u w:val="single"/>
        </w:rPr>
      </w:pPr>
      <w:r w:rsidRPr="00203B30">
        <w:rPr>
          <w:szCs w:val="22"/>
          <w:u w:val="single"/>
        </w:rPr>
        <w:t>Dojčenie</w:t>
      </w:r>
    </w:p>
    <w:p w14:paraId="11A44450" w14:textId="27E73033" w:rsidR="00B17C97" w:rsidRPr="00B44244" w:rsidRDefault="00203B30" w:rsidP="007320B3">
      <w:pPr>
        <w:spacing w:line="240" w:lineRule="auto"/>
        <w:rPr>
          <w:szCs w:val="22"/>
        </w:rPr>
      </w:pPr>
      <w:r w:rsidRPr="00203B30">
        <w:rPr>
          <w:szCs w:val="22"/>
        </w:rPr>
        <w:t xml:space="preserve">Paracetamol sa vylučuje do materského mlieka, ale v množstvách, ktoré nie sú klinicky významné. Počas krátkodobej liečby paracetamolom nie je potrebné ukončovať dojčenie, ak je novorodenec starostlivo sledovaný. Hoci </w:t>
      </w:r>
      <w:r w:rsidR="00A01E00">
        <w:rPr>
          <w:szCs w:val="22"/>
        </w:rPr>
        <w:t xml:space="preserve">sa </w:t>
      </w:r>
      <w:r w:rsidRPr="00203B30">
        <w:rPr>
          <w:szCs w:val="22"/>
        </w:rPr>
        <w:t xml:space="preserve">počas dlhodobej liečby paracetamolom nepozorovali u novorodencov nežiaduce účinky, bol hlásený jeden prípad makulopapulárnej vyrážky.  </w:t>
      </w:r>
    </w:p>
    <w:p w14:paraId="65DD66EF" w14:textId="77777777" w:rsidR="00B17C97" w:rsidRPr="00B44244" w:rsidRDefault="00B17C97" w:rsidP="007320B3">
      <w:pPr>
        <w:spacing w:line="240" w:lineRule="auto"/>
        <w:rPr>
          <w:szCs w:val="22"/>
        </w:rPr>
      </w:pPr>
    </w:p>
    <w:p w14:paraId="79C2CFAA" w14:textId="77777777" w:rsidR="007320B3" w:rsidRPr="00B44244" w:rsidRDefault="00203B30" w:rsidP="007320B3">
      <w:pPr>
        <w:spacing w:line="240" w:lineRule="auto"/>
        <w:rPr>
          <w:szCs w:val="22"/>
        </w:rPr>
      </w:pPr>
      <w:r w:rsidRPr="00203B30">
        <w:rPr>
          <w:szCs w:val="22"/>
          <w:u w:val="single"/>
        </w:rPr>
        <w:t>Fertilita</w:t>
      </w:r>
    </w:p>
    <w:p w14:paraId="41A59BBA" w14:textId="77777777" w:rsidR="00B17C97" w:rsidRPr="00B44244" w:rsidRDefault="00203B30" w:rsidP="00B17C97">
      <w:pPr>
        <w:rPr>
          <w:szCs w:val="22"/>
        </w:rPr>
      </w:pPr>
      <w:r>
        <w:rPr>
          <w:szCs w:val="22"/>
        </w:rPr>
        <w:t xml:space="preserve">Štúdie chronickej toxicity paracetamolu u zvierat preukázali výskyt atrofie semenníkov a inhibíciu spermatogenézy, relevancia tohto nálezu u človeka však nie je známa. </w:t>
      </w:r>
    </w:p>
    <w:p w14:paraId="095408DD" w14:textId="77777777" w:rsidR="007320B3" w:rsidRPr="00B44244" w:rsidRDefault="007320B3" w:rsidP="007320B3">
      <w:pPr>
        <w:spacing w:line="240" w:lineRule="auto"/>
        <w:rPr>
          <w:i/>
          <w:szCs w:val="22"/>
        </w:rPr>
      </w:pPr>
    </w:p>
    <w:p w14:paraId="77E4B50A" w14:textId="77777777" w:rsidR="007320B3" w:rsidRPr="00B44244" w:rsidRDefault="00203B30" w:rsidP="007320B3">
      <w:pPr>
        <w:keepNext/>
        <w:numPr>
          <w:ilvl w:val="1"/>
          <w:numId w:val="1"/>
        </w:numPr>
        <w:spacing w:line="240" w:lineRule="auto"/>
        <w:outlineLvl w:val="0"/>
        <w:rPr>
          <w:szCs w:val="22"/>
        </w:rPr>
      </w:pPr>
      <w:r w:rsidRPr="00203B30">
        <w:rPr>
          <w:b/>
          <w:szCs w:val="22"/>
        </w:rPr>
        <w:t>Ovplyvnenie schopnosti viesť vozidlá a obsluhovať stroje</w:t>
      </w:r>
    </w:p>
    <w:p w14:paraId="1C0227A9" w14:textId="77777777" w:rsidR="007320B3" w:rsidRPr="00B44244" w:rsidRDefault="007320B3" w:rsidP="007320B3">
      <w:pPr>
        <w:keepNext/>
        <w:spacing w:line="240" w:lineRule="auto"/>
        <w:rPr>
          <w:szCs w:val="22"/>
        </w:rPr>
      </w:pPr>
    </w:p>
    <w:p w14:paraId="19B84EF2" w14:textId="6B30D9AF" w:rsidR="007320B3" w:rsidRPr="00B44244" w:rsidRDefault="00203B30" w:rsidP="007320B3">
      <w:pPr>
        <w:spacing w:line="240" w:lineRule="auto"/>
        <w:rPr>
          <w:szCs w:val="22"/>
        </w:rPr>
      </w:pPr>
      <w:r w:rsidRPr="00203B30">
        <w:rPr>
          <w:szCs w:val="22"/>
        </w:rPr>
        <w:t xml:space="preserve">Paracetamol </w:t>
      </w:r>
      <w:r w:rsidR="007B6AE9">
        <w:rPr>
          <w:szCs w:val="22"/>
        </w:rPr>
        <w:t>Dr.Max</w:t>
      </w:r>
      <w:r w:rsidRPr="00203B30">
        <w:rPr>
          <w:szCs w:val="22"/>
        </w:rPr>
        <w:t xml:space="preserve"> 500 mg nemá žiadny vplyv na schopnosť viesť vozidlá a obsluhovať stroje. </w:t>
      </w:r>
    </w:p>
    <w:p w14:paraId="4EB95781" w14:textId="77777777" w:rsidR="007320B3" w:rsidRPr="00B44244" w:rsidRDefault="007320B3" w:rsidP="007320B3">
      <w:pPr>
        <w:spacing w:line="240" w:lineRule="auto"/>
        <w:rPr>
          <w:szCs w:val="22"/>
        </w:rPr>
      </w:pPr>
    </w:p>
    <w:p w14:paraId="375ED58B" w14:textId="77777777" w:rsidR="007320B3" w:rsidRPr="00B44244" w:rsidRDefault="00203B30" w:rsidP="007320B3">
      <w:pPr>
        <w:keepNext/>
        <w:numPr>
          <w:ilvl w:val="1"/>
          <w:numId w:val="1"/>
        </w:numPr>
        <w:spacing w:line="240" w:lineRule="auto"/>
        <w:outlineLvl w:val="0"/>
        <w:rPr>
          <w:b/>
          <w:szCs w:val="22"/>
        </w:rPr>
      </w:pPr>
      <w:r w:rsidRPr="00203B30">
        <w:rPr>
          <w:b/>
          <w:szCs w:val="22"/>
        </w:rPr>
        <w:t>Nežiaduce účinky</w:t>
      </w:r>
    </w:p>
    <w:p w14:paraId="4C32FBA1" w14:textId="77777777" w:rsidR="007320B3" w:rsidRPr="00B44244" w:rsidRDefault="007320B3" w:rsidP="007320B3">
      <w:pPr>
        <w:keepNext/>
        <w:autoSpaceDE w:val="0"/>
        <w:autoSpaceDN w:val="0"/>
        <w:adjustRightInd w:val="0"/>
        <w:spacing w:line="240" w:lineRule="auto"/>
        <w:jc w:val="both"/>
        <w:rPr>
          <w:szCs w:val="22"/>
        </w:rPr>
      </w:pPr>
    </w:p>
    <w:p w14:paraId="5AEC29ED" w14:textId="77777777" w:rsidR="004C63D2" w:rsidRPr="00B44244" w:rsidRDefault="00203B30" w:rsidP="004C63D2">
      <w:pPr>
        <w:autoSpaceDE w:val="0"/>
        <w:autoSpaceDN w:val="0"/>
        <w:adjustRightInd w:val="0"/>
        <w:spacing w:line="240" w:lineRule="auto"/>
        <w:rPr>
          <w:szCs w:val="22"/>
        </w:rPr>
      </w:pPr>
      <w:r>
        <w:rPr>
          <w:szCs w:val="22"/>
        </w:rPr>
        <w:t>Nasledujúce nežiaduce účinky sú rozdelené podľa orgánových tried a na základe frekvencie výskytu sa delia na:</w:t>
      </w:r>
    </w:p>
    <w:p w14:paraId="31114C27" w14:textId="77777777" w:rsidR="004C63D2" w:rsidRPr="00B44244" w:rsidRDefault="00203B30" w:rsidP="004C63D2">
      <w:pPr>
        <w:autoSpaceDE w:val="0"/>
        <w:autoSpaceDN w:val="0"/>
        <w:adjustRightInd w:val="0"/>
        <w:spacing w:line="240" w:lineRule="auto"/>
        <w:rPr>
          <w:szCs w:val="22"/>
        </w:rPr>
      </w:pPr>
      <w:r>
        <w:rPr>
          <w:szCs w:val="22"/>
        </w:rPr>
        <w:t>veľmi časté (</w:t>
      </w:r>
      <w:r>
        <w:rPr>
          <w:szCs w:val="22"/>
        </w:rPr>
        <w:sym w:font="Symbol" w:char="F0B3"/>
      </w:r>
      <w:r>
        <w:rPr>
          <w:szCs w:val="22"/>
        </w:rPr>
        <w:t>1/10); časté (</w:t>
      </w:r>
      <w:r>
        <w:rPr>
          <w:szCs w:val="22"/>
        </w:rPr>
        <w:sym w:font="Symbol" w:char="F0B3"/>
      </w:r>
      <w:r>
        <w:rPr>
          <w:szCs w:val="22"/>
        </w:rPr>
        <w:t>1/100 až &lt;1/10); menej časté (</w:t>
      </w:r>
      <w:r>
        <w:rPr>
          <w:szCs w:val="22"/>
        </w:rPr>
        <w:sym w:font="Symbol" w:char="F0B3"/>
      </w:r>
      <w:r>
        <w:rPr>
          <w:szCs w:val="22"/>
        </w:rPr>
        <w:t>1/1 000 až &lt;1/100); zriedkavé (</w:t>
      </w:r>
      <w:r>
        <w:rPr>
          <w:szCs w:val="22"/>
        </w:rPr>
        <w:sym w:font="Symbol" w:char="F0B3"/>
      </w:r>
      <w:r>
        <w:rPr>
          <w:szCs w:val="22"/>
        </w:rPr>
        <w:t>1/10 000 až &lt;1/1 000); menej zriedkavé (&lt;1/10 000); neznáme (z dostupných údajov).</w:t>
      </w:r>
    </w:p>
    <w:p w14:paraId="7FA352F3" w14:textId="77777777" w:rsidR="007320B3" w:rsidRPr="00B44244" w:rsidRDefault="007320B3" w:rsidP="007320B3">
      <w:pPr>
        <w:autoSpaceDE w:val="0"/>
        <w:autoSpaceDN w:val="0"/>
        <w:adjustRightInd w:val="0"/>
        <w:spacing w:line="240" w:lineRule="auto"/>
        <w:jc w:val="both"/>
        <w:rPr>
          <w:szCs w:val="22"/>
        </w:rPr>
      </w:pPr>
    </w:p>
    <w:tbl>
      <w:tblPr>
        <w:tblStyle w:val="Mriekatabuky"/>
        <w:tblW w:w="0" w:type="auto"/>
        <w:tblLook w:val="04A0" w:firstRow="1" w:lastRow="0" w:firstColumn="1" w:lastColumn="0" w:noHBand="0" w:noVBand="1"/>
      </w:tblPr>
      <w:tblGrid>
        <w:gridCol w:w="2802"/>
        <w:gridCol w:w="1842"/>
        <w:gridCol w:w="4568"/>
      </w:tblGrid>
      <w:tr w:rsidR="004C63D2" w:rsidRPr="00B44244" w14:paraId="2FC152B0" w14:textId="77777777" w:rsidTr="004C63D2">
        <w:tc>
          <w:tcPr>
            <w:tcW w:w="2802" w:type="dxa"/>
          </w:tcPr>
          <w:p w14:paraId="37B22BDD" w14:textId="77777777" w:rsidR="004C63D2" w:rsidRPr="00B44244" w:rsidRDefault="004C63D2" w:rsidP="007320B3">
            <w:pPr>
              <w:autoSpaceDE w:val="0"/>
              <w:autoSpaceDN w:val="0"/>
              <w:adjustRightInd w:val="0"/>
              <w:spacing w:line="240" w:lineRule="auto"/>
              <w:jc w:val="both"/>
              <w:rPr>
                <w:b/>
                <w:szCs w:val="22"/>
              </w:rPr>
            </w:pPr>
            <w:r w:rsidRPr="00B44244">
              <w:rPr>
                <w:b/>
                <w:szCs w:val="22"/>
              </w:rPr>
              <w:t>Trieda orgánov</w:t>
            </w:r>
          </w:p>
        </w:tc>
        <w:tc>
          <w:tcPr>
            <w:tcW w:w="1842" w:type="dxa"/>
          </w:tcPr>
          <w:p w14:paraId="4949933A" w14:textId="77777777" w:rsidR="004C63D2" w:rsidRPr="00B44244" w:rsidRDefault="004C63D2" w:rsidP="007320B3">
            <w:pPr>
              <w:autoSpaceDE w:val="0"/>
              <w:autoSpaceDN w:val="0"/>
              <w:adjustRightInd w:val="0"/>
              <w:spacing w:line="240" w:lineRule="auto"/>
              <w:jc w:val="both"/>
              <w:rPr>
                <w:b/>
                <w:szCs w:val="22"/>
              </w:rPr>
            </w:pPr>
            <w:r w:rsidRPr="00B44244">
              <w:rPr>
                <w:b/>
                <w:szCs w:val="22"/>
              </w:rPr>
              <w:t xml:space="preserve">Frekvencia </w:t>
            </w:r>
          </w:p>
        </w:tc>
        <w:tc>
          <w:tcPr>
            <w:tcW w:w="4568" w:type="dxa"/>
          </w:tcPr>
          <w:p w14:paraId="26A1FF06" w14:textId="77777777" w:rsidR="004C63D2" w:rsidRPr="00B44244" w:rsidRDefault="00203B30" w:rsidP="007320B3">
            <w:pPr>
              <w:autoSpaceDE w:val="0"/>
              <w:autoSpaceDN w:val="0"/>
              <w:adjustRightInd w:val="0"/>
              <w:spacing w:line="240" w:lineRule="auto"/>
              <w:jc w:val="both"/>
              <w:rPr>
                <w:b/>
                <w:szCs w:val="22"/>
              </w:rPr>
            </w:pPr>
            <w:r w:rsidRPr="00203B30">
              <w:rPr>
                <w:b/>
                <w:szCs w:val="22"/>
              </w:rPr>
              <w:t>Nežiaduce účinky</w:t>
            </w:r>
          </w:p>
        </w:tc>
      </w:tr>
      <w:tr w:rsidR="004C63D2" w:rsidRPr="00B44244" w14:paraId="2235C257" w14:textId="77777777" w:rsidTr="004C63D2">
        <w:tc>
          <w:tcPr>
            <w:tcW w:w="2802" w:type="dxa"/>
          </w:tcPr>
          <w:p w14:paraId="268DE4AF" w14:textId="77777777" w:rsidR="004C63D2" w:rsidRPr="00B44244" w:rsidRDefault="00203B30" w:rsidP="004C63D2">
            <w:pPr>
              <w:autoSpaceDE w:val="0"/>
              <w:autoSpaceDN w:val="0"/>
              <w:adjustRightInd w:val="0"/>
              <w:spacing w:line="240" w:lineRule="auto"/>
              <w:rPr>
                <w:szCs w:val="22"/>
              </w:rPr>
            </w:pPr>
            <w:r w:rsidRPr="00203B30">
              <w:rPr>
                <w:szCs w:val="22"/>
              </w:rPr>
              <w:t>Porucha krvi a lymfatického systému</w:t>
            </w:r>
          </w:p>
        </w:tc>
        <w:tc>
          <w:tcPr>
            <w:tcW w:w="1842" w:type="dxa"/>
          </w:tcPr>
          <w:p w14:paraId="2C8AD0A3" w14:textId="77777777" w:rsidR="004C63D2" w:rsidRPr="00B44244" w:rsidRDefault="00203B30" w:rsidP="004C63D2">
            <w:pPr>
              <w:autoSpaceDE w:val="0"/>
              <w:autoSpaceDN w:val="0"/>
              <w:adjustRightInd w:val="0"/>
              <w:spacing w:line="240" w:lineRule="auto"/>
              <w:rPr>
                <w:szCs w:val="22"/>
              </w:rPr>
            </w:pPr>
            <w:r w:rsidRPr="00203B30">
              <w:rPr>
                <w:szCs w:val="22"/>
              </w:rPr>
              <w:t>Veľmi zriedkavé</w:t>
            </w:r>
          </w:p>
        </w:tc>
        <w:tc>
          <w:tcPr>
            <w:tcW w:w="4568" w:type="dxa"/>
          </w:tcPr>
          <w:p w14:paraId="6472C67E" w14:textId="77777777" w:rsidR="004C63D2" w:rsidRPr="00B44244" w:rsidRDefault="00203B30" w:rsidP="004C63D2">
            <w:pPr>
              <w:autoSpaceDE w:val="0"/>
              <w:autoSpaceDN w:val="0"/>
              <w:adjustRightInd w:val="0"/>
              <w:spacing w:line="240" w:lineRule="auto"/>
              <w:rPr>
                <w:szCs w:val="22"/>
              </w:rPr>
            </w:pPr>
            <w:r w:rsidRPr="00203B30">
              <w:rPr>
                <w:szCs w:val="22"/>
              </w:rPr>
              <w:t>trombocytopénia, agranulocytóza, leukopénia, pancytopénia, neutropénia</w:t>
            </w:r>
          </w:p>
        </w:tc>
      </w:tr>
      <w:tr w:rsidR="004C63D2" w:rsidRPr="00B44244" w14:paraId="6AD792A4" w14:textId="77777777" w:rsidTr="004C63D2">
        <w:tc>
          <w:tcPr>
            <w:tcW w:w="2802" w:type="dxa"/>
          </w:tcPr>
          <w:p w14:paraId="036D5309" w14:textId="77777777" w:rsidR="004C63D2" w:rsidRPr="00B44244" w:rsidRDefault="00203B30" w:rsidP="004C63D2">
            <w:pPr>
              <w:autoSpaceDE w:val="0"/>
              <w:autoSpaceDN w:val="0"/>
              <w:adjustRightInd w:val="0"/>
              <w:spacing w:line="240" w:lineRule="auto"/>
              <w:rPr>
                <w:szCs w:val="22"/>
              </w:rPr>
            </w:pPr>
            <w:r w:rsidRPr="00203B30">
              <w:rPr>
                <w:szCs w:val="22"/>
              </w:rPr>
              <w:t>Poruchy imunitného systému</w:t>
            </w:r>
          </w:p>
        </w:tc>
        <w:tc>
          <w:tcPr>
            <w:tcW w:w="1842" w:type="dxa"/>
          </w:tcPr>
          <w:p w14:paraId="14172211" w14:textId="77777777" w:rsidR="004C63D2" w:rsidRPr="00B44244" w:rsidRDefault="00203B30">
            <w:pPr>
              <w:rPr>
                <w:szCs w:val="22"/>
              </w:rPr>
            </w:pPr>
            <w:r w:rsidRPr="00203B30">
              <w:rPr>
                <w:szCs w:val="22"/>
              </w:rPr>
              <w:t>Veľmi zriedkavé</w:t>
            </w:r>
          </w:p>
        </w:tc>
        <w:tc>
          <w:tcPr>
            <w:tcW w:w="4568" w:type="dxa"/>
          </w:tcPr>
          <w:p w14:paraId="56829694" w14:textId="77777777" w:rsidR="004C63D2" w:rsidRPr="00B44244" w:rsidRDefault="00203B30" w:rsidP="004C63D2">
            <w:pPr>
              <w:autoSpaceDE w:val="0"/>
              <w:autoSpaceDN w:val="0"/>
              <w:adjustRightInd w:val="0"/>
              <w:spacing w:line="240" w:lineRule="auto"/>
              <w:rPr>
                <w:szCs w:val="22"/>
              </w:rPr>
            </w:pPr>
            <w:r w:rsidRPr="00203B30">
              <w:rPr>
                <w:szCs w:val="22"/>
              </w:rPr>
              <w:t>anafylaxia (vrátane anafylaktického šoku), angioedém</w:t>
            </w:r>
          </w:p>
        </w:tc>
      </w:tr>
      <w:tr w:rsidR="004C63D2" w:rsidRPr="00B44244" w14:paraId="1B3F0152" w14:textId="77777777" w:rsidTr="004C63D2">
        <w:tc>
          <w:tcPr>
            <w:tcW w:w="2802" w:type="dxa"/>
          </w:tcPr>
          <w:p w14:paraId="6B21867A" w14:textId="77777777" w:rsidR="004C63D2" w:rsidRPr="00B44244" w:rsidRDefault="00203B30" w:rsidP="004C63D2">
            <w:pPr>
              <w:autoSpaceDE w:val="0"/>
              <w:autoSpaceDN w:val="0"/>
              <w:adjustRightInd w:val="0"/>
              <w:spacing w:line="240" w:lineRule="auto"/>
              <w:rPr>
                <w:szCs w:val="22"/>
              </w:rPr>
            </w:pPr>
            <w:r w:rsidRPr="00203B30">
              <w:rPr>
                <w:szCs w:val="22"/>
              </w:rPr>
              <w:t>Poruchy dýchacej sústavy, hrudníka a mediastína</w:t>
            </w:r>
          </w:p>
        </w:tc>
        <w:tc>
          <w:tcPr>
            <w:tcW w:w="1842" w:type="dxa"/>
          </w:tcPr>
          <w:p w14:paraId="0030DB8D" w14:textId="77777777" w:rsidR="004C63D2" w:rsidRPr="00B44244" w:rsidRDefault="00203B30">
            <w:pPr>
              <w:rPr>
                <w:szCs w:val="22"/>
              </w:rPr>
            </w:pPr>
            <w:r w:rsidRPr="00203B30">
              <w:rPr>
                <w:szCs w:val="22"/>
              </w:rPr>
              <w:t>Veľmi zriedkavé</w:t>
            </w:r>
          </w:p>
        </w:tc>
        <w:tc>
          <w:tcPr>
            <w:tcW w:w="4568" w:type="dxa"/>
          </w:tcPr>
          <w:p w14:paraId="6D6372FB" w14:textId="77777777" w:rsidR="004C63D2" w:rsidRPr="00B44244" w:rsidRDefault="00203B30" w:rsidP="004C63D2">
            <w:pPr>
              <w:autoSpaceDE w:val="0"/>
              <w:autoSpaceDN w:val="0"/>
              <w:adjustRightInd w:val="0"/>
              <w:spacing w:line="240" w:lineRule="auto"/>
              <w:rPr>
                <w:szCs w:val="22"/>
              </w:rPr>
            </w:pPr>
            <w:r w:rsidRPr="00203B30">
              <w:rPr>
                <w:szCs w:val="22"/>
              </w:rPr>
              <w:t>bronchospazmus</w:t>
            </w:r>
          </w:p>
        </w:tc>
      </w:tr>
      <w:tr w:rsidR="004C63D2" w:rsidRPr="00B44244" w14:paraId="00FA2D92" w14:textId="77777777" w:rsidTr="004C63D2">
        <w:tc>
          <w:tcPr>
            <w:tcW w:w="2802" w:type="dxa"/>
            <w:vMerge w:val="restart"/>
          </w:tcPr>
          <w:p w14:paraId="5B226B7F" w14:textId="77777777" w:rsidR="004C63D2" w:rsidRPr="00B44244" w:rsidRDefault="00203B30" w:rsidP="004C63D2">
            <w:pPr>
              <w:autoSpaceDE w:val="0"/>
              <w:autoSpaceDN w:val="0"/>
              <w:adjustRightInd w:val="0"/>
              <w:spacing w:line="240" w:lineRule="auto"/>
              <w:rPr>
                <w:szCs w:val="22"/>
              </w:rPr>
            </w:pPr>
            <w:r w:rsidRPr="00203B30">
              <w:rPr>
                <w:szCs w:val="22"/>
              </w:rPr>
              <w:t>Poruchy pečene a žlčových ciest</w:t>
            </w:r>
          </w:p>
        </w:tc>
        <w:tc>
          <w:tcPr>
            <w:tcW w:w="1842" w:type="dxa"/>
          </w:tcPr>
          <w:p w14:paraId="5282D6A1" w14:textId="77777777" w:rsidR="004C63D2" w:rsidRPr="00B44244" w:rsidRDefault="00203B30">
            <w:pPr>
              <w:rPr>
                <w:szCs w:val="22"/>
              </w:rPr>
            </w:pPr>
            <w:r w:rsidRPr="00203B30">
              <w:rPr>
                <w:szCs w:val="22"/>
              </w:rPr>
              <w:t>Veľmi zriedkavé</w:t>
            </w:r>
          </w:p>
        </w:tc>
        <w:tc>
          <w:tcPr>
            <w:tcW w:w="4568" w:type="dxa"/>
          </w:tcPr>
          <w:p w14:paraId="0070C31F" w14:textId="77777777" w:rsidR="004C63D2" w:rsidRPr="00B44244" w:rsidRDefault="00203B30" w:rsidP="004C63D2">
            <w:pPr>
              <w:autoSpaceDE w:val="0"/>
              <w:autoSpaceDN w:val="0"/>
              <w:adjustRightInd w:val="0"/>
              <w:spacing w:line="240" w:lineRule="auto"/>
              <w:rPr>
                <w:szCs w:val="22"/>
              </w:rPr>
            </w:pPr>
            <w:r w:rsidRPr="00203B30">
              <w:rPr>
                <w:szCs w:val="22"/>
              </w:rPr>
              <w:t>žltačka</w:t>
            </w:r>
          </w:p>
        </w:tc>
      </w:tr>
      <w:tr w:rsidR="004C63D2" w:rsidRPr="00B44244" w14:paraId="7F77F337" w14:textId="77777777" w:rsidTr="004C63D2">
        <w:tc>
          <w:tcPr>
            <w:tcW w:w="2802" w:type="dxa"/>
            <w:vMerge/>
          </w:tcPr>
          <w:p w14:paraId="18B2DB16" w14:textId="77777777" w:rsidR="004C63D2" w:rsidRPr="00B44244" w:rsidRDefault="004C63D2" w:rsidP="004C63D2">
            <w:pPr>
              <w:autoSpaceDE w:val="0"/>
              <w:autoSpaceDN w:val="0"/>
              <w:adjustRightInd w:val="0"/>
              <w:spacing w:line="240" w:lineRule="auto"/>
              <w:rPr>
                <w:szCs w:val="22"/>
              </w:rPr>
            </w:pPr>
          </w:p>
        </w:tc>
        <w:tc>
          <w:tcPr>
            <w:tcW w:w="1842" w:type="dxa"/>
          </w:tcPr>
          <w:p w14:paraId="208B9DF1" w14:textId="77777777" w:rsidR="004C63D2" w:rsidRPr="00B44244" w:rsidRDefault="00203B30" w:rsidP="004C63D2">
            <w:pPr>
              <w:autoSpaceDE w:val="0"/>
              <w:autoSpaceDN w:val="0"/>
              <w:adjustRightInd w:val="0"/>
              <w:spacing w:line="240" w:lineRule="auto"/>
              <w:rPr>
                <w:szCs w:val="22"/>
              </w:rPr>
            </w:pPr>
            <w:r w:rsidRPr="00203B30">
              <w:rPr>
                <w:szCs w:val="22"/>
              </w:rPr>
              <w:t xml:space="preserve">Neznáme </w:t>
            </w:r>
          </w:p>
        </w:tc>
        <w:tc>
          <w:tcPr>
            <w:tcW w:w="4568" w:type="dxa"/>
          </w:tcPr>
          <w:p w14:paraId="2736E18F" w14:textId="77777777" w:rsidR="004C63D2" w:rsidRPr="00B44244" w:rsidRDefault="00203B30" w:rsidP="004C63D2">
            <w:pPr>
              <w:autoSpaceDE w:val="0"/>
              <w:autoSpaceDN w:val="0"/>
              <w:adjustRightInd w:val="0"/>
              <w:spacing w:line="240" w:lineRule="auto"/>
              <w:rPr>
                <w:szCs w:val="22"/>
              </w:rPr>
            </w:pPr>
            <w:r w:rsidRPr="00203B30">
              <w:rPr>
                <w:szCs w:val="22"/>
              </w:rPr>
              <w:t>cytolytická hepatitída, ktorá môže viesť k akútnemu zlyhaniu pečene</w:t>
            </w:r>
          </w:p>
        </w:tc>
      </w:tr>
      <w:tr w:rsidR="004C63D2" w:rsidRPr="00B44244" w14:paraId="0E4B6A88" w14:textId="77777777" w:rsidTr="004C63D2">
        <w:tc>
          <w:tcPr>
            <w:tcW w:w="2802" w:type="dxa"/>
            <w:vMerge w:val="restart"/>
          </w:tcPr>
          <w:p w14:paraId="37BA7962" w14:textId="77777777" w:rsidR="004C63D2" w:rsidRPr="00B44244" w:rsidRDefault="00203B30" w:rsidP="004C63D2">
            <w:pPr>
              <w:autoSpaceDE w:val="0"/>
              <w:autoSpaceDN w:val="0"/>
              <w:adjustRightInd w:val="0"/>
              <w:spacing w:line="240" w:lineRule="auto"/>
              <w:rPr>
                <w:szCs w:val="22"/>
              </w:rPr>
            </w:pPr>
            <w:r w:rsidRPr="00203B30">
              <w:rPr>
                <w:szCs w:val="22"/>
              </w:rPr>
              <w:t>Poruchy kože a podkožného tkaniva</w:t>
            </w:r>
          </w:p>
        </w:tc>
        <w:tc>
          <w:tcPr>
            <w:tcW w:w="1842" w:type="dxa"/>
          </w:tcPr>
          <w:p w14:paraId="07CF7228" w14:textId="77777777" w:rsidR="004C63D2" w:rsidRPr="00B44244" w:rsidRDefault="00203B30" w:rsidP="004C63D2">
            <w:pPr>
              <w:autoSpaceDE w:val="0"/>
              <w:autoSpaceDN w:val="0"/>
              <w:adjustRightInd w:val="0"/>
              <w:spacing w:line="240" w:lineRule="auto"/>
              <w:rPr>
                <w:szCs w:val="22"/>
              </w:rPr>
            </w:pPr>
            <w:r w:rsidRPr="00203B30">
              <w:rPr>
                <w:szCs w:val="22"/>
              </w:rPr>
              <w:t xml:space="preserve">Zriedkavé </w:t>
            </w:r>
          </w:p>
        </w:tc>
        <w:tc>
          <w:tcPr>
            <w:tcW w:w="4568" w:type="dxa"/>
          </w:tcPr>
          <w:p w14:paraId="3C5B1BEF" w14:textId="77777777" w:rsidR="004C63D2" w:rsidRPr="00B44244" w:rsidRDefault="00203B30" w:rsidP="004C63D2">
            <w:pPr>
              <w:autoSpaceDE w:val="0"/>
              <w:autoSpaceDN w:val="0"/>
              <w:adjustRightInd w:val="0"/>
              <w:spacing w:line="240" w:lineRule="auto"/>
              <w:rPr>
                <w:szCs w:val="22"/>
              </w:rPr>
            </w:pPr>
            <w:r w:rsidRPr="00203B30">
              <w:rPr>
                <w:szCs w:val="22"/>
              </w:rPr>
              <w:t>kožná alergická reakcia, vyrážka</w:t>
            </w:r>
          </w:p>
        </w:tc>
      </w:tr>
      <w:tr w:rsidR="004C63D2" w:rsidRPr="00B44244" w14:paraId="693EF7D1" w14:textId="77777777" w:rsidTr="004C63D2">
        <w:tc>
          <w:tcPr>
            <w:tcW w:w="2802" w:type="dxa"/>
            <w:vMerge/>
          </w:tcPr>
          <w:p w14:paraId="7E429A8D" w14:textId="77777777" w:rsidR="004C63D2" w:rsidRPr="00B44244" w:rsidRDefault="004C63D2" w:rsidP="004C63D2">
            <w:pPr>
              <w:autoSpaceDE w:val="0"/>
              <w:autoSpaceDN w:val="0"/>
              <w:adjustRightInd w:val="0"/>
              <w:spacing w:line="240" w:lineRule="auto"/>
              <w:rPr>
                <w:szCs w:val="22"/>
              </w:rPr>
            </w:pPr>
          </w:p>
        </w:tc>
        <w:tc>
          <w:tcPr>
            <w:tcW w:w="1842" w:type="dxa"/>
          </w:tcPr>
          <w:p w14:paraId="5C30076F" w14:textId="77777777" w:rsidR="004C63D2" w:rsidRPr="00B44244" w:rsidRDefault="00203B30" w:rsidP="004C63D2">
            <w:pPr>
              <w:autoSpaceDE w:val="0"/>
              <w:autoSpaceDN w:val="0"/>
              <w:adjustRightInd w:val="0"/>
              <w:spacing w:line="240" w:lineRule="auto"/>
              <w:rPr>
                <w:szCs w:val="22"/>
              </w:rPr>
            </w:pPr>
            <w:r w:rsidRPr="00203B30">
              <w:rPr>
                <w:szCs w:val="22"/>
              </w:rPr>
              <w:t>Veľmi zriedkavé</w:t>
            </w:r>
          </w:p>
        </w:tc>
        <w:tc>
          <w:tcPr>
            <w:tcW w:w="4568" w:type="dxa"/>
          </w:tcPr>
          <w:p w14:paraId="399A230A" w14:textId="77777777" w:rsidR="004C63D2" w:rsidRPr="00B44244" w:rsidRDefault="00203B30" w:rsidP="004C63D2">
            <w:pPr>
              <w:autoSpaceDE w:val="0"/>
              <w:autoSpaceDN w:val="0"/>
              <w:adjustRightInd w:val="0"/>
              <w:spacing w:line="240" w:lineRule="auto"/>
              <w:rPr>
                <w:szCs w:val="22"/>
              </w:rPr>
            </w:pPr>
            <w:r w:rsidRPr="00203B30">
              <w:rPr>
                <w:szCs w:val="22"/>
              </w:rPr>
              <w:t>erytém, žihľavka, závažné kožné reakcie, ako je toxická epidermálna nekrolýza (TEN), Stevensov-Johnsonov syndróm (SJS), akútna generalizovaná exantematózna pustulóza, fixný liekový exantém</w:t>
            </w:r>
          </w:p>
        </w:tc>
      </w:tr>
    </w:tbl>
    <w:p w14:paraId="2FB60E2E" w14:textId="77777777" w:rsidR="004C63D2" w:rsidRPr="00B44244" w:rsidRDefault="004C63D2" w:rsidP="007320B3">
      <w:pPr>
        <w:autoSpaceDE w:val="0"/>
        <w:autoSpaceDN w:val="0"/>
        <w:adjustRightInd w:val="0"/>
        <w:spacing w:line="240" w:lineRule="auto"/>
        <w:jc w:val="both"/>
        <w:rPr>
          <w:szCs w:val="22"/>
        </w:rPr>
      </w:pPr>
    </w:p>
    <w:p w14:paraId="764ABAD9" w14:textId="77777777" w:rsidR="007320B3" w:rsidRPr="00B44244" w:rsidRDefault="00203B30" w:rsidP="007320B3">
      <w:pPr>
        <w:keepNext/>
        <w:autoSpaceDE w:val="0"/>
        <w:autoSpaceDN w:val="0"/>
        <w:adjustRightInd w:val="0"/>
        <w:spacing w:line="240" w:lineRule="auto"/>
        <w:rPr>
          <w:szCs w:val="22"/>
          <w:u w:val="single"/>
        </w:rPr>
      </w:pPr>
      <w:r w:rsidRPr="00203B30">
        <w:rPr>
          <w:szCs w:val="22"/>
          <w:u w:val="single"/>
        </w:rPr>
        <w:t>Hlásenie podozrení na nežiaduce reakcie</w:t>
      </w:r>
    </w:p>
    <w:p w14:paraId="2BEF0341" w14:textId="77777777" w:rsidR="007320B3" w:rsidRPr="00B44244" w:rsidRDefault="00203B30" w:rsidP="007320B3">
      <w:pPr>
        <w:autoSpaceDE w:val="0"/>
        <w:autoSpaceDN w:val="0"/>
        <w:adjustRightInd w:val="0"/>
        <w:spacing w:line="240" w:lineRule="auto"/>
        <w:rPr>
          <w:szCs w:val="22"/>
        </w:rPr>
      </w:pPr>
      <w:r w:rsidRPr="00203B30">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03B30">
        <w:rPr>
          <w:szCs w:val="22"/>
          <w:highlight w:val="lightGray"/>
        </w:rPr>
        <w:t>národné centrum hlásenia uvedené v </w:t>
      </w:r>
      <w:hyperlink r:id="rId11" w:history="1">
        <w:r w:rsidR="007320B3" w:rsidRPr="00B44244">
          <w:rPr>
            <w:rStyle w:val="Hypertextovprepojenie"/>
            <w:szCs w:val="22"/>
            <w:highlight w:val="lightGray"/>
          </w:rPr>
          <w:t>Prílohe V</w:t>
        </w:r>
      </w:hyperlink>
      <w:r w:rsidR="004C63D2" w:rsidRPr="00B44244">
        <w:rPr>
          <w:color w:val="008000"/>
          <w:szCs w:val="22"/>
        </w:rPr>
        <w:t>.</w:t>
      </w:r>
    </w:p>
    <w:p w14:paraId="0B5CA829" w14:textId="77777777" w:rsidR="007320B3" w:rsidRPr="00B44244" w:rsidRDefault="007320B3" w:rsidP="007320B3">
      <w:pPr>
        <w:autoSpaceDE w:val="0"/>
        <w:autoSpaceDN w:val="0"/>
        <w:adjustRightInd w:val="0"/>
        <w:spacing w:line="240" w:lineRule="auto"/>
        <w:rPr>
          <w:szCs w:val="22"/>
        </w:rPr>
      </w:pPr>
    </w:p>
    <w:p w14:paraId="7CABF4AC" w14:textId="77777777" w:rsidR="007320B3" w:rsidRPr="00B44244" w:rsidRDefault="00203B30" w:rsidP="007320B3">
      <w:pPr>
        <w:keepNext/>
        <w:numPr>
          <w:ilvl w:val="1"/>
          <w:numId w:val="1"/>
        </w:numPr>
        <w:spacing w:line="240" w:lineRule="auto"/>
        <w:outlineLvl w:val="0"/>
        <w:rPr>
          <w:szCs w:val="22"/>
        </w:rPr>
      </w:pPr>
      <w:r w:rsidRPr="00203B30">
        <w:rPr>
          <w:b/>
          <w:szCs w:val="22"/>
        </w:rPr>
        <w:t>Predávkovanie</w:t>
      </w:r>
    </w:p>
    <w:p w14:paraId="6BD66B22" w14:textId="77777777" w:rsidR="007320B3" w:rsidRPr="00B44244" w:rsidRDefault="007320B3" w:rsidP="007320B3">
      <w:pPr>
        <w:spacing w:line="240" w:lineRule="auto"/>
        <w:rPr>
          <w:szCs w:val="22"/>
        </w:rPr>
      </w:pPr>
    </w:p>
    <w:p w14:paraId="1BD8F2E9" w14:textId="77777777" w:rsidR="009D5AD6" w:rsidRPr="00B44244" w:rsidRDefault="00203B30" w:rsidP="009D5AD6">
      <w:pPr>
        <w:widowControl w:val="0"/>
        <w:rPr>
          <w:szCs w:val="22"/>
        </w:rPr>
      </w:pPr>
      <w:r w:rsidRPr="00203B30">
        <w:rPr>
          <w:szCs w:val="22"/>
        </w:rPr>
        <w:t xml:space="preserve">Predávkovanie už relatívne nízkymi dávkami paracetamolu (8 – 15 g v závislosti od telesnej hmotnosti pacienta) môže mať za následok závažné poškodenie pečene a niekedy akútnu renálnu tubulárnu nekrózu. </w:t>
      </w:r>
    </w:p>
    <w:p w14:paraId="6CEB9C59" w14:textId="77777777" w:rsidR="009D5AD6" w:rsidRPr="00B44244" w:rsidRDefault="00203B30" w:rsidP="009D5AD6">
      <w:pPr>
        <w:widowControl w:val="0"/>
        <w:rPr>
          <w:szCs w:val="22"/>
        </w:rPr>
      </w:pPr>
      <w:r w:rsidRPr="00203B30">
        <w:rPr>
          <w:szCs w:val="22"/>
        </w:rPr>
        <w:t>K poškodeniu pečene po požití 5 alebo viac gramov paracetamolu môže dôjsť u pacientov s nasledovnými rizikovými faktormi:</w:t>
      </w:r>
    </w:p>
    <w:p w14:paraId="25D9FC04" w14:textId="77777777" w:rsidR="009D5AD6" w:rsidRPr="00B44244" w:rsidRDefault="00203B30" w:rsidP="009D5AD6">
      <w:pPr>
        <w:widowControl w:val="0"/>
        <w:numPr>
          <w:ilvl w:val="0"/>
          <w:numId w:val="6"/>
        </w:numPr>
        <w:tabs>
          <w:tab w:val="clear" w:pos="567"/>
        </w:tabs>
        <w:spacing w:line="240" w:lineRule="auto"/>
        <w:rPr>
          <w:szCs w:val="22"/>
        </w:rPr>
      </w:pPr>
      <w:r w:rsidRPr="00203B30">
        <w:rPr>
          <w:szCs w:val="22"/>
        </w:rPr>
        <w:t>dlhodobá liečba enzýmovými induktormi (karbamazepín, glutetimid, fenobarbital, fenytoín, rifampicín, primidón, ľubovník bodkovaný),</w:t>
      </w:r>
    </w:p>
    <w:p w14:paraId="36A5FEB2" w14:textId="77777777" w:rsidR="009D5AD6" w:rsidRPr="00B44244" w:rsidRDefault="00203B30" w:rsidP="009D5AD6">
      <w:pPr>
        <w:widowControl w:val="0"/>
        <w:numPr>
          <w:ilvl w:val="0"/>
          <w:numId w:val="5"/>
        </w:numPr>
        <w:tabs>
          <w:tab w:val="clear" w:pos="567"/>
        </w:tabs>
        <w:spacing w:line="240" w:lineRule="auto"/>
        <w:rPr>
          <w:szCs w:val="22"/>
        </w:rPr>
      </w:pPr>
      <w:r w:rsidRPr="00203B30">
        <w:rPr>
          <w:szCs w:val="22"/>
        </w:rPr>
        <w:t>pravidelná konzumácia väčšieho množstva alkoholu,</w:t>
      </w:r>
    </w:p>
    <w:p w14:paraId="1928B2F5" w14:textId="77777777" w:rsidR="009D5AD6" w:rsidRPr="00B44244" w:rsidRDefault="00203B30" w:rsidP="009D5AD6">
      <w:pPr>
        <w:widowControl w:val="0"/>
        <w:numPr>
          <w:ilvl w:val="0"/>
          <w:numId w:val="5"/>
        </w:numPr>
        <w:tabs>
          <w:tab w:val="clear" w:pos="567"/>
        </w:tabs>
        <w:spacing w:line="240" w:lineRule="auto"/>
        <w:rPr>
          <w:szCs w:val="22"/>
        </w:rPr>
      </w:pPr>
      <w:r w:rsidRPr="00203B30">
        <w:rPr>
          <w:szCs w:val="22"/>
        </w:rPr>
        <w:t>pravdepodobnosť, že sú vyčerpané zásoby glutatiónu (napr. pri poruche príjmu potravy, cystickej fibróze, HIV infekcii, hladovaní, kachexii).</w:t>
      </w:r>
    </w:p>
    <w:p w14:paraId="49660EA3" w14:textId="77777777" w:rsidR="009D5AD6" w:rsidRPr="00B44244" w:rsidRDefault="009D5AD6" w:rsidP="009D5AD6">
      <w:pPr>
        <w:widowControl w:val="0"/>
        <w:rPr>
          <w:szCs w:val="22"/>
        </w:rPr>
      </w:pPr>
    </w:p>
    <w:p w14:paraId="6B4C4E71" w14:textId="77777777" w:rsidR="009D5AD6" w:rsidRPr="00B44244" w:rsidRDefault="00203B30" w:rsidP="009D5AD6">
      <w:pPr>
        <w:widowControl w:val="0"/>
        <w:rPr>
          <w:szCs w:val="22"/>
          <w:u w:val="single"/>
        </w:rPr>
      </w:pPr>
      <w:r w:rsidRPr="00203B30">
        <w:rPr>
          <w:szCs w:val="22"/>
          <w:u w:val="single"/>
        </w:rPr>
        <w:t>Symptómy</w:t>
      </w:r>
    </w:p>
    <w:p w14:paraId="696A2CF9" w14:textId="77777777" w:rsidR="000F473B" w:rsidRPr="00B44244" w:rsidRDefault="00203B30" w:rsidP="009D5AD6">
      <w:pPr>
        <w:widowControl w:val="0"/>
        <w:rPr>
          <w:szCs w:val="22"/>
        </w:rPr>
      </w:pPr>
      <w:r w:rsidRPr="00203B30">
        <w:rPr>
          <w:szCs w:val="22"/>
        </w:rPr>
        <w:t xml:space="preserve">Príznaky predávkovania paracetamolom počas prvých 24 hodím môžu zahŕňať nauzeu, vracanie, stratu chuti do jedla, potenie a bolesť brucha. Príznaky zlyhania pečene sa môžu objaviť v priebehu 12 – 24 hodín od požitia lieku. Môžu sa objaviť abnormality glukózového metabolizmu, hemorágia a hypotenzia. Akútne zlyhanie obličiek s akútnou tubulárnou nekrózou sa môže rozvinúť aj pri absencii závažnej poruchy funkcie pečene. Hlásila sa pankreatitída a srdcové arytmie. Pri závažnej otrave, zlyhanie pečene môže progredovať do encefalopatie, kómy a smrti.    </w:t>
      </w:r>
    </w:p>
    <w:p w14:paraId="294C4A43" w14:textId="77777777" w:rsidR="000F473B" w:rsidRPr="00B44244" w:rsidRDefault="000F473B" w:rsidP="009D5AD6">
      <w:pPr>
        <w:widowControl w:val="0"/>
        <w:rPr>
          <w:szCs w:val="22"/>
        </w:rPr>
      </w:pPr>
    </w:p>
    <w:p w14:paraId="6EC9C534" w14:textId="4C1C0184" w:rsidR="009D5AD6" w:rsidRPr="00B44244" w:rsidRDefault="00203B30" w:rsidP="009D5AD6">
      <w:pPr>
        <w:widowControl w:val="0"/>
        <w:rPr>
          <w:szCs w:val="22"/>
        </w:rPr>
      </w:pPr>
      <w:r w:rsidRPr="00203B30">
        <w:rPr>
          <w:szCs w:val="22"/>
        </w:rPr>
        <w:t>Predĺženie protrombínového času je jedným z indikátoro</w:t>
      </w:r>
      <w:r w:rsidR="00A01E00">
        <w:rPr>
          <w:szCs w:val="22"/>
        </w:rPr>
        <w:t>v</w:t>
      </w:r>
      <w:r w:rsidRPr="00203B30">
        <w:rPr>
          <w:szCs w:val="22"/>
        </w:rPr>
        <w:t xml:space="preserve"> zhoršenia funkcie pečene, a preto sa odporúča jeho monitorovanie. Pacienti, ktorí užívajú induktory enzýmov (karbamazepín, fenytoín, barbituráty, rifampicín) alebo majú v anamnéze abúzus alkoholu, sú náchylnejší na poškodenie pečene. </w:t>
      </w:r>
    </w:p>
    <w:p w14:paraId="4D9F4610" w14:textId="77777777" w:rsidR="00CB0F80" w:rsidRPr="00B44244" w:rsidRDefault="00CB0F80" w:rsidP="009D5AD6">
      <w:pPr>
        <w:widowControl w:val="0"/>
        <w:rPr>
          <w:szCs w:val="22"/>
        </w:rPr>
      </w:pPr>
    </w:p>
    <w:p w14:paraId="724FBC7C" w14:textId="77777777" w:rsidR="009D5AD6" w:rsidRPr="00B44244" w:rsidRDefault="00203B30" w:rsidP="009D5AD6">
      <w:pPr>
        <w:widowControl w:val="0"/>
        <w:rPr>
          <w:szCs w:val="22"/>
          <w:u w:val="single"/>
        </w:rPr>
      </w:pPr>
      <w:r w:rsidRPr="00203B30">
        <w:rPr>
          <w:szCs w:val="22"/>
          <w:u w:val="single"/>
        </w:rPr>
        <w:t>Liečba</w:t>
      </w:r>
    </w:p>
    <w:p w14:paraId="06A7165A" w14:textId="2EA544DC" w:rsidR="00CB0F80" w:rsidRPr="00B44244" w:rsidRDefault="00203B30" w:rsidP="009D5AD6">
      <w:pPr>
        <w:widowControl w:val="0"/>
        <w:rPr>
          <w:szCs w:val="22"/>
        </w:rPr>
      </w:pPr>
      <w:r w:rsidRPr="00203B30">
        <w:rPr>
          <w:szCs w:val="22"/>
        </w:rPr>
        <w:t>Okamžitá hospitalizácia je zásadná. Vyvolanie vracania, laváž žalúdka sa má použiť u pacientov, ktorí užili paracetamol v predchádzajúcich 4 hodinách. Potom sa má podať metionín (2,5 g perorálne) alebo špecifické antidótum. Podanie aktívneho uhlia s cieľom znížiť gastrointestinálnu absorpciu je otázne. Odporúča sa monitorovanie plazmatickej koncentrácie paracetamolu. Špecifické antidótum N-acetylcysteín sa má podať v priebehu 8 – 15 hodín od predávkovania sa paracetamolom. Účinnosť rapídne klesá po tomto čase, avšak N-acetylcysteín môže poskytovať priaznivé účinky až po dobu 24 hodín, a možno aj neskôr. N-acetylcysteín sa podáva dospelým a deťom intravenózne v infúzii 5 % roztoku glukózy s počiatočnou dávkou 150 mg/kg počas 60 minút. Po počiatočnej infúzii nasleduje kontinuálna infúzia. Lekár sa má riadiť pokynmi v nomograme v odporúčaní na liečbu predávkovania sa paracetamolom N-acetylcysteínom vydanom anglickou národnou agentúrou MHRA v Septembri 2012 (</w:t>
      </w:r>
      <w:r>
        <w:rPr>
          <w:i/>
          <w:noProof/>
          <w:szCs w:val="22"/>
        </w:rPr>
        <w:t>New simplified guidance on treating paracetamol overdose with intravenous acetylcysteine including an updated treatment nomogram,</w:t>
      </w:r>
      <w:r w:rsidRPr="00203B30">
        <w:rPr>
          <w:i/>
          <w:szCs w:val="22"/>
        </w:rPr>
        <w:t xml:space="preserve"> Nové zjednodušené odporúčanie na liečbu predávkovania sa paracetamolom s podaním intravenózneho acetylcysteínu vrátane aktualizovaného liečebného nomogramu</w:t>
      </w:r>
      <w:r w:rsidRPr="00203B30">
        <w:rPr>
          <w:szCs w:val="22"/>
        </w:rPr>
        <w:t xml:space="preserve">). </w:t>
      </w:r>
    </w:p>
    <w:p w14:paraId="53112015" w14:textId="154F8756" w:rsidR="00CB0F80" w:rsidRPr="00B44244" w:rsidRDefault="00203B30" w:rsidP="009D5AD6">
      <w:pPr>
        <w:widowControl w:val="0"/>
        <w:rPr>
          <w:szCs w:val="22"/>
        </w:rPr>
      </w:pPr>
      <w:r w:rsidRPr="00203B30">
        <w:rPr>
          <w:szCs w:val="22"/>
        </w:rPr>
        <w:t xml:space="preserve">N-acetylcysteín sa môže podať aj perorálne, 70 – 140 mg/kg trikrát denne do 10 hodín od predávkovania sa paracetamolom. V prípade veľmi závažnej otravy je možná hemodialýza </w:t>
      </w:r>
      <w:r w:rsidR="00D53BEA">
        <w:rPr>
          <w:szCs w:val="22"/>
        </w:rPr>
        <w:t>alebo</w:t>
      </w:r>
      <w:r w:rsidRPr="00203B30">
        <w:rPr>
          <w:szCs w:val="22"/>
        </w:rPr>
        <w:t xml:space="preserve"> hemoperfúzia. </w:t>
      </w:r>
    </w:p>
    <w:p w14:paraId="5308B7F8" w14:textId="77777777" w:rsidR="009D5AD6" w:rsidRPr="00B44244" w:rsidRDefault="009D5AD6" w:rsidP="009D5AD6">
      <w:pPr>
        <w:widowControl w:val="0"/>
        <w:rPr>
          <w:szCs w:val="22"/>
        </w:rPr>
      </w:pPr>
    </w:p>
    <w:p w14:paraId="108685FB" w14:textId="77777777" w:rsidR="007320B3" w:rsidRPr="00B44244" w:rsidRDefault="007320B3" w:rsidP="007320B3">
      <w:pPr>
        <w:spacing w:line="240" w:lineRule="auto"/>
        <w:rPr>
          <w:szCs w:val="22"/>
        </w:rPr>
      </w:pPr>
    </w:p>
    <w:p w14:paraId="13CE9C58" w14:textId="77777777" w:rsidR="007320B3" w:rsidRPr="00B44244" w:rsidRDefault="00203B30" w:rsidP="007320B3">
      <w:pPr>
        <w:keepNext/>
        <w:numPr>
          <w:ilvl w:val="0"/>
          <w:numId w:val="1"/>
        </w:numPr>
        <w:suppressAutoHyphens/>
        <w:spacing w:line="240" w:lineRule="auto"/>
        <w:rPr>
          <w:szCs w:val="22"/>
        </w:rPr>
      </w:pPr>
      <w:r w:rsidRPr="00203B30">
        <w:rPr>
          <w:b/>
          <w:szCs w:val="22"/>
        </w:rPr>
        <w:t>FARMAKOLOGICKÉ VLASTNOSTI</w:t>
      </w:r>
    </w:p>
    <w:p w14:paraId="78508B3F" w14:textId="77777777" w:rsidR="007320B3" w:rsidRPr="00B44244" w:rsidRDefault="007320B3" w:rsidP="007320B3">
      <w:pPr>
        <w:keepNext/>
        <w:spacing w:line="240" w:lineRule="auto"/>
        <w:rPr>
          <w:szCs w:val="22"/>
        </w:rPr>
      </w:pPr>
    </w:p>
    <w:p w14:paraId="44FAE154" w14:textId="77777777" w:rsidR="007320B3" w:rsidRPr="00B44244" w:rsidRDefault="00203B30" w:rsidP="007320B3">
      <w:pPr>
        <w:keepNext/>
        <w:numPr>
          <w:ilvl w:val="1"/>
          <w:numId w:val="1"/>
        </w:numPr>
        <w:spacing w:line="240" w:lineRule="auto"/>
        <w:outlineLvl w:val="0"/>
        <w:rPr>
          <w:szCs w:val="22"/>
        </w:rPr>
      </w:pPr>
      <w:r w:rsidRPr="00203B30">
        <w:rPr>
          <w:b/>
          <w:szCs w:val="22"/>
        </w:rPr>
        <w:t>Farmakodynamické vlastnosti</w:t>
      </w:r>
    </w:p>
    <w:p w14:paraId="67A32DA7" w14:textId="77777777" w:rsidR="007320B3" w:rsidRPr="00B44244" w:rsidRDefault="007320B3" w:rsidP="007320B3">
      <w:pPr>
        <w:keepNext/>
        <w:spacing w:line="240" w:lineRule="auto"/>
        <w:rPr>
          <w:szCs w:val="22"/>
        </w:rPr>
      </w:pPr>
    </w:p>
    <w:p w14:paraId="7A1B4D36" w14:textId="77777777" w:rsidR="007320B3" w:rsidRPr="00B44244" w:rsidRDefault="00203B30" w:rsidP="007320B3">
      <w:pPr>
        <w:spacing w:line="240" w:lineRule="auto"/>
        <w:outlineLvl w:val="0"/>
        <w:rPr>
          <w:szCs w:val="22"/>
        </w:rPr>
      </w:pPr>
      <w:r w:rsidRPr="00203B30">
        <w:rPr>
          <w:szCs w:val="22"/>
        </w:rPr>
        <w:t>Farmakoterapeutická skupina: analgetiká, iné analgetiká a antipyretiká, ATC kód: N02BE01</w:t>
      </w:r>
    </w:p>
    <w:p w14:paraId="046DFFE4" w14:textId="77777777" w:rsidR="007320B3" w:rsidRPr="00B44244" w:rsidRDefault="007320B3" w:rsidP="007320B3">
      <w:pPr>
        <w:spacing w:line="240" w:lineRule="auto"/>
        <w:rPr>
          <w:szCs w:val="22"/>
        </w:rPr>
      </w:pPr>
    </w:p>
    <w:p w14:paraId="0AFE7744" w14:textId="77777777" w:rsidR="00434CB7" w:rsidRPr="00B44244" w:rsidRDefault="00203B30" w:rsidP="009D5AD6">
      <w:pPr>
        <w:widowControl w:val="0"/>
        <w:rPr>
          <w:szCs w:val="22"/>
        </w:rPr>
      </w:pPr>
      <w:r w:rsidRPr="00203B30">
        <w:rPr>
          <w:szCs w:val="22"/>
        </w:rPr>
        <w:t xml:space="preserve">Paracetamol je analgetikum a antipyretikum bez antiflogistickej aktivity a s dobrou gastrointestinálnou znášanlivosťou. Je vhodný pre dospelých a takisto pre pediatrickú populáciu. Mechanizmus účinku je podobný kyseline acetylsalicylovej a závisí na inhibícii prostaglandínov v centrálnej nervovej sústave. </w:t>
      </w:r>
    </w:p>
    <w:p w14:paraId="5F323056" w14:textId="77777777" w:rsidR="00434CB7" w:rsidRPr="00B44244" w:rsidRDefault="00203B30" w:rsidP="009D5AD6">
      <w:pPr>
        <w:widowControl w:val="0"/>
        <w:rPr>
          <w:szCs w:val="22"/>
        </w:rPr>
      </w:pPr>
      <w:r w:rsidRPr="00203B30">
        <w:rPr>
          <w:szCs w:val="22"/>
        </w:rPr>
        <w:t xml:space="preserve">Neprítomnosť inhibície periférnych prostaglandínov zabezpečuje paracetamolu dôležité farmakologické vlastnosti, ako je udržiavanie ochranných prostaglandínov v tráviacom trakte. Paracetamol je preto tiež vhodný pre pacientov s anamnézou ochorenia alebo u pacientov dostávajúcich inú liečbu, kde je inhibícia periférnych prostaglandínov nežiaduca (napr. pacienti s anamnézou krvácania do tráviaceho traktu alebo starší pacienti).  </w:t>
      </w:r>
    </w:p>
    <w:p w14:paraId="23753BC5" w14:textId="77777777" w:rsidR="00434CB7" w:rsidRPr="00B44244" w:rsidRDefault="00434CB7" w:rsidP="009D5AD6">
      <w:pPr>
        <w:widowControl w:val="0"/>
        <w:rPr>
          <w:szCs w:val="22"/>
        </w:rPr>
      </w:pPr>
    </w:p>
    <w:p w14:paraId="6382B6F3" w14:textId="77777777" w:rsidR="009D5AD6" w:rsidRPr="00B44244" w:rsidRDefault="00203B30" w:rsidP="009D5AD6">
      <w:pPr>
        <w:widowControl w:val="0"/>
        <w:rPr>
          <w:szCs w:val="22"/>
        </w:rPr>
      </w:pPr>
      <w:r w:rsidRPr="00203B30">
        <w:rPr>
          <w:szCs w:val="22"/>
        </w:rPr>
        <w:t>Analgetický účinok paracetamolu po jednorazovej dávke 0,5 - 1 g trvá 3 - 6 hodín, antipyretický 3 - 4 hodiny. Intenzita obidvoch účinkov zodpovedá kyseline acetylsalicylovej v rovnakých dávkach.</w:t>
      </w:r>
    </w:p>
    <w:p w14:paraId="28B185EF" w14:textId="77777777" w:rsidR="007320B3" w:rsidRPr="00B44244" w:rsidRDefault="007320B3" w:rsidP="007320B3">
      <w:pPr>
        <w:numPr>
          <w:ilvl w:val="12"/>
          <w:numId w:val="0"/>
        </w:numPr>
        <w:spacing w:line="240" w:lineRule="auto"/>
        <w:ind w:right="-2"/>
        <w:rPr>
          <w:szCs w:val="22"/>
        </w:rPr>
      </w:pPr>
    </w:p>
    <w:p w14:paraId="3D6BECC1" w14:textId="77777777" w:rsidR="007320B3" w:rsidRPr="00B44244" w:rsidRDefault="00203B30" w:rsidP="007320B3">
      <w:pPr>
        <w:keepNext/>
        <w:numPr>
          <w:ilvl w:val="1"/>
          <w:numId w:val="1"/>
        </w:numPr>
        <w:spacing w:line="240" w:lineRule="auto"/>
        <w:outlineLvl w:val="0"/>
        <w:rPr>
          <w:b/>
          <w:szCs w:val="22"/>
        </w:rPr>
      </w:pPr>
      <w:r w:rsidRPr="00203B30">
        <w:rPr>
          <w:b/>
          <w:szCs w:val="22"/>
        </w:rPr>
        <w:t>Farmakokinetické vlastnosti</w:t>
      </w:r>
    </w:p>
    <w:p w14:paraId="7066742A" w14:textId="77777777" w:rsidR="007320B3" w:rsidRPr="00B44244" w:rsidRDefault="007320B3" w:rsidP="007320B3">
      <w:pPr>
        <w:keepNext/>
        <w:spacing w:line="240" w:lineRule="auto"/>
        <w:ind w:left="567" w:hanging="567"/>
        <w:outlineLvl w:val="0"/>
        <w:rPr>
          <w:b/>
          <w:szCs w:val="22"/>
        </w:rPr>
      </w:pPr>
    </w:p>
    <w:p w14:paraId="2583571C" w14:textId="77777777" w:rsidR="009D5AD6" w:rsidRPr="00B44244" w:rsidRDefault="00203B30" w:rsidP="009D5AD6">
      <w:pPr>
        <w:widowControl w:val="0"/>
        <w:rPr>
          <w:szCs w:val="22"/>
          <w:u w:val="single"/>
        </w:rPr>
      </w:pPr>
      <w:r>
        <w:rPr>
          <w:szCs w:val="22"/>
          <w:u w:val="single"/>
        </w:rPr>
        <w:t>Absorpcia</w:t>
      </w:r>
    </w:p>
    <w:p w14:paraId="3AB19DB8" w14:textId="77777777" w:rsidR="009D5AD6" w:rsidRPr="00B44244" w:rsidRDefault="00203B30" w:rsidP="009D5AD6">
      <w:pPr>
        <w:widowControl w:val="0"/>
        <w:rPr>
          <w:szCs w:val="22"/>
        </w:rPr>
      </w:pPr>
      <w:r>
        <w:rPr>
          <w:szCs w:val="22"/>
        </w:rPr>
        <w:t xml:space="preserve">Paracetamol sa rýchlo a takmer úplne vstrebáva z gastrointestinálneho traktu. </w:t>
      </w:r>
    </w:p>
    <w:p w14:paraId="4AFC7FCC" w14:textId="77777777" w:rsidR="009D5AD6" w:rsidRPr="00B44244" w:rsidRDefault="009D5AD6" w:rsidP="009D5AD6">
      <w:pPr>
        <w:widowControl w:val="0"/>
        <w:rPr>
          <w:szCs w:val="22"/>
          <w:u w:val="single"/>
        </w:rPr>
      </w:pPr>
    </w:p>
    <w:p w14:paraId="53BF9AC9" w14:textId="77777777" w:rsidR="009D5AD6" w:rsidRPr="00B44244" w:rsidRDefault="00203B30" w:rsidP="009D5AD6">
      <w:pPr>
        <w:widowControl w:val="0"/>
        <w:rPr>
          <w:szCs w:val="22"/>
          <w:u w:val="single"/>
        </w:rPr>
      </w:pPr>
      <w:r>
        <w:rPr>
          <w:szCs w:val="22"/>
          <w:u w:val="single"/>
        </w:rPr>
        <w:t>Distribúcia</w:t>
      </w:r>
    </w:p>
    <w:p w14:paraId="78A1FD83" w14:textId="77777777" w:rsidR="009D5AD6" w:rsidRPr="00B44244" w:rsidRDefault="00203B30" w:rsidP="009D5AD6">
      <w:pPr>
        <w:widowControl w:val="0"/>
        <w:rPr>
          <w:szCs w:val="22"/>
        </w:rPr>
      </w:pPr>
      <w:r>
        <w:rPr>
          <w:szCs w:val="22"/>
        </w:rPr>
        <w:t>Paracetamol sa rýchlo distribuuje do všetkých tkanív a telesných tekutín. Maximálna plazmatická koncentrácia sa dosiahne  10 - 60 minút po p.o. podaní. Prechádza cez hematoencefalickú bariéru a  vylučuje sa do materského mlieka.</w:t>
      </w:r>
    </w:p>
    <w:p w14:paraId="79878B63" w14:textId="77777777" w:rsidR="009F1D82" w:rsidRPr="00B44244" w:rsidRDefault="009F1D82" w:rsidP="009D5AD6">
      <w:pPr>
        <w:widowControl w:val="0"/>
        <w:rPr>
          <w:szCs w:val="22"/>
        </w:rPr>
      </w:pPr>
    </w:p>
    <w:p w14:paraId="5FFB5E75" w14:textId="77777777" w:rsidR="009D5AD6" w:rsidRPr="00B44244" w:rsidRDefault="00203B30" w:rsidP="009D5AD6">
      <w:pPr>
        <w:widowControl w:val="0"/>
        <w:rPr>
          <w:szCs w:val="22"/>
          <w:u w:val="single"/>
        </w:rPr>
      </w:pPr>
      <w:r>
        <w:rPr>
          <w:szCs w:val="22"/>
          <w:u w:val="single"/>
        </w:rPr>
        <w:t xml:space="preserve">Biotransformácia </w:t>
      </w:r>
    </w:p>
    <w:p w14:paraId="49639455" w14:textId="2AB019E9" w:rsidR="009F1D82" w:rsidRPr="00B44244" w:rsidRDefault="00203B30" w:rsidP="009D5AD6">
      <w:pPr>
        <w:widowControl w:val="0"/>
        <w:rPr>
          <w:szCs w:val="22"/>
        </w:rPr>
      </w:pPr>
      <w:r>
        <w:rPr>
          <w:szCs w:val="22"/>
        </w:rPr>
        <w:t xml:space="preserve">Biologický plazmatický polčas po perorálnom podaní je 1 – 4 hodiny (priemer 2,3 hodiny). V prípade závažnej nedostatočnosti pečene je predĺžený až na 5 hodín. Hoci v prípade poruchy funkcie obličiek polčas nie je predĺžený, ale keďže vylučovanie obličkami je obmedzené, odporúča sa úprava dávkovania paracetamolu. Väzba na plazmatické proteíny je minimálna pri terapeutických koncentráciách. </w:t>
      </w:r>
    </w:p>
    <w:p w14:paraId="0C3E54F4" w14:textId="77777777" w:rsidR="009F1D82" w:rsidRPr="00B44244" w:rsidRDefault="009F1D82" w:rsidP="009D5AD6">
      <w:pPr>
        <w:widowControl w:val="0"/>
        <w:rPr>
          <w:szCs w:val="22"/>
        </w:rPr>
      </w:pPr>
    </w:p>
    <w:p w14:paraId="4E4DC079" w14:textId="77777777" w:rsidR="009F1D82" w:rsidRPr="00B44244" w:rsidRDefault="00203B30" w:rsidP="009D5AD6">
      <w:pPr>
        <w:widowControl w:val="0"/>
        <w:rPr>
          <w:szCs w:val="22"/>
          <w:u w:val="single"/>
        </w:rPr>
      </w:pPr>
      <w:r>
        <w:rPr>
          <w:szCs w:val="22"/>
          <w:u w:val="single"/>
        </w:rPr>
        <w:t>Eliminácia</w:t>
      </w:r>
    </w:p>
    <w:p w14:paraId="17DDC5C4" w14:textId="2707B8CC" w:rsidR="009F1D82" w:rsidRPr="00B44244" w:rsidRDefault="00203B30" w:rsidP="009D5AD6">
      <w:pPr>
        <w:widowControl w:val="0"/>
        <w:rPr>
          <w:szCs w:val="22"/>
        </w:rPr>
      </w:pPr>
      <w:r>
        <w:rPr>
          <w:szCs w:val="22"/>
        </w:rPr>
        <w:t xml:space="preserve">Paracetamol sa metabolizuje v pečeni a vylučuje sa obličkami ako glukuronidový alebo sulfátový konjugát. Menej ako 5 % paracetamolu sa vylučuje v nezmenenej forme. </w:t>
      </w:r>
    </w:p>
    <w:p w14:paraId="31F8A195" w14:textId="77777777" w:rsidR="007320B3" w:rsidRPr="00B44244" w:rsidRDefault="007320B3" w:rsidP="007320B3">
      <w:pPr>
        <w:numPr>
          <w:ilvl w:val="12"/>
          <w:numId w:val="0"/>
        </w:numPr>
        <w:spacing w:line="240" w:lineRule="auto"/>
        <w:ind w:right="-2"/>
        <w:rPr>
          <w:szCs w:val="22"/>
        </w:rPr>
      </w:pPr>
    </w:p>
    <w:p w14:paraId="2A5B9F81" w14:textId="77777777" w:rsidR="007320B3" w:rsidRPr="00B44244" w:rsidRDefault="00203B30" w:rsidP="007320B3">
      <w:pPr>
        <w:keepNext/>
        <w:numPr>
          <w:ilvl w:val="1"/>
          <w:numId w:val="1"/>
        </w:numPr>
        <w:spacing w:line="240" w:lineRule="auto"/>
        <w:outlineLvl w:val="0"/>
        <w:rPr>
          <w:szCs w:val="22"/>
        </w:rPr>
      </w:pPr>
      <w:r w:rsidRPr="00203B30">
        <w:rPr>
          <w:b/>
          <w:szCs w:val="22"/>
        </w:rPr>
        <w:t>Predklinické údaje o bezpečnosti</w:t>
      </w:r>
    </w:p>
    <w:p w14:paraId="1802F18E" w14:textId="77777777" w:rsidR="007320B3" w:rsidRPr="00B44244" w:rsidRDefault="007320B3" w:rsidP="007320B3">
      <w:pPr>
        <w:keepNext/>
        <w:spacing w:line="240" w:lineRule="auto"/>
        <w:rPr>
          <w:szCs w:val="22"/>
        </w:rPr>
      </w:pPr>
    </w:p>
    <w:p w14:paraId="43F99852" w14:textId="77777777" w:rsidR="00A33DCA" w:rsidRDefault="00A33DCA" w:rsidP="007320B3">
      <w:pPr>
        <w:spacing w:line="240" w:lineRule="auto"/>
        <w:rPr>
          <w:szCs w:val="22"/>
        </w:rPr>
      </w:pPr>
      <w:r w:rsidRPr="00A33DCA">
        <w:rPr>
          <w:szCs w:val="22"/>
        </w:rPr>
        <w:t>Nie sú k dispozícii konvenčné štúdie, v ktorých sa používajú v súčasnosti akceptované normy pre hodnotenie reprodukčnej a vývinovej toxicity.</w:t>
      </w:r>
    </w:p>
    <w:p w14:paraId="5955636B" w14:textId="77777777" w:rsidR="009D5AD6" w:rsidRPr="00B44244" w:rsidRDefault="00203B30" w:rsidP="007320B3">
      <w:pPr>
        <w:spacing w:line="240" w:lineRule="auto"/>
        <w:rPr>
          <w:szCs w:val="22"/>
        </w:rPr>
      </w:pPr>
      <w:r w:rsidRPr="00203B30">
        <w:rPr>
          <w:szCs w:val="22"/>
        </w:rPr>
        <w:t>Toxicita paracetamolu sa študovala na mnohých zvieracích druhoch.</w:t>
      </w:r>
    </w:p>
    <w:p w14:paraId="3BD3F3B6" w14:textId="77777777" w:rsidR="009D5AD6" w:rsidRPr="00B44244" w:rsidRDefault="00203B30" w:rsidP="007320B3">
      <w:pPr>
        <w:spacing w:line="240" w:lineRule="auto"/>
        <w:rPr>
          <w:szCs w:val="22"/>
        </w:rPr>
      </w:pPr>
      <w:r w:rsidRPr="00203B30">
        <w:rPr>
          <w:szCs w:val="22"/>
        </w:rPr>
        <w:t>Predklinické údaje na potkanoch a myšiach preukázali hodnoty LD</w:t>
      </w:r>
      <w:r w:rsidRPr="00203B30">
        <w:rPr>
          <w:szCs w:val="22"/>
          <w:vertAlign w:val="subscript"/>
        </w:rPr>
        <w:t>50</w:t>
      </w:r>
      <w:r w:rsidRPr="00203B30">
        <w:rPr>
          <w:szCs w:val="22"/>
        </w:rPr>
        <w:t xml:space="preserve"> po jednorazovej perorálnej dávke 3,7 g/kg a 388 mg/kg. Chronická toxicita, ktorá sa u týchto druhov dosiahla s dávkami niekoľkonásobne prevyšujúcimi ľudské terapeutické dávky, manifestovala ako degenerácia a nekróza pečene, obličiek alebo lymfatického tkaniva a abnormalitami v krvnom obraze. Metabolity, ktoré sa považujú za zodpovedné za tieto účinky, sa stanovili aj u ľudí. Preto sa paracetamol nemá užívať dlhodobo a v nadmerných dávkach. Normálne terapeutické dávky paracetamolu sa nespájajú so zvýšeným rizikom genotoxicity a kancerogenity. Nie sú žiadne dôkazy embryotoxicity a fetotoxicity paracetamolu v štúdiách na laboratórnych zvieratách.  </w:t>
      </w:r>
    </w:p>
    <w:p w14:paraId="4D395FEA" w14:textId="77777777" w:rsidR="009D5AD6" w:rsidRPr="00B44244" w:rsidRDefault="009D5AD6" w:rsidP="007320B3">
      <w:pPr>
        <w:spacing w:line="240" w:lineRule="auto"/>
        <w:rPr>
          <w:szCs w:val="22"/>
        </w:rPr>
      </w:pPr>
    </w:p>
    <w:p w14:paraId="2D2162D5" w14:textId="77777777" w:rsidR="007320B3" w:rsidRPr="00B44244" w:rsidRDefault="007320B3" w:rsidP="007320B3">
      <w:pPr>
        <w:spacing w:line="240" w:lineRule="auto"/>
        <w:rPr>
          <w:szCs w:val="22"/>
        </w:rPr>
      </w:pPr>
    </w:p>
    <w:p w14:paraId="74D96283" w14:textId="77777777" w:rsidR="007320B3" w:rsidRPr="00B44244" w:rsidRDefault="00203B30" w:rsidP="007320B3">
      <w:pPr>
        <w:keepNext/>
        <w:numPr>
          <w:ilvl w:val="0"/>
          <w:numId w:val="1"/>
        </w:numPr>
        <w:suppressAutoHyphens/>
        <w:spacing w:line="240" w:lineRule="auto"/>
        <w:rPr>
          <w:b/>
          <w:szCs w:val="22"/>
        </w:rPr>
      </w:pPr>
      <w:r w:rsidRPr="00203B30">
        <w:rPr>
          <w:b/>
          <w:szCs w:val="22"/>
        </w:rPr>
        <w:t>FARMACEUTICKÉ INFORMÁCIE</w:t>
      </w:r>
    </w:p>
    <w:p w14:paraId="52A53353" w14:textId="77777777" w:rsidR="007320B3" w:rsidRPr="00B44244" w:rsidRDefault="007320B3" w:rsidP="007320B3">
      <w:pPr>
        <w:keepNext/>
        <w:spacing w:line="240" w:lineRule="auto"/>
        <w:rPr>
          <w:szCs w:val="22"/>
        </w:rPr>
      </w:pPr>
    </w:p>
    <w:p w14:paraId="26AEDB2F" w14:textId="77777777" w:rsidR="007320B3" w:rsidRPr="00B44244" w:rsidRDefault="00203B30" w:rsidP="007320B3">
      <w:pPr>
        <w:keepNext/>
        <w:numPr>
          <w:ilvl w:val="1"/>
          <w:numId w:val="1"/>
        </w:numPr>
        <w:spacing w:line="240" w:lineRule="auto"/>
        <w:outlineLvl w:val="0"/>
        <w:rPr>
          <w:szCs w:val="22"/>
        </w:rPr>
      </w:pPr>
      <w:r w:rsidRPr="00203B30">
        <w:rPr>
          <w:b/>
          <w:szCs w:val="22"/>
        </w:rPr>
        <w:t>Zoznam pomocných látok</w:t>
      </w:r>
    </w:p>
    <w:p w14:paraId="1D1B605C" w14:textId="77777777" w:rsidR="007320B3" w:rsidRPr="00B44244" w:rsidRDefault="007320B3" w:rsidP="007320B3">
      <w:pPr>
        <w:keepNext/>
        <w:spacing w:line="240" w:lineRule="auto"/>
        <w:rPr>
          <w:i/>
          <w:szCs w:val="22"/>
        </w:rPr>
      </w:pPr>
    </w:p>
    <w:p w14:paraId="3E4C6B6F" w14:textId="77777777" w:rsidR="007320B3" w:rsidRPr="00B44244" w:rsidRDefault="00203B30" w:rsidP="007320B3">
      <w:pPr>
        <w:spacing w:line="240" w:lineRule="auto"/>
        <w:rPr>
          <w:szCs w:val="22"/>
        </w:rPr>
      </w:pPr>
      <w:r w:rsidRPr="00203B30">
        <w:rPr>
          <w:szCs w:val="22"/>
        </w:rPr>
        <w:t xml:space="preserve">predželatinovaný kukuričný škrob </w:t>
      </w:r>
    </w:p>
    <w:p w14:paraId="14C25C24" w14:textId="77777777" w:rsidR="0075127E" w:rsidRPr="00B44244" w:rsidRDefault="00203B30" w:rsidP="007320B3">
      <w:pPr>
        <w:spacing w:line="240" w:lineRule="auto"/>
        <w:rPr>
          <w:szCs w:val="22"/>
        </w:rPr>
      </w:pPr>
      <w:r w:rsidRPr="00203B30">
        <w:rPr>
          <w:szCs w:val="22"/>
        </w:rPr>
        <w:t>povidón (K-25)</w:t>
      </w:r>
    </w:p>
    <w:p w14:paraId="7F558A3F" w14:textId="77777777" w:rsidR="0075127E" w:rsidRPr="00B44244" w:rsidRDefault="00203B30" w:rsidP="007320B3">
      <w:pPr>
        <w:spacing w:line="240" w:lineRule="auto"/>
        <w:rPr>
          <w:szCs w:val="22"/>
        </w:rPr>
      </w:pPr>
      <w:r w:rsidRPr="00203B30">
        <w:rPr>
          <w:szCs w:val="22"/>
        </w:rPr>
        <w:t>kroskarmelóza, sodná soľ</w:t>
      </w:r>
    </w:p>
    <w:p w14:paraId="0FA5836F" w14:textId="6972F101" w:rsidR="0075127E" w:rsidRPr="00B44244" w:rsidRDefault="00203B30" w:rsidP="007320B3">
      <w:pPr>
        <w:spacing w:line="240" w:lineRule="auto"/>
        <w:rPr>
          <w:szCs w:val="22"/>
        </w:rPr>
      </w:pPr>
      <w:r w:rsidRPr="00203B30">
        <w:rPr>
          <w:szCs w:val="22"/>
        </w:rPr>
        <w:t>celulóza</w:t>
      </w:r>
      <w:r w:rsidR="00BF50B4">
        <w:rPr>
          <w:szCs w:val="22"/>
        </w:rPr>
        <w:t>,</w:t>
      </w:r>
      <w:r w:rsidRPr="00203B30">
        <w:rPr>
          <w:szCs w:val="22"/>
        </w:rPr>
        <w:t xml:space="preserve"> </w:t>
      </w:r>
      <w:r w:rsidR="00BF50B4" w:rsidRPr="00203B30">
        <w:rPr>
          <w:szCs w:val="22"/>
        </w:rPr>
        <w:t xml:space="preserve">mikrokryštalická </w:t>
      </w:r>
      <w:r w:rsidRPr="00203B30">
        <w:rPr>
          <w:szCs w:val="22"/>
        </w:rPr>
        <w:t>(PH102)</w:t>
      </w:r>
    </w:p>
    <w:p w14:paraId="5BAFE634" w14:textId="79949B36" w:rsidR="0075127E" w:rsidRPr="00B44244" w:rsidRDefault="00203B30" w:rsidP="007320B3">
      <w:pPr>
        <w:spacing w:line="240" w:lineRule="auto"/>
        <w:rPr>
          <w:szCs w:val="22"/>
        </w:rPr>
      </w:pPr>
      <w:r w:rsidRPr="00203B30">
        <w:rPr>
          <w:szCs w:val="22"/>
        </w:rPr>
        <w:t>oxid kremičitý</w:t>
      </w:r>
      <w:r w:rsidR="00BF50B4">
        <w:rPr>
          <w:szCs w:val="22"/>
        </w:rPr>
        <w:t>,</w:t>
      </w:r>
      <w:r w:rsidR="00BF50B4" w:rsidRPr="00BF50B4">
        <w:rPr>
          <w:szCs w:val="22"/>
        </w:rPr>
        <w:t xml:space="preserve"> </w:t>
      </w:r>
      <w:r w:rsidR="00BF50B4" w:rsidRPr="00203B30">
        <w:rPr>
          <w:szCs w:val="22"/>
        </w:rPr>
        <w:t>koloidný</w:t>
      </w:r>
      <w:r w:rsidR="00BF50B4">
        <w:rPr>
          <w:szCs w:val="22"/>
        </w:rPr>
        <w:t>,</w:t>
      </w:r>
      <w:r w:rsidR="00BF50B4" w:rsidRPr="00BF50B4">
        <w:rPr>
          <w:szCs w:val="22"/>
        </w:rPr>
        <w:t xml:space="preserve"> </w:t>
      </w:r>
      <w:r w:rsidR="00BF50B4" w:rsidRPr="00203B30">
        <w:rPr>
          <w:szCs w:val="22"/>
        </w:rPr>
        <w:t>bezvodý</w:t>
      </w:r>
    </w:p>
    <w:p w14:paraId="061F5187" w14:textId="55135D61" w:rsidR="0075127E" w:rsidRPr="00B44244" w:rsidRDefault="00203B30" w:rsidP="007320B3">
      <w:pPr>
        <w:spacing w:line="240" w:lineRule="auto"/>
        <w:rPr>
          <w:szCs w:val="22"/>
        </w:rPr>
      </w:pPr>
      <w:r w:rsidRPr="00203B30">
        <w:rPr>
          <w:szCs w:val="22"/>
        </w:rPr>
        <w:t>stear</w:t>
      </w:r>
      <w:r w:rsidR="00BF50B4">
        <w:rPr>
          <w:szCs w:val="22"/>
        </w:rPr>
        <w:t>át</w:t>
      </w:r>
      <w:r w:rsidRPr="00203B30">
        <w:rPr>
          <w:szCs w:val="22"/>
        </w:rPr>
        <w:t xml:space="preserve"> horečnatý</w:t>
      </w:r>
    </w:p>
    <w:p w14:paraId="7A876C73" w14:textId="77777777" w:rsidR="007320B3" w:rsidRPr="00B44244" w:rsidRDefault="007320B3" w:rsidP="007320B3">
      <w:pPr>
        <w:spacing w:line="240" w:lineRule="auto"/>
        <w:rPr>
          <w:szCs w:val="22"/>
        </w:rPr>
      </w:pPr>
    </w:p>
    <w:p w14:paraId="385871C3" w14:textId="77777777" w:rsidR="007320B3" w:rsidRPr="00B44244" w:rsidRDefault="00203B30" w:rsidP="007320B3">
      <w:pPr>
        <w:keepNext/>
        <w:numPr>
          <w:ilvl w:val="1"/>
          <w:numId w:val="1"/>
        </w:numPr>
        <w:spacing w:line="240" w:lineRule="auto"/>
        <w:outlineLvl w:val="0"/>
        <w:rPr>
          <w:szCs w:val="22"/>
        </w:rPr>
      </w:pPr>
      <w:r w:rsidRPr="00203B30">
        <w:rPr>
          <w:b/>
          <w:szCs w:val="22"/>
        </w:rPr>
        <w:t>Inkompatibility</w:t>
      </w:r>
    </w:p>
    <w:p w14:paraId="34111497" w14:textId="77777777" w:rsidR="007320B3" w:rsidRPr="00B44244" w:rsidRDefault="007320B3" w:rsidP="007320B3">
      <w:pPr>
        <w:keepNext/>
        <w:spacing w:line="240" w:lineRule="auto"/>
        <w:rPr>
          <w:szCs w:val="22"/>
        </w:rPr>
      </w:pPr>
    </w:p>
    <w:p w14:paraId="0E4FBB07" w14:textId="77777777" w:rsidR="007320B3" w:rsidRPr="00B44244" w:rsidRDefault="00203B30" w:rsidP="007320B3">
      <w:pPr>
        <w:spacing w:line="240" w:lineRule="auto"/>
        <w:rPr>
          <w:szCs w:val="22"/>
        </w:rPr>
      </w:pPr>
      <w:r w:rsidRPr="00203B30">
        <w:rPr>
          <w:szCs w:val="22"/>
        </w:rPr>
        <w:t xml:space="preserve">Neaplikovateľné. </w:t>
      </w:r>
    </w:p>
    <w:p w14:paraId="23C6AAAD" w14:textId="77777777" w:rsidR="007320B3" w:rsidRPr="00B44244" w:rsidRDefault="007320B3" w:rsidP="007320B3">
      <w:pPr>
        <w:spacing w:line="240" w:lineRule="auto"/>
        <w:rPr>
          <w:szCs w:val="22"/>
        </w:rPr>
      </w:pPr>
    </w:p>
    <w:p w14:paraId="178E6BFE" w14:textId="77777777" w:rsidR="007320B3" w:rsidRPr="00B44244" w:rsidRDefault="00203B30" w:rsidP="007320B3">
      <w:pPr>
        <w:keepNext/>
        <w:numPr>
          <w:ilvl w:val="1"/>
          <w:numId w:val="1"/>
        </w:numPr>
        <w:spacing w:line="240" w:lineRule="auto"/>
        <w:outlineLvl w:val="0"/>
        <w:rPr>
          <w:szCs w:val="22"/>
        </w:rPr>
      </w:pPr>
      <w:r w:rsidRPr="00203B30">
        <w:rPr>
          <w:b/>
          <w:szCs w:val="22"/>
        </w:rPr>
        <w:t>Čas použiteľnosti</w:t>
      </w:r>
    </w:p>
    <w:p w14:paraId="4DD1AB24" w14:textId="77777777" w:rsidR="007320B3" w:rsidRPr="00B44244" w:rsidRDefault="007320B3" w:rsidP="007320B3">
      <w:pPr>
        <w:keepNext/>
        <w:spacing w:line="240" w:lineRule="auto"/>
        <w:rPr>
          <w:szCs w:val="22"/>
        </w:rPr>
      </w:pPr>
    </w:p>
    <w:p w14:paraId="7F9F62EF" w14:textId="77777777" w:rsidR="007320B3" w:rsidRPr="00B44244" w:rsidRDefault="00203B30" w:rsidP="007320B3">
      <w:pPr>
        <w:spacing w:line="240" w:lineRule="auto"/>
        <w:rPr>
          <w:szCs w:val="22"/>
        </w:rPr>
      </w:pPr>
      <w:r w:rsidRPr="00203B30">
        <w:rPr>
          <w:szCs w:val="22"/>
        </w:rPr>
        <w:t>30 mesiacov</w:t>
      </w:r>
    </w:p>
    <w:p w14:paraId="20A36961" w14:textId="77777777" w:rsidR="00762473" w:rsidRPr="00B44244" w:rsidRDefault="00762473" w:rsidP="007320B3">
      <w:pPr>
        <w:spacing w:line="240" w:lineRule="auto"/>
        <w:rPr>
          <w:szCs w:val="22"/>
        </w:rPr>
      </w:pPr>
    </w:p>
    <w:p w14:paraId="380E8023" w14:textId="77777777" w:rsidR="007320B3" w:rsidRPr="00B44244" w:rsidRDefault="00203B30" w:rsidP="007320B3">
      <w:pPr>
        <w:keepNext/>
        <w:numPr>
          <w:ilvl w:val="1"/>
          <w:numId w:val="1"/>
        </w:numPr>
        <w:spacing w:line="240" w:lineRule="auto"/>
        <w:outlineLvl w:val="0"/>
        <w:rPr>
          <w:b/>
          <w:szCs w:val="22"/>
        </w:rPr>
      </w:pPr>
      <w:r w:rsidRPr="00203B30">
        <w:rPr>
          <w:b/>
          <w:szCs w:val="22"/>
        </w:rPr>
        <w:t>Špeciálne upozornenia na uchovávanie</w:t>
      </w:r>
    </w:p>
    <w:p w14:paraId="1F5686A6" w14:textId="77777777" w:rsidR="007320B3" w:rsidRPr="00B44244" w:rsidRDefault="007320B3" w:rsidP="007320B3">
      <w:pPr>
        <w:keepNext/>
        <w:spacing w:line="240" w:lineRule="auto"/>
        <w:ind w:left="567" w:hanging="567"/>
        <w:outlineLvl w:val="0"/>
        <w:rPr>
          <w:szCs w:val="22"/>
        </w:rPr>
      </w:pPr>
    </w:p>
    <w:p w14:paraId="5578502A" w14:textId="77777777" w:rsidR="007320B3" w:rsidRPr="00B44244" w:rsidRDefault="00203B30" w:rsidP="007320B3">
      <w:pPr>
        <w:spacing w:line="240" w:lineRule="auto"/>
        <w:rPr>
          <w:i/>
          <w:szCs w:val="22"/>
        </w:rPr>
      </w:pPr>
      <w:r w:rsidRPr="00203B30">
        <w:rPr>
          <w:szCs w:val="22"/>
        </w:rPr>
        <w:t>Tento liek nevyžaduje žiadne zvláštne podmienky na uchovávanie.</w:t>
      </w:r>
    </w:p>
    <w:p w14:paraId="03A84E80" w14:textId="77777777" w:rsidR="007320B3" w:rsidRPr="00B44244" w:rsidRDefault="007320B3" w:rsidP="007320B3">
      <w:pPr>
        <w:spacing w:line="240" w:lineRule="auto"/>
        <w:rPr>
          <w:szCs w:val="22"/>
        </w:rPr>
      </w:pPr>
    </w:p>
    <w:p w14:paraId="6AD845E9" w14:textId="77777777" w:rsidR="007320B3" w:rsidRPr="00B44244" w:rsidRDefault="00203B30" w:rsidP="007320B3">
      <w:pPr>
        <w:keepNext/>
        <w:numPr>
          <w:ilvl w:val="1"/>
          <w:numId w:val="1"/>
        </w:numPr>
        <w:tabs>
          <w:tab w:val="clear" w:pos="567"/>
          <w:tab w:val="left" w:pos="708"/>
        </w:tabs>
        <w:spacing w:line="240" w:lineRule="auto"/>
        <w:ind w:left="567" w:hanging="567"/>
        <w:outlineLvl w:val="0"/>
        <w:rPr>
          <w:b/>
          <w:szCs w:val="22"/>
        </w:rPr>
      </w:pPr>
      <w:r w:rsidRPr="00203B30">
        <w:rPr>
          <w:b/>
          <w:szCs w:val="22"/>
        </w:rPr>
        <w:t xml:space="preserve">Druh obalu a obsah balenia </w:t>
      </w:r>
    </w:p>
    <w:p w14:paraId="05FEEB71" w14:textId="77777777" w:rsidR="0075127E" w:rsidRPr="00B44244" w:rsidRDefault="0075127E" w:rsidP="0075127E">
      <w:pPr>
        <w:keepNext/>
        <w:tabs>
          <w:tab w:val="clear" w:pos="567"/>
          <w:tab w:val="left" w:pos="708"/>
        </w:tabs>
        <w:spacing w:line="240" w:lineRule="auto"/>
        <w:outlineLvl w:val="0"/>
        <w:rPr>
          <w:b/>
          <w:szCs w:val="22"/>
        </w:rPr>
      </w:pPr>
    </w:p>
    <w:p w14:paraId="1F9B01D4" w14:textId="77777777" w:rsidR="0075127E" w:rsidRPr="00B44244" w:rsidRDefault="00203B30" w:rsidP="0075127E">
      <w:pPr>
        <w:keepNext/>
        <w:tabs>
          <w:tab w:val="clear" w:pos="567"/>
          <w:tab w:val="left" w:pos="708"/>
        </w:tabs>
        <w:spacing w:line="240" w:lineRule="auto"/>
        <w:outlineLvl w:val="0"/>
        <w:rPr>
          <w:szCs w:val="22"/>
        </w:rPr>
      </w:pPr>
      <w:r w:rsidRPr="00203B30">
        <w:rPr>
          <w:szCs w:val="22"/>
        </w:rPr>
        <w:t>číry PVC/PVdC/Al blister</w:t>
      </w:r>
    </w:p>
    <w:p w14:paraId="18A1E933" w14:textId="7AA4D612" w:rsidR="0075127E" w:rsidRPr="00B44244" w:rsidRDefault="00203B30" w:rsidP="0075127E">
      <w:pPr>
        <w:keepNext/>
        <w:tabs>
          <w:tab w:val="clear" w:pos="567"/>
          <w:tab w:val="left" w:pos="708"/>
        </w:tabs>
        <w:spacing w:line="240" w:lineRule="auto"/>
        <w:outlineLvl w:val="0"/>
        <w:rPr>
          <w:szCs w:val="22"/>
        </w:rPr>
      </w:pPr>
      <w:r w:rsidRPr="00203B30">
        <w:rPr>
          <w:szCs w:val="22"/>
        </w:rPr>
        <w:t>veľkosť balenia: 10, 20</w:t>
      </w:r>
      <w:r w:rsidR="0068728E">
        <w:rPr>
          <w:szCs w:val="22"/>
        </w:rPr>
        <w:t>, 30 a 50</w:t>
      </w:r>
      <w:r w:rsidRPr="00203B30">
        <w:rPr>
          <w:szCs w:val="22"/>
        </w:rPr>
        <w:t xml:space="preserve"> tabliet</w:t>
      </w:r>
    </w:p>
    <w:p w14:paraId="167C126F" w14:textId="77777777" w:rsidR="007320B3" w:rsidRPr="00B44244" w:rsidRDefault="00203B30" w:rsidP="007320B3">
      <w:pPr>
        <w:spacing w:line="240" w:lineRule="auto"/>
        <w:rPr>
          <w:szCs w:val="22"/>
        </w:rPr>
      </w:pPr>
      <w:r w:rsidRPr="00203B30">
        <w:rPr>
          <w:szCs w:val="22"/>
        </w:rPr>
        <w:t>Na trh nemusia byť uvedené všetky veľkosti balenia.</w:t>
      </w:r>
    </w:p>
    <w:p w14:paraId="30DBFC0D" w14:textId="77777777" w:rsidR="007320B3" w:rsidRPr="00B44244" w:rsidRDefault="007320B3" w:rsidP="007320B3">
      <w:pPr>
        <w:spacing w:line="240" w:lineRule="auto"/>
        <w:rPr>
          <w:szCs w:val="22"/>
        </w:rPr>
      </w:pPr>
    </w:p>
    <w:p w14:paraId="02613C65" w14:textId="77777777" w:rsidR="007320B3" w:rsidRPr="00B44244" w:rsidRDefault="00203B30" w:rsidP="007320B3">
      <w:pPr>
        <w:keepNext/>
        <w:numPr>
          <w:ilvl w:val="1"/>
          <w:numId w:val="1"/>
        </w:numPr>
        <w:spacing w:line="240" w:lineRule="auto"/>
        <w:outlineLvl w:val="0"/>
        <w:rPr>
          <w:szCs w:val="22"/>
        </w:rPr>
      </w:pPr>
      <w:bookmarkStart w:id="1" w:name="OLE_LINK1"/>
      <w:r w:rsidRPr="00203B30">
        <w:rPr>
          <w:b/>
          <w:szCs w:val="22"/>
        </w:rPr>
        <w:t xml:space="preserve">Špeciálne opatrenia na likvidáciu </w:t>
      </w:r>
    </w:p>
    <w:p w14:paraId="67568E9C" w14:textId="77777777" w:rsidR="007320B3" w:rsidRPr="00B44244" w:rsidRDefault="007320B3" w:rsidP="007320B3">
      <w:pPr>
        <w:spacing w:line="240" w:lineRule="auto"/>
        <w:rPr>
          <w:i/>
          <w:szCs w:val="22"/>
        </w:rPr>
      </w:pPr>
    </w:p>
    <w:p w14:paraId="7EA9DF0C" w14:textId="77777777" w:rsidR="007320B3" w:rsidRPr="00B44244" w:rsidRDefault="00203B30" w:rsidP="0075127E">
      <w:pPr>
        <w:spacing w:line="240" w:lineRule="auto"/>
        <w:rPr>
          <w:szCs w:val="22"/>
        </w:rPr>
      </w:pPr>
      <w:r w:rsidRPr="00203B30">
        <w:rPr>
          <w:szCs w:val="22"/>
        </w:rPr>
        <w:t>Žiadne zvláštne požiadavky na likvidáciu.</w:t>
      </w:r>
    </w:p>
    <w:bookmarkEnd w:id="1"/>
    <w:p w14:paraId="55DEC12D" w14:textId="77777777" w:rsidR="007320B3" w:rsidRPr="00B44244" w:rsidRDefault="007320B3" w:rsidP="007320B3">
      <w:pPr>
        <w:spacing w:line="240" w:lineRule="auto"/>
        <w:rPr>
          <w:szCs w:val="22"/>
        </w:rPr>
      </w:pPr>
    </w:p>
    <w:p w14:paraId="5DA5B1E3" w14:textId="77777777" w:rsidR="007320B3" w:rsidRPr="00B44244" w:rsidRDefault="007320B3" w:rsidP="007320B3">
      <w:pPr>
        <w:spacing w:line="240" w:lineRule="auto"/>
        <w:rPr>
          <w:szCs w:val="22"/>
        </w:rPr>
      </w:pPr>
    </w:p>
    <w:p w14:paraId="38A649CD" w14:textId="77777777" w:rsidR="007320B3" w:rsidRPr="00B44244" w:rsidRDefault="00203B30" w:rsidP="007320B3">
      <w:pPr>
        <w:keepNext/>
        <w:numPr>
          <w:ilvl w:val="0"/>
          <w:numId w:val="1"/>
        </w:numPr>
        <w:spacing w:line="240" w:lineRule="auto"/>
        <w:rPr>
          <w:szCs w:val="22"/>
        </w:rPr>
      </w:pPr>
      <w:r w:rsidRPr="00203B30">
        <w:rPr>
          <w:b/>
          <w:szCs w:val="22"/>
        </w:rPr>
        <w:lastRenderedPageBreak/>
        <w:t>DRŽITEĽ ROZHODNUTIA O</w:t>
      </w:r>
      <w:r w:rsidRPr="00203B30">
        <w:rPr>
          <w:b/>
          <w:noProof/>
          <w:szCs w:val="22"/>
        </w:rPr>
        <w:t> </w:t>
      </w:r>
      <w:r w:rsidRPr="00203B30">
        <w:rPr>
          <w:b/>
          <w:szCs w:val="22"/>
        </w:rPr>
        <w:t>REGISTRÁCII</w:t>
      </w:r>
    </w:p>
    <w:p w14:paraId="5E6A0C5F" w14:textId="77777777" w:rsidR="007320B3" w:rsidRPr="00B44244" w:rsidRDefault="007320B3" w:rsidP="007320B3">
      <w:pPr>
        <w:keepNext/>
        <w:spacing w:line="240" w:lineRule="auto"/>
        <w:rPr>
          <w:szCs w:val="22"/>
        </w:rPr>
      </w:pPr>
    </w:p>
    <w:p w14:paraId="62CCFE24" w14:textId="77777777" w:rsidR="0067558C" w:rsidRDefault="0067558C" w:rsidP="0067558C">
      <w:pPr>
        <w:rPr>
          <w:szCs w:val="22"/>
          <w:lang w:eastAsia="en-US" w:bidi="ar-SA"/>
        </w:rPr>
      </w:pPr>
      <w:r>
        <w:rPr>
          <w:szCs w:val="22"/>
        </w:rPr>
        <w:t>Dr. Max Pharma s.r.o.</w:t>
      </w:r>
    </w:p>
    <w:p w14:paraId="6D3EA25D" w14:textId="77777777" w:rsidR="0067558C" w:rsidRDefault="0067558C" w:rsidP="0067558C">
      <w:pPr>
        <w:rPr>
          <w:szCs w:val="22"/>
        </w:rPr>
      </w:pPr>
      <w:r>
        <w:rPr>
          <w:szCs w:val="22"/>
        </w:rPr>
        <w:t>Na Florenci 2116/15</w:t>
      </w:r>
    </w:p>
    <w:p w14:paraId="16E7AA39" w14:textId="77777777" w:rsidR="0067558C" w:rsidRDefault="0067558C" w:rsidP="0067558C">
      <w:pPr>
        <w:rPr>
          <w:szCs w:val="22"/>
        </w:rPr>
      </w:pPr>
      <w:r>
        <w:rPr>
          <w:szCs w:val="22"/>
        </w:rPr>
        <w:t>Nové Město</w:t>
      </w:r>
    </w:p>
    <w:p w14:paraId="5079F77E" w14:textId="77777777" w:rsidR="0067558C" w:rsidRDefault="0067558C" w:rsidP="0067558C">
      <w:pPr>
        <w:rPr>
          <w:szCs w:val="22"/>
        </w:rPr>
      </w:pPr>
      <w:r>
        <w:rPr>
          <w:szCs w:val="22"/>
        </w:rPr>
        <w:t>110 00 Praha 1</w:t>
      </w:r>
    </w:p>
    <w:p w14:paraId="0CC021BB" w14:textId="4C00EE18" w:rsidR="0075127E" w:rsidRPr="00B44244" w:rsidRDefault="0067558C">
      <w:pPr>
        <w:spacing w:line="240" w:lineRule="auto"/>
        <w:rPr>
          <w:szCs w:val="22"/>
        </w:rPr>
      </w:pPr>
      <w:r>
        <w:rPr>
          <w:szCs w:val="22"/>
        </w:rPr>
        <w:t>Česká republika</w:t>
      </w:r>
    </w:p>
    <w:p w14:paraId="41DAB882" w14:textId="77777777" w:rsidR="007320B3" w:rsidRPr="00B44244" w:rsidRDefault="007320B3" w:rsidP="007320B3">
      <w:pPr>
        <w:spacing w:line="240" w:lineRule="auto"/>
        <w:rPr>
          <w:szCs w:val="22"/>
        </w:rPr>
      </w:pPr>
    </w:p>
    <w:p w14:paraId="7EE52831" w14:textId="77777777" w:rsidR="007320B3" w:rsidRPr="00B44244" w:rsidRDefault="007320B3" w:rsidP="007320B3">
      <w:pPr>
        <w:spacing w:line="240" w:lineRule="auto"/>
        <w:rPr>
          <w:szCs w:val="22"/>
        </w:rPr>
      </w:pPr>
    </w:p>
    <w:p w14:paraId="3843DF41" w14:textId="77777777" w:rsidR="007320B3" w:rsidRPr="00B44244" w:rsidRDefault="00203B30" w:rsidP="007320B3">
      <w:pPr>
        <w:keepNext/>
        <w:numPr>
          <w:ilvl w:val="0"/>
          <w:numId w:val="1"/>
        </w:numPr>
        <w:spacing w:line="240" w:lineRule="auto"/>
        <w:rPr>
          <w:b/>
          <w:szCs w:val="22"/>
        </w:rPr>
      </w:pPr>
      <w:r w:rsidRPr="00203B30">
        <w:rPr>
          <w:b/>
          <w:szCs w:val="22"/>
        </w:rPr>
        <w:t>REGISTRAČNÉ ČÍSLO</w:t>
      </w:r>
    </w:p>
    <w:p w14:paraId="1ED89968" w14:textId="77777777" w:rsidR="007320B3" w:rsidRPr="00B44244" w:rsidRDefault="007320B3" w:rsidP="007320B3">
      <w:pPr>
        <w:keepNext/>
        <w:spacing w:line="240" w:lineRule="auto"/>
        <w:rPr>
          <w:szCs w:val="22"/>
        </w:rPr>
      </w:pPr>
    </w:p>
    <w:p w14:paraId="7681E79F" w14:textId="77777777" w:rsidR="007320B3" w:rsidRPr="00B44244" w:rsidRDefault="00203B30" w:rsidP="007320B3">
      <w:pPr>
        <w:spacing w:line="240" w:lineRule="auto"/>
        <w:rPr>
          <w:szCs w:val="22"/>
        </w:rPr>
      </w:pPr>
      <w:r w:rsidRPr="00203B30">
        <w:rPr>
          <w:szCs w:val="22"/>
        </w:rPr>
        <w:t>07/0228/17-S</w:t>
      </w:r>
    </w:p>
    <w:p w14:paraId="709FAB7B" w14:textId="77777777" w:rsidR="00756002" w:rsidRPr="00B44244" w:rsidRDefault="00756002" w:rsidP="007320B3">
      <w:pPr>
        <w:spacing w:line="240" w:lineRule="auto"/>
        <w:rPr>
          <w:szCs w:val="22"/>
        </w:rPr>
      </w:pPr>
    </w:p>
    <w:p w14:paraId="38827D1A" w14:textId="77777777" w:rsidR="003A08AA" w:rsidRPr="00B44244" w:rsidRDefault="003A08AA" w:rsidP="007320B3">
      <w:pPr>
        <w:spacing w:line="240" w:lineRule="auto"/>
        <w:rPr>
          <w:szCs w:val="22"/>
        </w:rPr>
      </w:pPr>
    </w:p>
    <w:p w14:paraId="01062C2F" w14:textId="77777777" w:rsidR="007320B3" w:rsidRPr="00B44244" w:rsidRDefault="00203B30" w:rsidP="007320B3">
      <w:pPr>
        <w:keepNext/>
        <w:numPr>
          <w:ilvl w:val="0"/>
          <w:numId w:val="1"/>
        </w:numPr>
        <w:spacing w:line="240" w:lineRule="auto"/>
        <w:rPr>
          <w:szCs w:val="22"/>
        </w:rPr>
      </w:pPr>
      <w:r w:rsidRPr="00203B30">
        <w:rPr>
          <w:b/>
          <w:szCs w:val="22"/>
        </w:rPr>
        <w:t>DÁTUM PRVEJ REGISTRÁCIE/PREDĹŽENIA REGISTRÁCIE</w:t>
      </w:r>
    </w:p>
    <w:p w14:paraId="64D9C377" w14:textId="77777777" w:rsidR="007320B3" w:rsidRPr="00B44244" w:rsidRDefault="007320B3" w:rsidP="007320B3">
      <w:pPr>
        <w:keepNext/>
        <w:spacing w:line="240" w:lineRule="auto"/>
        <w:rPr>
          <w:i/>
          <w:szCs w:val="22"/>
        </w:rPr>
      </w:pPr>
    </w:p>
    <w:p w14:paraId="112C9582" w14:textId="77777777" w:rsidR="007320B3" w:rsidRPr="00B44244" w:rsidRDefault="00203B30" w:rsidP="007320B3">
      <w:pPr>
        <w:keepNext/>
        <w:spacing w:line="240" w:lineRule="auto"/>
        <w:rPr>
          <w:i/>
          <w:szCs w:val="22"/>
        </w:rPr>
      </w:pPr>
      <w:r w:rsidRPr="00203B30">
        <w:rPr>
          <w:szCs w:val="22"/>
        </w:rPr>
        <w:t>Dátum prvej registrácie: 16. august 2017</w:t>
      </w:r>
    </w:p>
    <w:p w14:paraId="76706308" w14:textId="77777777" w:rsidR="007320B3" w:rsidRPr="00B44244" w:rsidRDefault="007320B3" w:rsidP="007320B3">
      <w:pPr>
        <w:spacing w:line="240" w:lineRule="auto"/>
        <w:rPr>
          <w:szCs w:val="22"/>
        </w:rPr>
      </w:pPr>
    </w:p>
    <w:p w14:paraId="50941CB2" w14:textId="77777777" w:rsidR="007320B3" w:rsidRPr="00B44244" w:rsidRDefault="007320B3" w:rsidP="007320B3">
      <w:pPr>
        <w:spacing w:line="240" w:lineRule="auto"/>
        <w:rPr>
          <w:szCs w:val="22"/>
        </w:rPr>
      </w:pPr>
    </w:p>
    <w:p w14:paraId="5D1DBCFE" w14:textId="77777777" w:rsidR="007320B3" w:rsidRPr="00B44244" w:rsidRDefault="00203B30" w:rsidP="007320B3">
      <w:pPr>
        <w:keepNext/>
        <w:numPr>
          <w:ilvl w:val="0"/>
          <w:numId w:val="1"/>
        </w:numPr>
        <w:spacing w:line="240" w:lineRule="auto"/>
        <w:rPr>
          <w:b/>
          <w:szCs w:val="22"/>
        </w:rPr>
      </w:pPr>
      <w:r w:rsidRPr="00203B30">
        <w:rPr>
          <w:b/>
          <w:szCs w:val="22"/>
        </w:rPr>
        <w:t>DÁTUM REVÍZIE TEXTU</w:t>
      </w:r>
    </w:p>
    <w:p w14:paraId="58E83E6E" w14:textId="77777777" w:rsidR="007320B3" w:rsidRPr="00B44244" w:rsidRDefault="007320B3" w:rsidP="007320B3">
      <w:pPr>
        <w:keepNext/>
        <w:spacing w:line="240" w:lineRule="auto"/>
        <w:rPr>
          <w:szCs w:val="22"/>
        </w:rPr>
      </w:pPr>
    </w:p>
    <w:p w14:paraId="60AFD9DA" w14:textId="6E4939AE" w:rsidR="00747EDE" w:rsidRPr="00B44244" w:rsidRDefault="00BB631A" w:rsidP="007320B3">
      <w:pPr>
        <w:rPr>
          <w:szCs w:val="22"/>
        </w:rPr>
      </w:pPr>
      <w:r>
        <w:rPr>
          <w:szCs w:val="22"/>
        </w:rPr>
        <w:t>02/2021</w:t>
      </w:r>
    </w:p>
    <w:sectPr w:rsidR="00747EDE" w:rsidRPr="00B44244" w:rsidSect="006E395E">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B8B41" w14:textId="77777777" w:rsidR="00A33DCA" w:rsidRDefault="00A33DCA" w:rsidP="000F473B">
      <w:pPr>
        <w:spacing w:line="240" w:lineRule="auto"/>
      </w:pPr>
      <w:r>
        <w:separator/>
      </w:r>
    </w:p>
  </w:endnote>
  <w:endnote w:type="continuationSeparator" w:id="0">
    <w:p w14:paraId="61EEA19B" w14:textId="77777777" w:rsidR="00A33DCA" w:rsidRDefault="00A33DCA" w:rsidP="000F4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674944"/>
      <w:docPartObj>
        <w:docPartGallery w:val="Page Numbers (Bottom of Page)"/>
        <w:docPartUnique/>
      </w:docPartObj>
    </w:sdtPr>
    <w:sdtEndPr>
      <w:rPr>
        <w:sz w:val="18"/>
        <w:szCs w:val="18"/>
      </w:rPr>
    </w:sdtEndPr>
    <w:sdtContent>
      <w:p w14:paraId="4B60AD1F" w14:textId="77777777" w:rsidR="00A33DCA" w:rsidRPr="007D780A" w:rsidRDefault="00A33DCA" w:rsidP="00343CDF">
        <w:pPr>
          <w:pStyle w:val="Pta"/>
          <w:jc w:val="center"/>
        </w:pPr>
        <w:r w:rsidRPr="007D780A">
          <w:rPr>
            <w:sz w:val="18"/>
            <w:szCs w:val="18"/>
          </w:rPr>
          <w:fldChar w:fldCharType="begin"/>
        </w:r>
        <w:r w:rsidRPr="007D780A">
          <w:rPr>
            <w:sz w:val="18"/>
            <w:szCs w:val="18"/>
          </w:rPr>
          <w:instrText>PAGE   \* MERGEFORMAT</w:instrText>
        </w:r>
        <w:r w:rsidRPr="007D780A">
          <w:rPr>
            <w:sz w:val="18"/>
            <w:szCs w:val="18"/>
          </w:rPr>
          <w:fldChar w:fldCharType="separate"/>
        </w:r>
        <w:r w:rsidR="001C5973">
          <w:rPr>
            <w:noProof/>
            <w:sz w:val="18"/>
            <w:szCs w:val="18"/>
          </w:rPr>
          <w:t>2</w:t>
        </w:r>
        <w:r w:rsidRPr="007D780A">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AB8AC" w14:textId="77777777" w:rsidR="00A33DCA" w:rsidRDefault="00A33DCA" w:rsidP="000F473B">
      <w:pPr>
        <w:spacing w:line="240" w:lineRule="auto"/>
      </w:pPr>
      <w:r>
        <w:separator/>
      </w:r>
    </w:p>
  </w:footnote>
  <w:footnote w:type="continuationSeparator" w:id="0">
    <w:p w14:paraId="3D205C78" w14:textId="77777777" w:rsidR="00A33DCA" w:rsidRDefault="00A33DCA" w:rsidP="000F47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8FEC3" w14:textId="7FC642B7" w:rsidR="00A33DCA" w:rsidRDefault="00F00C41" w:rsidP="00203B30">
    <w:pPr>
      <w:spacing w:line="240" w:lineRule="auto"/>
      <w:outlineLvl w:val="0"/>
      <w:rPr>
        <w:sz w:val="18"/>
      </w:rPr>
    </w:pPr>
    <w:r>
      <w:rPr>
        <w:sz w:val="18"/>
      </w:rPr>
      <w:t xml:space="preserve">Príloha č. </w:t>
    </w:r>
    <w:r w:rsidR="005D6A36">
      <w:rPr>
        <w:sz w:val="18"/>
      </w:rPr>
      <w:t>1</w:t>
    </w:r>
    <w:r>
      <w:rPr>
        <w:sz w:val="18"/>
      </w:rPr>
      <w:t xml:space="preserve"> k notifikácii o zmene, ev. č.: 202</w:t>
    </w:r>
    <w:r w:rsidR="0068728E">
      <w:rPr>
        <w:sz w:val="18"/>
      </w:rPr>
      <w:t>1</w:t>
    </w:r>
    <w:r>
      <w:rPr>
        <w:sz w:val="18"/>
      </w:rPr>
      <w:t>/</w:t>
    </w:r>
    <w:r w:rsidR="007D780A">
      <w:rPr>
        <w:sz w:val="18"/>
      </w:rPr>
      <w:t>00033</w:t>
    </w:r>
    <w:r>
      <w:rPr>
        <w:sz w:val="18"/>
      </w:rPr>
      <w:t>-Z1B</w:t>
    </w:r>
  </w:p>
  <w:p w14:paraId="33C59512" w14:textId="32864ED1" w:rsidR="007D780A" w:rsidRDefault="007D780A" w:rsidP="00203B30">
    <w:pPr>
      <w:spacing w:line="240" w:lineRule="auto"/>
      <w:outlineLvl w:val="0"/>
      <w:rPr>
        <w:sz w:val="18"/>
      </w:rPr>
    </w:pPr>
    <w:r>
      <w:rPr>
        <w:sz w:val="18"/>
      </w:rPr>
      <w:t>Príloha č. 2 k notifikácii o zmene, ev. č.: 2021/00025-Z1B</w:t>
    </w:r>
  </w:p>
  <w:p w14:paraId="658A79F8" w14:textId="77777777" w:rsidR="007D780A" w:rsidRDefault="007D780A" w:rsidP="00203B30">
    <w:pPr>
      <w:spacing w:line="240" w:lineRule="auto"/>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7BCF"/>
    <w:multiLevelType w:val="hybridMultilevel"/>
    <w:tmpl w:val="2A12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914A5"/>
    <w:multiLevelType w:val="hybridMultilevel"/>
    <w:tmpl w:val="7BC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A7611"/>
    <w:multiLevelType w:val="hybridMultilevel"/>
    <w:tmpl w:val="9620E0AE"/>
    <w:lvl w:ilvl="0" w:tplc="62A483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1585B46"/>
    <w:multiLevelType w:val="hybridMultilevel"/>
    <w:tmpl w:val="83A4D414"/>
    <w:lvl w:ilvl="0" w:tplc="C43241D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C6A238E"/>
    <w:multiLevelType w:val="hybridMultilevel"/>
    <w:tmpl w:val="7D84B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4636EAE"/>
    <w:multiLevelType w:val="multilevel"/>
    <w:tmpl w:val="11A08CEC"/>
    <w:lvl w:ilvl="0">
      <w:start w:val="1"/>
      <w:numFmt w:val="decimal"/>
      <w:lvlText w:val="%1."/>
      <w:lvlJc w:val="left"/>
      <w:pPr>
        <w:ind w:left="930" w:hanging="930"/>
      </w:pPr>
      <w:rPr>
        <w:b/>
      </w:rPr>
    </w:lvl>
    <w:lvl w:ilvl="1">
      <w:start w:val="1"/>
      <w:numFmt w:val="decimal"/>
      <w:isLgl/>
      <w:lvlText w:val="%1.%2"/>
      <w:lvlJc w:val="left"/>
      <w:pPr>
        <w:ind w:left="570" w:hanging="57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B3"/>
    <w:rsid w:val="00042E88"/>
    <w:rsid w:val="00074CF2"/>
    <w:rsid w:val="00093F72"/>
    <w:rsid w:val="000C4B6A"/>
    <w:rsid w:val="000F473B"/>
    <w:rsid w:val="001208D6"/>
    <w:rsid w:val="00121BFF"/>
    <w:rsid w:val="00126325"/>
    <w:rsid w:val="001A7000"/>
    <w:rsid w:val="001C5973"/>
    <w:rsid w:val="001D58FD"/>
    <w:rsid w:val="001E1D47"/>
    <w:rsid w:val="001E5F29"/>
    <w:rsid w:val="001F6132"/>
    <w:rsid w:val="00200156"/>
    <w:rsid w:val="00203B30"/>
    <w:rsid w:val="00263D03"/>
    <w:rsid w:val="0028105A"/>
    <w:rsid w:val="002B0C4E"/>
    <w:rsid w:val="002E1FAD"/>
    <w:rsid w:val="002E2B69"/>
    <w:rsid w:val="002E6565"/>
    <w:rsid w:val="002F04D8"/>
    <w:rsid w:val="002F3C31"/>
    <w:rsid w:val="003027D5"/>
    <w:rsid w:val="00343CDF"/>
    <w:rsid w:val="00360C08"/>
    <w:rsid w:val="003A08AA"/>
    <w:rsid w:val="004046E1"/>
    <w:rsid w:val="00434CB7"/>
    <w:rsid w:val="0044164E"/>
    <w:rsid w:val="0049245D"/>
    <w:rsid w:val="004C63D2"/>
    <w:rsid w:val="0056678F"/>
    <w:rsid w:val="005B3D03"/>
    <w:rsid w:val="005D6A36"/>
    <w:rsid w:val="005D787D"/>
    <w:rsid w:val="0060124A"/>
    <w:rsid w:val="00640ABD"/>
    <w:rsid w:val="00655744"/>
    <w:rsid w:val="0066309F"/>
    <w:rsid w:val="0067558C"/>
    <w:rsid w:val="0068728E"/>
    <w:rsid w:val="006A3BA8"/>
    <w:rsid w:val="006B5D4C"/>
    <w:rsid w:val="006D0F0E"/>
    <w:rsid w:val="006D4044"/>
    <w:rsid w:val="006E395E"/>
    <w:rsid w:val="00710709"/>
    <w:rsid w:val="007320B3"/>
    <w:rsid w:val="00747EDE"/>
    <w:rsid w:val="0075127E"/>
    <w:rsid w:val="00756002"/>
    <w:rsid w:val="00762473"/>
    <w:rsid w:val="007A5562"/>
    <w:rsid w:val="007B3BCE"/>
    <w:rsid w:val="007B6AE9"/>
    <w:rsid w:val="007D70B6"/>
    <w:rsid w:val="007D780A"/>
    <w:rsid w:val="008138EF"/>
    <w:rsid w:val="008331C3"/>
    <w:rsid w:val="0084566F"/>
    <w:rsid w:val="0087673D"/>
    <w:rsid w:val="00891A33"/>
    <w:rsid w:val="008D5386"/>
    <w:rsid w:val="008D5A3E"/>
    <w:rsid w:val="00935313"/>
    <w:rsid w:val="00942023"/>
    <w:rsid w:val="00971485"/>
    <w:rsid w:val="009D5AD6"/>
    <w:rsid w:val="009F1D82"/>
    <w:rsid w:val="00A01E00"/>
    <w:rsid w:val="00A1617E"/>
    <w:rsid w:val="00A2109C"/>
    <w:rsid w:val="00A33DCA"/>
    <w:rsid w:val="00A418DA"/>
    <w:rsid w:val="00A82E16"/>
    <w:rsid w:val="00A832F8"/>
    <w:rsid w:val="00AC453C"/>
    <w:rsid w:val="00AE5E32"/>
    <w:rsid w:val="00B00CD7"/>
    <w:rsid w:val="00B17C97"/>
    <w:rsid w:val="00B44244"/>
    <w:rsid w:val="00B64046"/>
    <w:rsid w:val="00B87E6A"/>
    <w:rsid w:val="00B975B5"/>
    <w:rsid w:val="00BA6179"/>
    <w:rsid w:val="00BB631A"/>
    <w:rsid w:val="00BF50B4"/>
    <w:rsid w:val="00C2118E"/>
    <w:rsid w:val="00C84FCD"/>
    <w:rsid w:val="00C93170"/>
    <w:rsid w:val="00CA49D2"/>
    <w:rsid w:val="00CB0F80"/>
    <w:rsid w:val="00D03CF3"/>
    <w:rsid w:val="00D45EC8"/>
    <w:rsid w:val="00D53BEA"/>
    <w:rsid w:val="00D80D58"/>
    <w:rsid w:val="00D81E7C"/>
    <w:rsid w:val="00DF3467"/>
    <w:rsid w:val="00DF5857"/>
    <w:rsid w:val="00E2089D"/>
    <w:rsid w:val="00E21C0A"/>
    <w:rsid w:val="00E45741"/>
    <w:rsid w:val="00E66F3D"/>
    <w:rsid w:val="00E97D18"/>
    <w:rsid w:val="00F00C41"/>
    <w:rsid w:val="00F03F9A"/>
    <w:rsid w:val="00F63EB3"/>
    <w:rsid w:val="00FD118B"/>
    <w:rsid w:val="00FE75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C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20B3"/>
    <w:pPr>
      <w:tabs>
        <w:tab w:val="left" w:pos="567"/>
      </w:tabs>
      <w:spacing w:after="0" w:line="260" w:lineRule="exact"/>
    </w:pPr>
    <w:rPr>
      <w:rFonts w:ascii="Times New Roman" w:eastAsia="Times New Roman" w:hAnsi="Times New Roman" w:cs="Times New Roman"/>
      <w:szCs w:val="2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7320B3"/>
    <w:rPr>
      <w:color w:val="0000FF"/>
      <w:u w:val="single"/>
    </w:rPr>
  </w:style>
  <w:style w:type="paragraph" w:styleId="Textkomentra">
    <w:name w:val="annotation text"/>
    <w:basedOn w:val="Normlny"/>
    <w:link w:val="TextkomentraChar"/>
    <w:uiPriority w:val="99"/>
    <w:semiHidden/>
    <w:unhideWhenUsed/>
    <w:rsid w:val="007320B3"/>
    <w:pPr>
      <w:spacing w:line="240" w:lineRule="auto"/>
    </w:pPr>
    <w:rPr>
      <w:sz w:val="20"/>
    </w:rPr>
  </w:style>
  <w:style w:type="character" w:customStyle="1" w:styleId="TextkomentraChar">
    <w:name w:val="Text komentára Char"/>
    <w:basedOn w:val="Predvolenpsmoodseku"/>
    <w:link w:val="Textkomentra"/>
    <w:uiPriority w:val="99"/>
    <w:semiHidden/>
    <w:rsid w:val="007320B3"/>
    <w:rPr>
      <w:rFonts w:ascii="Times New Roman" w:eastAsia="Times New Roman" w:hAnsi="Times New Roman" w:cs="Times New Roman"/>
      <w:sz w:val="20"/>
      <w:szCs w:val="20"/>
      <w:lang w:eastAsia="sk-SK" w:bidi="sk-SK"/>
    </w:rPr>
  </w:style>
  <w:style w:type="paragraph" w:customStyle="1" w:styleId="EMEAEnBodyText">
    <w:name w:val="EMEA En Body Text"/>
    <w:basedOn w:val="Normlny"/>
    <w:uiPriority w:val="99"/>
    <w:rsid w:val="007320B3"/>
    <w:pPr>
      <w:tabs>
        <w:tab w:val="clear" w:pos="567"/>
      </w:tabs>
      <w:spacing w:before="120" w:after="120" w:line="240" w:lineRule="auto"/>
      <w:jc w:val="both"/>
    </w:pPr>
  </w:style>
  <w:style w:type="character" w:styleId="Odkaznakomentr">
    <w:name w:val="annotation reference"/>
    <w:uiPriority w:val="99"/>
    <w:semiHidden/>
    <w:unhideWhenUsed/>
    <w:rsid w:val="007320B3"/>
    <w:rPr>
      <w:sz w:val="16"/>
      <w:szCs w:val="16"/>
    </w:rPr>
  </w:style>
  <w:style w:type="character" w:customStyle="1" w:styleId="DoNotTranslateExternal1">
    <w:name w:val="DoNotTranslateExternal1"/>
    <w:qFormat/>
    <w:rsid w:val="007320B3"/>
    <w:rPr>
      <w:b/>
      <w:bCs w:val="0"/>
      <w:noProof/>
      <w:szCs w:val="22"/>
    </w:rPr>
  </w:style>
  <w:style w:type="paragraph" w:styleId="Textbubliny">
    <w:name w:val="Balloon Text"/>
    <w:basedOn w:val="Normlny"/>
    <w:link w:val="TextbublinyChar"/>
    <w:uiPriority w:val="99"/>
    <w:semiHidden/>
    <w:unhideWhenUsed/>
    <w:rsid w:val="007320B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20B3"/>
    <w:rPr>
      <w:rFonts w:ascii="Tahoma" w:eastAsia="Times New Roman" w:hAnsi="Tahoma" w:cs="Tahoma"/>
      <w:sz w:val="16"/>
      <w:szCs w:val="16"/>
      <w:lang w:eastAsia="sk-SK" w:bidi="sk-SK"/>
    </w:rPr>
  </w:style>
  <w:style w:type="table" w:styleId="Mriekatabuky">
    <w:name w:val="Table Grid"/>
    <w:basedOn w:val="Normlnatabuka"/>
    <w:uiPriority w:val="59"/>
    <w:rsid w:val="000C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E5F29"/>
    <w:pPr>
      <w:ind w:left="720"/>
      <w:contextualSpacing/>
    </w:pPr>
  </w:style>
  <w:style w:type="paragraph" w:styleId="Hlavika">
    <w:name w:val="header"/>
    <w:basedOn w:val="Normlny"/>
    <w:link w:val="HlavikaChar"/>
    <w:uiPriority w:val="99"/>
    <w:unhideWhenUsed/>
    <w:rsid w:val="000F473B"/>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0F473B"/>
    <w:rPr>
      <w:rFonts w:ascii="Times New Roman" w:eastAsia="Times New Roman" w:hAnsi="Times New Roman" w:cs="Times New Roman"/>
      <w:szCs w:val="20"/>
      <w:lang w:eastAsia="sk-SK" w:bidi="sk-SK"/>
    </w:rPr>
  </w:style>
  <w:style w:type="paragraph" w:styleId="Pta">
    <w:name w:val="footer"/>
    <w:basedOn w:val="Normlny"/>
    <w:link w:val="PtaChar"/>
    <w:uiPriority w:val="99"/>
    <w:unhideWhenUsed/>
    <w:rsid w:val="000F473B"/>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0F473B"/>
    <w:rPr>
      <w:rFonts w:ascii="Times New Roman" w:eastAsia="Times New Roman" w:hAnsi="Times New Roman" w:cs="Times New Roman"/>
      <w:szCs w:val="20"/>
      <w:lang w:eastAsia="sk-SK" w:bidi="sk-SK"/>
    </w:rPr>
  </w:style>
  <w:style w:type="paragraph" w:styleId="Predmetkomentra">
    <w:name w:val="annotation subject"/>
    <w:basedOn w:val="Textkomentra"/>
    <w:next w:val="Textkomentra"/>
    <w:link w:val="PredmetkomentraChar"/>
    <w:uiPriority w:val="99"/>
    <w:semiHidden/>
    <w:unhideWhenUsed/>
    <w:rsid w:val="00FE7566"/>
    <w:rPr>
      <w:b/>
      <w:bCs/>
    </w:rPr>
  </w:style>
  <w:style w:type="character" w:customStyle="1" w:styleId="PredmetkomentraChar">
    <w:name w:val="Predmet komentára Char"/>
    <w:basedOn w:val="TextkomentraChar"/>
    <w:link w:val="Predmetkomentra"/>
    <w:uiPriority w:val="99"/>
    <w:semiHidden/>
    <w:rsid w:val="00FE7566"/>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44164E"/>
    <w:pPr>
      <w:spacing w:after="0" w:line="240" w:lineRule="auto"/>
    </w:pPr>
    <w:rPr>
      <w:rFonts w:ascii="Times New Roman" w:eastAsia="Times New Roman" w:hAnsi="Times New Roman" w:cs="Times New Roman"/>
      <w:szCs w:val="20"/>
      <w:lang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20B3"/>
    <w:pPr>
      <w:tabs>
        <w:tab w:val="left" w:pos="567"/>
      </w:tabs>
      <w:spacing w:after="0" w:line="260" w:lineRule="exact"/>
    </w:pPr>
    <w:rPr>
      <w:rFonts w:ascii="Times New Roman" w:eastAsia="Times New Roman" w:hAnsi="Times New Roman" w:cs="Times New Roman"/>
      <w:szCs w:val="2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7320B3"/>
    <w:rPr>
      <w:color w:val="0000FF"/>
      <w:u w:val="single"/>
    </w:rPr>
  </w:style>
  <w:style w:type="paragraph" w:styleId="Textkomentra">
    <w:name w:val="annotation text"/>
    <w:basedOn w:val="Normlny"/>
    <w:link w:val="TextkomentraChar"/>
    <w:uiPriority w:val="99"/>
    <w:semiHidden/>
    <w:unhideWhenUsed/>
    <w:rsid w:val="007320B3"/>
    <w:pPr>
      <w:spacing w:line="240" w:lineRule="auto"/>
    </w:pPr>
    <w:rPr>
      <w:sz w:val="20"/>
    </w:rPr>
  </w:style>
  <w:style w:type="character" w:customStyle="1" w:styleId="TextkomentraChar">
    <w:name w:val="Text komentára Char"/>
    <w:basedOn w:val="Predvolenpsmoodseku"/>
    <w:link w:val="Textkomentra"/>
    <w:uiPriority w:val="99"/>
    <w:semiHidden/>
    <w:rsid w:val="007320B3"/>
    <w:rPr>
      <w:rFonts w:ascii="Times New Roman" w:eastAsia="Times New Roman" w:hAnsi="Times New Roman" w:cs="Times New Roman"/>
      <w:sz w:val="20"/>
      <w:szCs w:val="20"/>
      <w:lang w:eastAsia="sk-SK" w:bidi="sk-SK"/>
    </w:rPr>
  </w:style>
  <w:style w:type="paragraph" w:customStyle="1" w:styleId="EMEAEnBodyText">
    <w:name w:val="EMEA En Body Text"/>
    <w:basedOn w:val="Normlny"/>
    <w:uiPriority w:val="99"/>
    <w:rsid w:val="007320B3"/>
    <w:pPr>
      <w:tabs>
        <w:tab w:val="clear" w:pos="567"/>
      </w:tabs>
      <w:spacing w:before="120" w:after="120" w:line="240" w:lineRule="auto"/>
      <w:jc w:val="both"/>
    </w:pPr>
  </w:style>
  <w:style w:type="character" w:styleId="Odkaznakomentr">
    <w:name w:val="annotation reference"/>
    <w:uiPriority w:val="99"/>
    <w:semiHidden/>
    <w:unhideWhenUsed/>
    <w:rsid w:val="007320B3"/>
    <w:rPr>
      <w:sz w:val="16"/>
      <w:szCs w:val="16"/>
    </w:rPr>
  </w:style>
  <w:style w:type="character" w:customStyle="1" w:styleId="DoNotTranslateExternal1">
    <w:name w:val="DoNotTranslateExternal1"/>
    <w:qFormat/>
    <w:rsid w:val="007320B3"/>
    <w:rPr>
      <w:b/>
      <w:bCs w:val="0"/>
      <w:noProof/>
      <w:szCs w:val="22"/>
    </w:rPr>
  </w:style>
  <w:style w:type="paragraph" w:styleId="Textbubliny">
    <w:name w:val="Balloon Text"/>
    <w:basedOn w:val="Normlny"/>
    <w:link w:val="TextbublinyChar"/>
    <w:uiPriority w:val="99"/>
    <w:semiHidden/>
    <w:unhideWhenUsed/>
    <w:rsid w:val="007320B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20B3"/>
    <w:rPr>
      <w:rFonts w:ascii="Tahoma" w:eastAsia="Times New Roman" w:hAnsi="Tahoma" w:cs="Tahoma"/>
      <w:sz w:val="16"/>
      <w:szCs w:val="16"/>
      <w:lang w:eastAsia="sk-SK" w:bidi="sk-SK"/>
    </w:rPr>
  </w:style>
  <w:style w:type="table" w:styleId="Mriekatabuky">
    <w:name w:val="Table Grid"/>
    <w:basedOn w:val="Normlnatabuka"/>
    <w:uiPriority w:val="59"/>
    <w:rsid w:val="000C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E5F29"/>
    <w:pPr>
      <w:ind w:left="720"/>
      <w:contextualSpacing/>
    </w:pPr>
  </w:style>
  <w:style w:type="paragraph" w:styleId="Hlavika">
    <w:name w:val="header"/>
    <w:basedOn w:val="Normlny"/>
    <w:link w:val="HlavikaChar"/>
    <w:uiPriority w:val="99"/>
    <w:unhideWhenUsed/>
    <w:rsid w:val="000F473B"/>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0F473B"/>
    <w:rPr>
      <w:rFonts w:ascii="Times New Roman" w:eastAsia="Times New Roman" w:hAnsi="Times New Roman" w:cs="Times New Roman"/>
      <w:szCs w:val="20"/>
      <w:lang w:eastAsia="sk-SK" w:bidi="sk-SK"/>
    </w:rPr>
  </w:style>
  <w:style w:type="paragraph" w:styleId="Pta">
    <w:name w:val="footer"/>
    <w:basedOn w:val="Normlny"/>
    <w:link w:val="PtaChar"/>
    <w:uiPriority w:val="99"/>
    <w:unhideWhenUsed/>
    <w:rsid w:val="000F473B"/>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0F473B"/>
    <w:rPr>
      <w:rFonts w:ascii="Times New Roman" w:eastAsia="Times New Roman" w:hAnsi="Times New Roman" w:cs="Times New Roman"/>
      <w:szCs w:val="20"/>
      <w:lang w:eastAsia="sk-SK" w:bidi="sk-SK"/>
    </w:rPr>
  </w:style>
  <w:style w:type="paragraph" w:styleId="Predmetkomentra">
    <w:name w:val="annotation subject"/>
    <w:basedOn w:val="Textkomentra"/>
    <w:next w:val="Textkomentra"/>
    <w:link w:val="PredmetkomentraChar"/>
    <w:uiPriority w:val="99"/>
    <w:semiHidden/>
    <w:unhideWhenUsed/>
    <w:rsid w:val="00FE7566"/>
    <w:rPr>
      <w:b/>
      <w:bCs/>
    </w:rPr>
  </w:style>
  <w:style w:type="character" w:customStyle="1" w:styleId="PredmetkomentraChar">
    <w:name w:val="Predmet komentára Char"/>
    <w:basedOn w:val="TextkomentraChar"/>
    <w:link w:val="Predmetkomentra"/>
    <w:uiPriority w:val="99"/>
    <w:semiHidden/>
    <w:rsid w:val="00FE7566"/>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44164E"/>
    <w:pPr>
      <w:spacing w:after="0" w:line="240" w:lineRule="auto"/>
    </w:pPr>
    <w:rPr>
      <w:rFonts w:ascii="Times New Roman" w:eastAsia="Times New Roman" w:hAnsi="Times New Roman" w:cs="Times New Roman"/>
      <w:szCs w:val="20"/>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88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96F579175E846BA3D5AFE694E864D" ma:contentTypeVersion="10" ma:contentTypeDescription="Create a new document." ma:contentTypeScope="" ma:versionID="114b2d07aa3862cfba1a966b2cb07ccb">
  <xsd:schema xmlns:xsd="http://www.w3.org/2001/XMLSchema" xmlns:xs="http://www.w3.org/2001/XMLSchema" xmlns:p="http://schemas.microsoft.com/office/2006/metadata/properties" xmlns:ns3="2812a37f-2f60-452e-8f16-4be13da4aba3" targetNamespace="http://schemas.microsoft.com/office/2006/metadata/properties" ma:root="true" ma:fieldsID="62cea23f5394704d2e7a39e9ce0b1a38" ns3:_="">
    <xsd:import namespace="2812a37f-2f60-452e-8f16-4be13da4ab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2a37f-2f60-452e-8f16-4be13da4a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E3FAF-0BD9-41DB-9385-1B13F4788D5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812a37f-2f60-452e-8f16-4be13da4aba3"/>
    <ds:schemaRef ds:uri="http://www.w3.org/XML/1998/namespace"/>
    <ds:schemaRef ds:uri="http://purl.org/dc/dcmitype/"/>
  </ds:schemaRefs>
</ds:datastoreItem>
</file>

<file path=customXml/itemProps2.xml><?xml version="1.0" encoding="utf-8"?>
<ds:datastoreItem xmlns:ds="http://schemas.openxmlformats.org/officeDocument/2006/customXml" ds:itemID="{C036814D-7C29-4DAE-BB0C-828259E4BEF8}">
  <ds:schemaRefs>
    <ds:schemaRef ds:uri="http://schemas.microsoft.com/sharepoint/v3/contenttype/forms"/>
  </ds:schemaRefs>
</ds:datastoreItem>
</file>

<file path=customXml/itemProps3.xml><?xml version="1.0" encoding="utf-8"?>
<ds:datastoreItem xmlns:ds="http://schemas.openxmlformats.org/officeDocument/2006/customXml" ds:itemID="{CB3C59F4-AC2F-40A0-92A9-46CF6C88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2a37f-2f60-452e-8f16-4be13da4a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2301</Words>
  <Characters>13122</Characters>
  <Application>Microsoft Office Word</Application>
  <DocSecurity>0</DocSecurity>
  <Lines>109</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Siklenkova Daniela</dc:creator>
  <cp:lastModifiedBy>Luláková, Milota (Uhnakova)</cp:lastModifiedBy>
  <cp:revision>2</cp:revision>
  <cp:lastPrinted>2017-08-10T07:16:00Z</cp:lastPrinted>
  <dcterms:created xsi:type="dcterms:W3CDTF">2021-02-16T09:51:00Z</dcterms:created>
  <dcterms:modified xsi:type="dcterms:W3CDTF">2021-02-16T09:51:00Z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0x010100E9996F579175E846BA3D5AFE694E864D</vt:lpwstr>
  </property>
</Properties>
</file>