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073E6D" w14:textId="77777777" w:rsidR="00684A8F" w:rsidRPr="003B5ED4" w:rsidRDefault="00684A8F" w:rsidP="003B5ED4">
      <w:pPr>
        <w:widowControl w:val="0"/>
        <w:autoSpaceDE w:val="0"/>
        <w:autoSpaceDN w:val="0"/>
        <w:adjustRightInd w:val="0"/>
        <w:spacing w:after="0" w:line="240" w:lineRule="auto"/>
        <w:rPr>
          <w:rFonts w:ascii="Times New Roman" w:hAnsi="Times New Roman"/>
          <w:b/>
          <w:bCs/>
        </w:rPr>
      </w:pPr>
      <w:bookmarkStart w:id="0" w:name="_GoBack"/>
      <w:bookmarkEnd w:id="0"/>
    </w:p>
    <w:p w14:paraId="35F2A5DA" w14:textId="77777777" w:rsidR="00684A8F" w:rsidRPr="003B5ED4" w:rsidRDefault="00684A8F" w:rsidP="003B5ED4">
      <w:pPr>
        <w:widowControl w:val="0"/>
        <w:autoSpaceDE w:val="0"/>
        <w:autoSpaceDN w:val="0"/>
        <w:adjustRightInd w:val="0"/>
        <w:spacing w:after="0" w:line="240" w:lineRule="auto"/>
        <w:jc w:val="center"/>
        <w:rPr>
          <w:rFonts w:ascii="Times New Roman" w:hAnsi="Times New Roman"/>
        </w:rPr>
      </w:pPr>
      <w:r w:rsidRPr="003B5ED4">
        <w:rPr>
          <w:rFonts w:ascii="Times New Roman" w:hAnsi="Times New Roman"/>
          <w:b/>
          <w:bCs/>
        </w:rPr>
        <w:t>SÚHRN CHARAKTERISTICKÝCH VLASTNOSTÍ LIEKU</w:t>
      </w:r>
    </w:p>
    <w:p w14:paraId="38D17643" w14:textId="77777777" w:rsidR="00684A8F" w:rsidRPr="003B5ED4" w:rsidRDefault="00684A8F" w:rsidP="003B5ED4">
      <w:pPr>
        <w:widowControl w:val="0"/>
        <w:autoSpaceDE w:val="0"/>
        <w:autoSpaceDN w:val="0"/>
        <w:adjustRightInd w:val="0"/>
        <w:spacing w:after="0" w:line="240" w:lineRule="auto"/>
        <w:jc w:val="center"/>
        <w:rPr>
          <w:rFonts w:ascii="Times New Roman" w:hAnsi="Times New Roman"/>
        </w:rPr>
      </w:pPr>
    </w:p>
    <w:p w14:paraId="56B2A88D" w14:textId="77777777" w:rsidR="00684A8F" w:rsidRPr="003B5ED4" w:rsidRDefault="00684A8F" w:rsidP="003B5ED4">
      <w:pPr>
        <w:widowControl w:val="0"/>
        <w:autoSpaceDE w:val="0"/>
        <w:autoSpaceDN w:val="0"/>
        <w:adjustRightInd w:val="0"/>
        <w:spacing w:after="0" w:line="240" w:lineRule="auto"/>
        <w:jc w:val="center"/>
        <w:rPr>
          <w:rFonts w:ascii="Times New Roman" w:hAnsi="Times New Roman"/>
        </w:rPr>
      </w:pPr>
    </w:p>
    <w:p w14:paraId="1EF91C9D" w14:textId="77777777" w:rsidR="00684A8F" w:rsidRPr="003B5ED4" w:rsidRDefault="00684A8F" w:rsidP="003B5ED4">
      <w:pPr>
        <w:widowControl w:val="0"/>
        <w:numPr>
          <w:ilvl w:val="0"/>
          <w:numId w:val="1"/>
        </w:numPr>
        <w:autoSpaceDE w:val="0"/>
        <w:autoSpaceDN w:val="0"/>
        <w:adjustRightInd w:val="0"/>
        <w:spacing w:after="0" w:line="240" w:lineRule="auto"/>
        <w:ind w:left="567" w:hanging="567"/>
        <w:rPr>
          <w:rFonts w:ascii="Times New Roman" w:hAnsi="Times New Roman"/>
          <w:b/>
          <w:bCs/>
        </w:rPr>
      </w:pPr>
      <w:r w:rsidRPr="003B5ED4">
        <w:rPr>
          <w:rFonts w:ascii="Times New Roman" w:hAnsi="Times New Roman"/>
          <w:b/>
          <w:bCs/>
        </w:rPr>
        <w:t>NÁZOV LIEKU</w:t>
      </w:r>
    </w:p>
    <w:p w14:paraId="55CB8262" w14:textId="77777777" w:rsidR="00684A8F" w:rsidRPr="003B5ED4" w:rsidRDefault="00684A8F" w:rsidP="003B5ED4">
      <w:pPr>
        <w:widowControl w:val="0"/>
        <w:autoSpaceDE w:val="0"/>
        <w:autoSpaceDN w:val="0"/>
        <w:adjustRightInd w:val="0"/>
        <w:spacing w:after="0" w:line="240" w:lineRule="auto"/>
        <w:rPr>
          <w:rFonts w:ascii="Times New Roman" w:hAnsi="Times New Roman"/>
        </w:rPr>
      </w:pPr>
    </w:p>
    <w:p w14:paraId="7B55D126" w14:textId="77777777" w:rsidR="00684A8F" w:rsidRPr="003B5ED4" w:rsidRDefault="00684A8F" w:rsidP="003B5ED4">
      <w:pPr>
        <w:widowControl w:val="0"/>
        <w:autoSpaceDE w:val="0"/>
        <w:autoSpaceDN w:val="0"/>
        <w:adjustRightInd w:val="0"/>
        <w:spacing w:after="0" w:line="240" w:lineRule="auto"/>
        <w:rPr>
          <w:rFonts w:ascii="Times New Roman" w:hAnsi="Times New Roman"/>
        </w:rPr>
      </w:pPr>
      <w:r w:rsidRPr="003B5ED4">
        <w:rPr>
          <w:rFonts w:ascii="Times New Roman" w:hAnsi="Times New Roman"/>
        </w:rPr>
        <w:t>Bendamustine Kabi 2,5 mg/ml</w:t>
      </w:r>
    </w:p>
    <w:p w14:paraId="2645A00F" w14:textId="77777777" w:rsidR="00684A8F" w:rsidRPr="009A72D1" w:rsidRDefault="00684A8F" w:rsidP="003B5ED4">
      <w:pPr>
        <w:widowControl w:val="0"/>
        <w:autoSpaceDE w:val="0"/>
        <w:autoSpaceDN w:val="0"/>
        <w:adjustRightInd w:val="0"/>
        <w:spacing w:after="0" w:line="240" w:lineRule="auto"/>
        <w:rPr>
          <w:rFonts w:ascii="Times New Roman" w:hAnsi="Times New Roman"/>
        </w:rPr>
      </w:pPr>
      <w:r w:rsidRPr="003B5ED4">
        <w:rPr>
          <w:rFonts w:ascii="Times New Roman" w:hAnsi="Times New Roman"/>
        </w:rPr>
        <w:t>prášok na</w:t>
      </w:r>
      <w:r w:rsidRPr="009A72D1">
        <w:rPr>
          <w:rFonts w:ascii="Times New Roman" w:hAnsi="Times New Roman"/>
        </w:rPr>
        <w:t xml:space="preserve"> infúzn</w:t>
      </w:r>
      <w:r w:rsidR="00C60B79" w:rsidRPr="009A72D1">
        <w:rPr>
          <w:rFonts w:ascii="Times New Roman" w:hAnsi="Times New Roman"/>
        </w:rPr>
        <w:t>y</w:t>
      </w:r>
      <w:r w:rsidRPr="009A72D1">
        <w:rPr>
          <w:rFonts w:ascii="Times New Roman" w:hAnsi="Times New Roman"/>
        </w:rPr>
        <w:t xml:space="preserve"> koncentrát</w:t>
      </w:r>
    </w:p>
    <w:p w14:paraId="581A1FA9" w14:textId="77777777" w:rsidR="00684A8F" w:rsidRPr="003B5ED4" w:rsidRDefault="00684A8F">
      <w:pPr>
        <w:widowControl w:val="0"/>
        <w:autoSpaceDE w:val="0"/>
        <w:autoSpaceDN w:val="0"/>
        <w:adjustRightInd w:val="0"/>
        <w:spacing w:after="0" w:line="240" w:lineRule="auto"/>
        <w:rPr>
          <w:rFonts w:ascii="Times New Roman" w:hAnsi="Times New Roman"/>
        </w:rPr>
      </w:pPr>
    </w:p>
    <w:p w14:paraId="7D3D89C8" w14:textId="77777777" w:rsidR="00684A8F" w:rsidRPr="003B5ED4" w:rsidRDefault="00684A8F">
      <w:pPr>
        <w:widowControl w:val="0"/>
        <w:autoSpaceDE w:val="0"/>
        <w:autoSpaceDN w:val="0"/>
        <w:adjustRightInd w:val="0"/>
        <w:spacing w:after="0" w:line="240" w:lineRule="auto"/>
        <w:rPr>
          <w:rFonts w:ascii="Times New Roman" w:hAnsi="Times New Roman"/>
        </w:rPr>
      </w:pPr>
    </w:p>
    <w:p w14:paraId="3CDBB35E" w14:textId="77777777" w:rsidR="00684A8F" w:rsidRPr="003B5ED4" w:rsidRDefault="00684A8F">
      <w:pPr>
        <w:widowControl w:val="0"/>
        <w:numPr>
          <w:ilvl w:val="0"/>
          <w:numId w:val="1"/>
        </w:numPr>
        <w:autoSpaceDE w:val="0"/>
        <w:autoSpaceDN w:val="0"/>
        <w:adjustRightInd w:val="0"/>
        <w:spacing w:after="0" w:line="240" w:lineRule="auto"/>
        <w:ind w:left="567" w:hanging="567"/>
        <w:rPr>
          <w:rFonts w:ascii="Times New Roman" w:hAnsi="Times New Roman"/>
          <w:b/>
          <w:bCs/>
        </w:rPr>
      </w:pPr>
      <w:r w:rsidRPr="003B5ED4">
        <w:rPr>
          <w:rFonts w:ascii="Times New Roman" w:hAnsi="Times New Roman"/>
          <w:b/>
          <w:bCs/>
        </w:rPr>
        <w:t>KVALITATÍVNE A KVANTITATÍVNE ZLOŽENIE</w:t>
      </w:r>
    </w:p>
    <w:p w14:paraId="537D04C6" w14:textId="77777777" w:rsidR="00684A8F" w:rsidRPr="003B5ED4" w:rsidRDefault="00684A8F">
      <w:pPr>
        <w:widowControl w:val="0"/>
        <w:autoSpaceDE w:val="0"/>
        <w:autoSpaceDN w:val="0"/>
        <w:adjustRightInd w:val="0"/>
        <w:spacing w:after="0" w:line="240" w:lineRule="auto"/>
        <w:rPr>
          <w:rFonts w:ascii="Times New Roman" w:hAnsi="Times New Roman"/>
          <w:bCs/>
        </w:rPr>
      </w:pPr>
    </w:p>
    <w:p w14:paraId="7E2D01C8" w14:textId="77777777" w:rsidR="00684A8F" w:rsidRPr="003B5ED4" w:rsidRDefault="00684A8F">
      <w:pPr>
        <w:widowControl w:val="0"/>
        <w:autoSpaceDE w:val="0"/>
        <w:autoSpaceDN w:val="0"/>
        <w:adjustRightInd w:val="0"/>
        <w:spacing w:after="0" w:line="240" w:lineRule="auto"/>
        <w:rPr>
          <w:rFonts w:ascii="Times New Roman" w:hAnsi="Times New Roman"/>
        </w:rPr>
      </w:pPr>
      <w:r w:rsidRPr="003B5ED4">
        <w:rPr>
          <w:rFonts w:ascii="Times New Roman" w:hAnsi="Times New Roman"/>
        </w:rPr>
        <w:t>Jedna injekčná liekovka obsahuje 25 mg bendamustíniumchloridu.</w:t>
      </w:r>
    </w:p>
    <w:p w14:paraId="1FAA5E67" w14:textId="77777777" w:rsidR="00684A8F" w:rsidRPr="003B5ED4" w:rsidRDefault="00684A8F">
      <w:pPr>
        <w:widowControl w:val="0"/>
        <w:autoSpaceDE w:val="0"/>
        <w:autoSpaceDN w:val="0"/>
        <w:adjustRightInd w:val="0"/>
        <w:spacing w:after="0" w:line="240" w:lineRule="auto"/>
        <w:rPr>
          <w:rFonts w:ascii="Times New Roman" w:hAnsi="Times New Roman"/>
        </w:rPr>
      </w:pPr>
      <w:r w:rsidRPr="003B5ED4">
        <w:rPr>
          <w:rFonts w:ascii="Times New Roman" w:hAnsi="Times New Roman"/>
        </w:rPr>
        <w:t>Jedna injekčná liekovka obsahuje 100 mg bendamustíniumchloridu.</w:t>
      </w:r>
    </w:p>
    <w:p w14:paraId="65F45BEC" w14:textId="77777777" w:rsidR="00684A8F" w:rsidRPr="003B5ED4" w:rsidRDefault="00684A8F">
      <w:pPr>
        <w:widowControl w:val="0"/>
        <w:autoSpaceDE w:val="0"/>
        <w:autoSpaceDN w:val="0"/>
        <w:adjustRightInd w:val="0"/>
        <w:spacing w:after="0" w:line="240" w:lineRule="auto"/>
        <w:rPr>
          <w:rFonts w:ascii="Times New Roman" w:hAnsi="Times New Roman"/>
        </w:rPr>
      </w:pPr>
      <w:r w:rsidRPr="003B5ED4">
        <w:rPr>
          <w:rFonts w:ascii="Times New Roman" w:hAnsi="Times New Roman"/>
        </w:rPr>
        <w:t>1 ml koncentrátu obsahuje po rekonštitúcii 2,5 mg bendamustíniumchloridu, ako je uvedené v časti 6.6.</w:t>
      </w:r>
    </w:p>
    <w:p w14:paraId="6A776A03" w14:textId="77777777" w:rsidR="00684A8F" w:rsidRPr="003B5ED4" w:rsidRDefault="00684A8F">
      <w:pPr>
        <w:widowControl w:val="0"/>
        <w:autoSpaceDE w:val="0"/>
        <w:autoSpaceDN w:val="0"/>
        <w:adjustRightInd w:val="0"/>
        <w:spacing w:after="0" w:line="240" w:lineRule="auto"/>
        <w:rPr>
          <w:rFonts w:ascii="Times New Roman" w:hAnsi="Times New Roman"/>
        </w:rPr>
      </w:pPr>
    </w:p>
    <w:p w14:paraId="022AE9E8" w14:textId="77777777" w:rsidR="00684A8F" w:rsidRPr="003B5ED4" w:rsidRDefault="00684A8F" w:rsidP="00F95656">
      <w:pPr>
        <w:suppressLineNumbers/>
        <w:spacing w:line="240" w:lineRule="auto"/>
        <w:outlineLvl w:val="0"/>
        <w:rPr>
          <w:rFonts w:ascii="Times New Roman" w:hAnsi="Times New Roman"/>
        </w:rPr>
      </w:pPr>
      <w:r w:rsidRPr="003B5ED4">
        <w:rPr>
          <w:rFonts w:ascii="Times New Roman" w:hAnsi="Times New Roman"/>
        </w:rPr>
        <w:t>Úplný zoznam pomocných látok, pozri časť 6.1.</w:t>
      </w:r>
    </w:p>
    <w:p w14:paraId="435C2393" w14:textId="77777777" w:rsidR="00684A8F" w:rsidRPr="003B5ED4" w:rsidRDefault="00684A8F" w:rsidP="003B5ED4">
      <w:pPr>
        <w:widowControl w:val="0"/>
        <w:autoSpaceDE w:val="0"/>
        <w:autoSpaceDN w:val="0"/>
        <w:adjustRightInd w:val="0"/>
        <w:spacing w:after="0" w:line="240" w:lineRule="auto"/>
        <w:rPr>
          <w:rFonts w:ascii="Times New Roman" w:hAnsi="Times New Roman"/>
        </w:rPr>
      </w:pPr>
    </w:p>
    <w:p w14:paraId="40CDA462" w14:textId="77777777" w:rsidR="00684A8F" w:rsidRPr="003B5ED4" w:rsidRDefault="00684A8F">
      <w:pPr>
        <w:widowControl w:val="0"/>
        <w:numPr>
          <w:ilvl w:val="0"/>
          <w:numId w:val="1"/>
        </w:numPr>
        <w:autoSpaceDE w:val="0"/>
        <w:autoSpaceDN w:val="0"/>
        <w:adjustRightInd w:val="0"/>
        <w:spacing w:after="0" w:line="240" w:lineRule="auto"/>
        <w:ind w:left="567" w:hanging="567"/>
        <w:rPr>
          <w:rFonts w:ascii="Times New Roman" w:hAnsi="Times New Roman"/>
          <w:b/>
          <w:bCs/>
        </w:rPr>
      </w:pPr>
      <w:r w:rsidRPr="003B5ED4">
        <w:rPr>
          <w:rFonts w:ascii="Times New Roman" w:hAnsi="Times New Roman"/>
          <w:b/>
          <w:bCs/>
        </w:rPr>
        <w:t>LIEKOVÁ FORMA</w:t>
      </w:r>
    </w:p>
    <w:p w14:paraId="2C281640" w14:textId="77777777" w:rsidR="00684A8F" w:rsidRPr="003B5ED4" w:rsidRDefault="00684A8F">
      <w:pPr>
        <w:widowControl w:val="0"/>
        <w:autoSpaceDE w:val="0"/>
        <w:autoSpaceDN w:val="0"/>
        <w:adjustRightInd w:val="0"/>
        <w:spacing w:after="0" w:line="240" w:lineRule="auto"/>
        <w:rPr>
          <w:rFonts w:ascii="Times New Roman" w:hAnsi="Times New Roman"/>
          <w:bCs/>
        </w:rPr>
      </w:pPr>
    </w:p>
    <w:p w14:paraId="18EA5624" w14:textId="77777777" w:rsidR="00684A8F" w:rsidRPr="003B5ED4" w:rsidRDefault="00684A8F">
      <w:pPr>
        <w:widowControl w:val="0"/>
        <w:autoSpaceDE w:val="0"/>
        <w:autoSpaceDN w:val="0"/>
        <w:adjustRightInd w:val="0"/>
        <w:spacing w:after="0" w:line="240" w:lineRule="auto"/>
        <w:rPr>
          <w:rFonts w:ascii="Times New Roman" w:hAnsi="Times New Roman"/>
        </w:rPr>
      </w:pPr>
      <w:r w:rsidRPr="003B5ED4">
        <w:rPr>
          <w:rFonts w:ascii="Times New Roman" w:hAnsi="Times New Roman"/>
        </w:rPr>
        <w:t>Prášok na infúzn</w:t>
      </w:r>
      <w:r w:rsidR="00143003" w:rsidRPr="003B5ED4">
        <w:rPr>
          <w:rFonts w:ascii="Times New Roman" w:hAnsi="Times New Roman"/>
        </w:rPr>
        <w:t>y</w:t>
      </w:r>
      <w:r w:rsidRPr="003B5ED4">
        <w:rPr>
          <w:rFonts w:ascii="Times New Roman" w:hAnsi="Times New Roman"/>
        </w:rPr>
        <w:t xml:space="preserve"> koncentrát</w:t>
      </w:r>
    </w:p>
    <w:p w14:paraId="70F76217" w14:textId="77777777" w:rsidR="00684A8F" w:rsidRDefault="00684A8F">
      <w:pPr>
        <w:autoSpaceDE w:val="0"/>
        <w:autoSpaceDN w:val="0"/>
        <w:adjustRightInd w:val="0"/>
        <w:spacing w:after="0" w:line="240" w:lineRule="auto"/>
        <w:rPr>
          <w:rFonts w:ascii="Times New Roman" w:hAnsi="Times New Roman"/>
        </w:rPr>
      </w:pPr>
      <w:r w:rsidRPr="003B5ED4">
        <w:rPr>
          <w:rFonts w:ascii="Times New Roman" w:hAnsi="Times New Roman"/>
        </w:rPr>
        <w:t>Biely až takmer biely lyofilizovaný prášok alebo koláč</w:t>
      </w:r>
    </w:p>
    <w:p w14:paraId="5D7B0357" w14:textId="77777777" w:rsidR="0090701A" w:rsidRDefault="0090701A">
      <w:pPr>
        <w:autoSpaceDE w:val="0"/>
        <w:autoSpaceDN w:val="0"/>
        <w:adjustRightInd w:val="0"/>
        <w:spacing w:after="0" w:line="240" w:lineRule="auto"/>
        <w:rPr>
          <w:rFonts w:ascii="Times New Roman" w:hAnsi="Times New Roman"/>
        </w:rPr>
      </w:pPr>
    </w:p>
    <w:p w14:paraId="533C0B87" w14:textId="77777777" w:rsidR="0090701A" w:rsidRDefault="0090701A">
      <w:pPr>
        <w:autoSpaceDE w:val="0"/>
        <w:autoSpaceDN w:val="0"/>
        <w:adjustRightInd w:val="0"/>
        <w:spacing w:after="0" w:line="240" w:lineRule="auto"/>
        <w:rPr>
          <w:rFonts w:ascii="Times New Roman" w:hAnsi="Times New Roman"/>
        </w:rPr>
      </w:pPr>
      <w:r>
        <w:rPr>
          <w:rFonts w:ascii="Times New Roman" w:hAnsi="Times New Roman"/>
        </w:rPr>
        <w:t>pH: 2,5 – 3,5</w:t>
      </w:r>
    </w:p>
    <w:p w14:paraId="41931B9A" w14:textId="77777777" w:rsidR="0090701A" w:rsidRDefault="0090701A">
      <w:pPr>
        <w:autoSpaceDE w:val="0"/>
        <w:autoSpaceDN w:val="0"/>
        <w:adjustRightInd w:val="0"/>
        <w:spacing w:after="0" w:line="240" w:lineRule="auto"/>
        <w:rPr>
          <w:rFonts w:ascii="Times New Roman" w:hAnsi="Times New Roman"/>
        </w:rPr>
      </w:pPr>
    </w:p>
    <w:p w14:paraId="4396A974" w14:textId="77777777" w:rsidR="0090701A" w:rsidRDefault="0090701A">
      <w:pPr>
        <w:autoSpaceDE w:val="0"/>
        <w:autoSpaceDN w:val="0"/>
        <w:adjustRightInd w:val="0"/>
        <w:spacing w:after="0" w:line="240" w:lineRule="auto"/>
        <w:rPr>
          <w:rFonts w:ascii="Times New Roman" w:hAnsi="Times New Roman"/>
        </w:rPr>
      </w:pPr>
      <w:r>
        <w:rPr>
          <w:rFonts w:ascii="Times New Roman" w:hAnsi="Times New Roman"/>
        </w:rPr>
        <w:t>Osmolalita: 200 – 320 mOsmol/Kg.</w:t>
      </w:r>
    </w:p>
    <w:p w14:paraId="05EF9E10" w14:textId="77777777" w:rsidR="00787E3A" w:rsidRPr="00F95656" w:rsidRDefault="00787E3A">
      <w:pPr>
        <w:autoSpaceDE w:val="0"/>
        <w:autoSpaceDN w:val="0"/>
        <w:adjustRightInd w:val="0"/>
        <w:spacing w:after="0" w:line="240" w:lineRule="auto"/>
        <w:rPr>
          <w:rFonts w:ascii="Times New Roman" w:hAnsi="Times New Roman"/>
          <w:lang w:val="nl-NL" w:eastAsia="nl-NL"/>
        </w:rPr>
      </w:pPr>
    </w:p>
    <w:p w14:paraId="548F73E6" w14:textId="77777777" w:rsidR="00684A8F" w:rsidRPr="003B5ED4" w:rsidRDefault="00684A8F">
      <w:pPr>
        <w:widowControl w:val="0"/>
        <w:numPr>
          <w:ilvl w:val="0"/>
          <w:numId w:val="1"/>
        </w:numPr>
        <w:autoSpaceDE w:val="0"/>
        <w:autoSpaceDN w:val="0"/>
        <w:adjustRightInd w:val="0"/>
        <w:spacing w:after="0" w:line="240" w:lineRule="auto"/>
        <w:ind w:left="567" w:hanging="567"/>
        <w:rPr>
          <w:rFonts w:ascii="Times New Roman" w:hAnsi="Times New Roman"/>
          <w:b/>
          <w:bCs/>
        </w:rPr>
      </w:pPr>
      <w:r w:rsidRPr="003B5ED4">
        <w:rPr>
          <w:rFonts w:ascii="Times New Roman" w:hAnsi="Times New Roman"/>
          <w:b/>
          <w:bCs/>
        </w:rPr>
        <w:t>KLINICKÉ ÚDAJE</w:t>
      </w:r>
    </w:p>
    <w:p w14:paraId="1E5E1F37" w14:textId="77777777" w:rsidR="00684A8F" w:rsidRPr="003B5ED4" w:rsidRDefault="00684A8F">
      <w:pPr>
        <w:widowControl w:val="0"/>
        <w:autoSpaceDE w:val="0"/>
        <w:autoSpaceDN w:val="0"/>
        <w:adjustRightInd w:val="0"/>
        <w:spacing w:after="0" w:line="240" w:lineRule="auto"/>
        <w:rPr>
          <w:rFonts w:ascii="Times New Roman" w:hAnsi="Times New Roman"/>
          <w:bCs/>
        </w:rPr>
      </w:pPr>
    </w:p>
    <w:p w14:paraId="1BE04099" w14:textId="77777777" w:rsidR="00684A8F" w:rsidRPr="003B5ED4" w:rsidRDefault="00684A8F">
      <w:pPr>
        <w:widowControl w:val="0"/>
        <w:tabs>
          <w:tab w:val="left" w:pos="567"/>
          <w:tab w:val="left" w:pos="3405"/>
        </w:tabs>
        <w:autoSpaceDE w:val="0"/>
        <w:autoSpaceDN w:val="0"/>
        <w:adjustRightInd w:val="0"/>
        <w:spacing w:after="0" w:line="240" w:lineRule="auto"/>
        <w:rPr>
          <w:rFonts w:ascii="Times New Roman" w:hAnsi="Times New Roman"/>
          <w:b/>
          <w:bCs/>
        </w:rPr>
      </w:pPr>
      <w:r w:rsidRPr="003B5ED4">
        <w:rPr>
          <w:rFonts w:ascii="Times New Roman" w:hAnsi="Times New Roman"/>
          <w:b/>
          <w:bCs/>
        </w:rPr>
        <w:t xml:space="preserve">4.1 </w:t>
      </w:r>
      <w:r w:rsidRPr="003B5ED4">
        <w:rPr>
          <w:rFonts w:ascii="Times New Roman" w:hAnsi="Times New Roman"/>
          <w:b/>
          <w:bCs/>
        </w:rPr>
        <w:tab/>
        <w:t>Terapeutické indikácie</w:t>
      </w:r>
      <w:r w:rsidRPr="003B5ED4">
        <w:rPr>
          <w:rFonts w:ascii="Times New Roman" w:hAnsi="Times New Roman"/>
          <w:b/>
          <w:bCs/>
        </w:rPr>
        <w:tab/>
      </w:r>
    </w:p>
    <w:p w14:paraId="051AE93B" w14:textId="77777777" w:rsidR="00684A8F" w:rsidRPr="003B5ED4" w:rsidRDefault="00684A8F">
      <w:pPr>
        <w:widowControl w:val="0"/>
        <w:autoSpaceDE w:val="0"/>
        <w:autoSpaceDN w:val="0"/>
        <w:adjustRightInd w:val="0"/>
        <w:spacing w:after="0" w:line="240" w:lineRule="auto"/>
        <w:rPr>
          <w:rFonts w:ascii="Times New Roman" w:hAnsi="Times New Roman"/>
          <w:bCs/>
        </w:rPr>
      </w:pPr>
    </w:p>
    <w:p w14:paraId="74722006" w14:textId="77777777" w:rsidR="00684A8F" w:rsidRPr="003B5ED4" w:rsidRDefault="00684A8F">
      <w:pPr>
        <w:widowControl w:val="0"/>
        <w:autoSpaceDE w:val="0"/>
        <w:autoSpaceDN w:val="0"/>
        <w:adjustRightInd w:val="0"/>
        <w:spacing w:after="0" w:line="240" w:lineRule="auto"/>
        <w:rPr>
          <w:rFonts w:ascii="Times New Roman" w:hAnsi="Times New Roman"/>
          <w:bCs/>
        </w:rPr>
      </w:pPr>
      <w:r w:rsidRPr="003B5ED4">
        <w:rPr>
          <w:rFonts w:ascii="Times New Roman" w:hAnsi="Times New Roman"/>
          <w:bCs/>
        </w:rPr>
        <w:t>Liečba prvej línie chronickej lymfocyt</w:t>
      </w:r>
      <w:r w:rsidR="00417E47" w:rsidRPr="003B5ED4">
        <w:rPr>
          <w:rFonts w:ascii="Times New Roman" w:hAnsi="Times New Roman"/>
          <w:bCs/>
        </w:rPr>
        <w:t>ovej</w:t>
      </w:r>
      <w:r w:rsidRPr="003B5ED4">
        <w:rPr>
          <w:rFonts w:ascii="Times New Roman" w:hAnsi="Times New Roman"/>
          <w:bCs/>
        </w:rPr>
        <w:t xml:space="preserve"> leukémie (v štádiu B alebo C podľa Bineta) u pacientov, pre ktorých nie je vhodná kombinovaná chemoterapia fludarabínom.</w:t>
      </w:r>
    </w:p>
    <w:p w14:paraId="59436ABB" w14:textId="77777777" w:rsidR="00684A8F" w:rsidRPr="003B5ED4" w:rsidRDefault="00684A8F">
      <w:pPr>
        <w:widowControl w:val="0"/>
        <w:autoSpaceDE w:val="0"/>
        <w:autoSpaceDN w:val="0"/>
        <w:adjustRightInd w:val="0"/>
        <w:spacing w:after="0" w:line="240" w:lineRule="auto"/>
        <w:rPr>
          <w:rFonts w:ascii="Times New Roman" w:hAnsi="Times New Roman"/>
          <w:bCs/>
        </w:rPr>
      </w:pPr>
    </w:p>
    <w:p w14:paraId="0A627F26" w14:textId="77777777" w:rsidR="00684A8F" w:rsidRPr="003B5ED4" w:rsidRDefault="00684A8F">
      <w:pPr>
        <w:widowControl w:val="0"/>
        <w:autoSpaceDE w:val="0"/>
        <w:autoSpaceDN w:val="0"/>
        <w:adjustRightInd w:val="0"/>
        <w:spacing w:after="0" w:line="240" w:lineRule="auto"/>
        <w:rPr>
          <w:rFonts w:ascii="Times New Roman" w:hAnsi="Times New Roman"/>
          <w:bCs/>
        </w:rPr>
      </w:pPr>
      <w:r w:rsidRPr="003B5ED4">
        <w:rPr>
          <w:rFonts w:ascii="Times New Roman" w:hAnsi="Times New Roman"/>
          <w:bCs/>
        </w:rPr>
        <w:t>Indolentné nehodgkinovské lymfómy ako monoterapia u pacientov s progredujúcim ochorením počas alebo do 6 mesiacov po liečbe rituximabom alebo režimom zahŕňajúcim rituximab.</w:t>
      </w:r>
    </w:p>
    <w:p w14:paraId="7FB487E7" w14:textId="77777777" w:rsidR="00684A8F" w:rsidRPr="003B5ED4" w:rsidRDefault="00684A8F">
      <w:pPr>
        <w:widowControl w:val="0"/>
        <w:autoSpaceDE w:val="0"/>
        <w:autoSpaceDN w:val="0"/>
        <w:adjustRightInd w:val="0"/>
        <w:spacing w:after="0" w:line="240" w:lineRule="auto"/>
        <w:rPr>
          <w:rFonts w:ascii="Times New Roman" w:hAnsi="Times New Roman"/>
          <w:bCs/>
        </w:rPr>
      </w:pPr>
    </w:p>
    <w:p w14:paraId="4BCEA479" w14:textId="77777777" w:rsidR="00684A8F" w:rsidRPr="003B5ED4" w:rsidRDefault="00684A8F">
      <w:pPr>
        <w:widowControl w:val="0"/>
        <w:autoSpaceDE w:val="0"/>
        <w:autoSpaceDN w:val="0"/>
        <w:adjustRightInd w:val="0"/>
        <w:spacing w:after="0" w:line="240" w:lineRule="auto"/>
        <w:rPr>
          <w:rFonts w:ascii="Times New Roman" w:hAnsi="Times New Roman"/>
          <w:bCs/>
        </w:rPr>
      </w:pPr>
      <w:r w:rsidRPr="003B5ED4">
        <w:rPr>
          <w:rFonts w:ascii="Times New Roman" w:hAnsi="Times New Roman"/>
          <w:bCs/>
        </w:rPr>
        <w:t>Liečba prvej línie mnohopočetných myelómov (progredujúcich v štádiu II alebo v štádiu III podľa Durie-Salmon</w:t>
      </w:r>
      <w:r w:rsidR="005A0A30" w:rsidRPr="003B5ED4">
        <w:rPr>
          <w:rFonts w:ascii="Times New Roman" w:hAnsi="Times New Roman"/>
          <w:bCs/>
        </w:rPr>
        <w:t>a</w:t>
      </w:r>
      <w:r w:rsidRPr="003B5ED4">
        <w:rPr>
          <w:rFonts w:ascii="Times New Roman" w:hAnsi="Times New Roman"/>
          <w:bCs/>
        </w:rPr>
        <w:t xml:space="preserve">) v kombinácii s prednizónom u pacientov </w:t>
      </w:r>
      <w:r w:rsidR="00417E47" w:rsidRPr="003B5ED4">
        <w:rPr>
          <w:rFonts w:ascii="Times New Roman" w:hAnsi="Times New Roman"/>
          <w:bCs/>
        </w:rPr>
        <w:t xml:space="preserve">vo veku </w:t>
      </w:r>
      <w:r w:rsidR="00A8508A">
        <w:rPr>
          <w:rFonts w:ascii="Times New Roman" w:hAnsi="Times New Roman"/>
          <w:bCs/>
        </w:rPr>
        <w:t>viac</w:t>
      </w:r>
      <w:r w:rsidRPr="003B5ED4">
        <w:rPr>
          <w:rFonts w:ascii="Times New Roman" w:hAnsi="Times New Roman"/>
          <w:bCs/>
        </w:rPr>
        <w:t xml:space="preserve"> ako 65 rokov, ktorí n</w:t>
      </w:r>
      <w:r w:rsidR="00417E47" w:rsidRPr="003B5ED4">
        <w:rPr>
          <w:rFonts w:ascii="Times New Roman" w:hAnsi="Times New Roman"/>
          <w:bCs/>
        </w:rPr>
        <w:t>ie sú vhodní</w:t>
      </w:r>
      <w:r w:rsidRPr="003B5ED4">
        <w:rPr>
          <w:rFonts w:ascii="Times New Roman" w:hAnsi="Times New Roman"/>
          <w:bCs/>
        </w:rPr>
        <w:t xml:space="preserve"> na transplantáciu autológnych kmeňových buniek a ktorí mali v čase diagnózy klinickú neuropatiu, vylučujúcu použitie liečby talidomidom alebo bortezomibom.</w:t>
      </w:r>
    </w:p>
    <w:p w14:paraId="5188A407" w14:textId="77777777" w:rsidR="00684A8F" w:rsidRPr="003B5ED4" w:rsidRDefault="00684A8F">
      <w:pPr>
        <w:widowControl w:val="0"/>
        <w:autoSpaceDE w:val="0"/>
        <w:autoSpaceDN w:val="0"/>
        <w:adjustRightInd w:val="0"/>
        <w:spacing w:after="0" w:line="240" w:lineRule="auto"/>
        <w:rPr>
          <w:rFonts w:ascii="Times New Roman" w:hAnsi="Times New Roman"/>
        </w:rPr>
      </w:pPr>
    </w:p>
    <w:p w14:paraId="020973DE" w14:textId="77777777" w:rsidR="00684A8F" w:rsidRPr="003B5ED4" w:rsidRDefault="00684A8F">
      <w:pPr>
        <w:widowControl w:val="0"/>
        <w:tabs>
          <w:tab w:val="left" w:pos="567"/>
        </w:tabs>
        <w:autoSpaceDE w:val="0"/>
        <w:autoSpaceDN w:val="0"/>
        <w:adjustRightInd w:val="0"/>
        <w:spacing w:after="0" w:line="240" w:lineRule="auto"/>
        <w:rPr>
          <w:rFonts w:ascii="Times New Roman" w:hAnsi="Times New Roman"/>
          <w:b/>
          <w:bCs/>
        </w:rPr>
      </w:pPr>
      <w:r w:rsidRPr="003B5ED4">
        <w:rPr>
          <w:rFonts w:ascii="Times New Roman" w:hAnsi="Times New Roman"/>
          <w:b/>
          <w:bCs/>
        </w:rPr>
        <w:t xml:space="preserve">4.2 </w:t>
      </w:r>
      <w:r w:rsidRPr="003B5ED4">
        <w:rPr>
          <w:rFonts w:ascii="Times New Roman" w:hAnsi="Times New Roman"/>
          <w:b/>
          <w:bCs/>
        </w:rPr>
        <w:tab/>
        <w:t>Dávkovanie a spôsob podávania</w:t>
      </w:r>
    </w:p>
    <w:p w14:paraId="3FAEBE86" w14:textId="77777777" w:rsidR="00684A8F" w:rsidRPr="003B5ED4" w:rsidRDefault="00684A8F">
      <w:pPr>
        <w:widowControl w:val="0"/>
        <w:autoSpaceDE w:val="0"/>
        <w:autoSpaceDN w:val="0"/>
        <w:adjustRightInd w:val="0"/>
        <w:spacing w:after="0" w:line="240" w:lineRule="auto"/>
        <w:rPr>
          <w:rFonts w:ascii="Times New Roman" w:hAnsi="Times New Roman"/>
          <w:bCs/>
        </w:rPr>
      </w:pPr>
    </w:p>
    <w:p w14:paraId="4509F76B" w14:textId="6A47F830" w:rsidR="00684A8F" w:rsidRPr="003B5ED4" w:rsidRDefault="00290691">
      <w:pPr>
        <w:widowControl w:val="0"/>
        <w:autoSpaceDE w:val="0"/>
        <w:autoSpaceDN w:val="0"/>
        <w:adjustRightInd w:val="0"/>
        <w:spacing w:after="0" w:line="240" w:lineRule="auto"/>
        <w:rPr>
          <w:rFonts w:ascii="Times New Roman" w:hAnsi="Times New Roman"/>
          <w:bCs/>
        </w:rPr>
      </w:pPr>
      <w:r w:rsidRPr="00520002">
        <w:rPr>
          <w:rFonts w:ascii="Times New Roman" w:hAnsi="Times New Roman"/>
          <w:bCs/>
          <w:u w:val="single"/>
        </w:rPr>
        <w:t>Dávkovanie</w:t>
      </w:r>
    </w:p>
    <w:p w14:paraId="2A658FED" w14:textId="77777777" w:rsidR="00684A8F" w:rsidRPr="00F95656" w:rsidRDefault="00684A8F">
      <w:pPr>
        <w:widowControl w:val="0"/>
        <w:autoSpaceDE w:val="0"/>
        <w:autoSpaceDN w:val="0"/>
        <w:adjustRightInd w:val="0"/>
        <w:spacing w:after="0" w:line="240" w:lineRule="auto"/>
        <w:rPr>
          <w:rFonts w:ascii="Times New Roman" w:hAnsi="Times New Roman"/>
          <w:bCs/>
        </w:rPr>
      </w:pPr>
      <w:r w:rsidRPr="00F95656">
        <w:rPr>
          <w:rFonts w:ascii="Times New Roman" w:hAnsi="Times New Roman"/>
          <w:bCs/>
        </w:rPr>
        <w:t>Monoterapia chronickej lymfocyt</w:t>
      </w:r>
      <w:r w:rsidR="00AC5778" w:rsidRPr="003B5ED4">
        <w:rPr>
          <w:rFonts w:ascii="Times New Roman" w:hAnsi="Times New Roman"/>
          <w:bCs/>
        </w:rPr>
        <w:t>ovej</w:t>
      </w:r>
      <w:r w:rsidRPr="00F95656">
        <w:rPr>
          <w:rFonts w:ascii="Times New Roman" w:hAnsi="Times New Roman"/>
          <w:bCs/>
        </w:rPr>
        <w:t xml:space="preserve"> leukémie</w:t>
      </w:r>
    </w:p>
    <w:p w14:paraId="154F3897" w14:textId="58C4826E" w:rsidR="00684A8F" w:rsidRPr="009A72D1" w:rsidRDefault="00684A8F">
      <w:pPr>
        <w:widowControl w:val="0"/>
        <w:autoSpaceDE w:val="0"/>
        <w:autoSpaceDN w:val="0"/>
        <w:adjustRightInd w:val="0"/>
        <w:spacing w:after="0" w:line="240" w:lineRule="auto"/>
        <w:rPr>
          <w:rFonts w:ascii="Times New Roman" w:hAnsi="Times New Roman"/>
          <w:bCs/>
        </w:rPr>
      </w:pPr>
      <w:r w:rsidRPr="003B5ED4">
        <w:rPr>
          <w:rFonts w:ascii="Times New Roman" w:hAnsi="Times New Roman"/>
          <w:bCs/>
        </w:rPr>
        <w:t>100 mg</w:t>
      </w:r>
      <w:r w:rsidR="00F87AE8" w:rsidRPr="003B5ED4">
        <w:rPr>
          <w:rFonts w:ascii="Times New Roman" w:hAnsi="Times New Roman"/>
          <w:bCs/>
        </w:rPr>
        <w:t xml:space="preserve"> </w:t>
      </w:r>
      <w:r w:rsidRPr="003B5ED4">
        <w:rPr>
          <w:rFonts w:ascii="Times New Roman" w:hAnsi="Times New Roman"/>
          <w:bCs/>
        </w:rPr>
        <w:t xml:space="preserve">bendamustíniumchloridu </w:t>
      </w:r>
      <w:r w:rsidRPr="009A72D1">
        <w:rPr>
          <w:rFonts w:ascii="Times New Roman" w:hAnsi="Times New Roman"/>
          <w:bCs/>
        </w:rPr>
        <w:t>na 1 m² plochy povrchu tela 1. a 2. deň; každé 4 týždne</w:t>
      </w:r>
      <w:r w:rsidR="009E3C71">
        <w:rPr>
          <w:rFonts w:ascii="Times New Roman" w:hAnsi="Times New Roman"/>
          <w:bCs/>
        </w:rPr>
        <w:t xml:space="preserve"> maximálne 6-krát</w:t>
      </w:r>
      <w:r w:rsidRPr="009A72D1">
        <w:rPr>
          <w:rFonts w:ascii="Times New Roman" w:hAnsi="Times New Roman"/>
          <w:bCs/>
        </w:rPr>
        <w:t>.</w:t>
      </w:r>
    </w:p>
    <w:p w14:paraId="1B3AA2E5" w14:textId="77777777" w:rsidR="00684A8F" w:rsidRPr="003B5ED4" w:rsidRDefault="00684A8F">
      <w:pPr>
        <w:widowControl w:val="0"/>
        <w:autoSpaceDE w:val="0"/>
        <w:autoSpaceDN w:val="0"/>
        <w:adjustRightInd w:val="0"/>
        <w:spacing w:after="0" w:line="240" w:lineRule="auto"/>
        <w:rPr>
          <w:rFonts w:ascii="Times New Roman" w:hAnsi="Times New Roman"/>
          <w:bCs/>
        </w:rPr>
      </w:pPr>
    </w:p>
    <w:p w14:paraId="3387DAD9" w14:textId="77777777" w:rsidR="00684A8F" w:rsidRPr="00F95656" w:rsidRDefault="00684A8F">
      <w:pPr>
        <w:widowControl w:val="0"/>
        <w:autoSpaceDE w:val="0"/>
        <w:autoSpaceDN w:val="0"/>
        <w:adjustRightInd w:val="0"/>
        <w:spacing w:after="0" w:line="240" w:lineRule="auto"/>
        <w:rPr>
          <w:rFonts w:ascii="Times New Roman" w:hAnsi="Times New Roman"/>
          <w:bCs/>
        </w:rPr>
      </w:pPr>
      <w:r w:rsidRPr="00F95656">
        <w:rPr>
          <w:rFonts w:ascii="Times New Roman" w:hAnsi="Times New Roman"/>
          <w:bCs/>
        </w:rPr>
        <w:t>Monoterapia indolentných nehodgkinovských lymfómov nereagujúcich na rituximab</w:t>
      </w:r>
    </w:p>
    <w:p w14:paraId="7DE37E63" w14:textId="05C46CBC" w:rsidR="00684A8F" w:rsidRPr="003B5ED4" w:rsidRDefault="00684A8F">
      <w:pPr>
        <w:widowControl w:val="0"/>
        <w:autoSpaceDE w:val="0"/>
        <w:autoSpaceDN w:val="0"/>
        <w:adjustRightInd w:val="0"/>
        <w:spacing w:after="0" w:line="240" w:lineRule="auto"/>
        <w:rPr>
          <w:rFonts w:ascii="Times New Roman" w:hAnsi="Times New Roman"/>
          <w:bCs/>
        </w:rPr>
      </w:pPr>
      <w:r w:rsidRPr="003B5ED4">
        <w:rPr>
          <w:rFonts w:ascii="Times New Roman" w:hAnsi="Times New Roman"/>
          <w:bCs/>
        </w:rPr>
        <w:t>120 mg bendamustíniumchloridu na 1 m² plochy povrchu tela 1. a 2. deň; každé 3 týždne</w:t>
      </w:r>
      <w:r w:rsidR="009E3C71">
        <w:rPr>
          <w:rFonts w:ascii="Times New Roman" w:hAnsi="Times New Roman"/>
          <w:bCs/>
        </w:rPr>
        <w:t xml:space="preserve"> minimálne 6-krát</w:t>
      </w:r>
      <w:r w:rsidRPr="003B5ED4">
        <w:rPr>
          <w:rFonts w:ascii="Times New Roman" w:hAnsi="Times New Roman"/>
          <w:bCs/>
        </w:rPr>
        <w:t>.</w:t>
      </w:r>
    </w:p>
    <w:p w14:paraId="1B7487B7" w14:textId="77777777" w:rsidR="00684A8F" w:rsidRPr="003B5ED4" w:rsidRDefault="00684A8F">
      <w:pPr>
        <w:widowControl w:val="0"/>
        <w:autoSpaceDE w:val="0"/>
        <w:autoSpaceDN w:val="0"/>
        <w:adjustRightInd w:val="0"/>
        <w:spacing w:after="0" w:line="240" w:lineRule="auto"/>
        <w:rPr>
          <w:rFonts w:ascii="Times New Roman" w:hAnsi="Times New Roman"/>
          <w:bCs/>
        </w:rPr>
      </w:pPr>
    </w:p>
    <w:p w14:paraId="608732BF" w14:textId="77777777" w:rsidR="00684A8F" w:rsidRPr="00F95656" w:rsidRDefault="00684A8F">
      <w:pPr>
        <w:widowControl w:val="0"/>
        <w:autoSpaceDE w:val="0"/>
        <w:autoSpaceDN w:val="0"/>
        <w:adjustRightInd w:val="0"/>
        <w:spacing w:after="0" w:line="240" w:lineRule="auto"/>
        <w:rPr>
          <w:rFonts w:ascii="Times New Roman" w:hAnsi="Times New Roman"/>
          <w:bCs/>
        </w:rPr>
      </w:pPr>
      <w:r w:rsidRPr="00F95656">
        <w:rPr>
          <w:rFonts w:ascii="Times New Roman" w:hAnsi="Times New Roman"/>
          <w:bCs/>
        </w:rPr>
        <w:t>Mnohopočetný myelóm</w:t>
      </w:r>
    </w:p>
    <w:p w14:paraId="3DB2BD3A" w14:textId="13BB6510" w:rsidR="00684A8F" w:rsidRPr="00AB0EA7" w:rsidRDefault="00684A8F">
      <w:pPr>
        <w:widowControl w:val="0"/>
        <w:autoSpaceDE w:val="0"/>
        <w:autoSpaceDN w:val="0"/>
        <w:adjustRightInd w:val="0"/>
        <w:spacing w:after="0" w:line="240" w:lineRule="auto"/>
        <w:rPr>
          <w:rFonts w:ascii="Times New Roman" w:hAnsi="Times New Roman"/>
          <w:bCs/>
        </w:rPr>
      </w:pPr>
      <w:r w:rsidRPr="003B5ED4">
        <w:rPr>
          <w:rFonts w:ascii="Times New Roman" w:hAnsi="Times New Roman"/>
          <w:bCs/>
        </w:rPr>
        <w:t xml:space="preserve">120 mg – 150 mg bendamustíniumchloridu na 1 m² plochy povrchu tela 1. a 2. deň; 60 mg prednizónu </w:t>
      </w:r>
      <w:r w:rsidRPr="003B5ED4">
        <w:rPr>
          <w:rFonts w:ascii="Times New Roman" w:hAnsi="Times New Roman"/>
          <w:bCs/>
        </w:rPr>
        <w:lastRenderedPageBreak/>
        <w:t>na 1 m² plochy povrchu tela i</w:t>
      </w:r>
      <w:r w:rsidR="00AB0EA7">
        <w:rPr>
          <w:rFonts w:ascii="Times New Roman" w:hAnsi="Times New Roman"/>
          <w:bCs/>
        </w:rPr>
        <w:t>ntravenózne</w:t>
      </w:r>
      <w:r w:rsidRPr="00AB0EA7">
        <w:rPr>
          <w:rFonts w:ascii="Times New Roman" w:hAnsi="Times New Roman"/>
          <w:bCs/>
        </w:rPr>
        <w:t xml:space="preserve"> alebo per</w:t>
      </w:r>
      <w:r w:rsidR="00AB0EA7">
        <w:rPr>
          <w:rFonts w:ascii="Times New Roman" w:hAnsi="Times New Roman"/>
          <w:bCs/>
        </w:rPr>
        <w:t>orálne</w:t>
      </w:r>
      <w:r w:rsidRPr="00AB0EA7">
        <w:rPr>
          <w:rFonts w:ascii="Times New Roman" w:hAnsi="Times New Roman"/>
          <w:bCs/>
        </w:rPr>
        <w:t xml:space="preserve"> 1. až 4. deň; každé 4 týždne</w:t>
      </w:r>
      <w:r w:rsidR="009E3C71">
        <w:rPr>
          <w:rFonts w:ascii="Times New Roman" w:hAnsi="Times New Roman"/>
          <w:bCs/>
        </w:rPr>
        <w:t xml:space="preserve"> minimálne 3-krát</w:t>
      </w:r>
      <w:r w:rsidRPr="00AB0EA7">
        <w:rPr>
          <w:rFonts w:ascii="Times New Roman" w:hAnsi="Times New Roman"/>
          <w:bCs/>
        </w:rPr>
        <w:t>.</w:t>
      </w:r>
    </w:p>
    <w:p w14:paraId="0D122CDF" w14:textId="77777777" w:rsidR="00684A8F" w:rsidRPr="003B5ED4" w:rsidRDefault="00684A8F">
      <w:pPr>
        <w:widowControl w:val="0"/>
        <w:autoSpaceDE w:val="0"/>
        <w:autoSpaceDN w:val="0"/>
        <w:adjustRightInd w:val="0"/>
        <w:spacing w:after="0" w:line="240" w:lineRule="auto"/>
        <w:rPr>
          <w:rFonts w:ascii="Times New Roman" w:hAnsi="Times New Roman"/>
          <w:bCs/>
        </w:rPr>
      </w:pPr>
    </w:p>
    <w:p w14:paraId="6E5EB333" w14:textId="77777777" w:rsidR="00684A8F" w:rsidRPr="003B5ED4" w:rsidRDefault="00684A8F">
      <w:pPr>
        <w:widowControl w:val="0"/>
        <w:autoSpaceDE w:val="0"/>
        <w:autoSpaceDN w:val="0"/>
        <w:adjustRightInd w:val="0"/>
        <w:spacing w:after="0" w:line="240" w:lineRule="auto"/>
        <w:rPr>
          <w:rFonts w:ascii="Times New Roman" w:hAnsi="Times New Roman"/>
          <w:bCs/>
          <w:i/>
        </w:rPr>
      </w:pPr>
      <w:r w:rsidRPr="003B5ED4">
        <w:rPr>
          <w:rFonts w:ascii="Times New Roman" w:hAnsi="Times New Roman"/>
          <w:bCs/>
          <w:i/>
        </w:rPr>
        <w:t>Porucha funkcie pečene</w:t>
      </w:r>
    </w:p>
    <w:p w14:paraId="420DACEE" w14:textId="77777777" w:rsidR="00684A8F" w:rsidRPr="00726D43" w:rsidRDefault="00684A8F" w:rsidP="00726D43">
      <w:pPr>
        <w:widowControl w:val="0"/>
        <w:autoSpaceDE w:val="0"/>
        <w:autoSpaceDN w:val="0"/>
        <w:adjustRightInd w:val="0"/>
        <w:spacing w:after="0" w:line="240" w:lineRule="auto"/>
        <w:rPr>
          <w:rFonts w:ascii="Times New Roman" w:hAnsi="Times New Roman"/>
          <w:bCs/>
        </w:rPr>
      </w:pPr>
      <w:r w:rsidRPr="003B5ED4">
        <w:rPr>
          <w:rFonts w:ascii="Times New Roman" w:hAnsi="Times New Roman"/>
          <w:bCs/>
        </w:rPr>
        <w:t>Na základe farmakokinetických údajov nie je potrebná žiadna zmena dávkovania u pacientov s</w:t>
      </w:r>
      <w:r w:rsidR="00726D43">
        <w:rPr>
          <w:rFonts w:ascii="Times New Roman" w:hAnsi="Times New Roman"/>
          <w:bCs/>
        </w:rPr>
        <w:t> </w:t>
      </w:r>
      <w:r w:rsidRPr="00A6598A">
        <w:rPr>
          <w:rFonts w:ascii="Times New Roman" w:hAnsi="Times New Roman"/>
          <w:bCs/>
        </w:rPr>
        <w:t>ľahkou poruchou funkcie pečene (sérový bilirubín &lt; 1,2 mg/dl). 30 % zníženie dávky sa odporúča u</w:t>
      </w:r>
      <w:r w:rsidR="00726D43">
        <w:rPr>
          <w:rFonts w:ascii="Times New Roman" w:hAnsi="Times New Roman"/>
          <w:bCs/>
        </w:rPr>
        <w:t> </w:t>
      </w:r>
      <w:r w:rsidRPr="00A6598A">
        <w:rPr>
          <w:rFonts w:ascii="Times New Roman" w:hAnsi="Times New Roman"/>
          <w:bCs/>
        </w:rPr>
        <w:t xml:space="preserve">pacientov s miernou poruchou funkcie pečene (sérový bilirubín 1,2 </w:t>
      </w:r>
      <w:r w:rsidR="005200CC">
        <w:rPr>
          <w:rFonts w:ascii="Times New Roman" w:hAnsi="Times New Roman"/>
          <w:bCs/>
        </w:rPr>
        <w:t>–</w:t>
      </w:r>
      <w:r w:rsidRPr="00A6598A">
        <w:rPr>
          <w:rFonts w:ascii="Times New Roman" w:hAnsi="Times New Roman"/>
          <w:bCs/>
        </w:rPr>
        <w:t xml:space="preserve"> 3,0 mg/dl).</w:t>
      </w:r>
    </w:p>
    <w:p w14:paraId="21AFF49D" w14:textId="77777777" w:rsidR="00684A8F" w:rsidRPr="003B5ED4" w:rsidRDefault="00684A8F">
      <w:pPr>
        <w:widowControl w:val="0"/>
        <w:autoSpaceDE w:val="0"/>
        <w:autoSpaceDN w:val="0"/>
        <w:adjustRightInd w:val="0"/>
        <w:spacing w:after="0" w:line="240" w:lineRule="auto"/>
        <w:rPr>
          <w:rFonts w:ascii="Times New Roman" w:hAnsi="Times New Roman"/>
          <w:bCs/>
        </w:rPr>
      </w:pPr>
    </w:p>
    <w:p w14:paraId="7647EFD1" w14:textId="77777777" w:rsidR="00684A8F" w:rsidRPr="003B5ED4" w:rsidRDefault="00684A8F">
      <w:pPr>
        <w:widowControl w:val="0"/>
        <w:autoSpaceDE w:val="0"/>
        <w:autoSpaceDN w:val="0"/>
        <w:adjustRightInd w:val="0"/>
        <w:spacing w:after="0" w:line="240" w:lineRule="auto"/>
        <w:rPr>
          <w:rFonts w:ascii="Times New Roman" w:hAnsi="Times New Roman"/>
          <w:bCs/>
        </w:rPr>
      </w:pPr>
      <w:r w:rsidRPr="003B5ED4">
        <w:rPr>
          <w:rFonts w:ascii="Times New Roman" w:hAnsi="Times New Roman"/>
          <w:bCs/>
        </w:rPr>
        <w:t>Nie sú k dispozícií žiadne údaje týkajúce sa pacientov so závažnou poruchou funkcie pečene (hodnoty sérového bilirubínu &gt; 3,0 mg/dl) (pozri časť 4.3).</w:t>
      </w:r>
    </w:p>
    <w:p w14:paraId="40C81B63" w14:textId="77777777" w:rsidR="00684A8F" w:rsidRPr="003B5ED4" w:rsidRDefault="00684A8F">
      <w:pPr>
        <w:widowControl w:val="0"/>
        <w:autoSpaceDE w:val="0"/>
        <w:autoSpaceDN w:val="0"/>
        <w:adjustRightInd w:val="0"/>
        <w:spacing w:after="0" w:line="240" w:lineRule="auto"/>
        <w:rPr>
          <w:rFonts w:ascii="Times New Roman" w:hAnsi="Times New Roman"/>
          <w:bCs/>
        </w:rPr>
      </w:pPr>
    </w:p>
    <w:p w14:paraId="57CF858C" w14:textId="77777777" w:rsidR="00684A8F" w:rsidRPr="003B5ED4" w:rsidRDefault="00684A8F">
      <w:pPr>
        <w:widowControl w:val="0"/>
        <w:autoSpaceDE w:val="0"/>
        <w:autoSpaceDN w:val="0"/>
        <w:adjustRightInd w:val="0"/>
        <w:spacing w:after="0" w:line="240" w:lineRule="auto"/>
        <w:rPr>
          <w:rFonts w:ascii="Times New Roman" w:hAnsi="Times New Roman"/>
          <w:bCs/>
          <w:i/>
        </w:rPr>
      </w:pPr>
      <w:r w:rsidRPr="003B5ED4">
        <w:rPr>
          <w:rFonts w:ascii="Times New Roman" w:hAnsi="Times New Roman"/>
          <w:bCs/>
          <w:i/>
        </w:rPr>
        <w:t>Porucha funkcie obličiek</w:t>
      </w:r>
    </w:p>
    <w:p w14:paraId="4F432ADE" w14:textId="36BEE211" w:rsidR="00684A8F" w:rsidRPr="00CE3E3D" w:rsidRDefault="00684A8F">
      <w:pPr>
        <w:widowControl w:val="0"/>
        <w:autoSpaceDE w:val="0"/>
        <w:autoSpaceDN w:val="0"/>
        <w:adjustRightInd w:val="0"/>
        <w:spacing w:after="0" w:line="240" w:lineRule="auto"/>
        <w:rPr>
          <w:rFonts w:ascii="Times New Roman" w:hAnsi="Times New Roman"/>
          <w:bCs/>
        </w:rPr>
      </w:pPr>
      <w:r w:rsidRPr="003B5ED4">
        <w:rPr>
          <w:rFonts w:ascii="Times New Roman" w:hAnsi="Times New Roman"/>
          <w:bCs/>
        </w:rPr>
        <w:t xml:space="preserve">Na základe farmakokinetických údajov nie </w:t>
      </w:r>
      <w:r w:rsidR="00CE3E3D">
        <w:rPr>
          <w:rFonts w:ascii="Times New Roman" w:hAnsi="Times New Roman"/>
          <w:bCs/>
        </w:rPr>
        <w:t>je</w:t>
      </w:r>
      <w:r w:rsidRPr="00CE3E3D">
        <w:rPr>
          <w:rFonts w:ascii="Times New Roman" w:hAnsi="Times New Roman"/>
          <w:bCs/>
        </w:rPr>
        <w:t xml:space="preserve"> potrebn</w:t>
      </w:r>
      <w:r w:rsidR="00CE3E3D">
        <w:rPr>
          <w:rFonts w:ascii="Times New Roman" w:hAnsi="Times New Roman"/>
          <w:bCs/>
        </w:rPr>
        <w:t>á</w:t>
      </w:r>
      <w:r w:rsidRPr="00CE3E3D">
        <w:rPr>
          <w:rFonts w:ascii="Times New Roman" w:hAnsi="Times New Roman"/>
          <w:bCs/>
        </w:rPr>
        <w:t xml:space="preserve"> žiadn</w:t>
      </w:r>
      <w:r w:rsidR="00CE3E3D">
        <w:rPr>
          <w:rFonts w:ascii="Times New Roman" w:hAnsi="Times New Roman"/>
          <w:bCs/>
        </w:rPr>
        <w:t>a</w:t>
      </w:r>
      <w:r w:rsidRPr="00CE3E3D">
        <w:rPr>
          <w:rFonts w:ascii="Times New Roman" w:hAnsi="Times New Roman"/>
          <w:bCs/>
        </w:rPr>
        <w:t xml:space="preserve"> zmen</w:t>
      </w:r>
      <w:r w:rsidR="00CE3E3D">
        <w:rPr>
          <w:rFonts w:ascii="Times New Roman" w:hAnsi="Times New Roman"/>
          <w:bCs/>
        </w:rPr>
        <w:t>a</w:t>
      </w:r>
      <w:r w:rsidRPr="00CE3E3D">
        <w:rPr>
          <w:rFonts w:ascii="Times New Roman" w:hAnsi="Times New Roman"/>
          <w:bCs/>
        </w:rPr>
        <w:t xml:space="preserve"> dávkovania u pacientov s</w:t>
      </w:r>
      <w:r w:rsidR="00CE3E3D">
        <w:rPr>
          <w:rFonts w:ascii="Times New Roman" w:hAnsi="Times New Roman"/>
          <w:bCs/>
        </w:rPr>
        <w:t> </w:t>
      </w:r>
      <w:r w:rsidRPr="00CE3E3D">
        <w:rPr>
          <w:rFonts w:ascii="Times New Roman" w:hAnsi="Times New Roman"/>
          <w:bCs/>
        </w:rPr>
        <w:t>klírensom kreatinínu &gt; 10 ml/min. U pacientov so závažnou poruchou funkcie obličiek sú obmedzené skúsenosti.</w:t>
      </w:r>
    </w:p>
    <w:p w14:paraId="5ED06CC6" w14:textId="77777777" w:rsidR="00684A8F" w:rsidRPr="003B5ED4" w:rsidRDefault="00684A8F">
      <w:pPr>
        <w:widowControl w:val="0"/>
        <w:autoSpaceDE w:val="0"/>
        <w:autoSpaceDN w:val="0"/>
        <w:adjustRightInd w:val="0"/>
        <w:spacing w:after="0" w:line="240" w:lineRule="auto"/>
        <w:rPr>
          <w:rFonts w:ascii="Times New Roman" w:hAnsi="Times New Roman"/>
          <w:bCs/>
        </w:rPr>
      </w:pPr>
    </w:p>
    <w:p w14:paraId="7CE9D7DF" w14:textId="77777777" w:rsidR="00684A8F" w:rsidRPr="003B5ED4" w:rsidRDefault="00684A8F">
      <w:pPr>
        <w:widowControl w:val="0"/>
        <w:autoSpaceDE w:val="0"/>
        <w:autoSpaceDN w:val="0"/>
        <w:adjustRightInd w:val="0"/>
        <w:spacing w:after="0" w:line="240" w:lineRule="auto"/>
        <w:rPr>
          <w:rFonts w:ascii="Times New Roman" w:hAnsi="Times New Roman"/>
          <w:bCs/>
          <w:i/>
        </w:rPr>
      </w:pPr>
      <w:r w:rsidRPr="003B5ED4">
        <w:rPr>
          <w:rFonts w:ascii="Times New Roman" w:hAnsi="Times New Roman"/>
          <w:bCs/>
          <w:i/>
        </w:rPr>
        <w:t>Pediatrická populácia</w:t>
      </w:r>
    </w:p>
    <w:p w14:paraId="0A7B0E4C" w14:textId="22F0B260" w:rsidR="009E3C71" w:rsidRPr="009E3C71" w:rsidRDefault="009E3C71" w:rsidP="009E3C71">
      <w:pPr>
        <w:widowControl w:val="0"/>
        <w:autoSpaceDE w:val="0"/>
        <w:autoSpaceDN w:val="0"/>
        <w:adjustRightInd w:val="0"/>
        <w:spacing w:after="0" w:line="240" w:lineRule="auto"/>
        <w:rPr>
          <w:rFonts w:ascii="Times New Roman" w:hAnsi="Times New Roman"/>
          <w:bCs/>
          <w:lang w:val="en-GB"/>
        </w:rPr>
      </w:pPr>
      <w:r w:rsidRPr="009E3C71">
        <w:rPr>
          <w:rFonts w:ascii="Times New Roman" w:hAnsi="Times New Roman"/>
          <w:bCs/>
          <w:lang w:val="en-GB"/>
        </w:rPr>
        <w:t xml:space="preserve">Bezpečnosť a účinnosť </w:t>
      </w:r>
      <w:r w:rsidRPr="009E3C71">
        <w:rPr>
          <w:rFonts w:ascii="Times New Roman" w:hAnsi="Times New Roman"/>
          <w:bCs/>
          <w:lang w:val="sk-SK"/>
        </w:rPr>
        <w:t>bendamustíniumchloridu</w:t>
      </w:r>
      <w:r w:rsidRPr="009E3C71">
        <w:rPr>
          <w:rFonts w:ascii="Times New Roman" w:hAnsi="Times New Roman"/>
          <w:bCs/>
          <w:lang w:val="en-GB"/>
        </w:rPr>
        <w:t xml:space="preserve"> u detí neboli doteraz stanovené. V súčasnosti dostupné údaje nie sú dostatočné na </w:t>
      </w:r>
      <w:r>
        <w:rPr>
          <w:rFonts w:ascii="Times New Roman" w:hAnsi="Times New Roman"/>
          <w:bCs/>
          <w:lang w:val="en-GB"/>
        </w:rPr>
        <w:t>stanovenie</w:t>
      </w:r>
      <w:r w:rsidRPr="009E3C71">
        <w:rPr>
          <w:rFonts w:ascii="Times New Roman" w:hAnsi="Times New Roman"/>
          <w:bCs/>
          <w:lang w:val="en-GB"/>
        </w:rPr>
        <w:t xml:space="preserve"> odporúčania na dávkovanie.</w:t>
      </w:r>
    </w:p>
    <w:p w14:paraId="7B8B275E" w14:textId="77777777" w:rsidR="00684A8F" w:rsidRPr="003B5ED4" w:rsidRDefault="00684A8F">
      <w:pPr>
        <w:widowControl w:val="0"/>
        <w:autoSpaceDE w:val="0"/>
        <w:autoSpaceDN w:val="0"/>
        <w:adjustRightInd w:val="0"/>
        <w:spacing w:after="0" w:line="240" w:lineRule="auto"/>
        <w:rPr>
          <w:rFonts w:ascii="Times New Roman" w:hAnsi="Times New Roman"/>
          <w:bCs/>
          <w:i/>
        </w:rPr>
      </w:pPr>
    </w:p>
    <w:p w14:paraId="24723823" w14:textId="77777777" w:rsidR="00684A8F" w:rsidRPr="003B5ED4" w:rsidRDefault="00684A8F">
      <w:pPr>
        <w:widowControl w:val="0"/>
        <w:autoSpaceDE w:val="0"/>
        <w:autoSpaceDN w:val="0"/>
        <w:adjustRightInd w:val="0"/>
        <w:spacing w:after="0" w:line="240" w:lineRule="auto"/>
        <w:rPr>
          <w:rFonts w:ascii="Times New Roman" w:hAnsi="Times New Roman"/>
          <w:bCs/>
          <w:i/>
        </w:rPr>
      </w:pPr>
      <w:r w:rsidRPr="003B5ED4">
        <w:rPr>
          <w:rFonts w:ascii="Times New Roman" w:hAnsi="Times New Roman"/>
          <w:bCs/>
          <w:i/>
        </w:rPr>
        <w:t>Starší pacienti</w:t>
      </w:r>
    </w:p>
    <w:p w14:paraId="4CE05B46" w14:textId="77777777" w:rsidR="00684A8F" w:rsidRPr="00E74E1B" w:rsidRDefault="00684A8F">
      <w:pPr>
        <w:widowControl w:val="0"/>
        <w:autoSpaceDE w:val="0"/>
        <w:autoSpaceDN w:val="0"/>
        <w:adjustRightInd w:val="0"/>
        <w:spacing w:after="0" w:line="240" w:lineRule="auto"/>
        <w:rPr>
          <w:rFonts w:ascii="Times New Roman" w:hAnsi="Times New Roman"/>
          <w:bCs/>
        </w:rPr>
      </w:pPr>
      <w:r w:rsidRPr="003B5ED4">
        <w:rPr>
          <w:rFonts w:ascii="Times New Roman" w:hAnsi="Times New Roman"/>
          <w:bCs/>
        </w:rPr>
        <w:t>Neexistujú žiadne dôkazy o potrebe zm</w:t>
      </w:r>
      <w:r w:rsidR="00BD2691">
        <w:rPr>
          <w:rFonts w:ascii="Times New Roman" w:hAnsi="Times New Roman"/>
          <w:bCs/>
        </w:rPr>
        <w:t>ien</w:t>
      </w:r>
      <w:r w:rsidRPr="00BD2691">
        <w:rPr>
          <w:rFonts w:ascii="Times New Roman" w:hAnsi="Times New Roman"/>
          <w:bCs/>
        </w:rPr>
        <w:t xml:space="preserve"> dávkovania u starších pacientov (pozri časť 5.2).</w:t>
      </w:r>
    </w:p>
    <w:p w14:paraId="561A6DFC" w14:textId="77777777" w:rsidR="00684A8F" w:rsidRPr="003B5ED4" w:rsidRDefault="00684A8F">
      <w:pPr>
        <w:widowControl w:val="0"/>
        <w:autoSpaceDE w:val="0"/>
        <w:autoSpaceDN w:val="0"/>
        <w:adjustRightInd w:val="0"/>
        <w:spacing w:after="0" w:line="240" w:lineRule="auto"/>
        <w:rPr>
          <w:rFonts w:ascii="Times New Roman" w:hAnsi="Times New Roman"/>
          <w:bCs/>
          <w:i/>
          <w:u w:val="single"/>
        </w:rPr>
      </w:pPr>
    </w:p>
    <w:p w14:paraId="4EFA496B" w14:textId="77777777" w:rsidR="00684A8F" w:rsidRPr="003B5ED4" w:rsidRDefault="00684A8F">
      <w:pPr>
        <w:widowControl w:val="0"/>
        <w:autoSpaceDE w:val="0"/>
        <w:autoSpaceDN w:val="0"/>
        <w:adjustRightInd w:val="0"/>
        <w:spacing w:after="0" w:line="240" w:lineRule="auto"/>
        <w:rPr>
          <w:rFonts w:ascii="Times New Roman" w:hAnsi="Times New Roman"/>
          <w:bCs/>
          <w:i/>
          <w:u w:val="single"/>
        </w:rPr>
      </w:pPr>
      <w:r w:rsidRPr="003B5ED4">
        <w:rPr>
          <w:rFonts w:ascii="Times New Roman" w:hAnsi="Times New Roman"/>
          <w:bCs/>
          <w:i/>
          <w:u w:val="single"/>
        </w:rPr>
        <w:t>Spôsob podávania</w:t>
      </w:r>
    </w:p>
    <w:p w14:paraId="5BEFC0C5" w14:textId="77777777" w:rsidR="00E656CE" w:rsidRPr="003B5ED4" w:rsidRDefault="00E656CE" w:rsidP="00E656CE">
      <w:pPr>
        <w:widowControl w:val="0"/>
        <w:autoSpaceDE w:val="0"/>
        <w:autoSpaceDN w:val="0"/>
        <w:adjustRightInd w:val="0"/>
        <w:spacing w:after="0" w:line="240" w:lineRule="auto"/>
        <w:rPr>
          <w:rFonts w:ascii="Times New Roman" w:hAnsi="Times New Roman"/>
          <w:bCs/>
        </w:rPr>
      </w:pPr>
      <w:r w:rsidRPr="003B5ED4">
        <w:rPr>
          <w:rFonts w:ascii="Times New Roman" w:hAnsi="Times New Roman"/>
          <w:bCs/>
        </w:rPr>
        <w:t>Na intravenóznu infúziu v priebehu 30 – 60 minút (pozri časť 6.6).</w:t>
      </w:r>
    </w:p>
    <w:p w14:paraId="17C333DD" w14:textId="77777777" w:rsidR="00E656CE" w:rsidRPr="003B5ED4" w:rsidRDefault="00E656CE" w:rsidP="00E656CE">
      <w:pPr>
        <w:widowControl w:val="0"/>
        <w:autoSpaceDE w:val="0"/>
        <w:autoSpaceDN w:val="0"/>
        <w:adjustRightInd w:val="0"/>
        <w:spacing w:after="0" w:line="240" w:lineRule="auto"/>
        <w:rPr>
          <w:rFonts w:ascii="Times New Roman" w:hAnsi="Times New Roman"/>
          <w:bCs/>
        </w:rPr>
      </w:pPr>
      <w:r w:rsidRPr="003B5ED4">
        <w:rPr>
          <w:rFonts w:ascii="Times New Roman" w:hAnsi="Times New Roman"/>
          <w:bCs/>
        </w:rPr>
        <w:t>Infúzia sa musí podávať pod dohľadom lekára s kvalifikáciou a skúsenosťou s používaním chemoterapeutických liekov.</w:t>
      </w:r>
    </w:p>
    <w:p w14:paraId="3ED3902D" w14:textId="554ED634" w:rsidR="00D84755" w:rsidRDefault="00D84755">
      <w:pPr>
        <w:widowControl w:val="0"/>
        <w:autoSpaceDE w:val="0"/>
        <w:autoSpaceDN w:val="0"/>
        <w:adjustRightInd w:val="0"/>
        <w:spacing w:after="0" w:line="240" w:lineRule="auto"/>
        <w:rPr>
          <w:rFonts w:ascii="Times New Roman" w:hAnsi="Times New Roman"/>
          <w:bCs/>
        </w:rPr>
      </w:pPr>
    </w:p>
    <w:p w14:paraId="55000BF8" w14:textId="0D3DB532" w:rsidR="00D84755" w:rsidRPr="00D84755" w:rsidRDefault="00D84755" w:rsidP="00D84755">
      <w:pPr>
        <w:widowControl w:val="0"/>
        <w:autoSpaceDE w:val="0"/>
        <w:autoSpaceDN w:val="0"/>
        <w:adjustRightInd w:val="0"/>
        <w:spacing w:after="0" w:line="240" w:lineRule="auto"/>
        <w:rPr>
          <w:rFonts w:ascii="Times New Roman" w:hAnsi="Times New Roman"/>
          <w:bCs/>
        </w:rPr>
      </w:pPr>
      <w:r w:rsidRPr="00D84755">
        <w:rPr>
          <w:rFonts w:ascii="Times New Roman" w:hAnsi="Times New Roman"/>
          <w:bCs/>
        </w:rPr>
        <w:t>Nedostat</w:t>
      </w:r>
      <w:r>
        <w:rPr>
          <w:rFonts w:ascii="Times New Roman" w:hAnsi="Times New Roman"/>
          <w:bCs/>
        </w:rPr>
        <w:t>očná</w:t>
      </w:r>
      <w:r w:rsidRPr="00D84755">
        <w:rPr>
          <w:rFonts w:ascii="Times New Roman" w:hAnsi="Times New Roman"/>
          <w:bCs/>
        </w:rPr>
        <w:t xml:space="preserve"> funkc</w:t>
      </w:r>
      <w:r>
        <w:rPr>
          <w:rFonts w:ascii="Times New Roman" w:hAnsi="Times New Roman"/>
          <w:bCs/>
        </w:rPr>
        <w:t xml:space="preserve">ia </w:t>
      </w:r>
      <w:r w:rsidRPr="00D84755">
        <w:rPr>
          <w:rFonts w:ascii="Times New Roman" w:hAnsi="Times New Roman"/>
          <w:bCs/>
        </w:rPr>
        <w:t>kostn</w:t>
      </w:r>
      <w:r>
        <w:rPr>
          <w:rFonts w:ascii="Times New Roman" w:hAnsi="Times New Roman"/>
          <w:bCs/>
        </w:rPr>
        <w:t xml:space="preserve">ej </w:t>
      </w:r>
      <w:r w:rsidRPr="00D84755">
        <w:rPr>
          <w:rFonts w:ascii="Times New Roman" w:hAnsi="Times New Roman"/>
          <w:bCs/>
        </w:rPr>
        <w:t>d</w:t>
      </w:r>
      <w:r>
        <w:rPr>
          <w:rFonts w:ascii="Times New Roman" w:hAnsi="Times New Roman"/>
          <w:bCs/>
        </w:rPr>
        <w:t>rene</w:t>
      </w:r>
      <w:r w:rsidRPr="00D84755">
        <w:rPr>
          <w:rFonts w:ascii="Times New Roman" w:hAnsi="Times New Roman"/>
          <w:bCs/>
        </w:rPr>
        <w:t xml:space="preserve"> s</w:t>
      </w:r>
      <w:r>
        <w:rPr>
          <w:rFonts w:ascii="Times New Roman" w:hAnsi="Times New Roman"/>
          <w:bCs/>
        </w:rPr>
        <w:t xml:space="preserve">úvisí </w:t>
      </w:r>
      <w:r w:rsidRPr="00D84755">
        <w:rPr>
          <w:rFonts w:ascii="Times New Roman" w:hAnsi="Times New Roman"/>
          <w:bCs/>
        </w:rPr>
        <w:t>s</w:t>
      </w:r>
      <w:r>
        <w:rPr>
          <w:rFonts w:ascii="Times New Roman" w:hAnsi="Times New Roman"/>
          <w:bCs/>
        </w:rPr>
        <w:t>o</w:t>
      </w:r>
      <w:r w:rsidRPr="00D84755">
        <w:rPr>
          <w:rFonts w:ascii="Times New Roman" w:hAnsi="Times New Roman"/>
          <w:bCs/>
        </w:rPr>
        <w:t xml:space="preserve"> zvýšenou hematologickou toxicitou vyvolanou</w:t>
      </w:r>
    </w:p>
    <w:p w14:paraId="062D87BE" w14:textId="6B7E5DC0" w:rsidR="00D84755" w:rsidRDefault="00D84755" w:rsidP="00D84755">
      <w:pPr>
        <w:widowControl w:val="0"/>
        <w:autoSpaceDE w:val="0"/>
        <w:autoSpaceDN w:val="0"/>
        <w:adjustRightInd w:val="0"/>
        <w:spacing w:after="0" w:line="240" w:lineRule="auto"/>
        <w:rPr>
          <w:rFonts w:ascii="Times New Roman" w:hAnsi="Times New Roman"/>
          <w:bCs/>
        </w:rPr>
      </w:pPr>
      <w:r>
        <w:rPr>
          <w:rFonts w:ascii="Times New Roman" w:hAnsi="Times New Roman"/>
          <w:bCs/>
        </w:rPr>
        <w:t>c</w:t>
      </w:r>
      <w:r w:rsidRPr="00D84755">
        <w:rPr>
          <w:rFonts w:ascii="Times New Roman" w:hAnsi="Times New Roman"/>
          <w:bCs/>
        </w:rPr>
        <w:t>hemoterapi</w:t>
      </w:r>
      <w:r>
        <w:rPr>
          <w:rFonts w:ascii="Times New Roman" w:hAnsi="Times New Roman"/>
          <w:bCs/>
        </w:rPr>
        <w:t xml:space="preserve">ou. </w:t>
      </w:r>
      <w:r w:rsidRPr="003B5ED4">
        <w:rPr>
          <w:rFonts w:ascii="Times New Roman" w:hAnsi="Times New Roman"/>
          <w:bCs/>
        </w:rPr>
        <w:t xml:space="preserve">Liečba sa </w:t>
      </w:r>
      <w:r>
        <w:rPr>
          <w:rFonts w:ascii="Times New Roman" w:hAnsi="Times New Roman"/>
          <w:bCs/>
        </w:rPr>
        <w:t>ne</w:t>
      </w:r>
      <w:r w:rsidR="00651922">
        <w:rPr>
          <w:rFonts w:ascii="Times New Roman" w:hAnsi="Times New Roman"/>
          <w:bCs/>
        </w:rPr>
        <w:t>smie</w:t>
      </w:r>
      <w:r>
        <w:rPr>
          <w:rFonts w:ascii="Times New Roman" w:hAnsi="Times New Roman"/>
          <w:bCs/>
        </w:rPr>
        <w:t xml:space="preserve"> začať</w:t>
      </w:r>
      <w:r w:rsidRPr="003B5ED4">
        <w:rPr>
          <w:rFonts w:ascii="Times New Roman" w:hAnsi="Times New Roman"/>
          <w:bCs/>
        </w:rPr>
        <w:t>, ak poč</w:t>
      </w:r>
      <w:r w:rsidR="00651922">
        <w:rPr>
          <w:rFonts w:ascii="Times New Roman" w:hAnsi="Times New Roman"/>
          <w:bCs/>
        </w:rPr>
        <w:t>et</w:t>
      </w:r>
      <w:r w:rsidRPr="003B5ED4">
        <w:rPr>
          <w:rFonts w:ascii="Times New Roman" w:hAnsi="Times New Roman"/>
          <w:bCs/>
        </w:rPr>
        <w:t xml:space="preserve"> leukocytov a/alebo krvných doštičiek kles</w:t>
      </w:r>
      <w:r w:rsidR="00651922">
        <w:rPr>
          <w:rFonts w:ascii="Times New Roman" w:hAnsi="Times New Roman"/>
          <w:bCs/>
        </w:rPr>
        <w:t>ol</w:t>
      </w:r>
      <w:r w:rsidRPr="003B5ED4">
        <w:rPr>
          <w:rFonts w:ascii="Times New Roman" w:hAnsi="Times New Roman"/>
          <w:bCs/>
        </w:rPr>
        <w:t xml:space="preserve"> </w:t>
      </w:r>
      <w:r w:rsidRPr="00CB078A">
        <w:rPr>
          <w:rFonts w:ascii="Times New Roman" w:hAnsi="Times New Roman"/>
          <w:bCs/>
        </w:rPr>
        <w:t xml:space="preserve">pod </w:t>
      </w:r>
      <w:r w:rsidRPr="00AF1D23">
        <w:rPr>
          <w:rFonts w:ascii="Times New Roman" w:hAnsi="Times New Roman"/>
          <w:bCs/>
        </w:rPr>
        <w:t>&lt; 3000/µl alebo &lt; 75 000/µl, v uvedenom poradí</w:t>
      </w:r>
      <w:r>
        <w:rPr>
          <w:rFonts w:ascii="Times New Roman" w:hAnsi="Times New Roman"/>
          <w:bCs/>
        </w:rPr>
        <w:t xml:space="preserve"> (pozri časť 4.3)</w:t>
      </w:r>
      <w:r w:rsidRPr="00AF1D23">
        <w:rPr>
          <w:rFonts w:ascii="Times New Roman" w:hAnsi="Times New Roman"/>
          <w:bCs/>
        </w:rPr>
        <w:t>.</w:t>
      </w:r>
    </w:p>
    <w:p w14:paraId="577EC3D6" w14:textId="352BDE4E" w:rsidR="00D84755" w:rsidRDefault="00D84755" w:rsidP="00D84755">
      <w:pPr>
        <w:widowControl w:val="0"/>
        <w:autoSpaceDE w:val="0"/>
        <w:autoSpaceDN w:val="0"/>
        <w:adjustRightInd w:val="0"/>
        <w:spacing w:after="0" w:line="240" w:lineRule="auto"/>
        <w:rPr>
          <w:rFonts w:ascii="Times New Roman" w:hAnsi="Times New Roman"/>
          <w:bCs/>
        </w:rPr>
      </w:pPr>
    </w:p>
    <w:p w14:paraId="5BC86068" w14:textId="3556A9B9" w:rsidR="00D84755" w:rsidRDefault="00D84755" w:rsidP="00D84755">
      <w:pPr>
        <w:widowControl w:val="0"/>
        <w:autoSpaceDE w:val="0"/>
        <w:autoSpaceDN w:val="0"/>
        <w:adjustRightInd w:val="0"/>
        <w:spacing w:after="0" w:line="240" w:lineRule="auto"/>
        <w:rPr>
          <w:rFonts w:ascii="Times New Roman" w:hAnsi="Times New Roman"/>
          <w:bCs/>
        </w:rPr>
      </w:pPr>
      <w:r w:rsidRPr="003B5ED4">
        <w:rPr>
          <w:rFonts w:ascii="Times New Roman" w:hAnsi="Times New Roman"/>
          <w:bCs/>
        </w:rPr>
        <w:t>Liečba sa musí ukončiť alebo odložiť, ak poč</w:t>
      </w:r>
      <w:r w:rsidR="008165A9">
        <w:rPr>
          <w:rFonts w:ascii="Times New Roman" w:hAnsi="Times New Roman"/>
          <w:bCs/>
        </w:rPr>
        <w:t>et</w:t>
      </w:r>
      <w:r w:rsidRPr="003B5ED4">
        <w:rPr>
          <w:rFonts w:ascii="Times New Roman" w:hAnsi="Times New Roman"/>
          <w:bCs/>
        </w:rPr>
        <w:t xml:space="preserve"> leukocytov a/alebo krvných doštičiek kles</w:t>
      </w:r>
      <w:r w:rsidR="008165A9">
        <w:rPr>
          <w:rFonts w:ascii="Times New Roman" w:hAnsi="Times New Roman"/>
          <w:bCs/>
        </w:rPr>
        <w:t>ol</w:t>
      </w:r>
    </w:p>
    <w:p w14:paraId="2E2213E0" w14:textId="027C6954" w:rsidR="00D84755" w:rsidRPr="003B5ED4" w:rsidRDefault="00D84755" w:rsidP="00D84755">
      <w:pPr>
        <w:widowControl w:val="0"/>
        <w:autoSpaceDE w:val="0"/>
        <w:autoSpaceDN w:val="0"/>
        <w:adjustRightInd w:val="0"/>
        <w:spacing w:after="0" w:line="240" w:lineRule="auto"/>
        <w:rPr>
          <w:rFonts w:ascii="Times New Roman" w:hAnsi="Times New Roman"/>
          <w:bCs/>
        </w:rPr>
      </w:pPr>
      <w:r w:rsidRPr="00CB078A">
        <w:rPr>
          <w:rFonts w:ascii="Times New Roman" w:hAnsi="Times New Roman"/>
          <w:bCs/>
        </w:rPr>
        <w:t xml:space="preserve">pod </w:t>
      </w:r>
      <w:r w:rsidRPr="00AF1D23">
        <w:rPr>
          <w:rFonts w:ascii="Times New Roman" w:hAnsi="Times New Roman"/>
          <w:bCs/>
        </w:rPr>
        <w:t>&lt; 3000/µl alebo &lt; 75 000/µl, v uvedenom poradí. V liečbe sa môže pokračovať, až keď sa počet leukocytov zvýši na &gt; 4000/µl a počet krvných doštičiek na &gt; 100 000/µl.</w:t>
      </w:r>
    </w:p>
    <w:p w14:paraId="6C614553" w14:textId="77777777" w:rsidR="00D84755" w:rsidRPr="003B5ED4" w:rsidRDefault="00D84755" w:rsidP="00D84755">
      <w:pPr>
        <w:widowControl w:val="0"/>
        <w:autoSpaceDE w:val="0"/>
        <w:autoSpaceDN w:val="0"/>
        <w:adjustRightInd w:val="0"/>
        <w:spacing w:after="0" w:line="240" w:lineRule="auto"/>
        <w:rPr>
          <w:rFonts w:ascii="Times New Roman" w:hAnsi="Times New Roman"/>
          <w:bCs/>
        </w:rPr>
      </w:pPr>
    </w:p>
    <w:p w14:paraId="6AAD6FE5" w14:textId="77777777" w:rsidR="00D84755" w:rsidRPr="003B5ED4" w:rsidRDefault="00D84755" w:rsidP="00D84755">
      <w:pPr>
        <w:widowControl w:val="0"/>
        <w:autoSpaceDE w:val="0"/>
        <w:autoSpaceDN w:val="0"/>
        <w:adjustRightInd w:val="0"/>
        <w:spacing w:after="0" w:line="240" w:lineRule="auto"/>
        <w:rPr>
          <w:rFonts w:ascii="Times New Roman" w:hAnsi="Times New Roman"/>
          <w:bCs/>
        </w:rPr>
      </w:pPr>
      <w:r>
        <w:rPr>
          <w:rFonts w:ascii="Times New Roman" w:hAnsi="Times New Roman"/>
          <w:bCs/>
        </w:rPr>
        <w:t>Dolná hranica</w:t>
      </w:r>
      <w:r w:rsidRPr="00AF1D23">
        <w:rPr>
          <w:rFonts w:ascii="Times New Roman" w:hAnsi="Times New Roman"/>
          <w:bCs/>
        </w:rPr>
        <w:t xml:space="preserve"> (nadir) </w:t>
      </w:r>
      <w:r>
        <w:rPr>
          <w:rFonts w:ascii="Times New Roman" w:hAnsi="Times New Roman"/>
          <w:bCs/>
        </w:rPr>
        <w:t xml:space="preserve">počtu </w:t>
      </w:r>
      <w:r w:rsidRPr="00AF1D23">
        <w:rPr>
          <w:rFonts w:ascii="Times New Roman" w:hAnsi="Times New Roman"/>
          <w:bCs/>
        </w:rPr>
        <w:t>leukocytov a krvných doštičiek sa dosahuje po 14 – 20 dňoch s</w:t>
      </w:r>
      <w:r>
        <w:rPr>
          <w:rFonts w:ascii="Times New Roman" w:hAnsi="Times New Roman"/>
          <w:bCs/>
        </w:rPr>
        <w:t> </w:t>
      </w:r>
      <w:r w:rsidRPr="00AF1D23">
        <w:rPr>
          <w:rFonts w:ascii="Times New Roman" w:hAnsi="Times New Roman"/>
          <w:bCs/>
        </w:rPr>
        <w:t>regeneráciou po 3 – 5 týždňoch. V období bez terapie sa odporúča prísne monitorovanie krvného obrazu (pozri časť 4.4).</w:t>
      </w:r>
    </w:p>
    <w:p w14:paraId="1AAA9004" w14:textId="77777777" w:rsidR="00D84755" w:rsidRPr="003B5ED4" w:rsidRDefault="00D84755" w:rsidP="00D84755">
      <w:pPr>
        <w:widowControl w:val="0"/>
        <w:autoSpaceDE w:val="0"/>
        <w:autoSpaceDN w:val="0"/>
        <w:adjustRightInd w:val="0"/>
        <w:spacing w:after="0" w:line="240" w:lineRule="auto"/>
        <w:rPr>
          <w:rFonts w:ascii="Times New Roman" w:hAnsi="Times New Roman"/>
          <w:bCs/>
        </w:rPr>
      </w:pPr>
    </w:p>
    <w:p w14:paraId="1C63AB8B" w14:textId="77777777" w:rsidR="00D84755" w:rsidRPr="00AF1D23" w:rsidRDefault="00D84755" w:rsidP="00D84755">
      <w:pPr>
        <w:widowControl w:val="0"/>
        <w:autoSpaceDE w:val="0"/>
        <w:autoSpaceDN w:val="0"/>
        <w:adjustRightInd w:val="0"/>
        <w:spacing w:after="0" w:line="240" w:lineRule="auto"/>
        <w:rPr>
          <w:rFonts w:ascii="Times New Roman" w:hAnsi="Times New Roman"/>
          <w:bCs/>
        </w:rPr>
      </w:pPr>
      <w:r w:rsidRPr="003B5ED4">
        <w:rPr>
          <w:rFonts w:ascii="Times New Roman" w:hAnsi="Times New Roman"/>
          <w:bCs/>
        </w:rPr>
        <w:t>V prípade nehematologickej toxicity sa redukci</w:t>
      </w:r>
      <w:r>
        <w:rPr>
          <w:rFonts w:ascii="Times New Roman" w:hAnsi="Times New Roman"/>
          <w:bCs/>
        </w:rPr>
        <w:t>e</w:t>
      </w:r>
      <w:r w:rsidRPr="00AF1D23">
        <w:rPr>
          <w:rFonts w:ascii="Times New Roman" w:hAnsi="Times New Roman"/>
          <w:bCs/>
        </w:rPr>
        <w:t xml:space="preserve"> dávkovania mus</w:t>
      </w:r>
      <w:r>
        <w:rPr>
          <w:rFonts w:ascii="Times New Roman" w:hAnsi="Times New Roman"/>
          <w:bCs/>
        </w:rPr>
        <w:t>ia</w:t>
      </w:r>
      <w:r w:rsidRPr="00AF1D23">
        <w:rPr>
          <w:rFonts w:ascii="Times New Roman" w:hAnsi="Times New Roman"/>
          <w:bCs/>
        </w:rPr>
        <w:t xml:space="preserve"> zakladať na najhorších stupňoch toxicity </w:t>
      </w:r>
      <w:r>
        <w:rPr>
          <w:rFonts w:ascii="Times New Roman" w:hAnsi="Times New Roman"/>
          <w:bCs/>
        </w:rPr>
        <w:t xml:space="preserve">podľa CTC </w:t>
      </w:r>
      <w:r w:rsidRPr="00AF1D23">
        <w:rPr>
          <w:rFonts w:ascii="Times New Roman" w:hAnsi="Times New Roman"/>
          <w:bCs/>
        </w:rPr>
        <w:t xml:space="preserve">v predchádzajúcom cykle. V prípade toxicity 3. stupňa </w:t>
      </w:r>
      <w:r>
        <w:rPr>
          <w:rFonts w:ascii="Times New Roman" w:hAnsi="Times New Roman"/>
          <w:bCs/>
        </w:rPr>
        <w:t>podľa CTC</w:t>
      </w:r>
      <w:r w:rsidRPr="00AF1D23">
        <w:rPr>
          <w:rFonts w:ascii="Times New Roman" w:hAnsi="Times New Roman"/>
          <w:bCs/>
        </w:rPr>
        <w:t xml:space="preserve"> sa odporúča 50</w:t>
      </w:r>
      <w:r>
        <w:rPr>
          <w:rFonts w:ascii="Times New Roman" w:hAnsi="Times New Roman"/>
          <w:bCs/>
        </w:rPr>
        <w:t> </w:t>
      </w:r>
      <w:r w:rsidRPr="00AF1D23">
        <w:rPr>
          <w:rFonts w:ascii="Times New Roman" w:hAnsi="Times New Roman"/>
          <w:bCs/>
        </w:rPr>
        <w:t xml:space="preserve">% zníženie dávky. Prerušenie liečby sa odporúča v prípade toxicity 4. </w:t>
      </w:r>
      <w:r>
        <w:rPr>
          <w:rFonts w:ascii="Times New Roman" w:hAnsi="Times New Roman"/>
          <w:bCs/>
        </w:rPr>
        <w:t>s</w:t>
      </w:r>
      <w:r w:rsidRPr="00AF1D23">
        <w:rPr>
          <w:rFonts w:ascii="Times New Roman" w:hAnsi="Times New Roman"/>
          <w:bCs/>
        </w:rPr>
        <w:t>tupňa</w:t>
      </w:r>
      <w:r>
        <w:rPr>
          <w:rFonts w:ascii="Times New Roman" w:hAnsi="Times New Roman"/>
          <w:bCs/>
        </w:rPr>
        <w:t xml:space="preserve"> podľa CTC</w:t>
      </w:r>
      <w:r w:rsidRPr="00AF1D23">
        <w:rPr>
          <w:rFonts w:ascii="Times New Roman" w:hAnsi="Times New Roman"/>
          <w:bCs/>
        </w:rPr>
        <w:t>.</w:t>
      </w:r>
    </w:p>
    <w:p w14:paraId="36B8AEEA" w14:textId="77777777" w:rsidR="00D84755" w:rsidRPr="003B5ED4" w:rsidRDefault="00D84755" w:rsidP="00D84755">
      <w:pPr>
        <w:widowControl w:val="0"/>
        <w:autoSpaceDE w:val="0"/>
        <w:autoSpaceDN w:val="0"/>
        <w:adjustRightInd w:val="0"/>
        <w:spacing w:after="0" w:line="240" w:lineRule="auto"/>
        <w:rPr>
          <w:rFonts w:ascii="Times New Roman" w:hAnsi="Times New Roman"/>
          <w:bCs/>
        </w:rPr>
      </w:pPr>
    </w:p>
    <w:p w14:paraId="661B226B" w14:textId="77777777" w:rsidR="00D84755" w:rsidRPr="003B5ED4" w:rsidRDefault="00D84755" w:rsidP="00D84755">
      <w:pPr>
        <w:widowControl w:val="0"/>
        <w:autoSpaceDE w:val="0"/>
        <w:autoSpaceDN w:val="0"/>
        <w:adjustRightInd w:val="0"/>
        <w:spacing w:after="0" w:line="240" w:lineRule="auto"/>
        <w:rPr>
          <w:rFonts w:ascii="Times New Roman" w:hAnsi="Times New Roman"/>
          <w:bCs/>
        </w:rPr>
      </w:pPr>
      <w:r w:rsidRPr="003B5ED4">
        <w:rPr>
          <w:rFonts w:ascii="Times New Roman" w:hAnsi="Times New Roman"/>
          <w:bCs/>
        </w:rPr>
        <w:t xml:space="preserve">Ak pacient vyžaduje zmenu dávkovania, individuálne vypočítaná znížená dávka sa musí podať </w:t>
      </w:r>
    </w:p>
    <w:p w14:paraId="3A0453CA" w14:textId="1E17F5F6" w:rsidR="00D84755" w:rsidRDefault="00D84755" w:rsidP="00D84755">
      <w:pPr>
        <w:widowControl w:val="0"/>
        <w:autoSpaceDE w:val="0"/>
        <w:autoSpaceDN w:val="0"/>
        <w:adjustRightInd w:val="0"/>
        <w:spacing w:after="0" w:line="240" w:lineRule="auto"/>
        <w:rPr>
          <w:rFonts w:ascii="Times New Roman" w:hAnsi="Times New Roman"/>
          <w:bCs/>
        </w:rPr>
      </w:pPr>
      <w:r w:rsidRPr="003B5ED4">
        <w:rPr>
          <w:rFonts w:ascii="Times New Roman" w:hAnsi="Times New Roman"/>
          <w:bCs/>
        </w:rPr>
        <w:t>v 1. a 2. deň príslušného cyklu liečby.</w:t>
      </w:r>
    </w:p>
    <w:p w14:paraId="1843AFBE" w14:textId="77B9C989" w:rsidR="004E387F" w:rsidRDefault="004E387F" w:rsidP="00D84755">
      <w:pPr>
        <w:widowControl w:val="0"/>
        <w:autoSpaceDE w:val="0"/>
        <w:autoSpaceDN w:val="0"/>
        <w:adjustRightInd w:val="0"/>
        <w:spacing w:after="0" w:line="240" w:lineRule="auto"/>
        <w:rPr>
          <w:rFonts w:ascii="Times New Roman" w:hAnsi="Times New Roman"/>
          <w:bCs/>
        </w:rPr>
      </w:pPr>
    </w:p>
    <w:p w14:paraId="2D7591D8" w14:textId="264C8940" w:rsidR="004E387F" w:rsidRPr="003B5ED4" w:rsidRDefault="004E387F" w:rsidP="00D84755">
      <w:pPr>
        <w:widowControl w:val="0"/>
        <w:autoSpaceDE w:val="0"/>
        <w:autoSpaceDN w:val="0"/>
        <w:adjustRightInd w:val="0"/>
        <w:spacing w:after="0" w:line="240" w:lineRule="auto"/>
        <w:rPr>
          <w:rFonts w:ascii="Times New Roman" w:hAnsi="Times New Roman"/>
          <w:bCs/>
        </w:rPr>
      </w:pPr>
      <w:r w:rsidRPr="004E387F">
        <w:rPr>
          <w:rFonts w:ascii="Times New Roman" w:hAnsi="Times New Roman"/>
          <w:bCs/>
        </w:rPr>
        <w:t>Pokyny na rekonštitúciu</w:t>
      </w:r>
      <w:r>
        <w:rPr>
          <w:rFonts w:ascii="Times New Roman" w:hAnsi="Times New Roman"/>
          <w:bCs/>
        </w:rPr>
        <w:t xml:space="preserve"> l</w:t>
      </w:r>
      <w:r w:rsidRPr="004E387F">
        <w:rPr>
          <w:rFonts w:ascii="Times New Roman" w:hAnsi="Times New Roman"/>
          <w:bCs/>
        </w:rPr>
        <w:t>ieku pred podaním, pozri časť 6.6.</w:t>
      </w:r>
    </w:p>
    <w:p w14:paraId="7F2A67D4" w14:textId="77777777" w:rsidR="00684A8F" w:rsidRPr="003B5ED4" w:rsidRDefault="00684A8F">
      <w:pPr>
        <w:widowControl w:val="0"/>
        <w:autoSpaceDE w:val="0"/>
        <w:autoSpaceDN w:val="0"/>
        <w:adjustRightInd w:val="0"/>
        <w:spacing w:after="0" w:line="240" w:lineRule="auto"/>
        <w:rPr>
          <w:rFonts w:ascii="Times New Roman" w:hAnsi="Times New Roman"/>
          <w:bCs/>
        </w:rPr>
      </w:pPr>
    </w:p>
    <w:p w14:paraId="18DE371D" w14:textId="77777777" w:rsidR="00684A8F" w:rsidRPr="003B5ED4" w:rsidRDefault="00684A8F">
      <w:pPr>
        <w:widowControl w:val="0"/>
        <w:tabs>
          <w:tab w:val="left" w:pos="567"/>
        </w:tabs>
        <w:autoSpaceDE w:val="0"/>
        <w:autoSpaceDN w:val="0"/>
        <w:adjustRightInd w:val="0"/>
        <w:spacing w:after="0" w:line="240" w:lineRule="auto"/>
        <w:rPr>
          <w:rFonts w:ascii="Times New Roman" w:hAnsi="Times New Roman"/>
          <w:b/>
          <w:bCs/>
        </w:rPr>
      </w:pPr>
      <w:r w:rsidRPr="003B5ED4">
        <w:rPr>
          <w:rFonts w:ascii="Times New Roman" w:hAnsi="Times New Roman"/>
          <w:b/>
          <w:bCs/>
        </w:rPr>
        <w:t>4.3</w:t>
      </w:r>
      <w:r w:rsidRPr="003B5ED4">
        <w:rPr>
          <w:rFonts w:ascii="Times New Roman" w:hAnsi="Times New Roman"/>
          <w:b/>
          <w:bCs/>
        </w:rPr>
        <w:tab/>
        <w:t>Kontraindikácie</w:t>
      </w:r>
    </w:p>
    <w:p w14:paraId="1FF51A32" w14:textId="77777777" w:rsidR="00684A8F" w:rsidRPr="003B5ED4" w:rsidRDefault="00684A8F">
      <w:pPr>
        <w:widowControl w:val="0"/>
        <w:autoSpaceDE w:val="0"/>
        <w:autoSpaceDN w:val="0"/>
        <w:adjustRightInd w:val="0"/>
        <w:spacing w:after="0" w:line="240" w:lineRule="auto"/>
        <w:rPr>
          <w:rFonts w:ascii="Times New Roman" w:hAnsi="Times New Roman"/>
          <w:bCs/>
        </w:rPr>
      </w:pPr>
    </w:p>
    <w:p w14:paraId="18FAAEA8" w14:textId="77777777" w:rsidR="00684A8F" w:rsidRPr="003B5ED4" w:rsidRDefault="00684A8F">
      <w:pPr>
        <w:widowControl w:val="0"/>
        <w:tabs>
          <w:tab w:val="left" w:pos="567"/>
        </w:tabs>
        <w:autoSpaceDE w:val="0"/>
        <w:autoSpaceDN w:val="0"/>
        <w:adjustRightInd w:val="0"/>
        <w:spacing w:after="0" w:line="240" w:lineRule="auto"/>
        <w:rPr>
          <w:rFonts w:ascii="Times New Roman" w:hAnsi="Times New Roman"/>
          <w:bCs/>
        </w:rPr>
      </w:pPr>
      <w:r w:rsidRPr="003B5ED4">
        <w:rPr>
          <w:rFonts w:ascii="Times New Roman" w:hAnsi="Times New Roman"/>
          <w:bCs/>
        </w:rPr>
        <w:t>Precitlivenosť na liečivo alebo na ktorúkoľvek z pomocných látok uvedených v časti 6.1.</w:t>
      </w:r>
    </w:p>
    <w:p w14:paraId="640B293D" w14:textId="77777777" w:rsidR="00684A8F" w:rsidRPr="003B5ED4" w:rsidRDefault="00684A8F">
      <w:pPr>
        <w:widowControl w:val="0"/>
        <w:tabs>
          <w:tab w:val="left" w:pos="567"/>
        </w:tabs>
        <w:autoSpaceDE w:val="0"/>
        <w:autoSpaceDN w:val="0"/>
        <w:adjustRightInd w:val="0"/>
        <w:spacing w:after="0" w:line="240" w:lineRule="auto"/>
        <w:rPr>
          <w:rFonts w:ascii="Times New Roman" w:hAnsi="Times New Roman"/>
          <w:bCs/>
        </w:rPr>
      </w:pPr>
      <w:r w:rsidRPr="003B5ED4">
        <w:rPr>
          <w:rFonts w:ascii="Times New Roman" w:hAnsi="Times New Roman"/>
          <w:bCs/>
        </w:rPr>
        <w:t>Dojčenie</w:t>
      </w:r>
    </w:p>
    <w:p w14:paraId="1B39EA92" w14:textId="77777777" w:rsidR="00684A8F" w:rsidRPr="0051355E" w:rsidRDefault="0051355E">
      <w:pPr>
        <w:widowControl w:val="0"/>
        <w:tabs>
          <w:tab w:val="left" w:pos="567"/>
        </w:tabs>
        <w:autoSpaceDE w:val="0"/>
        <w:autoSpaceDN w:val="0"/>
        <w:adjustRightInd w:val="0"/>
        <w:spacing w:after="0" w:line="240" w:lineRule="auto"/>
        <w:rPr>
          <w:rFonts w:ascii="Times New Roman" w:hAnsi="Times New Roman"/>
          <w:bCs/>
        </w:rPr>
      </w:pPr>
      <w:r>
        <w:rPr>
          <w:rFonts w:ascii="Times New Roman" w:hAnsi="Times New Roman"/>
          <w:bCs/>
        </w:rPr>
        <w:t>Závažn</w:t>
      </w:r>
      <w:r w:rsidR="00684A8F" w:rsidRPr="0051355E">
        <w:rPr>
          <w:rFonts w:ascii="Times New Roman" w:hAnsi="Times New Roman"/>
          <w:bCs/>
        </w:rPr>
        <w:t>á porucha funkcie pečene (sérový bilirubín &gt; 3,0 mg/dl)</w:t>
      </w:r>
    </w:p>
    <w:p w14:paraId="17E89B9D" w14:textId="77777777" w:rsidR="00684A8F" w:rsidRPr="00AF0743" w:rsidRDefault="00684A8F">
      <w:pPr>
        <w:widowControl w:val="0"/>
        <w:tabs>
          <w:tab w:val="left" w:pos="567"/>
        </w:tabs>
        <w:autoSpaceDE w:val="0"/>
        <w:autoSpaceDN w:val="0"/>
        <w:adjustRightInd w:val="0"/>
        <w:spacing w:after="0" w:line="240" w:lineRule="auto"/>
        <w:rPr>
          <w:rFonts w:ascii="Times New Roman" w:hAnsi="Times New Roman"/>
          <w:bCs/>
        </w:rPr>
      </w:pPr>
      <w:r w:rsidRPr="00AF0743">
        <w:rPr>
          <w:rFonts w:ascii="Times New Roman" w:hAnsi="Times New Roman"/>
          <w:bCs/>
        </w:rPr>
        <w:t>Žltačka</w:t>
      </w:r>
    </w:p>
    <w:p w14:paraId="51A68ED4" w14:textId="77777777" w:rsidR="00684A8F" w:rsidRPr="003D7F37" w:rsidRDefault="00684A8F" w:rsidP="00F95656">
      <w:pPr>
        <w:widowControl w:val="0"/>
        <w:tabs>
          <w:tab w:val="left" w:pos="0"/>
        </w:tabs>
        <w:autoSpaceDE w:val="0"/>
        <w:autoSpaceDN w:val="0"/>
        <w:adjustRightInd w:val="0"/>
        <w:spacing w:after="0" w:line="240" w:lineRule="auto"/>
        <w:rPr>
          <w:rFonts w:ascii="Times New Roman" w:hAnsi="Times New Roman"/>
          <w:bCs/>
        </w:rPr>
      </w:pPr>
      <w:r w:rsidRPr="00AF0743">
        <w:rPr>
          <w:rFonts w:ascii="Times New Roman" w:hAnsi="Times New Roman"/>
          <w:bCs/>
        </w:rPr>
        <w:t>Závažné potlačenie funkcie kostnej drene a závažné zmeny krvného obrazu (pokles počtu leukocytov</w:t>
      </w:r>
      <w:r w:rsidR="003D7F37">
        <w:rPr>
          <w:rFonts w:ascii="Times New Roman" w:hAnsi="Times New Roman"/>
          <w:bCs/>
        </w:rPr>
        <w:t xml:space="preserve"> </w:t>
      </w:r>
      <w:r w:rsidRPr="003D7F37">
        <w:rPr>
          <w:rFonts w:ascii="Times New Roman" w:hAnsi="Times New Roman"/>
          <w:bCs/>
        </w:rPr>
        <w:t>a/alebo trombocytov na &lt; 3 000/µl alebo &lt; 75 000/µl, v uvedenom poradí)</w:t>
      </w:r>
    </w:p>
    <w:p w14:paraId="7DC24F13" w14:textId="77777777" w:rsidR="00684A8F" w:rsidRPr="003D7F37" w:rsidRDefault="00684A8F" w:rsidP="003D7F37">
      <w:pPr>
        <w:widowControl w:val="0"/>
        <w:tabs>
          <w:tab w:val="left" w:pos="567"/>
        </w:tabs>
        <w:autoSpaceDE w:val="0"/>
        <w:autoSpaceDN w:val="0"/>
        <w:adjustRightInd w:val="0"/>
        <w:spacing w:after="0" w:line="240" w:lineRule="auto"/>
        <w:rPr>
          <w:rFonts w:ascii="Times New Roman" w:hAnsi="Times New Roman"/>
          <w:bCs/>
        </w:rPr>
      </w:pPr>
      <w:r w:rsidRPr="003D7F37">
        <w:rPr>
          <w:rFonts w:ascii="Times New Roman" w:hAnsi="Times New Roman"/>
          <w:bCs/>
        </w:rPr>
        <w:lastRenderedPageBreak/>
        <w:t>Závažný chirurgický zákrok menej ako 30 dní pred začiatkom liečby</w:t>
      </w:r>
    </w:p>
    <w:p w14:paraId="226099F8" w14:textId="77777777" w:rsidR="00684A8F" w:rsidRPr="00A23573" w:rsidRDefault="00684A8F" w:rsidP="003D7F37">
      <w:pPr>
        <w:widowControl w:val="0"/>
        <w:tabs>
          <w:tab w:val="left" w:pos="567"/>
        </w:tabs>
        <w:autoSpaceDE w:val="0"/>
        <w:autoSpaceDN w:val="0"/>
        <w:adjustRightInd w:val="0"/>
        <w:spacing w:after="0" w:line="240" w:lineRule="auto"/>
        <w:rPr>
          <w:rFonts w:ascii="Times New Roman" w:hAnsi="Times New Roman"/>
          <w:bCs/>
        </w:rPr>
      </w:pPr>
      <w:r w:rsidRPr="00A23573">
        <w:rPr>
          <w:rFonts w:ascii="Times New Roman" w:hAnsi="Times New Roman"/>
          <w:bCs/>
        </w:rPr>
        <w:t>Infekcie, zahŕňajúce predovšetkým leukocytopéniu</w:t>
      </w:r>
    </w:p>
    <w:p w14:paraId="6EFF818D" w14:textId="77777777" w:rsidR="00684A8F" w:rsidRDefault="00684A8F" w:rsidP="003D7F37">
      <w:pPr>
        <w:widowControl w:val="0"/>
        <w:tabs>
          <w:tab w:val="left" w:pos="567"/>
        </w:tabs>
        <w:autoSpaceDE w:val="0"/>
        <w:autoSpaceDN w:val="0"/>
        <w:adjustRightInd w:val="0"/>
        <w:spacing w:after="0" w:line="240" w:lineRule="auto"/>
        <w:rPr>
          <w:rFonts w:ascii="Times New Roman" w:hAnsi="Times New Roman"/>
          <w:bCs/>
        </w:rPr>
      </w:pPr>
      <w:r w:rsidRPr="00A23573">
        <w:rPr>
          <w:rFonts w:ascii="Times New Roman" w:hAnsi="Times New Roman"/>
          <w:bCs/>
        </w:rPr>
        <w:t>Očkovanie proti žltej zimnici</w:t>
      </w:r>
    </w:p>
    <w:p w14:paraId="5B1A02D8" w14:textId="77777777" w:rsidR="00E74E1B" w:rsidRPr="00E74E1B" w:rsidRDefault="00E74E1B">
      <w:pPr>
        <w:widowControl w:val="0"/>
        <w:tabs>
          <w:tab w:val="left" w:pos="567"/>
        </w:tabs>
        <w:autoSpaceDE w:val="0"/>
        <w:autoSpaceDN w:val="0"/>
        <w:adjustRightInd w:val="0"/>
        <w:spacing w:after="0" w:line="240" w:lineRule="auto"/>
        <w:rPr>
          <w:rFonts w:ascii="Times New Roman" w:hAnsi="Times New Roman"/>
          <w:bCs/>
        </w:rPr>
      </w:pPr>
    </w:p>
    <w:p w14:paraId="0FEC05CB" w14:textId="77777777" w:rsidR="00684A8F" w:rsidRPr="003B5ED4" w:rsidRDefault="00684A8F">
      <w:pPr>
        <w:widowControl w:val="0"/>
        <w:tabs>
          <w:tab w:val="left" w:pos="567"/>
        </w:tabs>
        <w:autoSpaceDE w:val="0"/>
        <w:autoSpaceDN w:val="0"/>
        <w:adjustRightInd w:val="0"/>
        <w:spacing w:after="0" w:line="240" w:lineRule="auto"/>
        <w:rPr>
          <w:rFonts w:ascii="Times New Roman" w:hAnsi="Times New Roman"/>
          <w:b/>
          <w:bCs/>
        </w:rPr>
      </w:pPr>
      <w:r w:rsidRPr="003B5ED4">
        <w:rPr>
          <w:rFonts w:ascii="Times New Roman" w:hAnsi="Times New Roman"/>
          <w:b/>
          <w:bCs/>
        </w:rPr>
        <w:t>4.4</w:t>
      </w:r>
      <w:r w:rsidRPr="003B5ED4">
        <w:rPr>
          <w:rFonts w:ascii="Times New Roman" w:hAnsi="Times New Roman"/>
          <w:b/>
          <w:bCs/>
        </w:rPr>
        <w:tab/>
        <w:t xml:space="preserve">Osobitné upozornenia </w:t>
      </w:r>
      <w:proofErr w:type="gramStart"/>
      <w:r w:rsidRPr="003B5ED4">
        <w:rPr>
          <w:rFonts w:ascii="Times New Roman" w:hAnsi="Times New Roman"/>
          <w:b/>
          <w:bCs/>
        </w:rPr>
        <w:t>a</w:t>
      </w:r>
      <w:proofErr w:type="gramEnd"/>
      <w:r w:rsidRPr="003B5ED4">
        <w:rPr>
          <w:rFonts w:ascii="Times New Roman" w:hAnsi="Times New Roman"/>
          <w:b/>
          <w:bCs/>
        </w:rPr>
        <w:t xml:space="preserve"> opatrenia pri používaní</w:t>
      </w:r>
    </w:p>
    <w:p w14:paraId="6CA6F0BE" w14:textId="77777777" w:rsidR="00684A8F" w:rsidRPr="003B5ED4" w:rsidRDefault="00684A8F">
      <w:pPr>
        <w:widowControl w:val="0"/>
        <w:autoSpaceDE w:val="0"/>
        <w:autoSpaceDN w:val="0"/>
        <w:adjustRightInd w:val="0"/>
        <w:spacing w:after="0" w:line="240" w:lineRule="auto"/>
        <w:rPr>
          <w:rFonts w:ascii="Times New Roman" w:hAnsi="Times New Roman"/>
          <w:bCs/>
        </w:rPr>
      </w:pPr>
    </w:p>
    <w:p w14:paraId="4A285A52" w14:textId="77777777" w:rsidR="00684A8F" w:rsidRPr="00520002" w:rsidRDefault="00684A8F">
      <w:pPr>
        <w:widowControl w:val="0"/>
        <w:autoSpaceDE w:val="0"/>
        <w:autoSpaceDN w:val="0"/>
        <w:adjustRightInd w:val="0"/>
        <w:spacing w:after="0" w:line="240" w:lineRule="auto"/>
        <w:rPr>
          <w:rFonts w:ascii="Times New Roman" w:hAnsi="Times New Roman"/>
          <w:b/>
          <w:bCs/>
        </w:rPr>
      </w:pPr>
      <w:r w:rsidRPr="00520002">
        <w:rPr>
          <w:rFonts w:ascii="Times New Roman" w:hAnsi="Times New Roman"/>
          <w:b/>
          <w:bCs/>
        </w:rPr>
        <w:t>Myelosupresia</w:t>
      </w:r>
    </w:p>
    <w:p w14:paraId="091DE644" w14:textId="77777777" w:rsidR="00684A8F" w:rsidRPr="003B5ED4" w:rsidRDefault="00684A8F">
      <w:pPr>
        <w:pStyle w:val="Default"/>
        <w:rPr>
          <w:sz w:val="22"/>
          <w:szCs w:val="22"/>
        </w:rPr>
      </w:pPr>
      <w:r w:rsidRPr="003B5ED4">
        <w:rPr>
          <w:sz w:val="22"/>
          <w:szCs w:val="22"/>
        </w:rPr>
        <w:t xml:space="preserve">U pacientov liečených </w:t>
      </w:r>
      <w:r w:rsidRPr="003B5ED4">
        <w:rPr>
          <w:color w:val="auto"/>
          <w:sz w:val="22"/>
          <w:szCs w:val="22"/>
        </w:rPr>
        <w:t>bendamustíniumchloridom</w:t>
      </w:r>
      <w:r w:rsidRPr="003B5ED4">
        <w:rPr>
          <w:sz w:val="22"/>
          <w:szCs w:val="22"/>
        </w:rPr>
        <w:t xml:space="preserve"> sa môže prejaviť myelosupresia. V prípade výskytu myelosupresie súvisiacej s liečbou sa musia najmenej raz týždenne monitorovať leukocyty, trombocyty, hemoglobín a neutrofily. Pred začatím ďalšieho cyklu liečby sa odporúčajú nasledovné parametre: </w:t>
      </w:r>
      <w:r w:rsidR="00794B4B">
        <w:rPr>
          <w:sz w:val="22"/>
          <w:szCs w:val="22"/>
        </w:rPr>
        <w:t>poč</w:t>
      </w:r>
      <w:r w:rsidRPr="00794B4B">
        <w:rPr>
          <w:sz w:val="22"/>
          <w:szCs w:val="22"/>
        </w:rPr>
        <w:t>ty leukocytov a/alebo krvných doštičiek &gt; 4 000/µl alebo &gt; 100 000/µl, v uvedenom poradí.</w:t>
      </w:r>
    </w:p>
    <w:p w14:paraId="5B177673" w14:textId="77777777" w:rsidR="00684A8F" w:rsidRPr="003B5ED4" w:rsidRDefault="00684A8F">
      <w:pPr>
        <w:widowControl w:val="0"/>
        <w:autoSpaceDE w:val="0"/>
        <w:autoSpaceDN w:val="0"/>
        <w:adjustRightInd w:val="0"/>
        <w:spacing w:after="0" w:line="240" w:lineRule="auto"/>
        <w:rPr>
          <w:rFonts w:ascii="Times New Roman" w:hAnsi="Times New Roman"/>
          <w:bCs/>
        </w:rPr>
      </w:pPr>
    </w:p>
    <w:p w14:paraId="2E27F903" w14:textId="77777777" w:rsidR="00684A8F" w:rsidRPr="00520002" w:rsidRDefault="00684A8F">
      <w:pPr>
        <w:widowControl w:val="0"/>
        <w:autoSpaceDE w:val="0"/>
        <w:autoSpaceDN w:val="0"/>
        <w:adjustRightInd w:val="0"/>
        <w:spacing w:after="0" w:line="240" w:lineRule="auto"/>
        <w:rPr>
          <w:rFonts w:ascii="Times New Roman" w:hAnsi="Times New Roman"/>
          <w:b/>
          <w:bCs/>
        </w:rPr>
      </w:pPr>
      <w:r w:rsidRPr="00520002">
        <w:rPr>
          <w:rFonts w:ascii="Times New Roman" w:hAnsi="Times New Roman"/>
          <w:b/>
          <w:bCs/>
        </w:rPr>
        <w:t>Infekcie</w:t>
      </w:r>
    </w:p>
    <w:p w14:paraId="6EBE420E" w14:textId="79FE4D7B" w:rsidR="009929DA" w:rsidRPr="00860A26" w:rsidRDefault="00B251CA">
      <w:pPr>
        <w:widowControl w:val="0"/>
        <w:autoSpaceDE w:val="0"/>
        <w:autoSpaceDN w:val="0"/>
        <w:adjustRightInd w:val="0"/>
        <w:spacing w:after="0" w:line="240" w:lineRule="auto"/>
        <w:rPr>
          <w:rFonts w:ascii="Times New Roman" w:hAnsi="Times New Roman"/>
          <w:bCs/>
          <w:lang w:val="sk-SK"/>
        </w:rPr>
      </w:pPr>
      <w:r w:rsidRPr="00787E3A">
        <w:rPr>
          <w:rFonts w:ascii="Times New Roman" w:hAnsi="Times New Roman"/>
          <w:bCs/>
          <w:lang w:val="sk-SK"/>
        </w:rPr>
        <w:t xml:space="preserve">S bendamustíniumchloridom sa vyskytli závažné a smrteľné infekcie, vrátane </w:t>
      </w:r>
      <w:r w:rsidR="004E387F">
        <w:rPr>
          <w:rFonts w:ascii="Times New Roman" w:hAnsi="Times New Roman"/>
          <w:bCs/>
          <w:lang w:val="sk-SK"/>
        </w:rPr>
        <w:t xml:space="preserve">bakteriálnych (sepsa, pneumónia) a </w:t>
      </w:r>
      <w:r w:rsidRPr="008C766E">
        <w:rPr>
          <w:rFonts w:ascii="Times New Roman" w:hAnsi="Times New Roman"/>
          <w:bCs/>
          <w:lang w:val="sk-SK"/>
        </w:rPr>
        <w:t xml:space="preserve">oportúnnych infekcií ako sú </w:t>
      </w:r>
      <w:r w:rsidR="009929DA" w:rsidRPr="008C766E">
        <w:rPr>
          <w:rFonts w:ascii="Times New Roman" w:hAnsi="Times New Roman"/>
          <w:bCs/>
          <w:lang w:val="sk-SK"/>
        </w:rPr>
        <w:t>pneumonia pneumocystis jirovecii (PJP), v</w:t>
      </w:r>
      <w:r w:rsidR="00B35079" w:rsidRPr="008C766E">
        <w:rPr>
          <w:rFonts w:ascii="Times New Roman" w:hAnsi="Times New Roman"/>
          <w:bCs/>
          <w:lang w:val="sk-SK"/>
        </w:rPr>
        <w:t>í</w:t>
      </w:r>
      <w:r w:rsidR="009929DA" w:rsidRPr="008C766E">
        <w:rPr>
          <w:rFonts w:ascii="Times New Roman" w:hAnsi="Times New Roman"/>
          <w:bCs/>
          <w:lang w:val="sk-SK"/>
        </w:rPr>
        <w:t>rus varicella zoster (VZV) a cytomegalov</w:t>
      </w:r>
      <w:r w:rsidR="00B35079" w:rsidRPr="008C766E">
        <w:rPr>
          <w:rFonts w:ascii="Times New Roman" w:hAnsi="Times New Roman"/>
          <w:bCs/>
          <w:lang w:val="sk-SK"/>
        </w:rPr>
        <w:t>í</w:t>
      </w:r>
      <w:r w:rsidR="009929DA" w:rsidRPr="008C766E">
        <w:rPr>
          <w:rFonts w:ascii="Times New Roman" w:hAnsi="Times New Roman"/>
          <w:bCs/>
          <w:lang w:val="sk-SK"/>
        </w:rPr>
        <w:t xml:space="preserve">rus (CMV). </w:t>
      </w:r>
      <w:r w:rsidR="008C766E" w:rsidRPr="008C766E">
        <w:rPr>
          <w:rFonts w:ascii="Times New Roman" w:hAnsi="Times New Roman"/>
          <w:bCs/>
          <w:u w:val="single"/>
        </w:rPr>
        <w:t xml:space="preserve">Po použití bendamustínu, najmä v kombinácii s rituximabom alebo obinutuzumabom, boli hlásené prípady progresívnej multifokálnej leukoencefalopatie (PML) vrátane prípadov so smrteľnými následkami. </w:t>
      </w:r>
      <w:r w:rsidR="004E387F" w:rsidRPr="008C766E">
        <w:rPr>
          <w:rFonts w:ascii="Times New Roman" w:hAnsi="Times New Roman"/>
          <w:bCs/>
          <w:lang w:val="sk-SK"/>
        </w:rPr>
        <w:t>Liečba</w:t>
      </w:r>
      <w:r w:rsidR="004E387F" w:rsidRPr="004E387F">
        <w:rPr>
          <w:rFonts w:ascii="Times New Roman" w:hAnsi="Times New Roman"/>
          <w:bCs/>
          <w:lang w:val="sk-SK"/>
        </w:rPr>
        <w:t xml:space="preserve"> bendamustíniumchloridom môže spôsobiť dlhodobú lymfocytopéniu (&lt; 600/μl) a nízky počet CD4-pozitívnych T-buniek (T-pomocných buniek) (&lt; 200/μl) po dobu aspoň 7 – 9 mesiacov po ukončení liečby. Lymfocytopénia a znížený počet CD4-pozitívnych buniek sú výraznejšie v prípade použ</w:t>
      </w:r>
      <w:r w:rsidR="007B23DB">
        <w:rPr>
          <w:rFonts w:ascii="Times New Roman" w:hAnsi="Times New Roman"/>
          <w:bCs/>
          <w:lang w:val="sk-SK"/>
        </w:rPr>
        <w:t>i</w:t>
      </w:r>
      <w:r w:rsidR="004E387F" w:rsidRPr="004E387F">
        <w:rPr>
          <w:rFonts w:ascii="Times New Roman" w:hAnsi="Times New Roman"/>
          <w:bCs/>
          <w:lang w:val="sk-SK"/>
        </w:rPr>
        <w:t xml:space="preserve">tia bendamustíniumchloridu v kombinácii s rituximabom. Pacienti s lymfocytopéniou a zníženým počtom CD4-pozitívnych T-buniek sú po liečbe </w:t>
      </w:r>
      <w:r w:rsidR="004E387F" w:rsidRPr="007B23DB">
        <w:rPr>
          <w:rFonts w:ascii="Times New Roman" w:hAnsi="Times New Roman"/>
          <w:bCs/>
          <w:lang w:val="sk-SK"/>
        </w:rPr>
        <w:t>bendamustíniumchloridom náchylnejší na (oportúnne) infekcie. V prípade nízkeho počtu CD4-pozitívnych T-buniek (&lt; 200/μl) sa má zvážiť profylaxia pneumónie vyvolanej Pneumocystis jirovecii (PJP).</w:t>
      </w:r>
      <w:r w:rsidR="004E387F" w:rsidRPr="004E387F">
        <w:rPr>
          <w:rFonts w:ascii="Times New Roman" w:hAnsi="Times New Roman"/>
          <w:bCs/>
          <w:lang w:val="sk-SK"/>
        </w:rPr>
        <w:t xml:space="preserve"> Všetci pacienti majú byť počas liečby sledovaní na respiračné prejavy a príznaky. Pacientom treba odporučiť, aby okamžite hlásili nové prejavy infekcie, vrátane horúčky alebo respiračných príznakov. Ukončenie podávania bendamustíniumchloridu sa má zvážiť, ak sa vyskytnú prejavy (</w:t>
      </w:r>
      <w:r w:rsidR="004E387F" w:rsidRPr="00860A26">
        <w:rPr>
          <w:rFonts w:ascii="Times New Roman" w:hAnsi="Times New Roman"/>
          <w:bCs/>
          <w:lang w:val="sk-SK"/>
        </w:rPr>
        <w:t>oportúnnych) infekcií.</w:t>
      </w:r>
    </w:p>
    <w:p w14:paraId="2BEF6723" w14:textId="371F7212" w:rsidR="00860A26" w:rsidRPr="00860A26" w:rsidRDefault="00860A26" w:rsidP="00860A26">
      <w:pPr>
        <w:widowControl w:val="0"/>
        <w:autoSpaceDE w:val="0"/>
        <w:autoSpaceDN w:val="0"/>
        <w:adjustRightInd w:val="0"/>
        <w:spacing w:after="0" w:line="240" w:lineRule="auto"/>
        <w:jc w:val="both"/>
        <w:rPr>
          <w:rFonts w:ascii="Times New Roman" w:hAnsi="Times New Roman"/>
          <w:bCs/>
          <w:lang w:val="sk-SK"/>
        </w:rPr>
      </w:pPr>
    </w:p>
    <w:p w14:paraId="4C67E2E5" w14:textId="45925AA5" w:rsidR="00860A26" w:rsidRPr="00860A26" w:rsidRDefault="00860A26" w:rsidP="00B45EEE">
      <w:pPr>
        <w:widowControl w:val="0"/>
        <w:autoSpaceDE w:val="0"/>
        <w:autoSpaceDN w:val="0"/>
        <w:adjustRightInd w:val="0"/>
        <w:spacing w:after="0" w:line="240" w:lineRule="auto"/>
        <w:rPr>
          <w:rFonts w:ascii="Times New Roman" w:hAnsi="Times New Roman"/>
          <w:bCs/>
        </w:rPr>
      </w:pPr>
      <w:r w:rsidRPr="00860A26">
        <w:rPr>
          <w:rFonts w:ascii="Times New Roman" w:hAnsi="Times New Roman"/>
          <w:bCs/>
        </w:rPr>
        <w:t>U pacientov s novými alebo zhoršujúcimi sa neurologickými, kognitívnymi alebo behaviorálnymi prejavmi alebo príznakmi sa má pri diferenciálnej diagnostike zvážiť PML. V prípade podozrenia na PML je potrebné uskutočniť príslušné diagnostické vyšetrenia a prerušiť liečbu až do vylúčenia PML.</w:t>
      </w:r>
    </w:p>
    <w:p w14:paraId="1AAC4F4D" w14:textId="5F6AEAE7" w:rsidR="00860A26" w:rsidRDefault="00860A26" w:rsidP="00B45EEE">
      <w:pPr>
        <w:widowControl w:val="0"/>
        <w:autoSpaceDE w:val="0"/>
        <w:autoSpaceDN w:val="0"/>
        <w:adjustRightInd w:val="0"/>
        <w:spacing w:after="0" w:line="240" w:lineRule="auto"/>
        <w:rPr>
          <w:rFonts w:ascii="Times New Roman" w:hAnsi="Times New Roman"/>
          <w:bCs/>
          <w:u w:val="single"/>
        </w:rPr>
      </w:pPr>
    </w:p>
    <w:p w14:paraId="32C2A06E" w14:textId="77777777" w:rsidR="00860A26" w:rsidRPr="00860A26" w:rsidRDefault="00860A26" w:rsidP="00B45EEE">
      <w:pPr>
        <w:autoSpaceDE w:val="0"/>
        <w:autoSpaceDN w:val="0"/>
        <w:adjustRightInd w:val="0"/>
        <w:spacing w:after="0" w:line="240" w:lineRule="auto"/>
        <w:rPr>
          <w:rFonts w:ascii="Times New Roman" w:eastAsiaTheme="minorHAnsi" w:hAnsi="Times New Roman"/>
          <w:b/>
          <w:bCs/>
          <w:color w:val="000000"/>
          <w:sz w:val="24"/>
          <w:szCs w:val="24"/>
          <w:lang w:val="sk-SK"/>
        </w:rPr>
      </w:pPr>
      <w:r w:rsidRPr="00860A26">
        <w:rPr>
          <w:rFonts w:ascii="Times New Roman" w:eastAsiaTheme="minorHAnsi" w:hAnsi="Times New Roman"/>
          <w:b/>
          <w:bCs/>
          <w:color w:val="000000"/>
          <w:lang w:val="sk-SK"/>
        </w:rPr>
        <w:t xml:space="preserve">Nemelanómová rakovina kože </w:t>
      </w:r>
    </w:p>
    <w:p w14:paraId="23C28705" w14:textId="6F916C22" w:rsidR="00860A26" w:rsidRPr="00860A26" w:rsidRDefault="00860A26" w:rsidP="00B45EEE">
      <w:pPr>
        <w:widowControl w:val="0"/>
        <w:autoSpaceDE w:val="0"/>
        <w:autoSpaceDN w:val="0"/>
        <w:adjustRightInd w:val="0"/>
        <w:spacing w:after="0" w:line="240" w:lineRule="auto"/>
        <w:rPr>
          <w:rFonts w:ascii="Times New Roman" w:hAnsi="Times New Roman"/>
          <w:lang w:val="sk-SK"/>
        </w:rPr>
      </w:pPr>
      <w:r w:rsidRPr="00860A26">
        <w:rPr>
          <w:rFonts w:ascii="Times New Roman" w:eastAsiaTheme="minorHAnsi" w:hAnsi="Times New Roman"/>
          <w:color w:val="000000"/>
          <w:lang w:val="sk-SK"/>
        </w:rPr>
        <w:t>V klinických štúdiách bolo u pacientov liečených bendamustínom pozorované zvýšené riziko nemelanómovej rakoviny kože (karcinóm bazálnych a skvamóznych buniek). U všetkých pacientov, ale najmä u pacientov s rizikovými faktormi pre vznik rakoviny kože, sa odporúčajú pravidelné vyšetrenia kože.</w:t>
      </w:r>
    </w:p>
    <w:p w14:paraId="072D208E" w14:textId="77777777" w:rsidR="00B35079" w:rsidRDefault="00B35079" w:rsidP="00860A26">
      <w:pPr>
        <w:widowControl w:val="0"/>
        <w:autoSpaceDE w:val="0"/>
        <w:autoSpaceDN w:val="0"/>
        <w:adjustRightInd w:val="0"/>
        <w:spacing w:after="0" w:line="240" w:lineRule="auto"/>
        <w:jc w:val="both"/>
        <w:rPr>
          <w:rFonts w:ascii="Times New Roman" w:hAnsi="Times New Roman"/>
          <w:bCs/>
          <w:i/>
          <w:lang w:val="sk-SK"/>
        </w:rPr>
      </w:pPr>
    </w:p>
    <w:p w14:paraId="13F8FC4A" w14:textId="77777777" w:rsidR="009929DA" w:rsidRPr="00520002" w:rsidRDefault="009929DA">
      <w:pPr>
        <w:widowControl w:val="0"/>
        <w:autoSpaceDE w:val="0"/>
        <w:autoSpaceDN w:val="0"/>
        <w:adjustRightInd w:val="0"/>
        <w:spacing w:after="0" w:line="240" w:lineRule="auto"/>
        <w:rPr>
          <w:rFonts w:ascii="Times New Roman" w:hAnsi="Times New Roman"/>
          <w:b/>
          <w:bCs/>
          <w:lang w:val="sk-SK"/>
        </w:rPr>
      </w:pPr>
      <w:r w:rsidRPr="00520002">
        <w:rPr>
          <w:rFonts w:ascii="Times New Roman" w:hAnsi="Times New Roman"/>
          <w:b/>
          <w:bCs/>
          <w:lang w:val="sk-SK"/>
        </w:rPr>
        <w:t>Reaktivácia hepatitídy B</w:t>
      </w:r>
    </w:p>
    <w:p w14:paraId="51F35742" w14:textId="494BF9DF" w:rsidR="009929DA" w:rsidRPr="00967F48" w:rsidRDefault="009929DA">
      <w:pPr>
        <w:widowControl w:val="0"/>
        <w:autoSpaceDE w:val="0"/>
        <w:autoSpaceDN w:val="0"/>
        <w:adjustRightInd w:val="0"/>
        <w:spacing w:after="0" w:line="240" w:lineRule="auto"/>
        <w:rPr>
          <w:rFonts w:ascii="Times New Roman" w:hAnsi="Times New Roman"/>
          <w:bCs/>
          <w:lang w:val="sk-SK"/>
        </w:rPr>
      </w:pPr>
      <w:r w:rsidRPr="00DC46E7">
        <w:rPr>
          <w:rFonts w:ascii="Times New Roman" w:hAnsi="Times New Roman"/>
          <w:bCs/>
          <w:lang w:val="sk-SK"/>
        </w:rPr>
        <w:t>U pacientov</w:t>
      </w:r>
      <w:r w:rsidR="00DC46E7" w:rsidRPr="00DC46E7">
        <w:rPr>
          <w:rFonts w:ascii="Times New Roman" w:hAnsi="Times New Roman"/>
          <w:bCs/>
          <w:lang w:val="sk-SK"/>
        </w:rPr>
        <w:t>, ktorí sú chronickými nosičmi tohto vírusu, sa vyskytla reaktivácia hepatitídy B po tom, ako sa týmto pacientom podával bendamustíniumchlorid. Niektoré prípady vyústili do akútneho zlyhania pečene alebo do fatálneho záveru.</w:t>
      </w:r>
      <w:r w:rsidR="00DC46E7">
        <w:rPr>
          <w:rFonts w:ascii="Times New Roman" w:hAnsi="Times New Roman"/>
          <w:bCs/>
          <w:lang w:val="sk-SK"/>
        </w:rPr>
        <w:t xml:space="preserve"> Pred začiatkom liečby s bendamustíniumchloridom majú byť pacienti otestovaní na infekciu HBV. </w:t>
      </w:r>
      <w:r w:rsidR="00F168EB">
        <w:rPr>
          <w:rFonts w:ascii="Times New Roman" w:hAnsi="Times New Roman"/>
          <w:bCs/>
          <w:lang w:val="sk-SK"/>
        </w:rPr>
        <w:t>Pred začiatkom liečby je u pacientov s pozitívnymi testami na hepatitídu B potrebná konzultácia s odborníkmi na ochorenie pečene a na liečbu hepatitídy B, a počas liečby u pacientov</w:t>
      </w:r>
      <w:r w:rsidR="00DC46E7">
        <w:rPr>
          <w:rFonts w:ascii="Times New Roman" w:hAnsi="Times New Roman"/>
          <w:bCs/>
          <w:lang w:val="sk-SK"/>
        </w:rPr>
        <w:t>, ktorí počas liečby pozitívne preukazujú HBV infekciu</w:t>
      </w:r>
      <w:r w:rsidR="00F168EB">
        <w:rPr>
          <w:rFonts w:ascii="Times New Roman" w:hAnsi="Times New Roman"/>
          <w:bCs/>
          <w:lang w:val="sk-SK"/>
        </w:rPr>
        <w:t xml:space="preserve">. </w:t>
      </w:r>
      <w:r w:rsidR="00B35079">
        <w:rPr>
          <w:rFonts w:ascii="Times New Roman" w:hAnsi="Times New Roman"/>
          <w:bCs/>
          <w:lang w:val="sk-SK"/>
        </w:rPr>
        <w:t>Nositelia</w:t>
      </w:r>
      <w:r w:rsidR="00F168EB">
        <w:rPr>
          <w:rFonts w:ascii="Times New Roman" w:hAnsi="Times New Roman"/>
          <w:bCs/>
          <w:lang w:val="sk-SK"/>
        </w:rPr>
        <w:t xml:space="preserve"> HBV, ktor</w:t>
      </w:r>
      <w:r w:rsidR="00173544">
        <w:rPr>
          <w:rFonts w:ascii="Times New Roman" w:hAnsi="Times New Roman"/>
          <w:bCs/>
          <w:lang w:val="sk-SK"/>
        </w:rPr>
        <w:t>í</w:t>
      </w:r>
      <w:r w:rsidR="00F168EB">
        <w:rPr>
          <w:rFonts w:ascii="Times New Roman" w:hAnsi="Times New Roman"/>
          <w:bCs/>
          <w:lang w:val="sk-SK"/>
        </w:rPr>
        <w:t xml:space="preserve"> vyžadujú liečbu s</w:t>
      </w:r>
      <w:r w:rsidR="00C867D1">
        <w:rPr>
          <w:rFonts w:ascii="Times New Roman" w:hAnsi="Times New Roman"/>
          <w:bCs/>
          <w:lang w:val="sk-SK"/>
        </w:rPr>
        <w:t> </w:t>
      </w:r>
      <w:r w:rsidR="00F168EB">
        <w:rPr>
          <w:rFonts w:ascii="Times New Roman" w:hAnsi="Times New Roman"/>
          <w:bCs/>
          <w:lang w:val="sk-SK"/>
        </w:rPr>
        <w:t>bendamustíniumchloridom</w:t>
      </w:r>
      <w:r w:rsidR="00C867D1">
        <w:rPr>
          <w:rFonts w:ascii="Times New Roman" w:hAnsi="Times New Roman"/>
          <w:bCs/>
          <w:lang w:val="sk-SK"/>
        </w:rPr>
        <w:t xml:space="preserve">, sa majú počas liečby a niekoľko mesiacov po </w:t>
      </w:r>
      <w:r w:rsidR="00B35079">
        <w:rPr>
          <w:rFonts w:ascii="Times New Roman" w:hAnsi="Times New Roman"/>
          <w:bCs/>
          <w:lang w:val="sk-SK"/>
        </w:rPr>
        <w:t>u</w:t>
      </w:r>
      <w:r w:rsidR="00C867D1">
        <w:rPr>
          <w:rFonts w:ascii="Times New Roman" w:hAnsi="Times New Roman"/>
          <w:bCs/>
          <w:lang w:val="sk-SK"/>
        </w:rPr>
        <w:t xml:space="preserve">končení liečby starostlivo sledovať na </w:t>
      </w:r>
      <w:r w:rsidR="00B35079">
        <w:rPr>
          <w:rFonts w:ascii="Times New Roman" w:hAnsi="Times New Roman"/>
          <w:bCs/>
          <w:lang w:val="sk-SK"/>
        </w:rPr>
        <w:t>prejavy a príznaky</w:t>
      </w:r>
      <w:r w:rsidR="00C867D1">
        <w:rPr>
          <w:rFonts w:ascii="Times New Roman" w:hAnsi="Times New Roman"/>
          <w:bCs/>
          <w:lang w:val="sk-SK"/>
        </w:rPr>
        <w:t xml:space="preserve"> aktívnej infekcie HBV (pozri časť 4.8).</w:t>
      </w:r>
    </w:p>
    <w:p w14:paraId="7F67578A" w14:textId="77777777" w:rsidR="00684A8F" w:rsidRPr="00DC46E7" w:rsidRDefault="00684A8F">
      <w:pPr>
        <w:widowControl w:val="0"/>
        <w:autoSpaceDE w:val="0"/>
        <w:autoSpaceDN w:val="0"/>
        <w:adjustRightInd w:val="0"/>
        <w:spacing w:after="0" w:line="240" w:lineRule="auto"/>
        <w:rPr>
          <w:rFonts w:ascii="Times New Roman" w:hAnsi="Times New Roman"/>
          <w:bCs/>
          <w:lang w:val="sk-SK"/>
        </w:rPr>
      </w:pPr>
    </w:p>
    <w:p w14:paraId="3A963DCC" w14:textId="77777777" w:rsidR="00684A8F" w:rsidRPr="00520002" w:rsidRDefault="00684A8F">
      <w:pPr>
        <w:widowControl w:val="0"/>
        <w:autoSpaceDE w:val="0"/>
        <w:autoSpaceDN w:val="0"/>
        <w:adjustRightInd w:val="0"/>
        <w:spacing w:after="0" w:line="240" w:lineRule="auto"/>
        <w:rPr>
          <w:rFonts w:ascii="Times New Roman" w:hAnsi="Times New Roman"/>
          <w:b/>
          <w:bCs/>
          <w:lang w:val="sk-SK"/>
        </w:rPr>
      </w:pPr>
      <w:r w:rsidRPr="00520002">
        <w:rPr>
          <w:rFonts w:ascii="Times New Roman" w:hAnsi="Times New Roman"/>
          <w:b/>
          <w:bCs/>
          <w:lang w:val="sk-SK"/>
        </w:rPr>
        <w:t>Kožné reakcie</w:t>
      </w:r>
    </w:p>
    <w:p w14:paraId="30CD8DE8" w14:textId="1DF5DBDB" w:rsidR="00684A8F" w:rsidRPr="00DC46E7" w:rsidRDefault="00684A8F">
      <w:pPr>
        <w:widowControl w:val="0"/>
        <w:autoSpaceDE w:val="0"/>
        <w:autoSpaceDN w:val="0"/>
        <w:adjustRightInd w:val="0"/>
        <w:spacing w:after="0" w:line="240" w:lineRule="auto"/>
        <w:rPr>
          <w:rFonts w:ascii="Times New Roman" w:hAnsi="Times New Roman"/>
          <w:bCs/>
          <w:lang w:val="sk-SK"/>
        </w:rPr>
      </w:pPr>
      <w:r w:rsidRPr="00DC46E7">
        <w:rPr>
          <w:rFonts w:ascii="Times New Roman" w:hAnsi="Times New Roman"/>
          <w:bCs/>
          <w:lang w:val="sk-SK"/>
        </w:rPr>
        <w:t xml:space="preserve">Bolo hlásených viacero kožných reakcií. Tieto udalosti zahŕňali vyrážku, </w:t>
      </w:r>
      <w:r w:rsidR="00D26D6C">
        <w:rPr>
          <w:rFonts w:ascii="Times New Roman" w:hAnsi="Times New Roman"/>
          <w:bCs/>
          <w:lang w:val="sk-SK"/>
        </w:rPr>
        <w:t>závažné</w:t>
      </w:r>
      <w:r w:rsidRPr="00DC46E7">
        <w:rPr>
          <w:rFonts w:ascii="Times New Roman" w:hAnsi="Times New Roman"/>
          <w:bCs/>
          <w:lang w:val="sk-SK"/>
        </w:rPr>
        <w:t xml:space="preserve"> kožné reakcie a bulózny exantém.</w:t>
      </w:r>
      <w:r w:rsidR="00C867D1">
        <w:rPr>
          <w:rFonts w:ascii="Times New Roman" w:hAnsi="Times New Roman"/>
          <w:bCs/>
          <w:lang w:val="sk-SK"/>
        </w:rPr>
        <w:t xml:space="preserve"> Pri použití bendamustíniumchloridu boli hlásené prípady Stevensovho-Johnsonovho syndrómu (SJS) a toxickej epidermálnej nekrolýzy (TEN)</w:t>
      </w:r>
      <w:r w:rsidR="00D26D6C">
        <w:rPr>
          <w:rFonts w:ascii="Times New Roman" w:hAnsi="Times New Roman"/>
          <w:bCs/>
          <w:lang w:val="sk-SK"/>
        </w:rPr>
        <w:t xml:space="preserve"> </w:t>
      </w:r>
      <w:r w:rsidR="00D26D6C" w:rsidRPr="00D26D6C">
        <w:rPr>
          <w:rFonts w:ascii="Times New Roman" w:hAnsi="Times New Roman"/>
          <w:bCs/>
          <w:lang w:val="sk-SK"/>
        </w:rPr>
        <w:t xml:space="preserve">a lieková reakcia s eozinofíliou a systémovými príznakmi (DRESS), </w:t>
      </w:r>
      <w:r w:rsidR="00C867D1">
        <w:rPr>
          <w:rFonts w:ascii="Times New Roman" w:hAnsi="Times New Roman"/>
          <w:bCs/>
          <w:lang w:val="sk-SK"/>
        </w:rPr>
        <w:t>niektoré fatálne.</w:t>
      </w:r>
      <w:r w:rsidRPr="00DC46E7">
        <w:rPr>
          <w:rFonts w:ascii="Times New Roman" w:hAnsi="Times New Roman"/>
          <w:bCs/>
          <w:lang w:val="sk-SK"/>
        </w:rPr>
        <w:t xml:space="preserve"> </w:t>
      </w:r>
      <w:r w:rsidR="00D26D6C" w:rsidRPr="00D26D6C">
        <w:rPr>
          <w:rFonts w:ascii="Times New Roman" w:hAnsi="Times New Roman"/>
          <w:bCs/>
          <w:lang w:val="sk-SK"/>
        </w:rPr>
        <w:t xml:space="preserve">Pacienti majú byť upozornení na prejavy a príznaky týchto reakcií zo strany predpisujúcich lekárov a malo by sa im povedať, aby ihneď vyhľadali lekársku pomoc, ak sa u nich prejavia tieto príznaky. </w:t>
      </w:r>
      <w:r w:rsidRPr="00DC46E7">
        <w:rPr>
          <w:rFonts w:ascii="Times New Roman" w:hAnsi="Times New Roman"/>
          <w:bCs/>
          <w:lang w:val="sk-SK"/>
        </w:rPr>
        <w:t xml:space="preserve">Niektoré udalosti sa objavili po podaní </w:t>
      </w:r>
      <w:r w:rsidRPr="00DC46E7">
        <w:rPr>
          <w:rFonts w:ascii="Times New Roman" w:hAnsi="Times New Roman"/>
          <w:bCs/>
          <w:lang w:val="sk-SK"/>
        </w:rPr>
        <w:lastRenderedPageBreak/>
        <w:t>bendamustíniumchloridu v kombinácii s</w:t>
      </w:r>
      <w:r w:rsidR="001C51D5" w:rsidRPr="00DC46E7">
        <w:rPr>
          <w:rFonts w:ascii="Times New Roman" w:hAnsi="Times New Roman"/>
          <w:bCs/>
          <w:lang w:val="sk-SK"/>
        </w:rPr>
        <w:t> </w:t>
      </w:r>
      <w:r w:rsidRPr="00DC46E7">
        <w:rPr>
          <w:rFonts w:ascii="Times New Roman" w:hAnsi="Times New Roman"/>
          <w:bCs/>
          <w:lang w:val="sk-SK"/>
        </w:rPr>
        <w:t>inými cytostatikami, preto presná súvislosť nie je známa. Ak sa objavia kožné reakcie, môžu mať progresívny charakter a s ďalšou liečbou sa môžu zhoršovať. Ak sú kožné reakcie progresívne, liečba liekom Bendamustine Kabi sa má prerušiť alebo ukončiť. Pri závažných kožných reakciách, u ktorých je podozrenie, že súvis</w:t>
      </w:r>
      <w:r w:rsidR="00670A56" w:rsidRPr="00DC46E7">
        <w:rPr>
          <w:rFonts w:ascii="Times New Roman" w:hAnsi="Times New Roman"/>
          <w:bCs/>
          <w:lang w:val="sk-SK"/>
        </w:rPr>
        <w:t>ia</w:t>
      </w:r>
      <w:r w:rsidRPr="00DC46E7">
        <w:rPr>
          <w:rFonts w:ascii="Times New Roman" w:hAnsi="Times New Roman"/>
          <w:bCs/>
          <w:lang w:val="sk-SK"/>
        </w:rPr>
        <w:t xml:space="preserve"> s bendamustíniumchloridom, sa má liečba ukončiť.</w:t>
      </w:r>
    </w:p>
    <w:p w14:paraId="58C9CC1B" w14:textId="77777777" w:rsidR="00684A8F" w:rsidRPr="00DC46E7" w:rsidRDefault="00684A8F">
      <w:pPr>
        <w:widowControl w:val="0"/>
        <w:autoSpaceDE w:val="0"/>
        <w:autoSpaceDN w:val="0"/>
        <w:adjustRightInd w:val="0"/>
        <w:spacing w:after="0" w:line="240" w:lineRule="auto"/>
        <w:rPr>
          <w:rFonts w:ascii="Times New Roman" w:hAnsi="Times New Roman"/>
          <w:bCs/>
          <w:lang w:val="sk-SK"/>
        </w:rPr>
      </w:pPr>
    </w:p>
    <w:p w14:paraId="50A804F2" w14:textId="7C001E72" w:rsidR="00684A8F" w:rsidRPr="00520002" w:rsidRDefault="00684A8F">
      <w:pPr>
        <w:widowControl w:val="0"/>
        <w:autoSpaceDE w:val="0"/>
        <w:autoSpaceDN w:val="0"/>
        <w:adjustRightInd w:val="0"/>
        <w:spacing w:after="0" w:line="240" w:lineRule="auto"/>
        <w:rPr>
          <w:rFonts w:ascii="Times New Roman" w:hAnsi="Times New Roman"/>
          <w:b/>
          <w:bCs/>
        </w:rPr>
      </w:pPr>
      <w:r w:rsidRPr="00520002">
        <w:rPr>
          <w:rFonts w:ascii="Times New Roman" w:hAnsi="Times New Roman"/>
          <w:b/>
          <w:bCs/>
        </w:rPr>
        <w:t>P</w:t>
      </w:r>
      <w:r w:rsidR="00D26D6C">
        <w:rPr>
          <w:rFonts w:ascii="Times New Roman" w:hAnsi="Times New Roman"/>
          <w:b/>
          <w:bCs/>
        </w:rPr>
        <w:t xml:space="preserve">oruchy srdca </w:t>
      </w:r>
      <w:proofErr w:type="gramStart"/>
      <w:r w:rsidR="00D26D6C">
        <w:rPr>
          <w:rFonts w:ascii="Times New Roman" w:hAnsi="Times New Roman"/>
          <w:b/>
          <w:bCs/>
        </w:rPr>
        <w:t xml:space="preserve">a </w:t>
      </w:r>
      <w:r w:rsidRPr="00520002">
        <w:rPr>
          <w:rFonts w:ascii="Times New Roman" w:hAnsi="Times New Roman"/>
          <w:b/>
          <w:bCs/>
        </w:rPr>
        <w:t xml:space="preserve"> srdcovej</w:t>
      </w:r>
      <w:proofErr w:type="gramEnd"/>
      <w:r w:rsidRPr="00520002">
        <w:rPr>
          <w:rFonts w:ascii="Times New Roman" w:hAnsi="Times New Roman"/>
          <w:b/>
          <w:bCs/>
        </w:rPr>
        <w:t xml:space="preserve"> činnosti</w:t>
      </w:r>
    </w:p>
    <w:p w14:paraId="58D28949" w14:textId="5C0B018E" w:rsidR="00684A8F" w:rsidRDefault="00684A8F">
      <w:pPr>
        <w:widowControl w:val="0"/>
        <w:autoSpaceDE w:val="0"/>
        <w:autoSpaceDN w:val="0"/>
        <w:adjustRightInd w:val="0"/>
        <w:spacing w:after="0" w:line="240" w:lineRule="auto"/>
        <w:rPr>
          <w:rFonts w:ascii="Times New Roman" w:hAnsi="Times New Roman"/>
          <w:bCs/>
        </w:rPr>
      </w:pPr>
      <w:r w:rsidRPr="003B5ED4">
        <w:rPr>
          <w:rFonts w:ascii="Times New Roman" w:hAnsi="Times New Roman"/>
          <w:bCs/>
        </w:rPr>
        <w:t>Počas liečby bendamustíniumchloridom sa musí starostlivo sledovať koncentráci</w:t>
      </w:r>
      <w:r w:rsidR="00A077D6">
        <w:rPr>
          <w:rFonts w:ascii="Times New Roman" w:hAnsi="Times New Roman"/>
          <w:bCs/>
        </w:rPr>
        <w:t>a</w:t>
      </w:r>
      <w:r w:rsidRPr="00A077D6">
        <w:rPr>
          <w:rFonts w:ascii="Times New Roman" w:hAnsi="Times New Roman"/>
          <w:bCs/>
        </w:rPr>
        <w:t xml:space="preserve"> draslíka v krvi, a ak klesne pod K</w:t>
      </w:r>
      <w:r w:rsidRPr="003B5ED4">
        <w:rPr>
          <w:rFonts w:ascii="Times New Roman" w:hAnsi="Times New Roman"/>
          <w:bCs/>
          <w:vertAlign w:val="superscript"/>
        </w:rPr>
        <w:t>+</w:t>
      </w:r>
      <w:r w:rsidRPr="003B5ED4">
        <w:rPr>
          <w:rFonts w:ascii="Times New Roman" w:hAnsi="Times New Roman"/>
          <w:bCs/>
        </w:rPr>
        <w:t xml:space="preserve"> &lt; 3</w:t>
      </w:r>
      <w:proofErr w:type="gramStart"/>
      <w:r w:rsidRPr="003B5ED4">
        <w:rPr>
          <w:rFonts w:ascii="Times New Roman" w:hAnsi="Times New Roman"/>
          <w:bCs/>
        </w:rPr>
        <w:t>,5</w:t>
      </w:r>
      <w:proofErr w:type="gramEnd"/>
      <w:r w:rsidRPr="003B5ED4">
        <w:rPr>
          <w:rFonts w:ascii="Times New Roman" w:hAnsi="Times New Roman"/>
          <w:bCs/>
        </w:rPr>
        <w:t xml:space="preserve"> mEq/l, musí sa začať so substitúciou draslíka a urobiť EKG vyšetrenie.</w:t>
      </w:r>
    </w:p>
    <w:p w14:paraId="2D478937" w14:textId="2C67DAA6" w:rsidR="00D26D6C" w:rsidRDefault="00D26D6C">
      <w:pPr>
        <w:widowControl w:val="0"/>
        <w:autoSpaceDE w:val="0"/>
        <w:autoSpaceDN w:val="0"/>
        <w:adjustRightInd w:val="0"/>
        <w:spacing w:after="0" w:line="240" w:lineRule="auto"/>
        <w:rPr>
          <w:rFonts w:ascii="Times New Roman" w:hAnsi="Times New Roman"/>
          <w:bCs/>
        </w:rPr>
      </w:pPr>
    </w:p>
    <w:p w14:paraId="273BD9B7" w14:textId="7A67AB0C" w:rsidR="00D26D6C" w:rsidRPr="003B5ED4" w:rsidRDefault="00D26D6C">
      <w:pPr>
        <w:widowControl w:val="0"/>
        <w:autoSpaceDE w:val="0"/>
        <w:autoSpaceDN w:val="0"/>
        <w:adjustRightInd w:val="0"/>
        <w:spacing w:after="0" w:line="240" w:lineRule="auto"/>
        <w:rPr>
          <w:rFonts w:ascii="Times New Roman" w:hAnsi="Times New Roman"/>
          <w:bCs/>
        </w:rPr>
      </w:pPr>
      <w:r w:rsidRPr="00D26D6C">
        <w:rPr>
          <w:rFonts w:ascii="Times New Roman" w:hAnsi="Times New Roman"/>
          <w:bCs/>
        </w:rPr>
        <w:t xml:space="preserve">Počas liečby bendamustíniumchloridom boli </w:t>
      </w:r>
      <w:r w:rsidR="007B23DB">
        <w:rPr>
          <w:rFonts w:ascii="Times New Roman" w:hAnsi="Times New Roman"/>
          <w:bCs/>
        </w:rPr>
        <w:t>h</w:t>
      </w:r>
      <w:r w:rsidRPr="00D26D6C">
        <w:rPr>
          <w:rFonts w:ascii="Times New Roman" w:hAnsi="Times New Roman"/>
          <w:bCs/>
        </w:rPr>
        <w:t>lásené prípady infarktu myokardu a zlyhania srdca s následkom smrti. Pacienti s poruchami srdcovej činnosti alebo so srdcovým ochorením v anamnéze majú byť pozorne sledovaní.</w:t>
      </w:r>
    </w:p>
    <w:p w14:paraId="1FE99967" w14:textId="77777777" w:rsidR="00684A8F" w:rsidRPr="003B5ED4" w:rsidRDefault="00684A8F">
      <w:pPr>
        <w:widowControl w:val="0"/>
        <w:autoSpaceDE w:val="0"/>
        <w:autoSpaceDN w:val="0"/>
        <w:adjustRightInd w:val="0"/>
        <w:spacing w:after="0" w:line="240" w:lineRule="auto"/>
        <w:rPr>
          <w:rFonts w:ascii="Times New Roman" w:hAnsi="Times New Roman"/>
          <w:bCs/>
        </w:rPr>
      </w:pPr>
    </w:p>
    <w:p w14:paraId="5FAEBCC3" w14:textId="77777777" w:rsidR="00684A8F" w:rsidRPr="00520002" w:rsidRDefault="00684A8F">
      <w:pPr>
        <w:widowControl w:val="0"/>
        <w:autoSpaceDE w:val="0"/>
        <w:autoSpaceDN w:val="0"/>
        <w:adjustRightInd w:val="0"/>
        <w:spacing w:after="0" w:line="240" w:lineRule="auto"/>
        <w:rPr>
          <w:rFonts w:ascii="Times New Roman" w:hAnsi="Times New Roman"/>
          <w:b/>
          <w:bCs/>
          <w:lang w:val="sk-SK"/>
        </w:rPr>
      </w:pPr>
      <w:r w:rsidRPr="00520002">
        <w:rPr>
          <w:rFonts w:ascii="Times New Roman" w:hAnsi="Times New Roman"/>
          <w:b/>
          <w:bCs/>
          <w:lang w:val="sk-SK"/>
        </w:rPr>
        <w:t>Nausea, vracanie</w:t>
      </w:r>
    </w:p>
    <w:p w14:paraId="4D8C7575" w14:textId="77777777" w:rsidR="00684A8F" w:rsidRPr="00965CE8" w:rsidRDefault="00684A8F">
      <w:pPr>
        <w:widowControl w:val="0"/>
        <w:autoSpaceDE w:val="0"/>
        <w:autoSpaceDN w:val="0"/>
        <w:adjustRightInd w:val="0"/>
        <w:spacing w:after="0" w:line="240" w:lineRule="auto"/>
        <w:rPr>
          <w:rFonts w:ascii="Times New Roman" w:hAnsi="Times New Roman"/>
          <w:bCs/>
          <w:lang w:val="sk-SK"/>
        </w:rPr>
      </w:pPr>
      <w:r w:rsidRPr="00965CE8">
        <w:rPr>
          <w:rFonts w:ascii="Times New Roman" w:hAnsi="Times New Roman"/>
          <w:bCs/>
          <w:lang w:val="sk-SK"/>
        </w:rPr>
        <w:t>Na symptomatickú liečbu nauzey a vracania je možné podávať antiemetikum.</w:t>
      </w:r>
    </w:p>
    <w:p w14:paraId="2082E392" w14:textId="77777777" w:rsidR="00684A8F" w:rsidRPr="00965CE8" w:rsidRDefault="00684A8F">
      <w:pPr>
        <w:widowControl w:val="0"/>
        <w:autoSpaceDE w:val="0"/>
        <w:autoSpaceDN w:val="0"/>
        <w:adjustRightInd w:val="0"/>
        <w:spacing w:after="0" w:line="240" w:lineRule="auto"/>
        <w:rPr>
          <w:rFonts w:ascii="Times New Roman" w:hAnsi="Times New Roman"/>
          <w:bCs/>
          <w:i/>
          <w:lang w:val="sk-SK"/>
        </w:rPr>
      </w:pPr>
    </w:p>
    <w:p w14:paraId="58611840" w14:textId="77777777" w:rsidR="00684A8F" w:rsidRPr="00520002" w:rsidRDefault="00684A8F">
      <w:pPr>
        <w:widowControl w:val="0"/>
        <w:autoSpaceDE w:val="0"/>
        <w:autoSpaceDN w:val="0"/>
        <w:adjustRightInd w:val="0"/>
        <w:spacing w:after="0" w:line="240" w:lineRule="auto"/>
        <w:rPr>
          <w:rFonts w:ascii="Times New Roman" w:hAnsi="Times New Roman"/>
          <w:b/>
          <w:bCs/>
          <w:lang w:val="sk-SK"/>
        </w:rPr>
      </w:pPr>
      <w:r w:rsidRPr="00520002">
        <w:rPr>
          <w:rFonts w:ascii="Times New Roman" w:hAnsi="Times New Roman"/>
          <w:b/>
          <w:bCs/>
          <w:lang w:val="sk-SK"/>
        </w:rPr>
        <w:t xml:space="preserve">Syndróm </w:t>
      </w:r>
      <w:r w:rsidR="00314E6C" w:rsidRPr="00520002">
        <w:rPr>
          <w:rFonts w:ascii="Times New Roman" w:hAnsi="Times New Roman"/>
          <w:b/>
          <w:bCs/>
          <w:lang w:val="sk-SK"/>
        </w:rPr>
        <w:t xml:space="preserve">z </w:t>
      </w:r>
      <w:r w:rsidRPr="00520002">
        <w:rPr>
          <w:rFonts w:ascii="Times New Roman" w:hAnsi="Times New Roman"/>
          <w:b/>
          <w:bCs/>
          <w:lang w:val="sk-SK"/>
        </w:rPr>
        <w:t>rozpadu</w:t>
      </w:r>
      <w:r w:rsidR="00314E6C" w:rsidRPr="00520002">
        <w:rPr>
          <w:rFonts w:ascii="Times New Roman" w:hAnsi="Times New Roman"/>
          <w:b/>
          <w:bCs/>
          <w:lang w:val="sk-SK"/>
        </w:rPr>
        <w:t xml:space="preserve"> nádoru</w:t>
      </w:r>
      <w:r w:rsidRPr="00520002">
        <w:rPr>
          <w:rFonts w:ascii="Times New Roman" w:hAnsi="Times New Roman"/>
          <w:b/>
          <w:bCs/>
          <w:lang w:val="sk-SK"/>
        </w:rPr>
        <w:t xml:space="preserve"> (tumor lysis syndrome)</w:t>
      </w:r>
    </w:p>
    <w:p w14:paraId="45C55CED" w14:textId="0D48B573" w:rsidR="00684A8F" w:rsidRDefault="00684A8F">
      <w:pPr>
        <w:widowControl w:val="0"/>
        <w:autoSpaceDE w:val="0"/>
        <w:autoSpaceDN w:val="0"/>
        <w:adjustRightInd w:val="0"/>
        <w:spacing w:after="0" w:line="240" w:lineRule="auto"/>
        <w:rPr>
          <w:rFonts w:ascii="Times New Roman" w:hAnsi="Times New Roman"/>
          <w:bCs/>
          <w:lang w:val="sk-SK"/>
        </w:rPr>
      </w:pPr>
      <w:r w:rsidRPr="00965CE8">
        <w:rPr>
          <w:rFonts w:ascii="Times New Roman" w:hAnsi="Times New Roman"/>
          <w:bCs/>
          <w:lang w:val="sk-SK"/>
        </w:rPr>
        <w:t>V klinických skúšaniach bol u pacientov zaznamenaný výskyt syndrómu</w:t>
      </w:r>
      <w:r w:rsidR="00D213C9" w:rsidRPr="00965CE8">
        <w:rPr>
          <w:rFonts w:ascii="Times New Roman" w:hAnsi="Times New Roman"/>
          <w:bCs/>
          <w:lang w:val="sk-SK"/>
        </w:rPr>
        <w:t xml:space="preserve"> z</w:t>
      </w:r>
      <w:r w:rsidRPr="00965CE8">
        <w:rPr>
          <w:rFonts w:ascii="Times New Roman" w:hAnsi="Times New Roman"/>
          <w:bCs/>
          <w:lang w:val="sk-SK"/>
        </w:rPr>
        <w:t xml:space="preserve"> rozpadu</w:t>
      </w:r>
      <w:r w:rsidR="00D213C9" w:rsidRPr="00965CE8">
        <w:rPr>
          <w:rFonts w:ascii="Times New Roman" w:hAnsi="Times New Roman"/>
          <w:bCs/>
          <w:lang w:val="sk-SK"/>
        </w:rPr>
        <w:t xml:space="preserve"> nádoru</w:t>
      </w:r>
      <w:r w:rsidR="00C867D1" w:rsidRPr="00965CE8">
        <w:rPr>
          <w:rFonts w:ascii="Times New Roman" w:hAnsi="Times New Roman"/>
          <w:bCs/>
          <w:lang w:val="sk-SK"/>
        </w:rPr>
        <w:t xml:space="preserve"> (TLS)</w:t>
      </w:r>
      <w:r w:rsidRPr="00965CE8">
        <w:rPr>
          <w:rFonts w:ascii="Times New Roman" w:hAnsi="Times New Roman"/>
          <w:bCs/>
          <w:lang w:val="sk-SK"/>
        </w:rPr>
        <w:t xml:space="preserve"> v súvislosti s liečbou bendamustínom. Jeho nástup sa dosahuje do 48 hodín od prvej dávky bendamustínu a bez</w:t>
      </w:r>
      <w:r w:rsidR="00E31AEE" w:rsidRPr="00965CE8">
        <w:rPr>
          <w:rFonts w:ascii="Times New Roman" w:hAnsi="Times New Roman"/>
          <w:bCs/>
          <w:lang w:val="sk-SK"/>
        </w:rPr>
        <w:t> </w:t>
      </w:r>
      <w:r w:rsidRPr="00965CE8">
        <w:rPr>
          <w:rFonts w:ascii="Times New Roman" w:hAnsi="Times New Roman"/>
          <w:bCs/>
          <w:lang w:val="sk-SK"/>
        </w:rPr>
        <w:t>zásahu môže viesť k akútnemu renálnemu zlyhaniu a úmrtiu. P</w:t>
      </w:r>
      <w:r w:rsidR="00965CE8" w:rsidRPr="00965CE8">
        <w:rPr>
          <w:rFonts w:ascii="Times New Roman" w:hAnsi="Times New Roman"/>
          <w:bCs/>
          <w:lang w:val="sk-SK"/>
        </w:rPr>
        <w:t>red liečbou sa majú zvážiť p</w:t>
      </w:r>
      <w:r w:rsidRPr="00965CE8">
        <w:rPr>
          <w:rFonts w:ascii="Times New Roman" w:hAnsi="Times New Roman"/>
          <w:bCs/>
          <w:lang w:val="sk-SK"/>
        </w:rPr>
        <w:t xml:space="preserve">reventívne opatrenia </w:t>
      </w:r>
      <w:r w:rsidR="00C867D1" w:rsidRPr="00965CE8">
        <w:rPr>
          <w:rFonts w:ascii="Times New Roman" w:hAnsi="Times New Roman"/>
          <w:bCs/>
          <w:lang w:val="sk-SK"/>
        </w:rPr>
        <w:t xml:space="preserve">ako sú </w:t>
      </w:r>
      <w:r w:rsidRPr="00965CE8">
        <w:rPr>
          <w:rFonts w:ascii="Times New Roman" w:hAnsi="Times New Roman"/>
          <w:bCs/>
          <w:lang w:val="sk-SK"/>
        </w:rPr>
        <w:t>adekvátn</w:t>
      </w:r>
      <w:r w:rsidR="00C867D1" w:rsidRPr="00965CE8">
        <w:rPr>
          <w:rFonts w:ascii="Times New Roman" w:hAnsi="Times New Roman"/>
          <w:bCs/>
          <w:lang w:val="sk-SK"/>
        </w:rPr>
        <w:t>a</w:t>
      </w:r>
      <w:r w:rsidRPr="00965CE8">
        <w:rPr>
          <w:rFonts w:ascii="Times New Roman" w:hAnsi="Times New Roman"/>
          <w:bCs/>
          <w:lang w:val="sk-SK"/>
        </w:rPr>
        <w:t xml:space="preserve"> </w:t>
      </w:r>
      <w:r w:rsidR="00C867D1" w:rsidRPr="00965CE8">
        <w:rPr>
          <w:rFonts w:ascii="Times New Roman" w:hAnsi="Times New Roman"/>
          <w:bCs/>
          <w:lang w:val="sk-SK"/>
        </w:rPr>
        <w:t>hydratácia</w:t>
      </w:r>
      <w:r w:rsidRPr="00965CE8">
        <w:rPr>
          <w:rFonts w:ascii="Times New Roman" w:hAnsi="Times New Roman"/>
          <w:bCs/>
          <w:lang w:val="sk-SK"/>
        </w:rPr>
        <w:t xml:space="preserve"> a starostlivé sledovanie krvných biochemických parametrov, hlavne hladín draslíka a kyseliny močovej</w:t>
      </w:r>
      <w:r w:rsidR="00965CE8" w:rsidRPr="00965CE8">
        <w:rPr>
          <w:rFonts w:ascii="Times New Roman" w:hAnsi="Times New Roman"/>
          <w:bCs/>
          <w:lang w:val="sk-SK"/>
        </w:rPr>
        <w:t xml:space="preserve"> a použitie hyp</w:t>
      </w:r>
      <w:r w:rsidR="00B35079">
        <w:rPr>
          <w:rFonts w:ascii="Times New Roman" w:hAnsi="Times New Roman"/>
          <w:bCs/>
          <w:lang w:val="sk-SK"/>
        </w:rPr>
        <w:t>ouremických</w:t>
      </w:r>
      <w:r w:rsidR="00965CE8" w:rsidRPr="00965CE8">
        <w:rPr>
          <w:rFonts w:ascii="Times New Roman" w:hAnsi="Times New Roman"/>
          <w:bCs/>
          <w:lang w:val="sk-SK"/>
        </w:rPr>
        <w:t xml:space="preserve"> liekov (alopurinol a rasburikáza)</w:t>
      </w:r>
      <w:r w:rsidRPr="00965CE8">
        <w:rPr>
          <w:rFonts w:ascii="Times New Roman" w:hAnsi="Times New Roman"/>
          <w:bCs/>
          <w:lang w:val="sk-SK"/>
        </w:rPr>
        <w:t>. Pri súbežnom  podávaní bendamustínu a alopurinolu však bolo zaznamenaných niekoľko prípadov Stevens-Johnsonovho syndrómu a toxickej epidermálnej nekrolýzy.</w:t>
      </w:r>
    </w:p>
    <w:p w14:paraId="3965B161" w14:textId="0D529D59" w:rsidR="00A966EB" w:rsidRDefault="00A966EB">
      <w:pPr>
        <w:widowControl w:val="0"/>
        <w:autoSpaceDE w:val="0"/>
        <w:autoSpaceDN w:val="0"/>
        <w:adjustRightInd w:val="0"/>
        <w:spacing w:after="0" w:line="240" w:lineRule="auto"/>
        <w:rPr>
          <w:rFonts w:ascii="Times New Roman" w:hAnsi="Times New Roman"/>
          <w:bCs/>
          <w:lang w:val="sk-SK"/>
        </w:rPr>
      </w:pPr>
    </w:p>
    <w:p w14:paraId="655D3378" w14:textId="77777777" w:rsidR="003607DA" w:rsidRPr="003607DA" w:rsidRDefault="003607DA" w:rsidP="003607DA">
      <w:pPr>
        <w:widowControl w:val="0"/>
        <w:autoSpaceDE w:val="0"/>
        <w:autoSpaceDN w:val="0"/>
        <w:adjustRightInd w:val="0"/>
        <w:spacing w:after="0" w:line="240" w:lineRule="auto"/>
        <w:rPr>
          <w:rFonts w:ascii="Times New Roman" w:hAnsi="Times New Roman"/>
          <w:b/>
          <w:bCs/>
        </w:rPr>
      </w:pPr>
      <w:r w:rsidRPr="003607DA">
        <w:rPr>
          <w:rFonts w:ascii="Times New Roman" w:hAnsi="Times New Roman"/>
          <w:b/>
          <w:bCs/>
        </w:rPr>
        <w:t>Anafylaxia</w:t>
      </w:r>
    </w:p>
    <w:p w14:paraId="438C63DA" w14:textId="77777777" w:rsidR="003607DA" w:rsidRPr="003607DA" w:rsidRDefault="003607DA" w:rsidP="003607DA">
      <w:pPr>
        <w:widowControl w:val="0"/>
        <w:autoSpaceDE w:val="0"/>
        <w:autoSpaceDN w:val="0"/>
        <w:adjustRightInd w:val="0"/>
        <w:spacing w:after="0" w:line="240" w:lineRule="auto"/>
        <w:rPr>
          <w:rFonts w:ascii="Times New Roman" w:hAnsi="Times New Roman"/>
          <w:bCs/>
        </w:rPr>
      </w:pPr>
      <w:r w:rsidRPr="003607DA">
        <w:rPr>
          <w:rFonts w:ascii="Times New Roman" w:hAnsi="Times New Roman"/>
          <w:bCs/>
        </w:rPr>
        <w:t xml:space="preserve">Pri klinických skúšaniach sa často vyskytovali reakcie po podaní infúzie s obsahom bendamustíniumchloridu. Príznaky sú zvyčajne mierne a zahŕňajú horúčku, triašku, svrbenie a vyrážku. V zriedkavých prípadoch </w:t>
      </w:r>
      <w:proofErr w:type="gramStart"/>
      <w:r w:rsidRPr="003607DA">
        <w:rPr>
          <w:rFonts w:ascii="Times New Roman" w:hAnsi="Times New Roman"/>
          <w:bCs/>
        </w:rPr>
        <w:t>sa</w:t>
      </w:r>
      <w:proofErr w:type="gramEnd"/>
      <w:r w:rsidRPr="003607DA">
        <w:rPr>
          <w:rFonts w:ascii="Times New Roman" w:hAnsi="Times New Roman"/>
          <w:bCs/>
        </w:rPr>
        <w:t xml:space="preserve"> vyskytli závažné anafylaktické a anafylaktoidné reakcie. Je potrebné opýtať sa pacientov na príznaky a reakcie po podaní infúzie po ich prvom cykle liečby. Pri následných cykloch sa majú zvážiť opatrenia na prevenciu závažných reakcií, vrátane podania antihistaminík, antipyretík a kortikosteroidov pacientom, u ktorých sa predtým prejavili reakcie po podaní infúzie.</w:t>
      </w:r>
    </w:p>
    <w:p w14:paraId="356B2145" w14:textId="7C2CEBA7" w:rsidR="00A966EB" w:rsidRPr="00520002" w:rsidRDefault="003607DA">
      <w:pPr>
        <w:widowControl w:val="0"/>
        <w:autoSpaceDE w:val="0"/>
        <w:autoSpaceDN w:val="0"/>
        <w:adjustRightInd w:val="0"/>
        <w:spacing w:after="0" w:line="240" w:lineRule="auto"/>
        <w:rPr>
          <w:rFonts w:ascii="Times New Roman" w:hAnsi="Times New Roman"/>
          <w:bCs/>
        </w:rPr>
      </w:pPr>
      <w:r w:rsidRPr="003607DA">
        <w:rPr>
          <w:rFonts w:ascii="Times New Roman" w:hAnsi="Times New Roman"/>
          <w:bCs/>
        </w:rPr>
        <w:t>Pacienti, u ktorých sa prejavili alergické reakcie 3. stupňa alebo horšie, spravidla neboli opätovne vystavení tejto stimulácii.</w:t>
      </w:r>
    </w:p>
    <w:p w14:paraId="3F8AD7A6" w14:textId="77777777" w:rsidR="00684A8F" w:rsidRPr="00965CE8" w:rsidRDefault="00684A8F">
      <w:pPr>
        <w:shd w:val="clear" w:color="auto" w:fill="FFFFFF"/>
        <w:spacing w:after="0" w:line="240" w:lineRule="auto"/>
        <w:rPr>
          <w:rFonts w:ascii="Times New Roman" w:hAnsi="Times New Roman"/>
          <w:color w:val="000000"/>
          <w:lang w:val="sk-SK"/>
        </w:rPr>
      </w:pPr>
    </w:p>
    <w:p w14:paraId="4C7FD631" w14:textId="77777777" w:rsidR="00684A8F" w:rsidRPr="00520002" w:rsidRDefault="00684A8F">
      <w:pPr>
        <w:shd w:val="clear" w:color="auto" w:fill="FFFFFF"/>
        <w:spacing w:after="0" w:line="240" w:lineRule="auto"/>
        <w:rPr>
          <w:rFonts w:ascii="Times New Roman" w:hAnsi="Times New Roman"/>
          <w:b/>
          <w:color w:val="000000"/>
          <w:lang w:val="sk-SK"/>
        </w:rPr>
      </w:pPr>
      <w:r w:rsidRPr="00520002">
        <w:rPr>
          <w:rFonts w:ascii="Times New Roman" w:hAnsi="Times New Roman"/>
          <w:b/>
          <w:color w:val="000000"/>
          <w:lang w:val="sk-SK"/>
        </w:rPr>
        <w:t>Antikoncepcia</w:t>
      </w:r>
    </w:p>
    <w:p w14:paraId="5F48FC4D" w14:textId="77777777" w:rsidR="00684A8F" w:rsidRPr="00965CE8" w:rsidRDefault="00684A8F">
      <w:pPr>
        <w:shd w:val="clear" w:color="auto" w:fill="FFFFFF"/>
        <w:spacing w:after="0" w:line="240" w:lineRule="auto"/>
        <w:rPr>
          <w:rFonts w:ascii="Times New Roman" w:hAnsi="Times New Roman"/>
          <w:color w:val="000000"/>
          <w:lang w:val="sk-SK"/>
        </w:rPr>
      </w:pPr>
      <w:r w:rsidRPr="00965CE8">
        <w:rPr>
          <w:rFonts w:ascii="Times New Roman" w:hAnsi="Times New Roman"/>
          <w:color w:val="000000"/>
          <w:lang w:val="sk-SK"/>
        </w:rPr>
        <w:t xml:space="preserve">Bendamustíniumchlorid je teratogénny a mutagénny. </w:t>
      </w:r>
    </w:p>
    <w:p w14:paraId="0E040266" w14:textId="77777777" w:rsidR="00684A8F" w:rsidRPr="00965CE8" w:rsidRDefault="00684A8F">
      <w:pPr>
        <w:shd w:val="clear" w:color="auto" w:fill="FFFFFF"/>
        <w:spacing w:after="0" w:line="240" w:lineRule="auto"/>
        <w:rPr>
          <w:rFonts w:ascii="Times New Roman" w:hAnsi="Times New Roman"/>
          <w:color w:val="000000"/>
          <w:lang w:val="sk-SK"/>
        </w:rPr>
      </w:pPr>
      <w:r w:rsidRPr="00965CE8">
        <w:rPr>
          <w:rFonts w:ascii="Times New Roman" w:hAnsi="Times New Roman"/>
          <w:color w:val="000000"/>
          <w:lang w:val="sk-SK"/>
        </w:rPr>
        <w:t>Ženy nesmú počas liečby otehotnieť. Pacienti mužského pohlavia nesmú počať dieťa počas liečby a do</w:t>
      </w:r>
      <w:r w:rsidR="00D81AC2" w:rsidRPr="00965CE8">
        <w:rPr>
          <w:rFonts w:ascii="Times New Roman" w:hAnsi="Times New Roman"/>
          <w:color w:val="000000"/>
          <w:lang w:val="sk-SK"/>
        </w:rPr>
        <w:t> </w:t>
      </w:r>
      <w:r w:rsidRPr="00965CE8">
        <w:rPr>
          <w:rFonts w:ascii="Times New Roman" w:hAnsi="Times New Roman"/>
          <w:color w:val="000000"/>
          <w:lang w:val="sk-SK"/>
        </w:rPr>
        <w:t>6 mesiacov po jej ukončení. Pred liečbou bendamustíniumchloridom sa majú poradiť o konzervácii spermií vzhľadom na možnosť ireverzibilnej neplodnosti.</w:t>
      </w:r>
    </w:p>
    <w:p w14:paraId="4ADCB029" w14:textId="77777777" w:rsidR="00684A8F" w:rsidRPr="00965CE8" w:rsidRDefault="00684A8F">
      <w:pPr>
        <w:widowControl w:val="0"/>
        <w:autoSpaceDE w:val="0"/>
        <w:autoSpaceDN w:val="0"/>
        <w:adjustRightInd w:val="0"/>
        <w:spacing w:after="0" w:line="240" w:lineRule="auto"/>
        <w:rPr>
          <w:rFonts w:ascii="Times New Roman" w:hAnsi="Times New Roman"/>
          <w:bCs/>
          <w:lang w:val="sk-SK"/>
        </w:rPr>
      </w:pPr>
    </w:p>
    <w:p w14:paraId="0F5EFC13" w14:textId="77777777" w:rsidR="00684A8F" w:rsidRPr="00965CE8" w:rsidRDefault="00684A8F">
      <w:pPr>
        <w:widowControl w:val="0"/>
        <w:autoSpaceDE w:val="0"/>
        <w:autoSpaceDN w:val="0"/>
        <w:adjustRightInd w:val="0"/>
        <w:spacing w:after="0" w:line="240" w:lineRule="auto"/>
        <w:rPr>
          <w:rFonts w:ascii="Times New Roman" w:hAnsi="Times New Roman"/>
          <w:bCs/>
          <w:i/>
          <w:lang w:val="sk-SK"/>
        </w:rPr>
      </w:pPr>
      <w:r w:rsidRPr="00520002">
        <w:rPr>
          <w:rFonts w:ascii="Times New Roman" w:hAnsi="Times New Roman"/>
          <w:b/>
          <w:bCs/>
          <w:lang w:val="sk-SK"/>
        </w:rPr>
        <w:t>Extravazácia</w:t>
      </w:r>
    </w:p>
    <w:p w14:paraId="49F91CF3" w14:textId="77777777" w:rsidR="00684A8F" w:rsidRPr="00965CE8" w:rsidRDefault="00684A8F">
      <w:pPr>
        <w:widowControl w:val="0"/>
        <w:autoSpaceDE w:val="0"/>
        <w:autoSpaceDN w:val="0"/>
        <w:adjustRightInd w:val="0"/>
        <w:spacing w:after="0" w:line="240" w:lineRule="auto"/>
        <w:rPr>
          <w:rFonts w:ascii="Times New Roman" w:hAnsi="Times New Roman"/>
          <w:bCs/>
          <w:lang w:val="sk-SK"/>
        </w:rPr>
      </w:pPr>
      <w:r w:rsidRPr="00965CE8">
        <w:rPr>
          <w:rFonts w:ascii="Times New Roman" w:hAnsi="Times New Roman"/>
          <w:bCs/>
          <w:lang w:val="sk-SK"/>
        </w:rPr>
        <w:t>Extravazálne podanie injekcie sa má ihneď zastaviť. Ihla sa má vytiahnuť po krátkej aspirácii. Následne sa má postihnuté tkanivo ochladzovať. Rameno musí byť zdvihnuté. Ďalšie liečebné kroky, ako použitie kortikosteroidov, nemajú jednoznačný prínos.</w:t>
      </w:r>
    </w:p>
    <w:p w14:paraId="74D86B05" w14:textId="77777777" w:rsidR="00684A8F" w:rsidRPr="00965CE8" w:rsidRDefault="00684A8F">
      <w:pPr>
        <w:widowControl w:val="0"/>
        <w:tabs>
          <w:tab w:val="left" w:pos="567"/>
        </w:tabs>
        <w:autoSpaceDE w:val="0"/>
        <w:autoSpaceDN w:val="0"/>
        <w:adjustRightInd w:val="0"/>
        <w:spacing w:after="0" w:line="240" w:lineRule="auto"/>
        <w:rPr>
          <w:rFonts w:ascii="Times New Roman" w:hAnsi="Times New Roman"/>
          <w:b/>
          <w:bCs/>
          <w:lang w:val="sk-SK"/>
        </w:rPr>
      </w:pPr>
    </w:p>
    <w:p w14:paraId="2D8E895E" w14:textId="77777777" w:rsidR="00684A8F" w:rsidRPr="00965CE8" w:rsidRDefault="00684A8F">
      <w:pPr>
        <w:widowControl w:val="0"/>
        <w:tabs>
          <w:tab w:val="left" w:pos="567"/>
        </w:tabs>
        <w:autoSpaceDE w:val="0"/>
        <w:autoSpaceDN w:val="0"/>
        <w:adjustRightInd w:val="0"/>
        <w:spacing w:after="0" w:line="240" w:lineRule="auto"/>
        <w:rPr>
          <w:rFonts w:ascii="Times New Roman" w:hAnsi="Times New Roman"/>
          <w:b/>
          <w:bCs/>
          <w:lang w:val="sk-SK"/>
        </w:rPr>
      </w:pPr>
      <w:r w:rsidRPr="00965CE8">
        <w:rPr>
          <w:rFonts w:ascii="Times New Roman" w:hAnsi="Times New Roman"/>
          <w:b/>
          <w:bCs/>
          <w:lang w:val="sk-SK"/>
        </w:rPr>
        <w:t>4.5</w:t>
      </w:r>
      <w:r w:rsidRPr="00965CE8">
        <w:rPr>
          <w:rFonts w:ascii="Times New Roman" w:hAnsi="Times New Roman"/>
          <w:b/>
          <w:bCs/>
          <w:lang w:val="sk-SK"/>
        </w:rPr>
        <w:tab/>
        <w:t>Liekové a iné interakcie</w:t>
      </w:r>
    </w:p>
    <w:p w14:paraId="50389A03" w14:textId="77777777" w:rsidR="00684A8F" w:rsidRPr="00965CE8" w:rsidRDefault="00684A8F">
      <w:pPr>
        <w:widowControl w:val="0"/>
        <w:autoSpaceDE w:val="0"/>
        <w:autoSpaceDN w:val="0"/>
        <w:adjustRightInd w:val="0"/>
        <w:spacing w:after="0" w:line="240" w:lineRule="auto"/>
        <w:rPr>
          <w:rFonts w:ascii="Times New Roman" w:hAnsi="Times New Roman"/>
          <w:bCs/>
          <w:lang w:val="sk-SK"/>
        </w:rPr>
      </w:pPr>
    </w:p>
    <w:p w14:paraId="26794E24" w14:textId="77777777" w:rsidR="00684A8F" w:rsidRPr="00965CE8" w:rsidRDefault="00684A8F">
      <w:pPr>
        <w:widowControl w:val="0"/>
        <w:autoSpaceDE w:val="0"/>
        <w:autoSpaceDN w:val="0"/>
        <w:adjustRightInd w:val="0"/>
        <w:spacing w:after="0" w:line="240" w:lineRule="auto"/>
        <w:rPr>
          <w:rFonts w:ascii="Times New Roman" w:hAnsi="Times New Roman"/>
          <w:bCs/>
          <w:lang w:val="sk-SK"/>
        </w:rPr>
      </w:pPr>
      <w:r w:rsidRPr="00965CE8">
        <w:rPr>
          <w:rFonts w:ascii="Times New Roman" w:hAnsi="Times New Roman"/>
          <w:bCs/>
          <w:lang w:val="sk-SK"/>
        </w:rPr>
        <w:t xml:space="preserve">Neuskutočnili sa žiadne interakčné štúdie </w:t>
      </w:r>
      <w:r w:rsidRPr="00965CE8">
        <w:rPr>
          <w:rFonts w:ascii="Times New Roman" w:hAnsi="Times New Roman"/>
          <w:bCs/>
          <w:i/>
          <w:lang w:val="sk-SK"/>
        </w:rPr>
        <w:t>in vivo</w:t>
      </w:r>
      <w:r w:rsidRPr="00965CE8">
        <w:rPr>
          <w:rFonts w:ascii="Times New Roman" w:hAnsi="Times New Roman"/>
          <w:bCs/>
          <w:lang w:val="sk-SK"/>
        </w:rPr>
        <w:t>.</w:t>
      </w:r>
    </w:p>
    <w:p w14:paraId="16B787E2" w14:textId="77777777" w:rsidR="00684A8F" w:rsidRPr="00965CE8" w:rsidRDefault="00684A8F">
      <w:pPr>
        <w:widowControl w:val="0"/>
        <w:autoSpaceDE w:val="0"/>
        <w:autoSpaceDN w:val="0"/>
        <w:adjustRightInd w:val="0"/>
        <w:spacing w:after="0" w:line="240" w:lineRule="auto"/>
        <w:rPr>
          <w:rFonts w:ascii="Times New Roman" w:hAnsi="Times New Roman"/>
          <w:bCs/>
          <w:lang w:val="sk-SK"/>
        </w:rPr>
      </w:pPr>
    </w:p>
    <w:p w14:paraId="19E4A38C" w14:textId="77777777" w:rsidR="00684A8F" w:rsidRPr="00965CE8" w:rsidRDefault="00684A8F">
      <w:pPr>
        <w:widowControl w:val="0"/>
        <w:autoSpaceDE w:val="0"/>
        <w:autoSpaceDN w:val="0"/>
        <w:adjustRightInd w:val="0"/>
        <w:spacing w:after="0" w:line="240" w:lineRule="auto"/>
        <w:rPr>
          <w:rFonts w:ascii="Times New Roman" w:hAnsi="Times New Roman"/>
          <w:bCs/>
          <w:lang w:val="sk-SK"/>
        </w:rPr>
      </w:pPr>
      <w:r w:rsidRPr="00965CE8">
        <w:rPr>
          <w:rFonts w:ascii="Times New Roman" w:hAnsi="Times New Roman"/>
          <w:bCs/>
          <w:lang w:val="sk-SK"/>
        </w:rPr>
        <w:t xml:space="preserve">Pri kombinácii bendamustínu s myelosupresívnymi látkami môže dôjsť k zosilneniu účinku bendamustínu a/alebo súbežne podávaných liečiv na kostnú dreň. Akákoľvek liečba znižujúca výkonnostný stav pacienta alebo narušujúca funkciu kostnej drene môže zvyšovať toxicitu bendamustínu. </w:t>
      </w:r>
    </w:p>
    <w:p w14:paraId="7362FF68" w14:textId="77777777" w:rsidR="00684A8F" w:rsidRPr="00965CE8" w:rsidRDefault="00684A8F">
      <w:pPr>
        <w:widowControl w:val="0"/>
        <w:autoSpaceDE w:val="0"/>
        <w:autoSpaceDN w:val="0"/>
        <w:adjustRightInd w:val="0"/>
        <w:spacing w:after="0" w:line="240" w:lineRule="auto"/>
        <w:rPr>
          <w:rFonts w:ascii="Times New Roman" w:hAnsi="Times New Roman"/>
          <w:bCs/>
          <w:lang w:val="sk-SK"/>
        </w:rPr>
      </w:pPr>
    </w:p>
    <w:p w14:paraId="37ED38E9" w14:textId="77777777" w:rsidR="00684A8F" w:rsidRPr="00965CE8" w:rsidRDefault="00684A8F">
      <w:pPr>
        <w:widowControl w:val="0"/>
        <w:autoSpaceDE w:val="0"/>
        <w:autoSpaceDN w:val="0"/>
        <w:adjustRightInd w:val="0"/>
        <w:spacing w:after="0" w:line="240" w:lineRule="auto"/>
        <w:rPr>
          <w:rFonts w:ascii="Times New Roman" w:hAnsi="Times New Roman"/>
          <w:bCs/>
          <w:lang w:val="sk-SK"/>
        </w:rPr>
      </w:pPr>
      <w:r w:rsidRPr="00965CE8">
        <w:rPr>
          <w:rFonts w:ascii="Times New Roman" w:hAnsi="Times New Roman"/>
          <w:bCs/>
          <w:lang w:val="sk-SK"/>
        </w:rPr>
        <w:t>Kombinácia bendamustínu s cyklosporínom alebo takrolimom môže viesť k nadmernej imunosupresii s rizikom rozvoja lymfoproliferácie.</w:t>
      </w:r>
    </w:p>
    <w:p w14:paraId="22AD0D80" w14:textId="77777777" w:rsidR="00684A8F" w:rsidRPr="00965CE8" w:rsidRDefault="00684A8F">
      <w:pPr>
        <w:widowControl w:val="0"/>
        <w:autoSpaceDE w:val="0"/>
        <w:autoSpaceDN w:val="0"/>
        <w:adjustRightInd w:val="0"/>
        <w:spacing w:after="0" w:line="240" w:lineRule="auto"/>
        <w:rPr>
          <w:rFonts w:ascii="Times New Roman" w:hAnsi="Times New Roman"/>
          <w:bCs/>
          <w:lang w:val="sk-SK"/>
        </w:rPr>
      </w:pPr>
    </w:p>
    <w:p w14:paraId="63EBAC95" w14:textId="77777777" w:rsidR="00684A8F" w:rsidRPr="00965CE8" w:rsidRDefault="00684A8F">
      <w:pPr>
        <w:widowControl w:val="0"/>
        <w:autoSpaceDE w:val="0"/>
        <w:autoSpaceDN w:val="0"/>
        <w:adjustRightInd w:val="0"/>
        <w:spacing w:after="0" w:line="240" w:lineRule="auto"/>
        <w:rPr>
          <w:rFonts w:ascii="Times New Roman" w:hAnsi="Times New Roman"/>
          <w:bCs/>
          <w:lang w:val="sk-SK"/>
        </w:rPr>
      </w:pPr>
      <w:r w:rsidRPr="00965CE8">
        <w:rPr>
          <w:rFonts w:ascii="Times New Roman" w:hAnsi="Times New Roman"/>
          <w:bCs/>
          <w:lang w:val="sk-SK"/>
        </w:rPr>
        <w:t>Cytostatiká môžu znížiť tvorbu protilátok po očkovaní živým vírusom a zvýšiť riziko rozvoja infekcie, ktorá môže dokonca viesť k úmrtiu. Toto riziko je zvýšené u pacientov, ktorí sú už postihnutí imunosupresiou spôsobenou základným ochorením.</w:t>
      </w:r>
    </w:p>
    <w:p w14:paraId="6348BC19" w14:textId="77777777" w:rsidR="00684A8F" w:rsidRPr="00965CE8" w:rsidRDefault="00684A8F">
      <w:pPr>
        <w:widowControl w:val="0"/>
        <w:autoSpaceDE w:val="0"/>
        <w:autoSpaceDN w:val="0"/>
        <w:adjustRightInd w:val="0"/>
        <w:spacing w:after="0" w:line="240" w:lineRule="auto"/>
        <w:rPr>
          <w:rFonts w:ascii="Times New Roman" w:hAnsi="Times New Roman"/>
          <w:bCs/>
          <w:lang w:val="sk-SK"/>
        </w:rPr>
      </w:pPr>
    </w:p>
    <w:p w14:paraId="78650177" w14:textId="0C461E41" w:rsidR="00684A8F" w:rsidRDefault="00684A8F">
      <w:pPr>
        <w:widowControl w:val="0"/>
        <w:autoSpaceDE w:val="0"/>
        <w:autoSpaceDN w:val="0"/>
        <w:adjustRightInd w:val="0"/>
        <w:spacing w:after="0" w:line="240" w:lineRule="auto"/>
        <w:rPr>
          <w:rFonts w:ascii="Times New Roman" w:hAnsi="Times New Roman"/>
          <w:bCs/>
          <w:lang w:val="sk-SK"/>
        </w:rPr>
      </w:pPr>
      <w:r w:rsidRPr="00965CE8">
        <w:rPr>
          <w:rFonts w:ascii="Times New Roman" w:hAnsi="Times New Roman"/>
          <w:bCs/>
          <w:lang w:val="sk-SK"/>
        </w:rPr>
        <w:t>Metabolizmus bendamustínu je spojený s izoenzýmom CYP1A2 cytochrómu P450 (pozri časť 5.2). Z</w:t>
      </w:r>
      <w:r w:rsidR="00FF1E43" w:rsidRPr="00965CE8">
        <w:rPr>
          <w:rFonts w:ascii="Times New Roman" w:hAnsi="Times New Roman"/>
          <w:bCs/>
          <w:lang w:val="sk-SK"/>
        </w:rPr>
        <w:t> </w:t>
      </w:r>
      <w:r w:rsidRPr="00965CE8">
        <w:rPr>
          <w:rFonts w:ascii="Times New Roman" w:hAnsi="Times New Roman"/>
          <w:bCs/>
          <w:lang w:val="sk-SK"/>
        </w:rPr>
        <w:t>tohto dôvodu hrozí potenciálna interakcia s inhibítormi CYP1A2 ako je fluvoxamín, ciprofloxacín, aciklovir a cimetidín.</w:t>
      </w:r>
    </w:p>
    <w:p w14:paraId="790360FA" w14:textId="11AC4DF6" w:rsidR="007F6E77" w:rsidRDefault="007F6E77">
      <w:pPr>
        <w:widowControl w:val="0"/>
        <w:autoSpaceDE w:val="0"/>
        <w:autoSpaceDN w:val="0"/>
        <w:adjustRightInd w:val="0"/>
        <w:spacing w:after="0" w:line="240" w:lineRule="auto"/>
        <w:rPr>
          <w:rFonts w:ascii="Times New Roman" w:hAnsi="Times New Roman"/>
          <w:bCs/>
          <w:lang w:val="sk-SK"/>
        </w:rPr>
      </w:pPr>
    </w:p>
    <w:p w14:paraId="1A3782A7" w14:textId="6934CF86" w:rsidR="007F6E77" w:rsidRDefault="007F6E77">
      <w:pPr>
        <w:widowControl w:val="0"/>
        <w:autoSpaceDE w:val="0"/>
        <w:autoSpaceDN w:val="0"/>
        <w:adjustRightInd w:val="0"/>
        <w:spacing w:after="0" w:line="240" w:lineRule="auto"/>
        <w:rPr>
          <w:rFonts w:ascii="Times New Roman" w:hAnsi="Times New Roman"/>
          <w:bCs/>
          <w:lang w:val="sk-SK"/>
        </w:rPr>
      </w:pPr>
      <w:r>
        <w:rPr>
          <w:rFonts w:ascii="Times New Roman" w:hAnsi="Times New Roman"/>
          <w:bCs/>
          <w:lang w:val="sk-SK"/>
        </w:rPr>
        <w:t>Pediatrická populácia</w:t>
      </w:r>
    </w:p>
    <w:p w14:paraId="2A0A39F2" w14:textId="53CC45FA" w:rsidR="007F6E77" w:rsidRPr="00965CE8" w:rsidRDefault="007F6E77">
      <w:pPr>
        <w:widowControl w:val="0"/>
        <w:autoSpaceDE w:val="0"/>
        <w:autoSpaceDN w:val="0"/>
        <w:adjustRightInd w:val="0"/>
        <w:spacing w:after="0" w:line="240" w:lineRule="auto"/>
        <w:rPr>
          <w:rFonts w:ascii="Times New Roman" w:hAnsi="Times New Roman"/>
          <w:bCs/>
          <w:lang w:val="sk-SK"/>
        </w:rPr>
      </w:pPr>
      <w:r>
        <w:rPr>
          <w:rFonts w:ascii="Times New Roman" w:hAnsi="Times New Roman"/>
          <w:bCs/>
          <w:lang w:val="sk-SK"/>
        </w:rPr>
        <w:t xml:space="preserve">Interakčné štúdie sa uskutočnili </w:t>
      </w:r>
      <w:r w:rsidR="001077A8">
        <w:rPr>
          <w:rFonts w:ascii="Times New Roman" w:hAnsi="Times New Roman"/>
          <w:bCs/>
          <w:lang w:val="sk-SK"/>
        </w:rPr>
        <w:t>len</w:t>
      </w:r>
      <w:r>
        <w:rPr>
          <w:rFonts w:ascii="Times New Roman" w:hAnsi="Times New Roman"/>
          <w:bCs/>
          <w:lang w:val="sk-SK"/>
        </w:rPr>
        <w:t xml:space="preserve"> u dospelých.</w:t>
      </w:r>
    </w:p>
    <w:p w14:paraId="55F63222" w14:textId="77777777" w:rsidR="00684A8F" w:rsidRPr="00965CE8" w:rsidRDefault="00684A8F">
      <w:pPr>
        <w:widowControl w:val="0"/>
        <w:autoSpaceDE w:val="0"/>
        <w:autoSpaceDN w:val="0"/>
        <w:adjustRightInd w:val="0"/>
        <w:spacing w:after="0" w:line="240" w:lineRule="auto"/>
        <w:rPr>
          <w:rFonts w:ascii="Times New Roman" w:hAnsi="Times New Roman"/>
          <w:bCs/>
          <w:lang w:val="sk-SK"/>
        </w:rPr>
      </w:pPr>
    </w:p>
    <w:p w14:paraId="60EE1E96" w14:textId="77777777" w:rsidR="00684A8F" w:rsidRPr="003B5ED4" w:rsidRDefault="00684A8F">
      <w:pPr>
        <w:widowControl w:val="0"/>
        <w:autoSpaceDE w:val="0"/>
        <w:autoSpaceDN w:val="0"/>
        <w:adjustRightInd w:val="0"/>
        <w:spacing w:after="0" w:line="240" w:lineRule="auto"/>
        <w:rPr>
          <w:rFonts w:ascii="Times New Roman" w:hAnsi="Times New Roman"/>
          <w:b/>
          <w:bCs/>
        </w:rPr>
      </w:pPr>
      <w:r w:rsidRPr="003B5ED4">
        <w:rPr>
          <w:rFonts w:ascii="Times New Roman" w:hAnsi="Times New Roman"/>
          <w:b/>
          <w:bCs/>
        </w:rPr>
        <w:t>4.6</w:t>
      </w:r>
      <w:r w:rsidRPr="003B5ED4">
        <w:rPr>
          <w:rFonts w:ascii="Times New Roman" w:hAnsi="Times New Roman"/>
          <w:b/>
          <w:bCs/>
        </w:rPr>
        <w:tab/>
        <w:t>Fertilita, gravidita a laktácia</w:t>
      </w:r>
    </w:p>
    <w:p w14:paraId="2A185156" w14:textId="77777777" w:rsidR="00684A8F" w:rsidRPr="003B5ED4" w:rsidRDefault="00684A8F">
      <w:pPr>
        <w:widowControl w:val="0"/>
        <w:autoSpaceDE w:val="0"/>
        <w:autoSpaceDN w:val="0"/>
        <w:adjustRightInd w:val="0"/>
        <w:spacing w:after="0" w:line="240" w:lineRule="auto"/>
        <w:rPr>
          <w:rFonts w:ascii="Times New Roman" w:hAnsi="Times New Roman"/>
          <w:bCs/>
        </w:rPr>
      </w:pPr>
    </w:p>
    <w:p w14:paraId="01F518DA" w14:textId="1922699B" w:rsidR="00684A8F" w:rsidRPr="003B5ED4" w:rsidRDefault="00684A8F">
      <w:pPr>
        <w:widowControl w:val="0"/>
        <w:autoSpaceDE w:val="0"/>
        <w:autoSpaceDN w:val="0"/>
        <w:adjustRightInd w:val="0"/>
        <w:spacing w:after="0" w:line="240" w:lineRule="auto"/>
        <w:rPr>
          <w:rFonts w:ascii="Times New Roman" w:hAnsi="Times New Roman"/>
          <w:bCs/>
          <w:u w:val="single"/>
        </w:rPr>
      </w:pPr>
      <w:r w:rsidRPr="003B5ED4">
        <w:rPr>
          <w:rFonts w:ascii="Times New Roman" w:hAnsi="Times New Roman"/>
          <w:bCs/>
          <w:u w:val="single"/>
        </w:rPr>
        <w:t>Ženy v reprodukčnom veku/antikoncepcia/fertilita</w:t>
      </w:r>
    </w:p>
    <w:p w14:paraId="32C7170C" w14:textId="1200B7FC" w:rsidR="00684A8F" w:rsidRPr="00B358B0" w:rsidRDefault="00684A8F">
      <w:pPr>
        <w:widowControl w:val="0"/>
        <w:autoSpaceDE w:val="0"/>
        <w:autoSpaceDN w:val="0"/>
        <w:adjustRightInd w:val="0"/>
        <w:spacing w:after="0" w:line="240" w:lineRule="auto"/>
        <w:rPr>
          <w:rFonts w:ascii="Times New Roman" w:hAnsi="Times New Roman"/>
          <w:bCs/>
        </w:rPr>
      </w:pPr>
      <w:r w:rsidRPr="003B5ED4">
        <w:rPr>
          <w:rFonts w:ascii="Times New Roman" w:hAnsi="Times New Roman"/>
          <w:bCs/>
        </w:rPr>
        <w:t xml:space="preserve">Ženy </w:t>
      </w:r>
      <w:proofErr w:type="gramStart"/>
      <w:r w:rsidRPr="003B5ED4">
        <w:rPr>
          <w:rFonts w:ascii="Times New Roman" w:hAnsi="Times New Roman"/>
          <w:bCs/>
        </w:rPr>
        <w:t>vo</w:t>
      </w:r>
      <w:proofErr w:type="gramEnd"/>
      <w:r w:rsidRPr="003B5ED4">
        <w:rPr>
          <w:rFonts w:ascii="Times New Roman" w:hAnsi="Times New Roman"/>
          <w:bCs/>
        </w:rPr>
        <w:t xml:space="preserve"> fertilnom veku musia používať účinné antikoncepčné metódy pred </w:t>
      </w:r>
      <w:r w:rsidR="00B358B0">
        <w:rPr>
          <w:rFonts w:ascii="Times New Roman" w:hAnsi="Times New Roman"/>
          <w:bCs/>
        </w:rPr>
        <w:t xml:space="preserve">a </w:t>
      </w:r>
      <w:r w:rsidRPr="00B358B0">
        <w:rPr>
          <w:rFonts w:ascii="Times New Roman" w:hAnsi="Times New Roman"/>
          <w:bCs/>
        </w:rPr>
        <w:t xml:space="preserve">aj počas liečby </w:t>
      </w:r>
      <w:r w:rsidR="00B358B0">
        <w:rPr>
          <w:rFonts w:ascii="Times New Roman" w:hAnsi="Times New Roman"/>
          <w:bCs/>
        </w:rPr>
        <w:t xml:space="preserve">liekom </w:t>
      </w:r>
      <w:r w:rsidRPr="00B358B0">
        <w:rPr>
          <w:rFonts w:ascii="Times New Roman" w:hAnsi="Times New Roman"/>
          <w:bCs/>
        </w:rPr>
        <w:t>Bendamustin</w:t>
      </w:r>
      <w:r w:rsidR="00B358B0">
        <w:rPr>
          <w:rFonts w:ascii="Times New Roman" w:hAnsi="Times New Roman"/>
          <w:bCs/>
        </w:rPr>
        <w:t>e</w:t>
      </w:r>
      <w:r w:rsidRPr="00B358B0">
        <w:rPr>
          <w:rFonts w:ascii="Times New Roman" w:hAnsi="Times New Roman"/>
          <w:bCs/>
        </w:rPr>
        <w:t xml:space="preserve"> Kabi.</w:t>
      </w:r>
    </w:p>
    <w:p w14:paraId="1ACBF584" w14:textId="409F043B" w:rsidR="00684A8F" w:rsidRPr="003B5ED4" w:rsidRDefault="00684A8F">
      <w:pPr>
        <w:widowControl w:val="0"/>
        <w:autoSpaceDE w:val="0"/>
        <w:autoSpaceDN w:val="0"/>
        <w:adjustRightInd w:val="0"/>
        <w:spacing w:after="0" w:line="240" w:lineRule="auto"/>
        <w:rPr>
          <w:rFonts w:ascii="Times New Roman" w:hAnsi="Times New Roman"/>
          <w:bCs/>
        </w:rPr>
      </w:pPr>
    </w:p>
    <w:p w14:paraId="1D967E61" w14:textId="3C737D1D" w:rsidR="00684A8F" w:rsidRPr="00B76060" w:rsidRDefault="00684A8F" w:rsidP="0050582C">
      <w:pPr>
        <w:widowControl w:val="0"/>
        <w:autoSpaceDE w:val="0"/>
        <w:autoSpaceDN w:val="0"/>
        <w:adjustRightInd w:val="0"/>
        <w:spacing w:after="0" w:line="240" w:lineRule="auto"/>
        <w:rPr>
          <w:rFonts w:ascii="Times New Roman" w:hAnsi="Times New Roman"/>
          <w:bCs/>
        </w:rPr>
      </w:pPr>
      <w:r w:rsidRPr="003B5ED4">
        <w:rPr>
          <w:rFonts w:ascii="Times New Roman" w:hAnsi="Times New Roman"/>
          <w:bCs/>
        </w:rPr>
        <w:t>Mužom, ktorí sa liečia</w:t>
      </w:r>
      <w:r w:rsidR="007F0325">
        <w:rPr>
          <w:rFonts w:ascii="Times New Roman" w:hAnsi="Times New Roman"/>
          <w:bCs/>
        </w:rPr>
        <w:t xml:space="preserve"> liekom</w:t>
      </w:r>
      <w:r w:rsidRPr="007F0325">
        <w:rPr>
          <w:rFonts w:ascii="Times New Roman" w:hAnsi="Times New Roman"/>
          <w:bCs/>
        </w:rPr>
        <w:t xml:space="preserve"> Bendamustin</w:t>
      </w:r>
      <w:r w:rsidR="007F0325">
        <w:rPr>
          <w:rFonts w:ascii="Times New Roman" w:hAnsi="Times New Roman"/>
          <w:bCs/>
        </w:rPr>
        <w:t>e</w:t>
      </w:r>
      <w:r w:rsidRPr="007F0325">
        <w:rPr>
          <w:rFonts w:ascii="Times New Roman" w:hAnsi="Times New Roman"/>
          <w:bCs/>
        </w:rPr>
        <w:t xml:space="preserve"> Kabi, sa neodporúča splodiť dieťa počas liečby a do 6 mesiacov po jej ukončení. Li</w:t>
      </w:r>
      <w:r w:rsidRPr="00B76060">
        <w:rPr>
          <w:rFonts w:ascii="Times New Roman" w:hAnsi="Times New Roman"/>
          <w:bCs/>
        </w:rPr>
        <w:t xml:space="preserve">ečba </w:t>
      </w:r>
      <w:r w:rsidR="00B76060">
        <w:rPr>
          <w:rFonts w:ascii="Times New Roman" w:hAnsi="Times New Roman"/>
          <w:bCs/>
        </w:rPr>
        <w:t xml:space="preserve">liekom </w:t>
      </w:r>
      <w:r w:rsidRPr="00B76060">
        <w:rPr>
          <w:rFonts w:ascii="Times New Roman" w:hAnsi="Times New Roman"/>
          <w:bCs/>
        </w:rPr>
        <w:t>Bendamustin</w:t>
      </w:r>
      <w:r w:rsidR="00B76060">
        <w:rPr>
          <w:rFonts w:ascii="Times New Roman" w:hAnsi="Times New Roman"/>
          <w:bCs/>
        </w:rPr>
        <w:t>e</w:t>
      </w:r>
      <w:r w:rsidRPr="00B76060">
        <w:rPr>
          <w:rFonts w:ascii="Times New Roman" w:hAnsi="Times New Roman"/>
          <w:bCs/>
        </w:rPr>
        <w:t xml:space="preserve"> Kabi môže spôsobiť ireverzibilnú neplodnosť, preto sa odporúča pred začatím liečby poradiť sa o možnosti konzervácie spermií.</w:t>
      </w:r>
    </w:p>
    <w:p w14:paraId="317B1646" w14:textId="77777777" w:rsidR="00684A8F" w:rsidRPr="003B5ED4" w:rsidRDefault="00684A8F">
      <w:pPr>
        <w:widowControl w:val="0"/>
        <w:autoSpaceDE w:val="0"/>
        <w:autoSpaceDN w:val="0"/>
        <w:adjustRightInd w:val="0"/>
        <w:spacing w:after="0" w:line="240" w:lineRule="auto"/>
        <w:rPr>
          <w:rFonts w:ascii="Times New Roman" w:hAnsi="Times New Roman"/>
          <w:b/>
          <w:bCs/>
        </w:rPr>
      </w:pPr>
    </w:p>
    <w:p w14:paraId="5A123666" w14:textId="77777777" w:rsidR="00684A8F" w:rsidRPr="003B5ED4" w:rsidRDefault="00684A8F">
      <w:pPr>
        <w:widowControl w:val="0"/>
        <w:autoSpaceDE w:val="0"/>
        <w:autoSpaceDN w:val="0"/>
        <w:adjustRightInd w:val="0"/>
        <w:spacing w:after="0" w:line="240" w:lineRule="auto"/>
        <w:rPr>
          <w:rFonts w:ascii="Times New Roman" w:hAnsi="Times New Roman"/>
          <w:bCs/>
          <w:u w:val="single"/>
        </w:rPr>
      </w:pPr>
      <w:r w:rsidRPr="003B5ED4">
        <w:rPr>
          <w:rFonts w:ascii="Times New Roman" w:hAnsi="Times New Roman"/>
          <w:bCs/>
          <w:u w:val="single"/>
        </w:rPr>
        <w:t>Gravidita</w:t>
      </w:r>
    </w:p>
    <w:p w14:paraId="07BDBF06" w14:textId="77777777" w:rsidR="00684A8F" w:rsidRPr="00DC4185" w:rsidRDefault="00684A8F">
      <w:pPr>
        <w:widowControl w:val="0"/>
        <w:autoSpaceDE w:val="0"/>
        <w:autoSpaceDN w:val="0"/>
        <w:adjustRightInd w:val="0"/>
        <w:spacing w:after="0" w:line="240" w:lineRule="auto"/>
        <w:rPr>
          <w:rFonts w:ascii="Times New Roman" w:hAnsi="Times New Roman"/>
          <w:bCs/>
        </w:rPr>
      </w:pPr>
      <w:r w:rsidRPr="003B5ED4">
        <w:rPr>
          <w:rFonts w:ascii="Times New Roman" w:hAnsi="Times New Roman"/>
          <w:bCs/>
        </w:rPr>
        <w:t>Nie sú k dispozícii dostatočné údaje o použití bendamustíniumchloridu u gravidných žien. Pri</w:t>
      </w:r>
      <w:r w:rsidR="00B76060">
        <w:rPr>
          <w:rFonts w:ascii="Times New Roman" w:hAnsi="Times New Roman"/>
          <w:bCs/>
        </w:rPr>
        <w:t> </w:t>
      </w:r>
      <w:r w:rsidRPr="00B76060">
        <w:rPr>
          <w:rFonts w:ascii="Times New Roman" w:hAnsi="Times New Roman"/>
          <w:bCs/>
        </w:rPr>
        <w:t>predkl</w:t>
      </w:r>
      <w:r w:rsidRPr="0006375B">
        <w:rPr>
          <w:rFonts w:ascii="Times New Roman" w:hAnsi="Times New Roman"/>
          <w:bCs/>
        </w:rPr>
        <w:t>inických štúdiách bol bendamustíniumchlorid letálny</w:t>
      </w:r>
      <w:r w:rsidR="00DC4185">
        <w:rPr>
          <w:rFonts w:ascii="Times New Roman" w:hAnsi="Times New Roman"/>
          <w:bCs/>
        </w:rPr>
        <w:t xml:space="preserve"> pre ebryo/plod</w:t>
      </w:r>
      <w:r w:rsidRPr="0006375B">
        <w:rPr>
          <w:rFonts w:ascii="Times New Roman" w:hAnsi="Times New Roman"/>
          <w:bCs/>
        </w:rPr>
        <w:t>, teratogénny a genotoxický (pozri časť 5.3). Bendamustine Kabi sa počas gravidity nesmie podávať, iba ak v</w:t>
      </w:r>
      <w:r w:rsidR="007F1D8D">
        <w:rPr>
          <w:rFonts w:ascii="Times New Roman" w:hAnsi="Times New Roman"/>
          <w:bCs/>
        </w:rPr>
        <w:t> </w:t>
      </w:r>
      <w:r w:rsidRPr="0006375B">
        <w:rPr>
          <w:rFonts w:ascii="Times New Roman" w:hAnsi="Times New Roman"/>
          <w:bCs/>
        </w:rPr>
        <w:t>absolútne nevyhnutných prípadoch. Matka musí byť informovaná o riziku pre plod.</w:t>
      </w:r>
      <w:r w:rsidRPr="00DC4185">
        <w:rPr>
          <w:rFonts w:ascii="Times New Roman" w:hAnsi="Times New Roman"/>
          <w:bCs/>
        </w:rPr>
        <w:t xml:space="preserve"> Ak je liečba </w:t>
      </w:r>
      <w:r w:rsidR="00457683">
        <w:rPr>
          <w:rFonts w:ascii="Times New Roman" w:hAnsi="Times New Roman"/>
          <w:bCs/>
        </w:rPr>
        <w:t xml:space="preserve">liekom </w:t>
      </w:r>
      <w:r w:rsidRPr="00DC4185">
        <w:rPr>
          <w:rFonts w:ascii="Times New Roman" w:hAnsi="Times New Roman"/>
          <w:bCs/>
        </w:rPr>
        <w:t>Bendamustin</w:t>
      </w:r>
      <w:r w:rsidR="00457683">
        <w:rPr>
          <w:rFonts w:ascii="Times New Roman" w:hAnsi="Times New Roman"/>
          <w:bCs/>
        </w:rPr>
        <w:t>e</w:t>
      </w:r>
      <w:r w:rsidRPr="00DC4185">
        <w:rPr>
          <w:rFonts w:ascii="Times New Roman" w:hAnsi="Times New Roman"/>
          <w:bCs/>
        </w:rPr>
        <w:t xml:space="preserve"> Kabi počas gravidity absolútne nevyhnutná, alebo ak dôjde k otehotneniu v</w:t>
      </w:r>
      <w:r w:rsidR="00457683">
        <w:rPr>
          <w:rFonts w:ascii="Times New Roman" w:hAnsi="Times New Roman"/>
          <w:bCs/>
        </w:rPr>
        <w:t> </w:t>
      </w:r>
      <w:r w:rsidRPr="00DC4185">
        <w:rPr>
          <w:rFonts w:ascii="Times New Roman" w:hAnsi="Times New Roman"/>
          <w:bCs/>
        </w:rPr>
        <w:t>priebehu liečby, pacientka musí byť informovaná o rizikách pre nenarodené dieťa a musí byť starostlivo sledovaná. Je potrebné zvážiť prípadné genetické poradenstvo.</w:t>
      </w:r>
    </w:p>
    <w:p w14:paraId="15560619" w14:textId="77777777" w:rsidR="00684A8F" w:rsidRPr="003B5ED4" w:rsidRDefault="00684A8F">
      <w:pPr>
        <w:widowControl w:val="0"/>
        <w:autoSpaceDE w:val="0"/>
        <w:autoSpaceDN w:val="0"/>
        <w:adjustRightInd w:val="0"/>
        <w:spacing w:after="0" w:line="240" w:lineRule="auto"/>
        <w:rPr>
          <w:rFonts w:ascii="Times New Roman" w:hAnsi="Times New Roman"/>
          <w:bCs/>
        </w:rPr>
      </w:pPr>
    </w:p>
    <w:p w14:paraId="2034BA69" w14:textId="77777777" w:rsidR="00684A8F" w:rsidRPr="003B5ED4" w:rsidRDefault="00684A8F">
      <w:pPr>
        <w:widowControl w:val="0"/>
        <w:autoSpaceDE w:val="0"/>
        <w:autoSpaceDN w:val="0"/>
        <w:adjustRightInd w:val="0"/>
        <w:spacing w:after="0" w:line="240" w:lineRule="auto"/>
        <w:rPr>
          <w:rFonts w:ascii="Times New Roman" w:hAnsi="Times New Roman"/>
          <w:bCs/>
          <w:u w:val="single"/>
        </w:rPr>
      </w:pPr>
      <w:r w:rsidRPr="003B5ED4">
        <w:rPr>
          <w:rFonts w:ascii="Times New Roman" w:hAnsi="Times New Roman"/>
          <w:bCs/>
          <w:u w:val="single"/>
        </w:rPr>
        <w:t>Dojčenie</w:t>
      </w:r>
    </w:p>
    <w:p w14:paraId="67DB4A5E" w14:textId="25A6EFBF" w:rsidR="007F6E77" w:rsidRPr="00457683" w:rsidRDefault="00684A8F" w:rsidP="007F6E77">
      <w:pPr>
        <w:widowControl w:val="0"/>
        <w:autoSpaceDE w:val="0"/>
        <w:autoSpaceDN w:val="0"/>
        <w:adjustRightInd w:val="0"/>
        <w:spacing w:after="0" w:line="240" w:lineRule="auto"/>
        <w:rPr>
          <w:rFonts w:ascii="Times New Roman" w:hAnsi="Times New Roman"/>
          <w:bCs/>
        </w:rPr>
      </w:pPr>
      <w:r w:rsidRPr="003B5ED4">
        <w:rPr>
          <w:rFonts w:ascii="Times New Roman" w:hAnsi="Times New Roman"/>
          <w:bCs/>
        </w:rPr>
        <w:t xml:space="preserve">Nie je známe, či bendamustín prechádza do materského mlieka, preto je </w:t>
      </w:r>
      <w:r w:rsidR="00B0291A">
        <w:rPr>
          <w:rFonts w:ascii="Times New Roman" w:hAnsi="Times New Roman"/>
          <w:bCs/>
        </w:rPr>
        <w:t>liek</w:t>
      </w:r>
      <w:r w:rsidR="00457683">
        <w:rPr>
          <w:rFonts w:ascii="Times New Roman" w:hAnsi="Times New Roman"/>
          <w:bCs/>
        </w:rPr>
        <w:t xml:space="preserve"> </w:t>
      </w:r>
      <w:r w:rsidRPr="00457683">
        <w:rPr>
          <w:rFonts w:ascii="Times New Roman" w:hAnsi="Times New Roman"/>
          <w:bCs/>
        </w:rPr>
        <w:t xml:space="preserve">Bendamustine Kabi počas dojčenia kontraindikovaný (pozri časť 4.3). Dojčenie sa má počas liečby </w:t>
      </w:r>
      <w:r w:rsidR="00457683">
        <w:rPr>
          <w:rFonts w:ascii="Times New Roman" w:hAnsi="Times New Roman"/>
          <w:bCs/>
        </w:rPr>
        <w:t xml:space="preserve">liekom </w:t>
      </w:r>
      <w:r w:rsidRPr="00457683">
        <w:rPr>
          <w:rFonts w:ascii="Times New Roman" w:hAnsi="Times New Roman"/>
          <w:bCs/>
        </w:rPr>
        <w:t>Bendamustin</w:t>
      </w:r>
      <w:r w:rsidR="00457683">
        <w:rPr>
          <w:rFonts w:ascii="Times New Roman" w:hAnsi="Times New Roman"/>
          <w:bCs/>
        </w:rPr>
        <w:t>e</w:t>
      </w:r>
      <w:r w:rsidRPr="00457683">
        <w:rPr>
          <w:rFonts w:ascii="Times New Roman" w:hAnsi="Times New Roman"/>
          <w:bCs/>
        </w:rPr>
        <w:t xml:space="preserve"> Kabi prerušiť.</w:t>
      </w:r>
    </w:p>
    <w:p w14:paraId="2C45E46E" w14:textId="77777777" w:rsidR="00684A8F" w:rsidRPr="003B5ED4" w:rsidRDefault="00684A8F">
      <w:pPr>
        <w:widowControl w:val="0"/>
        <w:autoSpaceDE w:val="0"/>
        <w:autoSpaceDN w:val="0"/>
        <w:adjustRightInd w:val="0"/>
        <w:spacing w:after="0" w:line="240" w:lineRule="auto"/>
        <w:rPr>
          <w:rFonts w:ascii="Times New Roman" w:hAnsi="Times New Roman"/>
          <w:bCs/>
        </w:rPr>
      </w:pPr>
    </w:p>
    <w:p w14:paraId="10592C5A" w14:textId="77777777" w:rsidR="00684A8F" w:rsidRPr="003B5ED4" w:rsidRDefault="00684A8F">
      <w:pPr>
        <w:widowControl w:val="0"/>
        <w:tabs>
          <w:tab w:val="left" w:pos="567"/>
        </w:tabs>
        <w:autoSpaceDE w:val="0"/>
        <w:autoSpaceDN w:val="0"/>
        <w:adjustRightInd w:val="0"/>
        <w:spacing w:after="0" w:line="240" w:lineRule="auto"/>
        <w:rPr>
          <w:rFonts w:ascii="Times New Roman" w:hAnsi="Times New Roman"/>
          <w:b/>
          <w:bCs/>
        </w:rPr>
      </w:pPr>
      <w:r w:rsidRPr="003B5ED4">
        <w:rPr>
          <w:rFonts w:ascii="Times New Roman" w:hAnsi="Times New Roman"/>
          <w:b/>
          <w:bCs/>
        </w:rPr>
        <w:t>4.7</w:t>
      </w:r>
      <w:r w:rsidRPr="003B5ED4">
        <w:rPr>
          <w:rFonts w:ascii="Times New Roman" w:hAnsi="Times New Roman"/>
          <w:b/>
          <w:bCs/>
        </w:rPr>
        <w:tab/>
        <w:t xml:space="preserve">Ovplyvnenie schopnosti viesť vozidlá </w:t>
      </w:r>
      <w:proofErr w:type="gramStart"/>
      <w:r w:rsidRPr="003B5ED4">
        <w:rPr>
          <w:rFonts w:ascii="Times New Roman" w:hAnsi="Times New Roman"/>
          <w:b/>
          <w:bCs/>
        </w:rPr>
        <w:t>a</w:t>
      </w:r>
      <w:proofErr w:type="gramEnd"/>
      <w:r w:rsidRPr="003B5ED4">
        <w:rPr>
          <w:rFonts w:ascii="Times New Roman" w:hAnsi="Times New Roman"/>
          <w:b/>
          <w:bCs/>
        </w:rPr>
        <w:t xml:space="preserve"> obsluhovať stroje</w:t>
      </w:r>
    </w:p>
    <w:p w14:paraId="48072ABF" w14:textId="77777777" w:rsidR="00684A8F" w:rsidRPr="003B5ED4" w:rsidRDefault="00684A8F">
      <w:pPr>
        <w:widowControl w:val="0"/>
        <w:autoSpaceDE w:val="0"/>
        <w:autoSpaceDN w:val="0"/>
        <w:adjustRightInd w:val="0"/>
        <w:spacing w:after="0" w:line="240" w:lineRule="auto"/>
        <w:rPr>
          <w:rFonts w:ascii="Times New Roman" w:hAnsi="Times New Roman"/>
          <w:b/>
          <w:bCs/>
        </w:rPr>
      </w:pPr>
    </w:p>
    <w:p w14:paraId="55FFC81D" w14:textId="2B9CFCF7" w:rsidR="00684A8F" w:rsidRPr="00FD668E" w:rsidRDefault="007F6E77">
      <w:pPr>
        <w:widowControl w:val="0"/>
        <w:autoSpaceDE w:val="0"/>
        <w:autoSpaceDN w:val="0"/>
        <w:adjustRightInd w:val="0"/>
        <w:spacing w:after="0" w:line="240" w:lineRule="auto"/>
        <w:rPr>
          <w:rFonts w:ascii="Times New Roman" w:hAnsi="Times New Roman"/>
          <w:bCs/>
        </w:rPr>
      </w:pPr>
      <w:r w:rsidRPr="007F6E77">
        <w:rPr>
          <w:rFonts w:ascii="Times New Roman" w:hAnsi="Times New Roman"/>
          <w:bCs/>
        </w:rPr>
        <w:t xml:space="preserve">Bendamustíniumchlorid má značný vplyv </w:t>
      </w:r>
      <w:proofErr w:type="gramStart"/>
      <w:r w:rsidRPr="007F6E77">
        <w:rPr>
          <w:rFonts w:ascii="Times New Roman" w:hAnsi="Times New Roman"/>
          <w:bCs/>
        </w:rPr>
        <w:t>na</w:t>
      </w:r>
      <w:proofErr w:type="gramEnd"/>
      <w:r w:rsidRPr="007F6E77">
        <w:rPr>
          <w:rFonts w:ascii="Times New Roman" w:hAnsi="Times New Roman"/>
          <w:bCs/>
        </w:rPr>
        <w:t xml:space="preserve"> schopnosť viesť vozidlá a obsluhovať stroje.</w:t>
      </w:r>
      <w:r w:rsidR="00684A8F" w:rsidRPr="003B5ED4">
        <w:rPr>
          <w:rFonts w:ascii="Times New Roman" w:hAnsi="Times New Roman"/>
          <w:bCs/>
        </w:rPr>
        <w:t xml:space="preserve"> Počas liečby bendamustíniumchloridu však bola hlásená ataxia, periférna neuropatia </w:t>
      </w:r>
      <w:proofErr w:type="gramStart"/>
      <w:r w:rsidR="00684A8F" w:rsidRPr="003B5ED4">
        <w:rPr>
          <w:rFonts w:ascii="Times New Roman" w:hAnsi="Times New Roman"/>
          <w:bCs/>
        </w:rPr>
        <w:t>a</w:t>
      </w:r>
      <w:proofErr w:type="gramEnd"/>
      <w:r w:rsidR="00684A8F" w:rsidRPr="003B5ED4">
        <w:rPr>
          <w:rFonts w:ascii="Times New Roman" w:hAnsi="Times New Roman"/>
          <w:bCs/>
        </w:rPr>
        <w:t xml:space="preserve"> ospanlivosť (pozri časť 4.8). Pacientov je potrebné poučiť, že </w:t>
      </w:r>
      <w:proofErr w:type="gramStart"/>
      <w:r w:rsidR="00684A8F" w:rsidRPr="003B5ED4">
        <w:rPr>
          <w:rFonts w:ascii="Times New Roman" w:hAnsi="Times New Roman"/>
          <w:bCs/>
        </w:rPr>
        <w:t>ak</w:t>
      </w:r>
      <w:proofErr w:type="gramEnd"/>
      <w:r w:rsidR="00684A8F" w:rsidRPr="003B5ED4">
        <w:rPr>
          <w:rFonts w:ascii="Times New Roman" w:hAnsi="Times New Roman"/>
          <w:bCs/>
        </w:rPr>
        <w:t xml:space="preserve"> pocítia tieto príznaky, musia sa vyhýbať potenciálne nebezpečným </w:t>
      </w:r>
      <w:r w:rsidR="00FD668E">
        <w:rPr>
          <w:rFonts w:ascii="Times New Roman" w:hAnsi="Times New Roman"/>
          <w:bCs/>
        </w:rPr>
        <w:t>činnostiam</w:t>
      </w:r>
      <w:r w:rsidR="00684A8F" w:rsidRPr="00FD668E">
        <w:rPr>
          <w:rFonts w:ascii="Times New Roman" w:hAnsi="Times New Roman"/>
          <w:bCs/>
        </w:rPr>
        <w:t xml:space="preserve"> ako je vedenie vozidiel a obsluha strojov.</w:t>
      </w:r>
    </w:p>
    <w:p w14:paraId="50ACDB7F" w14:textId="77777777" w:rsidR="00684A8F" w:rsidRPr="003B5ED4" w:rsidRDefault="00684A8F">
      <w:pPr>
        <w:widowControl w:val="0"/>
        <w:autoSpaceDE w:val="0"/>
        <w:autoSpaceDN w:val="0"/>
        <w:adjustRightInd w:val="0"/>
        <w:spacing w:after="0" w:line="240" w:lineRule="auto"/>
        <w:rPr>
          <w:rFonts w:ascii="Times New Roman" w:hAnsi="Times New Roman"/>
          <w:bCs/>
        </w:rPr>
      </w:pPr>
    </w:p>
    <w:p w14:paraId="126D849C" w14:textId="77777777" w:rsidR="00684A8F" w:rsidRPr="003B5ED4" w:rsidRDefault="00684A8F">
      <w:pPr>
        <w:widowControl w:val="0"/>
        <w:autoSpaceDE w:val="0"/>
        <w:autoSpaceDN w:val="0"/>
        <w:adjustRightInd w:val="0"/>
        <w:spacing w:after="0" w:line="240" w:lineRule="auto"/>
        <w:rPr>
          <w:rFonts w:ascii="Times New Roman" w:hAnsi="Times New Roman"/>
          <w:b/>
          <w:bCs/>
        </w:rPr>
      </w:pPr>
      <w:r w:rsidRPr="003B5ED4">
        <w:rPr>
          <w:rFonts w:ascii="Times New Roman" w:hAnsi="Times New Roman"/>
          <w:b/>
          <w:bCs/>
        </w:rPr>
        <w:t xml:space="preserve">4.8 </w:t>
      </w:r>
      <w:r w:rsidRPr="003B5ED4">
        <w:rPr>
          <w:rFonts w:ascii="Times New Roman" w:hAnsi="Times New Roman"/>
          <w:b/>
          <w:bCs/>
        </w:rPr>
        <w:tab/>
        <w:t>Nežiaduce účinky</w:t>
      </w:r>
    </w:p>
    <w:p w14:paraId="0E85169D" w14:textId="77777777" w:rsidR="00684A8F" w:rsidRPr="003B5ED4" w:rsidRDefault="00684A8F">
      <w:pPr>
        <w:widowControl w:val="0"/>
        <w:autoSpaceDE w:val="0"/>
        <w:autoSpaceDN w:val="0"/>
        <w:adjustRightInd w:val="0"/>
        <w:spacing w:after="0" w:line="240" w:lineRule="auto"/>
        <w:rPr>
          <w:rFonts w:ascii="Times New Roman" w:hAnsi="Times New Roman"/>
          <w:b/>
          <w:bCs/>
        </w:rPr>
      </w:pPr>
    </w:p>
    <w:p w14:paraId="22C13285" w14:textId="77777777" w:rsidR="00684A8F" w:rsidRDefault="00684A8F">
      <w:pPr>
        <w:pStyle w:val="Default"/>
        <w:rPr>
          <w:sz w:val="22"/>
          <w:szCs w:val="22"/>
        </w:rPr>
      </w:pPr>
      <w:r w:rsidRPr="003B5ED4">
        <w:rPr>
          <w:sz w:val="22"/>
          <w:szCs w:val="22"/>
        </w:rPr>
        <w:t xml:space="preserve">Najčastejšie nežiaduce reakcie na </w:t>
      </w:r>
      <w:r w:rsidRPr="003B5ED4">
        <w:rPr>
          <w:color w:val="auto"/>
          <w:sz w:val="22"/>
          <w:szCs w:val="22"/>
        </w:rPr>
        <w:t>bendamustíniumchlorid</w:t>
      </w:r>
      <w:r w:rsidRPr="003B5ED4">
        <w:rPr>
          <w:sz w:val="22"/>
          <w:szCs w:val="22"/>
        </w:rPr>
        <w:t xml:space="preserve"> sú hematologické nežiaduce reakcie (leukopénia, trombopénia), dermatologické toxicity (alergické reakcie), konštitucionálne príznaky (horúčka), gastrointestinálne príznaky (nauzea, vracanie).</w:t>
      </w:r>
    </w:p>
    <w:p w14:paraId="68BBD59B" w14:textId="77777777" w:rsidR="00091235" w:rsidRPr="003B5ED4" w:rsidRDefault="00091235">
      <w:pPr>
        <w:pStyle w:val="Default"/>
        <w:rPr>
          <w:sz w:val="22"/>
          <w:szCs w:val="22"/>
        </w:rPr>
      </w:pPr>
    </w:p>
    <w:p w14:paraId="08FE8B7B" w14:textId="52DE9DB7" w:rsidR="00684A8F" w:rsidRDefault="00684A8F">
      <w:pPr>
        <w:pStyle w:val="Default"/>
        <w:rPr>
          <w:sz w:val="22"/>
          <w:szCs w:val="22"/>
        </w:rPr>
      </w:pPr>
      <w:r w:rsidRPr="003B5ED4">
        <w:rPr>
          <w:sz w:val="22"/>
          <w:szCs w:val="22"/>
        </w:rPr>
        <w:t>V nasledovnej tabuľke sú uvedené údaje získané s bendamustíniumchloridom.</w:t>
      </w:r>
    </w:p>
    <w:p w14:paraId="415557A4" w14:textId="77777777" w:rsidR="007F6E77" w:rsidRPr="003B5ED4" w:rsidRDefault="007F6E77">
      <w:pPr>
        <w:pStyle w:val="Default"/>
        <w:rPr>
          <w:sz w:val="22"/>
          <w:szCs w:val="22"/>
        </w:rPr>
      </w:pPr>
    </w:p>
    <w:p w14:paraId="28399DF0" w14:textId="7A3C38B1" w:rsidR="00684A8F" w:rsidRDefault="007F6E77">
      <w:pPr>
        <w:widowControl w:val="0"/>
        <w:autoSpaceDE w:val="0"/>
        <w:autoSpaceDN w:val="0"/>
        <w:adjustRightInd w:val="0"/>
        <w:spacing w:after="0" w:line="240" w:lineRule="auto"/>
        <w:rPr>
          <w:rFonts w:ascii="Times New Roman" w:hAnsi="Times New Roman"/>
          <w:bCs/>
        </w:rPr>
      </w:pPr>
      <w:r w:rsidRPr="007F6E77">
        <w:rPr>
          <w:rFonts w:ascii="Times New Roman" w:hAnsi="Times New Roman"/>
          <w:bCs/>
        </w:rPr>
        <w:t>Tabuľka 1: nežiaduce účinky u pacientov liečených bendamustíniumchloridom.</w:t>
      </w:r>
    </w:p>
    <w:p w14:paraId="7357E685" w14:textId="77777777" w:rsidR="007F6E77" w:rsidRPr="003B5ED4" w:rsidRDefault="007F6E77">
      <w:pPr>
        <w:widowControl w:val="0"/>
        <w:autoSpaceDE w:val="0"/>
        <w:autoSpaceDN w:val="0"/>
        <w:adjustRightInd w:val="0"/>
        <w:spacing w:after="0" w:line="240" w:lineRule="auto"/>
        <w:rPr>
          <w:rFonts w:ascii="Times New Roman" w:hAnsi="Times New Roman"/>
          <w:bCs/>
        </w:rPr>
      </w:pPr>
    </w:p>
    <w:tbl>
      <w:tblPr>
        <w:tblW w:w="5354" w:type="pct"/>
        <w:tblInd w:w="-112"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547"/>
        <w:gridCol w:w="1685"/>
        <w:gridCol w:w="1264"/>
        <w:gridCol w:w="1408"/>
        <w:gridCol w:w="1264"/>
        <w:gridCol w:w="1127"/>
        <w:gridCol w:w="1400"/>
      </w:tblGrid>
      <w:tr w:rsidR="00D77F1C" w:rsidRPr="003B5ED4" w14:paraId="72E8D1A1" w14:textId="77777777" w:rsidTr="00D77F1C">
        <w:trPr>
          <w:trHeight w:val="1452"/>
        </w:trPr>
        <w:tc>
          <w:tcPr>
            <w:tcW w:w="798" w:type="pct"/>
            <w:tcBorders>
              <w:top w:val="outset" w:sz="6" w:space="0" w:color="auto"/>
              <w:left w:val="outset" w:sz="6" w:space="0" w:color="auto"/>
              <w:bottom w:val="outset" w:sz="6" w:space="0" w:color="auto"/>
              <w:right w:val="outset" w:sz="6" w:space="0" w:color="auto"/>
            </w:tcBorders>
            <w:shd w:val="clear" w:color="auto" w:fill="FFFFFF"/>
            <w:hideMark/>
          </w:tcPr>
          <w:p w14:paraId="456CD921" w14:textId="77777777" w:rsidR="00684A8F" w:rsidRPr="003B5ED4" w:rsidRDefault="00684A8F" w:rsidP="00F95656">
            <w:pPr>
              <w:spacing w:after="0" w:line="240" w:lineRule="auto"/>
              <w:rPr>
                <w:rFonts w:ascii="Times New Roman" w:hAnsi="Times New Roman"/>
                <w:color w:val="000000"/>
              </w:rPr>
            </w:pPr>
            <w:r w:rsidRPr="003B5ED4">
              <w:rPr>
                <w:rFonts w:ascii="Times New Roman" w:hAnsi="Times New Roman"/>
                <w:b/>
                <w:bCs/>
                <w:color w:val="000000"/>
              </w:rPr>
              <w:lastRenderedPageBreak/>
              <w:t>Trieda orgánových systémov podľa databázy MedDRA</w:t>
            </w:r>
          </w:p>
        </w:tc>
        <w:tc>
          <w:tcPr>
            <w:tcW w:w="869" w:type="pct"/>
            <w:tcBorders>
              <w:top w:val="outset" w:sz="6" w:space="0" w:color="auto"/>
              <w:left w:val="outset" w:sz="6" w:space="0" w:color="auto"/>
              <w:bottom w:val="outset" w:sz="6" w:space="0" w:color="auto"/>
              <w:right w:val="outset" w:sz="6" w:space="0" w:color="auto"/>
            </w:tcBorders>
            <w:shd w:val="clear" w:color="auto" w:fill="FFFFFF"/>
            <w:hideMark/>
          </w:tcPr>
          <w:p w14:paraId="7BD291C3" w14:textId="77777777" w:rsidR="00684A8F" w:rsidRPr="003B5ED4" w:rsidRDefault="00684A8F" w:rsidP="00F95656">
            <w:pPr>
              <w:spacing w:after="0" w:line="240" w:lineRule="auto"/>
              <w:rPr>
                <w:rFonts w:ascii="Times New Roman" w:hAnsi="Times New Roman"/>
                <w:color w:val="000000"/>
              </w:rPr>
            </w:pPr>
            <w:r w:rsidRPr="003B5ED4">
              <w:rPr>
                <w:rFonts w:ascii="Times New Roman" w:hAnsi="Times New Roman"/>
                <w:b/>
                <w:bCs/>
                <w:color w:val="000000"/>
              </w:rPr>
              <w:t>Veľmi časté ≥</w:t>
            </w:r>
            <w:r w:rsidR="009B77C2">
              <w:rPr>
                <w:rFonts w:ascii="Times New Roman" w:hAnsi="Times New Roman"/>
                <w:b/>
                <w:bCs/>
                <w:color w:val="000000"/>
              </w:rPr>
              <w:t> </w:t>
            </w:r>
            <w:r w:rsidRPr="003B5ED4">
              <w:rPr>
                <w:rFonts w:ascii="Times New Roman" w:hAnsi="Times New Roman"/>
                <w:b/>
                <w:bCs/>
                <w:color w:val="000000"/>
              </w:rPr>
              <w:t>1/10</w:t>
            </w:r>
          </w:p>
        </w:tc>
        <w:tc>
          <w:tcPr>
            <w:tcW w:w="652" w:type="pct"/>
            <w:tcBorders>
              <w:top w:val="outset" w:sz="6" w:space="0" w:color="auto"/>
              <w:left w:val="outset" w:sz="6" w:space="0" w:color="auto"/>
              <w:bottom w:val="outset" w:sz="6" w:space="0" w:color="auto"/>
              <w:right w:val="outset" w:sz="6" w:space="0" w:color="auto"/>
            </w:tcBorders>
            <w:shd w:val="clear" w:color="auto" w:fill="FFFFFF"/>
            <w:hideMark/>
          </w:tcPr>
          <w:p w14:paraId="582EF0AE" w14:textId="77777777" w:rsidR="00684A8F" w:rsidRPr="003B5ED4" w:rsidRDefault="00684A8F" w:rsidP="00F95656">
            <w:pPr>
              <w:spacing w:after="0" w:line="240" w:lineRule="auto"/>
              <w:rPr>
                <w:rFonts w:ascii="Times New Roman" w:hAnsi="Times New Roman"/>
                <w:color w:val="000000"/>
              </w:rPr>
            </w:pPr>
            <w:r w:rsidRPr="003B5ED4">
              <w:rPr>
                <w:rFonts w:ascii="Times New Roman" w:hAnsi="Times New Roman"/>
                <w:b/>
                <w:bCs/>
                <w:color w:val="000000"/>
              </w:rPr>
              <w:t>Časté</w:t>
            </w:r>
          </w:p>
          <w:p w14:paraId="1BD43362" w14:textId="77777777" w:rsidR="00684A8F" w:rsidRPr="003B5ED4" w:rsidRDefault="00684A8F" w:rsidP="00F95656">
            <w:pPr>
              <w:spacing w:after="0" w:line="240" w:lineRule="auto"/>
              <w:rPr>
                <w:rFonts w:ascii="Times New Roman" w:hAnsi="Times New Roman"/>
                <w:color w:val="000000"/>
              </w:rPr>
            </w:pPr>
            <w:r w:rsidRPr="003B5ED4">
              <w:rPr>
                <w:rFonts w:ascii="Times New Roman" w:hAnsi="Times New Roman"/>
                <w:b/>
                <w:bCs/>
                <w:color w:val="000000"/>
              </w:rPr>
              <w:t>≥</w:t>
            </w:r>
            <w:r w:rsidR="009B77C2">
              <w:rPr>
                <w:rFonts w:ascii="Times New Roman" w:hAnsi="Times New Roman"/>
                <w:b/>
                <w:bCs/>
                <w:color w:val="000000"/>
              </w:rPr>
              <w:t> </w:t>
            </w:r>
            <w:r w:rsidRPr="003B5ED4">
              <w:rPr>
                <w:rFonts w:ascii="Times New Roman" w:hAnsi="Times New Roman"/>
                <w:b/>
                <w:bCs/>
                <w:color w:val="000000"/>
              </w:rPr>
              <w:t>1/100 až &lt;</w:t>
            </w:r>
            <w:r w:rsidR="009B77C2">
              <w:rPr>
                <w:rFonts w:ascii="Times New Roman" w:hAnsi="Times New Roman"/>
                <w:b/>
                <w:bCs/>
                <w:color w:val="000000"/>
              </w:rPr>
              <w:t> </w:t>
            </w:r>
            <w:r w:rsidRPr="003B5ED4">
              <w:rPr>
                <w:rFonts w:ascii="Times New Roman" w:hAnsi="Times New Roman"/>
                <w:b/>
                <w:bCs/>
                <w:color w:val="000000"/>
              </w:rPr>
              <w:t>1/10</w:t>
            </w:r>
          </w:p>
        </w:tc>
        <w:tc>
          <w:tcPr>
            <w:tcW w:w="726" w:type="pct"/>
            <w:tcBorders>
              <w:top w:val="outset" w:sz="6" w:space="0" w:color="auto"/>
              <w:left w:val="outset" w:sz="6" w:space="0" w:color="auto"/>
              <w:bottom w:val="outset" w:sz="6" w:space="0" w:color="auto"/>
              <w:right w:val="outset" w:sz="6" w:space="0" w:color="auto"/>
            </w:tcBorders>
            <w:shd w:val="clear" w:color="auto" w:fill="FFFFFF"/>
            <w:hideMark/>
          </w:tcPr>
          <w:p w14:paraId="36C3E6DB" w14:textId="77777777" w:rsidR="00684A8F" w:rsidRPr="003B5ED4" w:rsidRDefault="00684A8F" w:rsidP="00F95656">
            <w:pPr>
              <w:spacing w:after="0" w:line="240" w:lineRule="auto"/>
              <w:rPr>
                <w:rFonts w:ascii="Times New Roman" w:hAnsi="Times New Roman"/>
                <w:color w:val="000000"/>
              </w:rPr>
            </w:pPr>
            <w:r w:rsidRPr="003B5ED4">
              <w:rPr>
                <w:rFonts w:ascii="Times New Roman" w:hAnsi="Times New Roman"/>
                <w:b/>
                <w:bCs/>
                <w:color w:val="000000"/>
              </w:rPr>
              <w:t>Menej časté</w:t>
            </w:r>
          </w:p>
          <w:p w14:paraId="147C3880" w14:textId="77777777" w:rsidR="00684A8F" w:rsidRPr="003B5ED4" w:rsidRDefault="00684A8F" w:rsidP="00F95656">
            <w:pPr>
              <w:spacing w:after="0" w:line="240" w:lineRule="auto"/>
              <w:rPr>
                <w:rFonts w:ascii="Times New Roman" w:hAnsi="Times New Roman"/>
                <w:color w:val="000000"/>
              </w:rPr>
            </w:pPr>
            <w:r w:rsidRPr="003B5ED4">
              <w:rPr>
                <w:rFonts w:ascii="Times New Roman" w:hAnsi="Times New Roman"/>
                <w:b/>
                <w:bCs/>
                <w:color w:val="000000"/>
              </w:rPr>
              <w:t>≥</w:t>
            </w:r>
            <w:r w:rsidR="009B77C2">
              <w:rPr>
                <w:rFonts w:ascii="Times New Roman" w:hAnsi="Times New Roman"/>
                <w:b/>
                <w:bCs/>
                <w:color w:val="000000"/>
              </w:rPr>
              <w:t xml:space="preserve"> </w:t>
            </w:r>
            <w:r w:rsidRPr="003B5ED4">
              <w:rPr>
                <w:rFonts w:ascii="Times New Roman" w:hAnsi="Times New Roman"/>
                <w:b/>
                <w:bCs/>
                <w:color w:val="000000"/>
              </w:rPr>
              <w:t>1/1</w:t>
            </w:r>
            <w:r w:rsidR="009B77C2">
              <w:rPr>
                <w:rFonts w:ascii="Times New Roman" w:hAnsi="Times New Roman"/>
                <w:b/>
                <w:bCs/>
                <w:color w:val="000000"/>
              </w:rPr>
              <w:t> </w:t>
            </w:r>
            <w:r w:rsidRPr="003B5ED4">
              <w:rPr>
                <w:rFonts w:ascii="Times New Roman" w:hAnsi="Times New Roman"/>
                <w:b/>
                <w:bCs/>
                <w:color w:val="000000"/>
              </w:rPr>
              <w:t>000 až &lt;</w:t>
            </w:r>
            <w:r w:rsidR="009B77C2">
              <w:rPr>
                <w:rFonts w:ascii="Times New Roman" w:hAnsi="Times New Roman"/>
                <w:b/>
                <w:bCs/>
                <w:color w:val="000000"/>
              </w:rPr>
              <w:t xml:space="preserve"> </w:t>
            </w:r>
            <w:r w:rsidRPr="003B5ED4">
              <w:rPr>
                <w:rFonts w:ascii="Times New Roman" w:hAnsi="Times New Roman"/>
                <w:b/>
                <w:bCs/>
                <w:color w:val="000000"/>
              </w:rPr>
              <w:t>1/100</w:t>
            </w:r>
          </w:p>
        </w:tc>
        <w:tc>
          <w:tcPr>
            <w:tcW w:w="652" w:type="pct"/>
            <w:tcBorders>
              <w:top w:val="outset" w:sz="6" w:space="0" w:color="auto"/>
              <w:left w:val="outset" w:sz="6" w:space="0" w:color="auto"/>
              <w:bottom w:val="outset" w:sz="6" w:space="0" w:color="auto"/>
              <w:right w:val="outset" w:sz="6" w:space="0" w:color="auto"/>
            </w:tcBorders>
            <w:shd w:val="clear" w:color="auto" w:fill="FFFFFF"/>
            <w:hideMark/>
          </w:tcPr>
          <w:p w14:paraId="7C905146" w14:textId="77777777" w:rsidR="00684A8F" w:rsidRPr="003B5ED4" w:rsidRDefault="00684A8F" w:rsidP="00F95656">
            <w:pPr>
              <w:spacing w:after="0" w:line="240" w:lineRule="auto"/>
              <w:rPr>
                <w:rFonts w:ascii="Times New Roman" w:hAnsi="Times New Roman"/>
                <w:color w:val="000000"/>
              </w:rPr>
            </w:pPr>
            <w:r w:rsidRPr="003B5ED4">
              <w:rPr>
                <w:rFonts w:ascii="Times New Roman" w:hAnsi="Times New Roman"/>
                <w:b/>
                <w:bCs/>
                <w:color w:val="000000"/>
              </w:rPr>
              <w:t>Zriedkavé</w:t>
            </w:r>
          </w:p>
          <w:p w14:paraId="478AF546" w14:textId="77777777" w:rsidR="00684A8F" w:rsidRPr="003B5ED4" w:rsidRDefault="00684A8F" w:rsidP="00F95656">
            <w:pPr>
              <w:spacing w:after="0" w:line="240" w:lineRule="auto"/>
              <w:rPr>
                <w:rFonts w:ascii="Times New Roman" w:hAnsi="Times New Roman"/>
                <w:color w:val="000000"/>
              </w:rPr>
            </w:pPr>
            <w:r w:rsidRPr="003B5ED4">
              <w:rPr>
                <w:rFonts w:ascii="Times New Roman" w:hAnsi="Times New Roman"/>
                <w:b/>
                <w:bCs/>
                <w:color w:val="000000"/>
              </w:rPr>
              <w:t>≥</w:t>
            </w:r>
            <w:r w:rsidR="009B77C2">
              <w:rPr>
                <w:rFonts w:ascii="Times New Roman" w:hAnsi="Times New Roman"/>
                <w:b/>
                <w:bCs/>
                <w:color w:val="000000"/>
              </w:rPr>
              <w:t xml:space="preserve"> </w:t>
            </w:r>
            <w:r w:rsidRPr="003B5ED4">
              <w:rPr>
                <w:rFonts w:ascii="Times New Roman" w:hAnsi="Times New Roman"/>
                <w:b/>
                <w:bCs/>
                <w:color w:val="000000"/>
              </w:rPr>
              <w:t>1/10</w:t>
            </w:r>
            <w:r w:rsidR="009B77C2">
              <w:rPr>
                <w:rFonts w:ascii="Times New Roman" w:hAnsi="Times New Roman"/>
                <w:b/>
                <w:bCs/>
                <w:color w:val="000000"/>
              </w:rPr>
              <w:t> </w:t>
            </w:r>
            <w:r w:rsidRPr="003B5ED4">
              <w:rPr>
                <w:rFonts w:ascii="Times New Roman" w:hAnsi="Times New Roman"/>
                <w:b/>
                <w:bCs/>
                <w:color w:val="000000"/>
              </w:rPr>
              <w:t xml:space="preserve">000 </w:t>
            </w:r>
            <w:r w:rsidR="009B77C2">
              <w:rPr>
                <w:rFonts w:ascii="Times New Roman" w:hAnsi="Times New Roman"/>
                <w:b/>
                <w:bCs/>
                <w:color w:val="000000"/>
              </w:rPr>
              <w:t>až</w:t>
            </w:r>
            <w:r w:rsidRPr="003B5ED4">
              <w:rPr>
                <w:rFonts w:ascii="Times New Roman" w:hAnsi="Times New Roman"/>
                <w:b/>
                <w:bCs/>
                <w:color w:val="000000"/>
              </w:rPr>
              <w:t xml:space="preserve"> &lt;</w:t>
            </w:r>
            <w:r w:rsidR="009B77C2">
              <w:rPr>
                <w:rFonts w:ascii="Times New Roman" w:hAnsi="Times New Roman"/>
                <w:b/>
                <w:bCs/>
                <w:color w:val="000000"/>
              </w:rPr>
              <w:t xml:space="preserve"> </w:t>
            </w:r>
            <w:r w:rsidRPr="003B5ED4">
              <w:rPr>
                <w:rFonts w:ascii="Times New Roman" w:hAnsi="Times New Roman"/>
                <w:b/>
                <w:bCs/>
                <w:color w:val="000000"/>
              </w:rPr>
              <w:t>1/1</w:t>
            </w:r>
            <w:r w:rsidR="009B77C2">
              <w:rPr>
                <w:rFonts w:ascii="Times New Roman" w:hAnsi="Times New Roman"/>
                <w:b/>
                <w:bCs/>
                <w:color w:val="000000"/>
              </w:rPr>
              <w:t> </w:t>
            </w:r>
            <w:r w:rsidRPr="003B5ED4">
              <w:rPr>
                <w:rFonts w:ascii="Times New Roman" w:hAnsi="Times New Roman"/>
                <w:b/>
                <w:bCs/>
                <w:color w:val="000000"/>
              </w:rPr>
              <w:t>000</w:t>
            </w:r>
          </w:p>
        </w:tc>
        <w:tc>
          <w:tcPr>
            <w:tcW w:w="581" w:type="pct"/>
            <w:tcBorders>
              <w:top w:val="outset" w:sz="6" w:space="0" w:color="auto"/>
              <w:left w:val="outset" w:sz="6" w:space="0" w:color="auto"/>
              <w:bottom w:val="outset" w:sz="6" w:space="0" w:color="auto"/>
              <w:right w:val="outset" w:sz="6" w:space="0" w:color="auto"/>
            </w:tcBorders>
            <w:shd w:val="clear" w:color="auto" w:fill="FFFFFF"/>
            <w:hideMark/>
          </w:tcPr>
          <w:p w14:paraId="38F0483C" w14:textId="77777777" w:rsidR="00684A8F" w:rsidRPr="003B5ED4" w:rsidRDefault="00684A8F" w:rsidP="00F95656">
            <w:pPr>
              <w:spacing w:after="0" w:line="240" w:lineRule="auto"/>
              <w:rPr>
                <w:rFonts w:ascii="Times New Roman" w:hAnsi="Times New Roman"/>
                <w:color w:val="000000"/>
              </w:rPr>
            </w:pPr>
            <w:r w:rsidRPr="003B5ED4">
              <w:rPr>
                <w:rFonts w:ascii="Times New Roman" w:hAnsi="Times New Roman"/>
                <w:b/>
                <w:bCs/>
                <w:color w:val="000000"/>
              </w:rPr>
              <w:t>Veľmi zriedkavé</w:t>
            </w:r>
          </w:p>
          <w:p w14:paraId="750FFC69" w14:textId="77777777" w:rsidR="00684A8F" w:rsidRPr="003B5ED4" w:rsidRDefault="00684A8F" w:rsidP="00F95656">
            <w:pPr>
              <w:spacing w:after="0" w:line="240" w:lineRule="auto"/>
              <w:rPr>
                <w:rFonts w:ascii="Times New Roman" w:hAnsi="Times New Roman"/>
                <w:color w:val="000000"/>
              </w:rPr>
            </w:pPr>
            <w:r w:rsidRPr="003B5ED4">
              <w:rPr>
                <w:rFonts w:ascii="Times New Roman" w:hAnsi="Times New Roman"/>
                <w:b/>
                <w:bCs/>
                <w:color w:val="000000"/>
              </w:rPr>
              <w:t>&lt;</w:t>
            </w:r>
            <w:r w:rsidR="009B77C2">
              <w:rPr>
                <w:rFonts w:ascii="Times New Roman" w:hAnsi="Times New Roman"/>
                <w:b/>
                <w:bCs/>
                <w:color w:val="000000"/>
              </w:rPr>
              <w:t xml:space="preserve"> </w:t>
            </w:r>
            <w:r w:rsidRPr="003B5ED4">
              <w:rPr>
                <w:rFonts w:ascii="Times New Roman" w:hAnsi="Times New Roman"/>
                <w:b/>
                <w:bCs/>
                <w:color w:val="000000"/>
              </w:rPr>
              <w:t>1/10</w:t>
            </w:r>
            <w:r w:rsidR="009B77C2">
              <w:rPr>
                <w:rFonts w:ascii="Times New Roman" w:hAnsi="Times New Roman"/>
                <w:b/>
                <w:bCs/>
                <w:color w:val="000000"/>
              </w:rPr>
              <w:t> </w:t>
            </w:r>
            <w:r w:rsidRPr="003B5ED4">
              <w:rPr>
                <w:rFonts w:ascii="Times New Roman" w:hAnsi="Times New Roman"/>
                <w:b/>
                <w:bCs/>
                <w:color w:val="000000"/>
              </w:rPr>
              <w:t>000</w:t>
            </w:r>
          </w:p>
        </w:tc>
        <w:tc>
          <w:tcPr>
            <w:tcW w:w="722" w:type="pct"/>
            <w:tcBorders>
              <w:top w:val="outset" w:sz="6" w:space="0" w:color="auto"/>
              <w:left w:val="outset" w:sz="6" w:space="0" w:color="auto"/>
              <w:bottom w:val="outset" w:sz="6" w:space="0" w:color="auto"/>
              <w:right w:val="outset" w:sz="6" w:space="0" w:color="auto"/>
            </w:tcBorders>
            <w:shd w:val="clear" w:color="auto" w:fill="FFFFFF"/>
            <w:hideMark/>
          </w:tcPr>
          <w:p w14:paraId="01534774" w14:textId="77777777" w:rsidR="00684A8F" w:rsidRPr="003B5ED4" w:rsidRDefault="00684A8F" w:rsidP="00F95656">
            <w:pPr>
              <w:spacing w:after="0" w:line="240" w:lineRule="auto"/>
              <w:rPr>
                <w:rFonts w:ascii="Times New Roman" w:hAnsi="Times New Roman"/>
                <w:color w:val="000000"/>
              </w:rPr>
            </w:pPr>
            <w:r w:rsidRPr="003B5ED4">
              <w:rPr>
                <w:rFonts w:ascii="Times New Roman" w:hAnsi="Times New Roman"/>
                <w:b/>
                <w:bCs/>
                <w:color w:val="000000"/>
              </w:rPr>
              <w:t>Neznáme (nedá sa stanoviť z</w:t>
            </w:r>
            <w:r w:rsidR="009B77C2">
              <w:rPr>
                <w:rFonts w:ascii="Times New Roman" w:hAnsi="Times New Roman"/>
                <w:b/>
                <w:bCs/>
                <w:color w:val="000000"/>
              </w:rPr>
              <w:t> </w:t>
            </w:r>
            <w:r w:rsidRPr="003B5ED4">
              <w:rPr>
                <w:rFonts w:ascii="Times New Roman" w:hAnsi="Times New Roman"/>
                <w:b/>
                <w:bCs/>
                <w:color w:val="000000"/>
              </w:rPr>
              <w:t>dostupných údajov)</w:t>
            </w:r>
          </w:p>
        </w:tc>
      </w:tr>
      <w:tr w:rsidR="00D77F1C" w:rsidRPr="003B5ED4" w14:paraId="73273956" w14:textId="77777777" w:rsidTr="00D77F1C">
        <w:tc>
          <w:tcPr>
            <w:tcW w:w="798" w:type="pct"/>
            <w:tcBorders>
              <w:top w:val="outset" w:sz="6" w:space="0" w:color="auto"/>
              <w:left w:val="outset" w:sz="6" w:space="0" w:color="auto"/>
              <w:bottom w:val="outset" w:sz="6" w:space="0" w:color="auto"/>
              <w:right w:val="outset" w:sz="6" w:space="0" w:color="auto"/>
            </w:tcBorders>
            <w:shd w:val="clear" w:color="auto" w:fill="FFFFFF"/>
            <w:hideMark/>
          </w:tcPr>
          <w:p w14:paraId="68BEF8EF" w14:textId="77777777" w:rsidR="00684A8F" w:rsidRPr="003B5ED4" w:rsidRDefault="00684A8F" w:rsidP="00F95656">
            <w:pPr>
              <w:spacing w:after="0" w:line="240" w:lineRule="auto"/>
              <w:rPr>
                <w:rFonts w:ascii="Times New Roman" w:hAnsi="Times New Roman"/>
                <w:color w:val="000000"/>
              </w:rPr>
            </w:pPr>
            <w:r w:rsidRPr="003B5ED4">
              <w:rPr>
                <w:rFonts w:ascii="Times New Roman" w:hAnsi="Times New Roman"/>
                <w:color w:val="000000"/>
              </w:rPr>
              <w:t>Infekcie a nákazy</w:t>
            </w:r>
          </w:p>
        </w:tc>
        <w:tc>
          <w:tcPr>
            <w:tcW w:w="869" w:type="pct"/>
            <w:tcBorders>
              <w:top w:val="outset" w:sz="6" w:space="0" w:color="auto"/>
              <w:left w:val="outset" w:sz="6" w:space="0" w:color="auto"/>
              <w:bottom w:val="outset" w:sz="6" w:space="0" w:color="auto"/>
              <w:right w:val="outset" w:sz="6" w:space="0" w:color="auto"/>
            </w:tcBorders>
            <w:shd w:val="clear" w:color="auto" w:fill="FFFFFF"/>
            <w:hideMark/>
          </w:tcPr>
          <w:p w14:paraId="0160E057" w14:textId="2C3D9138" w:rsidR="00684A8F" w:rsidRDefault="00684A8F" w:rsidP="00F95656">
            <w:pPr>
              <w:spacing w:after="0" w:line="240" w:lineRule="auto"/>
              <w:rPr>
                <w:rFonts w:ascii="Times New Roman" w:hAnsi="Times New Roman"/>
                <w:color w:val="000000"/>
              </w:rPr>
            </w:pPr>
            <w:r w:rsidRPr="00EE5049">
              <w:rPr>
                <w:rFonts w:ascii="Times New Roman" w:hAnsi="Times New Roman"/>
                <w:color w:val="000000"/>
              </w:rPr>
              <w:t>infekcie NOS*</w:t>
            </w:r>
            <w:r w:rsidR="007F6E77">
              <w:rPr>
                <w:rFonts w:ascii="Times New Roman" w:hAnsi="Times New Roman"/>
                <w:color w:val="000000"/>
              </w:rPr>
              <w:t xml:space="preserve"> vrátane</w:t>
            </w:r>
          </w:p>
          <w:p w14:paraId="7C8B1237" w14:textId="0BB213D6" w:rsidR="00965CE8" w:rsidRPr="00EE5049" w:rsidRDefault="00965CE8" w:rsidP="00F95656">
            <w:pPr>
              <w:spacing w:after="0" w:line="240" w:lineRule="auto"/>
              <w:rPr>
                <w:rFonts w:ascii="Times New Roman" w:hAnsi="Times New Roman"/>
                <w:color w:val="000000"/>
              </w:rPr>
            </w:pPr>
            <w:r>
              <w:rPr>
                <w:rFonts w:ascii="Times New Roman" w:hAnsi="Times New Roman"/>
                <w:color w:val="000000"/>
              </w:rPr>
              <w:t>oportúnn</w:t>
            </w:r>
            <w:r w:rsidR="00AB28D4">
              <w:rPr>
                <w:rFonts w:ascii="Times New Roman" w:hAnsi="Times New Roman"/>
                <w:color w:val="000000"/>
              </w:rPr>
              <w:t>ej</w:t>
            </w:r>
            <w:r>
              <w:rPr>
                <w:rFonts w:ascii="Times New Roman" w:hAnsi="Times New Roman"/>
                <w:color w:val="000000"/>
              </w:rPr>
              <w:t xml:space="preserve"> infekci</w:t>
            </w:r>
            <w:r w:rsidR="00AB28D4">
              <w:rPr>
                <w:rFonts w:ascii="Times New Roman" w:hAnsi="Times New Roman"/>
                <w:color w:val="000000"/>
              </w:rPr>
              <w:t>e</w:t>
            </w:r>
            <w:r>
              <w:rPr>
                <w:rFonts w:ascii="Times New Roman" w:hAnsi="Times New Roman"/>
                <w:color w:val="000000"/>
              </w:rPr>
              <w:t xml:space="preserve"> (vrátane Herpes zoster, cytomegalovírus, h</w:t>
            </w:r>
            <w:r w:rsidR="00B57AAA">
              <w:rPr>
                <w:rFonts w:ascii="Times New Roman" w:hAnsi="Times New Roman"/>
                <w:color w:val="000000"/>
              </w:rPr>
              <w:t>e</w:t>
            </w:r>
            <w:r>
              <w:rPr>
                <w:rFonts w:ascii="Times New Roman" w:hAnsi="Times New Roman"/>
                <w:color w:val="000000"/>
              </w:rPr>
              <w:t xml:space="preserve">patitída B) </w:t>
            </w:r>
          </w:p>
        </w:tc>
        <w:tc>
          <w:tcPr>
            <w:tcW w:w="652" w:type="pct"/>
            <w:tcBorders>
              <w:top w:val="outset" w:sz="6" w:space="0" w:color="auto"/>
              <w:left w:val="outset" w:sz="6" w:space="0" w:color="auto"/>
              <w:bottom w:val="outset" w:sz="6" w:space="0" w:color="auto"/>
              <w:right w:val="outset" w:sz="6" w:space="0" w:color="auto"/>
            </w:tcBorders>
            <w:shd w:val="clear" w:color="auto" w:fill="FFFFFF"/>
            <w:hideMark/>
          </w:tcPr>
          <w:p w14:paraId="7E46B30D"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t> </w:t>
            </w:r>
          </w:p>
        </w:tc>
        <w:tc>
          <w:tcPr>
            <w:tcW w:w="726" w:type="pct"/>
            <w:tcBorders>
              <w:top w:val="outset" w:sz="6" w:space="0" w:color="auto"/>
              <w:left w:val="outset" w:sz="6" w:space="0" w:color="auto"/>
              <w:bottom w:val="outset" w:sz="6" w:space="0" w:color="auto"/>
              <w:right w:val="outset" w:sz="6" w:space="0" w:color="auto"/>
            </w:tcBorders>
            <w:shd w:val="clear" w:color="auto" w:fill="FFFFFF"/>
            <w:hideMark/>
          </w:tcPr>
          <w:p w14:paraId="794FF4D4" w14:textId="49AFA33A" w:rsidR="00684A8F" w:rsidRPr="00EE5049" w:rsidRDefault="00965CE8" w:rsidP="00F95656">
            <w:pPr>
              <w:spacing w:after="0" w:line="240" w:lineRule="auto"/>
              <w:rPr>
                <w:rFonts w:ascii="Times New Roman" w:hAnsi="Times New Roman"/>
                <w:color w:val="000000"/>
              </w:rPr>
            </w:pPr>
            <w:r>
              <w:rPr>
                <w:rFonts w:ascii="Times New Roman" w:hAnsi="Times New Roman"/>
                <w:color w:val="000000"/>
              </w:rPr>
              <w:t>pneumónia Pneumocystis jirovecii</w:t>
            </w:r>
          </w:p>
        </w:tc>
        <w:tc>
          <w:tcPr>
            <w:tcW w:w="652" w:type="pct"/>
            <w:tcBorders>
              <w:top w:val="outset" w:sz="6" w:space="0" w:color="auto"/>
              <w:left w:val="outset" w:sz="6" w:space="0" w:color="auto"/>
              <w:bottom w:val="outset" w:sz="6" w:space="0" w:color="auto"/>
              <w:right w:val="outset" w:sz="6" w:space="0" w:color="auto"/>
            </w:tcBorders>
            <w:shd w:val="clear" w:color="auto" w:fill="FFFFFF"/>
            <w:hideMark/>
          </w:tcPr>
          <w:p w14:paraId="0B7053A4"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t>sepsa</w:t>
            </w:r>
          </w:p>
        </w:tc>
        <w:tc>
          <w:tcPr>
            <w:tcW w:w="581" w:type="pct"/>
            <w:tcBorders>
              <w:top w:val="outset" w:sz="6" w:space="0" w:color="auto"/>
              <w:left w:val="outset" w:sz="6" w:space="0" w:color="auto"/>
              <w:bottom w:val="outset" w:sz="6" w:space="0" w:color="auto"/>
              <w:right w:val="outset" w:sz="6" w:space="0" w:color="auto"/>
            </w:tcBorders>
            <w:shd w:val="clear" w:color="auto" w:fill="FFFFFF"/>
            <w:hideMark/>
          </w:tcPr>
          <w:p w14:paraId="6F458055"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t>primárna atypická pneumónia</w:t>
            </w:r>
          </w:p>
        </w:tc>
        <w:tc>
          <w:tcPr>
            <w:tcW w:w="722" w:type="pct"/>
            <w:tcBorders>
              <w:top w:val="outset" w:sz="6" w:space="0" w:color="auto"/>
              <w:left w:val="outset" w:sz="6" w:space="0" w:color="auto"/>
              <w:bottom w:val="outset" w:sz="6" w:space="0" w:color="auto"/>
              <w:right w:val="outset" w:sz="6" w:space="0" w:color="auto"/>
            </w:tcBorders>
            <w:shd w:val="clear" w:color="auto" w:fill="FFFFFF"/>
            <w:hideMark/>
          </w:tcPr>
          <w:p w14:paraId="58594133" w14:textId="77777777" w:rsidR="00684A8F" w:rsidRPr="003B5ED4" w:rsidRDefault="00684A8F" w:rsidP="00F95656">
            <w:pPr>
              <w:spacing w:after="0" w:line="240" w:lineRule="auto"/>
              <w:rPr>
                <w:rFonts w:ascii="Times New Roman" w:hAnsi="Times New Roman"/>
                <w:color w:val="000000"/>
              </w:rPr>
            </w:pPr>
            <w:r w:rsidRPr="003B5ED4">
              <w:rPr>
                <w:rFonts w:ascii="Times New Roman" w:hAnsi="Times New Roman"/>
                <w:color w:val="000000"/>
              </w:rPr>
              <w:t> </w:t>
            </w:r>
          </w:p>
        </w:tc>
      </w:tr>
      <w:tr w:rsidR="00D77F1C" w:rsidRPr="003B5ED4" w14:paraId="492B5247" w14:textId="77777777" w:rsidTr="00D77F1C">
        <w:tc>
          <w:tcPr>
            <w:tcW w:w="798" w:type="pct"/>
            <w:tcBorders>
              <w:top w:val="outset" w:sz="6" w:space="0" w:color="auto"/>
              <w:left w:val="outset" w:sz="6" w:space="0" w:color="auto"/>
              <w:bottom w:val="outset" w:sz="6" w:space="0" w:color="auto"/>
              <w:right w:val="outset" w:sz="6" w:space="0" w:color="auto"/>
            </w:tcBorders>
            <w:shd w:val="clear" w:color="auto" w:fill="FFFFFF"/>
            <w:hideMark/>
          </w:tcPr>
          <w:p w14:paraId="42CF8317" w14:textId="7215C188" w:rsidR="00684A8F" w:rsidRPr="003B5ED4" w:rsidRDefault="00684A8F" w:rsidP="00F95656">
            <w:pPr>
              <w:spacing w:after="0" w:line="240" w:lineRule="auto"/>
              <w:rPr>
                <w:rFonts w:ascii="Times New Roman" w:hAnsi="Times New Roman"/>
              </w:rPr>
            </w:pPr>
            <w:r w:rsidRPr="003B5ED4">
              <w:rPr>
                <w:rFonts w:ascii="Times New Roman" w:hAnsi="Times New Roman"/>
                <w:lang w:val="sk-SK"/>
              </w:rPr>
              <w:t>Benígne a malígne nádory, vrátanenešpecifikova-ných novotvarov</w:t>
            </w:r>
            <w:r w:rsidR="004B318B" w:rsidRPr="004B318B">
              <w:rPr>
                <w:rFonts w:ascii="Times New Roman" w:hAnsi="Times New Roman"/>
                <w:lang w:val="it-IT"/>
              </w:rPr>
              <w:t xml:space="preserve">  (cysty a polypy)</w:t>
            </w:r>
          </w:p>
        </w:tc>
        <w:tc>
          <w:tcPr>
            <w:tcW w:w="869" w:type="pct"/>
            <w:tcBorders>
              <w:top w:val="outset" w:sz="6" w:space="0" w:color="auto"/>
              <w:left w:val="outset" w:sz="6" w:space="0" w:color="auto"/>
              <w:bottom w:val="outset" w:sz="6" w:space="0" w:color="auto"/>
              <w:right w:val="outset" w:sz="6" w:space="0" w:color="auto"/>
            </w:tcBorders>
            <w:shd w:val="clear" w:color="auto" w:fill="FFFFFF"/>
            <w:hideMark/>
          </w:tcPr>
          <w:p w14:paraId="2DE4E418"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t> </w:t>
            </w:r>
          </w:p>
        </w:tc>
        <w:tc>
          <w:tcPr>
            <w:tcW w:w="652" w:type="pct"/>
            <w:tcBorders>
              <w:top w:val="outset" w:sz="6" w:space="0" w:color="auto"/>
              <w:left w:val="outset" w:sz="6" w:space="0" w:color="auto"/>
              <w:bottom w:val="outset" w:sz="6" w:space="0" w:color="auto"/>
              <w:right w:val="outset" w:sz="6" w:space="0" w:color="auto"/>
            </w:tcBorders>
            <w:shd w:val="clear" w:color="auto" w:fill="FFFFFF"/>
            <w:hideMark/>
          </w:tcPr>
          <w:p w14:paraId="410F4549"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t xml:space="preserve">syndróm  </w:t>
            </w:r>
            <w:r w:rsidR="0042194B">
              <w:rPr>
                <w:rFonts w:ascii="Times New Roman" w:hAnsi="Times New Roman"/>
                <w:color w:val="000000"/>
              </w:rPr>
              <w:t>z </w:t>
            </w:r>
            <w:r w:rsidRPr="00EE5049">
              <w:rPr>
                <w:rFonts w:ascii="Times New Roman" w:hAnsi="Times New Roman"/>
                <w:color w:val="000000"/>
              </w:rPr>
              <w:t>rozpadu</w:t>
            </w:r>
            <w:r w:rsidR="0042194B">
              <w:rPr>
                <w:rFonts w:ascii="Times New Roman" w:hAnsi="Times New Roman"/>
                <w:color w:val="000000"/>
              </w:rPr>
              <w:t xml:space="preserve"> nádoru</w:t>
            </w:r>
          </w:p>
        </w:tc>
        <w:tc>
          <w:tcPr>
            <w:tcW w:w="726" w:type="pct"/>
            <w:tcBorders>
              <w:top w:val="outset" w:sz="6" w:space="0" w:color="auto"/>
              <w:left w:val="outset" w:sz="6" w:space="0" w:color="auto"/>
              <w:bottom w:val="outset" w:sz="6" w:space="0" w:color="auto"/>
              <w:right w:val="outset" w:sz="6" w:space="0" w:color="auto"/>
            </w:tcBorders>
            <w:shd w:val="clear" w:color="auto" w:fill="FFFFFF"/>
            <w:hideMark/>
          </w:tcPr>
          <w:p w14:paraId="01E1CFD3"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t> </w:t>
            </w:r>
            <w:r w:rsidR="00965CE8">
              <w:rPr>
                <w:rFonts w:ascii="Times New Roman" w:hAnsi="Times New Roman"/>
                <w:color w:val="000000"/>
              </w:rPr>
              <w:t>myelo</w:t>
            </w:r>
            <w:r w:rsidR="00D77F1C">
              <w:rPr>
                <w:rFonts w:ascii="Times New Roman" w:hAnsi="Times New Roman"/>
                <w:color w:val="000000"/>
              </w:rPr>
              <w:t>-</w:t>
            </w:r>
            <w:r w:rsidR="00965CE8">
              <w:rPr>
                <w:rFonts w:ascii="Times New Roman" w:hAnsi="Times New Roman"/>
                <w:color w:val="000000"/>
              </w:rPr>
              <w:t>dysplastický syndróm, akútna myeloidná leukémia</w:t>
            </w:r>
          </w:p>
        </w:tc>
        <w:tc>
          <w:tcPr>
            <w:tcW w:w="652" w:type="pct"/>
            <w:tcBorders>
              <w:top w:val="outset" w:sz="6" w:space="0" w:color="auto"/>
              <w:left w:val="outset" w:sz="6" w:space="0" w:color="auto"/>
              <w:bottom w:val="outset" w:sz="6" w:space="0" w:color="auto"/>
              <w:right w:val="outset" w:sz="6" w:space="0" w:color="auto"/>
            </w:tcBorders>
            <w:shd w:val="clear" w:color="auto" w:fill="FFFFFF"/>
            <w:hideMark/>
          </w:tcPr>
          <w:p w14:paraId="4EEE7E02"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t> </w:t>
            </w:r>
          </w:p>
        </w:tc>
        <w:tc>
          <w:tcPr>
            <w:tcW w:w="581" w:type="pct"/>
            <w:tcBorders>
              <w:top w:val="outset" w:sz="6" w:space="0" w:color="auto"/>
              <w:left w:val="outset" w:sz="6" w:space="0" w:color="auto"/>
              <w:bottom w:val="outset" w:sz="6" w:space="0" w:color="auto"/>
              <w:right w:val="outset" w:sz="6" w:space="0" w:color="auto"/>
            </w:tcBorders>
            <w:shd w:val="clear" w:color="auto" w:fill="FFFFFF"/>
            <w:hideMark/>
          </w:tcPr>
          <w:p w14:paraId="2E6500F3" w14:textId="77777777" w:rsidR="00684A8F" w:rsidRPr="003B5ED4" w:rsidRDefault="00684A8F" w:rsidP="00F95656">
            <w:pPr>
              <w:spacing w:after="0" w:line="240" w:lineRule="auto"/>
              <w:rPr>
                <w:rFonts w:ascii="Times New Roman" w:hAnsi="Times New Roman"/>
                <w:color w:val="000000"/>
              </w:rPr>
            </w:pPr>
            <w:r w:rsidRPr="003B5ED4">
              <w:rPr>
                <w:rFonts w:ascii="Times New Roman" w:hAnsi="Times New Roman"/>
                <w:color w:val="000000"/>
              </w:rPr>
              <w:t> </w:t>
            </w:r>
          </w:p>
        </w:tc>
        <w:tc>
          <w:tcPr>
            <w:tcW w:w="722" w:type="pct"/>
            <w:tcBorders>
              <w:top w:val="outset" w:sz="6" w:space="0" w:color="auto"/>
              <w:left w:val="outset" w:sz="6" w:space="0" w:color="auto"/>
              <w:bottom w:val="outset" w:sz="6" w:space="0" w:color="auto"/>
              <w:right w:val="outset" w:sz="6" w:space="0" w:color="auto"/>
            </w:tcBorders>
            <w:shd w:val="clear" w:color="auto" w:fill="FFFFFF"/>
            <w:hideMark/>
          </w:tcPr>
          <w:p w14:paraId="73E23C2C" w14:textId="77777777" w:rsidR="00684A8F" w:rsidRPr="003B5ED4" w:rsidRDefault="00684A8F" w:rsidP="00F95656">
            <w:pPr>
              <w:spacing w:after="0" w:line="240" w:lineRule="auto"/>
              <w:rPr>
                <w:rFonts w:ascii="Times New Roman" w:hAnsi="Times New Roman"/>
                <w:color w:val="000000"/>
              </w:rPr>
            </w:pPr>
            <w:r w:rsidRPr="003B5ED4">
              <w:rPr>
                <w:rFonts w:ascii="Times New Roman" w:hAnsi="Times New Roman"/>
                <w:color w:val="000000"/>
              </w:rPr>
              <w:t> </w:t>
            </w:r>
          </w:p>
        </w:tc>
      </w:tr>
      <w:tr w:rsidR="00D77F1C" w:rsidRPr="003B5ED4" w14:paraId="74D2BD01" w14:textId="77777777" w:rsidTr="00D77F1C">
        <w:tc>
          <w:tcPr>
            <w:tcW w:w="798" w:type="pct"/>
            <w:tcBorders>
              <w:top w:val="outset" w:sz="6" w:space="0" w:color="auto"/>
              <w:left w:val="outset" w:sz="6" w:space="0" w:color="auto"/>
              <w:bottom w:val="outset" w:sz="6" w:space="0" w:color="auto"/>
              <w:right w:val="outset" w:sz="6" w:space="0" w:color="auto"/>
            </w:tcBorders>
            <w:shd w:val="clear" w:color="auto" w:fill="FFFFFF"/>
            <w:hideMark/>
          </w:tcPr>
          <w:p w14:paraId="1E005605" w14:textId="77777777" w:rsidR="00684A8F" w:rsidRPr="00AF1D23" w:rsidRDefault="00684A8F" w:rsidP="00F95656">
            <w:pPr>
              <w:spacing w:after="0" w:line="240" w:lineRule="auto"/>
              <w:rPr>
                <w:rFonts w:ascii="Times New Roman" w:hAnsi="Times New Roman"/>
                <w:color w:val="000000"/>
              </w:rPr>
            </w:pPr>
            <w:r w:rsidRPr="003B5ED4">
              <w:rPr>
                <w:rFonts w:ascii="Times New Roman" w:hAnsi="Times New Roman"/>
                <w:color w:val="000000"/>
              </w:rPr>
              <w:t>Poruchy krvi a lymfatického systému</w:t>
            </w:r>
          </w:p>
        </w:tc>
        <w:tc>
          <w:tcPr>
            <w:tcW w:w="869" w:type="pct"/>
            <w:tcBorders>
              <w:top w:val="outset" w:sz="6" w:space="0" w:color="auto"/>
              <w:left w:val="outset" w:sz="6" w:space="0" w:color="auto"/>
              <w:bottom w:val="outset" w:sz="6" w:space="0" w:color="auto"/>
              <w:right w:val="outset" w:sz="6" w:space="0" w:color="auto"/>
            </w:tcBorders>
            <w:shd w:val="clear" w:color="auto" w:fill="FFFFFF"/>
            <w:hideMark/>
          </w:tcPr>
          <w:p w14:paraId="25E011FA" w14:textId="47AE79F6" w:rsidR="00684A8F" w:rsidRDefault="00684A8F" w:rsidP="00F95656">
            <w:pPr>
              <w:spacing w:after="0" w:line="240" w:lineRule="auto"/>
              <w:rPr>
                <w:rFonts w:ascii="Times New Roman" w:hAnsi="Times New Roman"/>
                <w:color w:val="000000"/>
              </w:rPr>
            </w:pPr>
            <w:r w:rsidRPr="00EE5049">
              <w:rPr>
                <w:rFonts w:ascii="Times New Roman" w:hAnsi="Times New Roman"/>
                <w:color w:val="000000"/>
              </w:rPr>
              <w:t>leukopénia NOS*, trombocytopénia</w:t>
            </w:r>
            <w:r w:rsidR="00AB28D4">
              <w:rPr>
                <w:rFonts w:ascii="Times New Roman" w:hAnsi="Times New Roman"/>
                <w:color w:val="000000"/>
              </w:rPr>
              <w:t>,</w:t>
            </w:r>
          </w:p>
          <w:p w14:paraId="0DF0CAB2" w14:textId="5F29FD51" w:rsidR="00AB28D4" w:rsidRPr="00EE5049" w:rsidRDefault="00AB28D4" w:rsidP="00F95656">
            <w:pPr>
              <w:spacing w:after="0" w:line="240" w:lineRule="auto"/>
              <w:rPr>
                <w:rFonts w:ascii="Times New Roman" w:hAnsi="Times New Roman"/>
                <w:color w:val="000000"/>
              </w:rPr>
            </w:pPr>
            <w:r>
              <w:rPr>
                <w:rFonts w:ascii="Times New Roman" w:hAnsi="Times New Roman"/>
                <w:color w:val="000000"/>
              </w:rPr>
              <w:t>lymfopénia</w:t>
            </w:r>
          </w:p>
        </w:tc>
        <w:tc>
          <w:tcPr>
            <w:tcW w:w="652" w:type="pct"/>
            <w:tcBorders>
              <w:top w:val="outset" w:sz="6" w:space="0" w:color="auto"/>
              <w:left w:val="outset" w:sz="6" w:space="0" w:color="auto"/>
              <w:bottom w:val="outset" w:sz="6" w:space="0" w:color="auto"/>
              <w:right w:val="outset" w:sz="6" w:space="0" w:color="auto"/>
            </w:tcBorders>
            <w:shd w:val="clear" w:color="auto" w:fill="FFFFFF"/>
            <w:hideMark/>
          </w:tcPr>
          <w:p w14:paraId="699CD013"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t>hemorágia, anémia, neutropénia</w:t>
            </w:r>
          </w:p>
        </w:tc>
        <w:tc>
          <w:tcPr>
            <w:tcW w:w="726" w:type="pct"/>
            <w:tcBorders>
              <w:top w:val="outset" w:sz="6" w:space="0" w:color="auto"/>
              <w:left w:val="outset" w:sz="6" w:space="0" w:color="auto"/>
              <w:bottom w:val="outset" w:sz="6" w:space="0" w:color="auto"/>
              <w:right w:val="outset" w:sz="6" w:space="0" w:color="auto"/>
            </w:tcBorders>
            <w:shd w:val="clear" w:color="auto" w:fill="FFFFFF"/>
            <w:hideMark/>
          </w:tcPr>
          <w:p w14:paraId="3FE758B2"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t> </w:t>
            </w:r>
            <w:r w:rsidR="00326B35">
              <w:rPr>
                <w:rFonts w:ascii="Times New Roman" w:hAnsi="Times New Roman"/>
                <w:color w:val="000000"/>
              </w:rPr>
              <w:t>pancytopénia</w:t>
            </w:r>
          </w:p>
        </w:tc>
        <w:tc>
          <w:tcPr>
            <w:tcW w:w="652" w:type="pct"/>
            <w:tcBorders>
              <w:top w:val="outset" w:sz="6" w:space="0" w:color="auto"/>
              <w:left w:val="outset" w:sz="6" w:space="0" w:color="auto"/>
              <w:bottom w:val="outset" w:sz="6" w:space="0" w:color="auto"/>
              <w:right w:val="outset" w:sz="6" w:space="0" w:color="auto"/>
            </w:tcBorders>
            <w:shd w:val="clear" w:color="auto" w:fill="FFFFFF"/>
            <w:hideMark/>
          </w:tcPr>
          <w:p w14:paraId="29427ECE"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t> </w:t>
            </w:r>
            <w:r w:rsidR="00326B35">
              <w:rPr>
                <w:rFonts w:ascii="Times New Roman" w:hAnsi="Times New Roman"/>
                <w:color w:val="000000"/>
              </w:rPr>
              <w:t>zlyhanie kostnej drene</w:t>
            </w:r>
          </w:p>
        </w:tc>
        <w:tc>
          <w:tcPr>
            <w:tcW w:w="581" w:type="pct"/>
            <w:tcBorders>
              <w:top w:val="outset" w:sz="6" w:space="0" w:color="auto"/>
              <w:left w:val="outset" w:sz="6" w:space="0" w:color="auto"/>
              <w:bottom w:val="outset" w:sz="6" w:space="0" w:color="auto"/>
              <w:right w:val="outset" w:sz="6" w:space="0" w:color="auto"/>
            </w:tcBorders>
            <w:shd w:val="clear" w:color="auto" w:fill="FFFFFF"/>
            <w:hideMark/>
          </w:tcPr>
          <w:p w14:paraId="77076C04" w14:textId="77777777" w:rsidR="00684A8F" w:rsidRPr="003B5ED4" w:rsidRDefault="00684A8F" w:rsidP="00F95656">
            <w:pPr>
              <w:spacing w:after="0" w:line="240" w:lineRule="auto"/>
              <w:rPr>
                <w:rFonts w:ascii="Times New Roman" w:hAnsi="Times New Roman"/>
                <w:color w:val="000000"/>
              </w:rPr>
            </w:pPr>
            <w:r w:rsidRPr="003B5ED4">
              <w:rPr>
                <w:rFonts w:ascii="Times New Roman" w:hAnsi="Times New Roman"/>
                <w:color w:val="000000"/>
              </w:rPr>
              <w:t>hemolýza</w:t>
            </w:r>
          </w:p>
        </w:tc>
        <w:tc>
          <w:tcPr>
            <w:tcW w:w="722" w:type="pct"/>
            <w:tcBorders>
              <w:top w:val="outset" w:sz="6" w:space="0" w:color="auto"/>
              <w:left w:val="outset" w:sz="6" w:space="0" w:color="auto"/>
              <w:bottom w:val="outset" w:sz="6" w:space="0" w:color="auto"/>
              <w:right w:val="outset" w:sz="6" w:space="0" w:color="auto"/>
            </w:tcBorders>
            <w:shd w:val="clear" w:color="auto" w:fill="FFFFFF"/>
            <w:hideMark/>
          </w:tcPr>
          <w:p w14:paraId="72C7C4B8" w14:textId="77777777" w:rsidR="00684A8F" w:rsidRPr="003B5ED4" w:rsidRDefault="00684A8F" w:rsidP="00F95656">
            <w:pPr>
              <w:spacing w:after="0" w:line="240" w:lineRule="auto"/>
              <w:rPr>
                <w:rFonts w:ascii="Times New Roman" w:hAnsi="Times New Roman"/>
                <w:color w:val="000000"/>
              </w:rPr>
            </w:pPr>
            <w:r w:rsidRPr="003B5ED4">
              <w:rPr>
                <w:rFonts w:ascii="Times New Roman" w:hAnsi="Times New Roman"/>
                <w:color w:val="000000"/>
              </w:rPr>
              <w:t> </w:t>
            </w:r>
          </w:p>
        </w:tc>
      </w:tr>
      <w:tr w:rsidR="00D77F1C" w:rsidRPr="003B5ED4" w14:paraId="6B3C3723" w14:textId="77777777" w:rsidTr="00D77F1C">
        <w:tc>
          <w:tcPr>
            <w:tcW w:w="798" w:type="pct"/>
            <w:tcBorders>
              <w:top w:val="outset" w:sz="6" w:space="0" w:color="auto"/>
              <w:left w:val="outset" w:sz="6" w:space="0" w:color="auto"/>
              <w:bottom w:val="outset" w:sz="6" w:space="0" w:color="auto"/>
              <w:right w:val="outset" w:sz="6" w:space="0" w:color="auto"/>
            </w:tcBorders>
            <w:shd w:val="clear" w:color="auto" w:fill="FFFFFF"/>
            <w:hideMark/>
          </w:tcPr>
          <w:p w14:paraId="53A9BA6F" w14:textId="77777777" w:rsidR="00684A8F" w:rsidRPr="003B5ED4" w:rsidRDefault="00684A8F" w:rsidP="00F95656">
            <w:pPr>
              <w:spacing w:after="0" w:line="240" w:lineRule="auto"/>
              <w:rPr>
                <w:rFonts w:ascii="Times New Roman" w:hAnsi="Times New Roman"/>
                <w:color w:val="000000"/>
              </w:rPr>
            </w:pPr>
            <w:r w:rsidRPr="003B5ED4">
              <w:rPr>
                <w:rFonts w:ascii="Times New Roman" w:hAnsi="Times New Roman"/>
                <w:color w:val="000000"/>
              </w:rPr>
              <w:t>Poruchy imunitného systému</w:t>
            </w:r>
          </w:p>
        </w:tc>
        <w:tc>
          <w:tcPr>
            <w:tcW w:w="869" w:type="pct"/>
            <w:tcBorders>
              <w:top w:val="outset" w:sz="6" w:space="0" w:color="auto"/>
              <w:left w:val="outset" w:sz="6" w:space="0" w:color="auto"/>
              <w:bottom w:val="outset" w:sz="6" w:space="0" w:color="auto"/>
              <w:right w:val="outset" w:sz="6" w:space="0" w:color="auto"/>
            </w:tcBorders>
            <w:shd w:val="clear" w:color="auto" w:fill="FFFFFF"/>
            <w:hideMark/>
          </w:tcPr>
          <w:p w14:paraId="316223E5"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t> </w:t>
            </w:r>
          </w:p>
        </w:tc>
        <w:tc>
          <w:tcPr>
            <w:tcW w:w="652" w:type="pct"/>
            <w:tcBorders>
              <w:top w:val="outset" w:sz="6" w:space="0" w:color="auto"/>
              <w:left w:val="outset" w:sz="6" w:space="0" w:color="auto"/>
              <w:bottom w:val="outset" w:sz="6" w:space="0" w:color="auto"/>
              <w:right w:val="outset" w:sz="6" w:space="0" w:color="auto"/>
            </w:tcBorders>
            <w:shd w:val="clear" w:color="auto" w:fill="FFFFFF"/>
            <w:hideMark/>
          </w:tcPr>
          <w:p w14:paraId="1D07CD6D" w14:textId="77777777" w:rsidR="00684A8F" w:rsidRPr="00EE5049" w:rsidRDefault="003F76FC" w:rsidP="00F95656">
            <w:pPr>
              <w:spacing w:after="0" w:line="240" w:lineRule="auto"/>
              <w:rPr>
                <w:rFonts w:ascii="Times New Roman" w:hAnsi="Times New Roman"/>
                <w:color w:val="000000"/>
              </w:rPr>
            </w:pPr>
            <w:r w:rsidRPr="00EE5049">
              <w:rPr>
                <w:rFonts w:ascii="Times New Roman" w:hAnsi="Times New Roman"/>
                <w:color w:val="000000"/>
              </w:rPr>
              <w:t>H</w:t>
            </w:r>
            <w:r w:rsidR="00684A8F" w:rsidRPr="00EE5049">
              <w:rPr>
                <w:rFonts w:ascii="Times New Roman" w:hAnsi="Times New Roman"/>
                <w:color w:val="000000"/>
              </w:rPr>
              <w:t>ypersenzi</w:t>
            </w:r>
            <w:r>
              <w:rPr>
                <w:rFonts w:ascii="Times New Roman" w:hAnsi="Times New Roman"/>
                <w:color w:val="000000"/>
              </w:rPr>
              <w:t>-</w:t>
            </w:r>
            <w:r w:rsidR="00684A8F" w:rsidRPr="00EE5049">
              <w:rPr>
                <w:rFonts w:ascii="Times New Roman" w:hAnsi="Times New Roman"/>
                <w:color w:val="000000"/>
              </w:rPr>
              <w:t>tivita NOS*</w:t>
            </w:r>
          </w:p>
        </w:tc>
        <w:tc>
          <w:tcPr>
            <w:tcW w:w="726" w:type="pct"/>
            <w:tcBorders>
              <w:top w:val="outset" w:sz="6" w:space="0" w:color="auto"/>
              <w:left w:val="outset" w:sz="6" w:space="0" w:color="auto"/>
              <w:bottom w:val="outset" w:sz="6" w:space="0" w:color="auto"/>
              <w:right w:val="outset" w:sz="6" w:space="0" w:color="auto"/>
            </w:tcBorders>
            <w:shd w:val="clear" w:color="auto" w:fill="FFFFFF"/>
            <w:hideMark/>
          </w:tcPr>
          <w:p w14:paraId="4F60A224"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t> </w:t>
            </w:r>
          </w:p>
        </w:tc>
        <w:tc>
          <w:tcPr>
            <w:tcW w:w="652" w:type="pct"/>
            <w:tcBorders>
              <w:top w:val="outset" w:sz="6" w:space="0" w:color="auto"/>
              <w:left w:val="outset" w:sz="6" w:space="0" w:color="auto"/>
              <w:bottom w:val="outset" w:sz="6" w:space="0" w:color="auto"/>
              <w:right w:val="outset" w:sz="6" w:space="0" w:color="auto"/>
            </w:tcBorders>
            <w:shd w:val="clear" w:color="auto" w:fill="FFFFFF"/>
            <w:hideMark/>
          </w:tcPr>
          <w:p w14:paraId="49392D39"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t>anafylaktická reakcia, anafylaktoid-ná reakcia</w:t>
            </w:r>
          </w:p>
        </w:tc>
        <w:tc>
          <w:tcPr>
            <w:tcW w:w="581" w:type="pct"/>
            <w:tcBorders>
              <w:top w:val="outset" w:sz="6" w:space="0" w:color="auto"/>
              <w:left w:val="outset" w:sz="6" w:space="0" w:color="auto"/>
              <w:bottom w:val="outset" w:sz="6" w:space="0" w:color="auto"/>
              <w:right w:val="outset" w:sz="6" w:space="0" w:color="auto"/>
            </w:tcBorders>
            <w:shd w:val="clear" w:color="auto" w:fill="FFFFFF"/>
            <w:hideMark/>
          </w:tcPr>
          <w:p w14:paraId="3188BDFF" w14:textId="77777777" w:rsidR="00684A8F" w:rsidRPr="003B5ED4" w:rsidRDefault="003F76FC" w:rsidP="00F95656">
            <w:pPr>
              <w:spacing w:after="0" w:line="240" w:lineRule="auto"/>
              <w:rPr>
                <w:rFonts w:ascii="Times New Roman" w:hAnsi="Times New Roman"/>
                <w:color w:val="000000"/>
              </w:rPr>
            </w:pPr>
            <w:r>
              <w:rPr>
                <w:rFonts w:ascii="Times New Roman" w:hAnsi="Times New Roman"/>
                <w:color w:val="000000"/>
              </w:rPr>
              <w:t>a</w:t>
            </w:r>
            <w:r w:rsidR="00684A8F" w:rsidRPr="003B5ED4">
              <w:rPr>
                <w:rFonts w:ascii="Times New Roman" w:hAnsi="Times New Roman"/>
                <w:color w:val="000000"/>
              </w:rPr>
              <w:t>nafylak</w:t>
            </w:r>
            <w:r>
              <w:rPr>
                <w:rFonts w:ascii="Times New Roman" w:hAnsi="Times New Roman"/>
                <w:color w:val="000000"/>
              </w:rPr>
              <w:t>-</w:t>
            </w:r>
            <w:r w:rsidR="00684A8F" w:rsidRPr="003B5ED4">
              <w:rPr>
                <w:rFonts w:ascii="Times New Roman" w:hAnsi="Times New Roman"/>
                <w:color w:val="000000"/>
              </w:rPr>
              <w:t>tický šok</w:t>
            </w:r>
          </w:p>
        </w:tc>
        <w:tc>
          <w:tcPr>
            <w:tcW w:w="722" w:type="pct"/>
            <w:tcBorders>
              <w:top w:val="outset" w:sz="6" w:space="0" w:color="auto"/>
              <w:left w:val="outset" w:sz="6" w:space="0" w:color="auto"/>
              <w:bottom w:val="outset" w:sz="6" w:space="0" w:color="auto"/>
              <w:right w:val="outset" w:sz="6" w:space="0" w:color="auto"/>
            </w:tcBorders>
            <w:shd w:val="clear" w:color="auto" w:fill="FFFFFF"/>
            <w:hideMark/>
          </w:tcPr>
          <w:p w14:paraId="65EDB4C1" w14:textId="77777777" w:rsidR="00684A8F" w:rsidRPr="003B5ED4" w:rsidRDefault="00684A8F" w:rsidP="00F95656">
            <w:pPr>
              <w:spacing w:after="0" w:line="240" w:lineRule="auto"/>
              <w:rPr>
                <w:rFonts w:ascii="Times New Roman" w:hAnsi="Times New Roman"/>
                <w:color w:val="000000"/>
              </w:rPr>
            </w:pPr>
            <w:r w:rsidRPr="003B5ED4">
              <w:rPr>
                <w:rFonts w:ascii="Times New Roman" w:hAnsi="Times New Roman"/>
                <w:color w:val="000000"/>
              </w:rPr>
              <w:t> </w:t>
            </w:r>
          </w:p>
        </w:tc>
      </w:tr>
      <w:tr w:rsidR="00D77F1C" w:rsidRPr="003B5ED4" w14:paraId="65D1CC5F" w14:textId="77777777" w:rsidTr="00D77F1C">
        <w:tc>
          <w:tcPr>
            <w:tcW w:w="798" w:type="pct"/>
            <w:tcBorders>
              <w:top w:val="outset" w:sz="6" w:space="0" w:color="auto"/>
              <w:left w:val="outset" w:sz="6" w:space="0" w:color="auto"/>
              <w:bottom w:val="outset" w:sz="6" w:space="0" w:color="auto"/>
              <w:right w:val="outset" w:sz="6" w:space="0" w:color="auto"/>
            </w:tcBorders>
            <w:shd w:val="clear" w:color="auto" w:fill="FFFFFF"/>
            <w:hideMark/>
          </w:tcPr>
          <w:p w14:paraId="001C308E" w14:textId="77777777" w:rsidR="00684A8F" w:rsidRPr="003B5ED4" w:rsidRDefault="00684A8F" w:rsidP="00F95656">
            <w:pPr>
              <w:spacing w:after="0" w:line="240" w:lineRule="auto"/>
              <w:rPr>
                <w:rFonts w:ascii="Times New Roman" w:hAnsi="Times New Roman"/>
                <w:color w:val="000000"/>
              </w:rPr>
            </w:pPr>
            <w:r w:rsidRPr="003B5ED4">
              <w:rPr>
                <w:rFonts w:ascii="Times New Roman" w:hAnsi="Times New Roman"/>
                <w:color w:val="000000"/>
              </w:rPr>
              <w:t>Poruchy nervového sytému</w:t>
            </w:r>
          </w:p>
        </w:tc>
        <w:tc>
          <w:tcPr>
            <w:tcW w:w="869" w:type="pct"/>
            <w:tcBorders>
              <w:top w:val="outset" w:sz="6" w:space="0" w:color="auto"/>
              <w:left w:val="outset" w:sz="6" w:space="0" w:color="auto"/>
              <w:bottom w:val="outset" w:sz="6" w:space="0" w:color="auto"/>
              <w:right w:val="outset" w:sz="6" w:space="0" w:color="auto"/>
            </w:tcBorders>
            <w:shd w:val="clear" w:color="auto" w:fill="FFFFFF"/>
            <w:hideMark/>
          </w:tcPr>
          <w:p w14:paraId="547F6E5C"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t> </w:t>
            </w:r>
            <w:r w:rsidR="00326B35">
              <w:rPr>
                <w:rFonts w:ascii="Times New Roman" w:hAnsi="Times New Roman"/>
                <w:color w:val="000000"/>
              </w:rPr>
              <w:t>bolesť hlavy</w:t>
            </w:r>
          </w:p>
        </w:tc>
        <w:tc>
          <w:tcPr>
            <w:tcW w:w="652" w:type="pct"/>
            <w:tcBorders>
              <w:top w:val="outset" w:sz="6" w:space="0" w:color="auto"/>
              <w:left w:val="outset" w:sz="6" w:space="0" w:color="auto"/>
              <w:bottom w:val="outset" w:sz="6" w:space="0" w:color="auto"/>
              <w:right w:val="outset" w:sz="6" w:space="0" w:color="auto"/>
            </w:tcBorders>
            <w:shd w:val="clear" w:color="auto" w:fill="FFFFFF"/>
            <w:hideMark/>
          </w:tcPr>
          <w:p w14:paraId="37B990CC" w14:textId="77423685" w:rsidR="00684A8F" w:rsidRDefault="00326B35" w:rsidP="00F95656">
            <w:pPr>
              <w:spacing w:after="0" w:line="240" w:lineRule="auto"/>
              <w:rPr>
                <w:rFonts w:ascii="Times New Roman" w:hAnsi="Times New Roman"/>
                <w:color w:val="000000"/>
              </w:rPr>
            </w:pPr>
            <w:r>
              <w:rPr>
                <w:rFonts w:ascii="Times New Roman" w:hAnsi="Times New Roman"/>
                <w:color w:val="000000"/>
              </w:rPr>
              <w:t>n</w:t>
            </w:r>
            <w:r w:rsidR="00684A8F" w:rsidRPr="00EE5049">
              <w:rPr>
                <w:rFonts w:ascii="Times New Roman" w:hAnsi="Times New Roman"/>
                <w:color w:val="000000"/>
              </w:rPr>
              <w:t>espavosť</w:t>
            </w:r>
          </w:p>
          <w:p w14:paraId="64F4AE03" w14:textId="08272142" w:rsidR="00326B35" w:rsidRPr="00EE5049" w:rsidRDefault="00326B35" w:rsidP="00F95656">
            <w:pPr>
              <w:spacing w:after="0" w:line="240" w:lineRule="auto"/>
              <w:rPr>
                <w:rFonts w:ascii="Times New Roman" w:hAnsi="Times New Roman"/>
                <w:color w:val="000000"/>
              </w:rPr>
            </w:pPr>
            <w:r>
              <w:rPr>
                <w:rFonts w:ascii="Times New Roman" w:hAnsi="Times New Roman"/>
                <w:color w:val="000000"/>
              </w:rPr>
              <w:t>závrat</w:t>
            </w:r>
            <w:r w:rsidR="00B57AAA">
              <w:rPr>
                <w:rFonts w:ascii="Times New Roman" w:hAnsi="Times New Roman"/>
                <w:color w:val="000000"/>
              </w:rPr>
              <w:t>y</w:t>
            </w:r>
          </w:p>
        </w:tc>
        <w:tc>
          <w:tcPr>
            <w:tcW w:w="726" w:type="pct"/>
            <w:tcBorders>
              <w:top w:val="outset" w:sz="6" w:space="0" w:color="auto"/>
              <w:left w:val="outset" w:sz="6" w:space="0" w:color="auto"/>
              <w:bottom w:val="outset" w:sz="6" w:space="0" w:color="auto"/>
              <w:right w:val="outset" w:sz="6" w:space="0" w:color="auto"/>
            </w:tcBorders>
            <w:shd w:val="clear" w:color="auto" w:fill="FFFFFF"/>
            <w:hideMark/>
          </w:tcPr>
          <w:p w14:paraId="19C48302"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t> </w:t>
            </w:r>
          </w:p>
        </w:tc>
        <w:tc>
          <w:tcPr>
            <w:tcW w:w="652" w:type="pct"/>
            <w:tcBorders>
              <w:top w:val="outset" w:sz="6" w:space="0" w:color="auto"/>
              <w:left w:val="outset" w:sz="6" w:space="0" w:color="auto"/>
              <w:bottom w:val="outset" w:sz="6" w:space="0" w:color="auto"/>
              <w:right w:val="outset" w:sz="6" w:space="0" w:color="auto"/>
            </w:tcBorders>
            <w:shd w:val="clear" w:color="auto" w:fill="FFFFFF"/>
            <w:hideMark/>
          </w:tcPr>
          <w:p w14:paraId="22E29601"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t>ospalosť, afónia</w:t>
            </w:r>
          </w:p>
        </w:tc>
        <w:tc>
          <w:tcPr>
            <w:tcW w:w="581" w:type="pct"/>
            <w:tcBorders>
              <w:top w:val="outset" w:sz="6" w:space="0" w:color="auto"/>
              <w:left w:val="outset" w:sz="6" w:space="0" w:color="auto"/>
              <w:bottom w:val="outset" w:sz="6" w:space="0" w:color="auto"/>
              <w:right w:val="outset" w:sz="6" w:space="0" w:color="auto"/>
            </w:tcBorders>
            <w:shd w:val="clear" w:color="auto" w:fill="FFFFFF"/>
            <w:hideMark/>
          </w:tcPr>
          <w:p w14:paraId="69A179A1" w14:textId="77777777" w:rsidR="00684A8F" w:rsidRPr="003B5ED4" w:rsidRDefault="00684A8F" w:rsidP="00F95656">
            <w:pPr>
              <w:spacing w:after="0" w:line="240" w:lineRule="auto"/>
              <w:rPr>
                <w:rFonts w:ascii="Times New Roman" w:hAnsi="Times New Roman"/>
                <w:color w:val="000000"/>
              </w:rPr>
            </w:pPr>
            <w:r w:rsidRPr="00EE5049">
              <w:rPr>
                <w:rFonts w:ascii="Times New Roman" w:hAnsi="Times New Roman"/>
                <w:color w:val="000000"/>
              </w:rPr>
              <w:t>dysgeúzia, parestézia, periférna senzorická neuropatia, anticholi</w:t>
            </w:r>
            <w:r w:rsidR="003F76FC">
              <w:rPr>
                <w:rFonts w:ascii="Times New Roman" w:hAnsi="Times New Roman"/>
                <w:color w:val="000000"/>
              </w:rPr>
              <w:t>-</w:t>
            </w:r>
            <w:r w:rsidRPr="00EE5049">
              <w:rPr>
                <w:rFonts w:ascii="Times New Roman" w:hAnsi="Times New Roman"/>
                <w:color w:val="000000"/>
              </w:rPr>
              <w:t>nerg</w:t>
            </w:r>
            <w:r w:rsidR="003F76FC">
              <w:rPr>
                <w:rFonts w:ascii="Times New Roman" w:hAnsi="Times New Roman"/>
                <w:color w:val="000000"/>
              </w:rPr>
              <w:t>ný</w:t>
            </w:r>
            <w:r w:rsidRPr="00EE5049">
              <w:rPr>
                <w:rFonts w:ascii="Times New Roman" w:hAnsi="Times New Roman"/>
                <w:color w:val="000000"/>
              </w:rPr>
              <w:t xml:space="preserve">  syndróm, neurologic</w:t>
            </w:r>
            <w:r w:rsidR="000A0B10">
              <w:rPr>
                <w:rFonts w:ascii="Times New Roman" w:hAnsi="Times New Roman"/>
                <w:color w:val="000000"/>
              </w:rPr>
              <w:t>-</w:t>
            </w:r>
            <w:r w:rsidRPr="00EE5049">
              <w:rPr>
                <w:rFonts w:ascii="Times New Roman" w:hAnsi="Times New Roman"/>
                <w:color w:val="000000"/>
              </w:rPr>
              <w:t>ké poruchy, ataxia, encefalitída</w:t>
            </w:r>
          </w:p>
        </w:tc>
        <w:tc>
          <w:tcPr>
            <w:tcW w:w="722" w:type="pct"/>
            <w:tcBorders>
              <w:top w:val="outset" w:sz="6" w:space="0" w:color="auto"/>
              <w:left w:val="outset" w:sz="6" w:space="0" w:color="auto"/>
              <w:bottom w:val="outset" w:sz="6" w:space="0" w:color="auto"/>
              <w:right w:val="outset" w:sz="6" w:space="0" w:color="auto"/>
            </w:tcBorders>
            <w:shd w:val="clear" w:color="auto" w:fill="FFFFFF"/>
            <w:hideMark/>
          </w:tcPr>
          <w:p w14:paraId="72C40A73" w14:textId="77777777" w:rsidR="00684A8F" w:rsidRPr="003B5ED4" w:rsidRDefault="00684A8F" w:rsidP="00F95656">
            <w:pPr>
              <w:spacing w:after="0" w:line="240" w:lineRule="auto"/>
              <w:rPr>
                <w:rFonts w:ascii="Times New Roman" w:hAnsi="Times New Roman"/>
                <w:color w:val="000000"/>
              </w:rPr>
            </w:pPr>
            <w:r w:rsidRPr="003B5ED4">
              <w:rPr>
                <w:rFonts w:ascii="Times New Roman" w:hAnsi="Times New Roman"/>
                <w:color w:val="000000"/>
              </w:rPr>
              <w:t> </w:t>
            </w:r>
          </w:p>
        </w:tc>
      </w:tr>
      <w:tr w:rsidR="00D77F1C" w:rsidRPr="003B5ED4" w14:paraId="361FB33F" w14:textId="77777777" w:rsidTr="00D77F1C">
        <w:tc>
          <w:tcPr>
            <w:tcW w:w="798" w:type="pct"/>
            <w:tcBorders>
              <w:top w:val="outset" w:sz="6" w:space="0" w:color="auto"/>
              <w:left w:val="outset" w:sz="6" w:space="0" w:color="auto"/>
              <w:bottom w:val="outset" w:sz="6" w:space="0" w:color="auto"/>
              <w:right w:val="outset" w:sz="6" w:space="0" w:color="auto"/>
            </w:tcBorders>
            <w:shd w:val="clear" w:color="auto" w:fill="FFFFFF"/>
            <w:hideMark/>
          </w:tcPr>
          <w:p w14:paraId="3C9A363F" w14:textId="77777777" w:rsidR="00684A8F" w:rsidRPr="003B5ED4" w:rsidRDefault="00684A8F" w:rsidP="00F95656">
            <w:pPr>
              <w:spacing w:after="0" w:line="240" w:lineRule="auto"/>
              <w:rPr>
                <w:rFonts w:ascii="Times New Roman" w:hAnsi="Times New Roman"/>
                <w:color w:val="000000"/>
              </w:rPr>
            </w:pPr>
            <w:r w:rsidRPr="003B5ED4">
              <w:rPr>
                <w:rFonts w:ascii="Times New Roman" w:hAnsi="Times New Roman"/>
                <w:color w:val="000000"/>
              </w:rPr>
              <w:t>Poruchy srdca a srdcovej činnosti</w:t>
            </w:r>
          </w:p>
        </w:tc>
        <w:tc>
          <w:tcPr>
            <w:tcW w:w="869" w:type="pct"/>
            <w:tcBorders>
              <w:top w:val="outset" w:sz="6" w:space="0" w:color="auto"/>
              <w:left w:val="outset" w:sz="6" w:space="0" w:color="auto"/>
              <w:bottom w:val="outset" w:sz="6" w:space="0" w:color="auto"/>
              <w:right w:val="outset" w:sz="6" w:space="0" w:color="auto"/>
            </w:tcBorders>
            <w:shd w:val="clear" w:color="auto" w:fill="FFFFFF"/>
            <w:hideMark/>
          </w:tcPr>
          <w:p w14:paraId="031FF1A5"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t> </w:t>
            </w:r>
          </w:p>
        </w:tc>
        <w:tc>
          <w:tcPr>
            <w:tcW w:w="652" w:type="pct"/>
            <w:tcBorders>
              <w:top w:val="outset" w:sz="6" w:space="0" w:color="auto"/>
              <w:left w:val="outset" w:sz="6" w:space="0" w:color="auto"/>
              <w:bottom w:val="outset" w:sz="6" w:space="0" w:color="auto"/>
              <w:right w:val="outset" w:sz="6" w:space="0" w:color="auto"/>
            </w:tcBorders>
            <w:shd w:val="clear" w:color="auto" w:fill="FFFFFF"/>
            <w:hideMark/>
          </w:tcPr>
          <w:p w14:paraId="7B8609D9"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t>srdcová dysfunkcia, ako sú palpitácie, ang</w:t>
            </w:r>
            <w:r w:rsidR="000A0B10">
              <w:rPr>
                <w:rFonts w:ascii="Times New Roman" w:hAnsi="Times New Roman"/>
                <w:color w:val="000000"/>
              </w:rPr>
              <w:t>i</w:t>
            </w:r>
            <w:r w:rsidRPr="00EE5049">
              <w:rPr>
                <w:rFonts w:ascii="Times New Roman" w:hAnsi="Times New Roman"/>
                <w:color w:val="000000"/>
              </w:rPr>
              <w:t>na pectoris, arytmia</w:t>
            </w:r>
          </w:p>
        </w:tc>
        <w:tc>
          <w:tcPr>
            <w:tcW w:w="726" w:type="pct"/>
            <w:tcBorders>
              <w:top w:val="outset" w:sz="6" w:space="0" w:color="auto"/>
              <w:left w:val="outset" w:sz="6" w:space="0" w:color="auto"/>
              <w:bottom w:val="outset" w:sz="6" w:space="0" w:color="auto"/>
              <w:right w:val="outset" w:sz="6" w:space="0" w:color="auto"/>
            </w:tcBorders>
            <w:shd w:val="clear" w:color="auto" w:fill="FFFFFF"/>
            <w:hideMark/>
          </w:tcPr>
          <w:p w14:paraId="3E169FF4" w14:textId="77777777" w:rsidR="00684A8F" w:rsidRDefault="00684A8F" w:rsidP="00F95656">
            <w:pPr>
              <w:spacing w:after="0" w:line="240" w:lineRule="auto"/>
              <w:rPr>
                <w:rFonts w:ascii="Times New Roman" w:hAnsi="Times New Roman"/>
                <w:color w:val="000000"/>
              </w:rPr>
            </w:pPr>
            <w:r w:rsidRPr="00EE5049">
              <w:rPr>
                <w:rFonts w:ascii="Times New Roman" w:hAnsi="Times New Roman"/>
                <w:color w:val="000000"/>
              </w:rPr>
              <w:t>perikardiálna efúzia</w:t>
            </w:r>
            <w:r w:rsidR="00AB28D4">
              <w:rPr>
                <w:rFonts w:ascii="Times New Roman" w:hAnsi="Times New Roman"/>
                <w:color w:val="000000"/>
              </w:rPr>
              <w:t>,</w:t>
            </w:r>
          </w:p>
          <w:p w14:paraId="7EB58524" w14:textId="77777777" w:rsidR="00AB28D4" w:rsidRDefault="00AB28D4" w:rsidP="00F95656">
            <w:pPr>
              <w:spacing w:after="0" w:line="240" w:lineRule="auto"/>
              <w:rPr>
                <w:rFonts w:ascii="Times New Roman" w:hAnsi="Times New Roman"/>
                <w:color w:val="000000"/>
              </w:rPr>
            </w:pPr>
            <w:r>
              <w:rPr>
                <w:rFonts w:ascii="Times New Roman" w:hAnsi="Times New Roman"/>
                <w:color w:val="000000"/>
              </w:rPr>
              <w:t>infarkt myokardu,</w:t>
            </w:r>
          </w:p>
          <w:p w14:paraId="6034D1E7" w14:textId="618209D5" w:rsidR="00AB28D4" w:rsidRPr="00EE5049" w:rsidRDefault="00AB28D4" w:rsidP="00F95656">
            <w:pPr>
              <w:spacing w:after="0" w:line="240" w:lineRule="auto"/>
              <w:rPr>
                <w:rFonts w:ascii="Times New Roman" w:hAnsi="Times New Roman"/>
                <w:color w:val="000000"/>
              </w:rPr>
            </w:pPr>
            <w:r>
              <w:rPr>
                <w:rFonts w:ascii="Times New Roman" w:hAnsi="Times New Roman"/>
                <w:color w:val="000000"/>
              </w:rPr>
              <w:t>zlyhanie srdca</w:t>
            </w:r>
          </w:p>
        </w:tc>
        <w:tc>
          <w:tcPr>
            <w:tcW w:w="652" w:type="pct"/>
            <w:tcBorders>
              <w:top w:val="outset" w:sz="6" w:space="0" w:color="auto"/>
              <w:left w:val="outset" w:sz="6" w:space="0" w:color="auto"/>
              <w:bottom w:val="outset" w:sz="6" w:space="0" w:color="auto"/>
              <w:right w:val="outset" w:sz="6" w:space="0" w:color="auto"/>
            </w:tcBorders>
            <w:shd w:val="clear" w:color="auto" w:fill="FFFFFF"/>
            <w:hideMark/>
          </w:tcPr>
          <w:p w14:paraId="65657670"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t> </w:t>
            </w:r>
          </w:p>
        </w:tc>
        <w:tc>
          <w:tcPr>
            <w:tcW w:w="581" w:type="pct"/>
            <w:tcBorders>
              <w:top w:val="outset" w:sz="6" w:space="0" w:color="auto"/>
              <w:left w:val="outset" w:sz="6" w:space="0" w:color="auto"/>
              <w:bottom w:val="outset" w:sz="6" w:space="0" w:color="auto"/>
              <w:right w:val="outset" w:sz="6" w:space="0" w:color="auto"/>
            </w:tcBorders>
            <w:shd w:val="clear" w:color="auto" w:fill="FFFFFF"/>
            <w:hideMark/>
          </w:tcPr>
          <w:p w14:paraId="007D99A2" w14:textId="04929763" w:rsidR="00684A8F" w:rsidRPr="003B5ED4" w:rsidRDefault="00684A8F" w:rsidP="00F95656">
            <w:pPr>
              <w:spacing w:after="0" w:line="240" w:lineRule="auto"/>
              <w:rPr>
                <w:rFonts w:ascii="Times New Roman" w:hAnsi="Times New Roman"/>
                <w:color w:val="000000"/>
              </w:rPr>
            </w:pPr>
            <w:r w:rsidRPr="003B5ED4">
              <w:rPr>
                <w:rFonts w:ascii="Times New Roman" w:hAnsi="Times New Roman"/>
                <w:color w:val="000000"/>
              </w:rPr>
              <w:t>tachykardia</w:t>
            </w:r>
          </w:p>
        </w:tc>
        <w:tc>
          <w:tcPr>
            <w:tcW w:w="722" w:type="pct"/>
            <w:tcBorders>
              <w:top w:val="outset" w:sz="6" w:space="0" w:color="auto"/>
              <w:left w:val="outset" w:sz="6" w:space="0" w:color="auto"/>
              <w:bottom w:val="outset" w:sz="6" w:space="0" w:color="auto"/>
              <w:right w:val="outset" w:sz="6" w:space="0" w:color="auto"/>
            </w:tcBorders>
            <w:shd w:val="clear" w:color="auto" w:fill="FFFFFF"/>
            <w:hideMark/>
          </w:tcPr>
          <w:p w14:paraId="6D7B8163" w14:textId="77777777" w:rsidR="00684A8F" w:rsidRPr="003B5ED4" w:rsidRDefault="00684A8F" w:rsidP="00F95656">
            <w:pPr>
              <w:spacing w:after="0" w:line="240" w:lineRule="auto"/>
              <w:rPr>
                <w:rFonts w:ascii="Times New Roman" w:hAnsi="Times New Roman"/>
                <w:color w:val="000000"/>
              </w:rPr>
            </w:pPr>
            <w:r w:rsidRPr="003B5ED4">
              <w:rPr>
                <w:rFonts w:ascii="Times New Roman" w:hAnsi="Times New Roman"/>
                <w:color w:val="000000"/>
              </w:rPr>
              <w:t> </w:t>
            </w:r>
            <w:r w:rsidR="00326B35">
              <w:rPr>
                <w:rFonts w:ascii="Times New Roman" w:hAnsi="Times New Roman"/>
                <w:color w:val="000000"/>
              </w:rPr>
              <w:t>atriálna fibrilácia</w:t>
            </w:r>
          </w:p>
        </w:tc>
      </w:tr>
      <w:tr w:rsidR="00D77F1C" w:rsidRPr="003B5ED4" w14:paraId="75E4A66C" w14:textId="77777777" w:rsidTr="00D77F1C">
        <w:tc>
          <w:tcPr>
            <w:tcW w:w="798" w:type="pct"/>
            <w:tcBorders>
              <w:top w:val="outset" w:sz="6" w:space="0" w:color="auto"/>
              <w:left w:val="outset" w:sz="6" w:space="0" w:color="auto"/>
              <w:bottom w:val="outset" w:sz="6" w:space="0" w:color="auto"/>
              <w:right w:val="outset" w:sz="6" w:space="0" w:color="auto"/>
            </w:tcBorders>
            <w:shd w:val="clear" w:color="auto" w:fill="FFFFFF"/>
            <w:hideMark/>
          </w:tcPr>
          <w:p w14:paraId="792C35B3" w14:textId="77777777" w:rsidR="00684A8F" w:rsidRPr="003B5ED4" w:rsidRDefault="00684A8F" w:rsidP="00F95656">
            <w:pPr>
              <w:spacing w:after="0" w:line="240" w:lineRule="auto"/>
              <w:rPr>
                <w:rFonts w:ascii="Times New Roman" w:hAnsi="Times New Roman"/>
                <w:color w:val="000000"/>
              </w:rPr>
            </w:pPr>
            <w:r w:rsidRPr="003B5ED4">
              <w:rPr>
                <w:rFonts w:ascii="Times New Roman" w:hAnsi="Times New Roman"/>
                <w:color w:val="000000"/>
              </w:rPr>
              <w:t>Poruchy ciev</w:t>
            </w:r>
          </w:p>
        </w:tc>
        <w:tc>
          <w:tcPr>
            <w:tcW w:w="869" w:type="pct"/>
            <w:tcBorders>
              <w:top w:val="outset" w:sz="6" w:space="0" w:color="auto"/>
              <w:left w:val="outset" w:sz="6" w:space="0" w:color="auto"/>
              <w:bottom w:val="outset" w:sz="6" w:space="0" w:color="auto"/>
              <w:right w:val="outset" w:sz="6" w:space="0" w:color="auto"/>
            </w:tcBorders>
            <w:shd w:val="clear" w:color="auto" w:fill="FFFFFF"/>
            <w:hideMark/>
          </w:tcPr>
          <w:p w14:paraId="30150E9C"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t> </w:t>
            </w:r>
          </w:p>
        </w:tc>
        <w:tc>
          <w:tcPr>
            <w:tcW w:w="652" w:type="pct"/>
            <w:tcBorders>
              <w:top w:val="outset" w:sz="6" w:space="0" w:color="auto"/>
              <w:left w:val="outset" w:sz="6" w:space="0" w:color="auto"/>
              <w:bottom w:val="outset" w:sz="6" w:space="0" w:color="auto"/>
              <w:right w:val="outset" w:sz="6" w:space="0" w:color="auto"/>
            </w:tcBorders>
            <w:shd w:val="clear" w:color="auto" w:fill="FFFFFF"/>
            <w:hideMark/>
          </w:tcPr>
          <w:p w14:paraId="32DE56CE"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t>hypotenzia, hypertenzia</w:t>
            </w:r>
          </w:p>
        </w:tc>
        <w:tc>
          <w:tcPr>
            <w:tcW w:w="726" w:type="pct"/>
            <w:tcBorders>
              <w:top w:val="outset" w:sz="6" w:space="0" w:color="auto"/>
              <w:left w:val="outset" w:sz="6" w:space="0" w:color="auto"/>
              <w:bottom w:val="outset" w:sz="6" w:space="0" w:color="auto"/>
              <w:right w:val="outset" w:sz="6" w:space="0" w:color="auto"/>
            </w:tcBorders>
            <w:shd w:val="clear" w:color="auto" w:fill="FFFFFF"/>
            <w:hideMark/>
          </w:tcPr>
          <w:p w14:paraId="16B4F867"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t> </w:t>
            </w:r>
          </w:p>
        </w:tc>
        <w:tc>
          <w:tcPr>
            <w:tcW w:w="652" w:type="pct"/>
            <w:tcBorders>
              <w:top w:val="outset" w:sz="6" w:space="0" w:color="auto"/>
              <w:left w:val="outset" w:sz="6" w:space="0" w:color="auto"/>
              <w:bottom w:val="outset" w:sz="6" w:space="0" w:color="auto"/>
              <w:right w:val="outset" w:sz="6" w:space="0" w:color="auto"/>
            </w:tcBorders>
            <w:shd w:val="clear" w:color="auto" w:fill="FFFFFF"/>
            <w:hideMark/>
          </w:tcPr>
          <w:p w14:paraId="37AA398C"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t>akútne obehové zlyhanie</w:t>
            </w:r>
          </w:p>
        </w:tc>
        <w:tc>
          <w:tcPr>
            <w:tcW w:w="581" w:type="pct"/>
            <w:tcBorders>
              <w:top w:val="outset" w:sz="6" w:space="0" w:color="auto"/>
              <w:left w:val="outset" w:sz="6" w:space="0" w:color="auto"/>
              <w:bottom w:val="outset" w:sz="6" w:space="0" w:color="auto"/>
              <w:right w:val="outset" w:sz="6" w:space="0" w:color="auto"/>
            </w:tcBorders>
            <w:shd w:val="clear" w:color="auto" w:fill="FFFFFF"/>
            <w:hideMark/>
          </w:tcPr>
          <w:p w14:paraId="186E7732" w14:textId="77777777" w:rsidR="00684A8F" w:rsidRPr="003B5ED4" w:rsidRDefault="00684A8F" w:rsidP="00F95656">
            <w:pPr>
              <w:spacing w:after="0" w:line="240" w:lineRule="auto"/>
              <w:rPr>
                <w:rFonts w:ascii="Times New Roman" w:hAnsi="Times New Roman"/>
                <w:color w:val="000000"/>
              </w:rPr>
            </w:pPr>
            <w:r w:rsidRPr="003B5ED4">
              <w:rPr>
                <w:rFonts w:ascii="Times New Roman" w:hAnsi="Times New Roman"/>
                <w:color w:val="000000"/>
              </w:rPr>
              <w:t>flebitída</w:t>
            </w:r>
          </w:p>
        </w:tc>
        <w:tc>
          <w:tcPr>
            <w:tcW w:w="722" w:type="pct"/>
            <w:tcBorders>
              <w:top w:val="outset" w:sz="6" w:space="0" w:color="auto"/>
              <w:left w:val="outset" w:sz="6" w:space="0" w:color="auto"/>
              <w:bottom w:val="outset" w:sz="6" w:space="0" w:color="auto"/>
              <w:right w:val="outset" w:sz="6" w:space="0" w:color="auto"/>
            </w:tcBorders>
            <w:shd w:val="clear" w:color="auto" w:fill="FFFFFF"/>
            <w:hideMark/>
          </w:tcPr>
          <w:p w14:paraId="60DF69A4" w14:textId="77777777" w:rsidR="00684A8F" w:rsidRPr="003B5ED4" w:rsidRDefault="00684A8F" w:rsidP="00F95656">
            <w:pPr>
              <w:spacing w:after="0" w:line="240" w:lineRule="auto"/>
              <w:rPr>
                <w:rFonts w:ascii="Times New Roman" w:hAnsi="Times New Roman"/>
                <w:color w:val="000000"/>
              </w:rPr>
            </w:pPr>
            <w:r w:rsidRPr="003B5ED4">
              <w:rPr>
                <w:rFonts w:ascii="Times New Roman" w:hAnsi="Times New Roman"/>
                <w:color w:val="000000"/>
              </w:rPr>
              <w:t> </w:t>
            </w:r>
          </w:p>
        </w:tc>
      </w:tr>
      <w:tr w:rsidR="00D77F1C" w:rsidRPr="003B5ED4" w14:paraId="2E808DE5" w14:textId="77777777" w:rsidTr="00D77F1C">
        <w:tc>
          <w:tcPr>
            <w:tcW w:w="798" w:type="pct"/>
            <w:tcBorders>
              <w:top w:val="outset" w:sz="6" w:space="0" w:color="auto"/>
              <w:left w:val="outset" w:sz="6" w:space="0" w:color="auto"/>
              <w:bottom w:val="outset" w:sz="6" w:space="0" w:color="auto"/>
              <w:right w:val="outset" w:sz="6" w:space="0" w:color="auto"/>
            </w:tcBorders>
            <w:shd w:val="clear" w:color="auto" w:fill="FFFFFF"/>
            <w:hideMark/>
          </w:tcPr>
          <w:p w14:paraId="5FD16203" w14:textId="77777777" w:rsidR="00684A8F" w:rsidRPr="003B5ED4" w:rsidRDefault="00684A8F" w:rsidP="00F95656">
            <w:pPr>
              <w:spacing w:after="0" w:line="240" w:lineRule="auto"/>
              <w:rPr>
                <w:rFonts w:ascii="Times New Roman" w:hAnsi="Times New Roman"/>
                <w:color w:val="000000"/>
              </w:rPr>
            </w:pPr>
            <w:r w:rsidRPr="003B5ED4">
              <w:rPr>
                <w:rFonts w:ascii="Times New Roman" w:hAnsi="Times New Roman"/>
                <w:color w:val="000000"/>
              </w:rPr>
              <w:t xml:space="preserve">Poruchy dýchacej sústavy, </w:t>
            </w:r>
            <w:r w:rsidRPr="003B5ED4">
              <w:rPr>
                <w:rFonts w:ascii="Times New Roman" w:hAnsi="Times New Roman"/>
                <w:color w:val="000000"/>
              </w:rPr>
              <w:lastRenderedPageBreak/>
              <w:t>hrudníka  a mediastína</w:t>
            </w:r>
          </w:p>
        </w:tc>
        <w:tc>
          <w:tcPr>
            <w:tcW w:w="869" w:type="pct"/>
            <w:tcBorders>
              <w:top w:val="outset" w:sz="6" w:space="0" w:color="auto"/>
              <w:left w:val="outset" w:sz="6" w:space="0" w:color="auto"/>
              <w:bottom w:val="outset" w:sz="6" w:space="0" w:color="auto"/>
              <w:right w:val="outset" w:sz="6" w:space="0" w:color="auto"/>
            </w:tcBorders>
            <w:shd w:val="clear" w:color="auto" w:fill="FFFFFF"/>
            <w:hideMark/>
          </w:tcPr>
          <w:p w14:paraId="7EA9F2C4"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lastRenderedPageBreak/>
              <w:t> </w:t>
            </w:r>
          </w:p>
        </w:tc>
        <w:tc>
          <w:tcPr>
            <w:tcW w:w="652" w:type="pct"/>
            <w:tcBorders>
              <w:top w:val="outset" w:sz="6" w:space="0" w:color="auto"/>
              <w:left w:val="outset" w:sz="6" w:space="0" w:color="auto"/>
              <w:bottom w:val="outset" w:sz="6" w:space="0" w:color="auto"/>
              <w:right w:val="outset" w:sz="6" w:space="0" w:color="auto"/>
            </w:tcBorders>
            <w:shd w:val="clear" w:color="auto" w:fill="FFFFFF"/>
            <w:hideMark/>
          </w:tcPr>
          <w:p w14:paraId="58D335B3"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t>pulmonárna dysfunkcia</w:t>
            </w:r>
          </w:p>
        </w:tc>
        <w:tc>
          <w:tcPr>
            <w:tcW w:w="726" w:type="pct"/>
            <w:tcBorders>
              <w:top w:val="outset" w:sz="6" w:space="0" w:color="auto"/>
              <w:left w:val="outset" w:sz="6" w:space="0" w:color="auto"/>
              <w:bottom w:val="outset" w:sz="6" w:space="0" w:color="auto"/>
              <w:right w:val="outset" w:sz="6" w:space="0" w:color="auto"/>
            </w:tcBorders>
            <w:shd w:val="clear" w:color="auto" w:fill="FFFFFF"/>
            <w:hideMark/>
          </w:tcPr>
          <w:p w14:paraId="39BFEE77"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t> </w:t>
            </w:r>
          </w:p>
        </w:tc>
        <w:tc>
          <w:tcPr>
            <w:tcW w:w="652" w:type="pct"/>
            <w:tcBorders>
              <w:top w:val="outset" w:sz="6" w:space="0" w:color="auto"/>
              <w:left w:val="outset" w:sz="6" w:space="0" w:color="auto"/>
              <w:bottom w:val="outset" w:sz="6" w:space="0" w:color="auto"/>
              <w:right w:val="outset" w:sz="6" w:space="0" w:color="auto"/>
            </w:tcBorders>
            <w:shd w:val="clear" w:color="auto" w:fill="FFFFFF"/>
            <w:hideMark/>
          </w:tcPr>
          <w:p w14:paraId="132C2E4A"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t> </w:t>
            </w:r>
          </w:p>
        </w:tc>
        <w:tc>
          <w:tcPr>
            <w:tcW w:w="581" w:type="pct"/>
            <w:tcBorders>
              <w:top w:val="outset" w:sz="6" w:space="0" w:color="auto"/>
              <w:left w:val="outset" w:sz="6" w:space="0" w:color="auto"/>
              <w:bottom w:val="outset" w:sz="6" w:space="0" w:color="auto"/>
              <w:right w:val="outset" w:sz="6" w:space="0" w:color="auto"/>
            </w:tcBorders>
            <w:shd w:val="clear" w:color="auto" w:fill="FFFFFF"/>
            <w:hideMark/>
          </w:tcPr>
          <w:p w14:paraId="20F8854E" w14:textId="77777777" w:rsidR="00684A8F" w:rsidRPr="003B5ED4" w:rsidRDefault="00684A8F" w:rsidP="00F95656">
            <w:pPr>
              <w:spacing w:after="0" w:line="240" w:lineRule="auto"/>
              <w:rPr>
                <w:rFonts w:ascii="Times New Roman" w:hAnsi="Times New Roman"/>
                <w:color w:val="000000"/>
              </w:rPr>
            </w:pPr>
            <w:r w:rsidRPr="003B5ED4">
              <w:rPr>
                <w:rFonts w:ascii="Times New Roman" w:hAnsi="Times New Roman"/>
                <w:color w:val="000000"/>
              </w:rPr>
              <w:t>pulmonárna fibróza</w:t>
            </w:r>
          </w:p>
        </w:tc>
        <w:tc>
          <w:tcPr>
            <w:tcW w:w="722" w:type="pct"/>
            <w:tcBorders>
              <w:top w:val="outset" w:sz="6" w:space="0" w:color="auto"/>
              <w:left w:val="outset" w:sz="6" w:space="0" w:color="auto"/>
              <w:bottom w:val="outset" w:sz="6" w:space="0" w:color="auto"/>
              <w:right w:val="outset" w:sz="6" w:space="0" w:color="auto"/>
            </w:tcBorders>
            <w:shd w:val="clear" w:color="auto" w:fill="FFFFFF"/>
            <w:hideMark/>
          </w:tcPr>
          <w:p w14:paraId="791ED28E" w14:textId="06C65E9A" w:rsidR="00684A8F" w:rsidRPr="003B5ED4" w:rsidRDefault="00AB28D4" w:rsidP="00F95656">
            <w:pPr>
              <w:spacing w:after="0" w:line="240" w:lineRule="auto"/>
              <w:rPr>
                <w:rFonts w:ascii="Times New Roman" w:hAnsi="Times New Roman"/>
                <w:color w:val="000000"/>
              </w:rPr>
            </w:pPr>
            <w:r>
              <w:rPr>
                <w:rFonts w:ascii="Times New Roman" w:hAnsi="Times New Roman"/>
                <w:color w:val="000000"/>
              </w:rPr>
              <w:t xml:space="preserve">pneumónia, pľúcna alveolárna hemorágia </w:t>
            </w:r>
          </w:p>
        </w:tc>
      </w:tr>
      <w:tr w:rsidR="00D77F1C" w:rsidRPr="003B5ED4" w14:paraId="2553E3E7" w14:textId="77777777" w:rsidTr="00D77F1C">
        <w:tc>
          <w:tcPr>
            <w:tcW w:w="798" w:type="pct"/>
            <w:tcBorders>
              <w:top w:val="outset" w:sz="6" w:space="0" w:color="auto"/>
              <w:left w:val="outset" w:sz="6" w:space="0" w:color="auto"/>
              <w:bottom w:val="outset" w:sz="6" w:space="0" w:color="auto"/>
              <w:right w:val="outset" w:sz="6" w:space="0" w:color="auto"/>
            </w:tcBorders>
            <w:shd w:val="clear" w:color="auto" w:fill="FFFFFF"/>
            <w:hideMark/>
          </w:tcPr>
          <w:p w14:paraId="14D04ADC" w14:textId="77777777" w:rsidR="00684A8F" w:rsidRPr="00EE5049" w:rsidRDefault="00684A8F" w:rsidP="00F95656">
            <w:pPr>
              <w:spacing w:after="0" w:line="240" w:lineRule="auto"/>
              <w:rPr>
                <w:rFonts w:ascii="Times New Roman" w:hAnsi="Times New Roman"/>
                <w:color w:val="000000"/>
              </w:rPr>
            </w:pPr>
            <w:r w:rsidRPr="003B5ED4">
              <w:rPr>
                <w:rFonts w:ascii="Times New Roman" w:hAnsi="Times New Roman"/>
                <w:color w:val="000000"/>
              </w:rPr>
              <w:lastRenderedPageBreak/>
              <w:t>Poruchy gastrointesti-nálneho traktu</w:t>
            </w:r>
          </w:p>
        </w:tc>
        <w:tc>
          <w:tcPr>
            <w:tcW w:w="869" w:type="pct"/>
            <w:tcBorders>
              <w:top w:val="outset" w:sz="6" w:space="0" w:color="auto"/>
              <w:left w:val="outset" w:sz="6" w:space="0" w:color="auto"/>
              <w:bottom w:val="outset" w:sz="6" w:space="0" w:color="auto"/>
              <w:right w:val="outset" w:sz="6" w:space="0" w:color="auto"/>
            </w:tcBorders>
            <w:shd w:val="clear" w:color="auto" w:fill="FFFFFF"/>
            <w:hideMark/>
          </w:tcPr>
          <w:p w14:paraId="15D48409"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t>nau</w:t>
            </w:r>
            <w:r w:rsidR="00BD3D08">
              <w:rPr>
                <w:rFonts w:ascii="Times New Roman" w:hAnsi="Times New Roman"/>
                <w:color w:val="000000"/>
              </w:rPr>
              <w:t>z</w:t>
            </w:r>
            <w:r w:rsidRPr="00EE5049">
              <w:rPr>
                <w:rFonts w:ascii="Times New Roman" w:hAnsi="Times New Roman"/>
                <w:color w:val="000000"/>
              </w:rPr>
              <w:t>ea, vracanie</w:t>
            </w:r>
          </w:p>
        </w:tc>
        <w:tc>
          <w:tcPr>
            <w:tcW w:w="652" w:type="pct"/>
            <w:tcBorders>
              <w:top w:val="outset" w:sz="6" w:space="0" w:color="auto"/>
              <w:left w:val="outset" w:sz="6" w:space="0" w:color="auto"/>
              <w:bottom w:val="outset" w:sz="6" w:space="0" w:color="auto"/>
              <w:right w:val="outset" w:sz="6" w:space="0" w:color="auto"/>
            </w:tcBorders>
            <w:shd w:val="clear" w:color="auto" w:fill="FFFFFF"/>
            <w:hideMark/>
          </w:tcPr>
          <w:p w14:paraId="14DA03E5"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t>hnačka, zápcha, stomatitída</w:t>
            </w:r>
          </w:p>
        </w:tc>
        <w:tc>
          <w:tcPr>
            <w:tcW w:w="726" w:type="pct"/>
            <w:tcBorders>
              <w:top w:val="outset" w:sz="6" w:space="0" w:color="auto"/>
              <w:left w:val="outset" w:sz="6" w:space="0" w:color="auto"/>
              <w:bottom w:val="outset" w:sz="6" w:space="0" w:color="auto"/>
              <w:right w:val="outset" w:sz="6" w:space="0" w:color="auto"/>
            </w:tcBorders>
            <w:shd w:val="clear" w:color="auto" w:fill="FFFFFF"/>
            <w:hideMark/>
          </w:tcPr>
          <w:p w14:paraId="0AD42BA1"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t> </w:t>
            </w:r>
          </w:p>
        </w:tc>
        <w:tc>
          <w:tcPr>
            <w:tcW w:w="652" w:type="pct"/>
            <w:tcBorders>
              <w:top w:val="outset" w:sz="6" w:space="0" w:color="auto"/>
              <w:left w:val="outset" w:sz="6" w:space="0" w:color="auto"/>
              <w:bottom w:val="outset" w:sz="6" w:space="0" w:color="auto"/>
              <w:right w:val="outset" w:sz="6" w:space="0" w:color="auto"/>
            </w:tcBorders>
            <w:shd w:val="clear" w:color="auto" w:fill="FFFFFF"/>
            <w:hideMark/>
          </w:tcPr>
          <w:p w14:paraId="089A8540" w14:textId="77777777" w:rsidR="00684A8F" w:rsidRPr="003B5ED4" w:rsidRDefault="00684A8F" w:rsidP="00F95656">
            <w:pPr>
              <w:spacing w:after="0" w:line="240" w:lineRule="auto"/>
              <w:rPr>
                <w:rFonts w:ascii="Times New Roman" w:hAnsi="Times New Roman"/>
                <w:color w:val="000000"/>
              </w:rPr>
            </w:pPr>
            <w:r w:rsidRPr="00EE5049">
              <w:rPr>
                <w:rFonts w:ascii="Times New Roman" w:hAnsi="Times New Roman"/>
                <w:color w:val="000000"/>
              </w:rPr>
              <w:t> </w:t>
            </w:r>
          </w:p>
        </w:tc>
        <w:tc>
          <w:tcPr>
            <w:tcW w:w="581" w:type="pct"/>
            <w:tcBorders>
              <w:top w:val="outset" w:sz="6" w:space="0" w:color="auto"/>
              <w:left w:val="outset" w:sz="6" w:space="0" w:color="auto"/>
              <w:bottom w:val="outset" w:sz="6" w:space="0" w:color="auto"/>
              <w:right w:val="outset" w:sz="6" w:space="0" w:color="auto"/>
            </w:tcBorders>
            <w:shd w:val="clear" w:color="auto" w:fill="FFFFFF"/>
            <w:hideMark/>
          </w:tcPr>
          <w:p w14:paraId="2AF69FD9" w14:textId="77777777" w:rsidR="00684A8F" w:rsidRPr="003B5ED4" w:rsidRDefault="00BD3D08" w:rsidP="00F95656">
            <w:pPr>
              <w:spacing w:after="0" w:line="240" w:lineRule="auto"/>
              <w:rPr>
                <w:rFonts w:ascii="Times New Roman" w:hAnsi="Times New Roman"/>
                <w:color w:val="000000"/>
              </w:rPr>
            </w:pPr>
            <w:r>
              <w:rPr>
                <w:rFonts w:ascii="Times New Roman" w:hAnsi="Times New Roman"/>
                <w:color w:val="000000"/>
              </w:rPr>
              <w:t>h</w:t>
            </w:r>
            <w:r w:rsidR="00684A8F" w:rsidRPr="003B5ED4">
              <w:rPr>
                <w:rFonts w:ascii="Times New Roman" w:hAnsi="Times New Roman"/>
                <w:color w:val="000000"/>
              </w:rPr>
              <w:t>emora</w:t>
            </w:r>
            <w:r>
              <w:rPr>
                <w:rFonts w:ascii="Times New Roman" w:hAnsi="Times New Roman"/>
                <w:color w:val="000000"/>
              </w:rPr>
              <w:t>-</w:t>
            </w:r>
            <w:r w:rsidR="00684A8F" w:rsidRPr="003B5ED4">
              <w:rPr>
                <w:rFonts w:ascii="Times New Roman" w:hAnsi="Times New Roman"/>
                <w:color w:val="000000"/>
              </w:rPr>
              <w:t>gická ezofagitída, gastrointes</w:t>
            </w:r>
            <w:r>
              <w:rPr>
                <w:rFonts w:ascii="Times New Roman" w:hAnsi="Times New Roman"/>
                <w:color w:val="000000"/>
              </w:rPr>
              <w:t>-</w:t>
            </w:r>
            <w:r w:rsidR="00684A8F" w:rsidRPr="003B5ED4">
              <w:rPr>
                <w:rFonts w:ascii="Times New Roman" w:hAnsi="Times New Roman"/>
                <w:color w:val="000000"/>
              </w:rPr>
              <w:t>tinálna hemorágia</w:t>
            </w:r>
          </w:p>
        </w:tc>
        <w:tc>
          <w:tcPr>
            <w:tcW w:w="722" w:type="pct"/>
            <w:tcBorders>
              <w:top w:val="outset" w:sz="6" w:space="0" w:color="auto"/>
              <w:left w:val="outset" w:sz="6" w:space="0" w:color="auto"/>
              <w:bottom w:val="outset" w:sz="6" w:space="0" w:color="auto"/>
              <w:right w:val="outset" w:sz="6" w:space="0" w:color="auto"/>
            </w:tcBorders>
            <w:shd w:val="clear" w:color="auto" w:fill="FFFFFF"/>
            <w:hideMark/>
          </w:tcPr>
          <w:p w14:paraId="525F1921" w14:textId="77777777" w:rsidR="00684A8F" w:rsidRPr="003B5ED4" w:rsidRDefault="00684A8F" w:rsidP="00F95656">
            <w:pPr>
              <w:spacing w:after="0" w:line="240" w:lineRule="auto"/>
              <w:rPr>
                <w:rFonts w:ascii="Times New Roman" w:hAnsi="Times New Roman"/>
                <w:color w:val="000000"/>
              </w:rPr>
            </w:pPr>
            <w:r w:rsidRPr="003B5ED4">
              <w:rPr>
                <w:rFonts w:ascii="Times New Roman" w:hAnsi="Times New Roman"/>
                <w:color w:val="000000"/>
              </w:rPr>
              <w:t> </w:t>
            </w:r>
          </w:p>
        </w:tc>
      </w:tr>
      <w:tr w:rsidR="00D77F1C" w:rsidRPr="003B5ED4" w14:paraId="6A12D789" w14:textId="77777777" w:rsidTr="00D77F1C">
        <w:tc>
          <w:tcPr>
            <w:tcW w:w="798" w:type="pct"/>
            <w:tcBorders>
              <w:top w:val="outset" w:sz="6" w:space="0" w:color="auto"/>
              <w:left w:val="outset" w:sz="6" w:space="0" w:color="auto"/>
              <w:bottom w:val="outset" w:sz="6" w:space="0" w:color="auto"/>
              <w:right w:val="outset" w:sz="6" w:space="0" w:color="auto"/>
            </w:tcBorders>
            <w:shd w:val="clear" w:color="auto" w:fill="FFFFFF"/>
            <w:hideMark/>
          </w:tcPr>
          <w:p w14:paraId="1E5AD163" w14:textId="77777777" w:rsidR="00684A8F" w:rsidRPr="003B5ED4" w:rsidRDefault="00684A8F" w:rsidP="00F95656">
            <w:pPr>
              <w:spacing w:after="0" w:line="240" w:lineRule="auto"/>
              <w:rPr>
                <w:rFonts w:ascii="Times New Roman" w:hAnsi="Times New Roman"/>
                <w:color w:val="000000"/>
              </w:rPr>
            </w:pPr>
            <w:r w:rsidRPr="003B5ED4">
              <w:rPr>
                <w:rFonts w:ascii="Times New Roman" w:hAnsi="Times New Roman"/>
                <w:color w:val="000000"/>
              </w:rPr>
              <w:t>Poruchy kože a podkožného tkaniva</w:t>
            </w:r>
          </w:p>
        </w:tc>
        <w:tc>
          <w:tcPr>
            <w:tcW w:w="869" w:type="pct"/>
            <w:tcBorders>
              <w:top w:val="outset" w:sz="6" w:space="0" w:color="auto"/>
              <w:left w:val="outset" w:sz="6" w:space="0" w:color="auto"/>
              <w:bottom w:val="outset" w:sz="6" w:space="0" w:color="auto"/>
              <w:right w:val="outset" w:sz="6" w:space="0" w:color="auto"/>
            </w:tcBorders>
            <w:shd w:val="clear" w:color="auto" w:fill="FFFFFF"/>
            <w:hideMark/>
          </w:tcPr>
          <w:p w14:paraId="1D1F8CD9"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t> </w:t>
            </w:r>
          </w:p>
        </w:tc>
        <w:tc>
          <w:tcPr>
            <w:tcW w:w="652" w:type="pct"/>
            <w:tcBorders>
              <w:top w:val="outset" w:sz="6" w:space="0" w:color="auto"/>
              <w:left w:val="outset" w:sz="6" w:space="0" w:color="auto"/>
              <w:bottom w:val="outset" w:sz="6" w:space="0" w:color="auto"/>
              <w:right w:val="outset" w:sz="6" w:space="0" w:color="auto"/>
            </w:tcBorders>
            <w:shd w:val="clear" w:color="auto" w:fill="FFFFFF"/>
            <w:hideMark/>
          </w:tcPr>
          <w:p w14:paraId="1F401CFB" w14:textId="77777777" w:rsidR="00684A8F" w:rsidRDefault="00684A8F" w:rsidP="00F95656">
            <w:pPr>
              <w:spacing w:after="0" w:line="240" w:lineRule="auto"/>
              <w:rPr>
                <w:rFonts w:ascii="Times New Roman" w:hAnsi="Times New Roman"/>
                <w:color w:val="000000"/>
              </w:rPr>
            </w:pPr>
            <w:r w:rsidRPr="00EE5049">
              <w:rPr>
                <w:rFonts w:ascii="Times New Roman" w:hAnsi="Times New Roman"/>
                <w:color w:val="000000"/>
              </w:rPr>
              <w:t>alopécia, kožné poruchy NOS*</w:t>
            </w:r>
            <w:r w:rsidR="00AB28D4">
              <w:rPr>
                <w:rFonts w:ascii="Times New Roman" w:hAnsi="Times New Roman"/>
                <w:color w:val="000000"/>
              </w:rPr>
              <w:t>,</w:t>
            </w:r>
          </w:p>
          <w:p w14:paraId="5E6B180D" w14:textId="62942FCF" w:rsidR="00AB28D4" w:rsidRPr="00EE5049" w:rsidRDefault="00AB28D4" w:rsidP="00F95656">
            <w:pPr>
              <w:spacing w:after="0" w:line="240" w:lineRule="auto"/>
              <w:rPr>
                <w:rFonts w:ascii="Times New Roman" w:hAnsi="Times New Roman"/>
                <w:color w:val="000000"/>
              </w:rPr>
            </w:pPr>
            <w:r>
              <w:rPr>
                <w:rFonts w:ascii="Times New Roman" w:hAnsi="Times New Roman"/>
                <w:color w:val="000000"/>
              </w:rPr>
              <w:t>urtikária</w:t>
            </w:r>
          </w:p>
        </w:tc>
        <w:tc>
          <w:tcPr>
            <w:tcW w:w="726" w:type="pct"/>
            <w:tcBorders>
              <w:top w:val="outset" w:sz="6" w:space="0" w:color="auto"/>
              <w:left w:val="outset" w:sz="6" w:space="0" w:color="auto"/>
              <w:bottom w:val="outset" w:sz="6" w:space="0" w:color="auto"/>
              <w:right w:val="outset" w:sz="6" w:space="0" w:color="auto"/>
            </w:tcBorders>
            <w:shd w:val="clear" w:color="auto" w:fill="FFFFFF"/>
            <w:hideMark/>
          </w:tcPr>
          <w:p w14:paraId="4D86A5E7"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t> </w:t>
            </w:r>
          </w:p>
        </w:tc>
        <w:tc>
          <w:tcPr>
            <w:tcW w:w="652" w:type="pct"/>
            <w:tcBorders>
              <w:top w:val="outset" w:sz="6" w:space="0" w:color="auto"/>
              <w:left w:val="outset" w:sz="6" w:space="0" w:color="auto"/>
              <w:bottom w:val="outset" w:sz="6" w:space="0" w:color="auto"/>
              <w:right w:val="outset" w:sz="6" w:space="0" w:color="auto"/>
            </w:tcBorders>
            <w:shd w:val="clear" w:color="auto" w:fill="FFFFFF"/>
            <w:hideMark/>
          </w:tcPr>
          <w:p w14:paraId="4197806F" w14:textId="77777777" w:rsidR="00684A8F" w:rsidRPr="003B5ED4" w:rsidRDefault="00684A8F" w:rsidP="00F95656">
            <w:pPr>
              <w:spacing w:after="0" w:line="240" w:lineRule="auto"/>
              <w:rPr>
                <w:rFonts w:ascii="Times New Roman" w:hAnsi="Times New Roman"/>
                <w:color w:val="000000"/>
              </w:rPr>
            </w:pPr>
            <w:r w:rsidRPr="00EE5049">
              <w:rPr>
                <w:rFonts w:ascii="Times New Roman" w:hAnsi="Times New Roman"/>
                <w:color w:val="000000"/>
              </w:rPr>
              <w:t>erytém, dermatitída, svrbenie, makulo-papulárn</w:t>
            </w:r>
            <w:r w:rsidR="00BD3D08">
              <w:rPr>
                <w:rFonts w:ascii="Times New Roman" w:hAnsi="Times New Roman"/>
                <w:color w:val="000000"/>
              </w:rPr>
              <w:t>a</w:t>
            </w:r>
            <w:r w:rsidRPr="00EE5049">
              <w:rPr>
                <w:rFonts w:ascii="Times New Roman" w:hAnsi="Times New Roman"/>
                <w:color w:val="000000"/>
              </w:rPr>
              <w:t xml:space="preserve"> </w:t>
            </w:r>
            <w:r w:rsidR="00BD3D08">
              <w:rPr>
                <w:rFonts w:ascii="Times New Roman" w:hAnsi="Times New Roman"/>
                <w:color w:val="000000"/>
              </w:rPr>
              <w:t>vyrážka</w:t>
            </w:r>
            <w:r w:rsidRPr="00EE5049">
              <w:rPr>
                <w:rFonts w:ascii="Times New Roman" w:hAnsi="Times New Roman"/>
                <w:color w:val="000000"/>
              </w:rPr>
              <w:t>, hyperhidróza</w:t>
            </w:r>
          </w:p>
        </w:tc>
        <w:tc>
          <w:tcPr>
            <w:tcW w:w="581" w:type="pct"/>
            <w:tcBorders>
              <w:top w:val="outset" w:sz="6" w:space="0" w:color="auto"/>
              <w:left w:val="outset" w:sz="6" w:space="0" w:color="auto"/>
              <w:bottom w:val="outset" w:sz="6" w:space="0" w:color="auto"/>
              <w:right w:val="outset" w:sz="6" w:space="0" w:color="auto"/>
            </w:tcBorders>
            <w:shd w:val="clear" w:color="auto" w:fill="FFFFFF"/>
            <w:hideMark/>
          </w:tcPr>
          <w:p w14:paraId="6C270347" w14:textId="77777777" w:rsidR="00684A8F" w:rsidRPr="003B5ED4" w:rsidRDefault="00684A8F" w:rsidP="00F95656">
            <w:pPr>
              <w:spacing w:after="0" w:line="240" w:lineRule="auto"/>
              <w:rPr>
                <w:rFonts w:ascii="Times New Roman" w:hAnsi="Times New Roman"/>
                <w:color w:val="000000"/>
              </w:rPr>
            </w:pPr>
            <w:r w:rsidRPr="003B5ED4">
              <w:rPr>
                <w:rFonts w:ascii="Times New Roman" w:hAnsi="Times New Roman"/>
                <w:color w:val="000000"/>
              </w:rPr>
              <w:t> </w:t>
            </w:r>
          </w:p>
        </w:tc>
        <w:tc>
          <w:tcPr>
            <w:tcW w:w="722" w:type="pct"/>
            <w:tcBorders>
              <w:top w:val="outset" w:sz="6" w:space="0" w:color="auto"/>
              <w:left w:val="outset" w:sz="6" w:space="0" w:color="auto"/>
              <w:bottom w:val="outset" w:sz="6" w:space="0" w:color="auto"/>
              <w:right w:val="outset" w:sz="6" w:space="0" w:color="auto"/>
            </w:tcBorders>
            <w:shd w:val="clear" w:color="auto" w:fill="FFFFFF"/>
            <w:hideMark/>
          </w:tcPr>
          <w:p w14:paraId="3054DFA6" w14:textId="77777777" w:rsidR="00684A8F" w:rsidRDefault="00684A8F">
            <w:pPr>
              <w:spacing w:after="0" w:line="240" w:lineRule="auto"/>
              <w:rPr>
                <w:rFonts w:ascii="Times New Roman" w:hAnsi="Times New Roman"/>
                <w:color w:val="000000"/>
              </w:rPr>
            </w:pPr>
            <w:r w:rsidRPr="003B5ED4">
              <w:rPr>
                <w:rFonts w:ascii="Times New Roman" w:hAnsi="Times New Roman"/>
                <w:color w:val="000000"/>
              </w:rPr>
              <w:t> </w:t>
            </w:r>
            <w:r w:rsidR="00326B35">
              <w:rPr>
                <w:rFonts w:ascii="Times New Roman" w:hAnsi="Times New Roman"/>
                <w:color w:val="000000"/>
              </w:rPr>
              <w:t>Stevensov – Johnsonov syndróm, toxická epidermálna nekrolýza (TEN)</w:t>
            </w:r>
            <w:r w:rsidR="00AB28D4">
              <w:rPr>
                <w:rFonts w:ascii="Times New Roman" w:hAnsi="Times New Roman"/>
                <w:color w:val="000000"/>
              </w:rPr>
              <w:t>,</w:t>
            </w:r>
          </w:p>
          <w:p w14:paraId="2FB5BCA5" w14:textId="15899700" w:rsidR="00AB28D4" w:rsidRPr="003B5ED4" w:rsidRDefault="00AB28D4">
            <w:pPr>
              <w:spacing w:after="0" w:line="240" w:lineRule="auto"/>
              <w:rPr>
                <w:rFonts w:ascii="Times New Roman" w:hAnsi="Times New Roman"/>
                <w:color w:val="000000"/>
              </w:rPr>
            </w:pPr>
            <w:r w:rsidRPr="00AB28D4">
              <w:rPr>
                <w:rFonts w:ascii="Times New Roman" w:hAnsi="Times New Roman"/>
                <w:color w:val="000000"/>
              </w:rPr>
              <w:t>lieková reakcia s eozinofíliou a systémovými symptómami (DRESS)</w:t>
            </w:r>
          </w:p>
        </w:tc>
      </w:tr>
      <w:tr w:rsidR="00D77F1C" w:rsidRPr="003B5ED4" w14:paraId="65BDC659" w14:textId="77777777" w:rsidTr="00D77F1C">
        <w:tc>
          <w:tcPr>
            <w:tcW w:w="798" w:type="pct"/>
            <w:tcBorders>
              <w:top w:val="outset" w:sz="6" w:space="0" w:color="auto"/>
              <w:left w:val="outset" w:sz="6" w:space="0" w:color="auto"/>
              <w:bottom w:val="outset" w:sz="6" w:space="0" w:color="auto"/>
              <w:right w:val="outset" w:sz="6" w:space="0" w:color="auto"/>
            </w:tcBorders>
            <w:shd w:val="clear" w:color="auto" w:fill="FFFFFF"/>
            <w:hideMark/>
          </w:tcPr>
          <w:p w14:paraId="6FE39B8D" w14:textId="77777777" w:rsidR="00326B35" w:rsidRPr="003B5ED4" w:rsidRDefault="00326B35" w:rsidP="00F95656">
            <w:pPr>
              <w:spacing w:after="0" w:line="240" w:lineRule="auto"/>
              <w:rPr>
                <w:rFonts w:ascii="Times New Roman" w:hAnsi="Times New Roman"/>
                <w:color w:val="000000"/>
              </w:rPr>
            </w:pPr>
            <w:r>
              <w:rPr>
                <w:rFonts w:ascii="Times New Roman" w:hAnsi="Times New Roman"/>
                <w:color w:val="000000"/>
              </w:rPr>
              <w:t>Poruchy obličiek a močových ciest</w:t>
            </w:r>
          </w:p>
        </w:tc>
        <w:tc>
          <w:tcPr>
            <w:tcW w:w="869" w:type="pct"/>
            <w:tcBorders>
              <w:top w:val="outset" w:sz="6" w:space="0" w:color="auto"/>
              <w:left w:val="outset" w:sz="6" w:space="0" w:color="auto"/>
              <w:bottom w:val="outset" w:sz="6" w:space="0" w:color="auto"/>
              <w:right w:val="outset" w:sz="6" w:space="0" w:color="auto"/>
            </w:tcBorders>
            <w:shd w:val="clear" w:color="auto" w:fill="FFFFFF"/>
            <w:hideMark/>
          </w:tcPr>
          <w:p w14:paraId="09D368F0" w14:textId="77777777" w:rsidR="00326B35" w:rsidRPr="00EE5049" w:rsidRDefault="00326B35" w:rsidP="00F95656">
            <w:pPr>
              <w:spacing w:after="0" w:line="240" w:lineRule="auto"/>
              <w:rPr>
                <w:rFonts w:ascii="Times New Roman" w:hAnsi="Times New Roman"/>
                <w:color w:val="000000"/>
              </w:rPr>
            </w:pPr>
          </w:p>
        </w:tc>
        <w:tc>
          <w:tcPr>
            <w:tcW w:w="652" w:type="pct"/>
            <w:tcBorders>
              <w:top w:val="outset" w:sz="6" w:space="0" w:color="auto"/>
              <w:left w:val="outset" w:sz="6" w:space="0" w:color="auto"/>
              <w:bottom w:val="outset" w:sz="6" w:space="0" w:color="auto"/>
              <w:right w:val="outset" w:sz="6" w:space="0" w:color="auto"/>
            </w:tcBorders>
            <w:shd w:val="clear" w:color="auto" w:fill="FFFFFF"/>
            <w:hideMark/>
          </w:tcPr>
          <w:p w14:paraId="0E6D6448" w14:textId="77777777" w:rsidR="00326B35" w:rsidRPr="00EE5049" w:rsidRDefault="00326B35" w:rsidP="00F95656">
            <w:pPr>
              <w:spacing w:after="0" w:line="240" w:lineRule="auto"/>
              <w:rPr>
                <w:rFonts w:ascii="Times New Roman" w:hAnsi="Times New Roman"/>
                <w:color w:val="000000"/>
              </w:rPr>
            </w:pPr>
          </w:p>
        </w:tc>
        <w:tc>
          <w:tcPr>
            <w:tcW w:w="726" w:type="pct"/>
            <w:tcBorders>
              <w:top w:val="outset" w:sz="6" w:space="0" w:color="auto"/>
              <w:left w:val="outset" w:sz="6" w:space="0" w:color="auto"/>
              <w:bottom w:val="outset" w:sz="6" w:space="0" w:color="auto"/>
              <w:right w:val="outset" w:sz="6" w:space="0" w:color="auto"/>
            </w:tcBorders>
            <w:shd w:val="clear" w:color="auto" w:fill="FFFFFF"/>
            <w:hideMark/>
          </w:tcPr>
          <w:p w14:paraId="15ACCE43" w14:textId="77777777" w:rsidR="00326B35" w:rsidRPr="00EE5049" w:rsidRDefault="00326B35" w:rsidP="00F95656">
            <w:pPr>
              <w:spacing w:after="0" w:line="240" w:lineRule="auto"/>
              <w:rPr>
                <w:rFonts w:ascii="Times New Roman" w:hAnsi="Times New Roman"/>
                <w:color w:val="000000"/>
              </w:rPr>
            </w:pPr>
          </w:p>
        </w:tc>
        <w:tc>
          <w:tcPr>
            <w:tcW w:w="652" w:type="pct"/>
            <w:tcBorders>
              <w:top w:val="outset" w:sz="6" w:space="0" w:color="auto"/>
              <w:left w:val="outset" w:sz="6" w:space="0" w:color="auto"/>
              <w:bottom w:val="outset" w:sz="6" w:space="0" w:color="auto"/>
              <w:right w:val="outset" w:sz="6" w:space="0" w:color="auto"/>
            </w:tcBorders>
            <w:shd w:val="clear" w:color="auto" w:fill="FFFFFF"/>
            <w:hideMark/>
          </w:tcPr>
          <w:p w14:paraId="2171AB58" w14:textId="77777777" w:rsidR="00326B35" w:rsidRPr="00EE5049" w:rsidRDefault="00326B35" w:rsidP="00F95656">
            <w:pPr>
              <w:spacing w:after="0" w:line="240" w:lineRule="auto"/>
              <w:rPr>
                <w:rFonts w:ascii="Times New Roman" w:hAnsi="Times New Roman"/>
                <w:color w:val="000000"/>
              </w:rPr>
            </w:pPr>
          </w:p>
        </w:tc>
        <w:tc>
          <w:tcPr>
            <w:tcW w:w="581" w:type="pct"/>
            <w:tcBorders>
              <w:top w:val="outset" w:sz="6" w:space="0" w:color="auto"/>
              <w:left w:val="outset" w:sz="6" w:space="0" w:color="auto"/>
              <w:bottom w:val="outset" w:sz="6" w:space="0" w:color="auto"/>
              <w:right w:val="outset" w:sz="6" w:space="0" w:color="auto"/>
            </w:tcBorders>
            <w:shd w:val="clear" w:color="auto" w:fill="FFFFFF"/>
            <w:hideMark/>
          </w:tcPr>
          <w:p w14:paraId="20C721FE" w14:textId="77777777" w:rsidR="00326B35" w:rsidRPr="003B5ED4" w:rsidRDefault="00326B35" w:rsidP="00F95656">
            <w:pPr>
              <w:spacing w:after="0" w:line="240" w:lineRule="auto"/>
              <w:rPr>
                <w:rFonts w:ascii="Times New Roman" w:hAnsi="Times New Roman"/>
                <w:color w:val="000000"/>
              </w:rPr>
            </w:pPr>
          </w:p>
        </w:tc>
        <w:tc>
          <w:tcPr>
            <w:tcW w:w="722" w:type="pct"/>
            <w:tcBorders>
              <w:top w:val="outset" w:sz="6" w:space="0" w:color="auto"/>
              <w:left w:val="outset" w:sz="6" w:space="0" w:color="auto"/>
              <w:bottom w:val="outset" w:sz="6" w:space="0" w:color="auto"/>
              <w:right w:val="outset" w:sz="6" w:space="0" w:color="auto"/>
            </w:tcBorders>
            <w:shd w:val="clear" w:color="auto" w:fill="FFFFFF"/>
            <w:hideMark/>
          </w:tcPr>
          <w:p w14:paraId="126FCAA5" w14:textId="77777777" w:rsidR="00326B35" w:rsidRPr="003B5ED4" w:rsidRDefault="00326B35">
            <w:pPr>
              <w:spacing w:after="0" w:line="240" w:lineRule="auto"/>
              <w:rPr>
                <w:rFonts w:ascii="Times New Roman" w:hAnsi="Times New Roman"/>
                <w:color w:val="000000"/>
              </w:rPr>
            </w:pPr>
            <w:r>
              <w:rPr>
                <w:rFonts w:ascii="Times New Roman" w:hAnsi="Times New Roman"/>
                <w:color w:val="000000"/>
              </w:rPr>
              <w:t>zlyhanie obličiek</w:t>
            </w:r>
          </w:p>
        </w:tc>
      </w:tr>
      <w:tr w:rsidR="00D77F1C" w:rsidRPr="003B5ED4" w14:paraId="1EB6E12F" w14:textId="77777777" w:rsidTr="00D77F1C">
        <w:tc>
          <w:tcPr>
            <w:tcW w:w="798" w:type="pct"/>
            <w:tcBorders>
              <w:top w:val="outset" w:sz="6" w:space="0" w:color="auto"/>
              <w:left w:val="outset" w:sz="6" w:space="0" w:color="auto"/>
              <w:bottom w:val="outset" w:sz="6" w:space="0" w:color="auto"/>
              <w:right w:val="outset" w:sz="6" w:space="0" w:color="auto"/>
            </w:tcBorders>
            <w:shd w:val="clear" w:color="auto" w:fill="FFFFFF"/>
            <w:hideMark/>
          </w:tcPr>
          <w:p w14:paraId="3C6F3D31" w14:textId="77777777" w:rsidR="00684A8F" w:rsidRPr="003B5ED4" w:rsidRDefault="00684A8F" w:rsidP="00F95656">
            <w:pPr>
              <w:spacing w:after="0" w:line="240" w:lineRule="auto"/>
              <w:rPr>
                <w:rFonts w:ascii="Times New Roman" w:hAnsi="Times New Roman"/>
                <w:color w:val="000000"/>
              </w:rPr>
            </w:pPr>
            <w:r w:rsidRPr="003B5ED4">
              <w:rPr>
                <w:rFonts w:ascii="Times New Roman" w:hAnsi="Times New Roman"/>
                <w:color w:val="000000"/>
              </w:rPr>
              <w:t>Poruchy reprodukčného systému a prsníkov</w:t>
            </w:r>
          </w:p>
        </w:tc>
        <w:tc>
          <w:tcPr>
            <w:tcW w:w="869" w:type="pct"/>
            <w:tcBorders>
              <w:top w:val="outset" w:sz="6" w:space="0" w:color="auto"/>
              <w:left w:val="outset" w:sz="6" w:space="0" w:color="auto"/>
              <w:bottom w:val="outset" w:sz="6" w:space="0" w:color="auto"/>
              <w:right w:val="outset" w:sz="6" w:space="0" w:color="auto"/>
            </w:tcBorders>
            <w:shd w:val="clear" w:color="auto" w:fill="FFFFFF"/>
            <w:hideMark/>
          </w:tcPr>
          <w:p w14:paraId="128B5A1E"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t> </w:t>
            </w:r>
          </w:p>
        </w:tc>
        <w:tc>
          <w:tcPr>
            <w:tcW w:w="652" w:type="pct"/>
            <w:tcBorders>
              <w:top w:val="outset" w:sz="6" w:space="0" w:color="auto"/>
              <w:left w:val="outset" w:sz="6" w:space="0" w:color="auto"/>
              <w:bottom w:val="outset" w:sz="6" w:space="0" w:color="auto"/>
              <w:right w:val="outset" w:sz="6" w:space="0" w:color="auto"/>
            </w:tcBorders>
            <w:shd w:val="clear" w:color="auto" w:fill="FFFFFF"/>
            <w:hideMark/>
          </w:tcPr>
          <w:p w14:paraId="070CF829"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t>amenorea</w:t>
            </w:r>
          </w:p>
        </w:tc>
        <w:tc>
          <w:tcPr>
            <w:tcW w:w="726" w:type="pct"/>
            <w:tcBorders>
              <w:top w:val="outset" w:sz="6" w:space="0" w:color="auto"/>
              <w:left w:val="outset" w:sz="6" w:space="0" w:color="auto"/>
              <w:bottom w:val="outset" w:sz="6" w:space="0" w:color="auto"/>
              <w:right w:val="outset" w:sz="6" w:space="0" w:color="auto"/>
            </w:tcBorders>
            <w:shd w:val="clear" w:color="auto" w:fill="FFFFFF"/>
            <w:hideMark/>
          </w:tcPr>
          <w:p w14:paraId="1798E668"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t> </w:t>
            </w:r>
          </w:p>
        </w:tc>
        <w:tc>
          <w:tcPr>
            <w:tcW w:w="652" w:type="pct"/>
            <w:tcBorders>
              <w:top w:val="outset" w:sz="6" w:space="0" w:color="auto"/>
              <w:left w:val="outset" w:sz="6" w:space="0" w:color="auto"/>
              <w:bottom w:val="outset" w:sz="6" w:space="0" w:color="auto"/>
              <w:right w:val="outset" w:sz="6" w:space="0" w:color="auto"/>
            </w:tcBorders>
            <w:shd w:val="clear" w:color="auto" w:fill="FFFFFF"/>
            <w:hideMark/>
          </w:tcPr>
          <w:p w14:paraId="5FCBEF62"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t> </w:t>
            </w:r>
          </w:p>
        </w:tc>
        <w:tc>
          <w:tcPr>
            <w:tcW w:w="581" w:type="pct"/>
            <w:tcBorders>
              <w:top w:val="outset" w:sz="6" w:space="0" w:color="auto"/>
              <w:left w:val="outset" w:sz="6" w:space="0" w:color="auto"/>
              <w:bottom w:val="outset" w:sz="6" w:space="0" w:color="auto"/>
              <w:right w:val="outset" w:sz="6" w:space="0" w:color="auto"/>
            </w:tcBorders>
            <w:shd w:val="clear" w:color="auto" w:fill="FFFFFF"/>
            <w:hideMark/>
          </w:tcPr>
          <w:p w14:paraId="2DAB6702" w14:textId="77777777" w:rsidR="00684A8F" w:rsidRPr="003B5ED4" w:rsidRDefault="00684A8F" w:rsidP="00F95656">
            <w:pPr>
              <w:spacing w:after="0" w:line="240" w:lineRule="auto"/>
              <w:rPr>
                <w:rFonts w:ascii="Times New Roman" w:hAnsi="Times New Roman"/>
                <w:color w:val="000000"/>
              </w:rPr>
            </w:pPr>
            <w:r w:rsidRPr="003B5ED4">
              <w:rPr>
                <w:rFonts w:ascii="Times New Roman" w:hAnsi="Times New Roman"/>
                <w:color w:val="000000"/>
              </w:rPr>
              <w:t>neplodnosť</w:t>
            </w:r>
          </w:p>
        </w:tc>
        <w:tc>
          <w:tcPr>
            <w:tcW w:w="722" w:type="pct"/>
            <w:tcBorders>
              <w:top w:val="outset" w:sz="6" w:space="0" w:color="auto"/>
              <w:left w:val="outset" w:sz="6" w:space="0" w:color="auto"/>
              <w:bottom w:val="outset" w:sz="6" w:space="0" w:color="auto"/>
              <w:right w:val="outset" w:sz="6" w:space="0" w:color="auto"/>
            </w:tcBorders>
            <w:shd w:val="clear" w:color="auto" w:fill="FFFFFF"/>
            <w:hideMark/>
          </w:tcPr>
          <w:p w14:paraId="239B7A7D" w14:textId="77777777" w:rsidR="00684A8F" w:rsidRPr="003B5ED4" w:rsidRDefault="00684A8F" w:rsidP="00F95656">
            <w:pPr>
              <w:spacing w:after="0" w:line="240" w:lineRule="auto"/>
              <w:rPr>
                <w:rFonts w:ascii="Times New Roman" w:hAnsi="Times New Roman"/>
                <w:color w:val="000000"/>
              </w:rPr>
            </w:pPr>
            <w:r w:rsidRPr="003B5ED4">
              <w:rPr>
                <w:rFonts w:ascii="Times New Roman" w:hAnsi="Times New Roman"/>
                <w:color w:val="000000"/>
              </w:rPr>
              <w:t> </w:t>
            </w:r>
          </w:p>
        </w:tc>
      </w:tr>
      <w:tr w:rsidR="00D77F1C" w:rsidRPr="003B5ED4" w14:paraId="020B7E21" w14:textId="77777777" w:rsidTr="00D77F1C">
        <w:trPr>
          <w:trHeight w:val="310"/>
        </w:trPr>
        <w:tc>
          <w:tcPr>
            <w:tcW w:w="798" w:type="pct"/>
            <w:tcBorders>
              <w:top w:val="outset" w:sz="6" w:space="0" w:color="auto"/>
              <w:left w:val="outset" w:sz="6" w:space="0" w:color="auto"/>
              <w:bottom w:val="outset" w:sz="6" w:space="0" w:color="auto"/>
              <w:right w:val="outset" w:sz="6" w:space="0" w:color="auto"/>
            </w:tcBorders>
            <w:shd w:val="clear" w:color="auto" w:fill="FFFFFF"/>
            <w:hideMark/>
          </w:tcPr>
          <w:p w14:paraId="68E97E65" w14:textId="77777777" w:rsidR="00684A8F" w:rsidRPr="003B5ED4" w:rsidRDefault="00684A8F" w:rsidP="00F95656">
            <w:pPr>
              <w:spacing w:after="0" w:line="240" w:lineRule="auto"/>
              <w:rPr>
                <w:rFonts w:ascii="Times New Roman" w:hAnsi="Times New Roman"/>
                <w:color w:val="000000"/>
              </w:rPr>
            </w:pPr>
            <w:r w:rsidRPr="003B5ED4">
              <w:rPr>
                <w:rFonts w:ascii="Times New Roman" w:hAnsi="Times New Roman"/>
                <w:color w:val="000000"/>
              </w:rPr>
              <w:t>Poruchy pečene a žlčových ciest</w:t>
            </w:r>
          </w:p>
        </w:tc>
        <w:tc>
          <w:tcPr>
            <w:tcW w:w="869" w:type="pct"/>
            <w:tcBorders>
              <w:top w:val="outset" w:sz="6" w:space="0" w:color="auto"/>
              <w:left w:val="outset" w:sz="6" w:space="0" w:color="auto"/>
              <w:bottom w:val="outset" w:sz="6" w:space="0" w:color="auto"/>
              <w:right w:val="outset" w:sz="6" w:space="0" w:color="auto"/>
            </w:tcBorders>
            <w:shd w:val="clear" w:color="auto" w:fill="FFFFFF"/>
            <w:hideMark/>
          </w:tcPr>
          <w:p w14:paraId="60A2DCFA" w14:textId="77777777" w:rsidR="00684A8F" w:rsidRPr="00F95656" w:rsidRDefault="00684A8F" w:rsidP="003B5ED4">
            <w:pPr>
              <w:spacing w:after="0" w:line="240" w:lineRule="auto"/>
              <w:rPr>
                <w:rFonts w:ascii="Times New Roman" w:hAnsi="Times New Roman"/>
                <w:lang w:val="en-GB" w:eastAsia="en-GB"/>
              </w:rPr>
            </w:pPr>
          </w:p>
        </w:tc>
        <w:tc>
          <w:tcPr>
            <w:tcW w:w="652" w:type="pct"/>
            <w:tcBorders>
              <w:top w:val="outset" w:sz="6" w:space="0" w:color="auto"/>
              <w:left w:val="outset" w:sz="6" w:space="0" w:color="auto"/>
              <w:bottom w:val="outset" w:sz="6" w:space="0" w:color="auto"/>
              <w:right w:val="outset" w:sz="6" w:space="0" w:color="auto"/>
            </w:tcBorders>
            <w:shd w:val="clear" w:color="auto" w:fill="FFFFFF"/>
            <w:hideMark/>
          </w:tcPr>
          <w:p w14:paraId="63045F6D" w14:textId="77777777" w:rsidR="00684A8F" w:rsidRPr="00F95656" w:rsidRDefault="00684A8F" w:rsidP="00EE5049">
            <w:pPr>
              <w:spacing w:after="0" w:line="240" w:lineRule="auto"/>
              <w:rPr>
                <w:rFonts w:ascii="Times New Roman" w:hAnsi="Times New Roman"/>
                <w:lang w:val="en-GB" w:eastAsia="en-GB"/>
              </w:rPr>
            </w:pPr>
          </w:p>
        </w:tc>
        <w:tc>
          <w:tcPr>
            <w:tcW w:w="726" w:type="pct"/>
            <w:tcBorders>
              <w:top w:val="outset" w:sz="6" w:space="0" w:color="auto"/>
              <w:left w:val="outset" w:sz="6" w:space="0" w:color="auto"/>
              <w:bottom w:val="outset" w:sz="6" w:space="0" w:color="auto"/>
              <w:right w:val="outset" w:sz="6" w:space="0" w:color="auto"/>
            </w:tcBorders>
            <w:shd w:val="clear" w:color="auto" w:fill="FFFFFF"/>
            <w:hideMark/>
          </w:tcPr>
          <w:p w14:paraId="39CDB50F" w14:textId="77777777" w:rsidR="00684A8F" w:rsidRPr="00F95656" w:rsidRDefault="00684A8F" w:rsidP="00EE5049">
            <w:pPr>
              <w:spacing w:after="0" w:line="240" w:lineRule="auto"/>
              <w:rPr>
                <w:rFonts w:ascii="Times New Roman" w:hAnsi="Times New Roman"/>
                <w:lang w:val="en-GB" w:eastAsia="en-GB"/>
              </w:rPr>
            </w:pPr>
          </w:p>
        </w:tc>
        <w:tc>
          <w:tcPr>
            <w:tcW w:w="652" w:type="pct"/>
            <w:tcBorders>
              <w:top w:val="outset" w:sz="6" w:space="0" w:color="auto"/>
              <w:left w:val="outset" w:sz="6" w:space="0" w:color="auto"/>
              <w:bottom w:val="outset" w:sz="6" w:space="0" w:color="auto"/>
              <w:right w:val="outset" w:sz="6" w:space="0" w:color="auto"/>
            </w:tcBorders>
            <w:shd w:val="clear" w:color="auto" w:fill="FFFFFF"/>
            <w:hideMark/>
          </w:tcPr>
          <w:p w14:paraId="23A7DFD6" w14:textId="77777777" w:rsidR="00684A8F" w:rsidRPr="00F95656" w:rsidRDefault="00684A8F" w:rsidP="00EE5049">
            <w:pPr>
              <w:spacing w:after="0" w:line="240" w:lineRule="auto"/>
              <w:rPr>
                <w:rFonts w:ascii="Times New Roman" w:hAnsi="Times New Roman"/>
                <w:lang w:val="en-GB" w:eastAsia="en-GB"/>
              </w:rPr>
            </w:pPr>
          </w:p>
        </w:tc>
        <w:tc>
          <w:tcPr>
            <w:tcW w:w="581" w:type="pct"/>
            <w:tcBorders>
              <w:top w:val="outset" w:sz="6" w:space="0" w:color="auto"/>
              <w:left w:val="outset" w:sz="6" w:space="0" w:color="auto"/>
              <w:bottom w:val="outset" w:sz="6" w:space="0" w:color="auto"/>
              <w:right w:val="outset" w:sz="6" w:space="0" w:color="auto"/>
            </w:tcBorders>
            <w:shd w:val="clear" w:color="auto" w:fill="FFFFFF"/>
            <w:hideMark/>
          </w:tcPr>
          <w:p w14:paraId="7A42D0FB" w14:textId="77777777" w:rsidR="00684A8F" w:rsidRPr="00F95656" w:rsidRDefault="00684A8F" w:rsidP="00EE5049">
            <w:pPr>
              <w:spacing w:after="0" w:line="240" w:lineRule="auto"/>
              <w:rPr>
                <w:rFonts w:ascii="Times New Roman" w:hAnsi="Times New Roman"/>
                <w:lang w:val="en-GB" w:eastAsia="en-GB"/>
              </w:rPr>
            </w:pPr>
          </w:p>
        </w:tc>
        <w:tc>
          <w:tcPr>
            <w:tcW w:w="722" w:type="pct"/>
            <w:tcBorders>
              <w:top w:val="outset" w:sz="6" w:space="0" w:color="auto"/>
              <w:left w:val="outset" w:sz="6" w:space="0" w:color="auto"/>
              <w:bottom w:val="outset" w:sz="6" w:space="0" w:color="auto"/>
              <w:right w:val="outset" w:sz="6" w:space="0" w:color="auto"/>
            </w:tcBorders>
            <w:shd w:val="clear" w:color="auto" w:fill="FFFFFF"/>
            <w:hideMark/>
          </w:tcPr>
          <w:p w14:paraId="70582EE2" w14:textId="77777777" w:rsidR="00684A8F" w:rsidRPr="003B5ED4" w:rsidRDefault="00684A8F" w:rsidP="00F95656">
            <w:pPr>
              <w:spacing w:after="0" w:line="240" w:lineRule="auto"/>
              <w:rPr>
                <w:rFonts w:ascii="Times New Roman" w:hAnsi="Times New Roman"/>
                <w:color w:val="000000"/>
              </w:rPr>
            </w:pPr>
            <w:r w:rsidRPr="003B5ED4">
              <w:rPr>
                <w:rFonts w:ascii="Times New Roman" w:hAnsi="Times New Roman"/>
                <w:color w:val="000000"/>
              </w:rPr>
              <w:t>zlyhanie pečene</w:t>
            </w:r>
          </w:p>
        </w:tc>
      </w:tr>
      <w:tr w:rsidR="00D77F1C" w:rsidRPr="003B5ED4" w14:paraId="732D1E77" w14:textId="77777777" w:rsidTr="00D77F1C">
        <w:tc>
          <w:tcPr>
            <w:tcW w:w="798" w:type="pct"/>
            <w:tcBorders>
              <w:top w:val="outset" w:sz="6" w:space="0" w:color="auto"/>
              <w:left w:val="outset" w:sz="6" w:space="0" w:color="auto"/>
              <w:bottom w:val="outset" w:sz="6" w:space="0" w:color="auto"/>
              <w:right w:val="outset" w:sz="6" w:space="0" w:color="auto"/>
            </w:tcBorders>
            <w:shd w:val="clear" w:color="auto" w:fill="FFFFFF"/>
            <w:hideMark/>
          </w:tcPr>
          <w:p w14:paraId="0DF26C5E" w14:textId="77777777" w:rsidR="00684A8F" w:rsidRPr="003B5ED4" w:rsidRDefault="00684A8F" w:rsidP="00F95656">
            <w:pPr>
              <w:spacing w:after="0" w:line="240" w:lineRule="auto"/>
              <w:rPr>
                <w:rFonts w:ascii="Times New Roman" w:hAnsi="Times New Roman"/>
                <w:color w:val="000000"/>
              </w:rPr>
            </w:pPr>
            <w:r w:rsidRPr="003B5ED4">
              <w:rPr>
                <w:rFonts w:ascii="Times New Roman" w:hAnsi="Times New Roman"/>
                <w:color w:val="000000"/>
              </w:rPr>
              <w:t>Celkové poruchy a reakcie v mieste podania</w:t>
            </w:r>
          </w:p>
        </w:tc>
        <w:tc>
          <w:tcPr>
            <w:tcW w:w="869" w:type="pct"/>
            <w:tcBorders>
              <w:top w:val="outset" w:sz="6" w:space="0" w:color="auto"/>
              <w:left w:val="outset" w:sz="6" w:space="0" w:color="auto"/>
              <w:bottom w:val="outset" w:sz="6" w:space="0" w:color="auto"/>
              <w:right w:val="outset" w:sz="6" w:space="0" w:color="auto"/>
            </w:tcBorders>
            <w:shd w:val="clear" w:color="auto" w:fill="FFFFFF"/>
            <w:hideMark/>
          </w:tcPr>
          <w:p w14:paraId="2834045B"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t>zápal sliznice, únava, pyrexia</w:t>
            </w:r>
          </w:p>
        </w:tc>
        <w:tc>
          <w:tcPr>
            <w:tcW w:w="652" w:type="pct"/>
            <w:tcBorders>
              <w:top w:val="outset" w:sz="6" w:space="0" w:color="auto"/>
              <w:left w:val="outset" w:sz="6" w:space="0" w:color="auto"/>
              <w:bottom w:val="outset" w:sz="6" w:space="0" w:color="auto"/>
              <w:right w:val="outset" w:sz="6" w:space="0" w:color="auto"/>
            </w:tcBorders>
            <w:shd w:val="clear" w:color="auto" w:fill="FFFFFF"/>
            <w:hideMark/>
          </w:tcPr>
          <w:p w14:paraId="6E97D5FF"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t>bolesť, triaška, dehydratácia, anorexia</w:t>
            </w:r>
          </w:p>
        </w:tc>
        <w:tc>
          <w:tcPr>
            <w:tcW w:w="726" w:type="pct"/>
            <w:tcBorders>
              <w:top w:val="outset" w:sz="6" w:space="0" w:color="auto"/>
              <w:left w:val="outset" w:sz="6" w:space="0" w:color="auto"/>
              <w:bottom w:val="outset" w:sz="6" w:space="0" w:color="auto"/>
              <w:right w:val="outset" w:sz="6" w:space="0" w:color="auto"/>
            </w:tcBorders>
            <w:shd w:val="clear" w:color="auto" w:fill="FFFFFF"/>
            <w:hideMark/>
          </w:tcPr>
          <w:p w14:paraId="51F987A7"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t> </w:t>
            </w:r>
          </w:p>
        </w:tc>
        <w:tc>
          <w:tcPr>
            <w:tcW w:w="652" w:type="pct"/>
            <w:tcBorders>
              <w:top w:val="outset" w:sz="6" w:space="0" w:color="auto"/>
              <w:left w:val="outset" w:sz="6" w:space="0" w:color="auto"/>
              <w:bottom w:val="outset" w:sz="6" w:space="0" w:color="auto"/>
              <w:right w:val="outset" w:sz="6" w:space="0" w:color="auto"/>
            </w:tcBorders>
            <w:shd w:val="clear" w:color="auto" w:fill="FFFFFF"/>
            <w:hideMark/>
          </w:tcPr>
          <w:p w14:paraId="6CD600C9" w14:textId="77777777" w:rsidR="00684A8F" w:rsidRPr="003B5ED4" w:rsidRDefault="00684A8F" w:rsidP="00F95656">
            <w:pPr>
              <w:spacing w:after="0" w:line="240" w:lineRule="auto"/>
              <w:rPr>
                <w:rFonts w:ascii="Times New Roman" w:hAnsi="Times New Roman"/>
                <w:color w:val="000000"/>
              </w:rPr>
            </w:pPr>
            <w:r w:rsidRPr="00EE5049">
              <w:rPr>
                <w:rFonts w:ascii="Times New Roman" w:hAnsi="Times New Roman"/>
                <w:color w:val="000000"/>
              </w:rPr>
              <w:t> </w:t>
            </w:r>
          </w:p>
        </w:tc>
        <w:tc>
          <w:tcPr>
            <w:tcW w:w="581" w:type="pct"/>
            <w:tcBorders>
              <w:top w:val="outset" w:sz="6" w:space="0" w:color="auto"/>
              <w:left w:val="outset" w:sz="6" w:space="0" w:color="auto"/>
              <w:bottom w:val="outset" w:sz="6" w:space="0" w:color="auto"/>
              <w:right w:val="outset" w:sz="6" w:space="0" w:color="auto"/>
            </w:tcBorders>
            <w:shd w:val="clear" w:color="auto" w:fill="FFFFFF"/>
            <w:hideMark/>
          </w:tcPr>
          <w:p w14:paraId="68E9072B" w14:textId="0327DED0" w:rsidR="00684A8F" w:rsidRPr="003B5ED4" w:rsidRDefault="004B318B" w:rsidP="00F95656">
            <w:pPr>
              <w:spacing w:after="0" w:line="240" w:lineRule="auto"/>
              <w:rPr>
                <w:rFonts w:ascii="Times New Roman" w:hAnsi="Times New Roman"/>
                <w:color w:val="000000"/>
              </w:rPr>
            </w:pPr>
            <w:r>
              <w:rPr>
                <w:rFonts w:ascii="Times New Roman" w:hAnsi="Times New Roman"/>
                <w:color w:val="000000"/>
              </w:rPr>
              <w:t>m</w:t>
            </w:r>
            <w:r w:rsidR="00684A8F" w:rsidRPr="003B5ED4">
              <w:rPr>
                <w:rFonts w:ascii="Times New Roman" w:hAnsi="Times New Roman"/>
                <w:color w:val="000000"/>
              </w:rPr>
              <w:t>ultiorgá</w:t>
            </w:r>
            <w:r w:rsidR="00803B57">
              <w:rPr>
                <w:rFonts w:ascii="Times New Roman" w:hAnsi="Times New Roman"/>
                <w:color w:val="000000"/>
              </w:rPr>
              <w:t>-</w:t>
            </w:r>
            <w:r w:rsidR="00684A8F" w:rsidRPr="003B5ED4">
              <w:rPr>
                <w:rFonts w:ascii="Times New Roman" w:hAnsi="Times New Roman"/>
                <w:color w:val="000000"/>
              </w:rPr>
              <w:t>nové zlyhanie</w:t>
            </w:r>
          </w:p>
        </w:tc>
        <w:tc>
          <w:tcPr>
            <w:tcW w:w="722" w:type="pct"/>
            <w:tcBorders>
              <w:top w:val="outset" w:sz="6" w:space="0" w:color="auto"/>
              <w:left w:val="outset" w:sz="6" w:space="0" w:color="auto"/>
              <w:bottom w:val="outset" w:sz="6" w:space="0" w:color="auto"/>
              <w:right w:val="outset" w:sz="6" w:space="0" w:color="auto"/>
            </w:tcBorders>
            <w:shd w:val="clear" w:color="auto" w:fill="FFFFFF"/>
            <w:hideMark/>
          </w:tcPr>
          <w:p w14:paraId="4EC4E90B" w14:textId="77777777" w:rsidR="00684A8F" w:rsidRPr="003B5ED4" w:rsidRDefault="00684A8F" w:rsidP="00F95656">
            <w:pPr>
              <w:spacing w:after="0" w:line="240" w:lineRule="auto"/>
              <w:rPr>
                <w:rFonts w:ascii="Times New Roman" w:hAnsi="Times New Roman"/>
                <w:color w:val="000000"/>
              </w:rPr>
            </w:pPr>
            <w:r w:rsidRPr="003B5ED4">
              <w:rPr>
                <w:rFonts w:ascii="Times New Roman" w:hAnsi="Times New Roman"/>
                <w:color w:val="000000"/>
              </w:rPr>
              <w:t> </w:t>
            </w:r>
          </w:p>
        </w:tc>
      </w:tr>
      <w:tr w:rsidR="00D77F1C" w:rsidRPr="003B5ED4" w14:paraId="1128D24C" w14:textId="77777777" w:rsidTr="00D77F1C">
        <w:tc>
          <w:tcPr>
            <w:tcW w:w="798" w:type="pct"/>
            <w:tcBorders>
              <w:top w:val="outset" w:sz="6" w:space="0" w:color="auto"/>
              <w:left w:val="outset" w:sz="6" w:space="0" w:color="auto"/>
              <w:bottom w:val="outset" w:sz="6" w:space="0" w:color="auto"/>
              <w:right w:val="outset" w:sz="6" w:space="0" w:color="auto"/>
            </w:tcBorders>
            <w:shd w:val="clear" w:color="auto" w:fill="FFFFFF"/>
            <w:hideMark/>
          </w:tcPr>
          <w:p w14:paraId="24F6A269" w14:textId="77777777" w:rsidR="00684A8F" w:rsidRPr="003B5ED4" w:rsidRDefault="00684A8F" w:rsidP="00F95656">
            <w:pPr>
              <w:spacing w:after="0" w:line="240" w:lineRule="auto"/>
              <w:rPr>
                <w:rFonts w:ascii="Times New Roman" w:hAnsi="Times New Roman"/>
                <w:color w:val="000000"/>
              </w:rPr>
            </w:pPr>
            <w:r w:rsidRPr="003B5ED4">
              <w:rPr>
                <w:rFonts w:ascii="Times New Roman" w:hAnsi="Times New Roman"/>
                <w:color w:val="000000"/>
              </w:rPr>
              <w:t>Laboratórne a funkčné vyšetrenia</w:t>
            </w:r>
          </w:p>
        </w:tc>
        <w:tc>
          <w:tcPr>
            <w:tcW w:w="869" w:type="pct"/>
            <w:tcBorders>
              <w:top w:val="outset" w:sz="6" w:space="0" w:color="auto"/>
              <w:left w:val="outset" w:sz="6" w:space="0" w:color="auto"/>
              <w:bottom w:val="outset" w:sz="6" w:space="0" w:color="auto"/>
              <w:right w:val="outset" w:sz="6" w:space="0" w:color="auto"/>
            </w:tcBorders>
            <w:shd w:val="clear" w:color="auto" w:fill="FFFFFF"/>
            <w:hideMark/>
          </w:tcPr>
          <w:p w14:paraId="24C14E45"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t>znížená hladina hemoglobínu, zvýšená hladina kreatinínu, zvýšená hladina močovin</w:t>
            </w:r>
            <w:r w:rsidR="00803B57">
              <w:rPr>
                <w:rFonts w:ascii="Times New Roman" w:hAnsi="Times New Roman"/>
                <w:color w:val="000000"/>
              </w:rPr>
              <w:t>y</w:t>
            </w:r>
          </w:p>
        </w:tc>
        <w:tc>
          <w:tcPr>
            <w:tcW w:w="652" w:type="pct"/>
            <w:tcBorders>
              <w:top w:val="outset" w:sz="6" w:space="0" w:color="auto"/>
              <w:left w:val="outset" w:sz="6" w:space="0" w:color="auto"/>
              <w:bottom w:val="outset" w:sz="6" w:space="0" w:color="auto"/>
              <w:right w:val="outset" w:sz="6" w:space="0" w:color="auto"/>
            </w:tcBorders>
            <w:shd w:val="clear" w:color="auto" w:fill="FFFFFF"/>
            <w:hideMark/>
          </w:tcPr>
          <w:p w14:paraId="26E4626B"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t>zvýšenie AST, zvýšenie ALT, zvýšenie alkalickej fosfatázy, zvýšenie bilirubínu, hypokaliémia</w:t>
            </w:r>
          </w:p>
        </w:tc>
        <w:tc>
          <w:tcPr>
            <w:tcW w:w="726" w:type="pct"/>
            <w:tcBorders>
              <w:top w:val="outset" w:sz="6" w:space="0" w:color="auto"/>
              <w:left w:val="outset" w:sz="6" w:space="0" w:color="auto"/>
              <w:bottom w:val="outset" w:sz="6" w:space="0" w:color="auto"/>
              <w:right w:val="outset" w:sz="6" w:space="0" w:color="auto"/>
            </w:tcBorders>
            <w:shd w:val="clear" w:color="auto" w:fill="FFFFFF"/>
            <w:hideMark/>
          </w:tcPr>
          <w:p w14:paraId="22A062F0"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t> </w:t>
            </w:r>
          </w:p>
        </w:tc>
        <w:tc>
          <w:tcPr>
            <w:tcW w:w="652" w:type="pct"/>
            <w:tcBorders>
              <w:top w:val="outset" w:sz="6" w:space="0" w:color="auto"/>
              <w:left w:val="outset" w:sz="6" w:space="0" w:color="auto"/>
              <w:bottom w:val="outset" w:sz="6" w:space="0" w:color="auto"/>
              <w:right w:val="outset" w:sz="6" w:space="0" w:color="auto"/>
            </w:tcBorders>
            <w:shd w:val="clear" w:color="auto" w:fill="FFFFFF"/>
            <w:hideMark/>
          </w:tcPr>
          <w:p w14:paraId="7E005046" w14:textId="77777777" w:rsidR="00684A8F" w:rsidRPr="00EE5049" w:rsidRDefault="00684A8F" w:rsidP="00F95656">
            <w:pPr>
              <w:spacing w:after="0" w:line="240" w:lineRule="auto"/>
              <w:rPr>
                <w:rFonts w:ascii="Times New Roman" w:hAnsi="Times New Roman"/>
                <w:color w:val="000000"/>
              </w:rPr>
            </w:pPr>
            <w:r w:rsidRPr="00EE5049">
              <w:rPr>
                <w:rFonts w:ascii="Times New Roman" w:hAnsi="Times New Roman"/>
                <w:color w:val="000000"/>
              </w:rPr>
              <w:t> </w:t>
            </w:r>
          </w:p>
        </w:tc>
        <w:tc>
          <w:tcPr>
            <w:tcW w:w="581" w:type="pct"/>
            <w:tcBorders>
              <w:top w:val="outset" w:sz="6" w:space="0" w:color="auto"/>
              <w:left w:val="outset" w:sz="6" w:space="0" w:color="auto"/>
              <w:bottom w:val="outset" w:sz="6" w:space="0" w:color="auto"/>
              <w:right w:val="outset" w:sz="6" w:space="0" w:color="auto"/>
            </w:tcBorders>
            <w:shd w:val="clear" w:color="auto" w:fill="FFFFFF"/>
            <w:hideMark/>
          </w:tcPr>
          <w:p w14:paraId="6D148B62" w14:textId="77777777" w:rsidR="00684A8F" w:rsidRPr="003B5ED4" w:rsidRDefault="00684A8F" w:rsidP="00F95656">
            <w:pPr>
              <w:spacing w:after="0" w:line="240" w:lineRule="auto"/>
              <w:rPr>
                <w:rFonts w:ascii="Times New Roman" w:hAnsi="Times New Roman"/>
                <w:color w:val="000000"/>
              </w:rPr>
            </w:pPr>
            <w:r w:rsidRPr="003B5ED4">
              <w:rPr>
                <w:rFonts w:ascii="Times New Roman" w:hAnsi="Times New Roman"/>
                <w:color w:val="000000"/>
              </w:rPr>
              <w:t> </w:t>
            </w:r>
          </w:p>
        </w:tc>
        <w:tc>
          <w:tcPr>
            <w:tcW w:w="722" w:type="pct"/>
            <w:tcBorders>
              <w:top w:val="outset" w:sz="6" w:space="0" w:color="auto"/>
              <w:left w:val="outset" w:sz="6" w:space="0" w:color="auto"/>
              <w:bottom w:val="outset" w:sz="6" w:space="0" w:color="auto"/>
              <w:right w:val="outset" w:sz="6" w:space="0" w:color="auto"/>
            </w:tcBorders>
            <w:shd w:val="clear" w:color="auto" w:fill="FFFFFF"/>
            <w:hideMark/>
          </w:tcPr>
          <w:p w14:paraId="4834157A" w14:textId="77777777" w:rsidR="00684A8F" w:rsidRPr="003B5ED4" w:rsidRDefault="00684A8F" w:rsidP="00F95656">
            <w:pPr>
              <w:spacing w:after="0" w:line="240" w:lineRule="auto"/>
              <w:rPr>
                <w:rFonts w:ascii="Times New Roman" w:hAnsi="Times New Roman"/>
                <w:color w:val="000000"/>
              </w:rPr>
            </w:pPr>
            <w:r w:rsidRPr="003B5ED4">
              <w:rPr>
                <w:rFonts w:ascii="Times New Roman" w:hAnsi="Times New Roman"/>
                <w:color w:val="000000"/>
              </w:rPr>
              <w:t> </w:t>
            </w:r>
          </w:p>
        </w:tc>
      </w:tr>
    </w:tbl>
    <w:p w14:paraId="66187371" w14:textId="77777777" w:rsidR="00684A8F" w:rsidRPr="003B5ED4" w:rsidRDefault="00684A8F" w:rsidP="003B5ED4">
      <w:pPr>
        <w:widowControl w:val="0"/>
        <w:autoSpaceDE w:val="0"/>
        <w:autoSpaceDN w:val="0"/>
        <w:adjustRightInd w:val="0"/>
        <w:spacing w:after="0" w:line="240" w:lineRule="auto"/>
        <w:rPr>
          <w:rFonts w:ascii="Times New Roman" w:hAnsi="Times New Roman"/>
          <w:bCs/>
        </w:rPr>
      </w:pPr>
    </w:p>
    <w:p w14:paraId="53119AFA" w14:textId="77777777" w:rsidR="00684A8F" w:rsidRPr="00326B35" w:rsidRDefault="00684A8F" w:rsidP="00AF1D23">
      <w:pPr>
        <w:widowControl w:val="0"/>
        <w:autoSpaceDE w:val="0"/>
        <w:autoSpaceDN w:val="0"/>
        <w:adjustRightInd w:val="0"/>
        <w:spacing w:after="0" w:line="240" w:lineRule="auto"/>
        <w:rPr>
          <w:rFonts w:ascii="Times New Roman" w:hAnsi="Times New Roman"/>
          <w:bCs/>
          <w:lang w:val="sk-SK"/>
        </w:rPr>
      </w:pPr>
      <w:r w:rsidRPr="00326B35">
        <w:rPr>
          <w:rFonts w:ascii="Times New Roman" w:hAnsi="Times New Roman"/>
          <w:bCs/>
          <w:lang w:val="sk-SK"/>
        </w:rPr>
        <w:t>NOS = bližšie nešpecifikované (not otherwise specified)</w:t>
      </w:r>
    </w:p>
    <w:p w14:paraId="65735C5C" w14:textId="77777777" w:rsidR="00684A8F" w:rsidRPr="00326B35" w:rsidRDefault="00684A8F">
      <w:pPr>
        <w:widowControl w:val="0"/>
        <w:autoSpaceDE w:val="0"/>
        <w:autoSpaceDN w:val="0"/>
        <w:adjustRightInd w:val="0"/>
        <w:spacing w:after="0" w:line="240" w:lineRule="auto"/>
        <w:rPr>
          <w:rFonts w:ascii="Times New Roman" w:hAnsi="Times New Roman"/>
          <w:bCs/>
          <w:lang w:val="sk-SK"/>
        </w:rPr>
      </w:pPr>
    </w:p>
    <w:p w14:paraId="15AB12B6" w14:textId="423272AB" w:rsidR="00326B35" w:rsidRPr="00967F48" w:rsidRDefault="00B57AAA">
      <w:pPr>
        <w:widowControl w:val="0"/>
        <w:autoSpaceDE w:val="0"/>
        <w:autoSpaceDN w:val="0"/>
        <w:adjustRightInd w:val="0"/>
        <w:spacing w:after="0" w:line="240" w:lineRule="auto"/>
        <w:rPr>
          <w:rFonts w:ascii="Times New Roman" w:hAnsi="Times New Roman"/>
          <w:b/>
          <w:bCs/>
          <w:u w:val="single"/>
          <w:lang w:val="sk-SK"/>
        </w:rPr>
      </w:pPr>
      <w:r>
        <w:rPr>
          <w:rFonts w:ascii="Times New Roman" w:hAnsi="Times New Roman"/>
          <w:b/>
          <w:bCs/>
          <w:u w:val="single"/>
          <w:lang w:val="sk-SK"/>
        </w:rPr>
        <w:t>Po</w:t>
      </w:r>
      <w:r w:rsidR="00326B35" w:rsidRPr="00326B35">
        <w:rPr>
          <w:rFonts w:ascii="Times New Roman" w:hAnsi="Times New Roman"/>
          <w:b/>
          <w:bCs/>
          <w:u w:val="single"/>
          <w:lang w:val="sk-SK"/>
        </w:rPr>
        <w:t>pis vybraných nežiaducich reakcii</w:t>
      </w:r>
    </w:p>
    <w:p w14:paraId="70D84FBA" w14:textId="77777777" w:rsidR="00684A8F" w:rsidRPr="003B5ED4" w:rsidRDefault="00684A8F">
      <w:pPr>
        <w:widowControl w:val="0"/>
        <w:autoSpaceDE w:val="0"/>
        <w:autoSpaceDN w:val="0"/>
        <w:adjustRightInd w:val="0"/>
        <w:spacing w:after="0" w:line="240" w:lineRule="auto"/>
        <w:rPr>
          <w:rFonts w:ascii="Times New Roman" w:hAnsi="Times New Roman"/>
          <w:bCs/>
          <w:lang w:val="sk-SK"/>
        </w:rPr>
      </w:pPr>
    </w:p>
    <w:p w14:paraId="35777CE5" w14:textId="08341C06" w:rsidR="00684A8F" w:rsidRPr="003B5ED4" w:rsidRDefault="00684A8F">
      <w:pPr>
        <w:widowControl w:val="0"/>
        <w:autoSpaceDE w:val="0"/>
        <w:autoSpaceDN w:val="0"/>
        <w:adjustRightInd w:val="0"/>
        <w:spacing w:after="0" w:line="240" w:lineRule="auto"/>
        <w:rPr>
          <w:rFonts w:ascii="Times New Roman" w:hAnsi="Times New Roman"/>
          <w:bCs/>
          <w:lang w:val="sk-SK"/>
        </w:rPr>
      </w:pPr>
      <w:r w:rsidRPr="003B5ED4">
        <w:rPr>
          <w:rFonts w:ascii="Times New Roman" w:hAnsi="Times New Roman"/>
          <w:bCs/>
          <w:lang w:val="sk-SK"/>
        </w:rPr>
        <w:t xml:space="preserve">Boli hlásené izolované prípady nekrózy po neúmyselnom extravaskulárnom podaní a  syndróm </w:t>
      </w:r>
      <w:r w:rsidR="00F67C07">
        <w:rPr>
          <w:rFonts w:ascii="Times New Roman" w:hAnsi="Times New Roman"/>
          <w:bCs/>
          <w:lang w:val="sk-SK"/>
        </w:rPr>
        <w:t>z rozpadu</w:t>
      </w:r>
      <w:r w:rsidRPr="003B5ED4">
        <w:rPr>
          <w:rFonts w:ascii="Times New Roman" w:hAnsi="Times New Roman"/>
          <w:bCs/>
          <w:lang w:val="sk-SK"/>
        </w:rPr>
        <w:t xml:space="preserve"> nádoru a anafylaxi</w:t>
      </w:r>
      <w:r w:rsidR="00326B35">
        <w:rPr>
          <w:rFonts w:ascii="Times New Roman" w:hAnsi="Times New Roman"/>
          <w:bCs/>
          <w:lang w:val="sk-SK"/>
        </w:rPr>
        <w:t>a</w:t>
      </w:r>
      <w:r w:rsidRPr="003B5ED4">
        <w:rPr>
          <w:rFonts w:ascii="Times New Roman" w:hAnsi="Times New Roman"/>
          <w:bCs/>
          <w:lang w:val="sk-SK"/>
        </w:rPr>
        <w:t>.</w:t>
      </w:r>
    </w:p>
    <w:p w14:paraId="389AB827" w14:textId="77777777" w:rsidR="00C41222" w:rsidRDefault="00C41222">
      <w:pPr>
        <w:widowControl w:val="0"/>
        <w:autoSpaceDE w:val="0"/>
        <w:autoSpaceDN w:val="0"/>
        <w:adjustRightInd w:val="0"/>
        <w:spacing w:after="0" w:line="240" w:lineRule="auto"/>
        <w:rPr>
          <w:rFonts w:ascii="Times New Roman" w:hAnsi="Times New Roman"/>
          <w:bCs/>
          <w:lang w:val="sk-SK"/>
        </w:rPr>
      </w:pPr>
    </w:p>
    <w:p w14:paraId="229774CE" w14:textId="7330DD08" w:rsidR="00C41222" w:rsidRPr="003B5ED4" w:rsidRDefault="00C41222">
      <w:pPr>
        <w:widowControl w:val="0"/>
        <w:autoSpaceDE w:val="0"/>
        <w:autoSpaceDN w:val="0"/>
        <w:adjustRightInd w:val="0"/>
        <w:spacing w:after="0" w:line="240" w:lineRule="auto"/>
        <w:rPr>
          <w:rFonts w:ascii="Times New Roman" w:hAnsi="Times New Roman"/>
          <w:bCs/>
          <w:lang w:val="sk-SK"/>
        </w:rPr>
      </w:pPr>
      <w:r>
        <w:rPr>
          <w:rFonts w:ascii="Times New Roman" w:hAnsi="Times New Roman"/>
          <w:bCs/>
          <w:lang w:val="sk-SK"/>
        </w:rPr>
        <w:t>U pacientov liečených s alk</w:t>
      </w:r>
      <w:r w:rsidR="00B57AAA">
        <w:rPr>
          <w:rFonts w:ascii="Times New Roman" w:hAnsi="Times New Roman"/>
          <w:bCs/>
          <w:lang w:val="sk-SK"/>
        </w:rPr>
        <w:t>y</w:t>
      </w:r>
      <w:r>
        <w:rPr>
          <w:rFonts w:ascii="Times New Roman" w:hAnsi="Times New Roman"/>
          <w:bCs/>
          <w:lang w:val="sk-SK"/>
        </w:rPr>
        <w:t>lačnými látkami je zvýšené riziko myelodysplastického syndrómu a akútnej myeloidnej leukémie. Niekoľko rokov po ukončení chemoterapie sa môže vyvinúť sekundárna malignita.</w:t>
      </w:r>
    </w:p>
    <w:p w14:paraId="2768C500" w14:textId="77777777" w:rsidR="00684A8F" w:rsidRPr="003B5ED4" w:rsidRDefault="00684A8F">
      <w:pPr>
        <w:widowControl w:val="0"/>
        <w:autoSpaceDE w:val="0"/>
        <w:autoSpaceDN w:val="0"/>
        <w:adjustRightInd w:val="0"/>
        <w:spacing w:after="0" w:line="240" w:lineRule="auto"/>
        <w:rPr>
          <w:rFonts w:ascii="Times New Roman" w:hAnsi="Times New Roman"/>
          <w:bCs/>
          <w:lang w:val="sk-SK"/>
        </w:rPr>
      </w:pPr>
    </w:p>
    <w:p w14:paraId="795A5362" w14:textId="77777777" w:rsidR="00684A8F" w:rsidRPr="003B5ED4" w:rsidRDefault="00684A8F">
      <w:pPr>
        <w:widowControl w:val="0"/>
        <w:autoSpaceDE w:val="0"/>
        <w:autoSpaceDN w:val="0"/>
        <w:adjustRightInd w:val="0"/>
        <w:spacing w:after="0" w:line="240" w:lineRule="auto"/>
        <w:rPr>
          <w:rFonts w:ascii="Times New Roman" w:hAnsi="Times New Roman"/>
          <w:bCs/>
          <w:u w:val="single"/>
          <w:lang w:val="sk-SK"/>
        </w:rPr>
      </w:pPr>
      <w:r w:rsidRPr="003B5ED4">
        <w:rPr>
          <w:rFonts w:ascii="Times New Roman" w:hAnsi="Times New Roman"/>
          <w:bCs/>
          <w:u w:val="single"/>
          <w:lang w:val="sk-SK"/>
        </w:rPr>
        <w:t>Hlásenie podozrení na nežiaduce reakcie</w:t>
      </w:r>
    </w:p>
    <w:p w14:paraId="193DD442" w14:textId="77777777" w:rsidR="00684A8F" w:rsidRPr="003B5ED4" w:rsidRDefault="00684A8F">
      <w:pPr>
        <w:widowControl w:val="0"/>
        <w:autoSpaceDE w:val="0"/>
        <w:autoSpaceDN w:val="0"/>
        <w:adjustRightInd w:val="0"/>
        <w:spacing w:after="0" w:line="240" w:lineRule="auto"/>
        <w:rPr>
          <w:rFonts w:ascii="Times New Roman" w:hAnsi="Times New Roman"/>
          <w:bCs/>
          <w:lang w:val="sk-SK"/>
        </w:rPr>
      </w:pPr>
      <w:r w:rsidRPr="003B5ED4">
        <w:rPr>
          <w:rFonts w:ascii="Times New Roman" w:hAnsi="Times New Roman"/>
          <w:bCs/>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Pr="00127E6B">
        <w:rPr>
          <w:rFonts w:ascii="Times New Roman" w:hAnsi="Times New Roman"/>
          <w:bCs/>
          <w:lang w:val="sk-SK"/>
        </w:rPr>
        <w:t xml:space="preserve">na </w:t>
      </w:r>
      <w:r w:rsidRPr="00127E6B">
        <w:rPr>
          <w:rFonts w:ascii="Times New Roman" w:hAnsi="Times New Roman"/>
          <w:bCs/>
          <w:highlight w:val="lightGray"/>
          <w:lang w:val="sk-SK"/>
        </w:rPr>
        <w:t>národné centrum hlásenia uvedené v </w:t>
      </w:r>
      <w:hyperlink r:id="rId8" w:history="1">
        <w:r w:rsidRPr="00127E6B">
          <w:rPr>
            <w:rStyle w:val="Hypertextovprepojenie"/>
            <w:bCs/>
            <w:highlight w:val="lightGray"/>
            <w:lang w:val="sk-SK"/>
          </w:rPr>
          <w:t>Prílohe V</w:t>
        </w:r>
      </w:hyperlink>
      <w:r w:rsidRPr="00127E6B">
        <w:rPr>
          <w:rFonts w:ascii="Times New Roman" w:hAnsi="Times New Roman"/>
          <w:bCs/>
          <w:lang w:val="sk-SK"/>
        </w:rPr>
        <w:t>.</w:t>
      </w:r>
    </w:p>
    <w:p w14:paraId="7404B2FA" w14:textId="77777777" w:rsidR="00684A8F" w:rsidRPr="003B5ED4" w:rsidRDefault="00684A8F">
      <w:pPr>
        <w:widowControl w:val="0"/>
        <w:autoSpaceDE w:val="0"/>
        <w:autoSpaceDN w:val="0"/>
        <w:adjustRightInd w:val="0"/>
        <w:spacing w:after="0" w:line="240" w:lineRule="auto"/>
        <w:rPr>
          <w:rFonts w:ascii="Times New Roman" w:hAnsi="Times New Roman"/>
          <w:bCs/>
        </w:rPr>
      </w:pPr>
    </w:p>
    <w:p w14:paraId="73531A34" w14:textId="77777777" w:rsidR="00684A8F" w:rsidRPr="003B5ED4" w:rsidRDefault="00684A8F">
      <w:pPr>
        <w:widowControl w:val="0"/>
        <w:tabs>
          <w:tab w:val="left" w:pos="567"/>
        </w:tabs>
        <w:autoSpaceDE w:val="0"/>
        <w:autoSpaceDN w:val="0"/>
        <w:adjustRightInd w:val="0"/>
        <w:spacing w:after="0" w:line="240" w:lineRule="auto"/>
        <w:rPr>
          <w:rFonts w:ascii="Times New Roman" w:hAnsi="Times New Roman"/>
          <w:b/>
          <w:bCs/>
        </w:rPr>
      </w:pPr>
      <w:r w:rsidRPr="003B5ED4">
        <w:rPr>
          <w:rFonts w:ascii="Times New Roman" w:hAnsi="Times New Roman"/>
          <w:b/>
          <w:bCs/>
        </w:rPr>
        <w:t>4.9</w:t>
      </w:r>
      <w:r w:rsidRPr="003B5ED4">
        <w:rPr>
          <w:rFonts w:ascii="Times New Roman" w:hAnsi="Times New Roman"/>
          <w:b/>
          <w:bCs/>
        </w:rPr>
        <w:tab/>
        <w:t>Predávkovanie</w:t>
      </w:r>
    </w:p>
    <w:p w14:paraId="5621209F" w14:textId="77777777" w:rsidR="00684A8F" w:rsidRPr="003B5ED4" w:rsidRDefault="00684A8F">
      <w:pPr>
        <w:widowControl w:val="0"/>
        <w:autoSpaceDE w:val="0"/>
        <w:autoSpaceDN w:val="0"/>
        <w:adjustRightInd w:val="0"/>
        <w:spacing w:after="0" w:line="240" w:lineRule="auto"/>
        <w:rPr>
          <w:rFonts w:ascii="Times New Roman" w:hAnsi="Times New Roman"/>
          <w:bCs/>
        </w:rPr>
      </w:pPr>
    </w:p>
    <w:p w14:paraId="4FED449C" w14:textId="77777777" w:rsidR="00684A8F" w:rsidRPr="003B5ED4" w:rsidRDefault="00684A8F">
      <w:pPr>
        <w:widowControl w:val="0"/>
        <w:autoSpaceDE w:val="0"/>
        <w:autoSpaceDN w:val="0"/>
        <w:adjustRightInd w:val="0"/>
        <w:spacing w:after="0" w:line="240" w:lineRule="auto"/>
        <w:rPr>
          <w:rFonts w:ascii="Times New Roman" w:hAnsi="Times New Roman"/>
          <w:bCs/>
          <w:lang w:val="sk-SK"/>
        </w:rPr>
      </w:pPr>
      <w:r w:rsidRPr="003B5ED4">
        <w:rPr>
          <w:rFonts w:ascii="Times New Roman" w:hAnsi="Times New Roman"/>
          <w:bCs/>
          <w:lang w:val="sk-SK"/>
        </w:rPr>
        <w:t xml:space="preserve">Po podaní 30-minútovej infúzie </w:t>
      </w:r>
      <w:r w:rsidR="0086053B">
        <w:rPr>
          <w:rFonts w:ascii="Times New Roman" w:hAnsi="Times New Roman"/>
          <w:bCs/>
          <w:lang w:val="sk-SK"/>
        </w:rPr>
        <w:t xml:space="preserve">s obsahom </w:t>
      </w:r>
      <w:r w:rsidRPr="003B5ED4">
        <w:rPr>
          <w:rFonts w:ascii="Times New Roman" w:hAnsi="Times New Roman"/>
          <w:bCs/>
          <w:lang w:val="sk-SK"/>
        </w:rPr>
        <w:t>bendamustínu jedenkrát za 3 týždne bola maximálna tolerovaná dávka (MTD) 280 mg/m². Vyskytli sa srdcové príhody 2. stupňa podľa CTC, ktoré boli kompatibilné s ischemickými zmenami EKG, považovanými za dôvod na obmedzenie dávky.</w:t>
      </w:r>
    </w:p>
    <w:p w14:paraId="5C6DEE23" w14:textId="77777777" w:rsidR="00684A8F" w:rsidRPr="003B5ED4" w:rsidRDefault="00684A8F">
      <w:pPr>
        <w:widowControl w:val="0"/>
        <w:autoSpaceDE w:val="0"/>
        <w:autoSpaceDN w:val="0"/>
        <w:adjustRightInd w:val="0"/>
        <w:spacing w:after="0" w:line="240" w:lineRule="auto"/>
        <w:rPr>
          <w:rFonts w:ascii="Times New Roman" w:hAnsi="Times New Roman"/>
          <w:bCs/>
          <w:lang w:val="sk-SK"/>
        </w:rPr>
      </w:pPr>
    </w:p>
    <w:p w14:paraId="005589EA" w14:textId="77777777" w:rsidR="00684A8F" w:rsidRPr="003B5ED4" w:rsidRDefault="00684A8F">
      <w:pPr>
        <w:widowControl w:val="0"/>
        <w:autoSpaceDE w:val="0"/>
        <w:autoSpaceDN w:val="0"/>
        <w:adjustRightInd w:val="0"/>
        <w:spacing w:after="0" w:line="240" w:lineRule="auto"/>
        <w:rPr>
          <w:rFonts w:ascii="Times New Roman" w:hAnsi="Times New Roman"/>
          <w:bCs/>
          <w:lang w:val="sk-SK"/>
        </w:rPr>
      </w:pPr>
      <w:r w:rsidRPr="003B5ED4">
        <w:rPr>
          <w:rFonts w:ascii="Times New Roman" w:hAnsi="Times New Roman"/>
          <w:bCs/>
          <w:lang w:val="sk-SK"/>
        </w:rPr>
        <w:t xml:space="preserve">V následnej štúdii s 30-minútovou infúziou </w:t>
      </w:r>
      <w:r w:rsidR="0086053B">
        <w:rPr>
          <w:rFonts w:ascii="Times New Roman" w:hAnsi="Times New Roman"/>
          <w:bCs/>
          <w:lang w:val="sk-SK"/>
        </w:rPr>
        <w:t>s obsahom</w:t>
      </w:r>
      <w:r w:rsidRPr="003B5ED4">
        <w:rPr>
          <w:rFonts w:ascii="Times New Roman" w:hAnsi="Times New Roman"/>
          <w:bCs/>
          <w:lang w:val="sk-SK"/>
        </w:rPr>
        <w:t xml:space="preserve"> bendamustínu v 1. a 2. deň každé 3 týždne bola zistená MTD rovná 180 mg/m</w:t>
      </w:r>
      <w:r w:rsidRPr="003B5ED4">
        <w:rPr>
          <w:rFonts w:ascii="Times New Roman" w:hAnsi="Times New Roman"/>
          <w:bCs/>
          <w:vertAlign w:val="superscript"/>
          <w:lang w:val="sk-SK"/>
        </w:rPr>
        <w:t>2</w:t>
      </w:r>
      <w:r w:rsidRPr="003B5ED4">
        <w:rPr>
          <w:rFonts w:ascii="Times New Roman" w:hAnsi="Times New Roman"/>
          <w:bCs/>
          <w:lang w:val="sk-SK"/>
        </w:rPr>
        <w:t>. Toxicit</w:t>
      </w:r>
      <w:r w:rsidR="00420A4B">
        <w:rPr>
          <w:rFonts w:ascii="Times New Roman" w:hAnsi="Times New Roman"/>
          <w:bCs/>
          <w:lang w:val="sk-SK"/>
        </w:rPr>
        <w:t>ou</w:t>
      </w:r>
      <w:r w:rsidRPr="003B5ED4">
        <w:rPr>
          <w:rFonts w:ascii="Times New Roman" w:hAnsi="Times New Roman"/>
          <w:bCs/>
          <w:lang w:val="sk-SK"/>
        </w:rPr>
        <w:t xml:space="preserve"> obmedzujúc</w:t>
      </w:r>
      <w:r w:rsidR="00420A4B">
        <w:rPr>
          <w:rFonts w:ascii="Times New Roman" w:hAnsi="Times New Roman"/>
          <w:bCs/>
          <w:lang w:val="sk-SK"/>
        </w:rPr>
        <w:t>ou</w:t>
      </w:r>
      <w:r w:rsidRPr="003B5ED4">
        <w:rPr>
          <w:rFonts w:ascii="Times New Roman" w:hAnsi="Times New Roman"/>
          <w:bCs/>
          <w:lang w:val="sk-SK"/>
        </w:rPr>
        <w:t xml:space="preserve"> dávku bola trombocytopénia 4. stupňa. </w:t>
      </w:r>
    </w:p>
    <w:p w14:paraId="6C987746" w14:textId="77777777" w:rsidR="00684A8F" w:rsidRPr="003B5ED4" w:rsidRDefault="00684A8F">
      <w:pPr>
        <w:widowControl w:val="0"/>
        <w:autoSpaceDE w:val="0"/>
        <w:autoSpaceDN w:val="0"/>
        <w:adjustRightInd w:val="0"/>
        <w:spacing w:after="0" w:line="240" w:lineRule="auto"/>
        <w:rPr>
          <w:rFonts w:ascii="Times New Roman" w:hAnsi="Times New Roman"/>
          <w:bCs/>
          <w:lang w:val="sk-SK"/>
        </w:rPr>
      </w:pPr>
      <w:r w:rsidRPr="003B5ED4">
        <w:rPr>
          <w:rFonts w:ascii="Times New Roman" w:hAnsi="Times New Roman"/>
          <w:bCs/>
          <w:lang w:val="sk-SK"/>
        </w:rPr>
        <w:t xml:space="preserve">Kardiálna toxicita pri tomto režime neobmedzovala dávku. </w:t>
      </w:r>
    </w:p>
    <w:p w14:paraId="3024AB26" w14:textId="77777777" w:rsidR="00684A8F" w:rsidRPr="003B5ED4" w:rsidRDefault="00684A8F">
      <w:pPr>
        <w:widowControl w:val="0"/>
        <w:autoSpaceDE w:val="0"/>
        <w:autoSpaceDN w:val="0"/>
        <w:adjustRightInd w:val="0"/>
        <w:spacing w:after="0" w:line="240" w:lineRule="auto"/>
        <w:rPr>
          <w:rFonts w:ascii="Times New Roman" w:hAnsi="Times New Roman"/>
          <w:bCs/>
          <w:u w:val="single"/>
          <w:lang w:val="sk-SK"/>
        </w:rPr>
      </w:pPr>
    </w:p>
    <w:p w14:paraId="09C69644" w14:textId="77777777" w:rsidR="00684A8F" w:rsidRPr="00F95656" w:rsidRDefault="00684A8F">
      <w:pPr>
        <w:widowControl w:val="0"/>
        <w:autoSpaceDE w:val="0"/>
        <w:autoSpaceDN w:val="0"/>
        <w:adjustRightInd w:val="0"/>
        <w:spacing w:after="0" w:line="240" w:lineRule="auto"/>
        <w:rPr>
          <w:rFonts w:ascii="Times New Roman" w:hAnsi="Times New Roman"/>
          <w:bCs/>
          <w:lang w:val="sk-SK"/>
        </w:rPr>
      </w:pPr>
      <w:r w:rsidRPr="00F95656">
        <w:rPr>
          <w:rFonts w:ascii="Times New Roman" w:hAnsi="Times New Roman"/>
          <w:bCs/>
          <w:lang w:val="sk-SK"/>
        </w:rPr>
        <w:t>Protiopatrenia</w:t>
      </w:r>
    </w:p>
    <w:p w14:paraId="227F70CB" w14:textId="77777777" w:rsidR="00684A8F" w:rsidRPr="003B5ED4" w:rsidRDefault="00684A8F">
      <w:pPr>
        <w:widowControl w:val="0"/>
        <w:autoSpaceDE w:val="0"/>
        <w:autoSpaceDN w:val="0"/>
        <w:adjustRightInd w:val="0"/>
        <w:spacing w:after="0" w:line="240" w:lineRule="auto"/>
        <w:rPr>
          <w:rFonts w:ascii="Times New Roman" w:hAnsi="Times New Roman"/>
          <w:bCs/>
          <w:lang w:val="sk-SK"/>
        </w:rPr>
      </w:pPr>
      <w:r w:rsidRPr="003B5ED4">
        <w:rPr>
          <w:rFonts w:ascii="Times New Roman" w:hAnsi="Times New Roman"/>
          <w:bCs/>
          <w:lang w:val="sk-SK"/>
        </w:rPr>
        <w:t>Neexistuje žiadne špecifické antidotum. Ako efektívne protiopatrenia na obmedzenie hematologických vedľajších účinkov sa môže uskutočniť transplantácia kostnej drene a transfúzie (trombocyty, koncentrované erytrocyty) alebo sa môžu podávať hematologické rastové faktory.</w:t>
      </w:r>
    </w:p>
    <w:p w14:paraId="0E16D72B" w14:textId="77777777" w:rsidR="00684A8F" w:rsidRPr="003B5ED4" w:rsidRDefault="00684A8F">
      <w:pPr>
        <w:widowControl w:val="0"/>
        <w:autoSpaceDE w:val="0"/>
        <w:autoSpaceDN w:val="0"/>
        <w:adjustRightInd w:val="0"/>
        <w:spacing w:after="0" w:line="240" w:lineRule="auto"/>
        <w:rPr>
          <w:rFonts w:ascii="Times New Roman" w:hAnsi="Times New Roman"/>
          <w:bCs/>
          <w:lang w:val="sk-SK"/>
        </w:rPr>
      </w:pPr>
      <w:r w:rsidRPr="003B5ED4">
        <w:rPr>
          <w:rFonts w:ascii="Times New Roman" w:hAnsi="Times New Roman"/>
          <w:bCs/>
          <w:lang w:val="sk-SK"/>
        </w:rPr>
        <w:t>Bendamustíniumchlorid a jeho metabolity sú v malom rozsahu dialyzovateľné.</w:t>
      </w:r>
    </w:p>
    <w:p w14:paraId="1D4941AC" w14:textId="77777777" w:rsidR="00684A8F" w:rsidRPr="003B5ED4" w:rsidRDefault="00684A8F">
      <w:pPr>
        <w:widowControl w:val="0"/>
        <w:autoSpaceDE w:val="0"/>
        <w:autoSpaceDN w:val="0"/>
        <w:adjustRightInd w:val="0"/>
        <w:spacing w:after="0" w:line="240" w:lineRule="auto"/>
        <w:rPr>
          <w:rFonts w:ascii="Times New Roman" w:hAnsi="Times New Roman"/>
          <w:bCs/>
        </w:rPr>
      </w:pPr>
    </w:p>
    <w:p w14:paraId="1E692E0A" w14:textId="77777777" w:rsidR="00684A8F" w:rsidRPr="003B5ED4" w:rsidRDefault="00684A8F">
      <w:pPr>
        <w:widowControl w:val="0"/>
        <w:autoSpaceDE w:val="0"/>
        <w:autoSpaceDN w:val="0"/>
        <w:adjustRightInd w:val="0"/>
        <w:spacing w:after="0" w:line="240" w:lineRule="auto"/>
        <w:rPr>
          <w:rFonts w:ascii="Times New Roman" w:hAnsi="Times New Roman"/>
          <w:bCs/>
        </w:rPr>
      </w:pPr>
    </w:p>
    <w:p w14:paraId="44180535" w14:textId="77777777" w:rsidR="00684A8F" w:rsidRPr="003B5ED4" w:rsidRDefault="00684A8F">
      <w:pPr>
        <w:widowControl w:val="0"/>
        <w:numPr>
          <w:ilvl w:val="0"/>
          <w:numId w:val="1"/>
        </w:numPr>
        <w:autoSpaceDE w:val="0"/>
        <w:autoSpaceDN w:val="0"/>
        <w:adjustRightInd w:val="0"/>
        <w:spacing w:after="0" w:line="240" w:lineRule="auto"/>
        <w:ind w:left="567" w:hanging="567"/>
        <w:rPr>
          <w:rFonts w:ascii="Times New Roman" w:hAnsi="Times New Roman"/>
          <w:b/>
          <w:bCs/>
        </w:rPr>
      </w:pPr>
      <w:r w:rsidRPr="003B5ED4">
        <w:rPr>
          <w:rFonts w:ascii="Times New Roman" w:hAnsi="Times New Roman"/>
          <w:b/>
          <w:bCs/>
        </w:rPr>
        <w:t>FARMAKOLOGICKÉ VLASTNOSTI</w:t>
      </w:r>
    </w:p>
    <w:p w14:paraId="688C9858" w14:textId="77777777" w:rsidR="00684A8F" w:rsidRPr="003B5ED4" w:rsidRDefault="00684A8F">
      <w:pPr>
        <w:widowControl w:val="0"/>
        <w:autoSpaceDE w:val="0"/>
        <w:autoSpaceDN w:val="0"/>
        <w:adjustRightInd w:val="0"/>
        <w:spacing w:after="0" w:line="240" w:lineRule="auto"/>
        <w:rPr>
          <w:rFonts w:ascii="Times New Roman" w:hAnsi="Times New Roman"/>
          <w:bCs/>
        </w:rPr>
      </w:pPr>
    </w:p>
    <w:p w14:paraId="74BD5CDB" w14:textId="77777777" w:rsidR="00684A8F" w:rsidRPr="003B5ED4" w:rsidRDefault="00684A8F">
      <w:pPr>
        <w:widowControl w:val="0"/>
        <w:tabs>
          <w:tab w:val="left" w:pos="567"/>
        </w:tabs>
        <w:autoSpaceDE w:val="0"/>
        <w:autoSpaceDN w:val="0"/>
        <w:adjustRightInd w:val="0"/>
        <w:spacing w:after="0" w:line="240" w:lineRule="auto"/>
        <w:rPr>
          <w:rFonts w:ascii="Times New Roman" w:hAnsi="Times New Roman"/>
          <w:b/>
          <w:bCs/>
        </w:rPr>
      </w:pPr>
      <w:r w:rsidRPr="003B5ED4">
        <w:rPr>
          <w:rFonts w:ascii="Times New Roman" w:hAnsi="Times New Roman"/>
          <w:b/>
          <w:bCs/>
        </w:rPr>
        <w:t>5.1</w:t>
      </w:r>
      <w:r w:rsidRPr="003B5ED4">
        <w:rPr>
          <w:rFonts w:ascii="Times New Roman" w:hAnsi="Times New Roman"/>
          <w:b/>
          <w:bCs/>
        </w:rPr>
        <w:tab/>
        <w:t>Farmakodynamické vlastnosti</w:t>
      </w:r>
    </w:p>
    <w:p w14:paraId="1FA02530" w14:textId="77777777" w:rsidR="00684A8F" w:rsidRPr="003B5ED4" w:rsidRDefault="00684A8F">
      <w:pPr>
        <w:widowControl w:val="0"/>
        <w:autoSpaceDE w:val="0"/>
        <w:autoSpaceDN w:val="0"/>
        <w:adjustRightInd w:val="0"/>
        <w:spacing w:after="0" w:line="240" w:lineRule="auto"/>
        <w:rPr>
          <w:rFonts w:ascii="Times New Roman" w:hAnsi="Times New Roman"/>
          <w:bCs/>
        </w:rPr>
      </w:pPr>
    </w:p>
    <w:p w14:paraId="5DBF5E01" w14:textId="77777777" w:rsidR="00684A8F" w:rsidRPr="003B5ED4" w:rsidRDefault="00684A8F">
      <w:pPr>
        <w:widowControl w:val="0"/>
        <w:autoSpaceDE w:val="0"/>
        <w:autoSpaceDN w:val="0"/>
        <w:adjustRightInd w:val="0"/>
        <w:spacing w:after="0" w:line="240" w:lineRule="auto"/>
        <w:rPr>
          <w:rFonts w:ascii="Times New Roman" w:hAnsi="Times New Roman"/>
          <w:bCs/>
          <w:lang w:val="sk-SK"/>
        </w:rPr>
      </w:pPr>
      <w:r w:rsidRPr="003B5ED4">
        <w:rPr>
          <w:rFonts w:ascii="Times New Roman" w:hAnsi="Times New Roman"/>
          <w:bCs/>
        </w:rPr>
        <w:t xml:space="preserve">Farmakoterapeutická skupina: </w:t>
      </w:r>
      <w:r w:rsidRPr="003B5ED4">
        <w:rPr>
          <w:rFonts w:ascii="Times New Roman" w:hAnsi="Times New Roman"/>
          <w:bCs/>
          <w:lang w:val="sk-SK"/>
        </w:rPr>
        <w:t>cytostatiká, alkylačné látky, ATC kód: L01AA09</w:t>
      </w:r>
    </w:p>
    <w:p w14:paraId="118635B7" w14:textId="77777777" w:rsidR="00684A8F" w:rsidRPr="003B5ED4" w:rsidRDefault="00684A8F">
      <w:pPr>
        <w:widowControl w:val="0"/>
        <w:autoSpaceDE w:val="0"/>
        <w:autoSpaceDN w:val="0"/>
        <w:adjustRightInd w:val="0"/>
        <w:spacing w:after="0" w:line="240" w:lineRule="auto"/>
        <w:rPr>
          <w:rFonts w:ascii="Times New Roman" w:hAnsi="Times New Roman"/>
          <w:bCs/>
        </w:rPr>
      </w:pPr>
    </w:p>
    <w:p w14:paraId="64C76FCA" w14:textId="77777777" w:rsidR="00684A8F" w:rsidRPr="003B5ED4" w:rsidRDefault="00684A8F">
      <w:pPr>
        <w:widowControl w:val="0"/>
        <w:autoSpaceDE w:val="0"/>
        <w:autoSpaceDN w:val="0"/>
        <w:adjustRightInd w:val="0"/>
        <w:spacing w:after="0" w:line="240" w:lineRule="auto"/>
        <w:rPr>
          <w:rFonts w:ascii="Times New Roman" w:hAnsi="Times New Roman"/>
          <w:bCs/>
          <w:lang w:val="sk-SK"/>
        </w:rPr>
      </w:pPr>
      <w:r w:rsidRPr="003B5ED4">
        <w:rPr>
          <w:rFonts w:ascii="Times New Roman" w:hAnsi="Times New Roman"/>
          <w:bCs/>
          <w:lang w:val="sk-SK"/>
        </w:rPr>
        <w:t xml:space="preserve">Bendamustíniumchlorid je alkylačná protinádorová látka s jedinečnou aktivitou. Cytostatický a cytocidný účinok bendamustíniumchloridu sa zakladá v zásade na krížovom naviazaní jednoduchých a dvojitých reťazcov DNA alkyláciou. V dôsledku toho sú narušené funkcie matrixu DNA, syntéza a oprava DNA. Protinádorový účinok bendamustíniumchloridu bol preukázaný vo viacerých štúdiách </w:t>
      </w:r>
      <w:r w:rsidRPr="003B5ED4">
        <w:rPr>
          <w:rFonts w:ascii="Times New Roman" w:hAnsi="Times New Roman"/>
          <w:bCs/>
          <w:i/>
          <w:lang w:val="sk-SK"/>
        </w:rPr>
        <w:t>in-vitro</w:t>
      </w:r>
      <w:r w:rsidRPr="003B5ED4">
        <w:rPr>
          <w:rFonts w:ascii="Times New Roman" w:hAnsi="Times New Roman"/>
          <w:bCs/>
          <w:lang w:val="sk-SK"/>
        </w:rPr>
        <w:t xml:space="preserve"> s rôznymi ľudskými líniami nádorových buniek (rakovina prsníka, nemalobunkový a malobunkový karcinóm pľúc, karcinóm vaječníka a rôzne leukémie) a </w:t>
      </w:r>
      <w:r w:rsidRPr="003B5ED4">
        <w:rPr>
          <w:rFonts w:ascii="Times New Roman" w:hAnsi="Times New Roman"/>
          <w:bCs/>
          <w:i/>
          <w:lang w:val="sk-SK"/>
        </w:rPr>
        <w:t>in-vivo</w:t>
      </w:r>
      <w:r w:rsidRPr="003B5ED4">
        <w:rPr>
          <w:rFonts w:ascii="Times New Roman" w:hAnsi="Times New Roman"/>
          <w:bCs/>
          <w:lang w:val="sk-SK"/>
        </w:rPr>
        <w:t xml:space="preserve"> v rôznych experimentálnych modeloch nádorov myšacieho, potkanieho a ľudského pôvodu (melanóm, rakovina prsníka, sarkóm, lymfóm, leukémia a malobunkový karcinóm pľúc).</w:t>
      </w:r>
    </w:p>
    <w:p w14:paraId="52188F12" w14:textId="77777777" w:rsidR="00684A8F" w:rsidRPr="003B5ED4" w:rsidRDefault="00684A8F">
      <w:pPr>
        <w:widowControl w:val="0"/>
        <w:autoSpaceDE w:val="0"/>
        <w:autoSpaceDN w:val="0"/>
        <w:adjustRightInd w:val="0"/>
        <w:spacing w:after="0" w:line="240" w:lineRule="auto"/>
        <w:rPr>
          <w:rFonts w:ascii="Times New Roman" w:hAnsi="Times New Roman"/>
          <w:bCs/>
        </w:rPr>
      </w:pPr>
    </w:p>
    <w:p w14:paraId="13357497" w14:textId="77777777" w:rsidR="00684A8F" w:rsidRPr="003B5ED4" w:rsidRDefault="00684A8F">
      <w:pPr>
        <w:widowControl w:val="0"/>
        <w:autoSpaceDE w:val="0"/>
        <w:autoSpaceDN w:val="0"/>
        <w:adjustRightInd w:val="0"/>
        <w:spacing w:after="0" w:line="240" w:lineRule="auto"/>
        <w:rPr>
          <w:rFonts w:ascii="Times New Roman" w:hAnsi="Times New Roman"/>
          <w:bCs/>
          <w:lang w:val="sk-SK"/>
        </w:rPr>
      </w:pPr>
      <w:r w:rsidRPr="003B5ED4">
        <w:rPr>
          <w:rFonts w:ascii="Times New Roman" w:hAnsi="Times New Roman"/>
          <w:bCs/>
          <w:lang w:val="sk-SK"/>
        </w:rPr>
        <w:t>Bendamustíniumchlorid preukázal profil aktivity v líniách ľudských nádorových buniek, odlišný od</w:t>
      </w:r>
      <w:r w:rsidR="002E4A24">
        <w:rPr>
          <w:rFonts w:ascii="Times New Roman" w:hAnsi="Times New Roman"/>
          <w:bCs/>
          <w:lang w:val="sk-SK"/>
        </w:rPr>
        <w:t> </w:t>
      </w:r>
      <w:r w:rsidR="003E6E76">
        <w:rPr>
          <w:rFonts w:ascii="Times New Roman" w:hAnsi="Times New Roman"/>
          <w:bCs/>
          <w:lang w:val="sk-SK"/>
        </w:rPr>
        <w:t xml:space="preserve">profilu </w:t>
      </w:r>
      <w:r w:rsidRPr="003B5ED4">
        <w:rPr>
          <w:rFonts w:ascii="Times New Roman" w:hAnsi="Times New Roman"/>
          <w:bCs/>
          <w:lang w:val="sk-SK"/>
        </w:rPr>
        <w:t>iných alkyl</w:t>
      </w:r>
      <w:r w:rsidR="00F61DF4">
        <w:rPr>
          <w:rFonts w:ascii="Times New Roman" w:hAnsi="Times New Roman"/>
          <w:bCs/>
          <w:lang w:val="sk-SK"/>
        </w:rPr>
        <w:t>ačných</w:t>
      </w:r>
      <w:r w:rsidRPr="003B5ED4">
        <w:rPr>
          <w:rFonts w:ascii="Times New Roman" w:hAnsi="Times New Roman"/>
          <w:bCs/>
          <w:lang w:val="sk-SK"/>
        </w:rPr>
        <w:t xml:space="preserve"> látok. Liečivo nevykazovalo žiadnu alebo len veľmi nízku krížovú rezistenciu v líniách ľudských nádorových buniek s rôznymi rezistenčnými mechanizmami, prinajmenšom v dôsledku pomerne perzistentnej interakcie DNA. Okrem toho bolo pri klinických štúdiách preukázané, že neexistuje žiadna úplná krížová rezistencia bendamustínu s antracyklínmi, alkylačnými látkami a</w:t>
      </w:r>
      <w:r w:rsidR="00857896">
        <w:rPr>
          <w:rFonts w:ascii="Times New Roman" w:hAnsi="Times New Roman"/>
          <w:bCs/>
          <w:lang w:val="sk-SK"/>
        </w:rPr>
        <w:t>lebo s</w:t>
      </w:r>
      <w:r w:rsidRPr="003B5ED4">
        <w:rPr>
          <w:rFonts w:ascii="Times New Roman" w:hAnsi="Times New Roman"/>
          <w:bCs/>
          <w:lang w:val="sk-SK"/>
        </w:rPr>
        <w:t> rituximabom. Počet hodnotených pacientov je však nízky.</w:t>
      </w:r>
    </w:p>
    <w:p w14:paraId="50A39CC7" w14:textId="77777777" w:rsidR="00684A8F" w:rsidRPr="003B5ED4" w:rsidRDefault="00684A8F">
      <w:pPr>
        <w:widowControl w:val="0"/>
        <w:autoSpaceDE w:val="0"/>
        <w:autoSpaceDN w:val="0"/>
        <w:adjustRightInd w:val="0"/>
        <w:spacing w:after="0" w:line="240" w:lineRule="auto"/>
        <w:rPr>
          <w:rFonts w:ascii="Times New Roman" w:hAnsi="Times New Roman"/>
          <w:bCs/>
        </w:rPr>
      </w:pPr>
    </w:p>
    <w:p w14:paraId="2FC2634C" w14:textId="77777777" w:rsidR="00684A8F" w:rsidRPr="00520002" w:rsidRDefault="00684A8F">
      <w:pPr>
        <w:widowControl w:val="0"/>
        <w:autoSpaceDE w:val="0"/>
        <w:autoSpaceDN w:val="0"/>
        <w:adjustRightInd w:val="0"/>
        <w:spacing w:after="0" w:line="240" w:lineRule="auto"/>
        <w:rPr>
          <w:rFonts w:ascii="Times New Roman" w:hAnsi="Times New Roman"/>
          <w:bCs/>
        </w:rPr>
      </w:pPr>
      <w:r w:rsidRPr="00520002">
        <w:rPr>
          <w:rFonts w:ascii="Times New Roman" w:hAnsi="Times New Roman"/>
          <w:bCs/>
        </w:rPr>
        <w:t>Chronická lymfocyt</w:t>
      </w:r>
      <w:r w:rsidR="00B558AF" w:rsidRPr="00520002">
        <w:rPr>
          <w:rFonts w:ascii="Times New Roman" w:hAnsi="Times New Roman"/>
          <w:bCs/>
        </w:rPr>
        <w:t>ová</w:t>
      </w:r>
      <w:r w:rsidRPr="00520002">
        <w:rPr>
          <w:rFonts w:ascii="Times New Roman" w:hAnsi="Times New Roman"/>
          <w:bCs/>
        </w:rPr>
        <w:t xml:space="preserve"> leukémia </w:t>
      </w:r>
    </w:p>
    <w:p w14:paraId="4F682EC1" w14:textId="77777777" w:rsidR="00684A8F" w:rsidRPr="003B5ED4" w:rsidRDefault="00684A8F">
      <w:pPr>
        <w:widowControl w:val="0"/>
        <w:autoSpaceDE w:val="0"/>
        <w:autoSpaceDN w:val="0"/>
        <w:adjustRightInd w:val="0"/>
        <w:spacing w:after="0" w:line="240" w:lineRule="auto"/>
        <w:rPr>
          <w:rFonts w:ascii="Times New Roman" w:hAnsi="Times New Roman"/>
          <w:bCs/>
          <w:lang w:val="sk-SK"/>
        </w:rPr>
      </w:pPr>
      <w:r w:rsidRPr="003B5ED4">
        <w:rPr>
          <w:rFonts w:ascii="Times New Roman" w:hAnsi="Times New Roman"/>
          <w:bCs/>
          <w:lang w:val="sk-SK"/>
        </w:rPr>
        <w:t>Indikácia na použitie lieku pri chronickej lymfocyt</w:t>
      </w:r>
      <w:r w:rsidR="00F83209">
        <w:rPr>
          <w:rFonts w:ascii="Times New Roman" w:hAnsi="Times New Roman"/>
          <w:bCs/>
          <w:lang w:val="sk-SK"/>
        </w:rPr>
        <w:t>ovej</w:t>
      </w:r>
      <w:r w:rsidRPr="003B5ED4">
        <w:rPr>
          <w:rFonts w:ascii="Times New Roman" w:hAnsi="Times New Roman"/>
          <w:bCs/>
          <w:lang w:val="sk-SK"/>
        </w:rPr>
        <w:t xml:space="preserve"> leukémii sa opiera o jednu otvorenú štúdiu porovnávajúcu bendamustín s chlorambucilom. Do prospektívnej multicentrickej randomizovanej štúdie bolo zaradených 319 predtým neliečených pacientov s chronickou lymfocyt</w:t>
      </w:r>
      <w:r w:rsidR="00F83209">
        <w:rPr>
          <w:rFonts w:ascii="Times New Roman" w:hAnsi="Times New Roman"/>
          <w:bCs/>
          <w:lang w:val="sk-SK"/>
        </w:rPr>
        <w:t>ov</w:t>
      </w:r>
      <w:r w:rsidRPr="003B5ED4">
        <w:rPr>
          <w:rFonts w:ascii="Times New Roman" w:hAnsi="Times New Roman"/>
          <w:bCs/>
          <w:lang w:val="sk-SK"/>
        </w:rPr>
        <w:t>ou leukémiou v štádiu B alebo C podľa Bineta, ktorí vyžadovali liečbu. Bola porovnávaná liečba prvej línie bendamustíniumchloridom 100 mg/m² i</w:t>
      </w:r>
      <w:r w:rsidR="00913F90">
        <w:rPr>
          <w:rFonts w:ascii="Times New Roman" w:hAnsi="Times New Roman"/>
          <w:bCs/>
          <w:lang w:val="sk-SK"/>
        </w:rPr>
        <w:t>ntravenózne</w:t>
      </w:r>
      <w:r w:rsidRPr="003B5ED4">
        <w:rPr>
          <w:rFonts w:ascii="Times New Roman" w:hAnsi="Times New Roman"/>
          <w:bCs/>
          <w:lang w:val="sk-SK"/>
        </w:rPr>
        <w:t xml:space="preserve"> v 1. a 2. deň (BEN) s liečbou chlorambucilom 0,8 mg/kg v 1. a 15. deň (CLB) počas 6 cyklov v oboch skupinách. Pacienti dostávali alopurinol na</w:t>
      </w:r>
      <w:r w:rsidR="00913F90">
        <w:rPr>
          <w:rFonts w:ascii="Times New Roman" w:hAnsi="Times New Roman"/>
          <w:bCs/>
          <w:lang w:val="sk-SK"/>
        </w:rPr>
        <w:t> </w:t>
      </w:r>
      <w:r w:rsidRPr="003B5ED4">
        <w:rPr>
          <w:rFonts w:ascii="Times New Roman" w:hAnsi="Times New Roman"/>
          <w:bCs/>
          <w:lang w:val="sk-SK"/>
        </w:rPr>
        <w:t xml:space="preserve">prevenciu syndrómu </w:t>
      </w:r>
      <w:r w:rsidR="00913F90">
        <w:rPr>
          <w:rFonts w:ascii="Times New Roman" w:hAnsi="Times New Roman"/>
          <w:bCs/>
          <w:lang w:val="sk-SK"/>
        </w:rPr>
        <w:t>z </w:t>
      </w:r>
      <w:r w:rsidRPr="003B5ED4">
        <w:rPr>
          <w:rFonts w:ascii="Times New Roman" w:hAnsi="Times New Roman"/>
          <w:bCs/>
          <w:lang w:val="sk-SK"/>
        </w:rPr>
        <w:t>rozpadu</w:t>
      </w:r>
      <w:r w:rsidR="00913F90">
        <w:rPr>
          <w:rFonts w:ascii="Times New Roman" w:hAnsi="Times New Roman"/>
          <w:bCs/>
          <w:lang w:val="sk-SK"/>
        </w:rPr>
        <w:t xml:space="preserve"> nádoru</w:t>
      </w:r>
      <w:r w:rsidRPr="003B5ED4">
        <w:rPr>
          <w:rFonts w:ascii="Times New Roman" w:hAnsi="Times New Roman"/>
          <w:bCs/>
          <w:lang w:val="sk-SK"/>
        </w:rPr>
        <w:t>.</w:t>
      </w:r>
    </w:p>
    <w:p w14:paraId="6AD67B47" w14:textId="77777777" w:rsidR="00684A8F" w:rsidRPr="003B5ED4" w:rsidRDefault="00684A8F">
      <w:pPr>
        <w:widowControl w:val="0"/>
        <w:autoSpaceDE w:val="0"/>
        <w:autoSpaceDN w:val="0"/>
        <w:adjustRightInd w:val="0"/>
        <w:spacing w:after="0" w:line="240" w:lineRule="auto"/>
        <w:rPr>
          <w:rFonts w:ascii="Times New Roman" w:hAnsi="Times New Roman"/>
          <w:bCs/>
          <w:lang w:val="sk-SK"/>
        </w:rPr>
      </w:pPr>
      <w:r w:rsidRPr="003B5ED4">
        <w:rPr>
          <w:rFonts w:ascii="Times New Roman" w:hAnsi="Times New Roman"/>
          <w:bCs/>
          <w:lang w:val="sk-SK"/>
        </w:rPr>
        <w:t xml:space="preserve">Pacienti s BEN mali významne dlhší medián prežívania bez progresie ako pacienti s liečbou CLB (21,5 mesiacov v porovnaní s 8,3 mesiacmi, p &lt; 0,0001 pri najnovšom následnom vyšetrení). Celkové prežívanie nebolo štatisticky významne odlišné (medián nebol dosiahnutý). Medián doby trvania remisie bol 19 mesiacov s BEN a 6 mesiacov s liečbou CLB (p &lt; 0,0001). Hodnotenie bezpečnosti </w:t>
      </w:r>
      <w:r w:rsidRPr="003B5ED4">
        <w:rPr>
          <w:rFonts w:ascii="Times New Roman" w:hAnsi="Times New Roman"/>
          <w:bCs/>
          <w:lang w:val="sk-SK"/>
        </w:rPr>
        <w:lastRenderedPageBreak/>
        <w:t>oboch liečených skupín neodhalilo žiadne neočakávané nežiaduce účinky z hľadiska charakteru a frekvencie. Dávkovanie BEN bolo znížené u 34 % pacientov. Liečba BEN bola ukončená u 3,9 % pacientov v dôsledku alergických reakcií.</w:t>
      </w:r>
    </w:p>
    <w:p w14:paraId="4144327A" w14:textId="77777777" w:rsidR="00684A8F" w:rsidRPr="004B318B" w:rsidRDefault="00684A8F">
      <w:pPr>
        <w:widowControl w:val="0"/>
        <w:autoSpaceDE w:val="0"/>
        <w:autoSpaceDN w:val="0"/>
        <w:adjustRightInd w:val="0"/>
        <w:spacing w:after="0" w:line="240" w:lineRule="auto"/>
        <w:rPr>
          <w:rFonts w:ascii="Times New Roman" w:hAnsi="Times New Roman"/>
          <w:bCs/>
        </w:rPr>
      </w:pPr>
    </w:p>
    <w:p w14:paraId="70514A82" w14:textId="77777777" w:rsidR="00684A8F" w:rsidRPr="00520002" w:rsidRDefault="00684A8F">
      <w:pPr>
        <w:widowControl w:val="0"/>
        <w:autoSpaceDE w:val="0"/>
        <w:autoSpaceDN w:val="0"/>
        <w:adjustRightInd w:val="0"/>
        <w:spacing w:after="0" w:line="240" w:lineRule="auto"/>
        <w:rPr>
          <w:rFonts w:ascii="Times New Roman" w:hAnsi="Times New Roman"/>
          <w:color w:val="000000"/>
          <w:lang w:val="sk-SK"/>
        </w:rPr>
      </w:pPr>
      <w:r w:rsidRPr="00520002">
        <w:rPr>
          <w:rFonts w:ascii="Times New Roman" w:hAnsi="Times New Roman"/>
          <w:color w:val="000000"/>
          <w:lang w:val="sk-SK"/>
        </w:rPr>
        <w:t>Indolentné nehodgkinovské lymfómy</w:t>
      </w:r>
      <w:r w:rsidRPr="004B318B">
        <w:rPr>
          <w:rFonts w:ascii="Times New Roman" w:hAnsi="Times New Roman"/>
          <w:color w:val="000000"/>
        </w:rPr>
        <w:t xml:space="preserve"> </w:t>
      </w:r>
    </w:p>
    <w:p w14:paraId="79A45569" w14:textId="77777777" w:rsidR="00684A8F" w:rsidRPr="003B5ED4" w:rsidRDefault="00684A8F">
      <w:pPr>
        <w:widowControl w:val="0"/>
        <w:autoSpaceDE w:val="0"/>
        <w:autoSpaceDN w:val="0"/>
        <w:adjustRightInd w:val="0"/>
        <w:spacing w:after="0" w:line="240" w:lineRule="auto"/>
        <w:rPr>
          <w:rFonts w:ascii="Times New Roman" w:hAnsi="Times New Roman"/>
          <w:bCs/>
          <w:lang w:val="sk-SK"/>
        </w:rPr>
      </w:pPr>
      <w:r w:rsidRPr="003B5ED4">
        <w:rPr>
          <w:rFonts w:ascii="Times New Roman" w:hAnsi="Times New Roman"/>
          <w:bCs/>
          <w:lang w:val="sk-SK"/>
        </w:rPr>
        <w:t>Indikácia na indolentné nehodgkinovské lymfómy sa opiera o dve nekontrolované klinické skúšania fázy II.</w:t>
      </w:r>
    </w:p>
    <w:p w14:paraId="306D8479" w14:textId="77777777" w:rsidR="004E38F5" w:rsidRDefault="00684A8F">
      <w:pPr>
        <w:widowControl w:val="0"/>
        <w:autoSpaceDE w:val="0"/>
        <w:autoSpaceDN w:val="0"/>
        <w:adjustRightInd w:val="0"/>
        <w:spacing w:after="0" w:line="240" w:lineRule="auto"/>
        <w:rPr>
          <w:rFonts w:ascii="Times New Roman" w:hAnsi="Times New Roman"/>
          <w:bCs/>
          <w:lang w:val="sk-SK"/>
        </w:rPr>
      </w:pPr>
      <w:r w:rsidRPr="003B5ED4">
        <w:rPr>
          <w:rFonts w:ascii="Times New Roman" w:hAnsi="Times New Roman"/>
          <w:bCs/>
          <w:lang w:val="sk-SK"/>
        </w:rPr>
        <w:t xml:space="preserve">V pilotnej, prospektívnej, multicentrickej </w:t>
      </w:r>
      <w:r w:rsidR="00B627BF">
        <w:rPr>
          <w:rFonts w:ascii="Times New Roman" w:hAnsi="Times New Roman"/>
          <w:bCs/>
          <w:lang w:val="sk-SK"/>
        </w:rPr>
        <w:t>otvore</w:t>
      </w:r>
      <w:r w:rsidRPr="003B5ED4">
        <w:rPr>
          <w:rFonts w:ascii="Times New Roman" w:hAnsi="Times New Roman"/>
          <w:bCs/>
          <w:lang w:val="sk-SK"/>
        </w:rPr>
        <w:t xml:space="preserve">nej štúdii bolo 100 pacientov s indolentnými </w:t>
      </w:r>
    </w:p>
    <w:p w14:paraId="747FDC03" w14:textId="77777777" w:rsidR="00E47ACD" w:rsidRDefault="00684A8F">
      <w:pPr>
        <w:widowControl w:val="0"/>
        <w:autoSpaceDE w:val="0"/>
        <w:autoSpaceDN w:val="0"/>
        <w:adjustRightInd w:val="0"/>
        <w:spacing w:after="0" w:line="240" w:lineRule="auto"/>
        <w:rPr>
          <w:rFonts w:ascii="Times New Roman" w:hAnsi="Times New Roman"/>
          <w:bCs/>
          <w:lang w:val="sk-SK"/>
        </w:rPr>
      </w:pPr>
      <w:r w:rsidRPr="003B5ED4">
        <w:rPr>
          <w:rFonts w:ascii="Times New Roman" w:hAnsi="Times New Roman"/>
          <w:bCs/>
          <w:lang w:val="sk-SK"/>
        </w:rPr>
        <w:t>B-bunkovými nehodgkinovskými lymfómami, nereagujúcimi na mono</w:t>
      </w:r>
      <w:r w:rsidR="000949D1">
        <w:rPr>
          <w:rFonts w:ascii="Times New Roman" w:hAnsi="Times New Roman"/>
          <w:bCs/>
          <w:lang w:val="sk-SK"/>
        </w:rPr>
        <w:t>terapiu</w:t>
      </w:r>
      <w:r w:rsidRPr="003B5ED4">
        <w:rPr>
          <w:rFonts w:ascii="Times New Roman" w:hAnsi="Times New Roman"/>
          <w:bCs/>
          <w:lang w:val="sk-SK"/>
        </w:rPr>
        <w:t xml:space="preserve"> alebo kombinovanú terapiu rituximabom, lieč</w:t>
      </w:r>
      <w:r w:rsidR="000949D1">
        <w:rPr>
          <w:rFonts w:ascii="Times New Roman" w:hAnsi="Times New Roman"/>
          <w:bCs/>
          <w:lang w:val="sk-SK"/>
        </w:rPr>
        <w:t>e</w:t>
      </w:r>
      <w:r w:rsidRPr="003B5ED4">
        <w:rPr>
          <w:rFonts w:ascii="Times New Roman" w:hAnsi="Times New Roman"/>
          <w:bCs/>
          <w:lang w:val="sk-SK"/>
        </w:rPr>
        <w:t xml:space="preserve">ných jediným liečivom BEN. Pacienti už dostávali v priemere 3 predchádzajúce cykly chemoterapie alebo biologickej terapie. Medián počtu predchádzajúcich cyklov s rituximabom bol 2. Pacienti nezaznamenali žiadnu odpoveď alebo zaznamenali progresiu ochorenia v priebehu 6 mesiacov po liečbe rituximabom. Dávkovanie BEN bolo 120 mg/m² </w:t>
      </w:r>
      <w:r w:rsidR="00E47ACD">
        <w:rPr>
          <w:rFonts w:ascii="Times New Roman" w:hAnsi="Times New Roman"/>
          <w:bCs/>
          <w:lang w:val="sk-SK"/>
        </w:rPr>
        <w:t>intravenózne</w:t>
      </w:r>
      <w:r w:rsidRPr="003B5ED4">
        <w:rPr>
          <w:rFonts w:ascii="Times New Roman" w:hAnsi="Times New Roman"/>
          <w:bCs/>
          <w:lang w:val="sk-SK"/>
        </w:rPr>
        <w:t xml:space="preserve"> </w:t>
      </w:r>
    </w:p>
    <w:p w14:paraId="682858EC" w14:textId="77777777" w:rsidR="00684A8F" w:rsidRPr="003B5ED4" w:rsidRDefault="00684A8F">
      <w:pPr>
        <w:widowControl w:val="0"/>
        <w:autoSpaceDE w:val="0"/>
        <w:autoSpaceDN w:val="0"/>
        <w:adjustRightInd w:val="0"/>
        <w:spacing w:after="0" w:line="240" w:lineRule="auto"/>
        <w:rPr>
          <w:rFonts w:ascii="Times New Roman" w:hAnsi="Times New Roman"/>
          <w:bCs/>
          <w:lang w:val="sk-SK"/>
        </w:rPr>
      </w:pPr>
      <w:r w:rsidRPr="003B5ED4">
        <w:rPr>
          <w:rFonts w:ascii="Times New Roman" w:hAnsi="Times New Roman"/>
          <w:bCs/>
          <w:lang w:val="sk-SK"/>
        </w:rPr>
        <w:t xml:space="preserve">v 1. a 2. deň, plánované najmenej na 6 cyklov. Dĺžka trvania liečby závisela od odpovede (bolo naplánovaných 6 cyklov). Celkový podiel odpovedí bol 75 %, z toho 17 % úplných (CR a CRu) a 58 % čiastočných odpovedí hodnotených nezávislou </w:t>
      </w:r>
      <w:r w:rsidR="0075210E">
        <w:rPr>
          <w:rFonts w:ascii="Times New Roman" w:hAnsi="Times New Roman"/>
          <w:bCs/>
          <w:lang w:val="sk-SK"/>
        </w:rPr>
        <w:t>hodnotiac</w:t>
      </w:r>
      <w:r w:rsidRPr="003B5ED4">
        <w:rPr>
          <w:rFonts w:ascii="Times New Roman" w:hAnsi="Times New Roman"/>
          <w:bCs/>
          <w:lang w:val="sk-SK"/>
        </w:rPr>
        <w:t>ou komisiou. Medián dĺžky trvania remisie bol 40 týždňov. BEN bol všeobecne dobre tolerovaný, ak sa podával v uvedenom dávkovaní a podľa časového rozvrhu.</w:t>
      </w:r>
    </w:p>
    <w:p w14:paraId="6EE83D0F" w14:textId="77777777" w:rsidR="00684A8F" w:rsidRPr="003B5ED4" w:rsidRDefault="00684A8F">
      <w:pPr>
        <w:widowControl w:val="0"/>
        <w:autoSpaceDE w:val="0"/>
        <w:autoSpaceDN w:val="0"/>
        <w:adjustRightInd w:val="0"/>
        <w:spacing w:after="0" w:line="240" w:lineRule="auto"/>
        <w:rPr>
          <w:rFonts w:ascii="Times New Roman" w:hAnsi="Times New Roman"/>
          <w:bCs/>
          <w:lang w:val="sk-SK"/>
        </w:rPr>
      </w:pPr>
    </w:p>
    <w:p w14:paraId="5E7B54CB" w14:textId="77777777" w:rsidR="00684A8F" w:rsidRPr="003B5ED4" w:rsidRDefault="00684A8F">
      <w:pPr>
        <w:widowControl w:val="0"/>
        <w:autoSpaceDE w:val="0"/>
        <w:autoSpaceDN w:val="0"/>
        <w:adjustRightInd w:val="0"/>
        <w:spacing w:after="0" w:line="240" w:lineRule="auto"/>
        <w:rPr>
          <w:rFonts w:ascii="Times New Roman" w:hAnsi="Times New Roman"/>
          <w:bCs/>
          <w:lang w:val="sk-SK"/>
        </w:rPr>
      </w:pPr>
      <w:r w:rsidRPr="003B5ED4">
        <w:rPr>
          <w:rFonts w:ascii="Times New Roman" w:hAnsi="Times New Roman"/>
          <w:bCs/>
          <w:lang w:val="sk-SK"/>
        </w:rPr>
        <w:t xml:space="preserve">Táto indikácia sa opiera aj o ďalšiu prospektívnu, multicentrickú, </w:t>
      </w:r>
      <w:r w:rsidR="00CA3894">
        <w:rPr>
          <w:rFonts w:ascii="Times New Roman" w:hAnsi="Times New Roman"/>
          <w:bCs/>
          <w:lang w:val="sk-SK"/>
        </w:rPr>
        <w:t>otvore</w:t>
      </w:r>
      <w:r w:rsidRPr="003B5ED4">
        <w:rPr>
          <w:rFonts w:ascii="Times New Roman" w:hAnsi="Times New Roman"/>
          <w:bCs/>
          <w:lang w:val="sk-SK"/>
        </w:rPr>
        <w:t>nú štúdiu so 77 pacientmi. Skupina pacientov bola heterogénnejšia a zahŕňala: indolentné alebo transformované B-bunkové nehodgkinovské lymfómy nereagujúce na monoterapiu alebo kombinovanú terapiu rituximabom. Pacienti nemali žiadnu odpoveď alebo mali progresiu v priebehu 6 mesiacov alebo sa u nich vyskytla nežiaduca reakcia na predchádzajúcu liečbu rituximabom.</w:t>
      </w:r>
      <w:r w:rsidRPr="00F95656">
        <w:rPr>
          <w:rFonts w:ascii="Times New Roman" w:hAnsi="Times New Roman"/>
        </w:rPr>
        <w:t xml:space="preserve"> </w:t>
      </w:r>
      <w:r w:rsidRPr="003B5ED4">
        <w:rPr>
          <w:rFonts w:ascii="Times New Roman" w:hAnsi="Times New Roman"/>
          <w:bCs/>
          <w:lang w:val="sk-SK"/>
        </w:rPr>
        <w:t>Pacienti už dostávali v priemere 3 predchádzajúce cykly chemoterapie alebo biologickej terapie. Medián počtu predchádzajúcich cyklov s rituximabom bol 2. Celkový podiel odpovedí bol 76 %, pričom medián trvania odpovede bol 5 mesiacov (29 [95 % IS 22,1</w:t>
      </w:r>
      <w:r w:rsidR="00CF0089">
        <w:rPr>
          <w:rFonts w:ascii="Times New Roman" w:hAnsi="Times New Roman"/>
          <w:bCs/>
          <w:lang w:val="sk-SK"/>
        </w:rPr>
        <w:t>;</w:t>
      </w:r>
      <w:r w:rsidRPr="003B5ED4">
        <w:rPr>
          <w:rFonts w:ascii="Times New Roman" w:hAnsi="Times New Roman"/>
          <w:bCs/>
          <w:lang w:val="sk-SK"/>
        </w:rPr>
        <w:t xml:space="preserve"> 43,1] týždňov).</w:t>
      </w:r>
    </w:p>
    <w:p w14:paraId="3C70E2C3" w14:textId="77777777" w:rsidR="00684A8F" w:rsidRPr="003B5ED4" w:rsidRDefault="00684A8F">
      <w:pPr>
        <w:widowControl w:val="0"/>
        <w:autoSpaceDE w:val="0"/>
        <w:autoSpaceDN w:val="0"/>
        <w:adjustRightInd w:val="0"/>
        <w:spacing w:after="0" w:line="240" w:lineRule="auto"/>
        <w:rPr>
          <w:rFonts w:ascii="Times New Roman" w:hAnsi="Times New Roman"/>
          <w:bCs/>
        </w:rPr>
      </w:pPr>
    </w:p>
    <w:p w14:paraId="51B825B6" w14:textId="77777777" w:rsidR="00684A8F" w:rsidRPr="00520002" w:rsidRDefault="00684A8F">
      <w:pPr>
        <w:shd w:val="clear" w:color="auto" w:fill="FFFFFF"/>
        <w:spacing w:after="0" w:line="240" w:lineRule="auto"/>
        <w:rPr>
          <w:rFonts w:ascii="Times New Roman" w:hAnsi="Times New Roman"/>
          <w:color w:val="000000"/>
        </w:rPr>
      </w:pPr>
      <w:r w:rsidRPr="00520002">
        <w:rPr>
          <w:rFonts w:ascii="Times New Roman" w:hAnsi="Times New Roman"/>
          <w:color w:val="000000"/>
        </w:rPr>
        <w:t xml:space="preserve">Mnohopočetné myelómy </w:t>
      </w:r>
    </w:p>
    <w:p w14:paraId="208B8CEA" w14:textId="77777777" w:rsidR="00684A8F" w:rsidRPr="003B5ED4" w:rsidRDefault="00684A8F">
      <w:pPr>
        <w:widowControl w:val="0"/>
        <w:autoSpaceDE w:val="0"/>
        <w:autoSpaceDN w:val="0"/>
        <w:adjustRightInd w:val="0"/>
        <w:spacing w:after="0" w:line="240" w:lineRule="auto"/>
        <w:rPr>
          <w:rFonts w:ascii="Times New Roman" w:hAnsi="Times New Roman"/>
          <w:bCs/>
          <w:lang w:val="sk-SK"/>
        </w:rPr>
      </w:pPr>
      <w:r w:rsidRPr="003B5ED4">
        <w:rPr>
          <w:rFonts w:ascii="Times New Roman" w:hAnsi="Times New Roman"/>
          <w:bCs/>
          <w:lang w:val="sk-SK"/>
        </w:rPr>
        <w:t>Do prospektívnej, multicentrickej, randomizovanej otvorenej štúdie bolo zaradených 131 pacientov s mnohopočetnými myelómami v pokročilom štádiu (štádium II s progresiou alebo štádium III</w:t>
      </w:r>
      <w:r w:rsidR="00C56298">
        <w:rPr>
          <w:rFonts w:ascii="Times New Roman" w:hAnsi="Times New Roman"/>
          <w:bCs/>
          <w:lang w:val="sk-SK"/>
        </w:rPr>
        <w:t xml:space="preserve"> </w:t>
      </w:r>
      <w:r w:rsidR="00C56298" w:rsidRPr="003B5ED4">
        <w:rPr>
          <w:rFonts w:ascii="Times New Roman" w:hAnsi="Times New Roman"/>
          <w:bCs/>
          <w:lang w:val="sk-SK"/>
        </w:rPr>
        <w:t>podľa Durie-Salmon</w:t>
      </w:r>
      <w:r w:rsidR="00C56298">
        <w:rPr>
          <w:rFonts w:ascii="Times New Roman" w:hAnsi="Times New Roman"/>
          <w:bCs/>
          <w:lang w:val="sk-SK"/>
        </w:rPr>
        <w:t>a</w:t>
      </w:r>
      <w:r w:rsidRPr="003B5ED4">
        <w:rPr>
          <w:rFonts w:ascii="Times New Roman" w:hAnsi="Times New Roman"/>
          <w:bCs/>
          <w:lang w:val="sk-SK"/>
        </w:rPr>
        <w:t>). Porovnávala sa liečba prvej línie bendamustíniumchloridom v kombinácii s prednizónom (BP) s liečbou melfalanom a prednizónom (MP). Pri zaraďovaní do skúšania nebolo prihliadané na splnenie kritérií na transplantáciu ani prítomnosť špecifických komorbidít. Dávkovanie bolo 150 mg/m² bendamustíniumchloridu i</w:t>
      </w:r>
      <w:r w:rsidR="00AD216F">
        <w:rPr>
          <w:rFonts w:ascii="Times New Roman" w:hAnsi="Times New Roman"/>
          <w:bCs/>
          <w:lang w:val="sk-SK"/>
        </w:rPr>
        <w:t>ntravenózne</w:t>
      </w:r>
      <w:r w:rsidRPr="003B5ED4">
        <w:rPr>
          <w:rFonts w:ascii="Times New Roman" w:hAnsi="Times New Roman"/>
          <w:bCs/>
          <w:lang w:val="sk-SK"/>
        </w:rPr>
        <w:t xml:space="preserve"> v 1. a 2. deň alebo 15 mg/m² melfalanu i</w:t>
      </w:r>
      <w:r w:rsidR="00AD216F">
        <w:rPr>
          <w:rFonts w:ascii="Times New Roman" w:hAnsi="Times New Roman"/>
          <w:bCs/>
          <w:lang w:val="sk-SK"/>
        </w:rPr>
        <w:t>ntravenózne</w:t>
      </w:r>
      <w:r w:rsidRPr="003B5ED4">
        <w:rPr>
          <w:rFonts w:ascii="Times New Roman" w:hAnsi="Times New Roman"/>
          <w:bCs/>
          <w:lang w:val="sk-SK"/>
        </w:rPr>
        <w:t xml:space="preserve"> v 1. deň, obe v kombinácii s prednizónom. Dĺžka liečby závisela od odpovede a</w:t>
      </w:r>
      <w:r w:rsidR="00AD216F">
        <w:rPr>
          <w:rFonts w:ascii="Times New Roman" w:hAnsi="Times New Roman"/>
          <w:bCs/>
          <w:lang w:val="sk-SK"/>
        </w:rPr>
        <w:t> </w:t>
      </w:r>
      <w:r w:rsidRPr="003B5ED4">
        <w:rPr>
          <w:rFonts w:ascii="Times New Roman" w:hAnsi="Times New Roman"/>
          <w:bCs/>
          <w:lang w:val="sk-SK"/>
        </w:rPr>
        <w:t>v</w:t>
      </w:r>
      <w:r w:rsidR="00AD216F">
        <w:rPr>
          <w:rFonts w:ascii="Times New Roman" w:hAnsi="Times New Roman"/>
          <w:bCs/>
          <w:lang w:val="sk-SK"/>
        </w:rPr>
        <w:t> </w:t>
      </w:r>
      <w:r w:rsidRPr="003B5ED4">
        <w:rPr>
          <w:rFonts w:ascii="Times New Roman" w:hAnsi="Times New Roman"/>
          <w:bCs/>
          <w:lang w:val="sk-SK"/>
        </w:rPr>
        <w:t>priemere dosiahla 6,8 cyklov v skupine BP a 8,7 cyklov v skupine MP.</w:t>
      </w:r>
    </w:p>
    <w:p w14:paraId="24A99FA9" w14:textId="77777777" w:rsidR="00684A8F" w:rsidRPr="003B5ED4" w:rsidRDefault="00684A8F">
      <w:pPr>
        <w:widowControl w:val="0"/>
        <w:autoSpaceDE w:val="0"/>
        <w:autoSpaceDN w:val="0"/>
        <w:adjustRightInd w:val="0"/>
        <w:spacing w:after="0" w:line="240" w:lineRule="auto"/>
        <w:rPr>
          <w:rFonts w:ascii="Times New Roman" w:hAnsi="Times New Roman"/>
          <w:bCs/>
          <w:lang w:val="sk-SK"/>
        </w:rPr>
      </w:pPr>
    </w:p>
    <w:p w14:paraId="1A5EE825" w14:textId="77777777" w:rsidR="00684A8F" w:rsidRPr="003B5ED4" w:rsidRDefault="00684A8F">
      <w:pPr>
        <w:widowControl w:val="0"/>
        <w:autoSpaceDE w:val="0"/>
        <w:autoSpaceDN w:val="0"/>
        <w:adjustRightInd w:val="0"/>
        <w:spacing w:after="0" w:line="240" w:lineRule="auto"/>
        <w:rPr>
          <w:rFonts w:ascii="Times New Roman" w:hAnsi="Times New Roman"/>
          <w:bCs/>
          <w:lang w:val="sk-SK"/>
        </w:rPr>
      </w:pPr>
      <w:r w:rsidRPr="003B5ED4">
        <w:rPr>
          <w:rFonts w:ascii="Times New Roman" w:hAnsi="Times New Roman"/>
          <w:bCs/>
          <w:lang w:val="sk-SK"/>
        </w:rPr>
        <w:t xml:space="preserve">Pacienti liečení BP mali dlhší medián prežívania bez progresie ako pacienti s MP (15 mesiacov [95 % </w:t>
      </w:r>
      <w:r w:rsidR="00AD216F">
        <w:rPr>
          <w:rFonts w:ascii="Times New Roman" w:hAnsi="Times New Roman"/>
          <w:bCs/>
          <w:lang w:val="sk-SK"/>
        </w:rPr>
        <w:t>IS</w:t>
      </w:r>
      <w:r w:rsidRPr="003B5ED4">
        <w:rPr>
          <w:rFonts w:ascii="Times New Roman" w:hAnsi="Times New Roman"/>
          <w:bCs/>
          <w:lang w:val="sk-SK"/>
        </w:rPr>
        <w:t xml:space="preserve"> 12 - 21] v porovnaní s 12 mesiacmi [95 % </w:t>
      </w:r>
      <w:r w:rsidR="00AD216F">
        <w:rPr>
          <w:rFonts w:ascii="Times New Roman" w:hAnsi="Times New Roman"/>
          <w:bCs/>
          <w:lang w:val="sk-SK"/>
        </w:rPr>
        <w:t>IS</w:t>
      </w:r>
      <w:r w:rsidRPr="003B5ED4">
        <w:rPr>
          <w:rFonts w:ascii="Times New Roman" w:hAnsi="Times New Roman"/>
          <w:bCs/>
          <w:lang w:val="sk-SK"/>
        </w:rPr>
        <w:t xml:space="preserve"> 10 - 14]) (p = 0,0566). Medián času do zlyhania liečby BP bol 14 mesiacov a 9 mesiacov pri liečbe MP. Dĺžka trvania remisie u BP bola 18 mesiacov</w:t>
      </w:r>
      <w:r w:rsidR="00AD216F">
        <w:rPr>
          <w:rFonts w:ascii="Times New Roman" w:hAnsi="Times New Roman"/>
          <w:bCs/>
          <w:lang w:val="sk-SK"/>
        </w:rPr>
        <w:t xml:space="preserve"> a</w:t>
      </w:r>
      <w:r w:rsidRPr="003B5ED4">
        <w:rPr>
          <w:rFonts w:ascii="Times New Roman" w:hAnsi="Times New Roman"/>
          <w:bCs/>
          <w:lang w:val="sk-SK"/>
        </w:rPr>
        <w:t xml:space="preserve"> u MP bola 12 mesiacov. Rozdiel v celkovom prežívaní nebol významne odlišný (35 mesiacov v prípade BP v porovnaní s 33 mesiacmi v prípade MP). Tolerancia v oboch liečených skupinách zodpovedala známemu profilu bezpečnosti príslušných liekov s významne väčším počtom znížených dávok v skupine s BP.</w:t>
      </w:r>
    </w:p>
    <w:p w14:paraId="45FC8D70" w14:textId="77777777" w:rsidR="00684A8F" w:rsidRPr="003B5ED4" w:rsidRDefault="00684A8F">
      <w:pPr>
        <w:widowControl w:val="0"/>
        <w:autoSpaceDE w:val="0"/>
        <w:autoSpaceDN w:val="0"/>
        <w:adjustRightInd w:val="0"/>
        <w:spacing w:after="0" w:line="240" w:lineRule="auto"/>
        <w:rPr>
          <w:rFonts w:ascii="Times New Roman" w:hAnsi="Times New Roman"/>
          <w:b/>
          <w:bCs/>
        </w:rPr>
      </w:pPr>
    </w:p>
    <w:p w14:paraId="04CACBCC" w14:textId="77777777" w:rsidR="00684A8F" w:rsidRPr="003B5ED4" w:rsidRDefault="00684A8F">
      <w:pPr>
        <w:widowControl w:val="0"/>
        <w:tabs>
          <w:tab w:val="left" w:pos="567"/>
        </w:tabs>
        <w:autoSpaceDE w:val="0"/>
        <w:autoSpaceDN w:val="0"/>
        <w:adjustRightInd w:val="0"/>
        <w:spacing w:after="0" w:line="240" w:lineRule="auto"/>
        <w:rPr>
          <w:rFonts w:ascii="Times New Roman" w:hAnsi="Times New Roman"/>
          <w:b/>
          <w:bCs/>
        </w:rPr>
      </w:pPr>
      <w:r w:rsidRPr="003B5ED4">
        <w:rPr>
          <w:rFonts w:ascii="Times New Roman" w:hAnsi="Times New Roman"/>
          <w:b/>
          <w:bCs/>
        </w:rPr>
        <w:t xml:space="preserve">5.2 </w:t>
      </w:r>
      <w:r w:rsidRPr="003B5ED4">
        <w:rPr>
          <w:rFonts w:ascii="Times New Roman" w:hAnsi="Times New Roman"/>
          <w:b/>
          <w:bCs/>
        </w:rPr>
        <w:tab/>
        <w:t>Farmakokinetické vlastnosti</w:t>
      </w:r>
    </w:p>
    <w:p w14:paraId="72F8F6DF" w14:textId="77777777" w:rsidR="00684A8F" w:rsidRPr="003B5ED4" w:rsidRDefault="00684A8F">
      <w:pPr>
        <w:widowControl w:val="0"/>
        <w:autoSpaceDE w:val="0"/>
        <w:autoSpaceDN w:val="0"/>
        <w:adjustRightInd w:val="0"/>
        <w:spacing w:after="0" w:line="240" w:lineRule="auto"/>
        <w:rPr>
          <w:rFonts w:ascii="Times New Roman" w:hAnsi="Times New Roman"/>
          <w:b/>
          <w:bCs/>
        </w:rPr>
      </w:pPr>
    </w:p>
    <w:p w14:paraId="5423B7D4" w14:textId="77777777" w:rsidR="00684A8F" w:rsidRPr="009017ED" w:rsidRDefault="00684A8F">
      <w:pPr>
        <w:shd w:val="clear" w:color="auto" w:fill="FFFFFF"/>
        <w:spacing w:after="0" w:line="240" w:lineRule="auto"/>
        <w:rPr>
          <w:rFonts w:ascii="Times New Roman" w:hAnsi="Times New Roman"/>
          <w:color w:val="000000"/>
          <w:u w:val="single"/>
        </w:rPr>
      </w:pPr>
      <w:r w:rsidRPr="009017ED">
        <w:rPr>
          <w:rFonts w:ascii="Times New Roman" w:hAnsi="Times New Roman"/>
          <w:color w:val="000000"/>
          <w:u w:val="single"/>
        </w:rPr>
        <w:t>Distribúcia</w:t>
      </w:r>
    </w:p>
    <w:p w14:paraId="795032BA" w14:textId="77777777" w:rsidR="00684A8F" w:rsidRPr="003B5ED4" w:rsidRDefault="00684A8F">
      <w:pPr>
        <w:shd w:val="clear" w:color="auto" w:fill="FFFFFF"/>
        <w:spacing w:after="0" w:line="240" w:lineRule="auto"/>
        <w:rPr>
          <w:rFonts w:ascii="Times New Roman" w:hAnsi="Times New Roman"/>
          <w:color w:val="000000"/>
          <w:lang w:val="sk-SK"/>
        </w:rPr>
      </w:pPr>
      <w:r w:rsidRPr="003B5ED4">
        <w:rPr>
          <w:rFonts w:ascii="Times New Roman" w:hAnsi="Times New Roman"/>
          <w:color w:val="000000"/>
          <w:lang w:val="sk-SK"/>
        </w:rPr>
        <w:t>Polčas vylučovania t</w:t>
      </w:r>
      <w:r w:rsidRPr="003B5ED4">
        <w:rPr>
          <w:rFonts w:ascii="Times New Roman" w:hAnsi="Times New Roman"/>
          <w:color w:val="000000"/>
          <w:vertAlign w:val="subscript"/>
          <w:lang w:val="sk-SK"/>
        </w:rPr>
        <w:t>1/2ß</w:t>
      </w:r>
      <w:r w:rsidRPr="003B5ED4">
        <w:rPr>
          <w:rFonts w:ascii="Times New Roman" w:hAnsi="Times New Roman"/>
          <w:color w:val="000000"/>
          <w:lang w:val="sk-SK"/>
        </w:rPr>
        <w:t xml:space="preserve"> po 30-minútovej </w:t>
      </w:r>
      <w:r w:rsidR="001276F9">
        <w:rPr>
          <w:rFonts w:ascii="Times New Roman" w:hAnsi="Times New Roman"/>
          <w:color w:val="000000"/>
          <w:lang w:val="sk-SK"/>
        </w:rPr>
        <w:t>intravenóznej</w:t>
      </w:r>
      <w:r w:rsidRPr="003B5ED4">
        <w:rPr>
          <w:rFonts w:ascii="Times New Roman" w:hAnsi="Times New Roman"/>
          <w:color w:val="000000"/>
          <w:lang w:val="sk-SK"/>
        </w:rPr>
        <w:t xml:space="preserve"> infúzii 120 mg/m</w:t>
      </w:r>
      <w:r w:rsidRPr="003B5ED4">
        <w:rPr>
          <w:rFonts w:ascii="Times New Roman" w:hAnsi="Times New Roman"/>
          <w:color w:val="000000"/>
          <w:vertAlign w:val="superscript"/>
          <w:lang w:val="sk-SK"/>
        </w:rPr>
        <w:t>2</w:t>
      </w:r>
      <w:r w:rsidRPr="003B5ED4">
        <w:rPr>
          <w:rFonts w:ascii="Times New Roman" w:hAnsi="Times New Roman"/>
          <w:color w:val="000000"/>
          <w:lang w:val="sk-SK"/>
        </w:rPr>
        <w:t xml:space="preserve"> plochy povrchu tela u 12 </w:t>
      </w:r>
      <w:r w:rsidR="001276F9">
        <w:rPr>
          <w:rFonts w:ascii="Times New Roman" w:hAnsi="Times New Roman"/>
          <w:color w:val="000000"/>
          <w:lang w:val="sk-SK"/>
        </w:rPr>
        <w:t>jedincov</w:t>
      </w:r>
      <w:r w:rsidRPr="003B5ED4">
        <w:rPr>
          <w:rFonts w:ascii="Times New Roman" w:hAnsi="Times New Roman"/>
          <w:color w:val="000000"/>
          <w:lang w:val="sk-SK"/>
        </w:rPr>
        <w:t xml:space="preserve"> bol 28,2 minút.</w:t>
      </w:r>
    </w:p>
    <w:p w14:paraId="14B70D4C" w14:textId="77777777" w:rsidR="00404168" w:rsidRDefault="00684A8F">
      <w:pPr>
        <w:shd w:val="clear" w:color="auto" w:fill="FFFFFF"/>
        <w:spacing w:after="0" w:line="240" w:lineRule="auto"/>
        <w:rPr>
          <w:rFonts w:ascii="Times New Roman" w:hAnsi="Times New Roman"/>
          <w:color w:val="000000"/>
          <w:lang w:val="sk-SK"/>
        </w:rPr>
      </w:pPr>
      <w:r w:rsidRPr="003B5ED4">
        <w:rPr>
          <w:rFonts w:ascii="Times New Roman" w:hAnsi="Times New Roman"/>
          <w:color w:val="000000"/>
          <w:lang w:val="sk-SK"/>
        </w:rPr>
        <w:t>Po 30 minútovej i</w:t>
      </w:r>
      <w:r w:rsidR="001276F9">
        <w:rPr>
          <w:rFonts w:ascii="Times New Roman" w:hAnsi="Times New Roman"/>
          <w:color w:val="000000"/>
          <w:lang w:val="sk-SK"/>
        </w:rPr>
        <w:t>ntravenóznej</w:t>
      </w:r>
      <w:r w:rsidRPr="003B5ED4">
        <w:rPr>
          <w:rFonts w:ascii="Times New Roman" w:hAnsi="Times New Roman"/>
          <w:color w:val="000000"/>
          <w:lang w:val="sk-SK"/>
        </w:rPr>
        <w:t xml:space="preserve"> infúzii bol centrálny distribučný objem 19,3 l. Pri podmienkach </w:t>
      </w:r>
      <w:r w:rsidR="00D119EB">
        <w:rPr>
          <w:rFonts w:ascii="Times New Roman" w:hAnsi="Times New Roman"/>
          <w:color w:val="000000"/>
          <w:lang w:val="sk-SK"/>
        </w:rPr>
        <w:t xml:space="preserve">rovnovážneho stavu </w:t>
      </w:r>
      <w:r w:rsidRPr="003B5ED4">
        <w:rPr>
          <w:rFonts w:ascii="Times New Roman" w:hAnsi="Times New Roman"/>
          <w:color w:val="000000"/>
          <w:lang w:val="sk-SK"/>
        </w:rPr>
        <w:t>nasledujúcich po i</w:t>
      </w:r>
      <w:r w:rsidR="001276F9">
        <w:rPr>
          <w:rFonts w:ascii="Times New Roman" w:hAnsi="Times New Roman"/>
          <w:color w:val="000000"/>
          <w:lang w:val="sk-SK"/>
        </w:rPr>
        <w:t>ntravenóznej</w:t>
      </w:r>
      <w:r w:rsidRPr="003B5ED4">
        <w:rPr>
          <w:rFonts w:ascii="Times New Roman" w:hAnsi="Times New Roman"/>
          <w:color w:val="000000"/>
          <w:lang w:val="sk-SK"/>
        </w:rPr>
        <w:t xml:space="preserve"> bolusovej injekcii bol distribučný objem </w:t>
      </w:r>
    </w:p>
    <w:p w14:paraId="4D85DCAC" w14:textId="77777777" w:rsidR="00684A8F" w:rsidRPr="003B5ED4" w:rsidRDefault="00684A8F">
      <w:pPr>
        <w:shd w:val="clear" w:color="auto" w:fill="FFFFFF"/>
        <w:spacing w:after="0" w:line="240" w:lineRule="auto"/>
        <w:rPr>
          <w:rFonts w:ascii="Times New Roman" w:hAnsi="Times New Roman"/>
          <w:color w:val="000000"/>
          <w:lang w:val="sk-SK"/>
        </w:rPr>
      </w:pPr>
      <w:r w:rsidRPr="003B5ED4">
        <w:rPr>
          <w:rFonts w:ascii="Times New Roman" w:hAnsi="Times New Roman"/>
          <w:color w:val="000000"/>
          <w:lang w:val="sk-SK"/>
        </w:rPr>
        <w:t xml:space="preserve">15,8 </w:t>
      </w:r>
      <w:r w:rsidR="001276F9">
        <w:rPr>
          <w:rFonts w:ascii="Times New Roman" w:hAnsi="Times New Roman"/>
          <w:color w:val="000000"/>
          <w:lang w:val="sk-SK"/>
        </w:rPr>
        <w:t>–</w:t>
      </w:r>
      <w:r w:rsidRPr="003B5ED4">
        <w:rPr>
          <w:rFonts w:ascii="Times New Roman" w:hAnsi="Times New Roman"/>
          <w:color w:val="000000"/>
          <w:lang w:val="sk-SK"/>
        </w:rPr>
        <w:t xml:space="preserve"> 20,5 l.</w:t>
      </w:r>
    </w:p>
    <w:p w14:paraId="236F97F0" w14:textId="77777777" w:rsidR="00684A8F" w:rsidRPr="003B5ED4" w:rsidRDefault="00684A8F">
      <w:pPr>
        <w:shd w:val="clear" w:color="auto" w:fill="FFFFFF"/>
        <w:spacing w:after="0" w:line="240" w:lineRule="auto"/>
        <w:rPr>
          <w:rFonts w:ascii="Times New Roman" w:hAnsi="Times New Roman"/>
          <w:color w:val="000000"/>
          <w:lang w:val="sk-SK"/>
        </w:rPr>
      </w:pPr>
    </w:p>
    <w:p w14:paraId="0B24A9C8" w14:textId="77777777" w:rsidR="00684A8F" w:rsidRPr="003B5ED4" w:rsidRDefault="00684A8F">
      <w:pPr>
        <w:shd w:val="clear" w:color="auto" w:fill="FFFFFF"/>
        <w:spacing w:after="0" w:line="240" w:lineRule="auto"/>
        <w:rPr>
          <w:rFonts w:ascii="Times New Roman" w:hAnsi="Times New Roman"/>
          <w:color w:val="000000"/>
          <w:lang w:val="sk-SK"/>
        </w:rPr>
      </w:pPr>
      <w:r w:rsidRPr="003B5ED4">
        <w:rPr>
          <w:rFonts w:ascii="Times New Roman" w:hAnsi="Times New Roman"/>
          <w:color w:val="000000"/>
          <w:lang w:val="sk-SK"/>
        </w:rPr>
        <w:t>Viac ako 95 % látky je viazaných na plazmatické proteíny (prevažne albumín).</w:t>
      </w:r>
    </w:p>
    <w:p w14:paraId="18921E19" w14:textId="77777777" w:rsidR="00684A8F" w:rsidRPr="003B5ED4" w:rsidRDefault="00684A8F">
      <w:pPr>
        <w:shd w:val="clear" w:color="auto" w:fill="FFFFFF"/>
        <w:spacing w:after="0" w:line="240" w:lineRule="auto"/>
        <w:rPr>
          <w:rFonts w:ascii="Times New Roman" w:hAnsi="Times New Roman"/>
          <w:color w:val="000000"/>
        </w:rPr>
      </w:pPr>
    </w:p>
    <w:p w14:paraId="389960A7" w14:textId="77777777" w:rsidR="00684A8F" w:rsidRPr="003B5ED4" w:rsidRDefault="00684A8F">
      <w:pPr>
        <w:shd w:val="clear" w:color="auto" w:fill="FFFFFF"/>
        <w:spacing w:after="0" w:line="240" w:lineRule="auto"/>
        <w:rPr>
          <w:rFonts w:ascii="Times New Roman" w:hAnsi="Times New Roman"/>
          <w:color w:val="000000"/>
          <w:u w:val="single"/>
        </w:rPr>
      </w:pPr>
      <w:r w:rsidRPr="003B5ED4">
        <w:rPr>
          <w:rFonts w:ascii="Times New Roman" w:hAnsi="Times New Roman"/>
          <w:color w:val="000000"/>
          <w:u w:val="single"/>
          <w:lang w:val="en-GB"/>
        </w:rPr>
        <w:lastRenderedPageBreak/>
        <w:t>Biotransformácia</w:t>
      </w:r>
    </w:p>
    <w:p w14:paraId="6F1DA9A7" w14:textId="77777777" w:rsidR="00684A8F" w:rsidRPr="003B5ED4" w:rsidRDefault="00684A8F">
      <w:pPr>
        <w:shd w:val="clear" w:color="auto" w:fill="FFFFFF"/>
        <w:spacing w:after="0" w:line="240" w:lineRule="auto"/>
        <w:rPr>
          <w:rFonts w:ascii="Times New Roman" w:hAnsi="Times New Roman"/>
          <w:color w:val="000000"/>
          <w:lang w:val="sk-SK"/>
        </w:rPr>
      </w:pPr>
      <w:r w:rsidRPr="003B5ED4">
        <w:rPr>
          <w:rFonts w:ascii="Times New Roman" w:hAnsi="Times New Roman"/>
          <w:color w:val="000000"/>
          <w:lang w:val="sk-SK"/>
        </w:rPr>
        <w:t>Hlavnou cestou vylučovania bendamustínu je hydrolýza na monohydroxy</w:t>
      </w:r>
      <w:r w:rsidR="00F663F0">
        <w:rPr>
          <w:rFonts w:ascii="Times New Roman" w:hAnsi="Times New Roman"/>
          <w:color w:val="000000"/>
          <w:lang w:val="sk-SK"/>
        </w:rPr>
        <w:t>bendamustín</w:t>
      </w:r>
      <w:r w:rsidRPr="003B5ED4">
        <w:rPr>
          <w:rFonts w:ascii="Times New Roman" w:hAnsi="Times New Roman"/>
          <w:color w:val="000000"/>
          <w:lang w:val="sk-SK"/>
        </w:rPr>
        <w:t xml:space="preserve"> a dihydroxybendamustín. Tvorba N-demetylbendamustínu a gama-hydroxybendamustínu hepatálnym metabolizmom zahŕňa aj izoenzým CYP1A2 cytochrómu P450. Súčasťou ďalšej významnej cesty metabolizmu bendamustínu je konjugácia s glutatiónom.</w:t>
      </w:r>
    </w:p>
    <w:p w14:paraId="60025457" w14:textId="77777777" w:rsidR="00684A8F" w:rsidRPr="003B5ED4" w:rsidRDefault="00684A8F">
      <w:pPr>
        <w:shd w:val="clear" w:color="auto" w:fill="FFFFFF"/>
        <w:spacing w:after="0" w:line="240" w:lineRule="auto"/>
        <w:rPr>
          <w:rFonts w:ascii="Times New Roman" w:hAnsi="Times New Roman"/>
          <w:color w:val="000000"/>
          <w:lang w:val="sk-SK"/>
        </w:rPr>
      </w:pPr>
      <w:r w:rsidRPr="00F95656">
        <w:rPr>
          <w:rFonts w:ascii="Times New Roman" w:hAnsi="Times New Roman"/>
          <w:i/>
          <w:color w:val="000000"/>
          <w:lang w:val="sk-SK"/>
        </w:rPr>
        <w:t>In-vitro</w:t>
      </w:r>
      <w:r w:rsidRPr="003B5ED4">
        <w:rPr>
          <w:rFonts w:ascii="Times New Roman" w:hAnsi="Times New Roman"/>
          <w:color w:val="000000"/>
          <w:lang w:val="sk-SK"/>
        </w:rPr>
        <w:t xml:space="preserve"> bendamustín neinhibuje CYP1A4, CYP2C9/10, CYP2D6, CYP2E1 a</w:t>
      </w:r>
      <w:r w:rsidR="00986DA5">
        <w:rPr>
          <w:rFonts w:ascii="Times New Roman" w:hAnsi="Times New Roman"/>
          <w:color w:val="000000"/>
          <w:lang w:val="sk-SK"/>
        </w:rPr>
        <w:t>lebo</w:t>
      </w:r>
      <w:r w:rsidRPr="003B5ED4">
        <w:rPr>
          <w:rFonts w:ascii="Times New Roman" w:hAnsi="Times New Roman"/>
          <w:color w:val="000000"/>
          <w:lang w:val="sk-SK"/>
        </w:rPr>
        <w:t xml:space="preserve"> CYP3A4.</w:t>
      </w:r>
    </w:p>
    <w:p w14:paraId="546A845E" w14:textId="77777777" w:rsidR="00684A8F" w:rsidRPr="003B5ED4" w:rsidRDefault="00684A8F">
      <w:pPr>
        <w:shd w:val="clear" w:color="auto" w:fill="FFFFFF"/>
        <w:spacing w:after="0" w:line="240" w:lineRule="auto"/>
        <w:rPr>
          <w:rFonts w:ascii="Times New Roman" w:hAnsi="Times New Roman"/>
          <w:color w:val="000000"/>
        </w:rPr>
      </w:pPr>
    </w:p>
    <w:p w14:paraId="1564E02B" w14:textId="77777777" w:rsidR="00684A8F" w:rsidRPr="003B5ED4" w:rsidRDefault="00684A8F">
      <w:pPr>
        <w:shd w:val="clear" w:color="auto" w:fill="FFFFFF"/>
        <w:spacing w:after="0" w:line="240" w:lineRule="auto"/>
        <w:rPr>
          <w:rFonts w:ascii="Times New Roman" w:hAnsi="Times New Roman"/>
          <w:color w:val="000000"/>
          <w:u w:val="single"/>
        </w:rPr>
      </w:pPr>
      <w:r w:rsidRPr="003B5ED4">
        <w:rPr>
          <w:rFonts w:ascii="Times New Roman" w:hAnsi="Times New Roman"/>
          <w:color w:val="000000"/>
          <w:u w:val="single"/>
        </w:rPr>
        <w:t xml:space="preserve">Eliminácia </w:t>
      </w:r>
    </w:p>
    <w:p w14:paraId="59F8992D" w14:textId="77777777" w:rsidR="00684A8F" w:rsidRPr="003B5ED4" w:rsidRDefault="00684A8F">
      <w:pPr>
        <w:shd w:val="clear" w:color="auto" w:fill="FFFFFF"/>
        <w:spacing w:after="0" w:line="240" w:lineRule="auto"/>
        <w:rPr>
          <w:rFonts w:ascii="Times New Roman" w:hAnsi="Times New Roman"/>
          <w:color w:val="000000"/>
        </w:rPr>
      </w:pPr>
      <w:r w:rsidRPr="003B5ED4">
        <w:rPr>
          <w:rFonts w:ascii="Times New Roman" w:hAnsi="Times New Roman"/>
          <w:color w:val="000000"/>
        </w:rPr>
        <w:t>Priemerný celkový klírens po 30-minútovej i</w:t>
      </w:r>
      <w:r w:rsidR="00F00F96">
        <w:rPr>
          <w:rFonts w:ascii="Times New Roman" w:hAnsi="Times New Roman"/>
          <w:color w:val="000000"/>
        </w:rPr>
        <w:t>ntravenóznej</w:t>
      </w:r>
      <w:r w:rsidRPr="003B5ED4">
        <w:rPr>
          <w:rFonts w:ascii="Times New Roman" w:hAnsi="Times New Roman"/>
          <w:color w:val="000000"/>
        </w:rPr>
        <w:t xml:space="preserve"> infúzii 120 mg/m</w:t>
      </w:r>
      <w:r w:rsidRPr="003B5ED4">
        <w:rPr>
          <w:rFonts w:ascii="Times New Roman" w:hAnsi="Times New Roman"/>
          <w:color w:val="000000"/>
          <w:vertAlign w:val="superscript"/>
        </w:rPr>
        <w:t>2</w:t>
      </w:r>
      <w:r w:rsidRPr="003B5ED4">
        <w:rPr>
          <w:rFonts w:ascii="Times New Roman" w:hAnsi="Times New Roman"/>
          <w:color w:val="000000"/>
        </w:rPr>
        <w:t xml:space="preserve"> plochy povrchu tela u 12 </w:t>
      </w:r>
      <w:r w:rsidR="00F00F96">
        <w:rPr>
          <w:rFonts w:ascii="Times New Roman" w:hAnsi="Times New Roman"/>
          <w:color w:val="000000"/>
        </w:rPr>
        <w:t>jedincov</w:t>
      </w:r>
      <w:r w:rsidRPr="003B5ED4">
        <w:rPr>
          <w:rFonts w:ascii="Times New Roman" w:hAnsi="Times New Roman"/>
          <w:color w:val="000000"/>
        </w:rPr>
        <w:t xml:space="preserve"> bol 639,4 ml/minúta. Približne 20 % podávanej dávky sa zistilo v moči do 24 hodín. Množstvá vylučované v moči nasledovali v poradí monohydroxybendamustín &gt; bendamustín &gt; dihydroxybendamustín &gt; oxidované metabolity &gt; N-demetylbendamustín. V žlči sa eliminujú predovšetkým polárne metabolity.</w:t>
      </w:r>
    </w:p>
    <w:p w14:paraId="31193F19" w14:textId="77777777" w:rsidR="00684A8F" w:rsidRPr="003B5ED4" w:rsidRDefault="00684A8F">
      <w:pPr>
        <w:shd w:val="clear" w:color="auto" w:fill="FFFFFF"/>
        <w:spacing w:after="0" w:line="240" w:lineRule="auto"/>
        <w:rPr>
          <w:rFonts w:ascii="Times New Roman" w:hAnsi="Times New Roman"/>
          <w:i/>
          <w:color w:val="000000"/>
          <w:u w:val="single"/>
        </w:rPr>
      </w:pPr>
    </w:p>
    <w:p w14:paraId="30965D34" w14:textId="77777777" w:rsidR="00684A8F" w:rsidRPr="003B5ED4" w:rsidRDefault="00684A8F">
      <w:pPr>
        <w:shd w:val="clear" w:color="auto" w:fill="FFFFFF"/>
        <w:spacing w:after="0" w:line="240" w:lineRule="auto"/>
        <w:rPr>
          <w:rFonts w:ascii="Times New Roman" w:hAnsi="Times New Roman"/>
          <w:i/>
          <w:color w:val="000000"/>
          <w:u w:val="single"/>
          <w:lang w:val="sk-SK"/>
        </w:rPr>
      </w:pPr>
      <w:r w:rsidRPr="003B5ED4">
        <w:rPr>
          <w:rFonts w:ascii="Times New Roman" w:hAnsi="Times New Roman"/>
          <w:i/>
          <w:color w:val="000000"/>
          <w:u w:val="single"/>
          <w:lang w:val="sk-SK"/>
        </w:rPr>
        <w:t>Porucha funkcie pečene</w:t>
      </w:r>
    </w:p>
    <w:p w14:paraId="1382536F" w14:textId="77777777" w:rsidR="00684A8F" w:rsidRPr="003B5ED4" w:rsidRDefault="00684A8F">
      <w:pPr>
        <w:shd w:val="clear" w:color="auto" w:fill="FFFFFF"/>
        <w:spacing w:after="0" w:line="240" w:lineRule="auto"/>
        <w:rPr>
          <w:rFonts w:ascii="Times New Roman" w:hAnsi="Times New Roman"/>
          <w:color w:val="000000"/>
          <w:lang w:val="sk-SK"/>
        </w:rPr>
      </w:pPr>
      <w:r w:rsidRPr="003B5ED4">
        <w:rPr>
          <w:rFonts w:ascii="Times New Roman" w:hAnsi="Times New Roman"/>
          <w:color w:val="000000"/>
          <w:lang w:val="sk-SK"/>
        </w:rPr>
        <w:t>U pacientov s 30 </w:t>
      </w:r>
      <w:r w:rsidR="00D407E9">
        <w:rPr>
          <w:rFonts w:ascii="Times New Roman" w:hAnsi="Times New Roman"/>
          <w:color w:val="000000"/>
          <w:lang w:val="sk-SK"/>
        </w:rPr>
        <w:t>–</w:t>
      </w:r>
      <w:r w:rsidRPr="003B5ED4">
        <w:rPr>
          <w:rFonts w:ascii="Times New Roman" w:hAnsi="Times New Roman"/>
          <w:color w:val="000000"/>
          <w:lang w:val="sk-SK"/>
        </w:rPr>
        <w:t xml:space="preserve"> 70 % nádorovým napadnutím pečene a u pacientov s miernou poruchou funkcie pečene (sérový bilirubín &lt; 1,2 mg/dl) sa farmakokinetické správanie nezmenilo. Nepozoroval sa </w:t>
      </w:r>
      <w:r w:rsidR="005753BA">
        <w:rPr>
          <w:rFonts w:ascii="Times New Roman" w:hAnsi="Times New Roman"/>
          <w:color w:val="000000"/>
          <w:lang w:val="sk-SK"/>
        </w:rPr>
        <w:t xml:space="preserve">žiaden </w:t>
      </w:r>
      <w:r w:rsidRPr="003B5ED4">
        <w:rPr>
          <w:rFonts w:ascii="Times New Roman" w:hAnsi="Times New Roman"/>
          <w:color w:val="000000"/>
          <w:lang w:val="sk-SK"/>
        </w:rPr>
        <w:t>významn</w:t>
      </w:r>
      <w:r w:rsidR="00187A3F">
        <w:rPr>
          <w:rFonts w:ascii="Times New Roman" w:hAnsi="Times New Roman"/>
          <w:color w:val="000000"/>
          <w:lang w:val="sk-SK"/>
        </w:rPr>
        <w:t>ý</w:t>
      </w:r>
      <w:r w:rsidRPr="003B5ED4">
        <w:rPr>
          <w:rFonts w:ascii="Times New Roman" w:hAnsi="Times New Roman"/>
          <w:color w:val="000000"/>
          <w:lang w:val="sk-SK"/>
        </w:rPr>
        <w:t xml:space="preserve"> rozdiel z hľadiska C</w:t>
      </w:r>
      <w:r w:rsidRPr="003B5ED4">
        <w:rPr>
          <w:rFonts w:ascii="Times New Roman" w:hAnsi="Times New Roman"/>
          <w:color w:val="000000"/>
          <w:vertAlign w:val="subscript"/>
          <w:lang w:val="sk-SK"/>
        </w:rPr>
        <w:t xml:space="preserve">max, </w:t>
      </w:r>
      <w:r w:rsidRPr="003B5ED4">
        <w:rPr>
          <w:rFonts w:ascii="Times New Roman" w:hAnsi="Times New Roman"/>
          <w:color w:val="000000"/>
          <w:lang w:val="sk-SK"/>
        </w:rPr>
        <w:t>t</w:t>
      </w:r>
      <w:r w:rsidRPr="003B5ED4">
        <w:rPr>
          <w:rFonts w:ascii="Times New Roman" w:hAnsi="Times New Roman"/>
          <w:color w:val="000000"/>
          <w:vertAlign w:val="subscript"/>
          <w:lang w:val="sk-SK"/>
        </w:rPr>
        <w:t>max</w:t>
      </w:r>
      <w:r w:rsidRPr="003B5ED4">
        <w:rPr>
          <w:rFonts w:ascii="Times New Roman" w:hAnsi="Times New Roman"/>
          <w:color w:val="000000"/>
          <w:lang w:val="sk-SK"/>
        </w:rPr>
        <w:t>, AUC, t</w:t>
      </w:r>
      <w:r w:rsidRPr="003B5ED4">
        <w:rPr>
          <w:rFonts w:ascii="Times New Roman" w:hAnsi="Times New Roman"/>
          <w:color w:val="000000"/>
          <w:vertAlign w:val="subscript"/>
          <w:lang w:val="sk-SK"/>
        </w:rPr>
        <w:t>1/2ß</w:t>
      </w:r>
      <w:r w:rsidRPr="003B5ED4">
        <w:rPr>
          <w:rFonts w:ascii="Times New Roman" w:hAnsi="Times New Roman"/>
          <w:color w:val="000000"/>
          <w:lang w:val="sk-SK"/>
        </w:rPr>
        <w:t xml:space="preserve">, distribučného objemu a klírensu </w:t>
      </w:r>
      <w:r w:rsidR="00E06622">
        <w:rPr>
          <w:rFonts w:ascii="Times New Roman" w:hAnsi="Times New Roman"/>
          <w:color w:val="000000"/>
          <w:lang w:val="sk-SK"/>
        </w:rPr>
        <w:t>v porovnaní</w:t>
      </w:r>
      <w:r w:rsidRPr="003B5ED4">
        <w:rPr>
          <w:rFonts w:ascii="Times New Roman" w:hAnsi="Times New Roman"/>
          <w:color w:val="000000"/>
          <w:lang w:val="sk-SK"/>
        </w:rPr>
        <w:t xml:space="preserve"> </w:t>
      </w:r>
      <w:r w:rsidR="00E06622">
        <w:rPr>
          <w:rFonts w:ascii="Times New Roman" w:hAnsi="Times New Roman"/>
          <w:color w:val="000000"/>
          <w:lang w:val="sk-SK"/>
        </w:rPr>
        <w:t>s </w:t>
      </w:r>
      <w:r w:rsidRPr="003B5ED4">
        <w:rPr>
          <w:rFonts w:ascii="Times New Roman" w:hAnsi="Times New Roman"/>
          <w:color w:val="000000"/>
          <w:lang w:val="sk-SK"/>
        </w:rPr>
        <w:t>pacient</w:t>
      </w:r>
      <w:r w:rsidR="00E06622">
        <w:rPr>
          <w:rFonts w:ascii="Times New Roman" w:hAnsi="Times New Roman"/>
          <w:color w:val="000000"/>
          <w:lang w:val="sk-SK"/>
        </w:rPr>
        <w:t>mi</w:t>
      </w:r>
      <w:r w:rsidRPr="003B5ED4">
        <w:rPr>
          <w:rFonts w:ascii="Times New Roman" w:hAnsi="Times New Roman"/>
          <w:color w:val="000000"/>
          <w:lang w:val="sk-SK"/>
        </w:rPr>
        <w:t xml:space="preserve"> s normálnou funkciou pečene a obličiek. Medzi AUC a celkovým klírensom bendamustínu je obrátená korelácia so sérovým bilirubínom.</w:t>
      </w:r>
    </w:p>
    <w:p w14:paraId="09C77E01" w14:textId="77777777" w:rsidR="00684A8F" w:rsidRPr="003B5ED4" w:rsidRDefault="00684A8F">
      <w:pPr>
        <w:shd w:val="clear" w:color="auto" w:fill="FFFFFF"/>
        <w:spacing w:after="0" w:line="240" w:lineRule="auto"/>
        <w:rPr>
          <w:rFonts w:ascii="Times New Roman" w:hAnsi="Times New Roman"/>
          <w:color w:val="000000"/>
        </w:rPr>
      </w:pPr>
    </w:p>
    <w:p w14:paraId="45399413" w14:textId="77777777" w:rsidR="00684A8F" w:rsidRPr="003B5ED4" w:rsidRDefault="00684A8F">
      <w:pPr>
        <w:shd w:val="clear" w:color="auto" w:fill="FFFFFF"/>
        <w:spacing w:after="0" w:line="240" w:lineRule="auto"/>
        <w:rPr>
          <w:rFonts w:ascii="Times New Roman" w:hAnsi="Times New Roman"/>
          <w:i/>
          <w:color w:val="000000"/>
          <w:u w:val="single"/>
        </w:rPr>
      </w:pPr>
      <w:r w:rsidRPr="003B5ED4">
        <w:rPr>
          <w:rFonts w:ascii="Times New Roman" w:hAnsi="Times New Roman"/>
          <w:i/>
          <w:color w:val="000000"/>
          <w:u w:val="single"/>
        </w:rPr>
        <w:t>Porucha funkcie obličiek</w:t>
      </w:r>
    </w:p>
    <w:p w14:paraId="4CF28115" w14:textId="77777777" w:rsidR="00684A8F" w:rsidRPr="003B5ED4" w:rsidRDefault="00684A8F">
      <w:pPr>
        <w:shd w:val="clear" w:color="auto" w:fill="FFFFFF"/>
        <w:spacing w:after="0" w:line="240" w:lineRule="auto"/>
        <w:rPr>
          <w:rFonts w:ascii="Times New Roman" w:hAnsi="Times New Roman"/>
          <w:color w:val="000000"/>
          <w:lang w:val="sk-SK"/>
        </w:rPr>
      </w:pPr>
      <w:r w:rsidRPr="003B5ED4">
        <w:rPr>
          <w:rFonts w:ascii="Times New Roman" w:hAnsi="Times New Roman"/>
          <w:color w:val="000000"/>
          <w:lang w:val="sk-SK"/>
        </w:rPr>
        <w:t>U pacientov s klírensom kreatinínu &gt; 10 ml/min vrátane pacientov odkázaných na dialýzu nebol pozorovan</w:t>
      </w:r>
      <w:r w:rsidR="00FC6B58">
        <w:rPr>
          <w:rFonts w:ascii="Times New Roman" w:hAnsi="Times New Roman"/>
          <w:color w:val="000000"/>
          <w:lang w:val="sk-SK"/>
        </w:rPr>
        <w:t>ý</w:t>
      </w:r>
      <w:r w:rsidRPr="003B5ED4">
        <w:rPr>
          <w:rFonts w:ascii="Times New Roman" w:hAnsi="Times New Roman"/>
          <w:color w:val="000000"/>
          <w:lang w:val="sk-SK"/>
        </w:rPr>
        <w:t xml:space="preserve"> </w:t>
      </w:r>
      <w:r w:rsidR="00AD795E">
        <w:rPr>
          <w:rFonts w:ascii="Times New Roman" w:hAnsi="Times New Roman"/>
          <w:color w:val="000000"/>
          <w:lang w:val="sk-SK"/>
        </w:rPr>
        <w:t xml:space="preserve">žiaden </w:t>
      </w:r>
      <w:r w:rsidRPr="003B5ED4">
        <w:rPr>
          <w:rFonts w:ascii="Times New Roman" w:hAnsi="Times New Roman"/>
          <w:color w:val="000000"/>
          <w:lang w:val="sk-SK"/>
        </w:rPr>
        <w:t>významn</w:t>
      </w:r>
      <w:r w:rsidR="00FC6B58">
        <w:rPr>
          <w:rFonts w:ascii="Times New Roman" w:hAnsi="Times New Roman"/>
          <w:color w:val="000000"/>
          <w:lang w:val="sk-SK"/>
        </w:rPr>
        <w:t>ý</w:t>
      </w:r>
      <w:r w:rsidRPr="003B5ED4">
        <w:rPr>
          <w:rFonts w:ascii="Times New Roman" w:hAnsi="Times New Roman"/>
          <w:color w:val="000000"/>
          <w:lang w:val="sk-SK"/>
        </w:rPr>
        <w:t xml:space="preserve"> rozdiel z hľadiska C</w:t>
      </w:r>
      <w:r w:rsidRPr="003B5ED4">
        <w:rPr>
          <w:rFonts w:ascii="Times New Roman" w:hAnsi="Times New Roman"/>
          <w:color w:val="000000"/>
          <w:vertAlign w:val="subscript"/>
          <w:lang w:val="sk-SK"/>
        </w:rPr>
        <w:t xml:space="preserve">max, </w:t>
      </w:r>
      <w:r w:rsidRPr="003B5ED4">
        <w:rPr>
          <w:rFonts w:ascii="Times New Roman" w:hAnsi="Times New Roman"/>
          <w:color w:val="000000"/>
          <w:lang w:val="sk-SK"/>
        </w:rPr>
        <w:t>t</w:t>
      </w:r>
      <w:r w:rsidRPr="003B5ED4">
        <w:rPr>
          <w:rFonts w:ascii="Times New Roman" w:hAnsi="Times New Roman"/>
          <w:color w:val="000000"/>
          <w:vertAlign w:val="subscript"/>
          <w:lang w:val="sk-SK"/>
        </w:rPr>
        <w:t>max</w:t>
      </w:r>
      <w:r w:rsidRPr="003B5ED4">
        <w:rPr>
          <w:rFonts w:ascii="Times New Roman" w:hAnsi="Times New Roman"/>
          <w:color w:val="000000"/>
          <w:lang w:val="sk-SK"/>
        </w:rPr>
        <w:t>, AUC, t</w:t>
      </w:r>
      <w:r w:rsidRPr="003B5ED4">
        <w:rPr>
          <w:rFonts w:ascii="Times New Roman" w:hAnsi="Times New Roman"/>
          <w:color w:val="000000"/>
          <w:vertAlign w:val="subscript"/>
          <w:lang w:val="sk-SK"/>
        </w:rPr>
        <w:t>1/2ß</w:t>
      </w:r>
      <w:r w:rsidRPr="003B5ED4">
        <w:rPr>
          <w:rFonts w:ascii="Times New Roman" w:hAnsi="Times New Roman"/>
          <w:color w:val="000000"/>
          <w:lang w:val="sk-SK"/>
        </w:rPr>
        <w:t xml:space="preserve">, distribučného objemu a klírensu </w:t>
      </w:r>
      <w:r w:rsidR="00AD795E">
        <w:rPr>
          <w:rFonts w:ascii="Times New Roman" w:hAnsi="Times New Roman"/>
          <w:color w:val="000000"/>
          <w:lang w:val="sk-SK"/>
        </w:rPr>
        <w:t>v porovnaní s</w:t>
      </w:r>
      <w:r w:rsidRPr="003B5ED4">
        <w:rPr>
          <w:rFonts w:ascii="Times New Roman" w:hAnsi="Times New Roman"/>
          <w:color w:val="000000"/>
          <w:lang w:val="sk-SK"/>
        </w:rPr>
        <w:t xml:space="preserve"> pacient</w:t>
      </w:r>
      <w:r w:rsidR="00AD795E">
        <w:rPr>
          <w:rFonts w:ascii="Times New Roman" w:hAnsi="Times New Roman"/>
          <w:color w:val="000000"/>
          <w:lang w:val="sk-SK"/>
        </w:rPr>
        <w:t>mi</w:t>
      </w:r>
      <w:r w:rsidRPr="003B5ED4">
        <w:rPr>
          <w:rFonts w:ascii="Times New Roman" w:hAnsi="Times New Roman"/>
          <w:color w:val="000000"/>
          <w:lang w:val="sk-SK"/>
        </w:rPr>
        <w:t xml:space="preserve"> s normálnou funkciou pečene a obličiek.</w:t>
      </w:r>
    </w:p>
    <w:p w14:paraId="0E4ED6DA" w14:textId="77777777" w:rsidR="00684A8F" w:rsidRPr="003B5ED4" w:rsidRDefault="00684A8F">
      <w:pPr>
        <w:shd w:val="clear" w:color="auto" w:fill="FFFFFF"/>
        <w:spacing w:after="0" w:line="240" w:lineRule="auto"/>
        <w:rPr>
          <w:rFonts w:ascii="Times New Roman" w:hAnsi="Times New Roman"/>
          <w:color w:val="000000"/>
        </w:rPr>
      </w:pPr>
    </w:p>
    <w:p w14:paraId="019522F8" w14:textId="77777777" w:rsidR="00684A8F" w:rsidRPr="003B5ED4" w:rsidRDefault="00684A8F">
      <w:pPr>
        <w:shd w:val="clear" w:color="auto" w:fill="FFFFFF"/>
        <w:spacing w:after="0" w:line="240" w:lineRule="auto"/>
        <w:rPr>
          <w:rFonts w:ascii="Times New Roman" w:hAnsi="Times New Roman"/>
          <w:i/>
          <w:color w:val="000000"/>
          <w:u w:val="single"/>
        </w:rPr>
      </w:pPr>
      <w:r w:rsidRPr="003B5ED4">
        <w:rPr>
          <w:rFonts w:ascii="Times New Roman" w:hAnsi="Times New Roman"/>
          <w:i/>
          <w:color w:val="000000"/>
          <w:u w:val="single"/>
        </w:rPr>
        <w:t>Starš</w:t>
      </w:r>
      <w:r w:rsidR="00616356">
        <w:rPr>
          <w:rFonts w:ascii="Times New Roman" w:hAnsi="Times New Roman"/>
          <w:i/>
          <w:color w:val="000000"/>
          <w:u w:val="single"/>
        </w:rPr>
        <w:t>í pacienti</w:t>
      </w:r>
      <w:r w:rsidRPr="003B5ED4">
        <w:rPr>
          <w:rFonts w:ascii="Times New Roman" w:hAnsi="Times New Roman"/>
          <w:i/>
          <w:color w:val="000000"/>
          <w:u w:val="single"/>
        </w:rPr>
        <w:t xml:space="preserve"> </w:t>
      </w:r>
    </w:p>
    <w:p w14:paraId="516B394B" w14:textId="77777777" w:rsidR="00684A8F" w:rsidRPr="003B5ED4" w:rsidRDefault="00684A8F">
      <w:pPr>
        <w:shd w:val="clear" w:color="auto" w:fill="FFFFFF"/>
        <w:spacing w:after="0" w:line="240" w:lineRule="auto"/>
        <w:rPr>
          <w:rFonts w:ascii="Times New Roman" w:hAnsi="Times New Roman"/>
          <w:color w:val="000000"/>
          <w:lang w:val="sk-SK"/>
        </w:rPr>
      </w:pPr>
      <w:r w:rsidRPr="003B5ED4">
        <w:rPr>
          <w:rFonts w:ascii="Times New Roman" w:hAnsi="Times New Roman"/>
          <w:color w:val="000000"/>
          <w:lang w:val="sk-SK"/>
        </w:rPr>
        <w:t>Do farmakokinetických štúdií boli zaradení jedinci vo veku až do 84 rokov. Vy</w:t>
      </w:r>
      <w:r w:rsidR="00E4789A">
        <w:rPr>
          <w:rFonts w:ascii="Times New Roman" w:hAnsi="Times New Roman"/>
          <w:color w:val="000000"/>
          <w:lang w:val="sk-SK"/>
        </w:rPr>
        <w:t>šší</w:t>
      </w:r>
      <w:r w:rsidRPr="003B5ED4">
        <w:rPr>
          <w:rFonts w:ascii="Times New Roman" w:hAnsi="Times New Roman"/>
          <w:color w:val="000000"/>
          <w:lang w:val="sk-SK"/>
        </w:rPr>
        <w:t xml:space="preserve"> vek nemá vplyv na</w:t>
      </w:r>
      <w:r w:rsidR="00E4789A">
        <w:rPr>
          <w:rFonts w:ascii="Times New Roman" w:hAnsi="Times New Roman"/>
          <w:color w:val="000000"/>
          <w:lang w:val="sk-SK"/>
        </w:rPr>
        <w:t> </w:t>
      </w:r>
      <w:r w:rsidRPr="003B5ED4">
        <w:rPr>
          <w:rFonts w:ascii="Times New Roman" w:hAnsi="Times New Roman"/>
          <w:color w:val="000000"/>
          <w:lang w:val="sk-SK"/>
        </w:rPr>
        <w:t>farmakokinetiku bendamustínu.</w:t>
      </w:r>
    </w:p>
    <w:p w14:paraId="1981CABE" w14:textId="77777777" w:rsidR="00684A8F" w:rsidRPr="003B5ED4" w:rsidRDefault="00684A8F">
      <w:pPr>
        <w:shd w:val="clear" w:color="auto" w:fill="FFFFFF"/>
        <w:spacing w:after="0" w:line="240" w:lineRule="auto"/>
        <w:rPr>
          <w:rFonts w:ascii="Times New Roman" w:hAnsi="Times New Roman"/>
          <w:color w:val="000000"/>
        </w:rPr>
      </w:pPr>
    </w:p>
    <w:p w14:paraId="234B8775" w14:textId="77777777" w:rsidR="00684A8F" w:rsidRPr="003B5ED4" w:rsidRDefault="00684A8F">
      <w:pPr>
        <w:shd w:val="clear" w:color="auto" w:fill="FFFFFF"/>
        <w:tabs>
          <w:tab w:val="left" w:pos="567"/>
        </w:tabs>
        <w:spacing w:after="0" w:line="240" w:lineRule="auto"/>
        <w:rPr>
          <w:rFonts w:ascii="Times New Roman" w:hAnsi="Times New Roman"/>
          <w:b/>
          <w:bCs/>
          <w:color w:val="000000"/>
        </w:rPr>
      </w:pPr>
      <w:r w:rsidRPr="003B5ED4">
        <w:rPr>
          <w:rFonts w:ascii="Times New Roman" w:hAnsi="Times New Roman"/>
          <w:b/>
          <w:bCs/>
          <w:color w:val="000000"/>
        </w:rPr>
        <w:t>5.3</w:t>
      </w:r>
      <w:r w:rsidRPr="003B5ED4">
        <w:rPr>
          <w:rFonts w:ascii="Times New Roman" w:hAnsi="Times New Roman"/>
          <w:b/>
          <w:bCs/>
          <w:color w:val="000000"/>
        </w:rPr>
        <w:tab/>
        <w:t>Predklinické údaje o bezpečnosti</w:t>
      </w:r>
    </w:p>
    <w:p w14:paraId="23986255" w14:textId="77777777" w:rsidR="00684A8F" w:rsidRPr="003B5ED4" w:rsidRDefault="00684A8F">
      <w:pPr>
        <w:shd w:val="clear" w:color="auto" w:fill="FFFFFF"/>
        <w:spacing w:after="0" w:line="240" w:lineRule="auto"/>
        <w:rPr>
          <w:rFonts w:ascii="Times New Roman" w:hAnsi="Times New Roman"/>
          <w:b/>
          <w:bCs/>
          <w:color w:val="000000"/>
        </w:rPr>
      </w:pPr>
    </w:p>
    <w:p w14:paraId="28010DA7" w14:textId="77777777" w:rsidR="00684A8F" w:rsidRPr="003B5ED4" w:rsidRDefault="00684A8F">
      <w:pPr>
        <w:shd w:val="clear" w:color="auto" w:fill="FFFFFF"/>
        <w:spacing w:after="0" w:line="240" w:lineRule="auto"/>
        <w:rPr>
          <w:rFonts w:ascii="Times New Roman" w:hAnsi="Times New Roman"/>
          <w:bCs/>
          <w:color w:val="000000"/>
          <w:lang w:val="sk-SK"/>
        </w:rPr>
      </w:pPr>
      <w:r w:rsidRPr="003B5ED4">
        <w:rPr>
          <w:rFonts w:ascii="Times New Roman" w:hAnsi="Times New Roman"/>
          <w:bCs/>
          <w:color w:val="000000"/>
          <w:lang w:val="sk-SK"/>
        </w:rPr>
        <w:t>Nežiaduce reakcie, ktoré neboli pozorované v klinických štúdiách, ale boli pozorované u zvierat pri</w:t>
      </w:r>
      <w:r w:rsidR="00661867">
        <w:rPr>
          <w:rFonts w:ascii="Times New Roman" w:hAnsi="Times New Roman"/>
          <w:bCs/>
          <w:color w:val="000000"/>
          <w:lang w:val="sk-SK"/>
        </w:rPr>
        <w:t> </w:t>
      </w:r>
      <w:r w:rsidRPr="003B5ED4">
        <w:rPr>
          <w:rFonts w:ascii="Times New Roman" w:hAnsi="Times New Roman"/>
          <w:bCs/>
          <w:color w:val="000000"/>
          <w:lang w:val="sk-SK"/>
        </w:rPr>
        <w:t xml:space="preserve">expozíciách podobných klinickým a s možným významom pre klinické použitie boli </w:t>
      </w:r>
      <w:r w:rsidR="00E16310">
        <w:rPr>
          <w:rFonts w:ascii="Times New Roman" w:hAnsi="Times New Roman"/>
          <w:bCs/>
          <w:color w:val="000000"/>
          <w:lang w:val="sk-SK"/>
        </w:rPr>
        <w:t>nasledovné</w:t>
      </w:r>
      <w:r w:rsidRPr="003B5ED4">
        <w:rPr>
          <w:rFonts w:ascii="Times New Roman" w:hAnsi="Times New Roman"/>
          <w:bCs/>
          <w:color w:val="000000"/>
          <w:lang w:val="sk-SK"/>
        </w:rPr>
        <w:t>:</w:t>
      </w:r>
    </w:p>
    <w:p w14:paraId="4B75910A" w14:textId="77777777" w:rsidR="00684A8F" w:rsidRPr="003B5ED4" w:rsidRDefault="00684A8F">
      <w:pPr>
        <w:shd w:val="clear" w:color="auto" w:fill="FFFFFF"/>
        <w:spacing w:after="0" w:line="240" w:lineRule="auto"/>
        <w:rPr>
          <w:rFonts w:ascii="Times New Roman" w:hAnsi="Times New Roman"/>
          <w:bCs/>
          <w:color w:val="000000"/>
          <w:lang w:val="sk-SK"/>
        </w:rPr>
      </w:pPr>
      <w:r w:rsidRPr="003B5ED4">
        <w:rPr>
          <w:rFonts w:ascii="Times New Roman" w:hAnsi="Times New Roman"/>
          <w:bCs/>
          <w:color w:val="000000"/>
          <w:lang w:val="sk-SK"/>
        </w:rPr>
        <w:t>Histologické vyšetrenia u psov preukázali makroskopicky viditeľnú hyperémiu sliznice a krvácanie v gastrointestinálnom trakte. Mikroskopické vyšetrenia preukázali rozsiahle zmeny lymfatického tkaniva naznačujúce imunosupresiu a tubulárne zmeny obličiek a semenníka, ako aj atrofické, nekrotické zmeny epitelu prostaty.</w:t>
      </w:r>
    </w:p>
    <w:p w14:paraId="784A1082" w14:textId="77777777" w:rsidR="00684A8F" w:rsidRPr="003B5ED4" w:rsidRDefault="00684A8F">
      <w:pPr>
        <w:shd w:val="clear" w:color="auto" w:fill="FFFFFF"/>
        <w:spacing w:after="0" w:line="240" w:lineRule="auto"/>
        <w:rPr>
          <w:rFonts w:ascii="Times New Roman" w:hAnsi="Times New Roman"/>
          <w:bCs/>
          <w:color w:val="000000"/>
          <w:lang w:val="sk-SK"/>
        </w:rPr>
      </w:pPr>
      <w:r w:rsidRPr="003B5ED4">
        <w:rPr>
          <w:rFonts w:ascii="Times New Roman" w:hAnsi="Times New Roman"/>
          <w:bCs/>
          <w:color w:val="000000"/>
          <w:lang w:val="sk-SK"/>
        </w:rPr>
        <w:t>Štúdie na zvieratách preukázali, že bendamustín je embryotoxický a teratogénny.</w:t>
      </w:r>
    </w:p>
    <w:p w14:paraId="4C68504C" w14:textId="77777777" w:rsidR="00684A8F" w:rsidRPr="003B5ED4" w:rsidRDefault="00684A8F">
      <w:pPr>
        <w:shd w:val="clear" w:color="auto" w:fill="FFFFFF"/>
        <w:spacing w:after="0" w:line="240" w:lineRule="auto"/>
        <w:rPr>
          <w:rFonts w:ascii="Times New Roman" w:hAnsi="Times New Roman"/>
          <w:bCs/>
          <w:color w:val="000000"/>
          <w:lang w:val="sk-SK"/>
        </w:rPr>
      </w:pPr>
      <w:r w:rsidRPr="003B5ED4">
        <w:rPr>
          <w:rFonts w:ascii="Times New Roman" w:hAnsi="Times New Roman"/>
          <w:bCs/>
          <w:color w:val="000000"/>
          <w:lang w:val="sk-SK"/>
        </w:rPr>
        <w:t xml:space="preserve">Bendamustín vyvoláva chromozómové aberácie a je mutagénny </w:t>
      </w:r>
      <w:r w:rsidRPr="003B5ED4">
        <w:rPr>
          <w:rFonts w:ascii="Times New Roman" w:hAnsi="Times New Roman"/>
          <w:bCs/>
          <w:i/>
          <w:iCs/>
          <w:color w:val="000000"/>
          <w:lang w:val="sk-SK"/>
        </w:rPr>
        <w:t>in-vivo</w:t>
      </w:r>
      <w:r w:rsidRPr="003B5ED4">
        <w:rPr>
          <w:rFonts w:ascii="Times New Roman" w:hAnsi="Times New Roman"/>
          <w:bCs/>
          <w:color w:val="000000"/>
          <w:lang w:val="sk-SK"/>
        </w:rPr>
        <w:t xml:space="preserve"> aj </w:t>
      </w:r>
      <w:r w:rsidRPr="003B5ED4">
        <w:rPr>
          <w:rFonts w:ascii="Times New Roman" w:hAnsi="Times New Roman"/>
          <w:bCs/>
          <w:i/>
          <w:iCs/>
          <w:color w:val="000000"/>
          <w:lang w:val="sk-SK"/>
        </w:rPr>
        <w:t>in-vitro</w:t>
      </w:r>
      <w:r w:rsidRPr="003B5ED4">
        <w:rPr>
          <w:rFonts w:ascii="Times New Roman" w:hAnsi="Times New Roman"/>
          <w:bCs/>
          <w:color w:val="000000"/>
          <w:lang w:val="sk-SK"/>
        </w:rPr>
        <w:t>. V dlhodobých štúdiách na samiciach myší je bendamustín karcinogénny.</w:t>
      </w:r>
    </w:p>
    <w:p w14:paraId="58DD643A" w14:textId="77777777" w:rsidR="00684A8F" w:rsidRPr="003B5ED4" w:rsidRDefault="00684A8F">
      <w:pPr>
        <w:shd w:val="clear" w:color="auto" w:fill="FFFFFF"/>
        <w:spacing w:after="0" w:line="240" w:lineRule="auto"/>
        <w:rPr>
          <w:rFonts w:ascii="Times New Roman" w:hAnsi="Times New Roman"/>
          <w:bCs/>
          <w:color w:val="000000"/>
        </w:rPr>
      </w:pPr>
    </w:p>
    <w:p w14:paraId="405ADF22" w14:textId="77777777" w:rsidR="00684A8F" w:rsidRPr="003B5ED4" w:rsidRDefault="00684A8F">
      <w:pPr>
        <w:shd w:val="clear" w:color="auto" w:fill="FFFFFF"/>
        <w:spacing w:after="0" w:line="240" w:lineRule="auto"/>
        <w:rPr>
          <w:rFonts w:ascii="Times New Roman" w:hAnsi="Times New Roman"/>
          <w:bCs/>
          <w:color w:val="000000"/>
        </w:rPr>
      </w:pPr>
    </w:p>
    <w:p w14:paraId="792F01ED" w14:textId="77777777" w:rsidR="00684A8F" w:rsidRPr="003B5ED4" w:rsidRDefault="00684A8F">
      <w:pPr>
        <w:numPr>
          <w:ilvl w:val="0"/>
          <w:numId w:val="1"/>
        </w:numPr>
        <w:shd w:val="clear" w:color="auto" w:fill="FFFFFF"/>
        <w:spacing w:after="0" w:line="240" w:lineRule="auto"/>
        <w:ind w:left="567" w:hanging="567"/>
        <w:rPr>
          <w:rFonts w:ascii="Times New Roman" w:hAnsi="Times New Roman"/>
          <w:b/>
          <w:bCs/>
          <w:color w:val="000000"/>
        </w:rPr>
      </w:pPr>
      <w:r w:rsidRPr="003B5ED4">
        <w:rPr>
          <w:rFonts w:ascii="Times New Roman" w:hAnsi="Times New Roman"/>
          <w:b/>
          <w:bCs/>
          <w:color w:val="000000"/>
        </w:rPr>
        <w:t>FARMACEUTICKÉ INFORMÁCIE</w:t>
      </w:r>
    </w:p>
    <w:p w14:paraId="1B69D47D" w14:textId="77777777" w:rsidR="00684A8F" w:rsidRPr="003B5ED4" w:rsidRDefault="00684A8F">
      <w:pPr>
        <w:shd w:val="clear" w:color="auto" w:fill="FFFFFF"/>
        <w:spacing w:after="0" w:line="240" w:lineRule="auto"/>
        <w:rPr>
          <w:rFonts w:ascii="Times New Roman" w:hAnsi="Times New Roman"/>
          <w:bCs/>
          <w:color w:val="000000"/>
        </w:rPr>
      </w:pPr>
    </w:p>
    <w:p w14:paraId="46098EC2" w14:textId="77777777" w:rsidR="00684A8F" w:rsidRPr="003B5ED4" w:rsidRDefault="00684A8F">
      <w:pPr>
        <w:shd w:val="clear" w:color="auto" w:fill="FFFFFF"/>
        <w:tabs>
          <w:tab w:val="left" w:pos="567"/>
        </w:tabs>
        <w:spacing w:after="0" w:line="240" w:lineRule="auto"/>
        <w:rPr>
          <w:rFonts w:ascii="Times New Roman" w:hAnsi="Times New Roman"/>
          <w:b/>
          <w:bCs/>
          <w:color w:val="000000"/>
        </w:rPr>
      </w:pPr>
      <w:r w:rsidRPr="003B5ED4">
        <w:rPr>
          <w:rFonts w:ascii="Times New Roman" w:hAnsi="Times New Roman"/>
          <w:b/>
          <w:bCs/>
          <w:color w:val="000000"/>
        </w:rPr>
        <w:t>6.1</w:t>
      </w:r>
      <w:r w:rsidRPr="003B5ED4">
        <w:rPr>
          <w:rFonts w:ascii="Times New Roman" w:hAnsi="Times New Roman"/>
          <w:b/>
          <w:bCs/>
          <w:color w:val="000000"/>
        </w:rPr>
        <w:tab/>
        <w:t>Zoznam pomocných látok</w:t>
      </w:r>
    </w:p>
    <w:p w14:paraId="77B69006" w14:textId="77777777" w:rsidR="00684A8F" w:rsidRPr="003B5ED4" w:rsidRDefault="00684A8F">
      <w:pPr>
        <w:shd w:val="clear" w:color="auto" w:fill="FFFFFF"/>
        <w:spacing w:after="0" w:line="240" w:lineRule="auto"/>
        <w:rPr>
          <w:rFonts w:ascii="Times New Roman" w:hAnsi="Times New Roman"/>
          <w:b/>
          <w:bCs/>
          <w:color w:val="000000"/>
        </w:rPr>
      </w:pPr>
    </w:p>
    <w:p w14:paraId="31C0376F" w14:textId="366C899E" w:rsidR="00684A8F" w:rsidRPr="003B5ED4" w:rsidRDefault="00734CD0">
      <w:pPr>
        <w:shd w:val="clear" w:color="auto" w:fill="FFFFFF"/>
        <w:spacing w:after="0" w:line="240" w:lineRule="auto"/>
        <w:rPr>
          <w:rFonts w:ascii="Times New Roman" w:hAnsi="Times New Roman"/>
          <w:bCs/>
          <w:color w:val="000000"/>
        </w:rPr>
      </w:pPr>
      <w:r>
        <w:rPr>
          <w:rFonts w:ascii="Times New Roman" w:hAnsi="Times New Roman"/>
          <w:bCs/>
          <w:color w:val="000000"/>
        </w:rPr>
        <w:t>m</w:t>
      </w:r>
      <w:r w:rsidR="00684A8F" w:rsidRPr="003B5ED4">
        <w:rPr>
          <w:rFonts w:ascii="Times New Roman" w:hAnsi="Times New Roman"/>
          <w:bCs/>
          <w:color w:val="000000"/>
        </w:rPr>
        <w:t>anitol</w:t>
      </w:r>
    </w:p>
    <w:p w14:paraId="361B5D8A" w14:textId="77777777" w:rsidR="00684A8F" w:rsidRPr="003B5ED4" w:rsidRDefault="00684A8F">
      <w:pPr>
        <w:shd w:val="clear" w:color="auto" w:fill="FFFFFF"/>
        <w:spacing w:after="0" w:line="240" w:lineRule="auto"/>
        <w:rPr>
          <w:rFonts w:ascii="Times New Roman" w:hAnsi="Times New Roman"/>
          <w:bCs/>
          <w:color w:val="000000"/>
        </w:rPr>
      </w:pPr>
    </w:p>
    <w:p w14:paraId="52E04429" w14:textId="77777777" w:rsidR="00684A8F" w:rsidRPr="003B5ED4" w:rsidRDefault="00684A8F">
      <w:pPr>
        <w:shd w:val="clear" w:color="auto" w:fill="FFFFFF"/>
        <w:tabs>
          <w:tab w:val="left" w:pos="567"/>
        </w:tabs>
        <w:spacing w:after="0" w:line="240" w:lineRule="auto"/>
        <w:rPr>
          <w:rFonts w:ascii="Times New Roman" w:hAnsi="Times New Roman"/>
          <w:b/>
          <w:color w:val="000000"/>
        </w:rPr>
      </w:pPr>
      <w:r w:rsidRPr="003B5ED4">
        <w:rPr>
          <w:rFonts w:ascii="Times New Roman" w:hAnsi="Times New Roman"/>
          <w:b/>
          <w:bCs/>
          <w:color w:val="000000"/>
        </w:rPr>
        <w:t>6</w:t>
      </w:r>
      <w:r w:rsidRPr="003B5ED4">
        <w:rPr>
          <w:rFonts w:ascii="Times New Roman" w:hAnsi="Times New Roman"/>
          <w:b/>
          <w:color w:val="000000"/>
        </w:rPr>
        <w:t>.2</w:t>
      </w:r>
      <w:r w:rsidRPr="003B5ED4">
        <w:rPr>
          <w:rFonts w:ascii="Times New Roman" w:hAnsi="Times New Roman"/>
          <w:b/>
          <w:color w:val="000000"/>
        </w:rPr>
        <w:tab/>
        <w:t>Inkompatibilty</w:t>
      </w:r>
    </w:p>
    <w:p w14:paraId="00A3A83F" w14:textId="77777777" w:rsidR="00684A8F" w:rsidRPr="003B5ED4" w:rsidRDefault="00684A8F">
      <w:pPr>
        <w:shd w:val="clear" w:color="auto" w:fill="FFFFFF"/>
        <w:spacing w:after="0" w:line="240" w:lineRule="auto"/>
        <w:rPr>
          <w:rFonts w:ascii="Times New Roman" w:hAnsi="Times New Roman"/>
          <w:color w:val="000000"/>
        </w:rPr>
      </w:pPr>
    </w:p>
    <w:p w14:paraId="217A3A14" w14:textId="77777777" w:rsidR="00684A8F" w:rsidRPr="003B5ED4" w:rsidRDefault="00684A8F">
      <w:pPr>
        <w:shd w:val="clear" w:color="auto" w:fill="FFFFFF"/>
        <w:spacing w:after="0" w:line="240" w:lineRule="auto"/>
        <w:rPr>
          <w:rFonts w:ascii="Times New Roman" w:hAnsi="Times New Roman"/>
          <w:color w:val="000000"/>
          <w:lang w:val="sk-SK"/>
        </w:rPr>
      </w:pPr>
      <w:r w:rsidRPr="003B5ED4">
        <w:rPr>
          <w:rFonts w:ascii="Times New Roman" w:hAnsi="Times New Roman"/>
          <w:color w:val="000000"/>
          <w:lang w:val="sk-SK"/>
        </w:rPr>
        <w:t>Tento liek sa nesmie miešať s inými liekmi okrem tých, ktoré sú uvedené v časti 6.6.</w:t>
      </w:r>
    </w:p>
    <w:p w14:paraId="6912C5CA" w14:textId="77777777" w:rsidR="00684A8F" w:rsidRPr="003B5ED4" w:rsidRDefault="00684A8F">
      <w:pPr>
        <w:shd w:val="clear" w:color="auto" w:fill="FFFFFF"/>
        <w:spacing w:after="0" w:line="240" w:lineRule="auto"/>
        <w:rPr>
          <w:rFonts w:ascii="Times New Roman" w:hAnsi="Times New Roman"/>
          <w:bCs/>
          <w:color w:val="000000"/>
        </w:rPr>
      </w:pPr>
    </w:p>
    <w:p w14:paraId="103AC864" w14:textId="77777777" w:rsidR="00684A8F" w:rsidRPr="003B5ED4" w:rsidRDefault="00684A8F">
      <w:pPr>
        <w:shd w:val="clear" w:color="auto" w:fill="FFFFFF"/>
        <w:tabs>
          <w:tab w:val="left" w:pos="567"/>
        </w:tabs>
        <w:spacing w:after="0" w:line="240" w:lineRule="auto"/>
        <w:rPr>
          <w:rFonts w:ascii="Times New Roman" w:hAnsi="Times New Roman"/>
          <w:b/>
          <w:bCs/>
          <w:color w:val="000000"/>
        </w:rPr>
      </w:pPr>
      <w:r w:rsidRPr="003B5ED4">
        <w:rPr>
          <w:rFonts w:ascii="Times New Roman" w:hAnsi="Times New Roman"/>
          <w:b/>
          <w:bCs/>
          <w:color w:val="000000"/>
        </w:rPr>
        <w:t>6.3</w:t>
      </w:r>
      <w:r w:rsidRPr="003B5ED4">
        <w:rPr>
          <w:rFonts w:ascii="Times New Roman" w:hAnsi="Times New Roman"/>
          <w:b/>
          <w:bCs/>
          <w:color w:val="000000"/>
        </w:rPr>
        <w:tab/>
        <w:t>Čas použiteľnosti</w:t>
      </w:r>
    </w:p>
    <w:p w14:paraId="3A2652A2" w14:textId="77777777" w:rsidR="00684A8F" w:rsidRPr="003B5ED4" w:rsidRDefault="00684A8F">
      <w:pPr>
        <w:shd w:val="clear" w:color="auto" w:fill="FFFFFF"/>
        <w:spacing w:after="0" w:line="240" w:lineRule="auto"/>
        <w:rPr>
          <w:rFonts w:ascii="Times New Roman" w:hAnsi="Times New Roman"/>
          <w:b/>
          <w:bCs/>
          <w:color w:val="000000"/>
        </w:rPr>
      </w:pPr>
    </w:p>
    <w:p w14:paraId="6B3CF46E" w14:textId="77777777" w:rsidR="00684A8F" w:rsidRPr="003B5ED4" w:rsidRDefault="00684A8F">
      <w:pPr>
        <w:shd w:val="clear" w:color="auto" w:fill="FFFFFF"/>
        <w:spacing w:after="0" w:line="240" w:lineRule="auto"/>
        <w:rPr>
          <w:rFonts w:ascii="Times New Roman" w:hAnsi="Times New Roman"/>
          <w:bCs/>
          <w:color w:val="000000"/>
        </w:rPr>
      </w:pPr>
      <w:r w:rsidRPr="003B5ED4">
        <w:rPr>
          <w:rFonts w:ascii="Times New Roman" w:hAnsi="Times New Roman"/>
          <w:bCs/>
          <w:color w:val="000000"/>
        </w:rPr>
        <w:t>Neotvorené: 3 roky.</w:t>
      </w:r>
    </w:p>
    <w:p w14:paraId="1C7A092A" w14:textId="77777777" w:rsidR="00684A8F" w:rsidRPr="003B5ED4" w:rsidRDefault="00684A8F">
      <w:pPr>
        <w:shd w:val="clear" w:color="auto" w:fill="FFFFFF"/>
        <w:spacing w:after="0" w:line="240" w:lineRule="auto"/>
        <w:rPr>
          <w:rFonts w:ascii="Times New Roman" w:hAnsi="Times New Roman"/>
          <w:bCs/>
          <w:color w:val="000000"/>
        </w:rPr>
      </w:pPr>
    </w:p>
    <w:p w14:paraId="10BE44A3" w14:textId="77777777" w:rsidR="00684A8F" w:rsidRPr="003B5ED4" w:rsidRDefault="00684A8F">
      <w:pPr>
        <w:shd w:val="clear" w:color="auto" w:fill="FFFFFF"/>
        <w:spacing w:after="0" w:line="240" w:lineRule="auto"/>
        <w:rPr>
          <w:rFonts w:ascii="Times New Roman" w:hAnsi="Times New Roman"/>
          <w:bCs/>
          <w:color w:val="000000"/>
          <w:lang w:val="sk-SK"/>
        </w:rPr>
      </w:pPr>
      <w:r w:rsidRPr="003B5ED4">
        <w:rPr>
          <w:rFonts w:ascii="Times New Roman" w:hAnsi="Times New Roman"/>
          <w:bCs/>
          <w:color w:val="000000"/>
          <w:lang w:val="sk-SK"/>
        </w:rPr>
        <w:lastRenderedPageBreak/>
        <w:t>Prášok sa má rekonštituovať ihneď po otvorení injekčnej liekovky.</w:t>
      </w:r>
    </w:p>
    <w:p w14:paraId="6E5BD36A" w14:textId="77777777" w:rsidR="00684A8F" w:rsidRPr="003B5ED4" w:rsidRDefault="00684A8F">
      <w:pPr>
        <w:shd w:val="clear" w:color="auto" w:fill="FFFFFF"/>
        <w:spacing w:after="0" w:line="240" w:lineRule="auto"/>
        <w:rPr>
          <w:rFonts w:ascii="Times New Roman" w:hAnsi="Times New Roman"/>
          <w:bCs/>
          <w:color w:val="000000"/>
        </w:rPr>
      </w:pPr>
      <w:r w:rsidRPr="003B5ED4">
        <w:rPr>
          <w:rFonts w:ascii="Times New Roman" w:hAnsi="Times New Roman"/>
          <w:bCs/>
          <w:color w:val="000000"/>
          <w:lang w:val="sk-SK"/>
        </w:rPr>
        <w:t xml:space="preserve">Rekonštituovaný koncentrát sa musí ihneď zriediť </w:t>
      </w:r>
      <w:r w:rsidR="000B18EA">
        <w:rPr>
          <w:rFonts w:ascii="Times New Roman" w:hAnsi="Times New Roman"/>
          <w:bCs/>
          <w:color w:val="000000"/>
          <w:lang w:val="sk-SK"/>
        </w:rPr>
        <w:t xml:space="preserve">s </w:t>
      </w:r>
      <w:r w:rsidRPr="003B5ED4">
        <w:rPr>
          <w:rFonts w:ascii="Times New Roman" w:hAnsi="Times New Roman"/>
          <w:color w:val="000000"/>
          <w:lang w:val="sk-SK"/>
        </w:rPr>
        <w:t xml:space="preserve">9 mg/ml (0,9 %) </w:t>
      </w:r>
      <w:r w:rsidRPr="003B5ED4">
        <w:rPr>
          <w:rFonts w:ascii="Times New Roman" w:hAnsi="Times New Roman"/>
          <w:bCs/>
          <w:color w:val="000000"/>
          <w:lang w:val="sk-SK"/>
        </w:rPr>
        <w:t>roztokom chloridu sodného.</w:t>
      </w:r>
    </w:p>
    <w:p w14:paraId="53CA7E2C" w14:textId="77777777" w:rsidR="00684A8F" w:rsidRPr="003B5ED4" w:rsidRDefault="00684A8F">
      <w:pPr>
        <w:shd w:val="clear" w:color="auto" w:fill="FFFFFF"/>
        <w:spacing w:after="0" w:line="240" w:lineRule="auto"/>
        <w:rPr>
          <w:rFonts w:ascii="Times New Roman" w:hAnsi="Times New Roman"/>
          <w:bCs/>
          <w:color w:val="000000"/>
        </w:rPr>
      </w:pPr>
    </w:p>
    <w:p w14:paraId="1A5730C8" w14:textId="77777777" w:rsidR="00684A8F" w:rsidRPr="003B5ED4" w:rsidRDefault="00684A8F">
      <w:pPr>
        <w:shd w:val="clear" w:color="auto" w:fill="FFFFFF"/>
        <w:spacing w:after="0" w:line="240" w:lineRule="auto"/>
        <w:rPr>
          <w:rFonts w:ascii="Times New Roman" w:hAnsi="Times New Roman"/>
          <w:bCs/>
          <w:color w:val="000000"/>
          <w:u w:val="single"/>
        </w:rPr>
      </w:pPr>
      <w:r w:rsidRPr="003B5ED4">
        <w:rPr>
          <w:rFonts w:ascii="Times New Roman" w:hAnsi="Times New Roman"/>
          <w:bCs/>
          <w:color w:val="000000"/>
          <w:u w:val="single"/>
        </w:rPr>
        <w:t xml:space="preserve">Infúzny roztok </w:t>
      </w:r>
    </w:p>
    <w:p w14:paraId="1DF7377C" w14:textId="77777777" w:rsidR="000B18EA" w:rsidRDefault="00684A8F">
      <w:pPr>
        <w:shd w:val="clear" w:color="auto" w:fill="FFFFFF"/>
        <w:spacing w:after="0" w:line="240" w:lineRule="auto"/>
        <w:rPr>
          <w:rFonts w:ascii="Times New Roman" w:hAnsi="Times New Roman"/>
          <w:bCs/>
          <w:lang w:val="sk-SK"/>
        </w:rPr>
      </w:pPr>
      <w:r w:rsidRPr="003B5ED4">
        <w:rPr>
          <w:rFonts w:ascii="Times New Roman" w:hAnsi="Times New Roman"/>
          <w:bCs/>
          <w:lang w:val="sk-SK"/>
        </w:rPr>
        <w:t xml:space="preserve">Chemická a fyzikálna stabilita po rekonštitúcii a riedení sa preukázala po dobu 3,5 hodiny </w:t>
      </w:r>
    </w:p>
    <w:p w14:paraId="301846D2" w14:textId="77777777" w:rsidR="00684A8F" w:rsidRPr="003B5ED4" w:rsidRDefault="00684A8F">
      <w:pPr>
        <w:shd w:val="clear" w:color="auto" w:fill="FFFFFF"/>
        <w:spacing w:after="0" w:line="240" w:lineRule="auto"/>
        <w:rPr>
          <w:rFonts w:ascii="Times New Roman" w:hAnsi="Times New Roman"/>
          <w:bCs/>
          <w:lang w:val="sk-SK"/>
        </w:rPr>
      </w:pPr>
      <w:r w:rsidRPr="003B5ED4">
        <w:rPr>
          <w:rFonts w:ascii="Times New Roman" w:hAnsi="Times New Roman"/>
          <w:bCs/>
          <w:lang w:val="sk-SK"/>
        </w:rPr>
        <w:t>pri 25 °C/60 % relatívnej vlhkosti a 2 dňoch pri 2 °C až 8 °C v polyetylénových vakoch.</w:t>
      </w:r>
    </w:p>
    <w:p w14:paraId="2E61B7AA" w14:textId="77777777" w:rsidR="00684A8F" w:rsidRPr="003B5ED4" w:rsidRDefault="00684A8F">
      <w:pPr>
        <w:shd w:val="clear" w:color="auto" w:fill="FFFFFF"/>
        <w:spacing w:after="0" w:line="240" w:lineRule="auto"/>
        <w:rPr>
          <w:rFonts w:ascii="Times New Roman" w:hAnsi="Times New Roman"/>
          <w:bCs/>
          <w:u w:val="single"/>
          <w:lang w:val="sk-SK"/>
        </w:rPr>
      </w:pPr>
    </w:p>
    <w:p w14:paraId="3BF70624" w14:textId="66721E25" w:rsidR="00684A8F" w:rsidRPr="003B5ED4" w:rsidRDefault="00C41222">
      <w:pPr>
        <w:shd w:val="clear" w:color="auto" w:fill="FFFFFF"/>
        <w:spacing w:after="0" w:line="240" w:lineRule="auto"/>
        <w:rPr>
          <w:rFonts w:ascii="Times New Roman" w:hAnsi="Times New Roman"/>
          <w:b/>
          <w:bCs/>
          <w:color w:val="000000"/>
        </w:rPr>
      </w:pPr>
      <w:r w:rsidRPr="00C41222">
        <w:t xml:space="preserve"> </w:t>
      </w:r>
      <w:r w:rsidRPr="00C41222">
        <w:rPr>
          <w:rFonts w:ascii="Times New Roman" w:hAnsi="Times New Roman"/>
          <w:color w:val="000000"/>
          <w:lang w:val="sk-SK"/>
        </w:rPr>
        <w:t xml:space="preserve">Z mikrobiologického hľadiska sa má roztok použiť okamžite. Ak sa nepoužije okamžite, za čas a podmienky uchovávania pred použitím je zodpovedný používateľ a normálne nemá byť dlhší ako 24 hodín pri teplote 2 až 8 °C, pokiaľ sa </w:t>
      </w:r>
      <w:r>
        <w:rPr>
          <w:rFonts w:ascii="Times New Roman" w:hAnsi="Times New Roman"/>
          <w:color w:val="000000"/>
          <w:lang w:val="sk-SK"/>
        </w:rPr>
        <w:t>rekonštitúcia</w:t>
      </w:r>
      <w:r w:rsidR="00D77F1C">
        <w:rPr>
          <w:rFonts w:ascii="Times New Roman" w:hAnsi="Times New Roman"/>
          <w:color w:val="000000"/>
          <w:lang w:val="sk-SK"/>
        </w:rPr>
        <w:t>/riedenie</w:t>
      </w:r>
      <w:r w:rsidRPr="00C41222">
        <w:rPr>
          <w:rFonts w:ascii="Times New Roman" w:hAnsi="Times New Roman"/>
          <w:color w:val="000000"/>
          <w:lang w:val="sk-SK"/>
        </w:rPr>
        <w:t xml:space="preserve"> neuskutočnil</w:t>
      </w:r>
      <w:r>
        <w:rPr>
          <w:rFonts w:ascii="Times New Roman" w:hAnsi="Times New Roman"/>
          <w:color w:val="000000"/>
          <w:lang w:val="sk-SK"/>
        </w:rPr>
        <w:t>a</w:t>
      </w:r>
      <w:r w:rsidRPr="00C41222">
        <w:rPr>
          <w:rFonts w:ascii="Times New Roman" w:hAnsi="Times New Roman"/>
          <w:color w:val="000000"/>
          <w:lang w:val="sk-SK"/>
        </w:rPr>
        <w:t xml:space="preserve"> v kontrolovaných a schválených aseptických podmienkach.</w:t>
      </w:r>
    </w:p>
    <w:p w14:paraId="54E6ADB2" w14:textId="77777777" w:rsidR="00B57AAA" w:rsidRDefault="00B57AAA">
      <w:pPr>
        <w:shd w:val="clear" w:color="auto" w:fill="FFFFFF"/>
        <w:tabs>
          <w:tab w:val="left" w:pos="567"/>
        </w:tabs>
        <w:spacing w:after="0" w:line="240" w:lineRule="auto"/>
        <w:rPr>
          <w:rFonts w:ascii="Times New Roman" w:hAnsi="Times New Roman"/>
          <w:b/>
          <w:bCs/>
          <w:color w:val="000000"/>
        </w:rPr>
      </w:pPr>
    </w:p>
    <w:p w14:paraId="0EB35D56" w14:textId="77777777" w:rsidR="00684A8F" w:rsidRPr="003B5ED4" w:rsidRDefault="00684A8F">
      <w:pPr>
        <w:shd w:val="clear" w:color="auto" w:fill="FFFFFF"/>
        <w:tabs>
          <w:tab w:val="left" w:pos="567"/>
        </w:tabs>
        <w:spacing w:after="0" w:line="240" w:lineRule="auto"/>
        <w:rPr>
          <w:rFonts w:ascii="Times New Roman" w:hAnsi="Times New Roman"/>
          <w:b/>
          <w:bCs/>
          <w:color w:val="000000"/>
        </w:rPr>
      </w:pPr>
      <w:r w:rsidRPr="003B5ED4">
        <w:rPr>
          <w:rFonts w:ascii="Times New Roman" w:hAnsi="Times New Roman"/>
          <w:b/>
          <w:bCs/>
          <w:color w:val="000000"/>
        </w:rPr>
        <w:t>6.4</w:t>
      </w:r>
      <w:r w:rsidRPr="003B5ED4">
        <w:rPr>
          <w:rFonts w:ascii="Times New Roman" w:hAnsi="Times New Roman"/>
          <w:b/>
          <w:bCs/>
          <w:color w:val="000000"/>
        </w:rPr>
        <w:tab/>
        <w:t>Špeciálne upozornenia na uchovávanie</w:t>
      </w:r>
    </w:p>
    <w:p w14:paraId="12105FF2" w14:textId="77777777" w:rsidR="00684A8F" w:rsidRPr="003B5ED4" w:rsidRDefault="00684A8F">
      <w:pPr>
        <w:shd w:val="clear" w:color="auto" w:fill="FFFFFF"/>
        <w:spacing w:after="0" w:line="240" w:lineRule="auto"/>
        <w:rPr>
          <w:rFonts w:ascii="Times New Roman" w:hAnsi="Times New Roman"/>
          <w:color w:val="000000"/>
        </w:rPr>
      </w:pPr>
    </w:p>
    <w:p w14:paraId="193D8721" w14:textId="77777777" w:rsidR="00684A8F" w:rsidRPr="003B5ED4" w:rsidRDefault="00684A8F">
      <w:pPr>
        <w:shd w:val="clear" w:color="auto" w:fill="FFFFFF"/>
        <w:spacing w:after="0" w:line="240" w:lineRule="auto"/>
        <w:rPr>
          <w:rFonts w:ascii="Times New Roman" w:hAnsi="Times New Roman"/>
          <w:color w:val="000000"/>
        </w:rPr>
      </w:pPr>
      <w:r w:rsidRPr="003B5ED4">
        <w:rPr>
          <w:rFonts w:ascii="Times New Roman" w:hAnsi="Times New Roman"/>
          <w:color w:val="000000"/>
          <w:lang w:val="sk-SK"/>
        </w:rPr>
        <w:t>Tento liek nevyžaduje žiadne zvláštne podmienky na uchovávanie.</w:t>
      </w:r>
    </w:p>
    <w:p w14:paraId="6875CA03" w14:textId="77777777" w:rsidR="00684A8F" w:rsidRPr="003B5ED4" w:rsidRDefault="00684A8F">
      <w:pPr>
        <w:shd w:val="clear" w:color="auto" w:fill="FFFFFF"/>
        <w:spacing w:after="0" w:line="240" w:lineRule="auto"/>
        <w:rPr>
          <w:rFonts w:ascii="Times New Roman" w:hAnsi="Times New Roman"/>
          <w:color w:val="000000"/>
        </w:rPr>
      </w:pPr>
    </w:p>
    <w:p w14:paraId="09D3CACE" w14:textId="77777777" w:rsidR="00684A8F" w:rsidRPr="003B5ED4" w:rsidRDefault="00684A8F">
      <w:pPr>
        <w:shd w:val="clear" w:color="auto" w:fill="FFFFFF"/>
        <w:spacing w:after="0" w:line="240" w:lineRule="auto"/>
        <w:rPr>
          <w:rFonts w:ascii="Times New Roman" w:hAnsi="Times New Roman"/>
          <w:color w:val="000000"/>
          <w:lang w:val="sk-SK"/>
        </w:rPr>
      </w:pPr>
      <w:r w:rsidRPr="003B5ED4">
        <w:rPr>
          <w:rFonts w:ascii="Times New Roman" w:hAnsi="Times New Roman"/>
          <w:color w:val="000000"/>
          <w:lang w:val="sk-SK"/>
        </w:rPr>
        <w:t>Podmienky na uchovávanie po rekonštitúcii alebo riedení lieku, pozri časť 6.3.</w:t>
      </w:r>
    </w:p>
    <w:p w14:paraId="1D180207" w14:textId="77777777" w:rsidR="00684A8F" w:rsidRPr="003B5ED4" w:rsidRDefault="00684A8F">
      <w:pPr>
        <w:shd w:val="clear" w:color="auto" w:fill="FFFFFF"/>
        <w:spacing w:after="0" w:line="240" w:lineRule="auto"/>
        <w:rPr>
          <w:rFonts w:ascii="Times New Roman" w:hAnsi="Times New Roman"/>
          <w:color w:val="000000"/>
        </w:rPr>
      </w:pPr>
    </w:p>
    <w:p w14:paraId="3D127B11" w14:textId="77777777" w:rsidR="00684A8F" w:rsidRPr="003B5ED4" w:rsidRDefault="00684A8F">
      <w:pPr>
        <w:shd w:val="clear" w:color="auto" w:fill="FFFFFF"/>
        <w:tabs>
          <w:tab w:val="left" w:pos="567"/>
        </w:tabs>
        <w:spacing w:after="0" w:line="240" w:lineRule="auto"/>
        <w:rPr>
          <w:rFonts w:ascii="Times New Roman" w:hAnsi="Times New Roman"/>
          <w:b/>
          <w:bCs/>
          <w:color w:val="000000"/>
        </w:rPr>
      </w:pPr>
      <w:r w:rsidRPr="003B5ED4">
        <w:rPr>
          <w:rFonts w:ascii="Times New Roman" w:hAnsi="Times New Roman"/>
          <w:b/>
          <w:bCs/>
          <w:color w:val="000000"/>
        </w:rPr>
        <w:t>6.5</w:t>
      </w:r>
      <w:r w:rsidRPr="003B5ED4">
        <w:rPr>
          <w:rFonts w:ascii="Times New Roman" w:hAnsi="Times New Roman"/>
          <w:b/>
          <w:bCs/>
          <w:color w:val="000000"/>
        </w:rPr>
        <w:tab/>
        <w:t xml:space="preserve">Druh obalu </w:t>
      </w:r>
      <w:proofErr w:type="gramStart"/>
      <w:r w:rsidRPr="003B5ED4">
        <w:rPr>
          <w:rFonts w:ascii="Times New Roman" w:hAnsi="Times New Roman"/>
          <w:b/>
          <w:bCs/>
          <w:color w:val="000000"/>
        </w:rPr>
        <w:t>a</w:t>
      </w:r>
      <w:proofErr w:type="gramEnd"/>
      <w:r w:rsidRPr="003B5ED4">
        <w:rPr>
          <w:rFonts w:ascii="Times New Roman" w:hAnsi="Times New Roman"/>
          <w:b/>
          <w:bCs/>
          <w:color w:val="000000"/>
        </w:rPr>
        <w:t xml:space="preserve"> obsah balenia</w:t>
      </w:r>
    </w:p>
    <w:p w14:paraId="090821AE" w14:textId="77777777" w:rsidR="00684A8F" w:rsidRPr="003B5ED4" w:rsidRDefault="00684A8F">
      <w:pPr>
        <w:shd w:val="clear" w:color="auto" w:fill="FFFFFF"/>
        <w:spacing w:after="0" w:line="240" w:lineRule="auto"/>
        <w:rPr>
          <w:rFonts w:ascii="Times New Roman" w:hAnsi="Times New Roman"/>
        </w:rPr>
      </w:pPr>
    </w:p>
    <w:p w14:paraId="1800D646" w14:textId="3ED14BD4" w:rsidR="00684A8F" w:rsidRPr="003B5ED4" w:rsidRDefault="00684A8F">
      <w:pPr>
        <w:shd w:val="clear" w:color="auto" w:fill="FFFFFF"/>
        <w:spacing w:after="0" w:line="240" w:lineRule="auto"/>
        <w:rPr>
          <w:rFonts w:ascii="Times New Roman" w:hAnsi="Times New Roman"/>
          <w:color w:val="000000"/>
          <w:lang w:val="sk-SK"/>
        </w:rPr>
      </w:pPr>
      <w:r w:rsidRPr="003B5ED4">
        <w:rPr>
          <w:rFonts w:ascii="Times New Roman" w:hAnsi="Times New Roman"/>
          <w:lang w:val="sk-SK"/>
        </w:rPr>
        <w:t>20 ml alebo 50 ml sklenená injekčná liekovka typu I jantárovej farby s chl</w:t>
      </w:r>
      <w:r w:rsidR="00A51AF2">
        <w:rPr>
          <w:rFonts w:ascii="Times New Roman" w:hAnsi="Times New Roman"/>
          <w:lang w:val="sk-SK"/>
        </w:rPr>
        <w:t>ó</w:t>
      </w:r>
      <w:r w:rsidRPr="003B5ED4">
        <w:rPr>
          <w:rFonts w:ascii="Times New Roman" w:hAnsi="Times New Roman"/>
          <w:lang w:val="sk-SK"/>
        </w:rPr>
        <w:t>rbutylovou gumovou</w:t>
      </w:r>
      <w:r w:rsidRPr="003B5ED4">
        <w:rPr>
          <w:rFonts w:ascii="Times New Roman" w:hAnsi="Times New Roman"/>
          <w:color w:val="000000"/>
          <w:lang w:val="sk-SK"/>
        </w:rPr>
        <w:t xml:space="preserve"> zátkou a </w:t>
      </w:r>
      <w:r w:rsidR="00C41222">
        <w:rPr>
          <w:rFonts w:ascii="Times New Roman" w:hAnsi="Times New Roman"/>
          <w:color w:val="000000"/>
          <w:lang w:val="sk-SK"/>
        </w:rPr>
        <w:t>zapečatené zelenou alebo modrou hliníkovou záklopkou</w:t>
      </w:r>
      <w:r w:rsidRPr="003B5ED4">
        <w:rPr>
          <w:rFonts w:ascii="Times New Roman" w:hAnsi="Times New Roman"/>
          <w:color w:val="000000"/>
          <w:lang w:val="sk-SK"/>
        </w:rPr>
        <w:t>.</w:t>
      </w:r>
    </w:p>
    <w:p w14:paraId="7328E889" w14:textId="77777777" w:rsidR="00684A8F" w:rsidRPr="003B5ED4" w:rsidRDefault="00684A8F">
      <w:pPr>
        <w:shd w:val="clear" w:color="auto" w:fill="FFFFFF"/>
        <w:spacing w:after="0" w:line="240" w:lineRule="auto"/>
        <w:rPr>
          <w:rFonts w:ascii="Times New Roman" w:hAnsi="Times New Roman"/>
          <w:color w:val="000000"/>
          <w:lang w:val="sk-SK"/>
        </w:rPr>
      </w:pPr>
      <w:r w:rsidRPr="003B5ED4">
        <w:rPr>
          <w:rFonts w:ascii="Times New Roman" w:hAnsi="Times New Roman"/>
          <w:color w:val="000000"/>
          <w:lang w:val="sk-SK"/>
        </w:rPr>
        <w:t>20 ml injekčné liekovky obsahujú 25 mg bendamustíniumchloridu a dodávajú sa v </w:t>
      </w:r>
      <w:r w:rsidR="00BC685B">
        <w:rPr>
          <w:rFonts w:ascii="Times New Roman" w:hAnsi="Times New Roman"/>
          <w:color w:val="000000"/>
          <w:lang w:val="sk-SK"/>
        </w:rPr>
        <w:t>baleniach</w:t>
      </w:r>
      <w:r w:rsidRPr="003B5ED4">
        <w:rPr>
          <w:rFonts w:ascii="Times New Roman" w:hAnsi="Times New Roman"/>
          <w:color w:val="000000"/>
          <w:lang w:val="sk-SK"/>
        </w:rPr>
        <w:t xml:space="preserve"> po 1, 5, 10 a 20 injekčných liekoviek.</w:t>
      </w:r>
    </w:p>
    <w:p w14:paraId="036DB6F3" w14:textId="77777777" w:rsidR="00684A8F" w:rsidRPr="003B5ED4" w:rsidRDefault="00684A8F">
      <w:pPr>
        <w:shd w:val="clear" w:color="auto" w:fill="FFFFFF"/>
        <w:spacing w:after="0" w:line="240" w:lineRule="auto"/>
        <w:rPr>
          <w:rFonts w:ascii="Times New Roman" w:hAnsi="Times New Roman"/>
          <w:color w:val="000000"/>
          <w:lang w:val="sk-SK"/>
        </w:rPr>
      </w:pPr>
      <w:r w:rsidRPr="003B5ED4">
        <w:rPr>
          <w:rFonts w:ascii="Times New Roman" w:hAnsi="Times New Roman"/>
          <w:color w:val="000000"/>
          <w:lang w:val="sk-SK"/>
        </w:rPr>
        <w:t>50 ml injekčné liekovky obsahujú 100 mg bendamustíniumchloridu a dodávajú sa v </w:t>
      </w:r>
      <w:r w:rsidR="00BC685B">
        <w:rPr>
          <w:rFonts w:ascii="Times New Roman" w:hAnsi="Times New Roman"/>
          <w:color w:val="000000"/>
          <w:lang w:val="sk-SK"/>
        </w:rPr>
        <w:t>baleniach</w:t>
      </w:r>
      <w:r w:rsidRPr="003B5ED4">
        <w:rPr>
          <w:rFonts w:ascii="Times New Roman" w:hAnsi="Times New Roman"/>
          <w:color w:val="000000"/>
          <w:lang w:val="sk-SK"/>
        </w:rPr>
        <w:t xml:space="preserve"> po 1 alebo 5 injekčných liekoviek.</w:t>
      </w:r>
    </w:p>
    <w:p w14:paraId="23104067" w14:textId="77777777" w:rsidR="00684A8F" w:rsidRPr="003B5ED4" w:rsidRDefault="00684A8F">
      <w:pPr>
        <w:shd w:val="clear" w:color="auto" w:fill="FFFFFF"/>
        <w:spacing w:after="0" w:line="240" w:lineRule="auto"/>
        <w:rPr>
          <w:rFonts w:ascii="Times New Roman" w:hAnsi="Times New Roman"/>
          <w:color w:val="000000"/>
          <w:lang w:val="sk-SK"/>
        </w:rPr>
      </w:pPr>
      <w:r w:rsidRPr="003B5ED4">
        <w:rPr>
          <w:rFonts w:ascii="Times New Roman" w:hAnsi="Times New Roman"/>
          <w:color w:val="000000"/>
          <w:lang w:val="sk-SK"/>
        </w:rPr>
        <w:t>Na trh nemusia byť uvedené všetky veľkosti balenia.</w:t>
      </w:r>
    </w:p>
    <w:p w14:paraId="418364C4" w14:textId="77777777" w:rsidR="00684A8F" w:rsidRPr="003B5ED4" w:rsidRDefault="00684A8F">
      <w:pPr>
        <w:shd w:val="clear" w:color="auto" w:fill="FFFFFF"/>
        <w:spacing w:after="0" w:line="240" w:lineRule="auto"/>
        <w:rPr>
          <w:rFonts w:ascii="Times New Roman" w:hAnsi="Times New Roman"/>
          <w:color w:val="000000"/>
        </w:rPr>
      </w:pPr>
    </w:p>
    <w:p w14:paraId="68BD99A1" w14:textId="77777777" w:rsidR="00684A8F" w:rsidRPr="003B5ED4" w:rsidRDefault="00684A8F">
      <w:pPr>
        <w:shd w:val="clear" w:color="auto" w:fill="FFFFFF"/>
        <w:tabs>
          <w:tab w:val="left" w:pos="567"/>
        </w:tabs>
        <w:spacing w:after="0" w:line="240" w:lineRule="auto"/>
        <w:rPr>
          <w:rFonts w:ascii="Times New Roman" w:hAnsi="Times New Roman"/>
          <w:b/>
          <w:bCs/>
          <w:color w:val="000000"/>
        </w:rPr>
      </w:pPr>
      <w:r w:rsidRPr="003B5ED4">
        <w:rPr>
          <w:rFonts w:ascii="Times New Roman" w:hAnsi="Times New Roman"/>
          <w:b/>
          <w:bCs/>
          <w:color w:val="000000"/>
        </w:rPr>
        <w:t>6.6</w:t>
      </w:r>
      <w:r w:rsidRPr="003B5ED4">
        <w:rPr>
          <w:rFonts w:ascii="Times New Roman" w:hAnsi="Times New Roman"/>
          <w:b/>
          <w:bCs/>
          <w:color w:val="000000"/>
        </w:rPr>
        <w:tab/>
        <w:t xml:space="preserve">Špeciálne opatrenia </w:t>
      </w:r>
      <w:proofErr w:type="gramStart"/>
      <w:r w:rsidRPr="003B5ED4">
        <w:rPr>
          <w:rFonts w:ascii="Times New Roman" w:hAnsi="Times New Roman"/>
          <w:b/>
          <w:bCs/>
          <w:color w:val="000000"/>
        </w:rPr>
        <w:t>na</w:t>
      </w:r>
      <w:proofErr w:type="gramEnd"/>
      <w:r w:rsidRPr="003B5ED4">
        <w:rPr>
          <w:rFonts w:ascii="Times New Roman" w:hAnsi="Times New Roman"/>
          <w:b/>
          <w:bCs/>
          <w:color w:val="000000"/>
        </w:rPr>
        <w:t xml:space="preserve"> likvidáciu a iné zaobchádzanie s liekom</w:t>
      </w:r>
    </w:p>
    <w:p w14:paraId="4CBB9AF1" w14:textId="77777777" w:rsidR="00684A8F" w:rsidRPr="003B5ED4" w:rsidRDefault="00684A8F">
      <w:pPr>
        <w:shd w:val="clear" w:color="auto" w:fill="FFFFFF"/>
        <w:spacing w:after="0" w:line="240" w:lineRule="auto"/>
        <w:rPr>
          <w:rFonts w:ascii="Times New Roman" w:hAnsi="Times New Roman"/>
          <w:color w:val="000000"/>
        </w:rPr>
      </w:pPr>
    </w:p>
    <w:p w14:paraId="5433E724" w14:textId="77777777" w:rsidR="00684A8F" w:rsidRPr="003B5ED4" w:rsidRDefault="00684A8F">
      <w:pPr>
        <w:shd w:val="clear" w:color="auto" w:fill="FFFFFF"/>
        <w:spacing w:after="0" w:line="240" w:lineRule="auto"/>
        <w:rPr>
          <w:rFonts w:ascii="Times New Roman" w:hAnsi="Times New Roman"/>
          <w:color w:val="000000"/>
          <w:lang w:val="sk-SK"/>
        </w:rPr>
      </w:pPr>
      <w:r w:rsidRPr="003B5ED4">
        <w:rPr>
          <w:rFonts w:ascii="Times New Roman" w:hAnsi="Times New Roman"/>
          <w:lang w:val="sk-SK"/>
        </w:rPr>
        <w:t>Pri manipulácii s</w:t>
      </w:r>
      <w:r w:rsidR="00D57D84">
        <w:rPr>
          <w:rFonts w:ascii="Times New Roman" w:hAnsi="Times New Roman"/>
          <w:lang w:val="sk-SK"/>
        </w:rPr>
        <w:t xml:space="preserve"> liekom</w:t>
      </w:r>
      <w:r w:rsidRPr="003B5ED4">
        <w:rPr>
          <w:rFonts w:ascii="Times New Roman" w:hAnsi="Times New Roman"/>
          <w:lang w:val="sk-SK"/>
        </w:rPr>
        <w:t> Bendamustin</w:t>
      </w:r>
      <w:r w:rsidR="00D57D84">
        <w:rPr>
          <w:rFonts w:ascii="Times New Roman" w:hAnsi="Times New Roman"/>
          <w:lang w:val="sk-SK"/>
        </w:rPr>
        <w:t>e</w:t>
      </w:r>
      <w:r w:rsidRPr="003B5ED4">
        <w:rPr>
          <w:rFonts w:ascii="Times New Roman" w:hAnsi="Times New Roman"/>
          <w:lang w:val="sk-SK"/>
        </w:rPr>
        <w:t xml:space="preserve"> Kabi sa treba vyhýbať vdýchnutiu, kontaktu s kožou alebo kontaktu so sliznic</w:t>
      </w:r>
      <w:r w:rsidR="00D57D84">
        <w:rPr>
          <w:rFonts w:ascii="Times New Roman" w:hAnsi="Times New Roman"/>
          <w:lang w:val="sk-SK"/>
        </w:rPr>
        <w:t>ami</w:t>
      </w:r>
      <w:r w:rsidRPr="003B5ED4">
        <w:rPr>
          <w:rFonts w:ascii="Times New Roman" w:hAnsi="Times New Roman"/>
          <w:lang w:val="sk-SK"/>
        </w:rPr>
        <w:t xml:space="preserve"> (noste rukavice a ochranné odevy). Kontaminované časti</w:t>
      </w:r>
      <w:r w:rsidR="00D57D84">
        <w:rPr>
          <w:rFonts w:ascii="Times New Roman" w:hAnsi="Times New Roman"/>
          <w:lang w:val="sk-SK"/>
        </w:rPr>
        <w:t xml:space="preserve"> tela</w:t>
      </w:r>
      <w:r w:rsidRPr="003B5ED4">
        <w:rPr>
          <w:rFonts w:ascii="Times New Roman" w:hAnsi="Times New Roman"/>
          <w:lang w:val="sk-SK"/>
        </w:rPr>
        <w:t xml:space="preserve"> treba dôkladne umyť vodou a mydlom, oči sa musia vypláchnuť fyziologickým</w:t>
      </w:r>
      <w:r w:rsidRPr="003B5ED4">
        <w:rPr>
          <w:rFonts w:ascii="Times New Roman" w:hAnsi="Times New Roman"/>
          <w:color w:val="000000"/>
          <w:lang w:val="sk-SK"/>
        </w:rPr>
        <w:t xml:space="preserve"> roztokom. Ak je to možné, odporúča sa pracovať na špeciálnych bezpečnostných pracovných stoloch (s laminárnym prúdením) s absorpčnou fóliou na jedno použitie nepriepustnou pre </w:t>
      </w:r>
      <w:r w:rsidR="00CC2E83">
        <w:rPr>
          <w:rFonts w:ascii="Times New Roman" w:hAnsi="Times New Roman"/>
          <w:color w:val="000000"/>
          <w:lang w:val="sk-SK"/>
        </w:rPr>
        <w:t>tekutiny</w:t>
      </w:r>
      <w:r w:rsidRPr="003B5ED4">
        <w:rPr>
          <w:rFonts w:ascii="Times New Roman" w:hAnsi="Times New Roman"/>
          <w:color w:val="000000"/>
          <w:lang w:val="sk-SK"/>
        </w:rPr>
        <w:t>. Tehotné pracovníčky nesmú manipulovať s cytostatikami.</w:t>
      </w:r>
    </w:p>
    <w:p w14:paraId="663736E1" w14:textId="77777777" w:rsidR="00684A8F" w:rsidRPr="003B5ED4" w:rsidRDefault="00684A8F">
      <w:pPr>
        <w:shd w:val="clear" w:color="auto" w:fill="FFFFFF"/>
        <w:spacing w:after="0" w:line="240" w:lineRule="auto"/>
        <w:rPr>
          <w:rFonts w:ascii="Times New Roman" w:hAnsi="Times New Roman"/>
          <w:color w:val="000000"/>
          <w:lang w:val="sk-SK"/>
        </w:rPr>
      </w:pPr>
    </w:p>
    <w:p w14:paraId="6F4137AB" w14:textId="77777777" w:rsidR="00684A8F" w:rsidRPr="003B5ED4" w:rsidRDefault="00684A8F">
      <w:pPr>
        <w:shd w:val="clear" w:color="auto" w:fill="FFFFFF"/>
        <w:spacing w:after="0" w:line="240" w:lineRule="auto"/>
        <w:rPr>
          <w:rFonts w:ascii="Times New Roman" w:hAnsi="Times New Roman"/>
          <w:color w:val="000000"/>
          <w:lang w:val="sk-SK"/>
        </w:rPr>
      </w:pPr>
      <w:r w:rsidRPr="003B5ED4">
        <w:rPr>
          <w:rFonts w:ascii="Times New Roman" w:hAnsi="Times New Roman"/>
          <w:color w:val="000000"/>
          <w:lang w:val="sk-SK"/>
        </w:rPr>
        <w:t>Prášok na infúzn</w:t>
      </w:r>
      <w:r w:rsidR="00D57D84">
        <w:rPr>
          <w:rFonts w:ascii="Times New Roman" w:hAnsi="Times New Roman"/>
          <w:color w:val="000000"/>
          <w:lang w:val="sk-SK"/>
        </w:rPr>
        <w:t>y</w:t>
      </w:r>
      <w:r w:rsidRPr="003B5ED4">
        <w:rPr>
          <w:rFonts w:ascii="Times New Roman" w:hAnsi="Times New Roman"/>
          <w:color w:val="000000"/>
          <w:lang w:val="sk-SK"/>
        </w:rPr>
        <w:t xml:space="preserve"> koncentrát sa musí rekonštituovať vodou na injekci</w:t>
      </w:r>
      <w:r w:rsidR="00F30D20">
        <w:rPr>
          <w:rFonts w:ascii="Times New Roman" w:hAnsi="Times New Roman"/>
          <w:color w:val="000000"/>
          <w:lang w:val="sk-SK"/>
        </w:rPr>
        <w:t>e</w:t>
      </w:r>
      <w:r w:rsidRPr="003B5ED4">
        <w:rPr>
          <w:rFonts w:ascii="Times New Roman" w:hAnsi="Times New Roman"/>
          <w:color w:val="000000"/>
          <w:lang w:val="sk-SK"/>
        </w:rPr>
        <w:t>, riediť injekčným roztokom chloridu sodného 9 mg/ml (0,9 %) a následne podávať intravenóznou infúziou. Musia sa dodržiavať aseptické podmienky.</w:t>
      </w:r>
    </w:p>
    <w:p w14:paraId="34018479" w14:textId="77777777" w:rsidR="00684A8F" w:rsidRPr="003B5ED4" w:rsidRDefault="00684A8F">
      <w:pPr>
        <w:shd w:val="clear" w:color="auto" w:fill="FFFFFF"/>
        <w:spacing w:after="0" w:line="240" w:lineRule="auto"/>
        <w:rPr>
          <w:rFonts w:ascii="Times New Roman" w:hAnsi="Times New Roman"/>
          <w:color w:val="000000"/>
        </w:rPr>
      </w:pPr>
    </w:p>
    <w:p w14:paraId="3943D86B" w14:textId="77777777" w:rsidR="00684A8F" w:rsidRPr="003B5ED4" w:rsidRDefault="00684A8F">
      <w:pPr>
        <w:numPr>
          <w:ilvl w:val="0"/>
          <w:numId w:val="2"/>
        </w:numPr>
        <w:shd w:val="clear" w:color="auto" w:fill="FFFFFF"/>
        <w:spacing w:after="0" w:line="240" w:lineRule="auto"/>
        <w:rPr>
          <w:rFonts w:ascii="Times New Roman" w:hAnsi="Times New Roman"/>
          <w:color w:val="000000"/>
        </w:rPr>
      </w:pPr>
      <w:r w:rsidRPr="003B5ED4">
        <w:rPr>
          <w:rFonts w:ascii="Times New Roman" w:hAnsi="Times New Roman"/>
          <w:color w:val="000000"/>
        </w:rPr>
        <w:t>Rekonštitúcia</w:t>
      </w:r>
    </w:p>
    <w:p w14:paraId="7AD25F21" w14:textId="77777777" w:rsidR="00684A8F" w:rsidRPr="003B5ED4" w:rsidRDefault="00684A8F">
      <w:pPr>
        <w:shd w:val="clear" w:color="auto" w:fill="FFFFFF"/>
        <w:spacing w:after="0" w:line="240" w:lineRule="auto"/>
        <w:rPr>
          <w:rFonts w:ascii="Times New Roman" w:hAnsi="Times New Roman"/>
          <w:lang w:val="sk-SK"/>
        </w:rPr>
      </w:pPr>
      <w:r w:rsidRPr="003B5ED4">
        <w:rPr>
          <w:rFonts w:ascii="Times New Roman" w:hAnsi="Times New Roman"/>
          <w:lang w:val="sk-SK"/>
        </w:rPr>
        <w:t xml:space="preserve">Každú injekčnú liekovku </w:t>
      </w:r>
      <w:r w:rsidR="00F30D20">
        <w:rPr>
          <w:rFonts w:ascii="Times New Roman" w:hAnsi="Times New Roman"/>
          <w:lang w:val="sk-SK"/>
        </w:rPr>
        <w:t xml:space="preserve">lieku </w:t>
      </w:r>
      <w:r w:rsidRPr="003B5ED4">
        <w:rPr>
          <w:rFonts w:ascii="Times New Roman" w:hAnsi="Times New Roman"/>
          <w:lang w:val="sk-SK"/>
        </w:rPr>
        <w:t>Bendamustin</w:t>
      </w:r>
      <w:r w:rsidR="00F30D20">
        <w:rPr>
          <w:rFonts w:ascii="Times New Roman" w:hAnsi="Times New Roman"/>
          <w:lang w:val="sk-SK"/>
        </w:rPr>
        <w:t>e</w:t>
      </w:r>
      <w:r w:rsidRPr="003B5ED4">
        <w:rPr>
          <w:rFonts w:ascii="Times New Roman" w:hAnsi="Times New Roman"/>
          <w:lang w:val="sk-SK"/>
        </w:rPr>
        <w:t xml:space="preserve"> Kabi obsahujúcu 25 mg bendamustíniumchloridu rekonštituujte pretrepaním v 10 ml vody na injekci</w:t>
      </w:r>
      <w:r w:rsidR="00F30D20">
        <w:rPr>
          <w:rFonts w:ascii="Times New Roman" w:hAnsi="Times New Roman"/>
          <w:lang w:val="sk-SK"/>
        </w:rPr>
        <w:t>e</w:t>
      </w:r>
      <w:r w:rsidRPr="003B5ED4">
        <w:rPr>
          <w:rFonts w:ascii="Times New Roman" w:hAnsi="Times New Roman"/>
          <w:lang w:val="sk-SK"/>
        </w:rPr>
        <w:t>.</w:t>
      </w:r>
      <w:r w:rsidRPr="00F95656">
        <w:rPr>
          <w:rFonts w:ascii="Times New Roman" w:hAnsi="Times New Roman"/>
        </w:rPr>
        <w:t xml:space="preserve"> </w:t>
      </w:r>
    </w:p>
    <w:p w14:paraId="73986228" w14:textId="77777777" w:rsidR="00684A8F" w:rsidRPr="003B5ED4" w:rsidRDefault="00684A8F">
      <w:pPr>
        <w:shd w:val="clear" w:color="auto" w:fill="FFFFFF"/>
        <w:spacing w:after="0" w:line="240" w:lineRule="auto"/>
        <w:rPr>
          <w:rFonts w:ascii="Times New Roman" w:hAnsi="Times New Roman"/>
          <w:color w:val="000000"/>
        </w:rPr>
      </w:pPr>
    </w:p>
    <w:p w14:paraId="37FA8B66" w14:textId="77777777" w:rsidR="00684A8F" w:rsidRPr="003B5ED4" w:rsidRDefault="00684A8F">
      <w:pPr>
        <w:shd w:val="clear" w:color="auto" w:fill="FFFFFF"/>
        <w:spacing w:after="0" w:line="240" w:lineRule="auto"/>
        <w:rPr>
          <w:rFonts w:ascii="Times New Roman" w:hAnsi="Times New Roman"/>
          <w:color w:val="000000"/>
          <w:lang w:val="sk-SK"/>
        </w:rPr>
      </w:pPr>
      <w:r w:rsidRPr="003B5ED4">
        <w:rPr>
          <w:rFonts w:ascii="Times New Roman" w:hAnsi="Times New Roman"/>
          <w:color w:val="000000"/>
          <w:lang w:val="sk-SK"/>
        </w:rPr>
        <w:t xml:space="preserve">Každú injekčnú liekovku </w:t>
      </w:r>
      <w:r w:rsidR="00F30D20">
        <w:rPr>
          <w:rFonts w:ascii="Times New Roman" w:hAnsi="Times New Roman"/>
          <w:color w:val="000000"/>
          <w:lang w:val="sk-SK"/>
        </w:rPr>
        <w:t xml:space="preserve">lieku </w:t>
      </w:r>
      <w:r w:rsidRPr="003B5ED4">
        <w:rPr>
          <w:rFonts w:ascii="Times New Roman" w:hAnsi="Times New Roman"/>
          <w:color w:val="000000"/>
          <w:lang w:val="sk-SK"/>
        </w:rPr>
        <w:t>Bendamustin</w:t>
      </w:r>
      <w:r w:rsidR="00F30D20">
        <w:rPr>
          <w:rFonts w:ascii="Times New Roman" w:hAnsi="Times New Roman"/>
          <w:color w:val="000000"/>
          <w:lang w:val="sk-SK"/>
        </w:rPr>
        <w:t>e</w:t>
      </w:r>
      <w:r w:rsidRPr="003B5ED4">
        <w:rPr>
          <w:rFonts w:ascii="Times New Roman" w:hAnsi="Times New Roman"/>
          <w:color w:val="000000"/>
          <w:lang w:val="sk-SK"/>
        </w:rPr>
        <w:t xml:space="preserve"> Kabi obsahujúcu 100 mg bendamustíniumchloridu rekonštituujte pretrepaním v 40 ml vody na injekci</w:t>
      </w:r>
      <w:r w:rsidR="00F30D20">
        <w:rPr>
          <w:rFonts w:ascii="Times New Roman" w:hAnsi="Times New Roman"/>
          <w:color w:val="000000"/>
          <w:lang w:val="sk-SK"/>
        </w:rPr>
        <w:t>e</w:t>
      </w:r>
      <w:r w:rsidRPr="003B5ED4">
        <w:rPr>
          <w:rFonts w:ascii="Times New Roman" w:hAnsi="Times New Roman"/>
          <w:color w:val="000000"/>
          <w:lang w:val="sk-SK"/>
        </w:rPr>
        <w:t>.</w:t>
      </w:r>
    </w:p>
    <w:p w14:paraId="21C28D11" w14:textId="77777777" w:rsidR="00684A8F" w:rsidRPr="003B5ED4" w:rsidRDefault="00684A8F">
      <w:pPr>
        <w:shd w:val="clear" w:color="auto" w:fill="FFFFFF"/>
        <w:spacing w:after="0" w:line="240" w:lineRule="auto"/>
        <w:rPr>
          <w:rFonts w:ascii="Times New Roman" w:hAnsi="Times New Roman"/>
          <w:color w:val="000000"/>
        </w:rPr>
      </w:pPr>
    </w:p>
    <w:p w14:paraId="3FAA83D1" w14:textId="77777777" w:rsidR="00684A8F" w:rsidRPr="003B5ED4" w:rsidRDefault="00684A8F">
      <w:pPr>
        <w:shd w:val="clear" w:color="auto" w:fill="FFFFFF"/>
        <w:spacing w:after="0" w:line="240" w:lineRule="auto"/>
        <w:rPr>
          <w:rFonts w:ascii="Times New Roman" w:hAnsi="Times New Roman"/>
          <w:color w:val="000000"/>
          <w:lang w:val="sk-SK"/>
        </w:rPr>
      </w:pPr>
      <w:r w:rsidRPr="003B5ED4">
        <w:rPr>
          <w:rFonts w:ascii="Times New Roman" w:hAnsi="Times New Roman"/>
          <w:color w:val="000000"/>
          <w:lang w:val="sk-SK"/>
        </w:rPr>
        <w:t xml:space="preserve">Rekonštituovaný koncentrát obsahuje 2,5 mg bendamustíniumchloridu na 1 ml a vyzerá ako číry bezfarebný </w:t>
      </w:r>
      <w:r w:rsidR="00F30D20">
        <w:rPr>
          <w:rFonts w:ascii="Times New Roman" w:hAnsi="Times New Roman"/>
          <w:color w:val="000000"/>
          <w:lang w:val="sk-SK"/>
        </w:rPr>
        <w:t xml:space="preserve">až </w:t>
      </w:r>
      <w:r w:rsidR="00A266F6">
        <w:rPr>
          <w:rFonts w:ascii="Times New Roman" w:hAnsi="Times New Roman"/>
          <w:color w:val="000000"/>
          <w:lang w:val="sk-SK"/>
        </w:rPr>
        <w:t xml:space="preserve">slabo </w:t>
      </w:r>
      <w:r w:rsidR="00F30D20">
        <w:rPr>
          <w:rFonts w:ascii="Times New Roman" w:hAnsi="Times New Roman"/>
          <w:color w:val="000000"/>
          <w:lang w:val="sk-SK"/>
        </w:rPr>
        <w:t xml:space="preserve">žltý </w:t>
      </w:r>
      <w:r w:rsidRPr="003B5ED4">
        <w:rPr>
          <w:rFonts w:ascii="Times New Roman" w:hAnsi="Times New Roman"/>
          <w:color w:val="000000"/>
          <w:lang w:val="sk-SK"/>
        </w:rPr>
        <w:t>roztok.</w:t>
      </w:r>
    </w:p>
    <w:p w14:paraId="0B8FBD13" w14:textId="77777777" w:rsidR="00684A8F" w:rsidRPr="003B5ED4" w:rsidRDefault="00684A8F">
      <w:pPr>
        <w:shd w:val="clear" w:color="auto" w:fill="FFFFFF"/>
        <w:spacing w:after="0" w:line="240" w:lineRule="auto"/>
        <w:rPr>
          <w:rFonts w:ascii="Times New Roman" w:hAnsi="Times New Roman"/>
          <w:color w:val="000000"/>
        </w:rPr>
      </w:pPr>
    </w:p>
    <w:p w14:paraId="245534B5" w14:textId="77777777" w:rsidR="00684A8F" w:rsidRPr="003B5ED4" w:rsidRDefault="00684A8F">
      <w:pPr>
        <w:numPr>
          <w:ilvl w:val="0"/>
          <w:numId w:val="2"/>
        </w:numPr>
        <w:shd w:val="clear" w:color="auto" w:fill="FFFFFF"/>
        <w:spacing w:after="0" w:line="240" w:lineRule="auto"/>
        <w:rPr>
          <w:rFonts w:ascii="Times New Roman" w:hAnsi="Times New Roman"/>
          <w:color w:val="000000"/>
        </w:rPr>
      </w:pPr>
      <w:r w:rsidRPr="003B5ED4">
        <w:rPr>
          <w:rFonts w:ascii="Times New Roman" w:hAnsi="Times New Roman"/>
          <w:color w:val="000000"/>
        </w:rPr>
        <w:t>Riedenie</w:t>
      </w:r>
    </w:p>
    <w:p w14:paraId="73D3BD12" w14:textId="77777777" w:rsidR="00684A8F" w:rsidRPr="003B5ED4" w:rsidRDefault="00684A8F">
      <w:pPr>
        <w:shd w:val="clear" w:color="auto" w:fill="FFFFFF"/>
        <w:spacing w:after="0" w:line="240" w:lineRule="auto"/>
        <w:rPr>
          <w:rFonts w:ascii="Times New Roman" w:hAnsi="Times New Roman"/>
          <w:color w:val="000000"/>
          <w:lang w:val="sk-SK"/>
        </w:rPr>
      </w:pPr>
      <w:r w:rsidRPr="003B5ED4">
        <w:rPr>
          <w:rFonts w:ascii="Times New Roman" w:hAnsi="Times New Roman"/>
          <w:color w:val="000000"/>
          <w:lang w:val="sk-SK"/>
        </w:rPr>
        <w:t xml:space="preserve">Ihneď po získaní číreho roztoku (spravidla po 5 – 10 minútach) rieďte celú odporúčanú dávku </w:t>
      </w:r>
      <w:r w:rsidR="00F30D20">
        <w:rPr>
          <w:rFonts w:ascii="Times New Roman" w:hAnsi="Times New Roman"/>
          <w:color w:val="000000"/>
          <w:lang w:val="sk-SK"/>
        </w:rPr>
        <w:t xml:space="preserve">lieku </w:t>
      </w:r>
      <w:r w:rsidRPr="003B5ED4">
        <w:rPr>
          <w:rFonts w:ascii="Times New Roman" w:hAnsi="Times New Roman"/>
          <w:color w:val="000000"/>
          <w:lang w:val="sk-SK"/>
        </w:rPr>
        <w:t>Bendamustin</w:t>
      </w:r>
      <w:r w:rsidR="00F30D20">
        <w:rPr>
          <w:rFonts w:ascii="Times New Roman" w:hAnsi="Times New Roman"/>
          <w:color w:val="000000"/>
          <w:lang w:val="sk-SK"/>
        </w:rPr>
        <w:t>e</w:t>
      </w:r>
      <w:r w:rsidRPr="003B5ED4">
        <w:rPr>
          <w:rFonts w:ascii="Times New Roman" w:hAnsi="Times New Roman"/>
          <w:color w:val="000000"/>
          <w:lang w:val="sk-SK"/>
        </w:rPr>
        <w:t xml:space="preserve"> Kabi 9 mg/ml (0,9 %) roztokom NaCl na získanie konečného objemu približne 500 ml.</w:t>
      </w:r>
    </w:p>
    <w:p w14:paraId="1D095A05" w14:textId="77777777" w:rsidR="00684A8F" w:rsidRPr="003B5ED4" w:rsidRDefault="00684A8F">
      <w:pPr>
        <w:shd w:val="clear" w:color="auto" w:fill="FFFFFF"/>
        <w:spacing w:after="0" w:line="240" w:lineRule="auto"/>
        <w:rPr>
          <w:rFonts w:ascii="Times New Roman" w:hAnsi="Times New Roman"/>
          <w:color w:val="000000"/>
          <w:lang w:val="sk-SK"/>
        </w:rPr>
      </w:pPr>
      <w:r w:rsidRPr="003B5ED4">
        <w:rPr>
          <w:rFonts w:ascii="Times New Roman" w:hAnsi="Times New Roman"/>
          <w:color w:val="000000"/>
          <w:lang w:val="sk-SK"/>
        </w:rPr>
        <w:t>Bendamustine Kabi sa musí riediť 9 mg/ml (0,9 %) roztokom NaCl a žiadnym iným injekčným roztokom.</w:t>
      </w:r>
    </w:p>
    <w:p w14:paraId="0ACF3CAC" w14:textId="77777777" w:rsidR="00684A8F" w:rsidRPr="003B5ED4" w:rsidRDefault="00684A8F">
      <w:pPr>
        <w:shd w:val="clear" w:color="auto" w:fill="FFFFFF"/>
        <w:spacing w:after="0" w:line="240" w:lineRule="auto"/>
        <w:rPr>
          <w:rFonts w:ascii="Times New Roman" w:hAnsi="Times New Roman"/>
          <w:color w:val="000000"/>
        </w:rPr>
      </w:pPr>
    </w:p>
    <w:p w14:paraId="4B575791" w14:textId="77777777" w:rsidR="00684A8F" w:rsidRPr="003B5ED4" w:rsidRDefault="00684A8F">
      <w:pPr>
        <w:numPr>
          <w:ilvl w:val="0"/>
          <w:numId w:val="2"/>
        </w:numPr>
        <w:shd w:val="clear" w:color="auto" w:fill="FFFFFF"/>
        <w:spacing w:after="0" w:line="240" w:lineRule="auto"/>
        <w:rPr>
          <w:rFonts w:ascii="Times New Roman" w:hAnsi="Times New Roman"/>
          <w:color w:val="000000"/>
        </w:rPr>
      </w:pPr>
      <w:r w:rsidRPr="003B5ED4">
        <w:rPr>
          <w:rFonts w:ascii="Times New Roman" w:hAnsi="Times New Roman"/>
          <w:color w:val="000000"/>
        </w:rPr>
        <w:lastRenderedPageBreak/>
        <w:t>Podávanie</w:t>
      </w:r>
    </w:p>
    <w:p w14:paraId="70C741A5" w14:textId="77777777" w:rsidR="00684A8F" w:rsidRPr="003B5ED4" w:rsidRDefault="00684A8F">
      <w:pPr>
        <w:shd w:val="clear" w:color="auto" w:fill="FFFFFF"/>
        <w:spacing w:after="0" w:line="240" w:lineRule="auto"/>
        <w:rPr>
          <w:rFonts w:ascii="Times New Roman" w:hAnsi="Times New Roman"/>
          <w:color w:val="000000"/>
          <w:lang w:val="sk-SK"/>
        </w:rPr>
      </w:pPr>
      <w:r w:rsidRPr="003B5ED4">
        <w:rPr>
          <w:rFonts w:ascii="Times New Roman" w:hAnsi="Times New Roman"/>
          <w:color w:val="000000"/>
          <w:lang w:val="sk-SK"/>
        </w:rPr>
        <w:t>Roztok sa podáva intravenóznou infúziou v priebehu 30 – 60 minút.</w:t>
      </w:r>
    </w:p>
    <w:p w14:paraId="272E4D54" w14:textId="77777777" w:rsidR="00684A8F" w:rsidRPr="003B5ED4" w:rsidRDefault="00684A8F">
      <w:pPr>
        <w:shd w:val="clear" w:color="auto" w:fill="FFFFFF"/>
        <w:spacing w:after="0" w:line="240" w:lineRule="auto"/>
        <w:rPr>
          <w:rFonts w:ascii="Times New Roman" w:hAnsi="Times New Roman"/>
          <w:color w:val="000000"/>
          <w:lang w:val="sk-SK"/>
        </w:rPr>
      </w:pPr>
    </w:p>
    <w:p w14:paraId="3659690E" w14:textId="77777777" w:rsidR="00684A8F" w:rsidRPr="003B5ED4" w:rsidRDefault="00684A8F">
      <w:pPr>
        <w:shd w:val="clear" w:color="auto" w:fill="FFFFFF"/>
        <w:spacing w:after="0" w:line="240" w:lineRule="auto"/>
        <w:rPr>
          <w:rFonts w:ascii="Times New Roman" w:hAnsi="Times New Roman"/>
          <w:color w:val="000000"/>
          <w:lang w:val="sk-SK"/>
        </w:rPr>
      </w:pPr>
      <w:r w:rsidRPr="003B5ED4">
        <w:rPr>
          <w:rFonts w:ascii="Times New Roman" w:hAnsi="Times New Roman"/>
          <w:color w:val="000000"/>
          <w:lang w:val="sk-SK"/>
        </w:rPr>
        <w:t>Injekčné liekovky sú určené iba na jednorazové použitie.</w:t>
      </w:r>
    </w:p>
    <w:p w14:paraId="1F201A40" w14:textId="77777777" w:rsidR="00684A8F" w:rsidRPr="003B5ED4" w:rsidRDefault="00684A8F">
      <w:pPr>
        <w:shd w:val="clear" w:color="auto" w:fill="FFFFFF"/>
        <w:spacing w:after="0" w:line="240" w:lineRule="auto"/>
        <w:rPr>
          <w:rFonts w:ascii="Times New Roman" w:hAnsi="Times New Roman"/>
          <w:color w:val="000000"/>
        </w:rPr>
      </w:pPr>
      <w:r w:rsidRPr="003B5ED4">
        <w:rPr>
          <w:rFonts w:ascii="Times New Roman" w:hAnsi="Times New Roman"/>
          <w:color w:val="000000"/>
        </w:rPr>
        <w:t>Všetok nepoužitý liek alebo odpad vzniknutý z lieku sa má zlikvidovať v súlade s národnými požiadavkami.</w:t>
      </w:r>
    </w:p>
    <w:p w14:paraId="2D9BCCC3" w14:textId="77777777" w:rsidR="00684A8F" w:rsidRPr="003B5ED4" w:rsidRDefault="00684A8F">
      <w:pPr>
        <w:shd w:val="clear" w:color="auto" w:fill="FFFFFF"/>
        <w:spacing w:after="0" w:line="240" w:lineRule="auto"/>
        <w:rPr>
          <w:rFonts w:ascii="Times New Roman" w:hAnsi="Times New Roman"/>
          <w:color w:val="000000"/>
        </w:rPr>
      </w:pPr>
    </w:p>
    <w:p w14:paraId="4D0B2191" w14:textId="77777777" w:rsidR="00684A8F" w:rsidRPr="003B5ED4" w:rsidRDefault="00684A8F">
      <w:pPr>
        <w:shd w:val="clear" w:color="auto" w:fill="FFFFFF"/>
        <w:spacing w:after="0" w:line="240" w:lineRule="auto"/>
        <w:rPr>
          <w:rFonts w:ascii="Times New Roman" w:hAnsi="Times New Roman"/>
          <w:color w:val="000000"/>
        </w:rPr>
      </w:pPr>
    </w:p>
    <w:p w14:paraId="3F139184" w14:textId="77777777" w:rsidR="00684A8F" w:rsidRPr="003B5ED4" w:rsidRDefault="00684A8F">
      <w:pPr>
        <w:numPr>
          <w:ilvl w:val="0"/>
          <w:numId w:val="1"/>
        </w:numPr>
        <w:shd w:val="clear" w:color="auto" w:fill="FFFFFF"/>
        <w:spacing w:after="0" w:line="240" w:lineRule="auto"/>
        <w:ind w:left="567" w:hanging="567"/>
        <w:rPr>
          <w:rFonts w:ascii="Times New Roman" w:hAnsi="Times New Roman"/>
          <w:b/>
          <w:bCs/>
          <w:color w:val="000000"/>
        </w:rPr>
      </w:pPr>
      <w:r w:rsidRPr="003B5ED4">
        <w:rPr>
          <w:rFonts w:ascii="Times New Roman" w:hAnsi="Times New Roman"/>
          <w:b/>
          <w:bCs/>
          <w:color w:val="000000"/>
        </w:rPr>
        <w:t>DRŽITEĽ ROZHODNUTIA O REGISTRÁCII</w:t>
      </w:r>
    </w:p>
    <w:p w14:paraId="6CC2469F" w14:textId="77777777" w:rsidR="00684A8F" w:rsidRPr="003B5ED4" w:rsidRDefault="00684A8F">
      <w:pPr>
        <w:widowControl w:val="0"/>
        <w:autoSpaceDE w:val="0"/>
        <w:autoSpaceDN w:val="0"/>
        <w:adjustRightInd w:val="0"/>
        <w:spacing w:before="4" w:after="0" w:line="240" w:lineRule="auto"/>
        <w:rPr>
          <w:rFonts w:ascii="Times New Roman" w:hAnsi="Times New Roman"/>
          <w:color w:val="000000"/>
        </w:rPr>
      </w:pPr>
    </w:p>
    <w:p w14:paraId="741C4183" w14:textId="7E56CBB8" w:rsidR="00684A8F" w:rsidRPr="003B5ED4" w:rsidRDefault="00684A8F">
      <w:pPr>
        <w:widowControl w:val="0"/>
        <w:autoSpaceDE w:val="0"/>
        <w:autoSpaceDN w:val="0"/>
        <w:adjustRightInd w:val="0"/>
        <w:spacing w:before="4" w:after="0" w:line="240" w:lineRule="auto"/>
        <w:rPr>
          <w:rFonts w:ascii="Times New Roman" w:hAnsi="Times New Roman"/>
          <w:color w:val="000000"/>
        </w:rPr>
      </w:pPr>
      <w:r w:rsidRPr="003B5ED4">
        <w:rPr>
          <w:rFonts w:ascii="Times New Roman" w:hAnsi="Times New Roman"/>
          <w:color w:val="000000"/>
        </w:rPr>
        <w:t xml:space="preserve">Fresenius Kabi </w:t>
      </w:r>
      <w:r w:rsidR="008A681E">
        <w:rPr>
          <w:rFonts w:ascii="Times New Roman" w:hAnsi="Times New Roman"/>
          <w:color w:val="000000"/>
        </w:rPr>
        <w:t>s.r.o.</w:t>
      </w:r>
    </w:p>
    <w:p w14:paraId="7B0A3340" w14:textId="62D24B87" w:rsidR="00684A8F" w:rsidRPr="003B5ED4" w:rsidRDefault="008A681E">
      <w:pPr>
        <w:widowControl w:val="0"/>
        <w:autoSpaceDE w:val="0"/>
        <w:autoSpaceDN w:val="0"/>
        <w:adjustRightInd w:val="0"/>
        <w:spacing w:before="4" w:after="0" w:line="240" w:lineRule="auto"/>
        <w:rPr>
          <w:rFonts w:ascii="Times New Roman" w:hAnsi="Times New Roman"/>
          <w:color w:val="000000"/>
        </w:rPr>
      </w:pPr>
      <w:r>
        <w:rPr>
          <w:rFonts w:ascii="Times New Roman" w:hAnsi="Times New Roman"/>
          <w:color w:val="000000"/>
        </w:rPr>
        <w:t>Na strži 1702/65, Nusle</w:t>
      </w:r>
    </w:p>
    <w:p w14:paraId="515D1769" w14:textId="38A85349" w:rsidR="00684A8F" w:rsidRPr="003B5ED4" w:rsidRDefault="008A681E">
      <w:pPr>
        <w:widowControl w:val="0"/>
        <w:autoSpaceDE w:val="0"/>
        <w:autoSpaceDN w:val="0"/>
        <w:adjustRightInd w:val="0"/>
        <w:spacing w:before="4" w:after="0" w:line="240" w:lineRule="auto"/>
        <w:rPr>
          <w:rFonts w:ascii="Times New Roman" w:hAnsi="Times New Roman"/>
          <w:color w:val="000000"/>
        </w:rPr>
      </w:pPr>
      <w:r>
        <w:rPr>
          <w:rFonts w:ascii="Times New Roman" w:hAnsi="Times New Roman"/>
          <w:color w:val="000000"/>
        </w:rPr>
        <w:t>140 00 Praha 4</w:t>
      </w:r>
    </w:p>
    <w:p w14:paraId="7B57E60A" w14:textId="2556F432" w:rsidR="00684A8F" w:rsidRPr="003B5ED4" w:rsidRDefault="008A681E">
      <w:pPr>
        <w:widowControl w:val="0"/>
        <w:autoSpaceDE w:val="0"/>
        <w:autoSpaceDN w:val="0"/>
        <w:adjustRightInd w:val="0"/>
        <w:spacing w:before="4" w:after="0" w:line="240" w:lineRule="auto"/>
        <w:rPr>
          <w:rFonts w:ascii="Times New Roman" w:hAnsi="Times New Roman"/>
          <w:color w:val="000000"/>
        </w:rPr>
      </w:pPr>
      <w:r>
        <w:rPr>
          <w:rFonts w:ascii="Times New Roman" w:hAnsi="Times New Roman"/>
          <w:color w:val="000000"/>
        </w:rPr>
        <w:t>Česká republika</w:t>
      </w:r>
    </w:p>
    <w:p w14:paraId="76211819" w14:textId="77777777" w:rsidR="00684A8F" w:rsidRPr="003B5ED4" w:rsidRDefault="00684A8F">
      <w:pPr>
        <w:widowControl w:val="0"/>
        <w:autoSpaceDE w:val="0"/>
        <w:autoSpaceDN w:val="0"/>
        <w:adjustRightInd w:val="0"/>
        <w:spacing w:after="0" w:line="240" w:lineRule="auto"/>
        <w:ind w:right="599"/>
        <w:rPr>
          <w:rFonts w:ascii="Times New Roman" w:hAnsi="Times New Roman"/>
        </w:rPr>
      </w:pPr>
    </w:p>
    <w:p w14:paraId="6EA66AB2" w14:textId="77777777" w:rsidR="00684A8F" w:rsidRPr="003B5ED4" w:rsidRDefault="00684A8F">
      <w:pPr>
        <w:shd w:val="clear" w:color="auto" w:fill="FFFFFF"/>
        <w:spacing w:after="0" w:line="240" w:lineRule="auto"/>
        <w:rPr>
          <w:rFonts w:ascii="Times New Roman" w:hAnsi="Times New Roman"/>
          <w:bCs/>
          <w:color w:val="000000"/>
        </w:rPr>
      </w:pPr>
    </w:p>
    <w:p w14:paraId="015812FF" w14:textId="77777777" w:rsidR="00684A8F" w:rsidRPr="003B5ED4" w:rsidRDefault="00684A8F">
      <w:pPr>
        <w:numPr>
          <w:ilvl w:val="0"/>
          <w:numId w:val="1"/>
        </w:numPr>
        <w:shd w:val="clear" w:color="auto" w:fill="FFFFFF"/>
        <w:tabs>
          <w:tab w:val="left" w:pos="567"/>
        </w:tabs>
        <w:spacing w:after="0" w:line="240" w:lineRule="auto"/>
        <w:ind w:left="567" w:hanging="567"/>
        <w:rPr>
          <w:rFonts w:ascii="Times New Roman" w:hAnsi="Times New Roman"/>
          <w:b/>
          <w:bCs/>
          <w:color w:val="000000"/>
        </w:rPr>
      </w:pPr>
      <w:r w:rsidRPr="003B5ED4">
        <w:rPr>
          <w:rFonts w:ascii="Times New Roman" w:hAnsi="Times New Roman"/>
          <w:b/>
          <w:bCs/>
          <w:color w:val="000000"/>
        </w:rPr>
        <w:t>REGISTRAČNÉ ČÍSLO</w:t>
      </w:r>
    </w:p>
    <w:p w14:paraId="2ADD7C82" w14:textId="77777777" w:rsidR="00684A8F" w:rsidRPr="003B5ED4" w:rsidRDefault="00684A8F">
      <w:pPr>
        <w:shd w:val="clear" w:color="auto" w:fill="FFFFFF"/>
        <w:tabs>
          <w:tab w:val="left" w:pos="567"/>
        </w:tabs>
        <w:spacing w:after="0" w:line="240" w:lineRule="auto"/>
        <w:rPr>
          <w:rFonts w:ascii="Times New Roman" w:hAnsi="Times New Roman"/>
          <w:b/>
          <w:bCs/>
          <w:color w:val="000000"/>
        </w:rPr>
      </w:pPr>
    </w:p>
    <w:p w14:paraId="0DFE3FBA" w14:textId="77777777" w:rsidR="00684A8F" w:rsidRPr="003B5ED4" w:rsidRDefault="002679B4">
      <w:pPr>
        <w:shd w:val="clear" w:color="auto" w:fill="FFFFFF"/>
        <w:tabs>
          <w:tab w:val="left" w:pos="567"/>
        </w:tabs>
        <w:spacing w:after="0" w:line="240" w:lineRule="auto"/>
        <w:rPr>
          <w:rFonts w:ascii="Times New Roman" w:hAnsi="Times New Roman"/>
          <w:color w:val="000000"/>
        </w:rPr>
      </w:pPr>
      <w:r w:rsidRPr="002679B4">
        <w:rPr>
          <w:rFonts w:ascii="Times New Roman" w:hAnsi="Times New Roman"/>
          <w:color w:val="000000"/>
        </w:rPr>
        <w:t>44/0433/16-S</w:t>
      </w:r>
    </w:p>
    <w:p w14:paraId="6DDF7FE6" w14:textId="77777777" w:rsidR="00684A8F" w:rsidRPr="003B5ED4" w:rsidRDefault="00684A8F">
      <w:pPr>
        <w:shd w:val="clear" w:color="auto" w:fill="FFFFFF"/>
        <w:tabs>
          <w:tab w:val="left" w:pos="567"/>
        </w:tabs>
        <w:spacing w:after="0" w:line="240" w:lineRule="auto"/>
        <w:rPr>
          <w:rFonts w:ascii="Times New Roman" w:hAnsi="Times New Roman"/>
          <w:color w:val="000000"/>
        </w:rPr>
      </w:pPr>
    </w:p>
    <w:p w14:paraId="323A7B07" w14:textId="77777777" w:rsidR="00684A8F" w:rsidRPr="003B5ED4" w:rsidRDefault="00684A8F">
      <w:pPr>
        <w:shd w:val="clear" w:color="auto" w:fill="FFFFFF"/>
        <w:tabs>
          <w:tab w:val="left" w:pos="567"/>
        </w:tabs>
        <w:spacing w:after="0" w:line="240" w:lineRule="auto"/>
        <w:rPr>
          <w:rFonts w:ascii="Times New Roman" w:hAnsi="Times New Roman"/>
          <w:bCs/>
          <w:color w:val="000000"/>
        </w:rPr>
      </w:pPr>
    </w:p>
    <w:p w14:paraId="088E7CF6" w14:textId="77777777" w:rsidR="00684A8F" w:rsidRPr="003B5ED4" w:rsidRDefault="00684A8F">
      <w:pPr>
        <w:numPr>
          <w:ilvl w:val="0"/>
          <w:numId w:val="1"/>
        </w:numPr>
        <w:shd w:val="clear" w:color="auto" w:fill="FFFFFF"/>
        <w:tabs>
          <w:tab w:val="left" w:pos="567"/>
        </w:tabs>
        <w:spacing w:after="0" w:line="240" w:lineRule="auto"/>
        <w:ind w:left="567" w:hanging="567"/>
        <w:rPr>
          <w:rFonts w:ascii="Times New Roman" w:hAnsi="Times New Roman"/>
          <w:b/>
          <w:bCs/>
          <w:color w:val="000000"/>
        </w:rPr>
      </w:pPr>
      <w:r w:rsidRPr="003B5ED4">
        <w:rPr>
          <w:rFonts w:ascii="Times New Roman" w:hAnsi="Times New Roman"/>
          <w:b/>
          <w:bCs/>
          <w:color w:val="000000"/>
        </w:rPr>
        <w:t>DÁTUM PRVEJ REGISTRÁCIE/PREDĹŽENIA REGISTRÁCIE</w:t>
      </w:r>
    </w:p>
    <w:p w14:paraId="5D5C8C6F" w14:textId="77777777" w:rsidR="00684A8F" w:rsidRPr="003B5ED4" w:rsidRDefault="00684A8F">
      <w:pPr>
        <w:shd w:val="clear" w:color="auto" w:fill="FFFFFF"/>
        <w:tabs>
          <w:tab w:val="left" w:pos="567"/>
        </w:tabs>
        <w:spacing w:after="0" w:line="240" w:lineRule="auto"/>
        <w:rPr>
          <w:rFonts w:ascii="Times New Roman" w:hAnsi="Times New Roman"/>
          <w:b/>
          <w:bCs/>
          <w:color w:val="000000"/>
        </w:rPr>
      </w:pPr>
    </w:p>
    <w:p w14:paraId="42845877" w14:textId="628D7A84" w:rsidR="00684A8F" w:rsidRDefault="00684A8F">
      <w:pPr>
        <w:shd w:val="clear" w:color="auto" w:fill="FFFFFF"/>
        <w:tabs>
          <w:tab w:val="left" w:pos="567"/>
        </w:tabs>
        <w:spacing w:after="0" w:line="240" w:lineRule="auto"/>
        <w:rPr>
          <w:rFonts w:ascii="Times New Roman" w:hAnsi="Times New Roman"/>
          <w:bCs/>
          <w:color w:val="000000"/>
        </w:rPr>
      </w:pPr>
      <w:r w:rsidRPr="003B5ED4">
        <w:rPr>
          <w:rFonts w:ascii="Times New Roman" w:hAnsi="Times New Roman"/>
          <w:bCs/>
          <w:color w:val="000000"/>
        </w:rPr>
        <w:t>Dátum prvej registrácie:</w:t>
      </w:r>
      <w:r w:rsidR="00A5548A">
        <w:rPr>
          <w:rFonts w:ascii="Times New Roman" w:hAnsi="Times New Roman"/>
          <w:bCs/>
          <w:color w:val="000000"/>
        </w:rPr>
        <w:t xml:space="preserve"> 28.september 2016</w:t>
      </w:r>
    </w:p>
    <w:p w14:paraId="31702BF8" w14:textId="204042B7" w:rsidR="00184C95" w:rsidRDefault="00184C95">
      <w:pPr>
        <w:shd w:val="clear" w:color="auto" w:fill="FFFFFF"/>
        <w:tabs>
          <w:tab w:val="left" w:pos="567"/>
        </w:tabs>
        <w:spacing w:after="0" w:line="240" w:lineRule="auto"/>
        <w:rPr>
          <w:rFonts w:ascii="Times New Roman" w:hAnsi="Times New Roman"/>
          <w:bCs/>
          <w:color w:val="000000"/>
        </w:rPr>
      </w:pPr>
      <w:r>
        <w:rPr>
          <w:rFonts w:ascii="Times New Roman" w:hAnsi="Times New Roman"/>
          <w:bCs/>
          <w:color w:val="000000"/>
        </w:rPr>
        <w:t xml:space="preserve">Dátum posledného predĺženia registrácie: </w:t>
      </w:r>
    </w:p>
    <w:p w14:paraId="68A20A32" w14:textId="77777777" w:rsidR="004F6000" w:rsidRPr="003B5ED4" w:rsidRDefault="004F6000">
      <w:pPr>
        <w:shd w:val="clear" w:color="auto" w:fill="FFFFFF"/>
        <w:tabs>
          <w:tab w:val="left" w:pos="567"/>
        </w:tabs>
        <w:spacing w:after="0" w:line="240" w:lineRule="auto"/>
        <w:rPr>
          <w:rFonts w:ascii="Times New Roman" w:hAnsi="Times New Roman"/>
          <w:bCs/>
          <w:color w:val="000000"/>
        </w:rPr>
      </w:pPr>
    </w:p>
    <w:p w14:paraId="17446F6A" w14:textId="77777777" w:rsidR="00684A8F" w:rsidRPr="003B5ED4" w:rsidRDefault="00684A8F">
      <w:pPr>
        <w:shd w:val="clear" w:color="auto" w:fill="FFFFFF"/>
        <w:tabs>
          <w:tab w:val="left" w:pos="567"/>
        </w:tabs>
        <w:spacing w:after="0" w:line="240" w:lineRule="auto"/>
        <w:rPr>
          <w:rFonts w:ascii="Times New Roman" w:hAnsi="Times New Roman"/>
          <w:b/>
          <w:bCs/>
          <w:color w:val="000000"/>
        </w:rPr>
      </w:pPr>
    </w:p>
    <w:p w14:paraId="3773053B" w14:textId="77777777" w:rsidR="00684A8F" w:rsidRPr="003B5ED4" w:rsidRDefault="00684A8F">
      <w:pPr>
        <w:numPr>
          <w:ilvl w:val="0"/>
          <w:numId w:val="1"/>
        </w:numPr>
        <w:shd w:val="clear" w:color="auto" w:fill="FFFFFF"/>
        <w:tabs>
          <w:tab w:val="left" w:pos="567"/>
        </w:tabs>
        <w:spacing w:after="0" w:line="240" w:lineRule="auto"/>
        <w:ind w:left="567" w:hanging="567"/>
        <w:rPr>
          <w:rFonts w:ascii="Times New Roman" w:hAnsi="Times New Roman"/>
          <w:b/>
          <w:bCs/>
          <w:color w:val="000000"/>
        </w:rPr>
      </w:pPr>
      <w:r w:rsidRPr="003B5ED4">
        <w:rPr>
          <w:rFonts w:ascii="Times New Roman" w:hAnsi="Times New Roman"/>
          <w:b/>
          <w:bCs/>
          <w:color w:val="000000"/>
        </w:rPr>
        <w:t>DÁTUM REVÍZIE TEXTU</w:t>
      </w:r>
    </w:p>
    <w:p w14:paraId="529C8C76" w14:textId="77777777" w:rsidR="00684A8F" w:rsidRPr="003B5ED4" w:rsidRDefault="00684A8F">
      <w:pPr>
        <w:shd w:val="clear" w:color="auto" w:fill="FFFFFF"/>
        <w:spacing w:after="0" w:line="240" w:lineRule="auto"/>
        <w:rPr>
          <w:rFonts w:ascii="Times New Roman" w:hAnsi="Times New Roman"/>
          <w:b/>
          <w:bCs/>
          <w:color w:val="000000"/>
        </w:rPr>
      </w:pPr>
    </w:p>
    <w:p w14:paraId="6486C4F7" w14:textId="44F41672" w:rsidR="00684A8F" w:rsidRPr="00F95656" w:rsidRDefault="00184C95" w:rsidP="00F95656">
      <w:pPr>
        <w:spacing w:line="240" w:lineRule="auto"/>
        <w:rPr>
          <w:rFonts w:ascii="Times New Roman" w:hAnsi="Times New Roman"/>
        </w:rPr>
      </w:pPr>
      <w:r>
        <w:rPr>
          <w:rFonts w:ascii="Times New Roman" w:hAnsi="Times New Roman"/>
          <w:bCs/>
          <w:color w:val="000000"/>
        </w:rPr>
        <w:t xml:space="preserve"> 02/2021</w:t>
      </w:r>
    </w:p>
    <w:sectPr w:rsidR="00684A8F" w:rsidRPr="00F95656" w:rsidSect="00684A8F">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73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21C02E" w14:textId="77777777" w:rsidR="0054711B" w:rsidRDefault="0054711B" w:rsidP="00684A8F">
      <w:pPr>
        <w:spacing w:after="0" w:line="240" w:lineRule="auto"/>
      </w:pPr>
      <w:r>
        <w:separator/>
      </w:r>
    </w:p>
  </w:endnote>
  <w:endnote w:type="continuationSeparator" w:id="0">
    <w:p w14:paraId="07CC8A57" w14:textId="77777777" w:rsidR="0054711B" w:rsidRDefault="0054711B" w:rsidP="00684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6CF2C" w14:textId="77777777" w:rsidR="001543E9" w:rsidRDefault="001543E9">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8092881"/>
      <w:docPartObj>
        <w:docPartGallery w:val="Page Numbers (Bottom of Page)"/>
        <w:docPartUnique/>
      </w:docPartObj>
    </w:sdtPr>
    <w:sdtEndPr>
      <w:rPr>
        <w:rFonts w:ascii="Times New Roman" w:hAnsi="Times New Roman"/>
        <w:sz w:val="18"/>
        <w:szCs w:val="18"/>
      </w:rPr>
    </w:sdtEndPr>
    <w:sdtContent>
      <w:p w14:paraId="6176DEF5" w14:textId="77777777" w:rsidR="00AB28D4" w:rsidRPr="00F95656" w:rsidRDefault="00AB28D4">
        <w:pPr>
          <w:pStyle w:val="Pta"/>
          <w:jc w:val="center"/>
          <w:rPr>
            <w:rFonts w:ascii="Times New Roman" w:hAnsi="Times New Roman"/>
            <w:sz w:val="18"/>
            <w:szCs w:val="18"/>
          </w:rPr>
        </w:pPr>
        <w:r w:rsidRPr="00F95656">
          <w:rPr>
            <w:rFonts w:ascii="Times New Roman" w:hAnsi="Times New Roman"/>
            <w:sz w:val="18"/>
            <w:szCs w:val="18"/>
          </w:rPr>
          <w:fldChar w:fldCharType="begin"/>
        </w:r>
        <w:r w:rsidRPr="00F95656">
          <w:rPr>
            <w:rFonts w:ascii="Times New Roman" w:hAnsi="Times New Roman"/>
            <w:sz w:val="18"/>
            <w:szCs w:val="18"/>
          </w:rPr>
          <w:instrText>PAGE   \* MERGEFORMAT</w:instrText>
        </w:r>
        <w:r w:rsidRPr="00F95656">
          <w:rPr>
            <w:rFonts w:ascii="Times New Roman" w:hAnsi="Times New Roman"/>
            <w:sz w:val="18"/>
            <w:szCs w:val="18"/>
          </w:rPr>
          <w:fldChar w:fldCharType="separate"/>
        </w:r>
        <w:r w:rsidR="00B45EEE" w:rsidRPr="00B45EEE">
          <w:rPr>
            <w:rFonts w:ascii="Times New Roman" w:hAnsi="Times New Roman"/>
            <w:noProof/>
            <w:sz w:val="18"/>
            <w:szCs w:val="18"/>
            <w:lang w:val="sk-SK"/>
          </w:rPr>
          <w:t>11</w:t>
        </w:r>
        <w:r w:rsidRPr="00F95656">
          <w:rPr>
            <w:rFonts w:ascii="Times New Roman" w:hAnsi="Times New Roman"/>
            <w:sz w:val="18"/>
            <w:szCs w:val="18"/>
          </w:rPr>
          <w:fldChar w:fldCharType="end"/>
        </w:r>
      </w:p>
    </w:sdtContent>
  </w:sdt>
  <w:p w14:paraId="28544023" w14:textId="77777777" w:rsidR="00AB28D4" w:rsidRDefault="00AB28D4">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9676790"/>
      <w:docPartObj>
        <w:docPartGallery w:val="Page Numbers (Bottom of Page)"/>
        <w:docPartUnique/>
      </w:docPartObj>
    </w:sdtPr>
    <w:sdtEndPr>
      <w:rPr>
        <w:rFonts w:ascii="Times New Roman" w:hAnsi="Times New Roman"/>
        <w:sz w:val="18"/>
        <w:szCs w:val="18"/>
      </w:rPr>
    </w:sdtEndPr>
    <w:sdtContent>
      <w:p w14:paraId="3BF1C35F" w14:textId="77777777" w:rsidR="00AB28D4" w:rsidRPr="00C60B79" w:rsidRDefault="00AB28D4">
        <w:pPr>
          <w:pStyle w:val="Pta"/>
          <w:jc w:val="center"/>
          <w:rPr>
            <w:rFonts w:ascii="Times New Roman" w:hAnsi="Times New Roman"/>
            <w:sz w:val="18"/>
            <w:szCs w:val="18"/>
          </w:rPr>
        </w:pPr>
        <w:r w:rsidRPr="00C60B79">
          <w:rPr>
            <w:rFonts w:ascii="Times New Roman" w:hAnsi="Times New Roman"/>
            <w:sz w:val="18"/>
            <w:szCs w:val="18"/>
          </w:rPr>
          <w:fldChar w:fldCharType="begin"/>
        </w:r>
        <w:r w:rsidRPr="00C60B79">
          <w:rPr>
            <w:rFonts w:ascii="Times New Roman" w:hAnsi="Times New Roman"/>
            <w:sz w:val="18"/>
            <w:szCs w:val="18"/>
          </w:rPr>
          <w:instrText>PAGE   \* MERGEFORMAT</w:instrText>
        </w:r>
        <w:r w:rsidRPr="00C60B79">
          <w:rPr>
            <w:rFonts w:ascii="Times New Roman" w:hAnsi="Times New Roman"/>
            <w:sz w:val="18"/>
            <w:szCs w:val="18"/>
          </w:rPr>
          <w:fldChar w:fldCharType="separate"/>
        </w:r>
        <w:r w:rsidR="00B45EEE" w:rsidRPr="00B45EEE">
          <w:rPr>
            <w:rFonts w:ascii="Times New Roman" w:hAnsi="Times New Roman"/>
            <w:noProof/>
            <w:sz w:val="18"/>
            <w:szCs w:val="18"/>
            <w:lang w:val="sk-SK"/>
          </w:rPr>
          <w:t>1</w:t>
        </w:r>
        <w:r w:rsidRPr="00C60B79">
          <w:rPr>
            <w:rFonts w:ascii="Times New Roman" w:hAnsi="Times New Roman"/>
            <w:sz w:val="18"/>
            <w:szCs w:val="18"/>
          </w:rPr>
          <w:fldChar w:fldCharType="end"/>
        </w:r>
      </w:p>
    </w:sdtContent>
  </w:sdt>
  <w:p w14:paraId="44E0F67E" w14:textId="77777777" w:rsidR="00AB28D4" w:rsidRPr="00C60B79" w:rsidRDefault="00AB28D4">
    <w:pPr>
      <w:pStyle w:val="Pta"/>
      <w:rPr>
        <w:rFonts w:ascii="Times New Roman" w:hAnsi="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3FAB77" w14:textId="77777777" w:rsidR="0054711B" w:rsidRDefault="0054711B" w:rsidP="00684A8F">
      <w:pPr>
        <w:spacing w:after="0" w:line="240" w:lineRule="auto"/>
      </w:pPr>
      <w:r>
        <w:separator/>
      </w:r>
    </w:p>
  </w:footnote>
  <w:footnote w:type="continuationSeparator" w:id="0">
    <w:p w14:paraId="40FABCBA" w14:textId="77777777" w:rsidR="0054711B" w:rsidRDefault="0054711B" w:rsidP="00684A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D4D3E" w14:textId="77777777" w:rsidR="001543E9" w:rsidRDefault="001543E9">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553C8" w14:textId="630DE65C" w:rsidR="00AB28D4" w:rsidRDefault="009017ED" w:rsidP="00F143DF">
    <w:pPr>
      <w:pStyle w:val="Hlavika"/>
    </w:pPr>
    <w:r w:rsidRPr="009914C6">
      <w:rPr>
        <w:rFonts w:ascii="Times New Roman" w:hAnsi="Times New Roman"/>
        <w:sz w:val="18"/>
        <w:szCs w:val="18"/>
        <w:lang w:val="de-DE"/>
      </w:rPr>
      <w:t xml:space="preserve">Príloha č. </w:t>
    </w:r>
    <w:r>
      <w:rPr>
        <w:rFonts w:ascii="Times New Roman" w:hAnsi="Times New Roman"/>
        <w:sz w:val="18"/>
        <w:szCs w:val="18"/>
        <w:lang w:val="de-DE"/>
      </w:rPr>
      <w:t>1</w:t>
    </w:r>
    <w:r w:rsidRPr="009914C6">
      <w:rPr>
        <w:rFonts w:ascii="Times New Roman" w:hAnsi="Times New Roman"/>
        <w:sz w:val="18"/>
        <w:szCs w:val="18"/>
        <w:lang w:val="de-DE"/>
      </w:rPr>
      <w:t xml:space="preserve"> k notifikácii o zmene, </w:t>
    </w:r>
    <w:r w:rsidR="004F6000">
      <w:rPr>
        <w:rFonts w:ascii="Times New Roman" w:hAnsi="Times New Roman"/>
        <w:sz w:val="18"/>
        <w:szCs w:val="18"/>
        <w:lang w:val="de-DE"/>
      </w:rPr>
      <w:t>ev. č.:</w:t>
    </w:r>
    <w:r w:rsidR="004F6000" w:rsidRPr="004F6000">
      <w:t xml:space="preserve"> </w:t>
    </w:r>
    <w:r w:rsidR="004F6000" w:rsidRPr="004F6000">
      <w:rPr>
        <w:rFonts w:ascii="Times New Roman" w:hAnsi="Times New Roman"/>
        <w:sz w:val="18"/>
        <w:szCs w:val="18"/>
        <w:lang w:val="de-DE"/>
      </w:rPr>
      <w:t>2021/00028-Z1A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9E6F6" w14:textId="09EA4ACB" w:rsidR="00AB28D4" w:rsidRPr="00684A8F" w:rsidRDefault="00AB28D4" w:rsidP="00F143DF">
    <w:pPr>
      <w:keepNext/>
      <w:widowControl w:val="0"/>
      <w:spacing w:after="0" w:line="240" w:lineRule="auto"/>
      <w:rPr>
        <w:rFonts w:ascii="Times New Roman" w:hAnsi="Times New Roman"/>
        <w:snapToGrid w:val="0"/>
        <w:sz w:val="18"/>
        <w:szCs w:val="18"/>
        <w:lang w:val="sk-SK"/>
      </w:rPr>
    </w:pPr>
    <w:bookmarkStart w:id="1" w:name="_Hlk6303114"/>
    <w:r w:rsidRPr="009914C6">
      <w:rPr>
        <w:rFonts w:ascii="Times New Roman" w:hAnsi="Times New Roman"/>
        <w:sz w:val="18"/>
        <w:szCs w:val="18"/>
        <w:lang w:val="de-DE"/>
      </w:rPr>
      <w:t xml:space="preserve">Príloha č. </w:t>
    </w:r>
    <w:r>
      <w:rPr>
        <w:rFonts w:ascii="Times New Roman" w:hAnsi="Times New Roman"/>
        <w:sz w:val="18"/>
        <w:szCs w:val="18"/>
        <w:lang w:val="de-DE"/>
      </w:rPr>
      <w:t>1</w:t>
    </w:r>
    <w:r w:rsidRPr="009914C6">
      <w:rPr>
        <w:rFonts w:ascii="Times New Roman" w:hAnsi="Times New Roman"/>
        <w:sz w:val="18"/>
        <w:szCs w:val="18"/>
        <w:lang w:val="de-DE"/>
      </w:rPr>
      <w:t xml:space="preserve"> k notifikácii o zmene, ev. č.: </w:t>
    </w:r>
    <w:r w:rsidR="004F6000">
      <w:rPr>
        <w:rFonts w:ascii="Times New Roman" w:hAnsi="Times New Roman"/>
        <w:sz w:val="18"/>
        <w:szCs w:val="18"/>
        <w:lang w:val="de-DE"/>
      </w:rPr>
      <w:t>2</w:t>
    </w:r>
    <w:r w:rsidR="004F6000" w:rsidRPr="004F6000">
      <w:rPr>
        <w:rFonts w:ascii="Times New Roman" w:hAnsi="Times New Roman"/>
        <w:sz w:val="18"/>
        <w:szCs w:val="18"/>
        <w:lang w:val="de-DE"/>
      </w:rPr>
      <w:t>021/00028-Z1A</w:t>
    </w:r>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63668A"/>
    <w:multiLevelType w:val="hybridMultilevel"/>
    <w:tmpl w:val="526A1F5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
    <w:nsid w:val="57900439"/>
    <w:multiLevelType w:val="hybridMultilevel"/>
    <w:tmpl w:val="260CEEFA"/>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A8F"/>
    <w:rsid w:val="00015CDB"/>
    <w:rsid w:val="000472E3"/>
    <w:rsid w:val="0006375B"/>
    <w:rsid w:val="0007148C"/>
    <w:rsid w:val="00091235"/>
    <w:rsid w:val="000918B6"/>
    <w:rsid w:val="000949D1"/>
    <w:rsid w:val="000A0B10"/>
    <w:rsid w:val="000B18EA"/>
    <w:rsid w:val="00107286"/>
    <w:rsid w:val="001077A8"/>
    <w:rsid w:val="001276F9"/>
    <w:rsid w:val="00127E6B"/>
    <w:rsid w:val="001337E0"/>
    <w:rsid w:val="00143003"/>
    <w:rsid w:val="001543E9"/>
    <w:rsid w:val="00165A29"/>
    <w:rsid w:val="00173544"/>
    <w:rsid w:val="00184A92"/>
    <w:rsid w:val="00184C95"/>
    <w:rsid w:val="00187A3F"/>
    <w:rsid w:val="001A31EF"/>
    <w:rsid w:val="001B0459"/>
    <w:rsid w:val="001B49A4"/>
    <w:rsid w:val="001C2CE0"/>
    <w:rsid w:val="001C51D5"/>
    <w:rsid w:val="001D5D5D"/>
    <w:rsid w:val="001E6F05"/>
    <w:rsid w:val="00206B6E"/>
    <w:rsid w:val="0023136A"/>
    <w:rsid w:val="002679B4"/>
    <w:rsid w:val="0029056E"/>
    <w:rsid w:val="00290691"/>
    <w:rsid w:val="002B1A07"/>
    <w:rsid w:val="002B6480"/>
    <w:rsid w:val="002D0F00"/>
    <w:rsid w:val="002D470E"/>
    <w:rsid w:val="002D70F0"/>
    <w:rsid w:val="002D73DB"/>
    <w:rsid w:val="002E14C3"/>
    <w:rsid w:val="002E497B"/>
    <w:rsid w:val="002E4A24"/>
    <w:rsid w:val="002E579E"/>
    <w:rsid w:val="002F7B21"/>
    <w:rsid w:val="00314E6C"/>
    <w:rsid w:val="00326B35"/>
    <w:rsid w:val="00327054"/>
    <w:rsid w:val="00354282"/>
    <w:rsid w:val="00356594"/>
    <w:rsid w:val="003607DA"/>
    <w:rsid w:val="003700CB"/>
    <w:rsid w:val="003B121D"/>
    <w:rsid w:val="003B5ED4"/>
    <w:rsid w:val="003D7F37"/>
    <w:rsid w:val="003E6E76"/>
    <w:rsid w:val="003F76FC"/>
    <w:rsid w:val="00402690"/>
    <w:rsid w:val="00404168"/>
    <w:rsid w:val="00417E47"/>
    <w:rsid w:val="00420A4B"/>
    <w:rsid w:val="0042194B"/>
    <w:rsid w:val="00432F36"/>
    <w:rsid w:val="00433096"/>
    <w:rsid w:val="00457683"/>
    <w:rsid w:val="004723C8"/>
    <w:rsid w:val="004A04EB"/>
    <w:rsid w:val="004B318B"/>
    <w:rsid w:val="004C093B"/>
    <w:rsid w:val="004E387F"/>
    <w:rsid w:val="004E38F5"/>
    <w:rsid w:val="004F6000"/>
    <w:rsid w:val="00503A73"/>
    <w:rsid w:val="0050582C"/>
    <w:rsid w:val="005077BF"/>
    <w:rsid w:val="0051355E"/>
    <w:rsid w:val="00520002"/>
    <w:rsid w:val="005200CC"/>
    <w:rsid w:val="005325C3"/>
    <w:rsid w:val="00544473"/>
    <w:rsid w:val="0054711B"/>
    <w:rsid w:val="00566AB6"/>
    <w:rsid w:val="005753BA"/>
    <w:rsid w:val="005A0A30"/>
    <w:rsid w:val="005A5934"/>
    <w:rsid w:val="00616356"/>
    <w:rsid w:val="006231DE"/>
    <w:rsid w:val="00651922"/>
    <w:rsid w:val="00661867"/>
    <w:rsid w:val="00670A56"/>
    <w:rsid w:val="00684A8F"/>
    <w:rsid w:val="00692C67"/>
    <w:rsid w:val="006D7994"/>
    <w:rsid w:val="006F7191"/>
    <w:rsid w:val="00714411"/>
    <w:rsid w:val="00714BDC"/>
    <w:rsid w:val="00726D43"/>
    <w:rsid w:val="00734CD0"/>
    <w:rsid w:val="00746762"/>
    <w:rsid w:val="0075210E"/>
    <w:rsid w:val="00753494"/>
    <w:rsid w:val="007561B0"/>
    <w:rsid w:val="007726EF"/>
    <w:rsid w:val="00787E3A"/>
    <w:rsid w:val="00794B4B"/>
    <w:rsid w:val="00797756"/>
    <w:rsid w:val="007B23DB"/>
    <w:rsid w:val="007D25AF"/>
    <w:rsid w:val="007F0325"/>
    <w:rsid w:val="007F1D8D"/>
    <w:rsid w:val="007F6E77"/>
    <w:rsid w:val="00803B57"/>
    <w:rsid w:val="008165A9"/>
    <w:rsid w:val="008504A3"/>
    <w:rsid w:val="00857896"/>
    <w:rsid w:val="0086053B"/>
    <w:rsid w:val="00860A26"/>
    <w:rsid w:val="00897492"/>
    <w:rsid w:val="008A681E"/>
    <w:rsid w:val="008A6835"/>
    <w:rsid w:val="008C0E09"/>
    <w:rsid w:val="008C766E"/>
    <w:rsid w:val="008D455D"/>
    <w:rsid w:val="009017ED"/>
    <w:rsid w:val="00902EB7"/>
    <w:rsid w:val="0090701A"/>
    <w:rsid w:val="009135F3"/>
    <w:rsid w:val="00913F90"/>
    <w:rsid w:val="00915340"/>
    <w:rsid w:val="009166A1"/>
    <w:rsid w:val="009371EB"/>
    <w:rsid w:val="00943021"/>
    <w:rsid w:val="00943B5B"/>
    <w:rsid w:val="00965CE8"/>
    <w:rsid w:val="00967F48"/>
    <w:rsid w:val="00986DA5"/>
    <w:rsid w:val="009914C6"/>
    <w:rsid w:val="009929DA"/>
    <w:rsid w:val="009A72D1"/>
    <w:rsid w:val="009B77C2"/>
    <w:rsid w:val="009E3C71"/>
    <w:rsid w:val="009F0A1A"/>
    <w:rsid w:val="00A077D6"/>
    <w:rsid w:val="00A12863"/>
    <w:rsid w:val="00A1302E"/>
    <w:rsid w:val="00A23573"/>
    <w:rsid w:val="00A266F6"/>
    <w:rsid w:val="00A51AF2"/>
    <w:rsid w:val="00A5548A"/>
    <w:rsid w:val="00A6598A"/>
    <w:rsid w:val="00A8508A"/>
    <w:rsid w:val="00A966EB"/>
    <w:rsid w:val="00AB0EA7"/>
    <w:rsid w:val="00AB28D4"/>
    <w:rsid w:val="00AB5FDA"/>
    <w:rsid w:val="00AC38FD"/>
    <w:rsid w:val="00AC5778"/>
    <w:rsid w:val="00AD216F"/>
    <w:rsid w:val="00AD795E"/>
    <w:rsid w:val="00AF0743"/>
    <w:rsid w:val="00AF1D23"/>
    <w:rsid w:val="00B0291A"/>
    <w:rsid w:val="00B21948"/>
    <w:rsid w:val="00B251CA"/>
    <w:rsid w:val="00B35079"/>
    <w:rsid w:val="00B358B0"/>
    <w:rsid w:val="00B41ECB"/>
    <w:rsid w:val="00B45094"/>
    <w:rsid w:val="00B45EEE"/>
    <w:rsid w:val="00B523A5"/>
    <w:rsid w:val="00B558AF"/>
    <w:rsid w:val="00B57AAA"/>
    <w:rsid w:val="00B627BF"/>
    <w:rsid w:val="00B76060"/>
    <w:rsid w:val="00B9254E"/>
    <w:rsid w:val="00BC685B"/>
    <w:rsid w:val="00BD2691"/>
    <w:rsid w:val="00BD3D08"/>
    <w:rsid w:val="00BE0AD0"/>
    <w:rsid w:val="00BE2475"/>
    <w:rsid w:val="00C41222"/>
    <w:rsid w:val="00C424C4"/>
    <w:rsid w:val="00C56298"/>
    <w:rsid w:val="00C60B79"/>
    <w:rsid w:val="00C65E5A"/>
    <w:rsid w:val="00C86141"/>
    <w:rsid w:val="00C867D1"/>
    <w:rsid w:val="00CA3894"/>
    <w:rsid w:val="00CB078A"/>
    <w:rsid w:val="00CC2E83"/>
    <w:rsid w:val="00CE3E3D"/>
    <w:rsid w:val="00CF0089"/>
    <w:rsid w:val="00CF399B"/>
    <w:rsid w:val="00CF59C6"/>
    <w:rsid w:val="00D119EB"/>
    <w:rsid w:val="00D213C9"/>
    <w:rsid w:val="00D26D6C"/>
    <w:rsid w:val="00D407E9"/>
    <w:rsid w:val="00D52D43"/>
    <w:rsid w:val="00D57D84"/>
    <w:rsid w:val="00D60D7D"/>
    <w:rsid w:val="00D67B63"/>
    <w:rsid w:val="00D77F1C"/>
    <w:rsid w:val="00D81AC2"/>
    <w:rsid w:val="00D84755"/>
    <w:rsid w:val="00D940B2"/>
    <w:rsid w:val="00D95BD6"/>
    <w:rsid w:val="00DA4712"/>
    <w:rsid w:val="00DC4185"/>
    <w:rsid w:val="00DC46E7"/>
    <w:rsid w:val="00DF1427"/>
    <w:rsid w:val="00E0181E"/>
    <w:rsid w:val="00E025DB"/>
    <w:rsid w:val="00E06622"/>
    <w:rsid w:val="00E16310"/>
    <w:rsid w:val="00E31AEE"/>
    <w:rsid w:val="00E47216"/>
    <w:rsid w:val="00E4789A"/>
    <w:rsid w:val="00E47ACD"/>
    <w:rsid w:val="00E51FC8"/>
    <w:rsid w:val="00E656CE"/>
    <w:rsid w:val="00E74E1B"/>
    <w:rsid w:val="00E872BC"/>
    <w:rsid w:val="00E9081E"/>
    <w:rsid w:val="00E97A01"/>
    <w:rsid w:val="00EA29F8"/>
    <w:rsid w:val="00EA5F8C"/>
    <w:rsid w:val="00EB2E1A"/>
    <w:rsid w:val="00EB5406"/>
    <w:rsid w:val="00ED7A66"/>
    <w:rsid w:val="00EE1644"/>
    <w:rsid w:val="00EE5049"/>
    <w:rsid w:val="00F00F96"/>
    <w:rsid w:val="00F143DF"/>
    <w:rsid w:val="00F168EB"/>
    <w:rsid w:val="00F30D20"/>
    <w:rsid w:val="00F460FD"/>
    <w:rsid w:val="00F50EE0"/>
    <w:rsid w:val="00F61BAA"/>
    <w:rsid w:val="00F61DF4"/>
    <w:rsid w:val="00F663F0"/>
    <w:rsid w:val="00F67C07"/>
    <w:rsid w:val="00F83209"/>
    <w:rsid w:val="00F87AE8"/>
    <w:rsid w:val="00F92078"/>
    <w:rsid w:val="00F95656"/>
    <w:rsid w:val="00FB03C7"/>
    <w:rsid w:val="00FC6B58"/>
    <w:rsid w:val="00FD668E"/>
    <w:rsid w:val="00FF1E4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BEE31"/>
  <w15:docId w15:val="{5072D6E7-9E98-481C-A9EE-0D4332E47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84A8F"/>
    <w:rPr>
      <w:rFonts w:ascii="Calibri" w:eastAsia="Times New Roman" w:hAnsi="Calibri" w:cs="Times New Roman"/>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semiHidden/>
    <w:unhideWhenUsed/>
    <w:rsid w:val="00684A8F"/>
    <w:rPr>
      <w:rFonts w:ascii="Times New Roman" w:hAnsi="Times New Roman" w:cs="Times New Roman" w:hint="default"/>
      <w:color w:val="0000FF"/>
      <w:u w:val="single"/>
    </w:rPr>
  </w:style>
  <w:style w:type="paragraph" w:customStyle="1" w:styleId="Default">
    <w:name w:val="Default"/>
    <w:rsid w:val="00684A8F"/>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Hlavika">
    <w:name w:val="header"/>
    <w:basedOn w:val="Normlny"/>
    <w:link w:val="HlavikaChar"/>
    <w:uiPriority w:val="99"/>
    <w:unhideWhenUsed/>
    <w:rsid w:val="00684A8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84A8F"/>
    <w:rPr>
      <w:rFonts w:ascii="Calibri" w:eastAsia="Times New Roman" w:hAnsi="Calibri" w:cs="Times New Roman"/>
      <w:lang w:val="en-US"/>
    </w:rPr>
  </w:style>
  <w:style w:type="paragraph" w:styleId="Pta">
    <w:name w:val="footer"/>
    <w:basedOn w:val="Normlny"/>
    <w:link w:val="PtaChar"/>
    <w:uiPriority w:val="99"/>
    <w:unhideWhenUsed/>
    <w:rsid w:val="00684A8F"/>
    <w:pPr>
      <w:tabs>
        <w:tab w:val="center" w:pos="4536"/>
        <w:tab w:val="right" w:pos="9072"/>
      </w:tabs>
      <w:spacing w:after="0" w:line="240" w:lineRule="auto"/>
    </w:pPr>
  </w:style>
  <w:style w:type="character" w:customStyle="1" w:styleId="PtaChar">
    <w:name w:val="Päta Char"/>
    <w:basedOn w:val="Predvolenpsmoodseku"/>
    <w:link w:val="Pta"/>
    <w:uiPriority w:val="99"/>
    <w:rsid w:val="00684A8F"/>
    <w:rPr>
      <w:rFonts w:ascii="Calibri" w:eastAsia="Times New Roman" w:hAnsi="Calibri" w:cs="Times New Roman"/>
      <w:lang w:val="en-US"/>
    </w:rPr>
  </w:style>
  <w:style w:type="paragraph" w:styleId="Textbubliny">
    <w:name w:val="Balloon Text"/>
    <w:basedOn w:val="Normlny"/>
    <w:link w:val="TextbublinyChar"/>
    <w:uiPriority w:val="99"/>
    <w:semiHidden/>
    <w:unhideWhenUsed/>
    <w:rsid w:val="00C60B7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60B79"/>
    <w:rPr>
      <w:rFonts w:ascii="Tahoma" w:eastAsia="Times New Roman" w:hAnsi="Tahoma" w:cs="Tahoma"/>
      <w:sz w:val="16"/>
      <w:szCs w:val="16"/>
      <w:lang w:val="en-US"/>
    </w:rPr>
  </w:style>
  <w:style w:type="character" w:styleId="Odkaznakomentr">
    <w:name w:val="annotation reference"/>
    <w:basedOn w:val="Predvolenpsmoodseku"/>
    <w:uiPriority w:val="99"/>
    <w:semiHidden/>
    <w:unhideWhenUsed/>
    <w:rsid w:val="008A681E"/>
    <w:rPr>
      <w:sz w:val="16"/>
      <w:szCs w:val="16"/>
    </w:rPr>
  </w:style>
  <w:style w:type="paragraph" w:styleId="Textkomentra">
    <w:name w:val="annotation text"/>
    <w:basedOn w:val="Normlny"/>
    <w:link w:val="TextkomentraChar"/>
    <w:uiPriority w:val="99"/>
    <w:semiHidden/>
    <w:unhideWhenUsed/>
    <w:rsid w:val="008A681E"/>
    <w:pPr>
      <w:spacing w:line="240" w:lineRule="auto"/>
    </w:pPr>
    <w:rPr>
      <w:sz w:val="20"/>
      <w:szCs w:val="20"/>
    </w:rPr>
  </w:style>
  <w:style w:type="character" w:customStyle="1" w:styleId="TextkomentraChar">
    <w:name w:val="Text komentára Char"/>
    <w:basedOn w:val="Predvolenpsmoodseku"/>
    <w:link w:val="Textkomentra"/>
    <w:uiPriority w:val="99"/>
    <w:semiHidden/>
    <w:rsid w:val="008A681E"/>
    <w:rPr>
      <w:rFonts w:ascii="Calibri" w:eastAsia="Times New Roman" w:hAnsi="Calibri"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8A681E"/>
    <w:rPr>
      <w:b/>
      <w:bCs/>
    </w:rPr>
  </w:style>
  <w:style w:type="character" w:customStyle="1" w:styleId="PredmetkomentraChar">
    <w:name w:val="Predmet komentára Char"/>
    <w:basedOn w:val="TextkomentraChar"/>
    <w:link w:val="Predmetkomentra"/>
    <w:uiPriority w:val="99"/>
    <w:semiHidden/>
    <w:rsid w:val="008A681E"/>
    <w:rPr>
      <w:rFonts w:ascii="Calibri" w:eastAsia="Times New Roman"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488958">
      <w:bodyDiv w:val="1"/>
      <w:marLeft w:val="0"/>
      <w:marRight w:val="0"/>
      <w:marTop w:val="0"/>
      <w:marBottom w:val="0"/>
      <w:divBdr>
        <w:top w:val="none" w:sz="0" w:space="0" w:color="auto"/>
        <w:left w:val="none" w:sz="0" w:space="0" w:color="auto"/>
        <w:bottom w:val="none" w:sz="0" w:space="0" w:color="auto"/>
        <w:right w:val="none" w:sz="0" w:space="0" w:color="auto"/>
      </w:divBdr>
    </w:div>
    <w:div w:id="183332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9ECA9-2A0A-443C-820F-F5FEC6A72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4674</Words>
  <Characters>26648</Characters>
  <Application>Microsoft Office Word</Application>
  <DocSecurity>0</DocSecurity>
  <Lines>222</Lines>
  <Paragraphs>62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Fresenius Kabi</Company>
  <LinksUpToDate>false</LinksUpToDate>
  <CharactersWithSpaces>31260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Košuthová, Katarína</dc:creator>
  <cp:lastModifiedBy>Kubáčková, Jaroslava</cp:lastModifiedBy>
  <cp:revision>4</cp:revision>
  <cp:lastPrinted>2019-04-25T07:13:00Z</cp:lastPrinted>
  <dcterms:created xsi:type="dcterms:W3CDTF">2021-02-15T09:30:00Z</dcterms:created>
  <dcterms:modified xsi:type="dcterms:W3CDTF">2021-02-15T09:32:00Z</dcterms:modified>
</cp:coreProperties>
</file>