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CF9E1" w14:textId="77777777" w:rsidR="00185881" w:rsidRPr="00AC56FD" w:rsidRDefault="00185881">
      <w:pPr>
        <w:pStyle w:val="Nzov"/>
        <w:rPr>
          <w:sz w:val="22"/>
          <w:szCs w:val="22"/>
        </w:rPr>
      </w:pPr>
      <w:bookmarkStart w:id="0" w:name="_GoBack"/>
      <w:bookmarkEnd w:id="0"/>
    </w:p>
    <w:p w14:paraId="609B1BDB" w14:textId="77777777" w:rsidR="00185881" w:rsidRDefault="00185881">
      <w:pPr>
        <w:pStyle w:val="Nzov"/>
        <w:rPr>
          <w:sz w:val="22"/>
          <w:szCs w:val="22"/>
        </w:rPr>
      </w:pPr>
    </w:p>
    <w:p w14:paraId="398888B6" w14:textId="77777777" w:rsidR="002F1A96" w:rsidRPr="002B16EB" w:rsidRDefault="002F1A96">
      <w:pPr>
        <w:pStyle w:val="Nzov"/>
        <w:rPr>
          <w:sz w:val="22"/>
          <w:szCs w:val="22"/>
        </w:rPr>
      </w:pPr>
      <w:r w:rsidRPr="002B16EB">
        <w:rPr>
          <w:sz w:val="22"/>
          <w:szCs w:val="22"/>
        </w:rPr>
        <w:t>SÚHRN CHARAKTERISTICKÝCH VLASTNOSTÍ LIEKU</w:t>
      </w:r>
    </w:p>
    <w:p w14:paraId="45F1740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AFCF613" w14:textId="77777777" w:rsidR="007B5F1D" w:rsidRPr="002B16EB" w:rsidRDefault="007B5F1D">
      <w:pPr>
        <w:ind w:right="-1"/>
        <w:jc w:val="both"/>
        <w:rPr>
          <w:sz w:val="22"/>
          <w:szCs w:val="22"/>
        </w:rPr>
      </w:pPr>
    </w:p>
    <w:p w14:paraId="35792652" w14:textId="77777777" w:rsidR="00D70280" w:rsidRPr="002B16EB" w:rsidRDefault="002F1A96" w:rsidP="00D70280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1. </w:t>
      </w:r>
      <w:r w:rsidR="00D70280" w:rsidRPr="002B16EB">
        <w:rPr>
          <w:b/>
          <w:caps/>
          <w:sz w:val="22"/>
          <w:szCs w:val="22"/>
        </w:rPr>
        <w:t>Názov lieku</w:t>
      </w:r>
    </w:p>
    <w:p w14:paraId="03BFF574" w14:textId="77777777" w:rsidR="002F1A96" w:rsidRPr="006C1744" w:rsidRDefault="002F1A96">
      <w:pPr>
        <w:ind w:right="-1"/>
        <w:jc w:val="both"/>
        <w:rPr>
          <w:sz w:val="22"/>
          <w:szCs w:val="22"/>
        </w:rPr>
      </w:pPr>
    </w:p>
    <w:p w14:paraId="76381890" w14:textId="77777777" w:rsidR="002F1A96" w:rsidRPr="00A51167" w:rsidRDefault="00D70280">
      <w:pPr>
        <w:ind w:right="-1"/>
        <w:jc w:val="both"/>
        <w:rPr>
          <w:sz w:val="22"/>
          <w:szCs w:val="22"/>
        </w:rPr>
      </w:pPr>
      <w:r w:rsidRPr="00A51167">
        <w:rPr>
          <w:sz w:val="22"/>
          <w:szCs w:val="22"/>
        </w:rPr>
        <w:t>Salofalk</w:t>
      </w:r>
      <w:r w:rsidR="002F1A96" w:rsidRPr="00A51167">
        <w:rPr>
          <w:sz w:val="22"/>
          <w:szCs w:val="22"/>
        </w:rPr>
        <w:t xml:space="preserve"> 250 čapíky</w:t>
      </w:r>
    </w:p>
    <w:p w14:paraId="611339B5" w14:textId="77777777" w:rsidR="002F1A96" w:rsidRPr="002B16EB" w:rsidRDefault="002F1A96">
      <w:pPr>
        <w:ind w:right="-1"/>
        <w:jc w:val="both"/>
        <w:rPr>
          <w:b/>
          <w:sz w:val="22"/>
          <w:szCs w:val="22"/>
          <w:u w:val="single"/>
        </w:rPr>
      </w:pPr>
    </w:p>
    <w:p w14:paraId="3999B616" w14:textId="77777777" w:rsidR="007B5F1D" w:rsidRPr="002B16EB" w:rsidRDefault="007B5F1D">
      <w:pPr>
        <w:ind w:right="-1"/>
        <w:jc w:val="both"/>
        <w:rPr>
          <w:b/>
          <w:sz w:val="22"/>
          <w:szCs w:val="22"/>
          <w:u w:val="single"/>
        </w:rPr>
      </w:pPr>
    </w:p>
    <w:p w14:paraId="58EB41F5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2. </w:t>
      </w:r>
      <w:r w:rsidR="00FF211A" w:rsidRPr="002B16EB">
        <w:rPr>
          <w:b/>
          <w:caps/>
          <w:sz w:val="22"/>
          <w:szCs w:val="22"/>
        </w:rPr>
        <w:t>Kvalitatívne a kvantitatívne zloženie</w:t>
      </w:r>
    </w:p>
    <w:p w14:paraId="544E3748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7ABB8D8" w14:textId="77777777" w:rsidR="002F1A96" w:rsidRPr="002B16EB" w:rsidRDefault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Liečivo: m</w:t>
      </w:r>
      <w:r w:rsidR="002F1A96" w:rsidRPr="002B16EB">
        <w:rPr>
          <w:sz w:val="22"/>
          <w:szCs w:val="22"/>
        </w:rPr>
        <w:t>esalaz</w:t>
      </w:r>
      <w:r w:rsidR="00FE28AB" w:rsidRPr="002B16EB">
        <w:rPr>
          <w:sz w:val="22"/>
          <w:szCs w:val="22"/>
        </w:rPr>
        <w:t>ín</w:t>
      </w:r>
      <w:r w:rsidR="002F1A96" w:rsidRPr="002B16EB">
        <w:rPr>
          <w:sz w:val="22"/>
          <w:szCs w:val="22"/>
        </w:rPr>
        <w:t xml:space="preserve"> 250 mg v jednom čapíku</w:t>
      </w:r>
    </w:p>
    <w:p w14:paraId="71DF21B0" w14:textId="77777777" w:rsidR="001B1A65" w:rsidRPr="002B16EB" w:rsidRDefault="001B1A65">
      <w:pPr>
        <w:ind w:right="-1"/>
        <w:jc w:val="both"/>
        <w:rPr>
          <w:sz w:val="22"/>
          <w:szCs w:val="22"/>
        </w:rPr>
      </w:pPr>
    </w:p>
    <w:p w14:paraId="181C5A5F" w14:textId="77777777" w:rsidR="00FF211A" w:rsidRPr="002B16EB" w:rsidRDefault="00FF211A" w:rsidP="00FF211A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Úplný zoznam pomocných látok, pozri časť 6.1.</w:t>
      </w:r>
    </w:p>
    <w:p w14:paraId="12C3A4B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691B3EC" w14:textId="77777777" w:rsidR="007B5F1D" w:rsidRPr="002B16EB" w:rsidRDefault="007B5F1D">
      <w:pPr>
        <w:ind w:right="-1"/>
        <w:jc w:val="both"/>
        <w:rPr>
          <w:sz w:val="22"/>
          <w:szCs w:val="22"/>
        </w:rPr>
      </w:pPr>
    </w:p>
    <w:p w14:paraId="4EB06995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b/>
          <w:sz w:val="22"/>
          <w:szCs w:val="22"/>
        </w:rPr>
        <w:t xml:space="preserve">3. </w:t>
      </w:r>
      <w:r w:rsidR="007B5F1D" w:rsidRPr="002B16EB">
        <w:rPr>
          <w:b/>
          <w:caps/>
          <w:sz w:val="22"/>
          <w:szCs w:val="22"/>
        </w:rPr>
        <w:t>Lieková forma</w:t>
      </w:r>
      <w:r w:rsidR="007B5F1D" w:rsidRPr="002B16EB" w:rsidDel="007B5F1D">
        <w:rPr>
          <w:b/>
          <w:sz w:val="22"/>
          <w:szCs w:val="22"/>
        </w:rPr>
        <w:t xml:space="preserve"> </w:t>
      </w:r>
    </w:p>
    <w:p w14:paraId="60CF54EA" w14:textId="77777777" w:rsidR="00D47D00" w:rsidRPr="002B16EB" w:rsidRDefault="00D47D00">
      <w:pPr>
        <w:ind w:right="-1"/>
        <w:jc w:val="both"/>
        <w:rPr>
          <w:sz w:val="22"/>
          <w:szCs w:val="22"/>
        </w:rPr>
      </w:pPr>
    </w:p>
    <w:p w14:paraId="0CF98268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Čapík</w:t>
      </w:r>
    </w:p>
    <w:p w14:paraId="5B0C8AC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B33BFB8" w14:textId="68D284B0" w:rsidR="002F1A96" w:rsidRPr="002B16EB" w:rsidRDefault="00D47D00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Č</w:t>
      </w:r>
      <w:r w:rsidR="002F1A96" w:rsidRPr="002B16EB">
        <w:rPr>
          <w:sz w:val="22"/>
          <w:szCs w:val="22"/>
        </w:rPr>
        <w:t>apíky bielej až krémovej farby</w:t>
      </w:r>
      <w:r w:rsidR="007B5F1D" w:rsidRPr="002B16EB">
        <w:rPr>
          <w:sz w:val="22"/>
          <w:szCs w:val="22"/>
        </w:rPr>
        <w:t>.</w:t>
      </w:r>
      <w:r w:rsidR="00335833">
        <w:rPr>
          <w:sz w:val="22"/>
          <w:szCs w:val="22"/>
        </w:rPr>
        <w:t xml:space="preserve"> </w:t>
      </w:r>
      <w:r w:rsidR="001147B1">
        <w:rPr>
          <w:sz w:val="22"/>
          <w:szCs w:val="22"/>
        </w:rPr>
        <w:t>V niektorých prípadoch sa na povrchu môže objaviť biely povlak pochádzajúci z procesu rekryštalizácie tuhého tuku.</w:t>
      </w:r>
    </w:p>
    <w:p w14:paraId="5B4EB2C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52CB02A" w14:textId="77777777" w:rsidR="007B5F1D" w:rsidRPr="002B16EB" w:rsidRDefault="007B5F1D">
      <w:pPr>
        <w:ind w:right="-1"/>
        <w:jc w:val="both"/>
        <w:rPr>
          <w:sz w:val="22"/>
          <w:szCs w:val="22"/>
        </w:rPr>
      </w:pPr>
    </w:p>
    <w:p w14:paraId="4E6F267B" w14:textId="77777777" w:rsidR="007B5F1D" w:rsidRPr="002B16EB" w:rsidRDefault="002F1A96" w:rsidP="007B5F1D">
      <w:pPr>
        <w:ind w:right="-1"/>
        <w:jc w:val="both"/>
        <w:rPr>
          <w:b/>
          <w:caps/>
          <w:sz w:val="22"/>
          <w:szCs w:val="22"/>
        </w:rPr>
      </w:pPr>
      <w:r w:rsidRPr="002B16EB">
        <w:rPr>
          <w:b/>
          <w:sz w:val="22"/>
          <w:szCs w:val="22"/>
        </w:rPr>
        <w:t xml:space="preserve">4. </w:t>
      </w:r>
      <w:r w:rsidR="007B5F1D" w:rsidRPr="002B16EB">
        <w:rPr>
          <w:b/>
          <w:caps/>
          <w:sz w:val="22"/>
          <w:szCs w:val="22"/>
        </w:rPr>
        <w:t>Klinické údaje</w:t>
      </w:r>
    </w:p>
    <w:p w14:paraId="192413D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8196903" w14:textId="77777777"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4.1 Terapeutické indikácie</w:t>
      </w:r>
    </w:p>
    <w:p w14:paraId="21DE460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73114EA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>Akútna liečba zápalových ochorení hrubého čreva s rektálnou lokalizáciou (ulcerózna kolitída, proktitída, zápal análneho kanála) a profylaxia recidívy.</w:t>
      </w:r>
    </w:p>
    <w:p w14:paraId="60FC52D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B01CE6D" w14:textId="77777777" w:rsidR="002F1A96" w:rsidRPr="002B16EB" w:rsidRDefault="002F1A96">
      <w:pPr>
        <w:ind w:right="-1"/>
        <w:jc w:val="both"/>
        <w:rPr>
          <w:b/>
          <w:sz w:val="22"/>
          <w:szCs w:val="22"/>
        </w:rPr>
      </w:pPr>
      <w:r w:rsidRPr="002B16EB">
        <w:rPr>
          <w:b/>
          <w:sz w:val="22"/>
          <w:szCs w:val="22"/>
        </w:rPr>
        <w:t>4.2 Dávkovanie a spôsob podávania</w:t>
      </w:r>
    </w:p>
    <w:p w14:paraId="1F5915C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7A50F2B" w14:textId="77777777" w:rsidR="002F1A96" w:rsidRPr="002B16EB" w:rsidRDefault="002F1A96">
      <w:pPr>
        <w:pStyle w:val="Zkladntext"/>
        <w:rPr>
          <w:rFonts w:ascii="Times New Roman" w:hAnsi="Times New Roman" w:cs="Times New Roman"/>
          <w:i/>
          <w:iCs/>
          <w:sz w:val="22"/>
          <w:szCs w:val="22"/>
        </w:rPr>
      </w:pPr>
      <w:r w:rsidRPr="002B16EB">
        <w:rPr>
          <w:rFonts w:ascii="Times New Roman" w:hAnsi="Times New Roman" w:cs="Times New Roman"/>
          <w:i/>
          <w:iCs/>
          <w:sz w:val="22"/>
          <w:szCs w:val="22"/>
        </w:rPr>
        <w:t>Liečba akútnych epizód ulceróznej kolitídy:</w:t>
      </w:r>
    </w:p>
    <w:p w14:paraId="5243ADFA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V závislosti od klinického stavu sa 3x denne zavedú 2 čapíky </w:t>
      </w:r>
      <w:r w:rsidR="007C702B" w:rsidRPr="002B16EB">
        <w:rPr>
          <w:position w:val="4"/>
          <w:sz w:val="22"/>
          <w:szCs w:val="22"/>
        </w:rPr>
        <w:t xml:space="preserve"> </w:t>
      </w:r>
      <w:r w:rsidR="007C702B" w:rsidRPr="002B16EB">
        <w:rPr>
          <w:sz w:val="22"/>
          <w:szCs w:val="22"/>
        </w:rPr>
        <w:t>lieku S</w:t>
      </w:r>
      <w:r w:rsidR="00D70280" w:rsidRPr="002B16EB">
        <w:rPr>
          <w:sz w:val="22"/>
          <w:szCs w:val="22"/>
        </w:rPr>
        <w:t>alofalk</w:t>
      </w:r>
      <w:r w:rsidRPr="002B16EB">
        <w:rPr>
          <w:sz w:val="22"/>
          <w:szCs w:val="22"/>
        </w:rPr>
        <w:t xml:space="preserve"> 250 </w:t>
      </w:r>
      <w:r w:rsidR="008D0E71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>do konečníka (ekvivalentné 1500 mg mesalazínu denne).</w:t>
      </w:r>
    </w:p>
    <w:p w14:paraId="097622F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4293594" w14:textId="77777777" w:rsidR="002F1A96" w:rsidRPr="002B16EB" w:rsidRDefault="002F1A96">
      <w:pPr>
        <w:ind w:right="-1"/>
        <w:jc w:val="both"/>
        <w:rPr>
          <w:i/>
          <w:iCs/>
          <w:sz w:val="22"/>
          <w:szCs w:val="22"/>
        </w:rPr>
      </w:pPr>
      <w:r w:rsidRPr="002B16EB">
        <w:rPr>
          <w:i/>
          <w:iCs/>
          <w:sz w:val="22"/>
          <w:szCs w:val="22"/>
        </w:rPr>
        <w:t>Prevencia recidívy ulceróznej kolitídy:</w:t>
      </w:r>
    </w:p>
    <w:p w14:paraId="0BF9374D" w14:textId="77777777" w:rsidR="002F1A96" w:rsidRPr="002B16EB" w:rsidRDefault="002F1A96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Keď sa dosiahne remisia, dávka sa zredukuje na 3x denne 1 čapík </w:t>
      </w:r>
      <w:r w:rsidR="003046B4" w:rsidRPr="002B16EB">
        <w:rPr>
          <w:sz w:val="22"/>
          <w:szCs w:val="22"/>
        </w:rPr>
        <w:t>lieku S</w:t>
      </w:r>
      <w:r w:rsidR="00D70280" w:rsidRPr="002B16EB">
        <w:rPr>
          <w:sz w:val="22"/>
          <w:szCs w:val="22"/>
        </w:rPr>
        <w:t>alofalk</w:t>
      </w:r>
      <w:r w:rsidRPr="002B16EB">
        <w:rPr>
          <w:sz w:val="22"/>
          <w:szCs w:val="22"/>
        </w:rPr>
        <w:t xml:space="preserve"> 250 </w:t>
      </w:r>
      <w:r w:rsidR="00110CEC" w:rsidRPr="002B16EB">
        <w:rPr>
          <w:sz w:val="22"/>
          <w:szCs w:val="22"/>
        </w:rPr>
        <w:t xml:space="preserve">čapíky </w:t>
      </w:r>
      <w:r w:rsidRPr="002B16EB">
        <w:rPr>
          <w:sz w:val="22"/>
          <w:szCs w:val="22"/>
        </w:rPr>
        <w:t>(ekvivalentné 750 mg mesalazínu denne).</w:t>
      </w:r>
    </w:p>
    <w:p w14:paraId="72CB31D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84470D4" w14:textId="77777777" w:rsidR="002F1A96" w:rsidRPr="002B16EB" w:rsidRDefault="00D97093">
      <w:pPr>
        <w:ind w:right="-1"/>
        <w:jc w:val="both"/>
        <w:rPr>
          <w:sz w:val="22"/>
          <w:szCs w:val="22"/>
          <w:u w:val="single"/>
        </w:rPr>
      </w:pPr>
      <w:r w:rsidRPr="002B16EB">
        <w:rPr>
          <w:sz w:val="22"/>
          <w:szCs w:val="22"/>
          <w:u w:val="single"/>
        </w:rPr>
        <w:t>Deti</w:t>
      </w:r>
      <w:r w:rsidR="002F1A96" w:rsidRPr="002B16EB">
        <w:rPr>
          <w:sz w:val="22"/>
          <w:szCs w:val="22"/>
          <w:u w:val="single"/>
        </w:rPr>
        <w:t>:</w:t>
      </w:r>
    </w:p>
    <w:p w14:paraId="74A95FEF" w14:textId="77777777" w:rsidR="002F1A96" w:rsidRPr="002B16EB" w:rsidRDefault="00997B2E">
      <w:pPr>
        <w:ind w:right="-1"/>
        <w:jc w:val="both"/>
        <w:rPr>
          <w:sz w:val="22"/>
          <w:szCs w:val="22"/>
        </w:rPr>
      </w:pPr>
      <w:r w:rsidRPr="002B16EB">
        <w:rPr>
          <w:sz w:val="22"/>
          <w:szCs w:val="22"/>
        </w:rPr>
        <w:t xml:space="preserve">S podávaním </w:t>
      </w:r>
      <w:r w:rsidR="007F6730" w:rsidRPr="002B16EB">
        <w:rPr>
          <w:sz w:val="22"/>
          <w:szCs w:val="22"/>
        </w:rPr>
        <w:t>lieku</w:t>
      </w:r>
      <w:r w:rsidR="002F1A96" w:rsidRPr="002B16EB">
        <w:rPr>
          <w:sz w:val="22"/>
          <w:szCs w:val="22"/>
        </w:rPr>
        <w:t xml:space="preserve"> </w:t>
      </w:r>
      <w:r w:rsidR="00D70280" w:rsidRPr="002B16EB">
        <w:rPr>
          <w:sz w:val="22"/>
          <w:szCs w:val="22"/>
        </w:rPr>
        <w:t>Salofalk</w:t>
      </w:r>
      <w:r w:rsidR="002F1A96" w:rsidRPr="002B16EB">
        <w:rPr>
          <w:sz w:val="22"/>
          <w:szCs w:val="22"/>
        </w:rPr>
        <w:t xml:space="preserve"> </w:t>
      </w:r>
      <w:r w:rsidR="007F6730" w:rsidRPr="002B16EB">
        <w:rPr>
          <w:sz w:val="22"/>
          <w:szCs w:val="22"/>
        </w:rPr>
        <w:t>250 čapíky</w:t>
      </w:r>
      <w:r w:rsidR="002F1A96" w:rsidRPr="002B16EB">
        <w:rPr>
          <w:sz w:val="22"/>
          <w:szCs w:val="22"/>
        </w:rPr>
        <w:t xml:space="preserve"> deťom </w:t>
      </w:r>
      <w:r w:rsidRPr="002B16EB">
        <w:rPr>
          <w:sz w:val="22"/>
          <w:szCs w:val="22"/>
        </w:rPr>
        <w:t>sú malé skúsenosti a nie je dostatočne zdokumentovaný účinok na deti</w:t>
      </w:r>
      <w:r w:rsidR="0033083E" w:rsidRPr="002B16EB">
        <w:rPr>
          <w:sz w:val="22"/>
          <w:szCs w:val="22"/>
        </w:rPr>
        <w:t>.</w:t>
      </w:r>
    </w:p>
    <w:p w14:paraId="20D25BD2" w14:textId="77777777"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411954D7" w14:textId="77777777" w:rsidR="003B0FF0" w:rsidRPr="002B16EB" w:rsidRDefault="003B0FF0" w:rsidP="003B0FF0">
      <w:pPr>
        <w:ind w:right="-1"/>
        <w:jc w:val="both"/>
        <w:rPr>
          <w:bCs/>
          <w:iCs/>
          <w:sz w:val="22"/>
          <w:szCs w:val="22"/>
          <w:u w:val="single"/>
        </w:rPr>
      </w:pPr>
      <w:r w:rsidRPr="002B16EB">
        <w:rPr>
          <w:bCs/>
          <w:iCs/>
          <w:sz w:val="22"/>
          <w:szCs w:val="22"/>
          <w:u w:val="single"/>
        </w:rPr>
        <w:t>Všeobecné podmienky podávania:</w:t>
      </w:r>
    </w:p>
    <w:p w14:paraId="03D895E0" w14:textId="77777777"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Ak sa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>liek</w:t>
      </w: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0280" w:rsidRPr="002B16EB">
        <w:rPr>
          <w:rFonts w:ascii="Times New Roman" w:hAnsi="Times New Roman" w:cs="Times New Roman"/>
          <w:color w:val="auto"/>
          <w:sz w:val="22"/>
          <w:szCs w:val="22"/>
        </w:rPr>
        <w:t>Salofalk</w:t>
      </w:r>
      <w:r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0CEC" w:rsidRPr="002B16EB">
        <w:rPr>
          <w:rFonts w:ascii="Times New Roman" w:hAnsi="Times New Roman" w:cs="Times New Roman"/>
          <w:color w:val="auto"/>
          <w:sz w:val="22"/>
          <w:szCs w:val="22"/>
        </w:rPr>
        <w:t xml:space="preserve">250 čapíky má </w:t>
      </w:r>
      <w:r w:rsidR="00CF4502">
        <w:rPr>
          <w:rFonts w:ascii="Times New Roman" w:hAnsi="Times New Roman" w:cs="Times New Roman"/>
          <w:color w:val="auto"/>
          <w:sz w:val="22"/>
          <w:szCs w:val="22"/>
        </w:rPr>
        <w:t>podávať trikrát denne, aplikuje sa do konečníka ráno, napoludnie a večer.</w:t>
      </w:r>
    </w:p>
    <w:p w14:paraId="26FA56B8" w14:textId="77777777" w:rsidR="002F1A96" w:rsidRPr="002B16EB" w:rsidRDefault="002F1A9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6CDD87FD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Liečba liekom Salofalk 250 čapíky môže byť úspešná, iba ak sa podáva pravidelne a dôsledne.</w:t>
      </w:r>
    </w:p>
    <w:p w14:paraId="09B6E921" w14:textId="537A17DD" w:rsidR="00A314A2" w:rsidRDefault="00CF4502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Dĺžka liečby závisí od charakteru, závažnosti a priebehu ochorenia. Akútne štádium ochorenia by malo odznieť po 8 – 12 týždňoch liečby. O dĺžke liečby rozhoduje v konkrétnom prípade ošetrujúci lekár.</w:t>
      </w:r>
    </w:p>
    <w:p w14:paraId="7E821D61" w14:textId="1512069B" w:rsidR="00A314A2" w:rsidRDefault="00A314A2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p w14:paraId="6F943017" w14:textId="77777777" w:rsidR="00692CB1" w:rsidRDefault="00692CB1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p w14:paraId="491A3FF9" w14:textId="75A976BB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14:paraId="0F151B0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7B9F69E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Liek Salofalk 250 čapíky sa nesmie podávať pri:</w:t>
      </w:r>
    </w:p>
    <w:p w14:paraId="7436CB89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precitlivenosti na kyselinu salicylovú, jej deriváty alebo na inú zložku lieku;</w:t>
      </w:r>
    </w:p>
    <w:p w14:paraId="752B3330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- ťažkých poruchách funkcie pečene a obličiek;</w:t>
      </w:r>
    </w:p>
    <w:p w14:paraId="1557B25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061C830" w14:textId="77777777" w:rsidR="00BF4F27" w:rsidRPr="002B16EB" w:rsidRDefault="00CF4502" w:rsidP="00BF4F2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4.4 Osobitné upozornenia a opatrenia pri používaní</w:t>
      </w:r>
    </w:p>
    <w:p w14:paraId="2249BAB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18C0FAA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Podľa zváženia ošetrujúceho lekára  sa majú urobiť pred a počas liečby vyšetrenia krvi (diferenciálny krvný obraz; pečeňové funkcie ako ALT alebo AST; sérový kreatinín) a moču (testovacie prúžky / sediment). Kontrolné vyšetrenia sa odporúčajú urobiť 14 dní po začatí liečby, potom ešte 2x až 3x v intervaloch 4 týždne. Pri normálnych  nálezoch sú potrebné ďalšie kontrolné vyšetrenia raz za štvrť roka, pri výskyte ďalších chorobných príznakov okamžite.</w:t>
      </w:r>
    </w:p>
    <w:p w14:paraId="7541ADC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3B5380F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14:paraId="0A3491D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DCA7D81" w14:textId="77777777"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Liek Salofalk 250 čapíky sa nemá podávať pacientom s renálnou dysfunkciou.</w:t>
      </w:r>
      <w:r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 pacientov, u ktorých sa počas liečby objaví renálna dysfunkcia, môže ísť o nefrotoxicitu spôsobenú mesalazínom.</w:t>
      </w:r>
    </w:p>
    <w:p w14:paraId="7C3D8664" w14:textId="77777777" w:rsidR="002F1A96" w:rsidRPr="002B16EB" w:rsidRDefault="002F1A96">
      <w:pPr>
        <w:ind w:right="-1"/>
        <w:jc w:val="both"/>
        <w:rPr>
          <w:position w:val="4"/>
          <w:sz w:val="22"/>
          <w:szCs w:val="22"/>
        </w:rPr>
      </w:pPr>
    </w:p>
    <w:p w14:paraId="5F59A3EF" w14:textId="77777777" w:rsidR="001863CC" w:rsidRPr="001741CD" w:rsidRDefault="001863CC" w:rsidP="001863CC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3D2CF8">
        <w:rPr>
          <w:sz w:val="22"/>
          <w:szCs w:val="22"/>
        </w:rPr>
        <w:t>Pri užití mesalazínu boli hlásené prípady nefrolitiázy vrátane obličkových kameňov so 100 % obsahom mesalazínu. Počas liečby sa odporúča zabezpečiť dostatočný príjem tekutín.</w:t>
      </w:r>
    </w:p>
    <w:p w14:paraId="0CF3008A" w14:textId="77777777" w:rsidR="001863CC" w:rsidRDefault="001863CC">
      <w:pPr>
        <w:ind w:right="-1"/>
        <w:jc w:val="both"/>
        <w:rPr>
          <w:sz w:val="22"/>
          <w:szCs w:val="22"/>
        </w:rPr>
      </w:pPr>
    </w:p>
    <w:p w14:paraId="61685325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Pri poruchách funkcie pľúc, najmä pri bronchiálnej astme, je v priebehu podávania lieku Salofalk 250 čapíky potrebné dôsledné sledovanie.</w:t>
      </w:r>
    </w:p>
    <w:p w14:paraId="7A4AA84D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F3578E7" w14:textId="77777777" w:rsidR="00CF26BC" w:rsidRPr="00A314A2" w:rsidRDefault="00CF26BC" w:rsidP="00A314A2">
      <w:pPr>
        <w:pStyle w:val="Default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A314A2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Závažné kožné nežiaduce reakcie </w:t>
      </w:r>
    </w:p>
    <w:p w14:paraId="316BFEC0" w14:textId="77777777" w:rsidR="00CF26BC" w:rsidRPr="00FB1327" w:rsidRDefault="00CF26BC" w:rsidP="00A314A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B1327">
        <w:rPr>
          <w:rFonts w:ascii="Times New Roman" w:hAnsi="Times New Roman" w:cs="Times New Roman"/>
          <w:color w:val="auto"/>
          <w:sz w:val="22"/>
          <w:szCs w:val="22"/>
        </w:rPr>
        <w:t xml:space="preserve">V súvislosti s liečbou mesalazínom boli hlásené závažné kožné nežiaduce reakcie (severe cutaneous adverse reactions, SCAR) vrátane Stevensovho-Johnsonovho syndrómu (SJS) a toxickej epidermálnej nekrolýzy (TEN). </w:t>
      </w:r>
    </w:p>
    <w:p w14:paraId="1718D482" w14:textId="77777777" w:rsidR="00CF26BC" w:rsidRPr="00FB1327" w:rsidRDefault="00CF26BC" w:rsidP="00A314A2">
      <w:pPr>
        <w:ind w:right="-1"/>
        <w:rPr>
          <w:sz w:val="22"/>
          <w:szCs w:val="22"/>
        </w:rPr>
      </w:pPr>
      <w:r w:rsidRPr="00FB1327">
        <w:rPr>
          <w:sz w:val="22"/>
          <w:szCs w:val="22"/>
        </w:rPr>
        <w:t xml:space="preserve">Mesalazín je potrebné vysadiť pri prvom výskyte prejavov a príznakov závažných kožných reakcií, ako je kožná vyrážka, lézie na slizniciach alebo akýkoľvek iný prejav precitlivenosti. </w:t>
      </w:r>
    </w:p>
    <w:p w14:paraId="61D3FC5C" w14:textId="77777777" w:rsidR="00CF26BC" w:rsidRDefault="00CF26BC">
      <w:pPr>
        <w:ind w:right="-1"/>
        <w:jc w:val="both"/>
        <w:rPr>
          <w:sz w:val="22"/>
          <w:szCs w:val="22"/>
        </w:rPr>
      </w:pPr>
    </w:p>
    <w:p w14:paraId="1D278776" w14:textId="2E9D4104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U pacientov so známou precitlivenosťou na lieky s obsahom sulfasalazínu sa má liečba liekom Salofalk 250 čapíky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14:paraId="10848C8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80F64D7" w14:textId="77777777" w:rsidR="002F1A96" w:rsidRPr="002B16EB" w:rsidRDefault="00CF4502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>4.5 Liekové a iné interakcie</w:t>
      </w:r>
    </w:p>
    <w:p w14:paraId="119C717D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9BA72AC" w14:textId="77777777" w:rsidR="00593969" w:rsidRPr="002B16EB" w:rsidRDefault="00CF4502" w:rsidP="00593969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Neboli vykonané špecifické štúdie interakcií.</w:t>
      </w:r>
    </w:p>
    <w:p w14:paraId="40CDF50B" w14:textId="77777777" w:rsidR="00593969" w:rsidRPr="002B16EB" w:rsidRDefault="00593969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14:paraId="383E888E" w14:textId="77777777"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pacientov, ktorí sú súbežne liečení azatioprinom, 6-merkaptopurínom alebo tioguanínom, je potrebné počítať s možným zvýšením myelosupresívneho účinku azatioprinu, 6-merkaptopurínu alebo tioguanínu.</w:t>
      </w:r>
    </w:p>
    <w:p w14:paraId="52097618" w14:textId="77777777" w:rsidR="00163BB3" w:rsidRPr="002B16EB" w:rsidRDefault="00163BB3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50044DA3" w14:textId="77777777" w:rsidR="00163BB3" w:rsidRPr="002B16EB" w:rsidRDefault="00CF4502" w:rsidP="00163BB3">
      <w:pPr>
        <w:pStyle w:val="Zklad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Mesalazín môže znížiť antikoagulačný účinok warfarínu.</w:t>
      </w:r>
    </w:p>
    <w:p w14:paraId="502334AA" w14:textId="77777777" w:rsidR="002F1A96" w:rsidRPr="002B16EB" w:rsidRDefault="002F1A96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71A83E6A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4.6 Fertilita, gravidita a laktácia</w:t>
      </w:r>
    </w:p>
    <w:p w14:paraId="5E6F4E7C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F22CD20" w14:textId="77777777"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Gravidita</w:t>
      </w:r>
    </w:p>
    <w:p w14:paraId="25243BEA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O podávaní lieku Salofalk 250 čapíky u tehotných žien nie sú dostatočné údaje. U limitovaného počtu tehotných žien, ktoré boli liečené mesalazínom, neboli pozorované žiadne negatívne účinky na priebeh tehotenstva alebo na zdravie plodu a novorodenca. Žiadne relevantné epidemiologické údaje nie sú momentálne dostupné. Objavil sa jeden izolovaný prípad renálneho zlyhania u novorodenca ženy, ktorá počas tehotenstva užívala dlhodobo vysoké dávky mesalazínu (2-4 g/deň p.o.).</w:t>
      </w:r>
    </w:p>
    <w:p w14:paraId="7A1B3A1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18FE258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Štúdie na zvieratách po perorálnom podaní mesalazínu nepreukázali žiadne priame alebo nepriame negatívne účinky na tehotenstvo, embryonálny vývoj, vývoj plodu, pôrod alebo postnatálny vývoj novorodenca.</w:t>
      </w:r>
    </w:p>
    <w:p w14:paraId="07EAEBC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A636E9B" w14:textId="77777777" w:rsidR="00F703AB" w:rsidRPr="002B16EB" w:rsidRDefault="00CF4502" w:rsidP="00F703AB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Napriek tomu sa má v tehotenstve podávať liek Salofalk 250 čapíky iba v prípade, ak prínos významne preváži možné riziko.</w:t>
      </w:r>
    </w:p>
    <w:p w14:paraId="339722B0" w14:textId="77777777" w:rsidR="00A81326" w:rsidRPr="002B16EB" w:rsidRDefault="00A81326">
      <w:pPr>
        <w:ind w:right="-1"/>
        <w:jc w:val="both"/>
        <w:rPr>
          <w:sz w:val="22"/>
          <w:szCs w:val="22"/>
        </w:rPr>
      </w:pPr>
    </w:p>
    <w:p w14:paraId="481A8B29" w14:textId="77777777" w:rsidR="00A81326" w:rsidRPr="002B16EB" w:rsidRDefault="00CF4502">
      <w:pPr>
        <w:ind w:right="-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Laktácia</w:t>
      </w:r>
    </w:p>
    <w:p w14:paraId="3D5979D6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N-acetyl-5-aminosalicylová kyselina a malé množstvo mesalazínu prechádza do materského mlieka. Zatiaľ chýbajú dostatočné skúsenosti s podávaním lieku počas dojčenia. Nemožno vylúčiť prejavy hypersenzitivity u dieťaťa, ako je napríklad hnačka. Liek Salofalk 250 čapíky sa má podávať počas dojčenia iba v prípade, ak prínos významne preváži možné riziko. Ak sa u dojčeného dieťaťa objaví hnačka, má sa dojčenie ukončiť.</w:t>
      </w:r>
    </w:p>
    <w:p w14:paraId="2CA3EDB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7E28F2C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4.7 Ovplyvnenie schopnosti viesť motorové vozidlá a obsluhovať stroje</w:t>
      </w:r>
    </w:p>
    <w:p w14:paraId="399B45B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4CED9FF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14:paraId="5E8DD4E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22E0794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4.8 Nežiaduce účinky</w:t>
      </w:r>
    </w:p>
    <w:p w14:paraId="3AE561D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CE6CA2D" w14:textId="77777777" w:rsidR="00586B99" w:rsidRPr="002B16EB" w:rsidRDefault="00CF4502" w:rsidP="00586B9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Počas užívania mesalazínu boli zaznamenané nasledovné nežiaduce účinky:</w:t>
      </w:r>
    </w:p>
    <w:p w14:paraId="0CE6E7C2" w14:textId="77777777" w:rsidR="00586B99" w:rsidRPr="002B16EB" w:rsidRDefault="00586B99">
      <w:pPr>
        <w:ind w:right="-1"/>
        <w:jc w:val="both"/>
        <w:rPr>
          <w:sz w:val="22"/>
          <w:szCs w:val="22"/>
        </w:rPr>
      </w:pPr>
    </w:p>
    <w:tbl>
      <w:tblPr>
        <w:tblW w:w="102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2835"/>
        <w:gridCol w:w="1987"/>
        <w:gridCol w:w="1987"/>
      </w:tblGrid>
      <w:tr w:rsidR="002B3F43" w:rsidRPr="002B16EB" w14:paraId="54608CA8" w14:textId="77777777" w:rsidTr="009C303D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5B4ED" w14:textId="77777777" w:rsidR="002B3F43" w:rsidRPr="002B16EB" w:rsidRDefault="002B3F43" w:rsidP="00586B99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680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AAB76" w14:textId="77777777" w:rsidR="002B3F43" w:rsidRDefault="002B3F43" w:rsidP="009069AF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MedDRA </w:t>
            </w:r>
          </w:p>
        </w:tc>
      </w:tr>
      <w:tr w:rsidR="001863CC" w:rsidRPr="002B16EB" w14:paraId="1803F104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00EB1D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488876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14:paraId="0EA7D0F1" w14:textId="77777777" w:rsidR="001863CC" w:rsidRPr="002B16EB" w:rsidRDefault="001863CC" w:rsidP="001863CC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1/10 000;  &lt;1/1 000)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75842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14:paraId="4FD1CA58" w14:textId="77777777" w:rsidR="001863CC" w:rsidRPr="002B16EB" w:rsidRDefault="001863CC" w:rsidP="001863CC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C812A" w14:textId="77777777" w:rsidR="001863CC" w:rsidRDefault="001863CC" w:rsidP="00E36FB6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3D2CF8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neznáme (z</w:t>
            </w:r>
            <w:r w:rsidR="00E36FB6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 </w:t>
            </w:r>
            <w:r w:rsidRPr="003D2CF8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1863CC" w:rsidRPr="002B16EB" w14:paraId="5586AB7B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41E83D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77586E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85FDB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(aplastická anémia, agranulocytóza, pancytopénia, neutropénia, leukopénia, trombocytopénia)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243FB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38629CD7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D6979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740DFD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9843D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periférna neuropatia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167E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4FBA5D23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27BF5E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55C22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14:paraId="770C35CD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8F52E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2BB5A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1D051918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93E1DB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mediast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ína </w:t>
            </w:r>
          </w:p>
          <w:p w14:paraId="334C55BE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(medzipľúcia)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8222EF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2D430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Alergická a fibrotická  pľúcna reakcia (vrátane dýchavičnosti, kašľu, bronchospasmu, alveolitída, pľúcnej eozinofílie, pľúcnej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infiltrácie, zápalu pľúc).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2F31B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3681FC1B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A06FBA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Poruchy a ochorenia gastrointestinálneho traktu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EB33C0" w14:textId="77777777" w:rsidR="001863CC" w:rsidRPr="002B16EB" w:rsidRDefault="001863CC" w:rsidP="001863CC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D05EC" w14:textId="77777777" w:rsidR="001863CC" w:rsidRPr="002B16EB" w:rsidRDefault="001863CC" w:rsidP="001863CC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Akútny zápal slinivky brušnej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8F8EA" w14:textId="77777777" w:rsidR="001863CC" w:rsidRDefault="001863CC" w:rsidP="001863CC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1863CC" w:rsidRPr="002B16EB" w14:paraId="625A6E51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B15C25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28C418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79F97" w14:textId="77777777" w:rsidR="001863CC" w:rsidRPr="002B16EB" w:rsidRDefault="001863CC" w:rsidP="001863CC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>Porucha činnosti obličiek vrátane akútnej a chronickej intersticiálnej nefritídy a renálnej nedostatočnosti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239A6" w14:textId="77777777" w:rsidR="001863CC" w:rsidRDefault="001863CC" w:rsidP="001863CC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 w:rsidRPr="003D2CF8">
              <w:t>nefrolitiáza</w:t>
            </w:r>
            <w:r>
              <w:rPr>
                <w:sz w:val="18"/>
                <w:szCs w:val="18"/>
              </w:rPr>
              <w:t xml:space="preserve"> </w:t>
            </w:r>
            <w:r w:rsidRPr="00861F05">
              <w:rPr>
                <w:rFonts w:cs="Times New Roman"/>
              </w:rPr>
              <w:t>*</w:t>
            </w:r>
          </w:p>
        </w:tc>
      </w:tr>
      <w:tr w:rsidR="001863CC" w:rsidRPr="002B16EB" w14:paraId="2875264A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471189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789521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DDD18" w14:textId="77777777" w:rsidR="001863CC" w:rsidRPr="002B16EB" w:rsidRDefault="001863CC" w:rsidP="001863CC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Vypadávanie vlasov (alopécia)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7ADD8" w14:textId="3F27AFD8" w:rsidR="001863CC" w:rsidRDefault="00CF26BC" w:rsidP="001863CC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794393">
              <w:rPr>
                <w:sz w:val="22"/>
                <w:szCs w:val="22"/>
              </w:rPr>
              <w:t>Stevensov-Johnsonov syndróm (SJS), toxická epidermálna nekrolýza (TEN)</w:t>
            </w:r>
          </w:p>
        </w:tc>
      </w:tr>
      <w:tr w:rsidR="001863CC" w:rsidRPr="002B16EB" w14:paraId="539F0450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4AB13C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E2829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76CD0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(artralgia, myalgia)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618B7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065C61FC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5571E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2E9BDC83" w14:textId="77777777" w:rsidR="001863CC" w:rsidRPr="002B16EB" w:rsidRDefault="001863CC" w:rsidP="001863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14:paraId="2C67536D" w14:textId="77777777" w:rsidR="001863CC" w:rsidRPr="002B16EB" w:rsidRDefault="001863CC" w:rsidP="001863CC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F83B2A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2876F" w14:textId="77777777" w:rsidR="001863CC" w:rsidRPr="002B16EB" w:rsidRDefault="001863CC" w:rsidP="001863CC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r>
              <w:rPr>
                <w:rFonts w:cs="Times New Roman"/>
                <w:lang w:val="sk-SK"/>
              </w:rPr>
              <w:t xml:space="preserve">    Hypersenzitívne reakcie  ako sú  alergické vyrážky, lieková horúčka,   systémový lupus erytematosus, pankolitída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28A9B" w14:textId="77777777" w:rsidR="001863CC" w:rsidRDefault="001863CC" w:rsidP="001863CC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1863CC" w:rsidRPr="002B16EB" w14:paraId="5E00E273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27B5D3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7718C0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D40F5" w14:textId="77777777" w:rsidR="001863CC" w:rsidRPr="002B16EB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vo funkcii pečene (zvýšenie hodnôt transamináz, parametrov cholestázy), hepatitída, cholestatická hepatitída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1F495" w14:textId="77777777" w:rsidR="001863CC" w:rsidRDefault="001863CC" w:rsidP="001863CC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1863CC" w:rsidRPr="002B16EB" w14:paraId="48946E5A" w14:textId="77777777" w:rsidTr="00E84AF5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FC4C63" w14:textId="77777777" w:rsidR="001863CC" w:rsidRPr="002B16EB" w:rsidRDefault="001863CC" w:rsidP="001863CC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2B16EB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0B606A" w14:textId="77777777" w:rsidR="001863CC" w:rsidRPr="002B16EB" w:rsidRDefault="001863CC" w:rsidP="001863CC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E6BF1" w14:textId="77777777" w:rsidR="001863CC" w:rsidRPr="002B16EB" w:rsidRDefault="001863CC" w:rsidP="001863CC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 (reverzibilná)</w:t>
            </w:r>
          </w:p>
          <w:p w14:paraId="63FFE78C" w14:textId="77777777" w:rsidR="001863CC" w:rsidRPr="002B16EB" w:rsidRDefault="001863CC" w:rsidP="001863CC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2CE62" w14:textId="77777777" w:rsidR="001863CC" w:rsidRDefault="001863CC" w:rsidP="001863CC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015A4A24" w14:textId="77777777" w:rsidR="00586B99" w:rsidRPr="002B16EB" w:rsidRDefault="00586B99">
      <w:pPr>
        <w:ind w:right="-1"/>
        <w:jc w:val="both"/>
        <w:rPr>
          <w:sz w:val="22"/>
          <w:szCs w:val="22"/>
        </w:rPr>
      </w:pPr>
    </w:p>
    <w:p w14:paraId="7FDAF994" w14:textId="77777777" w:rsidR="001863CC" w:rsidRPr="001741CD" w:rsidRDefault="001863CC" w:rsidP="00E84AF5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3D2CF8">
        <w:rPr>
          <w:sz w:val="22"/>
          <w:szCs w:val="22"/>
        </w:rPr>
        <w:t>Pre ďalšie informácie pozri časť 4.4</w:t>
      </w:r>
    </w:p>
    <w:p w14:paraId="0EA58CF2" w14:textId="77777777" w:rsidR="001863CC" w:rsidRPr="00A314A2" w:rsidRDefault="001863CC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69D964E7" w14:textId="77777777" w:rsidR="00CF26BC" w:rsidRPr="00A314A2" w:rsidRDefault="00CF26BC" w:rsidP="00CF26BC">
      <w:pPr>
        <w:tabs>
          <w:tab w:val="left" w:pos="-720"/>
        </w:tabs>
        <w:suppressAutoHyphens/>
        <w:rPr>
          <w:bCs/>
          <w:sz w:val="22"/>
          <w:szCs w:val="22"/>
        </w:rPr>
      </w:pPr>
      <w:r w:rsidRPr="00A314A2">
        <w:rPr>
          <w:bCs/>
          <w:sz w:val="22"/>
          <w:szCs w:val="22"/>
        </w:rPr>
        <w:t xml:space="preserve">V súvislosti s liečbou mesalazínom boli hlásené závažné kožné nežiaduce reakcie (SCAR) vrátane Stevensovho-Johnsonovho syndrómu (SJS) a toxickej epidermálnej nekrolýzy (TEN) (pozri časť 4.4). </w:t>
      </w:r>
    </w:p>
    <w:p w14:paraId="5253D0F3" w14:textId="77777777" w:rsidR="00CF26BC" w:rsidRPr="00A314A2" w:rsidRDefault="00CF26BC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14:paraId="001CC768" w14:textId="1EA8F1E0" w:rsidR="00912E64" w:rsidRPr="002B16EB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lastRenderedPageBreak/>
        <w:t>Fotosenzitivita</w:t>
      </w:r>
    </w:p>
    <w:p w14:paraId="6B1A89B1" w14:textId="77777777" w:rsidR="00912E64" w:rsidRPr="00A51167" w:rsidRDefault="00CF4502" w:rsidP="00912E64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51167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14:paraId="74212BE2" w14:textId="77777777" w:rsidR="002F1A96" w:rsidRPr="002B16EB" w:rsidRDefault="002F1A96">
      <w:pPr>
        <w:ind w:right="-1"/>
        <w:jc w:val="both"/>
        <w:rPr>
          <w:b/>
          <w:sz w:val="22"/>
          <w:szCs w:val="22"/>
        </w:rPr>
      </w:pPr>
    </w:p>
    <w:p w14:paraId="379D6A93" w14:textId="77777777" w:rsidR="00713993" w:rsidRPr="002B16EB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CF4502">
        <w:rPr>
          <w:rFonts w:eastAsia="Calibri"/>
          <w:noProof/>
          <w:sz w:val="22"/>
          <w:szCs w:val="22"/>
          <w:u w:val="single"/>
          <w:lang w:eastAsia="zh-CN"/>
        </w:rPr>
        <w:t>Hlásenie podozrení na nežiaduce reakcie</w:t>
      </w:r>
    </w:p>
    <w:p w14:paraId="2D0E4B6A" w14:textId="77777777" w:rsidR="00713993" w:rsidRPr="00A51167" w:rsidRDefault="00CF4502" w:rsidP="0071399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51167">
        <w:rPr>
          <w:rFonts w:eastAsia="Calibri"/>
          <w:noProof/>
          <w:sz w:val="22"/>
          <w:szCs w:val="22"/>
          <w:lang w:eastAsia="zh-C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A51167">
        <w:rPr>
          <w:rFonts w:eastAsia="Calibri"/>
          <w:noProof/>
          <w:sz w:val="22"/>
          <w:szCs w:val="22"/>
          <w:highlight w:val="lightGray"/>
          <w:lang w:eastAsia="zh-CN"/>
        </w:rPr>
        <w:t>národné centrum hlásenia</w:t>
      </w:r>
      <w:r w:rsidR="009069AF" w:rsidRPr="00A51167">
        <w:rPr>
          <w:rFonts w:eastAsia="Calibri"/>
          <w:noProof/>
          <w:sz w:val="22"/>
          <w:szCs w:val="22"/>
          <w:highlight w:val="lightGray"/>
          <w:lang w:eastAsia="zh-CN"/>
        </w:rPr>
        <w:t xml:space="preserve"> uvedené v </w:t>
      </w:r>
      <w:hyperlink r:id="rId6" w:history="1">
        <w:r w:rsidR="009069AF" w:rsidRPr="00A51167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="009069AF" w:rsidRPr="00D21A8D">
        <w:t>.</w:t>
      </w:r>
    </w:p>
    <w:p w14:paraId="186FFC53" w14:textId="77777777"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14:paraId="1B2FB553" w14:textId="77777777" w:rsidR="00713993" w:rsidRPr="002B16EB" w:rsidRDefault="00713993">
      <w:pPr>
        <w:ind w:right="-1"/>
        <w:jc w:val="both"/>
        <w:rPr>
          <w:b/>
          <w:sz w:val="22"/>
          <w:szCs w:val="22"/>
        </w:rPr>
      </w:pPr>
    </w:p>
    <w:p w14:paraId="104BFB56" w14:textId="0BCE4070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4.9 Predávkovanie </w:t>
      </w:r>
    </w:p>
    <w:p w14:paraId="4DF5BEF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7AC4127" w14:textId="77777777" w:rsidR="00D835CB" w:rsidRPr="002B16EB" w:rsidRDefault="00CF4502" w:rsidP="00D835CB">
      <w:pPr>
        <w:pStyle w:val="Normlnysozarkami1"/>
        <w:ind w:left="0"/>
        <w:rPr>
          <w:lang w:val="sk-SK"/>
        </w:rPr>
      </w:pPr>
      <w:r>
        <w:rPr>
          <w:lang w:val="sk-SK"/>
        </w:rPr>
        <w:t>Údaje o predávkovaní sú zriedkavé (napríklad možné sebevražedné správanie pri vysokých perorálnych dávkach mesalazínu), a z nich nie je možné naznačovať renálnu a hepat</w:t>
      </w:r>
      <w:r w:rsidR="002B16EB">
        <w:rPr>
          <w:lang w:val="sk-SK"/>
        </w:rPr>
        <w:t>álnu</w:t>
      </w:r>
      <w:r w:rsidR="00D835CB" w:rsidRPr="002B16EB">
        <w:rPr>
          <w:lang w:val="sk-SK"/>
        </w:rPr>
        <w:t xml:space="preserve"> toxicitu. Neexistuje špecifické antidotum a liečba je symptomatická a podporná.</w:t>
      </w:r>
    </w:p>
    <w:p w14:paraId="564C682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C45A5F2" w14:textId="77777777" w:rsidR="003A2E86" w:rsidRPr="002B16EB" w:rsidRDefault="003A2E86">
      <w:pPr>
        <w:ind w:right="-1"/>
        <w:jc w:val="both"/>
        <w:rPr>
          <w:sz w:val="22"/>
          <w:szCs w:val="22"/>
        </w:rPr>
      </w:pPr>
    </w:p>
    <w:p w14:paraId="26FC0AB5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aps/>
          <w:sz w:val="22"/>
          <w:szCs w:val="22"/>
        </w:rPr>
        <w:t>Farmakologické vlastnosti</w:t>
      </w:r>
      <w:r>
        <w:rPr>
          <w:b/>
          <w:sz w:val="22"/>
          <w:szCs w:val="22"/>
        </w:rPr>
        <w:t xml:space="preserve"> </w:t>
      </w:r>
    </w:p>
    <w:p w14:paraId="2E339AC5" w14:textId="77777777" w:rsidR="007225C4" w:rsidRPr="002B16EB" w:rsidRDefault="007225C4">
      <w:pPr>
        <w:ind w:right="-1"/>
        <w:jc w:val="both"/>
        <w:rPr>
          <w:b/>
          <w:sz w:val="22"/>
          <w:szCs w:val="22"/>
        </w:rPr>
      </w:pPr>
    </w:p>
    <w:p w14:paraId="0CC54951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5.1 Farmakodynamické vlastnosti</w:t>
      </w:r>
    </w:p>
    <w:p w14:paraId="079A626D" w14:textId="77777777" w:rsidR="00737632" w:rsidRPr="002B16EB" w:rsidRDefault="00737632" w:rsidP="00737632">
      <w:pPr>
        <w:pStyle w:val="Nadpis2"/>
        <w:jc w:val="both"/>
        <w:rPr>
          <w:sz w:val="22"/>
          <w:szCs w:val="22"/>
          <w:lang w:val="sk-SK"/>
        </w:rPr>
      </w:pPr>
    </w:p>
    <w:p w14:paraId="48BE9357" w14:textId="77777777" w:rsidR="00737632" w:rsidRPr="002B16EB" w:rsidRDefault="00CF4502" w:rsidP="00737632">
      <w:pPr>
        <w:pStyle w:val="Nadpis2"/>
        <w:jc w:val="both"/>
        <w:rPr>
          <w:b w:val="0"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Farmakoterapeutická skupina: </w:t>
      </w:r>
      <w:r>
        <w:rPr>
          <w:b w:val="0"/>
          <w:bCs/>
          <w:sz w:val="22"/>
          <w:szCs w:val="22"/>
          <w:lang w:val="sk-SK"/>
        </w:rPr>
        <w:t>Črevné protizápalové liečivá</w:t>
      </w:r>
    </w:p>
    <w:p w14:paraId="52273CBB" w14:textId="77777777" w:rsidR="00737632" w:rsidRPr="002B16EB" w:rsidRDefault="00CF4502" w:rsidP="00737632">
      <w:pPr>
        <w:ind w:right="-1"/>
        <w:jc w:val="both"/>
        <w:rPr>
          <w:b/>
          <w:bCs/>
          <w:snapToGrid w:val="0"/>
          <w:sz w:val="22"/>
          <w:szCs w:val="22"/>
          <w:lang w:eastAsia="cs-CZ"/>
        </w:rPr>
      </w:pPr>
      <w:r>
        <w:rPr>
          <w:b/>
          <w:bCs/>
          <w:sz w:val="22"/>
          <w:szCs w:val="22"/>
        </w:rPr>
        <w:t xml:space="preserve">ATC klasifikácia: </w:t>
      </w:r>
      <w:r>
        <w:rPr>
          <w:snapToGrid w:val="0"/>
          <w:sz w:val="22"/>
          <w:szCs w:val="22"/>
          <w:lang w:eastAsia="cs-CZ"/>
        </w:rPr>
        <w:t>A07EC02</w:t>
      </w:r>
    </w:p>
    <w:p w14:paraId="4651C0C1" w14:textId="77777777" w:rsidR="00737632" w:rsidRPr="002B16EB" w:rsidRDefault="00737632" w:rsidP="00737632">
      <w:pPr>
        <w:ind w:right="-1"/>
        <w:jc w:val="both"/>
        <w:rPr>
          <w:sz w:val="22"/>
          <w:szCs w:val="22"/>
        </w:rPr>
      </w:pPr>
    </w:p>
    <w:p w14:paraId="495C7864" w14:textId="77777777"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Mechanizmus účinku mesalazínu nie je ešte celkom objasnený. Štúdie </w:t>
      </w:r>
      <w:r>
        <w:rPr>
          <w:rFonts w:ascii="Times New Roman" w:hAnsi="Times New Roman" w:cs="Times New Roman"/>
          <w:i/>
          <w:sz w:val="22"/>
          <w:szCs w:val="22"/>
        </w:rPr>
        <w:t>in-vitro</w:t>
      </w:r>
      <w:r>
        <w:rPr>
          <w:rFonts w:ascii="Times New Roman" w:hAnsi="Times New Roman" w:cs="Times New Roman"/>
          <w:sz w:val="22"/>
          <w:szCs w:val="22"/>
        </w:rPr>
        <w:t xml:space="preserve"> ukázali, že mechanizmus inhibície lipooxygenázy môže byť významným faktorom účinku.</w:t>
      </w:r>
    </w:p>
    <w:p w14:paraId="7B836AB8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Bol preukázaný tiež vplyv na obsah prostaglandínov v intestinálnej mukóze. Mesalazín (5-aminosalicylová kyselina / 5-ASA) tiež pôsobí ako vychytávač voľných kyslíkových radikálov.</w:t>
      </w:r>
    </w:p>
    <w:p w14:paraId="7BA1FF3D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Perorálne podaný mesalazín má predovšetkým lokálny účinok na intestinálnej mukóze a v podslizničnom tkanive.</w:t>
      </w:r>
    </w:p>
    <w:p w14:paraId="10C9C4A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78A9131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5.2 Farmakokinetické vlastnosti</w:t>
      </w:r>
    </w:p>
    <w:p w14:paraId="09F0B9B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310EB01" w14:textId="77777777" w:rsidR="002F1A96" w:rsidRPr="002B16EB" w:rsidRDefault="00CF4502">
      <w:pPr>
        <w:ind w:right="-1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Všeobecné vlastnosti mesalazínu:</w:t>
      </w:r>
    </w:p>
    <w:p w14:paraId="6B14838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D0740D8" w14:textId="77777777"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</w:t>
      </w:r>
    </w:p>
    <w:p w14:paraId="6A4F4DBF" w14:textId="77777777" w:rsidR="002F1A96" w:rsidRPr="002B16EB" w:rsidRDefault="00CF4502">
      <w:pPr>
        <w:pStyle w:val="Zkladntext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Absorpcia mesalazínu je najvyššia v proximálnych častiach a najnižšia v distálnych častiach čreva.</w:t>
      </w:r>
    </w:p>
    <w:p w14:paraId="7F6689D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BC26402" w14:textId="77777777"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Biotransformácia</w:t>
      </w:r>
    </w:p>
    <w:p w14:paraId="0B835A0D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Mesalazín sa metabolizuje pred vstupom do krvného obehu v intestinálnej mukóze a v pečeni na farmakologicky neaktívnu N-acetyl-5-aminosalicylovú kyselinu (N-Ac-5-ASA). Acetylácia je pravdepodobne nezávislá od acetylátorového fenotypu pacienta. Časť mesalazínu sa acetyluje baktériami v hrubom čreve. 43 % mesalazínu a 78 % N-Ac-5-ASA sa viaže na sérové bielkoviny.</w:t>
      </w:r>
    </w:p>
    <w:p w14:paraId="4922567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55C512C" w14:textId="77777777" w:rsidR="002F1A96" w:rsidRPr="002B16EB" w:rsidRDefault="00CF4502">
      <w:pPr>
        <w:pStyle w:val="Nadpis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Eliminácia/exkrécia</w:t>
      </w:r>
    </w:p>
    <w:p w14:paraId="01A2F070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Mesalazín a jeho metabolit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mesalazínu prechádza do materského mlieka, prevažne ako N-Ac-5-ASA.</w:t>
      </w:r>
    </w:p>
    <w:p w14:paraId="62EE97EE" w14:textId="77777777"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14:paraId="76477BD9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5.3 Predklinické údaje o bezpečnosti</w:t>
      </w:r>
    </w:p>
    <w:p w14:paraId="2F6718D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1309DE4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Predklinické údaje získané v konvenčných štúdiách na farmakologickú bezpečnosť, genotoxicitu, karcinogenitu (potkan) alebo reprodukčnú toxicitu nepreukázali žiadne osobitné riziko pre ľudí.</w:t>
      </w:r>
    </w:p>
    <w:p w14:paraId="6125E6A1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60D8E2D" w14:textId="77777777" w:rsidR="002F1A96" w:rsidRPr="002B16EB" w:rsidRDefault="00CF4502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Renálna toxicita (renálna nekróza a poškodenie epitelu proximálnych tubulov alebo celých nefrónov) bola pozorovaná v štúdiách na toxicitu po opakovanom podaní vysokých dávok mesalazínu p.o. Klinická významnosť týchto zistení nie je jasná.</w:t>
      </w:r>
    </w:p>
    <w:p w14:paraId="5114061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83ADE4D" w14:textId="77777777" w:rsidR="00547A4B" w:rsidRPr="002B16EB" w:rsidRDefault="00547A4B">
      <w:pPr>
        <w:ind w:right="-1"/>
        <w:jc w:val="both"/>
        <w:rPr>
          <w:sz w:val="22"/>
          <w:szCs w:val="22"/>
        </w:rPr>
      </w:pPr>
    </w:p>
    <w:p w14:paraId="556EF50E" w14:textId="77777777" w:rsidR="00547A4B" w:rsidRPr="002B16EB" w:rsidRDefault="00CF4502" w:rsidP="00547A4B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aps/>
          <w:sz w:val="22"/>
          <w:szCs w:val="22"/>
        </w:rPr>
        <w:t>Farmaceutické informácie</w:t>
      </w:r>
    </w:p>
    <w:p w14:paraId="1CBC060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4413D78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 Zoznam pomocných látok</w:t>
      </w:r>
    </w:p>
    <w:p w14:paraId="05E0248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2E4F861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Tuhý tuk </w:t>
      </w:r>
    </w:p>
    <w:p w14:paraId="2519455B" w14:textId="77777777"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14:paraId="55867CAA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6.2 Inkompatibility</w:t>
      </w:r>
    </w:p>
    <w:p w14:paraId="236976FA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00619E8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Žiadne.</w:t>
      </w:r>
    </w:p>
    <w:p w14:paraId="251C9EE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560860DA" w14:textId="77777777" w:rsidR="002F1A96" w:rsidRPr="002B16EB" w:rsidRDefault="00CF450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6.3 Čas použiteľnosti</w:t>
      </w:r>
    </w:p>
    <w:p w14:paraId="1A7864BD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7BD5C76" w14:textId="77777777" w:rsidR="002F1A96" w:rsidRPr="002B16EB" w:rsidRDefault="00CF4502">
      <w:pPr>
        <w:ind w:right="-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 roky</w:t>
      </w:r>
    </w:p>
    <w:p w14:paraId="5690DE60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EAFFBF8" w14:textId="77777777" w:rsidR="00B72572" w:rsidRPr="002B16EB" w:rsidRDefault="00CF4502" w:rsidP="00B72572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6.4 Špeciálne upozornenia na uchovávanie</w:t>
      </w:r>
    </w:p>
    <w:p w14:paraId="10620C93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1C890EB7" w14:textId="78D96D3C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Chrániť pred svetlom a </w:t>
      </w:r>
      <w:r w:rsidRPr="00510E80">
        <w:rPr>
          <w:sz w:val="22"/>
          <w:szCs w:val="22"/>
        </w:rPr>
        <w:t>uchovávať pri teplote do 25</w:t>
      </w:r>
      <w:r w:rsidR="00510E80">
        <w:rPr>
          <w:sz w:val="22"/>
          <w:szCs w:val="22"/>
        </w:rPr>
        <w:t xml:space="preserve"> °</w:t>
      </w:r>
      <w:r w:rsidRPr="00510E80">
        <w:rPr>
          <w:sz w:val="22"/>
          <w:szCs w:val="22"/>
        </w:rPr>
        <w:t>C.</w:t>
      </w:r>
    </w:p>
    <w:p w14:paraId="51063582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763F8A73" w14:textId="77777777" w:rsidR="00106837" w:rsidRPr="002B16EB" w:rsidRDefault="00CF4502" w:rsidP="00106837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6.5 Druh obalu a obsah balenia</w:t>
      </w:r>
    </w:p>
    <w:p w14:paraId="7EAF4FE4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2698D03F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PVC-fólia, papierová škatuľka</w:t>
      </w:r>
      <w:r w:rsidR="002F1A96" w:rsidRPr="002B16EB">
        <w:rPr>
          <w:sz w:val="22"/>
          <w:szCs w:val="22"/>
        </w:rPr>
        <w:t xml:space="preserve">, písomná informácia pre </w:t>
      </w:r>
      <w:r w:rsidR="006E648C" w:rsidRPr="002B16EB">
        <w:rPr>
          <w:sz w:val="22"/>
          <w:szCs w:val="22"/>
        </w:rPr>
        <w:t>používateľ</w:t>
      </w:r>
      <w:r w:rsidR="00106837" w:rsidRPr="002B16EB">
        <w:rPr>
          <w:sz w:val="22"/>
          <w:szCs w:val="22"/>
        </w:rPr>
        <w:t>a.</w:t>
      </w:r>
    </w:p>
    <w:p w14:paraId="4F79C273" w14:textId="77777777" w:rsidR="002F1A96" w:rsidRPr="002B16EB" w:rsidRDefault="002F1A96">
      <w:pPr>
        <w:ind w:right="-1"/>
        <w:jc w:val="both"/>
        <w:rPr>
          <w:sz w:val="22"/>
          <w:szCs w:val="22"/>
          <w:u w:val="single"/>
        </w:rPr>
      </w:pPr>
    </w:p>
    <w:p w14:paraId="0D258D26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Veľkosť balenia</w:t>
      </w:r>
      <w:r>
        <w:rPr>
          <w:sz w:val="22"/>
          <w:szCs w:val="22"/>
        </w:rPr>
        <w:t>: 10 alebo 30 čapíkov</w:t>
      </w:r>
    </w:p>
    <w:p w14:paraId="74A49656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69284F89" w14:textId="77777777" w:rsidR="00D572F5" w:rsidRPr="002B16EB" w:rsidRDefault="00CF4502" w:rsidP="00D572F5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6.6 Špeciálne opatrenia na likvidáciu a iné zaobchádzania s liekom</w:t>
      </w:r>
    </w:p>
    <w:p w14:paraId="4A8022FF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0CB5D84" w14:textId="77777777" w:rsidR="002F1A96" w:rsidRPr="002B16EB" w:rsidRDefault="00CF4502">
      <w:pPr>
        <w:ind w:right="-1"/>
        <w:jc w:val="both"/>
        <w:rPr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Nepoužitý liek alebo odpad vzniknutý z lieku treba vrátiť do lekárne </w:t>
      </w:r>
    </w:p>
    <w:p w14:paraId="04CF525F" w14:textId="77777777" w:rsidR="00782D72" w:rsidRPr="002B16EB" w:rsidRDefault="00782D72">
      <w:pPr>
        <w:ind w:right="-1"/>
        <w:jc w:val="both"/>
        <w:rPr>
          <w:bCs/>
          <w:sz w:val="22"/>
          <w:szCs w:val="22"/>
          <w:u w:val="single"/>
        </w:rPr>
      </w:pPr>
    </w:p>
    <w:p w14:paraId="2097A995" w14:textId="77777777"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aps/>
          <w:sz w:val="22"/>
          <w:szCs w:val="22"/>
        </w:rPr>
        <w:t>Držiteľ rozhodnutia o registrácii</w:t>
      </w:r>
    </w:p>
    <w:p w14:paraId="75516CE7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4FCBC776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Dr. Falk Pharma GmbH.</w:t>
      </w:r>
    </w:p>
    <w:p w14:paraId="57AFE949" w14:textId="77777777"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Leinenweberstrasse 5</w:t>
      </w:r>
    </w:p>
    <w:p w14:paraId="1295732F" w14:textId="028AD2DF"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79108 Freiburg</w:t>
      </w:r>
    </w:p>
    <w:p w14:paraId="0A708780" w14:textId="77777777" w:rsidR="00432EA8" w:rsidRPr="002B16EB" w:rsidRDefault="00CF4502" w:rsidP="00432EA8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1A0B0089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332042BD" w14:textId="77777777" w:rsidR="00782D72" w:rsidRPr="002B16EB" w:rsidRDefault="00782D72">
      <w:pPr>
        <w:ind w:right="-1"/>
        <w:jc w:val="both"/>
        <w:rPr>
          <w:sz w:val="22"/>
          <w:szCs w:val="22"/>
        </w:rPr>
      </w:pPr>
    </w:p>
    <w:p w14:paraId="77AD249F" w14:textId="77777777"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b/>
          <w:caps/>
          <w:sz w:val="22"/>
          <w:szCs w:val="22"/>
        </w:rPr>
        <w:t>Registračné číslo</w:t>
      </w:r>
    </w:p>
    <w:p w14:paraId="4862F168" w14:textId="77777777" w:rsidR="002F1A96" w:rsidRPr="002B16EB" w:rsidRDefault="002F1A96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14:paraId="16D3F02F" w14:textId="77777777" w:rsidR="002F1A96" w:rsidRPr="002B16EB" w:rsidRDefault="00CF4502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29/0027/87-S</w:t>
      </w:r>
    </w:p>
    <w:p w14:paraId="5BB206E6" w14:textId="77777777" w:rsidR="00782D72" w:rsidRDefault="00782D72">
      <w:pPr>
        <w:ind w:right="-1"/>
        <w:jc w:val="both"/>
        <w:rPr>
          <w:b/>
          <w:sz w:val="22"/>
          <w:szCs w:val="22"/>
          <w:u w:val="single"/>
        </w:rPr>
      </w:pPr>
    </w:p>
    <w:p w14:paraId="546CBFCE" w14:textId="77777777" w:rsidR="00A314A2" w:rsidRPr="002B16EB" w:rsidRDefault="00A314A2">
      <w:pPr>
        <w:ind w:right="-1"/>
        <w:jc w:val="both"/>
        <w:rPr>
          <w:b/>
          <w:sz w:val="22"/>
          <w:szCs w:val="22"/>
          <w:u w:val="single"/>
        </w:rPr>
      </w:pPr>
    </w:p>
    <w:p w14:paraId="57BF9EDD" w14:textId="77777777" w:rsidR="00432EA8" w:rsidRPr="002B16EB" w:rsidRDefault="00CF4502" w:rsidP="00432EA8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b/>
          <w:caps/>
          <w:sz w:val="22"/>
          <w:szCs w:val="22"/>
        </w:rPr>
        <w:t>Dátum prvej registrácie / predĺženia registrácie</w:t>
      </w:r>
    </w:p>
    <w:p w14:paraId="6D3E610B" w14:textId="77777777" w:rsidR="002F1A96" w:rsidRPr="002B16EB" w:rsidRDefault="002F1A96">
      <w:pPr>
        <w:ind w:right="-1"/>
        <w:jc w:val="both"/>
        <w:rPr>
          <w:sz w:val="22"/>
          <w:szCs w:val="22"/>
        </w:rPr>
      </w:pPr>
    </w:p>
    <w:p w14:paraId="0D1DDE42" w14:textId="77777777" w:rsidR="00F04730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prvej registrácie: 15. júna</w:t>
      </w:r>
      <w:r w:rsidR="002B16EB">
        <w:rPr>
          <w:sz w:val="22"/>
          <w:szCs w:val="22"/>
        </w:rPr>
        <w:t xml:space="preserve"> </w:t>
      </w:r>
      <w:r w:rsidR="00332BE4" w:rsidRPr="002B16EB">
        <w:rPr>
          <w:sz w:val="22"/>
          <w:szCs w:val="22"/>
        </w:rPr>
        <w:t>1987</w:t>
      </w:r>
    </w:p>
    <w:p w14:paraId="4DE435CF" w14:textId="77777777" w:rsidR="00332BE4" w:rsidRPr="002B16EB" w:rsidRDefault="00CF4502" w:rsidP="00332BE4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posledného predĺženia: 26. januára 2007</w:t>
      </w:r>
    </w:p>
    <w:p w14:paraId="46F12A01" w14:textId="77777777"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14:paraId="2CE5401B" w14:textId="77777777" w:rsidR="00782D72" w:rsidRPr="002B16EB" w:rsidRDefault="00782D72" w:rsidP="00332BE4">
      <w:pPr>
        <w:tabs>
          <w:tab w:val="left" w:pos="426"/>
        </w:tabs>
        <w:jc w:val="both"/>
        <w:rPr>
          <w:sz w:val="22"/>
          <w:szCs w:val="22"/>
        </w:rPr>
      </w:pPr>
    </w:p>
    <w:p w14:paraId="71D91A2E" w14:textId="77777777" w:rsidR="00D653A9" w:rsidRPr="002B16EB" w:rsidRDefault="00CF4502" w:rsidP="00D653A9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b/>
          <w:caps/>
          <w:sz w:val="22"/>
          <w:szCs w:val="22"/>
        </w:rPr>
        <w:t>Dátum revízie textu</w:t>
      </w:r>
      <w:r>
        <w:rPr>
          <w:b/>
          <w:caps/>
          <w:sz w:val="22"/>
          <w:szCs w:val="22"/>
          <w:u w:val="single"/>
        </w:rPr>
        <w:t xml:space="preserve"> </w:t>
      </w:r>
    </w:p>
    <w:p w14:paraId="30CE56C4" w14:textId="77777777" w:rsidR="002F1A96" w:rsidRPr="002B16EB" w:rsidRDefault="002F1A96" w:rsidP="00D653A9">
      <w:pPr>
        <w:ind w:right="-1"/>
        <w:jc w:val="both"/>
        <w:rPr>
          <w:sz w:val="22"/>
          <w:szCs w:val="22"/>
        </w:rPr>
      </w:pPr>
    </w:p>
    <w:p w14:paraId="76E36103" w14:textId="76144880" w:rsidR="00E947EA" w:rsidRPr="002B16EB" w:rsidRDefault="00E46382" w:rsidP="00D653A9">
      <w:pPr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A314A2">
        <w:rPr>
          <w:sz w:val="22"/>
          <w:szCs w:val="22"/>
        </w:rPr>
        <w:t>2</w:t>
      </w:r>
      <w:r>
        <w:rPr>
          <w:sz w:val="22"/>
          <w:szCs w:val="22"/>
        </w:rPr>
        <w:t>/2021</w:t>
      </w:r>
    </w:p>
    <w:sectPr w:rsidR="00E947EA" w:rsidRPr="002B16EB" w:rsidSect="00A314A2">
      <w:headerReference w:type="default" r:id="rId7"/>
      <w:footerReference w:type="default" r:id="rId8"/>
      <w:pgSz w:w="11907" w:h="16840"/>
      <w:pgMar w:top="1134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D25CE" w14:textId="77777777" w:rsidR="00D0583D" w:rsidRDefault="00D0583D">
      <w:r>
        <w:separator/>
      </w:r>
    </w:p>
  </w:endnote>
  <w:endnote w:type="continuationSeparator" w:id="0">
    <w:p w14:paraId="7F94EB04" w14:textId="77777777" w:rsidR="00D0583D" w:rsidRDefault="00D0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0611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178C83" w14:textId="1380E3F1" w:rsidR="00A314A2" w:rsidRPr="00A314A2" w:rsidRDefault="00A314A2" w:rsidP="00A314A2">
        <w:pPr>
          <w:pStyle w:val="Pta"/>
          <w:jc w:val="center"/>
          <w:rPr>
            <w:sz w:val="18"/>
            <w:szCs w:val="18"/>
          </w:rPr>
        </w:pPr>
        <w:r w:rsidRPr="00A314A2">
          <w:rPr>
            <w:sz w:val="18"/>
            <w:szCs w:val="18"/>
          </w:rPr>
          <w:fldChar w:fldCharType="begin"/>
        </w:r>
        <w:r w:rsidRPr="00A314A2">
          <w:rPr>
            <w:sz w:val="18"/>
            <w:szCs w:val="18"/>
          </w:rPr>
          <w:instrText>PAGE   \* MERGEFORMAT</w:instrText>
        </w:r>
        <w:r w:rsidRPr="00A314A2">
          <w:rPr>
            <w:sz w:val="18"/>
            <w:szCs w:val="18"/>
          </w:rPr>
          <w:fldChar w:fldCharType="separate"/>
        </w:r>
        <w:r w:rsidR="009A4D88">
          <w:rPr>
            <w:noProof/>
            <w:sz w:val="18"/>
            <w:szCs w:val="18"/>
          </w:rPr>
          <w:t>1</w:t>
        </w:r>
        <w:r w:rsidRPr="00A314A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18825" w14:textId="77777777" w:rsidR="00D0583D" w:rsidRDefault="00D0583D">
      <w:r>
        <w:separator/>
      </w:r>
    </w:p>
  </w:footnote>
  <w:footnote w:type="continuationSeparator" w:id="0">
    <w:p w14:paraId="1C7CBCD5" w14:textId="77777777" w:rsidR="00D0583D" w:rsidRDefault="00D0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9C542" w14:textId="24989F84" w:rsidR="007C7311" w:rsidRDefault="007C7311" w:rsidP="007C7311">
    <w:pPr>
      <w:pStyle w:val="Hlavika"/>
      <w:rPr>
        <w:rFonts w:ascii="Arial" w:hAnsi="Arial" w:cs="Arial"/>
        <w:sz w:val="16"/>
      </w:rPr>
    </w:pPr>
    <w:r w:rsidRPr="00AC56FD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AC56FD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AC56FD">
      <w:rPr>
        <w:sz w:val="18"/>
        <w:szCs w:val="18"/>
      </w:rPr>
      <w:t>zmen</w:t>
    </w:r>
    <w:r>
      <w:rPr>
        <w:sz w:val="18"/>
        <w:szCs w:val="18"/>
      </w:rPr>
      <w:t>e</w:t>
    </w:r>
    <w:r w:rsidRPr="00AC56FD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AC56FD">
      <w:rPr>
        <w:sz w:val="18"/>
        <w:szCs w:val="18"/>
      </w:rPr>
      <w:t>č.</w:t>
    </w:r>
    <w:r>
      <w:rPr>
        <w:sz w:val="18"/>
        <w:szCs w:val="18"/>
      </w:rPr>
      <w:t>:</w:t>
    </w:r>
    <w:r w:rsidR="00A314A2">
      <w:rPr>
        <w:sz w:val="18"/>
        <w:szCs w:val="18"/>
      </w:rPr>
      <w:t>2021</w:t>
    </w:r>
    <w:r>
      <w:rPr>
        <w:sz w:val="18"/>
        <w:szCs w:val="18"/>
      </w:rPr>
      <w:t>/</w:t>
    </w:r>
    <w:r w:rsidR="00A314A2">
      <w:rPr>
        <w:sz w:val="18"/>
        <w:szCs w:val="18"/>
      </w:rPr>
      <w:t>00215</w:t>
    </w:r>
    <w:r>
      <w:rPr>
        <w:sz w:val="18"/>
        <w:szCs w:val="18"/>
      </w:rPr>
      <w:t>-Z1A</w:t>
    </w:r>
  </w:p>
  <w:p w14:paraId="64141D76" w14:textId="77777777" w:rsidR="007225C4" w:rsidRDefault="007225C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83"/>
    <w:rsid w:val="00007E2D"/>
    <w:rsid w:val="000400FE"/>
    <w:rsid w:val="00040CCD"/>
    <w:rsid w:val="0004126F"/>
    <w:rsid w:val="000420DD"/>
    <w:rsid w:val="00050FC4"/>
    <w:rsid w:val="0005235A"/>
    <w:rsid w:val="00056988"/>
    <w:rsid w:val="000653B2"/>
    <w:rsid w:val="00073184"/>
    <w:rsid w:val="00083D67"/>
    <w:rsid w:val="00106837"/>
    <w:rsid w:val="00110CEC"/>
    <w:rsid w:val="001147B1"/>
    <w:rsid w:val="00114E9E"/>
    <w:rsid w:val="0012185B"/>
    <w:rsid w:val="00124310"/>
    <w:rsid w:val="00163BB3"/>
    <w:rsid w:val="00185881"/>
    <w:rsid w:val="001863CC"/>
    <w:rsid w:val="00195154"/>
    <w:rsid w:val="001957A4"/>
    <w:rsid w:val="00195EC0"/>
    <w:rsid w:val="00196688"/>
    <w:rsid w:val="001A4D56"/>
    <w:rsid w:val="001A6B51"/>
    <w:rsid w:val="001B1A65"/>
    <w:rsid w:val="001D45B4"/>
    <w:rsid w:val="00215A7E"/>
    <w:rsid w:val="002559B1"/>
    <w:rsid w:val="00271F69"/>
    <w:rsid w:val="00293CBD"/>
    <w:rsid w:val="002B16EB"/>
    <w:rsid w:val="002B3F43"/>
    <w:rsid w:val="002D01A5"/>
    <w:rsid w:val="002F1A96"/>
    <w:rsid w:val="003046B4"/>
    <w:rsid w:val="00307C79"/>
    <w:rsid w:val="00320E09"/>
    <w:rsid w:val="0033083E"/>
    <w:rsid w:val="00332BE4"/>
    <w:rsid w:val="00335833"/>
    <w:rsid w:val="00337A51"/>
    <w:rsid w:val="003570EC"/>
    <w:rsid w:val="00361635"/>
    <w:rsid w:val="00375EE2"/>
    <w:rsid w:val="00390415"/>
    <w:rsid w:val="003927AD"/>
    <w:rsid w:val="003A2E86"/>
    <w:rsid w:val="003B0FF0"/>
    <w:rsid w:val="003B73D7"/>
    <w:rsid w:val="003F3C10"/>
    <w:rsid w:val="00426169"/>
    <w:rsid w:val="00432EA8"/>
    <w:rsid w:val="0045264E"/>
    <w:rsid w:val="004A67C5"/>
    <w:rsid w:val="004D3166"/>
    <w:rsid w:val="004F2D87"/>
    <w:rsid w:val="00510E80"/>
    <w:rsid w:val="005136BD"/>
    <w:rsid w:val="00545CA3"/>
    <w:rsid w:val="00546F1B"/>
    <w:rsid w:val="00547A4B"/>
    <w:rsid w:val="00551192"/>
    <w:rsid w:val="005557F0"/>
    <w:rsid w:val="00557DED"/>
    <w:rsid w:val="00561004"/>
    <w:rsid w:val="00571AB4"/>
    <w:rsid w:val="00586B99"/>
    <w:rsid w:val="00593969"/>
    <w:rsid w:val="005A3C83"/>
    <w:rsid w:val="005C7543"/>
    <w:rsid w:val="005D3073"/>
    <w:rsid w:val="005E3F48"/>
    <w:rsid w:val="005F3D18"/>
    <w:rsid w:val="005F710C"/>
    <w:rsid w:val="006008A1"/>
    <w:rsid w:val="00603CD0"/>
    <w:rsid w:val="0060478B"/>
    <w:rsid w:val="00644D5F"/>
    <w:rsid w:val="006720BE"/>
    <w:rsid w:val="00692CB1"/>
    <w:rsid w:val="006C1744"/>
    <w:rsid w:val="006E648C"/>
    <w:rsid w:val="00713993"/>
    <w:rsid w:val="007225C4"/>
    <w:rsid w:val="00737632"/>
    <w:rsid w:val="00743A0B"/>
    <w:rsid w:val="00756C3C"/>
    <w:rsid w:val="00767FC7"/>
    <w:rsid w:val="00782D72"/>
    <w:rsid w:val="007B5F1D"/>
    <w:rsid w:val="007C702B"/>
    <w:rsid w:val="007C7311"/>
    <w:rsid w:val="007D4E50"/>
    <w:rsid w:val="007E2D74"/>
    <w:rsid w:val="007F6730"/>
    <w:rsid w:val="0081400F"/>
    <w:rsid w:val="008340FD"/>
    <w:rsid w:val="0087474D"/>
    <w:rsid w:val="00890D99"/>
    <w:rsid w:val="00896351"/>
    <w:rsid w:val="008D0E71"/>
    <w:rsid w:val="008D7199"/>
    <w:rsid w:val="009069AF"/>
    <w:rsid w:val="00912E64"/>
    <w:rsid w:val="00934C32"/>
    <w:rsid w:val="00973A85"/>
    <w:rsid w:val="00982CEE"/>
    <w:rsid w:val="009866E1"/>
    <w:rsid w:val="00997B2E"/>
    <w:rsid w:val="009A2769"/>
    <w:rsid w:val="009A4D88"/>
    <w:rsid w:val="009A7083"/>
    <w:rsid w:val="009B7988"/>
    <w:rsid w:val="009C1A11"/>
    <w:rsid w:val="009C619D"/>
    <w:rsid w:val="009D5508"/>
    <w:rsid w:val="00A269FE"/>
    <w:rsid w:val="00A314A2"/>
    <w:rsid w:val="00A41532"/>
    <w:rsid w:val="00A51167"/>
    <w:rsid w:val="00A81326"/>
    <w:rsid w:val="00A83678"/>
    <w:rsid w:val="00A86959"/>
    <w:rsid w:val="00A950D0"/>
    <w:rsid w:val="00AA71D1"/>
    <w:rsid w:val="00AC1800"/>
    <w:rsid w:val="00AC430F"/>
    <w:rsid w:val="00AC56FD"/>
    <w:rsid w:val="00AD2235"/>
    <w:rsid w:val="00AE3F77"/>
    <w:rsid w:val="00AE7A75"/>
    <w:rsid w:val="00B24253"/>
    <w:rsid w:val="00B45858"/>
    <w:rsid w:val="00B72572"/>
    <w:rsid w:val="00B729E3"/>
    <w:rsid w:val="00B739DF"/>
    <w:rsid w:val="00BA5829"/>
    <w:rsid w:val="00BC3C80"/>
    <w:rsid w:val="00BD73A1"/>
    <w:rsid w:val="00BE1126"/>
    <w:rsid w:val="00BE16C8"/>
    <w:rsid w:val="00BF4F27"/>
    <w:rsid w:val="00C10250"/>
    <w:rsid w:val="00C120C1"/>
    <w:rsid w:val="00C44A98"/>
    <w:rsid w:val="00C5600B"/>
    <w:rsid w:val="00C74E39"/>
    <w:rsid w:val="00C8666E"/>
    <w:rsid w:val="00CB38F4"/>
    <w:rsid w:val="00CD7B4E"/>
    <w:rsid w:val="00CE3ABD"/>
    <w:rsid w:val="00CE4BD5"/>
    <w:rsid w:val="00CF26BC"/>
    <w:rsid w:val="00CF4502"/>
    <w:rsid w:val="00D0168A"/>
    <w:rsid w:val="00D05441"/>
    <w:rsid w:val="00D0583D"/>
    <w:rsid w:val="00D21A8D"/>
    <w:rsid w:val="00D24398"/>
    <w:rsid w:val="00D35334"/>
    <w:rsid w:val="00D364AD"/>
    <w:rsid w:val="00D47D00"/>
    <w:rsid w:val="00D572F5"/>
    <w:rsid w:val="00D630D9"/>
    <w:rsid w:val="00D6534C"/>
    <w:rsid w:val="00D653A9"/>
    <w:rsid w:val="00D70280"/>
    <w:rsid w:val="00D835CB"/>
    <w:rsid w:val="00D9498F"/>
    <w:rsid w:val="00D97093"/>
    <w:rsid w:val="00DC7359"/>
    <w:rsid w:val="00DD1FC4"/>
    <w:rsid w:val="00DE03F8"/>
    <w:rsid w:val="00DF29FC"/>
    <w:rsid w:val="00E24E7E"/>
    <w:rsid w:val="00E36FB6"/>
    <w:rsid w:val="00E46382"/>
    <w:rsid w:val="00E501F0"/>
    <w:rsid w:val="00E55D39"/>
    <w:rsid w:val="00E5637E"/>
    <w:rsid w:val="00E84AF5"/>
    <w:rsid w:val="00E86B6F"/>
    <w:rsid w:val="00E947EA"/>
    <w:rsid w:val="00EF778B"/>
    <w:rsid w:val="00F04730"/>
    <w:rsid w:val="00F211BB"/>
    <w:rsid w:val="00F62B31"/>
    <w:rsid w:val="00F703AB"/>
    <w:rsid w:val="00F8504C"/>
    <w:rsid w:val="00FB1327"/>
    <w:rsid w:val="00FE28AB"/>
    <w:rsid w:val="00FF208D"/>
    <w:rsid w:val="00FF211A"/>
    <w:rsid w:val="00FF3E64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D2327E6"/>
  <w15:docId w15:val="{9D7AFFB1-92B4-4A92-964B-EA047A4E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29FC"/>
    <w:rPr>
      <w:sz w:val="24"/>
      <w:szCs w:val="24"/>
    </w:rPr>
  </w:style>
  <w:style w:type="paragraph" w:styleId="Nadpis2">
    <w:name w:val="heading 2"/>
    <w:basedOn w:val="Normlny"/>
    <w:next w:val="Normlny"/>
    <w:qFormat/>
    <w:rsid w:val="00DF29FC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DF29FC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F29FC"/>
    <w:pPr>
      <w:ind w:right="-1"/>
      <w:jc w:val="center"/>
    </w:pPr>
    <w:rPr>
      <w:b/>
    </w:rPr>
  </w:style>
  <w:style w:type="paragraph" w:styleId="Pta">
    <w:name w:val="footer"/>
    <w:basedOn w:val="Normlny"/>
    <w:link w:val="PtaChar"/>
    <w:uiPriority w:val="99"/>
    <w:rsid w:val="00DF29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29FC"/>
  </w:style>
  <w:style w:type="paragraph" w:styleId="Hlavika">
    <w:name w:val="header"/>
    <w:basedOn w:val="Normlny"/>
    <w:link w:val="HlavikaChar"/>
    <w:uiPriority w:val="99"/>
    <w:rsid w:val="00DF29FC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DF29FC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DF29FC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DF29FC"/>
    <w:pPr>
      <w:ind w:right="-1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rsid w:val="00CD7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7B4E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073184"/>
    <w:rPr>
      <w:sz w:val="24"/>
      <w:szCs w:val="24"/>
      <w:lang w:val="en-US"/>
    </w:rPr>
  </w:style>
  <w:style w:type="paragraph" w:customStyle="1" w:styleId="knZulassung02">
    <w:name w:val="knZulassung02"/>
    <w:basedOn w:val="Normlny"/>
    <w:rsid w:val="00586B99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586B99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586B99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styleId="Odkaznakomentr">
    <w:name w:val="annotation reference"/>
    <w:basedOn w:val="Predvolenpsmoodseku"/>
    <w:rsid w:val="002B16E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16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B16EB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2B16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B16EB"/>
    <w:rPr>
      <w:b/>
      <w:bCs/>
      <w:lang w:val="en-US"/>
    </w:rPr>
  </w:style>
  <w:style w:type="character" w:styleId="Hypertextovprepojenie">
    <w:name w:val="Hyperlink"/>
    <w:unhideWhenUsed/>
    <w:rsid w:val="009069AF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C44A98"/>
    <w:rPr>
      <w:sz w:val="24"/>
      <w:szCs w:val="24"/>
    </w:rPr>
  </w:style>
  <w:style w:type="paragraph" w:customStyle="1" w:styleId="Default">
    <w:name w:val="Default"/>
    <w:rsid w:val="00CF26B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9570</Characters>
  <Application>Microsoft Office Word</Application>
  <DocSecurity>0</DocSecurity>
  <Lines>79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mt-g</Company>
  <LinksUpToDate>false</LinksUpToDate>
  <CharactersWithSpaces>10970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mt-g</dc:creator>
  <cp:lastModifiedBy>Luláková, Milota (Uhnakova)</cp:lastModifiedBy>
  <cp:revision>2</cp:revision>
  <cp:lastPrinted>2017-11-20T13:22:00Z</cp:lastPrinted>
  <dcterms:created xsi:type="dcterms:W3CDTF">2021-02-17T13:59:00Z</dcterms:created>
  <dcterms:modified xsi:type="dcterms:W3CDTF">2021-02-17T13:59:00Z</dcterms:modified>
</cp:coreProperties>
</file>