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0F2D" w14:textId="77777777" w:rsidR="00780926" w:rsidRPr="00B13F68" w:rsidRDefault="00780926" w:rsidP="00B13F68">
      <w:pPr>
        <w:rPr>
          <w:b/>
          <w:szCs w:val="22"/>
        </w:rPr>
      </w:pPr>
    </w:p>
    <w:p w14:paraId="173100ED" w14:textId="77777777" w:rsidR="00780926" w:rsidRPr="00B13F68" w:rsidRDefault="00623601">
      <w:pPr>
        <w:jc w:val="center"/>
        <w:rPr>
          <w:b/>
          <w:szCs w:val="22"/>
        </w:rPr>
      </w:pPr>
      <w:r w:rsidRPr="00B13F68">
        <w:rPr>
          <w:b/>
        </w:rPr>
        <w:t>SÚHRN CHARAKTERISTICKÝCH VLASTNOSTÍ LIEKU</w:t>
      </w:r>
    </w:p>
    <w:p w14:paraId="4DFD33D4" w14:textId="77777777" w:rsidR="00B06E24" w:rsidRDefault="00B06E24" w:rsidP="00623601">
      <w:pPr>
        <w:widowControl w:val="0"/>
        <w:ind w:left="0" w:firstLine="0"/>
        <w:rPr>
          <w:szCs w:val="22"/>
        </w:rPr>
      </w:pPr>
    </w:p>
    <w:p w14:paraId="05BA1A8B" w14:textId="77777777" w:rsidR="002A7C76" w:rsidRPr="00B13F68" w:rsidRDefault="002A7C76" w:rsidP="00623601">
      <w:pPr>
        <w:widowControl w:val="0"/>
        <w:ind w:left="0" w:firstLine="0"/>
        <w:rPr>
          <w:szCs w:val="22"/>
        </w:rPr>
      </w:pPr>
    </w:p>
    <w:p w14:paraId="4F9907C2" w14:textId="77777777" w:rsidR="00780926" w:rsidRPr="003021DE" w:rsidRDefault="00623601" w:rsidP="00E41B3F">
      <w:pPr>
        <w:rPr>
          <w:szCs w:val="22"/>
        </w:rPr>
      </w:pPr>
      <w:r w:rsidRPr="003021DE">
        <w:rPr>
          <w:b/>
          <w:szCs w:val="22"/>
        </w:rPr>
        <w:t>1.</w:t>
      </w:r>
      <w:r w:rsidRPr="003021DE">
        <w:rPr>
          <w:b/>
          <w:szCs w:val="22"/>
        </w:rPr>
        <w:tab/>
        <w:t>NÁZOV LIEKU</w:t>
      </w:r>
    </w:p>
    <w:p w14:paraId="3CCB7F55" w14:textId="77777777" w:rsidR="00780926" w:rsidRPr="003021DE" w:rsidRDefault="00780926" w:rsidP="00E41B3F">
      <w:pPr>
        <w:rPr>
          <w:szCs w:val="22"/>
        </w:rPr>
      </w:pPr>
    </w:p>
    <w:p w14:paraId="65E0C242" w14:textId="77777777" w:rsidR="00780926" w:rsidRPr="003021DE" w:rsidRDefault="00623601" w:rsidP="00E41B3F">
      <w:pPr>
        <w:rPr>
          <w:szCs w:val="22"/>
        </w:rPr>
      </w:pPr>
      <w:r w:rsidRPr="009C11D6">
        <w:rPr>
          <w:noProof/>
          <w:szCs w:val="20"/>
          <w:lang w:eastAsia="en-US"/>
        </w:rPr>
        <w:t>Dexamethasone Noridem</w:t>
      </w:r>
      <w:r>
        <w:rPr>
          <w:noProof/>
        </w:rPr>
        <w:t xml:space="preserve"> </w:t>
      </w:r>
      <w:r w:rsidR="004B4985">
        <w:rPr>
          <w:noProof/>
        </w:rPr>
        <w:t>4</w:t>
      </w:r>
      <w:r>
        <w:rPr>
          <w:noProof/>
        </w:rPr>
        <w:t xml:space="preserve"> mg/ml injekčný roztok</w:t>
      </w:r>
    </w:p>
    <w:p w14:paraId="7A894AC5" w14:textId="77777777" w:rsidR="00780926" w:rsidRPr="003021DE" w:rsidRDefault="00780926" w:rsidP="00E41B3F">
      <w:pPr>
        <w:rPr>
          <w:szCs w:val="22"/>
        </w:rPr>
      </w:pPr>
    </w:p>
    <w:p w14:paraId="00065DE2" w14:textId="77777777" w:rsidR="00780926" w:rsidRPr="003021DE" w:rsidRDefault="00623601" w:rsidP="00E41B3F">
      <w:pPr>
        <w:rPr>
          <w:szCs w:val="22"/>
        </w:rPr>
      </w:pPr>
      <w:r w:rsidRPr="003021DE">
        <w:rPr>
          <w:b/>
          <w:szCs w:val="22"/>
        </w:rPr>
        <w:t>2.</w:t>
      </w:r>
      <w:r w:rsidRPr="003021DE">
        <w:rPr>
          <w:b/>
          <w:szCs w:val="22"/>
        </w:rPr>
        <w:tab/>
        <w:t>KVALITATÍVNE A</w:t>
      </w:r>
      <w:r w:rsidR="00A236CF">
        <w:rPr>
          <w:b/>
          <w:szCs w:val="22"/>
        </w:rPr>
        <w:t> </w:t>
      </w:r>
      <w:r w:rsidRPr="003021DE">
        <w:rPr>
          <w:b/>
          <w:szCs w:val="22"/>
        </w:rPr>
        <w:t>KVANTITATÍVNE ZLOŽENIE</w:t>
      </w:r>
    </w:p>
    <w:p w14:paraId="0F4C5363" w14:textId="77777777" w:rsidR="00780926" w:rsidRPr="00A75ECC" w:rsidRDefault="00780926" w:rsidP="00E41B3F">
      <w:pPr>
        <w:ind w:left="0" w:firstLine="0"/>
      </w:pPr>
    </w:p>
    <w:p w14:paraId="7E27BDDA" w14:textId="77777777" w:rsidR="00623601" w:rsidRDefault="00623601" w:rsidP="00623601">
      <w:pPr>
        <w:pStyle w:val="EMEAEnBodyText"/>
        <w:autoSpaceDE w:val="0"/>
        <w:autoSpaceDN w:val="0"/>
        <w:adjustRightInd w:val="0"/>
        <w:spacing w:before="0" w:after="0"/>
        <w:jc w:val="left"/>
        <w:rPr>
          <w:noProof/>
          <w:szCs w:val="22"/>
        </w:rPr>
      </w:pPr>
      <w:r w:rsidRPr="005D161B">
        <w:rPr>
          <w:noProof/>
          <w:szCs w:val="22"/>
        </w:rPr>
        <w:t>1</w:t>
      </w:r>
      <w:r>
        <w:rPr>
          <w:noProof/>
          <w:szCs w:val="22"/>
        </w:rPr>
        <w:t> </w:t>
      </w:r>
      <w:r w:rsidRPr="005D161B">
        <w:rPr>
          <w:noProof/>
          <w:szCs w:val="22"/>
        </w:rPr>
        <w:t>ml injekčného roztoku obsahuje 3,32</w:t>
      </w:r>
      <w:r>
        <w:rPr>
          <w:noProof/>
          <w:szCs w:val="22"/>
        </w:rPr>
        <w:t> </w:t>
      </w:r>
      <w:r w:rsidRPr="005D161B">
        <w:rPr>
          <w:noProof/>
          <w:szCs w:val="22"/>
        </w:rPr>
        <w:t>mg dexametazónu (</w:t>
      </w:r>
      <w:r>
        <w:rPr>
          <w:noProof/>
          <w:szCs w:val="22"/>
        </w:rPr>
        <w:t>vo forme</w:t>
      </w:r>
      <w:r w:rsidRPr="005D161B">
        <w:rPr>
          <w:noProof/>
          <w:szCs w:val="22"/>
        </w:rPr>
        <w:t xml:space="preserve"> </w:t>
      </w:r>
      <w:r>
        <w:rPr>
          <w:noProof/>
          <w:szCs w:val="22"/>
        </w:rPr>
        <w:t>dexametazón-fosfátu disodného</w:t>
      </w:r>
      <w:r w:rsidRPr="005D161B">
        <w:rPr>
          <w:noProof/>
          <w:szCs w:val="22"/>
        </w:rPr>
        <w:t>), čo zodpovedá 4</w:t>
      </w:r>
      <w:r>
        <w:rPr>
          <w:noProof/>
          <w:szCs w:val="22"/>
        </w:rPr>
        <w:t> </w:t>
      </w:r>
      <w:r w:rsidRPr="005D161B">
        <w:rPr>
          <w:noProof/>
          <w:szCs w:val="22"/>
        </w:rPr>
        <w:t>mg dexamet</w:t>
      </w:r>
      <w:r>
        <w:rPr>
          <w:noProof/>
          <w:szCs w:val="22"/>
        </w:rPr>
        <w:t>azón-</w:t>
      </w:r>
      <w:r w:rsidRPr="005D161B">
        <w:rPr>
          <w:noProof/>
          <w:szCs w:val="22"/>
        </w:rPr>
        <w:t>fosfátu alebo 4,37</w:t>
      </w:r>
      <w:r>
        <w:rPr>
          <w:noProof/>
          <w:szCs w:val="22"/>
        </w:rPr>
        <w:t> </w:t>
      </w:r>
      <w:r w:rsidRPr="005D161B">
        <w:rPr>
          <w:noProof/>
          <w:szCs w:val="22"/>
        </w:rPr>
        <w:t xml:space="preserve">mg </w:t>
      </w:r>
      <w:r>
        <w:rPr>
          <w:noProof/>
          <w:szCs w:val="22"/>
        </w:rPr>
        <w:t>dexametazón-fosfátu disodného</w:t>
      </w:r>
      <w:r w:rsidRPr="005D161B">
        <w:rPr>
          <w:noProof/>
          <w:szCs w:val="22"/>
        </w:rPr>
        <w:t>.</w:t>
      </w:r>
    </w:p>
    <w:p w14:paraId="55AB473A" w14:textId="77777777" w:rsidR="00623601" w:rsidRDefault="00623601" w:rsidP="00623601">
      <w:pPr>
        <w:pStyle w:val="EMEAEnBodyText"/>
        <w:autoSpaceDE w:val="0"/>
        <w:autoSpaceDN w:val="0"/>
        <w:adjustRightInd w:val="0"/>
        <w:spacing w:before="0" w:after="0"/>
        <w:jc w:val="left"/>
        <w:rPr>
          <w:noProof/>
          <w:szCs w:val="22"/>
        </w:rPr>
      </w:pPr>
    </w:p>
    <w:p w14:paraId="26D86D97" w14:textId="77777777" w:rsidR="00623601" w:rsidRDefault="00623601" w:rsidP="00623601">
      <w:pPr>
        <w:pStyle w:val="EMEAEnBodyText"/>
        <w:autoSpaceDE w:val="0"/>
        <w:autoSpaceDN w:val="0"/>
        <w:adjustRightInd w:val="0"/>
        <w:spacing w:before="0" w:after="0"/>
        <w:jc w:val="left"/>
        <w:rPr>
          <w:noProof/>
          <w:szCs w:val="22"/>
        </w:rPr>
      </w:pPr>
      <w:r>
        <w:rPr>
          <w:noProof/>
          <w:szCs w:val="22"/>
        </w:rPr>
        <w:t>2 </w:t>
      </w:r>
      <w:r w:rsidRPr="005D161B">
        <w:rPr>
          <w:noProof/>
          <w:szCs w:val="22"/>
        </w:rPr>
        <w:t>ml injekčného roztoku obsahuj</w:t>
      </w:r>
      <w:r w:rsidR="005D0922">
        <w:rPr>
          <w:noProof/>
          <w:szCs w:val="22"/>
        </w:rPr>
        <w:t>ú</w:t>
      </w:r>
      <w:r w:rsidRPr="005D161B">
        <w:rPr>
          <w:noProof/>
          <w:szCs w:val="22"/>
        </w:rPr>
        <w:t xml:space="preserve"> </w:t>
      </w:r>
      <w:r>
        <w:rPr>
          <w:noProof/>
          <w:szCs w:val="22"/>
        </w:rPr>
        <w:t>6</w:t>
      </w:r>
      <w:r w:rsidRPr="005D161B">
        <w:rPr>
          <w:noProof/>
          <w:szCs w:val="22"/>
        </w:rPr>
        <w:t>,</w:t>
      </w:r>
      <w:r>
        <w:rPr>
          <w:noProof/>
          <w:szCs w:val="22"/>
        </w:rPr>
        <w:t>64 </w:t>
      </w:r>
      <w:r w:rsidRPr="005D161B">
        <w:rPr>
          <w:noProof/>
          <w:szCs w:val="22"/>
        </w:rPr>
        <w:t>mg dexametazónu (</w:t>
      </w:r>
      <w:r>
        <w:rPr>
          <w:noProof/>
          <w:szCs w:val="22"/>
        </w:rPr>
        <w:t>vo forme</w:t>
      </w:r>
      <w:r w:rsidRPr="005D161B">
        <w:rPr>
          <w:noProof/>
          <w:szCs w:val="22"/>
        </w:rPr>
        <w:t xml:space="preserve"> </w:t>
      </w:r>
      <w:r>
        <w:rPr>
          <w:noProof/>
          <w:szCs w:val="22"/>
        </w:rPr>
        <w:t>dexametazón-fosfátu disodného</w:t>
      </w:r>
      <w:r w:rsidRPr="005D161B">
        <w:rPr>
          <w:noProof/>
          <w:szCs w:val="22"/>
        </w:rPr>
        <w:t xml:space="preserve">), čo zodpovedá </w:t>
      </w:r>
      <w:r>
        <w:rPr>
          <w:noProof/>
          <w:szCs w:val="22"/>
        </w:rPr>
        <w:t>8 </w:t>
      </w:r>
      <w:r w:rsidRPr="005D161B">
        <w:rPr>
          <w:noProof/>
          <w:szCs w:val="22"/>
        </w:rPr>
        <w:t>mg dexamet</w:t>
      </w:r>
      <w:r>
        <w:rPr>
          <w:noProof/>
          <w:szCs w:val="22"/>
        </w:rPr>
        <w:t>azón-</w:t>
      </w:r>
      <w:r w:rsidRPr="005D161B">
        <w:rPr>
          <w:noProof/>
          <w:szCs w:val="22"/>
        </w:rPr>
        <w:t xml:space="preserve">fosfátu alebo </w:t>
      </w:r>
      <w:r>
        <w:rPr>
          <w:noProof/>
          <w:szCs w:val="22"/>
        </w:rPr>
        <w:t>8,</w:t>
      </w:r>
      <w:r w:rsidRPr="005D161B">
        <w:rPr>
          <w:noProof/>
          <w:szCs w:val="22"/>
        </w:rPr>
        <w:t>7</w:t>
      </w:r>
      <w:r>
        <w:rPr>
          <w:noProof/>
          <w:szCs w:val="22"/>
        </w:rPr>
        <w:t>4 </w:t>
      </w:r>
      <w:r w:rsidRPr="005D161B">
        <w:rPr>
          <w:noProof/>
          <w:szCs w:val="22"/>
        </w:rPr>
        <w:t xml:space="preserve">mg </w:t>
      </w:r>
      <w:r>
        <w:rPr>
          <w:noProof/>
          <w:szCs w:val="22"/>
        </w:rPr>
        <w:t>dexametazón-fosfátu disodného</w:t>
      </w:r>
      <w:r w:rsidRPr="005D161B">
        <w:rPr>
          <w:noProof/>
          <w:szCs w:val="22"/>
        </w:rPr>
        <w:t>.</w:t>
      </w:r>
    </w:p>
    <w:p w14:paraId="57F0F473" w14:textId="77777777" w:rsidR="00623601" w:rsidRDefault="00623601" w:rsidP="00623601">
      <w:pPr>
        <w:pStyle w:val="EMEAEnBodyText"/>
        <w:autoSpaceDE w:val="0"/>
        <w:autoSpaceDN w:val="0"/>
        <w:adjustRightInd w:val="0"/>
        <w:spacing w:before="0" w:after="0"/>
        <w:jc w:val="left"/>
        <w:rPr>
          <w:noProof/>
          <w:szCs w:val="22"/>
        </w:rPr>
      </w:pPr>
    </w:p>
    <w:p w14:paraId="51DEBB44" w14:textId="77777777" w:rsidR="00623601" w:rsidRDefault="00623601" w:rsidP="00623601">
      <w:pPr>
        <w:pStyle w:val="EMEAEnBodyText"/>
        <w:autoSpaceDE w:val="0"/>
        <w:autoSpaceDN w:val="0"/>
        <w:adjustRightInd w:val="0"/>
        <w:spacing w:before="0" w:after="0"/>
        <w:jc w:val="left"/>
        <w:rPr>
          <w:u w:val="single"/>
          <w:lang w:val="sk-SK"/>
        </w:rPr>
      </w:pPr>
      <w:r>
        <w:rPr>
          <w:noProof/>
          <w:szCs w:val="22"/>
        </w:rPr>
        <w:t>5 </w:t>
      </w:r>
      <w:r w:rsidRPr="005D161B">
        <w:rPr>
          <w:noProof/>
          <w:szCs w:val="22"/>
        </w:rPr>
        <w:t xml:space="preserve">ml injekčného roztoku obsahuje </w:t>
      </w:r>
      <w:r>
        <w:rPr>
          <w:noProof/>
          <w:szCs w:val="22"/>
        </w:rPr>
        <w:t>16</w:t>
      </w:r>
      <w:r w:rsidRPr="005D161B">
        <w:rPr>
          <w:noProof/>
          <w:szCs w:val="22"/>
        </w:rPr>
        <w:t>,</w:t>
      </w:r>
      <w:r>
        <w:rPr>
          <w:noProof/>
          <w:szCs w:val="22"/>
        </w:rPr>
        <w:t>6 </w:t>
      </w:r>
      <w:r w:rsidRPr="005D161B">
        <w:rPr>
          <w:noProof/>
          <w:szCs w:val="22"/>
        </w:rPr>
        <w:t>mg dexametazónu (</w:t>
      </w:r>
      <w:r>
        <w:rPr>
          <w:noProof/>
          <w:szCs w:val="22"/>
        </w:rPr>
        <w:t>vo forme</w:t>
      </w:r>
      <w:r w:rsidRPr="005D161B">
        <w:rPr>
          <w:noProof/>
          <w:szCs w:val="22"/>
        </w:rPr>
        <w:t xml:space="preserve"> </w:t>
      </w:r>
      <w:r>
        <w:rPr>
          <w:noProof/>
          <w:szCs w:val="22"/>
        </w:rPr>
        <w:t>dexametazón-fosfátu disodného</w:t>
      </w:r>
      <w:r w:rsidRPr="005D161B">
        <w:rPr>
          <w:noProof/>
          <w:szCs w:val="22"/>
        </w:rPr>
        <w:t xml:space="preserve">), čo zodpovedá </w:t>
      </w:r>
      <w:r>
        <w:rPr>
          <w:noProof/>
          <w:szCs w:val="22"/>
        </w:rPr>
        <w:t>20 </w:t>
      </w:r>
      <w:r w:rsidRPr="005D161B">
        <w:rPr>
          <w:noProof/>
          <w:szCs w:val="22"/>
        </w:rPr>
        <w:t>mg dexamet</w:t>
      </w:r>
      <w:r>
        <w:rPr>
          <w:noProof/>
          <w:szCs w:val="22"/>
        </w:rPr>
        <w:t>azón-</w:t>
      </w:r>
      <w:r w:rsidRPr="005D161B">
        <w:rPr>
          <w:noProof/>
          <w:szCs w:val="22"/>
        </w:rPr>
        <w:t xml:space="preserve">fosfátu alebo </w:t>
      </w:r>
      <w:r>
        <w:rPr>
          <w:noProof/>
          <w:szCs w:val="22"/>
        </w:rPr>
        <w:t>21</w:t>
      </w:r>
      <w:r w:rsidRPr="005D161B">
        <w:rPr>
          <w:noProof/>
          <w:szCs w:val="22"/>
        </w:rPr>
        <w:t>,</w:t>
      </w:r>
      <w:r>
        <w:rPr>
          <w:noProof/>
          <w:szCs w:val="22"/>
        </w:rPr>
        <w:t>85 </w:t>
      </w:r>
      <w:r w:rsidRPr="005D161B">
        <w:rPr>
          <w:noProof/>
          <w:szCs w:val="22"/>
        </w:rPr>
        <w:t xml:space="preserve">mg </w:t>
      </w:r>
      <w:r>
        <w:rPr>
          <w:noProof/>
          <w:szCs w:val="22"/>
        </w:rPr>
        <w:t>dexametazón-fosfátu disodného</w:t>
      </w:r>
      <w:r w:rsidRPr="005D161B">
        <w:rPr>
          <w:noProof/>
          <w:szCs w:val="22"/>
        </w:rPr>
        <w:t>.</w:t>
      </w:r>
    </w:p>
    <w:p w14:paraId="68C2F139" w14:textId="77777777" w:rsidR="00623601" w:rsidRDefault="00623601" w:rsidP="00623601">
      <w:pPr>
        <w:pStyle w:val="EMEAEnBodyText"/>
        <w:autoSpaceDE w:val="0"/>
        <w:autoSpaceDN w:val="0"/>
        <w:adjustRightInd w:val="0"/>
        <w:spacing w:before="0" w:after="0"/>
        <w:jc w:val="left"/>
        <w:rPr>
          <w:u w:val="single"/>
          <w:lang w:val="sk-SK"/>
        </w:rPr>
      </w:pPr>
    </w:p>
    <w:p w14:paraId="19AD0987" w14:textId="77777777" w:rsidR="00780926" w:rsidRPr="00B13F68" w:rsidRDefault="00623601" w:rsidP="00623601">
      <w:pPr>
        <w:pStyle w:val="EMEAEnBodyText"/>
        <w:autoSpaceDE w:val="0"/>
        <w:autoSpaceDN w:val="0"/>
        <w:adjustRightInd w:val="0"/>
        <w:spacing w:before="0" w:after="0"/>
        <w:jc w:val="left"/>
        <w:rPr>
          <w:u w:val="single"/>
          <w:lang w:val="sk-SK"/>
        </w:rPr>
      </w:pPr>
      <w:r w:rsidRPr="00B13F68">
        <w:rPr>
          <w:u w:val="single"/>
          <w:lang w:val="sk-SK"/>
        </w:rPr>
        <w:t>Pomocné látky</w:t>
      </w:r>
      <w:r>
        <w:rPr>
          <w:u w:val="single"/>
          <w:lang w:val="sk-SK"/>
        </w:rPr>
        <w:t xml:space="preserve"> </w:t>
      </w:r>
      <w:r w:rsidR="00CB25B2" w:rsidRPr="003021DE">
        <w:rPr>
          <w:noProof/>
          <w:szCs w:val="24"/>
          <w:u w:val="single"/>
          <w:lang w:val="sk-SK"/>
        </w:rPr>
        <w:t>so známym účinkom</w:t>
      </w:r>
    </w:p>
    <w:p w14:paraId="1E533026" w14:textId="77777777" w:rsidR="00623601" w:rsidRDefault="00623601" w:rsidP="00623601">
      <w:pPr>
        <w:tabs>
          <w:tab w:val="left" w:pos="567"/>
        </w:tabs>
        <w:ind w:left="0" w:firstLine="0"/>
      </w:pPr>
      <w:r>
        <w:t>Sodík: Každá ampulka 1 ml injekčného roztoku obsahuje 0,575 mg sodíka. Každá ampulka 2 ml injekčného roztoku obsahuje 1,150 mg sodíka. Každá ampulka 5 ml injekčného roztoku obsahuje 2,875 mg sodíka.</w:t>
      </w:r>
    </w:p>
    <w:p w14:paraId="786AECCE" w14:textId="77777777" w:rsidR="00623601" w:rsidRDefault="00623601" w:rsidP="00623601">
      <w:pPr>
        <w:tabs>
          <w:tab w:val="left" w:pos="567"/>
        </w:tabs>
        <w:ind w:left="0" w:firstLine="0"/>
      </w:pPr>
    </w:p>
    <w:p w14:paraId="390B9438" w14:textId="77777777" w:rsidR="00623601" w:rsidRDefault="00623601" w:rsidP="00623601">
      <w:pPr>
        <w:tabs>
          <w:tab w:val="left" w:pos="567"/>
        </w:tabs>
        <w:ind w:left="0" w:firstLine="0"/>
      </w:pPr>
      <w:r>
        <w:t>Propylénglykol: Tento liek obsahuje 20 mg propylénglykolu (E 1520) v 1 ml injekčného roztoku.</w:t>
      </w:r>
    </w:p>
    <w:p w14:paraId="0C420C14" w14:textId="77777777" w:rsidR="00623601" w:rsidRDefault="00623601" w:rsidP="00623601">
      <w:pPr>
        <w:tabs>
          <w:tab w:val="left" w:pos="567"/>
        </w:tabs>
        <w:ind w:left="0" w:firstLine="0"/>
      </w:pPr>
    </w:p>
    <w:p w14:paraId="5CD605AC" w14:textId="77777777" w:rsidR="00780926" w:rsidRPr="00623601" w:rsidRDefault="0049191E" w:rsidP="00623601">
      <w:pPr>
        <w:tabs>
          <w:tab w:val="left" w:pos="567"/>
        </w:tabs>
        <w:ind w:left="0" w:firstLine="0"/>
      </w:pPr>
      <w:r w:rsidRPr="003021DE">
        <w:rPr>
          <w:szCs w:val="20"/>
          <w:lang w:eastAsia="en-US"/>
        </w:rPr>
        <w:t>Úplný zoznam pomocných látok pozri časť 6.1.</w:t>
      </w:r>
    </w:p>
    <w:p w14:paraId="19A49059" w14:textId="77777777" w:rsidR="00780926" w:rsidRPr="003021DE" w:rsidRDefault="00780926" w:rsidP="00E41B3F">
      <w:pPr>
        <w:rPr>
          <w:szCs w:val="22"/>
        </w:rPr>
      </w:pPr>
    </w:p>
    <w:p w14:paraId="59425948" w14:textId="77777777" w:rsidR="00780926" w:rsidRPr="003021DE" w:rsidRDefault="00623601" w:rsidP="00E41B3F">
      <w:pPr>
        <w:rPr>
          <w:caps/>
          <w:szCs w:val="22"/>
        </w:rPr>
      </w:pPr>
      <w:r w:rsidRPr="003021DE">
        <w:rPr>
          <w:b/>
          <w:szCs w:val="22"/>
        </w:rPr>
        <w:t>3.</w:t>
      </w:r>
      <w:r w:rsidRPr="003021DE">
        <w:rPr>
          <w:b/>
          <w:szCs w:val="22"/>
        </w:rPr>
        <w:tab/>
        <w:t>LIEKOVÁ FORMA</w:t>
      </w:r>
    </w:p>
    <w:p w14:paraId="61680CC6" w14:textId="77777777" w:rsidR="00780926" w:rsidRPr="003021DE" w:rsidRDefault="00780926" w:rsidP="00E41B3F"/>
    <w:p w14:paraId="6FBEFE2A" w14:textId="77777777" w:rsidR="00780926" w:rsidRDefault="00623601" w:rsidP="00E41B3F">
      <w:r>
        <w:t>Injekčný roztok</w:t>
      </w:r>
      <w:r w:rsidR="002A7C76">
        <w:t>.</w:t>
      </w:r>
    </w:p>
    <w:p w14:paraId="0D29833A" w14:textId="77777777" w:rsidR="00623601" w:rsidRDefault="00623601" w:rsidP="00E41B3F">
      <w:r>
        <w:t>Číry a bezfarebný roztok</w:t>
      </w:r>
      <w:r w:rsidR="002A7C76">
        <w:t>.</w:t>
      </w:r>
    </w:p>
    <w:p w14:paraId="0C9C0630" w14:textId="77777777" w:rsidR="00623601" w:rsidRDefault="00623601" w:rsidP="00E41B3F">
      <w:r>
        <w:t>pH: 7,00 – 8,50</w:t>
      </w:r>
    </w:p>
    <w:p w14:paraId="58A6292A" w14:textId="77777777" w:rsidR="00780926" w:rsidRPr="003021DE" w:rsidRDefault="00623601" w:rsidP="00623601">
      <w:pPr>
        <w:rPr>
          <w:noProof/>
        </w:rPr>
      </w:pPr>
      <w:r>
        <w:t>Osmolalita: približne 300 mOsm/kg</w:t>
      </w:r>
    </w:p>
    <w:p w14:paraId="79862644" w14:textId="77777777" w:rsidR="00780926" w:rsidRPr="003021DE" w:rsidRDefault="00780926" w:rsidP="00E41B3F">
      <w:pPr>
        <w:rPr>
          <w:szCs w:val="22"/>
        </w:rPr>
      </w:pPr>
    </w:p>
    <w:p w14:paraId="2A770221" w14:textId="77777777" w:rsidR="00780926" w:rsidRPr="003021DE" w:rsidRDefault="00623601" w:rsidP="00E41B3F">
      <w:pPr>
        <w:rPr>
          <w:caps/>
          <w:szCs w:val="22"/>
        </w:rPr>
      </w:pPr>
      <w:r w:rsidRPr="003021DE">
        <w:rPr>
          <w:b/>
          <w:caps/>
          <w:szCs w:val="22"/>
        </w:rPr>
        <w:t>4.</w:t>
      </w:r>
      <w:r w:rsidRPr="003021DE">
        <w:rPr>
          <w:b/>
          <w:caps/>
          <w:szCs w:val="22"/>
        </w:rPr>
        <w:tab/>
        <w:t>KLINICKÉ ÚDAJE</w:t>
      </w:r>
    </w:p>
    <w:p w14:paraId="3299768B" w14:textId="77777777" w:rsidR="00780926" w:rsidRPr="003021DE" w:rsidRDefault="00780926" w:rsidP="00E41B3F">
      <w:pPr>
        <w:rPr>
          <w:szCs w:val="22"/>
        </w:rPr>
      </w:pPr>
    </w:p>
    <w:p w14:paraId="44658212" w14:textId="77777777" w:rsidR="00780926" w:rsidRPr="003021DE" w:rsidRDefault="00623601" w:rsidP="00E41B3F">
      <w:pPr>
        <w:rPr>
          <w:szCs w:val="22"/>
        </w:rPr>
      </w:pPr>
      <w:r w:rsidRPr="003021DE">
        <w:rPr>
          <w:b/>
          <w:szCs w:val="22"/>
        </w:rPr>
        <w:t>4.1</w:t>
      </w:r>
      <w:r w:rsidRPr="003021DE">
        <w:rPr>
          <w:b/>
          <w:szCs w:val="22"/>
        </w:rPr>
        <w:tab/>
        <w:t>Terapeutické indikácie</w:t>
      </w:r>
    </w:p>
    <w:p w14:paraId="053BC2A3" w14:textId="77777777" w:rsidR="00780926" w:rsidRPr="003021DE" w:rsidRDefault="00780926" w:rsidP="00E41B3F">
      <w:pPr>
        <w:rPr>
          <w:szCs w:val="22"/>
        </w:rPr>
      </w:pPr>
    </w:p>
    <w:p w14:paraId="60A68F60" w14:textId="77777777" w:rsidR="00623601" w:rsidRDefault="00623601" w:rsidP="00E41B3F">
      <w:pPr>
        <w:rPr>
          <w:szCs w:val="22"/>
        </w:rPr>
      </w:pPr>
      <w:r>
        <w:rPr>
          <w:szCs w:val="22"/>
        </w:rPr>
        <w:t>Kortikosteroid</w:t>
      </w:r>
    </w:p>
    <w:p w14:paraId="70D73D80" w14:textId="77777777" w:rsidR="00623601" w:rsidRDefault="00623601" w:rsidP="00623601">
      <w:pPr>
        <w:ind w:left="0" w:firstLine="0"/>
        <w:rPr>
          <w:szCs w:val="22"/>
        </w:rPr>
      </w:pPr>
      <w:r>
        <w:rPr>
          <w:szCs w:val="22"/>
        </w:rPr>
        <w:t>Na použitie pri určitých endokrinných a </w:t>
      </w:r>
      <w:r w:rsidRPr="00B350D9">
        <w:rPr>
          <w:szCs w:val="22"/>
        </w:rPr>
        <w:t>neendokrinných</w:t>
      </w:r>
      <w:r>
        <w:rPr>
          <w:szCs w:val="22"/>
        </w:rPr>
        <w:t xml:space="preserve"> poruchách reagujúcich na liečbu kortikosteroidmi.</w:t>
      </w:r>
    </w:p>
    <w:p w14:paraId="0C5F395C" w14:textId="77777777" w:rsidR="00AF25B8" w:rsidRDefault="00AF25B8" w:rsidP="00623601">
      <w:pPr>
        <w:ind w:left="0" w:firstLine="0"/>
        <w:rPr>
          <w:szCs w:val="22"/>
        </w:rPr>
      </w:pPr>
    </w:p>
    <w:p w14:paraId="3C283A97" w14:textId="77777777" w:rsidR="00AF25B8" w:rsidRDefault="00AF25B8" w:rsidP="00623601">
      <w:pPr>
        <w:ind w:left="0" w:firstLine="0"/>
        <w:rPr>
          <w:szCs w:val="22"/>
        </w:rPr>
      </w:pPr>
      <w:r>
        <w:rPr>
          <w:b/>
          <w:szCs w:val="22"/>
        </w:rPr>
        <w:t>Intravenózne alebo intramuskulárne podanie</w:t>
      </w:r>
    </w:p>
    <w:p w14:paraId="6E5C8739" w14:textId="77777777" w:rsidR="005D0922" w:rsidRPr="005D0922" w:rsidRDefault="005D0922" w:rsidP="005D0922">
      <w:pPr>
        <w:pStyle w:val="Textkomentra"/>
        <w:ind w:left="0" w:firstLine="0"/>
        <w:rPr>
          <w:sz w:val="22"/>
          <w:szCs w:val="22"/>
        </w:rPr>
      </w:pPr>
      <w:r w:rsidRPr="005D0922">
        <w:rPr>
          <w:sz w:val="22"/>
          <w:szCs w:val="22"/>
        </w:rPr>
        <w:t>Dexamethasone Noridem sa odporúča pre systémové podanie intravenóznou alebo intramuskulárnou injekciou za nasledujúcich podmienok, ak nie je možná alebo žiaduca perorálna liečba.</w:t>
      </w:r>
    </w:p>
    <w:p w14:paraId="6EBC83C6" w14:textId="77777777" w:rsidR="00AF25B8" w:rsidRDefault="00AF25B8" w:rsidP="00623601">
      <w:pPr>
        <w:ind w:left="0" w:firstLine="0"/>
        <w:rPr>
          <w:szCs w:val="22"/>
        </w:rPr>
      </w:pPr>
    </w:p>
    <w:p w14:paraId="51183CB0" w14:textId="77777777" w:rsidR="00AF25B8" w:rsidRDefault="00AF25B8" w:rsidP="00623601">
      <w:pPr>
        <w:ind w:left="0" w:firstLine="0"/>
        <w:rPr>
          <w:szCs w:val="22"/>
        </w:rPr>
      </w:pPr>
      <w:r>
        <w:rPr>
          <w:i/>
          <w:szCs w:val="22"/>
          <w:u w:val="single"/>
        </w:rPr>
        <w:t>Endokrinné poruchy</w:t>
      </w:r>
    </w:p>
    <w:p w14:paraId="29DD0C39" w14:textId="77777777" w:rsidR="00AF25B8" w:rsidRDefault="00AF25B8" w:rsidP="00623601">
      <w:pPr>
        <w:ind w:left="0" w:firstLine="0"/>
        <w:rPr>
          <w:szCs w:val="22"/>
        </w:rPr>
      </w:pPr>
      <w:r>
        <w:rPr>
          <w:i/>
          <w:szCs w:val="22"/>
        </w:rPr>
        <w:t>Primárna alebo sekundárna adrenokortikálna nedostatočnosť</w:t>
      </w:r>
    </w:p>
    <w:p w14:paraId="202AA9D8" w14:textId="0BEB09F6" w:rsidR="00AF25B8" w:rsidRDefault="00AF25B8" w:rsidP="00623601">
      <w:pPr>
        <w:ind w:left="0" w:firstLine="0"/>
        <w:rPr>
          <w:szCs w:val="22"/>
        </w:rPr>
      </w:pPr>
      <w:r>
        <w:rPr>
          <w:szCs w:val="22"/>
        </w:rPr>
        <w:t xml:space="preserve">(Hydrokortizón alebo kortizón </w:t>
      </w:r>
      <w:r w:rsidR="005D0922" w:rsidRPr="005D0922">
        <w:rPr>
          <w:szCs w:val="22"/>
        </w:rPr>
        <w:t>sú prvou voľbou v liečbe primárnej alebo sekundárnej nedostatečnosti kôry nadobličiek</w:t>
      </w:r>
      <w:r>
        <w:rPr>
          <w:szCs w:val="22"/>
        </w:rPr>
        <w:t>, ale syntetické analógy sa môžu použiť, ak je to vhodné</w:t>
      </w:r>
      <w:r w:rsidR="00D06129">
        <w:rPr>
          <w:szCs w:val="22"/>
        </w:rPr>
        <w:t>,</w:t>
      </w:r>
      <w:r>
        <w:rPr>
          <w:szCs w:val="22"/>
        </w:rPr>
        <w:t xml:space="preserve"> s</w:t>
      </w:r>
      <w:r w:rsidR="00950550">
        <w:rPr>
          <w:szCs w:val="22"/>
        </w:rPr>
        <w:t> </w:t>
      </w:r>
      <w:r>
        <w:rPr>
          <w:szCs w:val="22"/>
        </w:rPr>
        <w:t xml:space="preserve">mineralokortikoidmi </w:t>
      </w:r>
      <w:r w:rsidRPr="00243CC2">
        <w:rPr>
          <w:szCs w:val="22"/>
        </w:rPr>
        <w:t>a v</w:t>
      </w:r>
      <w:r w:rsidR="00243CC2">
        <w:rPr>
          <w:szCs w:val="22"/>
        </w:rPr>
        <w:t> </w:t>
      </w:r>
      <w:r w:rsidR="00586B39" w:rsidRPr="001733F2">
        <w:rPr>
          <w:szCs w:val="22"/>
        </w:rPr>
        <w:t>dojčenskom veku</w:t>
      </w:r>
      <w:r>
        <w:rPr>
          <w:szCs w:val="22"/>
        </w:rPr>
        <w:t xml:space="preserve"> je obzvlášť dôležitá ich suplementácia mineralokortikoidmi)</w:t>
      </w:r>
      <w:r w:rsidR="002A7C76">
        <w:rPr>
          <w:szCs w:val="22"/>
        </w:rPr>
        <w:t>.</w:t>
      </w:r>
    </w:p>
    <w:p w14:paraId="1FC293B8" w14:textId="77777777" w:rsidR="00AF25B8" w:rsidRDefault="00AF25B8" w:rsidP="00623601">
      <w:pPr>
        <w:ind w:left="0" w:firstLine="0"/>
        <w:rPr>
          <w:szCs w:val="22"/>
        </w:rPr>
      </w:pPr>
    </w:p>
    <w:p w14:paraId="06A9C1EE" w14:textId="77777777" w:rsidR="00AF25B8" w:rsidRDefault="00AF25B8" w:rsidP="00623601">
      <w:pPr>
        <w:ind w:left="0" w:firstLine="0"/>
        <w:rPr>
          <w:szCs w:val="22"/>
        </w:rPr>
      </w:pPr>
      <w:r>
        <w:rPr>
          <w:i/>
          <w:szCs w:val="22"/>
          <w:u w:val="single"/>
        </w:rPr>
        <w:t>Neendokrinné poruchy</w:t>
      </w:r>
    </w:p>
    <w:p w14:paraId="398170E6" w14:textId="77777777" w:rsidR="00AF25B8" w:rsidRDefault="00AF25B8" w:rsidP="00095674">
      <w:pPr>
        <w:ind w:left="0" w:right="-1" w:firstLine="0"/>
        <w:rPr>
          <w:szCs w:val="22"/>
        </w:rPr>
      </w:pPr>
      <w:r>
        <w:rPr>
          <w:szCs w:val="22"/>
        </w:rPr>
        <w:t>Dexamethasone Noridem sa môže použiť na liečbu neendokrinných stavov reagujúcich na kortikosteroidy, vrátane</w:t>
      </w:r>
      <w:r w:rsidR="005D0922">
        <w:rPr>
          <w:szCs w:val="22"/>
        </w:rPr>
        <w:t xml:space="preserve"> nasledujúcich ochorení</w:t>
      </w:r>
      <w:r>
        <w:rPr>
          <w:szCs w:val="22"/>
        </w:rPr>
        <w:t>:</w:t>
      </w:r>
    </w:p>
    <w:p w14:paraId="35D4EC31" w14:textId="77777777" w:rsidR="00AF25B8" w:rsidRDefault="00AF25B8" w:rsidP="00623601">
      <w:pPr>
        <w:ind w:left="0" w:firstLine="0"/>
        <w:rPr>
          <w:szCs w:val="22"/>
        </w:rPr>
      </w:pPr>
    </w:p>
    <w:p w14:paraId="4475D5F6" w14:textId="77777777" w:rsidR="00AF25B8" w:rsidRDefault="00AF25B8" w:rsidP="00623601">
      <w:pPr>
        <w:ind w:left="0" w:firstLine="0"/>
        <w:rPr>
          <w:szCs w:val="22"/>
        </w:rPr>
      </w:pPr>
      <w:r>
        <w:rPr>
          <w:i/>
          <w:szCs w:val="22"/>
        </w:rPr>
        <w:lastRenderedPageBreak/>
        <w:t>Alergia a anafylaxia</w:t>
      </w:r>
    </w:p>
    <w:p w14:paraId="779E271D" w14:textId="77777777" w:rsidR="00AF25B8" w:rsidRDefault="00AF25B8" w:rsidP="00623601">
      <w:pPr>
        <w:ind w:left="0" w:firstLine="0"/>
        <w:rPr>
          <w:szCs w:val="22"/>
        </w:rPr>
      </w:pPr>
      <w:r>
        <w:rPr>
          <w:szCs w:val="22"/>
        </w:rPr>
        <w:t>Angioneurotický edém a anafylaxia</w:t>
      </w:r>
      <w:r w:rsidR="002A7C76">
        <w:rPr>
          <w:szCs w:val="22"/>
        </w:rPr>
        <w:t>.</w:t>
      </w:r>
    </w:p>
    <w:p w14:paraId="094F8132" w14:textId="77777777" w:rsidR="00AF25B8" w:rsidRDefault="00AF25B8" w:rsidP="00623601">
      <w:pPr>
        <w:ind w:left="0" w:firstLine="0"/>
        <w:rPr>
          <w:szCs w:val="22"/>
        </w:rPr>
      </w:pPr>
    </w:p>
    <w:p w14:paraId="4A1BFFCE" w14:textId="77777777" w:rsidR="00AF25B8" w:rsidRDefault="00AF25B8" w:rsidP="00623601">
      <w:pPr>
        <w:ind w:left="0" w:firstLine="0"/>
        <w:rPr>
          <w:szCs w:val="22"/>
        </w:rPr>
      </w:pPr>
      <w:r>
        <w:rPr>
          <w:i/>
          <w:szCs w:val="22"/>
        </w:rPr>
        <w:t>Gastrointestinálne poruchy</w:t>
      </w:r>
    </w:p>
    <w:p w14:paraId="2F3154DC" w14:textId="730D8AFD" w:rsidR="00AF25B8" w:rsidRDefault="00E11F27" w:rsidP="00623601">
      <w:pPr>
        <w:ind w:left="0" w:firstLine="0"/>
        <w:rPr>
          <w:szCs w:val="22"/>
        </w:rPr>
      </w:pPr>
      <w:r>
        <w:rPr>
          <w:szCs w:val="22"/>
        </w:rPr>
        <w:t>Crohnov</w:t>
      </w:r>
      <w:r w:rsidR="000660A3">
        <w:rPr>
          <w:szCs w:val="22"/>
        </w:rPr>
        <w:t>a</w:t>
      </w:r>
      <w:r>
        <w:rPr>
          <w:szCs w:val="22"/>
        </w:rPr>
        <w:t xml:space="preserve"> </w:t>
      </w:r>
      <w:r w:rsidR="000660A3">
        <w:rPr>
          <w:szCs w:val="22"/>
        </w:rPr>
        <w:t>choroba</w:t>
      </w:r>
      <w:r>
        <w:rPr>
          <w:szCs w:val="22"/>
        </w:rPr>
        <w:t xml:space="preserve"> a ulceratívna kolitída</w:t>
      </w:r>
      <w:r w:rsidR="002A7C76">
        <w:rPr>
          <w:szCs w:val="22"/>
        </w:rPr>
        <w:t>.</w:t>
      </w:r>
    </w:p>
    <w:p w14:paraId="1291394B" w14:textId="77777777" w:rsidR="00E11F27" w:rsidRDefault="00E11F27" w:rsidP="00623601">
      <w:pPr>
        <w:ind w:left="0" w:firstLine="0"/>
        <w:rPr>
          <w:szCs w:val="22"/>
        </w:rPr>
      </w:pPr>
    </w:p>
    <w:p w14:paraId="684F9CA7" w14:textId="77777777" w:rsidR="00E11F27" w:rsidRDefault="00E11F27" w:rsidP="00623601">
      <w:pPr>
        <w:ind w:left="0" w:firstLine="0"/>
        <w:rPr>
          <w:szCs w:val="22"/>
        </w:rPr>
      </w:pPr>
      <w:r>
        <w:rPr>
          <w:i/>
          <w:szCs w:val="22"/>
        </w:rPr>
        <w:t>Infekcia (s vhodnou antimikrobiálnou liečbou)</w:t>
      </w:r>
    </w:p>
    <w:p w14:paraId="5139AB87" w14:textId="77777777" w:rsidR="00E11F27" w:rsidRDefault="00E11F27" w:rsidP="00623601">
      <w:pPr>
        <w:ind w:left="0" w:firstLine="0"/>
        <w:rPr>
          <w:szCs w:val="22"/>
        </w:rPr>
      </w:pPr>
      <w:r>
        <w:rPr>
          <w:szCs w:val="22"/>
        </w:rPr>
        <w:t>Miliárna tuberkulóza a endotoxický šok</w:t>
      </w:r>
      <w:r w:rsidR="002A7C76">
        <w:rPr>
          <w:szCs w:val="22"/>
        </w:rPr>
        <w:t>.</w:t>
      </w:r>
    </w:p>
    <w:p w14:paraId="2C76335C" w14:textId="77777777" w:rsidR="00E11F27" w:rsidRDefault="00E11F27" w:rsidP="00623601">
      <w:pPr>
        <w:ind w:left="0" w:firstLine="0"/>
        <w:rPr>
          <w:szCs w:val="22"/>
        </w:rPr>
      </w:pPr>
    </w:p>
    <w:p w14:paraId="4D9D17AE" w14:textId="77777777" w:rsidR="00E11F27" w:rsidRDefault="00E11F27" w:rsidP="00623601">
      <w:pPr>
        <w:ind w:left="0" w:firstLine="0"/>
        <w:rPr>
          <w:szCs w:val="22"/>
        </w:rPr>
      </w:pPr>
      <w:r>
        <w:rPr>
          <w:i/>
          <w:szCs w:val="22"/>
        </w:rPr>
        <w:t>Neurologické poruchy</w:t>
      </w:r>
    </w:p>
    <w:p w14:paraId="1EA23E16" w14:textId="77777777" w:rsidR="00E11F27" w:rsidRDefault="005D0922" w:rsidP="00623601">
      <w:pPr>
        <w:ind w:left="0" w:firstLine="0"/>
        <w:rPr>
          <w:szCs w:val="22"/>
        </w:rPr>
      </w:pPr>
      <w:r>
        <w:t>Sekundárne zvýšený intrakraniálny tlak</w:t>
      </w:r>
      <w:r w:rsidRPr="00E11F27">
        <w:rPr>
          <w:szCs w:val="22"/>
        </w:rPr>
        <w:t xml:space="preserve"> </w:t>
      </w:r>
      <w:r w:rsidR="00E11F27" w:rsidRPr="00E11F27">
        <w:rPr>
          <w:szCs w:val="22"/>
        </w:rPr>
        <w:t>po mozgových nádoroch a infantilných kŕčoch</w:t>
      </w:r>
      <w:r w:rsidR="002A7C76">
        <w:rPr>
          <w:szCs w:val="22"/>
        </w:rPr>
        <w:t>.</w:t>
      </w:r>
    </w:p>
    <w:p w14:paraId="51349D98" w14:textId="77777777" w:rsidR="00E11F27" w:rsidRDefault="00E11F27" w:rsidP="00623601">
      <w:pPr>
        <w:ind w:left="0" w:firstLine="0"/>
        <w:rPr>
          <w:szCs w:val="22"/>
        </w:rPr>
      </w:pPr>
    </w:p>
    <w:p w14:paraId="6A8EB49F" w14:textId="77777777" w:rsidR="00E11F27" w:rsidRDefault="00E11F27" w:rsidP="00623601">
      <w:pPr>
        <w:ind w:left="0" w:firstLine="0"/>
        <w:rPr>
          <w:szCs w:val="22"/>
        </w:rPr>
      </w:pPr>
      <w:r>
        <w:rPr>
          <w:i/>
          <w:szCs w:val="22"/>
        </w:rPr>
        <w:t>Poruchy dýchania</w:t>
      </w:r>
    </w:p>
    <w:p w14:paraId="7FB420E2" w14:textId="77777777" w:rsidR="00E11F27" w:rsidRDefault="00E11F27" w:rsidP="00623601">
      <w:pPr>
        <w:ind w:left="0" w:firstLine="0"/>
        <w:rPr>
          <w:szCs w:val="22"/>
        </w:rPr>
      </w:pPr>
      <w:r>
        <w:rPr>
          <w:szCs w:val="22"/>
        </w:rPr>
        <w:t>Bronchiálna astma a aspiračná pneumonitída</w:t>
      </w:r>
      <w:r w:rsidR="002A7C76">
        <w:rPr>
          <w:szCs w:val="22"/>
        </w:rPr>
        <w:t>.</w:t>
      </w:r>
    </w:p>
    <w:p w14:paraId="3C5E783C" w14:textId="77777777" w:rsidR="00E11F27" w:rsidRDefault="00E11F27" w:rsidP="00623601">
      <w:pPr>
        <w:ind w:left="0" w:firstLine="0"/>
        <w:rPr>
          <w:szCs w:val="22"/>
        </w:rPr>
      </w:pPr>
    </w:p>
    <w:p w14:paraId="0F3772A3" w14:textId="77777777" w:rsidR="00E11F27" w:rsidRDefault="00E11F27" w:rsidP="00623601">
      <w:pPr>
        <w:ind w:left="0" w:firstLine="0"/>
        <w:rPr>
          <w:szCs w:val="22"/>
        </w:rPr>
      </w:pPr>
      <w:r>
        <w:rPr>
          <w:i/>
          <w:szCs w:val="22"/>
        </w:rPr>
        <w:t>Poruchy kože</w:t>
      </w:r>
    </w:p>
    <w:p w14:paraId="5D358CB6" w14:textId="77777777" w:rsidR="00E11F27" w:rsidRDefault="00E11F27" w:rsidP="00623601">
      <w:pPr>
        <w:ind w:left="0" w:firstLine="0"/>
        <w:rPr>
          <w:szCs w:val="22"/>
        </w:rPr>
      </w:pPr>
      <w:r>
        <w:rPr>
          <w:szCs w:val="22"/>
        </w:rPr>
        <w:t>Toxická epidermálna nekrolýza</w:t>
      </w:r>
      <w:r w:rsidR="002A7C76">
        <w:rPr>
          <w:szCs w:val="22"/>
        </w:rPr>
        <w:t>.</w:t>
      </w:r>
    </w:p>
    <w:p w14:paraId="6A64167B" w14:textId="77777777" w:rsidR="00E11F27" w:rsidRDefault="00E11F27" w:rsidP="00623601">
      <w:pPr>
        <w:ind w:left="0" w:firstLine="0"/>
        <w:rPr>
          <w:szCs w:val="22"/>
        </w:rPr>
      </w:pPr>
    </w:p>
    <w:p w14:paraId="1CBF49E6" w14:textId="77777777" w:rsidR="00E11F27" w:rsidRDefault="00E11F27" w:rsidP="00623601">
      <w:pPr>
        <w:ind w:left="0" w:firstLine="0"/>
        <w:rPr>
          <w:i/>
          <w:szCs w:val="22"/>
        </w:rPr>
      </w:pPr>
      <w:r>
        <w:rPr>
          <w:i/>
          <w:szCs w:val="22"/>
        </w:rPr>
        <w:t>Šok</w:t>
      </w:r>
    </w:p>
    <w:p w14:paraId="7182AE87" w14:textId="77777777" w:rsidR="00E11F27" w:rsidRDefault="00E11F27" w:rsidP="00623601">
      <w:pPr>
        <w:ind w:left="0" w:firstLine="0"/>
        <w:rPr>
          <w:szCs w:val="22"/>
        </w:rPr>
      </w:pPr>
      <w:r w:rsidRPr="00E11F27">
        <w:rPr>
          <w:szCs w:val="22"/>
        </w:rPr>
        <w:t>Prídavná liečba tam, kde sú potrebné vysoké farmakologické dávky. Liečba je doplnkom</w:t>
      </w:r>
      <w:r w:rsidR="00950550">
        <w:rPr>
          <w:szCs w:val="22"/>
        </w:rPr>
        <w:t>,</w:t>
      </w:r>
      <w:r w:rsidRPr="00E11F27">
        <w:rPr>
          <w:szCs w:val="22"/>
        </w:rPr>
        <w:t xml:space="preserve"> a nie náhradou konkrétnych a podporných opatrení, ktoré môže pacient vyžadovať. Ukázalo sa, že dexametazón je prospešný, ak sa používa na včasnú liečbu šoku, ale nemusí </w:t>
      </w:r>
      <w:r>
        <w:rPr>
          <w:szCs w:val="22"/>
        </w:rPr>
        <w:t>ovplyvniť</w:t>
      </w:r>
      <w:r w:rsidRPr="00E11F27">
        <w:rPr>
          <w:szCs w:val="22"/>
        </w:rPr>
        <w:t xml:space="preserve"> celkové prežitie.</w:t>
      </w:r>
    </w:p>
    <w:p w14:paraId="3D6E772A" w14:textId="77777777" w:rsidR="00E11F27" w:rsidRDefault="00E11F27" w:rsidP="00623601">
      <w:pPr>
        <w:ind w:left="0" w:firstLine="0"/>
        <w:rPr>
          <w:szCs w:val="22"/>
        </w:rPr>
      </w:pPr>
    </w:p>
    <w:p w14:paraId="51DE657E" w14:textId="77777777" w:rsidR="00E11F27" w:rsidRPr="007D2973" w:rsidRDefault="00E11F27" w:rsidP="00623601">
      <w:pPr>
        <w:ind w:left="0" w:firstLine="0"/>
        <w:rPr>
          <w:szCs w:val="22"/>
        </w:rPr>
      </w:pPr>
      <w:r w:rsidRPr="007D2973">
        <w:rPr>
          <w:b/>
          <w:szCs w:val="22"/>
        </w:rPr>
        <w:t>Subkutánne podanie</w:t>
      </w:r>
    </w:p>
    <w:p w14:paraId="5BE86771" w14:textId="77777777" w:rsidR="005D0922" w:rsidRPr="005D0922" w:rsidRDefault="005D0922" w:rsidP="005D0922">
      <w:pPr>
        <w:pStyle w:val="Textkomentra"/>
        <w:ind w:left="0" w:firstLine="0"/>
        <w:rPr>
          <w:sz w:val="22"/>
          <w:szCs w:val="22"/>
        </w:rPr>
      </w:pPr>
      <w:r w:rsidRPr="005D0922">
        <w:rPr>
          <w:sz w:val="22"/>
          <w:szCs w:val="22"/>
        </w:rPr>
        <w:t>Pacientom v paliatívnej starostlivosti, ktorí dostávajú kortikosteroidy pre príznaky, ako sú únava, anorexia, refraktérna nevoľnosť a vracanie alebo adjuvantná analgézia a symptomatická liečba kompresie miechy alebo zvýšeného intrakraniálneho tlaku, môže byť Dexamethasone Noridem subkutánne podaný (pozri časť 4.2) ako alternatíva k perorálnemu podaniu, ak perorálna aplikácia je neprijateľná alebo už nie je možná.</w:t>
      </w:r>
    </w:p>
    <w:p w14:paraId="7DD53DA1" w14:textId="77777777" w:rsidR="00E11F27" w:rsidRDefault="00E11F27" w:rsidP="00623601">
      <w:pPr>
        <w:ind w:left="0" w:firstLine="0"/>
        <w:rPr>
          <w:szCs w:val="22"/>
        </w:rPr>
      </w:pPr>
    </w:p>
    <w:p w14:paraId="78AA32AF" w14:textId="77777777" w:rsidR="00953243" w:rsidRDefault="00953243" w:rsidP="00623601">
      <w:pPr>
        <w:ind w:left="0" w:firstLine="0"/>
        <w:rPr>
          <w:szCs w:val="22"/>
        </w:rPr>
      </w:pPr>
      <w:r>
        <w:rPr>
          <w:b/>
          <w:szCs w:val="22"/>
        </w:rPr>
        <w:t>Lokálne podanie</w:t>
      </w:r>
    </w:p>
    <w:p w14:paraId="346764AD" w14:textId="77777777" w:rsidR="00953243" w:rsidRDefault="00953243" w:rsidP="00623601">
      <w:pPr>
        <w:ind w:left="0" w:firstLine="0"/>
        <w:rPr>
          <w:szCs w:val="22"/>
        </w:rPr>
      </w:pPr>
      <w:r>
        <w:rPr>
          <w:szCs w:val="22"/>
        </w:rPr>
        <w:t>Dexamethasone Noridem je vhodný na intraartikulárne injekcie alebo injekcie do mäkkých tkanív ako doplnková liečba na krátkodobé podanie pri:</w:t>
      </w:r>
    </w:p>
    <w:p w14:paraId="7D8E197C" w14:textId="77777777" w:rsidR="00953243" w:rsidRDefault="00953243" w:rsidP="00623601">
      <w:pPr>
        <w:ind w:left="0" w:firstLine="0"/>
        <w:rPr>
          <w:szCs w:val="22"/>
        </w:rPr>
      </w:pPr>
    </w:p>
    <w:p w14:paraId="4F74A5AE" w14:textId="77777777" w:rsidR="00953243" w:rsidRDefault="00953243" w:rsidP="00623601">
      <w:pPr>
        <w:ind w:left="0" w:firstLine="0"/>
        <w:rPr>
          <w:szCs w:val="22"/>
        </w:rPr>
      </w:pPr>
      <w:r>
        <w:rPr>
          <w:i/>
          <w:szCs w:val="22"/>
        </w:rPr>
        <w:t>Poruchy mäkkých tkanív</w:t>
      </w:r>
    </w:p>
    <w:p w14:paraId="4904D2F6" w14:textId="77777777" w:rsidR="00953243" w:rsidRDefault="00953243" w:rsidP="00623601">
      <w:pPr>
        <w:ind w:left="0" w:firstLine="0"/>
        <w:rPr>
          <w:szCs w:val="22"/>
        </w:rPr>
      </w:pPr>
      <w:r>
        <w:rPr>
          <w:szCs w:val="22"/>
        </w:rPr>
        <w:t>Ako syndróm karpálneho tunela a</w:t>
      </w:r>
      <w:r w:rsidR="006F37ED">
        <w:rPr>
          <w:szCs w:val="22"/>
        </w:rPr>
        <w:t> </w:t>
      </w:r>
      <w:r>
        <w:rPr>
          <w:szCs w:val="22"/>
        </w:rPr>
        <w:t>tenosynovitída</w:t>
      </w:r>
      <w:r w:rsidR="006F37ED">
        <w:rPr>
          <w:szCs w:val="22"/>
        </w:rPr>
        <w:t>.</w:t>
      </w:r>
    </w:p>
    <w:p w14:paraId="591DFD89" w14:textId="77777777" w:rsidR="00953243" w:rsidRDefault="00953243" w:rsidP="00623601">
      <w:pPr>
        <w:ind w:left="0" w:firstLine="0"/>
        <w:rPr>
          <w:szCs w:val="22"/>
        </w:rPr>
      </w:pPr>
    </w:p>
    <w:p w14:paraId="6E944643" w14:textId="77777777" w:rsidR="00953243" w:rsidRDefault="00953243" w:rsidP="00623601">
      <w:pPr>
        <w:ind w:left="0" w:firstLine="0"/>
        <w:rPr>
          <w:szCs w:val="22"/>
        </w:rPr>
      </w:pPr>
      <w:r>
        <w:rPr>
          <w:i/>
          <w:szCs w:val="22"/>
        </w:rPr>
        <w:t>Intraartikulárne poruchy</w:t>
      </w:r>
    </w:p>
    <w:p w14:paraId="49585BD8" w14:textId="77777777" w:rsidR="00953243" w:rsidRDefault="00953243" w:rsidP="00623601">
      <w:pPr>
        <w:ind w:left="0" w:firstLine="0"/>
        <w:rPr>
          <w:szCs w:val="22"/>
        </w:rPr>
      </w:pPr>
      <w:r>
        <w:rPr>
          <w:szCs w:val="22"/>
        </w:rPr>
        <w:t>Ako reumatoidná artritída a osteoartritída so zápalovou zložkou.</w:t>
      </w:r>
    </w:p>
    <w:p w14:paraId="5DC84FB3" w14:textId="77777777" w:rsidR="00953243" w:rsidRDefault="00953243" w:rsidP="00623601">
      <w:pPr>
        <w:ind w:left="0" w:firstLine="0"/>
        <w:rPr>
          <w:szCs w:val="22"/>
        </w:rPr>
      </w:pPr>
    </w:p>
    <w:p w14:paraId="68A664E2" w14:textId="51C794A2" w:rsidR="00953243" w:rsidRPr="00953243" w:rsidRDefault="00953243" w:rsidP="00623601">
      <w:pPr>
        <w:ind w:left="0" w:firstLine="0"/>
        <w:rPr>
          <w:szCs w:val="22"/>
        </w:rPr>
      </w:pPr>
      <w:r>
        <w:rPr>
          <w:szCs w:val="22"/>
        </w:rPr>
        <w:t>Dexamethasone Noridem sa môže injikovať intral</w:t>
      </w:r>
      <w:r w:rsidR="00DC42CB">
        <w:rPr>
          <w:szCs w:val="22"/>
        </w:rPr>
        <w:t>é</w:t>
      </w:r>
      <w:r>
        <w:rPr>
          <w:szCs w:val="22"/>
        </w:rPr>
        <w:t>zio</w:t>
      </w:r>
      <w:r w:rsidR="00DC42CB">
        <w:rPr>
          <w:szCs w:val="22"/>
        </w:rPr>
        <w:t>vo</w:t>
      </w:r>
      <w:r>
        <w:rPr>
          <w:szCs w:val="22"/>
        </w:rPr>
        <w:t xml:space="preserve"> pri vybraných kožných ochoreniach</w:t>
      </w:r>
      <w:r w:rsidR="00A02731">
        <w:rPr>
          <w:szCs w:val="22"/>
        </w:rPr>
        <w:t>,</w:t>
      </w:r>
      <w:r>
        <w:rPr>
          <w:szCs w:val="22"/>
        </w:rPr>
        <w:t xml:space="preserve"> ako sú cystické a</w:t>
      </w:r>
      <w:r w:rsidR="007D2973">
        <w:rPr>
          <w:szCs w:val="22"/>
        </w:rPr>
        <w:t>cne</w:t>
      </w:r>
      <w:r>
        <w:rPr>
          <w:szCs w:val="22"/>
        </w:rPr>
        <w:t xml:space="preserve"> vulgaris, lokalizovaný </w:t>
      </w:r>
      <w:r w:rsidR="005D0922">
        <w:t xml:space="preserve">lichen simplex </w:t>
      </w:r>
      <w:r>
        <w:rPr>
          <w:szCs w:val="22"/>
        </w:rPr>
        <w:t>a keloidy.</w:t>
      </w:r>
    </w:p>
    <w:p w14:paraId="527930A8" w14:textId="77777777" w:rsidR="00780926" w:rsidRPr="00B13F68" w:rsidRDefault="00780926">
      <w:pPr>
        <w:rPr>
          <w:szCs w:val="22"/>
        </w:rPr>
      </w:pPr>
    </w:p>
    <w:p w14:paraId="0E4C6EDB" w14:textId="77777777" w:rsidR="00780926" w:rsidRPr="00B13F68" w:rsidRDefault="00623601">
      <w:pPr>
        <w:rPr>
          <w:b/>
          <w:szCs w:val="22"/>
        </w:rPr>
      </w:pPr>
      <w:r w:rsidRPr="00B13F68">
        <w:rPr>
          <w:b/>
          <w:szCs w:val="22"/>
        </w:rPr>
        <w:t>4.2</w:t>
      </w:r>
      <w:r w:rsidRPr="00B13F68">
        <w:rPr>
          <w:b/>
          <w:szCs w:val="22"/>
        </w:rPr>
        <w:tab/>
        <w:t>Dávkovanie a</w:t>
      </w:r>
      <w:r w:rsidR="00BD7004">
        <w:rPr>
          <w:b/>
          <w:szCs w:val="22"/>
        </w:rPr>
        <w:t> </w:t>
      </w:r>
      <w:r w:rsidRPr="00B13F68">
        <w:rPr>
          <w:b/>
          <w:szCs w:val="22"/>
        </w:rPr>
        <w:t>spôsob podávania</w:t>
      </w:r>
    </w:p>
    <w:p w14:paraId="25458886" w14:textId="77777777" w:rsidR="00780926" w:rsidRDefault="00780926">
      <w:pPr>
        <w:rPr>
          <w:szCs w:val="22"/>
        </w:rPr>
      </w:pPr>
    </w:p>
    <w:p w14:paraId="779342A9" w14:textId="77777777" w:rsidR="00953243" w:rsidRPr="00953243" w:rsidRDefault="00953243" w:rsidP="00953243">
      <w:pPr>
        <w:rPr>
          <w:szCs w:val="22"/>
        </w:rPr>
      </w:pPr>
      <w:r>
        <w:rPr>
          <w:szCs w:val="22"/>
        </w:rPr>
        <w:t xml:space="preserve">Dexamethasone Noridem </w:t>
      </w:r>
      <w:r w:rsidRPr="00953243">
        <w:rPr>
          <w:szCs w:val="22"/>
        </w:rPr>
        <w:t>sa môže podať bez miešania alebo riedenia.</w:t>
      </w:r>
    </w:p>
    <w:p w14:paraId="67714042" w14:textId="77777777" w:rsidR="00953243" w:rsidRPr="00953243" w:rsidRDefault="00953243" w:rsidP="00953243">
      <w:pPr>
        <w:ind w:left="0" w:firstLine="0"/>
        <w:rPr>
          <w:szCs w:val="22"/>
        </w:rPr>
      </w:pPr>
      <w:r w:rsidRPr="00953243">
        <w:rPr>
          <w:szCs w:val="22"/>
        </w:rPr>
        <w:t xml:space="preserve">Alternatívne sa môže pridať bez straty účinnosti do chloridu sodného alebo </w:t>
      </w:r>
      <w:r w:rsidRPr="007B31F6">
        <w:rPr>
          <w:szCs w:val="22"/>
        </w:rPr>
        <w:t>d</w:t>
      </w:r>
      <w:r w:rsidR="005D0922" w:rsidRPr="007B31F6">
        <w:rPr>
          <w:szCs w:val="22"/>
        </w:rPr>
        <w:t xml:space="preserve">o </w:t>
      </w:r>
      <w:r w:rsidR="00386C4A" w:rsidRPr="007B31F6">
        <w:rPr>
          <w:szCs w:val="22"/>
        </w:rPr>
        <w:t>glukózy</w:t>
      </w:r>
      <w:r w:rsidRPr="00953243">
        <w:rPr>
          <w:szCs w:val="22"/>
        </w:rPr>
        <w:t xml:space="preserve"> a môže sa podať intravenóznou infúziou.</w:t>
      </w:r>
    </w:p>
    <w:p w14:paraId="7EBB0F58" w14:textId="77777777" w:rsidR="00953243" w:rsidRPr="00953243" w:rsidRDefault="00953243" w:rsidP="00953243">
      <w:pPr>
        <w:ind w:left="0" w:firstLine="0"/>
        <w:rPr>
          <w:szCs w:val="22"/>
        </w:rPr>
      </w:pPr>
      <w:r w:rsidRPr="00953243">
        <w:rPr>
          <w:szCs w:val="22"/>
        </w:rPr>
        <w:t>U novorodencov, najmä u predčasne narodených detí, sa majú podávať iba roztoky bez konzervačných látok.</w:t>
      </w:r>
    </w:p>
    <w:p w14:paraId="6948AE55" w14:textId="77777777" w:rsidR="00953243" w:rsidRPr="00953243" w:rsidRDefault="00953243" w:rsidP="00953243">
      <w:pPr>
        <w:ind w:left="0" w:firstLine="0"/>
        <w:rPr>
          <w:szCs w:val="22"/>
        </w:rPr>
      </w:pPr>
      <w:r w:rsidRPr="00953243">
        <w:rPr>
          <w:szCs w:val="22"/>
        </w:rPr>
        <w:t xml:space="preserve">V paliatívnej starostlivosti je možné </w:t>
      </w:r>
      <w:r>
        <w:rPr>
          <w:szCs w:val="22"/>
        </w:rPr>
        <w:t>Dexamethasone Noridem</w:t>
      </w:r>
      <w:r w:rsidRPr="00953243">
        <w:rPr>
          <w:szCs w:val="22"/>
        </w:rPr>
        <w:t xml:space="preserve"> zriediť injekciou chloridu sodného a podať pomocou kontinuálnej subkutánnej infúzie (CSCI).</w:t>
      </w:r>
    </w:p>
    <w:p w14:paraId="2454ED64" w14:textId="77777777" w:rsidR="00953243" w:rsidRDefault="00953243" w:rsidP="00953243">
      <w:pPr>
        <w:ind w:left="0" w:firstLine="0"/>
        <w:rPr>
          <w:szCs w:val="22"/>
        </w:rPr>
      </w:pPr>
      <w:r w:rsidRPr="00953243">
        <w:rPr>
          <w:szCs w:val="22"/>
        </w:rPr>
        <w:t>Infúzne zmesi sa musia použiť do 24 hodín a je potrebné dodržať obvyklé aseptické postupy pre injekcie.</w:t>
      </w:r>
    </w:p>
    <w:p w14:paraId="6923C821" w14:textId="77777777" w:rsidR="00953243" w:rsidRDefault="00953243">
      <w:pPr>
        <w:rPr>
          <w:szCs w:val="22"/>
        </w:rPr>
      </w:pPr>
    </w:p>
    <w:p w14:paraId="1CC179AD" w14:textId="77777777" w:rsidR="00953243" w:rsidRDefault="00953243">
      <w:pPr>
        <w:rPr>
          <w:szCs w:val="22"/>
        </w:rPr>
      </w:pPr>
      <w:r>
        <w:rPr>
          <w:b/>
          <w:i/>
          <w:szCs w:val="22"/>
        </w:rPr>
        <w:t>Všetky dávkovacie odporúčania sú dané pre jednotky dexametazón</w:t>
      </w:r>
      <w:r w:rsidR="007D2973">
        <w:rPr>
          <w:b/>
          <w:i/>
          <w:szCs w:val="22"/>
        </w:rPr>
        <w:t>-</w:t>
      </w:r>
      <w:r>
        <w:rPr>
          <w:b/>
          <w:i/>
          <w:szCs w:val="22"/>
        </w:rPr>
        <w:t>fosfátu</w:t>
      </w:r>
      <w:r w:rsidR="00D20D8E">
        <w:rPr>
          <w:b/>
          <w:i/>
          <w:szCs w:val="22"/>
        </w:rPr>
        <w:t>.</w:t>
      </w:r>
    </w:p>
    <w:p w14:paraId="4565939A" w14:textId="77777777" w:rsidR="00D20D8E" w:rsidRDefault="00D20D8E">
      <w:pPr>
        <w:rPr>
          <w:szCs w:val="22"/>
        </w:rPr>
      </w:pPr>
    </w:p>
    <w:p w14:paraId="64DC45CC" w14:textId="77777777" w:rsidR="00D20D8E" w:rsidRDefault="00D20D8E">
      <w:pPr>
        <w:rPr>
          <w:szCs w:val="22"/>
        </w:rPr>
      </w:pPr>
      <w:r>
        <w:rPr>
          <w:i/>
          <w:szCs w:val="22"/>
        </w:rPr>
        <w:t>Všeobecné úvahy</w:t>
      </w:r>
    </w:p>
    <w:p w14:paraId="716E8E8E" w14:textId="709DF9E5" w:rsidR="00D20D8E" w:rsidRDefault="00D20D8E" w:rsidP="00D20D8E">
      <w:pPr>
        <w:ind w:left="0" w:firstLine="0"/>
        <w:rPr>
          <w:szCs w:val="22"/>
        </w:rPr>
      </w:pPr>
      <w:r w:rsidRPr="00D20D8E">
        <w:rPr>
          <w:szCs w:val="22"/>
        </w:rPr>
        <w:t xml:space="preserve">Dávkovanie musí byť individuálne na základe </w:t>
      </w:r>
      <w:r w:rsidR="000660A3">
        <w:rPr>
          <w:szCs w:val="22"/>
        </w:rPr>
        <w:t>ochorenia</w:t>
      </w:r>
      <w:r w:rsidRPr="00D20D8E">
        <w:rPr>
          <w:szCs w:val="22"/>
        </w:rPr>
        <w:t xml:space="preserve"> a odpovede pacienta. Aby sa minimalizovali vedľajšie účinky, malo by sa použiť najnižšie možné dávkovanie adekvátne na zvládnutie chorobného procesu (pozri „Nežiaduce účinky“).</w:t>
      </w:r>
    </w:p>
    <w:p w14:paraId="395FC98F" w14:textId="77777777" w:rsidR="00D20D8E" w:rsidRDefault="00D20D8E" w:rsidP="00D20D8E">
      <w:pPr>
        <w:ind w:left="0" w:firstLine="0"/>
        <w:rPr>
          <w:szCs w:val="22"/>
        </w:rPr>
      </w:pPr>
    </w:p>
    <w:p w14:paraId="2AC4430D" w14:textId="77777777" w:rsidR="00D20D8E" w:rsidRDefault="00D20D8E" w:rsidP="00D20D8E">
      <w:pPr>
        <w:ind w:left="0" w:firstLine="0"/>
        <w:rPr>
          <w:szCs w:val="22"/>
        </w:rPr>
      </w:pPr>
      <w:r>
        <w:rPr>
          <w:b/>
          <w:szCs w:val="22"/>
        </w:rPr>
        <w:t>Intravenózna a intramuskulárna injekcia</w:t>
      </w:r>
    </w:p>
    <w:p w14:paraId="464D03DE" w14:textId="77777777" w:rsidR="00D20D8E" w:rsidRPr="00D20D8E" w:rsidRDefault="00D20D8E" w:rsidP="00D20D8E">
      <w:pPr>
        <w:ind w:left="0" w:firstLine="0"/>
        <w:rPr>
          <w:szCs w:val="22"/>
        </w:rPr>
      </w:pPr>
      <w:r w:rsidRPr="00D20D8E">
        <w:rPr>
          <w:szCs w:val="22"/>
        </w:rPr>
        <w:t>Obvykle sú rozsahy parenterálnych dávok jedna tretina až polovica perorálnej dávky podávanej každých 12 hodín.</w:t>
      </w:r>
    </w:p>
    <w:p w14:paraId="139A33B1" w14:textId="77777777" w:rsidR="00D20D8E" w:rsidRPr="005D0922" w:rsidRDefault="00D20D8E" w:rsidP="005D0922">
      <w:pPr>
        <w:pStyle w:val="Textkomentra"/>
        <w:ind w:left="0" w:firstLine="0"/>
        <w:rPr>
          <w:sz w:val="22"/>
          <w:szCs w:val="22"/>
        </w:rPr>
      </w:pPr>
      <w:r w:rsidRPr="005D0922">
        <w:rPr>
          <w:sz w:val="22"/>
          <w:szCs w:val="22"/>
        </w:rPr>
        <w:t xml:space="preserve">Zvyčajná </w:t>
      </w:r>
      <w:r w:rsidRPr="00B350D9">
        <w:rPr>
          <w:sz w:val="22"/>
          <w:szCs w:val="22"/>
        </w:rPr>
        <w:t>úvodná</w:t>
      </w:r>
      <w:r w:rsidRPr="005D0922">
        <w:rPr>
          <w:sz w:val="22"/>
          <w:szCs w:val="22"/>
        </w:rPr>
        <w:t xml:space="preserve"> dávka je </w:t>
      </w:r>
      <w:r w:rsidR="005D0922" w:rsidRPr="005D0922">
        <w:rPr>
          <w:sz w:val="22"/>
          <w:szCs w:val="22"/>
        </w:rPr>
        <w:t xml:space="preserve">0,5 – 20 mg (0,125 – 5 ml) </w:t>
      </w:r>
      <w:r w:rsidRPr="005D0922">
        <w:rPr>
          <w:sz w:val="22"/>
          <w:szCs w:val="22"/>
        </w:rPr>
        <w:t>denne. V menej závažných situáciách zvyčajne postačujú nižšie dávky. Avšak v určitých zdrvujúcich, akútnych, život ohrozujúcich situáciách môže byť podanie v dávkach presahujúcich obvyklé dávkovanie oprávnené. Za týchto okolností by sa mala rozpoznať pomalšia rýchlosť absorpcie intramuskulárnym podaním.</w:t>
      </w:r>
    </w:p>
    <w:p w14:paraId="1DBDD130" w14:textId="77777777" w:rsidR="00D20D8E" w:rsidRPr="00D20D8E" w:rsidRDefault="00D20D8E" w:rsidP="00D20D8E">
      <w:pPr>
        <w:ind w:left="0" w:firstLine="0"/>
        <w:rPr>
          <w:szCs w:val="22"/>
        </w:rPr>
      </w:pPr>
    </w:p>
    <w:p w14:paraId="160EE7A5" w14:textId="77777777" w:rsidR="005D0922" w:rsidRPr="005D0922" w:rsidRDefault="005D0922" w:rsidP="005D0922">
      <w:pPr>
        <w:ind w:left="0" w:firstLine="0"/>
        <w:rPr>
          <w:szCs w:val="22"/>
        </w:rPr>
      </w:pPr>
      <w:r w:rsidRPr="005D0922">
        <w:rPr>
          <w:szCs w:val="22"/>
        </w:rPr>
        <w:t>Večerná dávka</w:t>
      </w:r>
      <w:r w:rsidR="00D20D8E" w:rsidRPr="00D20D8E">
        <w:rPr>
          <w:szCs w:val="22"/>
        </w:rPr>
        <w:t>, ktorá je užitočná na zmiernenie rannej stuhnutosti, a režim rozdeleného dávkovania súvisia s väčším potlačením</w:t>
      </w:r>
      <w:r w:rsidR="00D20D8E">
        <w:rPr>
          <w:szCs w:val="22"/>
        </w:rPr>
        <w:t xml:space="preserve"> osi hypotalamus-hypofýza-nadobličky</w:t>
      </w:r>
      <w:r w:rsidR="00D20D8E" w:rsidRPr="00D20D8E">
        <w:rPr>
          <w:szCs w:val="22"/>
        </w:rPr>
        <w:t xml:space="preserve">. </w:t>
      </w:r>
      <w:bookmarkStart w:id="0" w:name="_Hlk56065980"/>
      <w:r w:rsidRPr="005D0922">
        <w:rPr>
          <w:szCs w:val="22"/>
        </w:rPr>
        <w:t>Ak je zaznamenaná priaznivá odpoveď, dávka by mala byť pomaly, postupne a v pravidelných intervaloch znižovaná až na získanie najnižšej účinnej dávky, ktorá udrží primeranú klinickú odpoveď.</w:t>
      </w:r>
    </w:p>
    <w:bookmarkEnd w:id="0"/>
    <w:p w14:paraId="54D96A2D" w14:textId="77777777" w:rsidR="00D20D8E" w:rsidRPr="00D20D8E" w:rsidRDefault="00D20D8E" w:rsidP="00D20D8E">
      <w:pPr>
        <w:ind w:left="0" w:firstLine="0"/>
        <w:rPr>
          <w:szCs w:val="22"/>
        </w:rPr>
      </w:pPr>
      <w:r w:rsidRPr="00D20D8E">
        <w:rPr>
          <w:szCs w:val="22"/>
        </w:rPr>
        <w:t>Chronické dávkovanie by prednostne nemalo presiahnuť 500</w:t>
      </w:r>
      <w:r>
        <w:rPr>
          <w:szCs w:val="22"/>
        </w:rPr>
        <w:t> </w:t>
      </w:r>
      <w:r w:rsidRPr="00D20D8E">
        <w:rPr>
          <w:szCs w:val="22"/>
        </w:rPr>
        <w:t>mikrogramov dexametazónu denne. Je potrebné pozorne sledovať dávkovanie lieku.</w:t>
      </w:r>
    </w:p>
    <w:p w14:paraId="33CB13E5" w14:textId="7788A75F" w:rsidR="00D20D8E" w:rsidRPr="00D20D8E" w:rsidRDefault="00D20D8E" w:rsidP="00D20D8E">
      <w:pPr>
        <w:ind w:left="0" w:firstLine="0"/>
        <w:rPr>
          <w:szCs w:val="22"/>
        </w:rPr>
      </w:pPr>
      <w:r w:rsidRPr="00D20D8E">
        <w:rPr>
          <w:szCs w:val="22"/>
        </w:rPr>
        <w:t>Aby s</w:t>
      </w:r>
      <w:r>
        <w:rPr>
          <w:szCs w:val="22"/>
        </w:rPr>
        <w:t>a zabránilo hypoadrenalizmu a/</w:t>
      </w:r>
      <w:r w:rsidRPr="00D20D8E">
        <w:rPr>
          <w:szCs w:val="22"/>
        </w:rPr>
        <w:t xml:space="preserve">alebo relapsu základného ochorenia, bude </w:t>
      </w:r>
      <w:r w:rsidR="00A80993">
        <w:rPr>
          <w:szCs w:val="22"/>
        </w:rPr>
        <w:t>pravdepodobne</w:t>
      </w:r>
      <w:r w:rsidRPr="00D20D8E">
        <w:rPr>
          <w:szCs w:val="22"/>
        </w:rPr>
        <w:t xml:space="preserve"> potrebné liek </w:t>
      </w:r>
      <w:r w:rsidRPr="00B350D9">
        <w:rPr>
          <w:szCs w:val="22"/>
        </w:rPr>
        <w:t>vysadiť</w:t>
      </w:r>
      <w:r w:rsidRPr="00D20D8E">
        <w:rPr>
          <w:szCs w:val="22"/>
        </w:rPr>
        <w:t xml:space="preserve"> postupne (pozri „Osobitné upozornenia a opatrenia pri používaní“).</w:t>
      </w:r>
    </w:p>
    <w:p w14:paraId="10C6FFFA" w14:textId="77777777" w:rsidR="00D20D8E" w:rsidRPr="00D20D8E" w:rsidRDefault="00D20D8E" w:rsidP="00D20D8E">
      <w:pPr>
        <w:ind w:left="0" w:firstLine="0"/>
        <w:rPr>
          <w:szCs w:val="22"/>
        </w:rPr>
      </w:pPr>
    </w:p>
    <w:p w14:paraId="3D56CDBF" w14:textId="77777777" w:rsidR="00D20D8E" w:rsidRDefault="00ED3835" w:rsidP="00D20D8E">
      <w:pPr>
        <w:ind w:left="0" w:firstLine="0"/>
        <w:rPr>
          <w:szCs w:val="22"/>
        </w:rPr>
      </w:pPr>
      <w:r w:rsidRPr="00ED3835">
        <w:rPr>
          <w:szCs w:val="22"/>
        </w:rPr>
        <w:t>Ak je to možné, má sa intravenózne podanie použiť na úvodnú dávku a ďalej iba u pacienta v šoku (kvôli nepravidelnej rýchlosti absorpcie akéhokoľvek lieku podávaného akýmkoľvek iným spôsobom týmto pacientom).</w:t>
      </w:r>
      <w:r w:rsidR="00D20D8E" w:rsidRPr="00D20D8E">
        <w:rPr>
          <w:szCs w:val="22"/>
        </w:rPr>
        <w:t xml:space="preserve">Keď </w:t>
      </w:r>
      <w:r w:rsidR="00D20D8E">
        <w:rPr>
          <w:szCs w:val="22"/>
        </w:rPr>
        <w:t xml:space="preserve">reaguje </w:t>
      </w:r>
      <w:r w:rsidR="00D20D8E" w:rsidRPr="00D20D8E">
        <w:rPr>
          <w:szCs w:val="22"/>
        </w:rPr>
        <w:t>krvný tlak, používajte intramuskulárne</w:t>
      </w:r>
      <w:r w:rsidR="00D20D8E">
        <w:rPr>
          <w:szCs w:val="22"/>
        </w:rPr>
        <w:t xml:space="preserve"> podanie</w:t>
      </w:r>
      <w:r w:rsidR="00D20D8E" w:rsidRPr="00D20D8E">
        <w:rPr>
          <w:szCs w:val="22"/>
        </w:rPr>
        <w:t xml:space="preserve">, </w:t>
      </w:r>
      <w:r w:rsidR="00D20D8E">
        <w:rPr>
          <w:szCs w:val="22"/>
        </w:rPr>
        <w:t>po</w:t>
      </w:r>
      <w:r w:rsidR="00D20D8E" w:rsidRPr="00D20D8E">
        <w:rPr>
          <w:szCs w:val="22"/>
        </w:rPr>
        <w:t xml:space="preserve">kým </w:t>
      </w:r>
      <w:r w:rsidR="00D20D8E">
        <w:rPr>
          <w:szCs w:val="22"/>
        </w:rPr>
        <w:t>nie je</w:t>
      </w:r>
      <w:r w:rsidR="00D20D8E" w:rsidRPr="00D20D8E">
        <w:rPr>
          <w:szCs w:val="22"/>
        </w:rPr>
        <w:t xml:space="preserve"> možné </w:t>
      </w:r>
      <w:r w:rsidR="00D20D8E">
        <w:rPr>
          <w:szCs w:val="22"/>
        </w:rPr>
        <w:t xml:space="preserve">ho </w:t>
      </w:r>
      <w:r w:rsidR="00D20D8E" w:rsidRPr="00D20D8E">
        <w:rPr>
          <w:szCs w:val="22"/>
        </w:rPr>
        <w:t>nahradiť peroráln</w:t>
      </w:r>
      <w:r w:rsidR="00D20D8E">
        <w:rPr>
          <w:szCs w:val="22"/>
        </w:rPr>
        <w:t>ou</w:t>
      </w:r>
      <w:r w:rsidR="00D20D8E" w:rsidRPr="00D20D8E">
        <w:rPr>
          <w:szCs w:val="22"/>
        </w:rPr>
        <w:t xml:space="preserve"> liečb</w:t>
      </w:r>
      <w:r w:rsidR="00D20D8E">
        <w:rPr>
          <w:szCs w:val="22"/>
        </w:rPr>
        <w:t>o</w:t>
      </w:r>
      <w:r w:rsidR="00D20D8E" w:rsidRPr="00D20D8E">
        <w:rPr>
          <w:szCs w:val="22"/>
        </w:rPr>
        <w:t>u. Pre pohodlie pacienta by nemali byť do jedného miesta intramuskulárne podané viac ako 2</w:t>
      </w:r>
      <w:r w:rsidR="00D20D8E">
        <w:rPr>
          <w:szCs w:val="22"/>
        </w:rPr>
        <w:t> </w:t>
      </w:r>
      <w:r w:rsidR="00D20D8E" w:rsidRPr="00D20D8E">
        <w:rPr>
          <w:szCs w:val="22"/>
        </w:rPr>
        <w:t>ml.</w:t>
      </w:r>
    </w:p>
    <w:p w14:paraId="461FED81" w14:textId="77777777" w:rsidR="00D20D8E" w:rsidRDefault="00D20D8E" w:rsidP="00D20D8E">
      <w:pPr>
        <w:ind w:left="0" w:firstLine="0"/>
        <w:rPr>
          <w:szCs w:val="22"/>
        </w:rPr>
      </w:pPr>
    </w:p>
    <w:p w14:paraId="51E754E4" w14:textId="77777777" w:rsidR="00D20D8E" w:rsidRPr="00D20D8E" w:rsidRDefault="00D20D8E" w:rsidP="00ED3835">
      <w:pPr>
        <w:ind w:left="0" w:firstLine="0"/>
        <w:rPr>
          <w:szCs w:val="22"/>
        </w:rPr>
      </w:pPr>
      <w:r w:rsidRPr="005D0922">
        <w:rPr>
          <w:szCs w:val="22"/>
        </w:rPr>
        <w:t xml:space="preserve">V prípade núdze je obvyklá dávka Dexamethasone Noridem intravenóznou alebo intramuskulárnou injekciou </w:t>
      </w:r>
      <w:r w:rsidR="005D0922" w:rsidRPr="005D0922">
        <w:rPr>
          <w:szCs w:val="22"/>
        </w:rPr>
        <w:t>4  – 20 mg (1,0  – 5,0 ml)</w:t>
      </w:r>
      <w:r w:rsidR="005D0922">
        <w:rPr>
          <w:szCs w:val="22"/>
        </w:rPr>
        <w:t xml:space="preserve"> </w:t>
      </w:r>
      <w:r>
        <w:rPr>
          <w:szCs w:val="22"/>
        </w:rPr>
        <w:t>–</w:t>
      </w:r>
      <w:r w:rsidRPr="00D20D8E">
        <w:rPr>
          <w:szCs w:val="22"/>
        </w:rPr>
        <w:t xml:space="preserve"> v</w:t>
      </w:r>
      <w:r>
        <w:rPr>
          <w:szCs w:val="22"/>
        </w:rPr>
        <w:t xml:space="preserve"> prípade</w:t>
      </w:r>
      <w:r w:rsidRPr="00D20D8E">
        <w:rPr>
          <w:szCs w:val="22"/>
        </w:rPr>
        <w:t xml:space="preserve"> šoku použite iba </w:t>
      </w:r>
      <w:r w:rsidR="005D0922" w:rsidRPr="00ED3835">
        <w:rPr>
          <w:szCs w:val="22"/>
        </w:rPr>
        <w:t>intravenózne</w:t>
      </w:r>
      <w:r w:rsidR="005D0922">
        <w:rPr>
          <w:szCs w:val="22"/>
        </w:rPr>
        <w:t xml:space="preserve"> </w:t>
      </w:r>
      <w:r>
        <w:rPr>
          <w:szCs w:val="22"/>
        </w:rPr>
        <w:t>podanie</w:t>
      </w:r>
      <w:r w:rsidRPr="00D20D8E">
        <w:rPr>
          <w:szCs w:val="22"/>
        </w:rPr>
        <w:t>. Táto dávka sa môže opakovať, kým sa nezistí adekvátna odpoveď.</w:t>
      </w:r>
    </w:p>
    <w:p w14:paraId="32B07F4D" w14:textId="77777777" w:rsidR="00D20D8E" w:rsidRPr="00D20D8E" w:rsidRDefault="00D20D8E" w:rsidP="00D20D8E">
      <w:pPr>
        <w:ind w:left="0" w:firstLine="0"/>
        <w:rPr>
          <w:szCs w:val="22"/>
        </w:rPr>
      </w:pPr>
      <w:r w:rsidRPr="00D20D8E">
        <w:rPr>
          <w:szCs w:val="22"/>
        </w:rPr>
        <w:t xml:space="preserve">Po počiatočnom zlepšení by mali stačiť jednotlivé dávky </w:t>
      </w:r>
      <w:r w:rsidR="00ED3835" w:rsidRPr="00D20D8E">
        <w:rPr>
          <w:szCs w:val="22"/>
        </w:rPr>
        <w:t>2</w:t>
      </w:r>
      <w:r w:rsidR="00ED3835">
        <w:rPr>
          <w:szCs w:val="22"/>
        </w:rPr>
        <w:t> </w:t>
      </w:r>
      <w:r w:rsidR="00ED3835" w:rsidRPr="00D20D8E">
        <w:rPr>
          <w:szCs w:val="22"/>
        </w:rPr>
        <w:t xml:space="preserve"> </w:t>
      </w:r>
      <w:r w:rsidR="00ED3835">
        <w:rPr>
          <w:szCs w:val="22"/>
        </w:rPr>
        <w:t>–</w:t>
      </w:r>
      <w:r w:rsidR="00ED3835" w:rsidRPr="00D20D8E">
        <w:rPr>
          <w:szCs w:val="22"/>
        </w:rPr>
        <w:t xml:space="preserve"> 4</w:t>
      </w:r>
      <w:r w:rsidR="00ED3835">
        <w:rPr>
          <w:szCs w:val="22"/>
        </w:rPr>
        <w:t> </w:t>
      </w:r>
      <w:r w:rsidR="00ED3835" w:rsidRPr="00D20D8E">
        <w:rPr>
          <w:szCs w:val="22"/>
        </w:rPr>
        <w:t>mg (0,5</w:t>
      </w:r>
      <w:r w:rsidR="00ED3835">
        <w:rPr>
          <w:szCs w:val="22"/>
        </w:rPr>
        <w:t> </w:t>
      </w:r>
      <w:r w:rsidR="00ED3835" w:rsidRPr="00D20D8E">
        <w:rPr>
          <w:szCs w:val="22"/>
        </w:rPr>
        <w:t xml:space="preserve"> </w:t>
      </w:r>
      <w:r w:rsidR="00ED3835">
        <w:rPr>
          <w:szCs w:val="22"/>
        </w:rPr>
        <w:t>–</w:t>
      </w:r>
      <w:r w:rsidR="00ED3835" w:rsidRPr="00D20D8E">
        <w:rPr>
          <w:szCs w:val="22"/>
        </w:rPr>
        <w:t xml:space="preserve"> 1,0</w:t>
      </w:r>
      <w:r w:rsidR="00ED3835">
        <w:rPr>
          <w:szCs w:val="22"/>
        </w:rPr>
        <w:t> </w:t>
      </w:r>
      <w:r w:rsidR="00ED3835" w:rsidRPr="00D20D8E">
        <w:rPr>
          <w:szCs w:val="22"/>
        </w:rPr>
        <w:t>ml),</w:t>
      </w:r>
      <w:r w:rsidR="00ED3835">
        <w:rPr>
          <w:szCs w:val="22"/>
        </w:rPr>
        <w:t xml:space="preserve"> </w:t>
      </w:r>
      <w:r w:rsidRPr="00D20D8E">
        <w:rPr>
          <w:szCs w:val="22"/>
        </w:rPr>
        <w:t>opakované podľa potreby. Celková denná dávka zvyčajne nemusí prekročiť 80</w:t>
      </w:r>
      <w:r>
        <w:rPr>
          <w:szCs w:val="22"/>
        </w:rPr>
        <w:t> </w:t>
      </w:r>
      <w:r w:rsidRPr="00D20D8E">
        <w:rPr>
          <w:szCs w:val="22"/>
        </w:rPr>
        <w:t>mg (20,0</w:t>
      </w:r>
      <w:r>
        <w:rPr>
          <w:szCs w:val="22"/>
        </w:rPr>
        <w:t> </w:t>
      </w:r>
      <w:r w:rsidRPr="00D20D8E">
        <w:rPr>
          <w:szCs w:val="22"/>
        </w:rPr>
        <w:t>ml), a to ani v ťažkých podmienkach.</w:t>
      </w:r>
    </w:p>
    <w:p w14:paraId="381089F6" w14:textId="77777777" w:rsidR="00D20D8E" w:rsidRPr="00D20D8E" w:rsidRDefault="00D20D8E" w:rsidP="00D20D8E">
      <w:pPr>
        <w:ind w:left="0" w:firstLine="0"/>
        <w:rPr>
          <w:szCs w:val="22"/>
        </w:rPr>
      </w:pPr>
    </w:p>
    <w:p w14:paraId="6D8965CD" w14:textId="77777777" w:rsidR="00D20D8E" w:rsidRPr="00D20D8E" w:rsidRDefault="00D20D8E" w:rsidP="00D20D8E">
      <w:pPr>
        <w:ind w:left="0" w:firstLine="0"/>
        <w:rPr>
          <w:szCs w:val="22"/>
        </w:rPr>
      </w:pPr>
      <w:r w:rsidRPr="00D20D8E">
        <w:rPr>
          <w:szCs w:val="22"/>
        </w:rPr>
        <w:t>Ak je požadovaný stály maximálny účinok, dávka sa musí opakovať v trojhodinových alebo štvorhodinových intervaloch alebo sa má udržiavať pomalým intravenóznym podaním.</w:t>
      </w:r>
    </w:p>
    <w:p w14:paraId="4B135598" w14:textId="77777777" w:rsidR="00D20D8E" w:rsidRDefault="00D20D8E" w:rsidP="00D20D8E">
      <w:pPr>
        <w:ind w:left="0" w:firstLine="0"/>
        <w:rPr>
          <w:szCs w:val="22"/>
        </w:rPr>
      </w:pPr>
      <w:r w:rsidRPr="00D20D8E">
        <w:rPr>
          <w:szCs w:val="22"/>
        </w:rPr>
        <w:t>Pri akútnych ochoreniach sa odporúčajú intravenózne alebo intramuskulárne injekcie. Keď akútne štádium pominie, mala by sa čo najskôr nahradiť perorálna liečba steroidmi.</w:t>
      </w:r>
    </w:p>
    <w:p w14:paraId="3FC78641" w14:textId="77777777" w:rsidR="00D20D8E" w:rsidRDefault="00D20D8E" w:rsidP="00D20D8E">
      <w:pPr>
        <w:ind w:left="0" w:firstLine="0"/>
        <w:rPr>
          <w:szCs w:val="22"/>
        </w:rPr>
      </w:pPr>
    </w:p>
    <w:p w14:paraId="647643E0" w14:textId="77777777" w:rsidR="007A2A53" w:rsidRDefault="007A2A53" w:rsidP="00D20D8E">
      <w:pPr>
        <w:ind w:left="0" w:firstLine="0"/>
        <w:rPr>
          <w:szCs w:val="22"/>
        </w:rPr>
      </w:pPr>
      <w:r>
        <w:rPr>
          <w:i/>
          <w:szCs w:val="22"/>
        </w:rPr>
        <w:t>Šok (hemoragického, traumatického alebo chirurgického pôvodu</w:t>
      </w:r>
      <w:r>
        <w:rPr>
          <w:szCs w:val="22"/>
        </w:rPr>
        <w:t>)</w:t>
      </w:r>
      <w:r>
        <w:rPr>
          <w:i/>
          <w:szCs w:val="22"/>
        </w:rPr>
        <w:t>:</w:t>
      </w:r>
    </w:p>
    <w:p w14:paraId="2816E788" w14:textId="77777777" w:rsidR="007A2A53" w:rsidRPr="007A2A53" w:rsidRDefault="007A2A53" w:rsidP="00ED3835">
      <w:pPr>
        <w:ind w:left="0" w:firstLine="0"/>
        <w:rPr>
          <w:szCs w:val="22"/>
        </w:rPr>
      </w:pPr>
      <w:r w:rsidRPr="007A2A53">
        <w:rPr>
          <w:szCs w:val="22"/>
        </w:rPr>
        <w:t xml:space="preserve">Zvyčajne </w:t>
      </w:r>
      <w:r w:rsidR="00ED3835" w:rsidRPr="007A2A53">
        <w:rPr>
          <w:szCs w:val="22"/>
        </w:rPr>
        <w:t>2</w:t>
      </w:r>
      <w:r w:rsidR="00ED3835">
        <w:rPr>
          <w:szCs w:val="22"/>
        </w:rPr>
        <w:t> </w:t>
      </w:r>
      <w:r w:rsidR="00ED3835" w:rsidRPr="007A2A53">
        <w:rPr>
          <w:szCs w:val="22"/>
        </w:rPr>
        <w:t xml:space="preserve"> </w:t>
      </w:r>
      <w:r w:rsidR="00ED3835">
        <w:rPr>
          <w:szCs w:val="22"/>
        </w:rPr>
        <w:t>–</w:t>
      </w:r>
      <w:r w:rsidR="00ED3835" w:rsidRPr="007A2A53">
        <w:rPr>
          <w:szCs w:val="22"/>
        </w:rPr>
        <w:t xml:space="preserve"> 6</w:t>
      </w:r>
      <w:r w:rsidR="00ED3835">
        <w:rPr>
          <w:szCs w:val="22"/>
        </w:rPr>
        <w:t> mg/</w:t>
      </w:r>
      <w:r w:rsidR="00ED3835" w:rsidRPr="007A2A53">
        <w:rPr>
          <w:szCs w:val="22"/>
        </w:rPr>
        <w:t>kg (0,5</w:t>
      </w:r>
      <w:r w:rsidR="00ED3835">
        <w:rPr>
          <w:szCs w:val="22"/>
        </w:rPr>
        <w:t> </w:t>
      </w:r>
      <w:r w:rsidR="00ED3835" w:rsidRPr="007A2A53">
        <w:rPr>
          <w:szCs w:val="22"/>
        </w:rPr>
        <w:t xml:space="preserve"> </w:t>
      </w:r>
      <w:r w:rsidR="00ED3835">
        <w:rPr>
          <w:szCs w:val="22"/>
        </w:rPr>
        <w:t>–</w:t>
      </w:r>
      <w:r w:rsidR="00ED3835" w:rsidRPr="007A2A53">
        <w:rPr>
          <w:szCs w:val="22"/>
        </w:rPr>
        <w:t xml:space="preserve"> 1,5</w:t>
      </w:r>
      <w:r w:rsidR="00ED3835">
        <w:rPr>
          <w:szCs w:val="22"/>
        </w:rPr>
        <w:t> ml</w:t>
      </w:r>
      <w:r w:rsidR="00ED3835" w:rsidRPr="007A2A53">
        <w:rPr>
          <w:szCs w:val="22"/>
        </w:rPr>
        <w:t>/kg)</w:t>
      </w:r>
      <w:r w:rsidR="00ED3835">
        <w:rPr>
          <w:szCs w:val="22"/>
        </w:rPr>
        <w:t xml:space="preserve"> </w:t>
      </w:r>
      <w:r w:rsidRPr="007A2A53">
        <w:rPr>
          <w:szCs w:val="22"/>
        </w:rPr>
        <w:t>telesnej hmotnosti ako jednorazová intravenózna injekci</w:t>
      </w:r>
      <w:r>
        <w:rPr>
          <w:szCs w:val="22"/>
        </w:rPr>
        <w:t xml:space="preserve">a. Ak šok pretrváva, môže sa </w:t>
      </w:r>
      <w:r w:rsidR="00BA78D1">
        <w:rPr>
          <w:szCs w:val="22"/>
        </w:rPr>
        <w:t xml:space="preserve">dávka </w:t>
      </w:r>
      <w:r w:rsidRPr="007A2A53">
        <w:rPr>
          <w:szCs w:val="22"/>
        </w:rPr>
        <w:t xml:space="preserve">opakovať o dve až šesť hodín. Alternatívne môže nasledovať okamžite rovnaká dávka </w:t>
      </w:r>
      <w:r>
        <w:rPr>
          <w:szCs w:val="22"/>
        </w:rPr>
        <w:t>formou intravenóznej infúzie</w:t>
      </w:r>
      <w:r w:rsidRPr="007A2A53">
        <w:rPr>
          <w:szCs w:val="22"/>
        </w:rPr>
        <w:t xml:space="preserve">. Liečba </w:t>
      </w:r>
      <w:r>
        <w:rPr>
          <w:szCs w:val="22"/>
        </w:rPr>
        <w:t>Dexamethasone Noridem</w:t>
      </w:r>
      <w:r w:rsidRPr="007A2A53">
        <w:rPr>
          <w:szCs w:val="22"/>
        </w:rPr>
        <w:t xml:space="preserve"> je doplnkom konvenčnej liečby</w:t>
      </w:r>
      <w:r w:rsidR="00554748">
        <w:rPr>
          <w:szCs w:val="22"/>
        </w:rPr>
        <w:t>,</w:t>
      </w:r>
      <w:r w:rsidRPr="007A2A53">
        <w:rPr>
          <w:szCs w:val="22"/>
        </w:rPr>
        <w:t xml:space="preserve"> a nie jej náhradou.</w:t>
      </w:r>
    </w:p>
    <w:p w14:paraId="11BD0940" w14:textId="77777777" w:rsidR="007A2A53" w:rsidRPr="007A2A53" w:rsidRDefault="007A2A53" w:rsidP="007A2A53">
      <w:pPr>
        <w:ind w:left="0" w:firstLine="0"/>
        <w:rPr>
          <w:szCs w:val="22"/>
        </w:rPr>
      </w:pPr>
    </w:p>
    <w:p w14:paraId="1C18A29C" w14:textId="77777777" w:rsidR="007A2A53" w:rsidRDefault="007A2A53" w:rsidP="007A2A53">
      <w:pPr>
        <w:ind w:left="0" w:firstLine="0"/>
        <w:rPr>
          <w:szCs w:val="22"/>
        </w:rPr>
      </w:pPr>
      <w:r>
        <w:rPr>
          <w:szCs w:val="22"/>
        </w:rPr>
        <w:t>Podávaním</w:t>
      </w:r>
      <w:r w:rsidRPr="007A2A53">
        <w:rPr>
          <w:szCs w:val="22"/>
        </w:rPr>
        <w:t xml:space="preserve"> týchto vysokých dávok sa má pokračovať iba dovtedy, kým sa stav pacienta nestabilizuje</w:t>
      </w:r>
      <w:r w:rsidR="00F243B9">
        <w:rPr>
          <w:szCs w:val="22"/>
        </w:rPr>
        <w:t>,</w:t>
      </w:r>
      <w:r w:rsidRPr="007A2A53">
        <w:rPr>
          <w:szCs w:val="22"/>
        </w:rPr>
        <w:t xml:space="preserve"> a zvyčajne nie dlhšie ako 48</w:t>
      </w:r>
      <w:r w:rsidR="007D2973">
        <w:rPr>
          <w:szCs w:val="22"/>
        </w:rPr>
        <w:t xml:space="preserve"> </w:t>
      </w:r>
      <w:r w:rsidR="00D72E69">
        <w:rPr>
          <w:szCs w:val="22"/>
        </w:rPr>
        <w:t>–</w:t>
      </w:r>
      <w:r w:rsidR="007D2973">
        <w:rPr>
          <w:szCs w:val="22"/>
        </w:rPr>
        <w:t xml:space="preserve"> </w:t>
      </w:r>
      <w:r w:rsidRPr="007A2A53">
        <w:rPr>
          <w:szCs w:val="22"/>
        </w:rPr>
        <w:t>72 hodín.</w:t>
      </w:r>
    </w:p>
    <w:p w14:paraId="782303A6" w14:textId="77777777" w:rsidR="007A2A53" w:rsidRDefault="007A2A53" w:rsidP="007A2A53">
      <w:pPr>
        <w:ind w:left="0" w:firstLine="0"/>
        <w:rPr>
          <w:szCs w:val="22"/>
        </w:rPr>
      </w:pPr>
    </w:p>
    <w:p w14:paraId="724FF45B" w14:textId="77777777" w:rsidR="007A2A53" w:rsidRDefault="007A2A53" w:rsidP="007A2A53">
      <w:pPr>
        <w:ind w:left="0" w:firstLine="0"/>
        <w:rPr>
          <w:szCs w:val="22"/>
        </w:rPr>
      </w:pPr>
      <w:r>
        <w:rPr>
          <w:i/>
          <w:szCs w:val="22"/>
        </w:rPr>
        <w:t>Cerebrálny edém:</w:t>
      </w:r>
    </w:p>
    <w:p w14:paraId="005E4D69" w14:textId="532F8463" w:rsidR="007A2A53" w:rsidRPr="007A2A53" w:rsidRDefault="007A2A53" w:rsidP="007A2A53">
      <w:pPr>
        <w:ind w:left="0" w:firstLine="0"/>
        <w:rPr>
          <w:szCs w:val="22"/>
        </w:rPr>
      </w:pPr>
      <w:r w:rsidRPr="007A2A53">
        <w:rPr>
          <w:szCs w:val="22"/>
        </w:rPr>
        <w:t xml:space="preserve">Súvisí s primárnym alebo metastatickým mozgovým nádorom, predoperačná príprava pacientov so </w:t>
      </w:r>
      <w:r w:rsidR="00ED3835">
        <w:rPr>
          <w:szCs w:val="22"/>
        </w:rPr>
        <w:t xml:space="preserve">sekundárne </w:t>
      </w:r>
      <w:r w:rsidR="00ED3835" w:rsidRPr="007A2A53">
        <w:rPr>
          <w:szCs w:val="22"/>
        </w:rPr>
        <w:t xml:space="preserve">zvýšeným intrakraniálnym tlakom </w:t>
      </w:r>
      <w:r w:rsidR="00ED3835">
        <w:rPr>
          <w:szCs w:val="22"/>
        </w:rPr>
        <w:t>pri</w:t>
      </w:r>
      <w:r w:rsidR="00ED3835" w:rsidRPr="007A2A53">
        <w:rPr>
          <w:szCs w:val="22"/>
        </w:rPr>
        <w:t xml:space="preserve"> mozgov</w:t>
      </w:r>
      <w:r w:rsidR="00ED3835">
        <w:rPr>
          <w:szCs w:val="22"/>
        </w:rPr>
        <w:t>om</w:t>
      </w:r>
      <w:r w:rsidR="00ED3835" w:rsidRPr="007A2A53">
        <w:rPr>
          <w:szCs w:val="22"/>
        </w:rPr>
        <w:t xml:space="preserve"> nádor</w:t>
      </w:r>
      <w:r w:rsidR="00A80993">
        <w:rPr>
          <w:szCs w:val="22"/>
        </w:rPr>
        <w:t>e</w:t>
      </w:r>
      <w:r w:rsidRPr="007A2A53">
        <w:rPr>
          <w:szCs w:val="22"/>
        </w:rPr>
        <w:t>: spočiatku 10</w:t>
      </w:r>
      <w:r>
        <w:rPr>
          <w:szCs w:val="22"/>
        </w:rPr>
        <w:t> </w:t>
      </w:r>
      <w:r w:rsidRPr="007A2A53">
        <w:rPr>
          <w:szCs w:val="22"/>
        </w:rPr>
        <w:t>mg (2,5</w:t>
      </w:r>
      <w:r>
        <w:rPr>
          <w:szCs w:val="22"/>
        </w:rPr>
        <w:t> </w:t>
      </w:r>
      <w:r w:rsidRPr="007A2A53">
        <w:rPr>
          <w:szCs w:val="22"/>
        </w:rPr>
        <w:t xml:space="preserve">ml) intravenózne, </w:t>
      </w:r>
      <w:r>
        <w:rPr>
          <w:szCs w:val="22"/>
        </w:rPr>
        <w:t>následne</w:t>
      </w:r>
      <w:r w:rsidRPr="007A2A53">
        <w:rPr>
          <w:szCs w:val="22"/>
        </w:rPr>
        <w:t xml:space="preserve"> 4</w:t>
      </w:r>
      <w:r>
        <w:rPr>
          <w:szCs w:val="22"/>
        </w:rPr>
        <w:t> </w:t>
      </w:r>
      <w:r w:rsidRPr="007A2A53">
        <w:rPr>
          <w:szCs w:val="22"/>
        </w:rPr>
        <w:t>mg (1,0</w:t>
      </w:r>
      <w:r>
        <w:rPr>
          <w:szCs w:val="22"/>
        </w:rPr>
        <w:t> </w:t>
      </w:r>
      <w:r w:rsidRPr="007A2A53">
        <w:rPr>
          <w:szCs w:val="22"/>
        </w:rPr>
        <w:t xml:space="preserve">ml) intramuskulárne každých šesť hodín, kým príznaky </w:t>
      </w:r>
      <w:r>
        <w:rPr>
          <w:szCs w:val="22"/>
        </w:rPr>
        <w:t>cerebrálneho</w:t>
      </w:r>
      <w:r w:rsidRPr="007A2A53">
        <w:rPr>
          <w:szCs w:val="22"/>
        </w:rPr>
        <w:t xml:space="preserve"> edému neustúpia. Odpoveď je zvyčajne zaznamenaná do 12</w:t>
      </w:r>
      <w:r w:rsidR="007D2973">
        <w:rPr>
          <w:szCs w:val="22"/>
        </w:rPr>
        <w:t xml:space="preserve"> </w:t>
      </w:r>
      <w:r w:rsidR="00D72E69">
        <w:rPr>
          <w:szCs w:val="22"/>
        </w:rPr>
        <w:t>–</w:t>
      </w:r>
      <w:r w:rsidR="007D2973">
        <w:rPr>
          <w:szCs w:val="22"/>
        </w:rPr>
        <w:t xml:space="preserve"> </w:t>
      </w:r>
      <w:r w:rsidRPr="007A2A53">
        <w:rPr>
          <w:szCs w:val="22"/>
        </w:rPr>
        <w:t>24 hodín; dávku je možné znížiť po dvoch až štyroch dňoch a postupne vysadiť v priebehu piatich až siedmich dní.</w:t>
      </w:r>
    </w:p>
    <w:p w14:paraId="3CCC5C7B" w14:textId="77777777" w:rsidR="007A2A53" w:rsidRPr="007A2A53" w:rsidRDefault="007A2A53" w:rsidP="007A2A53">
      <w:pPr>
        <w:ind w:left="0" w:firstLine="0"/>
        <w:rPr>
          <w:szCs w:val="22"/>
        </w:rPr>
      </w:pPr>
    </w:p>
    <w:p w14:paraId="0704C264" w14:textId="77777777" w:rsidR="007A2A53" w:rsidRDefault="007A2A53" w:rsidP="007A2A53">
      <w:pPr>
        <w:ind w:left="0" w:firstLine="0"/>
        <w:rPr>
          <w:szCs w:val="22"/>
        </w:rPr>
      </w:pPr>
      <w:r w:rsidRPr="007A2A53">
        <w:rPr>
          <w:szCs w:val="22"/>
        </w:rPr>
        <w:lastRenderedPageBreak/>
        <w:t xml:space="preserve">Na začatie krátkodobej intenzívnej liečby akútneho život ohrozujúceho </w:t>
      </w:r>
      <w:r>
        <w:rPr>
          <w:szCs w:val="22"/>
        </w:rPr>
        <w:t>cerebrálneho</w:t>
      </w:r>
      <w:r w:rsidRPr="007A2A53">
        <w:rPr>
          <w:szCs w:val="22"/>
        </w:rPr>
        <w:t xml:space="preserve"> edému sa odporúčajú vysoké dávky </w:t>
      </w:r>
      <w:r>
        <w:rPr>
          <w:szCs w:val="22"/>
        </w:rPr>
        <w:t xml:space="preserve">Dexamethasone </w:t>
      </w:r>
      <w:r w:rsidRPr="007A2A53">
        <w:rPr>
          <w:szCs w:val="22"/>
        </w:rPr>
        <w:t xml:space="preserve">Noridem. V súlade s harmonogramom </w:t>
      </w:r>
      <w:r w:rsidR="00ED3835" w:rsidRPr="00ED3835">
        <w:rPr>
          <w:szCs w:val="22"/>
        </w:rPr>
        <w:t>podávania vysokých</w:t>
      </w:r>
      <w:r w:rsidRPr="007A2A53">
        <w:rPr>
          <w:szCs w:val="22"/>
        </w:rPr>
        <w:t xml:space="preserve"> dávok sa dávka </w:t>
      </w:r>
      <w:r>
        <w:rPr>
          <w:szCs w:val="22"/>
        </w:rPr>
        <w:t xml:space="preserve">v prvý deň </w:t>
      </w:r>
      <w:r w:rsidRPr="007A2A53">
        <w:rPr>
          <w:szCs w:val="22"/>
        </w:rPr>
        <w:t>liečby v priebehu sedemdňového až desaťdňového obdobia intenzívnej liečby zmenší a následne sa v priebehu nasledujúcich siedmich až desiatich dní zníži na nulu. Ak je potrebná udržiavacia liečba, čo najskôr nahraďte perorálny dexametazón (pozri tabuľku nižšie).</w:t>
      </w:r>
    </w:p>
    <w:p w14:paraId="5CA220D0" w14:textId="77777777" w:rsidR="007A2A53" w:rsidRDefault="007A2A53" w:rsidP="007A2A53">
      <w:pPr>
        <w:ind w:left="0" w:firstLine="0"/>
        <w:rPr>
          <w:szCs w:val="22"/>
        </w:rPr>
      </w:pPr>
    </w:p>
    <w:p w14:paraId="52D1A507" w14:textId="77777777" w:rsidR="007A2A53" w:rsidRDefault="007A2A53" w:rsidP="007A2A53">
      <w:pPr>
        <w:ind w:left="0" w:firstLine="0"/>
        <w:rPr>
          <w:szCs w:val="22"/>
        </w:rPr>
      </w:pPr>
      <w:r>
        <w:rPr>
          <w:i/>
          <w:szCs w:val="22"/>
        </w:rPr>
        <w:t>Manažment opakujúcich sa alebo neoperovateľných nádorov mozgu:</w:t>
      </w:r>
    </w:p>
    <w:p w14:paraId="4FB4D2BC" w14:textId="77777777" w:rsidR="00D36A78" w:rsidRPr="00D36A78" w:rsidRDefault="00D36A78" w:rsidP="00D36A78">
      <w:pPr>
        <w:ind w:left="0" w:firstLine="0"/>
        <w:rPr>
          <w:szCs w:val="22"/>
        </w:rPr>
      </w:pPr>
      <w:r w:rsidRPr="00D36A78">
        <w:rPr>
          <w:szCs w:val="22"/>
        </w:rPr>
        <w:t>Udržiavacia liečba by mala byť s</w:t>
      </w:r>
      <w:r>
        <w:rPr>
          <w:szCs w:val="22"/>
        </w:rPr>
        <w:t>tanovená pre každého pacienta; ú</w:t>
      </w:r>
      <w:r w:rsidRPr="00D36A78">
        <w:rPr>
          <w:szCs w:val="22"/>
        </w:rPr>
        <w:t>činné môžu byť 2</w:t>
      </w:r>
      <w:r>
        <w:rPr>
          <w:szCs w:val="22"/>
        </w:rPr>
        <w:t> </w:t>
      </w:r>
      <w:r w:rsidRPr="00D36A78">
        <w:rPr>
          <w:szCs w:val="22"/>
        </w:rPr>
        <w:t>mg (0,5</w:t>
      </w:r>
      <w:r>
        <w:rPr>
          <w:szCs w:val="22"/>
        </w:rPr>
        <w:t> </w:t>
      </w:r>
      <w:r w:rsidRPr="00D36A78">
        <w:rPr>
          <w:szCs w:val="22"/>
        </w:rPr>
        <w:t>ml) dvakrát alebo trikrát denne.</w:t>
      </w:r>
    </w:p>
    <w:p w14:paraId="6705644A" w14:textId="77777777" w:rsidR="00D36A78" w:rsidRPr="00D36A78" w:rsidRDefault="00D36A78" w:rsidP="00D36A78">
      <w:pPr>
        <w:ind w:left="0" w:firstLine="0"/>
        <w:rPr>
          <w:szCs w:val="22"/>
        </w:rPr>
      </w:pPr>
      <w:r w:rsidRPr="00D36A78">
        <w:rPr>
          <w:szCs w:val="22"/>
        </w:rPr>
        <w:t xml:space="preserve">Mala by sa použiť najmenšia dávka nevyhnutná na zvládnutie </w:t>
      </w:r>
      <w:r>
        <w:rPr>
          <w:szCs w:val="22"/>
        </w:rPr>
        <w:t>cerebrálneho</w:t>
      </w:r>
      <w:r w:rsidRPr="00D36A78">
        <w:rPr>
          <w:szCs w:val="22"/>
        </w:rPr>
        <w:t xml:space="preserve"> edému.</w:t>
      </w:r>
    </w:p>
    <w:p w14:paraId="54E55D99" w14:textId="77777777" w:rsidR="007A2A53" w:rsidRDefault="00D36A78" w:rsidP="00D36A78">
      <w:pPr>
        <w:ind w:left="0" w:firstLine="0"/>
        <w:rPr>
          <w:szCs w:val="22"/>
        </w:rPr>
      </w:pPr>
      <w:r w:rsidRPr="00D36A78">
        <w:rPr>
          <w:szCs w:val="22"/>
        </w:rPr>
        <w:t xml:space="preserve">Navrhovaný režim vysokých dávok pri </w:t>
      </w:r>
      <w:r>
        <w:rPr>
          <w:szCs w:val="22"/>
        </w:rPr>
        <w:t>cerebrálnom</w:t>
      </w:r>
      <w:r w:rsidRPr="00D36A78">
        <w:rPr>
          <w:szCs w:val="22"/>
        </w:rPr>
        <w:t xml:space="preserve"> edéme</w:t>
      </w:r>
      <w:r w:rsidR="00875232">
        <w:rPr>
          <w:szCs w:val="22"/>
        </w:rPr>
        <w:t>:</w:t>
      </w:r>
    </w:p>
    <w:p w14:paraId="7E4493F0" w14:textId="77777777" w:rsidR="00095674" w:rsidRDefault="00095674" w:rsidP="00D36A78">
      <w:pPr>
        <w:ind w:left="0" w:firstLine="0"/>
        <w:rPr>
          <w:i/>
          <w:szCs w:val="22"/>
        </w:rPr>
      </w:pPr>
    </w:p>
    <w:p w14:paraId="27EC6AD4" w14:textId="77777777" w:rsidR="00D36A78" w:rsidRDefault="00D36A78" w:rsidP="00D36A78">
      <w:pPr>
        <w:ind w:left="0" w:firstLine="0"/>
        <w:rPr>
          <w:szCs w:val="22"/>
        </w:rPr>
      </w:pPr>
      <w:r>
        <w:rPr>
          <w:i/>
          <w:szCs w:val="22"/>
        </w:rPr>
        <w:t>Dospelí:</w:t>
      </w:r>
    </w:p>
    <w:p w14:paraId="33CB1E9C" w14:textId="77777777" w:rsidR="00D36A78" w:rsidRDefault="00D36A78" w:rsidP="00D36A78">
      <w:pPr>
        <w:ind w:left="0" w:firstLine="0"/>
        <w:rPr>
          <w:szCs w:val="22"/>
        </w:rPr>
      </w:pPr>
      <w:r>
        <w:rPr>
          <w:szCs w:val="22"/>
        </w:rPr>
        <w:t>Úvodná dávka 50 mg (12,5 ml) i.v.</w:t>
      </w:r>
    </w:p>
    <w:p w14:paraId="1262071D" w14:textId="77777777" w:rsidR="00D36A78" w:rsidRPr="00D36A78" w:rsidRDefault="00D36A78" w:rsidP="00D36A78">
      <w:pPr>
        <w:ind w:left="0" w:firstLine="0"/>
        <w:rPr>
          <w:szCs w:val="22"/>
        </w:rPr>
      </w:pPr>
      <w:r>
        <w:rPr>
          <w:szCs w:val="22"/>
        </w:rPr>
        <w:t>1. deň</w:t>
      </w:r>
      <w:r>
        <w:rPr>
          <w:szCs w:val="22"/>
        </w:rPr>
        <w:tab/>
      </w:r>
      <w:r>
        <w:rPr>
          <w:szCs w:val="22"/>
        </w:rPr>
        <w:tab/>
      </w:r>
      <w:r>
        <w:rPr>
          <w:szCs w:val="22"/>
        </w:rPr>
        <w:tab/>
        <w:t>8 mg (2 ml) i.v. každé 2 hodiny</w:t>
      </w:r>
    </w:p>
    <w:p w14:paraId="55B79F1A" w14:textId="77777777" w:rsidR="00D36A78" w:rsidRPr="00D36A78" w:rsidRDefault="00D36A78" w:rsidP="00D36A78">
      <w:pPr>
        <w:ind w:left="0" w:firstLine="0"/>
        <w:rPr>
          <w:szCs w:val="22"/>
        </w:rPr>
      </w:pPr>
      <w:r>
        <w:rPr>
          <w:szCs w:val="22"/>
        </w:rPr>
        <w:t>2. deň</w:t>
      </w:r>
      <w:r>
        <w:rPr>
          <w:szCs w:val="22"/>
        </w:rPr>
        <w:tab/>
      </w:r>
      <w:r>
        <w:rPr>
          <w:szCs w:val="22"/>
        </w:rPr>
        <w:tab/>
      </w:r>
      <w:r>
        <w:rPr>
          <w:szCs w:val="22"/>
        </w:rPr>
        <w:tab/>
        <w:t>8 mg (2 ml) i.v. každé 2 hodiny</w:t>
      </w:r>
    </w:p>
    <w:p w14:paraId="005F91CC" w14:textId="77777777" w:rsidR="00D36A78" w:rsidRPr="00D36A78" w:rsidRDefault="00D36A78" w:rsidP="00D36A78">
      <w:pPr>
        <w:ind w:left="0" w:firstLine="0"/>
        <w:rPr>
          <w:szCs w:val="22"/>
        </w:rPr>
      </w:pPr>
      <w:r>
        <w:rPr>
          <w:szCs w:val="22"/>
        </w:rPr>
        <w:t>3. deň</w:t>
      </w:r>
      <w:r>
        <w:rPr>
          <w:szCs w:val="22"/>
        </w:rPr>
        <w:tab/>
      </w:r>
      <w:r>
        <w:rPr>
          <w:szCs w:val="22"/>
        </w:rPr>
        <w:tab/>
      </w:r>
      <w:r>
        <w:rPr>
          <w:szCs w:val="22"/>
        </w:rPr>
        <w:tab/>
        <w:t>8 mg (2 ml) i.v. každé 2 hodiny</w:t>
      </w:r>
    </w:p>
    <w:p w14:paraId="6D69016B" w14:textId="77777777" w:rsidR="00D36A78" w:rsidRPr="00D36A78" w:rsidRDefault="00D36A78" w:rsidP="00D36A78">
      <w:pPr>
        <w:ind w:left="0" w:firstLine="0"/>
        <w:rPr>
          <w:szCs w:val="22"/>
        </w:rPr>
      </w:pPr>
      <w:r>
        <w:rPr>
          <w:szCs w:val="22"/>
        </w:rPr>
        <w:t>4. deň</w:t>
      </w:r>
      <w:r>
        <w:rPr>
          <w:szCs w:val="22"/>
        </w:rPr>
        <w:tab/>
      </w:r>
      <w:r>
        <w:rPr>
          <w:szCs w:val="22"/>
        </w:rPr>
        <w:tab/>
      </w:r>
      <w:r>
        <w:rPr>
          <w:szCs w:val="22"/>
        </w:rPr>
        <w:tab/>
        <w:t>4 mg (1 ml) i.v. každé 2 hodiny</w:t>
      </w:r>
    </w:p>
    <w:p w14:paraId="70685C8E" w14:textId="77777777" w:rsidR="00D36A78" w:rsidRPr="00D36A78" w:rsidRDefault="00D36A78" w:rsidP="00D36A78">
      <w:pPr>
        <w:ind w:left="0" w:firstLine="0"/>
        <w:rPr>
          <w:szCs w:val="22"/>
        </w:rPr>
      </w:pPr>
      <w:r>
        <w:rPr>
          <w:szCs w:val="22"/>
        </w:rPr>
        <w:t>5. – 8. deň</w:t>
      </w:r>
      <w:r>
        <w:rPr>
          <w:szCs w:val="22"/>
        </w:rPr>
        <w:tab/>
      </w:r>
      <w:r>
        <w:rPr>
          <w:szCs w:val="22"/>
        </w:rPr>
        <w:tab/>
        <w:t>4 mg (</w:t>
      </w:r>
      <w:r w:rsidR="00A53216">
        <w:rPr>
          <w:szCs w:val="22"/>
        </w:rPr>
        <w:t>1</w:t>
      </w:r>
      <w:r>
        <w:rPr>
          <w:szCs w:val="22"/>
        </w:rPr>
        <w:t> ml) i.v. každé 4 hodiny</w:t>
      </w:r>
    </w:p>
    <w:p w14:paraId="6EB3B762" w14:textId="77777777" w:rsidR="007A2A53" w:rsidRDefault="00D36A78" w:rsidP="00D20D8E">
      <w:pPr>
        <w:ind w:left="0" w:firstLine="0"/>
        <w:rPr>
          <w:szCs w:val="22"/>
        </w:rPr>
      </w:pPr>
      <w:r w:rsidRPr="00D36A78">
        <w:rPr>
          <w:szCs w:val="22"/>
        </w:rPr>
        <w:t xml:space="preserve">Potom </w:t>
      </w:r>
      <w:r>
        <w:rPr>
          <w:szCs w:val="22"/>
        </w:rPr>
        <w:t xml:space="preserve">denný </w:t>
      </w:r>
      <w:r w:rsidRPr="00D36A78">
        <w:rPr>
          <w:szCs w:val="22"/>
        </w:rPr>
        <w:t>pokles o</w:t>
      </w:r>
      <w:r>
        <w:rPr>
          <w:szCs w:val="22"/>
        </w:rPr>
        <w:t> </w:t>
      </w:r>
      <w:r w:rsidRPr="00D36A78">
        <w:rPr>
          <w:szCs w:val="22"/>
        </w:rPr>
        <w:t>4</w:t>
      </w:r>
      <w:r>
        <w:rPr>
          <w:szCs w:val="22"/>
        </w:rPr>
        <w:t> mg (1 </w:t>
      </w:r>
      <w:r w:rsidRPr="00D36A78">
        <w:rPr>
          <w:szCs w:val="22"/>
        </w:rPr>
        <w:t>ml)</w:t>
      </w:r>
    </w:p>
    <w:p w14:paraId="7F8F17EB" w14:textId="77777777" w:rsidR="00D36A78" w:rsidRDefault="00D36A78" w:rsidP="00D20D8E">
      <w:pPr>
        <w:ind w:left="0" w:firstLine="0"/>
        <w:rPr>
          <w:szCs w:val="22"/>
        </w:rPr>
      </w:pPr>
    </w:p>
    <w:p w14:paraId="2F95932D" w14:textId="77777777" w:rsidR="00D36A78" w:rsidRDefault="00D36A78" w:rsidP="00D36A78">
      <w:pPr>
        <w:ind w:left="0" w:firstLine="0"/>
        <w:rPr>
          <w:szCs w:val="22"/>
        </w:rPr>
      </w:pPr>
      <w:r>
        <w:rPr>
          <w:i/>
          <w:szCs w:val="22"/>
        </w:rPr>
        <w:t>Deti (35 kg a viac):</w:t>
      </w:r>
    </w:p>
    <w:p w14:paraId="183BE21E" w14:textId="77777777" w:rsidR="00D36A78" w:rsidRDefault="00D36A78" w:rsidP="00D36A78">
      <w:pPr>
        <w:ind w:left="0" w:firstLine="0"/>
        <w:rPr>
          <w:szCs w:val="22"/>
        </w:rPr>
      </w:pPr>
      <w:r>
        <w:rPr>
          <w:szCs w:val="22"/>
        </w:rPr>
        <w:t>Úvodná dávka 25 mg (6,25 ml) i.v.</w:t>
      </w:r>
    </w:p>
    <w:p w14:paraId="4C5E584A" w14:textId="77777777" w:rsidR="00D36A78" w:rsidRPr="00D36A78" w:rsidRDefault="00D36A78" w:rsidP="00D36A78">
      <w:pPr>
        <w:ind w:left="0" w:firstLine="0"/>
        <w:rPr>
          <w:szCs w:val="22"/>
        </w:rPr>
      </w:pPr>
      <w:r>
        <w:rPr>
          <w:szCs w:val="22"/>
        </w:rPr>
        <w:t>1. deň</w:t>
      </w:r>
      <w:r>
        <w:rPr>
          <w:szCs w:val="22"/>
        </w:rPr>
        <w:tab/>
      </w:r>
      <w:r>
        <w:rPr>
          <w:szCs w:val="22"/>
        </w:rPr>
        <w:tab/>
      </w:r>
      <w:r>
        <w:rPr>
          <w:szCs w:val="22"/>
        </w:rPr>
        <w:tab/>
        <w:t>4 mg (1 ml) i.v. každé 2 hodiny</w:t>
      </w:r>
    </w:p>
    <w:p w14:paraId="5A6DDBFC" w14:textId="77777777" w:rsidR="00D36A78" w:rsidRPr="00D36A78" w:rsidRDefault="00D36A78" w:rsidP="00D36A78">
      <w:pPr>
        <w:ind w:left="0" w:firstLine="0"/>
        <w:rPr>
          <w:szCs w:val="22"/>
        </w:rPr>
      </w:pPr>
      <w:r>
        <w:rPr>
          <w:szCs w:val="22"/>
        </w:rPr>
        <w:t>2. deň</w:t>
      </w:r>
      <w:r>
        <w:rPr>
          <w:szCs w:val="22"/>
        </w:rPr>
        <w:tab/>
      </w:r>
      <w:r>
        <w:rPr>
          <w:szCs w:val="22"/>
        </w:rPr>
        <w:tab/>
      </w:r>
      <w:r>
        <w:rPr>
          <w:szCs w:val="22"/>
        </w:rPr>
        <w:tab/>
        <w:t>4 mg (1 ml) i.v. každé 2 hodiny</w:t>
      </w:r>
    </w:p>
    <w:p w14:paraId="439D28DD" w14:textId="77777777" w:rsidR="00D36A78" w:rsidRPr="00D36A78" w:rsidRDefault="00D36A78" w:rsidP="00D36A78">
      <w:pPr>
        <w:ind w:left="0" w:firstLine="0"/>
        <w:rPr>
          <w:szCs w:val="22"/>
        </w:rPr>
      </w:pPr>
      <w:r>
        <w:rPr>
          <w:szCs w:val="22"/>
        </w:rPr>
        <w:t>3. deň</w:t>
      </w:r>
      <w:r>
        <w:rPr>
          <w:szCs w:val="22"/>
        </w:rPr>
        <w:tab/>
      </w:r>
      <w:r>
        <w:rPr>
          <w:szCs w:val="22"/>
        </w:rPr>
        <w:tab/>
      </w:r>
      <w:r>
        <w:rPr>
          <w:szCs w:val="22"/>
        </w:rPr>
        <w:tab/>
        <w:t>4 mg (1 ml) i.v. každé 2 hodiny</w:t>
      </w:r>
    </w:p>
    <w:p w14:paraId="7F3589B6" w14:textId="77777777" w:rsidR="00D36A78" w:rsidRPr="00D36A78" w:rsidRDefault="00D36A78" w:rsidP="00D36A78">
      <w:pPr>
        <w:ind w:left="0" w:firstLine="0"/>
        <w:rPr>
          <w:szCs w:val="22"/>
        </w:rPr>
      </w:pPr>
      <w:r>
        <w:rPr>
          <w:szCs w:val="22"/>
        </w:rPr>
        <w:t>4. deň</w:t>
      </w:r>
      <w:r>
        <w:rPr>
          <w:szCs w:val="22"/>
        </w:rPr>
        <w:tab/>
      </w:r>
      <w:r>
        <w:rPr>
          <w:szCs w:val="22"/>
        </w:rPr>
        <w:tab/>
      </w:r>
      <w:r>
        <w:rPr>
          <w:szCs w:val="22"/>
        </w:rPr>
        <w:tab/>
        <w:t>4 mg (1 ml) i.v. každé 4 hodiny</w:t>
      </w:r>
    </w:p>
    <w:p w14:paraId="43F10CBE" w14:textId="77777777" w:rsidR="00D36A78" w:rsidRPr="00D36A78" w:rsidRDefault="00D36A78" w:rsidP="00D36A78">
      <w:pPr>
        <w:ind w:left="0" w:firstLine="0"/>
        <w:rPr>
          <w:szCs w:val="22"/>
        </w:rPr>
      </w:pPr>
      <w:r>
        <w:rPr>
          <w:szCs w:val="22"/>
        </w:rPr>
        <w:t>5. – 8. deň</w:t>
      </w:r>
      <w:r>
        <w:rPr>
          <w:szCs w:val="22"/>
        </w:rPr>
        <w:tab/>
      </w:r>
      <w:r>
        <w:rPr>
          <w:szCs w:val="22"/>
        </w:rPr>
        <w:tab/>
        <w:t>4 mg (1 ml) i.v. každých 6 hodín</w:t>
      </w:r>
    </w:p>
    <w:p w14:paraId="1182B828" w14:textId="77777777" w:rsidR="00D36A78" w:rsidRDefault="00D36A78" w:rsidP="00D36A78">
      <w:pPr>
        <w:ind w:left="0" w:firstLine="0"/>
        <w:rPr>
          <w:szCs w:val="22"/>
        </w:rPr>
      </w:pPr>
      <w:r w:rsidRPr="00D36A78">
        <w:rPr>
          <w:szCs w:val="22"/>
        </w:rPr>
        <w:t xml:space="preserve">Potom </w:t>
      </w:r>
      <w:r>
        <w:rPr>
          <w:szCs w:val="22"/>
        </w:rPr>
        <w:t xml:space="preserve">denný </w:t>
      </w:r>
      <w:r w:rsidRPr="00D36A78">
        <w:rPr>
          <w:szCs w:val="22"/>
        </w:rPr>
        <w:t>pokles o</w:t>
      </w:r>
      <w:r>
        <w:rPr>
          <w:szCs w:val="22"/>
        </w:rPr>
        <w:t> 2 mg (0,5 </w:t>
      </w:r>
      <w:r w:rsidRPr="00D36A78">
        <w:rPr>
          <w:szCs w:val="22"/>
        </w:rPr>
        <w:t>ml)</w:t>
      </w:r>
    </w:p>
    <w:p w14:paraId="5EDF95EB" w14:textId="77777777" w:rsidR="00D36A78" w:rsidRDefault="00D36A78" w:rsidP="00D20D8E">
      <w:pPr>
        <w:ind w:left="0" w:firstLine="0"/>
        <w:rPr>
          <w:szCs w:val="22"/>
        </w:rPr>
      </w:pPr>
    </w:p>
    <w:p w14:paraId="42874BD6" w14:textId="77777777" w:rsidR="00D36A78" w:rsidRDefault="00D36A78" w:rsidP="00D36A78">
      <w:pPr>
        <w:ind w:left="0" w:firstLine="0"/>
        <w:rPr>
          <w:szCs w:val="22"/>
        </w:rPr>
      </w:pPr>
      <w:r>
        <w:rPr>
          <w:i/>
          <w:szCs w:val="22"/>
        </w:rPr>
        <w:t>Deti (menej ako 35 kg):</w:t>
      </w:r>
    </w:p>
    <w:p w14:paraId="5B75270F" w14:textId="77777777" w:rsidR="00D36A78" w:rsidRDefault="00D36A78" w:rsidP="00D36A78">
      <w:pPr>
        <w:ind w:left="0" w:firstLine="0"/>
        <w:rPr>
          <w:szCs w:val="22"/>
        </w:rPr>
      </w:pPr>
      <w:r>
        <w:rPr>
          <w:szCs w:val="22"/>
        </w:rPr>
        <w:t>Úvodná dávka 20 mg (5 ml) i.v.</w:t>
      </w:r>
    </w:p>
    <w:p w14:paraId="38684DE1" w14:textId="77777777" w:rsidR="00D36A78" w:rsidRPr="00D36A78" w:rsidRDefault="00D36A78" w:rsidP="00D36A78">
      <w:pPr>
        <w:ind w:left="0" w:firstLine="0"/>
        <w:rPr>
          <w:szCs w:val="22"/>
        </w:rPr>
      </w:pPr>
      <w:r>
        <w:rPr>
          <w:szCs w:val="22"/>
        </w:rPr>
        <w:t>1. deň</w:t>
      </w:r>
      <w:r>
        <w:rPr>
          <w:szCs w:val="22"/>
        </w:rPr>
        <w:tab/>
      </w:r>
      <w:r>
        <w:rPr>
          <w:szCs w:val="22"/>
        </w:rPr>
        <w:tab/>
      </w:r>
      <w:r>
        <w:rPr>
          <w:szCs w:val="22"/>
        </w:rPr>
        <w:tab/>
        <w:t>4 mg (1 ml) i.v. každé 3 hodiny</w:t>
      </w:r>
    </w:p>
    <w:p w14:paraId="14808C01" w14:textId="77777777" w:rsidR="00D36A78" w:rsidRPr="00D36A78" w:rsidRDefault="00D36A78" w:rsidP="00D36A78">
      <w:pPr>
        <w:ind w:left="0" w:firstLine="0"/>
        <w:rPr>
          <w:szCs w:val="22"/>
        </w:rPr>
      </w:pPr>
      <w:r>
        <w:rPr>
          <w:szCs w:val="22"/>
        </w:rPr>
        <w:t>2. deň</w:t>
      </w:r>
      <w:r>
        <w:rPr>
          <w:szCs w:val="22"/>
        </w:rPr>
        <w:tab/>
      </w:r>
      <w:r>
        <w:rPr>
          <w:szCs w:val="22"/>
        </w:rPr>
        <w:tab/>
      </w:r>
      <w:r>
        <w:rPr>
          <w:szCs w:val="22"/>
        </w:rPr>
        <w:tab/>
        <w:t>4 mg (1 ml) i.v. každé 3 hodiny</w:t>
      </w:r>
    </w:p>
    <w:p w14:paraId="2287BEFB" w14:textId="77777777" w:rsidR="00D36A78" w:rsidRPr="00D36A78" w:rsidRDefault="00D36A78" w:rsidP="00D36A78">
      <w:pPr>
        <w:ind w:left="0" w:firstLine="0"/>
        <w:rPr>
          <w:szCs w:val="22"/>
        </w:rPr>
      </w:pPr>
      <w:r>
        <w:rPr>
          <w:szCs w:val="22"/>
        </w:rPr>
        <w:t>3. deň</w:t>
      </w:r>
      <w:r>
        <w:rPr>
          <w:szCs w:val="22"/>
        </w:rPr>
        <w:tab/>
      </w:r>
      <w:r>
        <w:rPr>
          <w:szCs w:val="22"/>
        </w:rPr>
        <w:tab/>
      </w:r>
      <w:r>
        <w:rPr>
          <w:szCs w:val="22"/>
        </w:rPr>
        <w:tab/>
        <w:t>4 mg (1 ml) i.v. každé 3 hodiny</w:t>
      </w:r>
    </w:p>
    <w:p w14:paraId="4CB67B00" w14:textId="77777777" w:rsidR="00D36A78" w:rsidRPr="00D36A78" w:rsidRDefault="00D36A78" w:rsidP="00D36A78">
      <w:pPr>
        <w:ind w:left="0" w:firstLine="0"/>
        <w:rPr>
          <w:szCs w:val="22"/>
        </w:rPr>
      </w:pPr>
      <w:r>
        <w:rPr>
          <w:szCs w:val="22"/>
        </w:rPr>
        <w:t>4. deň</w:t>
      </w:r>
      <w:r>
        <w:rPr>
          <w:szCs w:val="22"/>
        </w:rPr>
        <w:tab/>
      </w:r>
      <w:r>
        <w:rPr>
          <w:szCs w:val="22"/>
        </w:rPr>
        <w:tab/>
      </w:r>
      <w:r>
        <w:rPr>
          <w:szCs w:val="22"/>
        </w:rPr>
        <w:tab/>
        <w:t>4 mg (1 ml) i.v. každých 6 hodín</w:t>
      </w:r>
    </w:p>
    <w:p w14:paraId="0F998459" w14:textId="77777777" w:rsidR="00D36A78" w:rsidRPr="00D36A78" w:rsidRDefault="00D36A78" w:rsidP="00D36A78">
      <w:pPr>
        <w:ind w:left="0" w:firstLine="0"/>
        <w:rPr>
          <w:szCs w:val="22"/>
        </w:rPr>
      </w:pPr>
      <w:r>
        <w:rPr>
          <w:szCs w:val="22"/>
        </w:rPr>
        <w:t>5. – 8. deň</w:t>
      </w:r>
      <w:r>
        <w:rPr>
          <w:szCs w:val="22"/>
        </w:rPr>
        <w:tab/>
      </w:r>
      <w:r>
        <w:rPr>
          <w:szCs w:val="22"/>
        </w:rPr>
        <w:tab/>
        <w:t>2 mg (0,5 ml) i.v. každých 6 hodín</w:t>
      </w:r>
    </w:p>
    <w:p w14:paraId="0F76F98A" w14:textId="77777777" w:rsidR="00D36A78" w:rsidRDefault="00D36A78" w:rsidP="00D36A78">
      <w:pPr>
        <w:ind w:left="0" w:firstLine="0"/>
        <w:rPr>
          <w:szCs w:val="22"/>
        </w:rPr>
      </w:pPr>
      <w:r w:rsidRPr="00D36A78">
        <w:rPr>
          <w:szCs w:val="22"/>
        </w:rPr>
        <w:t xml:space="preserve">Potom </w:t>
      </w:r>
      <w:r>
        <w:rPr>
          <w:szCs w:val="22"/>
        </w:rPr>
        <w:t xml:space="preserve">denný </w:t>
      </w:r>
      <w:r w:rsidRPr="00D36A78">
        <w:rPr>
          <w:szCs w:val="22"/>
        </w:rPr>
        <w:t>pokles o</w:t>
      </w:r>
      <w:r>
        <w:rPr>
          <w:szCs w:val="22"/>
        </w:rPr>
        <w:t> 1 mg (0,25 </w:t>
      </w:r>
      <w:r w:rsidRPr="00D36A78">
        <w:rPr>
          <w:szCs w:val="22"/>
        </w:rPr>
        <w:t>ml)</w:t>
      </w:r>
    </w:p>
    <w:p w14:paraId="624FE73E" w14:textId="77777777" w:rsidR="00D36A78" w:rsidRDefault="00D36A78" w:rsidP="00D20D8E">
      <w:pPr>
        <w:ind w:left="0" w:firstLine="0"/>
        <w:rPr>
          <w:szCs w:val="22"/>
        </w:rPr>
      </w:pPr>
    </w:p>
    <w:p w14:paraId="2E6713A3" w14:textId="77777777" w:rsidR="008630A7" w:rsidRDefault="008630A7" w:rsidP="00D20D8E">
      <w:pPr>
        <w:ind w:left="0" w:firstLine="0"/>
        <w:rPr>
          <w:szCs w:val="22"/>
        </w:rPr>
      </w:pPr>
      <w:r>
        <w:rPr>
          <w:i/>
          <w:szCs w:val="22"/>
        </w:rPr>
        <w:t>Duálna liečba:</w:t>
      </w:r>
    </w:p>
    <w:p w14:paraId="43690D16" w14:textId="77777777" w:rsidR="008630A7" w:rsidRDefault="008630A7" w:rsidP="00D20D8E">
      <w:pPr>
        <w:ind w:left="0" w:firstLine="0"/>
        <w:rPr>
          <w:szCs w:val="22"/>
        </w:rPr>
      </w:pPr>
    </w:p>
    <w:p w14:paraId="3027D9AA" w14:textId="60F69963" w:rsidR="008630A7" w:rsidRPr="008630A7" w:rsidRDefault="008630A7" w:rsidP="00D20D8E">
      <w:pPr>
        <w:ind w:left="0" w:firstLine="0"/>
        <w:rPr>
          <w:szCs w:val="22"/>
        </w:rPr>
      </w:pPr>
      <w:r w:rsidRPr="008630A7">
        <w:rPr>
          <w:szCs w:val="22"/>
        </w:rPr>
        <w:t xml:space="preserve">Pri akútnych samolimitujúcich alergických poruchách alebo akútnych exacerbáciách chronických alergických ochorení sa odporúča nasledujúci </w:t>
      </w:r>
      <w:r w:rsidR="00FD5CCF">
        <w:rPr>
          <w:szCs w:val="22"/>
        </w:rPr>
        <w:t>harmonogram</w:t>
      </w:r>
      <w:r w:rsidRPr="008630A7">
        <w:rPr>
          <w:szCs w:val="22"/>
        </w:rPr>
        <w:t xml:space="preserve"> kombinujúci perorálnu a parenterálnu liečbu:</w:t>
      </w:r>
    </w:p>
    <w:p w14:paraId="03D60BFA" w14:textId="77777777" w:rsidR="00D36A78" w:rsidRDefault="00D36A78" w:rsidP="00D20D8E">
      <w:pPr>
        <w:ind w:left="0" w:firstLine="0"/>
        <w:rPr>
          <w:szCs w:val="22"/>
        </w:rPr>
      </w:pPr>
    </w:p>
    <w:p w14:paraId="459638A8" w14:textId="77777777" w:rsidR="008630A7" w:rsidRDefault="008630A7" w:rsidP="00D20D8E">
      <w:pPr>
        <w:ind w:left="0" w:firstLine="0"/>
        <w:rPr>
          <w:szCs w:val="22"/>
        </w:rPr>
      </w:pPr>
      <w:r>
        <w:rPr>
          <w:szCs w:val="22"/>
        </w:rPr>
        <w:t>Prvý deň</w:t>
      </w:r>
      <w:r w:rsidR="000F11E6">
        <w:rPr>
          <w:szCs w:val="22"/>
        </w:rPr>
        <w:t>:</w:t>
      </w:r>
      <w:r>
        <w:rPr>
          <w:szCs w:val="22"/>
        </w:rPr>
        <w:tab/>
      </w:r>
      <w:r>
        <w:rPr>
          <w:szCs w:val="22"/>
        </w:rPr>
        <w:tab/>
        <w:t xml:space="preserve">Dexamethasone </w:t>
      </w:r>
      <w:r w:rsidRPr="007A2A53">
        <w:rPr>
          <w:szCs w:val="22"/>
        </w:rPr>
        <w:t>Noridem</w:t>
      </w:r>
      <w:r>
        <w:rPr>
          <w:szCs w:val="22"/>
        </w:rPr>
        <w:t xml:space="preserve"> </w:t>
      </w:r>
      <w:r w:rsidR="00ED3835">
        <w:rPr>
          <w:szCs w:val="22"/>
        </w:rPr>
        <w:t xml:space="preserve">4  – 8 mg (1 – 2 ml) </w:t>
      </w:r>
      <w:r>
        <w:rPr>
          <w:szCs w:val="22"/>
        </w:rPr>
        <w:t>intramuskulárne</w:t>
      </w:r>
    </w:p>
    <w:p w14:paraId="2F085FC5" w14:textId="77777777" w:rsidR="008630A7" w:rsidRPr="00D20D8E" w:rsidRDefault="008630A7" w:rsidP="00D20D8E">
      <w:pPr>
        <w:ind w:left="0" w:firstLine="0"/>
        <w:rPr>
          <w:szCs w:val="22"/>
        </w:rPr>
      </w:pPr>
      <w:r>
        <w:rPr>
          <w:szCs w:val="22"/>
        </w:rPr>
        <w:t>Druhý deň</w:t>
      </w:r>
      <w:r w:rsidR="000F11E6">
        <w:rPr>
          <w:szCs w:val="22"/>
        </w:rPr>
        <w:t>:</w:t>
      </w:r>
      <w:r>
        <w:rPr>
          <w:szCs w:val="22"/>
        </w:rPr>
        <w:tab/>
      </w:r>
      <w:r>
        <w:rPr>
          <w:szCs w:val="22"/>
        </w:rPr>
        <w:tab/>
        <w:t>Dve 500</w:t>
      </w:r>
      <w:r w:rsidR="00ED3835">
        <w:rPr>
          <w:szCs w:val="22"/>
        </w:rPr>
        <w:t>-</w:t>
      </w:r>
      <w:r>
        <w:rPr>
          <w:szCs w:val="22"/>
        </w:rPr>
        <w:t>mikrogramové tablety dexametazónu dvakrát denne</w:t>
      </w:r>
    </w:p>
    <w:p w14:paraId="6F4EE121" w14:textId="77777777" w:rsidR="008630A7" w:rsidRDefault="008630A7" w:rsidP="008630A7">
      <w:pPr>
        <w:ind w:left="0" w:firstLine="0"/>
        <w:rPr>
          <w:szCs w:val="22"/>
        </w:rPr>
      </w:pPr>
      <w:r>
        <w:rPr>
          <w:szCs w:val="22"/>
        </w:rPr>
        <w:t>Tretí deň</w:t>
      </w:r>
      <w:r w:rsidR="000F11E6">
        <w:rPr>
          <w:szCs w:val="22"/>
        </w:rPr>
        <w:t>:</w:t>
      </w:r>
      <w:r>
        <w:rPr>
          <w:szCs w:val="22"/>
        </w:rPr>
        <w:tab/>
      </w:r>
      <w:r>
        <w:rPr>
          <w:szCs w:val="22"/>
        </w:rPr>
        <w:tab/>
        <w:t>Dve 500</w:t>
      </w:r>
      <w:r w:rsidR="00ED3835">
        <w:rPr>
          <w:szCs w:val="22"/>
        </w:rPr>
        <w:t>-</w:t>
      </w:r>
      <w:r>
        <w:rPr>
          <w:szCs w:val="22"/>
        </w:rPr>
        <w:t>mikrogramové tablety dexametazónu dvakrát denne</w:t>
      </w:r>
    </w:p>
    <w:p w14:paraId="401FA3A7" w14:textId="77777777" w:rsidR="008630A7" w:rsidRPr="00D20D8E" w:rsidRDefault="008630A7" w:rsidP="008630A7">
      <w:pPr>
        <w:ind w:left="0" w:firstLine="0"/>
        <w:rPr>
          <w:szCs w:val="22"/>
        </w:rPr>
      </w:pPr>
      <w:r>
        <w:rPr>
          <w:szCs w:val="22"/>
        </w:rPr>
        <w:t>Štvrtý deň</w:t>
      </w:r>
      <w:r w:rsidR="000F11E6">
        <w:rPr>
          <w:szCs w:val="22"/>
        </w:rPr>
        <w:t>:</w:t>
      </w:r>
      <w:r>
        <w:rPr>
          <w:szCs w:val="22"/>
        </w:rPr>
        <w:tab/>
      </w:r>
      <w:r>
        <w:rPr>
          <w:szCs w:val="22"/>
        </w:rPr>
        <w:tab/>
        <w:t>Jedna 500</w:t>
      </w:r>
      <w:r w:rsidR="00ED3835">
        <w:rPr>
          <w:szCs w:val="22"/>
        </w:rPr>
        <w:t>-</w:t>
      </w:r>
      <w:r>
        <w:rPr>
          <w:szCs w:val="22"/>
        </w:rPr>
        <w:t>mikrogramová tableta dexametazónu dvakrát denne</w:t>
      </w:r>
    </w:p>
    <w:p w14:paraId="18D61077" w14:textId="77777777" w:rsidR="008630A7" w:rsidRPr="00D20D8E" w:rsidRDefault="008630A7" w:rsidP="008630A7">
      <w:pPr>
        <w:ind w:left="0" w:firstLine="0"/>
        <w:rPr>
          <w:szCs w:val="22"/>
        </w:rPr>
      </w:pPr>
      <w:r>
        <w:rPr>
          <w:szCs w:val="22"/>
        </w:rPr>
        <w:t>Piaty deň</w:t>
      </w:r>
      <w:r w:rsidR="000F11E6">
        <w:rPr>
          <w:szCs w:val="22"/>
        </w:rPr>
        <w:t>:</w:t>
      </w:r>
      <w:r>
        <w:rPr>
          <w:szCs w:val="22"/>
        </w:rPr>
        <w:tab/>
      </w:r>
      <w:r>
        <w:rPr>
          <w:szCs w:val="22"/>
        </w:rPr>
        <w:tab/>
        <w:t>Jedna 500</w:t>
      </w:r>
      <w:r w:rsidR="00ED3835">
        <w:rPr>
          <w:szCs w:val="22"/>
        </w:rPr>
        <w:t>-</w:t>
      </w:r>
      <w:r>
        <w:rPr>
          <w:szCs w:val="22"/>
        </w:rPr>
        <w:t>mikrogramová tableta dexametazónu dvakrát denne</w:t>
      </w:r>
    </w:p>
    <w:p w14:paraId="6742740E" w14:textId="77777777" w:rsidR="008630A7" w:rsidRPr="00D20D8E" w:rsidRDefault="008630A7" w:rsidP="008630A7">
      <w:pPr>
        <w:ind w:left="0" w:firstLine="0"/>
        <w:rPr>
          <w:szCs w:val="22"/>
        </w:rPr>
      </w:pPr>
      <w:r>
        <w:rPr>
          <w:szCs w:val="22"/>
        </w:rPr>
        <w:t>Šiesty deň</w:t>
      </w:r>
      <w:r w:rsidR="000F11E6">
        <w:rPr>
          <w:szCs w:val="22"/>
        </w:rPr>
        <w:t>:</w:t>
      </w:r>
      <w:r>
        <w:rPr>
          <w:szCs w:val="22"/>
        </w:rPr>
        <w:tab/>
      </w:r>
      <w:r>
        <w:rPr>
          <w:szCs w:val="22"/>
        </w:rPr>
        <w:tab/>
        <w:t>Jedna 500</w:t>
      </w:r>
      <w:r w:rsidR="00ED3835">
        <w:rPr>
          <w:szCs w:val="22"/>
        </w:rPr>
        <w:t>-</w:t>
      </w:r>
      <w:r>
        <w:rPr>
          <w:szCs w:val="22"/>
        </w:rPr>
        <w:t>mikrogramová tableta dexametazónu jedenkrát denne</w:t>
      </w:r>
    </w:p>
    <w:p w14:paraId="7B6B1A38" w14:textId="77777777" w:rsidR="008630A7" w:rsidRPr="00D20D8E" w:rsidRDefault="008630A7" w:rsidP="008630A7">
      <w:pPr>
        <w:ind w:left="0" w:firstLine="0"/>
        <w:rPr>
          <w:szCs w:val="22"/>
        </w:rPr>
      </w:pPr>
      <w:r>
        <w:rPr>
          <w:szCs w:val="22"/>
        </w:rPr>
        <w:t>Siedmy deň</w:t>
      </w:r>
      <w:r w:rsidR="000F11E6">
        <w:rPr>
          <w:szCs w:val="22"/>
        </w:rPr>
        <w:t>:</w:t>
      </w:r>
      <w:r>
        <w:rPr>
          <w:szCs w:val="22"/>
        </w:rPr>
        <w:tab/>
      </w:r>
      <w:r>
        <w:rPr>
          <w:szCs w:val="22"/>
        </w:rPr>
        <w:tab/>
        <w:t>Jedna 500</w:t>
      </w:r>
      <w:r w:rsidR="00ED3835">
        <w:rPr>
          <w:szCs w:val="22"/>
        </w:rPr>
        <w:t>-</w:t>
      </w:r>
      <w:r>
        <w:rPr>
          <w:szCs w:val="22"/>
        </w:rPr>
        <w:t>mikrogramová tableta dexametazónu jedenkrát denne</w:t>
      </w:r>
    </w:p>
    <w:p w14:paraId="56D9CE14" w14:textId="77777777" w:rsidR="008630A7" w:rsidRDefault="008630A7" w:rsidP="008630A7">
      <w:pPr>
        <w:ind w:left="0" w:firstLine="0"/>
        <w:rPr>
          <w:szCs w:val="22"/>
        </w:rPr>
      </w:pPr>
      <w:r>
        <w:rPr>
          <w:szCs w:val="22"/>
        </w:rPr>
        <w:t>Ôsmy deň</w:t>
      </w:r>
      <w:r w:rsidR="000F11E6">
        <w:rPr>
          <w:szCs w:val="22"/>
        </w:rPr>
        <w:t>:</w:t>
      </w:r>
      <w:r>
        <w:rPr>
          <w:szCs w:val="22"/>
        </w:rPr>
        <w:tab/>
      </w:r>
      <w:r>
        <w:rPr>
          <w:szCs w:val="22"/>
        </w:rPr>
        <w:tab/>
        <w:t>Deň prehodnotenia</w:t>
      </w:r>
    </w:p>
    <w:p w14:paraId="7CC3B94B" w14:textId="77777777" w:rsidR="008630A7" w:rsidRDefault="008630A7" w:rsidP="008630A7">
      <w:pPr>
        <w:ind w:left="0" w:firstLine="0"/>
        <w:rPr>
          <w:szCs w:val="22"/>
        </w:rPr>
      </w:pPr>
    </w:p>
    <w:p w14:paraId="7BA85EE4" w14:textId="77777777" w:rsidR="008630A7" w:rsidRDefault="008630A7" w:rsidP="008630A7">
      <w:pPr>
        <w:ind w:left="0" w:firstLine="0"/>
        <w:rPr>
          <w:szCs w:val="22"/>
        </w:rPr>
      </w:pPr>
    </w:p>
    <w:p w14:paraId="054D395B" w14:textId="77777777" w:rsidR="008630A7" w:rsidRDefault="008630A7" w:rsidP="008630A7">
      <w:pPr>
        <w:ind w:left="0" w:firstLine="0"/>
        <w:rPr>
          <w:szCs w:val="22"/>
        </w:rPr>
      </w:pPr>
      <w:r>
        <w:rPr>
          <w:b/>
          <w:szCs w:val="22"/>
        </w:rPr>
        <w:t>Subkutánne podanie</w:t>
      </w:r>
    </w:p>
    <w:p w14:paraId="7E9E1A84" w14:textId="4B51D297" w:rsidR="008630A7" w:rsidRDefault="008630A7" w:rsidP="008630A7">
      <w:pPr>
        <w:ind w:left="0" w:firstLine="0"/>
        <w:rPr>
          <w:szCs w:val="22"/>
        </w:rPr>
      </w:pPr>
      <w:r w:rsidRPr="00953243">
        <w:rPr>
          <w:szCs w:val="22"/>
        </w:rPr>
        <w:lastRenderedPageBreak/>
        <w:t xml:space="preserve">V paliatívnej starostlivosti je možné </w:t>
      </w:r>
      <w:r>
        <w:rPr>
          <w:szCs w:val="22"/>
        </w:rPr>
        <w:t>Dexamethasone Noridem</w:t>
      </w:r>
      <w:r w:rsidRPr="00953243">
        <w:rPr>
          <w:szCs w:val="22"/>
        </w:rPr>
        <w:t xml:space="preserve"> </w:t>
      </w:r>
      <w:r w:rsidR="00500671" w:rsidRPr="00500671">
        <w:rPr>
          <w:szCs w:val="22"/>
        </w:rPr>
        <w:t>podávať injekciou alebo kontinuálnou subkutánnou infúziou</w:t>
      </w:r>
      <w:r w:rsidRPr="00953243">
        <w:rPr>
          <w:szCs w:val="22"/>
        </w:rPr>
        <w:t xml:space="preserve"> (CSCI).</w:t>
      </w:r>
      <w:r>
        <w:rPr>
          <w:szCs w:val="22"/>
        </w:rPr>
        <w:t xml:space="preserve"> </w:t>
      </w:r>
      <w:r w:rsidRPr="008630A7">
        <w:rPr>
          <w:szCs w:val="22"/>
        </w:rPr>
        <w:t>Dávky sa zvyčajne pohybujú medzi 4,8</w:t>
      </w:r>
      <w:r w:rsidR="00EF56C8">
        <w:rPr>
          <w:szCs w:val="22"/>
        </w:rPr>
        <w:t> </w:t>
      </w:r>
      <w:r w:rsidRPr="008630A7">
        <w:rPr>
          <w:szCs w:val="22"/>
        </w:rPr>
        <w:t xml:space="preserve"> až 19,3</w:t>
      </w:r>
      <w:r w:rsidR="00EF56C8">
        <w:rPr>
          <w:szCs w:val="22"/>
        </w:rPr>
        <w:t> </w:t>
      </w:r>
      <w:r w:rsidRPr="008630A7">
        <w:rPr>
          <w:szCs w:val="22"/>
        </w:rPr>
        <w:t>mg počas 24 hodín, berúc d</w:t>
      </w:r>
      <w:r w:rsidR="00EF56C8">
        <w:rPr>
          <w:szCs w:val="22"/>
        </w:rPr>
        <w:t>o úvahy miestne klinické pokyny</w:t>
      </w:r>
      <w:r w:rsidR="005D2F62">
        <w:rPr>
          <w:szCs w:val="22"/>
        </w:rPr>
        <w:t>,</w:t>
      </w:r>
      <w:r w:rsidRPr="008630A7">
        <w:rPr>
          <w:szCs w:val="22"/>
        </w:rPr>
        <w:t xml:space="preserve"> a mali by sa titrovať podľa odpovede.</w:t>
      </w:r>
    </w:p>
    <w:p w14:paraId="126C3E94" w14:textId="77777777" w:rsidR="00EF56C8" w:rsidRDefault="00EF56C8" w:rsidP="008630A7">
      <w:pPr>
        <w:ind w:left="0" w:firstLine="0"/>
        <w:rPr>
          <w:szCs w:val="22"/>
        </w:rPr>
      </w:pPr>
    </w:p>
    <w:p w14:paraId="5DA97AB9" w14:textId="730A425F" w:rsidR="00EF56C8" w:rsidRPr="00EF56C8" w:rsidRDefault="00EF56C8" w:rsidP="008630A7">
      <w:pPr>
        <w:ind w:left="0" w:firstLine="0"/>
        <w:rPr>
          <w:b/>
          <w:szCs w:val="22"/>
        </w:rPr>
      </w:pPr>
      <w:r>
        <w:rPr>
          <w:b/>
          <w:szCs w:val="22"/>
        </w:rPr>
        <w:t>Intraartikulárna alebo intral</w:t>
      </w:r>
      <w:r w:rsidR="00DC42CB">
        <w:rPr>
          <w:b/>
          <w:szCs w:val="22"/>
        </w:rPr>
        <w:t>é</w:t>
      </w:r>
      <w:r>
        <w:rPr>
          <w:b/>
          <w:szCs w:val="22"/>
        </w:rPr>
        <w:t>zio</w:t>
      </w:r>
      <w:r w:rsidR="00DC42CB">
        <w:rPr>
          <w:b/>
          <w:szCs w:val="22"/>
        </w:rPr>
        <w:t>vá</w:t>
      </w:r>
      <w:r>
        <w:rPr>
          <w:b/>
          <w:szCs w:val="22"/>
        </w:rPr>
        <w:t xml:space="preserve"> injekcia</w:t>
      </w:r>
    </w:p>
    <w:p w14:paraId="49D5E592" w14:textId="77777777" w:rsidR="00EF56C8" w:rsidRDefault="00EF56C8" w:rsidP="008630A7">
      <w:pPr>
        <w:ind w:left="0" w:firstLine="0"/>
        <w:rPr>
          <w:szCs w:val="22"/>
        </w:rPr>
      </w:pPr>
      <w:r w:rsidRPr="00EF56C8">
        <w:rPr>
          <w:szCs w:val="22"/>
        </w:rPr>
        <w:t>Všeobecne sa tieto injekcie používajú, keď sú postihnuté iba jeden alebo dva kĺby alebo oblasti.</w:t>
      </w:r>
    </w:p>
    <w:p w14:paraId="2DD4EE21" w14:textId="77777777" w:rsidR="00EF56C8" w:rsidRDefault="00EF56C8" w:rsidP="008630A7">
      <w:pPr>
        <w:ind w:left="0" w:firstLine="0"/>
        <w:rPr>
          <w:szCs w:val="22"/>
        </w:rPr>
      </w:pPr>
    </w:p>
    <w:p w14:paraId="5CC02487" w14:textId="77777777" w:rsidR="00EF56C8" w:rsidRDefault="00EF56C8" w:rsidP="008630A7">
      <w:pPr>
        <w:ind w:left="0" w:firstLine="0"/>
        <w:rPr>
          <w:szCs w:val="22"/>
        </w:rPr>
      </w:pPr>
      <w:r>
        <w:rPr>
          <w:szCs w:val="22"/>
        </w:rPr>
        <w:t>Niektoré obvyklé jednotlivé dávky sú:</w:t>
      </w:r>
    </w:p>
    <w:p w14:paraId="52464641" w14:textId="77777777" w:rsidR="00EF56C8" w:rsidRDefault="00EF56C8" w:rsidP="008630A7">
      <w:pPr>
        <w:ind w:left="0" w:firstLine="0"/>
        <w:rPr>
          <w:szCs w:val="22"/>
        </w:rPr>
      </w:pPr>
    </w:p>
    <w:tbl>
      <w:tblPr>
        <w:tblStyle w:val="Mriekatabuky"/>
        <w:tblW w:w="9629" w:type="dxa"/>
        <w:tblInd w:w="108" w:type="dxa"/>
        <w:tblLook w:val="04A0" w:firstRow="1" w:lastRow="0" w:firstColumn="1" w:lastColumn="0" w:noHBand="0" w:noVBand="1"/>
      </w:tblPr>
      <w:tblGrid>
        <w:gridCol w:w="5387"/>
        <w:gridCol w:w="2126"/>
        <w:gridCol w:w="2116"/>
      </w:tblGrid>
      <w:tr w:rsidR="00EF56C8" w:rsidRPr="00B20467" w14:paraId="189D6794" w14:textId="77777777" w:rsidTr="00056C88">
        <w:tc>
          <w:tcPr>
            <w:tcW w:w="5387" w:type="dxa"/>
          </w:tcPr>
          <w:p w14:paraId="6D020513" w14:textId="77777777" w:rsidR="00EF56C8" w:rsidRPr="00B20467" w:rsidRDefault="00EF56C8" w:rsidP="00A81F4A">
            <w:pPr>
              <w:rPr>
                <w:b/>
                <w:szCs w:val="22"/>
              </w:rPr>
            </w:pPr>
            <w:r>
              <w:rPr>
                <w:b/>
                <w:szCs w:val="22"/>
              </w:rPr>
              <w:t>MIESTO PODANIA INJEKCIE</w:t>
            </w:r>
          </w:p>
        </w:tc>
        <w:tc>
          <w:tcPr>
            <w:tcW w:w="4242" w:type="dxa"/>
            <w:gridSpan w:val="2"/>
          </w:tcPr>
          <w:p w14:paraId="0189A577" w14:textId="77777777" w:rsidR="00EF56C8" w:rsidRPr="00B20467" w:rsidRDefault="00EF56C8" w:rsidP="00056C88">
            <w:pPr>
              <w:jc w:val="center"/>
              <w:rPr>
                <w:b/>
                <w:szCs w:val="22"/>
              </w:rPr>
            </w:pPr>
            <w:r>
              <w:rPr>
                <w:b/>
                <w:szCs w:val="22"/>
              </w:rPr>
              <w:t>DÁVKA DEXAMETAZÓNU</w:t>
            </w:r>
          </w:p>
        </w:tc>
      </w:tr>
      <w:tr w:rsidR="00EF56C8" w:rsidRPr="00B20467" w14:paraId="792AD552" w14:textId="77777777" w:rsidTr="00056C88">
        <w:tc>
          <w:tcPr>
            <w:tcW w:w="5387" w:type="dxa"/>
          </w:tcPr>
          <w:p w14:paraId="699B45B9" w14:textId="77777777" w:rsidR="00EF56C8" w:rsidRPr="00B20467" w:rsidRDefault="00EF56C8" w:rsidP="00EF56C8">
            <w:pPr>
              <w:rPr>
                <w:szCs w:val="22"/>
              </w:rPr>
            </w:pPr>
            <w:r>
              <w:rPr>
                <w:szCs w:val="22"/>
              </w:rPr>
              <w:t>Veľký kĺb</w:t>
            </w:r>
            <w:r w:rsidRPr="00B20467">
              <w:rPr>
                <w:szCs w:val="22"/>
              </w:rPr>
              <w:t xml:space="preserve"> (</w:t>
            </w:r>
            <w:r>
              <w:rPr>
                <w:szCs w:val="22"/>
              </w:rPr>
              <w:t>napr. koleno</w:t>
            </w:r>
            <w:r w:rsidRPr="00B20467">
              <w:rPr>
                <w:szCs w:val="22"/>
              </w:rPr>
              <w:t>)</w:t>
            </w:r>
          </w:p>
        </w:tc>
        <w:tc>
          <w:tcPr>
            <w:tcW w:w="2126" w:type="dxa"/>
          </w:tcPr>
          <w:p w14:paraId="04CEAEF4" w14:textId="77777777" w:rsidR="00EF56C8" w:rsidRPr="00B20467" w:rsidRDefault="00EF56C8" w:rsidP="00056C88">
            <w:pPr>
              <w:jc w:val="center"/>
              <w:rPr>
                <w:szCs w:val="22"/>
              </w:rPr>
            </w:pPr>
            <w:r w:rsidRPr="00B20467">
              <w:rPr>
                <w:szCs w:val="22"/>
              </w:rPr>
              <w:t>2</w:t>
            </w:r>
            <w:r>
              <w:rPr>
                <w:szCs w:val="22"/>
              </w:rPr>
              <w:t> </w:t>
            </w:r>
            <w:r w:rsidRPr="00B20467">
              <w:rPr>
                <w:szCs w:val="22"/>
              </w:rPr>
              <w:t>mg – 4</w:t>
            </w:r>
            <w:r>
              <w:rPr>
                <w:szCs w:val="22"/>
              </w:rPr>
              <w:t> </w:t>
            </w:r>
            <w:r w:rsidRPr="00B20467">
              <w:rPr>
                <w:szCs w:val="22"/>
              </w:rPr>
              <w:t>mg</w:t>
            </w:r>
          </w:p>
        </w:tc>
        <w:tc>
          <w:tcPr>
            <w:tcW w:w="2116" w:type="dxa"/>
          </w:tcPr>
          <w:p w14:paraId="081A6F41" w14:textId="77777777" w:rsidR="00EF56C8" w:rsidRPr="00B20467" w:rsidRDefault="00EF56C8" w:rsidP="00056C88">
            <w:pPr>
              <w:jc w:val="center"/>
              <w:rPr>
                <w:szCs w:val="22"/>
              </w:rPr>
            </w:pPr>
            <w:r w:rsidRPr="00B20467">
              <w:rPr>
                <w:szCs w:val="22"/>
              </w:rPr>
              <w:t>(0</w:t>
            </w:r>
            <w:r>
              <w:rPr>
                <w:szCs w:val="22"/>
              </w:rPr>
              <w:t>,</w:t>
            </w:r>
            <w:r w:rsidRPr="00B20467">
              <w:rPr>
                <w:szCs w:val="22"/>
              </w:rPr>
              <w:t>5</w:t>
            </w:r>
            <w:r>
              <w:rPr>
                <w:szCs w:val="22"/>
              </w:rPr>
              <w:t> </w:t>
            </w:r>
            <w:r w:rsidRPr="00B20467">
              <w:rPr>
                <w:szCs w:val="22"/>
              </w:rPr>
              <w:t>ml – 1</w:t>
            </w:r>
            <w:r>
              <w:rPr>
                <w:szCs w:val="22"/>
              </w:rPr>
              <w:t> </w:t>
            </w:r>
            <w:r w:rsidRPr="00B20467">
              <w:rPr>
                <w:szCs w:val="22"/>
              </w:rPr>
              <w:t>ml)</w:t>
            </w:r>
          </w:p>
        </w:tc>
      </w:tr>
      <w:tr w:rsidR="00EF56C8" w:rsidRPr="00B20467" w14:paraId="6C080536" w14:textId="77777777" w:rsidTr="00056C88">
        <w:tc>
          <w:tcPr>
            <w:tcW w:w="5387" w:type="dxa"/>
          </w:tcPr>
          <w:p w14:paraId="7B469A47" w14:textId="77777777" w:rsidR="00EF56C8" w:rsidRPr="00B20467" w:rsidRDefault="00EF56C8" w:rsidP="00056C88">
            <w:pPr>
              <w:ind w:left="0" w:right="-122" w:firstLine="0"/>
              <w:rPr>
                <w:szCs w:val="22"/>
              </w:rPr>
            </w:pPr>
            <w:r>
              <w:rPr>
                <w:szCs w:val="22"/>
              </w:rPr>
              <w:t>Malé kĺby</w:t>
            </w:r>
            <w:r w:rsidRPr="00B20467">
              <w:rPr>
                <w:szCs w:val="22"/>
              </w:rPr>
              <w:t xml:space="preserve"> (</w:t>
            </w:r>
            <w:r>
              <w:rPr>
                <w:szCs w:val="22"/>
              </w:rPr>
              <w:t>napr.</w:t>
            </w:r>
            <w:r w:rsidRPr="00B20467">
              <w:rPr>
                <w:szCs w:val="22"/>
              </w:rPr>
              <w:t xml:space="preserve"> </w:t>
            </w:r>
            <w:r>
              <w:rPr>
                <w:szCs w:val="22"/>
              </w:rPr>
              <w:t>interfalangeálny, temporomandibulárny</w:t>
            </w:r>
            <w:r w:rsidRPr="00B20467">
              <w:rPr>
                <w:szCs w:val="22"/>
              </w:rPr>
              <w:t>)</w:t>
            </w:r>
          </w:p>
        </w:tc>
        <w:tc>
          <w:tcPr>
            <w:tcW w:w="2126" w:type="dxa"/>
          </w:tcPr>
          <w:p w14:paraId="5E99A0C9" w14:textId="77777777" w:rsidR="00EF56C8" w:rsidRPr="00B20467" w:rsidRDefault="00EF56C8" w:rsidP="00056C88">
            <w:pPr>
              <w:jc w:val="center"/>
              <w:rPr>
                <w:szCs w:val="22"/>
              </w:rPr>
            </w:pPr>
            <w:r>
              <w:rPr>
                <w:szCs w:val="22"/>
              </w:rPr>
              <w:t>0,</w:t>
            </w:r>
            <w:r w:rsidRPr="00B20467">
              <w:rPr>
                <w:szCs w:val="22"/>
              </w:rPr>
              <w:t>8</w:t>
            </w:r>
            <w:r>
              <w:rPr>
                <w:szCs w:val="22"/>
              </w:rPr>
              <w:t> </w:t>
            </w:r>
            <w:r w:rsidRPr="00B20467">
              <w:rPr>
                <w:szCs w:val="22"/>
              </w:rPr>
              <w:t>mg – 1</w:t>
            </w:r>
            <w:r>
              <w:rPr>
                <w:szCs w:val="22"/>
              </w:rPr>
              <w:t> </w:t>
            </w:r>
            <w:r w:rsidRPr="00B20467">
              <w:rPr>
                <w:szCs w:val="22"/>
              </w:rPr>
              <w:t>mg</w:t>
            </w:r>
          </w:p>
        </w:tc>
        <w:tc>
          <w:tcPr>
            <w:tcW w:w="2116" w:type="dxa"/>
          </w:tcPr>
          <w:p w14:paraId="46BA16C3" w14:textId="77777777" w:rsidR="00EF56C8" w:rsidRPr="00B20467" w:rsidRDefault="00EF56C8" w:rsidP="00056C88">
            <w:pPr>
              <w:jc w:val="center"/>
              <w:rPr>
                <w:szCs w:val="22"/>
              </w:rPr>
            </w:pPr>
            <w:r w:rsidRPr="00B20467">
              <w:rPr>
                <w:szCs w:val="22"/>
              </w:rPr>
              <w:t>(0</w:t>
            </w:r>
            <w:r>
              <w:rPr>
                <w:szCs w:val="22"/>
              </w:rPr>
              <w:t>,</w:t>
            </w:r>
            <w:r w:rsidRPr="00B20467">
              <w:rPr>
                <w:szCs w:val="22"/>
              </w:rPr>
              <w:t>2</w:t>
            </w:r>
            <w:r>
              <w:rPr>
                <w:szCs w:val="22"/>
              </w:rPr>
              <w:t> </w:t>
            </w:r>
            <w:r w:rsidRPr="00B20467">
              <w:rPr>
                <w:szCs w:val="22"/>
              </w:rPr>
              <w:t>ml – 0</w:t>
            </w:r>
            <w:r>
              <w:rPr>
                <w:szCs w:val="22"/>
              </w:rPr>
              <w:t>,</w:t>
            </w:r>
            <w:r w:rsidRPr="00B20467">
              <w:rPr>
                <w:szCs w:val="22"/>
              </w:rPr>
              <w:t>25</w:t>
            </w:r>
            <w:r>
              <w:rPr>
                <w:szCs w:val="22"/>
              </w:rPr>
              <w:t> </w:t>
            </w:r>
            <w:r w:rsidRPr="00B20467">
              <w:rPr>
                <w:szCs w:val="22"/>
              </w:rPr>
              <w:t>ml)</w:t>
            </w:r>
          </w:p>
        </w:tc>
      </w:tr>
      <w:tr w:rsidR="00EF56C8" w:rsidRPr="00B20467" w14:paraId="4685A130" w14:textId="77777777" w:rsidTr="00056C88">
        <w:tc>
          <w:tcPr>
            <w:tcW w:w="5387" w:type="dxa"/>
          </w:tcPr>
          <w:p w14:paraId="0ABCE8AC" w14:textId="77777777" w:rsidR="00EF56C8" w:rsidRPr="00B20467" w:rsidRDefault="00EF56C8" w:rsidP="00A81F4A">
            <w:pPr>
              <w:rPr>
                <w:szCs w:val="22"/>
              </w:rPr>
            </w:pPr>
            <w:r>
              <w:rPr>
                <w:szCs w:val="22"/>
              </w:rPr>
              <w:t>Šľachové puzdra</w:t>
            </w:r>
            <w:r w:rsidRPr="00B20467">
              <w:rPr>
                <w:szCs w:val="22"/>
              </w:rPr>
              <w:t>*</w:t>
            </w:r>
          </w:p>
        </w:tc>
        <w:tc>
          <w:tcPr>
            <w:tcW w:w="2126" w:type="dxa"/>
          </w:tcPr>
          <w:p w14:paraId="0C36D24C" w14:textId="77777777" w:rsidR="00EF56C8" w:rsidRPr="00B20467" w:rsidRDefault="00EF56C8" w:rsidP="00056C88">
            <w:pPr>
              <w:jc w:val="center"/>
              <w:rPr>
                <w:szCs w:val="22"/>
              </w:rPr>
            </w:pPr>
            <w:r w:rsidRPr="00B20467">
              <w:rPr>
                <w:szCs w:val="22"/>
              </w:rPr>
              <w:t>0</w:t>
            </w:r>
            <w:r>
              <w:rPr>
                <w:szCs w:val="22"/>
              </w:rPr>
              <w:t>,</w:t>
            </w:r>
            <w:r w:rsidRPr="00B20467">
              <w:rPr>
                <w:szCs w:val="22"/>
              </w:rPr>
              <w:t>4</w:t>
            </w:r>
            <w:r>
              <w:rPr>
                <w:szCs w:val="22"/>
              </w:rPr>
              <w:t> </w:t>
            </w:r>
            <w:r w:rsidRPr="00B20467">
              <w:rPr>
                <w:szCs w:val="22"/>
              </w:rPr>
              <w:t>mg – 1</w:t>
            </w:r>
            <w:r>
              <w:rPr>
                <w:szCs w:val="22"/>
              </w:rPr>
              <w:t> </w:t>
            </w:r>
            <w:r w:rsidRPr="00B20467">
              <w:rPr>
                <w:szCs w:val="22"/>
              </w:rPr>
              <w:t>mg</w:t>
            </w:r>
          </w:p>
        </w:tc>
        <w:tc>
          <w:tcPr>
            <w:tcW w:w="2116" w:type="dxa"/>
          </w:tcPr>
          <w:p w14:paraId="2E2E6FD9" w14:textId="77777777" w:rsidR="00EF56C8" w:rsidRPr="00B20467" w:rsidRDefault="00EF56C8" w:rsidP="00056C88">
            <w:pPr>
              <w:jc w:val="center"/>
              <w:rPr>
                <w:szCs w:val="22"/>
              </w:rPr>
            </w:pPr>
            <w:r w:rsidRPr="00B20467">
              <w:rPr>
                <w:szCs w:val="22"/>
              </w:rPr>
              <w:t>(0</w:t>
            </w:r>
            <w:r>
              <w:rPr>
                <w:szCs w:val="22"/>
              </w:rPr>
              <w:t>,</w:t>
            </w:r>
            <w:r w:rsidRPr="00B20467">
              <w:rPr>
                <w:szCs w:val="22"/>
              </w:rPr>
              <w:t>1</w:t>
            </w:r>
            <w:r>
              <w:rPr>
                <w:szCs w:val="22"/>
              </w:rPr>
              <w:t> </w:t>
            </w:r>
            <w:r w:rsidRPr="00B20467">
              <w:rPr>
                <w:szCs w:val="22"/>
              </w:rPr>
              <w:t>ml – 0</w:t>
            </w:r>
            <w:r>
              <w:rPr>
                <w:szCs w:val="22"/>
              </w:rPr>
              <w:t>,</w:t>
            </w:r>
            <w:r w:rsidRPr="00B20467">
              <w:rPr>
                <w:szCs w:val="22"/>
              </w:rPr>
              <w:t>25</w:t>
            </w:r>
            <w:r>
              <w:rPr>
                <w:szCs w:val="22"/>
              </w:rPr>
              <w:t> </w:t>
            </w:r>
            <w:r w:rsidRPr="00B20467">
              <w:rPr>
                <w:szCs w:val="22"/>
              </w:rPr>
              <w:t>ml)</w:t>
            </w:r>
          </w:p>
        </w:tc>
      </w:tr>
      <w:tr w:rsidR="00EF56C8" w:rsidRPr="00B20467" w14:paraId="773D7AF0" w14:textId="77777777" w:rsidTr="00056C88">
        <w:tc>
          <w:tcPr>
            <w:tcW w:w="5387" w:type="dxa"/>
          </w:tcPr>
          <w:p w14:paraId="0F85819C" w14:textId="77777777" w:rsidR="00EF56C8" w:rsidRPr="00B20467" w:rsidRDefault="00EF56C8" w:rsidP="00A81F4A">
            <w:pPr>
              <w:rPr>
                <w:szCs w:val="22"/>
              </w:rPr>
            </w:pPr>
            <w:r>
              <w:rPr>
                <w:szCs w:val="22"/>
              </w:rPr>
              <w:t>Infiltrácia do mäkkých tkanív</w:t>
            </w:r>
          </w:p>
        </w:tc>
        <w:tc>
          <w:tcPr>
            <w:tcW w:w="2126" w:type="dxa"/>
          </w:tcPr>
          <w:p w14:paraId="0FCA08FA" w14:textId="77777777" w:rsidR="00EF56C8" w:rsidRPr="00B20467" w:rsidRDefault="00EF56C8" w:rsidP="00056C88">
            <w:pPr>
              <w:jc w:val="center"/>
              <w:rPr>
                <w:szCs w:val="22"/>
              </w:rPr>
            </w:pPr>
            <w:r w:rsidRPr="00B20467">
              <w:rPr>
                <w:szCs w:val="22"/>
              </w:rPr>
              <w:t>2</w:t>
            </w:r>
            <w:r>
              <w:rPr>
                <w:szCs w:val="22"/>
              </w:rPr>
              <w:t> </w:t>
            </w:r>
            <w:r w:rsidRPr="00B20467">
              <w:rPr>
                <w:szCs w:val="22"/>
              </w:rPr>
              <w:t>mg – 6</w:t>
            </w:r>
            <w:r>
              <w:rPr>
                <w:szCs w:val="22"/>
              </w:rPr>
              <w:t> </w:t>
            </w:r>
            <w:r w:rsidRPr="00B20467">
              <w:rPr>
                <w:szCs w:val="22"/>
              </w:rPr>
              <w:t>mg</w:t>
            </w:r>
          </w:p>
        </w:tc>
        <w:tc>
          <w:tcPr>
            <w:tcW w:w="2116" w:type="dxa"/>
          </w:tcPr>
          <w:p w14:paraId="54C7275A" w14:textId="77777777" w:rsidR="00EF56C8" w:rsidRPr="00B20467" w:rsidRDefault="00EF56C8" w:rsidP="00056C88">
            <w:pPr>
              <w:jc w:val="center"/>
              <w:rPr>
                <w:szCs w:val="22"/>
              </w:rPr>
            </w:pPr>
            <w:r w:rsidRPr="00B20467">
              <w:rPr>
                <w:szCs w:val="22"/>
              </w:rPr>
              <w:t>(0</w:t>
            </w:r>
            <w:r>
              <w:rPr>
                <w:szCs w:val="22"/>
              </w:rPr>
              <w:t>,</w:t>
            </w:r>
            <w:r w:rsidRPr="00B20467">
              <w:rPr>
                <w:szCs w:val="22"/>
              </w:rPr>
              <w:t>5</w:t>
            </w:r>
            <w:r>
              <w:rPr>
                <w:szCs w:val="22"/>
              </w:rPr>
              <w:t> </w:t>
            </w:r>
            <w:r w:rsidRPr="00B20467">
              <w:rPr>
                <w:szCs w:val="22"/>
              </w:rPr>
              <w:t>ml – 1</w:t>
            </w:r>
            <w:r>
              <w:rPr>
                <w:szCs w:val="22"/>
              </w:rPr>
              <w:t>,</w:t>
            </w:r>
            <w:r w:rsidRPr="00B20467">
              <w:rPr>
                <w:szCs w:val="22"/>
              </w:rPr>
              <w:t>5</w:t>
            </w:r>
            <w:r>
              <w:rPr>
                <w:szCs w:val="22"/>
              </w:rPr>
              <w:t> </w:t>
            </w:r>
            <w:r w:rsidRPr="00B20467">
              <w:rPr>
                <w:szCs w:val="22"/>
              </w:rPr>
              <w:t>ml)</w:t>
            </w:r>
          </w:p>
        </w:tc>
      </w:tr>
      <w:tr w:rsidR="00EF56C8" w:rsidRPr="00B20467" w14:paraId="1B8BF9DC" w14:textId="77777777" w:rsidTr="00056C88">
        <w:tc>
          <w:tcPr>
            <w:tcW w:w="5387" w:type="dxa"/>
          </w:tcPr>
          <w:p w14:paraId="0CA241D3" w14:textId="77777777" w:rsidR="00EF56C8" w:rsidRPr="00B20467" w:rsidRDefault="00EF56C8" w:rsidP="00EF56C8">
            <w:pPr>
              <w:rPr>
                <w:szCs w:val="22"/>
              </w:rPr>
            </w:pPr>
            <w:r w:rsidRPr="00B20467">
              <w:rPr>
                <w:szCs w:val="22"/>
              </w:rPr>
              <w:t>Gangli</w:t>
            </w:r>
            <w:r>
              <w:rPr>
                <w:szCs w:val="22"/>
              </w:rPr>
              <w:t>á</w:t>
            </w:r>
          </w:p>
        </w:tc>
        <w:tc>
          <w:tcPr>
            <w:tcW w:w="2126" w:type="dxa"/>
          </w:tcPr>
          <w:p w14:paraId="47C40036" w14:textId="77777777" w:rsidR="00EF56C8" w:rsidRPr="00B20467" w:rsidRDefault="00EF56C8" w:rsidP="00056C88">
            <w:pPr>
              <w:jc w:val="center"/>
              <w:rPr>
                <w:szCs w:val="22"/>
              </w:rPr>
            </w:pPr>
            <w:r w:rsidRPr="00B20467">
              <w:rPr>
                <w:szCs w:val="22"/>
              </w:rPr>
              <w:t>1</w:t>
            </w:r>
            <w:r>
              <w:rPr>
                <w:szCs w:val="22"/>
              </w:rPr>
              <w:t> </w:t>
            </w:r>
            <w:r w:rsidRPr="00B20467">
              <w:rPr>
                <w:szCs w:val="22"/>
              </w:rPr>
              <w:t>mg – 2</w:t>
            </w:r>
            <w:r>
              <w:rPr>
                <w:szCs w:val="22"/>
              </w:rPr>
              <w:t> </w:t>
            </w:r>
            <w:r w:rsidRPr="00B20467">
              <w:rPr>
                <w:szCs w:val="22"/>
              </w:rPr>
              <w:t>mg</w:t>
            </w:r>
          </w:p>
        </w:tc>
        <w:tc>
          <w:tcPr>
            <w:tcW w:w="2116" w:type="dxa"/>
          </w:tcPr>
          <w:p w14:paraId="4548F92C" w14:textId="77777777" w:rsidR="00EF56C8" w:rsidRPr="00B20467" w:rsidRDefault="00EF56C8" w:rsidP="00056C88">
            <w:pPr>
              <w:jc w:val="center"/>
              <w:rPr>
                <w:szCs w:val="22"/>
              </w:rPr>
            </w:pPr>
            <w:r w:rsidRPr="00B20467">
              <w:rPr>
                <w:szCs w:val="22"/>
              </w:rPr>
              <w:t>(0</w:t>
            </w:r>
            <w:r>
              <w:rPr>
                <w:szCs w:val="22"/>
              </w:rPr>
              <w:t>,</w:t>
            </w:r>
            <w:r w:rsidRPr="00B20467">
              <w:rPr>
                <w:szCs w:val="22"/>
              </w:rPr>
              <w:t>25</w:t>
            </w:r>
            <w:r>
              <w:rPr>
                <w:szCs w:val="22"/>
              </w:rPr>
              <w:t> </w:t>
            </w:r>
            <w:r w:rsidRPr="00B20467">
              <w:rPr>
                <w:szCs w:val="22"/>
              </w:rPr>
              <w:t>ml – 0</w:t>
            </w:r>
            <w:r>
              <w:rPr>
                <w:szCs w:val="22"/>
              </w:rPr>
              <w:t>,</w:t>
            </w:r>
            <w:r w:rsidRPr="00B20467">
              <w:rPr>
                <w:szCs w:val="22"/>
              </w:rPr>
              <w:t>5</w:t>
            </w:r>
            <w:r>
              <w:rPr>
                <w:szCs w:val="22"/>
              </w:rPr>
              <w:t> </w:t>
            </w:r>
            <w:r w:rsidRPr="00B20467">
              <w:rPr>
                <w:szCs w:val="22"/>
              </w:rPr>
              <w:t>ml)</w:t>
            </w:r>
          </w:p>
        </w:tc>
      </w:tr>
    </w:tbl>
    <w:p w14:paraId="63FD1D79" w14:textId="77777777" w:rsidR="008630A7" w:rsidRDefault="008630A7" w:rsidP="008630A7">
      <w:pPr>
        <w:ind w:left="0" w:firstLine="0"/>
        <w:rPr>
          <w:szCs w:val="22"/>
        </w:rPr>
      </w:pPr>
    </w:p>
    <w:p w14:paraId="00609FC6" w14:textId="77777777" w:rsidR="00EF56C8" w:rsidRPr="00EF56C8" w:rsidRDefault="00EF56C8" w:rsidP="00EF56C8">
      <w:pPr>
        <w:ind w:left="0" w:firstLine="0"/>
        <w:rPr>
          <w:szCs w:val="22"/>
        </w:rPr>
      </w:pPr>
      <w:r w:rsidRPr="00EF56C8">
        <w:rPr>
          <w:szCs w:val="22"/>
        </w:rPr>
        <w:t xml:space="preserve">* Injekcia sa má podať do </w:t>
      </w:r>
      <w:r>
        <w:rPr>
          <w:szCs w:val="22"/>
        </w:rPr>
        <w:t>šľachového pu</w:t>
      </w:r>
      <w:r w:rsidRPr="00EF56C8">
        <w:rPr>
          <w:szCs w:val="22"/>
        </w:rPr>
        <w:t>zdra, nie priamo do šľachy.</w:t>
      </w:r>
    </w:p>
    <w:p w14:paraId="15DE293A" w14:textId="77777777" w:rsidR="00EF56C8" w:rsidRPr="00EF56C8" w:rsidRDefault="00EF56C8" w:rsidP="00EF56C8">
      <w:pPr>
        <w:ind w:left="0" w:firstLine="0"/>
        <w:rPr>
          <w:szCs w:val="22"/>
        </w:rPr>
      </w:pPr>
    </w:p>
    <w:p w14:paraId="06E055B1" w14:textId="77777777" w:rsidR="00EF56C8" w:rsidRDefault="00EF56C8" w:rsidP="00EF56C8">
      <w:pPr>
        <w:ind w:left="0" w:firstLine="0"/>
        <w:rPr>
          <w:szCs w:val="22"/>
        </w:rPr>
      </w:pPr>
      <w:r w:rsidRPr="00EF56C8">
        <w:rPr>
          <w:szCs w:val="22"/>
        </w:rPr>
        <w:t>Frekvencia injekcií: raz za tri až päť dní až raz za dva až tri týždne, v závislosti od odpovede.</w:t>
      </w:r>
    </w:p>
    <w:p w14:paraId="67440AF2" w14:textId="77777777" w:rsidR="00EF56C8" w:rsidRDefault="00EF56C8" w:rsidP="00EF56C8">
      <w:pPr>
        <w:ind w:left="0" w:firstLine="0"/>
        <w:rPr>
          <w:szCs w:val="22"/>
        </w:rPr>
      </w:pPr>
    </w:p>
    <w:p w14:paraId="3864D949" w14:textId="77777777" w:rsidR="00EF56C8" w:rsidRDefault="00EF56C8" w:rsidP="00EF56C8">
      <w:pPr>
        <w:ind w:left="0" w:firstLine="0"/>
        <w:rPr>
          <w:szCs w:val="22"/>
        </w:rPr>
      </w:pPr>
      <w:r>
        <w:rPr>
          <w:i/>
          <w:szCs w:val="22"/>
        </w:rPr>
        <w:t>Pediatrická populácia:</w:t>
      </w:r>
    </w:p>
    <w:p w14:paraId="0FF09CBD" w14:textId="77777777" w:rsidR="00EF56C8" w:rsidRDefault="00EF56C8" w:rsidP="00EF56C8">
      <w:pPr>
        <w:ind w:left="0" w:firstLine="0"/>
        <w:rPr>
          <w:szCs w:val="22"/>
        </w:rPr>
      </w:pPr>
      <w:r w:rsidRPr="00EF56C8">
        <w:rPr>
          <w:szCs w:val="22"/>
        </w:rPr>
        <w:t xml:space="preserve">Dávkovanie sa má obmedziť na </w:t>
      </w:r>
      <w:r w:rsidRPr="00B350D9">
        <w:rPr>
          <w:szCs w:val="22"/>
        </w:rPr>
        <w:t>jednu dávku každé dva dni</w:t>
      </w:r>
      <w:r w:rsidRPr="00EF56C8">
        <w:rPr>
          <w:szCs w:val="22"/>
        </w:rPr>
        <w:t>, aby sa znížilo spomalenie rastu a</w:t>
      </w:r>
      <w:r w:rsidR="009C3819">
        <w:rPr>
          <w:szCs w:val="22"/>
        </w:rPr>
        <w:t> </w:t>
      </w:r>
      <w:r w:rsidRPr="00EF56C8">
        <w:rPr>
          <w:szCs w:val="22"/>
        </w:rPr>
        <w:t>minimali</w:t>
      </w:r>
      <w:r w:rsidR="002B1F30">
        <w:rPr>
          <w:szCs w:val="22"/>
        </w:rPr>
        <w:t>zovalo</w:t>
      </w:r>
      <w:r w:rsidR="009C3819">
        <w:rPr>
          <w:szCs w:val="22"/>
        </w:rPr>
        <w:t xml:space="preserve"> sa</w:t>
      </w:r>
      <w:r w:rsidR="002B1F30">
        <w:rPr>
          <w:szCs w:val="22"/>
        </w:rPr>
        <w:t xml:space="preserve"> potlačenie osi hypotalamus</w:t>
      </w:r>
      <w:r w:rsidRPr="00EF56C8">
        <w:rPr>
          <w:szCs w:val="22"/>
        </w:rPr>
        <w:t>-hypofýza</w:t>
      </w:r>
      <w:r w:rsidR="00A2494C">
        <w:rPr>
          <w:szCs w:val="22"/>
        </w:rPr>
        <w:t>-</w:t>
      </w:r>
      <w:r w:rsidRPr="00EF56C8">
        <w:rPr>
          <w:szCs w:val="22"/>
        </w:rPr>
        <w:t>nadobličky.</w:t>
      </w:r>
    </w:p>
    <w:p w14:paraId="1CB9C29F" w14:textId="77777777" w:rsidR="002B1F30" w:rsidRDefault="002B1F30" w:rsidP="00EF56C8">
      <w:pPr>
        <w:ind w:left="0" w:firstLine="0"/>
        <w:rPr>
          <w:szCs w:val="22"/>
        </w:rPr>
      </w:pPr>
    </w:p>
    <w:p w14:paraId="1D6C1DF0" w14:textId="77777777" w:rsidR="002B1F30" w:rsidRDefault="002B1F30" w:rsidP="00EF56C8">
      <w:pPr>
        <w:ind w:left="0" w:firstLine="0"/>
        <w:rPr>
          <w:szCs w:val="22"/>
        </w:rPr>
      </w:pPr>
      <w:r>
        <w:rPr>
          <w:i/>
          <w:szCs w:val="22"/>
        </w:rPr>
        <w:t>Použitie u starších:</w:t>
      </w:r>
    </w:p>
    <w:p w14:paraId="57C5414D" w14:textId="77777777" w:rsidR="00E1698A" w:rsidRPr="003021DE" w:rsidRDefault="002B1F30" w:rsidP="002B1F30">
      <w:pPr>
        <w:ind w:left="0" w:firstLine="0"/>
        <w:rPr>
          <w:szCs w:val="22"/>
        </w:rPr>
      </w:pPr>
      <w:r w:rsidRPr="002B1F30">
        <w:rPr>
          <w:szCs w:val="22"/>
        </w:rPr>
        <w:t xml:space="preserve">Liečba starších pacientov, najmä ak je dlhodobá, by sa mala plánovať s prihliadnutím na </w:t>
      </w:r>
      <w:r w:rsidR="00FD5CCF">
        <w:rPr>
          <w:szCs w:val="22"/>
        </w:rPr>
        <w:t>zá</w:t>
      </w:r>
      <w:r w:rsidRPr="002B1F30">
        <w:rPr>
          <w:szCs w:val="22"/>
        </w:rPr>
        <w:t>vážnejšie následky bežných vedľajších účinkov kortikosteroidov v starobe, najmä osteoporózy, cukrovky, hypertenzie, hypokaliémie, náchylnosti na infekcie a stenčenia kože. Aby sa zabránilo život ohrozujúcim reakciám, je potrebný dôkladný klinický dohľad (pozri „Nežiaduce účinky“).</w:t>
      </w:r>
    </w:p>
    <w:p w14:paraId="4566FAE4" w14:textId="77777777" w:rsidR="00780926" w:rsidRPr="003021DE" w:rsidRDefault="00780926" w:rsidP="00E41B3F">
      <w:pPr>
        <w:rPr>
          <w:szCs w:val="22"/>
        </w:rPr>
      </w:pPr>
    </w:p>
    <w:p w14:paraId="1AB3E774" w14:textId="77777777" w:rsidR="00780926" w:rsidRPr="003021DE" w:rsidRDefault="00623601" w:rsidP="00E41B3F">
      <w:pPr>
        <w:rPr>
          <w:szCs w:val="22"/>
        </w:rPr>
      </w:pPr>
      <w:r w:rsidRPr="003021DE">
        <w:rPr>
          <w:b/>
          <w:szCs w:val="22"/>
        </w:rPr>
        <w:t>4.3</w:t>
      </w:r>
      <w:r w:rsidRPr="003021DE">
        <w:rPr>
          <w:b/>
          <w:szCs w:val="22"/>
        </w:rPr>
        <w:tab/>
        <w:t>Kontraindikácie</w:t>
      </w:r>
    </w:p>
    <w:p w14:paraId="02C312D4" w14:textId="77777777" w:rsidR="00780926" w:rsidRPr="003021DE" w:rsidRDefault="00780926" w:rsidP="00E41B3F">
      <w:pPr>
        <w:rPr>
          <w:szCs w:val="22"/>
        </w:rPr>
      </w:pPr>
    </w:p>
    <w:p w14:paraId="10B5FFA6" w14:textId="1EC34A03" w:rsidR="00780926" w:rsidRPr="00B13F68" w:rsidRDefault="002B1F30" w:rsidP="00E41B3F">
      <w:pPr>
        <w:pStyle w:val="Zkladntext"/>
        <w:rPr>
          <w:noProof/>
          <w:szCs w:val="22"/>
        </w:rPr>
      </w:pPr>
      <w:r w:rsidRPr="002B1F30">
        <w:rPr>
          <w:szCs w:val="22"/>
        </w:rPr>
        <w:t xml:space="preserve">Systémová plesňová infekcia; systémová infekcia, pokiaľ nie je použitá špecifická protiinfekčná terapia; precitlivenosť na </w:t>
      </w:r>
      <w:r w:rsidR="00FD5CCF">
        <w:rPr>
          <w:szCs w:val="22"/>
        </w:rPr>
        <w:t>liečivo</w:t>
      </w:r>
      <w:r w:rsidRPr="002B1F30">
        <w:rPr>
          <w:szCs w:val="22"/>
        </w:rPr>
        <w:t xml:space="preserve"> alebo na ktorúkoľvek inú zložku tohto lieku. Podávanie živých vírusových vakcín (pozri „Osobitné upozornenia a opatrenia pri používaní“).</w:t>
      </w:r>
    </w:p>
    <w:p w14:paraId="311D325D" w14:textId="77777777" w:rsidR="00780926" w:rsidRPr="00B13F68" w:rsidRDefault="00780926" w:rsidP="00E41B3F">
      <w:pPr>
        <w:rPr>
          <w:szCs w:val="22"/>
        </w:rPr>
      </w:pPr>
    </w:p>
    <w:p w14:paraId="4821E6F6" w14:textId="77777777" w:rsidR="00780926" w:rsidRPr="00B13F68" w:rsidRDefault="00623601" w:rsidP="00E41B3F">
      <w:pPr>
        <w:rPr>
          <w:b/>
          <w:szCs w:val="22"/>
        </w:rPr>
      </w:pPr>
      <w:r w:rsidRPr="00B13F68">
        <w:rPr>
          <w:b/>
          <w:szCs w:val="22"/>
        </w:rPr>
        <w:t>4.4</w:t>
      </w:r>
      <w:r w:rsidRPr="00B13F68">
        <w:rPr>
          <w:b/>
          <w:szCs w:val="22"/>
        </w:rPr>
        <w:tab/>
        <w:t>Osobitné upozornenia a </w:t>
      </w:r>
      <w:r w:rsidRPr="00FA27E6">
        <w:rPr>
          <w:b/>
          <w:szCs w:val="22"/>
        </w:rPr>
        <w:t>opatrenia pri používaní</w:t>
      </w:r>
    </w:p>
    <w:p w14:paraId="57A648A7" w14:textId="77777777" w:rsidR="00E1698A" w:rsidRDefault="00E1698A" w:rsidP="00E41B3F">
      <w:pPr>
        <w:rPr>
          <w:szCs w:val="22"/>
        </w:rPr>
      </w:pPr>
    </w:p>
    <w:p w14:paraId="213E0DFB" w14:textId="7D7E8491" w:rsidR="00A81F4A" w:rsidRPr="00A81F4A" w:rsidRDefault="00A81F4A" w:rsidP="00A81F4A">
      <w:pPr>
        <w:ind w:left="0" w:firstLine="0"/>
        <w:rPr>
          <w:szCs w:val="22"/>
        </w:rPr>
      </w:pPr>
      <w:r w:rsidRPr="00A81F4A">
        <w:rPr>
          <w:szCs w:val="22"/>
        </w:rPr>
        <w:t xml:space="preserve">Po uvedení lieku na trh bol hlásený syndróm </w:t>
      </w:r>
      <w:r w:rsidR="00E14193">
        <w:rPr>
          <w:szCs w:val="22"/>
        </w:rPr>
        <w:t xml:space="preserve">z </w:t>
      </w:r>
      <w:r w:rsidRPr="00A81F4A">
        <w:rPr>
          <w:szCs w:val="22"/>
        </w:rPr>
        <w:t xml:space="preserve">rozpadu nádoru (TLS) u pacientov s hematologickými malignitami po použití samotného dexametazónu alebo v kombinácii s inými chemoterapeutikami. Pacientov s </w:t>
      </w:r>
      <w:r>
        <w:rPr>
          <w:szCs w:val="22"/>
        </w:rPr>
        <w:t>veľkým</w:t>
      </w:r>
      <w:r w:rsidRPr="00A81F4A">
        <w:rPr>
          <w:szCs w:val="22"/>
        </w:rPr>
        <w:t xml:space="preserve"> rizikom TLS, ako sú pacienti s</w:t>
      </w:r>
      <w:r w:rsidR="00500671">
        <w:rPr>
          <w:szCs w:val="22"/>
        </w:rPr>
        <w:t> </w:t>
      </w:r>
      <w:r w:rsidRPr="00A81F4A">
        <w:rPr>
          <w:szCs w:val="22"/>
        </w:rPr>
        <w:t>vysokou</w:t>
      </w:r>
      <w:r w:rsidR="00500671">
        <w:rPr>
          <w:szCs w:val="22"/>
        </w:rPr>
        <w:t xml:space="preserve"> mierou proliferácie</w:t>
      </w:r>
      <w:r w:rsidRPr="00A81F4A">
        <w:rPr>
          <w:szCs w:val="22"/>
        </w:rPr>
        <w:t xml:space="preserve">, </w:t>
      </w:r>
      <w:r>
        <w:rPr>
          <w:szCs w:val="22"/>
        </w:rPr>
        <w:t>veľkou</w:t>
      </w:r>
      <w:r w:rsidRPr="00A81F4A">
        <w:rPr>
          <w:szCs w:val="22"/>
        </w:rPr>
        <w:t xml:space="preserve"> nádorovou záťažou a </w:t>
      </w:r>
      <w:r>
        <w:rPr>
          <w:szCs w:val="22"/>
        </w:rPr>
        <w:t>veľkou</w:t>
      </w:r>
      <w:r w:rsidRPr="00A81F4A">
        <w:rPr>
          <w:szCs w:val="22"/>
        </w:rPr>
        <w:t xml:space="preserve"> citlivosťou na cytotoxické látky, je potrebné starostlivo sledovať a prijať príslušné preventívne opatrenia.</w:t>
      </w:r>
    </w:p>
    <w:p w14:paraId="64AB0B75" w14:textId="5A7BD820" w:rsidR="00A81F4A" w:rsidRPr="00A81F4A" w:rsidRDefault="00A81F4A" w:rsidP="00A81F4A">
      <w:pPr>
        <w:ind w:left="0" w:firstLine="0"/>
        <w:rPr>
          <w:szCs w:val="22"/>
        </w:rPr>
      </w:pPr>
      <w:r>
        <w:rPr>
          <w:szCs w:val="22"/>
        </w:rPr>
        <w:t>Pacienti a/</w:t>
      </w:r>
      <w:r w:rsidRPr="00A81F4A">
        <w:rPr>
          <w:szCs w:val="22"/>
        </w:rPr>
        <w:t xml:space="preserve">alebo opatrovatelia majú byť upozornení, že </w:t>
      </w:r>
      <w:r w:rsidR="00E14193">
        <w:rPr>
          <w:szCs w:val="22"/>
        </w:rPr>
        <w:t xml:space="preserve">pri </w:t>
      </w:r>
      <w:r w:rsidR="00ED3835" w:rsidRPr="00ED3835">
        <w:rPr>
          <w:szCs w:val="22"/>
        </w:rPr>
        <w:t>liečbe systémovými steroidmi</w:t>
      </w:r>
      <w:r w:rsidR="00ED3835" w:rsidRPr="00A81F4A">
        <w:rPr>
          <w:szCs w:val="22"/>
        </w:rPr>
        <w:t xml:space="preserve"> </w:t>
      </w:r>
      <w:r w:rsidRPr="00A81F4A">
        <w:rPr>
          <w:szCs w:val="22"/>
        </w:rPr>
        <w:t>sa môžu vyskytnúť potenciálne závažné psychiatrické nežiaduce reakcie (pozri časť 4.8). Príznaky sa zvyčajne prejavia v priebehu niekoľkých dní alebo týždňov od začiatku liečby. Riziká môžu by</w:t>
      </w:r>
      <w:r>
        <w:rPr>
          <w:szCs w:val="22"/>
        </w:rPr>
        <w:t>ť vyššie pri vysokých dávkach/</w:t>
      </w:r>
      <w:r w:rsidRPr="00A81F4A">
        <w:rPr>
          <w:szCs w:val="22"/>
        </w:rPr>
        <w:t xml:space="preserve">systémovej expozícii (pozri tiež časť 4.5 </w:t>
      </w:r>
      <w:r w:rsidR="009C3819">
        <w:rPr>
          <w:szCs w:val="22"/>
        </w:rPr>
        <w:t>F</w:t>
      </w:r>
      <w:r w:rsidRPr="00A81F4A">
        <w:rPr>
          <w:szCs w:val="22"/>
        </w:rPr>
        <w:t>armakokinetické interakcie, ktoré môžu zvyšovať riziko vedľajších účinkov), aj keď úrovne dávky neumožňujú predpovedať nástup, typ, závažnosť alebo trvanie reakcií. Väčšina reakcií sa obnoví buď po znížení dávky alebo po vysadení, aj keď môže byť potre</w:t>
      </w:r>
      <w:r>
        <w:rPr>
          <w:szCs w:val="22"/>
        </w:rPr>
        <w:t>bná špecifická liečba. Pacienti/</w:t>
      </w:r>
      <w:r w:rsidRPr="00A81F4A">
        <w:rPr>
          <w:szCs w:val="22"/>
        </w:rPr>
        <w:t xml:space="preserve">opatrovatelia </w:t>
      </w:r>
      <w:r w:rsidR="00497396" w:rsidRPr="007B31F6">
        <w:rPr>
          <w:szCs w:val="22"/>
        </w:rPr>
        <w:t>majú</w:t>
      </w:r>
      <w:r w:rsidR="00386C4A" w:rsidRPr="007B31F6">
        <w:rPr>
          <w:szCs w:val="22"/>
        </w:rPr>
        <w:t xml:space="preserve"> byť </w:t>
      </w:r>
      <w:r w:rsidR="00500671" w:rsidRPr="007B31F6">
        <w:rPr>
          <w:szCs w:val="22"/>
        </w:rPr>
        <w:t>upozornení</w:t>
      </w:r>
      <w:r w:rsidR="00497396" w:rsidRPr="007B31F6">
        <w:rPr>
          <w:szCs w:val="22"/>
        </w:rPr>
        <w:t>,</w:t>
      </w:r>
      <w:r w:rsidRPr="007B31F6">
        <w:rPr>
          <w:szCs w:val="22"/>
        </w:rPr>
        <w:t xml:space="preserve"> aby</w:t>
      </w:r>
      <w:r w:rsidRPr="00A81F4A">
        <w:rPr>
          <w:szCs w:val="22"/>
        </w:rPr>
        <w:t xml:space="preserve"> vyhľadali lekársku pomoc, ak sa objavia znepokojujúce psychologické príznaky, najmä ak existuje podozrenie na depresívnu náladu alebo sam</w:t>
      </w:r>
      <w:r>
        <w:rPr>
          <w:szCs w:val="22"/>
        </w:rPr>
        <w:t>ovražedné myšlienky. Pacienti/</w:t>
      </w:r>
      <w:r w:rsidRPr="00A81F4A">
        <w:rPr>
          <w:szCs w:val="22"/>
        </w:rPr>
        <w:t>opatrovatelia by mali byť tiež upozornení na možné psychiatrické poruchy, ktoré sa môžu vyskytn</w:t>
      </w:r>
      <w:r>
        <w:rPr>
          <w:szCs w:val="22"/>
        </w:rPr>
        <w:t>úť buď počas znižovania dávky/</w:t>
      </w:r>
      <w:r w:rsidRPr="00A81F4A">
        <w:rPr>
          <w:szCs w:val="22"/>
        </w:rPr>
        <w:t>vysadzovania systémových steroidov, alebo bezprostredne po nich. Aj keď sa tieto reakcie zaznamenali zriedkavo.</w:t>
      </w:r>
    </w:p>
    <w:p w14:paraId="10E366F7" w14:textId="77777777" w:rsidR="00A81F4A" w:rsidRDefault="00A81F4A" w:rsidP="00A81F4A">
      <w:pPr>
        <w:ind w:left="0" w:firstLine="0"/>
        <w:rPr>
          <w:szCs w:val="22"/>
        </w:rPr>
      </w:pPr>
      <w:r w:rsidRPr="00A81F4A">
        <w:rPr>
          <w:szCs w:val="22"/>
        </w:rPr>
        <w:t xml:space="preserve">Osobitná opatrnosť je potrebná pri zvažovaní použitia systémových kortikosteroidov u pacientov s existujúcou alebo predchádzajúcou anamnézou závažných afektívnych porúch u nich samotných alebo </w:t>
      </w:r>
      <w:r w:rsidRPr="00A81F4A">
        <w:rPr>
          <w:szCs w:val="22"/>
        </w:rPr>
        <w:lastRenderedPageBreak/>
        <w:t>u ich príbuzných prvého stupňa. Patria sem depresívne alebo maniodepresívne choroby a predchádzajúce steroidné psychózy.</w:t>
      </w:r>
    </w:p>
    <w:p w14:paraId="7EF1D4F0" w14:textId="77777777" w:rsidR="00A81F4A" w:rsidRDefault="00A81F4A" w:rsidP="00A81F4A">
      <w:pPr>
        <w:ind w:left="0" w:firstLine="0"/>
        <w:rPr>
          <w:szCs w:val="22"/>
        </w:rPr>
      </w:pPr>
    </w:p>
    <w:p w14:paraId="1E82F8C5" w14:textId="77777777" w:rsidR="00A81F4A" w:rsidRPr="00A81F4A" w:rsidRDefault="00A81F4A" w:rsidP="00A81F4A">
      <w:pPr>
        <w:ind w:left="0" w:firstLine="0"/>
        <w:rPr>
          <w:szCs w:val="22"/>
        </w:rPr>
      </w:pPr>
      <w:r w:rsidRPr="00A81F4A">
        <w:rPr>
          <w:szCs w:val="22"/>
        </w:rPr>
        <w:t xml:space="preserve">Časté intraartikulárne injekcie počas dlhšieho obdobia môžu viesť k deštrukcii kĺbov s nekrózou kostí. Intraartikulárna injekcia kortikosteroidov môže spôsobiť systémové nežiaduce reakcie vrátane </w:t>
      </w:r>
      <w:r>
        <w:rPr>
          <w:szCs w:val="22"/>
        </w:rPr>
        <w:t>supresie</w:t>
      </w:r>
      <w:r w:rsidRPr="00A81F4A">
        <w:rPr>
          <w:szCs w:val="22"/>
        </w:rPr>
        <w:t xml:space="preserve"> nadobličiek.</w:t>
      </w:r>
    </w:p>
    <w:p w14:paraId="218E6187" w14:textId="77777777" w:rsidR="00A81F4A" w:rsidRPr="00A81F4A" w:rsidRDefault="00A81F4A" w:rsidP="00A81F4A">
      <w:pPr>
        <w:ind w:left="0" w:firstLine="0"/>
        <w:rPr>
          <w:szCs w:val="22"/>
        </w:rPr>
      </w:pPr>
    </w:p>
    <w:p w14:paraId="6E404837" w14:textId="77777777" w:rsidR="00A81F4A" w:rsidRPr="00A81F4A" w:rsidRDefault="00A81F4A" w:rsidP="00A81F4A">
      <w:pPr>
        <w:ind w:left="0" w:firstLine="0"/>
        <w:rPr>
          <w:szCs w:val="22"/>
        </w:rPr>
      </w:pPr>
      <w:r w:rsidRPr="00A81F4A">
        <w:rPr>
          <w:szCs w:val="22"/>
        </w:rPr>
        <w:t xml:space="preserve">Nežiaduce účinky možno minimalizovať použitím najnižšej účinnej dávky po minimálnu dobu. Na správne titrovanie dávky podľa aktivity ochorenia je potrebné časté sledovanie pacienta. Ak je možné zníženie dávky, zníženie by malo byť postupné (pozri </w:t>
      </w:r>
      <w:r w:rsidR="002A5744">
        <w:rPr>
          <w:szCs w:val="22"/>
        </w:rPr>
        <w:t>časť</w:t>
      </w:r>
      <w:r w:rsidRPr="00A81F4A">
        <w:rPr>
          <w:szCs w:val="22"/>
        </w:rPr>
        <w:t>„Dávkovanie a spôsob podávania“).</w:t>
      </w:r>
    </w:p>
    <w:p w14:paraId="331F4D75" w14:textId="77777777" w:rsidR="00A81F4A" w:rsidRPr="00A81F4A" w:rsidRDefault="00A81F4A" w:rsidP="00A81F4A">
      <w:pPr>
        <w:ind w:left="0" w:firstLine="0"/>
        <w:rPr>
          <w:szCs w:val="22"/>
        </w:rPr>
      </w:pPr>
    </w:p>
    <w:p w14:paraId="52EB557F" w14:textId="77777777" w:rsidR="00A81F4A" w:rsidRPr="00A81F4A" w:rsidRDefault="00A81F4A" w:rsidP="00A81F4A">
      <w:pPr>
        <w:ind w:left="0" w:firstLine="0"/>
        <w:rPr>
          <w:szCs w:val="22"/>
        </w:rPr>
      </w:pPr>
      <w:r w:rsidRPr="00A81F4A">
        <w:rPr>
          <w:szCs w:val="22"/>
        </w:rPr>
        <w:t>Kortikosteroidy môžu zhoršiť systémové plesňové infekcie, a preto by sa nemali používať v prípade výskytu takýchto infekcií, pokiaľ nie sú potrebné na kontrolu liekových reakcií spôsobených amfotericínom. Ďalej boli hlásené prípady, keď po súčasnom užití amfotericínu a hydrokortizónu nasledovalo zväčšenie srdca a kongestívne zlyhanie.</w:t>
      </w:r>
    </w:p>
    <w:p w14:paraId="293BDABB" w14:textId="77777777" w:rsidR="00A81F4A" w:rsidRPr="00A81F4A" w:rsidRDefault="00A81F4A" w:rsidP="00A81F4A">
      <w:pPr>
        <w:ind w:left="0" w:firstLine="0"/>
        <w:rPr>
          <w:szCs w:val="22"/>
        </w:rPr>
      </w:pPr>
    </w:p>
    <w:p w14:paraId="7842F97E" w14:textId="77777777" w:rsidR="00A81F4A" w:rsidRDefault="00A81F4A" w:rsidP="00A81F4A">
      <w:pPr>
        <w:ind w:left="0" w:firstLine="0"/>
        <w:rPr>
          <w:szCs w:val="22"/>
        </w:rPr>
      </w:pPr>
      <w:r w:rsidRPr="00A81F4A">
        <w:rPr>
          <w:szCs w:val="22"/>
        </w:rPr>
        <w:t>Priemerné a veľké dávky hydrokortizónu alebo kortizónu môžu spôsobiť zvýšenie krvného tlaku, zadržiavanie solí a vody a zvýšené vylučovanie draslíka, ale tieto účinky sa s menšou pravdepodobnosťou vyskytnú u syntetických derivátov, pokiaľ sa nepoužívajú vo veľkých dávkach. Môže byť potrebné obmedziť príjem soli v strave a doplniť draslík. Všetky kortikosteroidy zvyšujú vylučovanie vápnika.</w:t>
      </w:r>
    </w:p>
    <w:p w14:paraId="3C6A5481" w14:textId="77777777" w:rsidR="00A81F4A" w:rsidRDefault="00A81F4A" w:rsidP="00A81F4A">
      <w:pPr>
        <w:ind w:left="0" w:firstLine="0"/>
        <w:rPr>
          <w:szCs w:val="22"/>
        </w:rPr>
      </w:pPr>
    </w:p>
    <w:p w14:paraId="5638AAE9" w14:textId="6DFEC22D" w:rsidR="00A81F4A" w:rsidRPr="00A81F4A" w:rsidRDefault="00500671" w:rsidP="00A81F4A">
      <w:pPr>
        <w:ind w:left="0" w:firstLine="0"/>
        <w:rPr>
          <w:szCs w:val="22"/>
        </w:rPr>
      </w:pPr>
      <w:r w:rsidRPr="00500671">
        <w:rPr>
          <w:szCs w:val="22"/>
        </w:rPr>
        <w:t xml:space="preserve">Má sa vziať do </w:t>
      </w:r>
      <w:r w:rsidRPr="007B31F6">
        <w:rPr>
          <w:szCs w:val="22"/>
        </w:rPr>
        <w:t>úvahy</w:t>
      </w:r>
      <w:r w:rsidRPr="007B31F6" w:rsidDel="00500671">
        <w:rPr>
          <w:szCs w:val="22"/>
        </w:rPr>
        <w:t xml:space="preserve"> </w:t>
      </w:r>
      <w:r w:rsidR="00A81F4A" w:rsidRPr="007B31F6">
        <w:rPr>
          <w:szCs w:val="22"/>
        </w:rPr>
        <w:t>p</w:t>
      </w:r>
      <w:r w:rsidR="00A81F4A" w:rsidRPr="00A81F4A">
        <w:rPr>
          <w:szCs w:val="22"/>
        </w:rPr>
        <w:t>omalšia rýchlosť absorpcie intramuskulárnym podaním.</w:t>
      </w:r>
    </w:p>
    <w:p w14:paraId="57018283" w14:textId="77777777" w:rsidR="00A81F4A" w:rsidRPr="00A81F4A" w:rsidRDefault="00A81F4A" w:rsidP="00A81F4A">
      <w:pPr>
        <w:ind w:left="0" w:firstLine="0"/>
        <w:rPr>
          <w:szCs w:val="22"/>
        </w:rPr>
      </w:pPr>
    </w:p>
    <w:p w14:paraId="6FF8BB92" w14:textId="77777777" w:rsidR="00A81F4A" w:rsidRPr="00A81F4A" w:rsidRDefault="00A81F4A" w:rsidP="00A81F4A">
      <w:pPr>
        <w:ind w:left="0" w:firstLine="0"/>
        <w:rPr>
          <w:szCs w:val="22"/>
        </w:rPr>
      </w:pPr>
      <w:r w:rsidRPr="00A81F4A">
        <w:rPr>
          <w:szCs w:val="22"/>
        </w:rPr>
        <w:t>U pacientov liečených kortikosteroidmi, ktorí sú vysta</w:t>
      </w:r>
      <w:r>
        <w:rPr>
          <w:szCs w:val="22"/>
        </w:rPr>
        <w:t>vení neobvyklému stresu (napr. s</w:t>
      </w:r>
      <w:r w:rsidRPr="00A81F4A">
        <w:rPr>
          <w:szCs w:val="22"/>
        </w:rPr>
        <w:t xml:space="preserve">úbežné ochorenie, trauma alebo chirurgické zákroky), sa má dávka zvýšiť </w:t>
      </w:r>
      <w:r w:rsidR="00ED3835">
        <w:t xml:space="preserve">pred stresovou situáciou, počas nej a </w:t>
      </w:r>
      <w:r w:rsidRPr="00A81F4A">
        <w:rPr>
          <w:szCs w:val="22"/>
        </w:rPr>
        <w:t>po stresovej situácii. Sekundárna adrenokortikálna nedostatočnosť vyvolaná liekom môže byť výsledkom príliš rýchleho vysadenia kortikosteroidov a môže sa minimalizovať p</w:t>
      </w:r>
      <w:r>
        <w:rPr>
          <w:szCs w:val="22"/>
        </w:rPr>
        <w:t>ostupným znižovaním dávky, ktorá</w:t>
      </w:r>
      <w:r w:rsidRPr="00A81F4A">
        <w:rPr>
          <w:szCs w:val="22"/>
        </w:rPr>
        <w:t xml:space="preserve"> sa bude postupne znižovať v priebehu týždňov a mesiacov, v závislosti od dávky a trvania liečby, ale môže pretrvávať </w:t>
      </w:r>
      <w:r>
        <w:rPr>
          <w:szCs w:val="22"/>
        </w:rPr>
        <w:t>až jeden rok po ukončení liečby</w:t>
      </w:r>
      <w:r w:rsidRPr="00A81F4A">
        <w:rPr>
          <w:szCs w:val="22"/>
        </w:rPr>
        <w:t>. V každej stresovej situácii počas tohto obdobia by sa preto mala znovu nasadiť liečba kortikosteroidmi. Ak pacient už dostáva kortikosteroi</w:t>
      </w:r>
      <w:r>
        <w:rPr>
          <w:szCs w:val="22"/>
        </w:rPr>
        <w:t xml:space="preserve">dy, súčasné dávkovanie </w:t>
      </w:r>
      <w:r w:rsidRPr="00A81F4A">
        <w:rPr>
          <w:szCs w:val="22"/>
        </w:rPr>
        <w:t>sa mus</w:t>
      </w:r>
      <w:r>
        <w:rPr>
          <w:szCs w:val="22"/>
        </w:rPr>
        <w:t>í dočasne zvýšiť. Soľ a/</w:t>
      </w:r>
      <w:r w:rsidRPr="00A81F4A">
        <w:rPr>
          <w:szCs w:val="22"/>
        </w:rPr>
        <w:t>alebo mineralokortikoid by s</w:t>
      </w:r>
      <w:r>
        <w:rPr>
          <w:szCs w:val="22"/>
        </w:rPr>
        <w:t xml:space="preserve">a mali podávať súbežne, pretože </w:t>
      </w:r>
      <w:r w:rsidRPr="00A81F4A">
        <w:rPr>
          <w:szCs w:val="22"/>
        </w:rPr>
        <w:t>môže byť narušená sekrécia mineralokortikoidov.</w:t>
      </w:r>
    </w:p>
    <w:p w14:paraId="3440C407" w14:textId="77777777" w:rsidR="00A81F4A" w:rsidRPr="00A81F4A" w:rsidRDefault="00A81F4A" w:rsidP="00A81F4A">
      <w:pPr>
        <w:ind w:left="0" w:firstLine="0"/>
        <w:rPr>
          <w:szCs w:val="22"/>
        </w:rPr>
      </w:pPr>
    </w:p>
    <w:p w14:paraId="33AD2147" w14:textId="77777777" w:rsidR="00A81F4A" w:rsidRDefault="00A81F4A" w:rsidP="00A81F4A">
      <w:pPr>
        <w:ind w:left="0" w:firstLine="0"/>
        <w:rPr>
          <w:szCs w:val="22"/>
        </w:rPr>
      </w:pPr>
      <w:r w:rsidRPr="00A81F4A">
        <w:rPr>
          <w:szCs w:val="22"/>
        </w:rPr>
        <w:t>Vysadenie kortikosteroidov po dlhodobej liečbe môže spôsobiť abstinenčné príznaky, vrátane horúčky, myalgie, artralgie a malátnosti. K tomu môže dôjsť u pacientov aj bez známok adrenálnej insuficiencie.</w:t>
      </w:r>
    </w:p>
    <w:p w14:paraId="13E26761" w14:textId="77777777" w:rsidR="00FA27E6" w:rsidRDefault="00FA27E6" w:rsidP="00A81F4A">
      <w:pPr>
        <w:ind w:left="0" w:firstLine="0"/>
        <w:rPr>
          <w:szCs w:val="22"/>
        </w:rPr>
      </w:pPr>
    </w:p>
    <w:p w14:paraId="6FA4ABC2" w14:textId="77777777" w:rsidR="00FA27E6" w:rsidRPr="00FA27E6" w:rsidRDefault="00FA27E6" w:rsidP="00FA27E6">
      <w:pPr>
        <w:ind w:left="0" w:firstLine="0"/>
        <w:rPr>
          <w:szCs w:val="22"/>
        </w:rPr>
      </w:pPr>
      <w:r w:rsidRPr="00FA27E6">
        <w:rPr>
          <w:szCs w:val="22"/>
        </w:rPr>
        <w:t>U pacientov, ktorí dostávali viac ako fyziologické dávky systémových kortikosteroidov (približne 1</w:t>
      </w:r>
      <w:r>
        <w:rPr>
          <w:szCs w:val="22"/>
        </w:rPr>
        <w:t> </w:t>
      </w:r>
      <w:r w:rsidRPr="00FA27E6">
        <w:rPr>
          <w:szCs w:val="22"/>
        </w:rPr>
        <w:t>mg dexametazónu) po dobu dlhšiu ako tri týždne, nemá byť vysadenie náhle. To, ako by sa malo vykonať znížen</w:t>
      </w:r>
      <w:r>
        <w:rPr>
          <w:szCs w:val="22"/>
        </w:rPr>
        <w:t>ie dávky, závisí vo veľkej miery</w:t>
      </w:r>
      <w:r w:rsidRPr="00FA27E6">
        <w:rPr>
          <w:szCs w:val="22"/>
        </w:rPr>
        <w:t xml:space="preserve"> od toho, či je pravdepodobné, </w:t>
      </w:r>
      <w:r w:rsidR="00ED3835" w:rsidRPr="00ED3835">
        <w:rPr>
          <w:szCs w:val="22"/>
        </w:rPr>
        <w:t>že dôjde k relapsu ochorenia v dôsledku zníženia dávky systémovo podávaných kortikosteroidov.</w:t>
      </w:r>
      <w:r w:rsidRPr="00FA27E6">
        <w:rPr>
          <w:szCs w:val="22"/>
        </w:rPr>
        <w:t>Počas vysadenia môže byť potrebné klinické zhodnotenie aktivity ochorenia. Ak je nepravdepodobné, že dôjde k relapsu choroby po vysadení systémových kortikosteroidov, ale nie je isté, či dôjde k</w:t>
      </w:r>
      <w:r>
        <w:rPr>
          <w:szCs w:val="22"/>
        </w:rPr>
        <w:t xml:space="preserve"> </w:t>
      </w:r>
      <w:r w:rsidRPr="0008117C">
        <w:rPr>
          <w:szCs w:val="22"/>
        </w:rPr>
        <w:t>supresii</w:t>
      </w:r>
      <w:r>
        <w:rPr>
          <w:szCs w:val="22"/>
        </w:rPr>
        <w:t xml:space="preserve"> </w:t>
      </w:r>
      <w:r w:rsidR="009C3819">
        <w:rPr>
          <w:szCs w:val="22"/>
        </w:rPr>
        <w:t xml:space="preserve">osi </w:t>
      </w:r>
      <w:r>
        <w:rPr>
          <w:szCs w:val="22"/>
        </w:rPr>
        <w:t>hypotalamus-hypofýza</w:t>
      </w:r>
      <w:r w:rsidR="00090C61">
        <w:rPr>
          <w:szCs w:val="22"/>
        </w:rPr>
        <w:t>-</w:t>
      </w:r>
      <w:r>
        <w:rPr>
          <w:szCs w:val="22"/>
        </w:rPr>
        <w:t xml:space="preserve"> </w:t>
      </w:r>
      <w:r w:rsidRPr="00FA27E6">
        <w:rPr>
          <w:szCs w:val="22"/>
        </w:rPr>
        <w:t>nadobličky</w:t>
      </w:r>
      <w:r>
        <w:rPr>
          <w:szCs w:val="22"/>
        </w:rPr>
        <w:t xml:space="preserve"> (HPA</w:t>
      </w:r>
      <w:r w:rsidRPr="00FA27E6">
        <w:rPr>
          <w:szCs w:val="22"/>
        </w:rPr>
        <w:t>), dávka systémových kortikosteroidov sa môže rýchlo znížiť na fyziologické dávky. Akonáhle sa dosiahne denná dávka 1</w:t>
      </w:r>
      <w:r>
        <w:rPr>
          <w:szCs w:val="22"/>
        </w:rPr>
        <w:t> </w:t>
      </w:r>
      <w:r w:rsidRPr="00FA27E6">
        <w:rPr>
          <w:szCs w:val="22"/>
        </w:rPr>
        <w:t>mg dexametazónu, znižovanie dávky by malo byť pomalšie, aby sa os HPA mohla zotaviť.</w:t>
      </w:r>
    </w:p>
    <w:p w14:paraId="1B5E222C" w14:textId="77777777" w:rsidR="00FA27E6" w:rsidRPr="00FA27E6" w:rsidRDefault="00FA27E6" w:rsidP="00FA27E6">
      <w:pPr>
        <w:ind w:left="0" w:firstLine="0"/>
        <w:rPr>
          <w:szCs w:val="22"/>
        </w:rPr>
      </w:pPr>
    </w:p>
    <w:p w14:paraId="0551ACA8" w14:textId="77777777" w:rsidR="00FA27E6" w:rsidRDefault="00ED3835" w:rsidP="00FA27E6">
      <w:pPr>
        <w:ind w:left="0" w:firstLine="0"/>
        <w:rPr>
          <w:szCs w:val="22"/>
        </w:rPr>
      </w:pPr>
      <w:r w:rsidRPr="00ED3835">
        <w:rPr>
          <w:szCs w:val="22"/>
        </w:rPr>
        <w:t>Náhle prerušenie liečby systémovo podávanými kortikosteroidmi po liečebnom cykle trvajúcom tri týždne je vhodné za predpokladu, že je nepravdepodobné, že dôjde k relapsu ochorenia.</w:t>
      </w:r>
      <w:r w:rsidR="00FA27E6" w:rsidRPr="00FA27E6">
        <w:rPr>
          <w:szCs w:val="22"/>
        </w:rPr>
        <w:t xml:space="preserve">Je nepravdepodobné, že náhle vysadenie dávok </w:t>
      </w:r>
      <w:r w:rsidR="00FA27E6" w:rsidRPr="007B31F6">
        <w:rPr>
          <w:szCs w:val="22"/>
        </w:rPr>
        <w:t xml:space="preserve">až </w:t>
      </w:r>
      <w:r w:rsidR="00386C4A" w:rsidRPr="007B31F6">
        <w:rPr>
          <w:szCs w:val="22"/>
        </w:rPr>
        <w:t>do</w:t>
      </w:r>
      <w:r w:rsidR="00E14193">
        <w:rPr>
          <w:szCs w:val="22"/>
        </w:rPr>
        <w:t xml:space="preserve"> </w:t>
      </w:r>
      <w:r w:rsidR="00FA27E6" w:rsidRPr="00FA27E6">
        <w:rPr>
          <w:szCs w:val="22"/>
        </w:rPr>
        <w:t>6</w:t>
      </w:r>
      <w:r w:rsidR="00FA27E6">
        <w:rPr>
          <w:szCs w:val="22"/>
        </w:rPr>
        <w:t> </w:t>
      </w:r>
      <w:r w:rsidR="00FA27E6" w:rsidRPr="00FA27E6">
        <w:rPr>
          <w:szCs w:val="22"/>
        </w:rPr>
        <w:t xml:space="preserve">mg dexametazónu denne </w:t>
      </w:r>
      <w:r w:rsidR="002A5744">
        <w:rPr>
          <w:szCs w:val="22"/>
        </w:rPr>
        <w:t xml:space="preserve">podávanych </w:t>
      </w:r>
      <w:r w:rsidR="00FA27E6" w:rsidRPr="00FA27E6">
        <w:rPr>
          <w:szCs w:val="22"/>
        </w:rPr>
        <w:t>počas troch týždňov povedie u väčšiny pacientov ku klinicky významnej supresii osi HPA. U nasledujúcich skupín pacientov je potrebné zvážiť postupné vysadenie systémovej liečby kortikosteroidmi aj po cykloch trvajúcich tri týždne alebo menej:</w:t>
      </w:r>
    </w:p>
    <w:p w14:paraId="29596520" w14:textId="77777777" w:rsidR="00FA27E6" w:rsidRDefault="00FA27E6" w:rsidP="00FA27E6">
      <w:pPr>
        <w:ind w:left="0" w:firstLine="0"/>
        <w:rPr>
          <w:szCs w:val="22"/>
        </w:rPr>
      </w:pPr>
    </w:p>
    <w:p w14:paraId="65894A06" w14:textId="616C3853" w:rsidR="00FA27E6" w:rsidRPr="00D72E69" w:rsidRDefault="00FA27E6" w:rsidP="00D72E69">
      <w:pPr>
        <w:pStyle w:val="Odsekzoznamu"/>
        <w:numPr>
          <w:ilvl w:val="0"/>
          <w:numId w:val="23"/>
        </w:numPr>
        <w:ind w:left="426" w:hanging="426"/>
        <w:rPr>
          <w:szCs w:val="22"/>
        </w:rPr>
      </w:pPr>
      <w:r w:rsidRPr="00D72E69">
        <w:rPr>
          <w:szCs w:val="22"/>
        </w:rPr>
        <w:t xml:space="preserve">pacienti, ktorí opakovane dostávali systémové kortikosteroidy, najmä ak </w:t>
      </w:r>
      <w:r w:rsidR="00E14193">
        <w:rPr>
          <w:szCs w:val="22"/>
        </w:rPr>
        <w:t>ich</w:t>
      </w:r>
      <w:r w:rsidRPr="00D72E69">
        <w:rPr>
          <w:szCs w:val="22"/>
        </w:rPr>
        <w:t xml:space="preserve"> užívali dlhšie ako tri týždne,</w:t>
      </w:r>
    </w:p>
    <w:p w14:paraId="5EE9BA5E" w14:textId="77777777" w:rsidR="00FA27E6" w:rsidRPr="00ED3835" w:rsidRDefault="00ED3835" w:rsidP="00D72E69">
      <w:pPr>
        <w:pStyle w:val="Odsekzoznamu"/>
        <w:numPr>
          <w:ilvl w:val="0"/>
          <w:numId w:val="23"/>
        </w:numPr>
        <w:ind w:left="426" w:hanging="426"/>
        <w:rPr>
          <w:szCs w:val="22"/>
        </w:rPr>
      </w:pPr>
      <w:r w:rsidRPr="00ED3835">
        <w:rPr>
          <w:szCs w:val="22"/>
          <w:lang w:val="cs-CZ" w:eastAsia="cs-CZ"/>
        </w:rPr>
        <w:lastRenderedPageBreak/>
        <w:t>ak bola predpísaná liečba kratšia ako jeden rok od ukončenia dlhodobej</w:t>
      </w:r>
      <w:r w:rsidRPr="00ED3835">
        <w:rPr>
          <w:szCs w:val="22"/>
        </w:rPr>
        <w:t xml:space="preserve"> </w:t>
      </w:r>
      <w:r w:rsidR="00FA27E6" w:rsidRPr="00ED3835">
        <w:rPr>
          <w:szCs w:val="22"/>
        </w:rPr>
        <w:t>liečby (mesiace alebo roky),</w:t>
      </w:r>
    </w:p>
    <w:p w14:paraId="479FA175" w14:textId="77777777" w:rsidR="00FA27E6" w:rsidRPr="00D72E69" w:rsidRDefault="00FA27E6" w:rsidP="00D72E69">
      <w:pPr>
        <w:pStyle w:val="Odsekzoznamu"/>
        <w:numPr>
          <w:ilvl w:val="0"/>
          <w:numId w:val="23"/>
        </w:numPr>
        <w:ind w:left="426" w:hanging="426"/>
        <w:rPr>
          <w:szCs w:val="22"/>
        </w:rPr>
      </w:pPr>
      <w:r w:rsidRPr="00D72E69">
        <w:rPr>
          <w:szCs w:val="22"/>
        </w:rPr>
        <w:t xml:space="preserve">pacienti, ktorí môžu mať iné dôvody </w:t>
      </w:r>
      <w:r w:rsidR="009C3819">
        <w:rPr>
          <w:szCs w:val="22"/>
        </w:rPr>
        <w:t>pre</w:t>
      </w:r>
      <w:r w:rsidRPr="00D72E69">
        <w:rPr>
          <w:szCs w:val="22"/>
        </w:rPr>
        <w:t xml:space="preserve"> adrenokortikálnu nedostatočnosť ako liečba exogénnymi kortikosteroidmi,</w:t>
      </w:r>
    </w:p>
    <w:p w14:paraId="5201E244" w14:textId="77777777" w:rsidR="00FA27E6" w:rsidRPr="00D72E69" w:rsidRDefault="00FA27E6" w:rsidP="00D72E69">
      <w:pPr>
        <w:pStyle w:val="Odsekzoznamu"/>
        <w:numPr>
          <w:ilvl w:val="0"/>
          <w:numId w:val="23"/>
        </w:numPr>
        <w:ind w:left="426" w:hanging="426"/>
        <w:rPr>
          <w:szCs w:val="22"/>
        </w:rPr>
      </w:pPr>
      <w:r w:rsidRPr="00D72E69">
        <w:rPr>
          <w:szCs w:val="22"/>
        </w:rPr>
        <w:t>pacienti užívajúci dávky systémových kortikosteroidov vyššie ako 6 mg dexametazónu denne,</w:t>
      </w:r>
    </w:p>
    <w:p w14:paraId="2D521F99" w14:textId="77777777" w:rsidR="00FA27E6" w:rsidRPr="00D72E69" w:rsidRDefault="00FA27E6" w:rsidP="00D72E69">
      <w:pPr>
        <w:pStyle w:val="Odsekzoznamu"/>
        <w:numPr>
          <w:ilvl w:val="0"/>
          <w:numId w:val="23"/>
        </w:numPr>
        <w:ind w:left="426" w:hanging="426"/>
        <w:rPr>
          <w:szCs w:val="22"/>
        </w:rPr>
      </w:pPr>
      <w:r w:rsidRPr="00D72E69">
        <w:rPr>
          <w:szCs w:val="22"/>
        </w:rPr>
        <w:t>pacienti opakovane užívajúci dávky večer.</w:t>
      </w:r>
    </w:p>
    <w:p w14:paraId="429302B4" w14:textId="77777777" w:rsidR="00A81F4A" w:rsidRDefault="00A81F4A" w:rsidP="00A81F4A">
      <w:pPr>
        <w:ind w:left="0" w:firstLine="0"/>
        <w:rPr>
          <w:szCs w:val="22"/>
        </w:rPr>
      </w:pPr>
    </w:p>
    <w:p w14:paraId="1CDB903B" w14:textId="77777777" w:rsidR="00FA27E6" w:rsidRPr="00FA27E6" w:rsidRDefault="00FA27E6" w:rsidP="00A81F4A">
      <w:pPr>
        <w:ind w:left="0" w:firstLine="0"/>
        <w:rPr>
          <w:b/>
          <w:szCs w:val="22"/>
        </w:rPr>
      </w:pPr>
      <w:r w:rsidRPr="00FA27E6">
        <w:rPr>
          <w:b/>
          <w:szCs w:val="22"/>
        </w:rPr>
        <w:t xml:space="preserve">Pacienti by mali mať pri sebe </w:t>
      </w:r>
      <w:r w:rsidRPr="00B350D9">
        <w:rPr>
          <w:b/>
          <w:szCs w:val="22"/>
        </w:rPr>
        <w:t>karty liečba steroidmi</w:t>
      </w:r>
      <w:r w:rsidRPr="00FA27E6">
        <w:rPr>
          <w:b/>
          <w:szCs w:val="22"/>
        </w:rPr>
        <w:t>, ktoré poskytujú jasný návod na preventívne opatrenia, ktoré treba prijať na minimalizáciu rizika a ktoré poskytujú podrobnosti o predpisujúcom lekárovi, lieku, dávkovaní a trvaní liečby.</w:t>
      </w:r>
    </w:p>
    <w:p w14:paraId="2E38DCEF" w14:textId="77777777" w:rsidR="00FA27E6" w:rsidRDefault="00FA27E6" w:rsidP="00A81F4A">
      <w:pPr>
        <w:ind w:left="0" w:firstLine="0"/>
        <w:rPr>
          <w:szCs w:val="22"/>
        </w:rPr>
      </w:pPr>
    </w:p>
    <w:p w14:paraId="56808AD3" w14:textId="77777777" w:rsidR="00FA27E6" w:rsidRPr="00FA27E6" w:rsidRDefault="00FA27E6" w:rsidP="00FA27E6">
      <w:pPr>
        <w:ind w:left="0" w:firstLine="0"/>
        <w:rPr>
          <w:szCs w:val="22"/>
        </w:rPr>
      </w:pPr>
      <w:r w:rsidRPr="00FA27E6">
        <w:rPr>
          <w:szCs w:val="22"/>
        </w:rPr>
        <w:t xml:space="preserve">Pretože u pacientov liečených parenterálnymi kortikosteroidmi sa zriedkavo vyskytli anafylaktoidné reakcie, je potrebné </w:t>
      </w:r>
      <w:r w:rsidR="00ED3835" w:rsidRPr="009C3819">
        <w:rPr>
          <w:color w:val="000000" w:themeColor="text1"/>
        </w:rPr>
        <w:t>pred podaním kortkosteridov</w:t>
      </w:r>
      <w:r w:rsidR="00ED3835" w:rsidRPr="009C3819">
        <w:rPr>
          <w:szCs w:val="22"/>
        </w:rPr>
        <w:t xml:space="preserve"> </w:t>
      </w:r>
      <w:r w:rsidRPr="009C3819">
        <w:rPr>
          <w:szCs w:val="22"/>
        </w:rPr>
        <w:t>urobiť</w:t>
      </w:r>
      <w:r w:rsidRPr="00FA27E6">
        <w:rPr>
          <w:szCs w:val="22"/>
        </w:rPr>
        <w:t xml:space="preserve"> príslušné preventívne opatrenia, najmä ak </w:t>
      </w:r>
      <w:r>
        <w:rPr>
          <w:szCs w:val="22"/>
        </w:rPr>
        <w:t>mal</w:t>
      </w:r>
      <w:r w:rsidRPr="00FA27E6">
        <w:rPr>
          <w:szCs w:val="22"/>
        </w:rPr>
        <w:t xml:space="preserve"> pacient v minulosti alergiu na akýkoľvek liek.</w:t>
      </w:r>
    </w:p>
    <w:p w14:paraId="1C5A9DDE" w14:textId="77777777" w:rsidR="00FA27E6" w:rsidRPr="00FA27E6" w:rsidRDefault="00FA27E6" w:rsidP="00FA27E6">
      <w:pPr>
        <w:ind w:left="0" w:firstLine="0"/>
        <w:rPr>
          <w:szCs w:val="22"/>
        </w:rPr>
      </w:pPr>
      <w:r w:rsidRPr="00FA27E6">
        <w:rPr>
          <w:szCs w:val="22"/>
        </w:rPr>
        <w:t>Podávanie živých vírusových vakcín je kontraindikované u jedincov dostávajúcich imunosupresívne dávky kortikosteroidov. Ak sa inaktivované vírusové alebo bakteriálne vakcíny podávajú jednotlivcom, ktorí dostávajú imunosupresívne dávky kortikosteroidov, je možné, že sa nedosiahne očakávaná odpoveď na sérové protilátky. Môžu sa však uskutočniť imunizačné postupy u pacientov, ktorí dostávajú kortikosteroidy ako substitučnú liečbu, napr. na Addisonovu chorobu.</w:t>
      </w:r>
    </w:p>
    <w:p w14:paraId="5B66FFA0" w14:textId="77777777" w:rsidR="00FA27E6" w:rsidRDefault="00FA27E6" w:rsidP="00FA27E6">
      <w:pPr>
        <w:ind w:left="0" w:firstLine="0"/>
        <w:rPr>
          <w:szCs w:val="22"/>
        </w:rPr>
      </w:pPr>
      <w:r w:rsidRPr="00FA27E6">
        <w:rPr>
          <w:szCs w:val="22"/>
        </w:rPr>
        <w:t>Správy z literatúry naznačujú zjavnú súvislosť medzi použitím kortikosteroidov a prasknutím voľnej steny ľavej komory po nedávnom infarkte myokardu; preto by sa liečba kortikosteroidmi mala u týchto pacientov používať s veľkou opatrnosťou.</w:t>
      </w:r>
    </w:p>
    <w:p w14:paraId="19697CE3" w14:textId="77777777" w:rsidR="00FA27E6" w:rsidRDefault="00FA27E6" w:rsidP="00FA27E6">
      <w:pPr>
        <w:ind w:left="0" w:firstLine="0"/>
        <w:rPr>
          <w:szCs w:val="22"/>
        </w:rPr>
      </w:pPr>
    </w:p>
    <w:p w14:paraId="7EE8C92F" w14:textId="77777777" w:rsidR="00FA27E6" w:rsidRPr="00FA27E6" w:rsidRDefault="00FA27E6" w:rsidP="00FA27E6">
      <w:pPr>
        <w:ind w:left="0" w:firstLine="0"/>
        <w:rPr>
          <w:szCs w:val="22"/>
        </w:rPr>
      </w:pPr>
      <w:r w:rsidRPr="00FA27E6">
        <w:rPr>
          <w:szCs w:val="22"/>
        </w:rPr>
        <w:t xml:space="preserve">Použitie </w:t>
      </w:r>
      <w:r>
        <w:rPr>
          <w:szCs w:val="22"/>
        </w:rPr>
        <w:t>Dexamethasone Noridem</w:t>
      </w:r>
      <w:r w:rsidRPr="00FA27E6">
        <w:rPr>
          <w:szCs w:val="22"/>
        </w:rPr>
        <w:t xml:space="preserve"> pri aktívnej tuberkulóze by sa malo obmedziť na tie prípady fulminujúcej alebo diseminovanej tuberkulózy, pri ktorých sa kortikosteroid používa na liečbu tohto ochorenia v spojení s vhodným antituberkulóznym režimom. Ak sú kortikosteroidy indikované u pacientov s latentnou tuberkulózou alebo tuberkulínovou reaktivitou, je potrebné ich pozorne sledovať, pretože môže dôjsť k reaktivácii. Počas dlhodobej liečby kortikosteroidmi by títo pacienti mali dostávať profylaktick</w:t>
      </w:r>
      <w:r w:rsidR="009C3819">
        <w:rPr>
          <w:szCs w:val="22"/>
        </w:rPr>
        <w:t xml:space="preserve">ú </w:t>
      </w:r>
      <w:r w:rsidRPr="00FA27E6">
        <w:rPr>
          <w:szCs w:val="22"/>
        </w:rPr>
        <w:t>antimikrobiálnu liečbu.</w:t>
      </w:r>
    </w:p>
    <w:p w14:paraId="437AFD2C" w14:textId="0FB9AB49" w:rsidR="00FA27E6" w:rsidRDefault="00FA27E6" w:rsidP="00FA27E6">
      <w:pPr>
        <w:ind w:left="0" w:firstLine="0"/>
        <w:rPr>
          <w:szCs w:val="22"/>
        </w:rPr>
      </w:pPr>
      <w:r w:rsidRPr="00FA27E6">
        <w:rPr>
          <w:szCs w:val="22"/>
        </w:rPr>
        <w:t xml:space="preserve">Kortikosteroidy môžu maskovať niektoré </w:t>
      </w:r>
      <w:r w:rsidR="00EE26A0">
        <w:rPr>
          <w:szCs w:val="22"/>
        </w:rPr>
        <w:t>prejavy</w:t>
      </w:r>
      <w:r w:rsidRPr="00FA27E6">
        <w:rPr>
          <w:szCs w:val="22"/>
        </w:rPr>
        <w:t xml:space="preserve"> infekcie a počas ich používania sa môžu objaviť nové infekcie. Potlačenie zápalovej reakcie a imunitných funkcií zvyšuje náchylnosť na infekcie a ich závažnosť. Klinický obraz môže byť často atypický a závažné infekcie, ako je septikémia a tuberkulóza, </w:t>
      </w:r>
      <w:r w:rsidR="00ED3835" w:rsidRPr="00FA27E6">
        <w:rPr>
          <w:szCs w:val="22"/>
        </w:rPr>
        <w:t xml:space="preserve">môžu byť maskované až do rozpoznania </w:t>
      </w:r>
      <w:r w:rsidR="00ED3835">
        <w:rPr>
          <w:szCs w:val="22"/>
        </w:rPr>
        <w:t xml:space="preserve">a </w:t>
      </w:r>
      <w:r w:rsidR="00ED3835" w:rsidRPr="00FA27E6">
        <w:rPr>
          <w:szCs w:val="22"/>
        </w:rPr>
        <w:t xml:space="preserve">môžu </w:t>
      </w:r>
      <w:r w:rsidR="00ED3835">
        <w:rPr>
          <w:szCs w:val="22"/>
        </w:rPr>
        <w:t>s</w:t>
      </w:r>
      <w:r w:rsidR="00ED3835" w:rsidRPr="00FA27E6">
        <w:rPr>
          <w:szCs w:val="22"/>
        </w:rPr>
        <w:t>a dosta</w:t>
      </w:r>
      <w:r w:rsidR="00ED3835">
        <w:rPr>
          <w:szCs w:val="22"/>
        </w:rPr>
        <w:t>ť</w:t>
      </w:r>
      <w:r w:rsidR="00ED3835" w:rsidRPr="00FA27E6">
        <w:rPr>
          <w:szCs w:val="22"/>
        </w:rPr>
        <w:t xml:space="preserve"> do pokročilého štádia.</w:t>
      </w:r>
      <w:r w:rsidR="00ED3835">
        <w:rPr>
          <w:szCs w:val="22"/>
        </w:rPr>
        <w:t xml:space="preserve"> </w:t>
      </w:r>
      <w:r w:rsidRPr="00FA27E6">
        <w:rPr>
          <w:szCs w:val="22"/>
        </w:rPr>
        <w:t xml:space="preserve">Môže dôjsť k zníženej </w:t>
      </w:r>
      <w:r w:rsidR="00ED3835" w:rsidRPr="00ED3835">
        <w:rPr>
          <w:szCs w:val="22"/>
        </w:rPr>
        <w:t>odolnosti organismu</w:t>
      </w:r>
      <w:r w:rsidRPr="00FA27E6">
        <w:rPr>
          <w:szCs w:val="22"/>
        </w:rPr>
        <w:t xml:space="preserve"> a neschopnosti lokalizovať infekciu.</w:t>
      </w:r>
    </w:p>
    <w:p w14:paraId="604F4671" w14:textId="77777777" w:rsidR="00FA27E6" w:rsidRDefault="00FA27E6" w:rsidP="00FA27E6">
      <w:pPr>
        <w:ind w:left="0" w:firstLine="0"/>
        <w:rPr>
          <w:szCs w:val="22"/>
        </w:rPr>
      </w:pPr>
    </w:p>
    <w:p w14:paraId="5C4E4580" w14:textId="30ACAEB5" w:rsidR="00FA27E6" w:rsidRDefault="00500671" w:rsidP="00FA27E6">
      <w:pPr>
        <w:ind w:left="0" w:firstLine="0"/>
        <w:rPr>
          <w:szCs w:val="22"/>
        </w:rPr>
      </w:pPr>
      <w:r w:rsidRPr="00500671">
        <w:rPr>
          <w:szCs w:val="22"/>
        </w:rPr>
        <w:t>Výsledky štúdií ukazujú</w:t>
      </w:r>
      <w:r w:rsidR="00FA27E6" w:rsidRPr="00FA27E6">
        <w:rPr>
          <w:szCs w:val="22"/>
        </w:rPr>
        <w:t>, že použitie kortikosteroidov pri cerebrálnej malárii je spojené s dlhotrvajúcou kómou a zvýšeným výskytom zápalu pľúc a gastrointestinálneho krvácania.</w:t>
      </w:r>
    </w:p>
    <w:p w14:paraId="41CD2148" w14:textId="77777777" w:rsidR="0017583B" w:rsidRDefault="0017583B" w:rsidP="00FA27E6">
      <w:pPr>
        <w:ind w:left="0" w:firstLine="0"/>
        <w:rPr>
          <w:szCs w:val="22"/>
        </w:rPr>
      </w:pPr>
    </w:p>
    <w:p w14:paraId="7582A291" w14:textId="77777777" w:rsidR="00FA27E6" w:rsidRDefault="00ED3835" w:rsidP="00FA27E6">
      <w:pPr>
        <w:ind w:left="0" w:firstLine="0"/>
        <w:rPr>
          <w:szCs w:val="22"/>
        </w:rPr>
      </w:pPr>
      <w:r w:rsidRPr="00ED3835">
        <w:rPr>
          <w:b/>
          <w:bCs/>
        </w:rPr>
        <w:t>Osobitná pozornosť sa má venovať ovčím kiahňam</w:t>
      </w:r>
      <w:r w:rsidR="00FA27E6" w:rsidRPr="00ED3835">
        <w:rPr>
          <w:b/>
          <w:bCs/>
          <w:szCs w:val="22"/>
        </w:rPr>
        <w:t>, pretože toto normálne menej čast</w:t>
      </w:r>
      <w:r w:rsidR="009C3819" w:rsidRPr="00ED3835">
        <w:rPr>
          <w:b/>
          <w:bCs/>
          <w:szCs w:val="22"/>
        </w:rPr>
        <w:t>é</w:t>
      </w:r>
      <w:r w:rsidR="00FA27E6" w:rsidRPr="00ED3835">
        <w:rPr>
          <w:b/>
          <w:bCs/>
          <w:szCs w:val="22"/>
        </w:rPr>
        <w:t xml:space="preserve"> ochorenie môže byť u imunosuprimovaných pacientov smrteľné</w:t>
      </w:r>
      <w:r w:rsidR="00FA27E6" w:rsidRPr="00FA27E6">
        <w:rPr>
          <w:b/>
          <w:szCs w:val="22"/>
        </w:rPr>
        <w:t>.</w:t>
      </w:r>
      <w:r w:rsidR="00FA27E6" w:rsidRPr="00FA27E6">
        <w:rPr>
          <w:szCs w:val="22"/>
        </w:rPr>
        <w:t xml:space="preserve"> Pacientom (alebo rodičom detí) bez jednoznačnej anamnézy kiahní je potrebné odporučiť, aby sa vyhýbali blízkym osobným kontaktom</w:t>
      </w:r>
      <w:r w:rsidR="00FA27E6">
        <w:rPr>
          <w:szCs w:val="22"/>
        </w:rPr>
        <w:t xml:space="preserve"> s </w:t>
      </w:r>
      <w:r>
        <w:t>osobami trpiacimi ovčími kiahňmi</w:t>
      </w:r>
      <w:r>
        <w:rPr>
          <w:szCs w:val="22"/>
        </w:rPr>
        <w:t xml:space="preserve"> </w:t>
      </w:r>
      <w:r w:rsidR="00FA27E6">
        <w:rPr>
          <w:szCs w:val="22"/>
        </w:rPr>
        <w:t>alebo herpes zoster</w:t>
      </w:r>
      <w:r w:rsidR="00DE02C0">
        <w:rPr>
          <w:szCs w:val="22"/>
        </w:rPr>
        <w:t>,</w:t>
      </w:r>
      <w:r w:rsidR="00FA27E6" w:rsidRPr="00FA27E6">
        <w:rPr>
          <w:szCs w:val="22"/>
        </w:rPr>
        <w:t xml:space="preserve"> a ak sú </w:t>
      </w:r>
      <w:r w:rsidR="00FA27E6">
        <w:rPr>
          <w:szCs w:val="22"/>
        </w:rPr>
        <w:t xml:space="preserve">im </w:t>
      </w:r>
      <w:r w:rsidR="00FA27E6" w:rsidRPr="00FA27E6">
        <w:rPr>
          <w:szCs w:val="22"/>
        </w:rPr>
        <w:t xml:space="preserve">vystavení, mali by okamžite vyhľadať lekársku pomoc. </w:t>
      </w:r>
      <w:r w:rsidRPr="0017583B">
        <w:t>U exponovaných neimúnnych pacientov užívajúcich systémové kortikosteroidy alebo u tých, ktorí ich užívali počas predchádzajúcich troch mesiacov, je nutná pasívna imunizácia imunoglobulínom proti vírusu varicella/zoster (VZIG); toto má byť podané do desiatich dní po kontakte s ovčími kiahňami.</w:t>
      </w:r>
    </w:p>
    <w:p w14:paraId="2FA38598" w14:textId="77777777" w:rsidR="00FA27E6" w:rsidRDefault="00FA27E6" w:rsidP="00A81F4A">
      <w:pPr>
        <w:ind w:left="0" w:firstLine="0"/>
        <w:rPr>
          <w:szCs w:val="22"/>
        </w:rPr>
      </w:pPr>
    </w:p>
    <w:p w14:paraId="2F48E7DE" w14:textId="77777777" w:rsidR="00FA27E6" w:rsidRPr="00FA27E6" w:rsidRDefault="00FA27E6" w:rsidP="00FA27E6">
      <w:pPr>
        <w:ind w:left="0" w:firstLine="0"/>
        <w:rPr>
          <w:szCs w:val="22"/>
        </w:rPr>
      </w:pPr>
      <w:r w:rsidRPr="00FA27E6">
        <w:rPr>
          <w:szCs w:val="22"/>
        </w:rPr>
        <w:t>Ak sa potvrdí diagnóza ovčích kiahní, ochorenie si vyžaduje odbornú starostlivosť a neodkladnú liečbu.</w:t>
      </w:r>
    </w:p>
    <w:p w14:paraId="1AF40CB6" w14:textId="6BB712D1" w:rsidR="00FA27E6" w:rsidRPr="00FA27E6" w:rsidRDefault="00ED3835" w:rsidP="00FA27E6">
      <w:pPr>
        <w:ind w:left="0" w:firstLine="0"/>
        <w:rPr>
          <w:szCs w:val="22"/>
        </w:rPr>
      </w:pPr>
      <w:r w:rsidRPr="00ED3835">
        <w:rPr>
          <w:szCs w:val="22"/>
        </w:rPr>
        <w:t>Liečba kortikosteroid</w:t>
      </w:r>
      <w:r w:rsidR="00EE26A0">
        <w:rPr>
          <w:szCs w:val="22"/>
        </w:rPr>
        <w:t>mi</w:t>
      </w:r>
      <w:r w:rsidRPr="00ED3835">
        <w:rPr>
          <w:szCs w:val="22"/>
        </w:rPr>
        <w:t xml:space="preserve"> sa nemá prerušovať</w:t>
      </w:r>
      <w:r w:rsidRPr="00FA27E6">
        <w:rPr>
          <w:szCs w:val="22"/>
        </w:rPr>
        <w:t xml:space="preserve"> </w:t>
      </w:r>
      <w:r w:rsidR="00FA27E6" w:rsidRPr="00FA27E6">
        <w:rPr>
          <w:szCs w:val="22"/>
        </w:rPr>
        <w:t>a môže byť potrebné dávku zvýšiť.</w:t>
      </w:r>
    </w:p>
    <w:p w14:paraId="1F986C86" w14:textId="37954D5B" w:rsidR="00FA27E6" w:rsidRPr="00FA27E6" w:rsidRDefault="00FA27E6" w:rsidP="00FA27E6">
      <w:pPr>
        <w:ind w:left="0" w:firstLine="0"/>
        <w:rPr>
          <w:szCs w:val="22"/>
        </w:rPr>
      </w:pPr>
      <w:r w:rsidRPr="00FA27E6">
        <w:rPr>
          <w:szCs w:val="22"/>
        </w:rPr>
        <w:t>Osýpky môžu mať u pacientov s oslabenou imunitou vážnejší</w:t>
      </w:r>
      <w:r w:rsidR="005852EC">
        <w:rPr>
          <w:szCs w:val="22"/>
        </w:rPr>
        <w:t>,</w:t>
      </w:r>
      <w:r w:rsidRPr="00FA27E6">
        <w:rPr>
          <w:szCs w:val="22"/>
        </w:rPr>
        <w:t xml:space="preserve"> alebo dokonca fatálny priebeh. U týchto detí alebo dospelých je potrebné zvlášť dbať na to, aby sa zabránilo vystaveniu osýpkam. Ak je pacient vystavený, môže byť indikovaná profylaxia intramuskulárne zmiešaným imunoglobulínom (IG). Exponovaným pacientom sa m</w:t>
      </w:r>
      <w:r w:rsidR="00EE26A0">
        <w:rPr>
          <w:szCs w:val="22"/>
        </w:rPr>
        <w:t>á</w:t>
      </w:r>
      <w:r w:rsidRPr="00FA27E6">
        <w:rPr>
          <w:szCs w:val="22"/>
        </w:rPr>
        <w:t xml:space="preserve"> odporučiť, aby bezodkladne vyhľadali lekársku pomoc.</w:t>
      </w:r>
    </w:p>
    <w:p w14:paraId="35881251" w14:textId="77777777" w:rsidR="00FA27E6" w:rsidRPr="00FA27E6" w:rsidRDefault="00FA27E6" w:rsidP="00FA27E6">
      <w:pPr>
        <w:ind w:left="0" w:firstLine="0"/>
        <w:rPr>
          <w:szCs w:val="22"/>
        </w:rPr>
      </w:pPr>
    </w:p>
    <w:p w14:paraId="40338BC3" w14:textId="2F5217E1" w:rsidR="00FA27E6" w:rsidRPr="00FA27E6" w:rsidRDefault="00FA27E6" w:rsidP="00FA27E6">
      <w:pPr>
        <w:ind w:left="0" w:firstLine="0"/>
        <w:rPr>
          <w:szCs w:val="22"/>
        </w:rPr>
      </w:pPr>
      <w:r w:rsidRPr="00FA27E6">
        <w:rPr>
          <w:szCs w:val="22"/>
        </w:rPr>
        <w:t>Kortikosteroidy môžu aktivovať latentnú amébiázu alebo strongyloid</w:t>
      </w:r>
      <w:r w:rsidR="00EE26A0">
        <w:rPr>
          <w:szCs w:val="22"/>
        </w:rPr>
        <w:t>ó</w:t>
      </w:r>
      <w:r w:rsidRPr="00FA27E6">
        <w:rPr>
          <w:szCs w:val="22"/>
        </w:rPr>
        <w:t>zu alebo zhoršovať aktívne ochorenie. Preto sa odporúča vylúčiť latentnú alebo aktívnu amébiázu a strongyloid</w:t>
      </w:r>
      <w:r w:rsidR="00EE26A0">
        <w:rPr>
          <w:szCs w:val="22"/>
        </w:rPr>
        <w:t>ó</w:t>
      </w:r>
      <w:r w:rsidRPr="00FA27E6">
        <w:rPr>
          <w:szCs w:val="22"/>
        </w:rPr>
        <w:t xml:space="preserve">zu pred </w:t>
      </w:r>
      <w:r w:rsidRPr="00FA27E6">
        <w:rPr>
          <w:szCs w:val="22"/>
        </w:rPr>
        <w:lastRenderedPageBreak/>
        <w:t>zahájením liečby kortikosteroidmi u každého pacienta s rizikom alebo s príznakmi niektorého z týchto stavov.</w:t>
      </w:r>
    </w:p>
    <w:p w14:paraId="1485859E" w14:textId="77777777" w:rsidR="00FA27E6" w:rsidRPr="00FA27E6" w:rsidRDefault="00FA27E6" w:rsidP="00FA27E6">
      <w:pPr>
        <w:ind w:left="0" w:firstLine="0"/>
        <w:rPr>
          <w:szCs w:val="22"/>
        </w:rPr>
      </w:pPr>
    </w:p>
    <w:p w14:paraId="6163C6B4" w14:textId="77777777" w:rsidR="00FA27E6" w:rsidRPr="00FA27E6" w:rsidRDefault="00FA27E6" w:rsidP="00FA27E6">
      <w:pPr>
        <w:ind w:left="0" w:firstLine="0"/>
        <w:rPr>
          <w:szCs w:val="22"/>
        </w:rPr>
      </w:pPr>
      <w:r w:rsidRPr="00FA27E6">
        <w:rPr>
          <w:szCs w:val="22"/>
        </w:rPr>
        <w:t>Dlhodobé užívanie kortikosteroidov môže spôsobiť zadné subkapsulárne katarakty, glaukóm s možným poškodením optických nervov a môže zvýšiť vznik sekundárnych očných infekcií spôsobených plesňami alebo vírusmi.</w:t>
      </w:r>
    </w:p>
    <w:p w14:paraId="4BCACC18" w14:textId="77777777" w:rsidR="00FA27E6" w:rsidRPr="00FA27E6" w:rsidRDefault="00FA27E6" w:rsidP="00FA27E6">
      <w:pPr>
        <w:ind w:left="0" w:firstLine="0"/>
        <w:rPr>
          <w:szCs w:val="22"/>
        </w:rPr>
      </w:pPr>
    </w:p>
    <w:p w14:paraId="3E04935B" w14:textId="77777777" w:rsidR="00FA27E6" w:rsidRPr="00FA27E6" w:rsidRDefault="00FA27E6" w:rsidP="00FA27E6">
      <w:pPr>
        <w:ind w:left="0" w:firstLine="0"/>
        <w:rPr>
          <w:szCs w:val="22"/>
        </w:rPr>
      </w:pPr>
      <w:r w:rsidRPr="00FA27E6">
        <w:rPr>
          <w:szCs w:val="22"/>
        </w:rPr>
        <w:t>Kortikosteroidy môžu zvyšovať alebo znižovať pohyblivosť a počet spermií.</w:t>
      </w:r>
    </w:p>
    <w:p w14:paraId="5095CD58" w14:textId="77777777" w:rsidR="00FA27E6" w:rsidRPr="00FA27E6" w:rsidRDefault="00FA27E6" w:rsidP="00FA27E6">
      <w:pPr>
        <w:ind w:left="0" w:firstLine="0"/>
        <w:rPr>
          <w:szCs w:val="22"/>
        </w:rPr>
      </w:pPr>
    </w:p>
    <w:p w14:paraId="1DF38728" w14:textId="4F7E8163" w:rsidR="00FA27E6" w:rsidRDefault="00FA27E6" w:rsidP="00FA27E6">
      <w:pPr>
        <w:ind w:left="0" w:firstLine="0"/>
        <w:rPr>
          <w:szCs w:val="22"/>
        </w:rPr>
      </w:pPr>
      <w:r w:rsidRPr="00FA27E6">
        <w:rPr>
          <w:szCs w:val="22"/>
        </w:rPr>
        <w:t xml:space="preserve">Očakáva sa, že </w:t>
      </w:r>
      <w:r>
        <w:rPr>
          <w:szCs w:val="22"/>
        </w:rPr>
        <w:t>súbežná</w:t>
      </w:r>
      <w:r w:rsidRPr="00FA27E6">
        <w:rPr>
          <w:szCs w:val="22"/>
        </w:rPr>
        <w:t xml:space="preserve"> liečba inhibítormi CYP3A, vrátane </w:t>
      </w:r>
      <w:r w:rsidR="00EE2F14">
        <w:rPr>
          <w:szCs w:val="22"/>
        </w:rPr>
        <w:t>liekov</w:t>
      </w:r>
      <w:r w:rsidRPr="00FA27E6">
        <w:rPr>
          <w:szCs w:val="22"/>
        </w:rPr>
        <w:t xml:space="preserve"> obsahujúcich kobicistat, zvyšuje riziko systémových vedľajších účinkov. Je potrebné sa vyhnúť kombinácii, pokiaľ prínos neprevažuje nad zvýšeným rizikom systémových nežiaducich účinkov kortikosteroidov. V takom prípade </w:t>
      </w:r>
      <w:r w:rsidR="00EE2F14">
        <w:rPr>
          <w:szCs w:val="22"/>
        </w:rPr>
        <w:t>majú</w:t>
      </w:r>
      <w:r w:rsidRPr="00FA27E6">
        <w:rPr>
          <w:szCs w:val="22"/>
        </w:rPr>
        <w:t xml:space="preserve"> byť pacienti sledovaní kvôli možným vedľajším účinkom systémových kortikosteroidov.</w:t>
      </w:r>
    </w:p>
    <w:p w14:paraId="2294C95F" w14:textId="77777777" w:rsidR="00FA27E6" w:rsidRDefault="00FA27E6" w:rsidP="00FA27E6">
      <w:pPr>
        <w:ind w:left="0" w:firstLine="0"/>
        <w:rPr>
          <w:szCs w:val="22"/>
        </w:rPr>
      </w:pPr>
    </w:p>
    <w:p w14:paraId="40FE120F" w14:textId="43368A1B" w:rsidR="00FA27E6" w:rsidRDefault="00EE2F14" w:rsidP="00FA27E6">
      <w:pPr>
        <w:ind w:left="0" w:firstLine="0"/>
        <w:rPr>
          <w:szCs w:val="22"/>
        </w:rPr>
      </w:pPr>
      <w:r>
        <w:rPr>
          <w:i/>
          <w:szCs w:val="22"/>
        </w:rPr>
        <w:t>Osobitné</w:t>
      </w:r>
      <w:r w:rsidR="00FA27E6">
        <w:rPr>
          <w:i/>
          <w:szCs w:val="22"/>
        </w:rPr>
        <w:t xml:space="preserve"> opatrenia</w:t>
      </w:r>
      <w:r w:rsidR="00326E3F">
        <w:rPr>
          <w:i/>
          <w:szCs w:val="22"/>
        </w:rPr>
        <w:t>:</w:t>
      </w:r>
    </w:p>
    <w:p w14:paraId="6E07AD67" w14:textId="77777777" w:rsidR="00326E3F" w:rsidRDefault="00326E3F" w:rsidP="00FA27E6">
      <w:pPr>
        <w:ind w:left="0" w:firstLine="0"/>
        <w:rPr>
          <w:szCs w:val="22"/>
        </w:rPr>
      </w:pPr>
    </w:p>
    <w:p w14:paraId="37942E19" w14:textId="1E5D112A" w:rsidR="00AB6C05" w:rsidRPr="00AB6C05" w:rsidRDefault="00AB6C05" w:rsidP="00AB6C05">
      <w:pPr>
        <w:pStyle w:val="Textkomentra"/>
        <w:ind w:left="0" w:firstLine="0"/>
        <w:rPr>
          <w:sz w:val="22"/>
          <w:szCs w:val="22"/>
        </w:rPr>
      </w:pPr>
      <w:r w:rsidRPr="00AB6C05">
        <w:rPr>
          <w:sz w:val="22"/>
          <w:szCs w:val="22"/>
        </w:rPr>
        <w:t xml:space="preserve">Osobitná opatrnosť je potrebná pri </w:t>
      </w:r>
      <w:r w:rsidR="00EE2F14">
        <w:rPr>
          <w:sz w:val="22"/>
          <w:szCs w:val="22"/>
        </w:rPr>
        <w:t>z</w:t>
      </w:r>
      <w:r w:rsidRPr="00AB6C05">
        <w:rPr>
          <w:sz w:val="22"/>
          <w:szCs w:val="22"/>
        </w:rPr>
        <w:t>vážení použitia systémových kortikosteroidov u pacientov s nasledujúcimi stavmi – renálna insuficiencia, hypertenzia, cukrovka – alebo u pacientov s rodinnou anamnézou cukrovky, kongestívneho srdcového zlyhania, osteoporózy, predchádzajúcej steroidnej myopatie, glaukómu (alebo glaukómu v rodinnej anamnéze), myasthenia gravis, nešpecifickej ulceróznej kolitídy, divertikulitídy, čerstvej anastomózy čreva, aktívneho alebo latentného peptického vredu, s existujúcimi alebo predchádzajúcimi anamnézami závažných afektívnych porúch (najmä predchádzajúcej steroidnej psychózy), zlyhania pečene a epilepsie. Je potrebné ich časté sledovanie.</w:t>
      </w:r>
    </w:p>
    <w:p w14:paraId="4AB93B4A" w14:textId="73684C8D" w:rsidR="00326E3F" w:rsidRPr="00326E3F" w:rsidRDefault="00EE2F14" w:rsidP="00326E3F">
      <w:pPr>
        <w:ind w:left="0" w:firstLine="0"/>
        <w:rPr>
          <w:szCs w:val="22"/>
        </w:rPr>
      </w:pPr>
      <w:r>
        <w:rPr>
          <w:szCs w:val="22"/>
        </w:rPr>
        <w:t>Prejavy</w:t>
      </w:r>
      <w:r w:rsidR="00326E3F" w:rsidRPr="00326E3F">
        <w:rPr>
          <w:szCs w:val="22"/>
        </w:rPr>
        <w:t xml:space="preserve"> peritoneálneho podráždenia po gastrointestinálnej perforácii u pacientov užívajúcich veľké dávky kortikosteroidov </w:t>
      </w:r>
      <w:r w:rsidR="00326E3F" w:rsidRPr="009C3819">
        <w:rPr>
          <w:szCs w:val="22"/>
        </w:rPr>
        <w:t xml:space="preserve">môžu byť minimálne alebo </w:t>
      </w:r>
      <w:r w:rsidR="00ED3835">
        <w:rPr>
          <w:szCs w:val="22"/>
        </w:rPr>
        <w:t xml:space="preserve">můžu </w:t>
      </w:r>
      <w:r w:rsidR="00326E3F" w:rsidRPr="009C3819">
        <w:rPr>
          <w:szCs w:val="22"/>
        </w:rPr>
        <w:t>chýbať. Tuková embólia sa uvádza ako možná komplikácia hyperkorti</w:t>
      </w:r>
      <w:r w:rsidR="009C3819">
        <w:rPr>
          <w:szCs w:val="22"/>
        </w:rPr>
        <w:t>zol</w:t>
      </w:r>
      <w:r w:rsidR="00326E3F" w:rsidRPr="00F5469A">
        <w:rPr>
          <w:szCs w:val="22"/>
        </w:rPr>
        <w:t>izmu.</w:t>
      </w:r>
    </w:p>
    <w:p w14:paraId="3F24674A" w14:textId="77777777" w:rsidR="00326E3F" w:rsidRPr="00326E3F" w:rsidRDefault="00326E3F" w:rsidP="00326E3F">
      <w:pPr>
        <w:ind w:left="0" w:firstLine="0"/>
        <w:rPr>
          <w:szCs w:val="22"/>
        </w:rPr>
      </w:pPr>
    </w:p>
    <w:p w14:paraId="729B60D0" w14:textId="77777777" w:rsidR="00326E3F" w:rsidRPr="00326E3F" w:rsidRDefault="00326E3F" w:rsidP="00326E3F">
      <w:pPr>
        <w:ind w:left="0" w:firstLine="0"/>
        <w:rPr>
          <w:szCs w:val="22"/>
        </w:rPr>
      </w:pPr>
      <w:r w:rsidRPr="00326E3F">
        <w:rPr>
          <w:szCs w:val="22"/>
        </w:rPr>
        <w:t>Kortikosteroidy majú zvýšený účinok u pacientov s hypotyreózou a u pacientov s cirhózou.</w:t>
      </w:r>
    </w:p>
    <w:p w14:paraId="4DDE1116" w14:textId="77777777" w:rsidR="00326E3F" w:rsidRPr="00326E3F" w:rsidRDefault="00326E3F" w:rsidP="00326E3F">
      <w:pPr>
        <w:ind w:left="0" w:firstLine="0"/>
        <w:rPr>
          <w:szCs w:val="22"/>
        </w:rPr>
      </w:pPr>
    </w:p>
    <w:p w14:paraId="5B4246D7" w14:textId="77777777" w:rsidR="00326E3F" w:rsidRDefault="00AB6C05" w:rsidP="00326E3F">
      <w:pPr>
        <w:ind w:left="0" w:firstLine="0"/>
        <w:rPr>
          <w:szCs w:val="22"/>
        </w:rPr>
      </w:pPr>
      <w:r>
        <w:rPr>
          <w:szCs w:val="22"/>
        </w:rPr>
        <w:t>U</w:t>
      </w:r>
      <w:r w:rsidRPr="00326E3F">
        <w:rPr>
          <w:szCs w:val="22"/>
        </w:rPr>
        <w:t xml:space="preserve"> pacientov s očným herpes simplex</w:t>
      </w:r>
      <w:r>
        <w:rPr>
          <w:szCs w:val="22"/>
        </w:rPr>
        <w:t xml:space="preserve"> sa k</w:t>
      </w:r>
      <w:r w:rsidRPr="00326E3F">
        <w:rPr>
          <w:szCs w:val="22"/>
        </w:rPr>
        <w:t>ortikosteroid</w:t>
      </w:r>
      <w:r>
        <w:rPr>
          <w:szCs w:val="22"/>
        </w:rPr>
        <w:t>y</w:t>
      </w:r>
      <w:r w:rsidRPr="00326E3F">
        <w:rPr>
          <w:szCs w:val="22"/>
        </w:rPr>
        <w:t xml:space="preserve"> majú používať opatrne z dôvodu možnej perforácie rohovky.</w:t>
      </w:r>
    </w:p>
    <w:p w14:paraId="18A49BBF" w14:textId="77777777" w:rsidR="00AB6C05" w:rsidRPr="00326E3F" w:rsidRDefault="00AB6C05" w:rsidP="00326E3F">
      <w:pPr>
        <w:ind w:left="0" w:firstLine="0"/>
        <w:rPr>
          <w:szCs w:val="22"/>
        </w:rPr>
      </w:pPr>
    </w:p>
    <w:p w14:paraId="7DF7A89A" w14:textId="79E62F15" w:rsidR="00326E3F" w:rsidRPr="00AB6C05" w:rsidRDefault="00326E3F" w:rsidP="00AB6C05">
      <w:pPr>
        <w:pStyle w:val="Textkomentra"/>
        <w:ind w:left="0" w:firstLine="0"/>
        <w:rPr>
          <w:sz w:val="22"/>
          <w:szCs w:val="22"/>
        </w:rPr>
      </w:pPr>
      <w:r w:rsidRPr="00AB6C05">
        <w:rPr>
          <w:sz w:val="22"/>
          <w:szCs w:val="22"/>
        </w:rPr>
        <w:t xml:space="preserve">Lokálna injekcia </w:t>
      </w:r>
      <w:r w:rsidR="00AB6C05" w:rsidRPr="00AB6C05">
        <w:rPr>
          <w:sz w:val="22"/>
          <w:szCs w:val="22"/>
        </w:rPr>
        <w:t>kortikosteroidov</w:t>
      </w:r>
      <w:r w:rsidRPr="00AB6C05">
        <w:rPr>
          <w:sz w:val="22"/>
          <w:szCs w:val="22"/>
        </w:rPr>
        <w:t xml:space="preserve"> </w:t>
      </w:r>
      <w:r w:rsidR="00500671" w:rsidRPr="00500671">
        <w:rPr>
          <w:sz w:val="22"/>
          <w:szCs w:val="22"/>
        </w:rPr>
        <w:t xml:space="preserve">má </w:t>
      </w:r>
      <w:r w:rsidR="00500671" w:rsidRPr="007B31F6">
        <w:rPr>
          <w:sz w:val="22"/>
          <w:szCs w:val="22"/>
        </w:rPr>
        <w:t xml:space="preserve">prebiehať </w:t>
      </w:r>
      <w:r w:rsidRPr="007B31F6">
        <w:rPr>
          <w:sz w:val="22"/>
          <w:szCs w:val="22"/>
        </w:rPr>
        <w:t>v</w:t>
      </w:r>
      <w:r w:rsidRPr="00AB6C05">
        <w:rPr>
          <w:sz w:val="22"/>
          <w:szCs w:val="22"/>
        </w:rPr>
        <w:t xml:space="preserve"> aseptickom prostredí, aby sa znížilo konkrétne riziko bakteriálnej infekcie, je potrebné sa vyhnúť injekcii </w:t>
      </w:r>
      <w:r w:rsidR="00AB6C05" w:rsidRPr="00AB6C05">
        <w:rPr>
          <w:sz w:val="22"/>
          <w:szCs w:val="22"/>
        </w:rPr>
        <w:t>kortikosteroidu</w:t>
      </w:r>
      <w:r w:rsidR="00AB6C05">
        <w:rPr>
          <w:sz w:val="22"/>
          <w:szCs w:val="22"/>
        </w:rPr>
        <w:t xml:space="preserve"> </w:t>
      </w:r>
      <w:r w:rsidRPr="00AB6C05">
        <w:rPr>
          <w:sz w:val="22"/>
          <w:szCs w:val="22"/>
        </w:rPr>
        <w:t xml:space="preserve"> do infikovaného miesta.</w:t>
      </w:r>
    </w:p>
    <w:p w14:paraId="210C2152" w14:textId="77777777" w:rsidR="00326E3F" w:rsidRPr="00326E3F" w:rsidRDefault="00326E3F" w:rsidP="00326E3F">
      <w:pPr>
        <w:ind w:left="0" w:firstLine="0"/>
        <w:rPr>
          <w:szCs w:val="22"/>
        </w:rPr>
      </w:pPr>
    </w:p>
    <w:p w14:paraId="6967068D" w14:textId="77777777" w:rsidR="00326E3F" w:rsidRDefault="00AB6C05" w:rsidP="00326E3F">
      <w:pPr>
        <w:tabs>
          <w:tab w:val="left" w:pos="7992"/>
        </w:tabs>
        <w:ind w:left="0" w:firstLine="0"/>
        <w:rPr>
          <w:szCs w:val="22"/>
        </w:rPr>
      </w:pPr>
      <w:r>
        <w:t>K vylúčeniu</w:t>
      </w:r>
      <w:r w:rsidRPr="00326E3F">
        <w:rPr>
          <w:szCs w:val="22"/>
        </w:rPr>
        <w:t xml:space="preserve"> </w:t>
      </w:r>
      <w:r w:rsidR="00326E3F" w:rsidRPr="00326E3F">
        <w:rPr>
          <w:szCs w:val="22"/>
        </w:rPr>
        <w:t>septického procesu je potrebné príslušné vyšetrenie kĺbových tekutín.</w:t>
      </w:r>
    </w:p>
    <w:p w14:paraId="30733F2B" w14:textId="77777777" w:rsidR="00326E3F" w:rsidRDefault="00326E3F" w:rsidP="00326E3F">
      <w:pPr>
        <w:tabs>
          <w:tab w:val="left" w:pos="7992"/>
        </w:tabs>
        <w:ind w:left="0" w:firstLine="0"/>
        <w:rPr>
          <w:szCs w:val="22"/>
        </w:rPr>
      </w:pPr>
    </w:p>
    <w:p w14:paraId="504B1655" w14:textId="77777777" w:rsidR="00326E3F" w:rsidRPr="00326E3F" w:rsidRDefault="00326E3F" w:rsidP="00326E3F">
      <w:pPr>
        <w:tabs>
          <w:tab w:val="left" w:pos="7992"/>
        </w:tabs>
        <w:ind w:left="0" w:firstLine="0"/>
        <w:rPr>
          <w:szCs w:val="22"/>
        </w:rPr>
      </w:pPr>
      <w:r w:rsidRPr="00326E3F">
        <w:rPr>
          <w:szCs w:val="22"/>
        </w:rPr>
        <w:t>Výrazné zvýšenie bolesti sprevádzané lokálnym opuchom, ďalšie obmedzenie pohybu kĺbov, horúčka a malátnosť naznačujú septickú artritídu. Ak sa táto komplikácia vyskytne a diagnóza sepsy sa potvrdí, má sa zahájiť vhodná antimikrobiálna liečba.</w:t>
      </w:r>
    </w:p>
    <w:p w14:paraId="6BA4A02E" w14:textId="77777777" w:rsidR="00326E3F" w:rsidRPr="00326E3F" w:rsidRDefault="00326E3F" w:rsidP="00326E3F">
      <w:pPr>
        <w:tabs>
          <w:tab w:val="left" w:pos="7992"/>
        </w:tabs>
        <w:ind w:left="0" w:firstLine="0"/>
        <w:rPr>
          <w:szCs w:val="22"/>
        </w:rPr>
      </w:pPr>
    </w:p>
    <w:p w14:paraId="25A1F4BB" w14:textId="77777777" w:rsidR="00326E3F" w:rsidRPr="00326E3F" w:rsidRDefault="00326E3F" w:rsidP="00326E3F">
      <w:pPr>
        <w:tabs>
          <w:tab w:val="left" w:pos="7992"/>
        </w:tabs>
        <w:ind w:left="0" w:firstLine="0"/>
        <w:rPr>
          <w:szCs w:val="22"/>
        </w:rPr>
      </w:pPr>
      <w:r w:rsidRPr="00326E3F">
        <w:rPr>
          <w:szCs w:val="22"/>
        </w:rPr>
        <w:t xml:space="preserve">Pacienti by mali pochopiť veľký význam toho, aby sa napriek symptomatickému zlepšeniu </w:t>
      </w:r>
      <w:r w:rsidR="00836ECE" w:rsidRPr="00326E3F">
        <w:rPr>
          <w:szCs w:val="22"/>
        </w:rPr>
        <w:t xml:space="preserve">nadmerne </w:t>
      </w:r>
      <w:r w:rsidRPr="00326E3F">
        <w:rPr>
          <w:szCs w:val="22"/>
        </w:rPr>
        <w:t>nepoužívali choré kĺby.</w:t>
      </w:r>
    </w:p>
    <w:p w14:paraId="513672B0" w14:textId="77777777" w:rsidR="00326E3F" w:rsidRPr="00326E3F" w:rsidRDefault="00326E3F" w:rsidP="00326E3F">
      <w:pPr>
        <w:tabs>
          <w:tab w:val="left" w:pos="7992"/>
        </w:tabs>
        <w:ind w:left="0" w:firstLine="0"/>
        <w:rPr>
          <w:szCs w:val="22"/>
        </w:rPr>
      </w:pPr>
    </w:p>
    <w:p w14:paraId="30DAB217" w14:textId="77777777" w:rsidR="00326E3F" w:rsidRPr="00326E3F" w:rsidRDefault="00326E3F" w:rsidP="00326E3F">
      <w:pPr>
        <w:tabs>
          <w:tab w:val="left" w:pos="7992"/>
        </w:tabs>
        <w:ind w:left="0" w:firstLine="0"/>
        <w:rPr>
          <w:szCs w:val="22"/>
        </w:rPr>
      </w:pPr>
      <w:r w:rsidRPr="00326E3F">
        <w:rPr>
          <w:szCs w:val="22"/>
        </w:rPr>
        <w:t>Kortikosteroidy sa nemajú injikovať do nestabilných kĺbov.</w:t>
      </w:r>
    </w:p>
    <w:p w14:paraId="50EEE243" w14:textId="77777777" w:rsidR="00326E3F" w:rsidRPr="00326E3F" w:rsidRDefault="00326E3F" w:rsidP="00326E3F">
      <w:pPr>
        <w:tabs>
          <w:tab w:val="left" w:pos="7992"/>
        </w:tabs>
        <w:ind w:left="0" w:firstLine="0"/>
        <w:rPr>
          <w:szCs w:val="22"/>
        </w:rPr>
      </w:pPr>
    </w:p>
    <w:p w14:paraId="776B103C" w14:textId="0D1B735F" w:rsidR="00326E3F" w:rsidRPr="00326E3F" w:rsidRDefault="00326E3F" w:rsidP="00326E3F">
      <w:pPr>
        <w:tabs>
          <w:tab w:val="left" w:pos="7992"/>
        </w:tabs>
        <w:ind w:left="0" w:firstLine="0"/>
        <w:rPr>
          <w:szCs w:val="22"/>
        </w:rPr>
      </w:pPr>
      <w:r w:rsidRPr="00326E3F">
        <w:rPr>
          <w:szCs w:val="22"/>
        </w:rPr>
        <w:t xml:space="preserve">Bolo hlásené, že časté intraartikulárne injekcie spôsobujú rozvoj </w:t>
      </w:r>
      <w:r w:rsidR="00497396" w:rsidRPr="007B31F6">
        <w:rPr>
          <w:szCs w:val="22"/>
        </w:rPr>
        <w:t>C</w:t>
      </w:r>
      <w:r w:rsidR="00386C4A" w:rsidRPr="007B31F6">
        <w:rPr>
          <w:szCs w:val="22"/>
        </w:rPr>
        <w:t>harcot</w:t>
      </w:r>
      <w:r w:rsidR="00497396" w:rsidRPr="007B31F6">
        <w:rPr>
          <w:szCs w:val="22"/>
        </w:rPr>
        <w:t>ov</w:t>
      </w:r>
      <w:r w:rsidR="00386C4A" w:rsidRPr="007B31F6">
        <w:rPr>
          <w:szCs w:val="22"/>
        </w:rPr>
        <w:t>ých artropatií</w:t>
      </w:r>
      <w:r w:rsidRPr="007B31F6">
        <w:rPr>
          <w:szCs w:val="22"/>
        </w:rPr>
        <w:t>.</w:t>
      </w:r>
    </w:p>
    <w:p w14:paraId="615ABD37" w14:textId="77777777" w:rsidR="002660C8" w:rsidRDefault="002660C8" w:rsidP="00E41B3F">
      <w:pPr>
        <w:rPr>
          <w:noProof/>
          <w:szCs w:val="22"/>
        </w:rPr>
      </w:pPr>
    </w:p>
    <w:p w14:paraId="7119C4B7" w14:textId="77777777" w:rsidR="00E1698A" w:rsidRPr="00852371" w:rsidRDefault="00B06E24" w:rsidP="00E41B3F">
      <w:pPr>
        <w:rPr>
          <w:noProof/>
          <w:szCs w:val="22"/>
        </w:rPr>
      </w:pPr>
      <w:r w:rsidRPr="00852371">
        <w:rPr>
          <w:bCs/>
          <w:iCs/>
          <w:szCs w:val="22"/>
          <w:u w:val="single"/>
        </w:rPr>
        <w:t>Pediatrická populácia</w:t>
      </w:r>
    </w:p>
    <w:p w14:paraId="049C833D" w14:textId="77777777" w:rsidR="00780926" w:rsidRDefault="00780926" w:rsidP="00E41B3F">
      <w:pPr>
        <w:rPr>
          <w:szCs w:val="22"/>
        </w:rPr>
      </w:pPr>
    </w:p>
    <w:p w14:paraId="03637E3A" w14:textId="77777777" w:rsidR="00326E3F" w:rsidRPr="00326E3F" w:rsidRDefault="00326E3F" w:rsidP="00326E3F">
      <w:pPr>
        <w:rPr>
          <w:i/>
          <w:szCs w:val="22"/>
        </w:rPr>
      </w:pPr>
      <w:r w:rsidRPr="00326E3F">
        <w:rPr>
          <w:i/>
          <w:szCs w:val="22"/>
        </w:rPr>
        <w:t>Predčasne narodení novorodenci:</w:t>
      </w:r>
    </w:p>
    <w:p w14:paraId="1AEE19FD" w14:textId="77777777" w:rsidR="00326E3F" w:rsidRDefault="00326E3F" w:rsidP="00326E3F">
      <w:pPr>
        <w:ind w:left="0" w:firstLine="0"/>
        <w:rPr>
          <w:szCs w:val="22"/>
        </w:rPr>
      </w:pPr>
      <w:r w:rsidRPr="00326E3F">
        <w:rPr>
          <w:szCs w:val="22"/>
        </w:rPr>
        <w:t xml:space="preserve">Dostupné dôkazy naznačujú dlhodobé </w:t>
      </w:r>
      <w:r w:rsidR="00AB6C05" w:rsidRPr="00632139">
        <w:t>nežiaduce účinky na vývoj nervového systému</w:t>
      </w:r>
      <w:r w:rsidR="00AB6C05" w:rsidRPr="00326E3F">
        <w:rPr>
          <w:szCs w:val="22"/>
        </w:rPr>
        <w:t xml:space="preserve"> </w:t>
      </w:r>
      <w:r w:rsidRPr="00326E3F">
        <w:rPr>
          <w:szCs w:val="22"/>
        </w:rPr>
        <w:t>po skorej liečbe (&lt;</w:t>
      </w:r>
      <w:r>
        <w:rPr>
          <w:szCs w:val="22"/>
        </w:rPr>
        <w:t> </w:t>
      </w:r>
      <w:r w:rsidRPr="00326E3F">
        <w:rPr>
          <w:szCs w:val="22"/>
        </w:rPr>
        <w:t>96</w:t>
      </w:r>
      <w:r>
        <w:rPr>
          <w:szCs w:val="22"/>
        </w:rPr>
        <w:t> </w:t>
      </w:r>
      <w:r w:rsidRPr="00326E3F">
        <w:rPr>
          <w:szCs w:val="22"/>
        </w:rPr>
        <w:t>hodín) predčasne narodených detí s chronickým ochorením pľúc pri začiatočných dávkach 0,25</w:t>
      </w:r>
      <w:r>
        <w:rPr>
          <w:szCs w:val="22"/>
        </w:rPr>
        <w:t> mg/</w:t>
      </w:r>
      <w:r w:rsidRPr="00326E3F">
        <w:rPr>
          <w:szCs w:val="22"/>
        </w:rPr>
        <w:t>kg dvakrát denne.</w:t>
      </w:r>
    </w:p>
    <w:p w14:paraId="3B67CB1D" w14:textId="77777777" w:rsidR="00326E3F" w:rsidRDefault="00326E3F" w:rsidP="00326E3F">
      <w:pPr>
        <w:ind w:left="0" w:firstLine="0"/>
        <w:rPr>
          <w:szCs w:val="22"/>
        </w:rPr>
      </w:pPr>
    </w:p>
    <w:p w14:paraId="17E7E6F6" w14:textId="77777777" w:rsidR="00326E3F" w:rsidRDefault="00326E3F" w:rsidP="00326E3F">
      <w:pPr>
        <w:ind w:left="0" w:firstLine="0"/>
        <w:rPr>
          <w:szCs w:val="22"/>
        </w:rPr>
      </w:pPr>
      <w:r>
        <w:rPr>
          <w:i/>
          <w:szCs w:val="22"/>
        </w:rPr>
        <w:t>Deti:</w:t>
      </w:r>
    </w:p>
    <w:p w14:paraId="36943386" w14:textId="01A45778" w:rsidR="00326E3F" w:rsidRPr="00326E3F" w:rsidRDefault="00326E3F" w:rsidP="00326E3F">
      <w:pPr>
        <w:ind w:left="0" w:firstLine="0"/>
        <w:rPr>
          <w:szCs w:val="22"/>
        </w:rPr>
      </w:pPr>
      <w:r w:rsidRPr="00326E3F">
        <w:rPr>
          <w:szCs w:val="22"/>
        </w:rPr>
        <w:lastRenderedPageBreak/>
        <w:t>Kortikosteroidy spôsobujú spomalenie rastu v</w:t>
      </w:r>
      <w:r w:rsidR="00243CC2">
        <w:rPr>
          <w:szCs w:val="22"/>
        </w:rPr>
        <w:t> dojčenskom veku</w:t>
      </w:r>
      <w:r w:rsidRPr="00326E3F">
        <w:rPr>
          <w:szCs w:val="22"/>
        </w:rPr>
        <w:t>, detstve a dospievaní, čo môže byť nezvratné. Liečba by mala byť obmedzená na minimálne dávkovanie po čo najkratšiu dobu. Aby sa minimalizovalo potlačenie osi hypotalam</w:t>
      </w:r>
      <w:r w:rsidR="000461BB">
        <w:rPr>
          <w:szCs w:val="22"/>
        </w:rPr>
        <w:t>us</w:t>
      </w:r>
      <w:r w:rsidRPr="00326E3F">
        <w:rPr>
          <w:szCs w:val="22"/>
        </w:rPr>
        <w:t>-hypofýza-nadobličky a spomalenie rastu, liečba by sa mala, pokiaľ je to možné, obmedziť na jednu dávku každý druhý deň.</w:t>
      </w:r>
    </w:p>
    <w:p w14:paraId="6E897272" w14:textId="77777777" w:rsidR="00326E3F" w:rsidRPr="00326E3F" w:rsidRDefault="00326E3F" w:rsidP="00326E3F">
      <w:pPr>
        <w:ind w:left="0" w:firstLine="0"/>
        <w:rPr>
          <w:szCs w:val="22"/>
        </w:rPr>
      </w:pPr>
    </w:p>
    <w:p w14:paraId="29F8664B" w14:textId="77777777" w:rsidR="00326E3F" w:rsidRPr="00326E3F" w:rsidRDefault="00326E3F" w:rsidP="00326E3F">
      <w:pPr>
        <w:ind w:left="0" w:firstLine="0"/>
        <w:rPr>
          <w:szCs w:val="22"/>
        </w:rPr>
      </w:pPr>
      <w:r w:rsidRPr="00326E3F">
        <w:rPr>
          <w:szCs w:val="22"/>
        </w:rPr>
        <w:t xml:space="preserve">Je potrebné starostlivo sledovať rast a vývoj dojčiat a detí </w:t>
      </w:r>
      <w:r w:rsidR="00AB6C05">
        <w:t>dlohodobo liečených</w:t>
      </w:r>
      <w:r w:rsidR="00AB6C05" w:rsidRPr="00326E3F">
        <w:rPr>
          <w:szCs w:val="22"/>
        </w:rPr>
        <w:t xml:space="preserve"> </w:t>
      </w:r>
      <w:r w:rsidRPr="00326E3F">
        <w:rPr>
          <w:szCs w:val="22"/>
        </w:rPr>
        <w:t>kortikosteroidmi.</w:t>
      </w:r>
    </w:p>
    <w:p w14:paraId="39790DDC" w14:textId="77777777" w:rsidR="00326E3F" w:rsidRPr="00326E3F" w:rsidRDefault="00326E3F" w:rsidP="00326E3F">
      <w:pPr>
        <w:ind w:left="0" w:firstLine="0"/>
        <w:rPr>
          <w:szCs w:val="22"/>
        </w:rPr>
      </w:pPr>
    </w:p>
    <w:p w14:paraId="741576C1" w14:textId="77777777" w:rsidR="00326E3F" w:rsidRDefault="00326E3F" w:rsidP="00326E3F">
      <w:pPr>
        <w:ind w:left="0" w:firstLine="0"/>
        <w:rPr>
          <w:szCs w:val="22"/>
        </w:rPr>
      </w:pPr>
      <w:r w:rsidRPr="00326E3F">
        <w:rPr>
          <w:szCs w:val="22"/>
        </w:rPr>
        <w:t xml:space="preserve">Dexametazón sa používal na liečbu a prevenciu chronických ochorení pľúc u predčasne narodených detí (použitie </w:t>
      </w:r>
      <w:r w:rsidR="00090C61">
        <w:rPr>
          <w:szCs w:val="22"/>
        </w:rPr>
        <w:t>off-label</w:t>
      </w:r>
      <w:r w:rsidRPr="00326E3F">
        <w:rPr>
          <w:szCs w:val="22"/>
        </w:rPr>
        <w:t xml:space="preserve">). Klinické štúdie nepreukázali žiadny dlhodobý prínos v znižovaní času do </w:t>
      </w:r>
      <w:r w:rsidR="00AB6C05">
        <w:t>výdychu</w:t>
      </w:r>
      <w:r w:rsidRPr="00326E3F">
        <w:rPr>
          <w:szCs w:val="22"/>
        </w:rPr>
        <w:t xml:space="preserve">, incidencii chronických pľúcnych chorôb alebo úmrtnosti. Posledné štúdie naznačujú súvislosť medzi používaním dexametazónu u predčasne narodených detí a rozvojom detskej mozgovej obrny. Z hľadiska týchto možných obáv o bezpečnosť by sa malo posúdenie prínosu a rizika vykonať </w:t>
      </w:r>
      <w:r w:rsidR="00AB6C05">
        <w:t>individuálne pre každého pacienta</w:t>
      </w:r>
    </w:p>
    <w:p w14:paraId="7679AF0A" w14:textId="77777777" w:rsidR="000461BB" w:rsidRDefault="000461BB" w:rsidP="00326E3F">
      <w:pPr>
        <w:ind w:left="0" w:firstLine="0"/>
        <w:rPr>
          <w:szCs w:val="22"/>
        </w:rPr>
      </w:pPr>
    </w:p>
    <w:p w14:paraId="353D0640" w14:textId="77777777" w:rsidR="000461BB" w:rsidRDefault="000461BB" w:rsidP="00326E3F">
      <w:pPr>
        <w:ind w:left="0" w:firstLine="0"/>
        <w:rPr>
          <w:szCs w:val="22"/>
        </w:rPr>
      </w:pPr>
      <w:r>
        <w:rPr>
          <w:b/>
          <w:szCs w:val="22"/>
        </w:rPr>
        <w:t>Obsah sodíka</w:t>
      </w:r>
    </w:p>
    <w:p w14:paraId="01258338" w14:textId="20F3B596" w:rsidR="000461BB" w:rsidRPr="007B31F6" w:rsidRDefault="000461BB" w:rsidP="00326E3F">
      <w:pPr>
        <w:ind w:left="0" w:firstLine="0"/>
        <w:rPr>
          <w:szCs w:val="22"/>
        </w:rPr>
      </w:pPr>
      <w:r>
        <w:rPr>
          <w:szCs w:val="22"/>
        </w:rPr>
        <w:t xml:space="preserve">Tento liek obsahuje 241,5 mg sodíka pri maximálnej jednorazovej dávke, čo zodpovedá 12,075 % </w:t>
      </w:r>
      <w:r w:rsidR="00386C4A" w:rsidRPr="007B31F6">
        <w:rPr>
          <w:szCs w:val="22"/>
        </w:rPr>
        <w:t>WHO odporúčan</w:t>
      </w:r>
      <w:r w:rsidR="00CD1A9E" w:rsidRPr="007B31F6">
        <w:rPr>
          <w:szCs w:val="22"/>
        </w:rPr>
        <w:t>ého maximálneho denného príjmu</w:t>
      </w:r>
      <w:r w:rsidR="00386C4A" w:rsidRPr="007B31F6">
        <w:rPr>
          <w:szCs w:val="22"/>
        </w:rPr>
        <w:t xml:space="preserve"> 2 g sodíka pre dospel</w:t>
      </w:r>
      <w:r w:rsidR="00CD1A9E" w:rsidRPr="007B31F6">
        <w:rPr>
          <w:szCs w:val="22"/>
        </w:rPr>
        <w:t>ú osobu</w:t>
      </w:r>
      <w:r w:rsidRPr="007B31F6">
        <w:rPr>
          <w:szCs w:val="22"/>
        </w:rPr>
        <w:t>.</w:t>
      </w:r>
    </w:p>
    <w:p w14:paraId="1727B724" w14:textId="77777777" w:rsidR="000461BB" w:rsidRPr="007B31F6" w:rsidRDefault="000461BB" w:rsidP="00326E3F">
      <w:pPr>
        <w:ind w:left="0" w:firstLine="0"/>
        <w:rPr>
          <w:szCs w:val="22"/>
        </w:rPr>
      </w:pPr>
    </w:p>
    <w:p w14:paraId="69A9919B" w14:textId="77777777" w:rsidR="000461BB" w:rsidRPr="007B31F6" w:rsidRDefault="000461BB" w:rsidP="00326E3F">
      <w:pPr>
        <w:ind w:left="0" w:firstLine="0"/>
        <w:rPr>
          <w:szCs w:val="22"/>
        </w:rPr>
      </w:pPr>
      <w:r w:rsidRPr="007B31F6">
        <w:rPr>
          <w:b/>
          <w:szCs w:val="22"/>
        </w:rPr>
        <w:t>Obsah propylénglykolu</w:t>
      </w:r>
    </w:p>
    <w:p w14:paraId="2943CF20" w14:textId="77777777" w:rsidR="000461BB" w:rsidRPr="007B31F6" w:rsidRDefault="000461BB" w:rsidP="00326E3F">
      <w:pPr>
        <w:ind w:left="0" w:firstLine="0"/>
        <w:rPr>
          <w:szCs w:val="22"/>
        </w:rPr>
      </w:pPr>
      <w:r w:rsidRPr="007B31F6">
        <w:rPr>
          <w:szCs w:val="22"/>
        </w:rPr>
        <w:t>Tento liek obsahuje 20 mg propylénglykolu (E 1520) na každý ml.</w:t>
      </w:r>
    </w:p>
    <w:p w14:paraId="296DB852" w14:textId="56B78F5F" w:rsidR="000461BB" w:rsidRPr="007B31F6" w:rsidRDefault="00A43B76" w:rsidP="000461BB">
      <w:pPr>
        <w:ind w:left="0" w:firstLine="0"/>
        <w:rPr>
          <w:szCs w:val="22"/>
        </w:rPr>
      </w:pPr>
      <w:r w:rsidRPr="007B31F6">
        <w:rPr>
          <w:szCs w:val="22"/>
        </w:rPr>
        <w:t>P</w:t>
      </w:r>
      <w:r w:rsidR="00386C4A" w:rsidRPr="007B31F6">
        <w:rPr>
          <w:szCs w:val="22"/>
        </w:rPr>
        <w:t>acient</w:t>
      </w:r>
      <w:r w:rsidRPr="007B31F6">
        <w:rPr>
          <w:szCs w:val="22"/>
        </w:rPr>
        <w:t>ti</w:t>
      </w:r>
      <w:r w:rsidR="00386C4A" w:rsidRPr="007B31F6">
        <w:rPr>
          <w:szCs w:val="22"/>
        </w:rPr>
        <w:t xml:space="preserve"> s</w:t>
      </w:r>
      <w:r w:rsidRPr="007B31F6">
        <w:rPr>
          <w:szCs w:val="22"/>
        </w:rPr>
        <w:t xml:space="preserve"> poruchou </w:t>
      </w:r>
      <w:r w:rsidR="00386C4A" w:rsidRPr="007B31F6">
        <w:rPr>
          <w:szCs w:val="22"/>
        </w:rPr>
        <w:t>funkci</w:t>
      </w:r>
      <w:r w:rsidRPr="007B31F6">
        <w:rPr>
          <w:szCs w:val="22"/>
        </w:rPr>
        <w:t>e</w:t>
      </w:r>
      <w:r w:rsidR="00386C4A" w:rsidRPr="007B31F6">
        <w:rPr>
          <w:szCs w:val="22"/>
        </w:rPr>
        <w:t xml:space="preserve"> obličiek alebo pečene </w:t>
      </w:r>
      <w:r w:rsidRPr="007B31F6">
        <w:rPr>
          <w:szCs w:val="22"/>
        </w:rPr>
        <w:t xml:space="preserve">vyžadujú </w:t>
      </w:r>
      <w:r w:rsidR="00386C4A" w:rsidRPr="007B31F6">
        <w:rPr>
          <w:szCs w:val="22"/>
        </w:rPr>
        <w:t xml:space="preserve">lekárske sledovanie, pretože boli hlásené rôzne nežiaduce udalosti pripisované propylénglykolu, ako </w:t>
      </w:r>
      <w:r w:rsidRPr="007B31F6">
        <w:rPr>
          <w:szCs w:val="22"/>
        </w:rPr>
        <w:t>napríklad</w:t>
      </w:r>
      <w:r w:rsidR="00386C4A" w:rsidRPr="007B31F6">
        <w:rPr>
          <w:szCs w:val="22"/>
        </w:rPr>
        <w:t xml:space="preserve"> renálna dysfunkcia (akútna tubulárna nekróza), akútne</w:t>
      </w:r>
      <w:r w:rsidRPr="007B31F6">
        <w:rPr>
          <w:szCs w:val="22"/>
        </w:rPr>
        <w:t xml:space="preserve"> renálne</w:t>
      </w:r>
      <w:r w:rsidR="00386C4A" w:rsidRPr="007B31F6">
        <w:rPr>
          <w:szCs w:val="22"/>
        </w:rPr>
        <w:t xml:space="preserve"> zlyhanie a dysfunkcia pečene.</w:t>
      </w:r>
    </w:p>
    <w:p w14:paraId="7144F661" w14:textId="45FC9AD2" w:rsidR="000461BB" w:rsidRDefault="00386C4A" w:rsidP="000461BB">
      <w:pPr>
        <w:ind w:left="0" w:firstLine="0"/>
        <w:rPr>
          <w:u w:val="single"/>
        </w:rPr>
      </w:pPr>
      <w:r w:rsidRPr="007B31F6">
        <w:rPr>
          <w:szCs w:val="22"/>
        </w:rPr>
        <w:t>Súbežné podávanie s akýmkoľvek substrátom alkoholdehydrogenáz</w:t>
      </w:r>
      <w:r w:rsidR="00A43B76" w:rsidRPr="007B31F6">
        <w:rPr>
          <w:szCs w:val="22"/>
        </w:rPr>
        <w:t>y</w:t>
      </w:r>
      <w:r w:rsidRPr="007B31F6">
        <w:rPr>
          <w:szCs w:val="22"/>
        </w:rPr>
        <w:t>, ako napríklad etanol</w:t>
      </w:r>
      <w:r w:rsidR="00A43B76" w:rsidRPr="007B31F6">
        <w:rPr>
          <w:szCs w:val="22"/>
        </w:rPr>
        <w:t>om</w:t>
      </w:r>
      <w:r w:rsidRPr="007B31F6">
        <w:rPr>
          <w:szCs w:val="22"/>
        </w:rPr>
        <w:t xml:space="preserve">, môže </w:t>
      </w:r>
      <w:r w:rsidR="00A43B76" w:rsidRPr="007B31F6">
        <w:rPr>
          <w:szCs w:val="22"/>
        </w:rPr>
        <w:t xml:space="preserve">u </w:t>
      </w:r>
      <w:r w:rsidRPr="007B31F6">
        <w:rPr>
          <w:szCs w:val="22"/>
        </w:rPr>
        <w:t>detí mladších ako 5 rokov</w:t>
      </w:r>
      <w:r w:rsidR="00A43B76" w:rsidRPr="007B31F6">
        <w:rPr>
          <w:szCs w:val="22"/>
        </w:rPr>
        <w:t xml:space="preserve"> vyvolať</w:t>
      </w:r>
      <w:r w:rsidR="00AD17CC" w:rsidRPr="007B31F6">
        <w:rPr>
          <w:szCs w:val="22"/>
        </w:rPr>
        <w:t xml:space="preserve"> závažné</w:t>
      </w:r>
      <w:r w:rsidR="00A43B76" w:rsidRPr="007B31F6">
        <w:rPr>
          <w:szCs w:val="22"/>
        </w:rPr>
        <w:t xml:space="preserve"> nežiaduce účinky</w:t>
      </w:r>
      <w:r w:rsidR="000461BB" w:rsidRPr="007B31F6">
        <w:rPr>
          <w:szCs w:val="22"/>
        </w:rPr>
        <w:t>.</w:t>
      </w:r>
    </w:p>
    <w:p w14:paraId="7DACEA36" w14:textId="3B9C7E27" w:rsidR="00CD1A9E" w:rsidRPr="00CD1A9E" w:rsidRDefault="00CD1A9E" w:rsidP="00CD1A9E">
      <w:pPr>
        <w:ind w:left="0" w:firstLine="0"/>
        <w:rPr>
          <w:szCs w:val="22"/>
        </w:rPr>
      </w:pPr>
      <w:r w:rsidRPr="00CD1A9E">
        <w:rPr>
          <w:szCs w:val="22"/>
        </w:rPr>
        <w:t>Sú</w:t>
      </w:r>
      <w:r w:rsidR="0024360F">
        <w:rPr>
          <w:szCs w:val="22"/>
        </w:rPr>
        <w:t>bežné</w:t>
      </w:r>
      <w:r w:rsidRPr="00CD1A9E">
        <w:rPr>
          <w:szCs w:val="22"/>
        </w:rPr>
        <w:t xml:space="preserve"> podávanie s akýmkoľvek substrátom alkoholdehydrogenáz</w:t>
      </w:r>
      <w:r w:rsidR="0024360F">
        <w:rPr>
          <w:szCs w:val="22"/>
        </w:rPr>
        <w:t>y</w:t>
      </w:r>
      <w:r w:rsidRPr="00CD1A9E">
        <w:rPr>
          <w:szCs w:val="22"/>
        </w:rPr>
        <w:t>, ako napríklad etanol</w:t>
      </w:r>
      <w:r w:rsidR="0024360F">
        <w:rPr>
          <w:szCs w:val="22"/>
        </w:rPr>
        <w:t>om</w:t>
      </w:r>
      <w:r w:rsidRPr="00CD1A9E">
        <w:rPr>
          <w:szCs w:val="22"/>
        </w:rPr>
        <w:t>, môže</w:t>
      </w:r>
      <w:r w:rsidR="0024360F">
        <w:rPr>
          <w:szCs w:val="22"/>
        </w:rPr>
        <w:t xml:space="preserve"> u novoredencov</w:t>
      </w:r>
      <w:r w:rsidRPr="00CD1A9E">
        <w:rPr>
          <w:szCs w:val="22"/>
        </w:rPr>
        <w:t xml:space="preserve"> vyvolať závažné nežiaduce účinky.</w:t>
      </w:r>
    </w:p>
    <w:p w14:paraId="6DA206EF" w14:textId="406740A6" w:rsidR="000461BB" w:rsidRPr="000461BB" w:rsidRDefault="001733F2" w:rsidP="00CD1A9E">
      <w:pPr>
        <w:ind w:left="0" w:firstLine="0"/>
        <w:rPr>
          <w:szCs w:val="22"/>
        </w:rPr>
      </w:pPr>
      <w:r>
        <w:rPr>
          <w:szCs w:val="22"/>
        </w:rPr>
        <w:t>Pozri t</w:t>
      </w:r>
      <w:r w:rsidR="00CD1A9E" w:rsidRPr="00CD1A9E">
        <w:rPr>
          <w:szCs w:val="22"/>
        </w:rPr>
        <w:t xml:space="preserve">iež časť 4.6 </w:t>
      </w:r>
      <w:r w:rsidR="00A43B76">
        <w:rPr>
          <w:szCs w:val="22"/>
        </w:rPr>
        <w:t>–</w:t>
      </w:r>
      <w:r w:rsidR="00CD1A9E" w:rsidRPr="00CD1A9E">
        <w:rPr>
          <w:szCs w:val="22"/>
        </w:rPr>
        <w:t xml:space="preserve"> </w:t>
      </w:r>
      <w:r w:rsidR="00386C4A" w:rsidRPr="007B31F6">
        <w:rPr>
          <w:szCs w:val="22"/>
        </w:rPr>
        <w:t>Fertilita, gravidita a laktácia</w:t>
      </w:r>
      <w:r w:rsidR="00CD1A9E" w:rsidRPr="00CD1A9E">
        <w:rPr>
          <w:szCs w:val="22"/>
        </w:rPr>
        <w:t>.</w:t>
      </w:r>
    </w:p>
    <w:p w14:paraId="7BF0FF9F" w14:textId="77777777" w:rsidR="00326E3F" w:rsidRPr="003021DE" w:rsidRDefault="00326E3F" w:rsidP="00E41B3F">
      <w:pPr>
        <w:rPr>
          <w:szCs w:val="22"/>
        </w:rPr>
      </w:pPr>
    </w:p>
    <w:p w14:paraId="678B8041" w14:textId="77777777" w:rsidR="00780926" w:rsidRPr="003021DE" w:rsidRDefault="00623601" w:rsidP="00E41B3F">
      <w:pPr>
        <w:rPr>
          <w:b/>
          <w:szCs w:val="22"/>
        </w:rPr>
      </w:pPr>
      <w:r w:rsidRPr="003021DE">
        <w:rPr>
          <w:b/>
          <w:szCs w:val="22"/>
        </w:rPr>
        <w:t>4.5</w:t>
      </w:r>
      <w:r w:rsidRPr="003021DE">
        <w:rPr>
          <w:b/>
          <w:szCs w:val="22"/>
        </w:rPr>
        <w:tab/>
        <w:t>Liekové a</w:t>
      </w:r>
      <w:r w:rsidR="00A236CF">
        <w:rPr>
          <w:b/>
          <w:szCs w:val="22"/>
        </w:rPr>
        <w:t> </w:t>
      </w:r>
      <w:r w:rsidRPr="003021DE">
        <w:rPr>
          <w:b/>
          <w:szCs w:val="22"/>
        </w:rPr>
        <w:t>iné interakcie</w:t>
      </w:r>
    </w:p>
    <w:p w14:paraId="6DC42370" w14:textId="77777777" w:rsidR="00780926" w:rsidRPr="003021DE" w:rsidRDefault="00780926" w:rsidP="00E41B3F">
      <w:pPr>
        <w:rPr>
          <w:szCs w:val="22"/>
        </w:rPr>
      </w:pPr>
    </w:p>
    <w:p w14:paraId="18907A20" w14:textId="77777777" w:rsidR="000461BB" w:rsidRDefault="00AB6C05" w:rsidP="00AB6C05">
      <w:pPr>
        <w:ind w:left="0" w:firstLine="0"/>
        <w:rPr>
          <w:noProof/>
        </w:rPr>
      </w:pPr>
      <w:r>
        <w:t>Kyselina acetylsalicylová</w:t>
      </w:r>
      <w:r>
        <w:rPr>
          <w:noProof/>
        </w:rPr>
        <w:t xml:space="preserve"> </w:t>
      </w:r>
      <w:r w:rsidR="000461BB">
        <w:rPr>
          <w:noProof/>
        </w:rPr>
        <w:t>sa má používať opatrne v kombinácii s kortikosteroidmi pri hypoprotrombinémii.</w:t>
      </w:r>
    </w:p>
    <w:p w14:paraId="79A9C99B" w14:textId="77777777" w:rsidR="000461BB" w:rsidRDefault="000461BB" w:rsidP="000461BB">
      <w:pPr>
        <w:rPr>
          <w:noProof/>
        </w:rPr>
      </w:pPr>
    </w:p>
    <w:p w14:paraId="01A8310E" w14:textId="77777777" w:rsidR="000461BB" w:rsidRDefault="000461BB" w:rsidP="000461BB">
      <w:pPr>
        <w:ind w:left="0" w:firstLine="0"/>
        <w:rPr>
          <w:noProof/>
        </w:rPr>
      </w:pPr>
      <w:r>
        <w:rPr>
          <w:noProof/>
        </w:rPr>
        <w:t xml:space="preserve">Kortikosteroidy zvyšujú renálny klírens salicylátov, a preto by sa dávka salicylátov mala znižovať spolu s </w:t>
      </w:r>
      <w:r w:rsidR="00AB6C05">
        <w:t>ukončením liečby kortikosteroidmi.</w:t>
      </w:r>
    </w:p>
    <w:p w14:paraId="2C6E8F5F" w14:textId="77777777" w:rsidR="000461BB" w:rsidRDefault="000461BB" w:rsidP="000461BB">
      <w:pPr>
        <w:rPr>
          <w:noProof/>
        </w:rPr>
      </w:pPr>
    </w:p>
    <w:p w14:paraId="287F0C93" w14:textId="651FA7D8" w:rsidR="000461BB" w:rsidRDefault="000461BB" w:rsidP="000461BB">
      <w:pPr>
        <w:ind w:left="0" w:firstLine="0"/>
        <w:rPr>
          <w:noProof/>
        </w:rPr>
      </w:pPr>
      <w:r>
        <w:rPr>
          <w:noProof/>
        </w:rPr>
        <w:t xml:space="preserve">Pretože fenytoín, barbituráty, efedrín, rifabutín, karbamazepín, rifampicín a aminoglutetimid môžu zvyšovať metabolický klírens kortikosteroidov, čo vedie k zníženiu hladín v krvi a zníženiu fyziologickej aktivity, bude pravdepodobne potrebné upraviť dávkovanie. Tieto interakcie interferujú </w:t>
      </w:r>
      <w:r w:rsidR="00AB6C05" w:rsidRPr="00632139">
        <w:t>výsledkom dexametazónového supresn</w:t>
      </w:r>
      <w:r w:rsidR="00AB6C05">
        <w:t>é</w:t>
      </w:r>
      <w:r w:rsidR="00AB6C05" w:rsidRPr="00632139">
        <w:t xml:space="preserve">ho testu, ktorý je potrebné </w:t>
      </w:r>
      <w:r w:rsidR="00386C4A" w:rsidRPr="007B31F6">
        <w:t xml:space="preserve">pri podávaní </w:t>
      </w:r>
      <w:r w:rsidR="00AD17CC" w:rsidRPr="007B31F6">
        <w:t>týchto</w:t>
      </w:r>
      <w:r w:rsidR="00AD17CC">
        <w:t xml:space="preserve"> liekov</w:t>
      </w:r>
      <w:r w:rsidR="00AD17CC" w:rsidRPr="00632139">
        <w:t xml:space="preserve"> </w:t>
      </w:r>
      <w:r w:rsidR="00AB6C05" w:rsidRPr="00632139">
        <w:t>interpretovať opatrne</w:t>
      </w:r>
      <w:r w:rsidR="00AB6C05">
        <w:t>.</w:t>
      </w:r>
    </w:p>
    <w:p w14:paraId="2D12394F" w14:textId="77777777" w:rsidR="000461BB" w:rsidRDefault="000461BB" w:rsidP="000461BB">
      <w:pPr>
        <w:rPr>
          <w:noProof/>
        </w:rPr>
      </w:pPr>
    </w:p>
    <w:p w14:paraId="2F2D5BFC" w14:textId="77777777" w:rsidR="000461BB" w:rsidRDefault="000461BB" w:rsidP="000461BB">
      <w:pPr>
        <w:ind w:left="0" w:firstLine="0"/>
        <w:rPr>
          <w:noProof/>
        </w:rPr>
      </w:pPr>
      <w:r>
        <w:rPr>
          <w:noProof/>
        </w:rPr>
        <w:t xml:space="preserve">Boli hlásené falošne negatívne výsledky </w:t>
      </w:r>
      <w:r w:rsidR="00AB6C05" w:rsidRPr="009839EB">
        <w:t>dexametazónového supresn</w:t>
      </w:r>
      <w:r w:rsidR="00AB6C05">
        <w:t>é</w:t>
      </w:r>
      <w:r w:rsidR="00AB6C05" w:rsidRPr="009839EB">
        <w:t>ho testu</w:t>
      </w:r>
      <w:r w:rsidR="00AB6C05">
        <w:t xml:space="preserve"> </w:t>
      </w:r>
      <w:r>
        <w:rPr>
          <w:noProof/>
        </w:rPr>
        <w:t>u pacientov liečených indometacínom.</w:t>
      </w:r>
    </w:p>
    <w:p w14:paraId="7A2EB14A" w14:textId="77777777" w:rsidR="000461BB" w:rsidRDefault="000461BB" w:rsidP="000461BB">
      <w:pPr>
        <w:rPr>
          <w:noProof/>
        </w:rPr>
      </w:pPr>
    </w:p>
    <w:p w14:paraId="6C546B2A" w14:textId="77777777" w:rsidR="000461BB" w:rsidRDefault="000461BB" w:rsidP="000461BB">
      <w:pPr>
        <w:ind w:left="0" w:firstLine="0"/>
        <w:rPr>
          <w:noProof/>
        </w:rPr>
      </w:pPr>
      <w:r>
        <w:rPr>
          <w:noProof/>
        </w:rPr>
        <w:t>Účinnosť kumarínových antikoagulancií sa môže meniť pri súčasnej liečbe kortikosteroidmi. U pacientov, ktorí súčasne užívajú kortikosteroidy a kumarínové antikoagulanciá, je potrebné často kontrolovať protrombínový čas, aby sa zabránilo spontánnemu krvácaniu.</w:t>
      </w:r>
    </w:p>
    <w:p w14:paraId="7DA0157A" w14:textId="77777777" w:rsidR="000461BB" w:rsidRDefault="000461BB" w:rsidP="000461BB">
      <w:pPr>
        <w:rPr>
          <w:noProof/>
        </w:rPr>
      </w:pPr>
    </w:p>
    <w:p w14:paraId="0164E6D4" w14:textId="77777777" w:rsidR="000461BB" w:rsidRDefault="000461BB" w:rsidP="000461BB">
      <w:pPr>
        <w:rPr>
          <w:noProof/>
        </w:rPr>
      </w:pPr>
      <w:r>
        <w:rPr>
          <w:noProof/>
        </w:rPr>
        <w:t>Požadované účinky hypoglykemických látok (vrátane inzulínu) sú antagonizované kortikosteroidmi.</w:t>
      </w:r>
    </w:p>
    <w:p w14:paraId="16F81016" w14:textId="77777777" w:rsidR="000461BB" w:rsidRDefault="000461BB" w:rsidP="000461BB">
      <w:pPr>
        <w:rPr>
          <w:noProof/>
        </w:rPr>
      </w:pPr>
    </w:p>
    <w:p w14:paraId="458DD0E5" w14:textId="77777777" w:rsidR="000461BB" w:rsidRDefault="000461BB" w:rsidP="000461BB">
      <w:pPr>
        <w:ind w:left="0" w:firstLine="0"/>
        <w:rPr>
          <w:noProof/>
        </w:rPr>
      </w:pPr>
      <w:r>
        <w:rPr>
          <w:noProof/>
        </w:rPr>
        <w:t xml:space="preserve">Ak sa kortikosteroidy podávajú súbežne s diuretikami znižujúcimi hladinu draslíka, je potrebné pacientov starostlivo sledovať kvôli </w:t>
      </w:r>
      <w:r w:rsidR="00AB6C05">
        <w:t>riziku vzniku</w:t>
      </w:r>
      <w:r>
        <w:rPr>
          <w:noProof/>
        </w:rPr>
        <w:t xml:space="preserve"> hypokaliémie.</w:t>
      </w:r>
    </w:p>
    <w:p w14:paraId="6C93A94F" w14:textId="77777777" w:rsidR="000461BB" w:rsidRDefault="000461BB" w:rsidP="000461BB">
      <w:pPr>
        <w:rPr>
          <w:noProof/>
        </w:rPr>
      </w:pPr>
    </w:p>
    <w:p w14:paraId="77D32233" w14:textId="77777777" w:rsidR="000461BB" w:rsidRDefault="000461BB" w:rsidP="000461BB">
      <w:pPr>
        <w:ind w:left="0" w:firstLine="0"/>
        <w:rPr>
          <w:noProof/>
        </w:rPr>
      </w:pPr>
      <w:r>
        <w:rPr>
          <w:noProof/>
        </w:rPr>
        <w:t xml:space="preserve">Kortikosteroidy môžu ovplyvňovať </w:t>
      </w:r>
      <w:r w:rsidR="00AB6C05" w:rsidRPr="00AB6C05">
        <w:rPr>
          <w:noProof/>
        </w:rPr>
        <w:t>výsledky NBT (nitrotetrazoliová modrá) testu na bakteriálne infekcie a môžu vyvolať falošne negatívny výsledok.</w:t>
      </w:r>
    </w:p>
    <w:p w14:paraId="79D3EAF2" w14:textId="77777777" w:rsidR="000461BB" w:rsidRDefault="000461BB" w:rsidP="000461BB">
      <w:pPr>
        <w:rPr>
          <w:noProof/>
        </w:rPr>
      </w:pPr>
    </w:p>
    <w:p w14:paraId="51E93FD2" w14:textId="77777777" w:rsidR="000461BB" w:rsidRDefault="000461BB" w:rsidP="000461BB">
      <w:pPr>
        <w:ind w:left="0" w:firstLine="0"/>
        <w:rPr>
          <w:noProof/>
        </w:rPr>
      </w:pPr>
      <w:r>
        <w:rPr>
          <w:noProof/>
        </w:rPr>
        <w:t>Inhibítory antiretrovírusovej proteázy (ritonavir, darunavir, indinavir, lopinavir, sachinavir a efavirenz) sa metabolizujú prostredníctvom CYP3A. Lieky, ktoré indukujú aktivitu CYP3A, ako je dexametazón, môžu zvyšovať klírens liekov metabolizovaných CYP3A, čo vedie k zníženiu plazmatických koncentrácií.</w:t>
      </w:r>
    </w:p>
    <w:p w14:paraId="7C424981" w14:textId="77777777" w:rsidR="000461BB" w:rsidRDefault="000461BB" w:rsidP="000461BB">
      <w:pPr>
        <w:rPr>
          <w:noProof/>
        </w:rPr>
      </w:pPr>
    </w:p>
    <w:p w14:paraId="160AE17D" w14:textId="77777777" w:rsidR="000461BB" w:rsidRDefault="000461BB" w:rsidP="000461BB">
      <w:pPr>
        <w:ind w:left="0" w:firstLine="0"/>
        <w:rPr>
          <w:noProof/>
        </w:rPr>
      </w:pPr>
      <w:r>
        <w:rPr>
          <w:noProof/>
        </w:rPr>
        <w:t>Niektoré inhibítory antiretrovírusovej proteázy (ritonavir, indinavir) môžu byť tiež samotnými inhibítormi CYP3A, čo môže viesť k zvýšeniu plazmatickej koncentrácie dexametazónu.</w:t>
      </w:r>
    </w:p>
    <w:p w14:paraId="3A792332" w14:textId="77777777" w:rsidR="00780926" w:rsidRPr="003021DE" w:rsidRDefault="00780926" w:rsidP="00E41B3F">
      <w:pPr>
        <w:rPr>
          <w:szCs w:val="22"/>
        </w:rPr>
      </w:pPr>
    </w:p>
    <w:p w14:paraId="54480423" w14:textId="77777777" w:rsidR="00780926" w:rsidRPr="003021DE" w:rsidRDefault="00623601" w:rsidP="00E41B3F">
      <w:pPr>
        <w:rPr>
          <w:szCs w:val="22"/>
        </w:rPr>
      </w:pPr>
      <w:r w:rsidRPr="003021DE">
        <w:rPr>
          <w:b/>
          <w:szCs w:val="22"/>
        </w:rPr>
        <w:t>4.6</w:t>
      </w:r>
      <w:r w:rsidRPr="003021DE">
        <w:rPr>
          <w:b/>
          <w:szCs w:val="22"/>
        </w:rPr>
        <w:tab/>
      </w:r>
      <w:r w:rsidR="00E1698A" w:rsidRPr="003021DE">
        <w:rPr>
          <w:b/>
          <w:noProof/>
          <w:szCs w:val="22"/>
        </w:rPr>
        <w:t>Fertilita, g</w:t>
      </w:r>
      <w:r w:rsidRPr="003021DE">
        <w:rPr>
          <w:b/>
          <w:szCs w:val="22"/>
        </w:rPr>
        <w:t>ravidita a</w:t>
      </w:r>
      <w:r w:rsidR="00BD7004" w:rsidRPr="00B13F68">
        <w:rPr>
          <w:b/>
          <w:szCs w:val="22"/>
        </w:rPr>
        <w:t> </w:t>
      </w:r>
      <w:r w:rsidRPr="003021DE">
        <w:rPr>
          <w:b/>
          <w:szCs w:val="22"/>
        </w:rPr>
        <w:t>laktácia</w:t>
      </w:r>
    </w:p>
    <w:p w14:paraId="69D39DC9" w14:textId="77777777" w:rsidR="00E1698A" w:rsidRPr="00B13F68" w:rsidRDefault="00E1698A" w:rsidP="00E41B3F"/>
    <w:p w14:paraId="76591783" w14:textId="77777777" w:rsidR="00E1698A" w:rsidRPr="00851F5A" w:rsidRDefault="00623601" w:rsidP="00E41B3F">
      <w:pPr>
        <w:rPr>
          <w:iCs/>
          <w:noProof/>
          <w:szCs w:val="22"/>
          <w:u w:val="single"/>
        </w:rPr>
      </w:pPr>
      <w:r w:rsidRPr="00851F5A">
        <w:rPr>
          <w:iCs/>
          <w:noProof/>
          <w:szCs w:val="22"/>
          <w:u w:val="single"/>
        </w:rPr>
        <w:t>Gravidita</w:t>
      </w:r>
    </w:p>
    <w:p w14:paraId="52E7E138" w14:textId="77777777" w:rsidR="000461BB" w:rsidRPr="000461BB" w:rsidRDefault="000461BB" w:rsidP="000461BB">
      <w:pPr>
        <w:ind w:left="0" w:firstLine="0"/>
        <w:rPr>
          <w:noProof/>
          <w:szCs w:val="22"/>
        </w:rPr>
      </w:pPr>
      <w:r w:rsidRPr="000461BB">
        <w:rPr>
          <w:noProof/>
          <w:szCs w:val="22"/>
        </w:rPr>
        <w:t>Schopnosť kortikosteroidov prechádzať placentou sa líši medzi jednotlivými liekmi, dexametazón však ľahko prestupuje placentou.</w:t>
      </w:r>
    </w:p>
    <w:p w14:paraId="24B7F916" w14:textId="77777777" w:rsidR="000461BB" w:rsidRPr="000461BB" w:rsidRDefault="000461BB" w:rsidP="000461BB">
      <w:pPr>
        <w:ind w:left="0" w:firstLine="0"/>
        <w:rPr>
          <w:noProof/>
          <w:szCs w:val="22"/>
        </w:rPr>
      </w:pPr>
      <w:r w:rsidRPr="000461BB">
        <w:rPr>
          <w:noProof/>
          <w:szCs w:val="22"/>
        </w:rPr>
        <w:t xml:space="preserve">Podávanie kortikosteroidov gravidným zvieratám môže spôsobiť abnormality vývoja plodu vrátane rázštepu podnebia, spomalenia intrauterinného rastu </w:t>
      </w:r>
      <w:r w:rsidR="00AB6C05">
        <w:t xml:space="preserve">a vrátane účinkov </w:t>
      </w:r>
      <w:r w:rsidRPr="000461BB">
        <w:rPr>
          <w:noProof/>
          <w:szCs w:val="22"/>
        </w:rPr>
        <w:t>na rast a vývoj mozgu. Nie sú dôkazy o tom, že kortikosteroidy vedú u človeka k zvýšenému výskytu vrodených abnormalít, ako je rázštep po</w:t>
      </w:r>
      <w:r w:rsidR="00DA53C6">
        <w:rPr>
          <w:noProof/>
          <w:szCs w:val="22"/>
        </w:rPr>
        <w:t>dnebia/</w:t>
      </w:r>
      <w:r w:rsidRPr="000461BB">
        <w:rPr>
          <w:noProof/>
          <w:szCs w:val="22"/>
        </w:rPr>
        <w:t>pier. Pozri tiež časť 5.3 Predklinické údaje o bezpečnosti.</w:t>
      </w:r>
    </w:p>
    <w:p w14:paraId="40DB8F5E" w14:textId="77777777" w:rsidR="000461BB" w:rsidRPr="000461BB" w:rsidRDefault="000461BB" w:rsidP="000461BB">
      <w:pPr>
        <w:ind w:left="0" w:firstLine="0"/>
        <w:rPr>
          <w:noProof/>
          <w:szCs w:val="22"/>
        </w:rPr>
      </w:pPr>
      <w:r w:rsidRPr="000461BB">
        <w:rPr>
          <w:noProof/>
          <w:szCs w:val="22"/>
        </w:rPr>
        <w:t>Ak sa však kortikosteroidy podávajú dlhšie alebo o</w:t>
      </w:r>
      <w:r w:rsidR="00DA53C6">
        <w:rPr>
          <w:noProof/>
          <w:szCs w:val="22"/>
        </w:rPr>
        <w:t>pakovane počas tehotenstva, môžu</w:t>
      </w:r>
      <w:r w:rsidRPr="000461BB">
        <w:rPr>
          <w:noProof/>
          <w:szCs w:val="22"/>
        </w:rPr>
        <w:t xml:space="preserve"> zvýšiť riziko spomalenia vnútromaternicového rastu. Hypoadrenalizmus sa teoreticky môže vyskytnúť u novorodencov po prenatálnej expozícii kortikosteroidom, ale zvyčajne ustúpi spontánne po narodení a je zriedka klinicky dôležitý. Tak ako všetky lieky, aj kortikosteroidy sa majú predpisovať, iba ak prínos pre matku a dieťa preváži riziká.</w:t>
      </w:r>
    </w:p>
    <w:p w14:paraId="4217E2D6" w14:textId="77777777" w:rsidR="000461BB" w:rsidRDefault="000461BB" w:rsidP="000461BB">
      <w:pPr>
        <w:ind w:left="0" w:firstLine="0"/>
        <w:rPr>
          <w:noProof/>
          <w:szCs w:val="22"/>
        </w:rPr>
      </w:pPr>
      <w:r w:rsidRPr="000461BB">
        <w:rPr>
          <w:noProof/>
          <w:szCs w:val="22"/>
        </w:rPr>
        <w:t xml:space="preserve">Ak sú však kortikosteroidy nevyhnutné, s pacientkami s normálnym tehotenstvom </w:t>
      </w:r>
      <w:r w:rsidRPr="00D4276E">
        <w:rPr>
          <w:noProof/>
          <w:szCs w:val="22"/>
        </w:rPr>
        <w:t xml:space="preserve">sa môže </w:t>
      </w:r>
      <w:r w:rsidR="00386C4A" w:rsidRPr="007B31F6">
        <w:rPr>
          <w:noProof/>
          <w:szCs w:val="22"/>
        </w:rPr>
        <w:t>zaobchádzať</w:t>
      </w:r>
      <w:r w:rsidRPr="007B31F6">
        <w:rPr>
          <w:noProof/>
          <w:szCs w:val="22"/>
        </w:rPr>
        <w:t>, akoby</w:t>
      </w:r>
      <w:bookmarkStart w:id="1" w:name="_GoBack"/>
      <w:bookmarkEnd w:id="1"/>
      <w:r w:rsidRPr="00D4276E">
        <w:rPr>
          <w:noProof/>
          <w:szCs w:val="22"/>
        </w:rPr>
        <w:t xml:space="preserve"> boli v negravidnom stave.</w:t>
      </w:r>
    </w:p>
    <w:p w14:paraId="296615D8" w14:textId="77777777" w:rsidR="000461BB" w:rsidRDefault="000461BB" w:rsidP="00E41B3F">
      <w:pPr>
        <w:rPr>
          <w:noProof/>
          <w:szCs w:val="22"/>
        </w:rPr>
      </w:pPr>
    </w:p>
    <w:p w14:paraId="4C60BABD" w14:textId="77777777" w:rsidR="00E1698A" w:rsidRPr="00851F5A" w:rsidRDefault="00BB6D67" w:rsidP="00E41B3F">
      <w:pPr>
        <w:rPr>
          <w:iCs/>
          <w:noProof/>
          <w:szCs w:val="22"/>
          <w:u w:val="single"/>
        </w:rPr>
      </w:pPr>
      <w:r w:rsidRPr="00851F5A">
        <w:rPr>
          <w:iCs/>
          <w:noProof/>
          <w:szCs w:val="22"/>
          <w:u w:val="single"/>
        </w:rPr>
        <w:t>Dojčenie</w:t>
      </w:r>
    </w:p>
    <w:p w14:paraId="35E8B223" w14:textId="77777777" w:rsidR="00DA53C6" w:rsidRPr="00DA53C6" w:rsidRDefault="00DA53C6" w:rsidP="00DA53C6">
      <w:pPr>
        <w:ind w:left="0" w:firstLine="0"/>
        <w:rPr>
          <w:noProof/>
          <w:szCs w:val="22"/>
        </w:rPr>
      </w:pPr>
      <w:r w:rsidRPr="00DA53C6">
        <w:rPr>
          <w:noProof/>
          <w:szCs w:val="22"/>
        </w:rPr>
        <w:t>Kortikosteroidy môžu prechádzať do materského mlieka, hoci o dexametazóne nie sú k dispozícii žiadne údaje. Dojčatá matiek, ktoré dlhodobo užívajú vysoké dávky systémových kortikosteroidov, môžu mať určitý stupeň supresie nadobličiek.</w:t>
      </w:r>
    </w:p>
    <w:p w14:paraId="3B06BB83" w14:textId="77777777" w:rsidR="00DA53C6" w:rsidRPr="00DA53C6" w:rsidRDefault="00DA53C6" w:rsidP="00DA53C6">
      <w:pPr>
        <w:rPr>
          <w:noProof/>
          <w:szCs w:val="22"/>
        </w:rPr>
      </w:pPr>
    </w:p>
    <w:p w14:paraId="0C545F6B" w14:textId="77777777" w:rsidR="00AE331E" w:rsidRPr="007B31F6" w:rsidRDefault="00386C4A" w:rsidP="007B31F6">
      <w:pPr>
        <w:pStyle w:val="Zkladntext"/>
        <w:kinsoku w:val="0"/>
        <w:overflowPunct w:val="0"/>
        <w:spacing w:before="4"/>
        <w:rPr>
          <w:noProof/>
          <w:szCs w:val="22"/>
        </w:rPr>
      </w:pPr>
      <w:r w:rsidRPr="007B31F6">
        <w:rPr>
          <w:noProof/>
          <w:szCs w:val="22"/>
        </w:rPr>
        <w:t>Hoci sa na zvieratách a u ľudí nepreukázalo, že</w:t>
      </w:r>
      <w:r w:rsidR="00AD17CC">
        <w:rPr>
          <w:noProof/>
          <w:szCs w:val="22"/>
        </w:rPr>
        <w:t xml:space="preserve"> </w:t>
      </w:r>
      <w:r w:rsidRPr="007B31F6">
        <w:rPr>
          <w:noProof/>
          <w:szCs w:val="22"/>
        </w:rPr>
        <w:t>propylénglykol spôsobuje reprodukčnú a vývinovú</w:t>
      </w:r>
    </w:p>
    <w:p w14:paraId="1BDD42A5" w14:textId="77777777" w:rsidR="00AD17CC" w:rsidRPr="007B31F6" w:rsidRDefault="00386C4A" w:rsidP="00AD17CC">
      <w:pPr>
        <w:pStyle w:val="Zkladntext"/>
        <w:kinsoku w:val="0"/>
        <w:overflowPunct w:val="0"/>
        <w:spacing w:line="268" w:lineRule="auto"/>
        <w:ind w:right="103"/>
        <w:rPr>
          <w:noProof/>
          <w:szCs w:val="22"/>
        </w:rPr>
      </w:pPr>
      <w:r w:rsidRPr="007B31F6">
        <w:rPr>
          <w:noProof/>
          <w:szCs w:val="22"/>
        </w:rPr>
        <w:t>toxicitu, môže sa dostať k plodu a bol prítomný v mlieku. Podávanie propylénglykolu tehotným alebo dojčiacim pacientkam sa preto musí zvážiť individuálne.</w:t>
      </w:r>
    </w:p>
    <w:p w14:paraId="02D131F2" w14:textId="77777777" w:rsidR="00780926" w:rsidRPr="003021DE" w:rsidRDefault="00780926" w:rsidP="00E41B3F">
      <w:pPr>
        <w:rPr>
          <w:szCs w:val="22"/>
        </w:rPr>
      </w:pPr>
    </w:p>
    <w:p w14:paraId="2E75C943" w14:textId="77777777" w:rsidR="00780926" w:rsidRPr="003021DE" w:rsidRDefault="00623601" w:rsidP="00E41B3F">
      <w:pPr>
        <w:rPr>
          <w:szCs w:val="22"/>
        </w:rPr>
      </w:pPr>
      <w:r w:rsidRPr="003021DE">
        <w:rPr>
          <w:b/>
          <w:szCs w:val="22"/>
        </w:rPr>
        <w:t>4.7</w:t>
      </w:r>
      <w:r w:rsidRPr="003021DE">
        <w:rPr>
          <w:b/>
          <w:szCs w:val="22"/>
        </w:rPr>
        <w:tab/>
        <w:t>Ovplyvnenie schopnosti viesť vozidlá a</w:t>
      </w:r>
      <w:r w:rsidR="00F9666C">
        <w:rPr>
          <w:b/>
          <w:szCs w:val="22"/>
        </w:rPr>
        <w:t> </w:t>
      </w:r>
      <w:r w:rsidRPr="003021DE">
        <w:rPr>
          <w:b/>
          <w:szCs w:val="22"/>
        </w:rPr>
        <w:t>obsluhovať stroje</w:t>
      </w:r>
    </w:p>
    <w:p w14:paraId="77B6D998" w14:textId="77777777" w:rsidR="00780926" w:rsidRPr="003021DE" w:rsidRDefault="00780926" w:rsidP="00E41B3F">
      <w:pPr>
        <w:rPr>
          <w:szCs w:val="22"/>
        </w:rPr>
      </w:pPr>
    </w:p>
    <w:p w14:paraId="3CC68D49" w14:textId="77777777" w:rsidR="00780926" w:rsidRPr="003021DE" w:rsidRDefault="00DA53C6" w:rsidP="00E41B3F">
      <w:pPr>
        <w:rPr>
          <w:szCs w:val="22"/>
        </w:rPr>
      </w:pPr>
      <w:r>
        <w:rPr>
          <w:szCs w:val="22"/>
        </w:rPr>
        <w:t>Žiadne hlásené.</w:t>
      </w:r>
    </w:p>
    <w:p w14:paraId="2827071B" w14:textId="77777777" w:rsidR="00780926" w:rsidRPr="003021DE" w:rsidRDefault="00780926" w:rsidP="00A75ECC">
      <w:pPr>
        <w:rPr>
          <w:szCs w:val="22"/>
        </w:rPr>
      </w:pPr>
    </w:p>
    <w:p w14:paraId="7C486BA0" w14:textId="77777777" w:rsidR="00780926" w:rsidRPr="003021DE" w:rsidRDefault="00623601" w:rsidP="00D513D2">
      <w:pPr>
        <w:rPr>
          <w:b/>
          <w:szCs w:val="22"/>
        </w:rPr>
      </w:pPr>
      <w:r w:rsidRPr="003021DE">
        <w:rPr>
          <w:b/>
          <w:szCs w:val="22"/>
        </w:rPr>
        <w:t>4.8</w:t>
      </w:r>
      <w:r w:rsidRPr="003021DE">
        <w:rPr>
          <w:b/>
          <w:szCs w:val="22"/>
        </w:rPr>
        <w:tab/>
        <w:t>Nežiaduce účinky</w:t>
      </w:r>
    </w:p>
    <w:p w14:paraId="0155CAA5" w14:textId="77777777" w:rsidR="00780926" w:rsidRPr="00B13F68" w:rsidRDefault="00780926" w:rsidP="00D513D2"/>
    <w:p w14:paraId="534BD69C" w14:textId="77777777" w:rsidR="00DA53C6" w:rsidRPr="00DA53C6" w:rsidRDefault="00DA53C6" w:rsidP="00DA53C6">
      <w:pPr>
        <w:ind w:left="0" w:firstLine="0"/>
        <w:rPr>
          <w:szCs w:val="22"/>
        </w:rPr>
      </w:pPr>
      <w:r w:rsidRPr="00DA53C6">
        <w:rPr>
          <w:szCs w:val="22"/>
        </w:rPr>
        <w:t xml:space="preserve">Výskyt predvídateľných nežiaducich účinkov, vrátane potlačenia </w:t>
      </w:r>
      <w:r w:rsidR="008C7057">
        <w:rPr>
          <w:szCs w:val="22"/>
        </w:rPr>
        <w:t>os</w:t>
      </w:r>
      <w:r w:rsidR="009C3819">
        <w:rPr>
          <w:szCs w:val="22"/>
        </w:rPr>
        <w:t>i</w:t>
      </w:r>
      <w:r w:rsidR="008C7057">
        <w:rPr>
          <w:szCs w:val="22"/>
        </w:rPr>
        <w:t xml:space="preserve"> </w:t>
      </w:r>
      <w:r w:rsidRPr="00DA53C6">
        <w:rPr>
          <w:szCs w:val="22"/>
        </w:rPr>
        <w:t>hypotalamus-hypofýza-nadobličky, koreluje s relatívnou účinnosťou lieku, dávkovaním, načasovaním podávania a dĺžkou liečby (pozri „Osobitné upozornenia a opatrenia pri používaní“).</w:t>
      </w:r>
    </w:p>
    <w:p w14:paraId="1F750122" w14:textId="77777777" w:rsidR="00DA53C6" w:rsidRPr="00DA53C6" w:rsidRDefault="00DA53C6" w:rsidP="00DA53C6">
      <w:pPr>
        <w:rPr>
          <w:szCs w:val="22"/>
        </w:rPr>
      </w:pPr>
    </w:p>
    <w:p w14:paraId="66B927DA" w14:textId="77777777" w:rsidR="00DA53C6" w:rsidRPr="00DA53C6" w:rsidRDefault="00DA53C6" w:rsidP="00DA53C6">
      <w:pPr>
        <w:rPr>
          <w:i/>
          <w:szCs w:val="22"/>
        </w:rPr>
      </w:pPr>
      <w:r w:rsidRPr="00DA53C6">
        <w:rPr>
          <w:i/>
          <w:szCs w:val="22"/>
        </w:rPr>
        <w:t xml:space="preserve">Poruchy </w:t>
      </w:r>
      <w:r w:rsidR="005C2090">
        <w:rPr>
          <w:i/>
          <w:szCs w:val="22"/>
        </w:rPr>
        <w:t xml:space="preserve">rovnováhy </w:t>
      </w:r>
      <w:r w:rsidRPr="00DA53C6">
        <w:rPr>
          <w:i/>
          <w:szCs w:val="22"/>
        </w:rPr>
        <w:t>tekutín a elektrolytov:</w:t>
      </w:r>
    </w:p>
    <w:p w14:paraId="683AC05E" w14:textId="77777777" w:rsidR="00DA53C6" w:rsidRPr="00DA53C6" w:rsidRDefault="00DA53C6" w:rsidP="00DA53C6">
      <w:pPr>
        <w:ind w:left="0" w:firstLine="0"/>
        <w:rPr>
          <w:szCs w:val="22"/>
        </w:rPr>
      </w:pPr>
      <w:r w:rsidRPr="00DA53C6">
        <w:rPr>
          <w:szCs w:val="22"/>
        </w:rPr>
        <w:t>Retencia sodíka, retencia tekutín, kongestívne zlyhanie srdca u vnímavých pacientov, strata draslíka, hypokaliemická alkalóza, hypertenzia, zvýšené vylučovanie vápnika (pozri „Osobitné upozornenia a opatrenia pri používaní“).</w:t>
      </w:r>
    </w:p>
    <w:p w14:paraId="30F2BEC0" w14:textId="77777777" w:rsidR="00DA53C6" w:rsidRPr="00DA53C6" w:rsidRDefault="00DA53C6" w:rsidP="00DA53C6">
      <w:pPr>
        <w:rPr>
          <w:szCs w:val="22"/>
        </w:rPr>
      </w:pPr>
    </w:p>
    <w:p w14:paraId="6B8C951A" w14:textId="77777777" w:rsidR="00DA53C6" w:rsidRPr="00DA53C6" w:rsidRDefault="00DA53C6" w:rsidP="00DA53C6">
      <w:pPr>
        <w:rPr>
          <w:i/>
          <w:szCs w:val="22"/>
        </w:rPr>
      </w:pPr>
      <w:r>
        <w:rPr>
          <w:i/>
          <w:szCs w:val="22"/>
        </w:rPr>
        <w:t>Poruchy m</w:t>
      </w:r>
      <w:r w:rsidRPr="00DA53C6">
        <w:rPr>
          <w:i/>
          <w:szCs w:val="22"/>
        </w:rPr>
        <w:t>uskuloskeletáln</w:t>
      </w:r>
      <w:r>
        <w:rPr>
          <w:i/>
          <w:szCs w:val="22"/>
        </w:rPr>
        <w:t>eho</w:t>
      </w:r>
      <w:r w:rsidRPr="00DA53C6">
        <w:rPr>
          <w:i/>
          <w:szCs w:val="22"/>
        </w:rPr>
        <w:t xml:space="preserve"> systém</w:t>
      </w:r>
      <w:r>
        <w:rPr>
          <w:i/>
          <w:szCs w:val="22"/>
        </w:rPr>
        <w:t>u</w:t>
      </w:r>
      <w:r w:rsidRPr="00DA53C6">
        <w:rPr>
          <w:i/>
          <w:szCs w:val="22"/>
        </w:rPr>
        <w:t>:</w:t>
      </w:r>
    </w:p>
    <w:p w14:paraId="0B40FFFC" w14:textId="77777777" w:rsidR="00DA53C6" w:rsidRPr="00DA53C6" w:rsidRDefault="00DA53C6" w:rsidP="00DA53C6">
      <w:pPr>
        <w:ind w:left="0" w:firstLine="0"/>
        <w:rPr>
          <w:szCs w:val="22"/>
        </w:rPr>
      </w:pPr>
      <w:r w:rsidRPr="00DA53C6">
        <w:rPr>
          <w:szCs w:val="22"/>
        </w:rPr>
        <w:t xml:space="preserve">Svalová slabosť, steroidná myopatia, strata svalovej hmoty, osteoporóza (najmä u žien po menopauze), </w:t>
      </w:r>
      <w:r w:rsidR="00AB6C05">
        <w:t>kompresívne zlomeniny stavcov</w:t>
      </w:r>
      <w:r w:rsidRPr="00DA53C6">
        <w:rPr>
          <w:szCs w:val="22"/>
        </w:rPr>
        <w:t>, aseptická nekróza hláv femuru a humeru, patologická zlomenina dlhých kostí, prasknutie šľachy a vzplanutie po injekcii (po intraartikulárnom použití).</w:t>
      </w:r>
    </w:p>
    <w:p w14:paraId="57A90BA3" w14:textId="77777777" w:rsidR="00DA53C6" w:rsidRPr="00DA53C6" w:rsidRDefault="00DA53C6" w:rsidP="00DA53C6">
      <w:pPr>
        <w:rPr>
          <w:szCs w:val="22"/>
        </w:rPr>
      </w:pPr>
    </w:p>
    <w:p w14:paraId="0B3042B0" w14:textId="77777777" w:rsidR="00DA53C6" w:rsidRPr="00DA53C6" w:rsidRDefault="00DA53C6" w:rsidP="00DA53C6">
      <w:pPr>
        <w:rPr>
          <w:i/>
          <w:szCs w:val="22"/>
        </w:rPr>
      </w:pPr>
      <w:r w:rsidRPr="00DA53C6">
        <w:rPr>
          <w:i/>
          <w:szCs w:val="22"/>
        </w:rPr>
        <w:t>Gastrointestinálne</w:t>
      </w:r>
      <w:r>
        <w:rPr>
          <w:i/>
          <w:szCs w:val="22"/>
        </w:rPr>
        <w:t xml:space="preserve"> poruchy</w:t>
      </w:r>
      <w:r w:rsidRPr="00DA53C6">
        <w:rPr>
          <w:i/>
          <w:szCs w:val="22"/>
        </w:rPr>
        <w:t>:</w:t>
      </w:r>
    </w:p>
    <w:p w14:paraId="557AFE94" w14:textId="77777777" w:rsidR="00DA53C6" w:rsidRPr="00DA53C6" w:rsidRDefault="00DA53C6" w:rsidP="00DA53C6">
      <w:pPr>
        <w:ind w:left="0" w:firstLine="0"/>
        <w:rPr>
          <w:szCs w:val="22"/>
        </w:rPr>
      </w:pPr>
      <w:r w:rsidRPr="00DA53C6">
        <w:rPr>
          <w:szCs w:val="22"/>
        </w:rPr>
        <w:lastRenderedPageBreak/>
        <w:t>Peptický vred s možnou perforáciou a krvácaním, perforáci</w:t>
      </w:r>
      <w:r>
        <w:rPr>
          <w:szCs w:val="22"/>
        </w:rPr>
        <w:t>a</w:t>
      </w:r>
      <w:r w:rsidRPr="00DA53C6">
        <w:rPr>
          <w:szCs w:val="22"/>
        </w:rPr>
        <w:t xml:space="preserve"> tenkého a hrubého čreva, najmä u pacientov so zápalovým ochorením čriev, pankreatitíd</w:t>
      </w:r>
      <w:r>
        <w:rPr>
          <w:szCs w:val="22"/>
        </w:rPr>
        <w:t>a</w:t>
      </w:r>
      <w:r w:rsidRPr="00DA53C6">
        <w:rPr>
          <w:szCs w:val="22"/>
        </w:rPr>
        <w:t>, distenzi</w:t>
      </w:r>
      <w:r>
        <w:rPr>
          <w:szCs w:val="22"/>
        </w:rPr>
        <w:t>a</w:t>
      </w:r>
      <w:r w:rsidRPr="00DA53C6">
        <w:rPr>
          <w:szCs w:val="22"/>
        </w:rPr>
        <w:t xml:space="preserve"> brucha, ulcerózn</w:t>
      </w:r>
      <w:r>
        <w:rPr>
          <w:szCs w:val="22"/>
        </w:rPr>
        <w:t>a</w:t>
      </w:r>
      <w:r w:rsidRPr="00DA53C6">
        <w:rPr>
          <w:szCs w:val="22"/>
        </w:rPr>
        <w:t xml:space="preserve"> ezofagitíd</w:t>
      </w:r>
      <w:r>
        <w:rPr>
          <w:szCs w:val="22"/>
        </w:rPr>
        <w:t>a</w:t>
      </w:r>
      <w:r w:rsidRPr="00DA53C6">
        <w:rPr>
          <w:szCs w:val="22"/>
        </w:rPr>
        <w:t>, dyspepsi</w:t>
      </w:r>
      <w:r>
        <w:rPr>
          <w:szCs w:val="22"/>
        </w:rPr>
        <w:t>a</w:t>
      </w:r>
      <w:r w:rsidRPr="00DA53C6">
        <w:rPr>
          <w:szCs w:val="22"/>
        </w:rPr>
        <w:t>, kandidóz</w:t>
      </w:r>
      <w:r>
        <w:rPr>
          <w:szCs w:val="22"/>
        </w:rPr>
        <w:t>a</w:t>
      </w:r>
      <w:r w:rsidRPr="00DA53C6">
        <w:rPr>
          <w:szCs w:val="22"/>
        </w:rPr>
        <w:t xml:space="preserve"> pažeráka.</w:t>
      </w:r>
    </w:p>
    <w:p w14:paraId="6A8546C9" w14:textId="77777777" w:rsidR="00DA53C6" w:rsidRPr="00DA53C6" w:rsidRDefault="00DA53C6" w:rsidP="00DA53C6">
      <w:pPr>
        <w:rPr>
          <w:szCs w:val="22"/>
        </w:rPr>
      </w:pPr>
    </w:p>
    <w:p w14:paraId="15F970C1" w14:textId="77777777" w:rsidR="00DA53C6" w:rsidRPr="00DA53C6" w:rsidRDefault="00DA53C6" w:rsidP="00DA53C6">
      <w:pPr>
        <w:rPr>
          <w:i/>
          <w:szCs w:val="22"/>
        </w:rPr>
      </w:pPr>
      <w:r w:rsidRPr="00DA53C6">
        <w:rPr>
          <w:i/>
          <w:szCs w:val="22"/>
        </w:rPr>
        <w:t>Dermatologické poruchy:</w:t>
      </w:r>
    </w:p>
    <w:p w14:paraId="1D674686" w14:textId="77777777" w:rsidR="00DA53C6" w:rsidRPr="00DA53C6" w:rsidRDefault="00DA53C6" w:rsidP="00DA53C6">
      <w:pPr>
        <w:ind w:left="0" w:firstLine="0"/>
        <w:rPr>
          <w:szCs w:val="22"/>
        </w:rPr>
      </w:pPr>
      <w:r w:rsidRPr="00DA53C6">
        <w:rPr>
          <w:szCs w:val="22"/>
        </w:rPr>
        <w:t xml:space="preserve">Poruchy hojenia rán, tenká krehká pokožka, petechie a ekchymózy, erytém, strie, telangiektázia, akné, zvýšené potenie, </w:t>
      </w:r>
      <w:r w:rsidR="00AB6C05">
        <w:t xml:space="preserve">možná </w:t>
      </w:r>
      <w:r w:rsidR="00AB6C05" w:rsidRPr="005C2090">
        <w:t>znížená odpoveď na kožné testy</w:t>
      </w:r>
      <w:r w:rsidRPr="00DA53C6">
        <w:rPr>
          <w:szCs w:val="22"/>
        </w:rPr>
        <w:t xml:space="preserve">, pálenie alebo tŕpnutie najmä v perineálnej oblasti (po intravenóznej injekcii), iné kožné reakcie ako alergická </w:t>
      </w:r>
      <w:r w:rsidRPr="00AB6C05">
        <w:rPr>
          <w:szCs w:val="22"/>
        </w:rPr>
        <w:t>dermatitída,</w:t>
      </w:r>
      <w:r w:rsidRPr="00DA53C6">
        <w:rPr>
          <w:szCs w:val="22"/>
        </w:rPr>
        <w:t xml:space="preserve"> žihľavka, angioneurotický edém a hypo</w:t>
      </w:r>
      <w:r w:rsidR="005C2090">
        <w:rPr>
          <w:szCs w:val="22"/>
        </w:rPr>
        <w:t>pigmentácia</w:t>
      </w:r>
      <w:r w:rsidRPr="00DA53C6">
        <w:rPr>
          <w:szCs w:val="22"/>
        </w:rPr>
        <w:t xml:space="preserve"> alebo hyperpigmentácia.</w:t>
      </w:r>
    </w:p>
    <w:p w14:paraId="1E09552E" w14:textId="77777777" w:rsidR="00DA53C6" w:rsidRPr="00DA53C6" w:rsidRDefault="00DA53C6" w:rsidP="00DA53C6">
      <w:pPr>
        <w:rPr>
          <w:szCs w:val="22"/>
        </w:rPr>
      </w:pPr>
    </w:p>
    <w:p w14:paraId="671578A9" w14:textId="77777777" w:rsidR="00DA53C6" w:rsidRPr="00DA53C6" w:rsidRDefault="00DA53C6" w:rsidP="00DA53C6">
      <w:pPr>
        <w:rPr>
          <w:i/>
          <w:szCs w:val="22"/>
        </w:rPr>
      </w:pPr>
      <w:r w:rsidRPr="00DA53C6">
        <w:rPr>
          <w:i/>
          <w:szCs w:val="22"/>
        </w:rPr>
        <w:t>Neurologické poruchy:</w:t>
      </w:r>
    </w:p>
    <w:p w14:paraId="3DC2D904" w14:textId="77777777" w:rsidR="00780926" w:rsidRDefault="00DA53C6" w:rsidP="00DA53C6">
      <w:pPr>
        <w:ind w:left="0" w:firstLine="0"/>
        <w:rPr>
          <w:szCs w:val="22"/>
        </w:rPr>
      </w:pPr>
      <w:r w:rsidRPr="00DA53C6">
        <w:rPr>
          <w:szCs w:val="22"/>
        </w:rPr>
        <w:t>Kŕče, zvýšený intrakraniálny tlak s edémom papily (</w:t>
      </w:r>
      <w:r w:rsidRPr="009C3819">
        <w:rPr>
          <w:szCs w:val="22"/>
        </w:rPr>
        <w:t>pseudotumor cerebri</w:t>
      </w:r>
      <w:r w:rsidRPr="00DA53C6">
        <w:rPr>
          <w:szCs w:val="22"/>
        </w:rPr>
        <w:t>) zvyčajne po liečbe, vertigo, bolesti hlavy, detská mozgová obrna u predčasne narodených detí.</w:t>
      </w:r>
    </w:p>
    <w:p w14:paraId="770C3E53" w14:textId="77777777" w:rsidR="00DA53C6" w:rsidRDefault="00DA53C6" w:rsidP="00DA53C6">
      <w:pPr>
        <w:ind w:left="0" w:firstLine="0"/>
        <w:rPr>
          <w:szCs w:val="22"/>
        </w:rPr>
      </w:pPr>
    </w:p>
    <w:p w14:paraId="2BBFE81F" w14:textId="77777777" w:rsidR="00DA53C6" w:rsidRPr="00DA53C6" w:rsidRDefault="00DA53C6" w:rsidP="00DA53C6">
      <w:pPr>
        <w:ind w:left="0" w:firstLine="0"/>
        <w:rPr>
          <w:i/>
          <w:szCs w:val="22"/>
        </w:rPr>
      </w:pPr>
      <w:r w:rsidRPr="00DA53C6">
        <w:rPr>
          <w:i/>
          <w:szCs w:val="22"/>
        </w:rPr>
        <w:t>Psychiatrické poruchy:</w:t>
      </w:r>
    </w:p>
    <w:p w14:paraId="7C38AB60" w14:textId="77777777" w:rsidR="00DA53C6" w:rsidRPr="00DA53C6" w:rsidRDefault="00DA53C6" w:rsidP="00DA53C6">
      <w:pPr>
        <w:ind w:left="0" w:firstLine="0"/>
        <w:rPr>
          <w:szCs w:val="22"/>
        </w:rPr>
      </w:pPr>
      <w:r w:rsidRPr="00DA53C6">
        <w:rPr>
          <w:szCs w:val="22"/>
        </w:rPr>
        <w:t>Široká škála psychiatrických reakcií vrátane afektívnych porúch (napríklad podráždená, euforická, depresívna a labilná nálada a samovražedné myšlienky), psychotické reakcie (vrátane mánie, bludov, halucinácií a zhoršenia schizofrénie), poruchy správania, podráždenosť, úzkosť</w:t>
      </w:r>
      <w:r w:rsidR="00AB6C05" w:rsidRPr="00AB6C05">
        <w:t xml:space="preserve"> </w:t>
      </w:r>
      <w:r w:rsidR="00AB6C05">
        <w:t>a poruchy spánku. Boli hlásené kognitívne dysfunkcie</w:t>
      </w:r>
      <w:r w:rsidR="00AB6C05" w:rsidRPr="00DA53C6">
        <w:rPr>
          <w:szCs w:val="22"/>
        </w:rPr>
        <w:t xml:space="preserve"> </w:t>
      </w:r>
      <w:r w:rsidRPr="00DA53C6">
        <w:rPr>
          <w:szCs w:val="22"/>
        </w:rPr>
        <w:t xml:space="preserve">vrátane zmätenosti a amnézie. Reakcie sú </w:t>
      </w:r>
      <w:r w:rsidR="00011CB0">
        <w:rPr>
          <w:szCs w:val="22"/>
        </w:rPr>
        <w:t>časté</w:t>
      </w:r>
      <w:r w:rsidRPr="00DA53C6">
        <w:rPr>
          <w:szCs w:val="22"/>
        </w:rPr>
        <w:t xml:space="preserve"> a môžu sa vyskytnúť u dospelých aj detí. U dospelých sa frekvencia závažných reakcií odhaduje na 5 </w:t>
      </w:r>
      <w:r>
        <w:rPr>
          <w:szCs w:val="22"/>
        </w:rPr>
        <w:t>–</w:t>
      </w:r>
      <w:r w:rsidRPr="00DA53C6">
        <w:rPr>
          <w:szCs w:val="22"/>
        </w:rPr>
        <w:t xml:space="preserve"> 6</w:t>
      </w:r>
      <w:r>
        <w:rPr>
          <w:szCs w:val="22"/>
        </w:rPr>
        <w:t> </w:t>
      </w:r>
      <w:r w:rsidRPr="00DA53C6">
        <w:rPr>
          <w:szCs w:val="22"/>
        </w:rPr>
        <w:t>%. Boli zaznamenané psychologické účinky pri vysadení kortikosteroidov; frekvencia nie je známa.</w:t>
      </w:r>
    </w:p>
    <w:p w14:paraId="251371F8" w14:textId="77777777" w:rsidR="00DA53C6" w:rsidRPr="00DA53C6" w:rsidRDefault="00DA53C6" w:rsidP="00DA53C6">
      <w:pPr>
        <w:ind w:left="0" w:firstLine="0"/>
        <w:rPr>
          <w:szCs w:val="22"/>
        </w:rPr>
      </w:pPr>
    </w:p>
    <w:p w14:paraId="760806BD" w14:textId="77777777" w:rsidR="00DA53C6" w:rsidRPr="00DA53C6" w:rsidRDefault="00DA53C6" w:rsidP="00DA53C6">
      <w:pPr>
        <w:ind w:left="0" w:firstLine="0"/>
        <w:rPr>
          <w:i/>
          <w:szCs w:val="22"/>
        </w:rPr>
      </w:pPr>
      <w:r w:rsidRPr="00DA53C6">
        <w:rPr>
          <w:i/>
          <w:szCs w:val="22"/>
        </w:rPr>
        <w:t>Endokrinné poruchy:</w:t>
      </w:r>
    </w:p>
    <w:p w14:paraId="2CF78416" w14:textId="77777777" w:rsidR="00DA53C6" w:rsidRPr="00DA53C6" w:rsidRDefault="00DA53C6" w:rsidP="00DA53C6">
      <w:pPr>
        <w:ind w:left="0" w:firstLine="0"/>
        <w:rPr>
          <w:szCs w:val="22"/>
        </w:rPr>
      </w:pPr>
      <w:r w:rsidRPr="00DA53C6">
        <w:rPr>
          <w:szCs w:val="22"/>
        </w:rPr>
        <w:t xml:space="preserve">Menštruačné nepravidelnosti, amenorea, vývoj </w:t>
      </w:r>
      <w:r w:rsidR="00AB6C05">
        <w:t>Cushingovho syndrómu</w:t>
      </w:r>
      <w:r w:rsidRPr="00DA53C6">
        <w:rPr>
          <w:szCs w:val="22"/>
        </w:rPr>
        <w:t xml:space="preserve">, potlačenie rastu u detí a dospievajúcich, sekundárna adrenokortikálna a hypofyzárna </w:t>
      </w:r>
      <w:r w:rsidR="00011CB0" w:rsidRPr="00011CB0">
        <w:rPr>
          <w:szCs w:val="22"/>
        </w:rPr>
        <w:t>ľahostajnosť</w:t>
      </w:r>
      <w:r w:rsidRPr="00DA53C6">
        <w:rPr>
          <w:szCs w:val="22"/>
        </w:rPr>
        <w:t xml:space="preserve"> (najmä v obdobiach stresu ako pri úraze, chirurgickom zákroku alebo chorobe), znížená tolerancia sacharidov, prejav latentného diabetes mellitus, zvýšené požiadavky na inzulín alebo orálne hypoglykemické </w:t>
      </w:r>
      <w:r w:rsidR="00AB6C05">
        <w:t>liečiva podávané</w:t>
      </w:r>
      <w:r w:rsidRPr="00DA53C6">
        <w:rPr>
          <w:szCs w:val="22"/>
        </w:rPr>
        <w:t xml:space="preserve"> pri cukrovke, hirzutizmus.</w:t>
      </w:r>
    </w:p>
    <w:p w14:paraId="2E930A8C" w14:textId="77777777" w:rsidR="00DA53C6" w:rsidRPr="00DA53C6" w:rsidRDefault="00DA53C6" w:rsidP="00DA53C6">
      <w:pPr>
        <w:ind w:left="0" w:firstLine="0"/>
        <w:rPr>
          <w:szCs w:val="22"/>
        </w:rPr>
      </w:pPr>
    </w:p>
    <w:p w14:paraId="5A086C6F" w14:textId="77777777" w:rsidR="00DA53C6" w:rsidRPr="00C5199F" w:rsidRDefault="00DA53C6" w:rsidP="00DA53C6">
      <w:pPr>
        <w:ind w:left="0" w:firstLine="0"/>
        <w:rPr>
          <w:i/>
          <w:szCs w:val="22"/>
        </w:rPr>
      </w:pPr>
      <w:r w:rsidRPr="00C5199F">
        <w:rPr>
          <w:i/>
          <w:szCs w:val="22"/>
        </w:rPr>
        <w:t>Protizápalové a imunosupresívne účinky:</w:t>
      </w:r>
    </w:p>
    <w:p w14:paraId="1034B46C" w14:textId="77777777" w:rsidR="00DA53C6" w:rsidRPr="00DA53C6" w:rsidRDefault="00DA53C6" w:rsidP="00DA53C6">
      <w:pPr>
        <w:ind w:left="0" w:firstLine="0"/>
        <w:rPr>
          <w:szCs w:val="22"/>
        </w:rPr>
      </w:pPr>
      <w:r w:rsidRPr="00DA53C6">
        <w:rPr>
          <w:szCs w:val="22"/>
        </w:rPr>
        <w:t xml:space="preserve">Zvýšená </w:t>
      </w:r>
      <w:r w:rsidR="00AB6C05">
        <w:t>vnímavosť k infekciám</w:t>
      </w:r>
      <w:r w:rsidRPr="00DA53C6">
        <w:rPr>
          <w:szCs w:val="22"/>
        </w:rPr>
        <w:t xml:space="preserve"> a závažnosť infekcií s potlačením klinických príznakov a prejavov; oportúnne infekcie, recidíva </w:t>
      </w:r>
      <w:r w:rsidR="00AB6C05">
        <w:t>latentnej</w:t>
      </w:r>
      <w:r w:rsidRPr="00DA53C6">
        <w:rPr>
          <w:szCs w:val="22"/>
        </w:rPr>
        <w:t xml:space="preserve"> tuberkulózy (pozri „Osobitné upozornenia a opatrenia pri používaní“).</w:t>
      </w:r>
    </w:p>
    <w:p w14:paraId="50FA3B65" w14:textId="77777777" w:rsidR="00DA53C6" w:rsidRPr="00DA53C6" w:rsidRDefault="00DA53C6" w:rsidP="00DA53C6">
      <w:pPr>
        <w:ind w:left="0" w:firstLine="0"/>
        <w:rPr>
          <w:szCs w:val="22"/>
        </w:rPr>
      </w:pPr>
    </w:p>
    <w:p w14:paraId="2AC57952" w14:textId="77777777" w:rsidR="00DA53C6" w:rsidRPr="00C5199F" w:rsidRDefault="00DA53C6" w:rsidP="00DA53C6">
      <w:pPr>
        <w:ind w:left="0" w:firstLine="0"/>
        <w:rPr>
          <w:i/>
          <w:szCs w:val="22"/>
        </w:rPr>
      </w:pPr>
      <w:r w:rsidRPr="00C5199F">
        <w:rPr>
          <w:i/>
          <w:szCs w:val="22"/>
        </w:rPr>
        <w:t>Oftalmologické</w:t>
      </w:r>
      <w:r w:rsidR="00C5199F" w:rsidRPr="00C5199F">
        <w:rPr>
          <w:i/>
          <w:szCs w:val="22"/>
        </w:rPr>
        <w:t xml:space="preserve"> poruchy</w:t>
      </w:r>
      <w:r w:rsidRPr="00C5199F">
        <w:rPr>
          <w:i/>
          <w:szCs w:val="22"/>
        </w:rPr>
        <w:t>:</w:t>
      </w:r>
    </w:p>
    <w:p w14:paraId="74CBFA47" w14:textId="3FC6E8CB" w:rsidR="00DA53C6" w:rsidRPr="00DA53C6" w:rsidRDefault="00DA53C6" w:rsidP="00DA53C6">
      <w:pPr>
        <w:ind w:left="0" w:firstLine="0"/>
        <w:rPr>
          <w:szCs w:val="22"/>
        </w:rPr>
      </w:pPr>
      <w:r w:rsidRPr="00DA53C6">
        <w:rPr>
          <w:szCs w:val="22"/>
        </w:rPr>
        <w:t xml:space="preserve">Zadné subkapsulárne katarakty, zvýšený vnútroočný tlak, edém papily, stenčenie rohovky alebo skléry, exacerbácia očného vírusového </w:t>
      </w:r>
      <w:r w:rsidRPr="00FE69D8">
        <w:rPr>
          <w:szCs w:val="22"/>
        </w:rPr>
        <w:t>ochorenia, exo</w:t>
      </w:r>
      <w:r w:rsidR="00FE69D8" w:rsidRPr="00FE69D8">
        <w:rPr>
          <w:szCs w:val="22"/>
        </w:rPr>
        <w:t xml:space="preserve">ftalmus </w:t>
      </w:r>
      <w:r w:rsidRPr="00FE69D8">
        <w:rPr>
          <w:szCs w:val="22"/>
        </w:rPr>
        <w:t>glaukómu</w:t>
      </w:r>
      <w:r w:rsidRPr="00DA53C6">
        <w:rPr>
          <w:szCs w:val="22"/>
        </w:rPr>
        <w:t>, zriedkavé prípady slepoty spojené s intral</w:t>
      </w:r>
      <w:r w:rsidR="00DC42CB">
        <w:rPr>
          <w:szCs w:val="22"/>
        </w:rPr>
        <w:t>é</w:t>
      </w:r>
      <w:r w:rsidRPr="00DA53C6">
        <w:rPr>
          <w:szCs w:val="22"/>
        </w:rPr>
        <w:t>zio</w:t>
      </w:r>
      <w:r w:rsidR="00DC42CB">
        <w:rPr>
          <w:szCs w:val="22"/>
        </w:rPr>
        <w:t>vou</w:t>
      </w:r>
      <w:r w:rsidRPr="00DA53C6">
        <w:rPr>
          <w:szCs w:val="22"/>
        </w:rPr>
        <w:t xml:space="preserve"> liečbou okolo tváre a hlavy, retinopatia nedonosených detí, chorioretinopatia.</w:t>
      </w:r>
    </w:p>
    <w:p w14:paraId="504D7E89" w14:textId="77777777" w:rsidR="00DA53C6" w:rsidRPr="00DA53C6" w:rsidRDefault="00DA53C6" w:rsidP="00DA53C6">
      <w:pPr>
        <w:ind w:left="0" w:firstLine="0"/>
        <w:rPr>
          <w:szCs w:val="22"/>
        </w:rPr>
      </w:pPr>
    </w:p>
    <w:p w14:paraId="47FC3AA4" w14:textId="77777777" w:rsidR="00DA53C6" w:rsidRPr="00C5199F" w:rsidRDefault="00DA53C6" w:rsidP="00DA53C6">
      <w:pPr>
        <w:ind w:left="0" w:firstLine="0"/>
        <w:rPr>
          <w:i/>
          <w:szCs w:val="22"/>
        </w:rPr>
      </w:pPr>
      <w:r w:rsidRPr="00C5199F">
        <w:rPr>
          <w:i/>
          <w:szCs w:val="22"/>
        </w:rPr>
        <w:t>Metabolické</w:t>
      </w:r>
      <w:r w:rsidR="00C5199F" w:rsidRPr="00C5199F">
        <w:rPr>
          <w:i/>
          <w:szCs w:val="22"/>
        </w:rPr>
        <w:t xml:space="preserve"> poruchy</w:t>
      </w:r>
      <w:r w:rsidRPr="00C5199F">
        <w:rPr>
          <w:i/>
          <w:szCs w:val="22"/>
        </w:rPr>
        <w:t>:</w:t>
      </w:r>
    </w:p>
    <w:p w14:paraId="32627C7F" w14:textId="77777777" w:rsidR="00DA53C6" w:rsidRPr="00DA53C6" w:rsidRDefault="00DA53C6" w:rsidP="00DA53C6">
      <w:pPr>
        <w:ind w:left="0" w:firstLine="0"/>
        <w:rPr>
          <w:szCs w:val="22"/>
        </w:rPr>
      </w:pPr>
      <w:r w:rsidRPr="00DA53C6">
        <w:rPr>
          <w:szCs w:val="22"/>
        </w:rPr>
        <w:t>Negatívna bilancia dusíka v dôsledku katabolizmu bielkovín, negatívna bilancia vápnika.</w:t>
      </w:r>
    </w:p>
    <w:p w14:paraId="074EE297" w14:textId="77777777" w:rsidR="00DA53C6" w:rsidRPr="00DA53C6" w:rsidRDefault="00DA53C6" w:rsidP="00DA53C6">
      <w:pPr>
        <w:ind w:left="0" w:firstLine="0"/>
        <w:rPr>
          <w:szCs w:val="22"/>
        </w:rPr>
      </w:pPr>
    </w:p>
    <w:p w14:paraId="78577526" w14:textId="77777777" w:rsidR="00DA53C6" w:rsidRPr="00C5199F" w:rsidRDefault="00DA53C6" w:rsidP="00DA53C6">
      <w:pPr>
        <w:ind w:left="0" w:firstLine="0"/>
        <w:rPr>
          <w:i/>
          <w:szCs w:val="22"/>
        </w:rPr>
      </w:pPr>
      <w:r w:rsidRPr="00C5199F">
        <w:rPr>
          <w:i/>
          <w:szCs w:val="22"/>
        </w:rPr>
        <w:t>Kardiovaskulárne</w:t>
      </w:r>
      <w:r w:rsidR="00C5199F" w:rsidRPr="00C5199F">
        <w:rPr>
          <w:i/>
          <w:szCs w:val="22"/>
        </w:rPr>
        <w:t xml:space="preserve"> poruchy</w:t>
      </w:r>
      <w:r w:rsidRPr="00C5199F">
        <w:rPr>
          <w:i/>
          <w:szCs w:val="22"/>
        </w:rPr>
        <w:t>:</w:t>
      </w:r>
    </w:p>
    <w:p w14:paraId="4E3618C8" w14:textId="77777777" w:rsidR="00DA53C6" w:rsidRPr="00DA53C6" w:rsidRDefault="00C5199F" w:rsidP="00DA53C6">
      <w:pPr>
        <w:ind w:left="0" w:firstLine="0"/>
        <w:rPr>
          <w:szCs w:val="22"/>
        </w:rPr>
      </w:pPr>
      <w:r>
        <w:rPr>
          <w:szCs w:val="22"/>
        </w:rPr>
        <w:t xml:space="preserve">Ruptúra </w:t>
      </w:r>
      <w:r w:rsidR="00DA53C6" w:rsidRPr="00DA53C6">
        <w:rPr>
          <w:szCs w:val="22"/>
        </w:rPr>
        <w:t>myokardu po nedávnom infarkte myokardu (pozri „Osobitné upozornenia a opatrenia pri používaní“), hypertrofická kardiomyopatia u dojčiat s nízkou pôrodnou hmotnosťou.</w:t>
      </w:r>
    </w:p>
    <w:p w14:paraId="0C6192BE" w14:textId="77777777" w:rsidR="00DA53C6" w:rsidRPr="00DA53C6" w:rsidRDefault="00DA53C6" w:rsidP="00DA53C6">
      <w:pPr>
        <w:ind w:left="0" w:firstLine="0"/>
        <w:rPr>
          <w:szCs w:val="22"/>
        </w:rPr>
      </w:pPr>
    </w:p>
    <w:p w14:paraId="16472D96" w14:textId="77777777" w:rsidR="00DA53C6" w:rsidRPr="00C5199F" w:rsidRDefault="00DA53C6" w:rsidP="00DA53C6">
      <w:pPr>
        <w:ind w:left="0" w:firstLine="0"/>
        <w:rPr>
          <w:i/>
          <w:szCs w:val="22"/>
        </w:rPr>
      </w:pPr>
      <w:r w:rsidRPr="00C5199F">
        <w:rPr>
          <w:i/>
          <w:szCs w:val="22"/>
        </w:rPr>
        <w:t>Iné:</w:t>
      </w:r>
    </w:p>
    <w:p w14:paraId="43AC8D90" w14:textId="77777777" w:rsidR="00DA53C6" w:rsidRPr="00DA53C6" w:rsidRDefault="00DA53C6" w:rsidP="00DA53C6">
      <w:pPr>
        <w:ind w:left="0" w:firstLine="0"/>
        <w:rPr>
          <w:szCs w:val="22"/>
        </w:rPr>
      </w:pPr>
      <w:r w:rsidRPr="00DA53C6">
        <w:rPr>
          <w:szCs w:val="22"/>
        </w:rPr>
        <w:t xml:space="preserve">Bola hlásená precitlivenosť vrátane anafylaxie, leukocytóza, tromboembólia, prírastok hmotnosti, zvýšená chuť do jedla, </w:t>
      </w:r>
      <w:r w:rsidR="00C5199F">
        <w:rPr>
          <w:szCs w:val="22"/>
        </w:rPr>
        <w:t>nauzea</w:t>
      </w:r>
      <w:r w:rsidRPr="00DA53C6">
        <w:rPr>
          <w:szCs w:val="22"/>
        </w:rPr>
        <w:t xml:space="preserve">, </w:t>
      </w:r>
      <w:r w:rsidR="00C5199F">
        <w:rPr>
          <w:szCs w:val="22"/>
        </w:rPr>
        <w:t>malátnosť</w:t>
      </w:r>
      <w:r w:rsidRPr="00DA53C6">
        <w:rPr>
          <w:szCs w:val="22"/>
        </w:rPr>
        <w:t xml:space="preserve">, </w:t>
      </w:r>
      <w:r w:rsidR="00C5199F">
        <w:rPr>
          <w:szCs w:val="22"/>
        </w:rPr>
        <w:t>štikútka</w:t>
      </w:r>
      <w:r w:rsidRPr="00DA53C6">
        <w:rPr>
          <w:szCs w:val="22"/>
        </w:rPr>
        <w:t xml:space="preserve"> a sterilný absces.</w:t>
      </w:r>
    </w:p>
    <w:p w14:paraId="4DBF9E62" w14:textId="77777777" w:rsidR="00DA53C6" w:rsidRPr="00DA53C6" w:rsidRDefault="00DA53C6" w:rsidP="00DA53C6">
      <w:pPr>
        <w:ind w:left="0" w:firstLine="0"/>
        <w:rPr>
          <w:szCs w:val="22"/>
        </w:rPr>
      </w:pPr>
    </w:p>
    <w:p w14:paraId="4B2C03F8" w14:textId="77777777" w:rsidR="00DA53C6" w:rsidRPr="00DA53C6" w:rsidRDefault="00DA53C6" w:rsidP="00DA53C6">
      <w:pPr>
        <w:ind w:left="0" w:firstLine="0"/>
        <w:rPr>
          <w:szCs w:val="22"/>
        </w:rPr>
      </w:pPr>
      <w:r w:rsidRPr="00DA53C6">
        <w:rPr>
          <w:szCs w:val="22"/>
        </w:rPr>
        <w:t>Pacienti s mnohopočetným myelómom liečení lenalidomidom alebo talidomidom v kombinácii s dexametazónom majú zvýšené riziko tromboembolických príhod vrátane hlbokej žilovej trombózy a pľúcnej embólie.</w:t>
      </w:r>
    </w:p>
    <w:p w14:paraId="72A13049" w14:textId="77777777" w:rsidR="00DA53C6" w:rsidRPr="00DA53C6" w:rsidRDefault="00DA53C6" w:rsidP="00DA53C6">
      <w:pPr>
        <w:ind w:left="0" w:firstLine="0"/>
        <w:rPr>
          <w:szCs w:val="22"/>
        </w:rPr>
      </w:pPr>
    </w:p>
    <w:p w14:paraId="2CC64FA4" w14:textId="77777777" w:rsidR="00DA53C6" w:rsidRPr="00C5199F" w:rsidRDefault="00C5199F" w:rsidP="00DA53C6">
      <w:pPr>
        <w:ind w:left="0" w:firstLine="0"/>
        <w:rPr>
          <w:i/>
          <w:szCs w:val="22"/>
        </w:rPr>
      </w:pPr>
      <w:r>
        <w:rPr>
          <w:i/>
          <w:szCs w:val="22"/>
        </w:rPr>
        <w:t>Príznaky</w:t>
      </w:r>
      <w:r w:rsidR="00DA53C6" w:rsidRPr="00C5199F">
        <w:rPr>
          <w:i/>
          <w:szCs w:val="22"/>
        </w:rPr>
        <w:t xml:space="preserve"> a </w:t>
      </w:r>
      <w:r>
        <w:rPr>
          <w:i/>
          <w:szCs w:val="22"/>
        </w:rPr>
        <w:t>prejavy</w:t>
      </w:r>
      <w:r w:rsidR="00DA53C6" w:rsidRPr="00C5199F">
        <w:rPr>
          <w:i/>
          <w:szCs w:val="22"/>
        </w:rPr>
        <w:t xml:space="preserve"> z vysadenia</w:t>
      </w:r>
    </w:p>
    <w:p w14:paraId="4EEA0871" w14:textId="77777777" w:rsidR="00DA53C6" w:rsidRPr="00DA53C6" w:rsidRDefault="00DA53C6" w:rsidP="00DA53C6">
      <w:pPr>
        <w:ind w:left="0" w:firstLine="0"/>
        <w:rPr>
          <w:szCs w:val="22"/>
        </w:rPr>
      </w:pPr>
      <w:r w:rsidRPr="00DA53C6">
        <w:rPr>
          <w:szCs w:val="22"/>
        </w:rPr>
        <w:t>Príliš rýchle zníženie dávky kortikosteroidov po dlhodobej liečbe môže viesť k akútnej adrenálnej insuficiencii, hypotenzii a smrti (pozri „Osobitné upozornenia a opatrenia pri používaní“).</w:t>
      </w:r>
    </w:p>
    <w:p w14:paraId="0352A3EE" w14:textId="77777777" w:rsidR="00DA53C6" w:rsidRDefault="00DA53C6" w:rsidP="00DA53C6">
      <w:pPr>
        <w:ind w:left="0" w:firstLine="0"/>
        <w:rPr>
          <w:szCs w:val="22"/>
        </w:rPr>
      </w:pPr>
      <w:r w:rsidRPr="00DA53C6">
        <w:rPr>
          <w:szCs w:val="22"/>
        </w:rPr>
        <w:lastRenderedPageBreak/>
        <w:t>V niektorých prípadoch môžu abstinenčné príznaky simulovať klinický relaps ochorenia, pre ktoré bol pacient liečený.</w:t>
      </w:r>
    </w:p>
    <w:p w14:paraId="1467A2E0" w14:textId="77777777" w:rsidR="00DA53C6" w:rsidRPr="003021DE" w:rsidRDefault="00DA53C6" w:rsidP="00B13F68">
      <w:pPr>
        <w:rPr>
          <w:szCs w:val="22"/>
        </w:rPr>
      </w:pPr>
    </w:p>
    <w:p w14:paraId="66E034CE" w14:textId="77777777" w:rsidR="007E5956" w:rsidRPr="003021DE" w:rsidRDefault="00623601" w:rsidP="00B13F68">
      <w:pPr>
        <w:suppressLineNumbers/>
        <w:autoSpaceDE w:val="0"/>
        <w:autoSpaceDN w:val="0"/>
        <w:adjustRightInd w:val="0"/>
        <w:rPr>
          <w:szCs w:val="22"/>
          <w:u w:val="single"/>
        </w:rPr>
      </w:pPr>
      <w:r w:rsidRPr="003021DE">
        <w:rPr>
          <w:noProof/>
          <w:szCs w:val="22"/>
          <w:u w:val="single"/>
        </w:rPr>
        <w:t>Hlásenie podozrení na nežiaduce reakcie</w:t>
      </w:r>
    </w:p>
    <w:p w14:paraId="4256B3FA" w14:textId="77777777" w:rsidR="007E5956" w:rsidRPr="003021DE" w:rsidRDefault="00623601" w:rsidP="00B13F68">
      <w:pPr>
        <w:suppressLineNumbers/>
        <w:autoSpaceDE w:val="0"/>
        <w:autoSpaceDN w:val="0"/>
        <w:adjustRightInd w:val="0"/>
        <w:ind w:left="0" w:firstLine="0"/>
        <w:rPr>
          <w:noProof/>
          <w:szCs w:val="22"/>
        </w:rPr>
      </w:pPr>
      <w:r w:rsidRPr="003021DE">
        <w:rPr>
          <w:noProof/>
          <w:szCs w:val="22"/>
        </w:rPr>
        <w:t>Hlásenie podozrení na nežiaduce reakcie po registrácii lieku je dôležité.</w:t>
      </w:r>
      <w:r w:rsidRPr="003021DE">
        <w:rPr>
          <w:szCs w:val="22"/>
        </w:rPr>
        <w:t xml:space="preserve"> </w:t>
      </w:r>
      <w:r w:rsidRPr="003021DE">
        <w:rPr>
          <w:noProof/>
          <w:szCs w:val="22"/>
        </w:rPr>
        <w:t>Umožňuje priebežné monitorovanie pomeru prínosu a rizika lieku.</w:t>
      </w:r>
      <w:r w:rsidRPr="003021DE">
        <w:rPr>
          <w:szCs w:val="22"/>
        </w:rPr>
        <w:t xml:space="preserve"> Od </w:t>
      </w:r>
      <w:r w:rsidRPr="003021DE">
        <w:rPr>
          <w:noProof/>
          <w:szCs w:val="22"/>
        </w:rPr>
        <w:t xml:space="preserve">zdravotníckych pracovníkov sa vyžaduje, aby hlásili akékoľvek podozrenia na nežiaduce reakcie </w:t>
      </w:r>
      <w:r w:rsidR="00F66A28">
        <w:rPr>
          <w:noProof/>
          <w:szCs w:val="22"/>
        </w:rPr>
        <w:t>na</w:t>
      </w:r>
      <w:r w:rsidR="00F66A28" w:rsidRPr="003021DE">
        <w:rPr>
          <w:noProof/>
          <w:szCs w:val="22"/>
        </w:rPr>
        <w:t xml:space="preserve"> </w:t>
      </w:r>
      <w:r w:rsidRPr="00B13F68">
        <w:rPr>
          <w:noProof/>
          <w:szCs w:val="22"/>
          <w:highlight w:val="lightGray"/>
        </w:rPr>
        <w:t xml:space="preserve">národné </w:t>
      </w:r>
      <w:r w:rsidR="00F66A28">
        <w:rPr>
          <w:noProof/>
          <w:szCs w:val="22"/>
          <w:highlight w:val="lightGray"/>
        </w:rPr>
        <w:t>centrum</w:t>
      </w:r>
      <w:r w:rsidR="00F66A28" w:rsidRPr="00B13F68">
        <w:rPr>
          <w:noProof/>
          <w:szCs w:val="22"/>
          <w:highlight w:val="lightGray"/>
        </w:rPr>
        <w:t xml:space="preserve"> </w:t>
      </w:r>
      <w:r w:rsidRPr="00B13F68">
        <w:rPr>
          <w:noProof/>
          <w:szCs w:val="22"/>
          <w:highlight w:val="lightGray"/>
        </w:rPr>
        <w:t>hlásenia uvedené v </w:t>
      </w:r>
      <w:hyperlink r:id="rId8" w:history="1">
        <w:r w:rsidRPr="00B13F68">
          <w:rPr>
            <w:rStyle w:val="Hypertextovprepojenie"/>
            <w:noProof/>
            <w:szCs w:val="22"/>
            <w:highlight w:val="lightGray"/>
          </w:rPr>
          <w:t>Prílohe V</w:t>
        </w:r>
      </w:hyperlink>
      <w:r w:rsidR="00BB6D67" w:rsidRPr="003021DE">
        <w:rPr>
          <w:noProof/>
          <w:szCs w:val="22"/>
        </w:rPr>
        <w:t>.</w:t>
      </w:r>
      <w:r w:rsidR="00E41B3F" w:rsidRPr="00852371">
        <w:rPr>
          <w:color w:val="008000"/>
        </w:rPr>
        <w:t>*</w:t>
      </w:r>
    </w:p>
    <w:p w14:paraId="1343624D" w14:textId="77777777" w:rsidR="007E5956" w:rsidRPr="003021DE" w:rsidRDefault="007E5956" w:rsidP="00E41B3F">
      <w:pPr>
        <w:rPr>
          <w:szCs w:val="22"/>
        </w:rPr>
      </w:pPr>
    </w:p>
    <w:p w14:paraId="1B1EEDB4" w14:textId="77777777" w:rsidR="00780926" w:rsidRPr="003021DE" w:rsidRDefault="00623601" w:rsidP="00223E9F">
      <w:pPr>
        <w:keepNext/>
        <w:rPr>
          <w:szCs w:val="22"/>
        </w:rPr>
      </w:pPr>
      <w:r w:rsidRPr="003021DE">
        <w:rPr>
          <w:b/>
          <w:szCs w:val="22"/>
        </w:rPr>
        <w:t>4.9</w:t>
      </w:r>
      <w:r w:rsidRPr="003021DE">
        <w:rPr>
          <w:b/>
          <w:szCs w:val="22"/>
        </w:rPr>
        <w:tab/>
        <w:t>Predávkovanie</w:t>
      </w:r>
    </w:p>
    <w:p w14:paraId="0C91E20B" w14:textId="77777777" w:rsidR="00780926" w:rsidRPr="003021DE" w:rsidRDefault="00780926" w:rsidP="00223E9F">
      <w:pPr>
        <w:keepNext/>
        <w:rPr>
          <w:szCs w:val="22"/>
        </w:rPr>
      </w:pPr>
    </w:p>
    <w:p w14:paraId="539976B1" w14:textId="77777777" w:rsidR="00C5199F" w:rsidRPr="00C5199F" w:rsidRDefault="00C5199F" w:rsidP="00FE69D8">
      <w:pPr>
        <w:ind w:left="0" w:right="-1" w:firstLine="0"/>
        <w:rPr>
          <w:szCs w:val="22"/>
        </w:rPr>
      </w:pPr>
      <w:r>
        <w:rPr>
          <w:szCs w:val="22"/>
        </w:rPr>
        <w:t>Správy o akútnej toxicite a/</w:t>
      </w:r>
      <w:r w:rsidRPr="00C5199F">
        <w:rPr>
          <w:szCs w:val="22"/>
        </w:rPr>
        <w:t xml:space="preserve">alebo úmrtiach po predávkovaní glukokortikoidmi sú zriedkavé. Nie je k dispozícii žiadne antidotum. Liečba pravdepodobne nie je indikovaná pri reakciách spôsobených chronickou otravou, </w:t>
      </w:r>
      <w:r w:rsidR="00FE69D8" w:rsidRPr="00FE69D8">
        <w:rPr>
          <w:szCs w:val="22"/>
        </w:rPr>
        <w:t>pokiaľ pacient nie je neobvykle vnímavý k rozvoju nežiaducich účinkov kortikosteroidov</w:t>
      </w:r>
      <w:r w:rsidR="00FE69D8">
        <w:rPr>
          <w:szCs w:val="22"/>
        </w:rPr>
        <w:t xml:space="preserve">. </w:t>
      </w:r>
      <w:r w:rsidRPr="00C5199F">
        <w:rPr>
          <w:szCs w:val="22"/>
        </w:rPr>
        <w:t>V takom prípade by sa mala podľa potreby začať symptomatická liečba.</w:t>
      </w:r>
    </w:p>
    <w:p w14:paraId="416B5511" w14:textId="4CDD7F59" w:rsidR="00C5199F" w:rsidRPr="00C5199F" w:rsidRDefault="00C5199F" w:rsidP="00FE69D8">
      <w:pPr>
        <w:ind w:left="0" w:right="-1" w:firstLine="0"/>
        <w:rPr>
          <w:szCs w:val="22"/>
        </w:rPr>
      </w:pPr>
      <w:r w:rsidRPr="00C5199F">
        <w:rPr>
          <w:szCs w:val="22"/>
        </w:rPr>
        <w:t xml:space="preserve">Anafylaktické a hypersenzitívne reakcie možno liečiť adrenalínom, umelým dýchaním pri pozitívnom tlaku a aminofylínom. Pacient </w:t>
      </w:r>
      <w:r w:rsidR="006F1051">
        <w:rPr>
          <w:szCs w:val="22"/>
        </w:rPr>
        <w:t>má</w:t>
      </w:r>
      <w:r w:rsidRPr="00C5199F">
        <w:rPr>
          <w:szCs w:val="22"/>
        </w:rPr>
        <w:t xml:space="preserve"> byť udržiavaný v teple a</w:t>
      </w:r>
      <w:r>
        <w:rPr>
          <w:szCs w:val="22"/>
        </w:rPr>
        <w:t xml:space="preserve"> v </w:t>
      </w:r>
      <w:r w:rsidRPr="00C5199F">
        <w:rPr>
          <w:szCs w:val="22"/>
        </w:rPr>
        <w:t>tichu.</w:t>
      </w:r>
    </w:p>
    <w:p w14:paraId="4DAB552D" w14:textId="77777777" w:rsidR="00C5199F" w:rsidRPr="00C5199F" w:rsidRDefault="00C5199F" w:rsidP="00C5199F">
      <w:pPr>
        <w:rPr>
          <w:noProof/>
          <w:szCs w:val="22"/>
        </w:rPr>
      </w:pPr>
    </w:p>
    <w:p w14:paraId="40EF7DAF" w14:textId="77777777" w:rsidR="00E1698A" w:rsidRPr="00852371" w:rsidRDefault="00C5199F" w:rsidP="00C5199F">
      <w:pPr>
        <w:rPr>
          <w:noProof/>
          <w:szCs w:val="22"/>
        </w:rPr>
      </w:pPr>
      <w:r w:rsidRPr="00C5199F">
        <w:rPr>
          <w:noProof/>
          <w:szCs w:val="22"/>
        </w:rPr>
        <w:t>Biologický polčas dexametazónu v plazme je asi 190 minút.</w:t>
      </w:r>
    </w:p>
    <w:p w14:paraId="3EB5705A" w14:textId="77777777" w:rsidR="00780926" w:rsidRPr="003021DE" w:rsidRDefault="00780926" w:rsidP="00E41B3F">
      <w:pPr>
        <w:rPr>
          <w:szCs w:val="22"/>
        </w:rPr>
      </w:pPr>
    </w:p>
    <w:p w14:paraId="51A3F500" w14:textId="77777777" w:rsidR="00780926" w:rsidRPr="003021DE" w:rsidRDefault="00780926" w:rsidP="00E41B3F">
      <w:pPr>
        <w:rPr>
          <w:szCs w:val="22"/>
        </w:rPr>
      </w:pPr>
    </w:p>
    <w:p w14:paraId="19FAE5B5" w14:textId="77777777" w:rsidR="00780926" w:rsidRPr="003021DE" w:rsidRDefault="00623601" w:rsidP="00E41B3F">
      <w:pPr>
        <w:rPr>
          <w:szCs w:val="22"/>
        </w:rPr>
      </w:pPr>
      <w:r w:rsidRPr="003021DE">
        <w:rPr>
          <w:b/>
          <w:szCs w:val="22"/>
        </w:rPr>
        <w:t>5.</w:t>
      </w:r>
      <w:r w:rsidRPr="003021DE">
        <w:rPr>
          <w:b/>
          <w:szCs w:val="22"/>
        </w:rPr>
        <w:tab/>
        <w:t>FARMAKOLOGICKÉ VLASTNOSTI</w:t>
      </w:r>
    </w:p>
    <w:p w14:paraId="494B0906" w14:textId="77777777" w:rsidR="00780926" w:rsidRPr="003021DE" w:rsidRDefault="00780926" w:rsidP="00E41B3F">
      <w:pPr>
        <w:rPr>
          <w:bCs/>
          <w:szCs w:val="22"/>
        </w:rPr>
      </w:pPr>
    </w:p>
    <w:p w14:paraId="5EA614D4" w14:textId="77777777" w:rsidR="00780926" w:rsidRPr="003021DE" w:rsidRDefault="00623601" w:rsidP="00E41B3F">
      <w:pPr>
        <w:rPr>
          <w:szCs w:val="22"/>
        </w:rPr>
      </w:pPr>
      <w:r w:rsidRPr="003021DE">
        <w:rPr>
          <w:b/>
          <w:szCs w:val="22"/>
        </w:rPr>
        <w:t>5.1</w:t>
      </w:r>
      <w:r w:rsidRPr="003021DE">
        <w:rPr>
          <w:b/>
          <w:szCs w:val="22"/>
        </w:rPr>
        <w:tab/>
      </w:r>
      <w:r w:rsidRPr="00A40AC9">
        <w:rPr>
          <w:b/>
          <w:szCs w:val="22"/>
        </w:rPr>
        <w:t>Farmakodynamické vlastnosti</w:t>
      </w:r>
    </w:p>
    <w:p w14:paraId="2479E734" w14:textId="77777777" w:rsidR="00780926" w:rsidRPr="003021DE" w:rsidRDefault="00780926" w:rsidP="00E41B3F">
      <w:pPr>
        <w:rPr>
          <w:szCs w:val="22"/>
        </w:rPr>
      </w:pPr>
    </w:p>
    <w:p w14:paraId="73A775BA" w14:textId="77777777" w:rsidR="00C5199F" w:rsidRDefault="00C5199F" w:rsidP="00C5199F">
      <w:pPr>
        <w:ind w:left="0" w:firstLine="0"/>
        <w:outlineLvl w:val="0"/>
        <w:rPr>
          <w:szCs w:val="22"/>
        </w:rPr>
      </w:pPr>
      <w:r>
        <w:rPr>
          <w:szCs w:val="22"/>
        </w:rPr>
        <w:t xml:space="preserve">Farmakoterapeutická skupina: </w:t>
      </w:r>
      <w:r w:rsidRPr="00C5199F">
        <w:rPr>
          <w:szCs w:val="22"/>
        </w:rPr>
        <w:t xml:space="preserve">Kortikosteroidy na </w:t>
      </w:r>
      <w:r w:rsidRPr="002B7233">
        <w:rPr>
          <w:szCs w:val="22"/>
        </w:rPr>
        <w:t xml:space="preserve">systémové použitie, </w:t>
      </w:r>
      <w:r w:rsidR="00FE69D8">
        <w:t>samotné</w:t>
      </w:r>
      <w:r w:rsidRPr="002B7233">
        <w:rPr>
          <w:szCs w:val="22"/>
        </w:rPr>
        <w:t>,</w:t>
      </w:r>
      <w:r w:rsidRPr="00C5199F">
        <w:rPr>
          <w:szCs w:val="22"/>
        </w:rPr>
        <w:t xml:space="preserve"> glukokortikoidy</w:t>
      </w:r>
      <w:r w:rsidR="002B7233">
        <w:rPr>
          <w:szCs w:val="22"/>
        </w:rPr>
        <w:t>.</w:t>
      </w:r>
    </w:p>
    <w:p w14:paraId="7A5C577A" w14:textId="77777777" w:rsidR="00780926" w:rsidRPr="003021DE" w:rsidRDefault="00623601" w:rsidP="00C5199F">
      <w:pPr>
        <w:ind w:left="0" w:firstLine="0"/>
        <w:outlineLvl w:val="0"/>
        <w:rPr>
          <w:szCs w:val="22"/>
        </w:rPr>
      </w:pPr>
      <w:r w:rsidRPr="003021DE">
        <w:rPr>
          <w:szCs w:val="22"/>
        </w:rPr>
        <w:t xml:space="preserve">ATC kód: </w:t>
      </w:r>
      <w:r w:rsidR="00C5199F">
        <w:t>H02AB02</w:t>
      </w:r>
    </w:p>
    <w:p w14:paraId="4394EDB7" w14:textId="77777777" w:rsidR="00780926" w:rsidRDefault="00780926" w:rsidP="00E41B3F">
      <w:pPr>
        <w:ind w:left="0" w:firstLine="0"/>
        <w:outlineLvl w:val="0"/>
        <w:rPr>
          <w:szCs w:val="22"/>
        </w:rPr>
      </w:pPr>
    </w:p>
    <w:p w14:paraId="43704BD7" w14:textId="77777777" w:rsidR="00AB43BD" w:rsidRPr="00AB43BD" w:rsidRDefault="00AB43BD" w:rsidP="00AB43BD">
      <w:pPr>
        <w:ind w:left="0" w:firstLine="0"/>
        <w:outlineLvl w:val="0"/>
        <w:rPr>
          <w:szCs w:val="22"/>
        </w:rPr>
      </w:pPr>
      <w:r>
        <w:rPr>
          <w:szCs w:val="22"/>
        </w:rPr>
        <w:t>Dexametazón účinkuje ako iné</w:t>
      </w:r>
      <w:r w:rsidRPr="00AB43BD">
        <w:rPr>
          <w:szCs w:val="22"/>
        </w:rPr>
        <w:t xml:space="preserve"> základn</w:t>
      </w:r>
      <w:r>
        <w:rPr>
          <w:szCs w:val="22"/>
        </w:rPr>
        <w:t>é</w:t>
      </w:r>
      <w:r w:rsidRPr="00AB43BD">
        <w:rPr>
          <w:szCs w:val="22"/>
        </w:rPr>
        <w:t xml:space="preserve"> glukokortikoid</w:t>
      </w:r>
      <w:r>
        <w:rPr>
          <w:szCs w:val="22"/>
        </w:rPr>
        <w:t>y</w:t>
      </w:r>
      <w:r w:rsidRPr="00AB43BD">
        <w:rPr>
          <w:szCs w:val="22"/>
        </w:rPr>
        <w:t xml:space="preserve"> a patrí k najaktívnejším </w:t>
      </w:r>
      <w:r>
        <w:rPr>
          <w:szCs w:val="22"/>
        </w:rPr>
        <w:t>vo svojej skupine</w:t>
      </w:r>
      <w:r w:rsidRPr="00AB43BD">
        <w:rPr>
          <w:szCs w:val="22"/>
        </w:rPr>
        <w:t>.</w:t>
      </w:r>
    </w:p>
    <w:p w14:paraId="461A4016" w14:textId="77777777" w:rsidR="00AB43BD" w:rsidRPr="00AB43BD" w:rsidRDefault="00AB43BD" w:rsidP="00AB43BD">
      <w:pPr>
        <w:ind w:left="0" w:firstLine="0"/>
        <w:outlineLvl w:val="0"/>
        <w:rPr>
          <w:szCs w:val="22"/>
        </w:rPr>
      </w:pPr>
    </w:p>
    <w:p w14:paraId="781962AE" w14:textId="77777777" w:rsidR="00AB43BD" w:rsidRPr="00AB43BD" w:rsidRDefault="00AB43BD" w:rsidP="00AB43BD">
      <w:pPr>
        <w:ind w:left="0" w:firstLine="0"/>
        <w:outlineLvl w:val="0"/>
        <w:rPr>
          <w:szCs w:val="22"/>
        </w:rPr>
      </w:pPr>
      <w:r w:rsidRPr="00AB43BD">
        <w:rPr>
          <w:szCs w:val="22"/>
        </w:rPr>
        <w:t>Glukokortikoidy sú adrenokortikálne steroidy</w:t>
      </w:r>
      <w:r w:rsidR="00E108A4">
        <w:rPr>
          <w:szCs w:val="22"/>
        </w:rPr>
        <w:t>,</w:t>
      </w:r>
      <w:r w:rsidRPr="00AB43BD">
        <w:rPr>
          <w:szCs w:val="22"/>
        </w:rPr>
        <w:t xml:space="preserve"> prirodzene sa vyskytujúce aj syntetické, ktoré sa ľahko vstrebávajú z gastrointestinálneho traktu. </w:t>
      </w:r>
      <w:r>
        <w:rPr>
          <w:szCs w:val="22"/>
        </w:rPr>
        <w:t>Majú</w:t>
      </w:r>
      <w:r w:rsidRPr="00AB43BD">
        <w:rPr>
          <w:szCs w:val="22"/>
        </w:rPr>
        <w:t xml:space="preserve"> hlboké a rozmanité metabolické účinky</w:t>
      </w:r>
      <w:r w:rsidR="00E70446">
        <w:rPr>
          <w:szCs w:val="22"/>
        </w:rPr>
        <w:t>,</w:t>
      </w:r>
      <w:r w:rsidRPr="00AB43BD">
        <w:rPr>
          <w:szCs w:val="22"/>
        </w:rPr>
        <w:t xml:space="preserve"> a navyše modifikujú imunitné reakcie tela na rôzne podnety. Prirodzene sa vyskytujúce glukokortikoidy (hydrokortizón a kortizón), ktoré majú tiež vlastnosti zadržiavajúce soľ, sa používajú predovšetkým pre ich silné protizápalové účinky pri poruchách mnohých orgánových systémov.</w:t>
      </w:r>
    </w:p>
    <w:p w14:paraId="00EBB37D" w14:textId="77777777" w:rsidR="00AB43BD" w:rsidRPr="00AB43BD" w:rsidRDefault="00AB43BD" w:rsidP="00AB43BD">
      <w:pPr>
        <w:ind w:left="0" w:firstLine="0"/>
        <w:outlineLvl w:val="0"/>
        <w:rPr>
          <w:szCs w:val="22"/>
        </w:rPr>
      </w:pPr>
    </w:p>
    <w:p w14:paraId="6D5162B4" w14:textId="77777777" w:rsidR="00AB43BD" w:rsidRDefault="00AB43BD" w:rsidP="00AB43BD">
      <w:pPr>
        <w:ind w:left="0" w:firstLine="0"/>
        <w:outlineLvl w:val="0"/>
        <w:rPr>
          <w:szCs w:val="22"/>
        </w:rPr>
      </w:pPr>
      <w:r w:rsidRPr="00AB43BD">
        <w:rPr>
          <w:szCs w:val="22"/>
        </w:rPr>
        <w:t>Dexametazón má prevládajúcu aktivitu glukokortikoidov s malou tendenciou podporovať retenciu sodíka a vody v obličkách. Preto neponúka kompletnú substitučnú liečbu a musí byť doplnený soľou alebo desoxykortikosterónom.</w:t>
      </w:r>
    </w:p>
    <w:p w14:paraId="6644783E" w14:textId="77777777" w:rsidR="0049191E" w:rsidRPr="003021DE" w:rsidRDefault="0049191E" w:rsidP="00E41B3F">
      <w:pPr>
        <w:rPr>
          <w:szCs w:val="22"/>
        </w:rPr>
      </w:pPr>
    </w:p>
    <w:p w14:paraId="6BC5DAA2" w14:textId="77777777" w:rsidR="00780926" w:rsidRPr="003021DE" w:rsidRDefault="00623601" w:rsidP="00E41B3F">
      <w:pPr>
        <w:rPr>
          <w:b/>
          <w:szCs w:val="22"/>
        </w:rPr>
      </w:pPr>
      <w:r w:rsidRPr="003021DE">
        <w:rPr>
          <w:b/>
          <w:szCs w:val="22"/>
        </w:rPr>
        <w:t>5.2</w:t>
      </w:r>
      <w:r w:rsidRPr="003021DE">
        <w:rPr>
          <w:b/>
          <w:szCs w:val="22"/>
        </w:rPr>
        <w:tab/>
        <w:t>Farmakokinetické vlastnosti</w:t>
      </w:r>
    </w:p>
    <w:p w14:paraId="20615936" w14:textId="77777777" w:rsidR="00E1698A" w:rsidRDefault="00E1698A" w:rsidP="00E41B3F">
      <w:pPr>
        <w:rPr>
          <w:szCs w:val="22"/>
        </w:rPr>
      </w:pPr>
    </w:p>
    <w:p w14:paraId="51A836DF" w14:textId="77777777" w:rsidR="005E1153" w:rsidRPr="005E1153" w:rsidRDefault="005E1153" w:rsidP="005E1153">
      <w:pPr>
        <w:rPr>
          <w:szCs w:val="22"/>
        </w:rPr>
      </w:pPr>
      <w:r w:rsidRPr="005E1153">
        <w:rPr>
          <w:szCs w:val="22"/>
        </w:rPr>
        <w:t>Biologický polčas dexametazónu v plazme je asi 190 minút.</w:t>
      </w:r>
    </w:p>
    <w:p w14:paraId="3D4DE313" w14:textId="77777777" w:rsidR="005E1153" w:rsidRPr="005E1153" w:rsidRDefault="005E1153" w:rsidP="005E1153">
      <w:pPr>
        <w:ind w:left="0" w:firstLine="0"/>
        <w:rPr>
          <w:szCs w:val="22"/>
        </w:rPr>
      </w:pPr>
      <w:r w:rsidRPr="005E1153">
        <w:rPr>
          <w:szCs w:val="22"/>
        </w:rPr>
        <w:t>Väzba dexametazónu na plazmatické bielkoviny je menšia ako u väčšiny ostatných kortikosteroidov a odhaduje sa na asi 77</w:t>
      </w:r>
      <w:r>
        <w:rPr>
          <w:szCs w:val="22"/>
        </w:rPr>
        <w:t> </w:t>
      </w:r>
      <w:r w:rsidRPr="005E1153">
        <w:rPr>
          <w:szCs w:val="22"/>
        </w:rPr>
        <w:t>%.</w:t>
      </w:r>
    </w:p>
    <w:p w14:paraId="700D367A" w14:textId="77777777" w:rsidR="005E1153" w:rsidRPr="005E1153" w:rsidRDefault="005E1153" w:rsidP="005E1153">
      <w:pPr>
        <w:ind w:left="0" w:firstLine="0"/>
        <w:rPr>
          <w:szCs w:val="22"/>
        </w:rPr>
      </w:pPr>
      <w:r w:rsidRPr="005E1153">
        <w:rPr>
          <w:szCs w:val="22"/>
        </w:rPr>
        <w:t>Až 65</w:t>
      </w:r>
      <w:r>
        <w:rPr>
          <w:szCs w:val="22"/>
        </w:rPr>
        <w:t> </w:t>
      </w:r>
      <w:r w:rsidRPr="005E1153">
        <w:rPr>
          <w:szCs w:val="22"/>
        </w:rPr>
        <w:t>% dávky sa vylúči močom za 24 hodín, rýchlosť vylučovania sa zvýši po súčasnom podaní fenytoínu.</w:t>
      </w:r>
    </w:p>
    <w:p w14:paraId="45EFD9B6" w14:textId="77777777" w:rsidR="005E1153" w:rsidRPr="003021DE" w:rsidRDefault="005E1153" w:rsidP="005E1153">
      <w:pPr>
        <w:ind w:left="0" w:firstLine="0"/>
        <w:rPr>
          <w:szCs w:val="22"/>
        </w:rPr>
      </w:pPr>
      <w:r w:rsidRPr="005E1153">
        <w:rPr>
          <w:szCs w:val="22"/>
        </w:rPr>
        <w:t>Zdá sa, že účinnejšie halogénované kortikosteroidy, ako je dexametazón, prechádzajú placentárnou bariérou s minimálnou inaktiváciou.</w:t>
      </w:r>
    </w:p>
    <w:p w14:paraId="1D7FEA78" w14:textId="77777777" w:rsidR="00780926" w:rsidRPr="003021DE" w:rsidRDefault="00780926" w:rsidP="00E41B3F">
      <w:pPr>
        <w:rPr>
          <w:szCs w:val="22"/>
        </w:rPr>
      </w:pPr>
    </w:p>
    <w:p w14:paraId="4F52BEC8" w14:textId="77777777" w:rsidR="00780926" w:rsidRPr="003021DE" w:rsidRDefault="00623601" w:rsidP="00223E9F">
      <w:pPr>
        <w:keepNext/>
        <w:rPr>
          <w:szCs w:val="22"/>
        </w:rPr>
      </w:pPr>
      <w:r w:rsidRPr="003021DE">
        <w:rPr>
          <w:b/>
          <w:szCs w:val="22"/>
        </w:rPr>
        <w:t>5.3</w:t>
      </w:r>
      <w:r w:rsidRPr="003021DE">
        <w:rPr>
          <w:b/>
          <w:szCs w:val="22"/>
        </w:rPr>
        <w:tab/>
        <w:t>Predklinické údaje o</w:t>
      </w:r>
      <w:r w:rsidR="00FA099B">
        <w:rPr>
          <w:b/>
          <w:szCs w:val="22"/>
        </w:rPr>
        <w:t> </w:t>
      </w:r>
      <w:r w:rsidRPr="003021DE">
        <w:rPr>
          <w:b/>
          <w:szCs w:val="22"/>
        </w:rPr>
        <w:t>bezpečnosti</w:t>
      </w:r>
    </w:p>
    <w:p w14:paraId="346DD98C" w14:textId="77777777" w:rsidR="00780926" w:rsidRPr="003021DE" w:rsidRDefault="00780926" w:rsidP="00223E9F">
      <w:pPr>
        <w:keepNext/>
        <w:rPr>
          <w:szCs w:val="22"/>
        </w:rPr>
      </w:pPr>
    </w:p>
    <w:p w14:paraId="753F8FFF" w14:textId="77777777" w:rsidR="00E1698A" w:rsidRPr="005E1153" w:rsidRDefault="005E1153" w:rsidP="005E1153">
      <w:pPr>
        <w:ind w:left="0" w:firstLine="0"/>
        <w:rPr>
          <w:noProof/>
          <w:szCs w:val="22"/>
        </w:rPr>
      </w:pPr>
      <w:r w:rsidRPr="005E1153">
        <w:rPr>
          <w:noProof/>
          <w:szCs w:val="22"/>
        </w:rPr>
        <w:t>V štúdiách na zvieratách sa rázštep podnebia pozoroval u potkanov, myší, škrečkov, králikov, psov a primátov; nie u koní a oviec. V niektorých prípadoch boli tieto odchýlky kombinované s poruchami centrálneho nervového systému a srdca. U primátov boli po expozícii pozorované účinky na mozog. Intrauterinný rast sa navyše môže oneskoriť. Všetky tieto účinky sa pozorovali pri vysokých dávkach.</w:t>
      </w:r>
    </w:p>
    <w:p w14:paraId="2284160F" w14:textId="77777777" w:rsidR="00780926" w:rsidRPr="003021DE" w:rsidRDefault="00780926" w:rsidP="00E41B3F">
      <w:pPr>
        <w:rPr>
          <w:szCs w:val="22"/>
        </w:rPr>
      </w:pPr>
    </w:p>
    <w:p w14:paraId="404F10FF" w14:textId="77777777" w:rsidR="00E1698A" w:rsidRPr="003021DE" w:rsidRDefault="00E1698A" w:rsidP="00E41B3F">
      <w:pPr>
        <w:rPr>
          <w:szCs w:val="22"/>
        </w:rPr>
      </w:pPr>
    </w:p>
    <w:p w14:paraId="344BCE6B" w14:textId="77777777" w:rsidR="00780926" w:rsidRPr="003021DE" w:rsidRDefault="00623601" w:rsidP="00E41B3F">
      <w:pPr>
        <w:rPr>
          <w:b/>
          <w:szCs w:val="22"/>
        </w:rPr>
      </w:pPr>
      <w:r w:rsidRPr="003021DE">
        <w:rPr>
          <w:b/>
          <w:szCs w:val="22"/>
        </w:rPr>
        <w:lastRenderedPageBreak/>
        <w:t>6.</w:t>
      </w:r>
      <w:r w:rsidRPr="003021DE">
        <w:rPr>
          <w:b/>
          <w:szCs w:val="22"/>
        </w:rPr>
        <w:tab/>
        <w:t>FARMACEUTICKÉ INFORMÁCIE</w:t>
      </w:r>
    </w:p>
    <w:p w14:paraId="5B3AB929" w14:textId="77777777" w:rsidR="00780926" w:rsidRPr="003021DE" w:rsidRDefault="00780926" w:rsidP="00E41B3F">
      <w:pPr>
        <w:rPr>
          <w:szCs w:val="22"/>
        </w:rPr>
      </w:pPr>
    </w:p>
    <w:p w14:paraId="76DE2F03" w14:textId="77777777" w:rsidR="00780926" w:rsidRPr="003021DE" w:rsidRDefault="00623601" w:rsidP="00E41B3F">
      <w:pPr>
        <w:rPr>
          <w:szCs w:val="22"/>
        </w:rPr>
      </w:pPr>
      <w:r w:rsidRPr="003021DE">
        <w:rPr>
          <w:b/>
          <w:szCs w:val="22"/>
        </w:rPr>
        <w:t>6.1</w:t>
      </w:r>
      <w:r w:rsidRPr="003021DE">
        <w:rPr>
          <w:b/>
          <w:szCs w:val="22"/>
        </w:rPr>
        <w:tab/>
        <w:t>Zoznam pomocných látok</w:t>
      </w:r>
    </w:p>
    <w:p w14:paraId="44BE6D1E" w14:textId="77777777" w:rsidR="00780926" w:rsidRPr="003021DE" w:rsidRDefault="00780926" w:rsidP="00E41B3F"/>
    <w:p w14:paraId="586CE872" w14:textId="77777777" w:rsidR="00096CAA" w:rsidRDefault="005E1153" w:rsidP="00E41B3F">
      <w:pPr>
        <w:rPr>
          <w:noProof/>
        </w:rPr>
      </w:pPr>
      <w:r>
        <w:rPr>
          <w:noProof/>
        </w:rPr>
        <w:t>Propylénglykol (E1520)</w:t>
      </w:r>
    </w:p>
    <w:p w14:paraId="651E415E" w14:textId="77777777" w:rsidR="005E1153" w:rsidRDefault="005E1153" w:rsidP="00E41B3F">
      <w:r>
        <w:t>Edetan disodný</w:t>
      </w:r>
    </w:p>
    <w:p w14:paraId="54BE98D3" w14:textId="77777777" w:rsidR="005E1153" w:rsidRPr="00D03298" w:rsidRDefault="005E1153" w:rsidP="00E41B3F">
      <w:r w:rsidRPr="00D03298">
        <w:t>Hydroxid sodný (na úpravu pH)</w:t>
      </w:r>
    </w:p>
    <w:p w14:paraId="2EF9C326" w14:textId="77777777" w:rsidR="005E1153" w:rsidRPr="003021DE" w:rsidRDefault="005E1153" w:rsidP="00E41B3F">
      <w:r w:rsidRPr="00D03298">
        <w:t>Voda na injekcie</w:t>
      </w:r>
    </w:p>
    <w:p w14:paraId="3EC0633E" w14:textId="77777777" w:rsidR="00780926" w:rsidRPr="003021DE" w:rsidRDefault="00780926" w:rsidP="00E41B3F">
      <w:pPr>
        <w:rPr>
          <w:szCs w:val="22"/>
        </w:rPr>
      </w:pPr>
    </w:p>
    <w:p w14:paraId="75AC2493" w14:textId="77777777" w:rsidR="00780926" w:rsidRPr="003021DE" w:rsidRDefault="00623601" w:rsidP="00E41B3F">
      <w:pPr>
        <w:rPr>
          <w:szCs w:val="22"/>
        </w:rPr>
      </w:pPr>
      <w:r w:rsidRPr="003021DE">
        <w:rPr>
          <w:b/>
          <w:szCs w:val="22"/>
        </w:rPr>
        <w:t>6.2</w:t>
      </w:r>
      <w:r w:rsidRPr="003021DE">
        <w:rPr>
          <w:b/>
          <w:szCs w:val="22"/>
        </w:rPr>
        <w:tab/>
        <w:t>Inkompatibility</w:t>
      </w:r>
    </w:p>
    <w:p w14:paraId="6804208C" w14:textId="77777777" w:rsidR="00780926" w:rsidRPr="003021DE" w:rsidRDefault="00780926" w:rsidP="00E41B3F">
      <w:pPr>
        <w:rPr>
          <w:szCs w:val="22"/>
        </w:rPr>
      </w:pPr>
    </w:p>
    <w:p w14:paraId="01619286" w14:textId="686B5DBC" w:rsidR="00780926" w:rsidRDefault="005E1153" w:rsidP="005E1153">
      <w:pPr>
        <w:ind w:left="0" w:firstLine="0"/>
        <w:rPr>
          <w:szCs w:val="22"/>
        </w:rPr>
      </w:pPr>
      <w:r w:rsidRPr="005E1153">
        <w:rPr>
          <w:szCs w:val="22"/>
        </w:rPr>
        <w:t xml:space="preserve">Dexametazón je fyzikálne nekompatibilný s daunorubicínom, doxorubicínom, vankomycínom, difenhydramínom (s lorazepamom a metoklopramidom) a metaraminol bitartarátom a nemal by sa miešať s roztokmi obsahujúcimi tieto </w:t>
      </w:r>
      <w:r w:rsidR="006F1051">
        <w:rPr>
          <w:szCs w:val="22"/>
        </w:rPr>
        <w:t>liečivá</w:t>
      </w:r>
      <w:r w:rsidRPr="005E1153">
        <w:rPr>
          <w:szCs w:val="22"/>
        </w:rPr>
        <w:t>. Je tiež nekompatibilný s doxapramom a glykopyrolátom v injekčnej striekačke a s ciprofloxacínom, idarubicínom a midazolamom v</w:t>
      </w:r>
      <w:r>
        <w:rPr>
          <w:szCs w:val="22"/>
        </w:rPr>
        <w:t xml:space="preserve"> injekciách v mieste Y (zmes 1</w:t>
      </w:r>
      <w:r w:rsidR="009276F6">
        <w:rPr>
          <w:szCs w:val="22"/>
        </w:rPr>
        <w:t xml:space="preserve"> </w:t>
      </w:r>
      <w:r>
        <w:rPr>
          <w:szCs w:val="22"/>
        </w:rPr>
        <w:t>:</w:t>
      </w:r>
      <w:r w:rsidR="009276F6">
        <w:rPr>
          <w:szCs w:val="22"/>
        </w:rPr>
        <w:t xml:space="preserve"> </w:t>
      </w:r>
      <w:r w:rsidRPr="005E1153">
        <w:rPr>
          <w:szCs w:val="22"/>
        </w:rPr>
        <w:t>1).</w:t>
      </w:r>
    </w:p>
    <w:p w14:paraId="173ED53B" w14:textId="77777777" w:rsidR="005E1153" w:rsidRPr="003021DE" w:rsidRDefault="005E1153" w:rsidP="00D513D2">
      <w:pPr>
        <w:rPr>
          <w:szCs w:val="22"/>
        </w:rPr>
      </w:pPr>
    </w:p>
    <w:p w14:paraId="6086F4E6" w14:textId="77777777" w:rsidR="00780926" w:rsidRPr="003021DE" w:rsidRDefault="00623601" w:rsidP="00D513D2">
      <w:pPr>
        <w:rPr>
          <w:szCs w:val="22"/>
        </w:rPr>
      </w:pPr>
      <w:r w:rsidRPr="003021DE">
        <w:rPr>
          <w:b/>
          <w:szCs w:val="22"/>
        </w:rPr>
        <w:t>6.3</w:t>
      </w:r>
      <w:r w:rsidRPr="003021DE">
        <w:rPr>
          <w:b/>
          <w:szCs w:val="22"/>
        </w:rPr>
        <w:tab/>
        <w:t>Čas použiteľnosti</w:t>
      </w:r>
    </w:p>
    <w:p w14:paraId="346E174D" w14:textId="77777777" w:rsidR="00780926" w:rsidRPr="003021DE" w:rsidRDefault="00780926" w:rsidP="00B13F68">
      <w:pPr>
        <w:rPr>
          <w:szCs w:val="22"/>
        </w:rPr>
      </w:pPr>
    </w:p>
    <w:p w14:paraId="7E80AACD" w14:textId="77777777" w:rsidR="005E1153" w:rsidRPr="005E1153" w:rsidRDefault="005E1153" w:rsidP="005E1153">
      <w:pPr>
        <w:rPr>
          <w:szCs w:val="22"/>
        </w:rPr>
      </w:pPr>
      <w:r w:rsidRPr="005E1153">
        <w:rPr>
          <w:szCs w:val="22"/>
        </w:rPr>
        <w:t>Balenie na predaj: 24 mesiacov.</w:t>
      </w:r>
    </w:p>
    <w:p w14:paraId="292585C4" w14:textId="77777777" w:rsidR="005E1153" w:rsidRPr="005E1153" w:rsidRDefault="005E1153" w:rsidP="005E1153">
      <w:pPr>
        <w:rPr>
          <w:szCs w:val="22"/>
        </w:rPr>
      </w:pPr>
    </w:p>
    <w:p w14:paraId="1F897D75" w14:textId="278C6834" w:rsidR="005E1153" w:rsidRPr="005E1153" w:rsidRDefault="005E1153" w:rsidP="005E1153">
      <w:pPr>
        <w:ind w:left="0" w:firstLine="0"/>
        <w:rPr>
          <w:szCs w:val="22"/>
        </w:rPr>
      </w:pPr>
      <w:r w:rsidRPr="005E1153">
        <w:rPr>
          <w:szCs w:val="22"/>
        </w:rPr>
        <w:t>Pri použití: Chemická a fyzikálna stabilita po otvorení bola preuk</w:t>
      </w:r>
      <w:r>
        <w:rPr>
          <w:szCs w:val="22"/>
        </w:rPr>
        <w:t xml:space="preserve">ázaná po dobu 24 hodín pri </w:t>
      </w:r>
      <w:r w:rsidR="009276F6">
        <w:rPr>
          <w:szCs w:val="22"/>
        </w:rPr>
        <w:t xml:space="preserve">teplote </w:t>
      </w:r>
      <w:r>
        <w:rPr>
          <w:szCs w:val="22"/>
        </w:rPr>
        <w:t>25 °</w:t>
      </w:r>
      <w:r w:rsidRPr="005E1153">
        <w:rPr>
          <w:szCs w:val="22"/>
        </w:rPr>
        <w:t xml:space="preserve">C, chránená pred svetlom, po zriedení </w:t>
      </w:r>
      <w:r w:rsidR="006F1051">
        <w:rPr>
          <w:szCs w:val="22"/>
        </w:rPr>
        <w:t>rozpúšťadlami</w:t>
      </w:r>
      <w:r w:rsidRPr="005E1153">
        <w:rPr>
          <w:szCs w:val="22"/>
        </w:rPr>
        <w:t xml:space="preserve"> uvedenými v časti 6.</w:t>
      </w:r>
      <w:r w:rsidR="006F1051">
        <w:rPr>
          <w:szCs w:val="22"/>
        </w:rPr>
        <w:t>6</w:t>
      </w:r>
      <w:r w:rsidRPr="005E1153">
        <w:rPr>
          <w:szCs w:val="22"/>
        </w:rPr>
        <w:t xml:space="preserve">. </w:t>
      </w:r>
      <w:r>
        <w:rPr>
          <w:szCs w:val="22"/>
        </w:rPr>
        <w:t>Zriedený</w:t>
      </w:r>
      <w:r w:rsidRPr="005E1153">
        <w:rPr>
          <w:szCs w:val="22"/>
        </w:rPr>
        <w:t xml:space="preserve"> </w:t>
      </w:r>
      <w:r w:rsidR="006F1051">
        <w:rPr>
          <w:szCs w:val="22"/>
        </w:rPr>
        <w:t>liek</w:t>
      </w:r>
      <w:r w:rsidR="009276F6">
        <w:rPr>
          <w:szCs w:val="22"/>
        </w:rPr>
        <w:t xml:space="preserve"> </w:t>
      </w:r>
      <w:r w:rsidRPr="005E1153">
        <w:rPr>
          <w:szCs w:val="22"/>
        </w:rPr>
        <w:t>sa m</w:t>
      </w:r>
      <w:r>
        <w:rPr>
          <w:szCs w:val="22"/>
        </w:rPr>
        <w:t>á</w:t>
      </w:r>
      <w:r w:rsidRPr="005E1153">
        <w:rPr>
          <w:szCs w:val="22"/>
        </w:rPr>
        <w:t xml:space="preserve"> použiť do 24</w:t>
      </w:r>
      <w:r>
        <w:rPr>
          <w:szCs w:val="22"/>
        </w:rPr>
        <w:t> </w:t>
      </w:r>
      <w:r w:rsidRPr="005E1153">
        <w:rPr>
          <w:szCs w:val="22"/>
        </w:rPr>
        <w:t>hodín a po použití sa m</w:t>
      </w:r>
      <w:r w:rsidR="009276F6">
        <w:rPr>
          <w:szCs w:val="22"/>
        </w:rPr>
        <w:t>á</w:t>
      </w:r>
      <w:r w:rsidRPr="005E1153">
        <w:rPr>
          <w:szCs w:val="22"/>
        </w:rPr>
        <w:t xml:space="preserve"> zlikvidovať.</w:t>
      </w:r>
    </w:p>
    <w:p w14:paraId="789EAF64" w14:textId="77777777" w:rsidR="005E1153" w:rsidRPr="005E1153" w:rsidRDefault="005E1153" w:rsidP="005E1153">
      <w:pPr>
        <w:rPr>
          <w:szCs w:val="22"/>
        </w:rPr>
      </w:pPr>
    </w:p>
    <w:p w14:paraId="7ABB90E0" w14:textId="77777777" w:rsidR="005E1153" w:rsidRPr="005E1153" w:rsidRDefault="005E1153" w:rsidP="005E1153">
      <w:pPr>
        <w:ind w:left="0" w:firstLine="0"/>
        <w:rPr>
          <w:szCs w:val="22"/>
        </w:rPr>
      </w:pPr>
      <w:r w:rsidRPr="005E1153">
        <w:rPr>
          <w:szCs w:val="22"/>
        </w:rPr>
        <w:t xml:space="preserve">Z mikrobiologického hľadiska sa má liek použiť okamžite po otvorení. Ak sa nepoužije okamžite, za čas a podmienky uchovávania pred použitím zodpovedá používateľ a nemali by byť dlhšie ako 24 hodín pri </w:t>
      </w:r>
      <w:r w:rsidR="009276F6">
        <w:rPr>
          <w:szCs w:val="22"/>
        </w:rPr>
        <w:t xml:space="preserve">teplote </w:t>
      </w:r>
      <w:r w:rsidRPr="005E1153">
        <w:rPr>
          <w:szCs w:val="22"/>
        </w:rPr>
        <w:t>2 až 8</w:t>
      </w:r>
      <w:r>
        <w:rPr>
          <w:szCs w:val="22"/>
        </w:rPr>
        <w:t> °</w:t>
      </w:r>
      <w:r w:rsidRPr="005E1153">
        <w:rPr>
          <w:szCs w:val="22"/>
        </w:rPr>
        <w:t>C, pokiaľ zriedenie neprebehlo za kontrolovaných a validovaných aseptických podmienok.</w:t>
      </w:r>
    </w:p>
    <w:p w14:paraId="08B1E3D4" w14:textId="77777777" w:rsidR="005E1153" w:rsidRPr="005E1153" w:rsidRDefault="005E1153" w:rsidP="005E1153">
      <w:pPr>
        <w:rPr>
          <w:szCs w:val="22"/>
        </w:rPr>
      </w:pPr>
    </w:p>
    <w:p w14:paraId="2B7DF8A2" w14:textId="4A93F254" w:rsidR="00780926" w:rsidRDefault="005E1153" w:rsidP="005E1153">
      <w:pPr>
        <w:rPr>
          <w:szCs w:val="22"/>
        </w:rPr>
      </w:pPr>
      <w:r w:rsidRPr="005E1153">
        <w:rPr>
          <w:szCs w:val="22"/>
        </w:rPr>
        <w:t xml:space="preserve">Všetka nepoužitá časť </w:t>
      </w:r>
      <w:r w:rsidR="006F1051">
        <w:rPr>
          <w:szCs w:val="22"/>
        </w:rPr>
        <w:t>lieku</w:t>
      </w:r>
      <w:r w:rsidRPr="005E1153">
        <w:rPr>
          <w:szCs w:val="22"/>
        </w:rPr>
        <w:t xml:space="preserve"> sa má zlikvidovať ihneď po použití.</w:t>
      </w:r>
    </w:p>
    <w:p w14:paraId="1AB836AC" w14:textId="77777777" w:rsidR="005E1153" w:rsidRPr="003021DE" w:rsidRDefault="005E1153" w:rsidP="005E1153"/>
    <w:p w14:paraId="28161377" w14:textId="77777777" w:rsidR="00780926" w:rsidRPr="003021DE" w:rsidRDefault="00623601" w:rsidP="00B13F68">
      <w:pPr>
        <w:rPr>
          <w:szCs w:val="22"/>
        </w:rPr>
      </w:pPr>
      <w:r w:rsidRPr="003021DE">
        <w:rPr>
          <w:b/>
          <w:szCs w:val="22"/>
        </w:rPr>
        <w:t>6.4</w:t>
      </w:r>
      <w:r w:rsidRPr="003021DE">
        <w:rPr>
          <w:b/>
          <w:szCs w:val="22"/>
        </w:rPr>
        <w:tab/>
        <w:t>Špeciálne upozornenia na uchovávanie</w:t>
      </w:r>
    </w:p>
    <w:p w14:paraId="71F591CC" w14:textId="77777777" w:rsidR="00780926" w:rsidRPr="00B13F68" w:rsidRDefault="00780926" w:rsidP="00B13F68"/>
    <w:p w14:paraId="74E72994" w14:textId="77777777" w:rsidR="005E1153" w:rsidRDefault="005E1153" w:rsidP="005E1153">
      <w:pPr>
        <w:rPr>
          <w:noProof/>
        </w:rPr>
      </w:pPr>
      <w:r>
        <w:rPr>
          <w:noProof/>
        </w:rPr>
        <w:t>Uchovávajte pri teplote do 25 °C.</w:t>
      </w:r>
    </w:p>
    <w:p w14:paraId="63331750" w14:textId="77777777" w:rsidR="005E1153" w:rsidRDefault="005E1153" w:rsidP="005E1153">
      <w:pPr>
        <w:rPr>
          <w:noProof/>
        </w:rPr>
      </w:pPr>
      <w:r>
        <w:rPr>
          <w:noProof/>
        </w:rPr>
        <w:t>Neuchovávajte v chladničke alebo mrazničke.</w:t>
      </w:r>
    </w:p>
    <w:p w14:paraId="3A123E57" w14:textId="77777777" w:rsidR="005E1153" w:rsidRDefault="005E1153" w:rsidP="005E1153">
      <w:pPr>
        <w:rPr>
          <w:noProof/>
        </w:rPr>
      </w:pPr>
      <w:r>
        <w:rPr>
          <w:noProof/>
        </w:rPr>
        <w:t>Uchovávajte ampulku vo vonkajšom obale na ochranu pred svetlom.</w:t>
      </w:r>
    </w:p>
    <w:p w14:paraId="68EE671F" w14:textId="77777777" w:rsidR="00780926" w:rsidRDefault="005E1153" w:rsidP="005E1153">
      <w:pPr>
        <w:rPr>
          <w:noProof/>
        </w:rPr>
      </w:pPr>
      <w:r>
        <w:rPr>
          <w:noProof/>
        </w:rPr>
        <w:t>Podmienky na uchovávanie po zriedení lieku</w:t>
      </w:r>
      <w:r w:rsidR="002D0B60">
        <w:rPr>
          <w:noProof/>
        </w:rPr>
        <w:t>,</w:t>
      </w:r>
      <w:r>
        <w:rPr>
          <w:noProof/>
        </w:rPr>
        <w:t xml:space="preserve"> pozri časť 6.3.</w:t>
      </w:r>
    </w:p>
    <w:p w14:paraId="1CF6F019" w14:textId="77777777" w:rsidR="005E1153" w:rsidRPr="003021DE" w:rsidRDefault="005E1153" w:rsidP="005E1153"/>
    <w:p w14:paraId="4865AEC5" w14:textId="77777777" w:rsidR="00780926" w:rsidRPr="003021DE" w:rsidRDefault="00623601" w:rsidP="00B13F68">
      <w:pPr>
        <w:rPr>
          <w:szCs w:val="22"/>
        </w:rPr>
      </w:pPr>
      <w:r w:rsidRPr="003021DE">
        <w:rPr>
          <w:b/>
          <w:szCs w:val="22"/>
        </w:rPr>
        <w:t>6.5</w:t>
      </w:r>
      <w:r w:rsidRPr="003021DE">
        <w:rPr>
          <w:b/>
          <w:szCs w:val="22"/>
        </w:rPr>
        <w:tab/>
        <w:t>Druh obalu a obsah balenia</w:t>
      </w:r>
      <w:r w:rsidRPr="003021DE">
        <w:rPr>
          <w:b/>
          <w:color w:val="0000FF"/>
          <w:szCs w:val="22"/>
        </w:rPr>
        <w:t xml:space="preserve"> </w:t>
      </w:r>
    </w:p>
    <w:p w14:paraId="7FEEA48A" w14:textId="77777777" w:rsidR="00780926" w:rsidRPr="003021DE" w:rsidRDefault="00780926" w:rsidP="00B13F68">
      <w:pPr>
        <w:rPr>
          <w:szCs w:val="22"/>
        </w:rPr>
      </w:pPr>
    </w:p>
    <w:p w14:paraId="012B2E55" w14:textId="77777777" w:rsidR="005E1153" w:rsidRDefault="005E1153" w:rsidP="005E1153">
      <w:r>
        <w:t>Ampulka z číreho skla typu I obsahujúca 1 ml injekčného roztoku.</w:t>
      </w:r>
    </w:p>
    <w:p w14:paraId="709D3171" w14:textId="77777777" w:rsidR="005E1153" w:rsidRDefault="005E1153" w:rsidP="005E1153">
      <w:r>
        <w:t>Ampulka z číreho skla typu I obsahujúca 2 ml injekčného roztoku.</w:t>
      </w:r>
    </w:p>
    <w:p w14:paraId="597EAF97" w14:textId="77777777" w:rsidR="005E1153" w:rsidRDefault="005E1153" w:rsidP="005E1153">
      <w:r>
        <w:t>Ampulka z číreho skla typu I obsahujúca 5 ml injekčného roztoku.</w:t>
      </w:r>
    </w:p>
    <w:p w14:paraId="6C231CAE" w14:textId="77777777" w:rsidR="005E1153" w:rsidRDefault="005E1153" w:rsidP="005E1153"/>
    <w:p w14:paraId="1A101D79" w14:textId="77777777" w:rsidR="005E1153" w:rsidRDefault="005E1153" w:rsidP="005E1153">
      <w:r>
        <w:t>Veľkosti balenia po 1, 5, 10, 20, 50 a 100 ampuliek s 1 ml injekčného roztoku</w:t>
      </w:r>
      <w:r w:rsidR="009276F6">
        <w:t>.</w:t>
      </w:r>
    </w:p>
    <w:p w14:paraId="774771E9" w14:textId="77777777" w:rsidR="005E1153" w:rsidRDefault="005E1153" w:rsidP="005E1153">
      <w:r>
        <w:t>Veľkosti balenia po 1, 5, 10, 20, 50 a 100 ampuliek s 2 ml injekčného roztoku</w:t>
      </w:r>
      <w:r w:rsidR="009276F6">
        <w:t>.</w:t>
      </w:r>
    </w:p>
    <w:p w14:paraId="0AE9F860" w14:textId="77777777" w:rsidR="005E1153" w:rsidRDefault="005E1153" w:rsidP="005E1153">
      <w:r>
        <w:t>Veľkosti balenia po 1, 5, 10, 20, 50 a 100 ampuliek s 5 ml injekčného roztoku</w:t>
      </w:r>
      <w:r w:rsidR="009276F6">
        <w:t>.</w:t>
      </w:r>
    </w:p>
    <w:p w14:paraId="4CEA30BF" w14:textId="77777777" w:rsidR="005E1153" w:rsidRDefault="005E1153" w:rsidP="00B13F68"/>
    <w:p w14:paraId="4F5D003A" w14:textId="77777777" w:rsidR="00780926" w:rsidRPr="003021DE" w:rsidRDefault="00D71CEA" w:rsidP="00B13F68">
      <w:pPr>
        <w:rPr>
          <w:szCs w:val="22"/>
        </w:rPr>
      </w:pPr>
      <w:r w:rsidRPr="003021DE">
        <w:t>Na trh nemusia byť uvedené</w:t>
      </w:r>
      <w:r w:rsidRPr="003021DE">
        <w:rPr>
          <w:noProof/>
          <w:szCs w:val="22"/>
        </w:rPr>
        <w:t xml:space="preserve"> </w:t>
      </w:r>
      <w:r w:rsidR="005E1153">
        <w:rPr>
          <w:szCs w:val="22"/>
        </w:rPr>
        <w:t>všetky veľkosti balenia.</w:t>
      </w:r>
    </w:p>
    <w:p w14:paraId="3DDEA00A" w14:textId="77777777" w:rsidR="00780926" w:rsidRPr="00A75ECC" w:rsidRDefault="00780926" w:rsidP="00B13F68"/>
    <w:p w14:paraId="20AE79D9" w14:textId="77777777" w:rsidR="00780926" w:rsidRPr="00B13F68" w:rsidRDefault="00623601" w:rsidP="00B13F68">
      <w:pPr>
        <w:rPr>
          <w:b/>
          <w:bCs/>
          <w:noProof/>
        </w:rPr>
      </w:pPr>
      <w:r w:rsidRPr="00D513D2">
        <w:rPr>
          <w:b/>
          <w:szCs w:val="22"/>
        </w:rPr>
        <w:t>6.6</w:t>
      </w:r>
      <w:r w:rsidRPr="00D513D2">
        <w:rPr>
          <w:b/>
          <w:szCs w:val="22"/>
        </w:rPr>
        <w:tab/>
      </w:r>
      <w:r w:rsidRPr="00B13F68">
        <w:rPr>
          <w:b/>
          <w:bCs/>
          <w:noProof/>
        </w:rPr>
        <w:t>Špeciálne opatrenia na likvidáciu</w:t>
      </w:r>
      <w:r w:rsidRPr="003021DE">
        <w:rPr>
          <w:b/>
          <w:szCs w:val="22"/>
        </w:rPr>
        <w:t xml:space="preserve"> </w:t>
      </w:r>
      <w:r w:rsidRPr="00B13F68">
        <w:rPr>
          <w:b/>
          <w:bCs/>
          <w:noProof/>
        </w:rPr>
        <w:t>a iné zaobchádzanie s</w:t>
      </w:r>
      <w:r w:rsidR="00FA099B">
        <w:rPr>
          <w:b/>
          <w:bCs/>
          <w:noProof/>
        </w:rPr>
        <w:t> </w:t>
      </w:r>
      <w:r w:rsidRPr="00B13F68">
        <w:rPr>
          <w:b/>
          <w:bCs/>
          <w:noProof/>
        </w:rPr>
        <w:t>liekom</w:t>
      </w:r>
    </w:p>
    <w:p w14:paraId="608547FB" w14:textId="77777777" w:rsidR="00780926" w:rsidRPr="00B13F68" w:rsidRDefault="00780926" w:rsidP="00B13F68">
      <w:pPr>
        <w:rPr>
          <w:bCs/>
          <w:noProof/>
        </w:rPr>
      </w:pPr>
    </w:p>
    <w:p w14:paraId="74275354" w14:textId="61FA4A67" w:rsidR="005E1153" w:rsidRDefault="00616B5A" w:rsidP="005E1153">
      <w:pPr>
        <w:ind w:left="0" w:firstLine="0"/>
        <w:rPr>
          <w:noProof/>
        </w:rPr>
      </w:pPr>
      <w:r>
        <w:rPr>
          <w:noProof/>
        </w:rPr>
        <w:t xml:space="preserve">Ak sa </w:t>
      </w:r>
      <w:r>
        <w:rPr>
          <w:szCs w:val="22"/>
        </w:rPr>
        <w:t>Dexamethasone Noridem</w:t>
      </w:r>
      <w:r w:rsidR="005E1153">
        <w:rPr>
          <w:noProof/>
        </w:rPr>
        <w:t xml:space="preserve"> podáva intravenóznou infúziou, ako </w:t>
      </w:r>
      <w:r w:rsidR="002D0B60">
        <w:rPr>
          <w:noProof/>
        </w:rPr>
        <w:t>rozpúšťadlá</w:t>
      </w:r>
      <w:r w:rsidR="005E1153">
        <w:rPr>
          <w:noProof/>
        </w:rPr>
        <w:t xml:space="preserve"> sa odporúčajú </w:t>
      </w:r>
      <w:r w:rsidR="00FE69D8">
        <w:rPr>
          <w:noProof/>
        </w:rPr>
        <w:t xml:space="preserve">5 </w:t>
      </w:r>
      <w:r w:rsidR="00FE69D8" w:rsidRPr="00634AD5">
        <w:rPr>
          <w:noProof/>
        </w:rPr>
        <w:t xml:space="preserve">% </w:t>
      </w:r>
      <w:r w:rsidR="00CC60B9">
        <w:rPr>
          <w:noProof/>
        </w:rPr>
        <w:t xml:space="preserve">roztok </w:t>
      </w:r>
      <w:r w:rsidR="00386C4A" w:rsidRPr="007B31F6">
        <w:rPr>
          <w:noProof/>
        </w:rPr>
        <w:t>glukóz</w:t>
      </w:r>
      <w:r w:rsidR="00CC60B9">
        <w:rPr>
          <w:noProof/>
        </w:rPr>
        <w:t>y vo vode</w:t>
      </w:r>
      <w:r w:rsidR="00FE69D8">
        <w:rPr>
          <w:noProof/>
        </w:rPr>
        <w:t xml:space="preserve"> a 0,9 % </w:t>
      </w:r>
      <w:r w:rsidR="00CC60B9">
        <w:rPr>
          <w:noProof/>
        </w:rPr>
        <w:t xml:space="preserve">roztok </w:t>
      </w:r>
      <w:r w:rsidR="00FE69D8">
        <w:rPr>
          <w:noProof/>
        </w:rPr>
        <w:t>chlorid</w:t>
      </w:r>
      <w:r w:rsidR="00CC60B9">
        <w:rPr>
          <w:noProof/>
        </w:rPr>
        <w:t>u</w:t>
      </w:r>
      <w:r w:rsidR="00FE69D8">
        <w:rPr>
          <w:noProof/>
        </w:rPr>
        <w:t xml:space="preserve"> sodn</w:t>
      </w:r>
      <w:r w:rsidR="00CC60B9">
        <w:rPr>
          <w:noProof/>
        </w:rPr>
        <w:t>ého</w:t>
      </w:r>
      <w:r w:rsidR="00FE69D8">
        <w:rPr>
          <w:noProof/>
        </w:rPr>
        <w:t xml:space="preserve">. </w:t>
      </w:r>
      <w:r w:rsidR="005E1153">
        <w:rPr>
          <w:noProof/>
        </w:rPr>
        <w:t>Presná koncentrácia dexametazónu v jednej infúz</w:t>
      </w:r>
      <w:r>
        <w:rPr>
          <w:noProof/>
        </w:rPr>
        <w:t>ii</w:t>
      </w:r>
      <w:r w:rsidR="005E1153">
        <w:rPr>
          <w:noProof/>
        </w:rPr>
        <w:t xml:space="preserve"> by mala byť stanovená podľa požadovanej dávky, príjmu tekutín pacienta a požadovanej rýchlosti odkvapkávania.</w:t>
      </w:r>
    </w:p>
    <w:p w14:paraId="23B4B3FB" w14:textId="77777777" w:rsidR="005E1153" w:rsidRDefault="005E1153" w:rsidP="005E1153">
      <w:pPr>
        <w:rPr>
          <w:noProof/>
        </w:rPr>
      </w:pPr>
    </w:p>
    <w:p w14:paraId="66695E67" w14:textId="77777777" w:rsidR="00BC798A" w:rsidRDefault="005E1153" w:rsidP="005E1153">
      <w:pPr>
        <w:rPr>
          <w:noProof/>
        </w:rPr>
      </w:pPr>
      <w:r>
        <w:rPr>
          <w:noProof/>
        </w:rPr>
        <w:t>Tento liek neobsahuje konzervačné látky.</w:t>
      </w:r>
    </w:p>
    <w:p w14:paraId="7357746D" w14:textId="77777777" w:rsidR="00616B5A" w:rsidRPr="003021DE" w:rsidRDefault="00616B5A" w:rsidP="005E1153">
      <w:pPr>
        <w:rPr>
          <w:szCs w:val="22"/>
        </w:rPr>
      </w:pPr>
    </w:p>
    <w:p w14:paraId="7D1A5FB9" w14:textId="77777777" w:rsidR="00780926" w:rsidRPr="003021DE" w:rsidRDefault="00BB6D67" w:rsidP="00E41B3F">
      <w:pPr>
        <w:ind w:left="0" w:firstLine="0"/>
        <w:rPr>
          <w:szCs w:val="22"/>
        </w:rPr>
      </w:pPr>
      <w:r w:rsidRPr="00C03EA6">
        <w:rPr>
          <w:szCs w:val="22"/>
        </w:rPr>
        <w:t>Všetok nepoužitý liek alebo odpad</w:t>
      </w:r>
      <w:r w:rsidR="000E2174">
        <w:rPr>
          <w:szCs w:val="22"/>
        </w:rPr>
        <w:t xml:space="preserve"> </w:t>
      </w:r>
      <w:r w:rsidRPr="00C03EA6">
        <w:rPr>
          <w:szCs w:val="22"/>
        </w:rPr>
        <w:t>vzniknutý z lieku sa má zlikvidovať v súlade s národnými požiadavkami</w:t>
      </w:r>
      <w:r w:rsidR="005E1153">
        <w:rPr>
          <w:szCs w:val="22"/>
        </w:rPr>
        <w:t>.</w:t>
      </w:r>
    </w:p>
    <w:p w14:paraId="77D72C39" w14:textId="77777777" w:rsidR="00780926" w:rsidRPr="003021DE" w:rsidRDefault="00780926" w:rsidP="00E41B3F">
      <w:pPr>
        <w:rPr>
          <w:szCs w:val="22"/>
        </w:rPr>
      </w:pPr>
    </w:p>
    <w:p w14:paraId="14C875D4" w14:textId="77777777" w:rsidR="00780926" w:rsidRPr="003021DE" w:rsidRDefault="00780926" w:rsidP="00E41B3F">
      <w:pPr>
        <w:rPr>
          <w:szCs w:val="22"/>
        </w:rPr>
      </w:pPr>
    </w:p>
    <w:p w14:paraId="695D07E0" w14:textId="77777777" w:rsidR="00780926" w:rsidRPr="003021DE" w:rsidRDefault="00623601" w:rsidP="00E41B3F">
      <w:pPr>
        <w:rPr>
          <w:b/>
          <w:szCs w:val="22"/>
        </w:rPr>
      </w:pPr>
      <w:r w:rsidRPr="003021DE">
        <w:rPr>
          <w:b/>
          <w:szCs w:val="22"/>
        </w:rPr>
        <w:t>7.</w:t>
      </w:r>
      <w:r w:rsidRPr="003021DE">
        <w:rPr>
          <w:b/>
          <w:szCs w:val="22"/>
        </w:rPr>
        <w:tab/>
        <w:t>DRŽITEĽ ROZHODNUTIA O REGISTRÁCII</w:t>
      </w:r>
    </w:p>
    <w:p w14:paraId="31040F9E" w14:textId="77777777" w:rsidR="00780926" w:rsidRPr="003021DE" w:rsidRDefault="00780926" w:rsidP="00E41B3F">
      <w:pPr>
        <w:rPr>
          <w:szCs w:val="22"/>
        </w:rPr>
      </w:pPr>
    </w:p>
    <w:p w14:paraId="03D7E1D1" w14:textId="77777777" w:rsidR="00780926" w:rsidRPr="00B13F68" w:rsidRDefault="001740B5" w:rsidP="001740B5">
      <w:pPr>
        <w:ind w:left="0" w:right="-1" w:firstLine="0"/>
        <w:rPr>
          <w:szCs w:val="22"/>
        </w:rPr>
      </w:pPr>
      <w:r w:rsidRPr="00405868">
        <w:rPr>
          <w:noProof/>
          <w:lang w:eastAsia="en-US"/>
        </w:rPr>
        <w:t>Noridem Enterprises Limited, Evagorou &amp;</w:t>
      </w:r>
      <w:r>
        <w:rPr>
          <w:noProof/>
        </w:rPr>
        <w:t xml:space="preserve"> </w:t>
      </w:r>
      <w:r w:rsidRPr="00405868">
        <w:rPr>
          <w:noProof/>
          <w:lang w:eastAsia="en-US"/>
        </w:rPr>
        <w:t>Makariou, Mitsi Building 3, Office 115, 1065</w:t>
      </w:r>
      <w:r>
        <w:rPr>
          <w:noProof/>
        </w:rPr>
        <w:t xml:space="preserve"> </w:t>
      </w:r>
      <w:r w:rsidRPr="00405868">
        <w:rPr>
          <w:noProof/>
          <w:lang w:eastAsia="en-US"/>
        </w:rPr>
        <w:t xml:space="preserve">Nicosia, </w:t>
      </w:r>
      <w:r>
        <w:rPr>
          <w:noProof/>
        </w:rPr>
        <w:t>Cyprus</w:t>
      </w:r>
    </w:p>
    <w:p w14:paraId="0BFEB1FF" w14:textId="77777777" w:rsidR="00780926" w:rsidRDefault="00780926" w:rsidP="00E41B3F">
      <w:pPr>
        <w:rPr>
          <w:szCs w:val="22"/>
        </w:rPr>
      </w:pPr>
    </w:p>
    <w:p w14:paraId="0EC305FB" w14:textId="77777777" w:rsidR="00315BED" w:rsidRPr="00B13F68" w:rsidRDefault="00315BED" w:rsidP="00E41B3F">
      <w:pPr>
        <w:rPr>
          <w:szCs w:val="22"/>
        </w:rPr>
      </w:pPr>
    </w:p>
    <w:p w14:paraId="44FF376A" w14:textId="77777777" w:rsidR="00780926" w:rsidRPr="003021DE" w:rsidRDefault="00623601" w:rsidP="00E41B3F">
      <w:pPr>
        <w:rPr>
          <w:b/>
          <w:szCs w:val="22"/>
        </w:rPr>
      </w:pPr>
      <w:r w:rsidRPr="00B13F68">
        <w:rPr>
          <w:b/>
          <w:szCs w:val="22"/>
        </w:rPr>
        <w:t>8.</w:t>
      </w:r>
      <w:r w:rsidRPr="00B13F68">
        <w:rPr>
          <w:b/>
          <w:szCs w:val="22"/>
        </w:rPr>
        <w:tab/>
        <w:t xml:space="preserve">REGISTRAČNÉ </w:t>
      </w:r>
      <w:r w:rsidRPr="003021DE">
        <w:rPr>
          <w:b/>
          <w:szCs w:val="22"/>
        </w:rPr>
        <w:t>ČÍSLO</w:t>
      </w:r>
    </w:p>
    <w:p w14:paraId="0DFDA4B1" w14:textId="77777777" w:rsidR="00780926" w:rsidRPr="00B13F68" w:rsidRDefault="00780926" w:rsidP="00E41B3F"/>
    <w:p w14:paraId="56A3E334" w14:textId="250D3B3C" w:rsidR="00780926" w:rsidRDefault="00315BED" w:rsidP="00A75ECC">
      <w:pPr>
        <w:rPr>
          <w:szCs w:val="22"/>
        </w:rPr>
      </w:pPr>
      <w:r w:rsidRPr="00315BED">
        <w:rPr>
          <w:szCs w:val="22"/>
        </w:rPr>
        <w:t>56/0083/21-S</w:t>
      </w:r>
    </w:p>
    <w:p w14:paraId="07A6381B" w14:textId="77777777" w:rsidR="00315BED" w:rsidRPr="003021DE" w:rsidRDefault="00315BED" w:rsidP="00A75ECC">
      <w:pPr>
        <w:rPr>
          <w:szCs w:val="22"/>
        </w:rPr>
      </w:pPr>
    </w:p>
    <w:p w14:paraId="685037FA" w14:textId="77777777" w:rsidR="00780926" w:rsidRPr="003021DE" w:rsidRDefault="00780926" w:rsidP="00D513D2">
      <w:pPr>
        <w:rPr>
          <w:szCs w:val="22"/>
        </w:rPr>
      </w:pPr>
    </w:p>
    <w:p w14:paraId="688055D9" w14:textId="77777777" w:rsidR="00780926" w:rsidRPr="003021DE" w:rsidRDefault="00623601" w:rsidP="00D513D2">
      <w:pPr>
        <w:rPr>
          <w:b/>
          <w:szCs w:val="22"/>
        </w:rPr>
      </w:pPr>
      <w:r w:rsidRPr="003021DE">
        <w:rPr>
          <w:b/>
          <w:szCs w:val="22"/>
        </w:rPr>
        <w:t>9.</w:t>
      </w:r>
      <w:r w:rsidRPr="003021DE">
        <w:rPr>
          <w:b/>
          <w:szCs w:val="22"/>
        </w:rPr>
        <w:tab/>
        <w:t>DÁTUM PRVEJ REGISTRÁCIE/PREDĹŽENIA REGISTRÁCIE</w:t>
      </w:r>
    </w:p>
    <w:p w14:paraId="1E6A527B" w14:textId="77777777" w:rsidR="00780926" w:rsidRPr="003021DE" w:rsidRDefault="00780926" w:rsidP="00B13F68">
      <w:pPr>
        <w:rPr>
          <w:szCs w:val="22"/>
        </w:rPr>
      </w:pPr>
    </w:p>
    <w:p w14:paraId="6FEAFAB1" w14:textId="77777777" w:rsidR="001D1B4B" w:rsidRPr="00B13F68" w:rsidRDefault="00623601" w:rsidP="00B13F68">
      <w:pPr>
        <w:rPr>
          <w:noProof/>
        </w:rPr>
      </w:pPr>
      <w:r w:rsidRPr="00B13F68">
        <w:rPr>
          <w:noProof/>
        </w:rPr>
        <w:t xml:space="preserve">Dátum prvej registrácie: </w:t>
      </w:r>
    </w:p>
    <w:p w14:paraId="24A0597B" w14:textId="77777777" w:rsidR="00780926" w:rsidRPr="003021DE" w:rsidRDefault="00780926" w:rsidP="00B13F68">
      <w:pPr>
        <w:rPr>
          <w:szCs w:val="22"/>
        </w:rPr>
      </w:pPr>
    </w:p>
    <w:p w14:paraId="36957CDB" w14:textId="77777777" w:rsidR="00780926" w:rsidRPr="003021DE" w:rsidRDefault="00780926" w:rsidP="00B13F68">
      <w:pPr>
        <w:rPr>
          <w:szCs w:val="22"/>
        </w:rPr>
      </w:pPr>
    </w:p>
    <w:p w14:paraId="1FE3A7BD" w14:textId="77777777" w:rsidR="00780926" w:rsidRPr="003021DE" w:rsidRDefault="00623601" w:rsidP="00B13F68">
      <w:pPr>
        <w:rPr>
          <w:b/>
          <w:szCs w:val="22"/>
        </w:rPr>
      </w:pPr>
      <w:r w:rsidRPr="003021DE">
        <w:rPr>
          <w:b/>
          <w:szCs w:val="22"/>
        </w:rPr>
        <w:t>10.</w:t>
      </w:r>
      <w:r w:rsidRPr="003021DE">
        <w:rPr>
          <w:b/>
          <w:szCs w:val="22"/>
        </w:rPr>
        <w:tab/>
        <w:t>DÁTUM REVÍZIE TEXTU</w:t>
      </w:r>
    </w:p>
    <w:p w14:paraId="7BA6D0C1" w14:textId="77777777" w:rsidR="00780926" w:rsidRPr="00B13F68" w:rsidRDefault="00780926" w:rsidP="00B13F68">
      <w:pPr>
        <w:rPr>
          <w:szCs w:val="22"/>
        </w:rPr>
      </w:pPr>
    </w:p>
    <w:p w14:paraId="49A366D0" w14:textId="6AC91B10" w:rsidR="00616B5A" w:rsidRDefault="00315BED">
      <w:pPr>
        <w:ind w:left="0" w:firstLine="0"/>
        <w:rPr>
          <w:noProof/>
          <w:szCs w:val="22"/>
        </w:rPr>
      </w:pPr>
      <w:r>
        <w:rPr>
          <w:noProof/>
          <w:szCs w:val="22"/>
        </w:rPr>
        <w:t>03/2021</w:t>
      </w:r>
    </w:p>
    <w:sectPr w:rsidR="00616B5A" w:rsidSect="007B31F6">
      <w:headerReference w:type="default" r:id="rId9"/>
      <w:footerReference w:type="default" r:id="rId10"/>
      <w:footerReference w:type="first" r:id="rId11"/>
      <w:pgSz w:w="11907" w:h="16840" w:code="9"/>
      <w:pgMar w:top="1134" w:right="1418" w:bottom="1134" w:left="1418"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1C70" w16cex:dateUtc="2021-03-10T09:22:00Z"/>
  <w16cex:commentExtensible w16cex:durableId="23F31E11" w16cex:dateUtc="2021-03-10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E1330A" w16cid:durableId="23F31966"/>
  <w16cid:commentId w16cid:paraId="4A6FE258" w16cid:durableId="23F31967"/>
  <w16cid:commentId w16cid:paraId="33E9FB09" w16cid:durableId="23F31968"/>
  <w16cid:commentId w16cid:paraId="325048C9" w16cid:durableId="23F31969"/>
  <w16cid:commentId w16cid:paraId="4D05098E" w16cid:durableId="23F3196A"/>
  <w16cid:commentId w16cid:paraId="554C71D0" w16cid:durableId="23F3196B"/>
  <w16cid:commentId w16cid:paraId="4BD04627" w16cid:durableId="23F3196C"/>
  <w16cid:commentId w16cid:paraId="3F13A89B" w16cid:durableId="23F3196D"/>
  <w16cid:commentId w16cid:paraId="04554FB2" w16cid:durableId="23F31C70"/>
  <w16cid:commentId w16cid:paraId="730E6E3A" w16cid:durableId="23F3196E"/>
  <w16cid:commentId w16cid:paraId="5BA3C43E" w16cid:durableId="23F3196F"/>
  <w16cid:commentId w16cid:paraId="4D67BF9C" w16cid:durableId="23F31970"/>
  <w16cid:commentId w16cid:paraId="2F910AB6" w16cid:durableId="23F31971"/>
  <w16cid:commentId w16cid:paraId="64E4F0AF" w16cid:durableId="23F31972"/>
  <w16cid:commentId w16cid:paraId="5A0A316E" w16cid:durableId="23F31E11"/>
  <w16cid:commentId w16cid:paraId="4E3D9FCE" w16cid:durableId="23F319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E76E9" w14:textId="77777777" w:rsidR="00E35761" w:rsidRDefault="00E35761" w:rsidP="00B24356">
      <w:r>
        <w:separator/>
      </w:r>
    </w:p>
  </w:endnote>
  <w:endnote w:type="continuationSeparator" w:id="0">
    <w:p w14:paraId="25861D60" w14:textId="77777777" w:rsidR="00E35761" w:rsidRDefault="00E35761" w:rsidP="00B2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9DEA" w14:textId="77777777" w:rsidR="001733F2" w:rsidRPr="00B13F68" w:rsidRDefault="00386C4A">
    <w:pPr>
      <w:pStyle w:val="Pta"/>
      <w:tabs>
        <w:tab w:val="clear" w:pos="8930"/>
        <w:tab w:val="right" w:pos="8931"/>
      </w:tabs>
      <w:ind w:right="96"/>
      <w:jc w:val="center"/>
      <w:rPr>
        <w:rFonts w:ascii="Arial" w:hAnsi="Arial" w:cs="Arial"/>
      </w:rPr>
    </w:pPr>
    <w:r w:rsidRPr="00B13F68">
      <w:rPr>
        <w:rFonts w:ascii="Arial" w:hAnsi="Arial" w:cs="Arial"/>
      </w:rPr>
      <w:fldChar w:fldCharType="begin"/>
    </w:r>
    <w:r w:rsidR="001733F2"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001733F2" w:rsidRPr="00B13F68">
      <w:rPr>
        <w:rStyle w:val="slostrany"/>
        <w:rFonts w:ascii="Arial" w:hAnsi="Arial" w:cs="Arial"/>
      </w:rPr>
      <w:instrText xml:space="preserve">PAGE  </w:instrText>
    </w:r>
    <w:r w:rsidRPr="00D513D2">
      <w:rPr>
        <w:rStyle w:val="slostrany"/>
        <w:rFonts w:ascii="Arial" w:hAnsi="Arial" w:cs="Arial"/>
      </w:rPr>
      <w:fldChar w:fldCharType="separate"/>
    </w:r>
    <w:r w:rsidR="007B31F6">
      <w:rPr>
        <w:rStyle w:val="slostrany"/>
        <w:rFonts w:ascii="Arial" w:hAnsi="Arial" w:cs="Arial"/>
        <w:noProof/>
      </w:rPr>
      <w:t>1</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89539" w14:textId="77777777" w:rsidR="001733F2" w:rsidRDefault="00386C4A">
    <w:pPr>
      <w:pStyle w:val="Pta"/>
      <w:tabs>
        <w:tab w:val="clear" w:pos="8930"/>
        <w:tab w:val="right" w:pos="8931"/>
      </w:tabs>
      <w:ind w:right="96"/>
      <w:jc w:val="center"/>
    </w:pPr>
    <w:r>
      <w:fldChar w:fldCharType="begin"/>
    </w:r>
    <w:r w:rsidR="001733F2">
      <w:instrText xml:space="preserve"> EQ </w:instrText>
    </w:r>
    <w:r>
      <w:fldChar w:fldCharType="end"/>
    </w:r>
    <w:r>
      <w:rPr>
        <w:rStyle w:val="slostrany"/>
        <w:rFonts w:ascii="Arial" w:hAnsi="Arial" w:cs="Arial"/>
      </w:rPr>
      <w:fldChar w:fldCharType="begin"/>
    </w:r>
    <w:r w:rsidR="001733F2">
      <w:rPr>
        <w:rStyle w:val="slostrany"/>
        <w:rFonts w:ascii="Arial" w:hAnsi="Arial" w:cs="Arial"/>
      </w:rPr>
      <w:instrText xml:space="preserve">PAGE  </w:instrText>
    </w:r>
    <w:r>
      <w:rPr>
        <w:rStyle w:val="slostrany"/>
        <w:rFonts w:ascii="Arial" w:hAnsi="Arial" w:cs="Arial"/>
      </w:rPr>
      <w:fldChar w:fldCharType="separate"/>
    </w:r>
    <w:r w:rsidR="001733F2">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CF14D" w14:textId="77777777" w:rsidR="00E35761" w:rsidRDefault="00E35761" w:rsidP="00B24356">
      <w:r>
        <w:separator/>
      </w:r>
    </w:p>
  </w:footnote>
  <w:footnote w:type="continuationSeparator" w:id="0">
    <w:p w14:paraId="5CAE673A" w14:textId="77777777" w:rsidR="00E35761" w:rsidRDefault="00E35761" w:rsidP="00B24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A58ED" w14:textId="77777777" w:rsidR="001733F2" w:rsidRPr="00731CBB" w:rsidRDefault="001733F2" w:rsidP="00B350D9">
    <w:pPr>
      <w:pStyle w:val="Hlavika"/>
      <w:rPr>
        <w:rFonts w:ascii="Times New Roman" w:hAnsi="Times New Roman"/>
        <w:sz w:val="18"/>
        <w:szCs w:val="18"/>
      </w:rPr>
    </w:pPr>
    <w:bookmarkStart w:id="2" w:name="TableTag1"/>
    <w:bookmarkEnd w:id="2"/>
    <w:r w:rsidRPr="00731CBB">
      <w:rPr>
        <w:rFonts w:ascii="Times New Roman" w:hAnsi="Times New Roman"/>
        <w:sz w:val="18"/>
        <w:szCs w:val="18"/>
      </w:rPr>
      <w:t>Schválený text k rozhodnutiu o registrácii, ev.č.: 2018/08314-REG</w:t>
    </w:r>
  </w:p>
  <w:p w14:paraId="600249DF" w14:textId="77777777" w:rsidR="001733F2" w:rsidRDefault="001733F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A708D"/>
    <w:multiLevelType w:val="hybridMultilevel"/>
    <w:tmpl w:val="4F08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4640"/>
    <w:multiLevelType w:val="hybridMultilevel"/>
    <w:tmpl w:val="A19A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53BAC"/>
    <w:multiLevelType w:val="hybridMultilevel"/>
    <w:tmpl w:val="E6C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73897"/>
    <w:multiLevelType w:val="hybridMultilevel"/>
    <w:tmpl w:val="80C8162A"/>
    <w:lvl w:ilvl="0" w:tplc="E12A9098">
      <w:start w:val="1"/>
      <w:numFmt w:val="bullet"/>
      <w:lvlText w:val=""/>
      <w:lvlJc w:val="left"/>
      <w:pPr>
        <w:tabs>
          <w:tab w:val="num" w:pos="567"/>
        </w:tabs>
        <w:ind w:left="567" w:hanging="454"/>
      </w:pPr>
      <w:rPr>
        <w:rFonts w:ascii="Symbol" w:hAnsi="Symbol" w:hint="default"/>
      </w:rPr>
    </w:lvl>
    <w:lvl w:ilvl="1" w:tplc="A008D006" w:tentative="1">
      <w:start w:val="1"/>
      <w:numFmt w:val="bullet"/>
      <w:lvlText w:val="o"/>
      <w:lvlJc w:val="left"/>
      <w:pPr>
        <w:tabs>
          <w:tab w:val="num" w:pos="1440"/>
        </w:tabs>
        <w:ind w:left="1440" w:hanging="360"/>
      </w:pPr>
      <w:rPr>
        <w:rFonts w:ascii="Courier New" w:hAnsi="Courier New" w:hint="default"/>
      </w:rPr>
    </w:lvl>
    <w:lvl w:ilvl="2" w:tplc="17E656DE" w:tentative="1">
      <w:start w:val="1"/>
      <w:numFmt w:val="bullet"/>
      <w:lvlText w:val=""/>
      <w:lvlJc w:val="left"/>
      <w:pPr>
        <w:tabs>
          <w:tab w:val="num" w:pos="2160"/>
        </w:tabs>
        <w:ind w:left="2160" w:hanging="360"/>
      </w:pPr>
      <w:rPr>
        <w:rFonts w:ascii="Wingdings" w:hAnsi="Wingdings" w:hint="default"/>
      </w:rPr>
    </w:lvl>
    <w:lvl w:ilvl="3" w:tplc="E07A5D62" w:tentative="1">
      <w:start w:val="1"/>
      <w:numFmt w:val="bullet"/>
      <w:lvlText w:val=""/>
      <w:lvlJc w:val="left"/>
      <w:pPr>
        <w:tabs>
          <w:tab w:val="num" w:pos="2880"/>
        </w:tabs>
        <w:ind w:left="2880" w:hanging="360"/>
      </w:pPr>
      <w:rPr>
        <w:rFonts w:ascii="Symbol" w:hAnsi="Symbol" w:hint="default"/>
      </w:rPr>
    </w:lvl>
    <w:lvl w:ilvl="4" w:tplc="00D65A52" w:tentative="1">
      <w:start w:val="1"/>
      <w:numFmt w:val="bullet"/>
      <w:lvlText w:val="o"/>
      <w:lvlJc w:val="left"/>
      <w:pPr>
        <w:tabs>
          <w:tab w:val="num" w:pos="3600"/>
        </w:tabs>
        <w:ind w:left="3600" w:hanging="360"/>
      </w:pPr>
      <w:rPr>
        <w:rFonts w:ascii="Courier New" w:hAnsi="Courier New" w:hint="default"/>
      </w:rPr>
    </w:lvl>
    <w:lvl w:ilvl="5" w:tplc="96420B3C" w:tentative="1">
      <w:start w:val="1"/>
      <w:numFmt w:val="bullet"/>
      <w:lvlText w:val=""/>
      <w:lvlJc w:val="left"/>
      <w:pPr>
        <w:tabs>
          <w:tab w:val="num" w:pos="4320"/>
        </w:tabs>
        <w:ind w:left="4320" w:hanging="360"/>
      </w:pPr>
      <w:rPr>
        <w:rFonts w:ascii="Wingdings" w:hAnsi="Wingdings" w:hint="default"/>
      </w:rPr>
    </w:lvl>
    <w:lvl w:ilvl="6" w:tplc="55D66988" w:tentative="1">
      <w:start w:val="1"/>
      <w:numFmt w:val="bullet"/>
      <w:lvlText w:val=""/>
      <w:lvlJc w:val="left"/>
      <w:pPr>
        <w:tabs>
          <w:tab w:val="num" w:pos="5040"/>
        </w:tabs>
        <w:ind w:left="5040" w:hanging="360"/>
      </w:pPr>
      <w:rPr>
        <w:rFonts w:ascii="Symbol" w:hAnsi="Symbol" w:hint="default"/>
      </w:rPr>
    </w:lvl>
    <w:lvl w:ilvl="7" w:tplc="135273D4" w:tentative="1">
      <w:start w:val="1"/>
      <w:numFmt w:val="bullet"/>
      <w:lvlText w:val="o"/>
      <w:lvlJc w:val="left"/>
      <w:pPr>
        <w:tabs>
          <w:tab w:val="num" w:pos="5760"/>
        </w:tabs>
        <w:ind w:left="5760" w:hanging="360"/>
      </w:pPr>
      <w:rPr>
        <w:rFonts w:ascii="Courier New" w:hAnsi="Courier New" w:hint="default"/>
      </w:rPr>
    </w:lvl>
    <w:lvl w:ilvl="8" w:tplc="3058F3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90125"/>
    <w:multiLevelType w:val="hybridMultilevel"/>
    <w:tmpl w:val="14BE42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0071C9"/>
    <w:multiLevelType w:val="hybridMultilevel"/>
    <w:tmpl w:val="1374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1F4127"/>
    <w:multiLevelType w:val="hybridMultilevel"/>
    <w:tmpl w:val="5CF4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135BC"/>
    <w:multiLevelType w:val="hybridMultilevel"/>
    <w:tmpl w:val="34D8BE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F399D"/>
    <w:multiLevelType w:val="hybridMultilevel"/>
    <w:tmpl w:val="F980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B5268"/>
    <w:multiLevelType w:val="hybridMultilevel"/>
    <w:tmpl w:val="63A637EA"/>
    <w:lvl w:ilvl="0" w:tplc="69381DA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BEE7D26"/>
    <w:multiLevelType w:val="hybridMultilevel"/>
    <w:tmpl w:val="FEEE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60E3C67"/>
    <w:multiLevelType w:val="hybridMultilevel"/>
    <w:tmpl w:val="04A6B0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55F4FA6A">
      <w:start w:val="1"/>
      <w:numFmt w:val="upperLetter"/>
      <w:lvlText w:val="%1."/>
      <w:lvlJc w:val="left"/>
      <w:pPr>
        <w:ind w:left="5670" w:hanging="5670"/>
      </w:pPr>
      <w:rPr>
        <w:b/>
      </w:rPr>
    </w:lvl>
    <w:lvl w:ilvl="1" w:tplc="457622F8">
      <w:start w:val="1"/>
      <w:numFmt w:val="decimal"/>
      <w:lvlText w:val="%2."/>
      <w:lvlJc w:val="left"/>
      <w:pPr>
        <w:ind w:left="1650" w:hanging="570"/>
      </w:pPr>
      <w:rPr>
        <w:b/>
        <w:i w:val="0"/>
      </w:rPr>
    </w:lvl>
    <w:lvl w:ilvl="2" w:tplc="109EFB46">
      <w:start w:val="1"/>
      <w:numFmt w:val="lowerRoman"/>
      <w:lvlText w:val="%3."/>
      <w:lvlJc w:val="right"/>
      <w:pPr>
        <w:ind w:left="2160" w:hanging="180"/>
      </w:pPr>
    </w:lvl>
    <w:lvl w:ilvl="3" w:tplc="621C3DA4">
      <w:start w:val="1"/>
      <w:numFmt w:val="decimal"/>
      <w:lvlText w:val="%4."/>
      <w:lvlJc w:val="left"/>
      <w:pPr>
        <w:ind w:left="2880" w:hanging="360"/>
      </w:pPr>
    </w:lvl>
    <w:lvl w:ilvl="4" w:tplc="4ACE5A0C">
      <w:start w:val="1"/>
      <w:numFmt w:val="lowerLetter"/>
      <w:lvlText w:val="%5."/>
      <w:lvlJc w:val="left"/>
      <w:pPr>
        <w:ind w:left="3600" w:hanging="360"/>
      </w:pPr>
    </w:lvl>
    <w:lvl w:ilvl="5" w:tplc="16BEE0EE">
      <w:start w:val="1"/>
      <w:numFmt w:val="lowerRoman"/>
      <w:lvlText w:val="%6."/>
      <w:lvlJc w:val="right"/>
      <w:pPr>
        <w:ind w:left="4320" w:hanging="180"/>
      </w:pPr>
    </w:lvl>
    <w:lvl w:ilvl="6" w:tplc="A4642990">
      <w:start w:val="1"/>
      <w:numFmt w:val="decimal"/>
      <w:lvlText w:val="%7."/>
      <w:lvlJc w:val="left"/>
      <w:pPr>
        <w:ind w:left="5040" w:hanging="360"/>
      </w:pPr>
    </w:lvl>
    <w:lvl w:ilvl="7" w:tplc="C1D6DB46">
      <w:start w:val="1"/>
      <w:numFmt w:val="lowerLetter"/>
      <w:lvlText w:val="%8."/>
      <w:lvlJc w:val="left"/>
      <w:pPr>
        <w:ind w:left="5760" w:hanging="360"/>
      </w:pPr>
    </w:lvl>
    <w:lvl w:ilvl="8" w:tplc="9CCCE4EA">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4"/>
  </w:num>
  <w:num w:numId="7">
    <w:abstractNumId w:val="13"/>
  </w:num>
  <w:num w:numId="8">
    <w:abstractNumId w:val="6"/>
  </w:num>
  <w:num w:numId="9">
    <w:abstractNumId w:val="16"/>
  </w:num>
  <w:num w:numId="10">
    <w:abstractNumId w:val="17"/>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10"/>
  </w:num>
  <w:num w:numId="16">
    <w:abstractNumId w:val="20"/>
  </w:num>
  <w:num w:numId="17">
    <w:abstractNumId w:val="9"/>
  </w:num>
  <w:num w:numId="18">
    <w:abstractNumId w:val="3"/>
  </w:num>
  <w:num w:numId="19">
    <w:abstractNumId w:val="2"/>
  </w:num>
  <w:num w:numId="20">
    <w:abstractNumId w:val="5"/>
  </w:num>
  <w:num w:numId="21">
    <w:abstractNumId w:val="1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1CB0"/>
    <w:rsid w:val="00014749"/>
    <w:rsid w:val="00035075"/>
    <w:rsid w:val="00040726"/>
    <w:rsid w:val="000461BB"/>
    <w:rsid w:val="00052EE2"/>
    <w:rsid w:val="00056045"/>
    <w:rsid w:val="00056C88"/>
    <w:rsid w:val="00061445"/>
    <w:rsid w:val="000660A3"/>
    <w:rsid w:val="00077CF6"/>
    <w:rsid w:val="0008117C"/>
    <w:rsid w:val="00085939"/>
    <w:rsid w:val="00090230"/>
    <w:rsid w:val="00090C61"/>
    <w:rsid w:val="00095674"/>
    <w:rsid w:val="00096CAA"/>
    <w:rsid w:val="00096ECA"/>
    <w:rsid w:val="000A0891"/>
    <w:rsid w:val="000B13AD"/>
    <w:rsid w:val="000B3318"/>
    <w:rsid w:val="000B6759"/>
    <w:rsid w:val="000C534D"/>
    <w:rsid w:val="000C6D5B"/>
    <w:rsid w:val="000C6F7A"/>
    <w:rsid w:val="000D3B1B"/>
    <w:rsid w:val="000E2174"/>
    <w:rsid w:val="000E3D7D"/>
    <w:rsid w:val="000E7685"/>
    <w:rsid w:val="000F11E6"/>
    <w:rsid w:val="000F36F1"/>
    <w:rsid w:val="000F5CFB"/>
    <w:rsid w:val="001001CE"/>
    <w:rsid w:val="001026C2"/>
    <w:rsid w:val="001114AF"/>
    <w:rsid w:val="00111E1A"/>
    <w:rsid w:val="001150F2"/>
    <w:rsid w:val="00117A3D"/>
    <w:rsid w:val="001334A2"/>
    <w:rsid w:val="00134B55"/>
    <w:rsid w:val="00135894"/>
    <w:rsid w:val="001406FE"/>
    <w:rsid w:val="00141147"/>
    <w:rsid w:val="00141412"/>
    <w:rsid w:val="00141BD1"/>
    <w:rsid w:val="00144343"/>
    <w:rsid w:val="0015367B"/>
    <w:rsid w:val="001733F2"/>
    <w:rsid w:val="001740B5"/>
    <w:rsid w:val="0017583B"/>
    <w:rsid w:val="00176360"/>
    <w:rsid w:val="001765D9"/>
    <w:rsid w:val="00177A4A"/>
    <w:rsid w:val="00185CB1"/>
    <w:rsid w:val="00187ECC"/>
    <w:rsid w:val="00195A37"/>
    <w:rsid w:val="001967D9"/>
    <w:rsid w:val="001A3218"/>
    <w:rsid w:val="001A79A1"/>
    <w:rsid w:val="001B08B2"/>
    <w:rsid w:val="001B73FD"/>
    <w:rsid w:val="001C18D0"/>
    <w:rsid w:val="001C463D"/>
    <w:rsid w:val="001C4F42"/>
    <w:rsid w:val="001D1B4B"/>
    <w:rsid w:val="001D4230"/>
    <w:rsid w:val="001F668F"/>
    <w:rsid w:val="001F7CF0"/>
    <w:rsid w:val="002003FB"/>
    <w:rsid w:val="00204E6D"/>
    <w:rsid w:val="00205FC2"/>
    <w:rsid w:val="00211FA8"/>
    <w:rsid w:val="002149E6"/>
    <w:rsid w:val="00220A3F"/>
    <w:rsid w:val="002227EB"/>
    <w:rsid w:val="00223E9F"/>
    <w:rsid w:val="0022527A"/>
    <w:rsid w:val="002429D6"/>
    <w:rsid w:val="0024360F"/>
    <w:rsid w:val="00243CC2"/>
    <w:rsid w:val="00246817"/>
    <w:rsid w:val="0025422C"/>
    <w:rsid w:val="0025696C"/>
    <w:rsid w:val="002651FD"/>
    <w:rsid w:val="002660C8"/>
    <w:rsid w:val="00270B82"/>
    <w:rsid w:val="002776F1"/>
    <w:rsid w:val="00281C02"/>
    <w:rsid w:val="00282559"/>
    <w:rsid w:val="00284EEF"/>
    <w:rsid w:val="00291821"/>
    <w:rsid w:val="002A1D7C"/>
    <w:rsid w:val="002A24BE"/>
    <w:rsid w:val="002A46DA"/>
    <w:rsid w:val="002A5744"/>
    <w:rsid w:val="002A6AB5"/>
    <w:rsid w:val="002A7C76"/>
    <w:rsid w:val="002B1F30"/>
    <w:rsid w:val="002B7233"/>
    <w:rsid w:val="002B7838"/>
    <w:rsid w:val="002C428B"/>
    <w:rsid w:val="002C5553"/>
    <w:rsid w:val="002C64A9"/>
    <w:rsid w:val="002D0B60"/>
    <w:rsid w:val="002D5C3E"/>
    <w:rsid w:val="002D6730"/>
    <w:rsid w:val="003015F6"/>
    <w:rsid w:val="003021DE"/>
    <w:rsid w:val="00302F2A"/>
    <w:rsid w:val="00306120"/>
    <w:rsid w:val="0031186C"/>
    <w:rsid w:val="00314AD5"/>
    <w:rsid w:val="00315BED"/>
    <w:rsid w:val="00326E3F"/>
    <w:rsid w:val="00330840"/>
    <w:rsid w:val="00332DC3"/>
    <w:rsid w:val="00336144"/>
    <w:rsid w:val="00342BD0"/>
    <w:rsid w:val="003461A9"/>
    <w:rsid w:val="00346633"/>
    <w:rsid w:val="0035299D"/>
    <w:rsid w:val="00355F02"/>
    <w:rsid w:val="00361BE9"/>
    <w:rsid w:val="00364737"/>
    <w:rsid w:val="00364AAF"/>
    <w:rsid w:val="003724D2"/>
    <w:rsid w:val="00374CAD"/>
    <w:rsid w:val="00375412"/>
    <w:rsid w:val="00382713"/>
    <w:rsid w:val="0038495F"/>
    <w:rsid w:val="00386C4A"/>
    <w:rsid w:val="003A706F"/>
    <w:rsid w:val="003C27C2"/>
    <w:rsid w:val="003C383B"/>
    <w:rsid w:val="003E67A5"/>
    <w:rsid w:val="003E7D75"/>
    <w:rsid w:val="003F1419"/>
    <w:rsid w:val="003F2753"/>
    <w:rsid w:val="004104FE"/>
    <w:rsid w:val="00410B86"/>
    <w:rsid w:val="0041172C"/>
    <w:rsid w:val="00411A8F"/>
    <w:rsid w:val="00415D60"/>
    <w:rsid w:val="004210D4"/>
    <w:rsid w:val="0042356B"/>
    <w:rsid w:val="0043101C"/>
    <w:rsid w:val="00432830"/>
    <w:rsid w:val="00443970"/>
    <w:rsid w:val="00444008"/>
    <w:rsid w:val="004541E3"/>
    <w:rsid w:val="00455788"/>
    <w:rsid w:val="00457BB5"/>
    <w:rsid w:val="004605F8"/>
    <w:rsid w:val="00472148"/>
    <w:rsid w:val="0048412D"/>
    <w:rsid w:val="00486C3D"/>
    <w:rsid w:val="0048718C"/>
    <w:rsid w:val="0049191E"/>
    <w:rsid w:val="00497396"/>
    <w:rsid w:val="004B4985"/>
    <w:rsid w:val="004C0111"/>
    <w:rsid w:val="004C05FD"/>
    <w:rsid w:val="004D457B"/>
    <w:rsid w:val="004D69CE"/>
    <w:rsid w:val="004D71F7"/>
    <w:rsid w:val="004E7354"/>
    <w:rsid w:val="004E770D"/>
    <w:rsid w:val="004E78AD"/>
    <w:rsid w:val="004F1DC7"/>
    <w:rsid w:val="004F3B6D"/>
    <w:rsid w:val="00500671"/>
    <w:rsid w:val="00504C89"/>
    <w:rsid w:val="00510CCB"/>
    <w:rsid w:val="00523D67"/>
    <w:rsid w:val="005279ED"/>
    <w:rsid w:val="00532B9D"/>
    <w:rsid w:val="00536B25"/>
    <w:rsid w:val="00536C6F"/>
    <w:rsid w:val="00537894"/>
    <w:rsid w:val="00541B41"/>
    <w:rsid w:val="005529E6"/>
    <w:rsid w:val="00554748"/>
    <w:rsid w:val="00560D93"/>
    <w:rsid w:val="0058262C"/>
    <w:rsid w:val="005846F0"/>
    <w:rsid w:val="005852EC"/>
    <w:rsid w:val="00586B39"/>
    <w:rsid w:val="005971B0"/>
    <w:rsid w:val="005A5717"/>
    <w:rsid w:val="005C01F5"/>
    <w:rsid w:val="005C2090"/>
    <w:rsid w:val="005D0922"/>
    <w:rsid w:val="005D2F62"/>
    <w:rsid w:val="005E1153"/>
    <w:rsid w:val="005E4F97"/>
    <w:rsid w:val="00607357"/>
    <w:rsid w:val="00610BC7"/>
    <w:rsid w:val="006114F0"/>
    <w:rsid w:val="00616B5A"/>
    <w:rsid w:val="00623601"/>
    <w:rsid w:val="00626759"/>
    <w:rsid w:val="00631B2D"/>
    <w:rsid w:val="00632139"/>
    <w:rsid w:val="006344A2"/>
    <w:rsid w:val="00634AD5"/>
    <w:rsid w:val="00635C39"/>
    <w:rsid w:val="00650EBD"/>
    <w:rsid w:val="00664192"/>
    <w:rsid w:val="00666A5F"/>
    <w:rsid w:val="00671E24"/>
    <w:rsid w:val="0067386E"/>
    <w:rsid w:val="006864DC"/>
    <w:rsid w:val="00693217"/>
    <w:rsid w:val="006A0574"/>
    <w:rsid w:val="006A230F"/>
    <w:rsid w:val="006A3498"/>
    <w:rsid w:val="006A44C5"/>
    <w:rsid w:val="006A4970"/>
    <w:rsid w:val="006A513D"/>
    <w:rsid w:val="006A68C6"/>
    <w:rsid w:val="006B1053"/>
    <w:rsid w:val="006C3768"/>
    <w:rsid w:val="006C6631"/>
    <w:rsid w:val="006C75F5"/>
    <w:rsid w:val="006D7D4F"/>
    <w:rsid w:val="006E41C1"/>
    <w:rsid w:val="006F1051"/>
    <w:rsid w:val="006F37ED"/>
    <w:rsid w:val="006F3CD9"/>
    <w:rsid w:val="00703F16"/>
    <w:rsid w:val="00724E11"/>
    <w:rsid w:val="007262FE"/>
    <w:rsid w:val="0073167B"/>
    <w:rsid w:val="00734C0D"/>
    <w:rsid w:val="00740C03"/>
    <w:rsid w:val="00751BAC"/>
    <w:rsid w:val="00752FD9"/>
    <w:rsid w:val="00762754"/>
    <w:rsid w:val="00780926"/>
    <w:rsid w:val="00780EE8"/>
    <w:rsid w:val="007824C5"/>
    <w:rsid w:val="00783152"/>
    <w:rsid w:val="0078730F"/>
    <w:rsid w:val="00791189"/>
    <w:rsid w:val="007A2A53"/>
    <w:rsid w:val="007A4C2E"/>
    <w:rsid w:val="007B31F6"/>
    <w:rsid w:val="007C05EB"/>
    <w:rsid w:val="007C3776"/>
    <w:rsid w:val="007C5E66"/>
    <w:rsid w:val="007C71C8"/>
    <w:rsid w:val="007D2973"/>
    <w:rsid w:val="007E1F8F"/>
    <w:rsid w:val="007E5956"/>
    <w:rsid w:val="007F570D"/>
    <w:rsid w:val="00803622"/>
    <w:rsid w:val="00803841"/>
    <w:rsid w:val="00805BC5"/>
    <w:rsid w:val="0080633D"/>
    <w:rsid w:val="00806F1C"/>
    <w:rsid w:val="00820679"/>
    <w:rsid w:val="00820E67"/>
    <w:rsid w:val="0082445A"/>
    <w:rsid w:val="008263DE"/>
    <w:rsid w:val="00827082"/>
    <w:rsid w:val="0082743C"/>
    <w:rsid w:val="00836ECE"/>
    <w:rsid w:val="00837096"/>
    <w:rsid w:val="00851F5A"/>
    <w:rsid w:val="00852371"/>
    <w:rsid w:val="0085357F"/>
    <w:rsid w:val="008575F1"/>
    <w:rsid w:val="008630A7"/>
    <w:rsid w:val="00872F5C"/>
    <w:rsid w:val="00873520"/>
    <w:rsid w:val="00875232"/>
    <w:rsid w:val="00884AB9"/>
    <w:rsid w:val="00886D0F"/>
    <w:rsid w:val="008873CC"/>
    <w:rsid w:val="00891D76"/>
    <w:rsid w:val="008C1B51"/>
    <w:rsid w:val="008C3B6A"/>
    <w:rsid w:val="008C7057"/>
    <w:rsid w:val="008E0812"/>
    <w:rsid w:val="008E1CFF"/>
    <w:rsid w:val="008E4CFA"/>
    <w:rsid w:val="008E58F7"/>
    <w:rsid w:val="008E7A28"/>
    <w:rsid w:val="008F0FB1"/>
    <w:rsid w:val="008F6BC1"/>
    <w:rsid w:val="009058FE"/>
    <w:rsid w:val="0091185E"/>
    <w:rsid w:val="009276F6"/>
    <w:rsid w:val="0093424C"/>
    <w:rsid w:val="009363AF"/>
    <w:rsid w:val="00941DEE"/>
    <w:rsid w:val="0094502F"/>
    <w:rsid w:val="00946672"/>
    <w:rsid w:val="00950550"/>
    <w:rsid w:val="00951D3F"/>
    <w:rsid w:val="0095258D"/>
    <w:rsid w:val="00953243"/>
    <w:rsid w:val="009612A3"/>
    <w:rsid w:val="0096428A"/>
    <w:rsid w:val="00973A1C"/>
    <w:rsid w:val="009839EB"/>
    <w:rsid w:val="00990742"/>
    <w:rsid w:val="009976B6"/>
    <w:rsid w:val="009B423F"/>
    <w:rsid w:val="009C221B"/>
    <w:rsid w:val="009C3819"/>
    <w:rsid w:val="009C5E1E"/>
    <w:rsid w:val="009D5E45"/>
    <w:rsid w:val="009D773C"/>
    <w:rsid w:val="009E0E67"/>
    <w:rsid w:val="009E50E4"/>
    <w:rsid w:val="00A0053E"/>
    <w:rsid w:val="00A02731"/>
    <w:rsid w:val="00A10438"/>
    <w:rsid w:val="00A236CF"/>
    <w:rsid w:val="00A2444C"/>
    <w:rsid w:val="00A244BE"/>
    <w:rsid w:val="00A2494C"/>
    <w:rsid w:val="00A31A9C"/>
    <w:rsid w:val="00A37C43"/>
    <w:rsid w:val="00A40AC9"/>
    <w:rsid w:val="00A416B8"/>
    <w:rsid w:val="00A43B76"/>
    <w:rsid w:val="00A43F3E"/>
    <w:rsid w:val="00A4589D"/>
    <w:rsid w:val="00A5182E"/>
    <w:rsid w:val="00A51872"/>
    <w:rsid w:val="00A53216"/>
    <w:rsid w:val="00A63C0B"/>
    <w:rsid w:val="00A72672"/>
    <w:rsid w:val="00A737B8"/>
    <w:rsid w:val="00A75ECC"/>
    <w:rsid w:val="00A80993"/>
    <w:rsid w:val="00A80F9E"/>
    <w:rsid w:val="00A81F4A"/>
    <w:rsid w:val="00A824EB"/>
    <w:rsid w:val="00A833E5"/>
    <w:rsid w:val="00A85CCE"/>
    <w:rsid w:val="00A86B8A"/>
    <w:rsid w:val="00AB43BD"/>
    <w:rsid w:val="00AB6C05"/>
    <w:rsid w:val="00AC09F5"/>
    <w:rsid w:val="00AD17CC"/>
    <w:rsid w:val="00AE331E"/>
    <w:rsid w:val="00AE4D65"/>
    <w:rsid w:val="00AF25B8"/>
    <w:rsid w:val="00B024B5"/>
    <w:rsid w:val="00B02F14"/>
    <w:rsid w:val="00B04CE0"/>
    <w:rsid w:val="00B06E24"/>
    <w:rsid w:val="00B07509"/>
    <w:rsid w:val="00B07EB7"/>
    <w:rsid w:val="00B1281C"/>
    <w:rsid w:val="00B13F68"/>
    <w:rsid w:val="00B24356"/>
    <w:rsid w:val="00B323B9"/>
    <w:rsid w:val="00B350D9"/>
    <w:rsid w:val="00B36EA3"/>
    <w:rsid w:val="00B464C1"/>
    <w:rsid w:val="00B77873"/>
    <w:rsid w:val="00B95A19"/>
    <w:rsid w:val="00BA78D1"/>
    <w:rsid w:val="00BB6D67"/>
    <w:rsid w:val="00BC798A"/>
    <w:rsid w:val="00BD09A3"/>
    <w:rsid w:val="00BD1AC2"/>
    <w:rsid w:val="00BD7004"/>
    <w:rsid w:val="00BE24F8"/>
    <w:rsid w:val="00BE3E86"/>
    <w:rsid w:val="00BF0071"/>
    <w:rsid w:val="00BF5AB0"/>
    <w:rsid w:val="00BF6308"/>
    <w:rsid w:val="00C03EA6"/>
    <w:rsid w:val="00C213A6"/>
    <w:rsid w:val="00C2249C"/>
    <w:rsid w:val="00C233E9"/>
    <w:rsid w:val="00C23616"/>
    <w:rsid w:val="00C238A7"/>
    <w:rsid w:val="00C26F80"/>
    <w:rsid w:val="00C335D5"/>
    <w:rsid w:val="00C3762E"/>
    <w:rsid w:val="00C50FEB"/>
    <w:rsid w:val="00C5199F"/>
    <w:rsid w:val="00C55DBB"/>
    <w:rsid w:val="00C82396"/>
    <w:rsid w:val="00C82AA0"/>
    <w:rsid w:val="00C85B40"/>
    <w:rsid w:val="00CA14BE"/>
    <w:rsid w:val="00CA1ABB"/>
    <w:rsid w:val="00CA34F6"/>
    <w:rsid w:val="00CB25B2"/>
    <w:rsid w:val="00CC20B0"/>
    <w:rsid w:val="00CC60B9"/>
    <w:rsid w:val="00CC644C"/>
    <w:rsid w:val="00CD175A"/>
    <w:rsid w:val="00CD1A9E"/>
    <w:rsid w:val="00CE110B"/>
    <w:rsid w:val="00CF0244"/>
    <w:rsid w:val="00CF0342"/>
    <w:rsid w:val="00CF28BB"/>
    <w:rsid w:val="00CF471D"/>
    <w:rsid w:val="00CF527E"/>
    <w:rsid w:val="00CF76C2"/>
    <w:rsid w:val="00D03298"/>
    <w:rsid w:val="00D06129"/>
    <w:rsid w:val="00D06B2B"/>
    <w:rsid w:val="00D10860"/>
    <w:rsid w:val="00D11CBD"/>
    <w:rsid w:val="00D15C7A"/>
    <w:rsid w:val="00D20D8E"/>
    <w:rsid w:val="00D326E1"/>
    <w:rsid w:val="00D33F2E"/>
    <w:rsid w:val="00D36A78"/>
    <w:rsid w:val="00D4276E"/>
    <w:rsid w:val="00D513D2"/>
    <w:rsid w:val="00D52196"/>
    <w:rsid w:val="00D67CF2"/>
    <w:rsid w:val="00D71CEA"/>
    <w:rsid w:val="00D72E69"/>
    <w:rsid w:val="00D85820"/>
    <w:rsid w:val="00D92F55"/>
    <w:rsid w:val="00D96D7D"/>
    <w:rsid w:val="00D96F2E"/>
    <w:rsid w:val="00DA3631"/>
    <w:rsid w:val="00DA4090"/>
    <w:rsid w:val="00DA53C6"/>
    <w:rsid w:val="00DA63C9"/>
    <w:rsid w:val="00DA6B85"/>
    <w:rsid w:val="00DB2A34"/>
    <w:rsid w:val="00DB3D70"/>
    <w:rsid w:val="00DC42CB"/>
    <w:rsid w:val="00DD452B"/>
    <w:rsid w:val="00DE02C0"/>
    <w:rsid w:val="00DF6A64"/>
    <w:rsid w:val="00E013C5"/>
    <w:rsid w:val="00E05908"/>
    <w:rsid w:val="00E108A4"/>
    <w:rsid w:val="00E11F27"/>
    <w:rsid w:val="00E13A3E"/>
    <w:rsid w:val="00E14193"/>
    <w:rsid w:val="00E1698A"/>
    <w:rsid w:val="00E23A3A"/>
    <w:rsid w:val="00E25F7D"/>
    <w:rsid w:val="00E26B6E"/>
    <w:rsid w:val="00E35761"/>
    <w:rsid w:val="00E41B3F"/>
    <w:rsid w:val="00E4563B"/>
    <w:rsid w:val="00E5053B"/>
    <w:rsid w:val="00E53CD7"/>
    <w:rsid w:val="00E65206"/>
    <w:rsid w:val="00E70446"/>
    <w:rsid w:val="00E877C8"/>
    <w:rsid w:val="00EA405A"/>
    <w:rsid w:val="00EA5BF3"/>
    <w:rsid w:val="00EC1CF9"/>
    <w:rsid w:val="00EC2CE9"/>
    <w:rsid w:val="00ED3835"/>
    <w:rsid w:val="00EE1F4B"/>
    <w:rsid w:val="00EE26A0"/>
    <w:rsid w:val="00EE2F14"/>
    <w:rsid w:val="00EE62D2"/>
    <w:rsid w:val="00EF3157"/>
    <w:rsid w:val="00EF56C8"/>
    <w:rsid w:val="00EF6F8E"/>
    <w:rsid w:val="00EF718A"/>
    <w:rsid w:val="00F00D87"/>
    <w:rsid w:val="00F02F60"/>
    <w:rsid w:val="00F05B3A"/>
    <w:rsid w:val="00F06F4D"/>
    <w:rsid w:val="00F07529"/>
    <w:rsid w:val="00F11AE3"/>
    <w:rsid w:val="00F145AE"/>
    <w:rsid w:val="00F207F3"/>
    <w:rsid w:val="00F222AA"/>
    <w:rsid w:val="00F243B9"/>
    <w:rsid w:val="00F30177"/>
    <w:rsid w:val="00F40CEE"/>
    <w:rsid w:val="00F44613"/>
    <w:rsid w:val="00F500E3"/>
    <w:rsid w:val="00F5126B"/>
    <w:rsid w:val="00F5469A"/>
    <w:rsid w:val="00F54EF0"/>
    <w:rsid w:val="00F55076"/>
    <w:rsid w:val="00F6288E"/>
    <w:rsid w:val="00F63DAD"/>
    <w:rsid w:val="00F65924"/>
    <w:rsid w:val="00F66A28"/>
    <w:rsid w:val="00F81142"/>
    <w:rsid w:val="00F8384D"/>
    <w:rsid w:val="00F85EAC"/>
    <w:rsid w:val="00F90CE5"/>
    <w:rsid w:val="00F9666C"/>
    <w:rsid w:val="00FA099B"/>
    <w:rsid w:val="00FA27E6"/>
    <w:rsid w:val="00FB12D4"/>
    <w:rsid w:val="00FB533E"/>
    <w:rsid w:val="00FB7A57"/>
    <w:rsid w:val="00FC6918"/>
    <w:rsid w:val="00FD5CCF"/>
    <w:rsid w:val="00FE0381"/>
    <w:rsid w:val="00FE69D8"/>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F34CD"/>
  <w15:docId w15:val="{123157A6-6291-41A5-9D68-4242B876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4356"/>
    <w:pPr>
      <w:ind w:left="567" w:hanging="567"/>
    </w:pPr>
    <w:rPr>
      <w:sz w:val="22"/>
      <w:szCs w:val="24"/>
      <w:lang w:val="sk-SK" w:eastAsia="sk-SK"/>
    </w:rPr>
  </w:style>
  <w:style w:type="paragraph" w:styleId="Nadpis1">
    <w:name w:val="heading 1"/>
    <w:basedOn w:val="Normlny"/>
    <w:next w:val="Normlny"/>
    <w:qFormat/>
    <w:rsid w:val="00B2435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B2435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B2435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B2435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B2435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B2435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B2435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B2435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B2435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24356"/>
  </w:style>
  <w:style w:type="paragraph" w:styleId="Pta">
    <w:name w:val="footer"/>
    <w:basedOn w:val="Normlny"/>
    <w:rsid w:val="00B24356"/>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rsid w:val="00B24356"/>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B24356"/>
    <w:rPr>
      <w:color w:val="0000FF"/>
      <w:u w:val="single"/>
    </w:rPr>
  </w:style>
  <w:style w:type="paragraph" w:customStyle="1" w:styleId="EMEAEnBodyText">
    <w:name w:val="EMEA En Body Text"/>
    <w:basedOn w:val="Normlny"/>
    <w:rsid w:val="00B24356"/>
    <w:pPr>
      <w:spacing w:before="120" w:after="120"/>
      <w:ind w:left="0" w:firstLine="0"/>
      <w:jc w:val="both"/>
    </w:pPr>
    <w:rPr>
      <w:szCs w:val="20"/>
      <w:lang w:val="en-US" w:eastAsia="en-US"/>
    </w:rPr>
  </w:style>
  <w:style w:type="paragraph" w:styleId="Zkladntext">
    <w:name w:val="Body Text"/>
    <w:basedOn w:val="Normlny"/>
    <w:rsid w:val="00B24356"/>
    <w:pPr>
      <w:ind w:left="0" w:firstLine="0"/>
    </w:pPr>
  </w:style>
  <w:style w:type="paragraph" w:styleId="Textbubliny">
    <w:name w:val="Balloon Text"/>
    <w:basedOn w:val="Normlny"/>
    <w:semiHidden/>
    <w:rsid w:val="00B24356"/>
    <w:rPr>
      <w:rFonts w:ascii="Tahoma" w:hAnsi="Tahoma" w:cs="Tahoma"/>
      <w:sz w:val="16"/>
      <w:szCs w:val="16"/>
    </w:rPr>
  </w:style>
  <w:style w:type="character" w:styleId="PouitHypertextovPrepojenie">
    <w:name w:val="FollowedHyperlink"/>
    <w:rsid w:val="00B24356"/>
    <w:rPr>
      <w:color w:val="800080"/>
      <w:u w:val="single"/>
    </w:rPr>
  </w:style>
  <w:style w:type="character" w:styleId="Odkaznakomentr">
    <w:name w:val="annotation reference"/>
    <w:uiPriority w:val="99"/>
    <w:rsid w:val="00B24356"/>
    <w:rPr>
      <w:sz w:val="16"/>
      <w:szCs w:val="16"/>
    </w:rPr>
  </w:style>
  <w:style w:type="paragraph" w:styleId="Textkomentra">
    <w:name w:val="annotation text"/>
    <w:basedOn w:val="Normlny"/>
    <w:link w:val="TextkomentraChar"/>
    <w:uiPriority w:val="99"/>
    <w:rsid w:val="00B24356"/>
    <w:rPr>
      <w:sz w:val="20"/>
      <w:szCs w:val="20"/>
    </w:rPr>
  </w:style>
  <w:style w:type="paragraph" w:styleId="Predmetkomentra">
    <w:name w:val="annotation subject"/>
    <w:basedOn w:val="Textkomentra"/>
    <w:next w:val="Textkomentra"/>
    <w:semiHidden/>
    <w:rsid w:val="00B24356"/>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paragraph" w:styleId="Odsekzoznamu">
    <w:name w:val="List Paragraph"/>
    <w:basedOn w:val="Normlny"/>
    <w:uiPriority w:val="34"/>
    <w:qFormat/>
    <w:rsid w:val="00D36A78"/>
    <w:pPr>
      <w:ind w:left="720"/>
      <w:contextualSpacing/>
    </w:pPr>
  </w:style>
  <w:style w:type="table" w:styleId="Mriekatabuky">
    <w:name w:val="Table Grid"/>
    <w:basedOn w:val="Normlnatabuka"/>
    <w:rsid w:val="00EF56C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Predvolenpsmoodseku"/>
    <w:rsid w:val="002A7C76"/>
  </w:style>
  <w:style w:type="character" w:styleId="Zvraznenie">
    <w:name w:val="Emphasis"/>
    <w:basedOn w:val="Predvolenpsmoodseku"/>
    <w:uiPriority w:val="20"/>
    <w:qFormat/>
    <w:rsid w:val="00941DEE"/>
    <w:rPr>
      <w:i/>
      <w:iCs/>
    </w:rPr>
  </w:style>
  <w:style w:type="character" w:customStyle="1" w:styleId="HlavikaChar">
    <w:name w:val="Hlavička Char"/>
    <w:basedOn w:val="Predvolenpsmoodseku"/>
    <w:link w:val="Hlavika"/>
    <w:rsid w:val="00B350D9"/>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4074">
      <w:bodyDiv w:val="1"/>
      <w:marLeft w:val="0"/>
      <w:marRight w:val="0"/>
      <w:marTop w:val="0"/>
      <w:marBottom w:val="0"/>
      <w:divBdr>
        <w:top w:val="none" w:sz="0" w:space="0" w:color="auto"/>
        <w:left w:val="none" w:sz="0" w:space="0" w:color="auto"/>
        <w:bottom w:val="none" w:sz="0" w:space="0" w:color="auto"/>
        <w:right w:val="none" w:sz="0" w:space="0" w:color="auto"/>
      </w:divBdr>
    </w:div>
    <w:div w:id="445075803">
      <w:bodyDiv w:val="1"/>
      <w:marLeft w:val="0"/>
      <w:marRight w:val="0"/>
      <w:marTop w:val="0"/>
      <w:marBottom w:val="0"/>
      <w:divBdr>
        <w:top w:val="none" w:sz="0" w:space="0" w:color="auto"/>
        <w:left w:val="none" w:sz="0" w:space="0" w:color="auto"/>
        <w:bottom w:val="none" w:sz="0" w:space="0" w:color="auto"/>
        <w:right w:val="none" w:sz="0" w:space="0" w:color="auto"/>
      </w:divBdr>
    </w:div>
    <w:div w:id="565268144">
      <w:bodyDiv w:val="1"/>
      <w:marLeft w:val="0"/>
      <w:marRight w:val="0"/>
      <w:marTop w:val="0"/>
      <w:marBottom w:val="0"/>
      <w:divBdr>
        <w:top w:val="none" w:sz="0" w:space="0" w:color="auto"/>
        <w:left w:val="none" w:sz="0" w:space="0" w:color="auto"/>
        <w:bottom w:val="none" w:sz="0" w:space="0" w:color="auto"/>
        <w:right w:val="none" w:sz="0" w:space="0" w:color="auto"/>
      </w:divBdr>
    </w:div>
    <w:div w:id="1308512366">
      <w:bodyDiv w:val="1"/>
      <w:marLeft w:val="0"/>
      <w:marRight w:val="0"/>
      <w:marTop w:val="0"/>
      <w:marBottom w:val="0"/>
      <w:divBdr>
        <w:top w:val="none" w:sz="0" w:space="0" w:color="auto"/>
        <w:left w:val="none" w:sz="0" w:space="0" w:color="auto"/>
        <w:bottom w:val="none" w:sz="0" w:space="0" w:color="auto"/>
        <w:right w:val="none" w:sz="0" w:space="0" w:color="auto"/>
      </w:divBdr>
    </w:div>
    <w:div w:id="1317147228">
      <w:bodyDiv w:val="1"/>
      <w:marLeft w:val="0"/>
      <w:marRight w:val="0"/>
      <w:marTop w:val="0"/>
      <w:marBottom w:val="0"/>
      <w:divBdr>
        <w:top w:val="none" w:sz="0" w:space="0" w:color="auto"/>
        <w:left w:val="none" w:sz="0" w:space="0" w:color="auto"/>
        <w:bottom w:val="none" w:sz="0" w:space="0" w:color="auto"/>
        <w:right w:val="none" w:sz="0" w:space="0" w:color="auto"/>
      </w:divBdr>
    </w:div>
    <w:div w:id="1417480926">
      <w:bodyDiv w:val="1"/>
      <w:marLeft w:val="0"/>
      <w:marRight w:val="0"/>
      <w:marTop w:val="0"/>
      <w:marBottom w:val="0"/>
      <w:divBdr>
        <w:top w:val="none" w:sz="0" w:space="0" w:color="auto"/>
        <w:left w:val="none" w:sz="0" w:space="0" w:color="auto"/>
        <w:bottom w:val="none" w:sz="0" w:space="0" w:color="auto"/>
        <w:right w:val="none" w:sz="0" w:space="0" w:color="auto"/>
      </w:divBdr>
    </w:div>
    <w:div w:id="1454788147">
      <w:bodyDiv w:val="1"/>
      <w:marLeft w:val="0"/>
      <w:marRight w:val="0"/>
      <w:marTop w:val="0"/>
      <w:marBottom w:val="0"/>
      <w:divBdr>
        <w:top w:val="none" w:sz="0" w:space="0" w:color="auto"/>
        <w:left w:val="none" w:sz="0" w:space="0" w:color="auto"/>
        <w:bottom w:val="none" w:sz="0" w:space="0" w:color="auto"/>
        <w:right w:val="none" w:sz="0" w:space="0" w:color="auto"/>
      </w:divBdr>
    </w:div>
    <w:div w:id="1477650865">
      <w:bodyDiv w:val="1"/>
      <w:marLeft w:val="0"/>
      <w:marRight w:val="0"/>
      <w:marTop w:val="0"/>
      <w:marBottom w:val="0"/>
      <w:divBdr>
        <w:top w:val="none" w:sz="0" w:space="0" w:color="auto"/>
        <w:left w:val="none" w:sz="0" w:space="0" w:color="auto"/>
        <w:bottom w:val="none" w:sz="0" w:space="0" w:color="auto"/>
        <w:right w:val="none" w:sz="0" w:space="0" w:color="auto"/>
      </w:divBdr>
    </w:div>
    <w:div w:id="1621303684">
      <w:bodyDiv w:val="1"/>
      <w:marLeft w:val="0"/>
      <w:marRight w:val="0"/>
      <w:marTop w:val="0"/>
      <w:marBottom w:val="0"/>
      <w:divBdr>
        <w:top w:val="none" w:sz="0" w:space="0" w:color="auto"/>
        <w:left w:val="none" w:sz="0" w:space="0" w:color="auto"/>
        <w:bottom w:val="none" w:sz="0" w:space="0" w:color="auto"/>
        <w:right w:val="none" w:sz="0" w:space="0" w:color="auto"/>
      </w:divBdr>
    </w:div>
    <w:div w:id="1842116491">
      <w:bodyDiv w:val="1"/>
      <w:marLeft w:val="0"/>
      <w:marRight w:val="0"/>
      <w:marTop w:val="0"/>
      <w:marBottom w:val="0"/>
      <w:divBdr>
        <w:top w:val="none" w:sz="0" w:space="0" w:color="auto"/>
        <w:left w:val="none" w:sz="0" w:space="0" w:color="auto"/>
        <w:bottom w:val="none" w:sz="0" w:space="0" w:color="auto"/>
        <w:right w:val="none" w:sz="0" w:space="0" w:color="auto"/>
      </w:divBdr>
    </w:div>
    <w:div w:id="206224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DCA9A-3EFE-4B5B-82CB-A9E80C6B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5346</Words>
  <Characters>35134</Characters>
  <Application>Microsoft Office Word</Application>
  <DocSecurity>0</DocSecurity>
  <Lines>292</Lines>
  <Paragraphs>80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Hreferralspcclean_sk</vt:lpstr>
      <vt:lpstr>Hreferralspcclean_sk</vt:lpstr>
      <vt:lpstr>Hreferralspccleansk rev.1 08-2016</vt:lpstr>
    </vt:vector>
  </TitlesOfParts>
  <Company>EMEA</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user</cp:lastModifiedBy>
  <cp:revision>2</cp:revision>
  <cp:lastPrinted>2003-05-16T08:55:00Z</cp:lastPrinted>
  <dcterms:created xsi:type="dcterms:W3CDTF">2021-03-16T10:15:00Z</dcterms:created>
  <dcterms:modified xsi:type="dcterms:W3CDTF">2021-03-16T10:15:00Z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