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A664D" w14:textId="77777777" w:rsidR="00492629" w:rsidRPr="0027277C" w:rsidRDefault="00492629" w:rsidP="0027277C">
      <w:pPr>
        <w:jc w:val="center"/>
        <w:outlineLvl w:val="0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Súhrn charakteristických vlastností lieku</w:t>
      </w:r>
    </w:p>
    <w:p w14:paraId="50135A22" w14:textId="77777777" w:rsidR="00140CF8" w:rsidRPr="0027277C" w:rsidRDefault="00140CF8" w:rsidP="0027277C">
      <w:pPr>
        <w:jc w:val="center"/>
        <w:rPr>
          <w:caps/>
          <w:sz w:val="22"/>
          <w:szCs w:val="22"/>
        </w:rPr>
      </w:pPr>
    </w:p>
    <w:p w14:paraId="1175B31B" w14:textId="77777777" w:rsidR="00140CF8" w:rsidRPr="0027277C" w:rsidRDefault="00140CF8" w:rsidP="0027277C">
      <w:pPr>
        <w:rPr>
          <w:sz w:val="22"/>
          <w:szCs w:val="22"/>
        </w:rPr>
      </w:pPr>
    </w:p>
    <w:p w14:paraId="6B64C3BC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sz w:val="22"/>
          <w:szCs w:val="22"/>
        </w:rPr>
        <w:t>1.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Názov Lieku</w:t>
      </w:r>
    </w:p>
    <w:p w14:paraId="13B5F497" w14:textId="77777777" w:rsidR="00140CF8" w:rsidRPr="0027277C" w:rsidRDefault="00140CF8" w:rsidP="0027277C">
      <w:pPr>
        <w:rPr>
          <w:sz w:val="22"/>
          <w:szCs w:val="22"/>
        </w:rPr>
      </w:pPr>
    </w:p>
    <w:p w14:paraId="14167C23" w14:textId="2EEC1F4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3DA4F4C0" w14:textId="77777777" w:rsidR="00BC6143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</w:t>
      </w:r>
    </w:p>
    <w:p w14:paraId="7C4E3FC4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filmom obalené tablety</w:t>
      </w:r>
    </w:p>
    <w:p w14:paraId="60F1301F" w14:textId="77777777" w:rsidR="00140CF8" w:rsidRPr="0027277C" w:rsidRDefault="00140CF8" w:rsidP="0027277C">
      <w:pPr>
        <w:rPr>
          <w:sz w:val="22"/>
          <w:szCs w:val="22"/>
        </w:rPr>
      </w:pPr>
    </w:p>
    <w:p w14:paraId="1FD00116" w14:textId="77777777" w:rsidR="00140CF8" w:rsidRPr="0027277C" w:rsidRDefault="00140CF8" w:rsidP="0027277C">
      <w:pPr>
        <w:rPr>
          <w:sz w:val="22"/>
          <w:szCs w:val="22"/>
        </w:rPr>
      </w:pPr>
    </w:p>
    <w:p w14:paraId="09C66B15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2.</w:t>
      </w:r>
      <w:r w:rsidRPr="0027277C">
        <w:rPr>
          <w:b/>
          <w:caps/>
          <w:sz w:val="22"/>
          <w:szCs w:val="22"/>
        </w:rPr>
        <w:tab/>
        <w:t>kvalitatívne a kvantitatívne ZloŽenie</w:t>
      </w:r>
    </w:p>
    <w:p w14:paraId="1C06C00D" w14:textId="77777777" w:rsidR="00140CF8" w:rsidRPr="0027277C" w:rsidRDefault="00140CF8" w:rsidP="0027277C">
      <w:pPr>
        <w:rPr>
          <w:sz w:val="22"/>
          <w:szCs w:val="22"/>
        </w:rPr>
      </w:pPr>
    </w:p>
    <w:p w14:paraId="4A0267C6" w14:textId="11FC080E" w:rsidR="001511C4" w:rsidRPr="0027277C" w:rsidRDefault="0064094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Jedna </w:t>
      </w:r>
      <w:r w:rsidR="00F26AEA" w:rsidRPr="0027277C">
        <w:rPr>
          <w:sz w:val="22"/>
          <w:szCs w:val="22"/>
        </w:rPr>
        <w:t xml:space="preserve">filmom obalená tableta obsahuje </w:t>
      </w:r>
      <w:r w:rsidR="00140CF8" w:rsidRPr="0027277C">
        <w:rPr>
          <w:sz w:val="22"/>
          <w:szCs w:val="22"/>
        </w:rPr>
        <w:t>20</w:t>
      </w:r>
      <w:r w:rsidR="001511C4" w:rsidRPr="0027277C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 xml:space="preserve">mg </w:t>
      </w:r>
      <w:r w:rsidR="00F26AEA" w:rsidRPr="0027277C">
        <w:rPr>
          <w:sz w:val="22"/>
          <w:szCs w:val="22"/>
        </w:rPr>
        <w:t>alebo 30</w:t>
      </w:r>
      <w:r w:rsidR="001511C4" w:rsidRPr="0027277C">
        <w:rPr>
          <w:sz w:val="22"/>
          <w:szCs w:val="22"/>
        </w:rPr>
        <w:t> </w:t>
      </w:r>
      <w:r w:rsidR="00F26AEA" w:rsidRPr="0027277C">
        <w:rPr>
          <w:sz w:val="22"/>
          <w:szCs w:val="22"/>
        </w:rPr>
        <w:t>mg</w:t>
      </w:r>
      <w:r w:rsidR="008B4343" w:rsidRPr="0027277C">
        <w:rPr>
          <w:sz w:val="22"/>
          <w:szCs w:val="22"/>
        </w:rPr>
        <w:t xml:space="preserve"> </w:t>
      </w:r>
      <w:r w:rsidR="00BC6143" w:rsidRPr="0027277C">
        <w:rPr>
          <w:sz w:val="22"/>
          <w:szCs w:val="22"/>
        </w:rPr>
        <w:t xml:space="preserve">paroxetínu </w:t>
      </w:r>
      <w:r w:rsidR="00F26AEA" w:rsidRPr="0027277C">
        <w:rPr>
          <w:sz w:val="22"/>
          <w:szCs w:val="22"/>
        </w:rPr>
        <w:t>(vo forme hemihydrátu paroxetín</w:t>
      </w:r>
      <w:r w:rsidR="000300AE" w:rsidRPr="0027277C">
        <w:rPr>
          <w:sz w:val="22"/>
          <w:szCs w:val="22"/>
        </w:rPr>
        <w:t>i</w:t>
      </w:r>
      <w:r w:rsidR="00F26AEA" w:rsidRPr="0027277C">
        <w:rPr>
          <w:sz w:val="22"/>
          <w:szCs w:val="22"/>
        </w:rPr>
        <w:t>u</w:t>
      </w:r>
      <w:r w:rsidR="000300AE" w:rsidRPr="0027277C">
        <w:rPr>
          <w:sz w:val="22"/>
          <w:szCs w:val="22"/>
        </w:rPr>
        <w:t>m</w:t>
      </w:r>
      <w:r w:rsidR="00FC608D">
        <w:rPr>
          <w:sz w:val="22"/>
          <w:szCs w:val="22"/>
        </w:rPr>
        <w:noBreakHyphen/>
      </w:r>
      <w:r w:rsidR="000300AE" w:rsidRPr="0027277C">
        <w:rPr>
          <w:sz w:val="22"/>
          <w:szCs w:val="22"/>
        </w:rPr>
        <w:t>chloridu</w:t>
      </w:r>
      <w:r w:rsidR="00F26AEA" w:rsidRPr="0027277C">
        <w:rPr>
          <w:sz w:val="22"/>
          <w:szCs w:val="22"/>
        </w:rPr>
        <w:t>).</w:t>
      </w:r>
    </w:p>
    <w:p w14:paraId="5953E17B" w14:textId="77777777" w:rsidR="001511C4" w:rsidRPr="0027277C" w:rsidRDefault="001511C4" w:rsidP="0027277C">
      <w:pPr>
        <w:rPr>
          <w:sz w:val="22"/>
          <w:szCs w:val="22"/>
        </w:rPr>
      </w:pPr>
    </w:p>
    <w:p w14:paraId="01FE21A0" w14:textId="77777777" w:rsidR="00140CF8" w:rsidRPr="0027277C" w:rsidRDefault="00700801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Úplný zoznam pomocných látok, </w:t>
      </w:r>
      <w:r w:rsidR="00843906" w:rsidRPr="0027277C">
        <w:rPr>
          <w:sz w:val="22"/>
          <w:szCs w:val="22"/>
        </w:rPr>
        <w:t>pozri časť</w:t>
      </w:r>
      <w:r w:rsidR="00242438" w:rsidRPr="0027277C">
        <w:rPr>
          <w:sz w:val="22"/>
          <w:szCs w:val="22"/>
        </w:rPr>
        <w:t> </w:t>
      </w:r>
      <w:r w:rsidR="00843906" w:rsidRPr="0027277C">
        <w:rPr>
          <w:sz w:val="22"/>
          <w:szCs w:val="22"/>
        </w:rPr>
        <w:t>6.1.</w:t>
      </w:r>
    </w:p>
    <w:p w14:paraId="0D5CA6DC" w14:textId="77777777" w:rsidR="00140CF8" w:rsidRPr="0027277C" w:rsidRDefault="00140CF8" w:rsidP="0027277C">
      <w:pPr>
        <w:rPr>
          <w:sz w:val="22"/>
          <w:szCs w:val="22"/>
        </w:rPr>
      </w:pPr>
    </w:p>
    <w:p w14:paraId="3679EE16" w14:textId="77777777" w:rsidR="008B4343" w:rsidRPr="0027277C" w:rsidRDefault="008B4343" w:rsidP="0027277C">
      <w:pPr>
        <w:rPr>
          <w:sz w:val="22"/>
          <w:szCs w:val="22"/>
        </w:rPr>
      </w:pPr>
    </w:p>
    <w:p w14:paraId="7EAF9A41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3.</w:t>
      </w:r>
      <w:r w:rsidRPr="0027277C">
        <w:rPr>
          <w:b/>
          <w:caps/>
          <w:sz w:val="22"/>
          <w:szCs w:val="22"/>
        </w:rPr>
        <w:tab/>
        <w:t>Lieková forma</w:t>
      </w:r>
    </w:p>
    <w:p w14:paraId="31BDAEC5" w14:textId="77777777" w:rsidR="00140CF8" w:rsidRPr="0027277C" w:rsidRDefault="00140CF8" w:rsidP="0027277C">
      <w:pPr>
        <w:rPr>
          <w:sz w:val="22"/>
          <w:szCs w:val="22"/>
        </w:rPr>
      </w:pPr>
    </w:p>
    <w:p w14:paraId="54E6787B" w14:textId="77777777" w:rsidR="001511C4" w:rsidRPr="0027277C" w:rsidRDefault="00140CF8" w:rsidP="0027277C">
      <w:pPr>
        <w:tabs>
          <w:tab w:val="left" w:pos="567"/>
        </w:tabs>
        <w:rPr>
          <w:sz w:val="22"/>
          <w:szCs w:val="22"/>
          <w:lang w:eastAsia="en-US"/>
        </w:rPr>
      </w:pPr>
      <w:r w:rsidRPr="0027277C">
        <w:rPr>
          <w:sz w:val="22"/>
          <w:szCs w:val="22"/>
          <w:lang w:eastAsia="en-US"/>
        </w:rPr>
        <w:t>F</w:t>
      </w:r>
      <w:r w:rsidR="00242438" w:rsidRPr="0027277C">
        <w:rPr>
          <w:sz w:val="22"/>
          <w:szCs w:val="22"/>
          <w:lang w:eastAsia="en-US"/>
        </w:rPr>
        <w:t>ilmom obalené tablet</w:t>
      </w:r>
      <w:r w:rsidR="00531B25" w:rsidRPr="0027277C">
        <w:rPr>
          <w:sz w:val="22"/>
          <w:szCs w:val="22"/>
          <w:lang w:eastAsia="en-US"/>
        </w:rPr>
        <w:t>y</w:t>
      </w:r>
    </w:p>
    <w:p w14:paraId="592C6452" w14:textId="77777777" w:rsidR="00242438" w:rsidRPr="0027277C" w:rsidRDefault="00242438" w:rsidP="0027277C">
      <w:pPr>
        <w:rPr>
          <w:sz w:val="22"/>
          <w:szCs w:val="22"/>
        </w:rPr>
      </w:pPr>
    </w:p>
    <w:p w14:paraId="17118425" w14:textId="77777777" w:rsidR="001511C4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biele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20</w:t>
      </w:r>
      <w:r w:rsidR="00C14F17" w:rsidRPr="0027277C">
        <w:rPr>
          <w:sz w:val="22"/>
          <w:szCs w:val="22"/>
        </w:rPr>
        <w:t>“ alebo „20“ a</w:t>
      </w:r>
      <w:r w:rsidRPr="0027277C">
        <w:rPr>
          <w:sz w:val="22"/>
          <w:szCs w:val="22"/>
        </w:rPr>
        <w:t xml:space="preserve"> na druhej strane s deliacou ryhou.</w:t>
      </w:r>
    </w:p>
    <w:p w14:paraId="16073791" w14:textId="77777777" w:rsidR="00140CF8" w:rsidRPr="0027277C" w:rsidRDefault="0087624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20 mg filmom obalená tableta sa môže rozdeliť na rovnaké </w:t>
      </w:r>
      <w:r w:rsidR="00850ED4" w:rsidRPr="0027277C">
        <w:rPr>
          <w:sz w:val="22"/>
          <w:szCs w:val="22"/>
        </w:rPr>
        <w:t>dávky</w:t>
      </w:r>
      <w:r w:rsidR="00C42A72" w:rsidRPr="0027277C">
        <w:rPr>
          <w:sz w:val="22"/>
          <w:szCs w:val="22"/>
        </w:rPr>
        <w:t>.</w:t>
      </w:r>
    </w:p>
    <w:p w14:paraId="2DEB6B07" w14:textId="77777777" w:rsidR="00242438" w:rsidRPr="0027277C" w:rsidRDefault="00242438" w:rsidP="0027277C">
      <w:pPr>
        <w:rPr>
          <w:sz w:val="22"/>
          <w:szCs w:val="22"/>
        </w:rPr>
      </w:pPr>
    </w:p>
    <w:p w14:paraId="3B75AB9B" w14:textId="1C75AEF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1511C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 modré</w:t>
      </w:r>
      <w:r w:rsidR="00C14F17" w:rsidRPr="0027277C">
        <w:rPr>
          <w:sz w:val="22"/>
          <w:szCs w:val="22"/>
        </w:rPr>
        <w:t xml:space="preserve"> oválne bikonvexné</w:t>
      </w:r>
      <w:r w:rsidRPr="0027277C">
        <w:rPr>
          <w:sz w:val="22"/>
          <w:szCs w:val="22"/>
        </w:rPr>
        <w:t xml:space="preserve"> filmom obalené tablety na jednej strane s nápisom </w:t>
      </w:r>
      <w:r w:rsidR="00C14F17" w:rsidRPr="0027277C">
        <w:rPr>
          <w:sz w:val="22"/>
          <w:szCs w:val="22"/>
        </w:rPr>
        <w:t>„</w:t>
      </w:r>
      <w:r w:rsidRPr="0027277C">
        <w:rPr>
          <w:sz w:val="22"/>
          <w:szCs w:val="22"/>
        </w:rPr>
        <w:t>SEROXAT 30</w:t>
      </w:r>
      <w:r w:rsidR="00C14F17" w:rsidRPr="0027277C">
        <w:rPr>
          <w:sz w:val="22"/>
          <w:szCs w:val="22"/>
        </w:rPr>
        <w:t>“ alebo „30“ a</w:t>
      </w:r>
      <w:r w:rsidRPr="0027277C">
        <w:rPr>
          <w:sz w:val="22"/>
          <w:szCs w:val="22"/>
        </w:rPr>
        <w:t xml:space="preserve"> na druhej strane s deliacou ryhou.</w:t>
      </w:r>
      <w:r w:rsidR="00977E73" w:rsidRPr="0027277C">
        <w:rPr>
          <w:sz w:val="22"/>
          <w:szCs w:val="22"/>
        </w:rPr>
        <w:t xml:space="preserve"> </w:t>
      </w:r>
      <w:r w:rsidR="00850ED4" w:rsidRPr="0027277C">
        <w:rPr>
          <w:sz w:val="22"/>
          <w:szCs w:val="22"/>
        </w:rPr>
        <w:t>Deliaca ryha iba pomáha rozlomiť tabletu, aby sa dala ľahšie prehltnúť</w:t>
      </w:r>
      <w:r w:rsidR="008860C2">
        <w:rPr>
          <w:sz w:val="22"/>
          <w:szCs w:val="22"/>
        </w:rPr>
        <w:t>,</w:t>
      </w:r>
      <w:r w:rsidR="00850ED4" w:rsidRPr="0027277C">
        <w:rPr>
          <w:sz w:val="22"/>
          <w:szCs w:val="22"/>
        </w:rPr>
        <w:t xml:space="preserve"> a neslúži na rozdelenie na rovnaké dávky</w:t>
      </w:r>
      <w:r w:rsidR="009D7858" w:rsidRPr="0027277C">
        <w:rPr>
          <w:sz w:val="22"/>
          <w:szCs w:val="22"/>
        </w:rPr>
        <w:t>.</w:t>
      </w:r>
    </w:p>
    <w:p w14:paraId="2C453EC3" w14:textId="77777777" w:rsidR="00140CF8" w:rsidRPr="0027277C" w:rsidRDefault="00140CF8" w:rsidP="0027277C">
      <w:pPr>
        <w:rPr>
          <w:sz w:val="22"/>
          <w:szCs w:val="22"/>
        </w:rPr>
      </w:pPr>
    </w:p>
    <w:p w14:paraId="7785966E" w14:textId="77777777" w:rsidR="00140CF8" w:rsidRPr="0027277C" w:rsidRDefault="00140CF8" w:rsidP="0027277C">
      <w:pPr>
        <w:rPr>
          <w:sz w:val="22"/>
          <w:szCs w:val="22"/>
        </w:rPr>
      </w:pPr>
    </w:p>
    <w:p w14:paraId="5AE8E0C3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</w:t>
      </w:r>
      <w:r w:rsidRPr="0027277C">
        <w:rPr>
          <w:b/>
          <w:sz w:val="22"/>
          <w:szCs w:val="22"/>
        </w:rPr>
        <w:tab/>
      </w:r>
      <w:r w:rsidRPr="0027277C">
        <w:rPr>
          <w:b/>
          <w:caps/>
          <w:sz w:val="22"/>
          <w:szCs w:val="22"/>
        </w:rPr>
        <w:t>Klinické údaje</w:t>
      </w:r>
    </w:p>
    <w:p w14:paraId="33037AC6" w14:textId="77777777" w:rsidR="00140CF8" w:rsidRPr="0027277C" w:rsidRDefault="00140CF8" w:rsidP="0027277C">
      <w:pPr>
        <w:rPr>
          <w:sz w:val="22"/>
          <w:szCs w:val="22"/>
        </w:rPr>
      </w:pPr>
    </w:p>
    <w:p w14:paraId="2789C0EB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4.1</w:t>
      </w:r>
      <w:r w:rsidRPr="0027277C">
        <w:rPr>
          <w:b/>
          <w:sz w:val="22"/>
          <w:szCs w:val="22"/>
        </w:rPr>
        <w:tab/>
        <w:t>Terapeutické indikácie</w:t>
      </w:r>
    </w:p>
    <w:p w14:paraId="6ABAB9AE" w14:textId="77777777" w:rsidR="00140CF8" w:rsidRPr="0027277C" w:rsidRDefault="00140CF8" w:rsidP="0027277C">
      <w:pPr>
        <w:rPr>
          <w:i/>
          <w:sz w:val="22"/>
          <w:szCs w:val="22"/>
        </w:rPr>
      </w:pPr>
    </w:p>
    <w:p w14:paraId="18723EE6" w14:textId="77777777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Liečba</w:t>
      </w:r>
    </w:p>
    <w:p w14:paraId="71E3CC9A" w14:textId="77777777" w:rsidR="00140CF8" w:rsidRPr="0027277C" w:rsidRDefault="00140CF8" w:rsidP="0027277C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="00D31265" w:rsidRPr="0027277C">
        <w:rPr>
          <w:sz w:val="22"/>
          <w:szCs w:val="22"/>
        </w:rPr>
        <w:tab/>
      </w:r>
      <w:r w:rsidR="006C3765" w:rsidRPr="0027277C">
        <w:rPr>
          <w:sz w:val="22"/>
          <w:szCs w:val="22"/>
        </w:rPr>
        <w:t xml:space="preserve">Veľkej </w:t>
      </w:r>
      <w:r w:rsidR="006C3765" w:rsidRPr="0027277C">
        <w:rPr>
          <w:bCs/>
          <w:sz w:val="22"/>
          <w:szCs w:val="22"/>
        </w:rPr>
        <w:t>d</w:t>
      </w:r>
      <w:r w:rsidR="00E83BB1" w:rsidRPr="0027277C">
        <w:rPr>
          <w:bCs/>
          <w:sz w:val="22"/>
          <w:szCs w:val="22"/>
        </w:rPr>
        <w:t xml:space="preserve">epresívnej epizódy </w:t>
      </w:r>
      <w:r w:rsidR="0090329D" w:rsidRPr="0027277C">
        <w:rPr>
          <w:sz w:val="22"/>
          <w:szCs w:val="22"/>
        </w:rPr>
        <w:t>a recidivujúcej depresívnej poruchy</w:t>
      </w:r>
    </w:p>
    <w:p w14:paraId="4B2D21FC" w14:textId="3379E381" w:rsidR="00140CF8" w:rsidRPr="0027277C" w:rsidRDefault="00140CF8" w:rsidP="0027277C">
      <w:pPr>
        <w:ind w:left="567" w:hanging="567"/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Obsedantno</w:t>
      </w:r>
      <w:r w:rsidR="00550733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</w:t>
      </w:r>
    </w:p>
    <w:p w14:paraId="1D7DAC1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Panickej poruchy s agorafóbiou a bez nej</w:t>
      </w:r>
    </w:p>
    <w:p w14:paraId="793EFB1D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Sociálnej úzkosti/Sociálnej fóbie</w:t>
      </w:r>
    </w:p>
    <w:p w14:paraId="003479CE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Ge</w:t>
      </w:r>
      <w:r w:rsidR="00193569" w:rsidRPr="0027277C">
        <w:rPr>
          <w:sz w:val="22"/>
          <w:szCs w:val="22"/>
        </w:rPr>
        <w:t>neralizovanej úzkostnej poruchy</w:t>
      </w:r>
    </w:p>
    <w:p w14:paraId="78318775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>Pos</w:t>
      </w:r>
      <w:r w:rsidR="00193569" w:rsidRPr="0027277C">
        <w:rPr>
          <w:sz w:val="22"/>
          <w:szCs w:val="22"/>
        </w:rPr>
        <w:t>ttraumatickej stresovej poruchy</w:t>
      </w:r>
    </w:p>
    <w:p w14:paraId="1F26997B" w14:textId="77777777" w:rsidR="00140CF8" w:rsidRPr="0027277C" w:rsidRDefault="00140CF8" w:rsidP="0027277C">
      <w:pPr>
        <w:rPr>
          <w:sz w:val="22"/>
          <w:szCs w:val="22"/>
        </w:rPr>
      </w:pPr>
    </w:p>
    <w:p w14:paraId="26DABCDB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4.2</w:t>
      </w:r>
      <w:r w:rsidRPr="0027277C">
        <w:rPr>
          <w:b/>
          <w:sz w:val="22"/>
          <w:szCs w:val="22"/>
        </w:rPr>
        <w:tab/>
        <w:t>Dávkovanie a spôsob podávania</w:t>
      </w:r>
    </w:p>
    <w:p w14:paraId="308BE7BD" w14:textId="77777777" w:rsidR="00140CF8" w:rsidRPr="0027277C" w:rsidRDefault="00140CF8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</w:p>
    <w:p w14:paraId="024610C2" w14:textId="77777777" w:rsidR="00850ED4" w:rsidRPr="0027277C" w:rsidRDefault="00850ED4" w:rsidP="0027277C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  <w:u w:val="single"/>
        </w:rPr>
      </w:pPr>
      <w:r w:rsidRPr="0027277C">
        <w:rPr>
          <w:rFonts w:ascii="Times New Roman" w:hAnsi="Times New Roman"/>
          <w:color w:val="auto"/>
          <w:sz w:val="22"/>
          <w:szCs w:val="22"/>
          <w:u w:val="single"/>
        </w:rPr>
        <w:t>Dávkovanie</w:t>
      </w:r>
    </w:p>
    <w:p w14:paraId="21F54638" w14:textId="77777777" w:rsidR="00140CF8" w:rsidRPr="006035A0" w:rsidRDefault="006C3765" w:rsidP="0027277C">
      <w:pPr>
        <w:pStyle w:val="Zkladntext3"/>
        <w:keepNext/>
        <w:keepLines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>Veľká</w:t>
      </w:r>
      <w:r w:rsidRPr="006035A0" w:rsidDel="00E83BB1">
        <w:rPr>
          <w:rFonts w:ascii="Times New Roman" w:hAnsi="Times New Roman"/>
          <w:bCs/>
          <w:i/>
          <w:iCs/>
          <w:color w:val="auto"/>
          <w:sz w:val="22"/>
          <w:szCs w:val="22"/>
        </w:rPr>
        <w:t xml:space="preserve"> </w:t>
      </w:r>
      <w:r w:rsidR="00140CF8"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>depresívna epizóda</w:t>
      </w:r>
      <w:r w:rsidR="0090329D" w:rsidRPr="006035A0">
        <w:rPr>
          <w:rFonts w:ascii="Times New Roman" w:hAnsi="Times New Roman"/>
          <w:bCs/>
          <w:i/>
          <w:iCs/>
          <w:color w:val="auto"/>
          <w:sz w:val="22"/>
          <w:szCs w:val="22"/>
        </w:rPr>
        <w:t xml:space="preserve"> a recidivujúca depresívna porucha</w:t>
      </w:r>
    </w:p>
    <w:p w14:paraId="0DE8BF4A" w14:textId="1EFB924F" w:rsidR="00193569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Zlepšenie stavu sa u pacientov začne zvyčajne už po prvom týždni liečby, ale môže sa stať zjavnejšie až od druhého týždňa liečby.</w:t>
      </w:r>
    </w:p>
    <w:p w14:paraId="3428A9C1" w14:textId="77777777" w:rsidR="00467495" w:rsidRPr="0027277C" w:rsidRDefault="00467495" w:rsidP="0027277C">
      <w:pPr>
        <w:keepNext/>
        <w:keepLines/>
        <w:rPr>
          <w:sz w:val="22"/>
          <w:szCs w:val="22"/>
        </w:rPr>
      </w:pPr>
    </w:p>
    <w:p w14:paraId="34FF2D5C" w14:textId="65AE8BC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antidepresívnych lieko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</w:t>
      </w:r>
      <w:r w:rsidR="00FE20D8" w:rsidRPr="0027277C">
        <w:rPr>
          <w:sz w:val="22"/>
          <w:szCs w:val="22"/>
        </w:rPr>
        <w:t xml:space="preserve">má </w:t>
      </w:r>
      <w:r w:rsidRPr="0027277C">
        <w:rPr>
          <w:sz w:val="22"/>
          <w:szCs w:val="22"/>
        </w:rPr>
        <w:t xml:space="preserve">dávkovanie </w:t>
      </w:r>
      <w:r w:rsidR="00FE20D8" w:rsidRPr="0027277C">
        <w:rPr>
          <w:sz w:val="22"/>
          <w:szCs w:val="22"/>
        </w:rPr>
        <w:t>pre</w:t>
      </w:r>
      <w:r w:rsidRPr="0027277C">
        <w:rPr>
          <w:sz w:val="22"/>
          <w:szCs w:val="22"/>
        </w:rPr>
        <w:t>hodnotiť a </w:t>
      </w:r>
      <w:r w:rsidR="00FE20D8" w:rsidRPr="0027277C">
        <w:rPr>
          <w:sz w:val="22"/>
          <w:szCs w:val="22"/>
        </w:rPr>
        <w:t xml:space="preserve">podľa potreby </w:t>
      </w:r>
      <w:r w:rsidRPr="0027277C">
        <w:rPr>
          <w:sz w:val="22"/>
          <w:szCs w:val="22"/>
        </w:rPr>
        <w:t>uprav</w:t>
      </w:r>
      <w:r w:rsidR="00FE20D8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ť počas 3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týždňov od začiatku liečby a</w:t>
      </w:r>
      <w:r w:rsidR="00073D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potom</w:t>
      </w:r>
      <w:r w:rsidR="00073DB1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9B1F87" w:rsidRPr="0027277C">
        <w:rPr>
          <w:sz w:val="22"/>
          <w:szCs w:val="22"/>
        </w:rPr>
        <w:t>keď</w:t>
      </w:r>
      <w:r w:rsidRPr="0027277C">
        <w:rPr>
          <w:sz w:val="22"/>
          <w:szCs w:val="22"/>
        </w:rPr>
        <w:t xml:space="preserve"> to bude považované za klinicky vhodné. U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s nedostatočnou odpoveďou na 20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sa táto dávka môže podľa odpovede pacienta postupne zvyšovať o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maximálnych 50</w:t>
      </w:r>
      <w:r w:rsidR="0019356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3C7BF418" w14:textId="77777777" w:rsidR="00140CF8" w:rsidRPr="0027277C" w:rsidRDefault="00140CF8" w:rsidP="0027277C">
      <w:pPr>
        <w:rPr>
          <w:sz w:val="22"/>
          <w:szCs w:val="22"/>
        </w:rPr>
      </w:pPr>
    </w:p>
    <w:p w14:paraId="7A5016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depresiou sa majú liečiť počas dostatočnej dlhej doby najmenej 6 mesiacov, aby sa zaistilo, že u nich</w:t>
      </w:r>
      <w:r w:rsidR="004B7B54" w:rsidRPr="0027277C">
        <w:rPr>
          <w:sz w:val="22"/>
          <w:szCs w:val="22"/>
        </w:rPr>
        <w:t xml:space="preserve"> nepretrvávajú žiadne symptómy.</w:t>
      </w:r>
    </w:p>
    <w:p w14:paraId="6D6CFE65" w14:textId="77777777" w:rsidR="00140CF8" w:rsidRPr="00CA72B3" w:rsidRDefault="00140CF8" w:rsidP="0027277C">
      <w:pPr>
        <w:rPr>
          <w:caps/>
          <w:sz w:val="22"/>
          <w:szCs w:val="22"/>
          <w:highlight w:val="yellow"/>
        </w:rPr>
      </w:pPr>
    </w:p>
    <w:p w14:paraId="09685AD0" w14:textId="77777777" w:rsidR="00140CF8" w:rsidRPr="006035A0" w:rsidRDefault="00140CF8" w:rsidP="0027277C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Obsedantno-kompulzívna porucha (OCD)</w:t>
      </w:r>
    </w:p>
    <w:p w14:paraId="0E68161B" w14:textId="39AA27A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 táto dávka sa môže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na odporúčanú dávku. V prípade, že po niekoľkých týždňoch na</w:t>
      </w:r>
      <w:r w:rsidR="00EC6EB0">
        <w:rPr>
          <w:sz w:val="22"/>
          <w:szCs w:val="22"/>
        </w:rPr>
        <w:t> </w:t>
      </w:r>
      <w:r w:rsidRPr="0027277C">
        <w:rPr>
          <w:sz w:val="22"/>
          <w:szCs w:val="22"/>
        </w:rPr>
        <w:t>odporúčanej dávke bude pozorovaná nedostatočná odpoveď, pre 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45B1A092" w14:textId="77777777" w:rsidR="00467495" w:rsidRDefault="00467495" w:rsidP="0027277C">
      <w:pPr>
        <w:rPr>
          <w:sz w:val="22"/>
          <w:szCs w:val="22"/>
        </w:rPr>
      </w:pPr>
    </w:p>
    <w:p w14:paraId="4A24B3D8" w14:textId="0F055D8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OCD sa majú liečiť počas dostatočne dlhej doby, aby sa zaistilo, že u nich nepretrvávajú žiadne symptómy. Táto doba môže byť niekoľkomesačná alebo aj dlhšia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7D143B7C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0C3AF1F8" w14:textId="77777777" w:rsidR="00140CF8" w:rsidRPr="006035A0" w:rsidRDefault="00140CF8" w:rsidP="0027277C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Panická porucha</w:t>
      </w:r>
    </w:p>
    <w:p w14:paraId="52F415AC" w14:textId="43A3866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Pacienti majú začať 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 a táto dávka sa môže podľa odpovede pacienta postupne zvyšovať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 až na odporúčanú dávku. Nízka úvodná počiatočná dávka sa odporúča preto, aby sa minimalizovalo potenciálne zhoršenie symptomatológie panického syndrómu, k čomu zvyčajne dochádza v skorých štádiách liečby tejto poruchy. V prípade, že po niekoľkých týždňoch na odporúčanej dávke bude pozorovaná nedostatočná odpoveď, pre</w:t>
      </w:r>
      <w:r w:rsidR="008860C2">
        <w:rPr>
          <w:sz w:val="22"/>
          <w:szCs w:val="22"/>
        </w:rPr>
        <w:t> </w:t>
      </w:r>
      <w:r w:rsidRPr="0027277C">
        <w:rPr>
          <w:sz w:val="22"/>
          <w:szCs w:val="22"/>
        </w:rPr>
        <w:t>niektorých pacientov môže byť prínosné postupné zvýšenie ich dávky až na maximálnych 60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</w:t>
      </w:r>
    </w:p>
    <w:p w14:paraId="13D17835" w14:textId="77777777" w:rsidR="00467495" w:rsidRDefault="00467495" w:rsidP="0027277C">
      <w:pPr>
        <w:rPr>
          <w:sz w:val="22"/>
          <w:szCs w:val="22"/>
        </w:rPr>
      </w:pPr>
    </w:p>
    <w:p w14:paraId="78F04943" w14:textId="5BE2EBD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Pacienti s panickou poruchou sa majú liečiť počas dostatočne dlhej doby, aby sa zaistilo, že u nich nepretrvávajú žiadne symptómy. Táto doba môže byť niekoľkomesačná alebo aj dlhšia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3537911E" w14:textId="77777777" w:rsidR="00140CF8" w:rsidRPr="0027277C" w:rsidRDefault="00140CF8" w:rsidP="0027277C">
      <w:pPr>
        <w:rPr>
          <w:sz w:val="22"/>
          <w:szCs w:val="22"/>
        </w:rPr>
      </w:pPr>
    </w:p>
    <w:p w14:paraId="2FC6F674" w14:textId="2B7EC6D0" w:rsidR="00140CF8" w:rsidRPr="006035A0" w:rsidRDefault="00FA0670" w:rsidP="0027277C">
      <w:pPr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</w:t>
      </w:r>
      <w:r w:rsidR="00140CF8" w:rsidRPr="006035A0">
        <w:rPr>
          <w:bCs/>
          <w:i/>
          <w:iCs/>
          <w:sz w:val="22"/>
          <w:szCs w:val="22"/>
        </w:rPr>
        <w:t>ociálna úzkosť/sociálna fóbia</w:t>
      </w:r>
    </w:p>
    <w:p w14:paraId="613B3592" w14:textId="7B41EB94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37831701" w14:textId="77777777" w:rsidR="00140CF8" w:rsidRPr="0027277C" w:rsidRDefault="00140CF8" w:rsidP="0027277C">
      <w:pPr>
        <w:rPr>
          <w:sz w:val="22"/>
          <w:szCs w:val="22"/>
        </w:rPr>
      </w:pPr>
    </w:p>
    <w:p w14:paraId="3B164998" w14:textId="77777777" w:rsidR="00140CF8" w:rsidRPr="006035A0" w:rsidRDefault="00140CF8" w:rsidP="0027277C">
      <w:pPr>
        <w:pStyle w:val="Nadpis1"/>
        <w:rPr>
          <w:rFonts w:ascii="Times New Roman" w:hAnsi="Times New Roman"/>
          <w:bCs/>
          <w:i/>
          <w:iCs/>
          <w:sz w:val="22"/>
          <w:szCs w:val="22"/>
          <w:u w:val="none"/>
        </w:rPr>
      </w:pPr>
      <w:smartTag w:uri="schemas-GSKSiteLocations-com/fourthcoffee" w:element="flavor">
        <w:r w:rsidRPr="006035A0">
          <w:rPr>
            <w:rFonts w:ascii="Times New Roman" w:hAnsi="Times New Roman"/>
            <w:bCs/>
            <w:i/>
            <w:iCs/>
            <w:sz w:val="22"/>
            <w:szCs w:val="22"/>
            <w:u w:val="none"/>
          </w:rPr>
          <w:t>Gen</w:t>
        </w:r>
      </w:smartTag>
      <w:r w:rsidRPr="006035A0">
        <w:rPr>
          <w:rFonts w:ascii="Times New Roman" w:hAnsi="Times New Roman"/>
          <w:bCs/>
          <w:i/>
          <w:iCs/>
          <w:sz w:val="22"/>
          <w:szCs w:val="22"/>
          <w:u w:val="none"/>
        </w:rPr>
        <w:t>eralizovaná úzkostná porucha</w:t>
      </w:r>
    </w:p>
    <w:p w14:paraId="10E05866" w14:textId="2AF788B3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09AC03F8" w14:textId="77777777" w:rsidR="00140CF8" w:rsidRPr="0027277C" w:rsidRDefault="00140CF8" w:rsidP="0027277C">
      <w:pPr>
        <w:pStyle w:val="Nadpis3"/>
        <w:keepNext w:val="0"/>
        <w:rPr>
          <w:rFonts w:ascii="Times New Roman" w:hAnsi="Times New Roman"/>
          <w:b w:val="0"/>
          <w:caps/>
          <w:sz w:val="22"/>
          <w:szCs w:val="22"/>
          <w:u w:val="none"/>
        </w:rPr>
      </w:pPr>
    </w:p>
    <w:p w14:paraId="2720FC70" w14:textId="77777777" w:rsidR="00140CF8" w:rsidRPr="006035A0" w:rsidRDefault="00140CF8" w:rsidP="0027277C">
      <w:pPr>
        <w:pStyle w:val="Nadpis3"/>
        <w:keepLines/>
        <w:rPr>
          <w:rFonts w:ascii="Times New Roman" w:hAnsi="Times New Roman"/>
          <w:b w:val="0"/>
          <w:bCs/>
          <w:i/>
          <w:iCs/>
          <w:sz w:val="22"/>
          <w:szCs w:val="22"/>
          <w:u w:val="none"/>
        </w:rPr>
      </w:pPr>
      <w:r w:rsidRPr="006035A0">
        <w:rPr>
          <w:rFonts w:ascii="Times New Roman" w:hAnsi="Times New Roman"/>
          <w:b w:val="0"/>
          <w:bCs/>
          <w:i/>
          <w:iCs/>
          <w:sz w:val="22"/>
          <w:szCs w:val="22"/>
          <w:u w:val="none"/>
        </w:rPr>
        <w:t>Posttraumatická stresová porucha</w:t>
      </w:r>
    </w:p>
    <w:p w14:paraId="7113CC06" w14:textId="4CA57F91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Odporúčaná dávka je 20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 V prípade, že po niekoľkých týždňoch na odporúčanej dávke bude pozorovaná nedostatočná odpoveď, pre niektorých pacientov môže byť prínosné postupné zvyšovanie ich dávky o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10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prírastky, až na maximálnych 50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mg/deň. Dlhodobé používanie sa musí pravidelne vyhodnocovať (pozri časť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5.1).</w:t>
      </w:r>
    </w:p>
    <w:p w14:paraId="1F86F7BF" w14:textId="77777777" w:rsidR="00140CF8" w:rsidRPr="0027277C" w:rsidRDefault="00140CF8" w:rsidP="0027277C">
      <w:pPr>
        <w:rPr>
          <w:sz w:val="22"/>
          <w:szCs w:val="22"/>
        </w:rPr>
      </w:pPr>
    </w:p>
    <w:p w14:paraId="17DB0DB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Všeobecné informácie</w:t>
      </w:r>
    </w:p>
    <w:p w14:paraId="1664C49D" w14:textId="041BB4D2" w:rsidR="00140CF8" w:rsidRPr="006035A0" w:rsidRDefault="00FA0670" w:rsidP="0027277C">
      <w:pPr>
        <w:pStyle w:val="Nadpis4"/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</w:pPr>
      <w:r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>S</w:t>
      </w:r>
      <w:r w:rsidR="00140CF8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 xml:space="preserve">ymptómy </w:t>
      </w:r>
      <w:r w:rsidR="002E6360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 xml:space="preserve">z vysadenia </w:t>
      </w:r>
      <w:r w:rsidR="00140CF8" w:rsidRPr="006035A0">
        <w:rPr>
          <w:rFonts w:ascii="Times New Roman" w:hAnsi="Times New Roman"/>
          <w:b w:val="0"/>
          <w:bCs/>
          <w:i/>
          <w:iCs/>
          <w:color w:val="auto"/>
          <w:sz w:val="22"/>
          <w:szCs w:val="22"/>
          <w:u w:val="none"/>
        </w:rPr>
        <w:t>pozorované po prerušení podávania paroxetínu</w:t>
      </w:r>
    </w:p>
    <w:p w14:paraId="32D78883" w14:textId="504C2E93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Náhlemu prerušeniu užívania sa musí zabrániť (pozri čas</w:t>
      </w:r>
      <w:r w:rsidR="00FA0670">
        <w:rPr>
          <w:rFonts w:ascii="Times New Roman" w:hAnsi="Times New Roman"/>
          <w:color w:val="auto"/>
          <w:sz w:val="22"/>
          <w:szCs w:val="22"/>
        </w:rPr>
        <w:t>ti</w:t>
      </w:r>
      <w:r w:rsidR="00242438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4.4</w:t>
      </w:r>
      <w:r w:rsidR="00FA067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a</w:t>
      </w:r>
      <w:r w:rsidR="00C954ED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4.8). Režim postupného znižovania dávky uplatnený v klinických štúdiách spočíval v znižovaní dennej dávky o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10</w:t>
      </w:r>
      <w:r w:rsidR="004B7B54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mg v týždenných intervaloch. Ak sa po</w:t>
      </w:r>
      <w:r w:rsidR="00B97C15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znížení dávky alebo po prerušení liečby objavia neznesiteľné symptómy, môže sa zvážiť pokračovanie v liečbe s predtým predpísanou dávkou. Následne môže lekár pokračovať v znižovaní dávky, ale s pozvoľnejšou rýchlosťou.</w:t>
      </w:r>
    </w:p>
    <w:p w14:paraId="119CDC6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9BF90CA" w14:textId="1DB1F585" w:rsidR="00140CF8" w:rsidRPr="006035A0" w:rsidRDefault="008606DA" w:rsidP="005549F8">
      <w:pPr>
        <w:pStyle w:val="Zkladntext3"/>
        <w:keepNext/>
        <w:keepLines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Osobitné 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skupiny pacientov</w:t>
      </w:r>
    </w:p>
    <w:p w14:paraId="259029B1" w14:textId="77777777" w:rsidR="00140CF8" w:rsidRPr="006035A0" w:rsidRDefault="00140CF8" w:rsidP="006035A0">
      <w:pPr>
        <w:keepNext/>
        <w:keepLines/>
        <w:rPr>
          <w:bCs/>
          <w:i/>
          <w:iCs/>
          <w:cap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Starší ľudia</w:t>
      </w:r>
    </w:p>
    <w:p w14:paraId="269C28D2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caps/>
          <w:sz w:val="22"/>
          <w:szCs w:val="22"/>
        </w:rPr>
        <w:t xml:space="preserve">U </w:t>
      </w:r>
      <w:r w:rsidRPr="0027277C">
        <w:rPr>
          <w:sz w:val="22"/>
          <w:szCs w:val="22"/>
        </w:rPr>
        <w:t>starších ľudí sa vyskytujú zvýšené plazmatické koncentrácie paroxetínu, dosiahnuté hodnoty však nevybočujú z rozmedzia hodnôt pozorovaných v mladších vekových skupinách. Dávkovanie sa má začať počiatočnou dávkou pre dospelých. U niektorých pacientov môže byť zvyšovanie dávky užitočné, ale nemá sa presiahnuť maximálna dávka 40</w:t>
      </w:r>
      <w:r w:rsidR="004B7B54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denne.</w:t>
      </w:r>
    </w:p>
    <w:p w14:paraId="4FD6B8A2" w14:textId="77777777" w:rsidR="00140CF8" w:rsidRPr="0027277C" w:rsidRDefault="00140CF8" w:rsidP="005549F8">
      <w:pPr>
        <w:rPr>
          <w:sz w:val="22"/>
          <w:szCs w:val="22"/>
        </w:rPr>
      </w:pPr>
    </w:p>
    <w:p w14:paraId="7B760F77" w14:textId="4F24B5F9" w:rsidR="00140CF8" w:rsidRPr="006035A0" w:rsidRDefault="00140CF8" w:rsidP="006035A0">
      <w:pPr>
        <w:keepNext/>
        <w:keepLines/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lastRenderedPageBreak/>
        <w:t xml:space="preserve">Deti a </w:t>
      </w:r>
      <w:r w:rsidR="000270CA" w:rsidRPr="006035A0">
        <w:rPr>
          <w:bCs/>
          <w:i/>
          <w:iCs/>
          <w:sz w:val="22"/>
          <w:szCs w:val="22"/>
        </w:rPr>
        <w:t>dospievajúci</w:t>
      </w:r>
      <w:r w:rsidRPr="006035A0">
        <w:rPr>
          <w:bCs/>
          <w:i/>
          <w:iCs/>
          <w:sz w:val="22"/>
          <w:szCs w:val="22"/>
        </w:rPr>
        <w:t xml:space="preserve"> (7-</w:t>
      </w:r>
      <w:r w:rsidR="00B97C15" w:rsidRPr="006035A0">
        <w:rPr>
          <w:bCs/>
          <w:i/>
          <w:iCs/>
          <w:sz w:val="22"/>
          <w:szCs w:val="22"/>
        </w:rPr>
        <w:t> až </w:t>
      </w:r>
      <w:r w:rsidRPr="006035A0">
        <w:rPr>
          <w:bCs/>
          <w:i/>
          <w:iCs/>
          <w:sz w:val="22"/>
          <w:szCs w:val="22"/>
        </w:rPr>
        <w:t>17</w:t>
      </w:r>
      <w:r w:rsidR="00B97C15" w:rsidRPr="006035A0">
        <w:rPr>
          <w:bCs/>
          <w:i/>
          <w:iCs/>
          <w:sz w:val="22"/>
          <w:szCs w:val="22"/>
        </w:rPr>
        <w:noBreakHyphen/>
      </w:r>
      <w:r w:rsidRPr="006035A0">
        <w:rPr>
          <w:bCs/>
          <w:i/>
          <w:iCs/>
          <w:sz w:val="22"/>
          <w:szCs w:val="22"/>
        </w:rPr>
        <w:t>roční)</w:t>
      </w:r>
    </w:p>
    <w:p w14:paraId="7B3C48A7" w14:textId="65DD0BBA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 detí a</w:t>
      </w:r>
      <w:r w:rsidR="00341E52" w:rsidRPr="0027277C">
        <w:rPr>
          <w:sz w:val="22"/>
          <w:szCs w:val="22"/>
        </w:rPr>
        <w:t xml:space="preserve"> 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>, pretože kontrolované klinické štúdie zistili, že paroxetín sa spája so zvýšeným rizikom samovražedného správania a nepriateľstva. V týchto štúdiách okrem toho nebola dostatočne potvrdená účinnosť (pozri čas</w:t>
      </w:r>
      <w:r w:rsidR="00FA0670">
        <w:rPr>
          <w:sz w:val="22"/>
          <w:szCs w:val="22"/>
        </w:rPr>
        <w:t>ti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4.4</w:t>
      </w:r>
      <w:r w:rsidR="00FA0670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FA0670">
        <w:rPr>
          <w:sz w:val="22"/>
          <w:szCs w:val="22"/>
        </w:rPr>
        <w:t> </w:t>
      </w:r>
      <w:r w:rsidRPr="0027277C">
        <w:rPr>
          <w:sz w:val="22"/>
          <w:szCs w:val="22"/>
        </w:rPr>
        <w:t>4.8).</w:t>
      </w:r>
    </w:p>
    <w:p w14:paraId="52BC3BC2" w14:textId="77777777" w:rsidR="00140CF8" w:rsidRPr="0027277C" w:rsidRDefault="00140CF8" w:rsidP="0027277C">
      <w:pPr>
        <w:ind w:left="567" w:hanging="567"/>
        <w:rPr>
          <w:sz w:val="22"/>
          <w:szCs w:val="22"/>
          <w:highlight w:val="yellow"/>
        </w:rPr>
      </w:pPr>
    </w:p>
    <w:p w14:paraId="1A4D5C84" w14:textId="2110A710" w:rsidR="00140CF8" w:rsidRPr="006035A0" w:rsidRDefault="00140CF8" w:rsidP="006035A0">
      <w:pPr>
        <w:rPr>
          <w:bCs/>
          <w:i/>
          <w:iC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Deti mladšie ako 7</w:t>
      </w:r>
      <w:r w:rsidR="00550733" w:rsidRPr="006035A0">
        <w:rPr>
          <w:bCs/>
          <w:i/>
          <w:iCs/>
          <w:sz w:val="22"/>
          <w:szCs w:val="22"/>
        </w:rPr>
        <w:t> </w:t>
      </w:r>
      <w:r w:rsidRPr="006035A0">
        <w:rPr>
          <w:bCs/>
          <w:i/>
          <w:iCs/>
          <w:sz w:val="22"/>
          <w:szCs w:val="22"/>
        </w:rPr>
        <w:t>rokov</w:t>
      </w:r>
    </w:p>
    <w:p w14:paraId="24E30208" w14:textId="16E5E57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U detí mladších ako 7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 nebolo použitie paroxetínu skúmané. Paroxetín sa nemá používať, pretože v tejto vekovej skupine nebola bezpečnosť a účinnosť potvrdená.</w:t>
      </w:r>
    </w:p>
    <w:p w14:paraId="33D1AAB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D8F4F6E" w14:textId="77777777" w:rsidR="00140CF8" w:rsidRPr="006035A0" w:rsidRDefault="00140CF8" w:rsidP="006035A0">
      <w:pPr>
        <w:rPr>
          <w:bCs/>
          <w:i/>
          <w:iCs/>
          <w:caps/>
          <w:sz w:val="22"/>
          <w:szCs w:val="22"/>
        </w:rPr>
      </w:pPr>
      <w:r w:rsidRPr="006035A0">
        <w:rPr>
          <w:bCs/>
          <w:i/>
          <w:iCs/>
          <w:sz w:val="22"/>
          <w:szCs w:val="22"/>
        </w:rPr>
        <w:t>Porucha funkcie obličiek/pečene</w:t>
      </w:r>
    </w:p>
    <w:p w14:paraId="4DE6E8B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pacientov s ťažkou poruchou funkcie obličiek (klírens kreatinínu menej ako 30 ml/min) alebo u pacientov s poruchou funkcie pečene </w:t>
      </w:r>
      <w:r w:rsidR="00830A28" w:rsidRPr="0027277C">
        <w:rPr>
          <w:sz w:val="22"/>
          <w:szCs w:val="22"/>
        </w:rPr>
        <w:t xml:space="preserve">sa vyskytujú </w:t>
      </w:r>
      <w:r w:rsidRPr="0027277C">
        <w:rPr>
          <w:sz w:val="22"/>
          <w:szCs w:val="22"/>
        </w:rPr>
        <w:t>zvýšen</w:t>
      </w:r>
      <w:r w:rsidR="00830A28" w:rsidRPr="0027277C">
        <w:rPr>
          <w:sz w:val="22"/>
          <w:szCs w:val="22"/>
        </w:rPr>
        <w:t xml:space="preserve">é </w:t>
      </w:r>
      <w:r w:rsidRPr="0027277C">
        <w:rPr>
          <w:sz w:val="22"/>
          <w:szCs w:val="22"/>
        </w:rPr>
        <w:t>plazmatick</w:t>
      </w:r>
      <w:r w:rsidR="00830A28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koncentráci</w:t>
      </w:r>
      <w:r w:rsidR="00830A28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paroxetínu. Dávkovanie sa preto musí obmedziť na nižšie dávky.</w:t>
      </w:r>
    </w:p>
    <w:p w14:paraId="2E7B297F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5F3C5A1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  <w:u w:val="single"/>
        </w:rPr>
      </w:pPr>
      <w:r w:rsidRPr="0027277C">
        <w:rPr>
          <w:sz w:val="22"/>
          <w:szCs w:val="22"/>
          <w:u w:val="single"/>
        </w:rPr>
        <w:t>Spôsob podávania</w:t>
      </w:r>
    </w:p>
    <w:p w14:paraId="51B4E721" w14:textId="77777777" w:rsidR="00850ED4" w:rsidRPr="0027277C" w:rsidRDefault="00850ED4" w:rsidP="0027277C">
      <w:pPr>
        <w:tabs>
          <w:tab w:val="left" w:pos="567"/>
        </w:tabs>
        <w:rPr>
          <w:sz w:val="22"/>
          <w:szCs w:val="22"/>
        </w:rPr>
      </w:pPr>
      <w:r w:rsidRPr="0027277C">
        <w:rPr>
          <w:sz w:val="22"/>
          <w:szCs w:val="22"/>
        </w:rPr>
        <w:t>Odporúča sa podávať paroxetín jeden</w:t>
      </w:r>
      <w:r w:rsidR="00F16EC7" w:rsidRPr="0027277C">
        <w:rPr>
          <w:sz w:val="22"/>
          <w:szCs w:val="22"/>
        </w:rPr>
        <w:t>krát denne ráno spolu s jedlom.</w:t>
      </w:r>
    </w:p>
    <w:p w14:paraId="2413CAD6" w14:textId="77777777" w:rsidR="00990C3F" w:rsidRPr="0027277C" w:rsidRDefault="00990C3F" w:rsidP="0027277C">
      <w:pPr>
        <w:rPr>
          <w:color w:val="1F497D"/>
          <w:sz w:val="22"/>
          <w:szCs w:val="22"/>
        </w:rPr>
      </w:pPr>
      <w:r w:rsidRPr="0027277C">
        <w:rPr>
          <w:sz w:val="22"/>
          <w:szCs w:val="22"/>
        </w:rPr>
        <w:t>Tableta sa má radšej prehltnúť, ako žuvať.</w:t>
      </w:r>
    </w:p>
    <w:p w14:paraId="26593229" w14:textId="77777777" w:rsidR="00850ED4" w:rsidRPr="0027277C" w:rsidRDefault="00850ED4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46E60E22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4.3</w:t>
      </w:r>
      <w:r w:rsidRPr="0027277C">
        <w:rPr>
          <w:b/>
          <w:sz w:val="22"/>
          <w:szCs w:val="22"/>
        </w:rPr>
        <w:tab/>
        <w:t>Kontraindikácie</w:t>
      </w:r>
    </w:p>
    <w:p w14:paraId="02B913E2" w14:textId="77777777" w:rsidR="00140CF8" w:rsidRPr="00CA72B3" w:rsidRDefault="00140CF8" w:rsidP="0027277C">
      <w:pPr>
        <w:rPr>
          <w:sz w:val="22"/>
          <w:szCs w:val="22"/>
        </w:rPr>
      </w:pPr>
    </w:p>
    <w:p w14:paraId="113C7D4D" w14:textId="77777777" w:rsidR="00140CF8" w:rsidRPr="0027277C" w:rsidRDefault="00F16EC7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</w:rPr>
        <w:t>P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recitlivenosť na 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>liečivo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alebo na </w:t>
      </w:r>
      <w:r w:rsidR="00242438" w:rsidRPr="0027277C">
        <w:rPr>
          <w:rFonts w:ascii="Times New Roman" w:hAnsi="Times New Roman"/>
          <w:b w:val="0"/>
          <w:color w:val="auto"/>
          <w:sz w:val="22"/>
          <w:szCs w:val="22"/>
        </w:rPr>
        <w:t>ktorúkoľvek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z pomocných látok</w:t>
      </w:r>
      <w:r w:rsidRPr="0027277C">
        <w:rPr>
          <w:rFonts w:ascii="Times New Roman" w:hAnsi="Times New Roman"/>
          <w:b w:val="0"/>
          <w:color w:val="auto"/>
          <w:sz w:val="22"/>
          <w:szCs w:val="22"/>
        </w:rPr>
        <w:t xml:space="preserve"> uvedených v časti 6.1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</w:rPr>
        <w:t>.</w:t>
      </w:r>
    </w:p>
    <w:p w14:paraId="589FAF4B" w14:textId="77777777" w:rsidR="00140CF8" w:rsidRPr="0027277C" w:rsidRDefault="00140CF8" w:rsidP="0027277C">
      <w:pPr>
        <w:rPr>
          <w:sz w:val="22"/>
          <w:szCs w:val="22"/>
        </w:rPr>
      </w:pPr>
    </w:p>
    <w:p w14:paraId="0114A332" w14:textId="6C17C957" w:rsidR="00F16EC7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kontraindikovaný v kombinácii s inhibítormi monoaminooxidázy (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MAO). </w:t>
      </w:r>
      <w:r w:rsidR="00210A53" w:rsidRPr="0027277C">
        <w:rPr>
          <w:sz w:val="22"/>
          <w:szCs w:val="22"/>
        </w:rPr>
        <w:t>Vo</w:t>
      </w:r>
      <w:r w:rsidR="00C9318D">
        <w:rPr>
          <w:sz w:val="22"/>
          <w:szCs w:val="22"/>
        </w:rPr>
        <w:t> </w:t>
      </w:r>
      <w:r w:rsidR="00210A53" w:rsidRPr="0027277C">
        <w:rPr>
          <w:sz w:val="22"/>
          <w:szCs w:val="22"/>
        </w:rPr>
        <w:t>výnimočných prípadoch</w:t>
      </w:r>
      <w:r w:rsidR="007F1275" w:rsidRPr="0027277C">
        <w:rPr>
          <w:sz w:val="22"/>
          <w:szCs w:val="22"/>
        </w:rPr>
        <w:t>,</w:t>
      </w:r>
      <w:r w:rsidR="00210A53" w:rsidRPr="0027277C">
        <w:rPr>
          <w:sz w:val="22"/>
          <w:szCs w:val="22"/>
        </w:rPr>
        <w:t xml:space="preserve"> </w:t>
      </w:r>
      <w:r w:rsidR="007F1275" w:rsidRPr="0027277C">
        <w:rPr>
          <w:sz w:val="22"/>
          <w:szCs w:val="22"/>
        </w:rPr>
        <w:t xml:space="preserve">za predpokladu, že sú </w:t>
      </w:r>
      <w:r w:rsidR="00980C60" w:rsidRPr="0027277C">
        <w:rPr>
          <w:sz w:val="22"/>
          <w:szCs w:val="22"/>
        </w:rPr>
        <w:t xml:space="preserve">prostriedky na </w:t>
      </w:r>
      <w:r w:rsidR="007F1275" w:rsidRPr="0027277C">
        <w:rPr>
          <w:sz w:val="22"/>
          <w:szCs w:val="22"/>
        </w:rPr>
        <w:t xml:space="preserve">dôkladné pozorovanie príznakov </w:t>
      </w:r>
      <w:r w:rsidR="00AC42D8" w:rsidRPr="0027277C">
        <w:rPr>
          <w:sz w:val="22"/>
          <w:szCs w:val="22"/>
        </w:rPr>
        <w:t>séroton</w:t>
      </w:r>
      <w:r w:rsidR="007F1275" w:rsidRPr="0027277C">
        <w:rPr>
          <w:sz w:val="22"/>
          <w:szCs w:val="22"/>
        </w:rPr>
        <w:t>ínového syndrómu a monitorovanie krvného tlaku (pozri časť 4.5)</w:t>
      </w:r>
      <w:r w:rsidR="00C9318D">
        <w:rPr>
          <w:sz w:val="22"/>
          <w:szCs w:val="22"/>
        </w:rPr>
        <w:t>,</w:t>
      </w:r>
      <w:r w:rsidR="007F1275" w:rsidRPr="0027277C">
        <w:rPr>
          <w:sz w:val="22"/>
          <w:szCs w:val="22"/>
        </w:rPr>
        <w:t xml:space="preserve"> </w:t>
      </w:r>
      <w:r w:rsidR="00210A53" w:rsidRPr="0027277C">
        <w:rPr>
          <w:sz w:val="22"/>
          <w:szCs w:val="22"/>
        </w:rPr>
        <w:t xml:space="preserve">môže byť v kombinácii s paroxetínom podaný linezolid (antibiotikum, ktoré je reverzibilným neselektívnym </w:t>
      </w:r>
      <w:r w:rsidR="0012619A" w:rsidRPr="0027277C">
        <w:rPr>
          <w:sz w:val="22"/>
          <w:szCs w:val="22"/>
        </w:rPr>
        <w:t>I</w:t>
      </w:r>
      <w:r w:rsidR="00210A53" w:rsidRPr="0027277C">
        <w:rPr>
          <w:sz w:val="22"/>
          <w:szCs w:val="22"/>
        </w:rPr>
        <w:t>MAO)</w:t>
      </w:r>
      <w:r w:rsidR="007F1275" w:rsidRPr="0027277C">
        <w:rPr>
          <w:sz w:val="22"/>
          <w:szCs w:val="22"/>
        </w:rPr>
        <w:t>.</w:t>
      </w:r>
    </w:p>
    <w:p w14:paraId="32F11456" w14:textId="77777777" w:rsidR="00467495" w:rsidRPr="0027277C" w:rsidRDefault="00467495" w:rsidP="0027277C">
      <w:pPr>
        <w:rPr>
          <w:sz w:val="22"/>
          <w:szCs w:val="22"/>
        </w:rPr>
      </w:pPr>
    </w:p>
    <w:p w14:paraId="0FC56B91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Li</w:t>
      </w:r>
      <w:r w:rsidR="004B7B54" w:rsidRPr="0027277C">
        <w:rPr>
          <w:sz w:val="22"/>
          <w:szCs w:val="22"/>
        </w:rPr>
        <w:t>ečba paroxetínom sa môže začať:</w:t>
      </w:r>
    </w:p>
    <w:p w14:paraId="23BC4836" w14:textId="77777777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  <w:t xml:space="preserve">po dvoch týždňoch po </w:t>
      </w:r>
      <w:r w:rsidR="001B488D" w:rsidRPr="0027277C">
        <w:rPr>
          <w:sz w:val="22"/>
          <w:szCs w:val="22"/>
        </w:rPr>
        <w:t>ukonč</w:t>
      </w:r>
      <w:r w:rsidRPr="0027277C">
        <w:rPr>
          <w:sz w:val="22"/>
          <w:szCs w:val="22"/>
        </w:rPr>
        <w:t xml:space="preserve">ení podávania ireverzibilného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MAO, alebo</w:t>
      </w:r>
    </w:p>
    <w:p w14:paraId="092AF6E1" w14:textId="54D4E61A" w:rsidR="00140CF8" w:rsidRPr="0027277C" w:rsidRDefault="00140CF8" w:rsidP="0027277C">
      <w:pPr>
        <w:keepNext/>
        <w:keepLines/>
        <w:ind w:left="567" w:hanging="567"/>
        <w:rPr>
          <w:sz w:val="22"/>
          <w:szCs w:val="22"/>
        </w:rPr>
      </w:pPr>
      <w:r w:rsidRPr="0027277C">
        <w:rPr>
          <w:sz w:val="22"/>
          <w:szCs w:val="22"/>
        </w:rPr>
        <w:t>-</w:t>
      </w:r>
      <w:r w:rsidRPr="0027277C">
        <w:rPr>
          <w:sz w:val="22"/>
          <w:szCs w:val="22"/>
        </w:rPr>
        <w:tab/>
      </w:r>
      <w:r w:rsidR="003864F1" w:rsidRPr="0027277C">
        <w:rPr>
          <w:sz w:val="22"/>
          <w:szCs w:val="22"/>
        </w:rPr>
        <w:t>najmenej</w:t>
      </w:r>
      <w:r w:rsidR="00E0004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24 hod</w:t>
      </w:r>
      <w:r w:rsidR="00F34298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</w:t>
      </w:r>
      <w:r w:rsidR="00F3429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po prerušení podávania reverzibilného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MAO (napr. </w:t>
      </w:r>
      <w:r w:rsidR="007B5B78" w:rsidRPr="0027277C">
        <w:rPr>
          <w:sz w:val="22"/>
          <w:szCs w:val="22"/>
        </w:rPr>
        <w:t>m</w:t>
      </w:r>
      <w:r w:rsidRPr="0027277C">
        <w:rPr>
          <w:sz w:val="22"/>
          <w:szCs w:val="22"/>
        </w:rPr>
        <w:t>oklobemid</w:t>
      </w:r>
      <w:r w:rsidR="003A6FF9" w:rsidRPr="0027277C">
        <w:rPr>
          <w:sz w:val="22"/>
          <w:szCs w:val="22"/>
        </w:rPr>
        <w:t>u</w:t>
      </w:r>
      <w:r w:rsidR="007F1275" w:rsidRPr="0027277C">
        <w:rPr>
          <w:sz w:val="22"/>
          <w:szCs w:val="22"/>
        </w:rPr>
        <w:t>, linezolid</w:t>
      </w:r>
      <w:r w:rsidR="003A6FF9" w:rsidRPr="0027277C">
        <w:rPr>
          <w:sz w:val="22"/>
          <w:szCs w:val="22"/>
        </w:rPr>
        <w:t>u</w:t>
      </w:r>
      <w:r w:rsidR="007B5B78" w:rsidRPr="0027277C">
        <w:rPr>
          <w:sz w:val="22"/>
          <w:szCs w:val="22"/>
        </w:rPr>
        <w:t xml:space="preserve">, </w:t>
      </w:r>
      <w:r w:rsidR="007B5B78" w:rsidRPr="0027277C">
        <w:rPr>
          <w:bCs/>
          <w:sz w:val="22"/>
          <w:szCs w:val="22"/>
        </w:rPr>
        <w:t>metyltionín</w:t>
      </w:r>
      <w:r w:rsidR="00FC608D">
        <w:rPr>
          <w:bCs/>
          <w:sz w:val="22"/>
          <w:szCs w:val="22"/>
        </w:rPr>
        <w:t>ium</w:t>
      </w:r>
      <w:r w:rsidR="00FC608D">
        <w:rPr>
          <w:bCs/>
          <w:sz w:val="22"/>
          <w:szCs w:val="22"/>
        </w:rPr>
        <w:noBreakHyphen/>
      </w:r>
      <w:r w:rsidR="007B5B78" w:rsidRPr="0027277C">
        <w:rPr>
          <w:bCs/>
          <w:sz w:val="22"/>
          <w:szCs w:val="22"/>
        </w:rPr>
        <w:t>chlorid</w:t>
      </w:r>
      <w:r w:rsidR="003A6FF9" w:rsidRPr="0027277C">
        <w:rPr>
          <w:bCs/>
          <w:sz w:val="22"/>
          <w:szCs w:val="22"/>
        </w:rPr>
        <w:t>u</w:t>
      </w:r>
      <w:r w:rsidR="007B5B78" w:rsidRPr="0027277C">
        <w:rPr>
          <w:bCs/>
          <w:sz w:val="22"/>
          <w:szCs w:val="22"/>
        </w:rPr>
        <w:t xml:space="preserve"> (metylénová modrá; predoperačné </w:t>
      </w:r>
      <w:r w:rsidR="00FD21C9" w:rsidRPr="0027277C">
        <w:rPr>
          <w:bCs/>
          <w:sz w:val="22"/>
          <w:szCs w:val="22"/>
        </w:rPr>
        <w:t>vizualizačné</w:t>
      </w:r>
      <w:r w:rsidR="00505B3C" w:rsidRPr="0027277C">
        <w:rPr>
          <w:bCs/>
          <w:sz w:val="22"/>
          <w:szCs w:val="22"/>
        </w:rPr>
        <w:t xml:space="preserve"> </w:t>
      </w:r>
      <w:r w:rsidR="007B5B78" w:rsidRPr="0027277C">
        <w:rPr>
          <w:bCs/>
          <w:sz w:val="22"/>
          <w:szCs w:val="22"/>
        </w:rPr>
        <w:t xml:space="preserve">činidlo, ktoré je reverzibilným neselektívnym </w:t>
      </w:r>
      <w:r w:rsidR="0012619A" w:rsidRPr="0027277C">
        <w:rPr>
          <w:bCs/>
          <w:sz w:val="22"/>
          <w:szCs w:val="22"/>
        </w:rPr>
        <w:t>I</w:t>
      </w:r>
      <w:r w:rsidR="007B5B78" w:rsidRPr="0027277C">
        <w:rPr>
          <w:bCs/>
          <w:sz w:val="22"/>
          <w:szCs w:val="22"/>
        </w:rPr>
        <w:t>MAO)</w:t>
      </w:r>
      <w:r w:rsidRPr="0027277C">
        <w:rPr>
          <w:sz w:val="22"/>
          <w:szCs w:val="22"/>
        </w:rPr>
        <w:t>).</w:t>
      </w:r>
    </w:p>
    <w:p w14:paraId="075E9167" w14:textId="77777777" w:rsidR="00467495" w:rsidRDefault="00467495" w:rsidP="0027277C">
      <w:pPr>
        <w:rPr>
          <w:sz w:val="22"/>
          <w:szCs w:val="22"/>
        </w:rPr>
      </w:pPr>
    </w:p>
    <w:p w14:paraId="504DDADC" w14:textId="57B64AC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Medzi prerušením liečby paroxetínom a začatím liečby akýmkoľvek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musí uplynúť</w:t>
      </w:r>
      <w:r w:rsidR="004B7B54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najmenej jeden týždeň.</w:t>
      </w:r>
    </w:p>
    <w:p w14:paraId="55D20632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</w:p>
    <w:p w14:paraId="75448D45" w14:textId="67940896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tioridazínom, pretože, tak ako iné lieky, ktoré inhibujú pečeňový enzým CYP450 2D6, paroxetín môže zvýšiť plazmatické hladiny tioridazínu (pozri časť</w:t>
      </w:r>
      <w:r w:rsidR="007F1275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4.5). Podávanie samostatného tioridazínu môže viesť k predĺženiu QTc intervalu v spojení so závažnou komorovou arytmiou</w:t>
      </w:r>
      <w:r w:rsidR="003F7869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850F17" w:rsidRPr="0027277C">
        <w:rPr>
          <w:rFonts w:ascii="Times New Roman" w:hAnsi="Times New Roman"/>
          <w:color w:val="auto"/>
          <w:sz w:val="22"/>
          <w:szCs w:val="22"/>
        </w:rPr>
        <w:t xml:space="preserve">ako je 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>t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orsade</w:t>
      </w:r>
      <w:r w:rsidR="00432BBE" w:rsidRPr="0027277C">
        <w:rPr>
          <w:rFonts w:ascii="Times New Roman" w:hAnsi="Times New Roman"/>
          <w:i/>
          <w:color w:val="auto"/>
          <w:sz w:val="22"/>
          <w:szCs w:val="22"/>
        </w:rPr>
        <w:t>s</w:t>
      </w:r>
      <w:r w:rsidR="00C1347E" w:rsidRPr="0027277C">
        <w:rPr>
          <w:rFonts w:ascii="Times New Roman" w:hAnsi="Times New Roman"/>
          <w:i/>
          <w:color w:val="auto"/>
          <w:sz w:val="22"/>
          <w:szCs w:val="22"/>
        </w:rPr>
        <w:t xml:space="preserve"> de p</w:t>
      </w:r>
      <w:r w:rsidR="00E47E85" w:rsidRPr="0027277C">
        <w:rPr>
          <w:rFonts w:ascii="Times New Roman" w:hAnsi="Times New Roman"/>
          <w:i/>
          <w:color w:val="auto"/>
          <w:sz w:val="22"/>
          <w:szCs w:val="22"/>
        </w:rPr>
        <w:t>ointes</w:t>
      </w:r>
      <w:r w:rsidR="00E47E85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27277C">
        <w:rPr>
          <w:rFonts w:ascii="Times New Roman" w:hAnsi="Times New Roman"/>
          <w:color w:val="auto"/>
          <w:sz w:val="22"/>
          <w:szCs w:val="22"/>
        </w:rPr>
        <w:t>a náhlou smrťou.</w:t>
      </w:r>
    </w:p>
    <w:p w14:paraId="61EC797D" w14:textId="77777777" w:rsidR="007E656F" w:rsidRPr="0027277C" w:rsidRDefault="007E656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FDA021" w14:textId="351A579B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Paroxetín sa nesmie používať v kombinácii s pimozidom (pozri časť</w:t>
      </w:r>
      <w:r w:rsidR="00550733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4.5).</w:t>
      </w:r>
    </w:p>
    <w:p w14:paraId="67F4E528" w14:textId="77777777" w:rsidR="00534ADF" w:rsidRPr="0027277C" w:rsidRDefault="00534ADF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082133" w14:textId="77777777" w:rsidR="00140CF8" w:rsidRPr="0027277C" w:rsidRDefault="00140CF8" w:rsidP="005549F8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4.4</w:t>
      </w:r>
      <w:r w:rsidRPr="0027277C">
        <w:rPr>
          <w:b/>
          <w:sz w:val="22"/>
          <w:szCs w:val="22"/>
        </w:rPr>
        <w:tab/>
        <w:t>Osobitné upozornenia a opatrenia pri používaní</w:t>
      </w:r>
    </w:p>
    <w:p w14:paraId="07EE6A10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606794B1" w14:textId="421234C5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 xml:space="preserve">Liečba paroxetínom sa má začať opatrne až po dvoch týždňoch po ukončení liečby ireverzibilným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 alebo po 24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>hodinách po ukončení liečby reverzibilným inhibítorom MAO. Dávky paroxetínu sa majú postupne zvyšovať až dovtedy, kým sa nedosiahne optimálna odpoveď (pozri čas</w:t>
      </w:r>
      <w:r w:rsidR="00041192">
        <w:rPr>
          <w:sz w:val="22"/>
          <w:szCs w:val="22"/>
        </w:rPr>
        <w:t>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</w:t>
      </w:r>
      <w:r w:rsidR="00041192">
        <w:rPr>
          <w:sz w:val="22"/>
          <w:szCs w:val="22"/>
        </w:rPr>
        <w:t> </w:t>
      </w:r>
      <w:r w:rsidRPr="0027277C">
        <w:rPr>
          <w:sz w:val="22"/>
          <w:szCs w:val="22"/>
        </w:rPr>
        <w:t>a 4.5).</w:t>
      </w:r>
    </w:p>
    <w:p w14:paraId="00C042F1" w14:textId="77777777" w:rsidR="00140CF8" w:rsidRPr="0027277C" w:rsidRDefault="00140CF8" w:rsidP="0027277C">
      <w:pPr>
        <w:rPr>
          <w:strike/>
          <w:sz w:val="22"/>
          <w:szCs w:val="22"/>
        </w:rPr>
      </w:pPr>
    </w:p>
    <w:p w14:paraId="6AD4B598" w14:textId="77777777" w:rsidR="00140CF8" w:rsidRPr="006035A0" w:rsidRDefault="00F16EC7" w:rsidP="0027277C">
      <w:pPr>
        <w:rPr>
          <w:bCs/>
          <w:iCs/>
          <w:sz w:val="22"/>
          <w:szCs w:val="22"/>
          <w:u w:val="single"/>
        </w:rPr>
      </w:pPr>
      <w:r w:rsidRPr="006035A0">
        <w:rPr>
          <w:bCs/>
          <w:iCs/>
          <w:sz w:val="22"/>
          <w:szCs w:val="22"/>
          <w:u w:val="single"/>
        </w:rPr>
        <w:t>Pediatrická populácia</w:t>
      </w:r>
    </w:p>
    <w:p w14:paraId="7D478233" w14:textId="497ACD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nesmie používať na liečbu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mladších ako 18</w:t>
      </w:r>
      <w:r w:rsidR="005507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rokov. </w:t>
      </w:r>
      <w:r w:rsidR="00BB31E5" w:rsidRPr="0027277C">
        <w:rPr>
          <w:sz w:val="22"/>
          <w:szCs w:val="22"/>
        </w:rPr>
        <w:t>S</w:t>
      </w:r>
      <w:r w:rsidRPr="0027277C">
        <w:rPr>
          <w:sz w:val="22"/>
          <w:szCs w:val="22"/>
        </w:rPr>
        <w:t>právani</w:t>
      </w:r>
      <w:r w:rsidR="00BB31E5" w:rsidRPr="0027277C">
        <w:rPr>
          <w:sz w:val="22"/>
          <w:szCs w:val="22"/>
        </w:rPr>
        <w:t>e</w:t>
      </w:r>
      <w:r w:rsidRPr="0027277C">
        <w:rPr>
          <w:sz w:val="22"/>
          <w:szCs w:val="22"/>
        </w:rPr>
        <w:t xml:space="preserve"> spojené so</w:t>
      </w:r>
      <w:r w:rsidR="00341E52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samovraždou (pokus o samovraždu a samovražedné myšlienky) a nepriateľstv</w:t>
      </w:r>
      <w:r w:rsidR="00BB31E5" w:rsidRPr="0027277C">
        <w:rPr>
          <w:sz w:val="22"/>
          <w:szCs w:val="22"/>
        </w:rPr>
        <w:t>o</w:t>
      </w:r>
      <w:r w:rsidRPr="0027277C">
        <w:rPr>
          <w:sz w:val="22"/>
          <w:szCs w:val="22"/>
        </w:rPr>
        <w:t xml:space="preserve"> (hlavne agresia, nepriateľské správanie a hnev) </w:t>
      </w:r>
      <w:r w:rsidR="00BB31E5" w:rsidRPr="0027277C">
        <w:rPr>
          <w:sz w:val="22"/>
          <w:szCs w:val="22"/>
        </w:rPr>
        <w:t>boli v klinických štúdiách pozorované častejšie u detí a </w:t>
      </w:r>
      <w:r w:rsidR="000270CA" w:rsidRPr="0027277C">
        <w:rPr>
          <w:sz w:val="22"/>
          <w:szCs w:val="22"/>
        </w:rPr>
        <w:t>dospievajúcich</w:t>
      </w:r>
      <w:r w:rsidR="00BB31E5" w:rsidRPr="0027277C">
        <w:rPr>
          <w:sz w:val="22"/>
          <w:szCs w:val="22"/>
        </w:rPr>
        <w:t xml:space="preserve"> liečených antidepresívami </w:t>
      </w:r>
      <w:r w:rsidRPr="0027277C">
        <w:rPr>
          <w:sz w:val="22"/>
          <w:szCs w:val="22"/>
        </w:rPr>
        <w:t>v porovnaní s deťmi a</w:t>
      </w:r>
      <w:r w:rsidR="000A7125" w:rsidRPr="0027277C">
        <w:rPr>
          <w:sz w:val="22"/>
          <w:szCs w:val="22"/>
        </w:rPr>
        <w:t xml:space="preserve"> dospievajúcimi </w:t>
      </w:r>
      <w:r w:rsidRPr="0027277C">
        <w:rPr>
          <w:sz w:val="22"/>
          <w:szCs w:val="22"/>
        </w:rPr>
        <w:t xml:space="preserve">liečenými placebom. </w:t>
      </w:r>
      <w:r w:rsidR="00BB31E5" w:rsidRPr="0027277C">
        <w:rPr>
          <w:sz w:val="22"/>
          <w:szCs w:val="22"/>
        </w:rPr>
        <w:t xml:space="preserve">Ak sa na základe klinickej potreby napriek tomu prijme rozhodnutie pre liečbu, pacient má byť pozorne sledovaný </w:t>
      </w:r>
      <w:r w:rsidR="00DA5879" w:rsidRPr="0027277C">
        <w:rPr>
          <w:sz w:val="22"/>
          <w:szCs w:val="22"/>
        </w:rPr>
        <w:t>k</w:t>
      </w:r>
      <w:r w:rsidR="0067287E" w:rsidRPr="0027277C">
        <w:rPr>
          <w:sz w:val="22"/>
          <w:szCs w:val="22"/>
        </w:rPr>
        <w:t>v</w:t>
      </w:r>
      <w:r w:rsidR="00DA5879" w:rsidRPr="0027277C">
        <w:rPr>
          <w:sz w:val="22"/>
          <w:szCs w:val="22"/>
        </w:rPr>
        <w:t>ôli</w:t>
      </w:r>
      <w:r w:rsidR="00BB31E5" w:rsidRPr="0027277C">
        <w:rPr>
          <w:sz w:val="22"/>
          <w:szCs w:val="22"/>
        </w:rPr>
        <w:t xml:space="preserve"> vznik</w:t>
      </w:r>
      <w:r w:rsidR="00DA5879" w:rsidRPr="0027277C">
        <w:rPr>
          <w:sz w:val="22"/>
          <w:szCs w:val="22"/>
        </w:rPr>
        <w:t>u</w:t>
      </w:r>
      <w:r w:rsidR="00BB31E5" w:rsidRPr="0027277C">
        <w:rPr>
          <w:sz w:val="22"/>
          <w:szCs w:val="22"/>
        </w:rPr>
        <w:t xml:space="preserve"> samovražedných symptómov. O</w:t>
      </w:r>
      <w:r w:rsidRPr="0027277C">
        <w:rPr>
          <w:sz w:val="22"/>
          <w:szCs w:val="22"/>
        </w:rPr>
        <w:t xml:space="preserve">krem toho chýbajú údaje </w:t>
      </w:r>
      <w:r w:rsidRPr="0027277C">
        <w:rPr>
          <w:sz w:val="22"/>
          <w:szCs w:val="22"/>
        </w:rPr>
        <w:lastRenderedPageBreak/>
        <w:t>o dlhodobej bezpečnosti u detí a </w:t>
      </w:r>
      <w:r w:rsidR="000270CA" w:rsidRPr="0027277C">
        <w:rPr>
          <w:sz w:val="22"/>
          <w:szCs w:val="22"/>
        </w:rPr>
        <w:t>dospievajúcich</w:t>
      </w:r>
      <w:r w:rsidRPr="0027277C">
        <w:rPr>
          <w:sz w:val="22"/>
          <w:szCs w:val="22"/>
        </w:rPr>
        <w:t xml:space="preserve"> týkajúce sa rastu, dospievania a kognití</w:t>
      </w:r>
      <w:r w:rsidR="00674296" w:rsidRPr="0027277C">
        <w:rPr>
          <w:sz w:val="22"/>
          <w:szCs w:val="22"/>
        </w:rPr>
        <w:t>vneho a behaviorálneho vývoja.</w:t>
      </w:r>
    </w:p>
    <w:p w14:paraId="3B5ADF2E" w14:textId="77777777" w:rsidR="00893614" w:rsidRPr="0027277C" w:rsidRDefault="00893614" w:rsidP="0027277C">
      <w:pPr>
        <w:rPr>
          <w:sz w:val="22"/>
          <w:szCs w:val="22"/>
        </w:rPr>
      </w:pPr>
    </w:p>
    <w:p w14:paraId="2830BCE8" w14:textId="77777777" w:rsidR="00893614" w:rsidRPr="00047927" w:rsidRDefault="00893614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 xml:space="preserve">Samovražda/samovražedné </w:t>
      </w:r>
      <w:r w:rsidR="00244FB7" w:rsidRPr="006035A0">
        <w:rPr>
          <w:bCs/>
          <w:sz w:val="22"/>
          <w:szCs w:val="22"/>
          <w:u w:val="single"/>
        </w:rPr>
        <w:t>myšlienky alebo zhoršenie klinického stavu</w:t>
      </w:r>
    </w:p>
    <w:p w14:paraId="70CBD7E9" w14:textId="77777777" w:rsidR="00E17A02" w:rsidRPr="006035A0" w:rsidRDefault="00893614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 xml:space="preserve">Depresia sa </w:t>
      </w:r>
      <w:r w:rsidR="00BC2C19" w:rsidRPr="006035A0">
        <w:rPr>
          <w:rFonts w:ascii="Times New Roman" w:hAnsi="Times New Roman"/>
          <w:color w:val="000000"/>
        </w:rPr>
        <w:t>d</w:t>
      </w:r>
      <w:r w:rsidR="00BC2C19" w:rsidRPr="006035A0">
        <w:rPr>
          <w:rFonts w:ascii="Times New Roman" w:hAnsi="Times New Roman" w:hint="eastAsia"/>
          <w:color w:val="000000"/>
        </w:rPr>
        <w:t>á</w:t>
      </w:r>
      <w:r w:rsidR="00BC2C19" w:rsidRPr="006035A0">
        <w:rPr>
          <w:rFonts w:ascii="Times New Roman" w:hAnsi="Times New Roman"/>
          <w:color w:val="000000"/>
        </w:rPr>
        <w:t>va do s</w:t>
      </w:r>
      <w:r w:rsidR="00BC2C19" w:rsidRPr="006035A0">
        <w:rPr>
          <w:rFonts w:ascii="Times New Roman" w:hAnsi="Times New Roman" w:hint="eastAsia"/>
          <w:color w:val="000000"/>
        </w:rPr>
        <w:t>ú</w:t>
      </w:r>
      <w:r w:rsidR="00BC2C19" w:rsidRPr="006035A0">
        <w:rPr>
          <w:rFonts w:ascii="Times New Roman" w:hAnsi="Times New Roman"/>
          <w:color w:val="000000"/>
        </w:rPr>
        <w:t>vislosti</w:t>
      </w:r>
      <w:r w:rsidRPr="006035A0">
        <w:rPr>
          <w:rFonts w:ascii="Times New Roman" w:hAnsi="Times New Roman"/>
        </w:rPr>
        <w:t xml:space="preserve"> so 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lienok, sebapo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kodzovania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dy</w:t>
      </w:r>
      <w:r w:rsidR="00244FB7" w:rsidRPr="006035A0">
        <w:rPr>
          <w:rFonts w:ascii="Times New Roman" w:hAnsi="Times New Roman"/>
        </w:rPr>
        <w:t xml:space="preserve"> (udalosti s</w:t>
      </w:r>
      <w:r w:rsidR="00244FB7" w:rsidRPr="006035A0">
        <w:rPr>
          <w:rFonts w:ascii="Times New Roman" w:hAnsi="Times New Roman" w:hint="eastAsia"/>
        </w:rPr>
        <w:t>ú</w:t>
      </w:r>
      <w:r w:rsidR="00244FB7" w:rsidRPr="006035A0">
        <w:rPr>
          <w:rFonts w:ascii="Times New Roman" w:hAnsi="Times New Roman"/>
        </w:rPr>
        <w:t>visiace so samovra</w:t>
      </w:r>
      <w:r w:rsidR="00244FB7" w:rsidRPr="006035A0">
        <w:rPr>
          <w:rFonts w:ascii="Times New Roman" w:hAnsi="Times New Roman" w:hint="eastAsia"/>
        </w:rPr>
        <w:t>ž</w:t>
      </w:r>
      <w:r w:rsidR="00244FB7" w:rsidRPr="006035A0">
        <w:rPr>
          <w:rFonts w:ascii="Times New Roman" w:hAnsi="Times New Roman"/>
        </w:rPr>
        <w:t xml:space="preserve">dou). </w:t>
      </w:r>
      <w:r w:rsidRPr="006035A0">
        <w:rPr>
          <w:rFonts w:ascii="Times New Roman" w:hAnsi="Times New Roman"/>
        </w:rPr>
        <w:t>Toto riziko pretrv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 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</w:t>
      </w:r>
      <w:r w:rsidR="00BC2C19" w:rsidRPr="006035A0">
        <w:rPr>
          <w:rFonts w:ascii="Times New Roman" w:hAnsi="Times New Roman"/>
          <w:color w:val="000000"/>
        </w:rPr>
        <w:t>do n</w:t>
      </w:r>
      <w:r w:rsidR="00BC2C19" w:rsidRPr="006035A0">
        <w:rPr>
          <w:rFonts w:ascii="Times New Roman" w:hAnsi="Times New Roman" w:hint="eastAsia"/>
          <w:color w:val="000000"/>
        </w:rPr>
        <w:t>á</w:t>
      </w:r>
      <w:r w:rsidR="00BC2C19" w:rsidRPr="006035A0">
        <w:rPr>
          <w:rFonts w:ascii="Times New Roman" w:hAnsi="Times New Roman"/>
          <w:color w:val="000000"/>
        </w:rPr>
        <w:t>stupu zjavnej remisie</w:t>
      </w:r>
      <w:r w:rsidRPr="006035A0">
        <w:rPr>
          <w:rFonts w:ascii="Times New Roman" w:hAnsi="Times New Roman"/>
        </w:rPr>
        <w:t>. Nako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 xml:space="preserve">ko </w:t>
      </w:r>
      <w:r w:rsidR="00E17A02" w:rsidRPr="006035A0">
        <w:rPr>
          <w:rFonts w:ascii="Times New Roman" w:hAnsi="Times New Roman"/>
        </w:rPr>
        <w:t xml:space="preserve">sa </w:t>
      </w:r>
      <w:r w:rsidRPr="006035A0">
        <w:rPr>
          <w:rFonts w:ascii="Times New Roman" w:hAnsi="Times New Roman"/>
        </w:rPr>
        <w:t>zlep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enie nemus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prejavi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po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 prv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 xml:space="preserve">ch </w:t>
      </w:r>
      <w:r w:rsidR="00E17A02" w:rsidRPr="006035A0">
        <w:rPr>
          <w:rFonts w:ascii="Times New Roman" w:hAnsi="Times New Roman"/>
        </w:rPr>
        <w:t>nieko</w:t>
      </w:r>
      <w:r w:rsidR="00E17A02" w:rsidRPr="006035A0">
        <w:rPr>
          <w:rFonts w:ascii="Times New Roman" w:hAnsi="Times New Roman" w:hint="eastAsia"/>
        </w:rPr>
        <w:t>ľ</w:t>
      </w:r>
      <w:r w:rsidR="00E17A02" w:rsidRPr="006035A0">
        <w:rPr>
          <w:rFonts w:ascii="Times New Roman" w:hAnsi="Times New Roman"/>
        </w:rPr>
        <w:t>k</w:t>
      </w:r>
      <w:r w:rsidR="00E17A02" w:rsidRPr="006035A0">
        <w:rPr>
          <w:rFonts w:ascii="Times New Roman" w:hAnsi="Times New Roman" w:hint="eastAsia"/>
        </w:rPr>
        <w:t>ý</w:t>
      </w:r>
      <w:r w:rsidR="00E17A02" w:rsidRPr="006035A0">
        <w:rPr>
          <w:rFonts w:ascii="Times New Roman" w:hAnsi="Times New Roman"/>
        </w:rPr>
        <w:t xml:space="preserve">ch </w:t>
      </w:r>
      <w:r w:rsidRPr="006035A0">
        <w:rPr>
          <w:rFonts w:ascii="Times New Roman" w:hAnsi="Times New Roman"/>
        </w:rPr>
        <w:t>alebo viacer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t</w:t>
      </w:r>
      <w:r w:rsidRPr="006035A0">
        <w:rPr>
          <w:rFonts w:ascii="Times New Roman" w:hAnsi="Times New Roman" w:hint="eastAsia"/>
        </w:rPr>
        <w:t>ýž</w:t>
      </w:r>
      <w:r w:rsidRPr="006035A0">
        <w:rPr>
          <w:rFonts w:ascii="Times New Roman" w:hAnsi="Times New Roman"/>
        </w:rPr>
        <w:t>d</w:t>
      </w:r>
      <w:r w:rsidRPr="006035A0">
        <w:rPr>
          <w:rFonts w:ascii="Times New Roman" w:hAnsi="Times New Roman" w:hint="eastAsia"/>
        </w:rPr>
        <w:t>ň</w:t>
      </w:r>
      <w:r w:rsidRPr="006035A0">
        <w:rPr>
          <w:rFonts w:ascii="Times New Roman" w:hAnsi="Times New Roman"/>
        </w:rPr>
        <w:t>ov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by, pacienti musia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starostlivo sledovan</w:t>
      </w:r>
      <w:r w:rsidRPr="006035A0">
        <w:rPr>
          <w:rFonts w:ascii="Times New Roman" w:hAnsi="Times New Roman" w:hint="eastAsia"/>
        </w:rPr>
        <w:t>í</w:t>
      </w:r>
      <w:r w:rsidR="00E17A02" w:rsidRPr="006035A0">
        <w:rPr>
          <w:rFonts w:ascii="Times New Roman" w:hAnsi="Times New Roman"/>
        </w:rPr>
        <w:t>,</w:t>
      </w:r>
      <w:r w:rsidRPr="006035A0">
        <w:rPr>
          <w:rFonts w:ascii="Times New Roman" w:hAnsi="Times New Roman"/>
        </w:rPr>
        <w:t xml:space="preserve"> 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 xml:space="preserve">m </w:t>
      </w:r>
      <w:r w:rsidR="00E17A02" w:rsidRPr="006035A0">
        <w:rPr>
          <w:rFonts w:ascii="Times New Roman" w:hAnsi="Times New Roman"/>
        </w:rPr>
        <w:t>nenastane zlep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enie</w:t>
      </w:r>
      <w:r w:rsidRPr="006035A0">
        <w:rPr>
          <w:rFonts w:ascii="Times New Roman" w:hAnsi="Times New Roman"/>
        </w:rPr>
        <w:t xml:space="preserve">. </w:t>
      </w:r>
      <w:r w:rsidR="00E17A02" w:rsidRPr="006035A0">
        <w:rPr>
          <w:rFonts w:ascii="Times New Roman" w:hAnsi="Times New Roman"/>
        </w:rPr>
        <w:t>Vo v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eobecnosti klinick</w:t>
      </w:r>
      <w:r w:rsidR="00E17A02" w:rsidRPr="006035A0">
        <w:rPr>
          <w:rFonts w:ascii="Times New Roman" w:hAnsi="Times New Roman" w:hint="eastAsia"/>
        </w:rPr>
        <w:t>é</w:t>
      </w:r>
      <w:r w:rsidR="00E17A02" w:rsidRPr="006035A0">
        <w:rPr>
          <w:rFonts w:ascii="Times New Roman" w:hAnsi="Times New Roman"/>
        </w:rPr>
        <w:t xml:space="preserve"> sk</w:t>
      </w:r>
      <w:r w:rsidR="00E17A02" w:rsidRPr="006035A0">
        <w:rPr>
          <w:rFonts w:ascii="Times New Roman" w:hAnsi="Times New Roman" w:hint="eastAsia"/>
        </w:rPr>
        <w:t>ú</w:t>
      </w:r>
      <w:r w:rsidR="00E17A02" w:rsidRPr="006035A0">
        <w:rPr>
          <w:rFonts w:ascii="Times New Roman" w:hAnsi="Times New Roman"/>
        </w:rPr>
        <w:t>senosti ukazuj</w:t>
      </w:r>
      <w:r w:rsidR="00E17A02" w:rsidRPr="006035A0">
        <w:rPr>
          <w:rFonts w:ascii="Times New Roman" w:hAnsi="Times New Roman" w:hint="eastAsia"/>
        </w:rPr>
        <w:t>ú</w:t>
      </w:r>
      <w:r w:rsidR="00E17A02" w:rsidRPr="006035A0">
        <w:rPr>
          <w:rFonts w:ascii="Times New Roman" w:hAnsi="Times New Roman"/>
        </w:rPr>
        <w:t xml:space="preserve">, </w:t>
      </w:r>
      <w:r w:rsidR="00E17A02" w:rsidRPr="006035A0">
        <w:rPr>
          <w:rFonts w:ascii="Times New Roman" w:hAnsi="Times New Roman" w:hint="eastAsia"/>
        </w:rPr>
        <w:t>ž</w:t>
      </w:r>
      <w:r w:rsidR="00E17A02" w:rsidRPr="006035A0">
        <w:rPr>
          <w:rFonts w:ascii="Times New Roman" w:hAnsi="Times New Roman"/>
        </w:rPr>
        <w:t>e riziko samovra</w:t>
      </w:r>
      <w:r w:rsidR="00E17A02" w:rsidRPr="006035A0">
        <w:rPr>
          <w:rFonts w:ascii="Times New Roman" w:hAnsi="Times New Roman" w:hint="eastAsia"/>
        </w:rPr>
        <w:t>ž</w:t>
      </w:r>
      <w:r w:rsidR="00E17A02" w:rsidRPr="006035A0">
        <w:rPr>
          <w:rFonts w:ascii="Times New Roman" w:hAnsi="Times New Roman"/>
        </w:rPr>
        <w:t>dy sa m</w:t>
      </w:r>
      <w:r w:rsidR="00E17A02" w:rsidRPr="006035A0">
        <w:rPr>
          <w:rFonts w:ascii="Times New Roman" w:hAnsi="Times New Roman" w:hint="eastAsia"/>
        </w:rPr>
        <w:t>ôž</w:t>
      </w:r>
      <w:r w:rsidR="00E17A02" w:rsidRPr="006035A0">
        <w:rPr>
          <w:rFonts w:ascii="Times New Roman" w:hAnsi="Times New Roman"/>
        </w:rPr>
        <w:t>e zv</w:t>
      </w:r>
      <w:r w:rsidR="00E17A02" w:rsidRPr="006035A0">
        <w:rPr>
          <w:rFonts w:ascii="Times New Roman" w:hAnsi="Times New Roman" w:hint="eastAsia"/>
        </w:rPr>
        <w:t>ýš</w:t>
      </w:r>
      <w:r w:rsidR="00E17A02" w:rsidRPr="006035A0">
        <w:rPr>
          <w:rFonts w:ascii="Times New Roman" w:hAnsi="Times New Roman"/>
        </w:rPr>
        <w:t>i</w:t>
      </w:r>
      <w:r w:rsidR="00E17A02" w:rsidRPr="006035A0">
        <w:rPr>
          <w:rFonts w:ascii="Times New Roman" w:hAnsi="Times New Roman" w:hint="eastAsia"/>
        </w:rPr>
        <w:t>ť</w:t>
      </w:r>
      <w:r w:rsidR="00E17A02" w:rsidRPr="006035A0">
        <w:rPr>
          <w:rFonts w:ascii="Times New Roman" w:hAnsi="Times New Roman"/>
        </w:rPr>
        <w:t xml:space="preserve"> v skor</w:t>
      </w:r>
      <w:r w:rsidR="00E17A02" w:rsidRPr="006035A0">
        <w:rPr>
          <w:rFonts w:ascii="Times New Roman" w:hAnsi="Times New Roman" w:hint="eastAsia"/>
        </w:rPr>
        <w:t>ý</w:t>
      </w:r>
      <w:r w:rsidR="00E17A02" w:rsidRPr="006035A0">
        <w:rPr>
          <w:rFonts w:ascii="Times New Roman" w:hAnsi="Times New Roman"/>
        </w:rPr>
        <w:t xml:space="preserve">ch </w:t>
      </w:r>
      <w:r w:rsidR="00E17A02" w:rsidRPr="006035A0">
        <w:rPr>
          <w:rFonts w:ascii="Times New Roman" w:hAnsi="Times New Roman" w:hint="eastAsia"/>
        </w:rPr>
        <w:t>š</w:t>
      </w:r>
      <w:r w:rsidR="00E17A02" w:rsidRPr="006035A0">
        <w:rPr>
          <w:rFonts w:ascii="Times New Roman" w:hAnsi="Times New Roman"/>
        </w:rPr>
        <w:t>t</w:t>
      </w:r>
      <w:r w:rsidR="00E17A02" w:rsidRPr="006035A0">
        <w:rPr>
          <w:rFonts w:ascii="Times New Roman" w:hAnsi="Times New Roman" w:hint="eastAsia"/>
        </w:rPr>
        <w:t>á</w:t>
      </w:r>
      <w:r w:rsidR="00E17A02" w:rsidRPr="006035A0">
        <w:rPr>
          <w:rFonts w:ascii="Times New Roman" w:hAnsi="Times New Roman"/>
        </w:rPr>
        <w:t>di</w:t>
      </w:r>
      <w:r w:rsidR="00E17A02" w:rsidRPr="006035A0">
        <w:rPr>
          <w:rFonts w:ascii="Times New Roman" w:hAnsi="Times New Roman" w:hint="eastAsia"/>
        </w:rPr>
        <w:t>á</w:t>
      </w:r>
      <w:r w:rsidR="00E17A02" w:rsidRPr="006035A0">
        <w:rPr>
          <w:rFonts w:ascii="Times New Roman" w:hAnsi="Times New Roman"/>
        </w:rPr>
        <w:t>ch zotavovania.</w:t>
      </w:r>
    </w:p>
    <w:p w14:paraId="5726F85C" w14:textId="77777777" w:rsidR="00893614" w:rsidRPr="00041192" w:rsidRDefault="00893614" w:rsidP="00EB2E83">
      <w:pPr>
        <w:rPr>
          <w:sz w:val="22"/>
          <w:szCs w:val="22"/>
        </w:rPr>
      </w:pPr>
    </w:p>
    <w:p w14:paraId="0D12BEDC" w14:textId="0719D7E7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In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psychiatrick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stavy, na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bu ktor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bol</w:t>
      </w:r>
      <w:r w:rsidRPr="006035A0" w:rsidDel="008C5788">
        <w:rPr>
          <w:rFonts w:ascii="Times New Roman" w:hAnsi="Times New Roman"/>
        </w:rPr>
        <w:t xml:space="preserve"> </w:t>
      </w:r>
      <w:r w:rsidRPr="006035A0">
        <w:rPr>
          <w:rFonts w:ascii="Times New Roman" w:hAnsi="Times New Roman"/>
        </w:rPr>
        <w:t>paroxet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n predp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san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, m</w:t>
      </w:r>
      <w:r w:rsidRPr="006035A0">
        <w:rPr>
          <w:rFonts w:ascii="Times New Roman" w:hAnsi="Times New Roman" w:hint="eastAsia"/>
        </w:rPr>
        <w:t>ôž</w:t>
      </w:r>
      <w:r w:rsidRPr="006035A0">
        <w:rPr>
          <w:rFonts w:ascii="Times New Roman" w:hAnsi="Times New Roman"/>
        </w:rPr>
        <w:t>u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tie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 xml:space="preserve"> spojen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so</w:t>
      </w:r>
      <w:r w:rsidR="00C9318D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lneho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vania. Okrem toho, tieto stavy m</w:t>
      </w:r>
      <w:r w:rsidRPr="006035A0">
        <w:rPr>
          <w:rFonts w:ascii="Times New Roman" w:hAnsi="Times New Roman" w:hint="eastAsia"/>
        </w:rPr>
        <w:t>ôž</w:t>
      </w:r>
      <w:r w:rsidRPr="006035A0">
        <w:rPr>
          <w:rFonts w:ascii="Times New Roman" w:hAnsi="Times New Roman"/>
        </w:rPr>
        <w:t>u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spojen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ve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kou</w:t>
      </w:r>
      <w:r w:rsidR="00B039BC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vnou poruchou. Rovnak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opatrenia dodr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iavan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pri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be pacientov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ve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kou 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vnou poruchou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dodr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iavan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aj pri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be pacientov s in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psychiatrick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poruchami.</w:t>
      </w:r>
    </w:p>
    <w:p w14:paraId="2330C4CE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20FAE63C" w14:textId="77777777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Pacienti s anamn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zou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lnych pr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hod alebo 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znamn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prejavmi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pred za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at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m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v</w:t>
      </w:r>
      <w:r w:rsidRPr="006035A0">
        <w:rPr>
          <w:rFonts w:ascii="Times New Roman" w:hAnsi="Times New Roman" w:hint="eastAsia"/>
        </w:rPr>
        <w:t>äčš</w:t>
      </w:r>
      <w:r w:rsidRPr="006035A0">
        <w:rPr>
          <w:rFonts w:ascii="Times New Roman" w:hAnsi="Times New Roman"/>
        </w:rPr>
        <w:t>ie riziko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alebo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pokusov,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preto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starostlivo sledovan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po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by.</w:t>
      </w:r>
    </w:p>
    <w:p w14:paraId="545F45A4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65FF871B" w14:textId="61A2A52A" w:rsidR="00E17A02" w:rsidRPr="006035A0" w:rsidRDefault="00E17A02" w:rsidP="00041192">
      <w:pPr>
        <w:pStyle w:val="Normlndobloku"/>
        <w:rPr>
          <w:rFonts w:ascii="Times New Roman" w:hAnsi="Times New Roman"/>
        </w:rPr>
      </w:pPr>
      <w:r w:rsidRPr="006035A0">
        <w:rPr>
          <w:rFonts w:ascii="Times New Roman" w:hAnsi="Times New Roman"/>
        </w:rPr>
        <w:t>Meta</w:t>
      </w:r>
      <w:r w:rsidR="001E72BF" w:rsidRPr="006035A0">
        <w:rPr>
          <w:rFonts w:ascii="Times New Roman" w:hAnsi="Times New Roman"/>
        </w:rPr>
        <w:noBreakHyphen/>
      </w:r>
      <w:r w:rsidRPr="006035A0">
        <w:rPr>
          <w:rFonts w:ascii="Times New Roman" w:hAnsi="Times New Roman"/>
        </w:rPr>
        <w:t>anal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za placebom kontrolovan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klinick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sk</w:t>
      </w:r>
      <w:r w:rsidRPr="006035A0">
        <w:rPr>
          <w:rFonts w:ascii="Times New Roman" w:hAnsi="Times New Roman" w:hint="eastAsia"/>
        </w:rPr>
        <w:t>úš</w:t>
      </w:r>
      <w:r w:rsidRPr="006035A0">
        <w:rPr>
          <w:rFonts w:ascii="Times New Roman" w:hAnsi="Times New Roman"/>
        </w:rPr>
        <w:t>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antidepres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vnych liekov u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dospel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pacientov so psychiatrick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mi poruchami uk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zala zv</w:t>
      </w:r>
      <w:r w:rsidRPr="006035A0">
        <w:rPr>
          <w:rFonts w:ascii="Times New Roman" w:hAnsi="Times New Roman" w:hint="eastAsia"/>
        </w:rPr>
        <w:t>ýš</w:t>
      </w:r>
      <w:r w:rsidRPr="006035A0">
        <w:rPr>
          <w:rFonts w:ascii="Times New Roman" w:hAnsi="Times New Roman"/>
        </w:rPr>
        <w:t>en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riziko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vania s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antidepres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vami v porovnan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s placebom u pacientov mlad</w:t>
      </w:r>
      <w:r w:rsidRPr="006035A0">
        <w:rPr>
          <w:rFonts w:ascii="Times New Roman" w:hAnsi="Times New Roman" w:hint="eastAsia"/>
        </w:rPr>
        <w:t>ší</w:t>
      </w:r>
      <w:r w:rsidRPr="006035A0">
        <w:rPr>
          <w:rFonts w:ascii="Times New Roman" w:hAnsi="Times New Roman"/>
        </w:rPr>
        <w:t>ch ako 25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 xml:space="preserve">rokov (pozri 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as</w:t>
      </w:r>
      <w:r w:rsidRPr="006035A0">
        <w:rPr>
          <w:rFonts w:ascii="Times New Roman" w:hAnsi="Times New Roman" w:hint="eastAsia"/>
        </w:rPr>
        <w:t>ť</w:t>
      </w:r>
      <w:r w:rsidR="0055073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5.1).</w:t>
      </w:r>
    </w:p>
    <w:p w14:paraId="16EF118B" w14:textId="77777777" w:rsidR="00BC6ECC" w:rsidRPr="006035A0" w:rsidRDefault="00BC6ECC" w:rsidP="00041192">
      <w:pPr>
        <w:pStyle w:val="Normlndobloku"/>
        <w:rPr>
          <w:rFonts w:ascii="Times New Roman" w:hAnsi="Times New Roman"/>
        </w:rPr>
      </w:pPr>
    </w:p>
    <w:p w14:paraId="6C80C933" w14:textId="2ADB8799" w:rsidR="00E17A02" w:rsidRPr="006035A0" w:rsidRDefault="00E17A02" w:rsidP="00041192">
      <w:pPr>
        <w:pStyle w:val="Normlndobloku"/>
        <w:rPr>
          <w:rFonts w:ascii="Times New Roman" w:hAnsi="Times New Roman"/>
          <w:highlight w:val="yellow"/>
        </w:rPr>
      </w:pPr>
      <w:r w:rsidRPr="006035A0">
        <w:rPr>
          <w:rFonts w:ascii="Times New Roman" w:hAnsi="Times New Roman"/>
        </w:rPr>
        <w:t>Pacientov, obzvl</w:t>
      </w:r>
      <w:r w:rsidRPr="006035A0">
        <w:rPr>
          <w:rFonts w:ascii="Times New Roman" w:hAnsi="Times New Roman" w:hint="eastAsia"/>
        </w:rPr>
        <w:t>ášť</w:t>
      </w:r>
      <w:r w:rsidRPr="006035A0">
        <w:rPr>
          <w:rFonts w:ascii="Times New Roman" w:hAnsi="Times New Roman"/>
        </w:rPr>
        <w:t xml:space="preserve"> t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s vysok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m rizikom suicid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lnych 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lienok, je potrebn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 xml:space="preserve"> hlavne na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za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iatku lie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by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po zmene d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vkovania starostlivo monitorova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>. Pacienti (a ich opatrovatelia) maj</w:t>
      </w:r>
      <w:r w:rsidRPr="006035A0">
        <w:rPr>
          <w:rFonts w:ascii="Times New Roman" w:hAnsi="Times New Roman" w:hint="eastAsia"/>
        </w:rPr>
        <w:t>ú</w:t>
      </w:r>
      <w:r w:rsidRPr="006035A0">
        <w:rPr>
          <w:rFonts w:ascii="Times New Roman" w:hAnsi="Times New Roman"/>
        </w:rPr>
        <w:t xml:space="preserve"> by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upozornen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na potrebu sledovania v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skytu klinick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zhor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enia, samovra</w:t>
      </w:r>
      <w:r w:rsidRPr="006035A0">
        <w:rPr>
          <w:rFonts w:ascii="Times New Roman" w:hAnsi="Times New Roman" w:hint="eastAsia"/>
        </w:rPr>
        <w:t>ž</w:t>
      </w:r>
      <w:r w:rsidRPr="006035A0">
        <w:rPr>
          <w:rFonts w:ascii="Times New Roman" w:hAnsi="Times New Roman"/>
        </w:rPr>
        <w:t>edn</w:t>
      </w:r>
      <w:r w:rsidRPr="006035A0">
        <w:rPr>
          <w:rFonts w:ascii="Times New Roman" w:hAnsi="Times New Roman" w:hint="eastAsia"/>
        </w:rPr>
        <w:t>é</w:t>
      </w:r>
      <w:r w:rsidRPr="006035A0">
        <w:rPr>
          <w:rFonts w:ascii="Times New Roman" w:hAnsi="Times New Roman"/>
        </w:rPr>
        <w:t>ho 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 xml:space="preserve">vania alebo </w:t>
      </w:r>
      <w:r w:rsidR="00910E03" w:rsidRPr="006035A0">
        <w:rPr>
          <w:rFonts w:ascii="Times New Roman" w:hAnsi="Times New Roman"/>
        </w:rPr>
        <w:t>samovra</w:t>
      </w:r>
      <w:r w:rsidR="00910E03" w:rsidRPr="006035A0">
        <w:rPr>
          <w:rFonts w:ascii="Times New Roman" w:hAnsi="Times New Roman" w:hint="eastAsia"/>
        </w:rPr>
        <w:t>ž</w:t>
      </w:r>
      <w:r w:rsidR="00910E03" w:rsidRPr="006035A0">
        <w:rPr>
          <w:rFonts w:ascii="Times New Roman" w:hAnsi="Times New Roman"/>
        </w:rPr>
        <w:t>edn</w:t>
      </w:r>
      <w:r w:rsidR="00910E03" w:rsidRPr="006035A0">
        <w:rPr>
          <w:rFonts w:ascii="Times New Roman" w:hAnsi="Times New Roman" w:hint="eastAsia"/>
        </w:rPr>
        <w:t>ý</w:t>
      </w:r>
      <w:r w:rsidR="00910E03" w:rsidRPr="006035A0">
        <w:rPr>
          <w:rFonts w:ascii="Times New Roman" w:hAnsi="Times New Roman"/>
        </w:rPr>
        <w:t xml:space="preserve">ch </w:t>
      </w:r>
      <w:r w:rsidRPr="006035A0">
        <w:rPr>
          <w:rFonts w:ascii="Times New Roman" w:hAnsi="Times New Roman"/>
        </w:rPr>
        <w:t>my</w:t>
      </w:r>
      <w:r w:rsidRPr="006035A0">
        <w:rPr>
          <w:rFonts w:ascii="Times New Roman" w:hAnsi="Times New Roman" w:hint="eastAsia"/>
        </w:rPr>
        <w:t>š</w:t>
      </w:r>
      <w:r w:rsidRPr="006035A0">
        <w:rPr>
          <w:rFonts w:ascii="Times New Roman" w:hAnsi="Times New Roman"/>
        </w:rPr>
        <w:t>lienok a</w:t>
      </w:r>
      <w:r w:rsidRPr="006035A0">
        <w:rPr>
          <w:rFonts w:ascii="Times New Roman" w:hAnsi="Times New Roman" w:hint="eastAsia"/>
        </w:rPr>
        <w:t> </w:t>
      </w:r>
      <w:r w:rsidRPr="006035A0">
        <w:rPr>
          <w:rFonts w:ascii="Times New Roman" w:hAnsi="Times New Roman"/>
        </w:rPr>
        <w:t>neoby</w:t>
      </w:r>
      <w:r w:rsidRPr="006035A0">
        <w:rPr>
          <w:rFonts w:ascii="Times New Roman" w:hAnsi="Times New Roman" w:hint="eastAsia"/>
        </w:rPr>
        <w:t>č</w:t>
      </w:r>
      <w:r w:rsidRPr="006035A0">
        <w:rPr>
          <w:rFonts w:ascii="Times New Roman" w:hAnsi="Times New Roman"/>
        </w:rPr>
        <w:t>ajn</w:t>
      </w:r>
      <w:r w:rsidRPr="006035A0">
        <w:rPr>
          <w:rFonts w:ascii="Times New Roman" w:hAnsi="Times New Roman" w:hint="eastAsia"/>
        </w:rPr>
        <w:t>ý</w:t>
      </w:r>
      <w:r w:rsidRPr="006035A0">
        <w:rPr>
          <w:rFonts w:ascii="Times New Roman" w:hAnsi="Times New Roman"/>
        </w:rPr>
        <w:t>ch zmien v</w:t>
      </w:r>
      <w:r w:rsidR="00EB2E83" w:rsidRPr="006035A0">
        <w:rPr>
          <w:rFonts w:ascii="Times New Roman" w:hAnsi="Times New Roman" w:hint="eastAsia"/>
          <w:lang w:val="sk-SK"/>
        </w:rPr>
        <w:t> </w:t>
      </w:r>
      <w:r w:rsidRPr="006035A0">
        <w:rPr>
          <w:rFonts w:ascii="Times New Roman" w:hAnsi="Times New Roman"/>
        </w:rPr>
        <w:t>spr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van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 xml:space="preserve"> a vyh</w:t>
      </w:r>
      <w:r w:rsidRPr="006035A0">
        <w:rPr>
          <w:rFonts w:ascii="Times New Roman" w:hAnsi="Times New Roman" w:hint="eastAsia"/>
        </w:rPr>
        <w:t>ľ</w:t>
      </w:r>
      <w:r w:rsidRPr="006035A0">
        <w:rPr>
          <w:rFonts w:ascii="Times New Roman" w:hAnsi="Times New Roman"/>
        </w:rPr>
        <w:t>ada</w:t>
      </w:r>
      <w:r w:rsidRPr="006035A0">
        <w:rPr>
          <w:rFonts w:ascii="Times New Roman" w:hAnsi="Times New Roman" w:hint="eastAsia"/>
        </w:rPr>
        <w:t>ť</w:t>
      </w:r>
      <w:r w:rsidRPr="006035A0">
        <w:rPr>
          <w:rFonts w:ascii="Times New Roman" w:hAnsi="Times New Roman"/>
        </w:rPr>
        <w:t xml:space="preserve"> lek</w:t>
      </w:r>
      <w:r w:rsidRPr="006035A0">
        <w:rPr>
          <w:rFonts w:ascii="Times New Roman" w:hAnsi="Times New Roman" w:hint="eastAsia"/>
        </w:rPr>
        <w:t>á</w:t>
      </w:r>
      <w:r w:rsidRPr="006035A0">
        <w:rPr>
          <w:rFonts w:ascii="Times New Roman" w:hAnsi="Times New Roman"/>
        </w:rPr>
        <w:t>rsku pomoc hne</w:t>
      </w:r>
      <w:r w:rsidRPr="006035A0">
        <w:rPr>
          <w:rFonts w:ascii="Times New Roman" w:hAnsi="Times New Roman" w:hint="eastAsia"/>
        </w:rPr>
        <w:t>ď</w:t>
      </w:r>
      <w:r w:rsidRPr="006035A0">
        <w:rPr>
          <w:rFonts w:ascii="Times New Roman" w:hAnsi="Times New Roman"/>
        </w:rPr>
        <w:t>, ako sa tieto pr</w:t>
      </w:r>
      <w:r w:rsidRPr="006035A0">
        <w:rPr>
          <w:rFonts w:ascii="Times New Roman" w:hAnsi="Times New Roman" w:hint="eastAsia"/>
        </w:rPr>
        <w:t>í</w:t>
      </w:r>
      <w:r w:rsidRPr="006035A0">
        <w:rPr>
          <w:rFonts w:ascii="Times New Roman" w:hAnsi="Times New Roman"/>
        </w:rPr>
        <w:t>znaky objavia.</w:t>
      </w:r>
    </w:p>
    <w:p w14:paraId="23B3A337" w14:textId="77777777" w:rsidR="00DA49B5" w:rsidRPr="00C9318D" w:rsidRDefault="00DA49B5" w:rsidP="0027277C">
      <w:pPr>
        <w:rPr>
          <w:sz w:val="22"/>
          <w:szCs w:val="22"/>
        </w:rPr>
      </w:pPr>
    </w:p>
    <w:p w14:paraId="3D8927DB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Akatízia</w:t>
      </w:r>
      <w:r w:rsidR="002118A5" w:rsidRPr="006035A0">
        <w:rPr>
          <w:bCs/>
          <w:sz w:val="22"/>
          <w:szCs w:val="22"/>
          <w:u w:val="single"/>
        </w:rPr>
        <w:t>/psychomotorický nepokoj</w:t>
      </w:r>
    </w:p>
    <w:p w14:paraId="51CAE3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Použitie paroxetínu bolo spojené s rozvojom akatízie, ktorá je charakterizovaná vnútorným pocitom nepokoja a psychomotorickou agitovanosťou ako je neschopnosť sedieť alebo stáť</w:t>
      </w:r>
      <w:r w:rsidR="005E2198" w:rsidRPr="0027277C">
        <w:rPr>
          <w:sz w:val="22"/>
          <w:szCs w:val="22"/>
        </w:rPr>
        <w:t xml:space="preserve"> pokojne </w:t>
      </w:r>
      <w:r w:rsidRPr="0027277C">
        <w:rPr>
          <w:sz w:val="22"/>
          <w:szCs w:val="22"/>
        </w:rPr>
        <w:t>zvyčajne spojené so subjektívnou tiesňou. Akatízia sa s najväčšou pravdepodobnosťou vyskytuje počas prvých niekoľkých týždňov liečby. U pacientov, u ktorých dôjde k týmto symptómom, môže byť zvyšovanie dávky</w:t>
      </w:r>
      <w:r w:rsidR="00674296" w:rsidRPr="0027277C">
        <w:rPr>
          <w:sz w:val="22"/>
          <w:szCs w:val="22"/>
        </w:rPr>
        <w:t xml:space="preserve"> škodlivé.</w:t>
      </w:r>
    </w:p>
    <w:p w14:paraId="6F7B629C" w14:textId="77777777" w:rsidR="00140CF8" w:rsidRPr="0027277C" w:rsidRDefault="00140CF8" w:rsidP="0027277C">
      <w:pPr>
        <w:rPr>
          <w:sz w:val="22"/>
          <w:szCs w:val="22"/>
        </w:rPr>
      </w:pPr>
    </w:p>
    <w:p w14:paraId="6B82EC43" w14:textId="77777777" w:rsidR="00140CF8" w:rsidRPr="006035A0" w:rsidRDefault="00AC42D8" w:rsidP="0027277C">
      <w:pPr>
        <w:keepNext/>
        <w:tabs>
          <w:tab w:val="left" w:pos="5640"/>
        </w:tabs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Séroton</w:t>
      </w:r>
      <w:r w:rsidR="00140CF8" w:rsidRPr="006035A0">
        <w:rPr>
          <w:bCs/>
          <w:sz w:val="22"/>
          <w:szCs w:val="22"/>
          <w:u w:val="single"/>
        </w:rPr>
        <w:t>ínový syndróm/</w:t>
      </w:r>
      <w:r w:rsidR="001A688B" w:rsidRPr="006035A0">
        <w:rPr>
          <w:bCs/>
          <w:sz w:val="22"/>
          <w:szCs w:val="22"/>
          <w:u w:val="single"/>
        </w:rPr>
        <w:t>m</w:t>
      </w:r>
      <w:r w:rsidR="00140CF8" w:rsidRPr="006035A0">
        <w:rPr>
          <w:bCs/>
          <w:sz w:val="22"/>
          <w:szCs w:val="22"/>
          <w:u w:val="single"/>
        </w:rPr>
        <w:t>alígny neuroleptický syndróm</w:t>
      </w:r>
    </w:p>
    <w:p w14:paraId="18AEAE45" w14:textId="436DB96F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V zriedkavých prípadoch sa môže v súvislosti s liečbou paroxetínom vyskytnúť rozvoj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ínového syndrómu alebo príznakov podobných malígnemu neuroleptickému syndrómu, najmä ak sa podáva v kombinácii s ďalšími </w:t>
      </w:r>
      <w:r w:rsidR="00333285" w:rsidRPr="0027277C">
        <w:rPr>
          <w:sz w:val="22"/>
          <w:szCs w:val="22"/>
        </w:rPr>
        <w:t>sérotonergnými</w:t>
      </w:r>
      <w:r w:rsidR="000A4425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a/alebo neuroleptickými liekmi. Vzhľadom </w:t>
      </w:r>
      <w:r w:rsidR="00DE5B33">
        <w:rPr>
          <w:sz w:val="22"/>
          <w:szCs w:val="22"/>
        </w:rPr>
        <w:t>na</w:t>
      </w:r>
      <w:r w:rsidRPr="0027277C">
        <w:rPr>
          <w:sz w:val="22"/>
          <w:szCs w:val="22"/>
        </w:rPr>
        <w:t> to, že tieto syndrómy môžu viesť k potenciálne život ohrozujúcim stavom, liečba paroxetínom sa musí prerušiť, ak sa takéto príznaky (charakterizované skupinou symptómov ako sú hypertermia, rigidita, myoklónia, autonómna nestabilita s možnými rýchlymi výkyvmi známok života, zmeny v duševnom stave zahŕňajúce zmätenosť, podráždenosť, extrémnu agitovanosť s progresom do delíria a kómy) vyskytnú a musí sa začať podporná symptomatická liečba. Paroxetín sa nesmie používať v kombinácii s</w:t>
      </w:r>
      <w:r w:rsidR="00DE5B33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prekurzormi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 (ako je L</w:t>
      </w:r>
      <w:r w:rsidR="00DE5B33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tryptofán, oxitriptan) z dôvodu rizika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ergného syndrómu</w:t>
      </w:r>
      <w:r w:rsidR="00467495">
        <w:rPr>
          <w:sz w:val="22"/>
          <w:szCs w:val="22"/>
        </w:rPr>
        <w:t>.</w:t>
      </w:r>
      <w:r w:rsidR="0001097A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(</w:t>
      </w:r>
      <w:r w:rsidR="00467495">
        <w:rPr>
          <w:sz w:val="22"/>
          <w:szCs w:val="22"/>
        </w:rPr>
        <w:t>P</w:t>
      </w:r>
      <w:r w:rsidRPr="0027277C">
        <w:rPr>
          <w:sz w:val="22"/>
          <w:szCs w:val="22"/>
        </w:rPr>
        <w:t>ozri čas</w:t>
      </w:r>
      <w:r w:rsidR="0001097A">
        <w:rPr>
          <w:sz w:val="22"/>
          <w:szCs w:val="22"/>
        </w:rPr>
        <w:t>ti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4.3</w:t>
      </w:r>
      <w:r w:rsidR="0001097A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467495">
        <w:rPr>
          <w:sz w:val="22"/>
          <w:szCs w:val="22"/>
        </w:rPr>
        <w:t> </w:t>
      </w:r>
      <w:r w:rsidRPr="0027277C">
        <w:rPr>
          <w:sz w:val="22"/>
          <w:szCs w:val="22"/>
        </w:rPr>
        <w:t>4</w:t>
      </w:r>
      <w:r w:rsidR="00674296" w:rsidRPr="0027277C">
        <w:rPr>
          <w:sz w:val="22"/>
          <w:szCs w:val="22"/>
        </w:rPr>
        <w:t>.5).</w:t>
      </w:r>
    </w:p>
    <w:p w14:paraId="00603E26" w14:textId="77777777" w:rsidR="00140CF8" w:rsidRPr="0027277C" w:rsidRDefault="00140CF8" w:rsidP="0027277C">
      <w:pPr>
        <w:rPr>
          <w:sz w:val="22"/>
          <w:szCs w:val="22"/>
        </w:rPr>
      </w:pPr>
    </w:p>
    <w:p w14:paraId="073CEA4F" w14:textId="77777777" w:rsidR="00140CF8" w:rsidRPr="006035A0" w:rsidRDefault="00140CF8" w:rsidP="006035A0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Mánia</w:t>
      </w:r>
    </w:p>
    <w:p w14:paraId="46F59C83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opatrne u pacientov s mániou v anamnéze. Podávanie paroxetínu sa musí prerušiť u akéhokoľvek pacienta, u </w:t>
      </w:r>
      <w:r w:rsidR="00674296" w:rsidRPr="0027277C">
        <w:rPr>
          <w:sz w:val="22"/>
          <w:szCs w:val="22"/>
        </w:rPr>
        <w:t>ktorého sa začne m</w:t>
      </w:r>
      <w:r w:rsidR="008A339D" w:rsidRPr="0027277C">
        <w:rPr>
          <w:sz w:val="22"/>
          <w:szCs w:val="22"/>
        </w:rPr>
        <w:t>a</w:t>
      </w:r>
      <w:r w:rsidR="00674296" w:rsidRPr="0027277C">
        <w:rPr>
          <w:sz w:val="22"/>
          <w:szCs w:val="22"/>
        </w:rPr>
        <w:t>nická fáza.</w:t>
      </w:r>
    </w:p>
    <w:p w14:paraId="57821E34" w14:textId="77777777" w:rsidR="00C861B5" w:rsidRPr="0027277C" w:rsidRDefault="00C861B5" w:rsidP="0027277C">
      <w:pPr>
        <w:rPr>
          <w:sz w:val="22"/>
          <w:szCs w:val="22"/>
        </w:rPr>
      </w:pPr>
    </w:p>
    <w:p w14:paraId="35CD8C8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Porucha funkcie obličiek/pečene</w:t>
      </w:r>
    </w:p>
    <w:p w14:paraId="2994F681" w14:textId="636FA3E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s ťažkou poruchou funkcie obličiek alebo u pacientov s poruchou funkcie pečene (pozri časť</w:t>
      </w:r>
      <w:r w:rsidR="007F127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4.2).</w:t>
      </w:r>
    </w:p>
    <w:p w14:paraId="52C17613" w14:textId="77777777" w:rsidR="00140CF8" w:rsidRPr="0027277C" w:rsidRDefault="00140CF8" w:rsidP="0027277C">
      <w:pPr>
        <w:rPr>
          <w:sz w:val="22"/>
          <w:szCs w:val="22"/>
        </w:rPr>
      </w:pPr>
    </w:p>
    <w:p w14:paraId="62DB8E1E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Diabetes</w:t>
      </w:r>
    </w:p>
    <w:p w14:paraId="1BE7FF39" w14:textId="4CEFA0D2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U pacientov s diabetom môže liečba SSRI ovplyvniť kompenzáciu diabetu. Je možné, že bude potrebné upraviť dávkovanie inzulínu a/alebo perorálnych hypoglykemík.</w:t>
      </w:r>
      <w:r w:rsidR="00175FEF" w:rsidRPr="0027277C">
        <w:rPr>
          <w:sz w:val="22"/>
          <w:szCs w:val="22"/>
        </w:rPr>
        <w:t xml:space="preserve"> Okrem toho</w:t>
      </w:r>
      <w:r w:rsidR="00673E7C" w:rsidRPr="0027277C">
        <w:rPr>
          <w:sz w:val="22"/>
          <w:szCs w:val="22"/>
        </w:rPr>
        <w:t>,</w:t>
      </w:r>
      <w:r w:rsidR="00175FEF" w:rsidRPr="0027277C">
        <w:rPr>
          <w:sz w:val="22"/>
          <w:szCs w:val="22"/>
        </w:rPr>
        <w:t xml:space="preserve"> štúdie poukazujú na zvýšené hladiny glukózy v krvi, ktoré sa môžu vyskytnúť pri súbežnom podávaní paroxetínu a</w:t>
      </w:r>
      <w:r w:rsidR="00673E7C" w:rsidRPr="0027277C">
        <w:rPr>
          <w:sz w:val="22"/>
          <w:szCs w:val="22"/>
        </w:rPr>
        <w:t> </w:t>
      </w:r>
      <w:r w:rsidR="00175FEF" w:rsidRPr="0027277C">
        <w:rPr>
          <w:sz w:val="22"/>
          <w:szCs w:val="22"/>
        </w:rPr>
        <w:t>pravastatínu</w:t>
      </w:r>
      <w:r w:rsidR="00673E7C" w:rsidRPr="0027277C">
        <w:rPr>
          <w:sz w:val="22"/>
          <w:szCs w:val="22"/>
        </w:rPr>
        <w:t xml:space="preserve"> (pozri časť 4.5)</w:t>
      </w:r>
      <w:r w:rsidR="00175FEF" w:rsidRPr="0027277C">
        <w:rPr>
          <w:sz w:val="22"/>
          <w:szCs w:val="22"/>
        </w:rPr>
        <w:t>.</w:t>
      </w:r>
    </w:p>
    <w:p w14:paraId="2E36FDE2" w14:textId="77777777" w:rsidR="00140CF8" w:rsidRPr="0027277C" w:rsidRDefault="00140CF8" w:rsidP="0027277C">
      <w:pPr>
        <w:rPr>
          <w:sz w:val="22"/>
          <w:szCs w:val="22"/>
        </w:rPr>
      </w:pPr>
    </w:p>
    <w:p w14:paraId="0EB68838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Epilepsia</w:t>
      </w:r>
    </w:p>
    <w:p w14:paraId="0B9479E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antidepresív</w:t>
      </w:r>
      <w:r w:rsidR="00A367C9" w:rsidRPr="0027277C">
        <w:rPr>
          <w:sz w:val="22"/>
          <w:szCs w:val="22"/>
        </w:rPr>
        <w:t>ach</w:t>
      </w:r>
      <w:r w:rsidRPr="0027277C">
        <w:rPr>
          <w:sz w:val="22"/>
          <w:szCs w:val="22"/>
        </w:rPr>
        <w:t xml:space="preserve"> sa paroxetín musí používať op</w:t>
      </w:r>
      <w:r w:rsidR="00674296" w:rsidRPr="0027277C">
        <w:rPr>
          <w:sz w:val="22"/>
          <w:szCs w:val="22"/>
        </w:rPr>
        <w:t>atrne u pacientov s epilepsiou.</w:t>
      </w:r>
    </w:p>
    <w:p w14:paraId="5A15572D" w14:textId="77777777" w:rsidR="00140CF8" w:rsidRPr="0027277C" w:rsidRDefault="00140CF8" w:rsidP="0027277C">
      <w:pPr>
        <w:rPr>
          <w:sz w:val="22"/>
          <w:szCs w:val="22"/>
        </w:rPr>
      </w:pPr>
    </w:p>
    <w:p w14:paraId="7FBE4564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Záchvaty</w:t>
      </w:r>
    </w:p>
    <w:p w14:paraId="41790AAF" w14:textId="5FA1536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Celkový výskyt záchvatov je u pacientov liečených paroxetínom menej ako 0,1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Podávanie lieku sa musí prerušiť</w:t>
      </w:r>
      <w:r w:rsidR="00BB7B45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ak u akéhokoľvek pacienta nastane záchvat.</w:t>
      </w:r>
    </w:p>
    <w:p w14:paraId="5B9BB111" w14:textId="77777777" w:rsidR="00140CF8" w:rsidRPr="0027277C" w:rsidRDefault="00140CF8" w:rsidP="0027277C">
      <w:pPr>
        <w:rPr>
          <w:sz w:val="22"/>
          <w:szCs w:val="22"/>
        </w:rPr>
      </w:pPr>
    </w:p>
    <w:p w14:paraId="7EE4BCAD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Elektrokonvulzívna liečba (ECT)</w:t>
      </w:r>
    </w:p>
    <w:p w14:paraId="28274172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Existuje málo klinických skúseností so súčasným podávaním paroxetínu s ECT.</w:t>
      </w:r>
    </w:p>
    <w:p w14:paraId="05066AFD" w14:textId="77777777" w:rsidR="00140CF8" w:rsidRPr="0027277C" w:rsidRDefault="00140CF8" w:rsidP="0027277C">
      <w:pPr>
        <w:rPr>
          <w:sz w:val="22"/>
          <w:szCs w:val="22"/>
        </w:rPr>
      </w:pPr>
    </w:p>
    <w:p w14:paraId="624324B4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Glaukóm</w:t>
      </w:r>
    </w:p>
    <w:p w14:paraId="44E40174" w14:textId="44BEB3DC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paroxetín</w:t>
      </w:r>
      <w:r w:rsidRPr="0027277C">
        <w:rPr>
          <w:caps/>
          <w:sz w:val="22"/>
          <w:szCs w:val="22"/>
        </w:rPr>
        <w:t xml:space="preserve"> </w:t>
      </w:r>
      <w:r w:rsidRPr="0027277C">
        <w:rPr>
          <w:sz w:val="22"/>
          <w:szCs w:val="22"/>
        </w:rPr>
        <w:t>môže zriedkavo spôsobiť mydriázu, preto sa musí používať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opatrnosťou u</w:t>
      </w:r>
      <w:r w:rsidR="00A367C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A367C9" w:rsidRPr="0027277C">
        <w:rPr>
          <w:sz w:val="22"/>
          <w:szCs w:val="22"/>
        </w:rPr>
        <w:t xml:space="preserve"> s</w:t>
      </w:r>
      <w:r w:rsidRPr="0027277C">
        <w:rPr>
          <w:sz w:val="22"/>
          <w:szCs w:val="22"/>
        </w:rPr>
        <w:t xml:space="preserve"> glaukómom so zatvoreným uhlom alebo s glaukómom v</w:t>
      </w:r>
      <w:r w:rsidR="00022B9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anamnéze.</w:t>
      </w:r>
    </w:p>
    <w:p w14:paraId="7A18A6D7" w14:textId="77777777" w:rsidR="00140CF8" w:rsidRPr="0027277C" w:rsidRDefault="00140CF8" w:rsidP="0027277C">
      <w:pPr>
        <w:rPr>
          <w:sz w:val="22"/>
          <w:szCs w:val="22"/>
        </w:rPr>
      </w:pPr>
    </w:p>
    <w:p w14:paraId="1EC56EEF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Ochorenia srdca</w:t>
      </w:r>
    </w:p>
    <w:p w14:paraId="173D7EC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 pacientov s ochoreniami srdca sa majú dodržiavať zvyčajné opatrenia.</w:t>
      </w:r>
    </w:p>
    <w:p w14:paraId="2D3625E3" w14:textId="77777777" w:rsidR="00140CF8" w:rsidRPr="0027277C" w:rsidRDefault="00140CF8" w:rsidP="0027277C">
      <w:pPr>
        <w:rPr>
          <w:sz w:val="22"/>
          <w:szCs w:val="22"/>
        </w:rPr>
      </w:pPr>
    </w:p>
    <w:p w14:paraId="11583DC6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Hyponatrémia</w:t>
      </w:r>
    </w:p>
    <w:p w14:paraId="01469346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Hyponatrémia bola hlásená zriedkavo, najmä u starších ľudí. Opatrnosť je potrebná aj u pacientov vystavených riziku hyponatrémie, napr. z dôvodu súčasne podávaných liekov a cirhózy. Hyponatrémia zvyčajne vymizne po prerušení liečby paroxetínom.</w:t>
      </w:r>
    </w:p>
    <w:p w14:paraId="0B8C9CB4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2C6468AE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Krvácanie</w:t>
      </w:r>
    </w:p>
    <w:p w14:paraId="23109E89" w14:textId="5F81CE2F" w:rsidR="00140CF8" w:rsidRDefault="00A367C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</w:t>
      </w:r>
      <w:r w:rsidR="00140CF8" w:rsidRPr="0027277C">
        <w:rPr>
          <w:sz w:val="22"/>
          <w:szCs w:val="22"/>
        </w:rPr>
        <w:t xml:space="preserve"> SSRI boli hlásené prípady krvácania do kože ako je ekchymóza a purpura. Hlásené boli ďalšie prejavy krvácania napr. gastrointestinálne </w:t>
      </w:r>
      <w:r w:rsidR="00C50BD5" w:rsidRPr="0027277C">
        <w:rPr>
          <w:sz w:val="22"/>
          <w:szCs w:val="22"/>
        </w:rPr>
        <w:t xml:space="preserve">a gynekologické </w:t>
      </w:r>
      <w:r w:rsidR="00140CF8" w:rsidRPr="0027277C">
        <w:rPr>
          <w:sz w:val="22"/>
          <w:szCs w:val="22"/>
        </w:rPr>
        <w:t>krvácanie. Starš</w:t>
      </w:r>
      <w:r w:rsidR="00C50BD5" w:rsidRPr="0027277C">
        <w:rPr>
          <w:sz w:val="22"/>
          <w:szCs w:val="22"/>
        </w:rPr>
        <w:t>ie</w:t>
      </w:r>
      <w:r w:rsidR="00140CF8" w:rsidRPr="0027277C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osoby</w:t>
      </w:r>
      <w:r w:rsidR="00140CF8" w:rsidRPr="0027277C">
        <w:rPr>
          <w:sz w:val="22"/>
          <w:szCs w:val="22"/>
        </w:rPr>
        <w:t xml:space="preserve"> môžu byť vystaven</w:t>
      </w:r>
      <w:r w:rsidR="00C50BD5" w:rsidRPr="0027277C">
        <w:rPr>
          <w:sz w:val="22"/>
          <w:szCs w:val="22"/>
        </w:rPr>
        <w:t>é</w:t>
      </w:r>
      <w:r w:rsidR="00140CF8" w:rsidRPr="0027277C">
        <w:rPr>
          <w:sz w:val="22"/>
          <w:szCs w:val="22"/>
        </w:rPr>
        <w:t xml:space="preserve"> zvýšenému riziku</w:t>
      </w:r>
      <w:r w:rsidR="00C50BD5" w:rsidRPr="0027277C">
        <w:rPr>
          <w:sz w:val="22"/>
          <w:szCs w:val="22"/>
        </w:rPr>
        <w:t xml:space="preserve"> prípadov krvácania, ktoré nesúvisia s menštruáciou.</w:t>
      </w:r>
    </w:p>
    <w:p w14:paraId="11CFD9C9" w14:textId="6C424184" w:rsidR="0001097A" w:rsidRDefault="0001097A" w:rsidP="0027277C">
      <w:pPr>
        <w:rPr>
          <w:sz w:val="22"/>
          <w:szCs w:val="22"/>
        </w:rPr>
      </w:pPr>
    </w:p>
    <w:p w14:paraId="44D851F9" w14:textId="1FF97235" w:rsidR="0001097A" w:rsidRPr="0027277C" w:rsidRDefault="003E0200" w:rsidP="0027277C">
      <w:pPr>
        <w:rPr>
          <w:sz w:val="22"/>
          <w:szCs w:val="22"/>
        </w:rPr>
      </w:pPr>
      <w:r>
        <w:rPr>
          <w:sz w:val="22"/>
          <w:szCs w:val="22"/>
        </w:rPr>
        <w:t>SSRI/SNRI môžu zv</w:t>
      </w:r>
      <w:r w:rsidR="0033657E">
        <w:rPr>
          <w:sz w:val="22"/>
          <w:szCs w:val="22"/>
        </w:rPr>
        <w:t>yšovať</w:t>
      </w:r>
      <w:r>
        <w:rPr>
          <w:sz w:val="22"/>
          <w:szCs w:val="22"/>
        </w:rPr>
        <w:t xml:space="preserve"> riziko popôrodného krvácania (pozri časti 4.6 a 4.8).</w:t>
      </w:r>
    </w:p>
    <w:p w14:paraId="4F9EBC42" w14:textId="77777777" w:rsidR="00140CF8" w:rsidRPr="0027277C" w:rsidRDefault="00140CF8" w:rsidP="0027277C">
      <w:pPr>
        <w:rPr>
          <w:sz w:val="22"/>
          <w:szCs w:val="22"/>
        </w:rPr>
      </w:pPr>
    </w:p>
    <w:p w14:paraId="17A900F0" w14:textId="53D6EFAC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Opatrnosť sa odporúča u pacientov užívajúcich SSRI sú</w:t>
      </w:r>
      <w:r w:rsidR="00B21972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BB7B45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EC6EB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EC6EB0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</w:t>
      </w:r>
      <w:r w:rsidR="00C50BD5" w:rsidRPr="0027277C">
        <w:rPr>
          <w:sz w:val="22"/>
          <w:szCs w:val="22"/>
        </w:rPr>
        <w:t xml:space="preserve"> (pozri časť 4.8)</w:t>
      </w:r>
      <w:r w:rsidRPr="0027277C">
        <w:rPr>
          <w:sz w:val="22"/>
          <w:szCs w:val="22"/>
        </w:rPr>
        <w:t>.</w:t>
      </w:r>
    </w:p>
    <w:p w14:paraId="4995C7F6" w14:textId="77777777" w:rsidR="004B12E7" w:rsidRPr="0027277C" w:rsidRDefault="004B12E7" w:rsidP="0027277C">
      <w:pPr>
        <w:rPr>
          <w:sz w:val="22"/>
          <w:szCs w:val="22"/>
        </w:rPr>
      </w:pPr>
    </w:p>
    <w:p w14:paraId="1224FADE" w14:textId="77777777" w:rsidR="00F0478B" w:rsidRPr="006035A0" w:rsidRDefault="00F0478B" w:rsidP="00CA72B3">
      <w:pPr>
        <w:keepNext/>
        <w:rPr>
          <w:bCs/>
          <w:sz w:val="22"/>
          <w:szCs w:val="22"/>
          <w:u w:val="single"/>
          <w:lang w:eastAsia="en-US"/>
        </w:rPr>
      </w:pPr>
      <w:r w:rsidRPr="006035A0">
        <w:rPr>
          <w:bCs/>
          <w:sz w:val="22"/>
          <w:szCs w:val="22"/>
          <w:u w:val="single"/>
          <w:lang w:eastAsia="en-US"/>
        </w:rPr>
        <w:t>Interakcia s</w:t>
      </w:r>
      <w:r w:rsidR="00881E45" w:rsidRPr="006035A0">
        <w:rPr>
          <w:bCs/>
          <w:sz w:val="22"/>
          <w:szCs w:val="22"/>
          <w:u w:val="single"/>
          <w:lang w:eastAsia="en-US"/>
        </w:rPr>
        <w:t> </w:t>
      </w:r>
      <w:r w:rsidRPr="006035A0">
        <w:rPr>
          <w:bCs/>
          <w:sz w:val="22"/>
          <w:szCs w:val="22"/>
          <w:u w:val="single"/>
          <w:lang w:eastAsia="en-US"/>
        </w:rPr>
        <w:t>tamoxif</w:t>
      </w:r>
      <w:r w:rsidR="00E83BB1" w:rsidRPr="006035A0">
        <w:rPr>
          <w:bCs/>
          <w:sz w:val="22"/>
          <w:szCs w:val="22"/>
          <w:u w:val="single"/>
          <w:lang w:eastAsia="en-US"/>
        </w:rPr>
        <w:t>é</w:t>
      </w:r>
      <w:r w:rsidRPr="006035A0">
        <w:rPr>
          <w:bCs/>
          <w:sz w:val="22"/>
          <w:szCs w:val="22"/>
          <w:u w:val="single"/>
          <w:lang w:eastAsia="en-US"/>
        </w:rPr>
        <w:t>nom</w:t>
      </w:r>
    </w:p>
    <w:p w14:paraId="2FB8C99A" w14:textId="62EF1C76" w:rsidR="00881E45" w:rsidRPr="005549F8" w:rsidRDefault="00881E45" w:rsidP="00CA72B3">
      <w:pPr>
        <w:keepNext/>
        <w:rPr>
          <w:bCs/>
          <w:sz w:val="22"/>
          <w:szCs w:val="22"/>
          <w:lang w:eastAsia="en-US"/>
        </w:rPr>
      </w:pPr>
      <w:r w:rsidRPr="0027277C">
        <w:rPr>
          <w:color w:val="000000"/>
          <w:sz w:val="22"/>
          <w:szCs w:val="22"/>
        </w:rPr>
        <w:t>Paroxetín, silný inhibítor CYP2D6, môže viesť k zníženým koncentráciám endoxif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jedného z najdôležitejších aktívnych metabolitov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Preto sa má vždy, keď je to možné, vyhnúť podávaniu paroxetínu počas liečby tamoxif</w:t>
      </w:r>
      <w:r w:rsidR="00FC5DA9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 (pozri časť</w:t>
      </w:r>
      <w:r w:rsidR="00FE6664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4.5).</w:t>
      </w:r>
    </w:p>
    <w:p w14:paraId="5F1AE033" w14:textId="77777777" w:rsidR="00F0478B" w:rsidRPr="0027277C" w:rsidRDefault="00F0478B" w:rsidP="0027277C">
      <w:pPr>
        <w:rPr>
          <w:sz w:val="22"/>
          <w:szCs w:val="22"/>
        </w:rPr>
      </w:pPr>
    </w:p>
    <w:p w14:paraId="2517FAC4" w14:textId="77777777" w:rsidR="00140CF8" w:rsidRPr="006035A0" w:rsidRDefault="00D00747" w:rsidP="006035A0">
      <w:pPr>
        <w:pStyle w:val="Nadpis4"/>
        <w:keepLines/>
        <w:rPr>
          <w:rFonts w:ascii="Times New Roman" w:hAnsi="Times New Roman"/>
          <w:b w:val="0"/>
          <w:bCs/>
          <w:color w:val="auto"/>
          <w:sz w:val="22"/>
          <w:szCs w:val="22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lastRenderedPageBreak/>
        <w:t>S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>ymptómy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z vysadenia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pozorované po prerušení liečby paroxetínom</w:t>
      </w:r>
    </w:p>
    <w:p w14:paraId="51D7B4ED" w14:textId="182E660A" w:rsidR="00467495" w:rsidRDefault="00B56CEF" w:rsidP="006035A0">
      <w:pPr>
        <w:pStyle w:val="Nadpis4"/>
        <w:keepLines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ymptómy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z vysadenia 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sú po prerušení liečby časté, najmä ak je prerušenie náhle (pozri časť</w:t>
      </w:r>
      <w:r w:rsidR="007F1275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4.8). V klinických štúdiách sa nežiaduce účinky po 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ení liečby vyskytli u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30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paroxetínom oproti 20</w:t>
      </w:r>
      <w:r w:rsidR="00022B91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140CF8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% pacientov liečených placebom. Výskyt abstinenčných symptómov nie je rovnaký ako u lieku, ktorý vytvára návyk alebo závislosť.</w:t>
      </w:r>
    </w:p>
    <w:p w14:paraId="33EE25F9" w14:textId="5E205F66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23FBFCCF" w14:textId="1AF8B602" w:rsidR="00674296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Riziko symptómov</w:t>
      </w:r>
      <w:r w:rsidR="00B56CEF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z vysadenia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môže závisieť od niekoľkých faktorov vrátane dĺžky trvania a dávky použitej v liečbe a rýchlosti znižovania dávky.</w:t>
      </w:r>
    </w:p>
    <w:p w14:paraId="0CBC8C4F" w14:textId="77777777" w:rsidR="00467495" w:rsidRDefault="00467495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151E4F3E" w14:textId="26F65E16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Hlásené boli závrat, zmyslové poruchy (vrátane parestézie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,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 pocitov elektrických šokov</w:t>
      </w:r>
      <w:r w:rsidR="002835F3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a tinitu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), poruchy spánku (vrátane intenzívnych snov), agitovanosť alebo úzkosť, nauzea, tremor, zmätenosť, potenie, bolesť hlavy, hnačka, palpitácie, emocionálna nestabilita, podráždenosť a zrakové poruchy. Tieto symptómy sú zvyčajne miernej až stredne ťažkej intenzity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;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u niektorých pacientov však môžu byť ťažké. Zvyčajne sa vyskytnú počas prvých niekoľkých dní po prerušení liečby, ale takéto symptómy boli veľmi zriedkavo hlásené u pacientov, ktorí dávku vynechali nevedomky. Tieto symptómy sú zvyčajne prechodné a zvyčajne sa vyriešia do 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dvoch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týždňov, aj keď u niektorých jedincov môžu trvať dlhšie (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dva </w:t>
      </w:r>
      <w:r w:rsidR="00A00EFA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noBreakHyphen/>
        <w:t> tri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mesiace a viac). Z tohto dôvodu sa pri </w:t>
      </w:r>
      <w:r w:rsidR="00267422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ukončovaní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 xml:space="preserve"> liečby odporúča, aby sa dávka paroxetínu znižovala postupne počas doby niekoľkých týždňov alebo mesiacov podľa potrieb pacienta (pozri časť</w:t>
      </w:r>
      <w:r w:rsidR="001E72BF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4.2).</w:t>
      </w:r>
    </w:p>
    <w:p w14:paraId="46D2C049" w14:textId="4DE511D5" w:rsidR="00B47147" w:rsidRDefault="00B47147" w:rsidP="0027277C">
      <w:pPr>
        <w:ind w:left="567" w:hanging="567"/>
        <w:rPr>
          <w:sz w:val="22"/>
          <w:szCs w:val="22"/>
        </w:rPr>
      </w:pPr>
    </w:p>
    <w:p w14:paraId="67E9F763" w14:textId="77D94C94" w:rsidR="0028762E" w:rsidRPr="006035A0" w:rsidRDefault="0028762E" w:rsidP="006F2D5E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Sexuálna dysfunkcia</w:t>
      </w:r>
    </w:p>
    <w:p w14:paraId="52EDDADA" w14:textId="6EE2E424" w:rsidR="0028762E" w:rsidRDefault="0028762E" w:rsidP="00CA72B3">
      <w:pPr>
        <w:rPr>
          <w:sz w:val="22"/>
          <w:szCs w:val="22"/>
        </w:rPr>
      </w:pPr>
      <w:r w:rsidRPr="00CA72B3">
        <w:rPr>
          <w:sz w:val="22"/>
          <w:szCs w:val="22"/>
        </w:rPr>
        <w:t>Selektívne inhibítory spätného vychytávania sérotonínu (selective serotonin reuptake inhibitors</w:t>
      </w:r>
      <w:r w:rsidR="009946E1">
        <w:rPr>
          <w:sz w:val="22"/>
          <w:szCs w:val="22"/>
        </w:rPr>
        <w:t>,</w:t>
      </w:r>
      <w:r w:rsidRPr="00CA72B3">
        <w:rPr>
          <w:sz w:val="22"/>
          <w:szCs w:val="22"/>
        </w:rPr>
        <w:t xml:space="preserve"> SSRI</w:t>
      </w:r>
      <w:r w:rsidR="00F353ED" w:rsidRPr="00CA72B3">
        <w:rPr>
          <w:sz w:val="22"/>
          <w:szCs w:val="22"/>
        </w:rPr>
        <w:t>)</w:t>
      </w:r>
      <w:r w:rsidRPr="00CA72B3">
        <w:rPr>
          <w:sz w:val="22"/>
          <w:szCs w:val="22"/>
        </w:rPr>
        <w:t>/inhibítory spätného vychytávania sérotonínu a</w:t>
      </w:r>
      <w:r w:rsidR="00F353ED" w:rsidRPr="00CA72B3">
        <w:rPr>
          <w:sz w:val="22"/>
          <w:szCs w:val="22"/>
        </w:rPr>
        <w:t> </w:t>
      </w:r>
      <w:r w:rsidRPr="00CA72B3">
        <w:rPr>
          <w:sz w:val="22"/>
          <w:szCs w:val="22"/>
        </w:rPr>
        <w:t>noradrenalínu</w:t>
      </w:r>
      <w:r w:rsidR="00F353ED" w:rsidRPr="00CA72B3">
        <w:rPr>
          <w:sz w:val="22"/>
          <w:szCs w:val="22"/>
        </w:rPr>
        <w:t xml:space="preserve"> (serotonin norepinephrine reuptake inhibitors)</w:t>
      </w:r>
      <w:r w:rsidR="004D2075" w:rsidRPr="00CA72B3">
        <w:rPr>
          <w:sz w:val="22"/>
          <w:szCs w:val="22"/>
        </w:rPr>
        <w:t xml:space="preserve"> môžu vyvolať príznak sexuálnej dysfunkcie (pozri časť</w:t>
      </w:r>
      <w:r w:rsidR="001E72BF">
        <w:rPr>
          <w:sz w:val="22"/>
          <w:szCs w:val="22"/>
        </w:rPr>
        <w:t> </w:t>
      </w:r>
      <w:r w:rsidR="004D2075" w:rsidRPr="00CA72B3">
        <w:rPr>
          <w:sz w:val="22"/>
          <w:szCs w:val="22"/>
        </w:rPr>
        <w:t>4.8). Boli prijaté hlásenia o dlhodobej sexuálnej dysfunkcii</w:t>
      </w:r>
      <w:r w:rsidR="001F4968" w:rsidRPr="00CA72B3">
        <w:rPr>
          <w:sz w:val="22"/>
          <w:szCs w:val="22"/>
        </w:rPr>
        <w:t>, pričom príznaky pokračovali aj napriek ukončeniu liečby SSRI</w:t>
      </w:r>
      <w:r w:rsidR="001F4968" w:rsidRPr="005549F8">
        <w:rPr>
          <w:sz w:val="22"/>
          <w:szCs w:val="22"/>
        </w:rPr>
        <w:t>.</w:t>
      </w:r>
    </w:p>
    <w:p w14:paraId="2BC77A5F" w14:textId="06300DB5" w:rsidR="00467495" w:rsidRDefault="00467495" w:rsidP="00CA72B3">
      <w:pPr>
        <w:rPr>
          <w:sz w:val="22"/>
          <w:szCs w:val="22"/>
        </w:rPr>
      </w:pPr>
    </w:p>
    <w:p w14:paraId="7C8A8542" w14:textId="7A505BAD" w:rsidR="00467495" w:rsidRPr="006035A0" w:rsidRDefault="00467495" w:rsidP="00CA72B3">
      <w:pPr>
        <w:rPr>
          <w:sz w:val="22"/>
          <w:szCs w:val="22"/>
          <w:u w:val="single"/>
        </w:rPr>
      </w:pPr>
      <w:r w:rsidRPr="006035A0">
        <w:rPr>
          <w:sz w:val="22"/>
          <w:szCs w:val="22"/>
          <w:u w:val="single"/>
        </w:rPr>
        <w:t>Sodík</w:t>
      </w:r>
    </w:p>
    <w:p w14:paraId="77DA0749" w14:textId="46309C9B" w:rsidR="00467495" w:rsidRPr="00467495" w:rsidRDefault="00467495" w:rsidP="00CA72B3">
      <w:pPr>
        <w:rPr>
          <w:sz w:val="22"/>
          <w:szCs w:val="22"/>
        </w:rPr>
      </w:pPr>
      <w:r>
        <w:rPr>
          <w:sz w:val="22"/>
          <w:szCs w:val="22"/>
        </w:rPr>
        <w:t>Každá tableta paroxetínu obsahuje menej ako 1 mmol sodíka (23 mg), t. j. v podstate zanedbateľné množstvo sodíka.</w:t>
      </w:r>
    </w:p>
    <w:p w14:paraId="1B4C4BD2" w14:textId="77777777" w:rsidR="0028762E" w:rsidRPr="0027277C" w:rsidRDefault="0028762E" w:rsidP="0027277C">
      <w:pPr>
        <w:ind w:left="567" w:hanging="567"/>
        <w:rPr>
          <w:sz w:val="22"/>
          <w:szCs w:val="22"/>
        </w:rPr>
      </w:pPr>
    </w:p>
    <w:p w14:paraId="1E27844B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4.5</w:t>
      </w:r>
      <w:r w:rsidRPr="0027277C">
        <w:rPr>
          <w:b/>
          <w:sz w:val="22"/>
          <w:szCs w:val="22"/>
        </w:rPr>
        <w:tab/>
        <w:t>Liekové a iné interakcie</w:t>
      </w:r>
    </w:p>
    <w:p w14:paraId="6D0AE791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  <w:highlight w:val="yellow"/>
          <w:u w:val="single"/>
        </w:rPr>
      </w:pPr>
    </w:p>
    <w:p w14:paraId="566299F7" w14:textId="77777777" w:rsidR="00140CF8" w:rsidRPr="006035A0" w:rsidRDefault="00AC42D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Séroton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ergné lieky</w:t>
      </w:r>
    </w:p>
    <w:p w14:paraId="1FB96EFA" w14:textId="3136FE13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A367C9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SSRI, sú</w:t>
      </w:r>
      <w:r w:rsidR="00A729A9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so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 xml:space="preserve">ergnými liekmi </w:t>
      </w:r>
      <w:r w:rsidR="00ED6DDB" w:rsidRPr="0027277C">
        <w:rPr>
          <w:sz w:val="22"/>
          <w:szCs w:val="22"/>
        </w:rPr>
        <w:t>môže viesť k výskytu účinkov súvisiacich s</w:t>
      </w:r>
      <w:r w:rsidR="00FC2C14">
        <w:rPr>
          <w:sz w:val="22"/>
          <w:szCs w:val="22"/>
        </w:rPr>
        <w:t> </w:t>
      </w:r>
      <w:r w:rsidR="00ED6DDB" w:rsidRPr="0027277C">
        <w:rPr>
          <w:sz w:val="22"/>
          <w:szCs w:val="22"/>
        </w:rPr>
        <w:t>5</w:t>
      </w:r>
      <w:r w:rsidR="00FC2C14">
        <w:rPr>
          <w:sz w:val="22"/>
          <w:szCs w:val="22"/>
        </w:rPr>
        <w:noBreakHyphen/>
      </w:r>
      <w:r w:rsidR="00ED6DDB" w:rsidRPr="0027277C">
        <w:rPr>
          <w:sz w:val="22"/>
          <w:szCs w:val="22"/>
        </w:rPr>
        <w:t>HT (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ínový syndróm: pozri časť 4.4). Opatrnosť a pozornejšie klinické sledovanie sa odporúča vtedy,</w:t>
      </w:r>
      <w:r w:rsidR="00816D9B" w:rsidRPr="0027277C">
        <w:rPr>
          <w:sz w:val="22"/>
          <w:szCs w:val="22"/>
        </w:rPr>
        <w:t xml:space="preserve"> ak sú </w:t>
      </w:r>
      <w:r w:rsidR="00AC42D8" w:rsidRPr="0027277C">
        <w:rPr>
          <w:sz w:val="22"/>
          <w:szCs w:val="22"/>
        </w:rPr>
        <w:t>séroton</w:t>
      </w:r>
      <w:r w:rsidR="00816D9B" w:rsidRPr="0027277C">
        <w:rPr>
          <w:sz w:val="22"/>
          <w:szCs w:val="22"/>
        </w:rPr>
        <w:t>ergné lieky (ako je</w:t>
      </w:r>
      <w:r w:rsidR="00ED6DDB" w:rsidRPr="0027277C">
        <w:rPr>
          <w:sz w:val="22"/>
          <w:szCs w:val="22"/>
        </w:rPr>
        <w:t xml:space="preserve"> L</w:t>
      </w:r>
      <w:r w:rsidR="00ED6DDB" w:rsidRPr="0027277C">
        <w:rPr>
          <w:sz w:val="22"/>
          <w:szCs w:val="22"/>
        </w:rPr>
        <w:noBreakHyphen/>
        <w:t xml:space="preserve">tryptofán, triptány, tramadol, linezolid, </w:t>
      </w:r>
      <w:r w:rsidR="007B5B78" w:rsidRPr="0027277C">
        <w:rPr>
          <w:bCs/>
          <w:sz w:val="22"/>
          <w:szCs w:val="22"/>
        </w:rPr>
        <w:t>metyltionín</w:t>
      </w:r>
      <w:r w:rsidR="00FC608D">
        <w:rPr>
          <w:bCs/>
          <w:sz w:val="22"/>
          <w:szCs w:val="22"/>
        </w:rPr>
        <w:t>ium</w:t>
      </w:r>
      <w:r w:rsidR="00FC608D">
        <w:rPr>
          <w:bCs/>
          <w:sz w:val="22"/>
          <w:szCs w:val="22"/>
        </w:rPr>
        <w:noBreakHyphen/>
      </w:r>
      <w:r w:rsidR="007B5B78" w:rsidRPr="0027277C">
        <w:rPr>
          <w:bCs/>
          <w:sz w:val="22"/>
          <w:szCs w:val="22"/>
        </w:rPr>
        <w:t>chlorid (metylénová modrá),</w:t>
      </w:r>
      <w:r w:rsidR="007B5B78" w:rsidRPr="0027277C">
        <w:rPr>
          <w:sz w:val="22"/>
          <w:szCs w:val="22"/>
        </w:rPr>
        <w:t xml:space="preserve"> </w:t>
      </w:r>
      <w:r w:rsidR="00ED6DDB" w:rsidRPr="0027277C">
        <w:rPr>
          <w:sz w:val="22"/>
          <w:szCs w:val="22"/>
        </w:rPr>
        <w:t>SSRI, lítium</w:t>
      </w:r>
      <w:r w:rsidR="00C861B5" w:rsidRPr="0027277C">
        <w:rPr>
          <w:sz w:val="22"/>
          <w:szCs w:val="22"/>
        </w:rPr>
        <w:t>, petidín</w:t>
      </w:r>
      <w:r w:rsidR="003B2548">
        <w:rPr>
          <w:sz w:val="22"/>
          <w:szCs w:val="22"/>
        </w:rPr>
        <w:t>, buprenorfín</w:t>
      </w:r>
      <w:r w:rsidR="00ED6DDB" w:rsidRPr="0027277C">
        <w:rPr>
          <w:sz w:val="22"/>
          <w:szCs w:val="22"/>
        </w:rPr>
        <w:t xml:space="preserve"> a prípravky obsahujúce ľubovník bodkovaný – </w:t>
      </w:r>
      <w:r w:rsidR="00ED6DDB" w:rsidRPr="0027277C">
        <w:rPr>
          <w:i/>
          <w:sz w:val="22"/>
          <w:szCs w:val="22"/>
        </w:rPr>
        <w:t>Hypericum perforatum</w:t>
      </w:r>
      <w:r w:rsidR="00ED6DDB" w:rsidRPr="0027277C">
        <w:rPr>
          <w:sz w:val="22"/>
          <w:szCs w:val="22"/>
        </w:rPr>
        <w:t xml:space="preserve">) kombinované s paroxetínom. </w:t>
      </w:r>
      <w:r w:rsidR="00C861B5" w:rsidRPr="0027277C">
        <w:rPr>
          <w:sz w:val="22"/>
          <w:szCs w:val="22"/>
        </w:rPr>
        <w:t xml:space="preserve">Opatrnosť sa tiež odporúča s fentanylom </w:t>
      </w:r>
      <w:r w:rsidR="00635630" w:rsidRPr="0027277C">
        <w:rPr>
          <w:sz w:val="22"/>
          <w:szCs w:val="22"/>
        </w:rPr>
        <w:t>používaným v celkovej</w:t>
      </w:r>
      <w:r w:rsidR="00C861B5" w:rsidRPr="0027277C">
        <w:rPr>
          <w:sz w:val="22"/>
          <w:szCs w:val="22"/>
        </w:rPr>
        <w:t xml:space="preserve"> anestézii alebo v liečbe chronickej bolesti. </w:t>
      </w:r>
      <w:r w:rsidR="000A7489" w:rsidRPr="0027277C">
        <w:rPr>
          <w:sz w:val="22"/>
          <w:szCs w:val="22"/>
        </w:rPr>
        <w:t>Sú</w:t>
      </w:r>
      <w:r w:rsidR="00A729A9" w:rsidRPr="0027277C">
        <w:rPr>
          <w:sz w:val="22"/>
          <w:szCs w:val="22"/>
        </w:rPr>
        <w:t>bež</w:t>
      </w:r>
      <w:r w:rsidR="000A7489" w:rsidRPr="0027277C">
        <w:rPr>
          <w:sz w:val="22"/>
          <w:szCs w:val="22"/>
        </w:rPr>
        <w:t>né</w:t>
      </w:r>
      <w:r w:rsidR="00ED6DDB" w:rsidRPr="0027277C">
        <w:rPr>
          <w:sz w:val="22"/>
          <w:szCs w:val="22"/>
        </w:rPr>
        <w:t xml:space="preserve"> použitie paroxetínu a</w:t>
      </w:r>
      <w:r w:rsidRPr="0027277C">
        <w:rPr>
          <w:sz w:val="22"/>
          <w:szCs w:val="22"/>
        </w:rPr>
        <w:t xml:space="preserve"> </w:t>
      </w:r>
      <w:r w:rsidR="0012619A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>MAO</w:t>
      </w:r>
      <w:r w:rsidR="00ED6DDB" w:rsidRPr="0027277C">
        <w:rPr>
          <w:sz w:val="22"/>
          <w:szCs w:val="22"/>
        </w:rPr>
        <w:t xml:space="preserve"> je kontraindikované kvôli riziku </w:t>
      </w:r>
      <w:r w:rsidR="00AC42D8" w:rsidRPr="0027277C">
        <w:rPr>
          <w:sz w:val="22"/>
          <w:szCs w:val="22"/>
        </w:rPr>
        <w:t>séroton</w:t>
      </w:r>
      <w:r w:rsidR="00ED6DDB" w:rsidRPr="0027277C">
        <w:rPr>
          <w:sz w:val="22"/>
          <w:szCs w:val="22"/>
        </w:rPr>
        <w:t>ínového syndrómu (pozri časť 4.3).</w:t>
      </w:r>
    </w:p>
    <w:p w14:paraId="27E322EC" w14:textId="77777777" w:rsidR="007E656F" w:rsidRPr="0027277C" w:rsidRDefault="007E656F" w:rsidP="0027277C">
      <w:pPr>
        <w:rPr>
          <w:sz w:val="22"/>
          <w:szCs w:val="22"/>
        </w:rPr>
      </w:pPr>
    </w:p>
    <w:p w14:paraId="4FBF70C1" w14:textId="77777777" w:rsidR="00534ADF" w:rsidRPr="006035A0" w:rsidRDefault="00534ADF" w:rsidP="0027277C">
      <w:pPr>
        <w:keepNext/>
        <w:keepLines/>
        <w:rPr>
          <w:sz w:val="22"/>
          <w:szCs w:val="22"/>
          <w:u w:val="single"/>
        </w:rPr>
      </w:pPr>
      <w:r w:rsidRPr="006035A0">
        <w:rPr>
          <w:sz w:val="22"/>
          <w:szCs w:val="22"/>
          <w:u w:val="single"/>
        </w:rPr>
        <w:t>Pimozid</w:t>
      </w:r>
    </w:p>
    <w:p w14:paraId="7E557EB7" w14:textId="0430205F" w:rsidR="00534ADF" w:rsidRPr="0027277C" w:rsidRDefault="00813F30" w:rsidP="0027277C">
      <w:pPr>
        <w:pStyle w:val="Textkomentra"/>
        <w:rPr>
          <w:sz w:val="22"/>
          <w:szCs w:val="22"/>
        </w:rPr>
      </w:pPr>
      <w:r w:rsidRPr="0027277C">
        <w:rPr>
          <w:sz w:val="22"/>
          <w:szCs w:val="22"/>
        </w:rPr>
        <w:t>V štúdii, v ktorej sa súbežne podávala jednotlivá nízka dávka pimozidu (2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mg) so 60</w:t>
      </w:r>
      <w:r w:rsidR="00FC2C14">
        <w:rPr>
          <w:sz w:val="22"/>
          <w:szCs w:val="22"/>
        </w:rPr>
        <w:t> </w:t>
      </w:r>
      <w:r w:rsidRPr="0027277C">
        <w:rPr>
          <w:sz w:val="22"/>
          <w:szCs w:val="22"/>
        </w:rPr>
        <w:t>mg paroxetínu, sa preukázali v priemere 2,5</w:t>
      </w:r>
      <w:r w:rsidR="00FC2C14">
        <w:rPr>
          <w:sz w:val="22"/>
          <w:szCs w:val="22"/>
        </w:rPr>
        <w:noBreakHyphen/>
      </w:r>
      <w:r w:rsidRPr="0027277C">
        <w:rPr>
          <w:sz w:val="22"/>
          <w:szCs w:val="22"/>
        </w:rPr>
        <w:t>krát zvýšené hladiny pimozidu.</w:t>
      </w:r>
      <w:r w:rsidR="00FC2C14">
        <w:rPr>
          <w:sz w:val="22"/>
          <w:szCs w:val="22"/>
        </w:rPr>
        <w:t xml:space="preserve"> </w:t>
      </w:r>
      <w:r w:rsidR="00534ADF" w:rsidRPr="0027277C">
        <w:rPr>
          <w:sz w:val="22"/>
          <w:szCs w:val="22"/>
        </w:rPr>
        <w:t>Aj keď mechanizmus tejto interakcie nie je v súčasnosti známy, kvôli úzkemu terapeutickému indexu pimozidu a jeho známej schopnosti predĺžiť QT interval, je sú</w:t>
      </w:r>
      <w:r w:rsidR="00B132BF" w:rsidRPr="0027277C">
        <w:rPr>
          <w:sz w:val="22"/>
          <w:szCs w:val="22"/>
        </w:rPr>
        <w:t>bež</w:t>
      </w:r>
      <w:r w:rsidR="00534ADF" w:rsidRPr="0027277C">
        <w:rPr>
          <w:sz w:val="22"/>
          <w:szCs w:val="22"/>
        </w:rPr>
        <w:t>né podávanie pimozidu a paroxetínu kontraindikované (pozri časť</w:t>
      </w:r>
      <w:r w:rsidR="001E72BF">
        <w:rPr>
          <w:sz w:val="22"/>
          <w:szCs w:val="22"/>
        </w:rPr>
        <w:t> </w:t>
      </w:r>
      <w:r w:rsidR="00534ADF" w:rsidRPr="0027277C">
        <w:rPr>
          <w:sz w:val="22"/>
          <w:szCs w:val="22"/>
        </w:rPr>
        <w:t>4.3).</w:t>
      </w:r>
    </w:p>
    <w:p w14:paraId="30EB342F" w14:textId="77777777" w:rsidR="00534ADF" w:rsidRPr="0027277C" w:rsidRDefault="00534ADF" w:rsidP="0027277C">
      <w:pPr>
        <w:rPr>
          <w:sz w:val="22"/>
          <w:szCs w:val="22"/>
        </w:rPr>
      </w:pPr>
    </w:p>
    <w:p w14:paraId="4A3DB2BC" w14:textId="77777777" w:rsidR="00140CF8" w:rsidRPr="006035A0" w:rsidRDefault="00140CF8" w:rsidP="005549F8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Enzýmy metabolizujúce lieky</w:t>
      </w:r>
    </w:p>
    <w:p w14:paraId="3BFEB0F6" w14:textId="0631A3D9" w:rsidR="00140CF8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Metabolizmus a farmakokinetiku paroxetínu môže ovplyvniť indukcia alebo inhibícia enzýmov metabolizujúcich lieky.</w:t>
      </w:r>
    </w:p>
    <w:p w14:paraId="3967633F" w14:textId="77777777" w:rsidR="00782722" w:rsidRPr="0027277C" w:rsidRDefault="00782722" w:rsidP="005549F8">
      <w:pPr>
        <w:keepNext/>
        <w:keepLines/>
        <w:rPr>
          <w:sz w:val="22"/>
          <w:szCs w:val="22"/>
        </w:rPr>
      </w:pPr>
    </w:p>
    <w:p w14:paraId="34D79EF7" w14:textId="1D581ECD" w:rsidR="00140CF8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Keď sa paroxetín má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so známym inhibítorom enzýmov metabolizujúcich lieky, musí sa zvážiť používanie nižších dávok.</w:t>
      </w:r>
    </w:p>
    <w:p w14:paraId="58A2553E" w14:textId="77777777" w:rsidR="00782722" w:rsidRPr="0027277C" w:rsidRDefault="00782722" w:rsidP="0027277C">
      <w:pPr>
        <w:rPr>
          <w:sz w:val="22"/>
          <w:szCs w:val="22"/>
        </w:rPr>
      </w:pPr>
    </w:p>
    <w:p w14:paraId="4EFA3C27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Keď sa má liek podávať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ne so známymi induktormi enzýmov metabolizujúcich lieky (napr. karbamazepínom, rifampicínom, fenobarbitalom, fenytoínom) </w:t>
      </w:r>
      <w:r w:rsidR="002835F3" w:rsidRPr="0027277C">
        <w:rPr>
          <w:sz w:val="22"/>
          <w:szCs w:val="22"/>
        </w:rPr>
        <w:t xml:space="preserve">alebo s fosamprenavirom/ritonavirom </w:t>
      </w:r>
      <w:r w:rsidRPr="0027277C">
        <w:rPr>
          <w:sz w:val="22"/>
          <w:szCs w:val="22"/>
        </w:rPr>
        <w:t>nie je potrebná žiadna úprava úvodného dávkovania. Akákoľvek úprava dávkovania</w:t>
      </w:r>
      <w:r w:rsidR="002835F3" w:rsidRPr="0027277C">
        <w:rPr>
          <w:sz w:val="22"/>
          <w:szCs w:val="22"/>
        </w:rPr>
        <w:t xml:space="preserve"> paroxetínu (buď po nasadení, alebo po vysadení induktora enzýmov)</w:t>
      </w:r>
      <w:r w:rsidRPr="0027277C">
        <w:rPr>
          <w:sz w:val="22"/>
          <w:szCs w:val="22"/>
        </w:rPr>
        <w:t xml:space="preserve"> sa má riadiť klinickým úči</w:t>
      </w:r>
      <w:r w:rsidR="00674296" w:rsidRPr="0027277C">
        <w:rPr>
          <w:sz w:val="22"/>
          <w:szCs w:val="22"/>
        </w:rPr>
        <w:t>nkom (znášanlivosť a účinnosť).</w:t>
      </w:r>
    </w:p>
    <w:p w14:paraId="70E27683" w14:textId="77777777" w:rsidR="002835F3" w:rsidRPr="0027277C" w:rsidRDefault="002835F3" w:rsidP="0027277C">
      <w:pPr>
        <w:rPr>
          <w:sz w:val="22"/>
          <w:szCs w:val="22"/>
        </w:rPr>
      </w:pPr>
    </w:p>
    <w:p w14:paraId="3AE97155" w14:textId="77777777" w:rsidR="00A00EFA" w:rsidRPr="006035A0" w:rsidRDefault="00A00EFA" w:rsidP="0027277C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Neuromuskulárne blokátory</w:t>
      </w:r>
    </w:p>
    <w:p w14:paraId="28AD9988" w14:textId="77777777" w:rsidR="00A00EFA" w:rsidRPr="0027277C" w:rsidRDefault="00A00EF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SSRI</w:t>
      </w:r>
      <w:r w:rsidR="005232ED" w:rsidRPr="0027277C">
        <w:rPr>
          <w:sz w:val="22"/>
          <w:szCs w:val="22"/>
        </w:rPr>
        <w:t xml:space="preserve"> môžu znižovať aktivitu cholínesterázy v</w:t>
      </w:r>
      <w:r w:rsidR="002A662B" w:rsidRPr="0027277C">
        <w:rPr>
          <w:sz w:val="22"/>
          <w:szCs w:val="22"/>
        </w:rPr>
        <w:t> </w:t>
      </w:r>
      <w:r w:rsidR="005232ED" w:rsidRPr="0027277C">
        <w:rPr>
          <w:sz w:val="22"/>
          <w:szCs w:val="22"/>
        </w:rPr>
        <w:t>plazme</w:t>
      </w:r>
      <w:r w:rsidR="002A662B" w:rsidRPr="0027277C">
        <w:rPr>
          <w:sz w:val="22"/>
          <w:szCs w:val="22"/>
        </w:rPr>
        <w:t xml:space="preserve"> a viesť k </w:t>
      </w:r>
      <w:r w:rsidR="005232ED" w:rsidRPr="0027277C">
        <w:rPr>
          <w:sz w:val="22"/>
          <w:szCs w:val="22"/>
        </w:rPr>
        <w:t>predĺženi</w:t>
      </w:r>
      <w:r w:rsidR="002A662B" w:rsidRPr="0027277C">
        <w:rPr>
          <w:sz w:val="22"/>
          <w:szCs w:val="22"/>
        </w:rPr>
        <w:t>u neuromuskulárnej blokády</w:t>
      </w:r>
      <w:r w:rsidR="005232ED" w:rsidRPr="0027277C">
        <w:rPr>
          <w:sz w:val="22"/>
          <w:szCs w:val="22"/>
        </w:rPr>
        <w:t xml:space="preserve"> </w:t>
      </w:r>
      <w:r w:rsidR="002A662B" w:rsidRPr="0027277C">
        <w:rPr>
          <w:sz w:val="22"/>
          <w:szCs w:val="22"/>
        </w:rPr>
        <w:t xml:space="preserve">vyvolanej </w:t>
      </w:r>
      <w:r w:rsidR="00756A29" w:rsidRPr="0027277C">
        <w:rPr>
          <w:sz w:val="22"/>
          <w:szCs w:val="22"/>
        </w:rPr>
        <w:t>mivakúri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 xml:space="preserve"> a suxametóni</w:t>
      </w:r>
      <w:r w:rsidR="002A662B" w:rsidRPr="0027277C">
        <w:rPr>
          <w:sz w:val="22"/>
          <w:szCs w:val="22"/>
        </w:rPr>
        <w:t>om</w:t>
      </w:r>
      <w:r w:rsidR="00756A29" w:rsidRPr="0027277C">
        <w:rPr>
          <w:sz w:val="22"/>
          <w:szCs w:val="22"/>
        </w:rPr>
        <w:t>.</w:t>
      </w:r>
    </w:p>
    <w:p w14:paraId="26E7AD1B" w14:textId="77777777" w:rsidR="00A00EFA" w:rsidRPr="0027277C" w:rsidRDefault="00A00EFA" w:rsidP="0027277C">
      <w:pPr>
        <w:rPr>
          <w:sz w:val="22"/>
          <w:szCs w:val="22"/>
        </w:rPr>
      </w:pPr>
    </w:p>
    <w:p w14:paraId="1670AF05" w14:textId="45569216" w:rsidR="00782722" w:rsidRPr="006035A0" w:rsidRDefault="002835F3" w:rsidP="0027277C">
      <w:pPr>
        <w:rPr>
          <w:sz w:val="22"/>
          <w:szCs w:val="22"/>
        </w:rPr>
      </w:pPr>
      <w:r w:rsidRPr="006035A0">
        <w:rPr>
          <w:sz w:val="22"/>
          <w:szCs w:val="22"/>
          <w:u w:val="single"/>
        </w:rPr>
        <w:t>Fosamprenavir/ritonavir</w:t>
      </w:r>
    </w:p>
    <w:p w14:paraId="20E8AF37" w14:textId="6BBEEC00" w:rsidR="002835F3" w:rsidRPr="0027277C" w:rsidRDefault="002835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 xml:space="preserve">né podávanie fosamprenaviru/ritonaviru 700/100 mg dvakrát denne </w:t>
      </w:r>
      <w:r w:rsidR="00D26045" w:rsidRPr="0027277C">
        <w:rPr>
          <w:sz w:val="22"/>
          <w:szCs w:val="22"/>
        </w:rPr>
        <w:t>a paroxetínu 20</w:t>
      </w:r>
      <w:r w:rsidR="00907E87">
        <w:rPr>
          <w:sz w:val="22"/>
          <w:szCs w:val="22"/>
        </w:rPr>
        <w:t> </w:t>
      </w:r>
      <w:r w:rsidR="00D26045" w:rsidRPr="0027277C">
        <w:rPr>
          <w:sz w:val="22"/>
          <w:szCs w:val="22"/>
        </w:rPr>
        <w:t xml:space="preserve">mg jedenkrát denne </w:t>
      </w:r>
      <w:r w:rsidRPr="0027277C">
        <w:rPr>
          <w:sz w:val="22"/>
          <w:szCs w:val="22"/>
        </w:rPr>
        <w:t>zdravým dobrovoľníkom počas 10</w:t>
      </w:r>
      <w:r w:rsidR="00907E87">
        <w:rPr>
          <w:sz w:val="22"/>
          <w:szCs w:val="22"/>
        </w:rPr>
        <w:t> </w:t>
      </w:r>
      <w:r w:rsidRPr="0027277C">
        <w:rPr>
          <w:sz w:val="22"/>
          <w:szCs w:val="22"/>
        </w:rPr>
        <w:t>dní významne znížilo plazmatické hladiny paroxetínu približne o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55</w:t>
      </w:r>
      <w:r w:rsidR="00175F65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Plazmatické hladiny fosamprenaviru/ritonaviru boli počas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podobné referenčným hodnotám iných štúdií, čo svedčí o tom, že paroxetín nemal významný vplyv na metabolizmus fosamprenaviru/ritonaviru. Nie sú k dispozícii žiadne údaje o účinkoch dlhodobého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ného podávania paroxetínu a fosamprenaviru/ritonaviru presah</w:t>
      </w:r>
      <w:r w:rsidR="00674296" w:rsidRPr="0027277C">
        <w:rPr>
          <w:sz w:val="22"/>
          <w:szCs w:val="22"/>
        </w:rPr>
        <w:t>ujúceho 10</w:t>
      </w:r>
      <w:r w:rsidR="00907E87">
        <w:rPr>
          <w:sz w:val="22"/>
          <w:szCs w:val="22"/>
        </w:rPr>
        <w:t> </w:t>
      </w:r>
      <w:r w:rsidR="00674296" w:rsidRPr="0027277C">
        <w:rPr>
          <w:sz w:val="22"/>
          <w:szCs w:val="22"/>
        </w:rPr>
        <w:t>dní.</w:t>
      </w:r>
    </w:p>
    <w:p w14:paraId="1996929F" w14:textId="77777777" w:rsidR="00E576F1" w:rsidRPr="0027277C" w:rsidRDefault="00E576F1" w:rsidP="0027277C">
      <w:pPr>
        <w:rPr>
          <w:sz w:val="22"/>
          <w:szCs w:val="22"/>
        </w:rPr>
      </w:pPr>
    </w:p>
    <w:p w14:paraId="591E639D" w14:textId="252F2AF6" w:rsidR="00782722" w:rsidRPr="006035A0" w:rsidRDefault="009B420B" w:rsidP="0027277C">
      <w:pPr>
        <w:rPr>
          <w:bCs/>
          <w:sz w:val="22"/>
          <w:szCs w:val="22"/>
        </w:rPr>
      </w:pPr>
      <w:r w:rsidRPr="006035A0">
        <w:rPr>
          <w:bCs/>
          <w:sz w:val="22"/>
          <w:szCs w:val="22"/>
          <w:u w:val="single"/>
        </w:rPr>
        <w:t>Procyklidín</w:t>
      </w:r>
    </w:p>
    <w:p w14:paraId="408395BC" w14:textId="7518F29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Každodenné podávanie paroxetínu významne zvyšuje plazmatické hladiny </w:t>
      </w:r>
      <w:r w:rsidR="009B420B" w:rsidRPr="0027277C">
        <w:rPr>
          <w:sz w:val="22"/>
          <w:szCs w:val="22"/>
        </w:rPr>
        <w:t>procyklidínu</w:t>
      </w:r>
      <w:r w:rsidRPr="0027277C">
        <w:rPr>
          <w:sz w:val="22"/>
          <w:szCs w:val="22"/>
        </w:rPr>
        <w:t>. Pokiaľ sa spozorujú anticholínergné účinky, dáv</w:t>
      </w:r>
      <w:r w:rsidR="00674296" w:rsidRPr="0027277C">
        <w:rPr>
          <w:sz w:val="22"/>
          <w:szCs w:val="22"/>
        </w:rPr>
        <w:t xml:space="preserve">ka </w:t>
      </w:r>
      <w:r w:rsidR="009B420B" w:rsidRPr="0027277C">
        <w:rPr>
          <w:sz w:val="22"/>
          <w:szCs w:val="22"/>
        </w:rPr>
        <w:t>procyklidín</w:t>
      </w:r>
      <w:r w:rsidR="00E866F0" w:rsidRPr="0027277C">
        <w:rPr>
          <w:sz w:val="22"/>
          <w:szCs w:val="22"/>
        </w:rPr>
        <w:t>u</w:t>
      </w:r>
      <w:r w:rsidR="009B420B" w:rsidRPr="0027277C">
        <w:rPr>
          <w:sz w:val="22"/>
          <w:szCs w:val="22"/>
        </w:rPr>
        <w:t xml:space="preserve"> </w:t>
      </w:r>
      <w:r w:rsidR="00674296" w:rsidRPr="0027277C">
        <w:rPr>
          <w:sz w:val="22"/>
          <w:szCs w:val="22"/>
        </w:rPr>
        <w:t>sa musí znížiť.</w:t>
      </w:r>
    </w:p>
    <w:p w14:paraId="13141B13" w14:textId="77777777" w:rsidR="00140CF8" w:rsidRPr="0027277C" w:rsidRDefault="00140CF8" w:rsidP="0027277C">
      <w:pPr>
        <w:rPr>
          <w:sz w:val="22"/>
          <w:szCs w:val="22"/>
        </w:rPr>
      </w:pPr>
    </w:p>
    <w:p w14:paraId="270052A5" w14:textId="1D8FF876" w:rsidR="00782722" w:rsidRDefault="00140CF8" w:rsidP="0027277C">
      <w:pPr>
        <w:rPr>
          <w:sz w:val="22"/>
          <w:szCs w:val="22"/>
        </w:rPr>
      </w:pPr>
      <w:r w:rsidRPr="006035A0">
        <w:rPr>
          <w:bCs/>
          <w:sz w:val="22"/>
          <w:szCs w:val="22"/>
          <w:u w:val="single"/>
        </w:rPr>
        <w:t>Antikonvulzíva: karbamazepín, fenytoín, valproát sodný</w:t>
      </w:r>
    </w:p>
    <w:p w14:paraId="055F7036" w14:textId="4787276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Nezdá sa, že by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podávanie malo nejaký účinok na farmakokinetický/dynamický profil u epileptických pacientov.</w:t>
      </w:r>
    </w:p>
    <w:p w14:paraId="396085F5" w14:textId="77777777" w:rsidR="00140CF8" w:rsidRPr="0027277C" w:rsidRDefault="00140CF8" w:rsidP="0027277C">
      <w:pPr>
        <w:rPr>
          <w:sz w:val="22"/>
          <w:szCs w:val="22"/>
        </w:rPr>
      </w:pPr>
    </w:p>
    <w:p w14:paraId="46FFE6A3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Inhibičný potenciál paroxetínu voči CYP2D6</w:t>
      </w:r>
    </w:p>
    <w:p w14:paraId="623FE4DD" w14:textId="26FAAC6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Tak ako ostatné antidepresíva, vrátane ostatných SSRI, paroxetín inhibuje pečeňový enzým CYP2D6 cytochrómu P450. Inhibícia CYP2D6 môže viesť k zvýšeným plazmatickým koncentráciám sú</w:t>
      </w:r>
      <w:r w:rsidR="007472B7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podávaných liekov, ktoré sú metabolizované týmto enzýmom. Patria medzi ne niektoré tricyklické antidepresíva (napr. klomipramín, nortriptylín a de</w:t>
      </w:r>
      <w:r w:rsidR="00FC608D">
        <w:rPr>
          <w:sz w:val="22"/>
          <w:szCs w:val="22"/>
        </w:rPr>
        <w:t>z</w:t>
      </w:r>
      <w:r w:rsidRPr="0027277C">
        <w:rPr>
          <w:sz w:val="22"/>
          <w:szCs w:val="22"/>
        </w:rPr>
        <w:t>ipramín), fenotiazínové neuroleptiká (napr.</w:t>
      </w:r>
      <w:r w:rsidR="00782722">
        <w:rPr>
          <w:sz w:val="22"/>
          <w:szCs w:val="22"/>
        </w:rPr>
        <w:t> </w:t>
      </w:r>
      <w:r w:rsidRPr="0027277C">
        <w:rPr>
          <w:sz w:val="22"/>
          <w:szCs w:val="22"/>
        </w:rPr>
        <w:t>perfenazín a tioridazín, 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4.3), risperid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 xml:space="preserve">n, </w:t>
      </w:r>
      <w:r w:rsidR="00EA7AB7" w:rsidRPr="0027277C">
        <w:rPr>
          <w:sz w:val="22"/>
          <w:szCs w:val="22"/>
        </w:rPr>
        <w:t xml:space="preserve">atomoxetín, </w:t>
      </w:r>
      <w:r w:rsidRPr="0027277C">
        <w:rPr>
          <w:sz w:val="22"/>
          <w:szCs w:val="22"/>
        </w:rPr>
        <w:t>niektoré antiarytmiká typu 1c (napr.</w:t>
      </w:r>
      <w:r w:rsidR="00782722">
        <w:rPr>
          <w:sz w:val="22"/>
          <w:szCs w:val="22"/>
        </w:rPr>
        <w:t> </w:t>
      </w:r>
      <w:r w:rsidRPr="0027277C">
        <w:rPr>
          <w:sz w:val="22"/>
          <w:szCs w:val="22"/>
        </w:rPr>
        <w:t>propafen</w:t>
      </w:r>
      <w:r w:rsidR="00907E87">
        <w:rPr>
          <w:sz w:val="22"/>
          <w:szCs w:val="22"/>
        </w:rPr>
        <w:t>ó</w:t>
      </w:r>
      <w:r w:rsidRPr="0027277C">
        <w:rPr>
          <w:sz w:val="22"/>
          <w:szCs w:val="22"/>
        </w:rPr>
        <w:t>n a flekainid) a metoprolol. Neodporúča sa používať paroxetín v kombinácii s metoprololom, keď sa podáva pri srdcovej nedostatočnosti, a to z dôvodu jeho úzkeho terapeutického indexu pri tejto indikácii.</w:t>
      </w:r>
    </w:p>
    <w:p w14:paraId="483BD078" w14:textId="77777777" w:rsidR="00140CF8" w:rsidRPr="0027277C" w:rsidRDefault="00140CF8" w:rsidP="0027277C">
      <w:pPr>
        <w:rPr>
          <w:sz w:val="22"/>
          <w:szCs w:val="22"/>
        </w:rPr>
      </w:pPr>
    </w:p>
    <w:p w14:paraId="39B971CC" w14:textId="4BA3C0A8" w:rsidR="00881E45" w:rsidRPr="0027277C" w:rsidRDefault="00881E45" w:rsidP="002727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7277C">
        <w:rPr>
          <w:color w:val="000000"/>
          <w:sz w:val="22"/>
          <w:szCs w:val="22"/>
        </w:rPr>
        <w:t>V literatúre sa udáva farmakokinetická interakcia medzi inhibítormi CYP2D6 a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nom, pri ktorej sa preukázalo 65 </w:t>
      </w:r>
      <w:r w:rsidRPr="0027277C">
        <w:rPr>
          <w:color w:val="000000"/>
          <w:sz w:val="22"/>
          <w:szCs w:val="22"/>
        </w:rPr>
        <w:noBreakHyphen/>
        <w:t> 75 % zníženie plazmatických hladín jednej z účinnejších foriem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nu, t.j. endoxif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V niektorých štúdiách bola pri súbežnom použití niektorých antidepresív typu SSRI hlásená znížená účinnosť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>nu. Keďže nie je možné vylúčiť znížený účinok tamoxif</w:t>
      </w:r>
      <w:r w:rsidR="00022B91" w:rsidRPr="0027277C">
        <w:rPr>
          <w:color w:val="000000"/>
          <w:sz w:val="22"/>
          <w:szCs w:val="22"/>
        </w:rPr>
        <w:t>é</w:t>
      </w:r>
      <w:r w:rsidRPr="0027277C">
        <w:rPr>
          <w:color w:val="000000"/>
          <w:sz w:val="22"/>
          <w:szCs w:val="22"/>
        </w:rPr>
        <w:t xml:space="preserve">nu, súbežnému podávaniu so silnými inhibítormi CYP2D6 (vrátane paroxetínu) sa má vždy, </w:t>
      </w:r>
      <w:r w:rsidR="004C5D2A" w:rsidRPr="0027277C">
        <w:rPr>
          <w:color w:val="000000"/>
          <w:sz w:val="22"/>
          <w:szCs w:val="22"/>
        </w:rPr>
        <w:t xml:space="preserve">pokiaľ </w:t>
      </w:r>
      <w:r w:rsidRPr="0027277C">
        <w:rPr>
          <w:color w:val="000000"/>
          <w:sz w:val="22"/>
          <w:szCs w:val="22"/>
        </w:rPr>
        <w:t>je to možné, vyhnúť (pozri časť</w:t>
      </w:r>
      <w:r w:rsidR="001E72BF">
        <w:rPr>
          <w:color w:val="000000"/>
          <w:sz w:val="22"/>
          <w:szCs w:val="22"/>
        </w:rPr>
        <w:t> </w:t>
      </w:r>
      <w:r w:rsidRPr="0027277C">
        <w:rPr>
          <w:color w:val="000000"/>
          <w:sz w:val="22"/>
          <w:szCs w:val="22"/>
        </w:rPr>
        <w:t>4.4).</w:t>
      </w:r>
    </w:p>
    <w:p w14:paraId="1A4F6FA9" w14:textId="77777777" w:rsidR="00EF3C68" w:rsidRPr="0027277C" w:rsidRDefault="00EF3C68" w:rsidP="0027277C">
      <w:pPr>
        <w:rPr>
          <w:sz w:val="22"/>
          <w:szCs w:val="22"/>
        </w:rPr>
      </w:pPr>
    </w:p>
    <w:p w14:paraId="747B63FC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Alkohol</w:t>
      </w:r>
    </w:p>
    <w:p w14:paraId="3CB7A03A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4C5D2A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psychotropných lieko</w:t>
      </w:r>
      <w:r w:rsidR="004C5D2A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sa pacienti musia upozorniť na to, aby sa počas užívania paroxet</w:t>
      </w:r>
      <w:r w:rsidR="00674296" w:rsidRPr="0027277C">
        <w:rPr>
          <w:sz w:val="22"/>
          <w:szCs w:val="22"/>
        </w:rPr>
        <w:t>ínu vyhli konzumácii alkoholu.</w:t>
      </w:r>
    </w:p>
    <w:p w14:paraId="6B8A9747" w14:textId="77777777" w:rsidR="00140CF8" w:rsidRPr="0027277C" w:rsidRDefault="00140CF8" w:rsidP="0027277C">
      <w:pPr>
        <w:rPr>
          <w:sz w:val="22"/>
          <w:szCs w:val="22"/>
        </w:rPr>
      </w:pPr>
    </w:p>
    <w:p w14:paraId="3EDA6033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Perorálne antikoagulanciá</w:t>
      </w:r>
    </w:p>
    <w:p w14:paraId="5AA96376" w14:textId="1BE66E8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Môže sa vyskytnúť farmakodynamická interakcia medzi paroxetínom a perorálnymi antikoagulanciami.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použitie paroxetínu a perorálnych antikoagulancií môže viesť k zvýšenej antikoagulačnej aktivite a riziku krvácania. Paroxetín sa preto musí používať opatrne u pacientov, ktorí sú liečení perorálnymi antikoagulanciami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2F598507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18512B3F" w14:textId="77777777" w:rsidR="00140CF8" w:rsidRPr="006035A0" w:rsidRDefault="00140CF8" w:rsidP="006035A0">
      <w:pPr>
        <w:keepNext/>
        <w:keepLines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lastRenderedPageBreak/>
        <w:t>NSAID a kyselina acetylsalicylová a ďalšie antikoagulačné lieky</w:t>
      </w:r>
    </w:p>
    <w:p w14:paraId="7CF4D139" w14:textId="722A2706" w:rsidR="00140CF8" w:rsidRDefault="00956254" w:rsidP="00782722">
      <w:pPr>
        <w:rPr>
          <w:sz w:val="22"/>
          <w:szCs w:val="22"/>
        </w:rPr>
      </w:pPr>
      <w:r w:rsidRPr="0027277C">
        <w:rPr>
          <w:sz w:val="22"/>
          <w:szCs w:val="22"/>
        </w:rPr>
        <w:t>Medzi paroxetínom a NSAIDs/kyselinou acetylsalicylovou sa m</w:t>
      </w:r>
      <w:r w:rsidR="00140CF8" w:rsidRPr="0027277C">
        <w:rPr>
          <w:sz w:val="22"/>
          <w:szCs w:val="22"/>
        </w:rPr>
        <w:t>ôže</w:t>
      </w:r>
      <w:r w:rsidRPr="0027277C">
        <w:rPr>
          <w:sz w:val="22"/>
          <w:szCs w:val="22"/>
        </w:rPr>
        <w:t xml:space="preserve"> </w:t>
      </w:r>
      <w:r w:rsidR="00140CF8" w:rsidRPr="0027277C">
        <w:rPr>
          <w:sz w:val="22"/>
          <w:szCs w:val="22"/>
        </w:rPr>
        <w:t xml:space="preserve">vyskytnúť farmakodynamická interakcia </w:t>
      </w:r>
      <w:r w:rsidR="006E6F05" w:rsidRPr="0027277C">
        <w:rPr>
          <w:sz w:val="22"/>
          <w:szCs w:val="22"/>
        </w:rPr>
        <w:t xml:space="preserve">. </w:t>
      </w:r>
      <w:r w:rsidR="00140CF8" w:rsidRPr="0027277C">
        <w:rPr>
          <w:sz w:val="22"/>
          <w:szCs w:val="22"/>
        </w:rPr>
        <w:t>Sú</w:t>
      </w:r>
      <w:r w:rsidR="00192984" w:rsidRPr="0027277C">
        <w:rPr>
          <w:sz w:val="22"/>
          <w:szCs w:val="22"/>
        </w:rPr>
        <w:t>bež</w:t>
      </w:r>
      <w:r w:rsidR="00140CF8" w:rsidRPr="0027277C">
        <w:rPr>
          <w:sz w:val="22"/>
          <w:szCs w:val="22"/>
        </w:rPr>
        <w:t>né použitie paroxetínu a NSAIDs/kyseliny acetylsalicylovej môže viesť k zvýšenému riziku krvácania (pozri časť</w:t>
      </w:r>
      <w:r w:rsidR="001E72BF">
        <w:rPr>
          <w:sz w:val="22"/>
          <w:szCs w:val="22"/>
        </w:rPr>
        <w:t> </w:t>
      </w:r>
      <w:r w:rsidR="00140CF8" w:rsidRPr="0027277C">
        <w:rPr>
          <w:sz w:val="22"/>
          <w:szCs w:val="22"/>
        </w:rPr>
        <w:t>4.4).</w:t>
      </w:r>
    </w:p>
    <w:p w14:paraId="37F005FE" w14:textId="77777777" w:rsidR="00524C33" w:rsidRPr="0027277C" w:rsidRDefault="00524C33" w:rsidP="0027277C">
      <w:pPr>
        <w:rPr>
          <w:sz w:val="22"/>
          <w:szCs w:val="22"/>
        </w:rPr>
      </w:pPr>
    </w:p>
    <w:p w14:paraId="570B6088" w14:textId="1BEE9B8F" w:rsidR="00140CF8" w:rsidRPr="0027277C" w:rsidRDefault="00140CF8" w:rsidP="0027277C">
      <w:pPr>
        <w:rPr>
          <w:sz w:val="22"/>
          <w:szCs w:val="22"/>
          <w:u w:val="single"/>
        </w:rPr>
      </w:pPr>
      <w:r w:rsidRPr="0027277C">
        <w:rPr>
          <w:sz w:val="22"/>
          <w:szCs w:val="22"/>
        </w:rPr>
        <w:t>Opatrnosť sa odporúča u pacientov užívajúcich SSRI sú</w:t>
      </w:r>
      <w:r w:rsidR="00192984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ne s perorálnymi antikoagulanciami, s</w:t>
      </w:r>
      <w:r w:rsidR="00E83BB1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liekmi, o ktorých je známe, že ovplyvňujú funkciu krvných doštičiek</w:t>
      </w:r>
      <w:r w:rsidR="0037346E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alebo s ďalšími liekmi, ktoré môžu zvýšiť riziko krvácania (napr. s atypickými antipsychotikami ako je klozapín, fenotiazíny, väčšina </w:t>
      </w:r>
      <w:smartTag w:uri="schemas-GSKSiteLocations-com/fourthcoffee" w:element="flavor">
        <w:r w:rsidRPr="0027277C">
          <w:rPr>
            <w:sz w:val="22"/>
            <w:szCs w:val="22"/>
          </w:rPr>
          <w:t>TCA</w:t>
        </w:r>
      </w:smartTag>
      <w:r w:rsidRPr="0027277C">
        <w:rPr>
          <w:sz w:val="22"/>
          <w:szCs w:val="22"/>
        </w:rPr>
        <w:t>, kyselina acetylsalicylová, NSAID, inhibítory COX</w:t>
      </w:r>
      <w:r w:rsidR="0037346E">
        <w:rPr>
          <w:sz w:val="22"/>
          <w:szCs w:val="22"/>
        </w:rPr>
        <w:noBreakHyphen/>
      </w:r>
      <w:r w:rsidRPr="0027277C">
        <w:rPr>
          <w:sz w:val="22"/>
          <w:szCs w:val="22"/>
        </w:rPr>
        <w:t>2), ako aj u pacientov, ktorí majú v anamnéze poruchy krvácania alebo stavy, ktoré ich môžu predisponovať ku krvácaniu.</w:t>
      </w:r>
    </w:p>
    <w:p w14:paraId="6A831FBD" w14:textId="77777777" w:rsidR="00B8593D" w:rsidRPr="0027277C" w:rsidRDefault="00B8593D" w:rsidP="0027277C">
      <w:pPr>
        <w:rPr>
          <w:sz w:val="22"/>
          <w:szCs w:val="22"/>
          <w:u w:val="single"/>
        </w:rPr>
      </w:pPr>
    </w:p>
    <w:p w14:paraId="436589CD" w14:textId="77777777" w:rsidR="00C50BD5" w:rsidRPr="006035A0" w:rsidRDefault="00C50BD5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Pravastatín</w:t>
      </w:r>
    </w:p>
    <w:p w14:paraId="06D5C800" w14:textId="56D714E3" w:rsidR="00C50BD5" w:rsidRPr="0027277C" w:rsidRDefault="0097533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 štúdiách bola pozorovaná interakcia medzi paroxetínom a pravastatínom, čo poukazuje, že súčasné podávanie paroxetínu a pravastatínu môže viesť k zvýšeným hladinám glukózy v krvi.</w:t>
      </w:r>
      <w:r w:rsidR="0037346E">
        <w:rPr>
          <w:sz w:val="22"/>
          <w:szCs w:val="22"/>
        </w:rPr>
        <w:t xml:space="preserve"> </w:t>
      </w:r>
      <w:r w:rsidR="00C50BD5" w:rsidRPr="0027277C">
        <w:rPr>
          <w:sz w:val="22"/>
          <w:szCs w:val="22"/>
        </w:rPr>
        <w:t>U pacientov s ochorením diabetes mellitus, ktorí užívajú obidva, paroxetín a</w:t>
      </w:r>
      <w:r w:rsidR="00B3215F" w:rsidRPr="0027277C">
        <w:rPr>
          <w:sz w:val="22"/>
          <w:szCs w:val="22"/>
        </w:rPr>
        <w:t>j</w:t>
      </w:r>
      <w:r w:rsidR="00C50BD5" w:rsidRPr="0027277C">
        <w:rPr>
          <w:sz w:val="22"/>
          <w:szCs w:val="22"/>
        </w:rPr>
        <w:t> pravas</w:t>
      </w:r>
      <w:r w:rsidRPr="0027277C">
        <w:rPr>
          <w:sz w:val="22"/>
          <w:szCs w:val="22"/>
        </w:rPr>
        <w:t>t</w:t>
      </w:r>
      <w:r w:rsidR="00C50BD5" w:rsidRPr="0027277C">
        <w:rPr>
          <w:sz w:val="22"/>
          <w:szCs w:val="22"/>
        </w:rPr>
        <w:t>atín, sa môže vyžad</w:t>
      </w:r>
      <w:r w:rsidR="00B3215F" w:rsidRPr="0027277C">
        <w:rPr>
          <w:sz w:val="22"/>
          <w:szCs w:val="22"/>
        </w:rPr>
        <w:t>ovať úprava dávkovania perorálnych</w:t>
      </w:r>
      <w:r w:rsidR="00C50BD5" w:rsidRPr="0027277C">
        <w:rPr>
          <w:sz w:val="22"/>
          <w:szCs w:val="22"/>
        </w:rPr>
        <w:t xml:space="preserve"> hypoglykem</w:t>
      </w:r>
      <w:r w:rsidR="00B3215F" w:rsidRPr="0027277C">
        <w:rPr>
          <w:sz w:val="22"/>
          <w:szCs w:val="22"/>
        </w:rPr>
        <w:t>ík</w:t>
      </w:r>
      <w:r w:rsidR="00C50BD5" w:rsidRPr="0027277C">
        <w:rPr>
          <w:sz w:val="22"/>
          <w:szCs w:val="22"/>
        </w:rPr>
        <w:t xml:space="preserve"> a/alebo inzulínu (pozri časť 4.4)</w:t>
      </w:r>
      <w:r w:rsidR="00B3215F" w:rsidRPr="0027277C">
        <w:rPr>
          <w:sz w:val="22"/>
          <w:szCs w:val="22"/>
        </w:rPr>
        <w:t>.</w:t>
      </w:r>
    </w:p>
    <w:p w14:paraId="52666045" w14:textId="77777777" w:rsidR="00C50BD5" w:rsidRPr="0027277C" w:rsidRDefault="00C50BD5" w:rsidP="0027277C">
      <w:pPr>
        <w:rPr>
          <w:sz w:val="22"/>
          <w:szCs w:val="22"/>
          <w:u w:val="single"/>
        </w:rPr>
      </w:pPr>
    </w:p>
    <w:p w14:paraId="3C8820B7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4.6</w:t>
      </w:r>
      <w:r w:rsidRPr="0027277C">
        <w:rPr>
          <w:b/>
          <w:sz w:val="22"/>
          <w:szCs w:val="22"/>
        </w:rPr>
        <w:tab/>
      </w:r>
      <w:r w:rsidR="001B6D4B" w:rsidRPr="0027277C">
        <w:rPr>
          <w:b/>
          <w:sz w:val="22"/>
          <w:szCs w:val="22"/>
        </w:rPr>
        <w:t>Fertilita, g</w:t>
      </w:r>
      <w:r w:rsidRPr="0027277C">
        <w:rPr>
          <w:b/>
          <w:sz w:val="22"/>
          <w:szCs w:val="22"/>
        </w:rPr>
        <w:t>ravidita a laktácia</w:t>
      </w:r>
    </w:p>
    <w:p w14:paraId="4D5BEAAA" w14:textId="77777777" w:rsidR="00140CF8" w:rsidRPr="0027277C" w:rsidRDefault="00140CF8" w:rsidP="0027277C">
      <w:pPr>
        <w:pStyle w:val="Nadpis6"/>
        <w:rPr>
          <w:rFonts w:ascii="Times New Roman" w:hAnsi="Times New Roman"/>
          <w:b w:val="0"/>
          <w:color w:val="auto"/>
          <w:sz w:val="22"/>
          <w:szCs w:val="22"/>
        </w:rPr>
      </w:pPr>
    </w:p>
    <w:p w14:paraId="5A4661F5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Gravidita</w:t>
      </w:r>
    </w:p>
    <w:p w14:paraId="5928EAEA" w14:textId="07C9C7FB" w:rsidR="00674296" w:rsidRPr="0027277C" w:rsidRDefault="00534AD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Niektoré epidemiologické štúdie poukazujú </w:t>
      </w:r>
      <w:r w:rsidR="00C600C7" w:rsidRPr="0027277C">
        <w:rPr>
          <w:sz w:val="22"/>
          <w:szCs w:val="22"/>
        </w:rPr>
        <w:t xml:space="preserve">v súvislosti s používaním paroxetínu počas prvého trimestra </w:t>
      </w:r>
      <w:r w:rsidRPr="0027277C">
        <w:rPr>
          <w:sz w:val="22"/>
          <w:szCs w:val="22"/>
        </w:rPr>
        <w:t xml:space="preserve">na zvýšené riziko </w:t>
      </w:r>
      <w:r w:rsidR="00EF3C68" w:rsidRPr="0027277C">
        <w:rPr>
          <w:sz w:val="22"/>
          <w:szCs w:val="22"/>
        </w:rPr>
        <w:t>vrodených</w:t>
      </w:r>
      <w:r w:rsidRPr="0027277C">
        <w:rPr>
          <w:sz w:val="22"/>
          <w:szCs w:val="22"/>
        </w:rPr>
        <w:t xml:space="preserve"> defekt</w:t>
      </w:r>
      <w:r w:rsidR="00EF3C68" w:rsidRPr="0027277C">
        <w:rPr>
          <w:sz w:val="22"/>
          <w:szCs w:val="22"/>
        </w:rPr>
        <w:t>ov, najmä kardiovaskulárn</w:t>
      </w:r>
      <w:r w:rsidR="00C600C7" w:rsidRPr="0027277C">
        <w:rPr>
          <w:sz w:val="22"/>
          <w:szCs w:val="22"/>
        </w:rPr>
        <w:t>ych</w:t>
      </w:r>
      <w:r w:rsidRPr="0027277C">
        <w:rPr>
          <w:sz w:val="22"/>
          <w:szCs w:val="22"/>
        </w:rPr>
        <w:t xml:space="preserve"> (napr. defekt komorovej a predsieňovej priehradky). Mechanizmus nie je známy.</w:t>
      </w:r>
      <w:r w:rsidR="00EE5C33" w:rsidRPr="0027277C">
        <w:rPr>
          <w:sz w:val="22"/>
          <w:szCs w:val="22"/>
        </w:rPr>
        <w:t xml:space="preserve"> Tieto údaje naznačujú, že riziko kardiovaskulárneho defektu u dieťaťa po expozícii matky</w:t>
      </w:r>
      <w:r w:rsidR="000F1DD6" w:rsidRPr="0027277C">
        <w:rPr>
          <w:sz w:val="22"/>
          <w:szCs w:val="22"/>
        </w:rPr>
        <w:t xml:space="preserve"> </w:t>
      </w:r>
      <w:r w:rsidR="00EE5C33" w:rsidRPr="0027277C">
        <w:rPr>
          <w:sz w:val="22"/>
          <w:szCs w:val="22"/>
        </w:rPr>
        <w:t>paroxetínu je menši</w:t>
      </w:r>
      <w:r w:rsidR="00AE3678">
        <w:rPr>
          <w:sz w:val="22"/>
          <w:szCs w:val="22"/>
        </w:rPr>
        <w:t>e</w:t>
      </w:r>
      <w:r w:rsidR="00EE5C33" w:rsidRPr="0027277C">
        <w:rPr>
          <w:sz w:val="22"/>
          <w:szCs w:val="22"/>
        </w:rPr>
        <w:t xml:space="preserve"> ako 2/100</w:t>
      </w:r>
      <w:r w:rsidR="00AE3678">
        <w:rPr>
          <w:sz w:val="22"/>
          <w:szCs w:val="22"/>
        </w:rPr>
        <w:t> </w:t>
      </w:r>
      <w:r w:rsidR="00AE3678">
        <w:rPr>
          <w:sz w:val="22"/>
          <w:szCs w:val="22"/>
        </w:rPr>
        <w:noBreakHyphen/>
        <w:t> </w:t>
      </w:r>
      <w:r w:rsidR="00EE5C33" w:rsidRPr="0027277C">
        <w:rPr>
          <w:sz w:val="22"/>
          <w:szCs w:val="22"/>
        </w:rPr>
        <w:t>pre porovnanie, v celkovej populácii je výskyt takýchto defektov približne 1/100</w:t>
      </w:r>
      <w:r w:rsidR="00AE3678">
        <w:rPr>
          <w:sz w:val="22"/>
          <w:szCs w:val="22"/>
        </w:rPr>
        <w:t>.</w:t>
      </w:r>
    </w:p>
    <w:p w14:paraId="11C8F6F7" w14:textId="77777777" w:rsidR="00EE5C33" w:rsidRPr="0027277C" w:rsidRDefault="00EE5C33" w:rsidP="0027277C">
      <w:pPr>
        <w:rPr>
          <w:sz w:val="22"/>
          <w:szCs w:val="22"/>
        </w:rPr>
      </w:pPr>
    </w:p>
    <w:p w14:paraId="65B7210B" w14:textId="69ECC76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má byť užívaný počas gravidity len v </w:t>
      </w:r>
      <w:r w:rsidR="004C5D2A" w:rsidRPr="0027277C">
        <w:rPr>
          <w:sz w:val="22"/>
          <w:szCs w:val="22"/>
        </w:rPr>
        <w:t>nevyhnutných prípadoch</w:t>
      </w:r>
      <w:r w:rsidRPr="0027277C">
        <w:rPr>
          <w:sz w:val="22"/>
          <w:szCs w:val="22"/>
        </w:rPr>
        <w:t xml:space="preserve">. </w:t>
      </w:r>
      <w:r w:rsidR="004C5D2A" w:rsidRPr="0027277C">
        <w:rPr>
          <w:sz w:val="22"/>
          <w:szCs w:val="22"/>
        </w:rPr>
        <w:t>Ošetrujúci lekár má zvážiť možnosť alternatívnej liečby u tehotných žien alebo u žien, ktoré plánujú otehotnieť</w:t>
      </w:r>
      <w:r w:rsidR="00534ADF" w:rsidRPr="0027277C">
        <w:rPr>
          <w:sz w:val="22"/>
          <w:szCs w:val="22"/>
        </w:rPr>
        <w:t>.</w:t>
      </w:r>
      <w:r w:rsidR="004C1D08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Náhlemu </w:t>
      </w:r>
      <w:r w:rsidR="0043001A" w:rsidRPr="0027277C">
        <w:rPr>
          <w:sz w:val="22"/>
          <w:szCs w:val="22"/>
        </w:rPr>
        <w:t xml:space="preserve">ukončeniu </w:t>
      </w:r>
      <w:r w:rsidRPr="0027277C">
        <w:rPr>
          <w:sz w:val="22"/>
          <w:szCs w:val="22"/>
        </w:rPr>
        <w:t>liečby počas gravidity sa má zabrániť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4.2</w:t>
      </w:r>
      <w:r w:rsidR="00674296" w:rsidRPr="0027277C">
        <w:rPr>
          <w:sz w:val="22"/>
          <w:szCs w:val="22"/>
        </w:rPr>
        <w:t>).</w:t>
      </w:r>
    </w:p>
    <w:p w14:paraId="3D7B8F7E" w14:textId="54CF1B61" w:rsidR="00140CF8" w:rsidRDefault="00140CF8" w:rsidP="0027277C">
      <w:pPr>
        <w:rPr>
          <w:sz w:val="22"/>
          <w:szCs w:val="22"/>
        </w:rPr>
      </w:pPr>
    </w:p>
    <w:p w14:paraId="285A47CF" w14:textId="6DC71D57" w:rsidR="000326C6" w:rsidRDefault="0033657E" w:rsidP="0027277C">
      <w:pPr>
        <w:rPr>
          <w:sz w:val="22"/>
          <w:szCs w:val="22"/>
        </w:rPr>
      </w:pPr>
      <w:r>
        <w:rPr>
          <w:sz w:val="22"/>
          <w:szCs w:val="22"/>
        </w:rPr>
        <w:t>Ú</w:t>
      </w:r>
      <w:r w:rsidR="00150B59">
        <w:rPr>
          <w:sz w:val="22"/>
          <w:szCs w:val="22"/>
        </w:rPr>
        <w:t>daje</w:t>
      </w:r>
      <w:r>
        <w:rPr>
          <w:sz w:val="22"/>
          <w:szCs w:val="22"/>
        </w:rPr>
        <w:t xml:space="preserve"> z pozorovaní</w:t>
      </w:r>
      <w:r w:rsidR="00150B59">
        <w:rPr>
          <w:sz w:val="22"/>
          <w:szCs w:val="22"/>
        </w:rPr>
        <w:t xml:space="preserve"> </w:t>
      </w:r>
      <w:r>
        <w:rPr>
          <w:sz w:val="22"/>
          <w:szCs w:val="22"/>
        </w:rPr>
        <w:t>naznačujú</w:t>
      </w:r>
      <w:r w:rsidR="004C7997">
        <w:rPr>
          <w:sz w:val="22"/>
          <w:szCs w:val="22"/>
        </w:rPr>
        <w:t> </w:t>
      </w:r>
      <w:r w:rsidR="00150B59">
        <w:rPr>
          <w:sz w:val="22"/>
          <w:szCs w:val="22"/>
        </w:rPr>
        <w:t>zvýšené riziko (</w:t>
      </w:r>
      <w:r w:rsidR="004C6DA0">
        <w:rPr>
          <w:sz w:val="22"/>
          <w:szCs w:val="22"/>
        </w:rPr>
        <w:t>men</w:t>
      </w:r>
      <w:r>
        <w:rPr>
          <w:sz w:val="22"/>
          <w:szCs w:val="22"/>
        </w:rPr>
        <w:t>ej ako dvoj</w:t>
      </w:r>
      <w:r w:rsidR="00150B59">
        <w:rPr>
          <w:sz w:val="22"/>
          <w:szCs w:val="22"/>
        </w:rPr>
        <w:t>násobné) popôrodného krvácania po</w:t>
      </w:r>
      <w:r w:rsidR="004C6DA0">
        <w:rPr>
          <w:sz w:val="22"/>
          <w:szCs w:val="22"/>
        </w:rPr>
        <w:t> </w:t>
      </w:r>
      <w:r w:rsidR="00150B59">
        <w:rPr>
          <w:sz w:val="22"/>
          <w:szCs w:val="22"/>
        </w:rPr>
        <w:t>expozícii SSRI/SNRI v</w:t>
      </w:r>
      <w:r>
        <w:rPr>
          <w:sz w:val="22"/>
          <w:szCs w:val="22"/>
        </w:rPr>
        <w:t> </w:t>
      </w:r>
      <w:r w:rsidR="00150B59">
        <w:rPr>
          <w:sz w:val="22"/>
          <w:szCs w:val="22"/>
        </w:rPr>
        <w:t>priebehu</w:t>
      </w:r>
      <w:r>
        <w:rPr>
          <w:sz w:val="22"/>
          <w:szCs w:val="22"/>
        </w:rPr>
        <w:t xml:space="preserve"> jedného</w:t>
      </w:r>
      <w:r w:rsidR="00150B59">
        <w:rPr>
          <w:sz w:val="22"/>
          <w:szCs w:val="22"/>
        </w:rPr>
        <w:t xml:space="preserve"> mesiaca pred pôrodom (pozri časti 4.4 a 4.8).</w:t>
      </w:r>
    </w:p>
    <w:p w14:paraId="797872F7" w14:textId="77777777" w:rsidR="000326C6" w:rsidRPr="0027277C" w:rsidRDefault="000326C6" w:rsidP="0027277C">
      <w:pPr>
        <w:rPr>
          <w:sz w:val="22"/>
          <w:szCs w:val="22"/>
        </w:rPr>
      </w:pPr>
    </w:p>
    <w:p w14:paraId="483CAF36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Novorodenci sa musia pozorovať, ak ich matky pokračovali v užívaní paroxetínu v neskorších štádiách gravidity, hlavne v treťom tr</w:t>
      </w:r>
      <w:r w:rsidR="005C11AF" w:rsidRPr="0027277C">
        <w:rPr>
          <w:sz w:val="22"/>
          <w:szCs w:val="22"/>
        </w:rPr>
        <w:t>imestri.</w:t>
      </w:r>
    </w:p>
    <w:p w14:paraId="5B1A8DAC" w14:textId="77777777" w:rsidR="00140CF8" w:rsidRPr="0027277C" w:rsidRDefault="00140CF8" w:rsidP="0027277C">
      <w:pPr>
        <w:rPr>
          <w:sz w:val="22"/>
          <w:szCs w:val="22"/>
        </w:rPr>
      </w:pPr>
    </w:p>
    <w:p w14:paraId="24B9DE45" w14:textId="78A520C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Nasledujúce symptómy sa môžu vyskytnúť </w:t>
      </w:r>
      <w:r w:rsidR="003751C4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novorodenca, ktorého matka užívala paroxetín v neskorších štádiách gravidity: </w:t>
      </w:r>
      <w:r w:rsidR="00202CC9" w:rsidRPr="0027277C">
        <w:rPr>
          <w:sz w:val="22"/>
          <w:szCs w:val="22"/>
        </w:rPr>
        <w:t>respiračné ťažkosti</w:t>
      </w:r>
      <w:r w:rsidRPr="0027277C">
        <w:rPr>
          <w:sz w:val="22"/>
          <w:szCs w:val="22"/>
        </w:rPr>
        <w:t xml:space="preserve">, cyanóza, apnoe, záchvaty, nestabilita teploty, porucha príjmu potravy, dávenie, hypoglykémia, hypotónia, hypertónia, hyperreflexia, tremor, nervozita, podráždenosť, letargia, nepretržitý plač, somnolencia a ťažkosti so spánkom. Tieto symptómy môžu byť buď dôsledkom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ergných účinkov, alebo symptómov</w:t>
      </w:r>
      <w:r w:rsidR="005E25D0" w:rsidRPr="0027277C">
        <w:rPr>
          <w:sz w:val="22"/>
          <w:szCs w:val="22"/>
        </w:rPr>
        <w:t xml:space="preserve"> z vysadenia</w:t>
      </w:r>
      <w:r w:rsidRPr="0027277C">
        <w:rPr>
          <w:sz w:val="22"/>
          <w:szCs w:val="22"/>
        </w:rPr>
        <w:t>. Vo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väčšine prípadov komplikácie začnú okamžite, alebo krátko (&lt;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hodín) po pôrode.</w:t>
      </w:r>
    </w:p>
    <w:p w14:paraId="0990CE4B" w14:textId="77777777" w:rsidR="00140CF8" w:rsidRPr="0027277C" w:rsidRDefault="00140CF8" w:rsidP="0027277C">
      <w:pPr>
        <w:rPr>
          <w:sz w:val="22"/>
          <w:szCs w:val="22"/>
        </w:rPr>
      </w:pPr>
    </w:p>
    <w:p w14:paraId="1346C2D4" w14:textId="71E7D46D" w:rsidR="00E06F31" w:rsidRPr="0027277C" w:rsidRDefault="00C861B5" w:rsidP="0027277C">
      <w:pPr>
        <w:autoSpaceDE w:val="0"/>
        <w:autoSpaceDN w:val="0"/>
        <w:adjustRightInd w:val="0"/>
        <w:rPr>
          <w:sz w:val="22"/>
          <w:szCs w:val="22"/>
        </w:rPr>
      </w:pPr>
      <w:r w:rsidRPr="0027277C">
        <w:rPr>
          <w:sz w:val="22"/>
          <w:szCs w:val="22"/>
        </w:rPr>
        <w:t xml:space="preserve">Epidemiologické údaje naznačovali, že použitie SSRI </w:t>
      </w:r>
      <w:r w:rsidR="00E06F31" w:rsidRPr="0027277C">
        <w:rPr>
          <w:sz w:val="22"/>
          <w:szCs w:val="22"/>
        </w:rPr>
        <w:t xml:space="preserve">počas tehotenstva, najmä počas pokročilého tehotenstva, môže zvýšiť riziko vzniku perzistujúcej pľúcnej hypertenzie novorodencov (PPHN). Pozorované riziko bolo približne </w:t>
      </w:r>
      <w:r w:rsidR="00017B2D" w:rsidRPr="0027277C">
        <w:rPr>
          <w:sz w:val="22"/>
          <w:szCs w:val="22"/>
        </w:rPr>
        <w:t>päť</w:t>
      </w:r>
      <w:r w:rsidR="00E06F31" w:rsidRPr="0027277C">
        <w:rPr>
          <w:sz w:val="22"/>
          <w:szCs w:val="22"/>
        </w:rPr>
        <w:t xml:space="preserve"> prípadov na 1 000 tehotenstiev. V bežnej populácii sa vyskytuje </w:t>
      </w:r>
      <w:r w:rsidR="00017B2D" w:rsidRPr="0027277C">
        <w:rPr>
          <w:sz w:val="22"/>
          <w:szCs w:val="22"/>
        </w:rPr>
        <w:t>jeden</w:t>
      </w:r>
      <w:r w:rsidR="00E06F31" w:rsidRPr="0027277C">
        <w:rPr>
          <w:sz w:val="22"/>
          <w:szCs w:val="22"/>
        </w:rPr>
        <w:t> až </w:t>
      </w:r>
      <w:r w:rsidR="00017B2D" w:rsidRPr="0027277C">
        <w:rPr>
          <w:sz w:val="22"/>
          <w:szCs w:val="22"/>
        </w:rPr>
        <w:t>dva</w:t>
      </w:r>
      <w:r w:rsidR="00E06F31" w:rsidRPr="0027277C">
        <w:rPr>
          <w:sz w:val="22"/>
          <w:szCs w:val="22"/>
        </w:rPr>
        <w:t> prípady PPHN na 1 000 tehotenstiev.</w:t>
      </w:r>
    </w:p>
    <w:p w14:paraId="1CACFF9B" w14:textId="77777777" w:rsidR="00565D4A" w:rsidRPr="0027277C" w:rsidRDefault="00565D4A" w:rsidP="0027277C">
      <w:pPr>
        <w:rPr>
          <w:sz w:val="22"/>
          <w:szCs w:val="22"/>
        </w:rPr>
      </w:pPr>
    </w:p>
    <w:p w14:paraId="33D6A6D0" w14:textId="0ABD810E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na zvieratách preukázali reprodukčnú toxicitu, ale nepreukázali priame škodlivé účinky na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graviditu, embryonálny/fetálny vývoj, pôrod alebo postnatálny vývoj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5.3).</w:t>
      </w:r>
    </w:p>
    <w:p w14:paraId="4CCA5AAB" w14:textId="77777777" w:rsidR="00140CF8" w:rsidRPr="0027277C" w:rsidRDefault="00140CF8" w:rsidP="0027277C">
      <w:pPr>
        <w:rPr>
          <w:sz w:val="22"/>
          <w:szCs w:val="22"/>
          <w:u w:val="single"/>
        </w:rPr>
      </w:pPr>
    </w:p>
    <w:p w14:paraId="3F0A7D3A" w14:textId="66FFDCBF" w:rsidR="00140CF8" w:rsidRPr="006035A0" w:rsidRDefault="00524C33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Dojčenie</w:t>
      </w:r>
    </w:p>
    <w:p w14:paraId="05CA3325" w14:textId="0CADCE3E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Malé množstvá paroxetínu sa vylučujú do materského mlieka. V publikovaných štúdiách boli sérové koncentrácie u dojčených detí </w:t>
      </w:r>
      <w:r w:rsidR="00EF76A3" w:rsidRPr="0027277C">
        <w:rPr>
          <w:sz w:val="22"/>
          <w:szCs w:val="22"/>
        </w:rPr>
        <w:t xml:space="preserve">nezistiteľné </w:t>
      </w:r>
      <w:r w:rsidRPr="0027277C">
        <w:rPr>
          <w:sz w:val="22"/>
          <w:szCs w:val="22"/>
        </w:rPr>
        <w:t>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2</w:t>
      </w:r>
      <w:r w:rsidR="005C11AF" w:rsidRPr="0027277C">
        <w:rPr>
          <w:sz w:val="22"/>
          <w:szCs w:val="22"/>
        </w:rPr>
        <w:t>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 alebo veľmi nízke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4 </w:t>
      </w:r>
      <w:r w:rsidR="006E0170" w:rsidRPr="0027277C">
        <w:rPr>
          <w:sz w:val="22"/>
          <w:szCs w:val="22"/>
        </w:rPr>
        <w:t>nanogramy</w:t>
      </w:r>
      <w:r w:rsidRPr="0027277C">
        <w:rPr>
          <w:sz w:val="22"/>
          <w:szCs w:val="22"/>
        </w:rPr>
        <w:t>/ml)</w:t>
      </w:r>
      <w:r w:rsidR="00F26895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</w:t>
      </w:r>
      <w:r w:rsidR="00F26895" w:rsidRPr="0027277C">
        <w:rPr>
          <w:sz w:val="22"/>
          <w:szCs w:val="22"/>
        </w:rPr>
        <w:t>u</w:t>
      </w:r>
      <w:r w:rsidRPr="0027277C">
        <w:rPr>
          <w:sz w:val="22"/>
          <w:szCs w:val="22"/>
        </w:rPr>
        <w:t xml:space="preserve"> týchto dojčiat neboli pozorované žiadne známky účinkov lieku. </w:t>
      </w:r>
      <w:r w:rsidR="00F26895" w:rsidRPr="0027277C">
        <w:rPr>
          <w:sz w:val="22"/>
          <w:szCs w:val="22"/>
        </w:rPr>
        <w:t xml:space="preserve">Vzhľadom </w:t>
      </w:r>
      <w:r w:rsidR="00BB7640">
        <w:rPr>
          <w:sz w:val="22"/>
          <w:szCs w:val="22"/>
        </w:rPr>
        <w:t>na</w:t>
      </w:r>
      <w:r w:rsidR="00F26895" w:rsidRPr="0027277C">
        <w:rPr>
          <w:sz w:val="22"/>
          <w:szCs w:val="22"/>
        </w:rPr>
        <w:t> to, že sa nepredpokladá výskyt účinkov, dojčenie sa môže zvážiť.</w:t>
      </w:r>
    </w:p>
    <w:p w14:paraId="3918B848" w14:textId="77777777" w:rsidR="00140CF8" w:rsidRPr="0027277C" w:rsidRDefault="00140CF8" w:rsidP="0027277C">
      <w:pPr>
        <w:rPr>
          <w:sz w:val="22"/>
          <w:szCs w:val="22"/>
        </w:rPr>
      </w:pPr>
    </w:p>
    <w:p w14:paraId="04627196" w14:textId="77777777" w:rsidR="006E0170" w:rsidRPr="006035A0" w:rsidRDefault="006E0170" w:rsidP="0027277C">
      <w:pPr>
        <w:pStyle w:val="Zkladntext"/>
        <w:rPr>
          <w:rFonts w:ascii="Times New Roman" w:hAnsi="Times New Roman"/>
          <w:bCs/>
          <w:i w:val="0"/>
          <w:sz w:val="22"/>
          <w:szCs w:val="22"/>
          <w:u w:val="single"/>
          <w:lang w:eastAsia="en-US"/>
        </w:rPr>
      </w:pPr>
      <w:r w:rsidRPr="006035A0">
        <w:rPr>
          <w:rFonts w:ascii="Times New Roman" w:hAnsi="Times New Roman"/>
          <w:bCs/>
          <w:i w:val="0"/>
          <w:sz w:val="22"/>
          <w:szCs w:val="22"/>
          <w:u w:val="single"/>
          <w:lang w:eastAsia="en-US"/>
        </w:rPr>
        <w:lastRenderedPageBreak/>
        <w:t>Fertilita</w:t>
      </w:r>
    </w:p>
    <w:p w14:paraId="4FAC2949" w14:textId="230C9FAC" w:rsidR="006E0170" w:rsidRPr="0027277C" w:rsidRDefault="006E017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Údaje získané v štúdiách na zvieratách preukázali, že paroxetín môže ovplyvniť kvalitu spermií (pozri časť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5.3). Údaje získané </w:t>
      </w:r>
      <w:r w:rsidR="00017B2D" w:rsidRPr="0027277C">
        <w:rPr>
          <w:sz w:val="22"/>
          <w:szCs w:val="22"/>
        </w:rPr>
        <w:t xml:space="preserve">z ľudského materiálu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môžu naznačovať určitý vplyv na kvalitu spermií, ale hlásenia prípadov u ľudí užívajúcich niektoré SSRI (vrátane paroxetínu) </w:t>
      </w:r>
      <w:r w:rsidR="00017B2D" w:rsidRPr="0027277C">
        <w:rPr>
          <w:sz w:val="22"/>
          <w:szCs w:val="22"/>
        </w:rPr>
        <w:t>preukázali</w:t>
      </w:r>
      <w:r w:rsidRPr="0027277C">
        <w:rPr>
          <w:sz w:val="22"/>
          <w:szCs w:val="22"/>
        </w:rPr>
        <w:t>, že vplyv na kvalitu spermií je zrejme reverzibilný. Vplyv na ľudskú fertilitu nebol doteraz pozorovaný.</w:t>
      </w:r>
    </w:p>
    <w:p w14:paraId="1AB8AC4A" w14:textId="77777777" w:rsidR="006E0170" w:rsidRPr="0027277C" w:rsidRDefault="006E0170" w:rsidP="0027277C">
      <w:pPr>
        <w:rPr>
          <w:sz w:val="22"/>
          <w:szCs w:val="22"/>
        </w:rPr>
      </w:pPr>
    </w:p>
    <w:p w14:paraId="39B65366" w14:textId="77777777" w:rsidR="00140CF8" w:rsidRPr="0027277C" w:rsidRDefault="00140CF8" w:rsidP="0027277C">
      <w:pPr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4.7</w:t>
      </w:r>
      <w:r w:rsidRPr="0027277C">
        <w:rPr>
          <w:b/>
          <w:sz w:val="22"/>
          <w:szCs w:val="22"/>
        </w:rPr>
        <w:tab/>
        <w:t>Ovplyvnenie schopnosti viesť vozidlá a obsluhovať stroje</w:t>
      </w:r>
    </w:p>
    <w:p w14:paraId="22AA3298" w14:textId="77777777" w:rsidR="00140CF8" w:rsidRPr="0027277C" w:rsidRDefault="00140CF8" w:rsidP="0027277C">
      <w:pPr>
        <w:rPr>
          <w:sz w:val="22"/>
          <w:szCs w:val="22"/>
        </w:rPr>
      </w:pPr>
    </w:p>
    <w:p w14:paraId="7663B015" w14:textId="401BB172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Klinické skúsenosti ukázali, že liečba paroxetínom nie je spojená s ovplyvnením kognitívnej alebo psychomotorickej funkcie. Tak ako </w:t>
      </w:r>
      <w:r w:rsidR="00240E7D" w:rsidRPr="0027277C">
        <w:rPr>
          <w:sz w:val="22"/>
          <w:szCs w:val="22"/>
        </w:rPr>
        <w:t>pri</w:t>
      </w:r>
      <w:r w:rsidRPr="0027277C">
        <w:rPr>
          <w:sz w:val="22"/>
          <w:szCs w:val="22"/>
        </w:rPr>
        <w:t> všetkých lieko</w:t>
      </w:r>
      <w:r w:rsidR="00240E7D" w:rsidRPr="0027277C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pôsobiacich na psychiku však pacienti musia byť obozretní</w:t>
      </w:r>
      <w:r w:rsidR="00BB7640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pokiaľ ide o ich schopnosť viesť </w:t>
      </w:r>
      <w:r w:rsidR="005C11AF" w:rsidRPr="0027277C">
        <w:rPr>
          <w:sz w:val="22"/>
          <w:szCs w:val="22"/>
        </w:rPr>
        <w:t>vozidl</w:t>
      </w:r>
      <w:r w:rsidR="00240E7D" w:rsidRPr="0027277C">
        <w:rPr>
          <w:sz w:val="22"/>
          <w:szCs w:val="22"/>
        </w:rPr>
        <w:t>á</w:t>
      </w:r>
      <w:r w:rsidR="005C11AF" w:rsidRPr="0027277C">
        <w:rPr>
          <w:sz w:val="22"/>
          <w:szCs w:val="22"/>
        </w:rPr>
        <w:t xml:space="preserve"> alebo obsluhovať stroj</w:t>
      </w:r>
      <w:r w:rsidR="00240E7D" w:rsidRPr="0027277C">
        <w:rPr>
          <w:sz w:val="22"/>
          <w:szCs w:val="22"/>
        </w:rPr>
        <w:t>e</w:t>
      </w:r>
      <w:r w:rsidR="005C11AF" w:rsidRPr="0027277C">
        <w:rPr>
          <w:sz w:val="22"/>
          <w:szCs w:val="22"/>
        </w:rPr>
        <w:t>.</w:t>
      </w:r>
    </w:p>
    <w:p w14:paraId="43A03E3C" w14:textId="77777777" w:rsidR="00BB7640" w:rsidRDefault="00BB7640" w:rsidP="0027277C">
      <w:pPr>
        <w:rPr>
          <w:sz w:val="22"/>
          <w:szCs w:val="22"/>
        </w:rPr>
      </w:pPr>
    </w:p>
    <w:p w14:paraId="6966FEAD" w14:textId="5EC4EC0B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Aj keď paroxetín nezvyšuje účinky alkoholu na mentálne a motorické zručnosti, sú</w:t>
      </w:r>
      <w:r w:rsidR="00A0165A" w:rsidRPr="0027277C">
        <w:rPr>
          <w:sz w:val="22"/>
          <w:szCs w:val="22"/>
        </w:rPr>
        <w:t>bež</w:t>
      </w:r>
      <w:r w:rsidRPr="0027277C">
        <w:rPr>
          <w:sz w:val="22"/>
          <w:szCs w:val="22"/>
        </w:rPr>
        <w:t>né užívanie parox</w:t>
      </w:r>
      <w:r w:rsidR="005C11AF" w:rsidRPr="0027277C">
        <w:rPr>
          <w:sz w:val="22"/>
          <w:szCs w:val="22"/>
        </w:rPr>
        <w:t>etínu a alkoholu sa neodporúča.</w:t>
      </w:r>
    </w:p>
    <w:p w14:paraId="2F45262A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0AD5E1A4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4.8</w:t>
      </w:r>
      <w:r w:rsidRPr="0027277C">
        <w:rPr>
          <w:b/>
          <w:sz w:val="22"/>
          <w:szCs w:val="22"/>
        </w:rPr>
        <w:tab/>
        <w:t>Nežiaduce účinky</w:t>
      </w:r>
    </w:p>
    <w:p w14:paraId="4A3E15E3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4D0AD022" w14:textId="30080986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S pokračujúcou liečbou sa môže intenzita a frekvencia niektorých z nižšie uvedených nežiaducich reakcií</w:t>
      </w:r>
      <w:r w:rsidR="00227DD0" w:rsidRPr="0027277C">
        <w:rPr>
          <w:sz w:val="22"/>
          <w:szCs w:val="22"/>
        </w:rPr>
        <w:t xml:space="preserve"> na liek</w:t>
      </w:r>
      <w:r w:rsidRPr="0027277C">
        <w:rPr>
          <w:sz w:val="22"/>
          <w:szCs w:val="22"/>
        </w:rPr>
        <w:t xml:space="preserve"> znižovať a zvyčajne nevedú k ukončeniu liečby.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 xml:space="preserve">Nežiaduce reakcie </w:t>
      </w:r>
      <w:r w:rsidR="007A089E" w:rsidRPr="0027277C">
        <w:rPr>
          <w:sz w:val="22"/>
          <w:szCs w:val="22"/>
        </w:rPr>
        <w:t xml:space="preserve">na liek </w:t>
      </w:r>
      <w:r w:rsidRPr="0027277C">
        <w:rPr>
          <w:sz w:val="22"/>
          <w:szCs w:val="22"/>
        </w:rPr>
        <w:t>sú uvedené nižšie podľa tried orgánových systémov a frekvencie.</w:t>
      </w:r>
      <w:r w:rsidR="00524C33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Frekvencie sú definované ako: veľmi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menej časté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Pr="0027277C">
        <w:rPr>
          <w:sz w:val="22"/>
          <w:szCs w:val="22"/>
        </w:rPr>
        <w:t xml:space="preserve"> 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zriedkavé (≥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7A089E" w:rsidRPr="0027277C">
        <w:rPr>
          <w:sz w:val="22"/>
          <w:szCs w:val="22"/>
        </w:rPr>
        <w:t xml:space="preserve"> až</w:t>
      </w:r>
      <w:r w:rsidR="00BB7640">
        <w:rPr>
          <w:sz w:val="22"/>
          <w:szCs w:val="22"/>
        </w:rPr>
        <w:t> </w:t>
      </w:r>
      <w:r w:rsidRPr="0027277C">
        <w:rPr>
          <w:sz w:val="22"/>
          <w:szCs w:val="22"/>
        </w:rPr>
        <w:t>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</w:t>
      </w:r>
      <w:r w:rsidRPr="0027277C">
        <w:rPr>
          <w:sz w:val="22"/>
          <w:szCs w:val="22"/>
        </w:rPr>
        <w:t xml:space="preserve"> veľmi zriedkavé (&lt;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1/10</w:t>
      </w:r>
      <w:r w:rsidR="00524C33">
        <w:rPr>
          <w:sz w:val="22"/>
          <w:szCs w:val="22"/>
        </w:rPr>
        <w:t> </w:t>
      </w:r>
      <w:r w:rsidRPr="0027277C">
        <w:rPr>
          <w:sz w:val="22"/>
          <w:szCs w:val="22"/>
        </w:rPr>
        <w:t>000)</w:t>
      </w:r>
      <w:r w:rsidR="00524C33">
        <w:rPr>
          <w:sz w:val="22"/>
          <w:szCs w:val="22"/>
        </w:rPr>
        <w:t>; neznáme (z dostupných údajov)</w:t>
      </w:r>
      <w:r w:rsidRPr="0027277C">
        <w:rPr>
          <w:sz w:val="22"/>
          <w:szCs w:val="22"/>
        </w:rPr>
        <w:t>.</w:t>
      </w:r>
    </w:p>
    <w:p w14:paraId="32DF79F3" w14:textId="77777777" w:rsidR="00140CF8" w:rsidRPr="0027277C" w:rsidRDefault="00140CF8" w:rsidP="0027277C">
      <w:pPr>
        <w:rPr>
          <w:sz w:val="22"/>
          <w:szCs w:val="22"/>
        </w:rPr>
      </w:pPr>
    </w:p>
    <w:p w14:paraId="425631B3" w14:textId="77777777" w:rsidR="00140CF8" w:rsidRPr="006035A0" w:rsidRDefault="001B1724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 xml:space="preserve"> krvi a lymfatického systému</w:t>
      </w:r>
    </w:p>
    <w:p w14:paraId="7FBD725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abnormálne krvácanie, predovšetkým do kože a slizníc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vrátane </w:t>
      </w:r>
      <w:r w:rsidRPr="0027277C">
        <w:rPr>
          <w:rFonts w:ascii="Times New Roman" w:hAnsi="Times New Roman"/>
          <w:color w:val="auto"/>
          <w:sz w:val="22"/>
          <w:szCs w:val="22"/>
        </w:rPr>
        <w:t>ekchymózy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 a gynekologického krvácania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21D9984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Veľmi zriedkavé: trombocytopénia.</w:t>
      </w:r>
    </w:p>
    <w:p w14:paraId="33B2C543" w14:textId="77777777" w:rsidR="00140CF8" w:rsidRPr="0027277C" w:rsidRDefault="00140CF8" w:rsidP="0027277C">
      <w:pPr>
        <w:rPr>
          <w:sz w:val="22"/>
          <w:szCs w:val="22"/>
          <w:highlight w:val="yellow"/>
        </w:rPr>
      </w:pPr>
    </w:p>
    <w:p w14:paraId="6C467866" w14:textId="77777777" w:rsidR="00140CF8" w:rsidRPr="006035A0" w:rsidRDefault="005C11A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Poruchy imunitného systému</w:t>
      </w:r>
    </w:p>
    <w:p w14:paraId="6685D1D2" w14:textId="3F623338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závažné a potenciálne fatálne </w:t>
      </w:r>
      <w:r w:rsidRPr="0027277C">
        <w:rPr>
          <w:rFonts w:ascii="Times New Roman" w:hAnsi="Times New Roman"/>
          <w:color w:val="auto"/>
          <w:sz w:val="22"/>
          <w:szCs w:val="22"/>
        </w:rPr>
        <w:t>alergické reakcie (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vrátane anafylaktoidných reakcií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a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angioedém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u</w:t>
      </w:r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36CF4D5E" w14:textId="77777777" w:rsidR="00140CF8" w:rsidRPr="0027277C" w:rsidRDefault="00140CF8" w:rsidP="0027277C">
      <w:pPr>
        <w:rPr>
          <w:sz w:val="22"/>
          <w:szCs w:val="22"/>
        </w:rPr>
      </w:pPr>
    </w:p>
    <w:p w14:paraId="49D7CE17" w14:textId="77777777" w:rsidR="00140CF8" w:rsidRPr="006035A0" w:rsidRDefault="005C11AF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Poruchy endokrinného systému</w:t>
      </w:r>
    </w:p>
    <w:p w14:paraId="770A120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syndróm neprimeranej sekrécie antidiuretického hormónu (SI</w:t>
      </w:r>
      <w:smartTag w:uri="schemas-GSKSiteLocations-com/fourthcoffee" w:element="flavor">
        <w:r w:rsidRPr="0027277C">
          <w:rPr>
            <w:rFonts w:ascii="Times New Roman" w:hAnsi="Times New Roman"/>
            <w:color w:val="auto"/>
            <w:sz w:val="22"/>
            <w:szCs w:val="22"/>
          </w:rPr>
          <w:t>ADH</w:t>
        </w:r>
      </w:smartTag>
      <w:r w:rsidRPr="0027277C">
        <w:rPr>
          <w:rFonts w:ascii="Times New Roman" w:hAnsi="Times New Roman"/>
          <w:color w:val="auto"/>
          <w:sz w:val="22"/>
          <w:szCs w:val="22"/>
        </w:rPr>
        <w:t>).</w:t>
      </w:r>
    </w:p>
    <w:p w14:paraId="5861C5C5" w14:textId="77777777" w:rsidR="00140CF8" w:rsidRPr="0027277C" w:rsidRDefault="00140CF8" w:rsidP="0027277C">
      <w:pPr>
        <w:rPr>
          <w:sz w:val="22"/>
          <w:szCs w:val="22"/>
        </w:rPr>
      </w:pPr>
    </w:p>
    <w:p w14:paraId="39ECF7E6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 metabolizmu a výživy</w:t>
      </w:r>
    </w:p>
    <w:p w14:paraId="52EF0A85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Časté: </w:t>
      </w:r>
      <w:r w:rsidR="00F26895" w:rsidRPr="0027277C">
        <w:rPr>
          <w:sz w:val="22"/>
          <w:szCs w:val="22"/>
        </w:rPr>
        <w:t xml:space="preserve">zvýšené hladiny cholesterolu, </w:t>
      </w:r>
      <w:r w:rsidRPr="0027277C">
        <w:rPr>
          <w:sz w:val="22"/>
          <w:szCs w:val="22"/>
        </w:rPr>
        <w:t>znížená chuť do jedla.</w:t>
      </w:r>
    </w:p>
    <w:p w14:paraId="37737399" w14:textId="2A16655F" w:rsidR="00B3215F" w:rsidRPr="0027277C" w:rsidRDefault="00B3215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Menej časté: </w:t>
      </w:r>
      <w:r w:rsidR="00975335" w:rsidRPr="0027277C">
        <w:rPr>
          <w:sz w:val="22"/>
          <w:szCs w:val="22"/>
        </w:rPr>
        <w:t xml:space="preserve">zmena kontroly glykémie </w:t>
      </w:r>
      <w:r w:rsidRPr="0027277C">
        <w:rPr>
          <w:sz w:val="22"/>
          <w:szCs w:val="22"/>
        </w:rPr>
        <w:t>hlásená u pacientov s diabetom (pozri časť 4.4)</w:t>
      </w:r>
      <w:r w:rsidR="00BB7640">
        <w:rPr>
          <w:sz w:val="22"/>
          <w:szCs w:val="22"/>
        </w:rPr>
        <w:t>.</w:t>
      </w:r>
    </w:p>
    <w:p w14:paraId="632681E8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hyponatrémia.</w:t>
      </w:r>
    </w:p>
    <w:p w14:paraId="57528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Hyponatrémia bola hlásená predovšetkým u starších pacientov a niekedy je dôsledkom syndrómu neprimeranej sekrécie antidiuretického hormónu (SI</w:t>
      </w:r>
      <w:smartTag w:uri="schemas-GSKSiteLocations-com/fourthcoffee" w:element="flavor">
        <w:r w:rsidRPr="0027277C">
          <w:rPr>
            <w:sz w:val="22"/>
            <w:szCs w:val="22"/>
          </w:rPr>
          <w:t>ADH</w:t>
        </w:r>
      </w:smartTag>
      <w:r w:rsidRPr="0027277C">
        <w:rPr>
          <w:sz w:val="22"/>
          <w:szCs w:val="22"/>
        </w:rPr>
        <w:t>).</w:t>
      </w:r>
    </w:p>
    <w:p w14:paraId="14E507EF" w14:textId="77777777" w:rsidR="00140CF8" w:rsidRPr="0027277C" w:rsidRDefault="00140CF8" w:rsidP="0027277C">
      <w:pPr>
        <w:rPr>
          <w:sz w:val="22"/>
          <w:szCs w:val="22"/>
        </w:rPr>
      </w:pPr>
    </w:p>
    <w:p w14:paraId="316E11D9" w14:textId="3553C782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Psych</w:t>
      </w:r>
      <w:r w:rsidR="004C649B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ické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 xml:space="preserve"> poruchy</w:t>
      </w:r>
    </w:p>
    <w:p w14:paraId="66AF8A3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Časté: somnolencia, insomnia</w:t>
      </w:r>
      <w:r w:rsidR="00EA7AB7" w:rsidRPr="0027277C">
        <w:rPr>
          <w:sz w:val="22"/>
          <w:szCs w:val="22"/>
        </w:rPr>
        <w:t>, agitovanosť</w:t>
      </w:r>
      <w:r w:rsidR="00565D4A" w:rsidRPr="0027277C">
        <w:rPr>
          <w:sz w:val="22"/>
          <w:szCs w:val="22"/>
        </w:rPr>
        <w:t>, ab</w:t>
      </w:r>
      <w:r w:rsidR="00FC7331" w:rsidRPr="0027277C">
        <w:rPr>
          <w:sz w:val="22"/>
          <w:szCs w:val="22"/>
        </w:rPr>
        <w:t>normálne sny (vrátane nočných mô</w:t>
      </w:r>
      <w:r w:rsidR="00565D4A" w:rsidRPr="0027277C">
        <w:rPr>
          <w:sz w:val="22"/>
          <w:szCs w:val="22"/>
        </w:rPr>
        <w:t>r).</w:t>
      </w:r>
    </w:p>
    <w:p w14:paraId="7757799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Menej časté: zmätenosť, halucinácie.</w:t>
      </w:r>
    </w:p>
    <w:p w14:paraId="71E156FF" w14:textId="64F4A08D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Zriedkavé: manické reakcie, úzkosť, depersonalizácia, záchvaty paniky, akatízia (pozri časť</w:t>
      </w:r>
      <w:r w:rsidR="000A748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6CD36241" w14:textId="77777777" w:rsidR="000A7489" w:rsidRPr="0027277C" w:rsidRDefault="00B60625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Ne</w:t>
      </w:r>
      <w:r w:rsidR="000A7489" w:rsidRPr="0027277C">
        <w:rPr>
          <w:sz w:val="22"/>
          <w:szCs w:val="22"/>
        </w:rPr>
        <w:t>znám</w:t>
      </w:r>
      <w:r w:rsidRPr="0027277C">
        <w:rPr>
          <w:sz w:val="22"/>
          <w:szCs w:val="22"/>
        </w:rPr>
        <w:t>e</w:t>
      </w:r>
      <w:r w:rsidR="000A7489" w:rsidRPr="0027277C">
        <w:rPr>
          <w:sz w:val="22"/>
          <w:szCs w:val="22"/>
        </w:rPr>
        <w:t>: myšlienky na samovraždu</w:t>
      </w:r>
      <w:r w:rsidR="00084117" w:rsidRPr="0027277C">
        <w:rPr>
          <w:sz w:val="22"/>
          <w:szCs w:val="22"/>
        </w:rPr>
        <w:t>,</w:t>
      </w:r>
      <w:r w:rsidR="000A7489" w:rsidRPr="0027277C">
        <w:rPr>
          <w:sz w:val="22"/>
          <w:szCs w:val="22"/>
        </w:rPr>
        <w:t xml:space="preserve"> samovraždné správanie</w:t>
      </w:r>
      <w:r w:rsidR="00084117" w:rsidRPr="0027277C">
        <w:rPr>
          <w:sz w:val="22"/>
          <w:szCs w:val="22"/>
        </w:rPr>
        <w:t>, agresi</w:t>
      </w:r>
      <w:r w:rsidR="000C47A6" w:rsidRPr="0027277C">
        <w:rPr>
          <w:sz w:val="22"/>
          <w:szCs w:val="22"/>
        </w:rPr>
        <w:t>vita</w:t>
      </w:r>
      <w:r w:rsidR="00262576" w:rsidRPr="0027277C">
        <w:rPr>
          <w:sz w:val="22"/>
          <w:szCs w:val="22"/>
        </w:rPr>
        <w:t>, bruxizmus</w:t>
      </w:r>
      <w:r w:rsidR="000A7489" w:rsidRPr="0027277C">
        <w:rPr>
          <w:sz w:val="22"/>
          <w:szCs w:val="22"/>
        </w:rPr>
        <w:t>.</w:t>
      </w:r>
    </w:p>
    <w:p w14:paraId="70AF9FDF" w14:textId="77777777" w:rsidR="00E4631D" w:rsidRDefault="00E4631D" w:rsidP="005549F8">
      <w:pPr>
        <w:rPr>
          <w:sz w:val="22"/>
          <w:szCs w:val="22"/>
        </w:rPr>
      </w:pPr>
    </w:p>
    <w:p w14:paraId="70534FBE" w14:textId="42F182EB" w:rsidR="000A7489" w:rsidRPr="0027277C" w:rsidRDefault="00B16D00" w:rsidP="005549F8">
      <w:pPr>
        <w:rPr>
          <w:sz w:val="22"/>
          <w:szCs w:val="22"/>
          <w:lang w:val="cs-CZ"/>
        </w:rPr>
      </w:pPr>
      <w:r w:rsidRPr="0027277C">
        <w:rPr>
          <w:sz w:val="22"/>
          <w:szCs w:val="22"/>
        </w:rPr>
        <w:t xml:space="preserve">Prípady suicidálnych myšlienok a suicidálneho správania boli hlásené počas liečby alebo skoro po ukončení liečby paroxetínom </w:t>
      </w:r>
      <w:r w:rsidR="000A7489" w:rsidRPr="0027277C">
        <w:rPr>
          <w:sz w:val="22"/>
          <w:szCs w:val="22"/>
          <w:lang w:val="cs-CZ"/>
        </w:rPr>
        <w:t>(pozri časť 4.4).</w:t>
      </w:r>
    </w:p>
    <w:p w14:paraId="411B49F5" w14:textId="77777777" w:rsidR="00084117" w:rsidRPr="0027277C" w:rsidRDefault="00E90A99" w:rsidP="0027277C">
      <w:pPr>
        <w:jc w:val="both"/>
        <w:rPr>
          <w:sz w:val="22"/>
          <w:szCs w:val="22"/>
          <w:lang w:val="cs-CZ"/>
        </w:rPr>
      </w:pPr>
      <w:r w:rsidRPr="0027277C">
        <w:rPr>
          <w:sz w:val="22"/>
          <w:szCs w:val="22"/>
          <w:lang w:val="cs-CZ"/>
        </w:rPr>
        <w:t>Po uvedení lieku na trh sa pozorovali prípady agresivity.</w:t>
      </w:r>
    </w:p>
    <w:p w14:paraId="4EF11A90" w14:textId="77777777" w:rsidR="00084117" w:rsidRPr="0027277C" w:rsidRDefault="00084117" w:rsidP="0027277C">
      <w:pPr>
        <w:jc w:val="both"/>
        <w:rPr>
          <w:sz w:val="22"/>
          <w:szCs w:val="22"/>
          <w:lang w:val="cs-CZ"/>
        </w:rPr>
      </w:pPr>
    </w:p>
    <w:p w14:paraId="1294E8F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Tieto symptómy môžu byť aj dôsledkom základného ochorenia.</w:t>
      </w:r>
    </w:p>
    <w:p w14:paraId="75BB3A94" w14:textId="77777777" w:rsidR="00140CF8" w:rsidRPr="0027277C" w:rsidRDefault="00140CF8" w:rsidP="0027277C">
      <w:pPr>
        <w:rPr>
          <w:sz w:val="22"/>
          <w:szCs w:val="22"/>
        </w:rPr>
      </w:pPr>
    </w:p>
    <w:p w14:paraId="2AC32598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Poruchy nervového systému</w:t>
      </w:r>
    </w:p>
    <w:p w14:paraId="1B860C5E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závraty, tremor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bolesť hlavy</w:t>
      </w:r>
      <w:r w:rsidR="008E5F45" w:rsidRPr="0027277C">
        <w:rPr>
          <w:rFonts w:ascii="Times New Roman" w:hAnsi="Times New Roman"/>
          <w:color w:val="auto"/>
          <w:sz w:val="22"/>
          <w:szCs w:val="22"/>
        </w:rPr>
        <w:t xml:space="preserve">, </w:t>
      </w:r>
      <w:r w:rsidR="00881E45" w:rsidRPr="0027277C">
        <w:rPr>
          <w:rFonts w:ascii="Times New Roman" w:hAnsi="Times New Roman"/>
          <w:color w:val="auto"/>
          <w:sz w:val="22"/>
          <w:szCs w:val="22"/>
        </w:rPr>
        <w:t>zhoršená koncentrácia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009524F4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Menej časté: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extrapyramídové </w:t>
      </w:r>
      <w:r w:rsidRPr="0027277C">
        <w:rPr>
          <w:rFonts w:ascii="Times New Roman" w:hAnsi="Times New Roman"/>
          <w:color w:val="auto"/>
          <w:sz w:val="22"/>
          <w:szCs w:val="22"/>
        </w:rPr>
        <w:t>poruchy.</w:t>
      </w:r>
    </w:p>
    <w:p w14:paraId="74B75DF5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Zriedkavé: kŕče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>, syndróm nepokojných nôh (SNN)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399C7E7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AC42D8" w:rsidRPr="0027277C">
        <w:rPr>
          <w:rFonts w:ascii="Times New Roman" w:hAnsi="Times New Roman"/>
          <w:color w:val="auto"/>
          <w:sz w:val="22"/>
          <w:szCs w:val="22"/>
        </w:rPr>
        <w:t>séroton</w:t>
      </w:r>
      <w:r w:rsidRPr="0027277C">
        <w:rPr>
          <w:rFonts w:ascii="Times New Roman" w:hAnsi="Times New Roman"/>
          <w:color w:val="auto"/>
          <w:sz w:val="22"/>
          <w:szCs w:val="22"/>
        </w:rPr>
        <w:t>ínový syndróm (symptómy môžu zahŕňať agitovanosť, zmätenosť, diaforézu, halucinácie, hyperreflexiu, myoklóniu,</w:t>
      </w:r>
      <w:r w:rsidR="0074268A" w:rsidRPr="0027277C">
        <w:rPr>
          <w:rFonts w:ascii="Times New Roman" w:hAnsi="Times New Roman"/>
          <w:color w:val="auto"/>
          <w:sz w:val="22"/>
          <w:szCs w:val="22"/>
        </w:rPr>
        <w:t xml:space="preserve"> chvenie</w:t>
      </w:r>
      <w:r w:rsidRPr="0027277C">
        <w:rPr>
          <w:rFonts w:ascii="Times New Roman" w:hAnsi="Times New Roman"/>
          <w:color w:val="auto"/>
          <w:sz w:val="22"/>
          <w:szCs w:val="22"/>
        </w:rPr>
        <w:t>, tachykardiu a tremor).</w:t>
      </w:r>
    </w:p>
    <w:p w14:paraId="43AD317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Hlásenia o </w:t>
      </w:r>
      <w:r w:rsidR="00AC67C1" w:rsidRPr="0027277C">
        <w:rPr>
          <w:rFonts w:ascii="Times New Roman" w:hAnsi="Times New Roman"/>
          <w:color w:val="auto"/>
          <w:sz w:val="22"/>
          <w:szCs w:val="22"/>
        </w:rPr>
        <w:t xml:space="preserve">extrapyramídovej </w:t>
      </w:r>
      <w:r w:rsidRPr="0027277C">
        <w:rPr>
          <w:rFonts w:ascii="Times New Roman" w:hAnsi="Times New Roman"/>
          <w:color w:val="auto"/>
          <w:sz w:val="22"/>
          <w:szCs w:val="22"/>
        </w:rPr>
        <w:t>poruche zah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ŕ</w:t>
      </w:r>
      <w:r w:rsidRPr="0027277C">
        <w:rPr>
          <w:rFonts w:ascii="Times New Roman" w:hAnsi="Times New Roman"/>
          <w:color w:val="auto"/>
          <w:sz w:val="22"/>
          <w:szCs w:val="22"/>
        </w:rPr>
        <w:t>ň</w:t>
      </w:r>
      <w:r w:rsidR="00B16D00" w:rsidRPr="0027277C">
        <w:rPr>
          <w:rFonts w:ascii="Times New Roman" w:hAnsi="Times New Roman"/>
          <w:color w:val="auto"/>
          <w:sz w:val="22"/>
          <w:szCs w:val="22"/>
        </w:rPr>
        <w:t>a</w:t>
      </w:r>
      <w:r w:rsidRPr="0027277C">
        <w:rPr>
          <w:rFonts w:ascii="Times New Roman" w:hAnsi="Times New Roman"/>
          <w:color w:val="auto"/>
          <w:sz w:val="22"/>
          <w:szCs w:val="22"/>
        </w:rPr>
        <w:t>júcej orofaciálnu dystóniu boli získané od pacientov niekedy so základnými pohybovými poruchami alebo u tých, ktor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í používali neuroleptický liek.</w:t>
      </w:r>
    </w:p>
    <w:p w14:paraId="32375AA2" w14:textId="77777777" w:rsidR="00CA72B3" w:rsidRPr="006035A0" w:rsidRDefault="00CA72B3" w:rsidP="006035A0">
      <w:pPr>
        <w:pStyle w:val="Zkladntext3"/>
        <w:rPr>
          <w:rFonts w:ascii="Times New Roman" w:hAnsi="Times New Roman"/>
          <w:bCs/>
          <w:color w:val="auto"/>
          <w:sz w:val="22"/>
          <w:szCs w:val="22"/>
        </w:rPr>
      </w:pPr>
    </w:p>
    <w:p w14:paraId="664E8015" w14:textId="77777777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oka</w:t>
      </w:r>
    </w:p>
    <w:p w14:paraId="6C94A32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rozmazané videnie.</w:t>
      </w:r>
    </w:p>
    <w:p w14:paraId="1D4332B5" w14:textId="46385C5E" w:rsidR="002966D8" w:rsidRPr="0027277C" w:rsidRDefault="002966D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mydriáza (pozri časť 4.4)</w:t>
      </w:r>
      <w:r w:rsidR="00BB7640">
        <w:rPr>
          <w:rFonts w:ascii="Times New Roman" w:hAnsi="Times New Roman"/>
          <w:color w:val="auto"/>
          <w:sz w:val="22"/>
          <w:szCs w:val="22"/>
        </w:rPr>
        <w:t>.</w:t>
      </w:r>
    </w:p>
    <w:p w14:paraId="35FD1E33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akútny glaukóm.</w:t>
      </w:r>
    </w:p>
    <w:p w14:paraId="4A7C5934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F76EF18" w14:textId="0423D688" w:rsidR="00307684" w:rsidRPr="006035A0" w:rsidRDefault="001B1724" w:rsidP="0027277C">
      <w:pPr>
        <w:pStyle w:val="Zkladntext3"/>
        <w:rPr>
          <w:rFonts w:ascii="Times New Roman" w:hAnsi="Times New Roman"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color w:val="auto"/>
          <w:sz w:val="22"/>
          <w:szCs w:val="22"/>
          <w:u w:val="single"/>
        </w:rPr>
        <w:t>Poruchy</w:t>
      </w:r>
      <w:r w:rsidR="00307684" w:rsidRPr="006035A0">
        <w:rPr>
          <w:rFonts w:ascii="Times New Roman" w:hAnsi="Times New Roman"/>
          <w:color w:val="auto"/>
          <w:sz w:val="22"/>
          <w:szCs w:val="22"/>
          <w:u w:val="single"/>
        </w:rPr>
        <w:t xml:space="preserve"> ucha a</w:t>
      </w:r>
      <w:r w:rsidR="00BB7640" w:rsidRPr="006035A0">
        <w:rPr>
          <w:rFonts w:ascii="Times New Roman" w:hAnsi="Times New Roman"/>
          <w:color w:val="auto"/>
          <w:sz w:val="22"/>
          <w:szCs w:val="22"/>
          <w:u w:val="single"/>
        </w:rPr>
        <w:t> </w:t>
      </w:r>
      <w:r w:rsidR="008B5FF9" w:rsidRPr="006035A0">
        <w:rPr>
          <w:rFonts w:ascii="Times New Roman" w:hAnsi="Times New Roman"/>
          <w:color w:val="auto"/>
          <w:sz w:val="22"/>
          <w:szCs w:val="22"/>
          <w:u w:val="single"/>
        </w:rPr>
        <w:t>labyrintu</w:t>
      </w:r>
    </w:p>
    <w:p w14:paraId="30BF1EF9" w14:textId="77777777" w:rsidR="00307684" w:rsidRPr="0027277C" w:rsidRDefault="00B60625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N</w:t>
      </w:r>
      <w:r w:rsidR="00555234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znám</w:t>
      </w:r>
      <w:r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: tinitus.</w:t>
      </w:r>
    </w:p>
    <w:p w14:paraId="2F13F33A" w14:textId="77777777" w:rsidR="00307684" w:rsidRPr="0027277C" w:rsidRDefault="0030768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B66B776" w14:textId="259EC02A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srdca 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srdcovej činnosti</w:t>
      </w:r>
    </w:p>
    <w:p w14:paraId="1E98F6F9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sínusová tachykardia.</w:t>
      </w:r>
    </w:p>
    <w:p w14:paraId="6D475E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>é</w:t>
      </w:r>
      <w:r w:rsidRPr="0027277C">
        <w:rPr>
          <w:rFonts w:ascii="Times New Roman" w:hAnsi="Times New Roman"/>
          <w:color w:val="auto"/>
          <w:sz w:val="22"/>
          <w:szCs w:val="22"/>
        </w:rPr>
        <w:t>: bradykardia</w:t>
      </w:r>
      <w:r w:rsidR="001E716D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5FDC5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39173BD" w14:textId="77777777" w:rsidR="00140CF8" w:rsidRPr="006035A0" w:rsidRDefault="00F16E66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oruchy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ciev</w:t>
      </w:r>
    </w:p>
    <w:p w14:paraId="0E12039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prechodné zvýšenie alebo zníženie krvného tlaku</w:t>
      </w:r>
      <w:r w:rsidR="002966D8" w:rsidRPr="0027277C">
        <w:rPr>
          <w:rFonts w:ascii="Times New Roman" w:hAnsi="Times New Roman"/>
          <w:color w:val="auto"/>
          <w:sz w:val="22"/>
          <w:szCs w:val="22"/>
        </w:rPr>
        <w:t>, posturálna hypotenzia</w:t>
      </w:r>
      <w:r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64214B5D" w14:textId="70C5E462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 liečbe paroxetínom bolo hlásené prechodné zvýšenie alebo zníženie krvného tlaku, zvyčajne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pacientov, u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ktorých už existovala hypertenzia alebo úzkosť.</w:t>
      </w:r>
    </w:p>
    <w:p w14:paraId="6C552ADD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A5A58B3" w14:textId="77C53D45" w:rsidR="00140CF8" w:rsidRPr="006035A0" w:rsidRDefault="001B1724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dýchacej sústavy, hrudníka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mediastína</w:t>
      </w:r>
    </w:p>
    <w:p w14:paraId="17097A9C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zívanie.</w:t>
      </w:r>
    </w:p>
    <w:p w14:paraId="61B17342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6F9F9AD8" w14:textId="77777777" w:rsidR="00140CF8" w:rsidRPr="006035A0" w:rsidRDefault="008B5FF9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g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astrointestinálne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ho traktu</w:t>
      </w:r>
    </w:p>
    <w:p w14:paraId="59043193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nauzea.</w:t>
      </w:r>
    </w:p>
    <w:p w14:paraId="10EEBDD4" w14:textId="3604723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Časté: zápcha, hnačka, </w:t>
      </w:r>
      <w:r w:rsidR="00565D4A" w:rsidRPr="0027277C">
        <w:rPr>
          <w:rFonts w:ascii="Times New Roman" w:hAnsi="Times New Roman"/>
          <w:color w:val="auto"/>
          <w:sz w:val="22"/>
          <w:szCs w:val="22"/>
        </w:rPr>
        <w:t xml:space="preserve">vracanie, </w:t>
      </w:r>
      <w:r w:rsidRPr="0027277C">
        <w:rPr>
          <w:rFonts w:ascii="Times New Roman" w:hAnsi="Times New Roman"/>
          <w:color w:val="auto"/>
          <w:sz w:val="22"/>
          <w:szCs w:val="22"/>
        </w:rPr>
        <w:t>sucho v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ústach.</w:t>
      </w:r>
    </w:p>
    <w:p w14:paraId="31F5374C" w14:textId="0C6ED0A2" w:rsidR="00140CF8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gastrointestinálne krvácanie.</w:t>
      </w:r>
    </w:p>
    <w:p w14:paraId="12468802" w14:textId="3DC95C44" w:rsidR="00A673A7" w:rsidRPr="0027277C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Neznáme: mikroskopická kolitída.</w:t>
      </w:r>
    </w:p>
    <w:p w14:paraId="27572AD0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6123CFC" w14:textId="0261A46D" w:rsidR="00140CF8" w:rsidRPr="006035A0" w:rsidRDefault="001B1724" w:rsidP="0027277C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pečene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žlčových ciest</w:t>
      </w:r>
    </w:p>
    <w:p w14:paraId="14BA7E12" w14:textId="77777777" w:rsidR="00140CF8" w:rsidRPr="0027277C" w:rsidRDefault="00140CF8" w:rsidP="0027277C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vzostup hladiny pečeňových enzýmov.</w:t>
      </w:r>
    </w:p>
    <w:p w14:paraId="518328F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poruchy pečene (ako je hepatitída, niekedy spojená so žltačkou a/alebo zlyhaním pečene).</w:t>
      </w:r>
    </w:p>
    <w:p w14:paraId="2FC68C6E" w14:textId="00BF472C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Hlásený bol vzostup hladiny pečeňových enzýmov. Veľmi zriedkavo boli získané aj postmarketingové hlásenia o</w:t>
      </w:r>
      <w:r w:rsidR="00BB7640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poruchách pečene (ako je hepatitída, niekedy spojená so žltačkou a/alebo zlyhaním pečene). </w:t>
      </w:r>
      <w:r w:rsidR="00B60625"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Pr="0027277C">
        <w:rPr>
          <w:rFonts w:ascii="Times New Roman" w:hAnsi="Times New Roman"/>
          <w:color w:val="auto"/>
          <w:sz w:val="22"/>
          <w:szCs w:val="22"/>
        </w:rPr>
        <w:t>podávania paroxetínu sa musí zvážiť vtedy, ak sú výsledky funkčných testov pečene dlhodobo zvýšené.</w:t>
      </w:r>
    </w:p>
    <w:p w14:paraId="6F061A7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8335F5D" w14:textId="451A1DCE" w:rsidR="00140CF8" w:rsidRPr="006035A0" w:rsidRDefault="00140CF8" w:rsidP="0027277C">
      <w:pPr>
        <w:pStyle w:val="Zkladntext3"/>
        <w:jc w:val="both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</w:t>
      </w:r>
      <w:r w:rsidR="005C11AF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ruchy kože a</w:t>
      </w:r>
      <w:r w:rsidR="00BB7640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 </w:t>
      </w:r>
      <w:r w:rsidR="005C11AF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podkožného tkaniva</w:t>
      </w:r>
    </w:p>
    <w:p w14:paraId="45DE5BE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potenie.</w:t>
      </w:r>
    </w:p>
    <w:p w14:paraId="7E78CD6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ekzantém, pruritus.</w:t>
      </w:r>
    </w:p>
    <w:p w14:paraId="7B6D3831" w14:textId="72D783CD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Veľmi zriedkavé: 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>závažné nežiaduce reakcie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 xml:space="preserve"> na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kož</w:t>
      </w:r>
      <w:r w:rsidR="00ED52BC" w:rsidRPr="0027277C">
        <w:rPr>
          <w:rFonts w:ascii="Times New Roman" w:hAnsi="Times New Roman"/>
          <w:color w:val="auto"/>
          <w:sz w:val="22"/>
          <w:szCs w:val="22"/>
        </w:rPr>
        <w:t>i</w:t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 (zahŕňajúce multiformný erytém, Stevensov</w:t>
      </w:r>
      <w:r w:rsidR="00BB7640">
        <w:rPr>
          <w:rFonts w:ascii="Times New Roman" w:hAnsi="Times New Roman"/>
          <w:color w:val="auto"/>
          <w:sz w:val="22"/>
          <w:szCs w:val="22"/>
        </w:rPr>
        <w:noBreakHyphen/>
      </w:r>
      <w:r w:rsidR="00505B3C" w:rsidRPr="0027277C">
        <w:rPr>
          <w:rFonts w:ascii="Times New Roman" w:hAnsi="Times New Roman"/>
          <w:color w:val="auto"/>
          <w:sz w:val="22"/>
          <w:szCs w:val="22"/>
        </w:rPr>
        <w:t xml:space="preserve">Johnsonov syndróm a toxickú epidermálnu nekrolýzu), 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 xml:space="preserve">urtikária, </w:t>
      </w:r>
      <w:r w:rsidRPr="0027277C">
        <w:rPr>
          <w:rFonts w:ascii="Times New Roman" w:hAnsi="Times New Roman"/>
          <w:color w:val="auto"/>
          <w:sz w:val="22"/>
          <w:szCs w:val="22"/>
        </w:rPr>
        <w:t>fotosenzitívne reakcie.</w:t>
      </w:r>
    </w:p>
    <w:p w14:paraId="2811A42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7D3BC8B" w14:textId="77777777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obličiek a močov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ých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ciest</w:t>
      </w:r>
    </w:p>
    <w:p w14:paraId="20F4FFCF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zadržiavanie moču</w:t>
      </w:r>
      <w:r w:rsidR="00307684" w:rsidRPr="0027277C">
        <w:rPr>
          <w:rFonts w:ascii="Times New Roman" w:hAnsi="Times New Roman"/>
          <w:color w:val="auto"/>
          <w:sz w:val="22"/>
          <w:szCs w:val="22"/>
        </w:rPr>
        <w:t>, inkontinencia moču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.</w:t>
      </w:r>
    </w:p>
    <w:p w14:paraId="72065D78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793CCA6A" w14:textId="77777777" w:rsidR="00140CF8" w:rsidRPr="006035A0" w:rsidRDefault="001B1724" w:rsidP="005549F8">
      <w:pPr>
        <w:pStyle w:val="Zkladntext3"/>
        <w:keepNext/>
        <w:keepLines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="00140CF8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reprodukčného systému a prsníkov</w:t>
      </w:r>
    </w:p>
    <w:p w14:paraId="2C2E2E3C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časté: sexuálna dysfunkcia.</w:t>
      </w:r>
    </w:p>
    <w:p w14:paraId="02B072AA" w14:textId="47DFC1F8" w:rsidR="00140CF8" w:rsidRPr="0027277C" w:rsidRDefault="00140CF8" w:rsidP="002F37A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hyperprolaktinémia/galaktorea</w:t>
      </w:r>
      <w:r w:rsidR="00B3215F" w:rsidRPr="0027277C">
        <w:rPr>
          <w:rFonts w:ascii="Times New Roman" w:hAnsi="Times New Roman"/>
          <w:color w:val="auto"/>
          <w:sz w:val="22"/>
          <w:szCs w:val="22"/>
        </w:rPr>
        <w:t>, poruchy menštruácie (vrátane menorágie, metrorágie, amenorey, oneskorená menštruácia a nepravidelná menštruácia).</w:t>
      </w:r>
    </w:p>
    <w:p w14:paraId="462BA672" w14:textId="2C7D0029" w:rsidR="00140CF8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lastRenderedPageBreak/>
        <w:t>Veľmi zriedkavé: priapizmus.</w:t>
      </w:r>
    </w:p>
    <w:p w14:paraId="527BFFA2" w14:textId="7B3C6AAC" w:rsidR="00E4631D" w:rsidRDefault="00E4631D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Neznáme: popôrodné krvácanie</w:t>
      </w:r>
      <w:r w:rsidR="0033657E">
        <w:t>*</w:t>
      </w:r>
    </w:p>
    <w:p w14:paraId="016363CB" w14:textId="2B6FEB5B" w:rsidR="00E4631D" w:rsidRPr="0027277C" w:rsidRDefault="0033657E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>
        <w:t>*</w:t>
      </w:r>
      <w:r w:rsidRPr="0033657E">
        <w:rPr>
          <w:rFonts w:ascii="Times New Roman" w:hAnsi="Times New Roman"/>
          <w:color w:val="auto"/>
          <w:sz w:val="22"/>
          <w:szCs w:val="22"/>
        </w:rPr>
        <w:t xml:space="preserve">Táto udalosť bola hlásená pre </w:t>
      </w:r>
      <w:r w:rsidR="00E4631D">
        <w:rPr>
          <w:rFonts w:ascii="Times New Roman" w:hAnsi="Times New Roman"/>
          <w:color w:val="auto"/>
          <w:sz w:val="22"/>
          <w:szCs w:val="22"/>
        </w:rPr>
        <w:t> terapeutick</w:t>
      </w:r>
      <w:r>
        <w:rPr>
          <w:rFonts w:ascii="Times New Roman" w:hAnsi="Times New Roman"/>
          <w:color w:val="auto"/>
          <w:sz w:val="22"/>
          <w:szCs w:val="22"/>
        </w:rPr>
        <w:t>ú</w:t>
      </w:r>
      <w:r w:rsidR="00E4631D">
        <w:rPr>
          <w:rFonts w:ascii="Times New Roman" w:hAnsi="Times New Roman"/>
          <w:color w:val="auto"/>
          <w:sz w:val="22"/>
          <w:szCs w:val="22"/>
        </w:rPr>
        <w:t xml:space="preserve"> skupinu SSRI/SNRI (pozri časti 4.4 a 4.6).</w:t>
      </w:r>
    </w:p>
    <w:p w14:paraId="139D3039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  <w:highlight w:val="yellow"/>
        </w:rPr>
      </w:pPr>
    </w:p>
    <w:p w14:paraId="104FA5CB" w14:textId="77777777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 kostrov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ej</w:t>
      </w:r>
      <w:r w:rsidR="00C42A72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 svalovej</w:t>
      </w:r>
      <w:r w:rsidR="008B5FF9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sústavy</w:t>
      </w:r>
      <w:r w:rsidR="00F16E66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 spojivového tkaniva</w:t>
      </w:r>
    </w:p>
    <w:p w14:paraId="5A98213B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Zriedkavé: artralgia, myalgia.</w:t>
      </w:r>
    </w:p>
    <w:p w14:paraId="193FAF06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B2A43CF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Epidemiologické štúdie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vykonané hlavne u pacientov vo veku 50 rokov a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starších</w:t>
      </w:r>
      <w:r w:rsidR="0034433D" w:rsidRPr="0027277C">
        <w:rPr>
          <w:rFonts w:ascii="Times New Roman" w:hAnsi="Times New Roman"/>
          <w:color w:val="auto"/>
          <w:sz w:val="22"/>
          <w:szCs w:val="22"/>
        </w:rPr>
        <w:t>,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9505A" w:rsidRPr="0027277C">
        <w:rPr>
          <w:rFonts w:ascii="Times New Roman" w:hAnsi="Times New Roman"/>
          <w:color w:val="auto"/>
          <w:sz w:val="22"/>
          <w:szCs w:val="22"/>
        </w:rPr>
        <w:t>potvrdzujú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zvýšené riziko fraktúr kostí u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pacientov</w:t>
      </w:r>
      <w:r w:rsidR="001D764F" w:rsidRPr="0027277C">
        <w:rPr>
          <w:rFonts w:ascii="Times New Roman" w:hAnsi="Times New Roman"/>
          <w:color w:val="auto"/>
          <w:sz w:val="22"/>
          <w:szCs w:val="22"/>
        </w:rPr>
        <w:t xml:space="preserve"> liečených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SSRI a TCA. Mechanizmus vedúci k tomuto riziku nie je známy.</w:t>
      </w:r>
    </w:p>
    <w:p w14:paraId="5F7832BD" w14:textId="77777777" w:rsidR="00EA4A8B" w:rsidRPr="0027277C" w:rsidRDefault="00EA4A8B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213F74FF" w14:textId="77777777" w:rsidR="00140CF8" w:rsidRPr="006035A0" w:rsidRDefault="00140CF8" w:rsidP="00CA72B3">
      <w:pPr>
        <w:pStyle w:val="Zkladntext3"/>
        <w:keepNext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Celkové </w:t>
      </w:r>
      <w:r w:rsidR="00866713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poruchy</w:t>
      </w: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 a reakcie v mieste podania</w:t>
      </w:r>
    </w:p>
    <w:p w14:paraId="1A78298A" w14:textId="77777777" w:rsidR="00140CF8" w:rsidRPr="0027277C" w:rsidRDefault="00140CF8" w:rsidP="00CA72B3">
      <w:pPr>
        <w:pStyle w:val="Zkladntext3"/>
        <w:keepNext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asténia, prírastok telesnej hmotnosti.</w:t>
      </w:r>
    </w:p>
    <w:p w14:paraId="0EDE50E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Veľmi zriedkavé: periférny edém.</w:t>
      </w:r>
    </w:p>
    <w:p w14:paraId="01D16EA1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A8DD461" w14:textId="17DF672B" w:rsidR="00140CF8" w:rsidRPr="006035A0" w:rsidRDefault="00E4631D" w:rsidP="00CA72B3">
      <w:pPr>
        <w:pStyle w:val="Nadpis4"/>
        <w:keepNext w:val="0"/>
        <w:rPr>
          <w:rFonts w:ascii="Times New Roman" w:hAnsi="Times New Roman"/>
          <w:b w:val="0"/>
          <w:bCs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color w:val="auto"/>
          <w:sz w:val="22"/>
          <w:szCs w:val="22"/>
        </w:rPr>
        <w:t>S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>ymptómy</w:t>
      </w:r>
      <w:r w:rsidR="00B123C7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/>
          <w:color w:val="auto"/>
          <w:sz w:val="22"/>
          <w:szCs w:val="22"/>
        </w:rPr>
        <w:t>z vysadenia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pozorované po </w:t>
      </w:r>
      <w:r>
        <w:rPr>
          <w:rFonts w:ascii="Times New Roman" w:hAnsi="Times New Roman"/>
          <w:b w:val="0"/>
          <w:bCs/>
          <w:color w:val="auto"/>
          <w:sz w:val="22"/>
          <w:szCs w:val="22"/>
        </w:rPr>
        <w:t>ukončení</w:t>
      </w:r>
      <w:r w:rsidR="00140CF8" w:rsidRPr="006035A0">
        <w:rPr>
          <w:rFonts w:ascii="Times New Roman" w:hAnsi="Times New Roman"/>
          <w:b w:val="0"/>
          <w:bCs/>
          <w:color w:val="auto"/>
          <w:sz w:val="22"/>
          <w:szCs w:val="22"/>
        </w:rPr>
        <w:t xml:space="preserve"> liečby paroxetínom</w:t>
      </w:r>
    </w:p>
    <w:p w14:paraId="0E19686F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Časté: závrat, zmyslové poruchy, poruchy spánku, úzkosť, bolesť hlavy.</w:t>
      </w:r>
    </w:p>
    <w:p w14:paraId="7FC8109C" w14:textId="77777777" w:rsidR="00140CF8" w:rsidRPr="0027277C" w:rsidRDefault="00140CF8" w:rsidP="00CA72B3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Menej časté: agitovanosť, nauzea, tremor, zmätenosť, potenie, emocionálna nestabilita, zrakové poruchy, pa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lpitácie, hnačka, podráždenosť.</w:t>
      </w:r>
    </w:p>
    <w:p w14:paraId="531A5E75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393229E8" w14:textId="733BAAF5" w:rsidR="00140CF8" w:rsidRPr="0027277C" w:rsidRDefault="00B123C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Ukončenie 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podávania paroxetínu (najmä ak je náhle) často vedie k symptómom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z vysadenia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>. Hlásen</w:t>
      </w:r>
      <w:r w:rsidR="00EB06F5" w:rsidRPr="0027277C">
        <w:rPr>
          <w:rFonts w:ascii="Times New Roman" w:hAnsi="Times New Roman"/>
          <w:color w:val="auto"/>
          <w:sz w:val="22"/>
          <w:szCs w:val="22"/>
        </w:rPr>
        <w:t>é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boli závrat, zmyslové poruchy (vrátane parestézie</w:t>
      </w:r>
      <w:r w:rsidR="00361091" w:rsidRPr="0027277C">
        <w:rPr>
          <w:rFonts w:ascii="Times New Roman" w:hAnsi="Times New Roman"/>
          <w:color w:val="auto"/>
          <w:sz w:val="22"/>
          <w:szCs w:val="22"/>
        </w:rPr>
        <w:t>,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 pocitov elektrických šokov</w:t>
      </w:r>
      <w:r w:rsidR="003E6E51" w:rsidRPr="0027277C">
        <w:rPr>
          <w:rFonts w:ascii="Times New Roman" w:hAnsi="Times New Roman"/>
          <w:color w:val="auto"/>
          <w:sz w:val="22"/>
          <w:szCs w:val="22"/>
        </w:rPr>
        <w:t xml:space="preserve"> a tinitu</w:t>
      </w:r>
      <w:r w:rsidR="00140CF8" w:rsidRPr="0027277C">
        <w:rPr>
          <w:rFonts w:ascii="Times New Roman" w:hAnsi="Times New Roman"/>
          <w:color w:val="auto"/>
          <w:sz w:val="22"/>
          <w:szCs w:val="22"/>
        </w:rPr>
        <w:t xml:space="preserve">), poruchy spánku (vrátane intenzívnych snov), agitovanosť alebo úzkosť, nauzea, tremor, zmätenosť, potenie, bolesť hlavy, hnačka, palpitácie, emocionálna nestabilita, </w:t>
      </w:r>
      <w:r w:rsidR="005C11AF" w:rsidRPr="0027277C">
        <w:rPr>
          <w:rFonts w:ascii="Times New Roman" w:hAnsi="Times New Roman"/>
          <w:color w:val="auto"/>
          <w:sz w:val="22"/>
          <w:szCs w:val="22"/>
        </w:rPr>
        <w:t>podráždenosť a zrakové poruchy.</w:t>
      </w:r>
    </w:p>
    <w:p w14:paraId="0621FF2C" w14:textId="77777777" w:rsidR="00A673A7" w:rsidRDefault="00A673A7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</w:p>
    <w:p w14:paraId="547E7F39" w14:textId="52ABCAB5" w:rsidR="00140CF8" w:rsidRPr="0027277C" w:rsidRDefault="00140CF8" w:rsidP="0027277C">
      <w:pPr>
        <w:pStyle w:val="Nadpis4"/>
        <w:rPr>
          <w:rFonts w:ascii="Times New Roman" w:hAnsi="Times New Roman"/>
          <w:b w:val="0"/>
          <w:color w:val="auto"/>
          <w:sz w:val="22"/>
          <w:szCs w:val="22"/>
          <w:u w:val="none"/>
        </w:rPr>
      </w:pP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Tieto symptómy sú zvyčajne miernej až stredne ťažkej intenzity a prechodné, ale u niektorých pacientov môžu byť ťažké a/alebo dlhodobo trvajúce. Z tohto dôvodu sa odporúča postupné znižovanie dávky, ak liečba paroxetínom už nie je potrebná (pozri čas</w:t>
      </w:r>
      <w:r w:rsidR="00E4631D">
        <w:rPr>
          <w:rFonts w:ascii="Times New Roman" w:hAnsi="Times New Roman"/>
          <w:b w:val="0"/>
          <w:color w:val="auto"/>
          <w:sz w:val="22"/>
          <w:szCs w:val="22"/>
          <w:u w:val="none"/>
        </w:rPr>
        <w:t>ti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4.2</w:t>
      </w:r>
      <w:r w:rsidR="00E4631D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="0043787B"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a</w:t>
      </w:r>
      <w:r w:rsidR="002941F6">
        <w:rPr>
          <w:rFonts w:ascii="Times New Roman" w:hAnsi="Times New Roman"/>
          <w:b w:val="0"/>
          <w:color w:val="auto"/>
          <w:sz w:val="22"/>
          <w:szCs w:val="22"/>
          <w:u w:val="none"/>
        </w:rPr>
        <w:t> </w:t>
      </w:r>
      <w:r w:rsidRPr="0027277C">
        <w:rPr>
          <w:rFonts w:ascii="Times New Roman" w:hAnsi="Times New Roman"/>
          <w:b w:val="0"/>
          <w:color w:val="auto"/>
          <w:sz w:val="22"/>
          <w:szCs w:val="22"/>
          <w:u w:val="none"/>
        </w:rPr>
        <w:t>4.4).</w:t>
      </w:r>
    </w:p>
    <w:p w14:paraId="13E394A9" w14:textId="77777777" w:rsidR="00140CF8" w:rsidRPr="00CA72B3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CCAE0E7" w14:textId="238C6795" w:rsidR="00140CF8" w:rsidRPr="006035A0" w:rsidRDefault="00140CF8" w:rsidP="0027277C">
      <w:pPr>
        <w:pStyle w:val="Zkladntext3"/>
        <w:rPr>
          <w:rFonts w:ascii="Times New Roman" w:hAnsi="Times New Roman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 xml:space="preserve">Nežiaduce účinky získané z pediatrických klinických </w:t>
      </w:r>
      <w:r w:rsidR="00DA176E">
        <w:rPr>
          <w:rFonts w:ascii="Times New Roman" w:hAnsi="Times New Roman"/>
          <w:bCs/>
          <w:color w:val="auto"/>
          <w:sz w:val="22"/>
          <w:szCs w:val="22"/>
          <w:u w:val="single"/>
        </w:rPr>
        <w:t>s</w:t>
      </w:r>
      <w:r w:rsidR="000270CA" w:rsidRPr="006035A0">
        <w:rPr>
          <w:rFonts w:ascii="Times New Roman" w:hAnsi="Times New Roman"/>
          <w:bCs/>
          <w:color w:val="auto"/>
          <w:sz w:val="22"/>
          <w:szCs w:val="22"/>
          <w:u w:val="single"/>
        </w:rPr>
        <w:t>kúšaní</w:t>
      </w:r>
    </w:p>
    <w:p w14:paraId="2E22B8AA" w14:textId="77777777" w:rsidR="00EA4A8B" w:rsidRPr="0027277C" w:rsidRDefault="006269A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 xml:space="preserve">Boli </w:t>
      </w:r>
      <w:r w:rsidR="00EA4A8B" w:rsidRPr="0027277C">
        <w:rPr>
          <w:rFonts w:ascii="Times New Roman" w:hAnsi="Times New Roman"/>
          <w:color w:val="auto"/>
          <w:sz w:val="22"/>
          <w:szCs w:val="22"/>
        </w:rPr>
        <w:t>pozorované nasledujúce nežiaduce účinky:</w:t>
      </w:r>
    </w:p>
    <w:p w14:paraId="051314D3" w14:textId="0E2F18E0" w:rsidR="006269AC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sebapoškodzujúce správanie a zvýšená miera nepriateľstva. Samovražedné myšlienky a pokusy o samovraždy boli pozorov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 dospievajúcich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 xml:space="preserve"> s</w:t>
      </w:r>
      <w:r w:rsidR="005B1D82" w:rsidRPr="0027277C">
        <w:rPr>
          <w:rFonts w:ascii="Times New Roman" w:hAnsi="Times New Roman"/>
          <w:color w:val="auto"/>
          <w:sz w:val="22"/>
          <w:szCs w:val="22"/>
        </w:rPr>
        <w:t xml:space="preserve"> veľkou 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depresívnou poruchou</w:t>
      </w:r>
      <w:r w:rsidRPr="0027277C">
        <w:rPr>
          <w:rFonts w:ascii="Times New Roman" w:hAnsi="Times New Roman"/>
          <w:color w:val="auto"/>
          <w:sz w:val="22"/>
          <w:szCs w:val="22"/>
        </w:rPr>
        <w:t>. Zvýšená miera nepriateľstva sa vyskytovala hlavne u detí s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4A42FC">
        <w:rPr>
          <w:rFonts w:ascii="Times New Roman" w:hAnsi="Times New Roman"/>
          <w:color w:val="auto"/>
          <w:sz w:val="22"/>
          <w:szCs w:val="22"/>
        </w:rPr>
        <w:noBreakHyphen/>
      </w:r>
      <w:r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29299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Pr="0027277C">
        <w:rPr>
          <w:rFonts w:ascii="Times New Roman" w:hAnsi="Times New Roman"/>
          <w:color w:val="auto"/>
          <w:sz w:val="22"/>
          <w:szCs w:val="22"/>
        </w:rPr>
        <w:t>rokov.</w:t>
      </w:r>
    </w:p>
    <w:p w14:paraId="558C643A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48128592" w14:textId="505B31A5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Ďalšie nežiaduce účinky, ktoré boli pozorované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: </w:t>
      </w:r>
      <w:r w:rsidRPr="0027277C">
        <w:rPr>
          <w:rFonts w:ascii="Times New Roman" w:hAnsi="Times New Roman"/>
          <w:color w:val="auto"/>
          <w:sz w:val="22"/>
          <w:szCs w:val="22"/>
        </w:rPr>
        <w:t>znížená chuť do jedla, tremor, potenie, hyperkinéza, agitovanosť, emocionálna labilita (vrátane plaču a zmien nálad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>y), nežiaduce účinky spojené s krvácaním, predovšetkým kože a slizníc.</w:t>
      </w:r>
    </w:p>
    <w:p w14:paraId="1A833778" w14:textId="77777777" w:rsidR="00A673A7" w:rsidRDefault="00A673A7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099AFE3F" w14:textId="424BD8D5" w:rsidR="00A80D44" w:rsidRPr="0027277C" w:rsidRDefault="0034433D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Účinky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, ktoré sa pozorovali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po </w:t>
      </w:r>
      <w:r w:rsidR="00B123C7" w:rsidRPr="0027277C">
        <w:rPr>
          <w:rFonts w:ascii="Times New Roman" w:hAnsi="Times New Roman"/>
          <w:color w:val="auto"/>
          <w:sz w:val="22"/>
          <w:szCs w:val="22"/>
        </w:rPr>
        <w:t>ukonč</w:t>
      </w:r>
      <w:r w:rsidR="00BA5A30" w:rsidRPr="0027277C">
        <w:rPr>
          <w:rFonts w:ascii="Times New Roman" w:hAnsi="Times New Roman"/>
          <w:color w:val="auto"/>
          <w:sz w:val="22"/>
          <w:szCs w:val="22"/>
        </w:rPr>
        <w:t>e</w:t>
      </w:r>
      <w:r w:rsidRPr="0027277C">
        <w:rPr>
          <w:rFonts w:ascii="Times New Roman" w:hAnsi="Times New Roman"/>
          <w:color w:val="auto"/>
          <w:sz w:val="22"/>
          <w:szCs w:val="22"/>
        </w:rPr>
        <w:t>ní/</w:t>
      </w:r>
      <w:r w:rsidR="00AA55A7" w:rsidRPr="0027277C">
        <w:rPr>
          <w:rFonts w:ascii="Times New Roman" w:hAnsi="Times New Roman"/>
          <w:color w:val="auto"/>
          <w:sz w:val="22"/>
          <w:szCs w:val="22"/>
        </w:rPr>
        <w:t>znižovaní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dávky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paroxetínu sú: emocionálna </w:t>
      </w:r>
      <w:r w:rsidR="002B61F7" w:rsidRPr="0027277C">
        <w:rPr>
          <w:rFonts w:ascii="Times New Roman" w:hAnsi="Times New Roman"/>
          <w:color w:val="auto"/>
          <w:sz w:val="22"/>
          <w:szCs w:val="22"/>
        </w:rPr>
        <w:t>la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bilita</w:t>
      </w:r>
      <w:r w:rsidR="006269AC" w:rsidRPr="0027277C">
        <w:rPr>
          <w:rFonts w:ascii="Times New Roman" w:hAnsi="Times New Roman"/>
          <w:color w:val="auto"/>
          <w:sz w:val="22"/>
          <w:szCs w:val="22"/>
        </w:rPr>
        <w:t xml:space="preserve"> (vrátane plaču a zmien nálady, sebapoškodzovania, samovražedných myšlienok a pokusov o samovraždu), nervozita, závrat, nauzea a bolesť brucha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pozri časť</w:t>
      </w:r>
      <w:r w:rsidR="001E72BF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4.4).</w:t>
      </w:r>
    </w:p>
    <w:p w14:paraId="762C223A" w14:textId="77777777" w:rsidR="004A42FC" w:rsidRDefault="004A42FC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1A185FF3" w14:textId="752060BD" w:rsidR="00A80D44" w:rsidRPr="0027277C" w:rsidRDefault="00A80D44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Pozri časť 5.1 pre viac informácii o pediatrických klinických skúšaniach.</w:t>
      </w:r>
    </w:p>
    <w:p w14:paraId="3425B56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25AE3A18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27277C">
        <w:rPr>
          <w:noProof/>
          <w:sz w:val="22"/>
          <w:szCs w:val="22"/>
          <w:u w:val="single"/>
        </w:rPr>
        <w:t>Hlásenie podozrení na nežiaduce reakcie</w:t>
      </w:r>
    </w:p>
    <w:p w14:paraId="27F76B3C" w14:textId="6B8F15C5" w:rsidR="009D7858" w:rsidRPr="0027277C" w:rsidRDefault="009D7858" w:rsidP="0027277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Hlásenie podozrení na nežiaduce reakcie po registrácii lieku je dôležité.</w:t>
      </w:r>
      <w:r w:rsidRPr="0027277C">
        <w:rPr>
          <w:sz w:val="22"/>
          <w:szCs w:val="22"/>
        </w:rPr>
        <w:t xml:space="preserve"> </w:t>
      </w:r>
      <w:r w:rsidRPr="0027277C">
        <w:rPr>
          <w:noProof/>
          <w:sz w:val="22"/>
          <w:szCs w:val="22"/>
        </w:rPr>
        <w:t>Umožňuje priebežné monitorovanie pomeru prínosu</w:t>
      </w:r>
      <w:r w:rsidRPr="0027277C">
        <w:rPr>
          <w:sz w:val="22"/>
          <w:szCs w:val="22"/>
        </w:rPr>
        <w:t xml:space="preserve"> a</w:t>
      </w:r>
      <w:r w:rsidRPr="0027277C">
        <w:rPr>
          <w:noProof/>
          <w:sz w:val="22"/>
          <w:szCs w:val="22"/>
        </w:rPr>
        <w:t> rizika lieku.</w:t>
      </w:r>
      <w:r w:rsidRPr="0027277C">
        <w:rPr>
          <w:sz w:val="22"/>
          <w:szCs w:val="22"/>
        </w:rPr>
        <w:t xml:space="preserve"> Od </w:t>
      </w:r>
      <w:r w:rsidRPr="0027277C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9D4DBD" w:rsidRPr="0027277C">
        <w:rPr>
          <w:noProof/>
          <w:sz w:val="22"/>
          <w:szCs w:val="22"/>
        </w:rPr>
        <w:t xml:space="preserve">na </w:t>
      </w:r>
      <w:r w:rsidRPr="0027277C">
        <w:rPr>
          <w:noProof/>
          <w:sz w:val="22"/>
          <w:szCs w:val="22"/>
          <w:highlight w:val="lightGray"/>
        </w:rPr>
        <w:t xml:space="preserve">národné </w:t>
      </w:r>
      <w:r w:rsidR="009D4DBD" w:rsidRPr="0027277C">
        <w:rPr>
          <w:noProof/>
          <w:sz w:val="22"/>
          <w:szCs w:val="22"/>
          <w:highlight w:val="lightGray"/>
        </w:rPr>
        <w:t>centrum</w:t>
      </w:r>
      <w:r w:rsidRPr="0027277C">
        <w:rPr>
          <w:noProof/>
          <w:sz w:val="22"/>
          <w:szCs w:val="22"/>
          <w:highlight w:val="lightGray"/>
        </w:rPr>
        <w:t xml:space="preserve"> hlásenia uvedené v</w:t>
      </w:r>
      <w:r w:rsidR="006F2D5E">
        <w:rPr>
          <w:noProof/>
          <w:sz w:val="22"/>
          <w:szCs w:val="22"/>
          <w:highlight w:val="lightGray"/>
        </w:rPr>
        <w:t> </w:t>
      </w:r>
      <w:hyperlink r:id="rId7" w:history="1">
        <w:r w:rsidRPr="0027277C">
          <w:rPr>
            <w:rStyle w:val="Hypertextovprepojenie"/>
            <w:noProof/>
            <w:sz w:val="22"/>
            <w:szCs w:val="22"/>
            <w:highlight w:val="lightGray"/>
          </w:rPr>
          <w:t>P</w:t>
        </w:r>
        <w:r w:rsidRPr="0027277C">
          <w:rPr>
            <w:rStyle w:val="Hypertextovprepojenie"/>
            <w:sz w:val="22"/>
            <w:szCs w:val="22"/>
            <w:highlight w:val="lightGray"/>
          </w:rPr>
          <w:t>rílohe</w:t>
        </w:r>
        <w:r w:rsidR="006F2D5E">
          <w:rPr>
            <w:rStyle w:val="Hypertextovprepojenie"/>
            <w:sz w:val="22"/>
            <w:szCs w:val="22"/>
            <w:highlight w:val="lightGray"/>
          </w:rPr>
          <w:t> </w:t>
        </w:r>
        <w:r w:rsidRPr="0027277C">
          <w:rPr>
            <w:rStyle w:val="Hypertextovprepojenie"/>
            <w:noProof/>
            <w:sz w:val="22"/>
            <w:szCs w:val="22"/>
            <w:highlight w:val="lightGray"/>
          </w:rPr>
          <w:t>V</w:t>
        </w:r>
      </w:hyperlink>
      <w:r w:rsidRPr="0027277C">
        <w:rPr>
          <w:noProof/>
          <w:sz w:val="22"/>
          <w:szCs w:val="22"/>
        </w:rPr>
        <w:t>.</w:t>
      </w:r>
    </w:p>
    <w:p w14:paraId="59D99F55" w14:textId="77777777" w:rsidR="009D7858" w:rsidRPr="0027277C" w:rsidRDefault="009D7858" w:rsidP="0027277C">
      <w:pPr>
        <w:autoSpaceDE w:val="0"/>
        <w:autoSpaceDN w:val="0"/>
        <w:adjustRightInd w:val="0"/>
        <w:rPr>
          <w:sz w:val="22"/>
          <w:szCs w:val="22"/>
        </w:rPr>
      </w:pPr>
    </w:p>
    <w:p w14:paraId="18ADA5DC" w14:textId="77777777" w:rsidR="00140CF8" w:rsidRPr="0027277C" w:rsidRDefault="00140CF8" w:rsidP="005549F8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4.9</w:t>
      </w:r>
      <w:r w:rsidRPr="0027277C">
        <w:rPr>
          <w:b/>
          <w:sz w:val="22"/>
          <w:szCs w:val="22"/>
        </w:rPr>
        <w:tab/>
        <w:t>Predávkovanie</w:t>
      </w:r>
    </w:p>
    <w:p w14:paraId="58C0B5B9" w14:textId="77777777" w:rsidR="00140CF8" w:rsidRPr="0027277C" w:rsidRDefault="00140CF8" w:rsidP="005549F8">
      <w:pPr>
        <w:pStyle w:val="Nadpis6"/>
        <w:keepLines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4085B03" w14:textId="77777777" w:rsidR="00140CF8" w:rsidRPr="006035A0" w:rsidRDefault="00140CF8" w:rsidP="005549F8">
      <w:pPr>
        <w:pStyle w:val="Nadpis6"/>
        <w:keepLines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Symptómy a </w:t>
      </w:r>
      <w:r w:rsidR="0043787B"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prí</w:t>
      </w: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znaky</w:t>
      </w:r>
    </w:p>
    <w:p w14:paraId="7F987600" w14:textId="77777777" w:rsidR="00140CF8" w:rsidRPr="0027277C" w:rsidRDefault="00140CF8" w:rsidP="005549F8">
      <w:pPr>
        <w:pStyle w:val="Zkladntext3"/>
        <w:keepNext/>
        <w:keepLines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Z dostupných informácii o predávkovaní paroxetínom je zrejmé jeho široké rozmedzie bezpečnosti.</w:t>
      </w:r>
    </w:p>
    <w:p w14:paraId="008FDC2A" w14:textId="77777777" w:rsidR="00A673A7" w:rsidRDefault="00A673A7" w:rsidP="00A673A7">
      <w:pPr>
        <w:keepNext/>
        <w:keepLines/>
        <w:tabs>
          <w:tab w:val="left" w:pos="2410"/>
        </w:tabs>
        <w:rPr>
          <w:sz w:val="22"/>
          <w:szCs w:val="22"/>
        </w:rPr>
      </w:pPr>
    </w:p>
    <w:p w14:paraId="16F3DE35" w14:textId="30831E8B" w:rsidR="00140CF8" w:rsidRPr="0027277C" w:rsidRDefault="00140CF8" w:rsidP="005549F8">
      <w:pPr>
        <w:keepNext/>
        <w:keepLines/>
        <w:tabs>
          <w:tab w:val="left" w:pos="2410"/>
        </w:tabs>
        <w:rPr>
          <w:sz w:val="22"/>
          <w:szCs w:val="22"/>
        </w:rPr>
      </w:pPr>
      <w:r w:rsidRPr="0027277C">
        <w:rPr>
          <w:sz w:val="22"/>
          <w:szCs w:val="22"/>
        </w:rPr>
        <w:t>Skúsenosti s predávkovaním paroxetínom ukázali, že okrem symptómov uvedených v časti</w:t>
      </w:r>
      <w:r w:rsidR="001E72BF">
        <w:rPr>
          <w:sz w:val="22"/>
          <w:szCs w:val="22"/>
        </w:rPr>
        <w:t> </w:t>
      </w:r>
      <w:r w:rsidRPr="0027277C">
        <w:rPr>
          <w:sz w:val="22"/>
          <w:szCs w:val="22"/>
        </w:rPr>
        <w:t>4.8, bol</w:t>
      </w:r>
      <w:r w:rsidR="000A41EB" w:rsidRPr="0027277C">
        <w:rPr>
          <w:sz w:val="22"/>
          <w:szCs w:val="22"/>
        </w:rPr>
        <w:t>i</w:t>
      </w:r>
      <w:r w:rsidRPr="0027277C">
        <w:rPr>
          <w:sz w:val="22"/>
          <w:szCs w:val="22"/>
        </w:rPr>
        <w:t xml:space="preserve"> hlásen</w:t>
      </w:r>
      <w:r w:rsidR="000A41EB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 xml:space="preserve"> horúčka</w:t>
      </w:r>
      <w:r w:rsidR="00002EF9" w:rsidRPr="0027277C">
        <w:rPr>
          <w:sz w:val="22"/>
          <w:szCs w:val="22"/>
        </w:rPr>
        <w:t xml:space="preserve"> a</w:t>
      </w:r>
      <w:r w:rsidRPr="0027277C">
        <w:rPr>
          <w:sz w:val="22"/>
          <w:szCs w:val="22"/>
        </w:rPr>
        <w:t xml:space="preserve"> mimovoľné svalové kontrakcie</w:t>
      </w:r>
      <w:r w:rsidR="00002EF9" w:rsidRPr="0027277C">
        <w:rPr>
          <w:sz w:val="22"/>
          <w:szCs w:val="22"/>
        </w:rPr>
        <w:t xml:space="preserve">. </w:t>
      </w:r>
      <w:r w:rsidRPr="0027277C">
        <w:rPr>
          <w:sz w:val="22"/>
          <w:szCs w:val="22"/>
        </w:rPr>
        <w:t>Pacienti sa zvyčajne uzdravili bez závažných následkov, a to aj v prípadoch, keď užili samostatné dávky až do 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000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mg. Zriedkavo boli hlásené nežiaduce </w:t>
      </w:r>
      <w:r w:rsidR="0067287E" w:rsidRPr="0027277C">
        <w:rPr>
          <w:sz w:val="22"/>
          <w:szCs w:val="22"/>
        </w:rPr>
        <w:t>u</w:t>
      </w:r>
      <w:r w:rsidR="00A40F51" w:rsidRPr="0027277C">
        <w:rPr>
          <w:sz w:val="22"/>
          <w:szCs w:val="22"/>
        </w:rPr>
        <w:t xml:space="preserve">dalosti </w:t>
      </w:r>
      <w:r w:rsidRPr="0027277C">
        <w:rPr>
          <w:sz w:val="22"/>
          <w:szCs w:val="22"/>
        </w:rPr>
        <w:t xml:space="preserve">ako kóma alebo zmeny v EKG a veľmi zriedkavo </w:t>
      </w:r>
      <w:r w:rsidR="00D04FDA" w:rsidRPr="0027277C">
        <w:rPr>
          <w:sz w:val="22"/>
          <w:szCs w:val="22"/>
        </w:rPr>
        <w:t>skončili fatálne</w:t>
      </w:r>
      <w:r w:rsidRPr="0027277C">
        <w:rPr>
          <w:sz w:val="22"/>
          <w:szCs w:val="22"/>
        </w:rPr>
        <w:t>, zvyčajne vtedy, keď bol paroxetín užitý spolu s ďalšími psychotropnými liekmi, s alkoholom alebo bez neho.</w:t>
      </w:r>
    </w:p>
    <w:p w14:paraId="24A042A4" w14:textId="77777777" w:rsidR="00140CF8" w:rsidRPr="0027277C" w:rsidRDefault="00140CF8" w:rsidP="0027277C">
      <w:pPr>
        <w:rPr>
          <w:sz w:val="22"/>
          <w:szCs w:val="22"/>
        </w:rPr>
      </w:pPr>
    </w:p>
    <w:p w14:paraId="33294793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color w:val="auto"/>
          <w:sz w:val="22"/>
          <w:szCs w:val="22"/>
          <w:u w:val="single"/>
        </w:rPr>
        <w:t>Liečba</w:t>
      </w:r>
    </w:p>
    <w:p w14:paraId="51AB9C81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Špecifické antidotum nie je známe.</w:t>
      </w:r>
    </w:p>
    <w:p w14:paraId="4490914D" w14:textId="77777777" w:rsidR="00A673A7" w:rsidRDefault="00A673A7" w:rsidP="0027277C">
      <w:pPr>
        <w:rPr>
          <w:sz w:val="22"/>
          <w:szCs w:val="22"/>
        </w:rPr>
      </w:pPr>
    </w:p>
    <w:p w14:paraId="3F9FF35B" w14:textId="5DAED75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Liečba má pozostávať </w:t>
      </w:r>
      <w:r w:rsidR="00EB06F5" w:rsidRPr="0027277C">
        <w:rPr>
          <w:sz w:val="22"/>
          <w:szCs w:val="22"/>
        </w:rPr>
        <w:t>z</w:t>
      </w:r>
      <w:r w:rsidRPr="0027277C">
        <w:rPr>
          <w:sz w:val="22"/>
          <w:szCs w:val="22"/>
        </w:rPr>
        <w:t xml:space="preserve">o všeobecných opatrení, ktoré sa dodržiavajú v liečbe predávkovania akýmkoľvek antidepresívom. </w:t>
      </w:r>
      <w:r w:rsidR="00F766C2" w:rsidRPr="0027277C">
        <w:rPr>
          <w:sz w:val="22"/>
          <w:szCs w:val="22"/>
        </w:rPr>
        <w:t>Možno zvážiť p</w:t>
      </w:r>
      <w:r w:rsidR="00565D4A" w:rsidRPr="0027277C">
        <w:rPr>
          <w:sz w:val="22"/>
          <w:szCs w:val="22"/>
        </w:rPr>
        <w:t>odanie 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="00565D4A" w:rsidRPr="0027277C">
        <w:rPr>
          <w:sz w:val="22"/>
          <w:szCs w:val="22"/>
        </w:rPr>
        <w:t>30 g aktívneho uhlia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</w:t>
      </w:r>
      <w:r w:rsidR="002B61F7" w:rsidRPr="0027277C">
        <w:rPr>
          <w:sz w:val="22"/>
          <w:szCs w:val="22"/>
        </w:rPr>
        <w:t>ak je možné</w:t>
      </w:r>
      <w:r w:rsidR="00F766C2" w:rsidRPr="0027277C">
        <w:rPr>
          <w:sz w:val="22"/>
          <w:szCs w:val="22"/>
        </w:rPr>
        <w:t>,</w:t>
      </w:r>
      <w:r w:rsidR="00565D4A" w:rsidRPr="0027277C">
        <w:rPr>
          <w:sz w:val="22"/>
          <w:szCs w:val="22"/>
        </w:rPr>
        <w:t xml:space="preserve"> v priebehu niekoľkých hodín po</w:t>
      </w:r>
      <w:r w:rsidR="00635630" w:rsidRPr="0027277C">
        <w:rPr>
          <w:sz w:val="22"/>
          <w:szCs w:val="22"/>
        </w:rPr>
        <w:t xml:space="preserve"> </w:t>
      </w:r>
      <w:r w:rsidR="00292992" w:rsidRPr="0027277C">
        <w:rPr>
          <w:sz w:val="22"/>
          <w:szCs w:val="22"/>
        </w:rPr>
        <w:t>predávkovaní</w:t>
      </w:r>
      <w:r w:rsidR="002B61F7" w:rsidRPr="0027277C">
        <w:rPr>
          <w:sz w:val="22"/>
          <w:szCs w:val="22"/>
        </w:rPr>
        <w:t>, aby sa znížila</w:t>
      </w:r>
      <w:r w:rsidR="00635630" w:rsidRPr="0027277C">
        <w:rPr>
          <w:sz w:val="22"/>
          <w:szCs w:val="22"/>
        </w:rPr>
        <w:t xml:space="preserve"> absorpci</w:t>
      </w:r>
      <w:r w:rsidR="002B61F7" w:rsidRPr="0027277C">
        <w:rPr>
          <w:sz w:val="22"/>
          <w:szCs w:val="22"/>
        </w:rPr>
        <w:t>a</w:t>
      </w:r>
      <w:r w:rsidR="00635630" w:rsidRPr="0027277C">
        <w:rPr>
          <w:sz w:val="22"/>
          <w:szCs w:val="22"/>
        </w:rPr>
        <w:t xml:space="preserve"> paroxetínu. </w:t>
      </w:r>
      <w:r w:rsidRPr="0027277C">
        <w:rPr>
          <w:sz w:val="22"/>
          <w:szCs w:val="22"/>
        </w:rPr>
        <w:t>Indikovaná je podporná starostlivosť s častým monitorovaním známo</w:t>
      </w:r>
      <w:r w:rsidR="005C11AF" w:rsidRPr="0027277C">
        <w:rPr>
          <w:sz w:val="22"/>
          <w:szCs w:val="22"/>
        </w:rPr>
        <w:t>k života a pozorným sledovaním.</w:t>
      </w:r>
      <w:r w:rsidR="00635630"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Starostlivosť o</w:t>
      </w:r>
      <w:r w:rsidR="00A460F9" w:rsidRPr="0027277C">
        <w:rPr>
          <w:sz w:val="22"/>
          <w:szCs w:val="22"/>
        </w:rPr>
        <w:t xml:space="preserve"> pacienta m</w:t>
      </w:r>
      <w:r w:rsidR="000A41EB" w:rsidRPr="0027277C">
        <w:rPr>
          <w:sz w:val="22"/>
          <w:szCs w:val="22"/>
        </w:rPr>
        <w:t>á</w:t>
      </w:r>
      <w:r w:rsidR="00A460F9" w:rsidRPr="0027277C">
        <w:rPr>
          <w:sz w:val="22"/>
          <w:szCs w:val="22"/>
        </w:rPr>
        <w:t xml:space="preserve"> byť</w:t>
      </w:r>
      <w:r w:rsidR="00292992" w:rsidRPr="0027277C">
        <w:rPr>
          <w:sz w:val="22"/>
          <w:szCs w:val="22"/>
        </w:rPr>
        <w:t xml:space="preserve"> podľa klinického stavu</w:t>
      </w:r>
      <w:r w:rsidR="00A460F9" w:rsidRPr="0027277C">
        <w:rPr>
          <w:sz w:val="22"/>
          <w:szCs w:val="22"/>
        </w:rPr>
        <w:t>.</w:t>
      </w:r>
    </w:p>
    <w:p w14:paraId="37983E3B" w14:textId="77777777" w:rsidR="00EB1089" w:rsidRDefault="00EB1089" w:rsidP="0027277C">
      <w:pPr>
        <w:rPr>
          <w:sz w:val="22"/>
          <w:szCs w:val="22"/>
        </w:rPr>
      </w:pPr>
    </w:p>
    <w:p w14:paraId="2D128B74" w14:textId="77777777" w:rsidR="00CA72B3" w:rsidRPr="0027277C" w:rsidRDefault="00CA72B3" w:rsidP="0027277C">
      <w:pPr>
        <w:rPr>
          <w:sz w:val="22"/>
          <w:szCs w:val="22"/>
        </w:rPr>
      </w:pPr>
    </w:p>
    <w:p w14:paraId="669833F9" w14:textId="77777777" w:rsidR="00140CF8" w:rsidRPr="0027277C" w:rsidRDefault="00140CF8" w:rsidP="0027277C">
      <w:pPr>
        <w:keepNext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5.</w:t>
      </w:r>
      <w:r w:rsidRPr="0027277C">
        <w:rPr>
          <w:b/>
          <w:caps/>
          <w:sz w:val="22"/>
          <w:szCs w:val="22"/>
        </w:rPr>
        <w:tab/>
        <w:t>Farmakologické vlastnosti</w:t>
      </w:r>
    </w:p>
    <w:p w14:paraId="780ECFCA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6B466DA5" w14:textId="77777777" w:rsidR="00140CF8" w:rsidRPr="0027277C" w:rsidRDefault="00140CF8" w:rsidP="0027277C">
      <w:pPr>
        <w:keepNext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t>5.1</w:t>
      </w:r>
      <w:r w:rsidRPr="0027277C">
        <w:rPr>
          <w:b/>
          <w:sz w:val="22"/>
          <w:szCs w:val="22"/>
        </w:rPr>
        <w:tab/>
        <w:t>Farmakodynamické vlastnosti</w:t>
      </w:r>
    </w:p>
    <w:p w14:paraId="07E93720" w14:textId="77777777" w:rsidR="00140CF8" w:rsidRPr="0027277C" w:rsidRDefault="00140CF8" w:rsidP="0027277C">
      <w:pPr>
        <w:keepNext/>
        <w:rPr>
          <w:sz w:val="22"/>
          <w:szCs w:val="22"/>
        </w:rPr>
      </w:pPr>
    </w:p>
    <w:p w14:paraId="18F4748F" w14:textId="77777777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Farmakoterapeutická skupina: Antidepresíva – selektívne inhibítory spätného vychytávania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ínu. ATC kód: N06AB05.</w:t>
      </w:r>
    </w:p>
    <w:p w14:paraId="752852AF" w14:textId="77777777" w:rsidR="00140CF8" w:rsidRPr="0027277C" w:rsidRDefault="00140CF8" w:rsidP="0027277C">
      <w:pPr>
        <w:rPr>
          <w:sz w:val="22"/>
          <w:szCs w:val="22"/>
        </w:rPr>
      </w:pPr>
    </w:p>
    <w:p w14:paraId="26F90161" w14:textId="77777777" w:rsidR="00140CF8" w:rsidRPr="006035A0" w:rsidRDefault="00140CF8" w:rsidP="0027277C">
      <w:pPr>
        <w:keepNext/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Mechanizmus účinku</w:t>
      </w:r>
    </w:p>
    <w:p w14:paraId="39B6BF2E" w14:textId="4B09A2E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Paroxetín je účinný a selektívny inhibítor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hydroxytryptamínu (5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HT, </w:t>
      </w:r>
      <w:r w:rsidR="00AC42D8" w:rsidRPr="0027277C">
        <w:rPr>
          <w:sz w:val="22"/>
          <w:szCs w:val="22"/>
        </w:rPr>
        <w:t>séroton</w:t>
      </w:r>
      <w:r w:rsidRPr="0027277C">
        <w:rPr>
          <w:sz w:val="22"/>
          <w:szCs w:val="22"/>
        </w:rPr>
        <w:t>ínu) a predpokladá sa, že jeho antidepresívny účinok a účinnosť v liečbe OCD, sociálnej úzkosti/sociálnej fóbie, generalizovanej úzkostnej poruchy, posttraumatickej stresovej poruchy a panickej poruchy súvisí práve so špecifickou inhibíciou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synaptických membránach mozgových neurónov.</w:t>
      </w:r>
    </w:p>
    <w:p w14:paraId="15AB8B36" w14:textId="77777777" w:rsidR="00A673A7" w:rsidRDefault="00A673A7" w:rsidP="0027277C">
      <w:pPr>
        <w:keepNext/>
        <w:rPr>
          <w:sz w:val="22"/>
          <w:szCs w:val="22"/>
        </w:rPr>
      </w:pPr>
    </w:p>
    <w:p w14:paraId="19BF29E4" w14:textId="4BBAC7D0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 xml:space="preserve">Paroxetín nie je chemicky príbuzný s tricyklickými alebo tetracyklickými antidepresívami, ani s </w:t>
      </w:r>
      <w:r w:rsidR="0067287E" w:rsidRPr="0027277C">
        <w:rPr>
          <w:sz w:val="22"/>
          <w:szCs w:val="22"/>
        </w:rPr>
        <w:t xml:space="preserve">inými dostupnými </w:t>
      </w:r>
      <w:r w:rsidRPr="0027277C">
        <w:rPr>
          <w:sz w:val="22"/>
          <w:szCs w:val="22"/>
        </w:rPr>
        <w:t>antidepresív</w:t>
      </w:r>
      <w:r w:rsidR="0067287E" w:rsidRPr="0027277C">
        <w:rPr>
          <w:sz w:val="22"/>
          <w:szCs w:val="22"/>
        </w:rPr>
        <w:t>ami</w:t>
      </w:r>
      <w:r w:rsidRPr="0027277C">
        <w:rPr>
          <w:sz w:val="22"/>
          <w:szCs w:val="22"/>
        </w:rPr>
        <w:t>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Paroxetín má nízku afinitu k muskarínovým cholínergným receptorom a štúdie na zvieratách zistili iba slabé anticholínergné vlastnosti.</w:t>
      </w:r>
    </w:p>
    <w:p w14:paraId="754037B3" w14:textId="77777777" w:rsidR="00A673A7" w:rsidRDefault="00A673A7" w:rsidP="0027277C">
      <w:pPr>
        <w:keepNext/>
        <w:rPr>
          <w:sz w:val="22"/>
          <w:szCs w:val="22"/>
        </w:rPr>
      </w:pPr>
    </w:p>
    <w:p w14:paraId="55B6D98E" w14:textId="20B698A3" w:rsidR="00140CF8" w:rsidRPr="0027277C" w:rsidRDefault="00140CF8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V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zhode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týmto selektívnym účinkom štúdie uskutočňované </w:t>
      </w:r>
      <w:r w:rsidRPr="0027277C">
        <w:rPr>
          <w:i/>
          <w:sz w:val="22"/>
          <w:szCs w:val="22"/>
        </w:rPr>
        <w:t xml:space="preserve">in vitro </w:t>
      </w:r>
      <w:r w:rsidRPr="0027277C">
        <w:rPr>
          <w:sz w:val="22"/>
          <w:szCs w:val="22"/>
        </w:rPr>
        <w:t>ukazujú, že paroxetín má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rozdiel od tricyklických antidepresív nízku afinitu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alfa1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, alfa 2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 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beta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adrenergným receptorom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ďalej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dopamínovým (D2), rôznym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HT1,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HT2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histamínovým (H1) receptorom. Tomu, že neexistujú interakcie s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postsynaptickými receptormi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>, zodpovedajú i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výsledky štúdií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>, pri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ktorých nedochádza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útlmu CNS ani k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hypotenzívnemu účinku.</w:t>
      </w:r>
    </w:p>
    <w:p w14:paraId="62C51299" w14:textId="77777777" w:rsidR="00140CF8" w:rsidRPr="0027277C" w:rsidRDefault="00140CF8" w:rsidP="0027277C">
      <w:pPr>
        <w:rPr>
          <w:sz w:val="22"/>
          <w:szCs w:val="22"/>
        </w:rPr>
      </w:pPr>
    </w:p>
    <w:p w14:paraId="3D6754A5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Farmakodynamické účinky</w:t>
      </w:r>
    </w:p>
    <w:p w14:paraId="40270858" w14:textId="180A623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neovplyvňuje psychomotorické funkcie a</w:t>
      </w:r>
      <w:r w:rsidR="00A673A7">
        <w:rPr>
          <w:sz w:val="22"/>
          <w:szCs w:val="22"/>
        </w:rPr>
        <w:t> </w:t>
      </w:r>
      <w:r w:rsidRPr="0027277C">
        <w:rPr>
          <w:sz w:val="22"/>
          <w:szCs w:val="22"/>
        </w:rPr>
        <w:t>nepoten</w:t>
      </w:r>
      <w:r w:rsidR="005C11AF" w:rsidRPr="0027277C">
        <w:rPr>
          <w:sz w:val="22"/>
          <w:szCs w:val="22"/>
        </w:rPr>
        <w:t>c</w:t>
      </w:r>
      <w:r w:rsidR="0067287E" w:rsidRPr="0027277C">
        <w:rPr>
          <w:sz w:val="22"/>
          <w:szCs w:val="22"/>
        </w:rPr>
        <w:t>i</w:t>
      </w:r>
      <w:r w:rsidR="005C11AF" w:rsidRPr="0027277C">
        <w:rPr>
          <w:sz w:val="22"/>
          <w:szCs w:val="22"/>
        </w:rPr>
        <w:t xml:space="preserve">uje depresívny účinok </w:t>
      </w:r>
      <w:r w:rsidR="001D62DB" w:rsidRPr="0027277C">
        <w:rPr>
          <w:sz w:val="22"/>
          <w:szCs w:val="22"/>
        </w:rPr>
        <w:t>alkoh</w:t>
      </w:r>
      <w:r w:rsidR="005C11AF" w:rsidRPr="0027277C">
        <w:rPr>
          <w:sz w:val="22"/>
          <w:szCs w:val="22"/>
        </w:rPr>
        <w:t>olu.</w:t>
      </w:r>
    </w:p>
    <w:p w14:paraId="4189BCE8" w14:textId="77777777" w:rsidR="00A673A7" w:rsidRDefault="00A673A7" w:rsidP="0027277C">
      <w:pPr>
        <w:rPr>
          <w:sz w:val="22"/>
          <w:szCs w:val="22"/>
        </w:rPr>
      </w:pPr>
    </w:p>
    <w:p w14:paraId="3477FFF8" w14:textId="3AE0C61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Tak ako </w:t>
      </w:r>
      <w:r w:rsidR="00EC6EB0">
        <w:rPr>
          <w:sz w:val="22"/>
          <w:szCs w:val="22"/>
        </w:rPr>
        <w:t>pri</w:t>
      </w:r>
      <w:r w:rsidRPr="0027277C">
        <w:rPr>
          <w:sz w:val="22"/>
          <w:szCs w:val="22"/>
        </w:rPr>
        <w:t> ostatných selektívnych inhibítoro</w:t>
      </w:r>
      <w:r w:rsidR="00EC6EB0">
        <w:rPr>
          <w:sz w:val="22"/>
          <w:szCs w:val="22"/>
        </w:rPr>
        <w:t>ch</w:t>
      </w:r>
      <w:r w:rsidRPr="0027277C">
        <w:rPr>
          <w:sz w:val="22"/>
          <w:szCs w:val="22"/>
        </w:rPr>
        <w:t xml:space="preserve">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paroxetín spôsobuje príznaky nadmernej stimulácie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 receptorov, keď sa podá zvieratám, ktorým boli predtým podané inhibítory monoamin</w:t>
      </w:r>
      <w:r w:rsidR="005C11AF" w:rsidRPr="0027277C">
        <w:rPr>
          <w:sz w:val="22"/>
          <w:szCs w:val="22"/>
        </w:rPr>
        <w:t>ooxidázy (MAO) alebo tryptofán.</w:t>
      </w:r>
    </w:p>
    <w:p w14:paraId="776A46C9" w14:textId="77777777" w:rsidR="00A673A7" w:rsidRDefault="00A673A7" w:rsidP="0027277C">
      <w:pPr>
        <w:rPr>
          <w:sz w:val="22"/>
          <w:szCs w:val="22"/>
        </w:rPr>
      </w:pPr>
    </w:p>
    <w:p w14:paraId="73F468BC" w14:textId="1C2B94E4" w:rsidR="00140CF8" w:rsidRPr="0027277C" w:rsidRDefault="00140CF8" w:rsidP="005549F8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lastRenderedPageBreak/>
        <w:t>Behaviorálne a EEG štúdie naznačujú, že paroxetín má v dávke, ktorá zvyčajne prevyšuje dávky potrebné pre inhibíciu spätného vychytávania 5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HT, slabý stimulačný účinok. Stimulácia nie je amfetamínovej povahy.</w:t>
      </w:r>
      <w:r w:rsidR="00A673A7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Na základe štúdií na zvieratách sa preukázalo, že kardiovaskulárny systém znáša paroxetín dobre. Paroxetín nevyvoláva po podaní zdravým dobrovoľníkom žiadne klinicky významné zmeny krvného tlaku, tepovej frekvencie ani EKG.</w:t>
      </w:r>
    </w:p>
    <w:p w14:paraId="3819727C" w14:textId="77777777" w:rsidR="008860C2" w:rsidRDefault="008860C2" w:rsidP="0027277C">
      <w:pPr>
        <w:rPr>
          <w:sz w:val="22"/>
          <w:szCs w:val="22"/>
        </w:rPr>
      </w:pPr>
    </w:p>
    <w:p w14:paraId="0262E31F" w14:textId="12DCB506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Štúdie svedčia o tom, že paroxetín má na rozdiel od antidepresív, ktoré inhibujú spätné vychytávanie noradrenalínu, omnoho menšiu tendenciu inhibovať antihypertenzívne účinky guanetidínu.</w:t>
      </w:r>
    </w:p>
    <w:p w14:paraId="54377AD2" w14:textId="77777777" w:rsidR="008860C2" w:rsidRDefault="008860C2" w:rsidP="0027277C">
      <w:pPr>
        <w:rPr>
          <w:sz w:val="22"/>
          <w:szCs w:val="22"/>
        </w:rPr>
      </w:pPr>
    </w:p>
    <w:p w14:paraId="26AFC241" w14:textId="4E1D46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 liečbe depresívnych porúch je účinnosť paroxetínu porovnateľná so štandardnými antidepresívami.</w:t>
      </w:r>
    </w:p>
    <w:p w14:paraId="1BA55DD9" w14:textId="77777777" w:rsidR="004A42FC" w:rsidRDefault="004A42FC" w:rsidP="0027277C">
      <w:pPr>
        <w:rPr>
          <w:sz w:val="22"/>
          <w:szCs w:val="22"/>
        </w:rPr>
      </w:pPr>
    </w:p>
    <w:p w14:paraId="3FBBEE9D" w14:textId="4EFBAFF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Existujú určité dôkazy o tom, že paroxetín môže byť terapeuticky úspešný i u pacientov, ktorí na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liečbu štandard</w:t>
      </w:r>
      <w:r w:rsidR="005C11AF" w:rsidRPr="0027277C">
        <w:rPr>
          <w:sz w:val="22"/>
          <w:szCs w:val="22"/>
        </w:rPr>
        <w:t>nými antidepresívami nereagujú.</w:t>
      </w:r>
    </w:p>
    <w:p w14:paraId="4042929A" w14:textId="77777777" w:rsidR="008860C2" w:rsidRDefault="008860C2" w:rsidP="0027277C">
      <w:pPr>
        <w:rPr>
          <w:sz w:val="22"/>
          <w:szCs w:val="22"/>
        </w:rPr>
      </w:pPr>
    </w:p>
    <w:p w14:paraId="27BDD3F4" w14:textId="704272FF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Ranné užívanie paroxetínu nemá negatívny vplyv na kvalitu ani na dĺžku spánku. Okrem toho je pravdepodobné, že pri reagovaní na liečbu pacienti spozorujú zlepšenie spánku.</w:t>
      </w:r>
    </w:p>
    <w:p w14:paraId="38790617" w14:textId="77777777" w:rsidR="00140CF8" w:rsidRPr="0027277C" w:rsidRDefault="00140CF8" w:rsidP="0027277C">
      <w:pPr>
        <w:rPr>
          <w:sz w:val="22"/>
          <w:szCs w:val="22"/>
        </w:rPr>
      </w:pPr>
    </w:p>
    <w:p w14:paraId="15EB8104" w14:textId="77777777" w:rsidR="00E168EA" w:rsidRPr="006035A0" w:rsidRDefault="00E168EA" w:rsidP="0027277C">
      <w:pPr>
        <w:tabs>
          <w:tab w:val="left" w:pos="567"/>
        </w:tabs>
        <w:rPr>
          <w:bCs/>
          <w:sz w:val="22"/>
          <w:szCs w:val="22"/>
          <w:u w:val="single"/>
          <w:lang w:eastAsia="en-US"/>
        </w:rPr>
      </w:pPr>
      <w:r w:rsidRPr="006035A0">
        <w:rPr>
          <w:bCs/>
          <w:sz w:val="22"/>
          <w:szCs w:val="22"/>
          <w:u w:val="single"/>
          <w:lang w:eastAsia="en-US"/>
        </w:rPr>
        <w:t xml:space="preserve">Analýza </w:t>
      </w:r>
      <w:r w:rsidR="00CE38BB" w:rsidRPr="006035A0">
        <w:rPr>
          <w:bCs/>
          <w:sz w:val="22"/>
          <w:szCs w:val="22"/>
          <w:u w:val="single"/>
          <w:lang w:eastAsia="en-US"/>
        </w:rPr>
        <w:t xml:space="preserve">samovražedného správania </w:t>
      </w:r>
      <w:r w:rsidRPr="006035A0">
        <w:rPr>
          <w:bCs/>
          <w:sz w:val="22"/>
          <w:szCs w:val="22"/>
          <w:u w:val="single"/>
          <w:lang w:eastAsia="en-US"/>
        </w:rPr>
        <w:t>u dospelých</w:t>
      </w:r>
    </w:p>
    <w:p w14:paraId="06C13612" w14:textId="2D7364AC" w:rsidR="00E168EA" w:rsidRPr="0027277C" w:rsidRDefault="00E168E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Analýza placebom kontrolovaných </w:t>
      </w:r>
      <w:r w:rsidR="00A460F9" w:rsidRPr="0027277C">
        <w:rPr>
          <w:sz w:val="22"/>
          <w:szCs w:val="22"/>
        </w:rPr>
        <w:t>skúš</w:t>
      </w:r>
      <w:r w:rsidR="000270CA" w:rsidRPr="0027277C">
        <w:rPr>
          <w:sz w:val="22"/>
          <w:szCs w:val="22"/>
        </w:rPr>
        <w:t>aní</w:t>
      </w:r>
      <w:r w:rsidR="00600649" w:rsidRPr="0027277C">
        <w:rPr>
          <w:sz w:val="22"/>
          <w:szCs w:val="22"/>
        </w:rPr>
        <w:t xml:space="preserve"> </w:t>
      </w:r>
      <w:r w:rsidRPr="0027277C">
        <w:rPr>
          <w:sz w:val="22"/>
          <w:szCs w:val="22"/>
        </w:rPr>
        <w:t>u dospelých s psychiatrickými poruchami špecificky zameraná na paroxetín ukázala zvýšenie výskytu samovražedného správania u mladých dospelých (vo veku 18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24 rokov) liečených paroxetínom oproti liečbe placebom (2,19</w:t>
      </w:r>
      <w:r w:rsidR="00D1020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0,92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 V starších vekových skupinách nebolo takéto zvýšenie pozorované. U dospelých s</w:t>
      </w:r>
      <w:r w:rsidR="00A5601C" w:rsidRPr="0027277C">
        <w:rPr>
          <w:sz w:val="22"/>
          <w:szCs w:val="22"/>
        </w:rPr>
        <w:t xml:space="preserve"> veľkou </w:t>
      </w:r>
      <w:r w:rsidRPr="0027277C">
        <w:rPr>
          <w:sz w:val="22"/>
          <w:szCs w:val="22"/>
        </w:rPr>
        <w:t>depresívnou poruchou (všetkých vekových skupín) došlo k zvýšeniu výskytu samovražedného správania u pacientov liečených paroxetínom oproti liečbe placebom (0,32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oproti 0,05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%); vo všetkých prípadoch sa jednalo o pokusy o samovraždu. U pacientov liečených paroxetínom sa však väčšina týchto pokusov o</w:t>
      </w:r>
      <w:r w:rsidR="00964ADD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samovraždu</w:t>
      </w:r>
      <w:r w:rsidR="00964ADD" w:rsidRPr="0027277C">
        <w:rPr>
          <w:sz w:val="22"/>
          <w:szCs w:val="22"/>
        </w:rPr>
        <w:t xml:space="preserve"> (8 z 1</w:t>
      </w:r>
      <w:r w:rsidR="00247615" w:rsidRPr="0027277C">
        <w:rPr>
          <w:sz w:val="22"/>
          <w:szCs w:val="22"/>
        </w:rPr>
        <w:t>1</w:t>
      </w:r>
      <w:r w:rsidR="00964ADD" w:rsidRPr="0027277C">
        <w:rPr>
          <w:sz w:val="22"/>
          <w:szCs w:val="22"/>
        </w:rPr>
        <w:t>)</w:t>
      </w:r>
      <w:r w:rsidRPr="0027277C">
        <w:rPr>
          <w:sz w:val="22"/>
          <w:szCs w:val="22"/>
        </w:rPr>
        <w:t xml:space="preserve"> vyskytla u mladších dospelých (pozri časť</w:t>
      </w:r>
      <w:r w:rsidR="00002EF9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4.4).</w:t>
      </w:r>
    </w:p>
    <w:p w14:paraId="3D440C2F" w14:textId="77777777" w:rsidR="00E168EA" w:rsidRPr="0027277C" w:rsidRDefault="00E168EA" w:rsidP="0027277C">
      <w:pPr>
        <w:rPr>
          <w:sz w:val="22"/>
          <w:szCs w:val="22"/>
        </w:rPr>
      </w:pPr>
    </w:p>
    <w:p w14:paraId="76943107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Odpoveď na dávku</w:t>
      </w:r>
    </w:p>
    <w:p w14:paraId="2E29BE19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štúdiách fixnej dávky </w:t>
      </w:r>
      <w:r w:rsidR="00E50836" w:rsidRPr="0027277C">
        <w:rPr>
          <w:sz w:val="22"/>
          <w:szCs w:val="22"/>
        </w:rPr>
        <w:t xml:space="preserve">je </w:t>
      </w:r>
      <w:r w:rsidRPr="0027277C">
        <w:rPr>
          <w:sz w:val="22"/>
          <w:szCs w:val="22"/>
        </w:rPr>
        <w:t>krivka odpovede na dávku plochá, čo svedčí o tom, že neexistuje výhoda týkajúca sa účinnosti pre používanie vyšších ako odporúčaných dávok. Existujú však niektoré klinické údaje, ktoré svedčia o tom, že pre niektorých pacientov môže byť prínosná titrácia dávky smerom nahor.</w:t>
      </w:r>
    </w:p>
    <w:p w14:paraId="126E95EF" w14:textId="77777777" w:rsidR="00140CF8" w:rsidRPr="0027277C" w:rsidRDefault="00140CF8" w:rsidP="0027277C">
      <w:pPr>
        <w:rPr>
          <w:sz w:val="22"/>
          <w:szCs w:val="22"/>
        </w:rPr>
      </w:pPr>
    </w:p>
    <w:p w14:paraId="377AA4ED" w14:textId="77777777" w:rsidR="00140CF8" w:rsidRPr="006035A0" w:rsidRDefault="00140CF8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Dlhodobá účinnosť</w:t>
      </w:r>
    </w:p>
    <w:p w14:paraId="7715ED4A" w14:textId="3E6F5C0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Dlhodobá účinnosť paroxetínu </w:t>
      </w:r>
      <w:r w:rsidR="00B25BAA" w:rsidRPr="0027277C">
        <w:rPr>
          <w:sz w:val="22"/>
          <w:szCs w:val="22"/>
        </w:rPr>
        <w:t>pri liečbe</w:t>
      </w:r>
      <w:r w:rsidRPr="0027277C">
        <w:rPr>
          <w:sz w:val="22"/>
          <w:szCs w:val="22"/>
        </w:rPr>
        <w:t> depresie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52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12</w:t>
      </w:r>
      <w:r w:rsidR="004A42F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(20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</w:t>
      </w:r>
      <w:r w:rsidR="005C11AF" w:rsidRPr="0027277C">
        <w:rPr>
          <w:sz w:val="22"/>
          <w:szCs w:val="22"/>
        </w:rPr>
        <w:t>proti 28</w:t>
      </w:r>
      <w:r w:rsidR="00105807" w:rsidRPr="0027277C">
        <w:rPr>
          <w:sz w:val="22"/>
          <w:szCs w:val="22"/>
        </w:rPr>
        <w:t> </w:t>
      </w:r>
      <w:r w:rsidR="005C11AF" w:rsidRPr="0027277C">
        <w:rPr>
          <w:sz w:val="22"/>
          <w:szCs w:val="22"/>
        </w:rPr>
        <w:t>% pacientov na placebe.</w:t>
      </w:r>
    </w:p>
    <w:p w14:paraId="1F3D1DE1" w14:textId="77777777" w:rsidR="00140CF8" w:rsidRPr="0027277C" w:rsidRDefault="00140CF8" w:rsidP="0027277C">
      <w:pPr>
        <w:rPr>
          <w:sz w:val="22"/>
          <w:szCs w:val="22"/>
        </w:rPr>
      </w:pPr>
    </w:p>
    <w:p w14:paraId="06B00D18" w14:textId="5F3A1030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obsedantno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kompulzívnej poruchy bola preskúmaná v troch 24</w:t>
      </w:r>
      <w:r w:rsidR="004A42F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týždňových štúdiách udržiavacej dávky s koncepciou prevencie relapsu. Jedna z troch štúdii dosiahl</w:t>
      </w:r>
      <w:r w:rsidR="00993613" w:rsidRPr="0027277C">
        <w:rPr>
          <w:sz w:val="22"/>
          <w:szCs w:val="22"/>
        </w:rPr>
        <w:t>a</w:t>
      </w:r>
      <w:r w:rsidRPr="0027277C">
        <w:rPr>
          <w:sz w:val="22"/>
          <w:szCs w:val="22"/>
        </w:rPr>
        <w:t xml:space="preserve"> významný rozdiel v podiele jedincov s relapsom medzi paroxetínom (38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 oproti placebu (59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%).</w:t>
      </w:r>
    </w:p>
    <w:p w14:paraId="2AF308B8" w14:textId="77777777" w:rsidR="00140CF8" w:rsidRPr="0027277C" w:rsidRDefault="00140CF8" w:rsidP="0027277C">
      <w:pPr>
        <w:rPr>
          <w:sz w:val="22"/>
          <w:szCs w:val="22"/>
        </w:rPr>
      </w:pPr>
    </w:p>
    <w:p w14:paraId="48A23AC2" w14:textId="518BDDF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panickej poruchy bola preukázaná v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24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týždňovej štúdii udržiavacej dávky s koncepciou prevencie relapsu: relaps malo 5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užívajúcich paroxetín (10</w:t>
      </w:r>
      <w:r w:rsidR="004A42FC">
        <w:rPr>
          <w:sz w:val="22"/>
          <w:szCs w:val="22"/>
        </w:rPr>
        <w:t> </w:t>
      </w:r>
      <w:r w:rsidR="004A42FC">
        <w:rPr>
          <w:sz w:val="22"/>
          <w:szCs w:val="22"/>
        </w:rPr>
        <w:noBreakHyphen/>
        <w:t> </w:t>
      </w:r>
      <w:r w:rsidRPr="0027277C">
        <w:rPr>
          <w:sz w:val="22"/>
          <w:szCs w:val="22"/>
        </w:rPr>
        <w:t>40</w:t>
      </w:r>
      <w:r w:rsidR="005C11AF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 denne) oproti 30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pacientov na placebe. Táto bola podporená 36</w:t>
      </w:r>
      <w:r w:rsidR="005C11AF" w:rsidRPr="0027277C">
        <w:rPr>
          <w:sz w:val="22"/>
          <w:szCs w:val="22"/>
        </w:rPr>
        <w:noBreakHyphen/>
      </w:r>
      <w:r w:rsidRPr="0027277C">
        <w:rPr>
          <w:sz w:val="22"/>
          <w:szCs w:val="22"/>
        </w:rPr>
        <w:t>týždňovou štúdiou udržiavacej dávky.</w:t>
      </w:r>
    </w:p>
    <w:p w14:paraId="12B4FBFF" w14:textId="77777777" w:rsidR="00140CF8" w:rsidRPr="0027277C" w:rsidRDefault="00140CF8" w:rsidP="0027277C">
      <w:pPr>
        <w:rPr>
          <w:sz w:val="22"/>
          <w:szCs w:val="22"/>
        </w:rPr>
      </w:pPr>
    </w:p>
    <w:p w14:paraId="44341F1B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Dlhodobá účinnosť paroxetínu v liečbe sociálnej úzkosti a generalizovanej úzkostnej poruchy a</w:t>
      </w:r>
      <w:r w:rsidR="00F3079E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posttraumatickej stresovej poruchy nebola dostatočne preukázaná.</w:t>
      </w:r>
    </w:p>
    <w:p w14:paraId="1E9A34DD" w14:textId="77777777" w:rsidR="00140CF8" w:rsidRPr="0027277C" w:rsidRDefault="00140CF8" w:rsidP="0027277C">
      <w:pPr>
        <w:rPr>
          <w:sz w:val="22"/>
          <w:szCs w:val="22"/>
        </w:rPr>
      </w:pPr>
    </w:p>
    <w:p w14:paraId="1CEAC4E6" w14:textId="77777777" w:rsidR="00CE7510" w:rsidRPr="006035A0" w:rsidRDefault="00CE7510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Nežiaduce účinky získané z pediatrických klinických skúšaní</w:t>
      </w:r>
    </w:p>
    <w:p w14:paraId="75907163" w14:textId="1BBD0DD2" w:rsidR="00CE7510" w:rsidRPr="0027277C" w:rsidRDefault="00292992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V krátkodobých (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do 10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noBreakHyphen/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4A42F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týždňov) pediatrických klinický</w:t>
      </w:r>
      <w:r w:rsidR="00AD53A6" w:rsidRPr="0027277C">
        <w:rPr>
          <w:rFonts w:ascii="Times New Roman" w:hAnsi="Times New Roman"/>
          <w:color w:val="auto"/>
          <w:sz w:val="22"/>
          <w:szCs w:val="22"/>
        </w:rPr>
        <w:t>ch skúšaniach</w:t>
      </w:r>
      <w:r w:rsidRPr="0027277C">
        <w:rPr>
          <w:rFonts w:ascii="Times New Roman" w:hAnsi="Times New Roman"/>
          <w:color w:val="auto"/>
          <w:sz w:val="22"/>
          <w:szCs w:val="22"/>
        </w:rPr>
        <w:t xml:space="preserve"> u detí a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u pacientov liečených paroxetínom pozorované nasledujúce nežiaduce udalosti s frekvenciou najmenej u 2 % pacientov a výskytom v pomere najmenej dvojnásobnom voči placebu: zvýšená miera správania spojeného so samovraždou (zahŕňajúc</w:t>
      </w:r>
      <w:r w:rsidR="004A42FC">
        <w:rPr>
          <w:rFonts w:ascii="Times New Roman" w:hAnsi="Times New Roman"/>
          <w:color w:val="auto"/>
          <w:sz w:val="22"/>
          <w:szCs w:val="22"/>
        </w:rPr>
        <w:t>eho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pokusy o samovraždu a samovražedné myšlienky), sebapoškodzujúce správanie a zvýšená miera nepriateľstva. Samovražedné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 xml:space="preserve"> myšlienky a pokusy 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lastRenderedPageBreak/>
        <w:t>o samovraždy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boli pozorov</w:t>
      </w:r>
      <w:r w:rsidR="00B036D0" w:rsidRPr="0027277C">
        <w:rPr>
          <w:rFonts w:ascii="Times New Roman" w:hAnsi="Times New Roman"/>
          <w:color w:val="auto"/>
          <w:sz w:val="22"/>
          <w:szCs w:val="22"/>
        </w:rPr>
        <w:t>ané hlavne v klinických skúšaniach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u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0270CA" w:rsidRPr="0027277C">
        <w:rPr>
          <w:rFonts w:ascii="Times New Roman" w:hAnsi="Times New Roman"/>
          <w:color w:val="auto"/>
          <w:sz w:val="22"/>
          <w:szCs w:val="22"/>
        </w:rPr>
        <w:t>dospievajúcich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s</w:t>
      </w:r>
      <w:r w:rsidR="00E91998" w:rsidRPr="0027277C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depresívnou poruchou. Zvýšená miera nepriateľstva sa vyskytovala hlavne u detí s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obsedantno</w:t>
      </w:r>
      <w:r w:rsidR="00121D56">
        <w:rPr>
          <w:rFonts w:ascii="Times New Roman" w:hAnsi="Times New Roman"/>
          <w:color w:val="auto"/>
          <w:sz w:val="22"/>
          <w:szCs w:val="22"/>
        </w:rPr>
        <w:noBreakHyphen/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kompulzívnou poruchou a n</w:t>
      </w:r>
      <w:r w:rsidR="00BF5172" w:rsidRPr="0027277C">
        <w:rPr>
          <w:rFonts w:ascii="Times New Roman" w:hAnsi="Times New Roman"/>
          <w:color w:val="auto"/>
          <w:sz w:val="22"/>
          <w:szCs w:val="22"/>
        </w:rPr>
        <w:t>ajmä u mladších detí vo veku do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12</w:t>
      </w:r>
      <w:r w:rsidR="00121D56">
        <w:rPr>
          <w:rFonts w:ascii="Times New Roman" w:hAnsi="Times New Roman"/>
          <w:color w:val="auto"/>
          <w:sz w:val="22"/>
          <w:szCs w:val="22"/>
        </w:rPr>
        <w:t> 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rokov. Ďalšie nežiaduce účinky, ktoré boli častejšie pozorované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 skupine užívajúcej paroxetín ako 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v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> skupin</w:t>
      </w:r>
      <w:r w:rsidR="00E21083" w:rsidRPr="0027277C">
        <w:rPr>
          <w:rFonts w:ascii="Times New Roman" w:hAnsi="Times New Roman"/>
          <w:color w:val="auto"/>
          <w:sz w:val="22"/>
          <w:szCs w:val="22"/>
        </w:rPr>
        <w:t>e</w:t>
      </w:r>
      <w:r w:rsidR="00CE7510" w:rsidRPr="0027277C">
        <w:rPr>
          <w:rFonts w:ascii="Times New Roman" w:hAnsi="Times New Roman"/>
          <w:color w:val="auto"/>
          <w:sz w:val="22"/>
          <w:szCs w:val="22"/>
        </w:rPr>
        <w:t xml:space="preserve"> s placebom, boli znížená chuť do jedla, tremor, potenie, hyperkinéza, agitovanosť, emocionálna labilita (vrátane plaču a zmien nálady).</w:t>
      </w:r>
    </w:p>
    <w:p w14:paraId="415AC7E5" w14:textId="77777777" w:rsidR="00CE7510" w:rsidRPr="0027277C" w:rsidRDefault="00CE7510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</w:p>
    <w:p w14:paraId="52B36971" w14:textId="2F51F135" w:rsidR="00CE7510" w:rsidRPr="0027277C" w:rsidRDefault="00BF5172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V štúdiách s </w:t>
      </w:r>
      <w:r w:rsidR="00CE7510" w:rsidRPr="0027277C">
        <w:rPr>
          <w:sz w:val="22"/>
          <w:szCs w:val="22"/>
        </w:rPr>
        <w:t>režimom postupného znižovania dávky boli počas</w:t>
      </w:r>
      <w:r w:rsidRPr="0027277C">
        <w:rPr>
          <w:sz w:val="22"/>
          <w:szCs w:val="22"/>
        </w:rPr>
        <w:t xml:space="preserve"> fázy znižovania dávky alebo po </w:t>
      </w:r>
      <w:r w:rsidR="00CE7510" w:rsidRPr="0027277C">
        <w:rPr>
          <w:sz w:val="22"/>
          <w:szCs w:val="22"/>
        </w:rPr>
        <w:t>prerušení podávania paroxetínu hlásené nasledujúce symptómy s frekvenciou najmenej u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2</w:t>
      </w:r>
      <w:r w:rsidR="00B036D0" w:rsidRPr="0027277C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%</w:t>
      </w:r>
      <w:r w:rsidR="00121D56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pacientov a výskytom v pomere najmenej dvojnásobnom</w:t>
      </w:r>
      <w:r w:rsidRPr="0027277C">
        <w:rPr>
          <w:sz w:val="22"/>
          <w:szCs w:val="22"/>
        </w:rPr>
        <w:t xml:space="preserve"> voči placebu: emocionálna la</w:t>
      </w:r>
      <w:r w:rsidR="00CE7510" w:rsidRPr="0027277C">
        <w:rPr>
          <w:sz w:val="22"/>
          <w:szCs w:val="22"/>
        </w:rPr>
        <w:t>bilita (vrátane plaču, zmien nálady, sebapoškodzovania, samovražedných myšlienok a pokusov o samovraždu), nervozita, závrat, nauzea a bolesť brucha (pozri časť</w:t>
      </w:r>
      <w:r w:rsidR="001E72BF">
        <w:rPr>
          <w:sz w:val="22"/>
          <w:szCs w:val="22"/>
        </w:rPr>
        <w:t> </w:t>
      </w:r>
      <w:r w:rsidR="00CE7510" w:rsidRPr="0027277C">
        <w:rPr>
          <w:sz w:val="22"/>
          <w:szCs w:val="22"/>
        </w:rPr>
        <w:t>4.4).</w:t>
      </w:r>
    </w:p>
    <w:p w14:paraId="47E0F84E" w14:textId="77777777" w:rsidR="00CE7510" w:rsidRPr="0027277C" w:rsidRDefault="00CE7510" w:rsidP="0027277C">
      <w:pPr>
        <w:rPr>
          <w:sz w:val="22"/>
          <w:szCs w:val="22"/>
        </w:rPr>
      </w:pPr>
    </w:p>
    <w:p w14:paraId="1CA2A387" w14:textId="77777777" w:rsidR="00CE7510" w:rsidRPr="0027277C" w:rsidRDefault="00CE7510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V piatich </w:t>
      </w:r>
      <w:r w:rsidR="00DD3112" w:rsidRPr="0027277C">
        <w:rPr>
          <w:sz w:val="22"/>
          <w:szCs w:val="22"/>
        </w:rPr>
        <w:t>štúdiách s paralelným usporiadaním skupín</w:t>
      </w:r>
      <w:r w:rsidRPr="0027277C">
        <w:rPr>
          <w:sz w:val="22"/>
          <w:szCs w:val="22"/>
        </w:rPr>
        <w:t xml:space="preserve">, s trvaním liečby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týždňov až </w:t>
      </w:r>
      <w:r w:rsidR="00DD3112" w:rsidRPr="0027277C">
        <w:rPr>
          <w:sz w:val="22"/>
          <w:szCs w:val="22"/>
        </w:rPr>
        <w:t>osem</w:t>
      </w:r>
      <w:r w:rsidRPr="0027277C">
        <w:rPr>
          <w:sz w:val="22"/>
          <w:szCs w:val="22"/>
        </w:rPr>
        <w:t xml:space="preserve"> mesiacov, boli u pacientov liečených paroxetínom pozorované nežiaduce účinky spojené s krvácaním predovšetkým kože a slizníc, </w:t>
      </w:r>
      <w:r w:rsidR="0034433D" w:rsidRPr="0027277C">
        <w:rPr>
          <w:sz w:val="22"/>
          <w:szCs w:val="22"/>
        </w:rPr>
        <w:t xml:space="preserve">s frekvenciou 1,74 % </w:t>
      </w:r>
      <w:r w:rsidRPr="0027277C">
        <w:rPr>
          <w:sz w:val="22"/>
          <w:szCs w:val="22"/>
        </w:rPr>
        <w:t>v porovnaní s 0,74 % pozorovanými u</w:t>
      </w:r>
      <w:r w:rsidR="007B6328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pacientov</w:t>
      </w:r>
      <w:r w:rsidR="007B6328" w:rsidRPr="0027277C">
        <w:rPr>
          <w:sz w:val="22"/>
          <w:szCs w:val="22"/>
        </w:rPr>
        <w:t>,</w:t>
      </w:r>
      <w:r w:rsidRPr="0027277C">
        <w:rPr>
          <w:sz w:val="22"/>
          <w:szCs w:val="22"/>
        </w:rPr>
        <w:t xml:space="preserve"> </w:t>
      </w:r>
      <w:r w:rsidR="000A41EB" w:rsidRPr="0027277C">
        <w:rPr>
          <w:sz w:val="22"/>
          <w:szCs w:val="22"/>
        </w:rPr>
        <w:t>ktorí dostávali</w:t>
      </w:r>
      <w:r w:rsidRPr="0027277C">
        <w:rPr>
          <w:sz w:val="22"/>
          <w:szCs w:val="22"/>
        </w:rPr>
        <w:t xml:space="preserve"> placebo.</w:t>
      </w:r>
    </w:p>
    <w:p w14:paraId="266827B2" w14:textId="77777777" w:rsidR="00CE7510" w:rsidRPr="0027277C" w:rsidRDefault="00CE7510" w:rsidP="0027277C">
      <w:pPr>
        <w:rPr>
          <w:sz w:val="22"/>
          <w:szCs w:val="22"/>
        </w:rPr>
      </w:pPr>
    </w:p>
    <w:p w14:paraId="04C78D3E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5.2</w:t>
      </w:r>
      <w:r w:rsidRPr="0027277C">
        <w:rPr>
          <w:b/>
          <w:sz w:val="22"/>
          <w:szCs w:val="22"/>
        </w:rPr>
        <w:tab/>
        <w:t>Farmakokinetické vlastnosti</w:t>
      </w:r>
    </w:p>
    <w:p w14:paraId="76823220" w14:textId="77777777" w:rsidR="00140CF8" w:rsidRPr="0027277C" w:rsidRDefault="00140CF8" w:rsidP="0027277C">
      <w:pPr>
        <w:pStyle w:val="Nadpis6"/>
        <w:keepNext w:val="0"/>
        <w:rPr>
          <w:rFonts w:ascii="Times New Roman" w:hAnsi="Times New Roman"/>
          <w:b w:val="0"/>
          <w:color w:val="auto"/>
          <w:sz w:val="22"/>
          <w:szCs w:val="22"/>
          <w:u w:val="single"/>
        </w:rPr>
      </w:pPr>
    </w:p>
    <w:p w14:paraId="7BC9F513" w14:textId="77777777" w:rsidR="00140CF8" w:rsidRPr="006035A0" w:rsidRDefault="00140CF8" w:rsidP="0027277C">
      <w:pPr>
        <w:pStyle w:val="Nadpis6"/>
        <w:keepNext w:val="0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Absorpcia</w:t>
      </w:r>
    </w:p>
    <w:p w14:paraId="0DCBD90F" w14:textId="5194D11A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sa po perorálnom podaní dobre vstrebáva a podlieha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metabolizmu. V dôsledku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metabolizmu je množstvo paroxetínu </w:t>
      </w:r>
      <w:r w:rsidR="00B37695" w:rsidRPr="0027277C">
        <w:rPr>
          <w:sz w:val="22"/>
          <w:szCs w:val="22"/>
        </w:rPr>
        <w:t xml:space="preserve">dostupné </w:t>
      </w:r>
      <w:r w:rsidRPr="0027277C">
        <w:rPr>
          <w:sz w:val="22"/>
          <w:szCs w:val="22"/>
        </w:rPr>
        <w:t>v systémovej cirkulácii menšie ako množstvo, ktoré sa vstrebe z gastrointestinálneho traktu. Dochádza k čiastočnej saturácii first</w:t>
      </w:r>
      <w:r w:rsidR="002E4A68">
        <w:rPr>
          <w:sz w:val="22"/>
          <w:szCs w:val="22"/>
        </w:rPr>
        <w:noBreakHyphen/>
      </w:r>
      <w:r w:rsidRPr="0027277C">
        <w:rPr>
          <w:sz w:val="22"/>
          <w:szCs w:val="22"/>
        </w:rPr>
        <w:t xml:space="preserve">pass účinku a k zníženému plazmatickému klírensu, pretože </w:t>
      </w:r>
      <w:r w:rsidR="00397431" w:rsidRPr="0027277C">
        <w:rPr>
          <w:sz w:val="22"/>
          <w:szCs w:val="22"/>
        </w:rPr>
        <w:t>množstvo látky v tele</w:t>
      </w:r>
      <w:r w:rsidRPr="0027277C">
        <w:rPr>
          <w:sz w:val="22"/>
          <w:szCs w:val="22"/>
        </w:rPr>
        <w:t xml:space="preserve"> sa zvýši pri vyšších jednorazových dávkach alebo po podaní opakovanej dávky. To má za následok disproporčné zvýšenia plazmatických koncentrácií paroxetínu, a z tohto dôvodu nie sú farmakokinetické parametre konštantné, čo vedie k nelineárnej kinetike. Nelinearita je však zvyčajne malá a obmedzuje sa na tých jedincov, ktorí dosiahnu nízke plazmatic</w:t>
      </w:r>
      <w:r w:rsidR="005C11AF" w:rsidRPr="0027277C">
        <w:rPr>
          <w:sz w:val="22"/>
          <w:szCs w:val="22"/>
        </w:rPr>
        <w:t>ké hladiny pri nízkych dávkach.</w:t>
      </w:r>
    </w:p>
    <w:p w14:paraId="6E797118" w14:textId="77777777" w:rsidR="008860C2" w:rsidRDefault="008860C2" w:rsidP="0027277C">
      <w:pPr>
        <w:rPr>
          <w:sz w:val="22"/>
          <w:szCs w:val="22"/>
        </w:rPr>
      </w:pPr>
    </w:p>
    <w:p w14:paraId="6052D15D" w14:textId="1B34EFD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Systémové hladiny v ustálenom stave sa dosiahnu po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7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až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14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dňoch od začatia liečby u prípravkov s</w:t>
      </w:r>
      <w:r w:rsidR="002E4A68">
        <w:rPr>
          <w:sz w:val="22"/>
          <w:szCs w:val="22"/>
        </w:rPr>
        <w:t> </w:t>
      </w:r>
      <w:r w:rsidRPr="0027277C">
        <w:rPr>
          <w:sz w:val="22"/>
          <w:szCs w:val="22"/>
        </w:rPr>
        <w:t>okamžitým alebo kontrolovaným uvoľňovaním a nezdá sa, že by sa farmakokinetické parametre počas dlhodobej liečby zmenili.</w:t>
      </w:r>
    </w:p>
    <w:p w14:paraId="6436D079" w14:textId="77777777" w:rsidR="00140CF8" w:rsidRPr="0027277C" w:rsidRDefault="00140CF8" w:rsidP="0027277C">
      <w:pPr>
        <w:rPr>
          <w:sz w:val="22"/>
          <w:szCs w:val="22"/>
        </w:rPr>
      </w:pPr>
    </w:p>
    <w:p w14:paraId="25E89D2E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Distribúcia</w:t>
      </w:r>
    </w:p>
    <w:p w14:paraId="67E2C4C7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Paroxetín je v rozsiahlej miere distribuovaný do tkanív a farmakokinetické výpočty svedčia o tom, že v plazme zostáva len 1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celkového množstva paroxet</w:t>
      </w:r>
      <w:r w:rsidR="00C53D64" w:rsidRPr="0027277C">
        <w:rPr>
          <w:sz w:val="22"/>
          <w:szCs w:val="22"/>
        </w:rPr>
        <w:t>í</w:t>
      </w:r>
      <w:r w:rsidRPr="0027277C">
        <w:rPr>
          <w:sz w:val="22"/>
          <w:szCs w:val="22"/>
        </w:rPr>
        <w:t>nu.</w:t>
      </w:r>
    </w:p>
    <w:p w14:paraId="3E573BCC" w14:textId="77777777" w:rsidR="008860C2" w:rsidRDefault="008860C2" w:rsidP="0027277C">
      <w:pPr>
        <w:rPr>
          <w:sz w:val="22"/>
          <w:szCs w:val="22"/>
        </w:rPr>
      </w:pPr>
    </w:p>
    <w:p w14:paraId="01A3E2AF" w14:textId="071150D9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Pri terapeutických koncentráciách sa asi 95</w:t>
      </w:r>
      <w:r w:rsidR="00324CD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prítomnéh</w:t>
      </w:r>
      <w:r w:rsidR="00324CDC" w:rsidRPr="0027277C">
        <w:rPr>
          <w:sz w:val="22"/>
          <w:szCs w:val="22"/>
        </w:rPr>
        <w:t>o paroxetínu viaže na proteíny.</w:t>
      </w:r>
    </w:p>
    <w:p w14:paraId="1E889B0C" w14:textId="77777777" w:rsidR="008860C2" w:rsidRDefault="008860C2" w:rsidP="0027277C">
      <w:pPr>
        <w:rPr>
          <w:sz w:val="22"/>
          <w:szCs w:val="22"/>
        </w:rPr>
      </w:pPr>
    </w:p>
    <w:p w14:paraId="073C05A1" w14:textId="2E3E13C1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Plazmatické koncentrácie paroxetínu nekorelujú s klinickým účinkom (nežiaduce účinky a účinnosť).</w:t>
      </w:r>
    </w:p>
    <w:p w14:paraId="24B0B1DB" w14:textId="77777777" w:rsidR="00140CF8" w:rsidRPr="0027277C" w:rsidRDefault="00140CF8" w:rsidP="0027277C">
      <w:pPr>
        <w:rPr>
          <w:sz w:val="22"/>
          <w:szCs w:val="22"/>
        </w:rPr>
      </w:pPr>
    </w:p>
    <w:p w14:paraId="29A3DEA9" w14:textId="77777777" w:rsidR="00140CF8" w:rsidRPr="006035A0" w:rsidRDefault="009D785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Biotransformácia</w:t>
      </w:r>
    </w:p>
    <w:p w14:paraId="0EA1CF27" w14:textId="77777777" w:rsidR="00140CF8" w:rsidRPr="0027277C" w:rsidRDefault="00140CF8" w:rsidP="0027277C">
      <w:pPr>
        <w:pStyle w:val="Zkladntext3"/>
        <w:rPr>
          <w:rFonts w:ascii="Times New Roman" w:hAnsi="Times New Roman"/>
          <w:color w:val="auto"/>
          <w:sz w:val="22"/>
          <w:szCs w:val="22"/>
        </w:rPr>
      </w:pPr>
      <w:r w:rsidRPr="0027277C">
        <w:rPr>
          <w:rFonts w:ascii="Times New Roman" w:hAnsi="Times New Roman"/>
          <w:color w:val="auto"/>
          <w:sz w:val="22"/>
          <w:szCs w:val="22"/>
        </w:rPr>
        <w:t>Hlavnými metabolitmi paroxetínu sú polárne a konjugované produkty oxidácie a metylácie, ktoré sú ľahko vylučované. Vzhľadom na ich relatívnu farmakologickú neúčinnosť, nie je veľmi pravdepodobné, že by prispievali k terapeutickému účinku paroxetínu.</w:t>
      </w:r>
    </w:p>
    <w:p w14:paraId="142D7484" w14:textId="77777777" w:rsidR="008860C2" w:rsidRDefault="008860C2" w:rsidP="0027277C">
      <w:pPr>
        <w:rPr>
          <w:sz w:val="22"/>
          <w:szCs w:val="22"/>
        </w:rPr>
      </w:pPr>
    </w:p>
    <w:p w14:paraId="7094CD84" w14:textId="58E1F368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Metabolizmus neovplyvňuje selektívny účinok paroxetínu na spätné vychytávanie 5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HT v neurónoch.</w:t>
      </w:r>
    </w:p>
    <w:p w14:paraId="179D27F2" w14:textId="77777777" w:rsidR="00140CF8" w:rsidRPr="0027277C" w:rsidRDefault="00140CF8" w:rsidP="0027277C">
      <w:pPr>
        <w:rPr>
          <w:sz w:val="22"/>
          <w:szCs w:val="22"/>
        </w:rPr>
      </w:pPr>
    </w:p>
    <w:p w14:paraId="031228D6" w14:textId="77777777" w:rsidR="00140CF8" w:rsidRPr="006035A0" w:rsidRDefault="00140CF8" w:rsidP="0027277C">
      <w:pPr>
        <w:pStyle w:val="Nadpis6"/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</w:pPr>
      <w:r w:rsidRPr="006035A0">
        <w:rPr>
          <w:rFonts w:ascii="Times New Roman" w:hAnsi="Times New Roman"/>
          <w:b w:val="0"/>
          <w:bCs/>
          <w:iCs/>
          <w:color w:val="auto"/>
          <w:sz w:val="22"/>
          <w:szCs w:val="22"/>
          <w:u w:val="single"/>
        </w:rPr>
        <w:t>Eliminácia</w:t>
      </w:r>
    </w:p>
    <w:p w14:paraId="6AB55CE0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Asi 64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paroxetínu sa vylučuje močom</w:t>
      </w:r>
      <w:r w:rsidR="000D61C4" w:rsidRPr="0027277C">
        <w:rPr>
          <w:sz w:val="22"/>
          <w:szCs w:val="22"/>
        </w:rPr>
        <w:t xml:space="preserve"> vo forme metabolitov</w:t>
      </w:r>
      <w:r w:rsidRPr="0027277C">
        <w:rPr>
          <w:sz w:val="22"/>
          <w:szCs w:val="22"/>
        </w:rPr>
        <w:t>, v nezmenenej forme sa zvyčajne vylúči menej ako 2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%. Približne 36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podanej dávky sa vylučuje stolicou, pravdepodobne prostredníctvom žlče, z toho menej ako 1</w:t>
      </w:r>
      <w:r w:rsidR="00105807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% pripadá na nemetabolizovaný paroxetín. Paroxetín sa teda vylučuje prevažne vo forme metabolitov.</w:t>
      </w:r>
    </w:p>
    <w:p w14:paraId="7BBC3631" w14:textId="77777777" w:rsidR="008860C2" w:rsidRDefault="008860C2" w:rsidP="0027277C">
      <w:pPr>
        <w:rPr>
          <w:sz w:val="22"/>
          <w:szCs w:val="22"/>
        </w:rPr>
      </w:pPr>
    </w:p>
    <w:p w14:paraId="21816A65" w14:textId="12DBCDC8" w:rsidR="008860C2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Vylučovanie metabolitov je dvojfázové. Primárne je výsledkom first</w:t>
      </w:r>
      <w:r w:rsidR="00337CB0">
        <w:rPr>
          <w:sz w:val="22"/>
          <w:szCs w:val="22"/>
        </w:rPr>
        <w:noBreakHyphen/>
      </w:r>
      <w:r w:rsidRPr="0027277C">
        <w:rPr>
          <w:sz w:val="22"/>
          <w:szCs w:val="22"/>
        </w:rPr>
        <w:t>pass metabolizmu a sekundárne je ovplyvnené systémovou elimináciou paroxetínu.</w:t>
      </w:r>
    </w:p>
    <w:p w14:paraId="11400E0E" w14:textId="77777777" w:rsidR="008860C2" w:rsidRDefault="008860C2" w:rsidP="0027277C">
      <w:pPr>
        <w:rPr>
          <w:sz w:val="22"/>
          <w:szCs w:val="22"/>
        </w:rPr>
      </w:pPr>
    </w:p>
    <w:p w14:paraId="4AB8F3FD" w14:textId="7094A30D" w:rsidR="00140CF8" w:rsidRPr="0027277C" w:rsidRDefault="00140CF8" w:rsidP="0027277C">
      <w:pPr>
        <w:rPr>
          <w:strike/>
          <w:sz w:val="22"/>
          <w:szCs w:val="22"/>
        </w:rPr>
      </w:pPr>
      <w:r w:rsidRPr="0027277C">
        <w:rPr>
          <w:sz w:val="22"/>
          <w:szCs w:val="22"/>
        </w:rPr>
        <w:lastRenderedPageBreak/>
        <w:t xml:space="preserve">Polčas vylučovania je premenlivý, zvyčajne býva asi </w:t>
      </w:r>
      <w:r w:rsidR="0088500B" w:rsidRPr="0027277C">
        <w:rPr>
          <w:sz w:val="22"/>
          <w:szCs w:val="22"/>
        </w:rPr>
        <w:t>jeden</w:t>
      </w:r>
      <w:r w:rsidRPr="0027277C">
        <w:rPr>
          <w:sz w:val="22"/>
          <w:szCs w:val="22"/>
        </w:rPr>
        <w:t xml:space="preserve"> deň.</w:t>
      </w:r>
    </w:p>
    <w:p w14:paraId="34750FFF" w14:textId="77777777" w:rsidR="00140CF8" w:rsidRPr="005549F8" w:rsidRDefault="00140CF8" w:rsidP="0027277C">
      <w:pPr>
        <w:rPr>
          <w:bCs/>
          <w:sz w:val="22"/>
          <w:szCs w:val="22"/>
        </w:rPr>
      </w:pPr>
    </w:p>
    <w:p w14:paraId="09F3705F" w14:textId="77777777" w:rsidR="00140CF8" w:rsidRPr="006035A0" w:rsidRDefault="00DC104D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 xml:space="preserve">Osobitné </w:t>
      </w:r>
      <w:r w:rsidR="00140CF8" w:rsidRPr="006035A0">
        <w:rPr>
          <w:bCs/>
          <w:sz w:val="22"/>
          <w:szCs w:val="22"/>
          <w:u w:val="single"/>
        </w:rPr>
        <w:t>skupiny pacientov</w:t>
      </w:r>
    </w:p>
    <w:p w14:paraId="5B2AB1F8" w14:textId="128C9FE3" w:rsidR="00140CF8" w:rsidRPr="006035A0" w:rsidRDefault="00140CF8" w:rsidP="0027277C">
      <w:pPr>
        <w:rPr>
          <w:bCs/>
          <w:i/>
          <w:sz w:val="22"/>
          <w:szCs w:val="22"/>
        </w:rPr>
      </w:pPr>
      <w:r w:rsidRPr="006035A0">
        <w:rPr>
          <w:bCs/>
          <w:i/>
          <w:sz w:val="22"/>
          <w:szCs w:val="22"/>
        </w:rPr>
        <w:t xml:space="preserve">Starší </w:t>
      </w:r>
      <w:r w:rsidR="009D7858" w:rsidRPr="006035A0">
        <w:rPr>
          <w:bCs/>
          <w:i/>
          <w:sz w:val="22"/>
          <w:szCs w:val="22"/>
        </w:rPr>
        <w:t>ľudia</w:t>
      </w:r>
      <w:r w:rsidRPr="006035A0">
        <w:rPr>
          <w:bCs/>
          <w:i/>
          <w:sz w:val="22"/>
          <w:szCs w:val="22"/>
        </w:rPr>
        <w:t xml:space="preserve"> a porucha funkcie obličiek/pečene</w:t>
      </w:r>
    </w:p>
    <w:p w14:paraId="0FFA5F8C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 starších ľudí a u jedincov s ťažkou poruchou funkcie obličiek alebo u jedincov s poruchou funkcie pečene dochádza k zvýšeniu plazmatických koncentrácií paroxetínu, ale dosiahnuté hodnoty nevybočujú z rozmedzia hodnôt pozorovaných </w:t>
      </w:r>
      <w:r w:rsidR="00397431" w:rsidRPr="0027277C">
        <w:rPr>
          <w:sz w:val="22"/>
          <w:szCs w:val="22"/>
        </w:rPr>
        <w:t>u zdravých dospelých jedincov</w:t>
      </w:r>
      <w:r w:rsidRPr="0027277C">
        <w:rPr>
          <w:sz w:val="22"/>
          <w:szCs w:val="22"/>
        </w:rPr>
        <w:t>.</w:t>
      </w:r>
    </w:p>
    <w:p w14:paraId="13303948" w14:textId="77777777" w:rsidR="00140CF8" w:rsidRPr="0027277C" w:rsidRDefault="00140CF8" w:rsidP="0027277C">
      <w:pPr>
        <w:rPr>
          <w:sz w:val="22"/>
          <w:szCs w:val="22"/>
        </w:rPr>
      </w:pPr>
    </w:p>
    <w:p w14:paraId="3C123435" w14:textId="77777777" w:rsidR="00140CF8" w:rsidRPr="0027277C" w:rsidRDefault="00140CF8" w:rsidP="0027277C">
      <w:pPr>
        <w:keepNext/>
        <w:keepLines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5.3</w:t>
      </w:r>
      <w:r w:rsidRPr="0027277C">
        <w:rPr>
          <w:b/>
          <w:sz w:val="22"/>
          <w:szCs w:val="22"/>
        </w:rPr>
        <w:tab/>
        <w:t xml:space="preserve">Predklinické údaje o bezpečnosti </w:t>
      </w:r>
    </w:p>
    <w:p w14:paraId="21699FCF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2497C5" w14:textId="3931B028" w:rsidR="00140CF8" w:rsidRPr="0027277C" w:rsidRDefault="00140CF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Uskutočnili sa toxikologické štúdie na opiciach (r</w:t>
      </w:r>
      <w:r w:rsidR="002F3A8F" w:rsidRPr="0027277C">
        <w:rPr>
          <w:sz w:val="22"/>
          <w:szCs w:val="22"/>
        </w:rPr>
        <w:t>é</w:t>
      </w:r>
      <w:r w:rsidRPr="0027277C">
        <w:rPr>
          <w:sz w:val="22"/>
          <w:szCs w:val="22"/>
        </w:rPr>
        <w:t>sus) a bielych potkanoch. U oboch sú metabolické procesy podobné ako u ľudí. Podľa očakávaní bola po podávaní paroxetínu u potkanov, podobne ako po podávaní ostatných lipofilných amínov vrátane tricyklických antidepresív, zistená fosfolipidóza. Fosfolipidóza sa nezistila v štúdiách na primátoch ani pri podávaní paroxetínu po</w:t>
      </w:r>
      <w:r w:rsidR="00337CB0">
        <w:rPr>
          <w:sz w:val="22"/>
          <w:szCs w:val="22"/>
        </w:rPr>
        <w:t>čas</w:t>
      </w:r>
      <w:r w:rsidRPr="0027277C">
        <w:rPr>
          <w:sz w:val="22"/>
          <w:szCs w:val="22"/>
        </w:rPr>
        <w:t xml:space="preserve"> až jedného roka v</w:t>
      </w:r>
      <w:r w:rsidR="00337CB0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dávkach </w:t>
      </w:r>
      <w:r w:rsidR="0088500B" w:rsidRPr="0027277C">
        <w:rPr>
          <w:sz w:val="22"/>
          <w:szCs w:val="22"/>
        </w:rPr>
        <w:t>šesť</w:t>
      </w:r>
      <w:r w:rsidRPr="0027277C">
        <w:rPr>
          <w:sz w:val="22"/>
          <w:szCs w:val="22"/>
        </w:rPr>
        <w:t>násobne prevyšujúcich odporúčané klinicky účinné dávkovanie.</w:t>
      </w:r>
    </w:p>
    <w:p w14:paraId="7A3FE913" w14:textId="77777777" w:rsidR="008860C2" w:rsidRDefault="008860C2" w:rsidP="0027277C">
      <w:pPr>
        <w:rPr>
          <w:i/>
          <w:sz w:val="22"/>
          <w:szCs w:val="22"/>
        </w:rPr>
      </w:pPr>
    </w:p>
    <w:p w14:paraId="52DF5D05" w14:textId="4C447B6D" w:rsidR="00140CF8" w:rsidRPr="0027277C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Karcinogenéza</w:t>
      </w:r>
      <w:r w:rsidRPr="0027277C">
        <w:rPr>
          <w:sz w:val="22"/>
          <w:szCs w:val="22"/>
        </w:rPr>
        <w:t>: Paroxetín nepreukazoval v dvojročných štúdiách na myšiach a potkanoch žiadny karcinogénny účinok.</w:t>
      </w:r>
    </w:p>
    <w:p w14:paraId="0F09E1D2" w14:textId="77777777" w:rsidR="008860C2" w:rsidRDefault="008860C2" w:rsidP="0027277C">
      <w:pPr>
        <w:rPr>
          <w:i/>
          <w:sz w:val="22"/>
          <w:szCs w:val="22"/>
        </w:rPr>
      </w:pPr>
    </w:p>
    <w:p w14:paraId="5E007DC7" w14:textId="3A308A66" w:rsidR="00140CF8" w:rsidRDefault="00140CF8" w:rsidP="0027277C">
      <w:pPr>
        <w:rPr>
          <w:sz w:val="22"/>
          <w:szCs w:val="22"/>
        </w:rPr>
      </w:pPr>
      <w:r w:rsidRPr="005549F8">
        <w:rPr>
          <w:iCs/>
          <w:sz w:val="22"/>
          <w:szCs w:val="22"/>
        </w:rPr>
        <w:t>Genotoxicita</w:t>
      </w:r>
      <w:r w:rsidRPr="0027277C">
        <w:rPr>
          <w:sz w:val="22"/>
          <w:szCs w:val="22"/>
        </w:rPr>
        <w:t xml:space="preserve">: V celom rade testov </w:t>
      </w:r>
      <w:r w:rsidRPr="0027277C">
        <w:rPr>
          <w:i/>
          <w:sz w:val="22"/>
          <w:szCs w:val="22"/>
        </w:rPr>
        <w:t>in vitro</w:t>
      </w:r>
      <w:r w:rsidRPr="0027277C">
        <w:rPr>
          <w:sz w:val="22"/>
          <w:szCs w:val="22"/>
        </w:rPr>
        <w:t xml:space="preserve"> ani </w:t>
      </w:r>
      <w:r w:rsidRPr="0027277C">
        <w:rPr>
          <w:i/>
          <w:sz w:val="22"/>
          <w:szCs w:val="22"/>
        </w:rPr>
        <w:t>in vivo</w:t>
      </w:r>
      <w:r w:rsidRPr="0027277C">
        <w:rPr>
          <w:sz w:val="22"/>
          <w:szCs w:val="22"/>
        </w:rPr>
        <w:t xml:space="preserve"> sa nezistila genotoxicita.</w:t>
      </w:r>
    </w:p>
    <w:p w14:paraId="733A3934" w14:textId="77777777" w:rsidR="00337CB0" w:rsidRPr="0027277C" w:rsidRDefault="00337CB0" w:rsidP="0027277C">
      <w:pPr>
        <w:rPr>
          <w:sz w:val="22"/>
          <w:szCs w:val="22"/>
        </w:rPr>
      </w:pPr>
    </w:p>
    <w:p w14:paraId="53E629E3" w14:textId="423FB57D" w:rsidR="00140CF8" w:rsidRPr="0027277C" w:rsidRDefault="009E5AC8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Štúdie reprodukčnej toxicity na potkanoch preukázali, že paroxetín ovplyvňuje fertilitu samcov a samíc znížením indexu plodnosti a počtu gravidít. U potkanov bola pozorovaná zvýšená mortalita mláďat a oneskorená osifikácia. Tieto účinky pravdepodobne súviseli s dávkami vyvolávajúcimi toxické prejavy u gravidných samíc a nepovažujú sa za priamy účinok na plod/novorodenca.</w:t>
      </w:r>
    </w:p>
    <w:p w14:paraId="3FE1C733" w14:textId="77777777" w:rsidR="00140CF8" w:rsidRPr="0027277C" w:rsidRDefault="00140CF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53A3D248" w14:textId="77777777" w:rsidR="009E5AC8" w:rsidRPr="0027277C" w:rsidRDefault="009E5AC8" w:rsidP="0027277C">
      <w:pPr>
        <w:ind w:left="567" w:hanging="567"/>
        <w:rPr>
          <w:caps/>
          <w:sz w:val="22"/>
          <w:szCs w:val="22"/>
          <w:highlight w:val="yellow"/>
        </w:rPr>
      </w:pPr>
    </w:p>
    <w:p w14:paraId="4EC6FD6E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6.</w:t>
      </w:r>
      <w:r w:rsidRPr="0027277C">
        <w:rPr>
          <w:b/>
          <w:caps/>
          <w:sz w:val="22"/>
          <w:szCs w:val="22"/>
        </w:rPr>
        <w:tab/>
        <w:t>FarmaceutickÉ informácie</w:t>
      </w:r>
    </w:p>
    <w:p w14:paraId="42F546AB" w14:textId="77777777" w:rsidR="00140CF8" w:rsidRPr="0027277C" w:rsidRDefault="00140CF8" w:rsidP="0027277C">
      <w:pPr>
        <w:rPr>
          <w:sz w:val="22"/>
          <w:szCs w:val="22"/>
        </w:rPr>
      </w:pPr>
    </w:p>
    <w:p w14:paraId="56A4E290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6.1</w:t>
      </w:r>
      <w:r w:rsidRPr="0027277C">
        <w:rPr>
          <w:b/>
          <w:sz w:val="22"/>
          <w:szCs w:val="22"/>
        </w:rPr>
        <w:tab/>
        <w:t>Zoznam pomocných látok</w:t>
      </w:r>
    </w:p>
    <w:p w14:paraId="744B88C6" w14:textId="77777777" w:rsidR="00032BB2" w:rsidRPr="00CA72B3" w:rsidRDefault="00032BB2" w:rsidP="0027277C">
      <w:pPr>
        <w:rPr>
          <w:sz w:val="22"/>
          <w:szCs w:val="22"/>
        </w:rPr>
      </w:pPr>
    </w:p>
    <w:p w14:paraId="10CAF783" w14:textId="77777777" w:rsidR="0041039F" w:rsidRPr="006035A0" w:rsidRDefault="0041039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Seroxat 20</w:t>
      </w:r>
      <w:r w:rsidR="0088500B" w:rsidRPr="006035A0">
        <w:rPr>
          <w:bCs/>
          <w:sz w:val="22"/>
          <w:szCs w:val="22"/>
          <w:u w:val="single"/>
        </w:rPr>
        <w:t> </w:t>
      </w:r>
      <w:r w:rsidRPr="006035A0">
        <w:rPr>
          <w:bCs/>
          <w:sz w:val="22"/>
          <w:szCs w:val="22"/>
          <w:u w:val="single"/>
        </w:rPr>
        <w:t>mg filmom obalené tablety</w:t>
      </w:r>
    </w:p>
    <w:p w14:paraId="55861F80" w14:textId="77777777" w:rsidR="004C1D08" w:rsidRPr="0027277C" w:rsidRDefault="00324CDC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15735336" w14:textId="212256C7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B48C0" w:rsidRPr="0027277C">
        <w:rPr>
          <w:sz w:val="22"/>
          <w:szCs w:val="22"/>
        </w:rPr>
        <w:t>ihydrát h</w:t>
      </w:r>
      <w:r w:rsidR="00FA0475" w:rsidRPr="0027277C">
        <w:rPr>
          <w:sz w:val="22"/>
          <w:szCs w:val="22"/>
        </w:rPr>
        <w:t>ydrog</w:t>
      </w:r>
      <w:r w:rsidR="00337CB0">
        <w:rPr>
          <w:sz w:val="22"/>
          <w:szCs w:val="22"/>
        </w:rPr>
        <w:t>e</w:t>
      </w:r>
      <w:r w:rsidR="00FA0475" w:rsidRPr="0027277C">
        <w:rPr>
          <w:sz w:val="22"/>
          <w:szCs w:val="22"/>
        </w:rPr>
        <w:t>nfosforečnan</w:t>
      </w:r>
      <w:r w:rsidR="004B48C0" w:rsidRPr="0027277C">
        <w:rPr>
          <w:sz w:val="22"/>
          <w:szCs w:val="22"/>
        </w:rPr>
        <w:t>u</w:t>
      </w:r>
      <w:r w:rsidR="00FA0475" w:rsidRPr="0027277C">
        <w:rPr>
          <w:sz w:val="22"/>
          <w:szCs w:val="22"/>
        </w:rPr>
        <w:t xml:space="preserve"> vápenat</w:t>
      </w:r>
      <w:r w:rsidR="004B48C0" w:rsidRPr="0027277C">
        <w:rPr>
          <w:sz w:val="22"/>
          <w:szCs w:val="22"/>
        </w:rPr>
        <w:t>ého</w:t>
      </w:r>
      <w:r w:rsidR="00924838" w:rsidRPr="0027277C">
        <w:rPr>
          <w:sz w:val="22"/>
          <w:szCs w:val="22"/>
        </w:rPr>
        <w:t xml:space="preserve"> (E341)</w:t>
      </w:r>
    </w:p>
    <w:p w14:paraId="044BECB4" w14:textId="77777777" w:rsidR="004C1D08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C1D08" w:rsidRPr="0027277C">
        <w:rPr>
          <w:sz w:val="22"/>
          <w:szCs w:val="22"/>
        </w:rPr>
        <w:t>odná soľ karboxymetyškrobu (Typ</w:t>
      </w:r>
      <w:r w:rsidR="002F354D" w:rsidRPr="0027277C">
        <w:rPr>
          <w:sz w:val="22"/>
          <w:szCs w:val="22"/>
        </w:rPr>
        <w:t> </w:t>
      </w:r>
      <w:r w:rsidR="004C1D08" w:rsidRPr="0027277C">
        <w:rPr>
          <w:sz w:val="22"/>
          <w:szCs w:val="22"/>
        </w:rPr>
        <w:t>A)</w:t>
      </w:r>
    </w:p>
    <w:p w14:paraId="6FC45DB3" w14:textId="7D111C44" w:rsidR="00140CF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5B4B9197" w14:textId="77777777" w:rsidR="0041039F" w:rsidRPr="0027277C" w:rsidRDefault="0041039F" w:rsidP="0027277C">
      <w:pPr>
        <w:rPr>
          <w:sz w:val="22"/>
          <w:szCs w:val="22"/>
        </w:rPr>
      </w:pPr>
    </w:p>
    <w:p w14:paraId="7D1D278B" w14:textId="77777777" w:rsidR="00324CDC" w:rsidRPr="0027277C" w:rsidRDefault="0041039F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6282E998" w14:textId="77777777" w:rsidR="00324CDC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53484DD9" w14:textId="77777777" w:rsidR="004C1D08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17DF71AD" w14:textId="77777777" w:rsidR="004C1D08" w:rsidRPr="0027277C" w:rsidRDefault="00A6336A" w:rsidP="0027277C">
      <w:pPr>
        <w:tabs>
          <w:tab w:val="left" w:pos="1815"/>
        </w:tabs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7218A647" w14:textId="77777777" w:rsidR="0041039F" w:rsidRPr="0027277C" w:rsidRDefault="00A6336A" w:rsidP="0027277C">
      <w:pPr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(E171).</w:t>
      </w:r>
    </w:p>
    <w:p w14:paraId="36AFE6FB" w14:textId="77777777" w:rsidR="00140CF8" w:rsidRPr="0027277C" w:rsidRDefault="00140CF8" w:rsidP="0027277C">
      <w:pPr>
        <w:rPr>
          <w:sz w:val="22"/>
          <w:szCs w:val="22"/>
        </w:rPr>
      </w:pPr>
    </w:p>
    <w:p w14:paraId="153D0853" w14:textId="77777777" w:rsidR="0041039F" w:rsidRPr="006035A0" w:rsidRDefault="0041039F" w:rsidP="0027277C">
      <w:pPr>
        <w:rPr>
          <w:bCs/>
          <w:sz w:val="22"/>
          <w:szCs w:val="22"/>
          <w:u w:val="single"/>
        </w:rPr>
      </w:pPr>
      <w:r w:rsidRPr="006035A0">
        <w:rPr>
          <w:bCs/>
          <w:sz w:val="22"/>
          <w:szCs w:val="22"/>
          <w:u w:val="single"/>
        </w:rPr>
        <w:t>Seroxat 30</w:t>
      </w:r>
      <w:r w:rsidR="0088500B" w:rsidRPr="006035A0">
        <w:rPr>
          <w:bCs/>
          <w:sz w:val="22"/>
          <w:szCs w:val="22"/>
          <w:u w:val="single"/>
        </w:rPr>
        <w:t> </w:t>
      </w:r>
      <w:r w:rsidRPr="006035A0">
        <w:rPr>
          <w:bCs/>
          <w:sz w:val="22"/>
          <w:szCs w:val="22"/>
          <w:u w:val="single"/>
        </w:rPr>
        <w:t>mg filmom obalené tablety</w:t>
      </w:r>
    </w:p>
    <w:p w14:paraId="61750329" w14:textId="77777777" w:rsidR="00324CDC" w:rsidRPr="0027277C" w:rsidRDefault="0041039F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Jadro tablety:</w:t>
      </w:r>
    </w:p>
    <w:p w14:paraId="61071FC6" w14:textId="14765C89" w:rsidR="00324CDC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</w:t>
      </w:r>
      <w:r w:rsidR="0041039F" w:rsidRPr="0027277C">
        <w:rPr>
          <w:sz w:val="22"/>
          <w:szCs w:val="22"/>
        </w:rPr>
        <w:t>ihydrát hydrog</w:t>
      </w:r>
      <w:r w:rsidR="00337CB0">
        <w:rPr>
          <w:sz w:val="22"/>
          <w:szCs w:val="22"/>
        </w:rPr>
        <w:t>e</w:t>
      </w:r>
      <w:r w:rsidR="0041039F" w:rsidRPr="0027277C">
        <w:rPr>
          <w:sz w:val="22"/>
          <w:szCs w:val="22"/>
        </w:rPr>
        <w:t>nfosforečnanu vápenatého</w:t>
      </w:r>
      <w:r w:rsidR="00924838" w:rsidRPr="0027277C">
        <w:rPr>
          <w:sz w:val="22"/>
          <w:szCs w:val="22"/>
        </w:rPr>
        <w:t xml:space="preserve"> (E341)</w:t>
      </w:r>
    </w:p>
    <w:p w14:paraId="695ACDA3" w14:textId="77777777" w:rsidR="0041039F" w:rsidRPr="0027277C" w:rsidRDefault="00A6336A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</w:t>
      </w:r>
      <w:r w:rsidR="0041039F" w:rsidRPr="0027277C">
        <w:rPr>
          <w:sz w:val="22"/>
          <w:szCs w:val="22"/>
        </w:rPr>
        <w:t>odná soľ karboxymetylškrobu (Typ</w:t>
      </w:r>
      <w:r w:rsidR="002F354D" w:rsidRPr="0027277C">
        <w:rPr>
          <w:sz w:val="22"/>
          <w:szCs w:val="22"/>
        </w:rPr>
        <w:t> </w:t>
      </w:r>
      <w:r w:rsidR="0041039F" w:rsidRPr="0027277C">
        <w:rPr>
          <w:sz w:val="22"/>
          <w:szCs w:val="22"/>
        </w:rPr>
        <w:t>A)</w:t>
      </w:r>
    </w:p>
    <w:p w14:paraId="5B8FD6D5" w14:textId="2ACBEBBE" w:rsidR="004C1D08" w:rsidRPr="0027277C" w:rsidRDefault="00337CB0" w:rsidP="0027277C">
      <w:pPr>
        <w:rPr>
          <w:sz w:val="22"/>
          <w:szCs w:val="22"/>
        </w:rPr>
      </w:pPr>
      <w:r>
        <w:rPr>
          <w:sz w:val="22"/>
          <w:szCs w:val="22"/>
        </w:rPr>
        <w:t>stear</w:t>
      </w:r>
      <w:r w:rsidR="00543B62">
        <w:rPr>
          <w:sz w:val="22"/>
          <w:szCs w:val="22"/>
        </w:rPr>
        <w:t>át</w:t>
      </w:r>
      <w:r>
        <w:rPr>
          <w:sz w:val="22"/>
          <w:szCs w:val="22"/>
        </w:rPr>
        <w:t xml:space="preserve"> horečnatý</w:t>
      </w:r>
      <w:r w:rsidR="00924838" w:rsidRPr="0027277C">
        <w:rPr>
          <w:sz w:val="22"/>
          <w:szCs w:val="22"/>
        </w:rPr>
        <w:t xml:space="preserve"> (E470b)</w:t>
      </w:r>
      <w:r w:rsidR="004C1D08" w:rsidRPr="0027277C">
        <w:rPr>
          <w:sz w:val="22"/>
          <w:szCs w:val="22"/>
        </w:rPr>
        <w:t>.</w:t>
      </w:r>
    </w:p>
    <w:p w14:paraId="38318372" w14:textId="77777777" w:rsidR="0041039F" w:rsidRPr="0027277C" w:rsidRDefault="0041039F" w:rsidP="0027277C">
      <w:pPr>
        <w:rPr>
          <w:sz w:val="22"/>
          <w:szCs w:val="22"/>
        </w:rPr>
      </w:pPr>
    </w:p>
    <w:p w14:paraId="5E8C6CA0" w14:textId="77777777" w:rsidR="00324CDC" w:rsidRPr="0027277C" w:rsidRDefault="0041039F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Obal tablety:</w:t>
      </w:r>
    </w:p>
    <w:p w14:paraId="4C302984" w14:textId="77777777" w:rsidR="00324CDC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h</w:t>
      </w:r>
      <w:r w:rsidR="0041039F" w:rsidRPr="0027277C">
        <w:rPr>
          <w:sz w:val="22"/>
          <w:szCs w:val="22"/>
        </w:rPr>
        <w:t>ypromelóza</w:t>
      </w:r>
      <w:r w:rsidR="00924838" w:rsidRPr="0027277C">
        <w:rPr>
          <w:sz w:val="22"/>
          <w:szCs w:val="22"/>
        </w:rPr>
        <w:t xml:space="preserve"> (E464)</w:t>
      </w:r>
    </w:p>
    <w:p w14:paraId="6EB57C4D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m</w:t>
      </w:r>
      <w:r w:rsidR="004C1D08" w:rsidRPr="0027277C">
        <w:rPr>
          <w:sz w:val="22"/>
          <w:szCs w:val="22"/>
        </w:rPr>
        <w:t>akrogol 400</w:t>
      </w:r>
    </w:p>
    <w:p w14:paraId="436E7D86" w14:textId="77777777" w:rsidR="004C1D08" w:rsidRPr="0027277C" w:rsidRDefault="00A6336A" w:rsidP="0027277C">
      <w:pPr>
        <w:keepNext/>
        <w:keepLines/>
        <w:ind w:right="-2"/>
        <w:rPr>
          <w:sz w:val="22"/>
          <w:szCs w:val="22"/>
        </w:rPr>
      </w:pPr>
      <w:r w:rsidRPr="0027277C">
        <w:rPr>
          <w:sz w:val="22"/>
          <w:szCs w:val="22"/>
        </w:rPr>
        <w:t>p</w:t>
      </w:r>
      <w:r w:rsidR="004C1D08" w:rsidRPr="0027277C">
        <w:rPr>
          <w:sz w:val="22"/>
          <w:szCs w:val="22"/>
        </w:rPr>
        <w:t>olysorbát 80</w:t>
      </w:r>
      <w:r w:rsidR="00924838" w:rsidRPr="0027277C">
        <w:rPr>
          <w:sz w:val="22"/>
          <w:szCs w:val="22"/>
        </w:rPr>
        <w:t xml:space="preserve"> (E433)</w:t>
      </w:r>
    </w:p>
    <w:p w14:paraId="00D258B9" w14:textId="77777777" w:rsidR="00324CDC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o</w:t>
      </w:r>
      <w:r w:rsidR="0041039F" w:rsidRPr="0027277C">
        <w:rPr>
          <w:sz w:val="22"/>
          <w:szCs w:val="22"/>
        </w:rPr>
        <w:t>xid titaničitý (E171)</w:t>
      </w:r>
    </w:p>
    <w:p w14:paraId="20A258EC" w14:textId="77777777" w:rsidR="0041039F" w:rsidRPr="0027277C" w:rsidRDefault="00A6336A" w:rsidP="0027277C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i</w:t>
      </w:r>
      <w:r w:rsidR="0041039F" w:rsidRPr="0027277C">
        <w:rPr>
          <w:sz w:val="22"/>
          <w:szCs w:val="22"/>
        </w:rPr>
        <w:t>ndigokarmín (E132).</w:t>
      </w:r>
    </w:p>
    <w:p w14:paraId="0F3A138E" w14:textId="77777777" w:rsidR="0041039F" w:rsidRPr="0027277C" w:rsidRDefault="0041039F" w:rsidP="0027277C">
      <w:pPr>
        <w:rPr>
          <w:sz w:val="22"/>
          <w:szCs w:val="22"/>
        </w:rPr>
      </w:pPr>
    </w:p>
    <w:p w14:paraId="420CE7F2" w14:textId="77777777" w:rsidR="00140CF8" w:rsidRPr="0027277C" w:rsidRDefault="00140CF8" w:rsidP="006035A0">
      <w:pPr>
        <w:keepNext/>
        <w:keepLines/>
        <w:ind w:left="567" w:hanging="567"/>
        <w:rPr>
          <w:sz w:val="22"/>
          <w:szCs w:val="22"/>
        </w:rPr>
      </w:pPr>
      <w:r w:rsidRPr="0027277C">
        <w:rPr>
          <w:b/>
          <w:sz w:val="22"/>
          <w:szCs w:val="22"/>
        </w:rPr>
        <w:lastRenderedPageBreak/>
        <w:t>6.2</w:t>
      </w:r>
      <w:r w:rsidRPr="0027277C">
        <w:rPr>
          <w:b/>
          <w:sz w:val="22"/>
          <w:szCs w:val="22"/>
        </w:rPr>
        <w:tab/>
        <w:t>Inkompatibility</w:t>
      </w:r>
    </w:p>
    <w:p w14:paraId="042AF756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</w:p>
    <w:p w14:paraId="7F5F53E3" w14:textId="77777777" w:rsidR="00140CF8" w:rsidRPr="0027277C" w:rsidRDefault="00140CF8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N</w:t>
      </w:r>
      <w:r w:rsidR="00154768" w:rsidRPr="0027277C">
        <w:rPr>
          <w:sz w:val="22"/>
          <w:szCs w:val="22"/>
        </w:rPr>
        <w:t>eaplikovateľné</w:t>
      </w:r>
      <w:r w:rsidR="00324CDC" w:rsidRPr="0027277C">
        <w:rPr>
          <w:sz w:val="22"/>
          <w:szCs w:val="22"/>
        </w:rPr>
        <w:t>.</w:t>
      </w:r>
    </w:p>
    <w:p w14:paraId="07222DC5" w14:textId="77777777" w:rsidR="00140CF8" w:rsidRPr="00CA72B3" w:rsidRDefault="00140CF8" w:rsidP="0027277C">
      <w:pPr>
        <w:rPr>
          <w:sz w:val="22"/>
          <w:szCs w:val="22"/>
        </w:rPr>
      </w:pPr>
    </w:p>
    <w:p w14:paraId="45428D3F" w14:textId="77777777" w:rsidR="00140CF8" w:rsidRPr="0027277C" w:rsidRDefault="00140CF8" w:rsidP="0027277C">
      <w:pPr>
        <w:keepNext/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6.3</w:t>
      </w:r>
      <w:r w:rsidRPr="0027277C">
        <w:rPr>
          <w:b/>
          <w:sz w:val="22"/>
          <w:szCs w:val="22"/>
        </w:rPr>
        <w:tab/>
        <w:t>Čas použiteľnosti</w:t>
      </w:r>
    </w:p>
    <w:p w14:paraId="253189F2" w14:textId="77777777" w:rsidR="00140CF8" w:rsidRPr="00CA72B3" w:rsidRDefault="00140CF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</w:p>
    <w:p w14:paraId="7885DD81" w14:textId="77777777" w:rsidR="00140CF8" w:rsidRPr="0027277C" w:rsidRDefault="00154768" w:rsidP="0027277C">
      <w:pPr>
        <w:pStyle w:val="Hlavika"/>
        <w:keepNext/>
        <w:tabs>
          <w:tab w:val="clear" w:pos="4320"/>
          <w:tab w:val="clear" w:pos="8640"/>
        </w:tabs>
        <w:rPr>
          <w:sz w:val="22"/>
          <w:szCs w:val="22"/>
        </w:rPr>
      </w:pPr>
      <w:r w:rsidRPr="0027277C">
        <w:rPr>
          <w:sz w:val="22"/>
          <w:szCs w:val="22"/>
        </w:rPr>
        <w:t>3</w:t>
      </w:r>
      <w:r w:rsidR="00140CF8" w:rsidRPr="0027277C">
        <w:rPr>
          <w:sz w:val="22"/>
          <w:szCs w:val="22"/>
        </w:rPr>
        <w:t xml:space="preserve"> roky</w:t>
      </w:r>
      <w:r w:rsidRPr="0027277C">
        <w:rPr>
          <w:sz w:val="22"/>
          <w:szCs w:val="22"/>
        </w:rPr>
        <w:t>.</w:t>
      </w:r>
    </w:p>
    <w:p w14:paraId="428FA0D7" w14:textId="77777777" w:rsidR="00140CF8" w:rsidRPr="00CA72B3" w:rsidRDefault="00140CF8" w:rsidP="0027277C">
      <w:pPr>
        <w:rPr>
          <w:sz w:val="22"/>
          <w:szCs w:val="22"/>
        </w:rPr>
      </w:pPr>
    </w:p>
    <w:p w14:paraId="1B1A1F11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6.4</w:t>
      </w:r>
      <w:r w:rsidRPr="0027277C">
        <w:rPr>
          <w:b/>
          <w:sz w:val="22"/>
          <w:szCs w:val="22"/>
        </w:rPr>
        <w:tab/>
        <w:t>Špeciálne upozornenia na uchovávanie</w:t>
      </w:r>
    </w:p>
    <w:p w14:paraId="5426832D" w14:textId="77777777" w:rsidR="00140CF8" w:rsidRPr="0027277C" w:rsidRDefault="00140CF8" w:rsidP="0027277C">
      <w:pPr>
        <w:rPr>
          <w:sz w:val="22"/>
          <w:szCs w:val="22"/>
        </w:rPr>
      </w:pPr>
    </w:p>
    <w:p w14:paraId="6483316F" w14:textId="77777777" w:rsidR="00140CF8" w:rsidRPr="0027277C" w:rsidRDefault="00140CF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30ﾠﾰC"/>
        </w:smartTagPr>
        <w:r w:rsidRPr="0027277C">
          <w:rPr>
            <w:sz w:val="22"/>
            <w:szCs w:val="22"/>
          </w:rPr>
          <w:t>30</w:t>
        </w:r>
        <w:r w:rsidR="00924838" w:rsidRPr="0027277C">
          <w:rPr>
            <w:sz w:val="22"/>
            <w:szCs w:val="22"/>
          </w:rPr>
          <w:t> </w:t>
        </w:r>
        <w:r w:rsidRPr="0027277C">
          <w:rPr>
            <w:sz w:val="22"/>
            <w:szCs w:val="22"/>
          </w:rPr>
          <w:t>°C</w:t>
        </w:r>
      </w:smartTag>
      <w:r w:rsidRPr="0027277C">
        <w:rPr>
          <w:sz w:val="22"/>
          <w:szCs w:val="22"/>
        </w:rPr>
        <w:t>.</w:t>
      </w:r>
    </w:p>
    <w:p w14:paraId="180C523B" w14:textId="77777777" w:rsidR="00154768" w:rsidRPr="0027277C" w:rsidRDefault="00154768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Uchovávajte v pôvodnom obale na ochranu pred svetlom.</w:t>
      </w:r>
    </w:p>
    <w:p w14:paraId="2BBB7248" w14:textId="77777777" w:rsidR="00140CF8" w:rsidRPr="0027277C" w:rsidRDefault="00140CF8" w:rsidP="0027277C">
      <w:pPr>
        <w:pStyle w:val="Hlavika"/>
        <w:tabs>
          <w:tab w:val="clear" w:pos="4320"/>
          <w:tab w:val="clear" w:pos="8640"/>
        </w:tabs>
        <w:rPr>
          <w:sz w:val="22"/>
          <w:szCs w:val="22"/>
        </w:rPr>
      </w:pPr>
    </w:p>
    <w:p w14:paraId="511C0D9F" w14:textId="77777777" w:rsidR="00140CF8" w:rsidRPr="0027277C" w:rsidRDefault="00140CF8" w:rsidP="0027277C">
      <w:pPr>
        <w:ind w:left="567" w:hanging="567"/>
        <w:rPr>
          <w:b/>
          <w:sz w:val="22"/>
          <w:szCs w:val="22"/>
        </w:rPr>
      </w:pPr>
      <w:r w:rsidRPr="0027277C">
        <w:rPr>
          <w:b/>
          <w:sz w:val="22"/>
          <w:szCs w:val="22"/>
        </w:rPr>
        <w:t>6.5</w:t>
      </w:r>
      <w:r w:rsidRPr="0027277C">
        <w:rPr>
          <w:b/>
          <w:sz w:val="22"/>
          <w:szCs w:val="22"/>
        </w:rPr>
        <w:tab/>
        <w:t>Druh obalu a obsah balenia</w:t>
      </w:r>
    </w:p>
    <w:p w14:paraId="770DFDD6" w14:textId="77777777" w:rsidR="00377809" w:rsidRPr="0027277C" w:rsidRDefault="00377809" w:rsidP="0027277C">
      <w:pPr>
        <w:rPr>
          <w:sz w:val="22"/>
          <w:szCs w:val="22"/>
        </w:rPr>
      </w:pPr>
    </w:p>
    <w:p w14:paraId="6ECFEBCE" w14:textId="759F42A9" w:rsidR="00032BB2" w:rsidRPr="0027277C" w:rsidRDefault="00032BB2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20 mg</w:t>
      </w:r>
    </w:p>
    <w:p w14:paraId="399641C9" w14:textId="77777777" w:rsidR="00154768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blistre</w:t>
      </w:r>
      <w:r w:rsidR="00154768" w:rsidRPr="0027277C">
        <w:rPr>
          <w:sz w:val="22"/>
          <w:szCs w:val="22"/>
        </w:rPr>
        <w:t xml:space="preserve"> pozostávajúce z</w:t>
      </w:r>
      <w:r w:rsidR="009B7F60" w:rsidRPr="0027277C">
        <w:rPr>
          <w:sz w:val="22"/>
          <w:szCs w:val="22"/>
        </w:rPr>
        <w:t> nepriehľadného polyvinylchloridu (PVC) podlepeného hliníkovou fóliou</w:t>
      </w:r>
      <w:r w:rsidRPr="0027277C">
        <w:rPr>
          <w:sz w:val="22"/>
          <w:szCs w:val="22"/>
        </w:rPr>
        <w:t xml:space="preserve"> potiahnutou papierom</w:t>
      </w:r>
      <w:r w:rsidR="009B7F60" w:rsidRPr="0027277C">
        <w:rPr>
          <w:sz w:val="22"/>
          <w:szCs w:val="22"/>
        </w:rPr>
        <w:t xml:space="preserve">. </w:t>
      </w:r>
      <w:r w:rsidR="00276AEC" w:rsidRPr="0027277C">
        <w:rPr>
          <w:sz w:val="22"/>
          <w:szCs w:val="22"/>
        </w:rPr>
        <w:t>Môže sa tiež použiť plastová nádobka (fľaš</w:t>
      </w:r>
      <w:r w:rsidR="006A489A" w:rsidRPr="0027277C">
        <w:rPr>
          <w:sz w:val="22"/>
          <w:szCs w:val="22"/>
        </w:rPr>
        <w:t>k</w:t>
      </w:r>
      <w:r w:rsidR="00276AEC" w:rsidRPr="0027277C">
        <w:rPr>
          <w:sz w:val="22"/>
          <w:szCs w:val="22"/>
        </w:rPr>
        <w:t xml:space="preserve">a) </w:t>
      </w:r>
      <w:r w:rsidR="002E4013" w:rsidRPr="0027277C">
        <w:rPr>
          <w:sz w:val="22"/>
          <w:szCs w:val="22"/>
        </w:rPr>
        <w:t xml:space="preserve">vyrobená </w:t>
      </w:r>
      <w:r w:rsidR="00276AEC" w:rsidRPr="0027277C">
        <w:rPr>
          <w:sz w:val="22"/>
          <w:szCs w:val="22"/>
        </w:rPr>
        <w:t>z polypropylénu s uzáverom z polyetylénu.</w:t>
      </w:r>
    </w:p>
    <w:p w14:paraId="546690EA" w14:textId="77777777" w:rsidR="00115319" w:rsidRPr="0027277C" w:rsidRDefault="00115319" w:rsidP="0027277C">
      <w:pPr>
        <w:rPr>
          <w:sz w:val="22"/>
          <w:szCs w:val="22"/>
        </w:rPr>
      </w:pPr>
    </w:p>
    <w:p w14:paraId="7DD23320" w14:textId="13815974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balenia: 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x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1 tableta alebo 4, 10, 14, 20, 28, 30, 50, 56, 60, 98, 100, 250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a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>500</w:t>
      </w:r>
      <w:r w:rsidR="007539D1">
        <w:rPr>
          <w:sz w:val="22"/>
          <w:szCs w:val="22"/>
        </w:rPr>
        <w:t> </w:t>
      </w:r>
      <w:r w:rsidRPr="0027277C">
        <w:rPr>
          <w:sz w:val="22"/>
          <w:szCs w:val="22"/>
        </w:rPr>
        <w:t xml:space="preserve">tabliet. </w:t>
      </w:r>
    </w:p>
    <w:p w14:paraId="040055D4" w14:textId="77777777" w:rsidR="00377809" w:rsidRPr="0027277C" w:rsidRDefault="00377809" w:rsidP="0027277C">
      <w:pPr>
        <w:rPr>
          <w:sz w:val="22"/>
          <w:szCs w:val="22"/>
        </w:rPr>
      </w:pPr>
    </w:p>
    <w:p w14:paraId="1BE95B98" w14:textId="77777777" w:rsidR="00377809" w:rsidRPr="0027277C" w:rsidRDefault="0037780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 mg</w:t>
      </w:r>
    </w:p>
    <w:p w14:paraId="626B84D3" w14:textId="0F74059E" w:rsidR="00501BC0" w:rsidRPr="0027277C" w:rsidRDefault="007A3DF3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Detské bezpečnostné b</w:t>
      </w:r>
      <w:r w:rsidR="00501BC0" w:rsidRPr="0027277C">
        <w:rPr>
          <w:sz w:val="22"/>
          <w:szCs w:val="22"/>
        </w:rPr>
        <w:t xml:space="preserve">listre pozostávajúce z nepriehľadného </w:t>
      </w:r>
      <w:r w:rsidRPr="0027277C">
        <w:rPr>
          <w:sz w:val="22"/>
          <w:szCs w:val="22"/>
        </w:rPr>
        <w:t>polyvinylchloridu (</w:t>
      </w:r>
      <w:r w:rsidR="00501BC0" w:rsidRPr="0027277C">
        <w:rPr>
          <w:sz w:val="22"/>
          <w:szCs w:val="22"/>
        </w:rPr>
        <w:t>PVC</w:t>
      </w:r>
      <w:r w:rsidRPr="0027277C">
        <w:rPr>
          <w:sz w:val="22"/>
          <w:szCs w:val="22"/>
        </w:rPr>
        <w:t>)</w:t>
      </w:r>
      <w:r w:rsidR="00501BC0" w:rsidRPr="0027277C">
        <w:rPr>
          <w:sz w:val="22"/>
          <w:szCs w:val="22"/>
        </w:rPr>
        <w:t xml:space="preserve"> podlepeného hliníkovou fóliou</w:t>
      </w:r>
      <w:r w:rsidRPr="0027277C">
        <w:rPr>
          <w:sz w:val="22"/>
          <w:szCs w:val="22"/>
        </w:rPr>
        <w:t xml:space="preserve"> potiahnutou papierom</w:t>
      </w:r>
      <w:r w:rsidR="00501BC0" w:rsidRPr="0027277C">
        <w:rPr>
          <w:sz w:val="22"/>
          <w:szCs w:val="22"/>
        </w:rPr>
        <w:t>. Môže sa tiež použiť plastová nádobka (fľaška) vyrobená z polypropylénu s uzáverom z polyetylénu.</w:t>
      </w:r>
    </w:p>
    <w:p w14:paraId="51D36BBE" w14:textId="77777777" w:rsidR="00115319" w:rsidRPr="0027277C" w:rsidRDefault="00115319" w:rsidP="0027277C">
      <w:pPr>
        <w:rPr>
          <w:sz w:val="22"/>
          <w:szCs w:val="22"/>
        </w:rPr>
      </w:pPr>
    </w:p>
    <w:p w14:paraId="36D930BD" w14:textId="64517CF9" w:rsidR="00140CF8" w:rsidRPr="0027277C" w:rsidRDefault="0011531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Veľkosti balenia</w:t>
      </w:r>
      <w:r w:rsidR="00140CF8" w:rsidRPr="0027277C">
        <w:rPr>
          <w:sz w:val="22"/>
          <w:szCs w:val="22"/>
        </w:rPr>
        <w:t xml:space="preserve">: </w:t>
      </w:r>
      <w:r w:rsidR="009B7F60" w:rsidRPr="0027277C">
        <w:rPr>
          <w:sz w:val="22"/>
          <w:szCs w:val="22"/>
        </w:rPr>
        <w:t xml:space="preserve">28, </w:t>
      </w:r>
      <w:r w:rsidR="00140CF8" w:rsidRPr="0027277C">
        <w:rPr>
          <w:sz w:val="22"/>
          <w:szCs w:val="22"/>
        </w:rPr>
        <w:t>30</w:t>
      </w:r>
      <w:r w:rsidR="00226C07" w:rsidRPr="0027277C">
        <w:rPr>
          <w:sz w:val="22"/>
          <w:szCs w:val="22"/>
        </w:rPr>
        <w:t>,</w:t>
      </w:r>
      <w:r w:rsidR="00140CF8" w:rsidRPr="0027277C">
        <w:rPr>
          <w:sz w:val="22"/>
          <w:szCs w:val="22"/>
        </w:rPr>
        <w:t xml:space="preserve"> </w:t>
      </w:r>
      <w:r w:rsidR="009B7F60" w:rsidRPr="0027277C">
        <w:rPr>
          <w:sz w:val="22"/>
          <w:szCs w:val="22"/>
        </w:rPr>
        <w:t>56</w:t>
      </w:r>
      <w:r w:rsidR="007539D1">
        <w:rPr>
          <w:sz w:val="22"/>
          <w:szCs w:val="22"/>
        </w:rPr>
        <w:t> </w:t>
      </w:r>
      <w:r w:rsidR="00226C07" w:rsidRPr="0027277C">
        <w:rPr>
          <w:sz w:val="22"/>
          <w:szCs w:val="22"/>
        </w:rPr>
        <w:t>a 60 </w:t>
      </w:r>
      <w:r w:rsidR="00140CF8" w:rsidRPr="0027277C">
        <w:rPr>
          <w:sz w:val="22"/>
          <w:szCs w:val="22"/>
        </w:rPr>
        <w:t>tabliet.</w:t>
      </w:r>
    </w:p>
    <w:p w14:paraId="452F9EE6" w14:textId="77777777" w:rsidR="009B7F60" w:rsidRPr="0027277C" w:rsidRDefault="009B7F60" w:rsidP="0027277C">
      <w:pPr>
        <w:rPr>
          <w:sz w:val="22"/>
          <w:szCs w:val="22"/>
        </w:rPr>
      </w:pPr>
    </w:p>
    <w:p w14:paraId="4EEFA808" w14:textId="77777777" w:rsidR="009B7F60" w:rsidRPr="0027277C" w:rsidRDefault="00EF7859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 xml:space="preserve">Na trh nemusia byť uvedené </w:t>
      </w:r>
      <w:r w:rsidR="009B7F60" w:rsidRPr="0027277C">
        <w:rPr>
          <w:sz w:val="22"/>
          <w:szCs w:val="22"/>
        </w:rPr>
        <w:t>všetky veľkosti balenia</w:t>
      </w:r>
      <w:r w:rsidR="00866713" w:rsidRPr="0027277C">
        <w:rPr>
          <w:sz w:val="22"/>
          <w:szCs w:val="22"/>
        </w:rPr>
        <w:t>.</w:t>
      </w:r>
    </w:p>
    <w:p w14:paraId="5B0E29E0" w14:textId="77777777" w:rsidR="00032BB2" w:rsidRPr="0027277C" w:rsidRDefault="00032BB2" w:rsidP="0027277C">
      <w:pPr>
        <w:rPr>
          <w:sz w:val="22"/>
          <w:szCs w:val="22"/>
        </w:rPr>
      </w:pPr>
    </w:p>
    <w:p w14:paraId="49695097" w14:textId="77777777" w:rsidR="00324CDC" w:rsidRPr="0027277C" w:rsidRDefault="00324CDC" w:rsidP="0027277C">
      <w:pPr>
        <w:rPr>
          <w:b/>
          <w:bCs/>
          <w:noProof/>
          <w:sz w:val="22"/>
          <w:szCs w:val="22"/>
        </w:rPr>
      </w:pPr>
      <w:r w:rsidRPr="0027277C">
        <w:rPr>
          <w:b/>
          <w:bCs/>
          <w:noProof/>
          <w:sz w:val="22"/>
          <w:szCs w:val="22"/>
        </w:rPr>
        <w:t>6.6</w:t>
      </w:r>
      <w:r w:rsidRPr="0027277C">
        <w:rPr>
          <w:b/>
          <w:bCs/>
          <w:noProof/>
          <w:sz w:val="22"/>
          <w:szCs w:val="22"/>
        </w:rPr>
        <w:tab/>
      </w:r>
      <w:r w:rsidR="00032BB2" w:rsidRPr="0027277C">
        <w:rPr>
          <w:b/>
          <w:bCs/>
          <w:noProof/>
          <w:sz w:val="22"/>
          <w:szCs w:val="22"/>
        </w:rPr>
        <w:t>Špeciálne opatrenia na likvidáciu</w:t>
      </w:r>
    </w:p>
    <w:p w14:paraId="68457F01" w14:textId="77777777" w:rsidR="00324CDC" w:rsidRPr="0027277C" w:rsidRDefault="00324CDC" w:rsidP="0027277C">
      <w:pPr>
        <w:rPr>
          <w:noProof/>
          <w:sz w:val="22"/>
          <w:szCs w:val="22"/>
        </w:rPr>
      </w:pPr>
    </w:p>
    <w:p w14:paraId="4D263483" w14:textId="77777777" w:rsidR="00032BB2" w:rsidRPr="0027277C" w:rsidRDefault="00032BB2" w:rsidP="0027277C">
      <w:pPr>
        <w:rPr>
          <w:noProof/>
          <w:sz w:val="22"/>
          <w:szCs w:val="22"/>
        </w:rPr>
      </w:pPr>
      <w:r w:rsidRPr="0027277C">
        <w:rPr>
          <w:noProof/>
          <w:sz w:val="22"/>
          <w:szCs w:val="22"/>
        </w:rPr>
        <w:t>Žiadne zvláštne požiadavky.</w:t>
      </w:r>
    </w:p>
    <w:p w14:paraId="4B9EF20A" w14:textId="77777777" w:rsidR="007539D1" w:rsidRDefault="007539D1" w:rsidP="0027277C">
      <w:pPr>
        <w:rPr>
          <w:noProof/>
          <w:sz w:val="22"/>
          <w:szCs w:val="22"/>
        </w:rPr>
      </w:pPr>
    </w:p>
    <w:p w14:paraId="4DB955B0" w14:textId="6649B95B" w:rsidR="00C33B00" w:rsidRPr="005549F8" w:rsidRDefault="008860C2" w:rsidP="0027277C">
      <w:pPr>
        <w:rPr>
          <w:caps/>
          <w:sz w:val="22"/>
          <w:szCs w:val="22"/>
          <w:highlight w:val="yellow"/>
        </w:rPr>
      </w:pPr>
      <w:r w:rsidRPr="008860C2">
        <w:rPr>
          <w:noProof/>
          <w:sz w:val="22"/>
          <w:szCs w:val="22"/>
        </w:rPr>
        <w:t>Všetok nepoužitý liek alebo odpad vzniknutý z lieku sa má zlikvidovať v súlade s národnými požiadavkami.</w:t>
      </w:r>
    </w:p>
    <w:p w14:paraId="1124EA75" w14:textId="77777777" w:rsidR="00140CF8" w:rsidRDefault="00140CF8" w:rsidP="0027277C">
      <w:pPr>
        <w:rPr>
          <w:caps/>
          <w:sz w:val="22"/>
          <w:szCs w:val="22"/>
          <w:highlight w:val="yellow"/>
        </w:rPr>
      </w:pPr>
    </w:p>
    <w:p w14:paraId="3B7CA267" w14:textId="77777777" w:rsidR="00CA72B3" w:rsidRPr="0027277C" w:rsidRDefault="00CA72B3" w:rsidP="0027277C">
      <w:pPr>
        <w:rPr>
          <w:caps/>
          <w:sz w:val="22"/>
          <w:szCs w:val="22"/>
          <w:highlight w:val="yellow"/>
        </w:rPr>
      </w:pPr>
    </w:p>
    <w:p w14:paraId="50434E63" w14:textId="77777777" w:rsidR="00140CF8" w:rsidRPr="0027277C" w:rsidRDefault="00140CF8" w:rsidP="0027277C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7.</w:t>
      </w:r>
      <w:r w:rsidRPr="0027277C">
        <w:rPr>
          <w:b/>
          <w:caps/>
          <w:sz w:val="22"/>
          <w:szCs w:val="22"/>
        </w:rPr>
        <w:tab/>
        <w:t>Držiteľ rozhodnutia o registrácii</w:t>
      </w:r>
    </w:p>
    <w:p w14:paraId="41231B89" w14:textId="77777777" w:rsidR="00140CF8" w:rsidRPr="0027277C" w:rsidRDefault="00140CF8" w:rsidP="0027277C">
      <w:pPr>
        <w:keepNext/>
        <w:keepLines/>
        <w:rPr>
          <w:sz w:val="22"/>
          <w:szCs w:val="22"/>
        </w:rPr>
      </w:pPr>
    </w:p>
    <w:p w14:paraId="6CAA44A3" w14:textId="77777777" w:rsidR="00495963" w:rsidRPr="00495963" w:rsidRDefault="00495963" w:rsidP="00495963">
      <w:pPr>
        <w:keepNext/>
        <w:keepLines/>
        <w:rPr>
          <w:sz w:val="22"/>
          <w:szCs w:val="22"/>
        </w:rPr>
      </w:pPr>
      <w:r w:rsidRPr="00495963">
        <w:rPr>
          <w:sz w:val="22"/>
          <w:szCs w:val="22"/>
        </w:rPr>
        <w:t xml:space="preserve">GlaxoSmithKline Trading Services Limited </w:t>
      </w:r>
    </w:p>
    <w:p w14:paraId="5B181294" w14:textId="77777777" w:rsidR="00495963" w:rsidRPr="00495963" w:rsidRDefault="00495963" w:rsidP="00495963">
      <w:pPr>
        <w:keepNext/>
        <w:keepLines/>
        <w:rPr>
          <w:sz w:val="22"/>
          <w:szCs w:val="22"/>
        </w:rPr>
      </w:pPr>
      <w:r w:rsidRPr="00495963">
        <w:rPr>
          <w:sz w:val="22"/>
          <w:szCs w:val="22"/>
        </w:rPr>
        <w:t xml:space="preserve">12 Riverwalk </w:t>
      </w:r>
    </w:p>
    <w:p w14:paraId="458DB139" w14:textId="77777777" w:rsidR="00495963" w:rsidRPr="00495963" w:rsidRDefault="00495963" w:rsidP="00495963">
      <w:pPr>
        <w:keepNext/>
        <w:keepLines/>
        <w:rPr>
          <w:sz w:val="22"/>
          <w:szCs w:val="22"/>
        </w:rPr>
      </w:pPr>
      <w:r w:rsidRPr="00495963">
        <w:rPr>
          <w:sz w:val="22"/>
          <w:szCs w:val="22"/>
        </w:rPr>
        <w:t xml:space="preserve">Citywest Business Campus </w:t>
      </w:r>
    </w:p>
    <w:p w14:paraId="67D4C267" w14:textId="77777777" w:rsidR="00495963" w:rsidRPr="00495963" w:rsidRDefault="00495963" w:rsidP="00495963">
      <w:pPr>
        <w:keepNext/>
        <w:keepLines/>
        <w:rPr>
          <w:sz w:val="22"/>
          <w:szCs w:val="22"/>
        </w:rPr>
      </w:pPr>
      <w:r w:rsidRPr="00495963">
        <w:rPr>
          <w:sz w:val="22"/>
          <w:szCs w:val="22"/>
        </w:rPr>
        <w:t xml:space="preserve">Dublin 24 </w:t>
      </w:r>
    </w:p>
    <w:p w14:paraId="19C9F65C" w14:textId="225DCE30" w:rsidR="00FA0475" w:rsidRDefault="00495963" w:rsidP="0027277C">
      <w:pPr>
        <w:rPr>
          <w:sz w:val="22"/>
          <w:szCs w:val="22"/>
        </w:rPr>
      </w:pPr>
      <w:r w:rsidRPr="00495963">
        <w:rPr>
          <w:sz w:val="22"/>
          <w:szCs w:val="22"/>
        </w:rPr>
        <w:t>Írsko</w:t>
      </w:r>
      <w:r w:rsidRPr="00495963" w:rsidDel="00495963">
        <w:rPr>
          <w:sz w:val="22"/>
          <w:szCs w:val="22"/>
        </w:rPr>
        <w:t xml:space="preserve"> </w:t>
      </w:r>
    </w:p>
    <w:p w14:paraId="1B32D958" w14:textId="77777777" w:rsidR="00495963" w:rsidRDefault="00495963" w:rsidP="0027277C">
      <w:pPr>
        <w:rPr>
          <w:sz w:val="22"/>
          <w:szCs w:val="22"/>
        </w:rPr>
      </w:pPr>
    </w:p>
    <w:p w14:paraId="08C8BC58" w14:textId="77777777" w:rsidR="00495963" w:rsidRPr="0027277C" w:rsidRDefault="00495963" w:rsidP="0027277C">
      <w:pPr>
        <w:rPr>
          <w:caps/>
          <w:sz w:val="22"/>
          <w:szCs w:val="22"/>
        </w:rPr>
      </w:pPr>
      <w:bookmarkStart w:id="0" w:name="_GoBack"/>
      <w:bookmarkEnd w:id="0"/>
    </w:p>
    <w:p w14:paraId="73FCF45F" w14:textId="77777777" w:rsidR="00140CF8" w:rsidRPr="0027277C" w:rsidRDefault="00140CF8" w:rsidP="005549F8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8.</w:t>
      </w:r>
      <w:r w:rsidRPr="0027277C">
        <w:rPr>
          <w:b/>
          <w:caps/>
          <w:sz w:val="22"/>
          <w:szCs w:val="22"/>
        </w:rPr>
        <w:tab/>
        <w:t>REGISTRAČNÉ ČÍSL</w:t>
      </w:r>
      <w:r w:rsidR="002F3A8F" w:rsidRPr="0027277C">
        <w:rPr>
          <w:b/>
          <w:caps/>
          <w:sz w:val="22"/>
          <w:szCs w:val="22"/>
        </w:rPr>
        <w:t>A</w:t>
      </w:r>
    </w:p>
    <w:p w14:paraId="4A37CF41" w14:textId="77777777" w:rsidR="00140CF8" w:rsidRPr="0027277C" w:rsidRDefault="00140CF8" w:rsidP="005549F8">
      <w:pPr>
        <w:keepNext/>
        <w:keepLines/>
        <w:rPr>
          <w:sz w:val="22"/>
          <w:szCs w:val="22"/>
        </w:rPr>
      </w:pPr>
    </w:p>
    <w:p w14:paraId="3A1376C6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20 mg : </w:t>
      </w:r>
      <w:r w:rsidRPr="0027277C">
        <w:rPr>
          <w:caps/>
          <w:sz w:val="22"/>
          <w:szCs w:val="22"/>
        </w:rPr>
        <w:t>30/0859/95-S</w:t>
      </w:r>
    </w:p>
    <w:p w14:paraId="17C06BB7" w14:textId="77777777" w:rsidR="00E803A4" w:rsidRPr="0027277C" w:rsidRDefault="00E803A4" w:rsidP="005549F8">
      <w:pPr>
        <w:keepNext/>
        <w:keepLines/>
        <w:rPr>
          <w:caps/>
          <w:sz w:val="22"/>
          <w:szCs w:val="22"/>
        </w:rPr>
      </w:pPr>
      <w:r w:rsidRPr="0027277C">
        <w:rPr>
          <w:sz w:val="22"/>
          <w:szCs w:val="22"/>
        </w:rPr>
        <w:t xml:space="preserve">Seroxat 30 mg : </w:t>
      </w:r>
      <w:r w:rsidRPr="0027277C">
        <w:rPr>
          <w:caps/>
          <w:sz w:val="22"/>
          <w:szCs w:val="22"/>
        </w:rPr>
        <w:t>30/0339/06-S</w:t>
      </w:r>
    </w:p>
    <w:p w14:paraId="4BF10088" w14:textId="77777777" w:rsidR="00E803A4" w:rsidRPr="0027277C" w:rsidRDefault="00E803A4" w:rsidP="0027277C">
      <w:pPr>
        <w:rPr>
          <w:sz w:val="22"/>
          <w:szCs w:val="22"/>
          <w:highlight w:val="yellow"/>
        </w:rPr>
      </w:pPr>
    </w:p>
    <w:p w14:paraId="77AE2BF5" w14:textId="77777777" w:rsidR="00140CF8" w:rsidRPr="0027277C" w:rsidRDefault="00140CF8" w:rsidP="0027277C">
      <w:pPr>
        <w:rPr>
          <w:caps/>
          <w:sz w:val="22"/>
          <w:szCs w:val="22"/>
          <w:highlight w:val="yellow"/>
        </w:rPr>
      </w:pPr>
    </w:p>
    <w:p w14:paraId="6FD94BF0" w14:textId="77777777" w:rsidR="00140CF8" w:rsidRPr="0027277C" w:rsidRDefault="00140CF8" w:rsidP="006035A0">
      <w:pPr>
        <w:keepNext/>
        <w:keepLines/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lastRenderedPageBreak/>
        <w:t>9.</w:t>
      </w:r>
      <w:r w:rsidRPr="0027277C">
        <w:rPr>
          <w:b/>
          <w:caps/>
          <w:sz w:val="22"/>
          <w:szCs w:val="22"/>
        </w:rPr>
        <w:tab/>
        <w:t>Dátum prvej registrácIe/predĹženia registrácie</w:t>
      </w:r>
    </w:p>
    <w:p w14:paraId="52032AAA" w14:textId="77777777" w:rsidR="00141C0D" w:rsidRPr="0027277C" w:rsidRDefault="00141C0D" w:rsidP="006035A0">
      <w:pPr>
        <w:keepNext/>
        <w:keepLines/>
        <w:rPr>
          <w:sz w:val="22"/>
          <w:szCs w:val="22"/>
        </w:rPr>
      </w:pPr>
    </w:p>
    <w:p w14:paraId="5E88A568" w14:textId="483E0A9D" w:rsidR="00141C0D" w:rsidRPr="0027277C" w:rsidRDefault="00141C0D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Seroxat 20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3B3E64F7" w14:textId="14782BC1" w:rsidR="00141C0D" w:rsidRPr="0027277C" w:rsidRDefault="00141C0D" w:rsidP="006035A0">
      <w:pPr>
        <w:keepNext/>
        <w:keepLines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63B43DEE" w14:textId="613339CB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14B8CA60" w14:textId="77777777" w:rsidR="00141C0D" w:rsidRPr="0027277C" w:rsidRDefault="00141C0D" w:rsidP="0027277C">
      <w:pPr>
        <w:rPr>
          <w:sz w:val="22"/>
          <w:szCs w:val="22"/>
        </w:rPr>
      </w:pPr>
    </w:p>
    <w:p w14:paraId="10388278" w14:textId="0F2A086C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Seroxat 30</w:t>
      </w:r>
      <w:r w:rsidR="00BC6ECC" w:rsidRPr="0027277C">
        <w:rPr>
          <w:sz w:val="22"/>
          <w:szCs w:val="22"/>
        </w:rPr>
        <w:t> </w:t>
      </w:r>
      <w:r w:rsidRPr="0027277C">
        <w:rPr>
          <w:sz w:val="22"/>
          <w:szCs w:val="22"/>
        </w:rPr>
        <w:t>mg:</w:t>
      </w:r>
    </w:p>
    <w:p w14:paraId="62F1F4E8" w14:textId="053D00CF" w:rsidR="00141C0D" w:rsidRPr="0027277C" w:rsidRDefault="00141C0D" w:rsidP="0027277C">
      <w:pPr>
        <w:keepNext/>
        <w:rPr>
          <w:sz w:val="22"/>
          <w:szCs w:val="22"/>
        </w:rPr>
      </w:pPr>
      <w:r w:rsidRPr="0027277C">
        <w:rPr>
          <w:sz w:val="22"/>
          <w:szCs w:val="22"/>
        </w:rPr>
        <w:t>Dátum prvej registrácie: 28. decemb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1995</w:t>
      </w:r>
    </w:p>
    <w:p w14:paraId="774D54C6" w14:textId="1054B36F" w:rsidR="00141C0D" w:rsidRPr="0027277C" w:rsidRDefault="00141C0D" w:rsidP="0027277C">
      <w:pPr>
        <w:rPr>
          <w:sz w:val="22"/>
          <w:szCs w:val="22"/>
        </w:rPr>
      </w:pPr>
      <w:r w:rsidRPr="0027277C">
        <w:rPr>
          <w:sz w:val="22"/>
          <w:szCs w:val="22"/>
        </w:rPr>
        <w:t>Dátum posledného predĺženia registrácie: 4. novemb</w:t>
      </w:r>
      <w:r w:rsidR="00E2534A" w:rsidRPr="0027277C">
        <w:rPr>
          <w:sz w:val="22"/>
          <w:szCs w:val="22"/>
        </w:rPr>
        <w:t>ra</w:t>
      </w:r>
      <w:r w:rsidRPr="0027277C">
        <w:rPr>
          <w:sz w:val="22"/>
          <w:szCs w:val="22"/>
        </w:rPr>
        <w:t xml:space="preserve"> 2011</w:t>
      </w:r>
    </w:p>
    <w:p w14:paraId="6CBA30BB" w14:textId="77777777" w:rsidR="00032BB2" w:rsidRPr="00CA72B3" w:rsidRDefault="00032BB2" w:rsidP="0027277C">
      <w:pPr>
        <w:ind w:left="567" w:hanging="567"/>
        <w:rPr>
          <w:caps/>
          <w:sz w:val="22"/>
          <w:szCs w:val="22"/>
        </w:rPr>
      </w:pPr>
    </w:p>
    <w:p w14:paraId="3DEC5910" w14:textId="77777777" w:rsidR="00505B3C" w:rsidRPr="00CA72B3" w:rsidRDefault="00505B3C" w:rsidP="0027277C">
      <w:pPr>
        <w:ind w:left="567" w:hanging="567"/>
        <w:rPr>
          <w:caps/>
          <w:sz w:val="22"/>
          <w:szCs w:val="22"/>
        </w:rPr>
      </w:pPr>
    </w:p>
    <w:p w14:paraId="2F21A0A4" w14:textId="77777777" w:rsidR="00140CF8" w:rsidRPr="0027277C" w:rsidRDefault="00140CF8" w:rsidP="0027277C">
      <w:pPr>
        <w:ind w:left="567" w:hanging="567"/>
        <w:rPr>
          <w:b/>
          <w:caps/>
          <w:sz w:val="22"/>
          <w:szCs w:val="22"/>
        </w:rPr>
      </w:pPr>
      <w:r w:rsidRPr="0027277C">
        <w:rPr>
          <w:b/>
          <w:caps/>
          <w:sz w:val="22"/>
          <w:szCs w:val="22"/>
        </w:rPr>
        <w:t>10.</w:t>
      </w:r>
      <w:r w:rsidRPr="0027277C">
        <w:rPr>
          <w:b/>
          <w:caps/>
          <w:sz w:val="22"/>
          <w:szCs w:val="22"/>
        </w:rPr>
        <w:tab/>
        <w:t>DÁtum revÍZIe Textu</w:t>
      </w:r>
    </w:p>
    <w:p w14:paraId="381C87A6" w14:textId="77777777" w:rsidR="00140CF8" w:rsidRPr="0027277C" w:rsidRDefault="00140CF8" w:rsidP="0027277C">
      <w:pPr>
        <w:rPr>
          <w:sz w:val="22"/>
          <w:szCs w:val="22"/>
        </w:rPr>
      </w:pPr>
    </w:p>
    <w:p w14:paraId="398CBD80" w14:textId="2B735E7F" w:rsidR="00140CF8" w:rsidRPr="0027277C" w:rsidRDefault="00476D26" w:rsidP="0027277C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6035A0">
        <w:rPr>
          <w:sz w:val="22"/>
          <w:szCs w:val="22"/>
        </w:rPr>
        <w:t>3</w:t>
      </w:r>
      <w:r>
        <w:rPr>
          <w:sz w:val="22"/>
          <w:szCs w:val="22"/>
        </w:rPr>
        <w:t>/2021</w:t>
      </w:r>
    </w:p>
    <w:sectPr w:rsidR="00140CF8" w:rsidRPr="0027277C" w:rsidSect="007827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48FCB" w14:textId="77777777" w:rsidR="00E27784" w:rsidRDefault="00E27784">
      <w:r>
        <w:separator/>
      </w:r>
    </w:p>
  </w:endnote>
  <w:endnote w:type="continuationSeparator" w:id="0">
    <w:p w14:paraId="2FBE04AF" w14:textId="77777777" w:rsidR="00E27784" w:rsidRDefault="00E27784">
      <w:r>
        <w:continuationSeparator/>
      </w:r>
    </w:p>
  </w:endnote>
  <w:endnote w:type="continuationNotice" w:id="1">
    <w:p w14:paraId="060961E6" w14:textId="77777777" w:rsidR="00E27784" w:rsidRDefault="00E27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C91C" w14:textId="02F86900" w:rsidR="00036AF5" w:rsidRDefault="00036AF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1A93DE49" w14:textId="77777777" w:rsidR="00036AF5" w:rsidRDefault="00036AF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8675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8FE2A93" w14:textId="6FC70709" w:rsidR="00E94CA7" w:rsidRPr="006035A0" w:rsidRDefault="00E94CA7">
        <w:pPr>
          <w:pStyle w:val="Pta"/>
          <w:jc w:val="center"/>
          <w:rPr>
            <w:sz w:val="18"/>
            <w:szCs w:val="18"/>
          </w:rPr>
        </w:pPr>
        <w:r w:rsidRPr="006035A0">
          <w:rPr>
            <w:sz w:val="18"/>
            <w:szCs w:val="18"/>
          </w:rPr>
          <w:fldChar w:fldCharType="begin"/>
        </w:r>
        <w:r w:rsidRPr="006035A0">
          <w:rPr>
            <w:sz w:val="18"/>
            <w:szCs w:val="18"/>
          </w:rPr>
          <w:instrText>PAGE   \* MERGEFORMAT</w:instrText>
        </w:r>
        <w:r w:rsidRPr="006035A0">
          <w:rPr>
            <w:sz w:val="18"/>
            <w:szCs w:val="18"/>
          </w:rPr>
          <w:fldChar w:fldCharType="separate"/>
        </w:r>
        <w:r w:rsidR="00495963">
          <w:rPr>
            <w:noProof/>
            <w:sz w:val="18"/>
            <w:szCs w:val="18"/>
          </w:rPr>
          <w:t>16</w:t>
        </w:r>
        <w:r w:rsidRPr="006035A0">
          <w:rPr>
            <w:sz w:val="18"/>
            <w:szCs w:val="18"/>
          </w:rPr>
          <w:fldChar w:fldCharType="end"/>
        </w:r>
      </w:p>
    </w:sdtContent>
  </w:sdt>
  <w:p w14:paraId="7904CF62" w14:textId="77777777" w:rsidR="00036AF5" w:rsidRPr="006035A0" w:rsidRDefault="00036AF5">
    <w:pPr>
      <w:pStyle w:val="Pt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E067F" w14:textId="77777777" w:rsidR="00036AF5" w:rsidRDefault="00036AF5">
    <w:pPr>
      <w:pStyle w:val="Pta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FA1A7" w14:textId="77777777" w:rsidR="00E27784" w:rsidRDefault="00E27784">
      <w:r>
        <w:separator/>
      </w:r>
    </w:p>
  </w:footnote>
  <w:footnote w:type="continuationSeparator" w:id="0">
    <w:p w14:paraId="36B65520" w14:textId="77777777" w:rsidR="00E27784" w:rsidRDefault="00E27784">
      <w:r>
        <w:continuationSeparator/>
      </w:r>
    </w:p>
  </w:footnote>
  <w:footnote w:type="continuationNotice" w:id="1">
    <w:p w14:paraId="0829805C" w14:textId="77777777" w:rsidR="00E27784" w:rsidRDefault="00E277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BB4D" w14:textId="58309928" w:rsidR="00036AF5" w:rsidRDefault="00036AF5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2747713" w14:textId="77777777" w:rsidR="00036AF5" w:rsidRDefault="00036AF5">
    <w:pPr>
      <w:pStyle w:val="Hlavik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D5544" w14:textId="552F26F8" w:rsidR="00036AF5" w:rsidRDefault="00495963" w:rsidP="00036AF5">
    <w:pPr>
      <w:pStyle w:val="Hlavika"/>
      <w:tabs>
        <w:tab w:val="left" w:pos="3119"/>
      </w:tabs>
    </w:pPr>
    <w:r w:rsidRPr="00495963">
      <w:rPr>
        <w:sz w:val="18"/>
        <w:szCs w:val="18"/>
      </w:rPr>
      <w:t>Schválený text k rozhodnutiu o prevode, ev. č.:</w:t>
    </w:r>
    <w:r>
      <w:rPr>
        <w:sz w:val="18"/>
        <w:szCs w:val="18"/>
      </w:rPr>
      <w:t xml:space="preserve"> 2021/01109-TR, 2021/01108-TR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88F946" w14:textId="0CA5FE5D" w:rsidR="00036AF5" w:rsidRPr="00BA0AF9" w:rsidRDefault="00036AF5" w:rsidP="00C1633B">
    <w:pPr>
      <w:rPr>
        <w:sz w:val="18"/>
      </w:rPr>
    </w:pPr>
    <w:r>
      <w:rPr>
        <w:sz w:val="18"/>
        <w:szCs w:val="18"/>
      </w:rPr>
      <w:t>Príloha č.1</w:t>
    </w:r>
    <w:r w:rsidRPr="00990C3F">
      <w:rPr>
        <w:sz w:val="18"/>
        <w:szCs w:val="18"/>
      </w:rPr>
      <w:t xml:space="preserve"> k notifikácii </w:t>
    </w:r>
    <w:r>
      <w:rPr>
        <w:sz w:val="18"/>
        <w:szCs w:val="18"/>
      </w:rPr>
      <w:t xml:space="preserve">o zmene, ev.č.: </w:t>
    </w:r>
    <w:r w:rsidRPr="007448B6">
      <w:rPr>
        <w:sz w:val="18"/>
        <w:szCs w:val="18"/>
      </w:rPr>
      <w:t>2015/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7600"/>
    <w:multiLevelType w:val="hybridMultilevel"/>
    <w:tmpl w:val="04905C32"/>
    <w:lvl w:ilvl="0" w:tplc="83F604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8CA7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13C59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BEEE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CE0BD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A15CB25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14A4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4E4D56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921CDB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46533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314784"/>
    <w:multiLevelType w:val="multilevel"/>
    <w:tmpl w:val="D0D63D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238735A"/>
    <w:multiLevelType w:val="hybridMultilevel"/>
    <w:tmpl w:val="827AE3AC"/>
    <w:lvl w:ilvl="0" w:tplc="82568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4D20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0A742E9"/>
    <w:multiLevelType w:val="multilevel"/>
    <w:tmpl w:val="3C6EDC5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E6C5091"/>
    <w:multiLevelType w:val="multilevel"/>
    <w:tmpl w:val="3D0A3B2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58"/>
    <w:rsid w:val="00002EF9"/>
    <w:rsid w:val="000072D4"/>
    <w:rsid w:val="0001097A"/>
    <w:rsid w:val="00015C99"/>
    <w:rsid w:val="00017B0D"/>
    <w:rsid w:val="00017B2D"/>
    <w:rsid w:val="000217A0"/>
    <w:rsid w:val="00022B91"/>
    <w:rsid w:val="0002325A"/>
    <w:rsid w:val="00026FAB"/>
    <w:rsid w:val="000270CA"/>
    <w:rsid w:val="000300AE"/>
    <w:rsid w:val="000311D1"/>
    <w:rsid w:val="00031714"/>
    <w:rsid w:val="000326C6"/>
    <w:rsid w:val="00032BB2"/>
    <w:rsid w:val="000337A7"/>
    <w:rsid w:val="000358A1"/>
    <w:rsid w:val="00036AF5"/>
    <w:rsid w:val="00041192"/>
    <w:rsid w:val="00047927"/>
    <w:rsid w:val="00050B53"/>
    <w:rsid w:val="0005167E"/>
    <w:rsid w:val="00072B5C"/>
    <w:rsid w:val="00073DB1"/>
    <w:rsid w:val="000770BC"/>
    <w:rsid w:val="0008213C"/>
    <w:rsid w:val="000822C9"/>
    <w:rsid w:val="00084117"/>
    <w:rsid w:val="00085A10"/>
    <w:rsid w:val="000877FC"/>
    <w:rsid w:val="00094ED6"/>
    <w:rsid w:val="000A41EB"/>
    <w:rsid w:val="000A4425"/>
    <w:rsid w:val="000A6D41"/>
    <w:rsid w:val="000A7125"/>
    <w:rsid w:val="000A7489"/>
    <w:rsid w:val="000B0DDA"/>
    <w:rsid w:val="000B6C90"/>
    <w:rsid w:val="000C336B"/>
    <w:rsid w:val="000C47A6"/>
    <w:rsid w:val="000D465C"/>
    <w:rsid w:val="000D61C4"/>
    <w:rsid w:val="000D6C4A"/>
    <w:rsid w:val="000E14DA"/>
    <w:rsid w:val="000F1DD6"/>
    <w:rsid w:val="000F6BF7"/>
    <w:rsid w:val="000F7D61"/>
    <w:rsid w:val="00102392"/>
    <w:rsid w:val="0010532D"/>
    <w:rsid w:val="00105807"/>
    <w:rsid w:val="001069D0"/>
    <w:rsid w:val="0011086C"/>
    <w:rsid w:val="00111A93"/>
    <w:rsid w:val="00111CFB"/>
    <w:rsid w:val="00115319"/>
    <w:rsid w:val="0011662B"/>
    <w:rsid w:val="00120A60"/>
    <w:rsid w:val="00121D56"/>
    <w:rsid w:val="00123416"/>
    <w:rsid w:val="00123D73"/>
    <w:rsid w:val="001241D0"/>
    <w:rsid w:val="0012584A"/>
    <w:rsid w:val="0012619A"/>
    <w:rsid w:val="00126455"/>
    <w:rsid w:val="00126CC4"/>
    <w:rsid w:val="00130D71"/>
    <w:rsid w:val="00131EC2"/>
    <w:rsid w:val="00140CF8"/>
    <w:rsid w:val="00141C0D"/>
    <w:rsid w:val="00150125"/>
    <w:rsid w:val="00150B59"/>
    <w:rsid w:val="001511C4"/>
    <w:rsid w:val="00153769"/>
    <w:rsid w:val="00154768"/>
    <w:rsid w:val="00155ECF"/>
    <w:rsid w:val="00156173"/>
    <w:rsid w:val="0015623E"/>
    <w:rsid w:val="0015753C"/>
    <w:rsid w:val="00160231"/>
    <w:rsid w:val="00161EB9"/>
    <w:rsid w:val="001674E1"/>
    <w:rsid w:val="00175F65"/>
    <w:rsid w:val="00175FEF"/>
    <w:rsid w:val="00180E0A"/>
    <w:rsid w:val="00186A1C"/>
    <w:rsid w:val="00192984"/>
    <w:rsid w:val="00193569"/>
    <w:rsid w:val="001A20A2"/>
    <w:rsid w:val="001A688B"/>
    <w:rsid w:val="001B1724"/>
    <w:rsid w:val="001B275B"/>
    <w:rsid w:val="001B3CED"/>
    <w:rsid w:val="001B488D"/>
    <w:rsid w:val="001B6D4B"/>
    <w:rsid w:val="001C1142"/>
    <w:rsid w:val="001C14F1"/>
    <w:rsid w:val="001C1C56"/>
    <w:rsid w:val="001C4128"/>
    <w:rsid w:val="001C4791"/>
    <w:rsid w:val="001D62DB"/>
    <w:rsid w:val="001D764F"/>
    <w:rsid w:val="001E1701"/>
    <w:rsid w:val="001E69B6"/>
    <w:rsid w:val="001E716D"/>
    <w:rsid w:val="001E72BF"/>
    <w:rsid w:val="001E754E"/>
    <w:rsid w:val="001F3F86"/>
    <w:rsid w:val="001F45F1"/>
    <w:rsid w:val="001F4968"/>
    <w:rsid w:val="001F5390"/>
    <w:rsid w:val="001F5F5A"/>
    <w:rsid w:val="001F6BE1"/>
    <w:rsid w:val="001F72E2"/>
    <w:rsid w:val="001F7686"/>
    <w:rsid w:val="002015A6"/>
    <w:rsid w:val="00202CC9"/>
    <w:rsid w:val="00203CF2"/>
    <w:rsid w:val="00210110"/>
    <w:rsid w:val="002107A9"/>
    <w:rsid w:val="00210A53"/>
    <w:rsid w:val="002118A5"/>
    <w:rsid w:val="0021292B"/>
    <w:rsid w:val="0021644E"/>
    <w:rsid w:val="00217B7C"/>
    <w:rsid w:val="00220F12"/>
    <w:rsid w:val="00226C07"/>
    <w:rsid w:val="00227DD0"/>
    <w:rsid w:val="00237D6A"/>
    <w:rsid w:val="00240E7D"/>
    <w:rsid w:val="00242438"/>
    <w:rsid w:val="00243F69"/>
    <w:rsid w:val="00244703"/>
    <w:rsid w:val="00244FB7"/>
    <w:rsid w:val="00247525"/>
    <w:rsid w:val="00247615"/>
    <w:rsid w:val="00250E16"/>
    <w:rsid w:val="00251793"/>
    <w:rsid w:val="00255905"/>
    <w:rsid w:val="00256212"/>
    <w:rsid w:val="00256E88"/>
    <w:rsid w:val="00257343"/>
    <w:rsid w:val="00262576"/>
    <w:rsid w:val="00262A12"/>
    <w:rsid w:val="00267422"/>
    <w:rsid w:val="002677F4"/>
    <w:rsid w:val="0027277C"/>
    <w:rsid w:val="002737E0"/>
    <w:rsid w:val="00276AEC"/>
    <w:rsid w:val="002773CD"/>
    <w:rsid w:val="002835F3"/>
    <w:rsid w:val="00287486"/>
    <w:rsid w:val="0028762E"/>
    <w:rsid w:val="00292992"/>
    <w:rsid w:val="002941F6"/>
    <w:rsid w:val="002966D8"/>
    <w:rsid w:val="002A1AA9"/>
    <w:rsid w:val="002A2321"/>
    <w:rsid w:val="002A2D47"/>
    <w:rsid w:val="002A2EFA"/>
    <w:rsid w:val="002A662B"/>
    <w:rsid w:val="002A6BD1"/>
    <w:rsid w:val="002B3969"/>
    <w:rsid w:val="002B61F7"/>
    <w:rsid w:val="002C63E0"/>
    <w:rsid w:val="002C72D5"/>
    <w:rsid w:val="002C768C"/>
    <w:rsid w:val="002D6069"/>
    <w:rsid w:val="002D6223"/>
    <w:rsid w:val="002E1010"/>
    <w:rsid w:val="002E1610"/>
    <w:rsid w:val="002E1C7E"/>
    <w:rsid w:val="002E4013"/>
    <w:rsid w:val="002E40C0"/>
    <w:rsid w:val="002E4A68"/>
    <w:rsid w:val="002E56C0"/>
    <w:rsid w:val="002E6092"/>
    <w:rsid w:val="002E6360"/>
    <w:rsid w:val="002E7AD6"/>
    <w:rsid w:val="002F291C"/>
    <w:rsid w:val="002F29F8"/>
    <w:rsid w:val="002F354D"/>
    <w:rsid w:val="002F37A3"/>
    <w:rsid w:val="002F3A8F"/>
    <w:rsid w:val="0030028C"/>
    <w:rsid w:val="003017EC"/>
    <w:rsid w:val="00302A3F"/>
    <w:rsid w:val="00307684"/>
    <w:rsid w:val="00312005"/>
    <w:rsid w:val="00314E77"/>
    <w:rsid w:val="00315499"/>
    <w:rsid w:val="00322B76"/>
    <w:rsid w:val="00324CDC"/>
    <w:rsid w:val="00325D87"/>
    <w:rsid w:val="00326EAB"/>
    <w:rsid w:val="0032755E"/>
    <w:rsid w:val="00332807"/>
    <w:rsid w:val="00333285"/>
    <w:rsid w:val="0033657E"/>
    <w:rsid w:val="00337CB0"/>
    <w:rsid w:val="00341E52"/>
    <w:rsid w:val="0034433D"/>
    <w:rsid w:val="00355351"/>
    <w:rsid w:val="003565EC"/>
    <w:rsid w:val="00357AED"/>
    <w:rsid w:val="00361091"/>
    <w:rsid w:val="003616F8"/>
    <w:rsid w:val="00364FAB"/>
    <w:rsid w:val="0037346E"/>
    <w:rsid w:val="00374A0F"/>
    <w:rsid w:val="003751C4"/>
    <w:rsid w:val="00375970"/>
    <w:rsid w:val="00377809"/>
    <w:rsid w:val="00380DFE"/>
    <w:rsid w:val="003864F1"/>
    <w:rsid w:val="00386F4E"/>
    <w:rsid w:val="00387B69"/>
    <w:rsid w:val="00397431"/>
    <w:rsid w:val="003A1298"/>
    <w:rsid w:val="003A1F55"/>
    <w:rsid w:val="003A3496"/>
    <w:rsid w:val="003A369B"/>
    <w:rsid w:val="003A6FF9"/>
    <w:rsid w:val="003B2548"/>
    <w:rsid w:val="003B3435"/>
    <w:rsid w:val="003C45B6"/>
    <w:rsid w:val="003D08DF"/>
    <w:rsid w:val="003D1480"/>
    <w:rsid w:val="003D3340"/>
    <w:rsid w:val="003D4DC3"/>
    <w:rsid w:val="003D5F61"/>
    <w:rsid w:val="003D65AC"/>
    <w:rsid w:val="003D68FA"/>
    <w:rsid w:val="003E0200"/>
    <w:rsid w:val="003E1346"/>
    <w:rsid w:val="003E6E51"/>
    <w:rsid w:val="003F073A"/>
    <w:rsid w:val="003F7869"/>
    <w:rsid w:val="004031AA"/>
    <w:rsid w:val="004040A1"/>
    <w:rsid w:val="00405BB3"/>
    <w:rsid w:val="00406AE9"/>
    <w:rsid w:val="0041039F"/>
    <w:rsid w:val="004105A3"/>
    <w:rsid w:val="00415677"/>
    <w:rsid w:val="0043001A"/>
    <w:rsid w:val="00432861"/>
    <w:rsid w:val="00432BBE"/>
    <w:rsid w:val="0043567B"/>
    <w:rsid w:val="00435CEB"/>
    <w:rsid w:val="0043787B"/>
    <w:rsid w:val="00450A12"/>
    <w:rsid w:val="00456DEC"/>
    <w:rsid w:val="0045793F"/>
    <w:rsid w:val="004603CE"/>
    <w:rsid w:val="004626BF"/>
    <w:rsid w:val="0046418B"/>
    <w:rsid w:val="00464467"/>
    <w:rsid w:val="00467495"/>
    <w:rsid w:val="004704D4"/>
    <w:rsid w:val="004719D9"/>
    <w:rsid w:val="0047262B"/>
    <w:rsid w:val="00472F31"/>
    <w:rsid w:val="00475641"/>
    <w:rsid w:val="00475F3F"/>
    <w:rsid w:val="00476D26"/>
    <w:rsid w:val="00485FAD"/>
    <w:rsid w:val="00487397"/>
    <w:rsid w:val="0049009E"/>
    <w:rsid w:val="0049101B"/>
    <w:rsid w:val="00492629"/>
    <w:rsid w:val="00493320"/>
    <w:rsid w:val="00495963"/>
    <w:rsid w:val="004964CE"/>
    <w:rsid w:val="00497758"/>
    <w:rsid w:val="004A42FC"/>
    <w:rsid w:val="004B12E7"/>
    <w:rsid w:val="004B23A1"/>
    <w:rsid w:val="004B48C0"/>
    <w:rsid w:val="004B4CEC"/>
    <w:rsid w:val="004B5894"/>
    <w:rsid w:val="004B7B54"/>
    <w:rsid w:val="004C1D08"/>
    <w:rsid w:val="004C5D2A"/>
    <w:rsid w:val="004C649B"/>
    <w:rsid w:val="004C6DA0"/>
    <w:rsid w:val="004C7997"/>
    <w:rsid w:val="004D0057"/>
    <w:rsid w:val="004D1435"/>
    <w:rsid w:val="004D2075"/>
    <w:rsid w:val="004D330C"/>
    <w:rsid w:val="004D5BD7"/>
    <w:rsid w:val="004F3975"/>
    <w:rsid w:val="004F4165"/>
    <w:rsid w:val="00501BC0"/>
    <w:rsid w:val="00501EC8"/>
    <w:rsid w:val="005020B8"/>
    <w:rsid w:val="005024F1"/>
    <w:rsid w:val="00505B3C"/>
    <w:rsid w:val="00511FE6"/>
    <w:rsid w:val="0051276C"/>
    <w:rsid w:val="0052119F"/>
    <w:rsid w:val="005232ED"/>
    <w:rsid w:val="00524C33"/>
    <w:rsid w:val="00525786"/>
    <w:rsid w:val="005257AC"/>
    <w:rsid w:val="00531B25"/>
    <w:rsid w:val="00532378"/>
    <w:rsid w:val="00534ADF"/>
    <w:rsid w:val="00542FE2"/>
    <w:rsid w:val="005433A2"/>
    <w:rsid w:val="00543B62"/>
    <w:rsid w:val="00543ED4"/>
    <w:rsid w:val="005468D2"/>
    <w:rsid w:val="00550733"/>
    <w:rsid w:val="0055414C"/>
    <w:rsid w:val="005549F8"/>
    <w:rsid w:val="00555234"/>
    <w:rsid w:val="00565382"/>
    <w:rsid w:val="00565B47"/>
    <w:rsid w:val="00565D4A"/>
    <w:rsid w:val="00567993"/>
    <w:rsid w:val="00586B6F"/>
    <w:rsid w:val="00597AC5"/>
    <w:rsid w:val="00597ACD"/>
    <w:rsid w:val="005A53DE"/>
    <w:rsid w:val="005A562D"/>
    <w:rsid w:val="005B1D82"/>
    <w:rsid w:val="005B2874"/>
    <w:rsid w:val="005B4214"/>
    <w:rsid w:val="005C09F6"/>
    <w:rsid w:val="005C11AF"/>
    <w:rsid w:val="005C2C2E"/>
    <w:rsid w:val="005C4250"/>
    <w:rsid w:val="005C674C"/>
    <w:rsid w:val="005C6B18"/>
    <w:rsid w:val="005C6C9D"/>
    <w:rsid w:val="005C7143"/>
    <w:rsid w:val="005C74DF"/>
    <w:rsid w:val="005D2DB5"/>
    <w:rsid w:val="005D5745"/>
    <w:rsid w:val="005E2198"/>
    <w:rsid w:val="005E25D0"/>
    <w:rsid w:val="005E434F"/>
    <w:rsid w:val="005E5D38"/>
    <w:rsid w:val="005E71C3"/>
    <w:rsid w:val="0060063F"/>
    <w:rsid w:val="00600649"/>
    <w:rsid w:val="006035A0"/>
    <w:rsid w:val="00607429"/>
    <w:rsid w:val="00614D1B"/>
    <w:rsid w:val="006164A9"/>
    <w:rsid w:val="006254D2"/>
    <w:rsid w:val="006269AC"/>
    <w:rsid w:val="006301CB"/>
    <w:rsid w:val="0063026B"/>
    <w:rsid w:val="006320D9"/>
    <w:rsid w:val="00634070"/>
    <w:rsid w:val="00634282"/>
    <w:rsid w:val="00634339"/>
    <w:rsid w:val="00635630"/>
    <w:rsid w:val="00635F8B"/>
    <w:rsid w:val="00637D2B"/>
    <w:rsid w:val="00640945"/>
    <w:rsid w:val="006531FC"/>
    <w:rsid w:val="0065663D"/>
    <w:rsid w:val="006608C8"/>
    <w:rsid w:val="00661289"/>
    <w:rsid w:val="00663455"/>
    <w:rsid w:val="00664414"/>
    <w:rsid w:val="0067287E"/>
    <w:rsid w:val="00673E5A"/>
    <w:rsid w:val="00673E7C"/>
    <w:rsid w:val="00674296"/>
    <w:rsid w:val="00683A16"/>
    <w:rsid w:val="00690925"/>
    <w:rsid w:val="00695861"/>
    <w:rsid w:val="006A02CB"/>
    <w:rsid w:val="006A489A"/>
    <w:rsid w:val="006B1702"/>
    <w:rsid w:val="006B1C41"/>
    <w:rsid w:val="006B511E"/>
    <w:rsid w:val="006B5832"/>
    <w:rsid w:val="006C17DB"/>
    <w:rsid w:val="006C1A90"/>
    <w:rsid w:val="006C3765"/>
    <w:rsid w:val="006D053F"/>
    <w:rsid w:val="006D0A2C"/>
    <w:rsid w:val="006D1DE0"/>
    <w:rsid w:val="006D5BDA"/>
    <w:rsid w:val="006E0170"/>
    <w:rsid w:val="006E0309"/>
    <w:rsid w:val="006E37FF"/>
    <w:rsid w:val="006E6F05"/>
    <w:rsid w:val="006F207F"/>
    <w:rsid w:val="006F239D"/>
    <w:rsid w:val="006F2D5E"/>
    <w:rsid w:val="006F42E3"/>
    <w:rsid w:val="00700801"/>
    <w:rsid w:val="00700E0D"/>
    <w:rsid w:val="00705929"/>
    <w:rsid w:val="00711884"/>
    <w:rsid w:val="00713F49"/>
    <w:rsid w:val="00716377"/>
    <w:rsid w:val="00733C02"/>
    <w:rsid w:val="00734BEF"/>
    <w:rsid w:val="007367BC"/>
    <w:rsid w:val="00736F26"/>
    <w:rsid w:val="007407BE"/>
    <w:rsid w:val="0074268A"/>
    <w:rsid w:val="007448B6"/>
    <w:rsid w:val="007472B7"/>
    <w:rsid w:val="00750317"/>
    <w:rsid w:val="00751DBD"/>
    <w:rsid w:val="00752419"/>
    <w:rsid w:val="00753539"/>
    <w:rsid w:val="007539D1"/>
    <w:rsid w:val="00756A29"/>
    <w:rsid w:val="00760288"/>
    <w:rsid w:val="007675DC"/>
    <w:rsid w:val="0077084A"/>
    <w:rsid w:val="00770DD9"/>
    <w:rsid w:val="00775EF5"/>
    <w:rsid w:val="00782722"/>
    <w:rsid w:val="0078746F"/>
    <w:rsid w:val="007A048E"/>
    <w:rsid w:val="007A089E"/>
    <w:rsid w:val="007A3DF3"/>
    <w:rsid w:val="007A73A5"/>
    <w:rsid w:val="007B50D5"/>
    <w:rsid w:val="007B5B78"/>
    <w:rsid w:val="007B6328"/>
    <w:rsid w:val="007C236F"/>
    <w:rsid w:val="007C38DC"/>
    <w:rsid w:val="007D2E37"/>
    <w:rsid w:val="007E1C8A"/>
    <w:rsid w:val="007E5303"/>
    <w:rsid w:val="007E656F"/>
    <w:rsid w:val="007F10F4"/>
    <w:rsid w:val="007F1275"/>
    <w:rsid w:val="007F3C81"/>
    <w:rsid w:val="007F6A2D"/>
    <w:rsid w:val="007F6F1A"/>
    <w:rsid w:val="008015BF"/>
    <w:rsid w:val="008020CD"/>
    <w:rsid w:val="00813F30"/>
    <w:rsid w:val="00816D9B"/>
    <w:rsid w:val="00820AEF"/>
    <w:rsid w:val="00821829"/>
    <w:rsid w:val="00827B2B"/>
    <w:rsid w:val="00830A28"/>
    <w:rsid w:val="00837711"/>
    <w:rsid w:val="00843906"/>
    <w:rsid w:val="008474A5"/>
    <w:rsid w:val="00850ED4"/>
    <w:rsid w:val="00850F17"/>
    <w:rsid w:val="008529D3"/>
    <w:rsid w:val="0085313B"/>
    <w:rsid w:val="00856A73"/>
    <w:rsid w:val="00856B4C"/>
    <w:rsid w:val="008606DA"/>
    <w:rsid w:val="00860A98"/>
    <w:rsid w:val="00863CD4"/>
    <w:rsid w:val="00863D48"/>
    <w:rsid w:val="00866713"/>
    <w:rsid w:val="00867D25"/>
    <w:rsid w:val="00873C9E"/>
    <w:rsid w:val="00876243"/>
    <w:rsid w:val="00881AFB"/>
    <w:rsid w:val="00881E45"/>
    <w:rsid w:val="00883EA8"/>
    <w:rsid w:val="0088500B"/>
    <w:rsid w:val="008860C2"/>
    <w:rsid w:val="008909A5"/>
    <w:rsid w:val="00893614"/>
    <w:rsid w:val="008A339D"/>
    <w:rsid w:val="008A4218"/>
    <w:rsid w:val="008A5841"/>
    <w:rsid w:val="008B0AD3"/>
    <w:rsid w:val="008B2E55"/>
    <w:rsid w:val="008B4343"/>
    <w:rsid w:val="008B5FF9"/>
    <w:rsid w:val="008C53FE"/>
    <w:rsid w:val="008D44A4"/>
    <w:rsid w:val="008D7E84"/>
    <w:rsid w:val="008E138A"/>
    <w:rsid w:val="008E5F45"/>
    <w:rsid w:val="008E653B"/>
    <w:rsid w:val="008F176E"/>
    <w:rsid w:val="008F5550"/>
    <w:rsid w:val="008F682F"/>
    <w:rsid w:val="00902209"/>
    <w:rsid w:val="0090329D"/>
    <w:rsid w:val="00907E87"/>
    <w:rsid w:val="00910E03"/>
    <w:rsid w:val="00911377"/>
    <w:rsid w:val="00920EAF"/>
    <w:rsid w:val="00924838"/>
    <w:rsid w:val="00927F78"/>
    <w:rsid w:val="00930773"/>
    <w:rsid w:val="00930788"/>
    <w:rsid w:val="00931D14"/>
    <w:rsid w:val="0093445E"/>
    <w:rsid w:val="009356A2"/>
    <w:rsid w:val="0093742E"/>
    <w:rsid w:val="00941CC1"/>
    <w:rsid w:val="009504B1"/>
    <w:rsid w:val="00952E83"/>
    <w:rsid w:val="00955598"/>
    <w:rsid w:val="00956254"/>
    <w:rsid w:val="009575CB"/>
    <w:rsid w:val="00964ADD"/>
    <w:rsid w:val="00965A6E"/>
    <w:rsid w:val="00970E6A"/>
    <w:rsid w:val="00975335"/>
    <w:rsid w:val="00976AC4"/>
    <w:rsid w:val="00977E73"/>
    <w:rsid w:val="00980C60"/>
    <w:rsid w:val="00982AE8"/>
    <w:rsid w:val="00983510"/>
    <w:rsid w:val="00990C3F"/>
    <w:rsid w:val="00993613"/>
    <w:rsid w:val="009946E1"/>
    <w:rsid w:val="009A211A"/>
    <w:rsid w:val="009A71BE"/>
    <w:rsid w:val="009B1F87"/>
    <w:rsid w:val="009B420B"/>
    <w:rsid w:val="009B7F60"/>
    <w:rsid w:val="009C7FF9"/>
    <w:rsid w:val="009D02A5"/>
    <w:rsid w:val="009D34DD"/>
    <w:rsid w:val="009D4DBD"/>
    <w:rsid w:val="009D4F11"/>
    <w:rsid w:val="009D7858"/>
    <w:rsid w:val="009E1730"/>
    <w:rsid w:val="009E5AC8"/>
    <w:rsid w:val="009F4873"/>
    <w:rsid w:val="00A002D1"/>
    <w:rsid w:val="00A00EFA"/>
    <w:rsid w:val="00A0165A"/>
    <w:rsid w:val="00A03DEA"/>
    <w:rsid w:val="00A073D0"/>
    <w:rsid w:val="00A17A24"/>
    <w:rsid w:val="00A22161"/>
    <w:rsid w:val="00A2305F"/>
    <w:rsid w:val="00A315BF"/>
    <w:rsid w:val="00A32BCB"/>
    <w:rsid w:val="00A338BA"/>
    <w:rsid w:val="00A367C9"/>
    <w:rsid w:val="00A36EBC"/>
    <w:rsid w:val="00A4047C"/>
    <w:rsid w:val="00A40F51"/>
    <w:rsid w:val="00A43A87"/>
    <w:rsid w:val="00A460F9"/>
    <w:rsid w:val="00A514C7"/>
    <w:rsid w:val="00A51FEE"/>
    <w:rsid w:val="00A5320A"/>
    <w:rsid w:val="00A54691"/>
    <w:rsid w:val="00A5601C"/>
    <w:rsid w:val="00A57BD0"/>
    <w:rsid w:val="00A6336A"/>
    <w:rsid w:val="00A64B70"/>
    <w:rsid w:val="00A673A7"/>
    <w:rsid w:val="00A70640"/>
    <w:rsid w:val="00A720C8"/>
    <w:rsid w:val="00A729A9"/>
    <w:rsid w:val="00A72FA8"/>
    <w:rsid w:val="00A73D27"/>
    <w:rsid w:val="00A75977"/>
    <w:rsid w:val="00A75D5F"/>
    <w:rsid w:val="00A80D44"/>
    <w:rsid w:val="00A86212"/>
    <w:rsid w:val="00A8664C"/>
    <w:rsid w:val="00A97700"/>
    <w:rsid w:val="00AA3F72"/>
    <w:rsid w:val="00AA55A7"/>
    <w:rsid w:val="00AB5C0C"/>
    <w:rsid w:val="00AC42D8"/>
    <w:rsid w:val="00AC67C1"/>
    <w:rsid w:val="00AD53A6"/>
    <w:rsid w:val="00AE3678"/>
    <w:rsid w:val="00AE58D8"/>
    <w:rsid w:val="00AE6DAC"/>
    <w:rsid w:val="00AF108B"/>
    <w:rsid w:val="00AF6B8B"/>
    <w:rsid w:val="00B0037E"/>
    <w:rsid w:val="00B028D1"/>
    <w:rsid w:val="00B036D0"/>
    <w:rsid w:val="00B039BC"/>
    <w:rsid w:val="00B123C7"/>
    <w:rsid w:val="00B130B5"/>
    <w:rsid w:val="00B132BF"/>
    <w:rsid w:val="00B16D00"/>
    <w:rsid w:val="00B16D02"/>
    <w:rsid w:val="00B21972"/>
    <w:rsid w:val="00B21E62"/>
    <w:rsid w:val="00B25BAA"/>
    <w:rsid w:val="00B27375"/>
    <w:rsid w:val="00B27398"/>
    <w:rsid w:val="00B3215F"/>
    <w:rsid w:val="00B33616"/>
    <w:rsid w:val="00B34243"/>
    <w:rsid w:val="00B353B2"/>
    <w:rsid w:val="00B37695"/>
    <w:rsid w:val="00B419AC"/>
    <w:rsid w:val="00B4340C"/>
    <w:rsid w:val="00B459E4"/>
    <w:rsid w:val="00B47147"/>
    <w:rsid w:val="00B537BD"/>
    <w:rsid w:val="00B55067"/>
    <w:rsid w:val="00B56CEF"/>
    <w:rsid w:val="00B60625"/>
    <w:rsid w:val="00B60801"/>
    <w:rsid w:val="00B61D29"/>
    <w:rsid w:val="00B637A2"/>
    <w:rsid w:val="00B63F1F"/>
    <w:rsid w:val="00B64112"/>
    <w:rsid w:val="00B64D8D"/>
    <w:rsid w:val="00B7309C"/>
    <w:rsid w:val="00B74360"/>
    <w:rsid w:val="00B77527"/>
    <w:rsid w:val="00B8593D"/>
    <w:rsid w:val="00B97014"/>
    <w:rsid w:val="00B97C15"/>
    <w:rsid w:val="00BA0AF9"/>
    <w:rsid w:val="00BA5A30"/>
    <w:rsid w:val="00BA7FF5"/>
    <w:rsid w:val="00BB2A25"/>
    <w:rsid w:val="00BB2FCD"/>
    <w:rsid w:val="00BB31E5"/>
    <w:rsid w:val="00BB7640"/>
    <w:rsid w:val="00BB7B45"/>
    <w:rsid w:val="00BC2C19"/>
    <w:rsid w:val="00BC3AD8"/>
    <w:rsid w:val="00BC5A8F"/>
    <w:rsid w:val="00BC6143"/>
    <w:rsid w:val="00BC6ECC"/>
    <w:rsid w:val="00BD319C"/>
    <w:rsid w:val="00BD6428"/>
    <w:rsid w:val="00BD71C2"/>
    <w:rsid w:val="00BE1C79"/>
    <w:rsid w:val="00BE2A22"/>
    <w:rsid w:val="00BE3DDD"/>
    <w:rsid w:val="00BF0240"/>
    <w:rsid w:val="00BF2CF7"/>
    <w:rsid w:val="00BF43BE"/>
    <w:rsid w:val="00BF5172"/>
    <w:rsid w:val="00BF5B5A"/>
    <w:rsid w:val="00BF67D7"/>
    <w:rsid w:val="00BF7DF5"/>
    <w:rsid w:val="00C024E6"/>
    <w:rsid w:val="00C03F04"/>
    <w:rsid w:val="00C03F6F"/>
    <w:rsid w:val="00C100C4"/>
    <w:rsid w:val="00C12E08"/>
    <w:rsid w:val="00C133C2"/>
    <w:rsid w:val="00C1347E"/>
    <w:rsid w:val="00C145F7"/>
    <w:rsid w:val="00C14A4B"/>
    <w:rsid w:val="00C14F17"/>
    <w:rsid w:val="00C1633B"/>
    <w:rsid w:val="00C20D59"/>
    <w:rsid w:val="00C2173A"/>
    <w:rsid w:val="00C30F6C"/>
    <w:rsid w:val="00C314B2"/>
    <w:rsid w:val="00C32D05"/>
    <w:rsid w:val="00C33B00"/>
    <w:rsid w:val="00C42A72"/>
    <w:rsid w:val="00C43AA5"/>
    <w:rsid w:val="00C45904"/>
    <w:rsid w:val="00C50BD5"/>
    <w:rsid w:val="00C53D64"/>
    <w:rsid w:val="00C5668B"/>
    <w:rsid w:val="00C570FE"/>
    <w:rsid w:val="00C600C7"/>
    <w:rsid w:val="00C61F91"/>
    <w:rsid w:val="00C637D9"/>
    <w:rsid w:val="00C721B8"/>
    <w:rsid w:val="00C738EE"/>
    <w:rsid w:val="00C74441"/>
    <w:rsid w:val="00C76242"/>
    <w:rsid w:val="00C77316"/>
    <w:rsid w:val="00C83AE8"/>
    <w:rsid w:val="00C861B5"/>
    <w:rsid w:val="00C9318D"/>
    <w:rsid w:val="00C954ED"/>
    <w:rsid w:val="00C95FDA"/>
    <w:rsid w:val="00CA72B3"/>
    <w:rsid w:val="00CC1FE6"/>
    <w:rsid w:val="00CC2026"/>
    <w:rsid w:val="00CC24FD"/>
    <w:rsid w:val="00CC48DC"/>
    <w:rsid w:val="00CC587F"/>
    <w:rsid w:val="00CD259C"/>
    <w:rsid w:val="00CD3188"/>
    <w:rsid w:val="00CD52F7"/>
    <w:rsid w:val="00CD5445"/>
    <w:rsid w:val="00CD5FCA"/>
    <w:rsid w:val="00CE3302"/>
    <w:rsid w:val="00CE3541"/>
    <w:rsid w:val="00CE38BB"/>
    <w:rsid w:val="00CE620A"/>
    <w:rsid w:val="00CE7510"/>
    <w:rsid w:val="00CF01A8"/>
    <w:rsid w:val="00CF16F7"/>
    <w:rsid w:val="00CF3551"/>
    <w:rsid w:val="00CF5A34"/>
    <w:rsid w:val="00D00747"/>
    <w:rsid w:val="00D04DE2"/>
    <w:rsid w:val="00D04FDA"/>
    <w:rsid w:val="00D10209"/>
    <w:rsid w:val="00D15830"/>
    <w:rsid w:val="00D2425F"/>
    <w:rsid w:val="00D26045"/>
    <w:rsid w:val="00D279D6"/>
    <w:rsid w:val="00D31265"/>
    <w:rsid w:val="00D37F3B"/>
    <w:rsid w:val="00D40D57"/>
    <w:rsid w:val="00D45F2B"/>
    <w:rsid w:val="00D466F3"/>
    <w:rsid w:val="00D4757B"/>
    <w:rsid w:val="00D47FD8"/>
    <w:rsid w:val="00D515DB"/>
    <w:rsid w:val="00D52712"/>
    <w:rsid w:val="00D55009"/>
    <w:rsid w:val="00D559CC"/>
    <w:rsid w:val="00D569AC"/>
    <w:rsid w:val="00D575EB"/>
    <w:rsid w:val="00D57F89"/>
    <w:rsid w:val="00D63CE5"/>
    <w:rsid w:val="00D65F82"/>
    <w:rsid w:val="00D7084D"/>
    <w:rsid w:val="00D7302E"/>
    <w:rsid w:val="00D74B71"/>
    <w:rsid w:val="00D82034"/>
    <w:rsid w:val="00D82C85"/>
    <w:rsid w:val="00D862E8"/>
    <w:rsid w:val="00D87A9C"/>
    <w:rsid w:val="00D90CDE"/>
    <w:rsid w:val="00D9505A"/>
    <w:rsid w:val="00D96227"/>
    <w:rsid w:val="00D966F4"/>
    <w:rsid w:val="00DA176E"/>
    <w:rsid w:val="00DA1CA1"/>
    <w:rsid w:val="00DA2864"/>
    <w:rsid w:val="00DA49B5"/>
    <w:rsid w:val="00DA4D39"/>
    <w:rsid w:val="00DA5879"/>
    <w:rsid w:val="00DA753B"/>
    <w:rsid w:val="00DB3113"/>
    <w:rsid w:val="00DB4433"/>
    <w:rsid w:val="00DB6359"/>
    <w:rsid w:val="00DC104D"/>
    <w:rsid w:val="00DC2611"/>
    <w:rsid w:val="00DC779A"/>
    <w:rsid w:val="00DD0080"/>
    <w:rsid w:val="00DD0969"/>
    <w:rsid w:val="00DD3112"/>
    <w:rsid w:val="00DE366E"/>
    <w:rsid w:val="00DE5B33"/>
    <w:rsid w:val="00DF5E46"/>
    <w:rsid w:val="00DF798C"/>
    <w:rsid w:val="00E00048"/>
    <w:rsid w:val="00E01904"/>
    <w:rsid w:val="00E060E9"/>
    <w:rsid w:val="00E06F31"/>
    <w:rsid w:val="00E168EA"/>
    <w:rsid w:val="00E17A02"/>
    <w:rsid w:val="00E21083"/>
    <w:rsid w:val="00E23D87"/>
    <w:rsid w:val="00E2534A"/>
    <w:rsid w:val="00E25573"/>
    <w:rsid w:val="00E27784"/>
    <w:rsid w:val="00E35027"/>
    <w:rsid w:val="00E36451"/>
    <w:rsid w:val="00E416BD"/>
    <w:rsid w:val="00E4631D"/>
    <w:rsid w:val="00E4757B"/>
    <w:rsid w:val="00E47E85"/>
    <w:rsid w:val="00E50836"/>
    <w:rsid w:val="00E51C9A"/>
    <w:rsid w:val="00E5286D"/>
    <w:rsid w:val="00E53487"/>
    <w:rsid w:val="00E53FF4"/>
    <w:rsid w:val="00E54CD2"/>
    <w:rsid w:val="00E576F1"/>
    <w:rsid w:val="00E61687"/>
    <w:rsid w:val="00E61E86"/>
    <w:rsid w:val="00E62CBE"/>
    <w:rsid w:val="00E63A72"/>
    <w:rsid w:val="00E64AD0"/>
    <w:rsid w:val="00E65765"/>
    <w:rsid w:val="00E803A4"/>
    <w:rsid w:val="00E818DA"/>
    <w:rsid w:val="00E83BB1"/>
    <w:rsid w:val="00E866F0"/>
    <w:rsid w:val="00E87173"/>
    <w:rsid w:val="00E90A99"/>
    <w:rsid w:val="00E91998"/>
    <w:rsid w:val="00E92927"/>
    <w:rsid w:val="00E94CA7"/>
    <w:rsid w:val="00EA4A8B"/>
    <w:rsid w:val="00EA5258"/>
    <w:rsid w:val="00EA7AB7"/>
    <w:rsid w:val="00EB061E"/>
    <w:rsid w:val="00EB06F5"/>
    <w:rsid w:val="00EB1089"/>
    <w:rsid w:val="00EB2C13"/>
    <w:rsid w:val="00EB2E83"/>
    <w:rsid w:val="00EB70E3"/>
    <w:rsid w:val="00EC6EB0"/>
    <w:rsid w:val="00ED52BC"/>
    <w:rsid w:val="00ED60AA"/>
    <w:rsid w:val="00ED6DDB"/>
    <w:rsid w:val="00EE5C33"/>
    <w:rsid w:val="00EF3065"/>
    <w:rsid w:val="00EF3C68"/>
    <w:rsid w:val="00EF76A3"/>
    <w:rsid w:val="00EF7859"/>
    <w:rsid w:val="00EF785A"/>
    <w:rsid w:val="00F00977"/>
    <w:rsid w:val="00F0125C"/>
    <w:rsid w:val="00F0212C"/>
    <w:rsid w:val="00F03529"/>
    <w:rsid w:val="00F0478B"/>
    <w:rsid w:val="00F133E8"/>
    <w:rsid w:val="00F140AA"/>
    <w:rsid w:val="00F14C37"/>
    <w:rsid w:val="00F16E66"/>
    <w:rsid w:val="00F16EC7"/>
    <w:rsid w:val="00F21AD0"/>
    <w:rsid w:val="00F21D0B"/>
    <w:rsid w:val="00F26895"/>
    <w:rsid w:val="00F26AEA"/>
    <w:rsid w:val="00F3079E"/>
    <w:rsid w:val="00F32A65"/>
    <w:rsid w:val="00F34298"/>
    <w:rsid w:val="00F353ED"/>
    <w:rsid w:val="00F35A3C"/>
    <w:rsid w:val="00F40883"/>
    <w:rsid w:val="00F56561"/>
    <w:rsid w:val="00F606A0"/>
    <w:rsid w:val="00F60E11"/>
    <w:rsid w:val="00F65925"/>
    <w:rsid w:val="00F73A55"/>
    <w:rsid w:val="00F766C2"/>
    <w:rsid w:val="00F7770F"/>
    <w:rsid w:val="00F8024A"/>
    <w:rsid w:val="00F80A6D"/>
    <w:rsid w:val="00F90D8F"/>
    <w:rsid w:val="00F91DB5"/>
    <w:rsid w:val="00F96155"/>
    <w:rsid w:val="00F979ED"/>
    <w:rsid w:val="00FA0475"/>
    <w:rsid w:val="00FA0670"/>
    <w:rsid w:val="00FA6B66"/>
    <w:rsid w:val="00FB4A33"/>
    <w:rsid w:val="00FB56EB"/>
    <w:rsid w:val="00FC2221"/>
    <w:rsid w:val="00FC228E"/>
    <w:rsid w:val="00FC2C14"/>
    <w:rsid w:val="00FC4585"/>
    <w:rsid w:val="00FC5DA9"/>
    <w:rsid w:val="00FC608D"/>
    <w:rsid w:val="00FC7331"/>
    <w:rsid w:val="00FC7C0D"/>
    <w:rsid w:val="00FD0248"/>
    <w:rsid w:val="00FD21C9"/>
    <w:rsid w:val="00FD4B74"/>
    <w:rsid w:val="00FD5A05"/>
    <w:rsid w:val="00FD79F8"/>
    <w:rsid w:val="00FD7B06"/>
    <w:rsid w:val="00FE20D8"/>
    <w:rsid w:val="00FE3662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schemas-GSKSiteLocations-com/fourthcoffee" w:name="flavor"/>
  <w:shapeDefaults>
    <o:shapedefaults v:ext="edit" spidmax="2049"/>
    <o:shapelayout v:ext="edit">
      <o:idmap v:ext="edit" data="1"/>
    </o:shapelayout>
  </w:shapeDefaults>
  <w:decimalSymbol w:val=","/>
  <w:listSeparator w:val=";"/>
  <w14:docId w14:val="3050A7E2"/>
  <w15:docId w15:val="{65597C06-066E-4A41-8860-203B39AF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801"/>
  </w:style>
  <w:style w:type="paragraph" w:styleId="Nadpis1">
    <w:name w:val="heading 1"/>
    <w:basedOn w:val="Normlny"/>
    <w:next w:val="Normlny"/>
    <w:qFormat/>
    <w:rsid w:val="00700801"/>
    <w:pPr>
      <w:keepNext/>
      <w:outlineLvl w:val="0"/>
    </w:pPr>
    <w:rPr>
      <w:rFonts w:ascii="Arial" w:hAnsi="Arial"/>
      <w:u w:val="single"/>
    </w:rPr>
  </w:style>
  <w:style w:type="paragraph" w:styleId="Nadpis2">
    <w:name w:val="heading 2"/>
    <w:basedOn w:val="Normlny"/>
    <w:next w:val="Normlny"/>
    <w:qFormat/>
    <w:rsid w:val="0070080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700801"/>
    <w:pPr>
      <w:keepNext/>
      <w:outlineLvl w:val="2"/>
    </w:pPr>
    <w:rPr>
      <w:rFonts w:ascii="Arial" w:hAnsi="Arial"/>
      <w:b/>
      <w:u w:val="single"/>
    </w:rPr>
  </w:style>
  <w:style w:type="paragraph" w:styleId="Nadpis4">
    <w:name w:val="heading 4"/>
    <w:basedOn w:val="Normlny"/>
    <w:next w:val="Normlny"/>
    <w:qFormat/>
    <w:rsid w:val="00700801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Nadpis5">
    <w:name w:val="heading 5"/>
    <w:basedOn w:val="Normlny"/>
    <w:next w:val="Normlny"/>
    <w:qFormat/>
    <w:rsid w:val="00700801"/>
    <w:pPr>
      <w:keepNext/>
      <w:outlineLvl w:val="4"/>
    </w:pPr>
    <w:rPr>
      <w:rFonts w:ascii="Arial" w:hAnsi="Arial"/>
      <w:color w:val="FF0000"/>
      <w:u w:val="single"/>
    </w:rPr>
  </w:style>
  <w:style w:type="paragraph" w:styleId="Nadpis6">
    <w:name w:val="heading 6"/>
    <w:basedOn w:val="Normlny"/>
    <w:next w:val="Normlny"/>
    <w:qFormat/>
    <w:rsid w:val="00700801"/>
    <w:pPr>
      <w:keepNext/>
      <w:outlineLvl w:val="5"/>
    </w:pPr>
    <w:rPr>
      <w:rFonts w:ascii="Arial" w:hAnsi="Arial"/>
      <w:b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00801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700801"/>
  </w:style>
  <w:style w:type="paragraph" w:styleId="Zkladntext">
    <w:name w:val="Body Text"/>
    <w:basedOn w:val="Normlny"/>
    <w:rsid w:val="00700801"/>
    <w:rPr>
      <w:rFonts w:ascii="Arial" w:hAnsi="Arial"/>
      <w:i/>
    </w:rPr>
  </w:style>
  <w:style w:type="paragraph" w:styleId="Zkladntext2">
    <w:name w:val="Body Text 2"/>
    <w:basedOn w:val="Normlny"/>
    <w:rsid w:val="00700801"/>
    <w:rPr>
      <w:rFonts w:ascii="Arial" w:hAnsi="Arial"/>
      <w:b/>
      <w:u w:val="single"/>
    </w:rPr>
  </w:style>
  <w:style w:type="paragraph" w:styleId="Zkladntext3">
    <w:name w:val="Body Text 3"/>
    <w:basedOn w:val="Normlny"/>
    <w:rsid w:val="00700801"/>
    <w:rPr>
      <w:rFonts w:ascii="Arial" w:hAnsi="Arial"/>
      <w:color w:val="FF0000"/>
    </w:rPr>
  </w:style>
  <w:style w:type="paragraph" w:customStyle="1" w:styleId="Textbubliny1">
    <w:name w:val="Text bubliny1"/>
    <w:basedOn w:val="Normlny"/>
    <w:semiHidden/>
    <w:rsid w:val="00700801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700801"/>
    <w:pPr>
      <w:tabs>
        <w:tab w:val="center" w:pos="4320"/>
        <w:tab w:val="right" w:pos="8640"/>
      </w:tabs>
    </w:pPr>
  </w:style>
  <w:style w:type="paragraph" w:styleId="Textbubliny">
    <w:name w:val="Balloon Text"/>
    <w:basedOn w:val="Normlny"/>
    <w:semiHidden/>
    <w:rsid w:val="00EF76A3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E803A4"/>
    <w:rPr>
      <w:sz w:val="16"/>
      <w:szCs w:val="16"/>
    </w:rPr>
  </w:style>
  <w:style w:type="paragraph" w:styleId="Textkomentra">
    <w:name w:val="annotation text"/>
    <w:basedOn w:val="Normlny"/>
    <w:semiHidden/>
    <w:rsid w:val="00E803A4"/>
  </w:style>
  <w:style w:type="paragraph" w:styleId="Predmetkomentra">
    <w:name w:val="annotation subject"/>
    <w:basedOn w:val="Textkomentra"/>
    <w:next w:val="Textkomentra"/>
    <w:semiHidden/>
    <w:rsid w:val="00E803A4"/>
    <w:rPr>
      <w:b/>
      <w:bCs/>
    </w:rPr>
  </w:style>
  <w:style w:type="character" w:styleId="PouitHypertextovPrepojenie">
    <w:name w:val="FollowedHyperlink"/>
    <w:rsid w:val="006B1702"/>
    <w:rPr>
      <w:color w:val="606420"/>
      <w:u w:val="single"/>
    </w:rPr>
  </w:style>
  <w:style w:type="paragraph" w:styleId="Revzia">
    <w:name w:val="Revision"/>
    <w:hidden/>
    <w:uiPriority w:val="99"/>
    <w:semiHidden/>
    <w:rsid w:val="00E61687"/>
  </w:style>
  <w:style w:type="character" w:styleId="Hypertextovprepojenie">
    <w:name w:val="Hyperlink"/>
    <w:rsid w:val="009D7858"/>
    <w:rPr>
      <w:color w:val="0000FF"/>
      <w:u w:val="single"/>
    </w:rPr>
  </w:style>
  <w:style w:type="paragraph" w:customStyle="1" w:styleId="Normlndobloku">
    <w:name w:val="Normální do bloku"/>
    <w:basedOn w:val="Normlny"/>
    <w:link w:val="NormlndoblokuChar"/>
    <w:autoRedefine/>
    <w:rsid w:val="00041192"/>
    <w:pPr>
      <w:suppressAutoHyphens/>
    </w:pPr>
    <w:rPr>
      <w:rFonts w:ascii="TimesNewRoman" w:eastAsia="Calibri" w:hAnsi="TimesNewRoman"/>
      <w:sz w:val="22"/>
      <w:szCs w:val="24"/>
      <w:lang w:val="x-none" w:eastAsia="en-US"/>
    </w:rPr>
  </w:style>
  <w:style w:type="character" w:customStyle="1" w:styleId="NormlndoblokuChar">
    <w:name w:val="Normální do bloku Char"/>
    <w:link w:val="Normlndobloku"/>
    <w:rsid w:val="00041192"/>
    <w:rPr>
      <w:rFonts w:ascii="TimesNewRoman" w:eastAsia="Calibri" w:hAnsi="TimesNewRoman"/>
      <w:sz w:val="22"/>
      <w:szCs w:val="24"/>
      <w:lang w:val="x-none" w:eastAsia="en-US"/>
    </w:rPr>
  </w:style>
  <w:style w:type="paragraph" w:customStyle="1" w:styleId="Revzia1">
    <w:name w:val="Revízia1"/>
    <w:hidden/>
    <w:uiPriority w:val="99"/>
    <w:semiHidden/>
    <w:rsid w:val="00387B69"/>
  </w:style>
  <w:style w:type="character" w:customStyle="1" w:styleId="PtaChar">
    <w:name w:val="Päta Char"/>
    <w:basedOn w:val="Predvolenpsmoodseku"/>
    <w:link w:val="Pta"/>
    <w:uiPriority w:val="99"/>
    <w:rsid w:val="00E9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Sero%20SPC%204verzia%20NU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Sero SPC 4verzia NUL.dot</Template>
  <TotalTime>0</TotalTime>
  <Pages>17</Pages>
  <Words>6936</Words>
  <Characters>39536</Characters>
  <Application>Microsoft Office Word</Application>
  <DocSecurity>0</DocSecurity>
  <Lines>329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pro lékaře</vt:lpstr>
      <vt:lpstr>Příbalová informace pro lékaře</vt:lpstr>
    </vt:vector>
  </TitlesOfParts>
  <Company>SmithKline Beecham</Company>
  <LinksUpToDate>false</LinksUpToDate>
  <CharactersWithSpaces>46380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pro lékaře</dc:title>
  <dc:creator>Miso</dc:creator>
  <cp:lastModifiedBy>zuzana molnarova</cp:lastModifiedBy>
  <cp:revision>2</cp:revision>
  <cp:lastPrinted>2021-03-22T13:30:00Z</cp:lastPrinted>
  <dcterms:created xsi:type="dcterms:W3CDTF">2021-03-22T13:30:00Z</dcterms:created>
  <dcterms:modified xsi:type="dcterms:W3CDTF">2021-03-22T13:30:00Z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300057464</vt:i4>
  </property>
</Properties>
</file>