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C8C23" w14:textId="77777777" w:rsidR="00C55C91" w:rsidRPr="000B2DF8" w:rsidRDefault="00C55C91" w:rsidP="005F1949">
      <w:pPr>
        <w:rPr>
          <w:rFonts w:ascii="Times New Roman" w:hAnsi="Times New Roman"/>
          <w:b/>
          <w:sz w:val="22"/>
          <w:szCs w:val="22"/>
        </w:rPr>
      </w:pPr>
    </w:p>
    <w:p w14:paraId="0C303F2D" w14:textId="3B48E21F" w:rsidR="005F1949" w:rsidRDefault="005F1949" w:rsidP="00C55C91">
      <w:pPr>
        <w:jc w:val="center"/>
        <w:rPr>
          <w:rFonts w:ascii="Times New Roman" w:hAnsi="Times New Roman"/>
          <w:b/>
          <w:sz w:val="22"/>
          <w:szCs w:val="22"/>
        </w:rPr>
      </w:pPr>
      <w:r w:rsidRPr="000B2DF8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14:paraId="76179D12" w14:textId="02F1A544" w:rsidR="00C55C91" w:rsidRDefault="00C55C91" w:rsidP="00C55C9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B5DE092" w14:textId="77777777" w:rsidR="00C55C91" w:rsidRPr="000B2DF8" w:rsidRDefault="00C55C91" w:rsidP="006D4EE9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89A2F78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1.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NÁZOV LIEKU</w:t>
      </w:r>
    </w:p>
    <w:p w14:paraId="1E1BD062" w14:textId="77777777" w:rsidR="005F1949" w:rsidRPr="001166AC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C160583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 500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F1AB0">
        <w:rPr>
          <w:rFonts w:ascii="Times New Roman" w:hAnsi="Times New Roman"/>
          <w:sz w:val="22"/>
          <w:szCs w:val="22"/>
          <w:lang w:val="sk-SK"/>
        </w:rPr>
        <w:t>mg</w:t>
      </w:r>
    </w:p>
    <w:p w14:paraId="63DE381F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prášok na </w:t>
      </w:r>
      <w:r>
        <w:rPr>
          <w:rFonts w:ascii="Times New Roman" w:hAnsi="Times New Roman"/>
          <w:sz w:val="22"/>
          <w:szCs w:val="22"/>
          <w:lang w:val="sk-SK"/>
        </w:rPr>
        <w:t xml:space="preserve">infúzny </w:t>
      </w:r>
      <w:r w:rsidRPr="00D05B9F">
        <w:rPr>
          <w:rFonts w:ascii="Times New Roman" w:hAnsi="Times New Roman"/>
          <w:sz w:val="22"/>
          <w:szCs w:val="22"/>
          <w:lang w:val="sk-SK"/>
        </w:rPr>
        <w:t>koncentrát</w:t>
      </w:r>
    </w:p>
    <w:p w14:paraId="5F1BECAE" w14:textId="77777777" w:rsidR="005F1949" w:rsidRPr="00801883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D53ACDF" w14:textId="77777777" w:rsidR="005F1949" w:rsidRPr="00801883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E1BC2CD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8B4EA5">
        <w:rPr>
          <w:rFonts w:ascii="Times New Roman" w:hAnsi="Times New Roman"/>
          <w:b/>
          <w:sz w:val="22"/>
          <w:szCs w:val="22"/>
          <w:lang w:val="sk-SK"/>
        </w:rPr>
        <w:t>2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>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KVALITATÍVNE A KVANTITATÍVNE ZLOŽENIE</w:t>
      </w:r>
    </w:p>
    <w:p w14:paraId="2A0CF982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ECCAB32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 xml:space="preserve">Každá injekčná liekovka obsahuje 500 mg </w:t>
      </w: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(</w:t>
      </w:r>
      <w:r>
        <w:rPr>
          <w:rFonts w:ascii="Times New Roman" w:hAnsi="Times New Roman"/>
          <w:sz w:val="22"/>
          <w:szCs w:val="22"/>
          <w:lang w:val="sk-SK"/>
        </w:rPr>
        <w:t xml:space="preserve">vo forme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sodnej soli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).</w:t>
      </w:r>
    </w:p>
    <w:p w14:paraId="1CD07522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42A5646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Po rozpustení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ml vody na injekciu (rekonštitúcii) obsahuje každý ml 50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mg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.</w:t>
      </w:r>
    </w:p>
    <w:p w14:paraId="673C6264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297818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7B74B2">
        <w:rPr>
          <w:rFonts w:ascii="Times New Roman" w:hAnsi="Times New Roman"/>
          <w:sz w:val="22"/>
          <w:szCs w:val="22"/>
          <w:u w:val="single"/>
          <w:lang w:val="sk-SK"/>
        </w:rPr>
        <w:t>Pomocné látky so známym účinkom: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približne 43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mg </w:t>
      </w:r>
      <w:r w:rsidRPr="00BC72F8">
        <w:rPr>
          <w:rFonts w:ascii="Times New Roman" w:hAnsi="Times New Roman"/>
          <w:sz w:val="22"/>
          <w:szCs w:val="22"/>
          <w:lang w:val="sk-SK"/>
        </w:rPr>
        <w:t>(2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BC72F8">
        <w:rPr>
          <w:rFonts w:ascii="Times New Roman" w:hAnsi="Times New Roman"/>
          <w:sz w:val="22"/>
          <w:szCs w:val="22"/>
          <w:lang w:val="sk-SK"/>
        </w:rPr>
        <w:t>mekv</w:t>
      </w:r>
      <w:proofErr w:type="spellEnd"/>
      <w:r w:rsidRPr="00BC72F8">
        <w:rPr>
          <w:rFonts w:ascii="Times New Roman" w:hAnsi="Times New Roman"/>
          <w:sz w:val="22"/>
          <w:szCs w:val="22"/>
          <w:lang w:val="sk-SK"/>
        </w:rPr>
        <w:t>)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sodíka.</w:t>
      </w:r>
    </w:p>
    <w:p w14:paraId="5951D54A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3705445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14:paraId="775DB37B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0BB5C69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ED50330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3.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LIEKOVÁ FORMA</w:t>
      </w:r>
    </w:p>
    <w:p w14:paraId="1CE7F027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8F4C5FD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 xml:space="preserve">Prášok na infúzny </w:t>
      </w:r>
      <w:r>
        <w:rPr>
          <w:rFonts w:ascii="Times New Roman" w:hAnsi="Times New Roman"/>
          <w:sz w:val="22"/>
          <w:szCs w:val="22"/>
          <w:lang w:val="sk-SK"/>
        </w:rPr>
        <w:t>koncentrát (</w:t>
      </w:r>
      <w:r w:rsidRPr="00D05B9F">
        <w:rPr>
          <w:rFonts w:ascii="Times New Roman" w:hAnsi="Times New Roman"/>
          <w:sz w:val="22"/>
          <w:szCs w:val="22"/>
          <w:lang w:val="sk-SK"/>
        </w:rPr>
        <w:t>prášok na koncentrát)</w:t>
      </w:r>
    </w:p>
    <w:p w14:paraId="315C28C4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794C756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Biely až takmer biely koláč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lyofilizátu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.</w:t>
      </w:r>
    </w:p>
    <w:p w14:paraId="61B009CE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974FC54" w14:textId="77777777" w:rsidR="005F1949" w:rsidRPr="001166AC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5800E9D9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KLINICKÉ ÚDAJE</w:t>
      </w:r>
    </w:p>
    <w:p w14:paraId="361800AD" w14:textId="77777777" w:rsidR="005F1949" w:rsidRPr="00AF1AB0" w:rsidRDefault="005F1949" w:rsidP="005F1949">
      <w:pPr>
        <w:tabs>
          <w:tab w:val="left" w:pos="6564"/>
        </w:tabs>
        <w:rPr>
          <w:rFonts w:ascii="Times New Roman" w:hAnsi="Times New Roman"/>
          <w:sz w:val="22"/>
          <w:szCs w:val="22"/>
          <w:lang w:val="sk-SK"/>
        </w:rPr>
      </w:pPr>
    </w:p>
    <w:p w14:paraId="51DEB454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Terapeutické indikácie</w:t>
      </w:r>
    </w:p>
    <w:p w14:paraId="67B8DF4B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A5B25D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je indikovan</w:t>
      </w:r>
      <w:r>
        <w:rPr>
          <w:rFonts w:ascii="Times New Roman" w:hAnsi="Times New Roman"/>
          <w:sz w:val="22"/>
          <w:szCs w:val="22"/>
          <w:lang w:val="sk-SK"/>
        </w:rPr>
        <w:t>ý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dospelým a dospievajúcim </w:t>
      </w:r>
      <w:r>
        <w:rPr>
          <w:rFonts w:ascii="Times New Roman" w:hAnsi="Times New Roman"/>
          <w:sz w:val="22"/>
          <w:szCs w:val="22"/>
          <w:lang w:val="sk-SK"/>
        </w:rPr>
        <w:t xml:space="preserve">vo veku </w:t>
      </w:r>
      <w:r w:rsidRPr="00D05B9F">
        <w:rPr>
          <w:rFonts w:ascii="Times New Roman" w:hAnsi="Times New Roman"/>
          <w:sz w:val="22"/>
          <w:szCs w:val="22"/>
          <w:lang w:val="sk-SK"/>
        </w:rPr>
        <w:t>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rokov</w:t>
      </w:r>
      <w:r>
        <w:rPr>
          <w:rFonts w:ascii="Times New Roman" w:hAnsi="Times New Roman"/>
          <w:sz w:val="22"/>
          <w:szCs w:val="22"/>
          <w:lang w:val="sk-SK"/>
        </w:rPr>
        <w:t xml:space="preserve"> a starším</w:t>
      </w:r>
      <w:r w:rsidRPr="00D05B9F">
        <w:rPr>
          <w:rFonts w:ascii="Times New Roman" w:hAnsi="Times New Roman"/>
          <w:sz w:val="22"/>
          <w:szCs w:val="22"/>
          <w:lang w:val="sk-SK"/>
        </w:rPr>
        <w:t>:</w:t>
      </w:r>
    </w:p>
    <w:p w14:paraId="55C7DB5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F3736FB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</w:t>
      </w:r>
      <w:r w:rsidRPr="00D05B9F">
        <w:rPr>
          <w:rFonts w:ascii="Times New Roman" w:hAnsi="Times New Roman"/>
          <w:sz w:val="22"/>
          <w:szCs w:val="22"/>
          <w:lang w:val="sk-SK"/>
        </w:rPr>
        <w:tab/>
        <w:t xml:space="preserve">na liečbu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cytom</w:t>
      </w:r>
      <w:r>
        <w:rPr>
          <w:rFonts w:ascii="Times New Roman" w:hAnsi="Times New Roman"/>
          <w:sz w:val="22"/>
          <w:szCs w:val="22"/>
          <w:lang w:val="sk-SK"/>
        </w:rPr>
        <w:t>egalovírusových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(CMV) ochorení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imunokompromitovaným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pacientom;</w:t>
      </w:r>
    </w:p>
    <w:p w14:paraId="34451DDD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5A9789AA" w14:textId="77777777" w:rsidR="005F1949" w:rsidRPr="00D05B9F" w:rsidRDefault="005F1949" w:rsidP="005F1949">
      <w:pPr>
        <w:ind w:left="709" w:hanging="709"/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</w:t>
      </w:r>
      <w:r w:rsidRPr="00D05B9F">
        <w:rPr>
          <w:rFonts w:ascii="Times New Roman" w:hAnsi="Times New Roman"/>
          <w:sz w:val="22"/>
          <w:szCs w:val="22"/>
          <w:lang w:val="sk-SK"/>
        </w:rPr>
        <w:tab/>
      </w:r>
      <w:r w:rsidRPr="008242C8">
        <w:rPr>
          <w:rFonts w:ascii="Times New Roman" w:hAnsi="Times New Roman"/>
          <w:sz w:val="22"/>
          <w:szCs w:val="22"/>
          <w:lang w:val="sk-SK"/>
        </w:rPr>
        <w:t xml:space="preserve">na prevenciu CMV ochorenia s použitím </w:t>
      </w:r>
      <w:proofErr w:type="spellStart"/>
      <w:r w:rsidRPr="008242C8">
        <w:rPr>
          <w:rFonts w:ascii="Times New Roman" w:hAnsi="Times New Roman"/>
          <w:sz w:val="22"/>
          <w:szCs w:val="22"/>
          <w:lang w:val="sk-SK"/>
        </w:rPr>
        <w:t>preemptívnej</w:t>
      </w:r>
      <w:proofErr w:type="spellEnd"/>
      <w:r w:rsidRPr="008242C8">
        <w:rPr>
          <w:rFonts w:ascii="Times New Roman" w:hAnsi="Times New Roman"/>
          <w:sz w:val="22"/>
          <w:szCs w:val="22"/>
          <w:lang w:val="sk-SK"/>
        </w:rPr>
        <w:t xml:space="preserve"> liečby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pacientom s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imunosupresiou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spôsobenou liekmi (napríklad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transplantácii orgánu alebo v spojitosti s chemoterapiou).</w:t>
      </w:r>
    </w:p>
    <w:p w14:paraId="02892B8F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358B688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je tiež indikovaný vo veku od narodenia:</w:t>
      </w:r>
    </w:p>
    <w:p w14:paraId="5D5F7857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29898E4" w14:textId="77777777" w:rsidR="005F1949" w:rsidRDefault="005F1949" w:rsidP="005F1949">
      <w:pPr>
        <w:pStyle w:val="Odsekzoznamu"/>
        <w:numPr>
          <w:ilvl w:val="0"/>
          <w:numId w:val="25"/>
        </w:numPr>
        <w:ind w:hanging="720"/>
        <w:rPr>
          <w:rFonts w:ascii="Times New Roman" w:hAnsi="Times New Roman"/>
          <w:sz w:val="22"/>
          <w:szCs w:val="22"/>
          <w:lang w:val="sk-SK"/>
        </w:rPr>
      </w:pPr>
      <w:r w:rsidRPr="00C34264">
        <w:rPr>
          <w:rFonts w:ascii="Times New Roman" w:hAnsi="Times New Roman"/>
          <w:sz w:val="22"/>
          <w:szCs w:val="22"/>
          <w:lang w:val="sk-SK"/>
        </w:rPr>
        <w:t xml:space="preserve">ako univerzálna profylaktická liečba na prevenciu CMV ochorení pacientom s </w:t>
      </w:r>
      <w:proofErr w:type="spellStart"/>
      <w:r w:rsidRPr="00C34264">
        <w:rPr>
          <w:rFonts w:ascii="Times New Roman" w:hAnsi="Times New Roman"/>
          <w:sz w:val="22"/>
          <w:szCs w:val="22"/>
          <w:lang w:val="sk-SK"/>
        </w:rPr>
        <w:t>imunosupresiou</w:t>
      </w:r>
      <w:proofErr w:type="spellEnd"/>
      <w:r w:rsidRPr="00C34264">
        <w:rPr>
          <w:rFonts w:ascii="Times New Roman" w:hAnsi="Times New Roman"/>
          <w:sz w:val="22"/>
          <w:szCs w:val="22"/>
          <w:lang w:val="sk-SK"/>
        </w:rPr>
        <w:t xml:space="preserve"> spôsobenou liekmi (napríklad po transplantácii orgánu alebo v spojitosti s chemoterapiou).</w:t>
      </w:r>
    </w:p>
    <w:p w14:paraId="232E434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0D7326A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Správne použitie antivírusovej liečby sa má riadiť oficiálnymi odporúčaniami.</w:t>
      </w:r>
    </w:p>
    <w:p w14:paraId="1AB5D484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CA694C8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Dávkovanie a spôsob podávania</w:t>
      </w:r>
    </w:p>
    <w:p w14:paraId="2DA6ABC7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E18B314" w14:textId="77777777" w:rsidR="005F1949" w:rsidRPr="00C141A7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C141A7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14:paraId="449AF28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7575DBF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b/>
          <w:i/>
          <w:sz w:val="22"/>
          <w:szCs w:val="22"/>
          <w:lang w:val="sk-SK"/>
        </w:rPr>
        <w:t>Liečba CMV ochorenia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</w:p>
    <w:p w14:paraId="3DB4120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Dospelí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a</w:t>
      </w:r>
      <w:r>
        <w:rPr>
          <w:rFonts w:ascii="Times New Roman" w:hAnsi="Times New Roman"/>
          <w:i/>
          <w:sz w:val="22"/>
          <w:szCs w:val="22"/>
          <w:lang w:val="sk-SK"/>
        </w:rPr>
        <w:t> pediatrická populácia vo veku 1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2</w:t>
      </w:r>
      <w:r>
        <w:rPr>
          <w:rFonts w:ascii="Times New Roman" w:hAnsi="Times New Roman"/>
          <w:i/>
          <w:sz w:val="22"/>
          <w:szCs w:val="22"/>
          <w:lang w:val="sk-SK"/>
        </w:rPr>
        <w:t> 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rokov 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a starším 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s normálnou funkciou obličiek:</w:t>
      </w:r>
    </w:p>
    <w:p w14:paraId="40252FE6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 Úvodná (indukčná) liečba: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trvajúcej dlhšie ako jednu hodinu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podávanej každých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hodín počas 14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21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dní.</w:t>
      </w:r>
    </w:p>
    <w:p w14:paraId="6DAB66B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lastRenderedPageBreak/>
        <w:t xml:space="preserve">- Udržiavacia liečba: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imunokompromitovaným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pacientom, ktorým hrozí riziko recidívy, sa môže podať udržiavacia liečba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vo forme intravenóznej infúzie trvajúcej dlhšie ako jednu hodinu raz denne počas 7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týždni, alebo 6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raz denne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týždni. Trvanie udržiavacej liečby má závisieť individuálne od pacienta, má sa postupovať podľa lokálnych odporúčaní pre liečbu daného ochorenia.</w:t>
      </w:r>
    </w:p>
    <w:p w14:paraId="6390645A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- Liečba progresie ochorenia: každý pacient, u ktorého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progreduje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CMV ochorenie, či už na udržiavacej liečbe alebo z dôvodu, že u neho bola liečba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ukončená, môže byť znova liečený použitím indukčného tera</w:t>
      </w:r>
      <w:r>
        <w:rPr>
          <w:rFonts w:ascii="Times New Roman" w:hAnsi="Times New Roman"/>
          <w:sz w:val="22"/>
          <w:szCs w:val="22"/>
          <w:lang w:val="sk-SK"/>
        </w:rPr>
        <w:t>peutického režimu.</w:t>
      </w:r>
    </w:p>
    <w:p w14:paraId="3566C3DC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274AFBB" w14:textId="77777777" w:rsidR="005F1949" w:rsidRPr="007663DB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Pediatrická populácia 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vo veku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od narodenia </w:t>
      </w:r>
      <w:r>
        <w:rPr>
          <w:rFonts w:ascii="Times New Roman" w:hAnsi="Times New Roman"/>
          <w:i/>
          <w:sz w:val="22"/>
          <w:szCs w:val="22"/>
          <w:lang w:val="sk-SK"/>
        </w:rPr>
        <w:t>do menej ako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 12 rokov:</w:t>
      </w:r>
    </w:p>
    <w:p w14:paraId="1186667D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Súčasne dostupné údaje o pediatrickej populácii sú popísané v časti 5.1 a 5.2, nie je však možné vyvodiť odporúčania pre dávkovanie. </w:t>
      </w:r>
    </w:p>
    <w:p w14:paraId="6C167CCF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5BF0244" w14:textId="77777777" w:rsidR="005F1949" w:rsidRPr="007663DB" w:rsidRDefault="005F1949" w:rsidP="005F1949">
      <w:pPr>
        <w:rPr>
          <w:rFonts w:ascii="Times New Roman" w:hAnsi="Times New Roman"/>
          <w:b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b/>
          <w:i/>
          <w:sz w:val="22"/>
          <w:szCs w:val="22"/>
          <w:lang w:val="sk-SK"/>
        </w:rPr>
        <w:t xml:space="preserve">Prevencia CMV </w:t>
      </w:r>
      <w:r w:rsidRPr="008242C8">
        <w:rPr>
          <w:rFonts w:ascii="Times New Roman" w:hAnsi="Times New Roman"/>
          <w:b/>
          <w:i/>
          <w:sz w:val="22"/>
          <w:szCs w:val="22"/>
          <w:lang w:val="sk-SK"/>
        </w:rPr>
        <w:t>ochorenia</w:t>
      </w:r>
      <w:r w:rsidRPr="008242C8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8242C8">
        <w:rPr>
          <w:rFonts w:ascii="Times New Roman" w:hAnsi="Times New Roman"/>
          <w:b/>
          <w:i/>
          <w:sz w:val="22"/>
          <w:szCs w:val="22"/>
          <w:lang w:val="sk-SK"/>
        </w:rPr>
        <w:t xml:space="preserve">s použitím </w:t>
      </w:r>
      <w:proofErr w:type="spellStart"/>
      <w:r w:rsidRPr="008242C8">
        <w:rPr>
          <w:rFonts w:ascii="Times New Roman" w:hAnsi="Times New Roman"/>
          <w:b/>
          <w:i/>
          <w:sz w:val="22"/>
          <w:szCs w:val="22"/>
          <w:lang w:val="sk-SK"/>
        </w:rPr>
        <w:t>preemptívnej</w:t>
      </w:r>
      <w:proofErr w:type="spellEnd"/>
      <w:r w:rsidRPr="008242C8">
        <w:rPr>
          <w:rFonts w:ascii="Times New Roman" w:hAnsi="Times New Roman"/>
          <w:b/>
          <w:i/>
          <w:sz w:val="22"/>
          <w:szCs w:val="22"/>
          <w:lang w:val="sk-SK"/>
        </w:rPr>
        <w:t xml:space="preserve"> liečby</w:t>
      </w:r>
    </w:p>
    <w:p w14:paraId="7BC6C84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ospel</w:t>
      </w:r>
      <w:r>
        <w:rPr>
          <w:rFonts w:ascii="Times New Roman" w:hAnsi="Times New Roman"/>
          <w:i/>
          <w:sz w:val="22"/>
          <w:szCs w:val="22"/>
          <w:lang w:val="sk-SK"/>
        </w:rPr>
        <w:t>í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a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 pediatrická populácia vo veku 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12</w:t>
      </w:r>
      <w:r>
        <w:rPr>
          <w:rFonts w:ascii="Times New Roman" w:hAnsi="Times New Roman"/>
          <w:i/>
          <w:sz w:val="22"/>
          <w:szCs w:val="22"/>
          <w:lang w:val="sk-SK"/>
        </w:rPr>
        <w:t> 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rokov 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a starším 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s normálnou funkciou obličiek</w:t>
      </w:r>
      <w:r>
        <w:rPr>
          <w:rFonts w:ascii="Times New Roman" w:hAnsi="Times New Roman"/>
          <w:i/>
          <w:sz w:val="22"/>
          <w:szCs w:val="22"/>
          <w:lang w:val="sk-SK"/>
        </w:rPr>
        <w:t>:</w:t>
      </w:r>
    </w:p>
    <w:p w14:paraId="13FE93B4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8752B8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Indukčná liečba: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trvajúcej dlhšie ako jednu hodinu a podávanej každých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hodín počas 7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14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dní.</w:t>
      </w:r>
    </w:p>
    <w:p w14:paraId="32145474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Udržiavacia liečba: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trvajúcej dlhšie ako jednu hodinu raz denne počas 7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týždni, alebo 6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raz denne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týždni. Trvanie udržiavacej liečby závisí od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rizika CMV ochorenia, má sa postupovať podľa lokálnych odporúčaní pre liečbu.</w:t>
      </w:r>
    </w:p>
    <w:p w14:paraId="50F8C1A1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2290F02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Pediatrická populácia 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vo veku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od narodenia </w:t>
      </w:r>
      <w:r>
        <w:rPr>
          <w:rFonts w:ascii="Times New Roman" w:hAnsi="Times New Roman"/>
          <w:i/>
          <w:sz w:val="22"/>
          <w:szCs w:val="22"/>
          <w:lang w:val="sk-SK"/>
        </w:rPr>
        <w:t>do menej</w:t>
      </w:r>
      <w:r w:rsidRPr="00CE266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>ako 12 rokov:</w:t>
      </w:r>
    </w:p>
    <w:p w14:paraId="2C31B18B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Súčasne dostupné údaje o pediatrickej populácii sú popísané v časti 5.1 a 5.2, nie je však možné vyvodiť odporúčania pre dávkovanie. </w:t>
      </w:r>
    </w:p>
    <w:p w14:paraId="0974F80B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675C699A" w14:textId="77777777" w:rsidR="005F1949" w:rsidRPr="007663DB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b/>
          <w:i/>
          <w:sz w:val="22"/>
          <w:szCs w:val="22"/>
          <w:lang w:val="sk-SK"/>
        </w:rPr>
        <w:t>Prevencia CMV ochorení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8242C8">
        <w:rPr>
          <w:rFonts w:ascii="Times New Roman" w:hAnsi="Times New Roman"/>
          <w:b/>
          <w:i/>
          <w:sz w:val="22"/>
          <w:szCs w:val="22"/>
          <w:lang w:val="sk-SK"/>
        </w:rPr>
        <w:t>s použitím</w:t>
      </w:r>
      <w:r>
        <w:rPr>
          <w:rFonts w:ascii="Times New Roman" w:hAnsi="Times New Roman"/>
          <w:b/>
          <w:i/>
          <w:sz w:val="22"/>
          <w:szCs w:val="22"/>
          <w:lang w:val="sk-SK"/>
        </w:rPr>
        <w:t xml:space="preserve"> univerzálnej profylaktickej liečby</w:t>
      </w:r>
    </w:p>
    <w:p w14:paraId="5F4C2E35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ospel</w:t>
      </w:r>
      <w:r>
        <w:rPr>
          <w:rFonts w:ascii="Times New Roman" w:hAnsi="Times New Roman"/>
          <w:i/>
          <w:sz w:val="22"/>
          <w:szCs w:val="22"/>
          <w:lang w:val="sk-SK"/>
        </w:rPr>
        <w:t>í a pediatrická populácia vo veku viac ako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1</w:t>
      </w:r>
      <w:r>
        <w:rPr>
          <w:rFonts w:ascii="Times New Roman" w:hAnsi="Times New Roman"/>
          <w:i/>
          <w:sz w:val="22"/>
          <w:szCs w:val="22"/>
          <w:lang w:val="sk-SK"/>
        </w:rPr>
        <w:t>6 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rokov</w:t>
      </w:r>
      <w:r>
        <w:rPr>
          <w:rFonts w:ascii="Times New Roman" w:hAnsi="Times New Roman"/>
          <w:i/>
          <w:sz w:val="22"/>
          <w:szCs w:val="22"/>
          <w:lang w:val="sk-SK"/>
        </w:rPr>
        <w:t>:</w:t>
      </w:r>
    </w:p>
    <w:p w14:paraId="08958B5D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</w:t>
      </w:r>
      <w:r>
        <w:rPr>
          <w:rFonts w:ascii="Times New Roman" w:hAnsi="Times New Roman"/>
          <w:sz w:val="22"/>
          <w:szCs w:val="22"/>
          <w:lang w:val="sk-SK"/>
        </w:rPr>
        <w:t>ajúcej dlhšie ako jednu hodinu,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podávanej </w:t>
      </w:r>
      <w:r>
        <w:rPr>
          <w:rFonts w:ascii="Times New Roman" w:hAnsi="Times New Roman"/>
          <w:sz w:val="22"/>
          <w:szCs w:val="22"/>
          <w:lang w:val="sk-SK"/>
        </w:rPr>
        <w:t>raz denne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Pr="00D05B9F">
        <w:rPr>
          <w:rFonts w:ascii="Times New Roman" w:hAnsi="Times New Roman"/>
          <w:sz w:val="22"/>
          <w:szCs w:val="22"/>
          <w:lang w:val="sk-SK"/>
        </w:rPr>
        <w:t>7</w:t>
      </w:r>
      <w:r>
        <w:rPr>
          <w:rFonts w:ascii="Times New Roman" w:hAnsi="Times New Roman"/>
          <w:sz w:val="22"/>
          <w:szCs w:val="22"/>
          <w:lang w:val="sk-SK"/>
        </w:rPr>
        <w:t xml:space="preserve"> dní v týždni alebo </w:t>
      </w:r>
      <w:r w:rsidRPr="00D05B9F">
        <w:rPr>
          <w:rFonts w:ascii="Times New Roman" w:hAnsi="Times New Roman"/>
          <w:sz w:val="22"/>
          <w:szCs w:val="22"/>
          <w:lang w:val="sk-SK"/>
        </w:rPr>
        <w:t>6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raz denne 5</w:t>
      </w:r>
      <w:r>
        <w:rPr>
          <w:rFonts w:ascii="Times New Roman" w:hAnsi="Times New Roman"/>
          <w:sz w:val="22"/>
          <w:szCs w:val="22"/>
          <w:lang w:val="sk-SK"/>
        </w:rPr>
        <w:t xml:space="preserve"> dní v týždni. </w:t>
      </w:r>
      <w:r w:rsidRPr="00D05B9F">
        <w:rPr>
          <w:rFonts w:ascii="Times New Roman" w:hAnsi="Times New Roman"/>
          <w:sz w:val="22"/>
          <w:szCs w:val="22"/>
          <w:lang w:val="sk-SK"/>
        </w:rPr>
        <w:t>Trvanie liečby závisí od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rizika CMV ochorenia, má sa postupovať podľa lokálnych odporúčaní pre liečbu.</w:t>
      </w:r>
    </w:p>
    <w:p w14:paraId="6C1015A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</w:t>
      </w:r>
    </w:p>
    <w:p w14:paraId="401C4BBD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FE2F3C">
        <w:rPr>
          <w:rFonts w:ascii="Times New Roman" w:hAnsi="Times New Roman"/>
          <w:i/>
          <w:sz w:val="22"/>
          <w:szCs w:val="22"/>
          <w:lang w:val="sk-SK"/>
        </w:rPr>
        <w:t xml:space="preserve">Pediatrická populácia 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vo veku </w:t>
      </w:r>
      <w:r w:rsidRPr="00FE2F3C">
        <w:rPr>
          <w:rFonts w:ascii="Times New Roman" w:hAnsi="Times New Roman"/>
          <w:i/>
          <w:sz w:val="22"/>
          <w:szCs w:val="22"/>
          <w:lang w:val="sk-SK"/>
        </w:rPr>
        <w:t>od narodenia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 do 16</w:t>
      </w:r>
      <w:r w:rsidRPr="00FE2F3C">
        <w:rPr>
          <w:rFonts w:ascii="Times New Roman" w:hAnsi="Times New Roman"/>
          <w:i/>
          <w:sz w:val="22"/>
          <w:szCs w:val="22"/>
          <w:lang w:val="sk-SK"/>
        </w:rPr>
        <w:t xml:space="preserve"> rokov:</w:t>
      </w:r>
    </w:p>
    <w:p w14:paraId="18926D00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C34264">
        <w:rPr>
          <w:rFonts w:ascii="Times New Roman" w:hAnsi="Times New Roman"/>
          <w:sz w:val="22"/>
          <w:szCs w:val="22"/>
          <w:lang w:val="sk-SK"/>
        </w:rPr>
        <w:t>Odporúčaná</w:t>
      </w:r>
      <w:r>
        <w:rPr>
          <w:rFonts w:ascii="Times New Roman" w:hAnsi="Times New Roman"/>
          <w:sz w:val="22"/>
          <w:szCs w:val="22"/>
          <w:lang w:val="sk-SK"/>
        </w:rPr>
        <w:t xml:space="preserve"> dávka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podávaná raz denne formou intravenóznej infúzie </w:t>
      </w:r>
      <w:r w:rsidRPr="00D05B9F">
        <w:rPr>
          <w:rFonts w:ascii="Times New Roman" w:hAnsi="Times New Roman"/>
          <w:sz w:val="22"/>
          <w:szCs w:val="22"/>
          <w:lang w:val="sk-SK"/>
        </w:rPr>
        <w:t>trv</w:t>
      </w:r>
      <w:r>
        <w:rPr>
          <w:rFonts w:ascii="Times New Roman" w:hAnsi="Times New Roman"/>
          <w:sz w:val="22"/>
          <w:szCs w:val="22"/>
          <w:lang w:val="sk-SK"/>
        </w:rPr>
        <w:t xml:space="preserve">ajúcej dlhšie ako jednu hodinu sa vypočíta z plochy povrchu tela (Body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Surface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Area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BSA) za použitia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Mostellarovho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vzorca pre výpočet BSA a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CrCLS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) odvodeného podľa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Schwartzovho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vzorca, vypočítaná podľa nižšie uvedenej rovnice.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Trvanie </w:t>
      </w:r>
      <w:r>
        <w:rPr>
          <w:rFonts w:ascii="Times New Roman" w:hAnsi="Times New Roman"/>
          <w:sz w:val="22"/>
          <w:szCs w:val="22"/>
          <w:lang w:val="sk-SK"/>
        </w:rPr>
        <w:t xml:space="preserve">univerzálnej profylaktickej </w:t>
      </w:r>
      <w:r w:rsidRPr="00D05B9F">
        <w:rPr>
          <w:rFonts w:ascii="Times New Roman" w:hAnsi="Times New Roman"/>
          <w:sz w:val="22"/>
          <w:szCs w:val="22"/>
          <w:lang w:val="sk-SK"/>
        </w:rPr>
        <w:t>liečby závisí od</w:t>
      </w:r>
      <w:r>
        <w:rPr>
          <w:rFonts w:ascii="Times New Roman" w:hAnsi="Times New Roman"/>
          <w:sz w:val="22"/>
          <w:szCs w:val="22"/>
          <w:lang w:val="sk-SK"/>
        </w:rPr>
        <w:t> rizika CMV ochorenia a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má </w:t>
      </w:r>
      <w:r>
        <w:rPr>
          <w:rFonts w:ascii="Times New Roman" w:hAnsi="Times New Roman"/>
          <w:sz w:val="22"/>
          <w:szCs w:val="22"/>
          <w:lang w:val="sk-SK"/>
        </w:rPr>
        <w:t>byť zvolené pre individuálneho  pacienta</w:t>
      </w:r>
      <w:r w:rsidRPr="00D05B9F">
        <w:rPr>
          <w:rFonts w:ascii="Times New Roman" w:hAnsi="Times New Roman"/>
          <w:sz w:val="22"/>
          <w:szCs w:val="22"/>
          <w:lang w:val="sk-SK"/>
        </w:rPr>
        <w:t>.</w:t>
      </w:r>
    </w:p>
    <w:p w14:paraId="446C5C96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C28BA31" w14:textId="77777777" w:rsidR="005F1949" w:rsidRPr="00CC7AC3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Pediatrická dávka (mg) = 3x BSA x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CrCLS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(pozri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Mostellerov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vzorec na výpočet BSA a Schwartzov vzorec na výpočet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uvedený nižšie). </w:t>
      </w:r>
    </w:p>
    <w:p w14:paraId="117B9929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4DAF6594" w14:textId="77777777" w:rsidR="005F1949" w:rsidRPr="00020E9D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C34264">
        <w:rPr>
          <w:rFonts w:ascii="Times New Roman" w:hAnsi="Times New Roman"/>
          <w:sz w:val="22"/>
          <w:szCs w:val="22"/>
          <w:lang w:val="sk-SK"/>
        </w:rPr>
        <w:t xml:space="preserve">Ak vypočítaný </w:t>
      </w:r>
      <w:proofErr w:type="spellStart"/>
      <w:r w:rsidRPr="00C34264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C3426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34264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Pr="00C34264">
        <w:rPr>
          <w:rFonts w:ascii="Times New Roman" w:hAnsi="Times New Roman"/>
          <w:sz w:val="22"/>
          <w:szCs w:val="22"/>
          <w:lang w:val="sk-SK"/>
        </w:rPr>
        <w:t xml:space="preserve"> podľa Schwartza prekročí 150 ml/min/1,73 m</w:t>
      </w:r>
      <w:r w:rsidRPr="00C34264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, má sa </w:t>
      </w:r>
      <w:r>
        <w:rPr>
          <w:rFonts w:ascii="Times New Roman" w:hAnsi="Times New Roman"/>
          <w:sz w:val="22"/>
          <w:szCs w:val="22"/>
          <w:lang w:val="sk-SK"/>
        </w:rPr>
        <w:t>pre výpočet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použiť maximálna hodnota 150 ml/min/1,73 m</w:t>
      </w:r>
      <w:r w:rsidRPr="00C34264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C34264">
        <w:rPr>
          <w:rFonts w:ascii="Times New Roman" w:hAnsi="Times New Roman"/>
          <w:sz w:val="22"/>
          <w:szCs w:val="22"/>
          <w:lang w:val="sk-SK"/>
        </w:rPr>
        <w:t>:</w:t>
      </w:r>
    </w:p>
    <w:p w14:paraId="5CD8B4A2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00968AD7" w14:textId="77777777" w:rsidR="005F1949" w:rsidRDefault="005F1949" w:rsidP="005F1949">
      <w:pPr>
        <w:jc w:val="center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 xml:space="preserve">            </w:t>
      </w:r>
      <w:proofErr w:type="spellStart"/>
      <w:r w:rsidRPr="008242C8">
        <w:rPr>
          <w:rFonts w:ascii="Times New Roman" w:hAnsi="Times New Roman"/>
          <w:i/>
          <w:sz w:val="22"/>
          <w:szCs w:val="22"/>
          <w:lang w:val="sk-SK"/>
        </w:rPr>
        <w:t>Mostellerov</w:t>
      </w:r>
      <w:proofErr w:type="spellEnd"/>
      <w:r w:rsidRPr="008242C8">
        <w:rPr>
          <w:rFonts w:ascii="Times New Roman" w:hAnsi="Times New Roman"/>
          <w:i/>
          <w:sz w:val="22"/>
          <w:szCs w:val="22"/>
          <w:lang w:val="sk-SK"/>
        </w:rPr>
        <w:t xml:space="preserve"> BSA</w:t>
      </w:r>
      <m:oMath>
        <m:r>
          <w:rPr>
            <w:rFonts w:ascii="Cambria Math" w:hAnsi="Cambria Math"/>
            <w:lang w:val="sk-SK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/>
                    <w:i/>
                    <w:szCs w:val="2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sk-SK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sk-SK"/>
                  </w:rPr>
                  <m:t>2</m:t>
                </m:r>
              </m:sup>
            </m:sSup>
          </m:e>
        </m:d>
        <m:r>
          <w:rPr>
            <w:rFonts w:ascii="Cambria Math" w:hAnsi="Cambria Math"/>
            <w:lang w:val="sk-SK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d>
              <m:dPr>
                <m:ctrlPr>
                  <w:rPr>
                    <w:rFonts w:ascii="Cambria Math" w:eastAsia="Calibri" w:hAnsi="Cambria Math"/>
                    <w:i/>
                    <w:szCs w:val="22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/>
                        <w:i/>
                        <w:szCs w:val="2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sk-SK"/>
                      </w:rPr>
                      <m:t>v</m:t>
                    </m:r>
                    <m:r>
                      <w:rPr>
                        <w:rFonts w:ascii="Cambria Math" w:hAnsi="Cambria Math" w:hint="eastAsia"/>
                        <w:lang w:val="sk-SK"/>
                      </w:rPr>
                      <m:t>ýš</m:t>
                    </m:r>
                    <m:r>
                      <w:rPr>
                        <w:rFonts w:ascii="Cambria Math" w:hAnsi="Cambria Math"/>
                        <w:lang w:val="sk-SK"/>
                      </w:rPr>
                      <m:t xml:space="preserve">ka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sk-SK"/>
                          </w:rPr>
                          <m:t>cm</m:t>
                        </m:r>
                      </m:e>
                    </m:d>
                    <m:r>
                      <w:rPr>
                        <w:rFonts w:ascii="Cambria Math" w:hAnsi="Cambria Math"/>
                        <w:lang w:val="sk-SK"/>
                      </w:rPr>
                      <m:t>x hmotnos</m:t>
                    </m:r>
                    <m:r>
                      <w:rPr>
                        <w:rFonts w:ascii="Cambria Math" w:hAnsi="Cambria Math" w:hint="eastAsia"/>
                        <w:lang w:val="sk-SK"/>
                      </w:rPr>
                      <m:t>ť</m:t>
                    </m:r>
                    <m:r>
                      <w:rPr>
                        <w:rFonts w:ascii="Cambria Math" w:hAnsi="Cambria Math"/>
                        <w:lang w:val="sk-SK"/>
                      </w:rPr>
                      <m:t xml:space="preserve"> (kg)</m:t>
                    </m:r>
                  </m:num>
                  <m:den>
                    <m:r>
                      <w:rPr>
                        <w:rFonts w:ascii="Cambria Math" w:hAnsi="Cambria Math"/>
                        <w:lang w:val="sk-SK"/>
                      </w:rPr>
                      <m:t>3600</m:t>
                    </m:r>
                  </m:den>
                </m:f>
              </m:e>
            </m:d>
          </m:e>
        </m:rad>
      </m:oMath>
    </w:p>
    <w:p w14:paraId="2A59015F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339653E2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291CD730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u w:val="single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 xml:space="preserve">                 Schwartzov </w:t>
      </w: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klírens</w:t>
      </w:r>
      <w:proofErr w:type="spellEnd"/>
      <w:r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kreatinínu</w:t>
      </w:r>
      <w:proofErr w:type="spellEnd"/>
      <w:r>
        <w:rPr>
          <w:rFonts w:ascii="Times New Roman" w:hAnsi="Times New Roman"/>
          <w:i/>
          <w:sz w:val="22"/>
          <w:szCs w:val="22"/>
          <w:lang w:val="sk-SK"/>
        </w:rPr>
        <w:t xml:space="preserve"> (ml/ min/ 1,73 m</w:t>
      </w:r>
      <w:r w:rsidRPr="00C34264">
        <w:rPr>
          <w:rFonts w:ascii="Times New Roman" w:hAnsi="Times New Roman"/>
          <w:i/>
          <w:sz w:val="22"/>
          <w:szCs w:val="22"/>
          <w:vertAlign w:val="superscript"/>
          <w:lang w:val="sk-SK"/>
        </w:rPr>
        <w:t>2</w:t>
      </w:r>
      <w:r>
        <w:rPr>
          <w:rFonts w:ascii="Times New Roman" w:hAnsi="Times New Roman"/>
          <w:i/>
          <w:sz w:val="22"/>
          <w:szCs w:val="22"/>
          <w:vertAlign w:val="superscript"/>
          <w:lang w:val="sk-SK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sk-SK"/>
        </w:rPr>
        <w:t>)=</w:t>
      </w:r>
      <w:r w:rsidRPr="00C34264">
        <w:rPr>
          <w:rFonts w:ascii="Times New Roman" w:hAnsi="Times New Roman"/>
          <w:i/>
          <w:sz w:val="22"/>
          <w:szCs w:val="22"/>
          <w:u w:val="single"/>
          <w:lang w:val="sk-SK"/>
        </w:rPr>
        <w:t xml:space="preserve">     k x výška (cm)</w:t>
      </w:r>
      <w:r>
        <w:rPr>
          <w:rFonts w:ascii="Times New Roman" w:hAnsi="Times New Roman"/>
          <w:i/>
          <w:sz w:val="22"/>
          <w:szCs w:val="22"/>
          <w:u w:val="single"/>
          <w:lang w:val="sk-SK"/>
        </w:rPr>
        <w:t>______</w:t>
      </w:r>
    </w:p>
    <w:p w14:paraId="5278129B" w14:textId="77777777" w:rsidR="005F1949" w:rsidRPr="005F5EB8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                                                                          </w:t>
      </w:r>
      <w:r w:rsidRPr="005F5EB8">
        <w:rPr>
          <w:rFonts w:ascii="Times New Roman" w:hAnsi="Times New Roman"/>
          <w:i/>
          <w:sz w:val="22"/>
          <w:szCs w:val="22"/>
          <w:lang w:val="sk-SK"/>
        </w:rPr>
        <w:t xml:space="preserve">                   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sérum kreatinínu (mg/ dl)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br/>
      </w:r>
    </w:p>
    <w:p w14:paraId="636EB569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29327149" w14:textId="77777777" w:rsidR="005F1949" w:rsidRPr="005F5EB8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C34264">
        <w:rPr>
          <w:rFonts w:ascii="Times New Roman" w:hAnsi="Times New Roman"/>
          <w:sz w:val="22"/>
          <w:szCs w:val="22"/>
          <w:lang w:val="sk-SK"/>
        </w:rPr>
        <w:t xml:space="preserve">kde je </w:t>
      </w:r>
      <w:r>
        <w:rPr>
          <w:rFonts w:ascii="Times New Roman" w:hAnsi="Times New Roman"/>
          <w:sz w:val="22"/>
          <w:szCs w:val="22"/>
          <w:lang w:val="sk-SK"/>
        </w:rPr>
        <w:t>„</w:t>
      </w:r>
      <w:r w:rsidRPr="00C34264">
        <w:rPr>
          <w:rFonts w:ascii="Times New Roman" w:hAnsi="Times New Roman"/>
          <w:sz w:val="22"/>
          <w:szCs w:val="22"/>
          <w:lang w:val="sk-SK"/>
        </w:rPr>
        <w:t>k</w:t>
      </w:r>
      <w:r>
        <w:rPr>
          <w:rFonts w:ascii="Times New Roman" w:hAnsi="Times New Roman"/>
          <w:sz w:val="22"/>
          <w:szCs w:val="22"/>
          <w:lang w:val="sk-SK"/>
        </w:rPr>
        <w:t>“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= 0,33 pre pacientov </w:t>
      </w:r>
      <w:r>
        <w:rPr>
          <w:rFonts w:ascii="Times New Roman" w:hAnsi="Times New Roman"/>
          <w:sz w:val="22"/>
          <w:szCs w:val="22"/>
          <w:lang w:val="sk-SK"/>
        </w:rPr>
        <w:t>vo veku menej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ako 1 rok s nízkou pôrodnou hmotnosťou; 0,45 pre pacientov </w:t>
      </w:r>
      <w:r>
        <w:rPr>
          <w:rFonts w:ascii="Times New Roman" w:hAnsi="Times New Roman"/>
          <w:sz w:val="22"/>
          <w:szCs w:val="22"/>
          <w:lang w:val="sk-SK"/>
        </w:rPr>
        <w:t>vo veku menej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ako 2 roky; 0,55 pre chlapcov vo veku </w:t>
      </w:r>
      <w:r>
        <w:rPr>
          <w:rFonts w:ascii="Times New Roman" w:hAnsi="Times New Roman"/>
          <w:sz w:val="22"/>
          <w:szCs w:val="22"/>
          <w:lang w:val="sk-SK"/>
        </w:rPr>
        <w:t xml:space="preserve">od </w:t>
      </w:r>
      <w:r w:rsidRPr="00C34264">
        <w:rPr>
          <w:rFonts w:ascii="Times New Roman" w:hAnsi="Times New Roman"/>
          <w:sz w:val="22"/>
          <w:szCs w:val="22"/>
          <w:lang w:val="sk-SK"/>
        </w:rPr>
        <w:t>2</w:t>
      </w:r>
      <w:r>
        <w:rPr>
          <w:rFonts w:ascii="Times New Roman" w:hAnsi="Times New Roman"/>
          <w:sz w:val="22"/>
          <w:szCs w:val="22"/>
          <w:lang w:val="sk-SK"/>
        </w:rPr>
        <w:t xml:space="preserve"> do menej ako 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13 rokov </w:t>
      </w:r>
      <w:r w:rsidRPr="00C34264">
        <w:rPr>
          <w:rFonts w:ascii="Times New Roman" w:hAnsi="Times New Roman"/>
          <w:sz w:val="22"/>
          <w:szCs w:val="22"/>
          <w:lang w:val="sk-SK"/>
        </w:rPr>
        <w:lastRenderedPageBreak/>
        <w:t xml:space="preserve">a dievčatá vo veku </w:t>
      </w:r>
      <w:r>
        <w:rPr>
          <w:rFonts w:ascii="Times New Roman" w:hAnsi="Times New Roman"/>
          <w:sz w:val="22"/>
          <w:szCs w:val="22"/>
          <w:lang w:val="sk-SK"/>
        </w:rPr>
        <w:t xml:space="preserve">od </w:t>
      </w:r>
      <w:r w:rsidRPr="00C34264">
        <w:rPr>
          <w:rFonts w:ascii="Times New Roman" w:hAnsi="Times New Roman"/>
          <w:sz w:val="22"/>
          <w:szCs w:val="22"/>
          <w:lang w:val="sk-SK"/>
        </w:rPr>
        <w:t>2</w:t>
      </w:r>
      <w:r>
        <w:rPr>
          <w:rFonts w:ascii="Times New Roman" w:hAnsi="Times New Roman"/>
          <w:sz w:val="22"/>
          <w:szCs w:val="22"/>
          <w:lang w:val="sk-SK"/>
        </w:rPr>
        <w:t xml:space="preserve"> do 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16 rokov a 0,7 pre chlapcov vo veku </w:t>
      </w:r>
      <w:r>
        <w:rPr>
          <w:rFonts w:ascii="Times New Roman" w:hAnsi="Times New Roman"/>
          <w:sz w:val="22"/>
          <w:szCs w:val="22"/>
          <w:lang w:val="sk-SK"/>
        </w:rPr>
        <w:t xml:space="preserve">od </w:t>
      </w:r>
      <w:r w:rsidRPr="00C34264">
        <w:rPr>
          <w:rFonts w:ascii="Times New Roman" w:hAnsi="Times New Roman"/>
          <w:sz w:val="22"/>
          <w:szCs w:val="22"/>
          <w:lang w:val="sk-SK"/>
        </w:rPr>
        <w:t>13</w:t>
      </w:r>
      <w:r>
        <w:rPr>
          <w:rFonts w:ascii="Times New Roman" w:hAnsi="Times New Roman"/>
          <w:sz w:val="22"/>
          <w:szCs w:val="22"/>
          <w:lang w:val="sk-SK"/>
        </w:rPr>
        <w:t xml:space="preserve"> do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16 rokov. </w:t>
      </w:r>
      <w:r>
        <w:rPr>
          <w:rFonts w:ascii="Times New Roman" w:hAnsi="Times New Roman"/>
          <w:sz w:val="22"/>
          <w:szCs w:val="22"/>
          <w:lang w:val="sk-SK"/>
        </w:rPr>
        <w:t>Pre pacientov starších ako 16 rokov pozri dávkovanie pre dospelých pacientov.</w:t>
      </w:r>
    </w:p>
    <w:p w14:paraId="0F30C5D4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 xml:space="preserve"> </w:t>
      </w:r>
    </w:p>
    <w:p w14:paraId="5D22145B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Tieto zvolené hodnoty „k“ vychádzajú </w:t>
      </w:r>
      <w:r w:rsidRPr="004C7FD3">
        <w:rPr>
          <w:rFonts w:ascii="Times New Roman" w:hAnsi="Times New Roman"/>
          <w:sz w:val="22"/>
          <w:szCs w:val="22"/>
          <w:lang w:val="sk-SK"/>
        </w:rPr>
        <w:t>z hodnô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t </w:t>
      </w:r>
      <w:r>
        <w:rPr>
          <w:rFonts w:ascii="Times New Roman" w:hAnsi="Times New Roman"/>
          <w:sz w:val="22"/>
          <w:szCs w:val="22"/>
          <w:lang w:val="sk-SK"/>
        </w:rPr>
        <w:t xml:space="preserve">sérového </w:t>
      </w:r>
      <w:proofErr w:type="spellStart"/>
      <w:r w:rsidRPr="00C34264">
        <w:rPr>
          <w:rFonts w:ascii="Times New Roman" w:hAnsi="Times New Roman"/>
          <w:bCs/>
          <w:sz w:val="22"/>
          <w:szCs w:val="22"/>
          <w:lang w:val="sk-SK"/>
        </w:rPr>
        <w:t>kreatinínu</w:t>
      </w:r>
      <w:proofErr w:type="spellEnd"/>
      <w:r w:rsidRPr="004C7FD3">
        <w:rPr>
          <w:rFonts w:ascii="Times New Roman" w:hAnsi="Times New Roman"/>
          <w:sz w:val="22"/>
          <w:szCs w:val="22"/>
          <w:lang w:val="sk-SK"/>
        </w:rPr>
        <w:t> mera</w:t>
      </w:r>
      <w:r w:rsidRPr="00C34264">
        <w:rPr>
          <w:rFonts w:ascii="Times New Roman" w:hAnsi="Times New Roman"/>
          <w:sz w:val="22"/>
          <w:szCs w:val="22"/>
          <w:lang w:val="sk-SK"/>
        </w:rPr>
        <w:t>ných </w:t>
      </w:r>
      <w:r w:rsidRPr="00C34264">
        <w:rPr>
          <w:rFonts w:ascii="Times New Roman" w:hAnsi="Times New Roman"/>
          <w:bCs/>
          <w:sz w:val="22"/>
          <w:szCs w:val="22"/>
          <w:lang w:val="sk-SK"/>
        </w:rPr>
        <w:t xml:space="preserve">metódou </w:t>
      </w:r>
      <w:proofErr w:type="spellStart"/>
      <w:r w:rsidRPr="00C34264">
        <w:rPr>
          <w:rFonts w:ascii="Times New Roman" w:hAnsi="Times New Roman"/>
          <w:bCs/>
          <w:sz w:val="22"/>
          <w:szCs w:val="22"/>
          <w:lang w:val="sk-SK"/>
        </w:rPr>
        <w:t>Jaff</w:t>
      </w:r>
      <w:r>
        <w:rPr>
          <w:rFonts w:ascii="Times New Roman" w:hAnsi="Times New Roman"/>
          <w:bCs/>
          <w:sz w:val="22"/>
          <w:szCs w:val="22"/>
          <w:lang w:val="sk-SK"/>
        </w:rPr>
        <w:t>e</w:t>
      </w:r>
      <w:proofErr w:type="spellEnd"/>
      <w:r>
        <w:rPr>
          <w:rFonts w:ascii="Times New Roman" w:hAnsi="Times New Roman"/>
          <w:bCs/>
          <w:sz w:val="22"/>
          <w:szCs w:val="22"/>
          <w:lang w:val="sk-SK"/>
        </w:rPr>
        <w:t xml:space="preserve"> a môže byť potrebná ich úprava, ak sa použijú enzymatické metódy stanovenia </w:t>
      </w:r>
      <w:proofErr w:type="spellStart"/>
      <w:r>
        <w:rPr>
          <w:rFonts w:ascii="Times New Roman" w:hAnsi="Times New Roman"/>
          <w:bCs/>
          <w:sz w:val="22"/>
          <w:szCs w:val="22"/>
          <w:lang w:val="sk-SK"/>
        </w:rPr>
        <w:t>klírensu</w:t>
      </w:r>
      <w:proofErr w:type="spellEnd"/>
      <w:r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  <w:lang w:val="sk-SK"/>
        </w:rPr>
        <w:t>kreatinínu</w:t>
      </w:r>
      <w:proofErr w:type="spellEnd"/>
      <w:r>
        <w:rPr>
          <w:rFonts w:ascii="Times New Roman" w:hAnsi="Times New Roman"/>
          <w:bCs/>
          <w:sz w:val="22"/>
          <w:szCs w:val="22"/>
          <w:lang w:val="sk-SK"/>
        </w:rPr>
        <w:t>.</w:t>
      </w:r>
      <w:r w:rsidRPr="00C34264">
        <w:rPr>
          <w:rFonts w:ascii="Times New Roman" w:hAnsi="Times New Roman"/>
          <w:sz w:val="22"/>
          <w:szCs w:val="22"/>
          <w:lang w:val="sk-SK"/>
        </w:rPr>
        <w:t> </w:t>
      </w:r>
    </w:p>
    <w:p w14:paraId="7F73C5B1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77400F4" w14:textId="77777777" w:rsidR="005F1949" w:rsidRPr="00A51AEE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8242C8">
        <w:rPr>
          <w:rFonts w:ascii="Times New Roman" w:hAnsi="Times New Roman"/>
          <w:sz w:val="22"/>
          <w:szCs w:val="22"/>
          <w:lang w:val="sk-SK"/>
        </w:rPr>
        <w:t>Odporúča sa pravidelné sledovanie hladín sérového kreatinínu, telesnej výšky a hmotnosti s náležitou úpravou dávky.</w:t>
      </w:r>
    </w:p>
    <w:p w14:paraId="5855489C" w14:textId="77777777" w:rsidR="005F194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5ACF7CCF" w14:textId="77777777" w:rsidR="005F1949" w:rsidRPr="00B42ED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C34264">
        <w:rPr>
          <w:rFonts w:ascii="Times New Roman" w:hAnsi="Times New Roman"/>
          <w:sz w:val="22"/>
          <w:szCs w:val="22"/>
          <w:u w:val="single"/>
          <w:lang w:val="sk-SK"/>
        </w:rPr>
        <w:t>Špeciálne pokyny na dávkovanie</w:t>
      </w:r>
    </w:p>
    <w:p w14:paraId="64F3FFDE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FABCC59" w14:textId="77777777" w:rsidR="005F1949" w:rsidRPr="00C141A7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C141A7">
        <w:rPr>
          <w:rFonts w:ascii="Times New Roman" w:hAnsi="Times New Roman"/>
          <w:i/>
          <w:sz w:val="22"/>
          <w:szCs w:val="22"/>
          <w:lang w:val="sk-SK"/>
        </w:rPr>
        <w:t>Porucha funkcie obličiek</w:t>
      </w:r>
    </w:p>
    <w:p w14:paraId="7CCB7754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4ADBB3E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U pediatrických pacientov (od narodenia do 16 rokov) s poruchou funkcie obličiek, ktorí dostávajú profylaktickú dávku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vypočítanú podľa dávkovacieho algoritmu </w:t>
      </w:r>
      <w:r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x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BSA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6F6D98"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x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C34264"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CrCLS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nevyžaduje ďalšia úprava dávky, keďže dávka je už upravená podľa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37F4F864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BE9D704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U pacientov </w:t>
      </w:r>
      <w:r>
        <w:rPr>
          <w:rFonts w:ascii="Times New Roman" w:hAnsi="Times New Roman"/>
          <w:sz w:val="22"/>
          <w:szCs w:val="22"/>
          <w:lang w:val="sk-SK"/>
        </w:rPr>
        <w:t xml:space="preserve">vo veku 12 rokov a starších </w:t>
      </w:r>
      <w:r w:rsidRPr="00D05B9F">
        <w:rPr>
          <w:rFonts w:ascii="Times New Roman" w:hAnsi="Times New Roman"/>
          <w:sz w:val="22"/>
          <w:szCs w:val="22"/>
          <w:lang w:val="sk-SK"/>
        </w:rPr>
        <w:t>s poruchou funkcie obličiek</w:t>
      </w:r>
      <w:r>
        <w:rPr>
          <w:rFonts w:ascii="Times New Roman" w:hAnsi="Times New Roman"/>
          <w:sz w:val="22"/>
          <w:szCs w:val="22"/>
          <w:lang w:val="sk-SK"/>
        </w:rPr>
        <w:t xml:space="preserve"> užívajúcich liečbu založenú na výpočte na základe telesnej hmotnosti mg/ kg za účelom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preemptívnej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liečby alebo liečby CMV ochorenia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sa má dávk</w:t>
      </w:r>
      <w:r>
        <w:rPr>
          <w:rFonts w:ascii="Times New Roman" w:hAnsi="Times New Roman"/>
          <w:sz w:val="22"/>
          <w:szCs w:val="22"/>
          <w:lang w:val="sk-SK"/>
        </w:rPr>
        <w:t>ovanie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mg/kg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upraviť podľa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kreatinínu, ako je uvedené </w:t>
      </w:r>
      <w:r>
        <w:rPr>
          <w:rFonts w:ascii="Times New Roman" w:hAnsi="Times New Roman"/>
          <w:sz w:val="22"/>
          <w:szCs w:val="22"/>
          <w:lang w:val="sk-SK"/>
        </w:rPr>
        <w:t>v </w:t>
      </w:r>
      <w:r w:rsidRPr="00D05B9F">
        <w:rPr>
          <w:rFonts w:ascii="Times New Roman" w:hAnsi="Times New Roman"/>
          <w:sz w:val="22"/>
          <w:szCs w:val="22"/>
          <w:lang w:val="sk-SK"/>
        </w:rPr>
        <w:t>tabuľke nižšie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5.2).</w:t>
      </w:r>
    </w:p>
    <w:p w14:paraId="64EA8141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36D7B6C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Úpravy dávok pre pacientov s poruchou funkcie obličiek</w:t>
      </w:r>
      <w:r>
        <w:rPr>
          <w:rFonts w:ascii="Times New Roman" w:hAnsi="Times New Roman"/>
          <w:sz w:val="22"/>
          <w:szCs w:val="22"/>
          <w:lang w:val="sk-SK"/>
        </w:rPr>
        <w:t xml:space="preserve"> užívajúcich dávkovanie mg/kg</w:t>
      </w:r>
      <w:r w:rsidRPr="00D05B9F">
        <w:rPr>
          <w:rFonts w:ascii="Times New Roman" w:hAnsi="Times New Roman"/>
          <w:sz w:val="22"/>
          <w:szCs w:val="22"/>
          <w:lang w:val="sk-SK"/>
        </w:rPr>
        <w:t>:</w:t>
      </w:r>
    </w:p>
    <w:p w14:paraId="6A24ABC8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3669"/>
        <w:gridCol w:w="3738"/>
      </w:tblGrid>
      <w:tr w:rsidR="005F1949" w:rsidRPr="00C141A7" w14:paraId="233442B2" w14:textId="77777777" w:rsidTr="006D29F6">
        <w:tc>
          <w:tcPr>
            <w:tcW w:w="1668" w:type="dxa"/>
          </w:tcPr>
          <w:p w14:paraId="1BDF17C9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b/>
                <w:iCs/>
                <w:szCs w:val="24"/>
                <w:lang w:val="sk-SK" w:eastAsia="ja-JP"/>
              </w:rPr>
            </w:pPr>
            <w:proofErr w:type="spellStart"/>
            <w:r w:rsidRPr="00C141A7">
              <w:rPr>
                <w:rFonts w:ascii="Times New Roman" w:eastAsia="Arial Unicode MS" w:hAnsi="Times New Roman" w:cs="Arial"/>
                <w:b/>
                <w:iCs/>
                <w:sz w:val="22"/>
                <w:szCs w:val="24"/>
                <w:lang w:val="sk-SK" w:eastAsia="ja-JP"/>
              </w:rPr>
              <w:t>CrCl</w:t>
            </w:r>
            <w:proofErr w:type="spellEnd"/>
          </w:p>
        </w:tc>
        <w:tc>
          <w:tcPr>
            <w:tcW w:w="4009" w:type="dxa"/>
          </w:tcPr>
          <w:p w14:paraId="58A044B9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b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b/>
                <w:iCs/>
                <w:sz w:val="22"/>
                <w:szCs w:val="24"/>
                <w:lang w:val="sk-SK" w:eastAsia="ja-JP"/>
              </w:rPr>
              <w:t>Indukčná dávka</w:t>
            </w:r>
          </w:p>
        </w:tc>
        <w:tc>
          <w:tcPr>
            <w:tcW w:w="4070" w:type="dxa"/>
          </w:tcPr>
          <w:p w14:paraId="17794AB8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b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b/>
                <w:iCs/>
                <w:sz w:val="22"/>
                <w:szCs w:val="24"/>
                <w:lang w:val="sk-SK" w:eastAsia="ja-JP"/>
              </w:rPr>
              <w:t>Udržiavacia dávka</w:t>
            </w:r>
          </w:p>
        </w:tc>
      </w:tr>
      <w:tr w:rsidR="005F1949" w:rsidRPr="00C141A7" w14:paraId="5A8A5987" w14:textId="77777777" w:rsidTr="006D29F6">
        <w:tc>
          <w:tcPr>
            <w:tcW w:w="1668" w:type="dxa"/>
          </w:tcPr>
          <w:p w14:paraId="26EF75F1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&gt;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70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14:paraId="4B8C58C5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5,0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každých 12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h</w:t>
            </w:r>
          </w:p>
        </w:tc>
        <w:tc>
          <w:tcPr>
            <w:tcW w:w="4070" w:type="dxa"/>
          </w:tcPr>
          <w:p w14:paraId="62365C93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5,0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5F1949" w:rsidRPr="00C141A7" w14:paraId="061B48D6" w14:textId="77777777" w:rsidTr="006D29F6">
        <w:tc>
          <w:tcPr>
            <w:tcW w:w="1668" w:type="dxa"/>
          </w:tcPr>
          <w:p w14:paraId="08997FFD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50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noBreakHyphen/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14:paraId="03CFCEA0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2,5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každých 12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h</w:t>
            </w:r>
          </w:p>
        </w:tc>
        <w:tc>
          <w:tcPr>
            <w:tcW w:w="4070" w:type="dxa"/>
          </w:tcPr>
          <w:p w14:paraId="56368F10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2,5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5F1949" w:rsidRPr="00C141A7" w14:paraId="0842DF44" w14:textId="77777777" w:rsidTr="006D29F6">
        <w:tc>
          <w:tcPr>
            <w:tcW w:w="1668" w:type="dxa"/>
          </w:tcPr>
          <w:p w14:paraId="5FC5DC0F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noBreakHyphen/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49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14:paraId="44980CA2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2,5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  <w:tc>
          <w:tcPr>
            <w:tcW w:w="4070" w:type="dxa"/>
          </w:tcPr>
          <w:p w14:paraId="18296CE2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1,25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5F1949" w:rsidRPr="00C141A7" w14:paraId="385B3B9C" w14:textId="77777777" w:rsidTr="006D29F6">
        <w:tc>
          <w:tcPr>
            <w:tcW w:w="1668" w:type="dxa"/>
          </w:tcPr>
          <w:p w14:paraId="087BD9EC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noBreakHyphen/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24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14:paraId="1263D847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1,25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  <w:tc>
          <w:tcPr>
            <w:tcW w:w="4070" w:type="dxa"/>
          </w:tcPr>
          <w:p w14:paraId="1B6CCF59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0,625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5F1949" w:rsidRPr="00073932" w14:paraId="579AC6CA" w14:textId="77777777" w:rsidTr="006D29F6">
        <w:tc>
          <w:tcPr>
            <w:tcW w:w="1668" w:type="dxa"/>
          </w:tcPr>
          <w:p w14:paraId="1F0AA4F1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&lt;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14:paraId="76668026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1,25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3x do týždňa po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 xml:space="preserve">hemodialýze </w:t>
            </w:r>
          </w:p>
        </w:tc>
        <w:tc>
          <w:tcPr>
            <w:tcW w:w="4070" w:type="dxa"/>
          </w:tcPr>
          <w:p w14:paraId="554F2066" w14:textId="77777777" w:rsidR="005F1949" w:rsidRPr="00C141A7" w:rsidRDefault="005F1949" w:rsidP="006D29F6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0,625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3x týždenne po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hemodialýze</w:t>
            </w:r>
          </w:p>
        </w:tc>
      </w:tr>
    </w:tbl>
    <w:p w14:paraId="67C9162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86325F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Odhadovaný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možno vypočítať podľa hodnôt kreatinínu v sére pomocou nasledujúcich vzorcov:</w:t>
      </w:r>
    </w:p>
    <w:p w14:paraId="7EB53C9D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9E34DD9" w14:textId="1513736D" w:rsidR="005F1949" w:rsidRPr="00C141A7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Muži: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C141A7">
        <w:rPr>
          <w:rFonts w:ascii="Times New Roman" w:hAnsi="Times New Roman"/>
          <w:sz w:val="22"/>
          <w:szCs w:val="22"/>
          <w:u w:val="single"/>
          <w:lang w:val="sk-SK"/>
        </w:rPr>
        <w:t>(140 – vek [roky]</w:t>
      </w:r>
      <w:r w:rsidR="00DF2945">
        <w:rPr>
          <w:rFonts w:ascii="Times New Roman" w:hAnsi="Times New Roman"/>
          <w:sz w:val="22"/>
          <w:szCs w:val="22"/>
          <w:u w:val="single"/>
          <w:lang w:val="sk-SK"/>
        </w:rPr>
        <w:t>)</w:t>
      </w:r>
      <w:r w:rsidRPr="00C141A7">
        <w:rPr>
          <w:rFonts w:ascii="Times New Roman" w:hAnsi="Times New Roman"/>
          <w:sz w:val="22"/>
          <w:szCs w:val="22"/>
          <w:u w:val="single"/>
          <w:lang w:val="sk-SK"/>
        </w:rPr>
        <w:t xml:space="preserve"> x </w:t>
      </w:r>
      <w:r w:rsidR="00DF2945">
        <w:rPr>
          <w:rFonts w:ascii="Times New Roman" w:hAnsi="Times New Roman"/>
          <w:sz w:val="22"/>
          <w:szCs w:val="22"/>
          <w:u w:val="single"/>
          <w:lang w:val="sk-SK"/>
        </w:rPr>
        <w:t>(</w:t>
      </w:r>
      <w:r w:rsidRPr="00C141A7">
        <w:rPr>
          <w:rFonts w:ascii="Times New Roman" w:hAnsi="Times New Roman"/>
          <w:sz w:val="22"/>
          <w:szCs w:val="22"/>
          <w:u w:val="single"/>
          <w:lang w:val="sk-SK"/>
        </w:rPr>
        <w:t>telesná hmotnosť [kg])</w:t>
      </w:r>
    </w:p>
    <w:p w14:paraId="702E263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ab/>
        <w:t>(72) x (0,011 x kreatinín v sére [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μmol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/l])</w:t>
      </w:r>
    </w:p>
    <w:p w14:paraId="357D088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8BC5F3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Ženy: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D05B9F">
        <w:rPr>
          <w:rFonts w:ascii="Times New Roman" w:hAnsi="Times New Roman"/>
          <w:sz w:val="22"/>
          <w:szCs w:val="22"/>
          <w:lang w:val="sk-SK"/>
        </w:rPr>
        <w:t>0,85 x hodnota u mužov</w:t>
      </w:r>
    </w:p>
    <w:p w14:paraId="0D9E4BE1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CD1AA5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Keďže sa u pacientov s poruchou funkcie obličiek odporúča úprava dávky, majú sa sledovať hladiny kreatinínu v sére alebo hodnoty odhadovaného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.</w:t>
      </w:r>
    </w:p>
    <w:p w14:paraId="62819164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FB3A0D7" w14:textId="77777777" w:rsidR="005F1949" w:rsidRDefault="005F1949" w:rsidP="005F1949">
      <w:pPr>
        <w:keepNext/>
        <w:keepLines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Porucha funkcie pečene</w:t>
      </w:r>
    </w:p>
    <w:p w14:paraId="492E2714" w14:textId="77777777" w:rsidR="005F1949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14:paraId="0A9E1557" w14:textId="77777777" w:rsidR="005F1949" w:rsidRPr="00F42347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Bezpečnosť a účinnosť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neskúmali u pacientov s poruchou funkcie pečene (pozri časť 5.2).</w:t>
      </w:r>
    </w:p>
    <w:p w14:paraId="6DA573B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F55D7EC" w14:textId="77777777" w:rsidR="005F1949" w:rsidRPr="00C141A7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Závažná </w:t>
      </w:r>
      <w:proofErr w:type="spellStart"/>
      <w:r w:rsidRPr="00C141A7">
        <w:rPr>
          <w:rFonts w:ascii="Times New Roman" w:hAnsi="Times New Roman"/>
          <w:i/>
          <w:sz w:val="22"/>
          <w:szCs w:val="22"/>
          <w:lang w:val="sk-SK"/>
        </w:rPr>
        <w:t>leukopénia</w:t>
      </w:r>
      <w:proofErr w:type="spellEnd"/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C141A7">
        <w:rPr>
          <w:rFonts w:ascii="Times New Roman" w:hAnsi="Times New Roman"/>
          <w:i/>
          <w:sz w:val="22"/>
          <w:szCs w:val="22"/>
          <w:lang w:val="sk-SK"/>
        </w:rPr>
        <w:t>netropénia</w:t>
      </w:r>
      <w:proofErr w:type="spellEnd"/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, anémia, </w:t>
      </w:r>
      <w:proofErr w:type="spellStart"/>
      <w:r w:rsidRPr="00C141A7">
        <w:rPr>
          <w:rFonts w:ascii="Times New Roman" w:hAnsi="Times New Roman"/>
          <w:i/>
          <w:sz w:val="22"/>
          <w:szCs w:val="22"/>
          <w:lang w:val="sk-SK"/>
        </w:rPr>
        <w:t>trombocytopénia</w:t>
      </w:r>
      <w:proofErr w:type="spellEnd"/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a </w:t>
      </w:r>
      <w:proofErr w:type="spellStart"/>
      <w:r w:rsidRPr="00C141A7">
        <w:rPr>
          <w:rFonts w:ascii="Times New Roman" w:hAnsi="Times New Roman"/>
          <w:i/>
          <w:sz w:val="22"/>
          <w:szCs w:val="22"/>
          <w:lang w:val="sk-SK"/>
        </w:rPr>
        <w:t>pancytopénia</w:t>
      </w:r>
      <w:proofErr w:type="spellEnd"/>
    </w:p>
    <w:p w14:paraId="1B4976D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C60E48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Pred začatím liečby 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4.4.</w:t>
      </w:r>
    </w:p>
    <w:p w14:paraId="5C2CFC3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4D5BCA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Ak počas liečby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počet krvných elementov výrazne poklesne, má sa zvážiť liečba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hematopoetickými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rastovými faktormi a/alebo sa má zvážiť ukončenie liečby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14:paraId="56B31C3F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304F84F7" w14:textId="77777777" w:rsidR="005F1949" w:rsidRPr="00D22E0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D22E09">
        <w:rPr>
          <w:rFonts w:ascii="Times New Roman" w:hAnsi="Times New Roman"/>
          <w:i/>
          <w:sz w:val="22"/>
          <w:szCs w:val="22"/>
          <w:lang w:val="sk-SK"/>
        </w:rPr>
        <w:lastRenderedPageBreak/>
        <w:t>Starší pacienti</w:t>
      </w:r>
    </w:p>
    <w:p w14:paraId="75ACB6AB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DE8AE2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U starších pacientov sa neuskutočnili žiadne štúdie zamerané na účinnosť a bezpečnosť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. Vzhľadom na to, že funkcia obličiek sa s narastajúcim vekom znižuje,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má starším pacientom podávať s osobitým zreteľom na funkčný stav ich obličiek (pozri časť</w:t>
      </w:r>
      <w:r>
        <w:rPr>
          <w:rFonts w:ascii="Times New Roman" w:hAnsi="Times New Roman"/>
          <w:sz w:val="22"/>
          <w:szCs w:val="22"/>
          <w:lang w:val="sk-SK"/>
        </w:rPr>
        <w:t> 5</w:t>
      </w:r>
      <w:r w:rsidRPr="00D05B9F">
        <w:rPr>
          <w:rFonts w:ascii="Times New Roman" w:hAnsi="Times New Roman"/>
          <w:sz w:val="22"/>
          <w:szCs w:val="22"/>
          <w:lang w:val="sk-SK"/>
        </w:rPr>
        <w:t>.2).</w:t>
      </w:r>
    </w:p>
    <w:p w14:paraId="626D63D5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99BCA9B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8B86930" w14:textId="77777777" w:rsidR="005F1949" w:rsidRPr="00D22E0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14:paraId="25A817DA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CA7CFA0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Upozornenie:</w:t>
      </w:r>
    </w:p>
    <w:p w14:paraId="0CD50744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</w:t>
      </w:r>
      <w:r>
        <w:rPr>
          <w:rFonts w:ascii="Times New Roman" w:hAnsi="Times New Roman"/>
          <w:sz w:val="22"/>
          <w:szCs w:val="22"/>
          <w:lang w:val="sk-SK"/>
        </w:rPr>
        <w:t xml:space="preserve">musí </w:t>
      </w:r>
      <w:r w:rsidRPr="00D05B9F">
        <w:rPr>
          <w:rFonts w:ascii="Times New Roman" w:hAnsi="Times New Roman"/>
          <w:sz w:val="22"/>
          <w:szCs w:val="22"/>
          <w:lang w:val="sk-SK"/>
        </w:rPr>
        <w:t>podávať formou intravenóznej infúzie trvajúcej dlhšie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hodinu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koncentrácii neprevyšujúcej 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mg/ml. Nepodáva</w:t>
      </w:r>
      <w:r>
        <w:rPr>
          <w:rFonts w:ascii="Times New Roman" w:hAnsi="Times New Roman"/>
          <w:sz w:val="22"/>
          <w:szCs w:val="22"/>
          <w:lang w:val="sk-SK"/>
        </w:rPr>
        <w:t xml:space="preserve">jte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formou rýchlej ani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bolusovej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intravenóznej injekcie, pretože 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toho vyplývajúce nadmerné zvýšenie hladiny liečiva v plazme môže zvýšiť toxicitu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.</w:t>
      </w:r>
    </w:p>
    <w:p w14:paraId="638482E2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D9E075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Nepodáva</w:t>
      </w:r>
      <w:r>
        <w:rPr>
          <w:rFonts w:ascii="Times New Roman" w:hAnsi="Times New Roman"/>
          <w:sz w:val="22"/>
          <w:szCs w:val="22"/>
          <w:lang w:val="sk-SK"/>
        </w:rPr>
        <w:t>jte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formou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vnútrosvalovej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ani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subkutánnej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injekcie, pretože to môže viesť k silnému podráždeniu tkaniva zapríčinené</w:t>
      </w:r>
      <w:r>
        <w:rPr>
          <w:rFonts w:ascii="Times New Roman" w:hAnsi="Times New Roman"/>
          <w:sz w:val="22"/>
          <w:szCs w:val="22"/>
          <w:lang w:val="sk-SK"/>
        </w:rPr>
        <w:t>mu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vysokým pH (približne 11) roztokov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14:paraId="628D973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CEFBCD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Odporúčané dávkovanie, frekvencia a rýchlosť podávania nesmú byť prekročené.</w:t>
      </w:r>
    </w:p>
    <w:p w14:paraId="442BD74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0EF6722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je prášok na infúzny roztok. Po rozpustení vo vode na injekciu (rekonštitúcii) je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bezfarebný až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svetložltkastý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roztok, prakticky bez viditeľných čiastočiek.</w:t>
      </w:r>
    </w:p>
    <w:p w14:paraId="5B546C1A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50C3F8B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Infúzia sa má podávať do žily s primeraným prietokom krvi, najlepšie pomocou plastovej kanyly.</w:t>
      </w:r>
    </w:p>
    <w:p w14:paraId="092A3598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356ADE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</w:t>
      </w:r>
      <w:r>
        <w:rPr>
          <w:rFonts w:ascii="Times New Roman" w:hAnsi="Times New Roman"/>
          <w:sz w:val="22"/>
          <w:szCs w:val="22"/>
          <w:lang w:val="sk-SK"/>
        </w:rPr>
        <w:t>okyny na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rekonštitúci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lieku pred podaním, 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6.6.</w:t>
      </w:r>
    </w:p>
    <w:p w14:paraId="1F5A8522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EB239BF" w14:textId="77777777" w:rsidR="005F1949" w:rsidRPr="00D22E0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Opatrenia</w:t>
      </w:r>
      <w:r w:rsidRPr="00D22E09">
        <w:rPr>
          <w:rFonts w:ascii="Times New Roman" w:hAnsi="Times New Roman"/>
          <w:i/>
          <w:sz w:val="22"/>
          <w:szCs w:val="22"/>
          <w:lang w:val="sk-SK"/>
        </w:rPr>
        <w:t xml:space="preserve"> pred </w:t>
      </w:r>
      <w:r>
        <w:rPr>
          <w:rFonts w:ascii="Times New Roman" w:hAnsi="Times New Roman"/>
          <w:i/>
          <w:sz w:val="22"/>
          <w:szCs w:val="22"/>
          <w:lang w:val="sk-SK"/>
        </w:rPr>
        <w:t>zaobchádzaním</w:t>
      </w:r>
      <w:r w:rsidRPr="00D22E0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sk-SK"/>
        </w:rPr>
        <w:t>alebo podaním lieku</w:t>
      </w:r>
      <w:r w:rsidRPr="00D22E09">
        <w:rPr>
          <w:rFonts w:ascii="Times New Roman" w:hAnsi="Times New Roman"/>
          <w:i/>
          <w:sz w:val="22"/>
          <w:szCs w:val="22"/>
          <w:lang w:val="sk-SK"/>
        </w:rPr>
        <w:t>:</w:t>
      </w:r>
    </w:p>
    <w:p w14:paraId="465E50C5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B4D5D20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Vzhľadom na to, že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považuje u ľudí za potenciálny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teratogén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 karcinogén</w:t>
      </w:r>
      <w:r w:rsidRPr="00D05B9F">
        <w:rPr>
          <w:rFonts w:ascii="Times New Roman" w:hAnsi="Times New Roman"/>
          <w:sz w:val="22"/>
          <w:szCs w:val="22"/>
          <w:lang w:val="sk-SK"/>
        </w:rPr>
        <w:t>, pri zaobchádzaní s ním je potrebná opatrnosť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6.6).</w:t>
      </w:r>
    </w:p>
    <w:p w14:paraId="51FA5A02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C5BE036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4.3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Kontraindikácie</w:t>
      </w:r>
    </w:p>
    <w:p w14:paraId="3BB53728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211D492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Precitlivenosť na liečivo </w:t>
      </w:r>
      <w:r>
        <w:rPr>
          <w:rFonts w:ascii="Times New Roman" w:hAnsi="Times New Roman"/>
          <w:sz w:val="22"/>
          <w:szCs w:val="22"/>
          <w:lang w:val="sk-SK"/>
        </w:rPr>
        <w:t xml:space="preserve">alebo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alebo na ktorúkoľvek z pomocných látok uvedených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6.1.</w:t>
      </w:r>
    </w:p>
    <w:p w14:paraId="7114B31D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22843B7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Dojčenie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4.6).</w:t>
      </w:r>
    </w:p>
    <w:p w14:paraId="1DBA97C7" w14:textId="77777777" w:rsidR="005F1949" w:rsidRDefault="005F1949" w:rsidP="005F1949">
      <w:pPr>
        <w:rPr>
          <w:rFonts w:ascii="Times New Roman" w:hAnsi="Times New Roman"/>
          <w:iCs/>
          <w:sz w:val="22"/>
          <w:szCs w:val="22"/>
          <w:lang w:val="sk-SK"/>
        </w:rPr>
      </w:pPr>
    </w:p>
    <w:p w14:paraId="1A5D6E09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4.4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Osobitné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upozornenia a opatrenia pri používaní</w:t>
      </w:r>
    </w:p>
    <w:p w14:paraId="0D53005A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4412F32" w14:textId="77777777" w:rsidR="005F1949" w:rsidRPr="00D22E0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Precitlivenosť z dôvodu skríženej reakcie</w:t>
      </w:r>
    </w:p>
    <w:p w14:paraId="13BC7B5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0D47AD8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Vzhľadom na podobnosť chemickej štruktúry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acikloviru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pencikloviru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, existuje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týchto liečiv možnosť skríženej reakcie z precitlivenosti. Pri predpisovaní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pacientom so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známou </w:t>
      </w:r>
      <w:r>
        <w:rPr>
          <w:rFonts w:ascii="Times New Roman" w:hAnsi="Times New Roman"/>
          <w:sz w:val="22"/>
          <w:szCs w:val="22"/>
          <w:lang w:val="sk-SK"/>
        </w:rPr>
        <w:t>precitlivenosťou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aciklovir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penciklovir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(alebo </w:t>
      </w:r>
      <w:r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D05B9F">
        <w:rPr>
          <w:rFonts w:ascii="Times New Roman" w:hAnsi="Times New Roman"/>
          <w:sz w:val="22"/>
          <w:szCs w:val="22"/>
          <w:lang w:val="sk-SK"/>
        </w:rPr>
        <w:t>ich prekurzor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valaciklovir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famciklovir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), je preto potrebná opatrnosť.</w:t>
      </w:r>
    </w:p>
    <w:p w14:paraId="327979D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94366D2" w14:textId="77777777" w:rsidR="005F1949" w:rsidRPr="00D22E0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Mutagenita</w:t>
      </w:r>
      <w:proofErr w:type="spellEnd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 xml:space="preserve">, </w:t>
      </w:r>
      <w:proofErr w:type="spellStart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teratogenita</w:t>
      </w:r>
      <w:proofErr w:type="spellEnd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 xml:space="preserve">, karcinogenita, </w:t>
      </w:r>
      <w:proofErr w:type="spellStart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fertilita</w:t>
      </w:r>
      <w:proofErr w:type="spellEnd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 xml:space="preserve"> a antikoncepcia</w:t>
      </w:r>
    </w:p>
    <w:p w14:paraId="29CC77F5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422BA9D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Pred začatím liečby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je potrebné upozorniť pacientky na možné riziká pre plod.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štúdiách na zvieratách sa zistilo, že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je mutagénny,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teratogénny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karcinogénny a oslabuje plodnosť. </w:t>
      </w:r>
      <w:r>
        <w:rPr>
          <w:rFonts w:ascii="Times New Roman" w:hAnsi="Times New Roman"/>
          <w:sz w:val="22"/>
          <w:szCs w:val="22"/>
          <w:lang w:val="sk-SK"/>
        </w:rPr>
        <w:t>Na základe klinických a predklinických štúdií sa p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redpokladá, že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pravdepodobne spôsobuje dočasnú alebo trvalú inhibíciu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spermatogenézy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4.6,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5.3).</w:t>
      </w:r>
    </w:p>
    <w:p w14:paraId="635DCCE2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lastRenderedPageBreak/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by sa mal preto u ľudí považovať za potenciálny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teratogén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 karcinogén, s potenciálom spôsobenia vrodených chýb a onkologických ochorení. Ženy v plodnom veku je preto nutné upozorniť na to, aby počas liečby a najmenej 30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po jej ukončení používali účinnú antikoncepciu. Mužov je nutné upozorniť na to, aby používali bariérovú antikoncepčnú metódu počas liečby a najmenej 90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po jej ukončení, pokiaľ nie je isté, že partnerke nehrozí riziko otehotnenia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4.6,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5.3).</w:t>
      </w:r>
    </w:p>
    <w:p w14:paraId="2089EE9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693E82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Použitie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si vyžaduje mimoriadnu opatrnosť predovšetkým v pediatrickej populácii, vzhľadom na možné riziko dlhodobej karcinogenity a toxicity na reprodukčné funkcie. Očakávaný prínos liečby sa musí starostlivo zvážiť u každého individuálne a má jednoznačne prevažovať nad jej rizikami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4.2). Pozrite odporúčania pre liečbu.</w:t>
      </w:r>
    </w:p>
    <w:p w14:paraId="533F232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8352F7E" w14:textId="77777777" w:rsidR="005F1949" w:rsidRPr="00AB1687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Myelosupresia</w:t>
      </w:r>
      <w:proofErr w:type="spellEnd"/>
    </w:p>
    <w:p w14:paraId="6B6BCCD0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19D31D0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Použitie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má zvážiť u pacientov s existujúcou hematologickou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cytopéniou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alebo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pozitívnou anamnézou hematologickej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cytopénie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vyvolanej liekmi a u pacientov, ktorí sa podrobujú rádioterapii.</w:t>
      </w:r>
    </w:p>
    <w:p w14:paraId="268CC1EB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U pacientov liečených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sa pozorovala </w:t>
      </w:r>
      <w:r>
        <w:rPr>
          <w:rFonts w:ascii="Times New Roman" w:hAnsi="Times New Roman"/>
          <w:sz w:val="22"/>
          <w:szCs w:val="24"/>
          <w:lang w:val="sk-SK" w:eastAsia="ja-JP"/>
        </w:rPr>
        <w:t>závažná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leukopénia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neutropénia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, anémia,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trombocytopénia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pancytopénia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a </w:t>
      </w:r>
      <w:r>
        <w:rPr>
          <w:rFonts w:ascii="Times New Roman" w:hAnsi="Times New Roman"/>
          <w:sz w:val="22"/>
          <w:szCs w:val="24"/>
          <w:lang w:val="sk-SK" w:eastAsia="ja-JP"/>
        </w:rPr>
        <w:t>zlyhanie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kostnej drene. Liečba sa nemá začať v prípade, ak je absolútny počet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neutrofilov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nižší než 500/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sym w:font="Symbol" w:char="F06D"/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l, alebo ak je počet trombocytov nižší než 25 000/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sym w:font="Symbol" w:char="F06D"/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l, alebo ak je hladina hemoglobínu nižšia ako 8 g/dl (pozri časti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4.2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4.8).</w:t>
      </w:r>
    </w:p>
    <w:p w14:paraId="00F8278C" w14:textId="77777777" w:rsidR="005F1949" w:rsidRPr="00AB1687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4B11CACC" w14:textId="77777777" w:rsidR="005F1949" w:rsidRPr="00AB1687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AB1687">
        <w:rPr>
          <w:rFonts w:ascii="Times New Roman" w:hAnsi="Times New Roman"/>
          <w:sz w:val="22"/>
          <w:szCs w:val="24"/>
          <w:lang w:val="sk-SK" w:eastAsia="ja-JP"/>
        </w:rPr>
        <w:t>Počas liečby sa odporúča monitorovať kompletný krvný obraz vrátane počtu trombocytov. 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pacientov s poruchou funkcie obličiek</w:t>
      </w:r>
      <w:r>
        <w:rPr>
          <w:rFonts w:ascii="Times New Roman" w:hAnsi="Times New Roman"/>
          <w:sz w:val="22"/>
          <w:szCs w:val="24"/>
          <w:lang w:val="sk-SK" w:eastAsia="ja-JP"/>
        </w:rPr>
        <w:t>, a u novorodencov a dojčiat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je potrebné zvýšené sledovanie hematologických parametrov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(pozri časť 4.8) 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. V priebehu prvých 14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dní podávania sa odporúča každé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dni sledovanie počtu leukocytov (ak je to možné s ich diferenciálnym rozpočtom); u pacientov s nízkou počiatočnou hladinou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neutrofilov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(menej ako 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000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neutrofilov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>/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sym w:font="Symbol" w:char="F06D"/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l), u ktorých sa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leukopénia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vyvinula počas predchádzajúcej liečby inými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myelotoxickými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látkami a u pacientov s poruchou funkcie obličiek, sa má toto vyšetrenie vykonať na dennej báze.</w:t>
      </w:r>
    </w:p>
    <w:p w14:paraId="049DE302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81A7C1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U pacientov s</w:t>
      </w:r>
      <w:r>
        <w:rPr>
          <w:rFonts w:ascii="Times New Roman" w:hAnsi="Times New Roman"/>
          <w:sz w:val="22"/>
          <w:szCs w:val="22"/>
          <w:lang w:val="sk-SK"/>
        </w:rPr>
        <w:t>o závažnou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leukopéniou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neutropéniou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anémiou a/alebo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trombocytopéniou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odporúča zvážiť liečbu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hematopoetickými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rastovými faktormi a/alebo prerušenie podávania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14:paraId="6B16AF2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04A6B98" w14:textId="77777777" w:rsidR="005F1949" w:rsidRPr="00AB1687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Porucha funkcie obličiek</w:t>
      </w:r>
    </w:p>
    <w:p w14:paraId="220E8CF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341FAE1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Pacienti s poruchou funkcie obličiek sú vystavení zvýšenému riziku toxicity (najmä hematologickej toxicity). Je potrebné zníženie dávky (pozri časti 4.2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5.2).</w:t>
      </w:r>
    </w:p>
    <w:p w14:paraId="354250D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C2456C5" w14:textId="77777777" w:rsidR="005F1949" w:rsidRPr="00AB1687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Súbežné použitie s inými liekmi</w:t>
      </w:r>
    </w:p>
    <w:p w14:paraId="2921976A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8BA7AC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U pacientov dostávajúcich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imipenem</w:t>
      </w:r>
      <w:r>
        <w:rPr>
          <w:rFonts w:ascii="Times New Roman" w:hAnsi="Times New Roman"/>
          <w:sz w:val="22"/>
          <w:szCs w:val="22"/>
          <w:lang w:val="sk-SK"/>
        </w:rPr>
        <w:noBreakHyphen/>
      </w:r>
      <w:r w:rsidRPr="00D05B9F">
        <w:rPr>
          <w:rFonts w:ascii="Times New Roman" w:hAnsi="Times New Roman"/>
          <w:sz w:val="22"/>
          <w:szCs w:val="22"/>
          <w:lang w:val="sk-SK"/>
        </w:rPr>
        <w:t>cilastatín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bol hlásený výskyt</w:t>
      </w:r>
      <w:r>
        <w:rPr>
          <w:rFonts w:ascii="Times New Roman" w:hAnsi="Times New Roman"/>
          <w:sz w:val="22"/>
          <w:szCs w:val="22"/>
          <w:lang w:val="sk-SK"/>
        </w:rPr>
        <w:t xml:space="preserve"> záchvatov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nemá podávať súbežne s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imipenemom</w:t>
      </w:r>
      <w:r>
        <w:rPr>
          <w:rFonts w:ascii="Times New Roman" w:hAnsi="Times New Roman"/>
          <w:sz w:val="22"/>
          <w:szCs w:val="22"/>
          <w:lang w:val="sk-SK"/>
        </w:rPr>
        <w:noBreakHyphen/>
      </w:r>
      <w:r w:rsidRPr="00D05B9F">
        <w:rPr>
          <w:rFonts w:ascii="Times New Roman" w:hAnsi="Times New Roman"/>
          <w:sz w:val="22"/>
          <w:szCs w:val="22"/>
          <w:lang w:val="sk-SK"/>
        </w:rPr>
        <w:t>cilastatínom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, pokiaľ potenciálny prínos liečby neprevažuje nad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jej potenciálnymi rizikami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4.5).</w:t>
      </w:r>
    </w:p>
    <w:p w14:paraId="7505D446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BAD7E68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Pacientov liečených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didanozínom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liekmi, o ktorých je známe, že pôsobia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myelosupresívne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, alebo poškodzujú funkciu obličiek, je potrebné starostlivo sledovať s cieľom včas zistiť prejavy prídavnej toxicity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4.5).</w:t>
      </w:r>
    </w:p>
    <w:p w14:paraId="49D75B16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5CE25D8" w14:textId="77777777" w:rsidR="005F1949" w:rsidRPr="00AB1687" w:rsidRDefault="005F1949" w:rsidP="005F1949">
      <w:pPr>
        <w:keepNext/>
        <w:keepLines/>
        <w:rPr>
          <w:rFonts w:ascii="Times New Roman" w:hAnsi="Times New Roman"/>
          <w:sz w:val="22"/>
          <w:szCs w:val="22"/>
          <w:u w:val="single"/>
          <w:lang w:val="sk-SK"/>
        </w:rPr>
      </w:pPr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Pomocné látky</w:t>
      </w:r>
    </w:p>
    <w:p w14:paraId="308EBAEB" w14:textId="77777777" w:rsidR="005F1949" w:rsidRPr="00D05B9F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14:paraId="6EA58EFA" w14:textId="158B4E55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Tento liek obsahuje 43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mg sodíka </w:t>
      </w:r>
      <w:r w:rsidR="00EA6C7F">
        <w:rPr>
          <w:rFonts w:ascii="Times New Roman" w:hAnsi="Times New Roman"/>
          <w:sz w:val="22"/>
          <w:szCs w:val="22"/>
          <w:lang w:val="sk-SK"/>
        </w:rPr>
        <w:t>v</w:t>
      </w:r>
      <w:r w:rsidR="008646A7">
        <w:rPr>
          <w:rFonts w:ascii="Times New Roman" w:hAnsi="Times New Roman"/>
          <w:sz w:val="22"/>
          <w:szCs w:val="22"/>
          <w:lang w:val="sk-SK"/>
        </w:rPr>
        <w:t xml:space="preserve"> 500 mg</w:t>
      </w:r>
      <w:r w:rsidR="00EA6C7F">
        <w:rPr>
          <w:rFonts w:ascii="Times New Roman" w:hAnsi="Times New Roman"/>
          <w:sz w:val="22"/>
          <w:szCs w:val="22"/>
          <w:lang w:val="sk-SK"/>
        </w:rPr>
        <w:t xml:space="preserve"> injekčnej liekovke</w:t>
      </w:r>
      <w:r w:rsidR="007C2532" w:rsidRPr="007C2532">
        <w:rPr>
          <w:rFonts w:ascii="Times New Roman" w:hAnsi="Times New Roman"/>
          <w:sz w:val="22"/>
          <w:szCs w:val="22"/>
          <w:lang w:val="sk-SK"/>
        </w:rPr>
        <w:t xml:space="preserve">, čo zodpovedá </w:t>
      </w:r>
      <w:r w:rsidR="007C2532">
        <w:rPr>
          <w:rFonts w:ascii="Times New Roman" w:hAnsi="Times New Roman"/>
          <w:sz w:val="22"/>
          <w:szCs w:val="22"/>
          <w:lang w:val="sk-SK"/>
        </w:rPr>
        <w:t>2 </w:t>
      </w:r>
      <w:r w:rsidR="007C2532" w:rsidRPr="007C2532">
        <w:rPr>
          <w:rFonts w:ascii="Times New Roman" w:hAnsi="Times New Roman"/>
          <w:sz w:val="22"/>
          <w:szCs w:val="22"/>
          <w:lang w:val="sk-SK"/>
        </w:rPr>
        <w:t>% WHO odporúčaného maximálneho denného príjmu 2</w:t>
      </w:r>
      <w:r w:rsidR="007C2532">
        <w:rPr>
          <w:rFonts w:ascii="Times New Roman" w:hAnsi="Times New Roman"/>
          <w:sz w:val="22"/>
          <w:szCs w:val="22"/>
          <w:lang w:val="sk-SK"/>
        </w:rPr>
        <w:t> </w:t>
      </w:r>
      <w:r w:rsidR="007C2532" w:rsidRPr="007C2532">
        <w:rPr>
          <w:rFonts w:ascii="Times New Roman" w:hAnsi="Times New Roman"/>
          <w:sz w:val="22"/>
          <w:szCs w:val="22"/>
          <w:lang w:val="sk-SK"/>
        </w:rPr>
        <w:t>g sodíka pre dospelú osobu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606B0335" w14:textId="4A0864E4" w:rsidR="005F1949" w:rsidRDefault="005F1949" w:rsidP="005F1949">
      <w:pPr>
        <w:pStyle w:val="Text"/>
        <w:rPr>
          <w:rFonts w:ascii="Times New Roman" w:hAnsi="Times New Roman"/>
          <w:sz w:val="22"/>
          <w:szCs w:val="22"/>
          <w:lang w:val="sk-SK"/>
        </w:rPr>
      </w:pPr>
    </w:p>
    <w:p w14:paraId="3F135DFD" w14:textId="6509809C" w:rsidR="000F1CE8" w:rsidRDefault="000F1CE8" w:rsidP="005F1949">
      <w:pPr>
        <w:pStyle w:val="Text"/>
        <w:rPr>
          <w:rFonts w:ascii="Times New Roman" w:hAnsi="Times New Roman"/>
          <w:sz w:val="22"/>
          <w:szCs w:val="22"/>
          <w:lang w:val="sk-SK"/>
        </w:rPr>
      </w:pPr>
    </w:p>
    <w:p w14:paraId="3897C860" w14:textId="77777777" w:rsidR="000F1CE8" w:rsidRPr="00AF1AB0" w:rsidRDefault="000F1CE8" w:rsidP="005F1949">
      <w:pPr>
        <w:pStyle w:val="Text"/>
        <w:rPr>
          <w:rFonts w:ascii="Times New Roman" w:hAnsi="Times New Roman"/>
          <w:sz w:val="22"/>
          <w:szCs w:val="22"/>
          <w:lang w:val="sk-SK"/>
        </w:rPr>
      </w:pPr>
    </w:p>
    <w:p w14:paraId="0466E1CC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lastRenderedPageBreak/>
        <w:t>4.5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Liekové a iné interakcie</w:t>
      </w:r>
    </w:p>
    <w:p w14:paraId="79F104E8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E562228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proofErr w:type="spellStart"/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Farmakokinetické</w:t>
      </w:r>
      <w:proofErr w:type="spellEnd"/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 xml:space="preserve"> interakcie</w:t>
      </w:r>
    </w:p>
    <w:p w14:paraId="39692555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u w:val="single"/>
          <w:lang w:val="sk-SK" w:eastAsia="ja-JP"/>
        </w:rPr>
      </w:pPr>
    </w:p>
    <w:p w14:paraId="11CA0EB0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u w:val="single"/>
          <w:lang w:val="sk-SK" w:eastAsia="ja-JP"/>
        </w:rPr>
      </w:pPr>
      <w:proofErr w:type="spellStart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Probenecid</w:t>
      </w:r>
      <w:proofErr w:type="spellEnd"/>
    </w:p>
    <w:p w14:paraId="0FA2437E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14:paraId="5F03EC2C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Probenecid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podávaný s perorálnym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mal za následok štatisticky významný pokles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renálneho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klírensu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, čo viedlo ku klinicky významnému zvýšeniu jeho expozície. Takýto efekt sa tiež predpokladá počas súbežného intravenózneho podávania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probenecidu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. Z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tohto dôvodu je potrebné pacientov dostávajúcich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probenecid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starostlivo sledovať z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hľadiska toxicity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3488450D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6ACDE13B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  <w:proofErr w:type="spellStart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Didanozín</w:t>
      </w:r>
      <w:proofErr w:type="spellEnd"/>
    </w:p>
    <w:p w14:paraId="774688A5" w14:textId="77777777" w:rsidR="005F1949" w:rsidRPr="00794080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67F517A7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Zistilo sa, že plazmatické koncentrácie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boli pri súbežnom podávaní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s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stále zvýšené. Pri intravenóznych dávkach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mg/kg/denne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10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mg/kg/denne sa pozorovalo zvýšenie AUC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v rozpätí od 38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% až do 67 %. Nezaznamenal sa klinicky významný vplyv na koncentráciu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. Pacientov je potrebné starostlivo sledovať z hľadiska toxicity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iCs/>
          <w:sz w:val="22"/>
          <w:szCs w:val="24"/>
          <w:lang w:val="sk-SK" w:eastAsia="ja-JP"/>
        </w:rPr>
        <w:t>4.4)</w:t>
      </w: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.</w:t>
      </w:r>
    </w:p>
    <w:p w14:paraId="4099494B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539DA41A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 xml:space="preserve">Iné </w:t>
      </w:r>
      <w:proofErr w:type="spellStart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antiretrovírusové</w:t>
      </w:r>
      <w:proofErr w:type="spellEnd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 xml:space="preserve"> lieky</w:t>
      </w:r>
    </w:p>
    <w:p w14:paraId="61AD5BD3" w14:textId="77777777" w:rsidR="005F1949" w:rsidRPr="00794080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52A89A73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Izoenzýmy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cytochrómu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P450 nehrajú vo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farmakokinetike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žiadnu úlohu. Preto sa predpokladá, že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farmakokinetické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interakcie s inhibítormi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proteáz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nenukleozidovými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inhibítormi reverznej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transkriptázy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sú nepravdepodobné.</w:t>
      </w:r>
    </w:p>
    <w:p w14:paraId="2939FDBA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14:paraId="30C79B24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proofErr w:type="spellStart"/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Farmakodynamické</w:t>
      </w:r>
      <w:proofErr w:type="spellEnd"/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 xml:space="preserve"> interakcie</w:t>
      </w:r>
    </w:p>
    <w:p w14:paraId="7497945C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14:paraId="762376EB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Imipenem</w:t>
      </w:r>
      <w:r>
        <w:rPr>
          <w:rFonts w:ascii="Times New Roman" w:hAnsi="Times New Roman"/>
          <w:i/>
          <w:sz w:val="22"/>
          <w:szCs w:val="24"/>
          <w:lang w:val="sk-SK" w:eastAsia="ja-JP"/>
        </w:rPr>
        <w:noBreakHyphen/>
      </w: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cilastatín</w:t>
      </w:r>
      <w:proofErr w:type="spellEnd"/>
    </w:p>
    <w:p w14:paraId="49960BFB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Pri </w:t>
      </w:r>
      <w:r>
        <w:rPr>
          <w:rFonts w:ascii="Times New Roman" w:hAnsi="Times New Roman"/>
          <w:sz w:val="22"/>
          <w:szCs w:val="24"/>
          <w:lang w:val="sk-SK" w:eastAsia="ja-JP"/>
        </w:rPr>
        <w:t>súbežnom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podávaní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imipenem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cilastatínu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bol hlásený u pacientov výskyt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záchvatov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. Tieto liečivá sa nemajú podávať </w:t>
      </w:r>
      <w:r>
        <w:rPr>
          <w:rFonts w:ascii="Times New Roman" w:hAnsi="Times New Roman"/>
          <w:sz w:val="22"/>
          <w:szCs w:val="24"/>
          <w:lang w:val="sk-SK" w:eastAsia="ja-JP"/>
        </w:rPr>
        <w:t>súbežne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, pokiaľ ich potenciálny prínos neprevyšuje možné riziká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4.4</w:t>
      </w:r>
      <w:r w:rsidRPr="00D05B9F">
        <w:rPr>
          <w:rFonts w:ascii="Times New Roman" w:hAnsi="Times New Roman"/>
          <w:iCs/>
          <w:sz w:val="22"/>
          <w:szCs w:val="24"/>
          <w:lang w:val="sk-SK" w:eastAsia="ja-JP"/>
        </w:rPr>
        <w:t>)</w:t>
      </w: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.</w:t>
      </w:r>
    </w:p>
    <w:p w14:paraId="1C568AB5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3F13F228" w14:textId="77777777" w:rsidR="005F1949" w:rsidRPr="00794080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  <w:bookmarkStart w:id="0" w:name="_Hlk493595637"/>
      <w:proofErr w:type="spellStart"/>
      <w:r w:rsidRPr="00794080">
        <w:rPr>
          <w:rFonts w:ascii="Times New Roman" w:hAnsi="Times New Roman"/>
          <w:i/>
          <w:sz w:val="22"/>
          <w:szCs w:val="24"/>
          <w:lang w:val="sk-SK" w:eastAsia="ja-JP"/>
        </w:rPr>
        <w:t>Zidovudín</w:t>
      </w:r>
      <w:proofErr w:type="spellEnd"/>
    </w:p>
    <w:p w14:paraId="7B3DCF68" w14:textId="77777777" w:rsidR="005F1949" w:rsidRPr="00794080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Zidovudín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aj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môžu spôsobiť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neutropéniu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a anémiu. Počas súbežného podávania týchto liečiv môže dôjsť k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farmakodynamickej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interakcii. Niektorí pacienti nemusia znášať súbežnú liečbu plnými dávkami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94080">
        <w:rPr>
          <w:rFonts w:ascii="Times New Roman" w:hAnsi="Times New Roman"/>
          <w:sz w:val="22"/>
          <w:szCs w:val="24"/>
          <w:lang w:val="sk-SK" w:eastAsia="ja-JP"/>
        </w:rPr>
        <w:t>4.4)</w:t>
      </w:r>
      <w:r>
        <w:rPr>
          <w:rFonts w:ascii="Times New Roman" w:hAnsi="Times New Roman"/>
          <w:sz w:val="22"/>
          <w:szCs w:val="24"/>
          <w:lang w:val="sk-SK" w:eastAsia="ja-JP"/>
        </w:rPr>
        <w:t>.</w:t>
      </w:r>
    </w:p>
    <w:bookmarkEnd w:id="0"/>
    <w:p w14:paraId="0D4AB1AF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14:paraId="058F4571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Ďalšie možné liekové interakcie</w:t>
      </w:r>
    </w:p>
    <w:p w14:paraId="6467C2BC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BA69975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Toxicita sa môže zvýšiť, keď sa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podáva spolu s inými liekmi, o ktorých je známe, že sú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myelosupresívne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, alebo sa dávajú do súvislosti s poruchou funkcie obličiek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. To zahŕňa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antiinfektíva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(napríklad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dapsón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pentamidín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flucytozín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amfotericín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B, </w:t>
      </w:r>
      <w:bookmarkStart w:id="1" w:name="_Hlk493595686"/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trimetoprim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/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sulfametoxazol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),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imunosupresíva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(napr.</w:t>
      </w:r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cyklosporín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takrolimus</w:t>
      </w:r>
      <w:bookmarkEnd w:id="1"/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,</w:t>
      </w:r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mofetilmykofenolát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)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,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antineoplastické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látky (napr.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vinktristín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vinblastín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doxorubicín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a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hydroxymočovina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)</w:t>
      </w:r>
      <w:r>
        <w:rPr>
          <w:rFonts w:ascii="Times New Roman" w:hAnsi="Times New Roman"/>
          <w:sz w:val="22"/>
          <w:szCs w:val="24"/>
          <w:lang w:val="sk-SK" w:eastAsia="ja-JP"/>
        </w:rPr>
        <w:t>,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ako aj </w:t>
      </w:r>
      <w:bookmarkStart w:id="2" w:name="_Hlk493595695"/>
      <w:r>
        <w:rPr>
          <w:rFonts w:ascii="Times New Roman" w:hAnsi="Times New Roman"/>
          <w:sz w:val="22"/>
          <w:szCs w:val="24"/>
          <w:lang w:val="sk-SK" w:eastAsia="ja-JP"/>
        </w:rPr>
        <w:t>s 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nukleozidovými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(vrátane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zidovudínu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stavudínu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a 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)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a 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nukleotidovými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analógmi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(vrátane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tenofoviru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adefoviru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)</w:t>
      </w:r>
      <w:bookmarkEnd w:id="2"/>
      <w:r w:rsidRPr="00D05B9F">
        <w:rPr>
          <w:rFonts w:ascii="Times New Roman" w:hAnsi="Times New Roman"/>
          <w:sz w:val="22"/>
          <w:szCs w:val="24"/>
          <w:lang w:val="sk-SK" w:eastAsia="ja-JP"/>
        </w:rPr>
        <w:t>. Z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uvedeného vyplýva, že o súbežnom podávaní týchto liekov spolu s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možno uvažovať len v prípade, ak možný prínos prevažuje nad možnými rizikami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4.4).</w:t>
      </w:r>
    </w:p>
    <w:p w14:paraId="415A24AD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3A3DCE66" w14:textId="77777777" w:rsidR="005F1949" w:rsidRPr="00D05B9F" w:rsidRDefault="005F1949" w:rsidP="005F1949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Pediatrická populácia</w:t>
      </w:r>
    </w:p>
    <w:p w14:paraId="7023F8D1" w14:textId="77777777" w:rsidR="005F1949" w:rsidRPr="00CF759E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bookmarkStart w:id="3" w:name="_Hlk493595746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Interakčné štúdie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sa uskutočnili 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len u dospelých.</w:t>
      </w:r>
    </w:p>
    <w:bookmarkEnd w:id="3"/>
    <w:p w14:paraId="550B4901" w14:textId="625F5061" w:rsidR="005F1949" w:rsidRPr="00AF1AB0" w:rsidRDefault="006D29F6" w:rsidP="00DB2865">
      <w:pPr>
        <w:spacing w:after="200" w:line="276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br w:type="page"/>
      </w:r>
      <w:bookmarkStart w:id="4" w:name="_GoBack"/>
      <w:bookmarkEnd w:id="4"/>
    </w:p>
    <w:p w14:paraId="2E689FDC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4.6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Fertilita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>, g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>ravidita a laktácia</w:t>
      </w:r>
    </w:p>
    <w:p w14:paraId="7EC98FBD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59C372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Fertilita</w:t>
      </w:r>
      <w:proofErr w:type="spellEnd"/>
    </w:p>
    <w:p w14:paraId="24FD9A62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0185DB2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Malá klinická štúdia s pacientmi s transplantáciou obličiek, ktorí dostávali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 profylaktickej liečbe CMV až po dobu 200 dní preukázala vplyv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/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spermatogenézu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 poklesom hustoty a pohyblivosti spermií, hodnotenú po ukončení podávania liečby. Zdá sa, že tento vplyv je reverzibilný a približne po šiestich mesiacoch od ukončenia podávania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priemerná hustota a pohyblivosť spermií vrátila späť na hladiny porovnateľné s tými, ktoré boli pozorované v skupinách bez liečby.</w:t>
      </w:r>
    </w:p>
    <w:p w14:paraId="31CF4311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 štúdiách na zvieratách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oslabil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fertilitu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u samcov aj samíc myší, preukázal inhibíciu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spermatogenézy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 vyvolal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testikulárnu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atrofiu u myší, potkanov a psov pri dávkach, ktoré boli považované za klinicky významné. </w:t>
      </w:r>
    </w:p>
    <w:p w14:paraId="774CAF00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Vychádzajúc z 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z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 klinických a predklinických </w:t>
      </w:r>
      <w:r w:rsidRPr="00D05B9F">
        <w:rPr>
          <w:rFonts w:ascii="Times New Roman" w:hAnsi="Times New Roman"/>
          <w:sz w:val="22"/>
          <w:szCs w:val="22"/>
          <w:lang w:val="sk-SK"/>
        </w:rPr>
        <w:t>štúdi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sa predpokladá, že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môže pravdepodobne dočasne alebo natrvalo spôsobiť inhibíciu ľudskej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spermatogenézy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</w:t>
      </w:r>
      <w:r>
        <w:rPr>
          <w:rFonts w:ascii="Times New Roman" w:hAnsi="Times New Roman"/>
          <w:sz w:val="22"/>
          <w:szCs w:val="22"/>
          <w:lang w:val="sk-SK"/>
        </w:rPr>
        <w:t>ti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 xml:space="preserve"> a 5.3</w:t>
      </w:r>
      <w:r w:rsidRPr="00D05B9F">
        <w:rPr>
          <w:rFonts w:ascii="Times New Roman" w:hAnsi="Times New Roman"/>
          <w:sz w:val="22"/>
          <w:szCs w:val="22"/>
          <w:lang w:val="sk-SK"/>
        </w:rPr>
        <w:t>).</w:t>
      </w:r>
    </w:p>
    <w:p w14:paraId="53E28C4F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52D8F8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Gravidita</w:t>
      </w:r>
    </w:p>
    <w:p w14:paraId="2FE856A2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F5052D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Bezpečnosť podávania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u gravidných žien nebola stanovená.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však ľahko prechádza ľudskou placentou. V štúdiách na zvieratách sa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spájal s reprodukčnou toxicitou 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teratogenitou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iCs/>
          <w:sz w:val="22"/>
          <w:szCs w:val="22"/>
          <w:lang w:val="sk-SK"/>
        </w:rPr>
        <w:t>5.3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). Z tohto dôvodu sa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nemá podávať tehotným ženám, s výnimkou prípadu, ak klinický prínos liečby pre ženu preváži nad potenciálnym teratogénnym rizikom pre plod.</w:t>
      </w:r>
    </w:p>
    <w:p w14:paraId="47875268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D713820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Antikoncepcia u mužov a žien</w:t>
      </w:r>
    </w:p>
    <w:p w14:paraId="6B82DD05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665E7E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Ako výsledok potenciálnej reprodukčnej toxicity a 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teratogenity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, ženy v plodnom veku musia byť poučené, aby počas liečby a najmenej 30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po jej ukončení používali efektívnu antikoncepciu.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Mužov treba informovať, aby počas liečby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 najmenej 90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po jej ukončení používali bariérovú antikoncepciu, pokiaľ nie je isté, že partnerke nehrozí riziko otehotnenia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iCs/>
          <w:sz w:val="22"/>
          <w:szCs w:val="22"/>
          <w:lang w:val="sk-SK"/>
        </w:rPr>
        <w:t>5.3).</w:t>
      </w:r>
    </w:p>
    <w:p w14:paraId="5E7E4FB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EC55F00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14:paraId="64DA40F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3FB25E3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Nie je známe, či </w:t>
      </w:r>
      <w:r>
        <w:rPr>
          <w:rFonts w:ascii="Times New Roman" w:hAnsi="Times New Roman"/>
          <w:sz w:val="22"/>
          <w:szCs w:val="22"/>
          <w:lang w:val="sk-SK"/>
        </w:rPr>
        <w:t xml:space="preserve">sa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vylučuje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do </w:t>
      </w:r>
      <w:r>
        <w:rPr>
          <w:rFonts w:ascii="Times New Roman" w:hAnsi="Times New Roman"/>
          <w:sz w:val="22"/>
          <w:szCs w:val="22"/>
          <w:lang w:val="sk-SK"/>
        </w:rPr>
        <w:t xml:space="preserve">ľudského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materského mlieka, avšak nedá sa vylúčiť možnosť, že prechádza do materského mlieka a vyvolá závažné nežiaduce reakcie u dojčeného dieťaťa. </w:t>
      </w:r>
      <w:bookmarkStart w:id="5" w:name="_Hlk493595778"/>
      <w:r w:rsidRPr="00CF759E">
        <w:rPr>
          <w:rFonts w:ascii="Times New Roman" w:hAnsi="Times New Roman"/>
          <w:sz w:val="22"/>
          <w:szCs w:val="22"/>
          <w:lang w:val="sk-SK"/>
        </w:rPr>
        <w:t xml:space="preserve">Štúdie na zvieratách preukázali, že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sa vylučuje do mlieka dojčiacich potkanov</w:t>
      </w:r>
      <w:bookmarkEnd w:id="5"/>
      <w:r>
        <w:rPr>
          <w:rFonts w:ascii="Times New Roman" w:hAnsi="Times New Roman"/>
          <w:sz w:val="22"/>
          <w:szCs w:val="22"/>
          <w:lang w:val="sk-SK"/>
        </w:rPr>
        <w:t>.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Z tohto dôvodu sa musí dojčenie počas liečby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ukončiť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4.3).</w:t>
      </w:r>
    </w:p>
    <w:p w14:paraId="74E94D5A" w14:textId="77777777" w:rsidR="005F1949" w:rsidRPr="00CF759E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549785F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4.7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Ovplyvnenie schopnosti viesť vozidlá a obsluhovať stroje</w:t>
      </w:r>
    </w:p>
    <w:p w14:paraId="5E9BA5F5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43A92DB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môže mať </w:t>
      </w:r>
      <w:r>
        <w:rPr>
          <w:rFonts w:ascii="Times New Roman" w:hAnsi="Times New Roman"/>
          <w:sz w:val="22"/>
          <w:szCs w:val="22"/>
          <w:lang w:val="sk-SK"/>
        </w:rPr>
        <w:t xml:space="preserve">veľký </w:t>
      </w:r>
      <w:r w:rsidRPr="00D05B9F">
        <w:rPr>
          <w:rFonts w:ascii="Times New Roman" w:hAnsi="Times New Roman"/>
          <w:sz w:val="22"/>
          <w:szCs w:val="22"/>
          <w:lang w:val="sk-SK"/>
        </w:rPr>
        <w:t>vplyv na schopnosť viesť vozidlá a obsluhovať stroje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14:paraId="26208FC9" w14:textId="77777777" w:rsidR="005F1949" w:rsidRPr="00AF1AB0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4A38DCA6" w14:textId="77777777" w:rsidR="005F194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4.8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Nežiaduce účinky</w:t>
      </w:r>
    </w:p>
    <w:p w14:paraId="0275A2DA" w14:textId="77777777" w:rsidR="005F1949" w:rsidRPr="00CF759E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5F530CD" w14:textId="77777777" w:rsidR="005F194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Súhrn bezpečnostného profilu</w:t>
      </w:r>
    </w:p>
    <w:p w14:paraId="5A5E1DBD" w14:textId="77777777" w:rsidR="005F1949" w:rsidRPr="00CF759E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V</w:t>
      </w:r>
      <w:r w:rsidRPr="00CF759E">
        <w:rPr>
          <w:rFonts w:ascii="Times New Roman" w:hAnsi="Times New Roman"/>
          <w:sz w:val="22"/>
          <w:szCs w:val="22"/>
          <w:lang w:val="sk-SK"/>
        </w:rPr>
        <w:t>alganciklovir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je prekurzorom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>, preto sa predpokladá, že nežiaduce reakcie súvisiace s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sa </w:t>
      </w:r>
      <w:r w:rsidRPr="00052D8A">
        <w:rPr>
          <w:rFonts w:ascii="Times New Roman" w:hAnsi="Times New Roman"/>
          <w:sz w:val="22"/>
          <w:szCs w:val="22"/>
          <w:lang w:val="sk-SK"/>
        </w:rPr>
        <w:t>môžu vyskytnúť</w:t>
      </w:r>
      <w:r w:rsidRPr="00AF1C88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aj 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pri podaní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. Perorálne podávaný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už nie je dostupný, avšak predpokladá sa, že nežiaduce reakcie, ktoré boli hlásené pri jeho užívaní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sa môžu vyskytnúť aj u pacientov, ktorým je pod</w:t>
      </w:r>
      <w:r>
        <w:rPr>
          <w:rFonts w:ascii="Times New Roman" w:hAnsi="Times New Roman"/>
          <w:sz w:val="22"/>
          <w:szCs w:val="22"/>
          <w:lang w:val="sk-SK"/>
        </w:rPr>
        <w:t>áv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aný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intravenózne. Z toho dôvodu sú nežiaduce reakcie</w:t>
      </w:r>
      <w:r>
        <w:rPr>
          <w:rFonts w:ascii="Times New Roman" w:hAnsi="Times New Roman"/>
          <w:sz w:val="22"/>
          <w:szCs w:val="22"/>
          <w:lang w:val="sk-SK"/>
        </w:rPr>
        <w:t xml:space="preserve"> na liek</w:t>
      </w:r>
      <w:r w:rsidRPr="00CF759E">
        <w:rPr>
          <w:rFonts w:ascii="Times New Roman" w:hAnsi="Times New Roman"/>
          <w:sz w:val="22"/>
          <w:szCs w:val="22"/>
          <w:lang w:val="sk-SK"/>
        </w:rPr>
        <w:t>, ktoré boli hlásené pri intravenózn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alebo perorálne pod</w:t>
      </w:r>
      <w:r>
        <w:rPr>
          <w:rFonts w:ascii="Times New Roman" w:hAnsi="Times New Roman"/>
          <w:sz w:val="22"/>
          <w:szCs w:val="22"/>
          <w:lang w:val="sk-SK"/>
        </w:rPr>
        <w:t>áv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anom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ganciklovire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valganciklovire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, zahrnuté v tabuľke </w:t>
      </w:r>
      <w:r>
        <w:rPr>
          <w:rFonts w:ascii="Times New Roman" w:hAnsi="Times New Roman"/>
          <w:sz w:val="22"/>
          <w:szCs w:val="22"/>
          <w:lang w:val="sk-SK"/>
        </w:rPr>
        <w:t>s </w:t>
      </w:r>
      <w:r w:rsidRPr="00CF759E">
        <w:rPr>
          <w:rFonts w:ascii="Times New Roman" w:hAnsi="Times New Roman"/>
          <w:sz w:val="22"/>
          <w:szCs w:val="22"/>
          <w:lang w:val="sk-SK"/>
        </w:rPr>
        <w:t>nežiaduci</w:t>
      </w:r>
      <w:r>
        <w:rPr>
          <w:rFonts w:ascii="Times New Roman" w:hAnsi="Times New Roman"/>
          <w:sz w:val="22"/>
          <w:szCs w:val="22"/>
          <w:lang w:val="sk-SK"/>
        </w:rPr>
        <w:t>mi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reakci</w:t>
      </w:r>
      <w:r>
        <w:rPr>
          <w:rFonts w:ascii="Times New Roman" w:hAnsi="Times New Roman"/>
          <w:sz w:val="22"/>
          <w:szCs w:val="22"/>
          <w:lang w:val="sk-SK"/>
        </w:rPr>
        <w:t>ami.</w:t>
      </w:r>
    </w:p>
    <w:p w14:paraId="67A7B067" w14:textId="77777777" w:rsidR="005F194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72749F8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bookmarkStart w:id="6" w:name="_Hlk493596096"/>
      <w:r w:rsidRPr="005725BE">
        <w:rPr>
          <w:rFonts w:ascii="Times New Roman" w:hAnsi="Times New Roman"/>
          <w:sz w:val="22"/>
          <w:szCs w:val="22"/>
          <w:lang w:val="sk-SK"/>
        </w:rPr>
        <w:t xml:space="preserve">U pacientov, ktorí sa liečili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boli najzávažnejšími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najčastejšími nežiaducimi reakciami hematologické reakcie vrátane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neutropénie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, anémie a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trombocytopénie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(pozri časť 4.4)</w:t>
      </w:r>
      <w:r w:rsidRPr="005725BE">
        <w:rPr>
          <w:rFonts w:ascii="Times New Roman" w:hAnsi="Times New Roman"/>
          <w:sz w:val="22"/>
          <w:szCs w:val="22"/>
          <w:lang w:val="sk-SK"/>
        </w:rPr>
        <w:t>. Ďalšie nežiaduce reakcie sú uvedené v tabuľke nižšie.</w:t>
      </w:r>
    </w:p>
    <w:p w14:paraId="294D6DCF" w14:textId="77777777" w:rsidR="005F1949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 w:rsidRPr="00933001">
        <w:rPr>
          <w:rFonts w:ascii="Times New Roman" w:hAnsi="Times New Roman"/>
          <w:sz w:val="22"/>
          <w:szCs w:val="22"/>
          <w:lang w:val="sk-SK"/>
        </w:rPr>
        <w:t xml:space="preserve">Frekvencie výskytu uvedené v tabuľke s nežiaducimi reakciami sú stanovené na základe súhrnnej populácie pacientov </w:t>
      </w:r>
      <w:r>
        <w:rPr>
          <w:rFonts w:ascii="Times New Roman" w:hAnsi="Times New Roman"/>
          <w:sz w:val="22"/>
          <w:szCs w:val="22"/>
          <w:lang w:val="sk-SK"/>
        </w:rPr>
        <w:t xml:space="preserve">infikovaných HIV </w:t>
      </w:r>
      <w:r w:rsidRPr="00933001">
        <w:rPr>
          <w:rFonts w:ascii="Times New Roman" w:hAnsi="Times New Roman"/>
          <w:sz w:val="22"/>
          <w:szCs w:val="22"/>
          <w:lang w:val="sk-SK"/>
        </w:rPr>
        <w:t>(n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=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704), ktorí dostávali udržiavaciu liečbu </w:t>
      </w:r>
      <w:proofErr w:type="spellStart"/>
      <w:r w:rsidRPr="00933001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933001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933001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933001">
        <w:rPr>
          <w:rFonts w:ascii="Times New Roman" w:hAnsi="Times New Roman"/>
          <w:sz w:val="22"/>
          <w:szCs w:val="22"/>
          <w:lang w:val="sk-SK"/>
        </w:rPr>
        <w:t xml:space="preserve">. Výnimkou sú </w:t>
      </w:r>
      <w:proofErr w:type="spellStart"/>
      <w:r w:rsidRPr="00933001">
        <w:rPr>
          <w:rFonts w:ascii="Times New Roman" w:hAnsi="Times New Roman"/>
          <w:sz w:val="22"/>
          <w:szCs w:val="22"/>
          <w:lang w:val="sk-SK"/>
        </w:rPr>
        <w:t>agranulocytóza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933001">
        <w:rPr>
          <w:rFonts w:ascii="Times New Roman" w:hAnsi="Times New Roman"/>
          <w:sz w:val="22"/>
          <w:szCs w:val="22"/>
          <w:lang w:val="sk-SK"/>
        </w:rPr>
        <w:t>granulocytopénia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3274D">
        <w:rPr>
          <w:rFonts w:ascii="Times New Roman" w:hAnsi="Times New Roman"/>
          <w:sz w:val="22"/>
          <w:szCs w:val="22"/>
          <w:lang w:val="sk-SK"/>
        </w:rPr>
        <w:t>anafylaktická</w:t>
      </w:r>
      <w:proofErr w:type="spellEnd"/>
      <w:r w:rsidRPr="00B3274D">
        <w:rPr>
          <w:rFonts w:ascii="Times New Roman" w:hAnsi="Times New Roman"/>
          <w:sz w:val="22"/>
          <w:szCs w:val="22"/>
          <w:lang w:val="sk-SK"/>
        </w:rPr>
        <w:t xml:space="preserve"> reakcia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, ktorých frekvencie výskytu sa stanovili na základe skúseností z obdobia po uvedení lieku na trh. </w:t>
      </w:r>
      <w:r>
        <w:rPr>
          <w:rFonts w:ascii="Times New Roman" w:hAnsi="Times New Roman"/>
          <w:sz w:val="22"/>
          <w:szCs w:val="22"/>
          <w:lang w:val="sk-SK"/>
        </w:rPr>
        <w:t xml:space="preserve">Nežiaduce reakcie sú uvedené podľa triedy orgánových systémov podľa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MedDRA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 Kategórie f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rekvencie </w:t>
      </w:r>
      <w:r>
        <w:rPr>
          <w:rFonts w:ascii="Times New Roman" w:hAnsi="Times New Roman"/>
          <w:sz w:val="22"/>
          <w:szCs w:val="22"/>
          <w:lang w:val="sk-SK"/>
        </w:rPr>
        <w:t xml:space="preserve">sú definované pomocou nasledujúcej konvencie: </w:t>
      </w:r>
      <w:r w:rsidRPr="00933001">
        <w:rPr>
          <w:rFonts w:ascii="Times New Roman" w:hAnsi="Times New Roman"/>
          <w:sz w:val="22"/>
          <w:szCs w:val="22"/>
          <w:lang w:val="sk-SK"/>
        </w:rPr>
        <w:t>veľmi časté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1/10), časté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1/100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1/10), menej časté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1/100), zriedkavé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000) a veľmi zriedkavé (&lt;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000).</w:t>
      </w:r>
    </w:p>
    <w:p w14:paraId="1A7A7951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78CC71B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EC0D13">
        <w:rPr>
          <w:rFonts w:ascii="Times New Roman" w:hAnsi="Times New Roman"/>
          <w:sz w:val="22"/>
          <w:szCs w:val="22"/>
          <w:lang w:val="sk-SK"/>
        </w:rPr>
        <w:t xml:space="preserve">Celkový bezpečnostný profil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valgancikloviru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 je u pacientov infikovaných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HIV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pacientov po transplantácii orgánu zhodný okrem odlúpenia sietnice, ktoré bolo hlásené iba u</w:t>
      </w:r>
      <w:r>
        <w:rPr>
          <w:rFonts w:ascii="Times New Roman" w:hAnsi="Times New Roman"/>
          <w:sz w:val="22"/>
          <w:szCs w:val="22"/>
          <w:lang w:val="sk-SK"/>
        </w:rPr>
        <w:t> HIV</w:t>
      </w:r>
      <w:r>
        <w:rPr>
          <w:rFonts w:ascii="Times New Roman" w:hAnsi="Times New Roman"/>
          <w:sz w:val="22"/>
          <w:szCs w:val="22"/>
          <w:lang w:val="sk-SK"/>
        </w:rPr>
        <w:noBreakHyphen/>
        <w:t xml:space="preserve">infikovaných </w:t>
      </w:r>
      <w:r w:rsidRPr="00EC0D13">
        <w:rPr>
          <w:rFonts w:ascii="Times New Roman" w:hAnsi="Times New Roman"/>
          <w:sz w:val="22"/>
          <w:szCs w:val="22"/>
          <w:lang w:val="sk-SK"/>
        </w:rPr>
        <w:t>pacientov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CMV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retinitídou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. Vo frekvencii výskytu niektorých reakcií sú však určité rozdiely. 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EC0D13">
        <w:rPr>
          <w:rFonts w:ascii="Times New Roman" w:hAnsi="Times New Roman"/>
          <w:sz w:val="22"/>
          <w:szCs w:val="22"/>
          <w:lang w:val="sk-SK"/>
        </w:rPr>
        <w:t>ntravenózn</w:t>
      </w:r>
      <w:r>
        <w:rPr>
          <w:rFonts w:ascii="Times New Roman" w:hAnsi="Times New Roman"/>
          <w:sz w:val="22"/>
          <w:szCs w:val="22"/>
          <w:lang w:val="sk-SK"/>
        </w:rPr>
        <w:t>e podávaný</w:t>
      </w:r>
      <w:r w:rsidRPr="00EC0D1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je v porovnaní s perorálne podávaným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 spájaný s</w:t>
      </w:r>
      <w:r>
        <w:rPr>
          <w:rFonts w:ascii="Times New Roman" w:hAnsi="Times New Roman"/>
          <w:sz w:val="22"/>
          <w:szCs w:val="22"/>
          <w:lang w:val="sk-SK"/>
        </w:rPr>
        <w:t> niž</w:t>
      </w:r>
      <w:r w:rsidRPr="00EC0D13">
        <w:rPr>
          <w:rFonts w:ascii="Times New Roman" w:hAnsi="Times New Roman"/>
          <w:sz w:val="22"/>
          <w:szCs w:val="22"/>
          <w:lang w:val="sk-SK"/>
        </w:rPr>
        <w:t xml:space="preserve">ším rizikom hnačky.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Pyrexia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kandidové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 infekcie, depresia, závažná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neutropénia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 (ANC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500</w:t>
      </w:r>
      <w:r>
        <w:rPr>
          <w:rFonts w:ascii="Times New Roman" w:hAnsi="Times New Roman"/>
          <w:sz w:val="22"/>
          <w:szCs w:val="22"/>
          <w:lang w:val="sk-SK"/>
        </w:rPr>
        <w:t>/</w:t>
      </w:r>
      <w:r w:rsidRPr="00EC0D13">
        <w:rPr>
          <w:rFonts w:ascii="Times New Roman" w:hAnsi="Times New Roman"/>
          <w:sz w:val="22"/>
          <w:szCs w:val="22"/>
          <w:lang w:val="sk-SK"/>
        </w:rPr>
        <w:t>µl) a kožné reakcie sú častejšie hlásené u pacientov infikovaných HIV. Dysfunkcia obličiek a dysfunkcia pečene sú častejšie hlásené u pacientov po transplantácii orgánu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1EBF36DE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8A8B73F" w14:textId="77777777" w:rsidR="005F1949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u w:val="single"/>
          <w:lang w:val="sk-SK"/>
        </w:rPr>
      </w:pPr>
      <w:bookmarkStart w:id="7" w:name="_Hlk493596309"/>
      <w:bookmarkEnd w:id="6"/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 xml:space="preserve">Tabuľkový </w:t>
      </w:r>
      <w:r>
        <w:rPr>
          <w:rFonts w:ascii="Times New Roman" w:hAnsi="Times New Roman"/>
          <w:sz w:val="22"/>
          <w:szCs w:val="22"/>
          <w:u w:val="single"/>
          <w:lang w:val="sk-SK"/>
        </w:rPr>
        <w:t>zoznam</w:t>
      </w: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 xml:space="preserve"> nežiaducich reakcií</w:t>
      </w:r>
    </w:p>
    <w:p w14:paraId="6B8AA222" w14:textId="77777777" w:rsidR="005F1949" w:rsidRPr="009E7821" w:rsidRDefault="005F1949" w:rsidP="005F1949">
      <w:pPr>
        <w:rPr>
          <w:rFonts w:ascii="Times New Roman" w:hAnsi="Times New Roman"/>
          <w:iCs/>
          <w:sz w:val="22"/>
          <w:szCs w:val="22"/>
          <w:lang w:val="sk-SK" w:eastAsia="sk-SK"/>
        </w:rPr>
      </w:pPr>
    </w:p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8"/>
        <w:gridCol w:w="2076"/>
      </w:tblGrid>
      <w:tr w:rsidR="005F1949" w:rsidRPr="009E7821" w14:paraId="2203C5EC" w14:textId="77777777" w:rsidTr="006D29F6">
        <w:trPr>
          <w:cantSplit/>
          <w:tblHeader/>
        </w:trPr>
        <w:tc>
          <w:tcPr>
            <w:tcW w:w="3785" w:type="pct"/>
            <w:tcBorders>
              <w:bottom w:val="single" w:sz="4" w:space="0" w:color="auto"/>
            </w:tcBorders>
          </w:tcPr>
          <w:p w14:paraId="407ADFAC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Nežiaduce reakcie na liek (</w:t>
            </w:r>
            <w:proofErr w:type="spellStart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adverse</w:t>
            </w:r>
            <w:proofErr w:type="spellEnd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drug</w:t>
            </w:r>
            <w:proofErr w:type="spellEnd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reactions</w:t>
            </w:r>
            <w:proofErr w:type="spellEnd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 xml:space="preserve">, </w:t>
            </w: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ADR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)</w:t>
            </w:r>
          </w:p>
          <w:p w14:paraId="44E3A3EC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(</w:t>
            </w:r>
            <w:proofErr w:type="spellStart"/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MedDRA</w:t>
            </w:r>
            <w:proofErr w:type="spellEnd"/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)</w:t>
            </w:r>
          </w:p>
          <w:p w14:paraId="6C1477CA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Trieda orgánových systémov</w:t>
            </w:r>
          </w:p>
        </w:tc>
        <w:tc>
          <w:tcPr>
            <w:tcW w:w="1215" w:type="pct"/>
          </w:tcPr>
          <w:p w14:paraId="68445F2A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Kategória frekvencie</w:t>
            </w:r>
          </w:p>
        </w:tc>
      </w:tr>
      <w:tr w:rsidR="005F1949" w:rsidRPr="009E7821" w14:paraId="16ED9DFD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05CCA549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br w:type="page"/>
            </w: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br w:type="page"/>
            </w: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Infekcie a nákazy:</w:t>
            </w:r>
          </w:p>
        </w:tc>
      </w:tr>
      <w:tr w:rsidR="005F1949" w:rsidRPr="009E7821" w14:paraId="332AF4EA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34D2BCCA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Kandidové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infekcie vrátane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kandidózy</w:t>
            </w:r>
            <w:proofErr w:type="spellEnd"/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ústnej dutiny</w:t>
            </w:r>
          </w:p>
        </w:tc>
        <w:tc>
          <w:tcPr>
            <w:tcW w:w="1215" w:type="pct"/>
            <w:vMerge w:val="restart"/>
          </w:tcPr>
          <w:p w14:paraId="13A16EF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404AD7AF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1202802A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Infekcia horných dýchacích ciest</w:t>
            </w:r>
          </w:p>
        </w:tc>
        <w:tc>
          <w:tcPr>
            <w:tcW w:w="1215" w:type="pct"/>
            <w:vMerge/>
          </w:tcPr>
          <w:p w14:paraId="04FB85DB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CD4563D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1241261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Sepsa</w:t>
            </w:r>
          </w:p>
        </w:tc>
        <w:tc>
          <w:tcPr>
            <w:tcW w:w="1215" w:type="pct"/>
            <w:vMerge w:val="restart"/>
          </w:tcPr>
          <w:p w14:paraId="685F5888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337EC286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68FD2D2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Chrípka</w:t>
            </w:r>
          </w:p>
        </w:tc>
        <w:tc>
          <w:tcPr>
            <w:tcW w:w="1215" w:type="pct"/>
            <w:vMerge/>
          </w:tcPr>
          <w:p w14:paraId="53BA7747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0C4C187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20F95F74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Infekcia močových ciest</w:t>
            </w:r>
          </w:p>
        </w:tc>
        <w:tc>
          <w:tcPr>
            <w:tcW w:w="1215" w:type="pct"/>
            <w:vMerge/>
          </w:tcPr>
          <w:p w14:paraId="19CFB7A4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413C475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274145AA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Celulitída</w:t>
            </w:r>
          </w:p>
        </w:tc>
        <w:tc>
          <w:tcPr>
            <w:tcW w:w="1215" w:type="pct"/>
            <w:vMerge/>
          </w:tcPr>
          <w:p w14:paraId="0E1A5AA2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ABE0FA0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25647A8C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krvi a lymfatického systému:</w:t>
            </w:r>
          </w:p>
        </w:tc>
      </w:tr>
      <w:tr w:rsidR="005F1949" w:rsidRPr="009E7821" w14:paraId="3BD856A5" w14:textId="77777777" w:rsidTr="006D29F6">
        <w:trPr>
          <w:cantSplit/>
          <w:trHeight w:val="283"/>
        </w:trPr>
        <w:tc>
          <w:tcPr>
            <w:tcW w:w="3785" w:type="pct"/>
          </w:tcPr>
          <w:p w14:paraId="086A1A8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Neutropénia</w:t>
            </w:r>
            <w:proofErr w:type="spellEnd"/>
          </w:p>
        </w:tc>
        <w:tc>
          <w:tcPr>
            <w:tcW w:w="1215" w:type="pct"/>
            <w:vMerge w:val="restart"/>
          </w:tcPr>
          <w:p w14:paraId="6988B017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71DE104D" w14:textId="77777777" w:rsidTr="006D29F6">
        <w:trPr>
          <w:cantSplit/>
          <w:trHeight w:val="283"/>
        </w:trPr>
        <w:tc>
          <w:tcPr>
            <w:tcW w:w="3785" w:type="pct"/>
          </w:tcPr>
          <w:p w14:paraId="7580CE2E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Anémia</w:t>
            </w:r>
          </w:p>
        </w:tc>
        <w:tc>
          <w:tcPr>
            <w:tcW w:w="1215" w:type="pct"/>
            <w:vMerge/>
          </w:tcPr>
          <w:p w14:paraId="6972BD8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10EDFE0" w14:textId="77777777" w:rsidTr="006D29F6">
        <w:trPr>
          <w:cantSplit/>
          <w:trHeight w:val="283"/>
        </w:trPr>
        <w:tc>
          <w:tcPr>
            <w:tcW w:w="3785" w:type="pct"/>
            <w:tcBorders>
              <w:bottom w:val="nil"/>
            </w:tcBorders>
          </w:tcPr>
          <w:p w14:paraId="6F244A83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Trombocytopénia</w:t>
            </w:r>
            <w:proofErr w:type="spellEnd"/>
          </w:p>
        </w:tc>
        <w:tc>
          <w:tcPr>
            <w:tcW w:w="1215" w:type="pct"/>
            <w:vMerge w:val="restart"/>
          </w:tcPr>
          <w:p w14:paraId="5E4B7D32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20E3DC2A" w14:textId="77777777" w:rsidTr="006D29F6">
        <w:trPr>
          <w:cantSplit/>
          <w:trHeight w:val="283"/>
        </w:trPr>
        <w:tc>
          <w:tcPr>
            <w:tcW w:w="3785" w:type="pct"/>
            <w:tcBorders>
              <w:bottom w:val="nil"/>
            </w:tcBorders>
          </w:tcPr>
          <w:p w14:paraId="02AF5FC2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Leukopénia</w:t>
            </w:r>
            <w:proofErr w:type="spellEnd"/>
          </w:p>
        </w:tc>
        <w:tc>
          <w:tcPr>
            <w:tcW w:w="1215" w:type="pct"/>
            <w:vMerge/>
          </w:tcPr>
          <w:p w14:paraId="1CF93E9D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386FED6A" w14:textId="77777777" w:rsidTr="006D29F6">
        <w:trPr>
          <w:cantSplit/>
          <w:trHeight w:val="283"/>
        </w:trPr>
        <w:tc>
          <w:tcPr>
            <w:tcW w:w="3785" w:type="pct"/>
          </w:tcPr>
          <w:p w14:paraId="6081FA8B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Pancytopénia</w:t>
            </w:r>
            <w:proofErr w:type="spellEnd"/>
          </w:p>
        </w:tc>
        <w:tc>
          <w:tcPr>
            <w:tcW w:w="1215" w:type="pct"/>
            <w:vMerge/>
            <w:tcBorders>
              <w:bottom w:val="single" w:sz="4" w:space="0" w:color="auto"/>
            </w:tcBorders>
          </w:tcPr>
          <w:p w14:paraId="757584AE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2157A50" w14:textId="77777777" w:rsidTr="006D29F6">
        <w:trPr>
          <w:cantSplit/>
          <w:trHeight w:val="283"/>
        </w:trPr>
        <w:tc>
          <w:tcPr>
            <w:tcW w:w="3785" w:type="pct"/>
          </w:tcPr>
          <w:p w14:paraId="38F3CC0E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Zlyhanie kostnej drene</w:t>
            </w:r>
          </w:p>
        </w:tc>
        <w:tc>
          <w:tcPr>
            <w:tcW w:w="1215" w:type="pct"/>
          </w:tcPr>
          <w:p w14:paraId="7BE8190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2001D5E5" w14:textId="77777777" w:rsidTr="006D29F6">
        <w:trPr>
          <w:cantSplit/>
          <w:trHeight w:val="283"/>
        </w:trPr>
        <w:tc>
          <w:tcPr>
            <w:tcW w:w="3785" w:type="pct"/>
          </w:tcPr>
          <w:p w14:paraId="5D021545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Aplastická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anémia</w:t>
            </w:r>
          </w:p>
        </w:tc>
        <w:tc>
          <w:tcPr>
            <w:tcW w:w="1215" w:type="pct"/>
            <w:vMerge w:val="restart"/>
          </w:tcPr>
          <w:p w14:paraId="33F6D97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5F1949" w:rsidRPr="009E7821" w14:paraId="69BEFD5F" w14:textId="77777777" w:rsidTr="006D29F6">
        <w:trPr>
          <w:cantSplit/>
          <w:trHeight w:val="283"/>
        </w:trPr>
        <w:tc>
          <w:tcPr>
            <w:tcW w:w="3785" w:type="pct"/>
          </w:tcPr>
          <w:p w14:paraId="01776AFE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Agranulocytóza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*</w:t>
            </w:r>
          </w:p>
        </w:tc>
        <w:tc>
          <w:tcPr>
            <w:tcW w:w="1215" w:type="pct"/>
            <w:vMerge/>
          </w:tcPr>
          <w:p w14:paraId="5D50399C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693A7FF1" w14:textId="77777777" w:rsidTr="006D29F6">
        <w:trPr>
          <w:cantSplit/>
          <w:trHeight w:val="283"/>
        </w:trPr>
        <w:tc>
          <w:tcPr>
            <w:tcW w:w="3785" w:type="pct"/>
          </w:tcPr>
          <w:p w14:paraId="5F0B19CD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Granulocytopénia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*</w:t>
            </w:r>
          </w:p>
        </w:tc>
        <w:tc>
          <w:tcPr>
            <w:tcW w:w="1215" w:type="pct"/>
            <w:vMerge/>
          </w:tcPr>
          <w:p w14:paraId="47E9A3B7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114F66E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044B1FF0" w14:textId="77777777" w:rsidR="005F1949" w:rsidRPr="009E7821" w:rsidRDefault="005F1949" w:rsidP="006D29F6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imunitného systému:</w:t>
            </w:r>
          </w:p>
        </w:tc>
      </w:tr>
      <w:tr w:rsidR="005F1949" w:rsidRPr="009E7821" w14:paraId="224157A5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2C3EB54D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Precitlivenosť</w:t>
            </w:r>
          </w:p>
        </w:tc>
        <w:tc>
          <w:tcPr>
            <w:tcW w:w="1215" w:type="pct"/>
          </w:tcPr>
          <w:p w14:paraId="7CBE0E8E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380C99CF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3FCC2ABC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Anafylaktická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reakcia*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14:paraId="16904751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5F1949" w:rsidRPr="009E7821" w14:paraId="73EB8A0D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56757A8E" w14:textId="77777777" w:rsidR="005F1949" w:rsidRPr="009E7821" w:rsidRDefault="005F1949" w:rsidP="006D29F6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metabolizmu a výživy:</w:t>
            </w:r>
          </w:p>
        </w:tc>
      </w:tr>
      <w:tr w:rsidR="005F1949" w:rsidRPr="009E7821" w14:paraId="2ED141F7" w14:textId="77777777" w:rsidTr="006D29F6">
        <w:trPr>
          <w:cantSplit/>
          <w:trHeight w:val="283"/>
        </w:trPr>
        <w:tc>
          <w:tcPr>
            <w:tcW w:w="3785" w:type="pct"/>
          </w:tcPr>
          <w:p w14:paraId="2E1C0737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Znížená chuť do jedla</w:t>
            </w:r>
          </w:p>
        </w:tc>
        <w:tc>
          <w:tcPr>
            <w:tcW w:w="1215" w:type="pct"/>
          </w:tcPr>
          <w:p w14:paraId="044D9171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51B58C89" w14:textId="77777777" w:rsidTr="006D29F6">
        <w:trPr>
          <w:cantSplit/>
          <w:trHeight w:val="283"/>
        </w:trPr>
        <w:tc>
          <w:tcPr>
            <w:tcW w:w="3785" w:type="pct"/>
          </w:tcPr>
          <w:p w14:paraId="2CDC7720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Znížen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ie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telesn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ej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hmotnos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ti</w:t>
            </w:r>
          </w:p>
        </w:tc>
        <w:tc>
          <w:tcPr>
            <w:tcW w:w="1215" w:type="pct"/>
          </w:tcPr>
          <w:p w14:paraId="20D2CAAA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0FFE6AEC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3CDD4720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Psychické poruchy:</w:t>
            </w:r>
          </w:p>
        </w:tc>
      </w:tr>
      <w:tr w:rsidR="005F1949" w:rsidRPr="009E7821" w14:paraId="400836EC" w14:textId="77777777" w:rsidTr="006D29F6">
        <w:trPr>
          <w:cantSplit/>
          <w:trHeight w:val="283"/>
        </w:trPr>
        <w:tc>
          <w:tcPr>
            <w:tcW w:w="3785" w:type="pct"/>
          </w:tcPr>
          <w:p w14:paraId="2E58A079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Depresia</w:t>
            </w:r>
          </w:p>
        </w:tc>
        <w:tc>
          <w:tcPr>
            <w:tcW w:w="1215" w:type="pct"/>
            <w:vMerge w:val="restart"/>
          </w:tcPr>
          <w:p w14:paraId="19111967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24E02870" w14:textId="77777777" w:rsidTr="006D29F6">
        <w:trPr>
          <w:cantSplit/>
          <w:trHeight w:val="283"/>
        </w:trPr>
        <w:tc>
          <w:tcPr>
            <w:tcW w:w="3785" w:type="pct"/>
          </w:tcPr>
          <w:p w14:paraId="162FBF8C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Stav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y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zmätenosti</w:t>
            </w:r>
          </w:p>
        </w:tc>
        <w:tc>
          <w:tcPr>
            <w:tcW w:w="1215" w:type="pct"/>
            <w:vMerge/>
          </w:tcPr>
          <w:p w14:paraId="40D4201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FF5CB99" w14:textId="77777777" w:rsidTr="006D29F6">
        <w:trPr>
          <w:cantSplit/>
          <w:trHeight w:val="283"/>
        </w:trPr>
        <w:tc>
          <w:tcPr>
            <w:tcW w:w="3785" w:type="pct"/>
          </w:tcPr>
          <w:p w14:paraId="467C23DC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Úzkosť</w:t>
            </w:r>
          </w:p>
        </w:tc>
        <w:tc>
          <w:tcPr>
            <w:tcW w:w="1215" w:type="pct"/>
            <w:vMerge/>
          </w:tcPr>
          <w:p w14:paraId="23787A3A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0BF3576" w14:textId="77777777" w:rsidTr="006D29F6">
        <w:trPr>
          <w:cantSplit/>
          <w:trHeight w:val="283"/>
        </w:trPr>
        <w:tc>
          <w:tcPr>
            <w:tcW w:w="3785" w:type="pct"/>
          </w:tcPr>
          <w:p w14:paraId="7390A630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Agit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ovanosť</w:t>
            </w:r>
            <w:proofErr w:type="spellEnd"/>
          </w:p>
        </w:tc>
        <w:tc>
          <w:tcPr>
            <w:tcW w:w="1215" w:type="pct"/>
            <w:vMerge w:val="restart"/>
          </w:tcPr>
          <w:p w14:paraId="0F447813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363F27BA" w14:textId="77777777" w:rsidTr="006D29F6">
        <w:trPr>
          <w:cantSplit/>
          <w:trHeight w:val="283"/>
        </w:trPr>
        <w:tc>
          <w:tcPr>
            <w:tcW w:w="3785" w:type="pct"/>
          </w:tcPr>
          <w:p w14:paraId="5272D16C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Psychotická porucha</w:t>
            </w:r>
          </w:p>
        </w:tc>
        <w:tc>
          <w:tcPr>
            <w:tcW w:w="1215" w:type="pct"/>
            <w:vMerge/>
          </w:tcPr>
          <w:p w14:paraId="19D9091C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CEC88F0" w14:textId="77777777" w:rsidTr="006D29F6">
        <w:trPr>
          <w:cantSplit/>
          <w:trHeight w:val="283"/>
        </w:trPr>
        <w:tc>
          <w:tcPr>
            <w:tcW w:w="3785" w:type="pct"/>
          </w:tcPr>
          <w:p w14:paraId="2FE3D906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Abnormálne uvažovanie</w:t>
            </w:r>
          </w:p>
        </w:tc>
        <w:tc>
          <w:tcPr>
            <w:tcW w:w="1215" w:type="pct"/>
            <w:vMerge/>
          </w:tcPr>
          <w:p w14:paraId="5309757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7AB9CC6E" w14:textId="77777777" w:rsidTr="006D29F6">
        <w:trPr>
          <w:cantSplit/>
          <w:trHeight w:val="283"/>
        </w:trPr>
        <w:tc>
          <w:tcPr>
            <w:tcW w:w="3785" w:type="pct"/>
          </w:tcPr>
          <w:p w14:paraId="094E1AD6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Halucinácie</w:t>
            </w:r>
          </w:p>
        </w:tc>
        <w:tc>
          <w:tcPr>
            <w:tcW w:w="1215" w:type="pct"/>
            <w:vMerge/>
          </w:tcPr>
          <w:p w14:paraId="14682756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0F4FA4C9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44E48F06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nervového systému:</w:t>
            </w:r>
          </w:p>
        </w:tc>
      </w:tr>
      <w:tr w:rsidR="005F1949" w:rsidRPr="009E7821" w14:paraId="3D131C3F" w14:textId="77777777" w:rsidTr="006D29F6">
        <w:trPr>
          <w:cantSplit/>
          <w:trHeight w:val="283"/>
        </w:trPr>
        <w:tc>
          <w:tcPr>
            <w:tcW w:w="3785" w:type="pct"/>
          </w:tcPr>
          <w:p w14:paraId="7D71710F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hlavy</w:t>
            </w:r>
          </w:p>
        </w:tc>
        <w:tc>
          <w:tcPr>
            <w:tcW w:w="1215" w:type="pct"/>
          </w:tcPr>
          <w:p w14:paraId="040B3594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138E4698" w14:textId="77777777" w:rsidTr="006D29F6">
        <w:trPr>
          <w:cantSplit/>
          <w:trHeight w:val="283"/>
        </w:trPr>
        <w:tc>
          <w:tcPr>
            <w:tcW w:w="3785" w:type="pct"/>
          </w:tcPr>
          <w:p w14:paraId="212F808B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Insomnia</w:t>
            </w:r>
            <w:proofErr w:type="spellEnd"/>
          </w:p>
        </w:tc>
        <w:tc>
          <w:tcPr>
            <w:tcW w:w="1215" w:type="pct"/>
            <w:vMerge w:val="restart"/>
          </w:tcPr>
          <w:p w14:paraId="36631E4D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6A3DB3F1" w14:textId="77777777" w:rsidTr="006D29F6">
        <w:trPr>
          <w:cantSplit/>
          <w:trHeight w:val="283"/>
        </w:trPr>
        <w:tc>
          <w:tcPr>
            <w:tcW w:w="3785" w:type="pct"/>
          </w:tcPr>
          <w:p w14:paraId="5436E7CB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Periférna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neuropatia</w:t>
            </w:r>
            <w:proofErr w:type="spellEnd"/>
          </w:p>
        </w:tc>
        <w:tc>
          <w:tcPr>
            <w:tcW w:w="1215" w:type="pct"/>
            <w:vMerge/>
          </w:tcPr>
          <w:p w14:paraId="596747E3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D44F6EB" w14:textId="77777777" w:rsidTr="006D29F6">
        <w:trPr>
          <w:cantSplit/>
          <w:trHeight w:val="283"/>
        </w:trPr>
        <w:tc>
          <w:tcPr>
            <w:tcW w:w="3785" w:type="pct"/>
          </w:tcPr>
          <w:p w14:paraId="5C2D14A4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Závraty</w:t>
            </w:r>
          </w:p>
        </w:tc>
        <w:tc>
          <w:tcPr>
            <w:tcW w:w="1215" w:type="pct"/>
            <w:vMerge/>
          </w:tcPr>
          <w:p w14:paraId="487DCD97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087086CD" w14:textId="77777777" w:rsidTr="006D29F6">
        <w:trPr>
          <w:cantSplit/>
          <w:trHeight w:val="283"/>
        </w:trPr>
        <w:tc>
          <w:tcPr>
            <w:tcW w:w="3785" w:type="pct"/>
          </w:tcPr>
          <w:p w14:paraId="79C15FC6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Parestézia</w:t>
            </w:r>
            <w:proofErr w:type="spellEnd"/>
          </w:p>
        </w:tc>
        <w:tc>
          <w:tcPr>
            <w:tcW w:w="1215" w:type="pct"/>
            <w:vMerge/>
          </w:tcPr>
          <w:p w14:paraId="0A8416EF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D85BB45" w14:textId="77777777" w:rsidTr="006D29F6">
        <w:trPr>
          <w:cantSplit/>
          <w:trHeight w:val="283"/>
        </w:trPr>
        <w:tc>
          <w:tcPr>
            <w:tcW w:w="3785" w:type="pct"/>
          </w:tcPr>
          <w:p w14:paraId="5FF00DE2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Hypestéza</w:t>
            </w:r>
            <w:proofErr w:type="spellEnd"/>
          </w:p>
        </w:tc>
        <w:tc>
          <w:tcPr>
            <w:tcW w:w="1215" w:type="pct"/>
            <w:vMerge/>
          </w:tcPr>
          <w:p w14:paraId="175185C6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4F8C5B2F" w14:textId="77777777" w:rsidTr="006D29F6">
        <w:trPr>
          <w:cantSplit/>
          <w:trHeight w:val="283"/>
        </w:trPr>
        <w:tc>
          <w:tcPr>
            <w:tcW w:w="3785" w:type="pct"/>
          </w:tcPr>
          <w:p w14:paraId="7E6E24B3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Záchvat</w:t>
            </w:r>
          </w:p>
        </w:tc>
        <w:tc>
          <w:tcPr>
            <w:tcW w:w="1215" w:type="pct"/>
            <w:vMerge/>
          </w:tcPr>
          <w:p w14:paraId="6282D0AD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00973935" w14:textId="77777777" w:rsidTr="006D29F6">
        <w:trPr>
          <w:cantSplit/>
          <w:trHeight w:val="283"/>
        </w:trPr>
        <w:tc>
          <w:tcPr>
            <w:tcW w:w="3785" w:type="pct"/>
          </w:tcPr>
          <w:p w14:paraId="5692E7D9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Dysgeúzia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(porucha vnímania chuti)</w:t>
            </w:r>
          </w:p>
        </w:tc>
        <w:tc>
          <w:tcPr>
            <w:tcW w:w="1215" w:type="pct"/>
            <w:vMerge/>
          </w:tcPr>
          <w:p w14:paraId="5CD55E80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943942B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447A5E86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Tremor</w:t>
            </w:r>
            <w:proofErr w:type="spellEnd"/>
          </w:p>
        </w:tc>
        <w:tc>
          <w:tcPr>
            <w:tcW w:w="1215" w:type="pct"/>
          </w:tcPr>
          <w:p w14:paraId="25892455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6F7CEE40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5097ED71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oka:</w:t>
            </w:r>
          </w:p>
        </w:tc>
      </w:tr>
      <w:tr w:rsidR="005F1949" w:rsidRPr="009E7821" w14:paraId="13365662" w14:textId="77777777" w:rsidTr="006D29F6">
        <w:trPr>
          <w:cantSplit/>
          <w:trHeight w:val="283"/>
        </w:trPr>
        <w:tc>
          <w:tcPr>
            <w:tcW w:w="3785" w:type="pct"/>
          </w:tcPr>
          <w:p w14:paraId="26CD042A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Porucha videnia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14:paraId="22257CED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6D03085D" w14:textId="77777777" w:rsidTr="006D29F6">
        <w:trPr>
          <w:cantSplit/>
          <w:trHeight w:val="283"/>
        </w:trPr>
        <w:tc>
          <w:tcPr>
            <w:tcW w:w="3785" w:type="pct"/>
          </w:tcPr>
          <w:p w14:paraId="269CAF9E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Odlúpenie sietnice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14:paraId="6409F4D9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5F1949" w:rsidRPr="009E7821" w14:paraId="0FC4381D" w14:textId="77777777" w:rsidTr="006D29F6">
        <w:trPr>
          <w:cantSplit/>
          <w:trHeight w:val="283"/>
        </w:trPr>
        <w:tc>
          <w:tcPr>
            <w:tcW w:w="3785" w:type="pct"/>
          </w:tcPr>
          <w:p w14:paraId="2864C854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Zákaly v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 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sklovci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14:paraId="3D6611C3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5F1949" w:rsidRPr="009E7821" w14:paraId="4E10C585" w14:textId="77777777" w:rsidTr="006D29F6">
        <w:trPr>
          <w:cantSplit/>
          <w:trHeight w:val="283"/>
        </w:trPr>
        <w:tc>
          <w:tcPr>
            <w:tcW w:w="3785" w:type="pct"/>
          </w:tcPr>
          <w:p w14:paraId="75A974F1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oka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14:paraId="00F83B8A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9A89D00" w14:textId="77777777" w:rsidTr="006D29F6">
        <w:trPr>
          <w:cantSplit/>
          <w:trHeight w:val="283"/>
        </w:trPr>
        <w:tc>
          <w:tcPr>
            <w:tcW w:w="3785" w:type="pct"/>
          </w:tcPr>
          <w:p w14:paraId="7476557B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Konjunktivitída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14:paraId="7ABA5700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5F1949" w:rsidRPr="009E7821" w14:paraId="6902D25F" w14:textId="77777777" w:rsidTr="006D29F6">
        <w:trPr>
          <w:cantSplit/>
          <w:trHeight w:val="283"/>
        </w:trPr>
        <w:tc>
          <w:tcPr>
            <w:tcW w:w="3785" w:type="pct"/>
          </w:tcPr>
          <w:p w14:paraId="349BE88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Edém makuly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14:paraId="5C3499F2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5F1949" w:rsidRPr="009E7821" w14:paraId="31FCF145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2C4D7136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ucha a labyrintu:</w:t>
            </w:r>
          </w:p>
        </w:tc>
      </w:tr>
      <w:tr w:rsidR="005F1949" w:rsidRPr="009E7821" w14:paraId="68E17832" w14:textId="77777777" w:rsidTr="006D29F6">
        <w:trPr>
          <w:cantSplit/>
          <w:trHeight w:val="283"/>
        </w:trPr>
        <w:tc>
          <w:tcPr>
            <w:tcW w:w="3785" w:type="pct"/>
          </w:tcPr>
          <w:p w14:paraId="4FC0B6F0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ucha</w:t>
            </w:r>
          </w:p>
        </w:tc>
        <w:tc>
          <w:tcPr>
            <w:tcW w:w="1215" w:type="pct"/>
            <w:tcBorders>
              <w:left w:val="nil"/>
            </w:tcBorders>
          </w:tcPr>
          <w:p w14:paraId="2F36EAFB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6CCBD67C" w14:textId="77777777" w:rsidTr="006D29F6">
        <w:trPr>
          <w:cantSplit/>
          <w:trHeight w:val="283"/>
        </w:trPr>
        <w:tc>
          <w:tcPr>
            <w:tcW w:w="3785" w:type="pct"/>
          </w:tcPr>
          <w:p w14:paraId="2CCD0E47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Hluchota</w:t>
            </w:r>
          </w:p>
        </w:tc>
        <w:tc>
          <w:tcPr>
            <w:tcW w:w="1215" w:type="pct"/>
          </w:tcPr>
          <w:p w14:paraId="51A973C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36A88797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62F0458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srdca a srdcovej činnosti:</w:t>
            </w:r>
          </w:p>
        </w:tc>
      </w:tr>
      <w:tr w:rsidR="005F1949" w:rsidRPr="009E7821" w14:paraId="630D117F" w14:textId="77777777" w:rsidTr="006D29F6">
        <w:trPr>
          <w:cantSplit/>
          <w:trHeight w:val="283"/>
        </w:trPr>
        <w:tc>
          <w:tcPr>
            <w:tcW w:w="3785" w:type="pct"/>
          </w:tcPr>
          <w:p w14:paraId="7A667821" w14:textId="77777777" w:rsidR="005F1949" w:rsidRPr="009E7821" w:rsidRDefault="005F1949" w:rsidP="006D29F6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rytmi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</w:t>
            </w:r>
          </w:p>
        </w:tc>
        <w:tc>
          <w:tcPr>
            <w:tcW w:w="1215" w:type="pct"/>
          </w:tcPr>
          <w:p w14:paraId="481B86BE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5C6F74EE" w14:textId="77777777" w:rsidTr="006D29F6">
        <w:trPr>
          <w:cantSplit/>
          <w:trHeight w:val="283"/>
        </w:trPr>
        <w:tc>
          <w:tcPr>
            <w:tcW w:w="3785" w:type="pct"/>
          </w:tcPr>
          <w:p w14:paraId="07651340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ciev:</w:t>
            </w:r>
          </w:p>
        </w:tc>
        <w:tc>
          <w:tcPr>
            <w:tcW w:w="1215" w:type="pct"/>
          </w:tcPr>
          <w:p w14:paraId="4BA0371F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339B501E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3AE5B20B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Hypotenzia</w:t>
            </w:r>
          </w:p>
        </w:tc>
        <w:tc>
          <w:tcPr>
            <w:tcW w:w="1215" w:type="pct"/>
          </w:tcPr>
          <w:p w14:paraId="18EC12D6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62570E87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685D6776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 xml:space="preserve">Poruchy dýchacej sústavy, hrudníka a </w:t>
            </w:r>
            <w:proofErr w:type="spellStart"/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mediastína</w:t>
            </w:r>
            <w:proofErr w:type="spellEnd"/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:</w:t>
            </w:r>
          </w:p>
        </w:tc>
      </w:tr>
      <w:tr w:rsidR="005F1949" w:rsidRPr="009E7821" w14:paraId="272C8EBA" w14:textId="77777777" w:rsidTr="006D29F6">
        <w:trPr>
          <w:cantSplit/>
          <w:trHeight w:val="283"/>
        </w:trPr>
        <w:tc>
          <w:tcPr>
            <w:tcW w:w="3785" w:type="pct"/>
          </w:tcPr>
          <w:p w14:paraId="40D54A21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Kašeľ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14:paraId="51899BD8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64619C37" w14:textId="77777777" w:rsidTr="006D29F6">
        <w:trPr>
          <w:cantSplit/>
          <w:trHeight w:val="283"/>
        </w:trPr>
        <w:tc>
          <w:tcPr>
            <w:tcW w:w="3785" w:type="pct"/>
          </w:tcPr>
          <w:p w14:paraId="736C4691" w14:textId="77777777" w:rsidR="005F1949" w:rsidRPr="009E7821" w:rsidRDefault="005F1949" w:rsidP="006D29F6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Dyspnoe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14:paraId="1BDC1014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B311CE1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0FB2D8BA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gastrointestinálneho traktu:</w:t>
            </w:r>
          </w:p>
        </w:tc>
      </w:tr>
      <w:tr w:rsidR="005F1949" w:rsidRPr="009E7821" w14:paraId="2A9A6318" w14:textId="77777777" w:rsidTr="006D29F6">
        <w:trPr>
          <w:cantSplit/>
          <w:trHeight w:val="283"/>
        </w:trPr>
        <w:tc>
          <w:tcPr>
            <w:tcW w:w="3785" w:type="pct"/>
          </w:tcPr>
          <w:p w14:paraId="062DBE41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Hnačka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14:paraId="23E88747" w14:textId="77777777" w:rsidR="005F1949" w:rsidRPr="009E7821" w:rsidRDefault="005F1949" w:rsidP="006D29F6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271D812E" w14:textId="77777777" w:rsidTr="006D29F6">
        <w:trPr>
          <w:cantSplit/>
          <w:trHeight w:val="283"/>
        </w:trPr>
        <w:tc>
          <w:tcPr>
            <w:tcW w:w="3785" w:type="pct"/>
          </w:tcPr>
          <w:p w14:paraId="7FD86150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Nauzea</w:t>
            </w:r>
          </w:p>
        </w:tc>
        <w:tc>
          <w:tcPr>
            <w:tcW w:w="1215" w:type="pct"/>
            <w:vMerge/>
          </w:tcPr>
          <w:p w14:paraId="2B1A32D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87BF2B0" w14:textId="77777777" w:rsidTr="006D29F6">
        <w:trPr>
          <w:cantSplit/>
          <w:trHeight w:val="283"/>
        </w:trPr>
        <w:tc>
          <w:tcPr>
            <w:tcW w:w="3785" w:type="pct"/>
          </w:tcPr>
          <w:p w14:paraId="31F18D17" w14:textId="77777777" w:rsidR="005F1949" w:rsidRPr="009E7821" w:rsidDel="003E2D7D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Vracanie</w:t>
            </w:r>
          </w:p>
        </w:tc>
        <w:tc>
          <w:tcPr>
            <w:tcW w:w="1215" w:type="pct"/>
            <w:vMerge/>
          </w:tcPr>
          <w:p w14:paraId="1ABE7ADB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7A021198" w14:textId="77777777" w:rsidTr="006D29F6">
        <w:trPr>
          <w:cantSplit/>
          <w:trHeight w:val="283"/>
        </w:trPr>
        <w:tc>
          <w:tcPr>
            <w:tcW w:w="3785" w:type="pct"/>
          </w:tcPr>
          <w:p w14:paraId="6619F638" w14:textId="77777777" w:rsidR="005F1949" w:rsidRPr="009E7821" w:rsidDel="003E2D7D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brucha</w:t>
            </w:r>
          </w:p>
        </w:tc>
        <w:tc>
          <w:tcPr>
            <w:tcW w:w="1215" w:type="pct"/>
            <w:vMerge/>
          </w:tcPr>
          <w:p w14:paraId="0D07A99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7B38511E" w14:textId="77777777" w:rsidTr="006D29F6">
        <w:trPr>
          <w:cantSplit/>
          <w:trHeight w:val="283"/>
        </w:trPr>
        <w:tc>
          <w:tcPr>
            <w:tcW w:w="3785" w:type="pct"/>
          </w:tcPr>
          <w:p w14:paraId="3C69EB35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Dyspepsia</w:t>
            </w:r>
            <w:proofErr w:type="spellEnd"/>
          </w:p>
        </w:tc>
        <w:tc>
          <w:tcPr>
            <w:tcW w:w="1215" w:type="pct"/>
            <w:vMerge w:val="restart"/>
          </w:tcPr>
          <w:p w14:paraId="467114D0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5F3B475E" w14:textId="77777777" w:rsidTr="006D29F6">
        <w:trPr>
          <w:cantSplit/>
          <w:trHeight w:val="283"/>
        </w:trPr>
        <w:tc>
          <w:tcPr>
            <w:tcW w:w="3785" w:type="pct"/>
          </w:tcPr>
          <w:p w14:paraId="3A8CD8C5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Plynatosť</w:t>
            </w:r>
          </w:p>
        </w:tc>
        <w:tc>
          <w:tcPr>
            <w:tcW w:w="1215" w:type="pct"/>
            <w:vMerge/>
          </w:tcPr>
          <w:p w14:paraId="4864D48F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5F1949" w14:paraId="32730A96" w14:textId="77777777" w:rsidTr="006D29F6">
        <w:trPr>
          <w:cantSplit/>
          <w:trHeight w:val="283"/>
        </w:trPr>
        <w:tc>
          <w:tcPr>
            <w:tcW w:w="3785" w:type="pct"/>
          </w:tcPr>
          <w:p w14:paraId="002DBDB0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v hornej časti brucha</w:t>
            </w:r>
          </w:p>
        </w:tc>
        <w:tc>
          <w:tcPr>
            <w:tcW w:w="1215" w:type="pct"/>
            <w:vMerge/>
          </w:tcPr>
          <w:p w14:paraId="75D2C8EC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43711AC2" w14:textId="77777777" w:rsidTr="006D29F6">
        <w:trPr>
          <w:cantSplit/>
          <w:trHeight w:val="283"/>
        </w:trPr>
        <w:tc>
          <w:tcPr>
            <w:tcW w:w="3785" w:type="pct"/>
          </w:tcPr>
          <w:p w14:paraId="0269E04E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Zápcha</w:t>
            </w:r>
          </w:p>
        </w:tc>
        <w:tc>
          <w:tcPr>
            <w:tcW w:w="1215" w:type="pct"/>
            <w:vMerge/>
          </w:tcPr>
          <w:p w14:paraId="32CED293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073932" w14:paraId="062193A4" w14:textId="77777777" w:rsidTr="006D29F6">
        <w:trPr>
          <w:cantSplit/>
          <w:trHeight w:val="283"/>
        </w:trPr>
        <w:tc>
          <w:tcPr>
            <w:tcW w:w="3785" w:type="pct"/>
          </w:tcPr>
          <w:p w14:paraId="651C6EA6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T</w:t>
            </w:r>
            <w:r w:rsidRPr="005725BE">
              <w:rPr>
                <w:rFonts w:ascii="Times New Roman" w:hAnsi="Times New Roman"/>
                <w:sz w:val="22"/>
                <w:szCs w:val="22"/>
                <w:lang w:val="sk-SK"/>
              </w:rPr>
              <w:t>vorenie vriedkov v ústnej dutine</w:t>
            </w:r>
          </w:p>
        </w:tc>
        <w:tc>
          <w:tcPr>
            <w:tcW w:w="1215" w:type="pct"/>
            <w:vMerge/>
          </w:tcPr>
          <w:p w14:paraId="0ECDBEE8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105BB99" w14:textId="77777777" w:rsidTr="006D29F6">
        <w:trPr>
          <w:cantSplit/>
          <w:trHeight w:val="283"/>
        </w:trPr>
        <w:tc>
          <w:tcPr>
            <w:tcW w:w="3785" w:type="pct"/>
          </w:tcPr>
          <w:p w14:paraId="5129A762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Dysfágia</w:t>
            </w:r>
            <w:proofErr w:type="spellEnd"/>
          </w:p>
        </w:tc>
        <w:tc>
          <w:tcPr>
            <w:tcW w:w="1215" w:type="pct"/>
            <w:vMerge/>
          </w:tcPr>
          <w:p w14:paraId="46074C45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4CBB1D71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73FAAFD3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Abdominálna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distenzia</w:t>
            </w:r>
            <w:proofErr w:type="spellEnd"/>
          </w:p>
        </w:tc>
        <w:tc>
          <w:tcPr>
            <w:tcW w:w="1215" w:type="pct"/>
            <w:vMerge/>
          </w:tcPr>
          <w:p w14:paraId="73382A49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58E3184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416559AF" w14:textId="77777777" w:rsidR="005F1949" w:rsidRPr="009E7821" w:rsidDel="003E2D7D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Pankreatitída</w:t>
            </w:r>
          </w:p>
        </w:tc>
        <w:tc>
          <w:tcPr>
            <w:tcW w:w="1215" w:type="pct"/>
            <w:vMerge/>
          </w:tcPr>
          <w:p w14:paraId="682E5C0C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07D66438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4B0E8A24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pečene a žlčových ciest:</w:t>
            </w:r>
          </w:p>
        </w:tc>
      </w:tr>
      <w:tr w:rsidR="005F1949" w:rsidRPr="009E7821" w14:paraId="6FE3811C" w14:textId="77777777" w:rsidTr="006D29F6">
        <w:trPr>
          <w:cantSplit/>
          <w:trHeight w:val="283"/>
        </w:trPr>
        <w:tc>
          <w:tcPr>
            <w:tcW w:w="3785" w:type="pct"/>
          </w:tcPr>
          <w:p w14:paraId="46CF635A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Zvýšená hladina alkalickej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fosfatázy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v krvi</w:t>
            </w:r>
          </w:p>
        </w:tc>
        <w:tc>
          <w:tcPr>
            <w:tcW w:w="1215" w:type="pct"/>
            <w:vMerge w:val="restart"/>
          </w:tcPr>
          <w:p w14:paraId="1D235794" w14:textId="77777777" w:rsidR="005F1949" w:rsidRPr="009E7821" w:rsidRDefault="005F1949" w:rsidP="006D29F6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642C55DC" w14:textId="77777777" w:rsidTr="006D29F6">
        <w:trPr>
          <w:cantSplit/>
          <w:trHeight w:val="283"/>
        </w:trPr>
        <w:tc>
          <w:tcPr>
            <w:tcW w:w="3785" w:type="pct"/>
          </w:tcPr>
          <w:p w14:paraId="05DCFFCB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Porucha funkcie pečene</w:t>
            </w:r>
          </w:p>
        </w:tc>
        <w:tc>
          <w:tcPr>
            <w:tcW w:w="1215" w:type="pct"/>
            <w:vMerge/>
          </w:tcPr>
          <w:p w14:paraId="0A4DC286" w14:textId="77777777" w:rsidR="005F1949" w:rsidRPr="009E7821" w:rsidRDefault="005F1949" w:rsidP="006D29F6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9182BB6" w14:textId="77777777" w:rsidTr="006D29F6">
        <w:trPr>
          <w:cantSplit/>
          <w:trHeight w:val="283"/>
        </w:trPr>
        <w:tc>
          <w:tcPr>
            <w:tcW w:w="3785" w:type="pct"/>
          </w:tcPr>
          <w:p w14:paraId="13E6C832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Zvýšená hladina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aspartátaminotransferázy</w:t>
            </w:r>
            <w:proofErr w:type="spellEnd"/>
          </w:p>
        </w:tc>
        <w:tc>
          <w:tcPr>
            <w:tcW w:w="1215" w:type="pct"/>
            <w:vMerge/>
          </w:tcPr>
          <w:p w14:paraId="179ACF87" w14:textId="77777777" w:rsidR="005F1949" w:rsidRPr="009E7821" w:rsidRDefault="005F1949" w:rsidP="006D29F6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AFF66C7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1F51AB67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Zvýšená hladina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alanínaminotransferázy</w:t>
            </w:r>
            <w:proofErr w:type="spellEnd"/>
          </w:p>
        </w:tc>
        <w:tc>
          <w:tcPr>
            <w:tcW w:w="1215" w:type="pct"/>
            <w:vMerge/>
          </w:tcPr>
          <w:p w14:paraId="1B29506F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50A3469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53169976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kože a podkožného tkaniva:</w:t>
            </w:r>
          </w:p>
        </w:tc>
      </w:tr>
      <w:tr w:rsidR="005F1949" w:rsidRPr="009E7821" w14:paraId="56172593" w14:textId="77777777" w:rsidTr="006D29F6">
        <w:trPr>
          <w:cantSplit/>
          <w:trHeight w:val="283"/>
        </w:trPr>
        <w:tc>
          <w:tcPr>
            <w:tcW w:w="3785" w:type="pct"/>
          </w:tcPr>
          <w:p w14:paraId="1389733E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Dermatitída</w:t>
            </w:r>
          </w:p>
        </w:tc>
        <w:tc>
          <w:tcPr>
            <w:tcW w:w="1215" w:type="pct"/>
          </w:tcPr>
          <w:p w14:paraId="1B16D5DC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5A8B6DB8" w14:textId="77777777" w:rsidTr="006D29F6">
        <w:trPr>
          <w:cantSplit/>
          <w:trHeight w:val="283"/>
        </w:trPr>
        <w:tc>
          <w:tcPr>
            <w:tcW w:w="3785" w:type="pct"/>
          </w:tcPr>
          <w:p w14:paraId="51094B46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Nočné potenie</w:t>
            </w:r>
          </w:p>
        </w:tc>
        <w:tc>
          <w:tcPr>
            <w:tcW w:w="1215" w:type="pct"/>
            <w:vMerge w:val="restart"/>
          </w:tcPr>
          <w:p w14:paraId="6C999238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1260521B" w14:textId="77777777" w:rsidTr="006D29F6">
        <w:trPr>
          <w:cantSplit/>
          <w:trHeight w:val="283"/>
        </w:trPr>
        <w:tc>
          <w:tcPr>
            <w:tcW w:w="3785" w:type="pct"/>
          </w:tcPr>
          <w:p w14:paraId="31FD23F4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Pruritus</w:t>
            </w:r>
            <w:proofErr w:type="spellEnd"/>
          </w:p>
        </w:tc>
        <w:tc>
          <w:tcPr>
            <w:tcW w:w="1215" w:type="pct"/>
            <w:vMerge/>
          </w:tcPr>
          <w:p w14:paraId="575927FF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021A5239" w14:textId="77777777" w:rsidTr="006D29F6">
        <w:trPr>
          <w:cantSplit/>
          <w:trHeight w:val="283"/>
        </w:trPr>
        <w:tc>
          <w:tcPr>
            <w:tcW w:w="3785" w:type="pct"/>
          </w:tcPr>
          <w:p w14:paraId="143AA1F0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Vyrážka</w:t>
            </w:r>
          </w:p>
        </w:tc>
        <w:tc>
          <w:tcPr>
            <w:tcW w:w="1215" w:type="pct"/>
            <w:vMerge/>
          </w:tcPr>
          <w:p w14:paraId="28633CA5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7868BCCE" w14:textId="77777777" w:rsidTr="006D29F6">
        <w:trPr>
          <w:cantSplit/>
          <w:trHeight w:val="283"/>
        </w:trPr>
        <w:tc>
          <w:tcPr>
            <w:tcW w:w="3785" w:type="pct"/>
          </w:tcPr>
          <w:p w14:paraId="46D104BC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Alopécia</w:t>
            </w:r>
            <w:proofErr w:type="spellEnd"/>
          </w:p>
        </w:tc>
        <w:tc>
          <w:tcPr>
            <w:tcW w:w="1215" w:type="pct"/>
            <w:vMerge/>
          </w:tcPr>
          <w:p w14:paraId="5BAF8AB2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FFC14F0" w14:textId="77777777" w:rsidTr="006D29F6">
        <w:trPr>
          <w:cantSplit/>
          <w:trHeight w:val="283"/>
        </w:trPr>
        <w:tc>
          <w:tcPr>
            <w:tcW w:w="3785" w:type="pct"/>
          </w:tcPr>
          <w:p w14:paraId="65202B7C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Suchosť kože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14:paraId="1E312F9B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1F918E13" w14:textId="77777777" w:rsidTr="006D29F6">
        <w:trPr>
          <w:cantSplit/>
          <w:trHeight w:val="283"/>
        </w:trPr>
        <w:tc>
          <w:tcPr>
            <w:tcW w:w="3785" w:type="pct"/>
          </w:tcPr>
          <w:p w14:paraId="64BC2DE7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Urtikária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14:paraId="2239D448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6F4E98EB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2E04200F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kostrovej a svalovej sústavy a spojivového tkaniva:</w:t>
            </w:r>
          </w:p>
        </w:tc>
      </w:tr>
      <w:tr w:rsidR="005F1949" w:rsidRPr="009E7821" w14:paraId="22B51232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354D556D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chrbta</w:t>
            </w:r>
          </w:p>
        </w:tc>
        <w:tc>
          <w:tcPr>
            <w:tcW w:w="1215" w:type="pct"/>
            <w:vMerge w:val="restart"/>
          </w:tcPr>
          <w:p w14:paraId="72D2F95B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734B8043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1787BEA4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Myalgia</w:t>
            </w:r>
            <w:proofErr w:type="spellEnd"/>
          </w:p>
        </w:tc>
        <w:tc>
          <w:tcPr>
            <w:tcW w:w="1215" w:type="pct"/>
            <w:vMerge/>
          </w:tcPr>
          <w:p w14:paraId="4DA94F14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1439017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32848DEA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Artralgia</w:t>
            </w:r>
            <w:proofErr w:type="spellEnd"/>
          </w:p>
        </w:tc>
        <w:tc>
          <w:tcPr>
            <w:tcW w:w="1215" w:type="pct"/>
            <w:vMerge/>
          </w:tcPr>
          <w:p w14:paraId="2245225A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7420E7B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27FBA171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Svalové kŕče</w:t>
            </w:r>
          </w:p>
        </w:tc>
        <w:tc>
          <w:tcPr>
            <w:tcW w:w="1215" w:type="pct"/>
            <w:vMerge/>
            <w:tcBorders>
              <w:bottom w:val="single" w:sz="4" w:space="0" w:color="auto"/>
            </w:tcBorders>
          </w:tcPr>
          <w:p w14:paraId="7B6D32C8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FD4B539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2C3246D9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obličiek a močových ciest:</w:t>
            </w:r>
          </w:p>
        </w:tc>
      </w:tr>
      <w:tr w:rsidR="005F1949" w:rsidRPr="009E7821" w14:paraId="6EB18B7E" w14:textId="77777777" w:rsidTr="006D29F6">
        <w:trPr>
          <w:cantSplit/>
          <w:trHeight w:val="283"/>
        </w:trPr>
        <w:tc>
          <w:tcPr>
            <w:tcW w:w="3785" w:type="pct"/>
          </w:tcPr>
          <w:p w14:paraId="3E38FCA3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Porucha funkcie obličiek</w:t>
            </w:r>
          </w:p>
        </w:tc>
        <w:tc>
          <w:tcPr>
            <w:tcW w:w="1215" w:type="pct"/>
            <w:vMerge w:val="restart"/>
          </w:tcPr>
          <w:p w14:paraId="2B40C425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16E99471" w14:textId="77777777" w:rsidTr="006D29F6">
        <w:trPr>
          <w:cantSplit/>
          <w:trHeight w:val="283"/>
        </w:trPr>
        <w:tc>
          <w:tcPr>
            <w:tcW w:w="3785" w:type="pct"/>
          </w:tcPr>
          <w:p w14:paraId="2C4148A0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Znížený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renálny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klírens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kreatinínu</w:t>
            </w:r>
            <w:proofErr w:type="spellEnd"/>
          </w:p>
        </w:tc>
        <w:tc>
          <w:tcPr>
            <w:tcW w:w="1215" w:type="pct"/>
            <w:vMerge/>
          </w:tcPr>
          <w:p w14:paraId="5F8BF2AC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60751298" w14:textId="77777777" w:rsidTr="006D29F6">
        <w:trPr>
          <w:cantSplit/>
          <w:trHeight w:val="283"/>
        </w:trPr>
        <w:tc>
          <w:tcPr>
            <w:tcW w:w="3785" w:type="pct"/>
          </w:tcPr>
          <w:p w14:paraId="19F0725E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Zvýšená hladina kreatinínu v krvi</w:t>
            </w:r>
          </w:p>
        </w:tc>
        <w:tc>
          <w:tcPr>
            <w:tcW w:w="1215" w:type="pct"/>
            <w:vMerge/>
            <w:tcBorders>
              <w:bottom w:val="single" w:sz="4" w:space="0" w:color="auto"/>
            </w:tcBorders>
          </w:tcPr>
          <w:p w14:paraId="38604648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2154F35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06573447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Zlyhanie obličiek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14:paraId="5A7D4036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1C01FB63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568C53D5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Hematúria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14:paraId="6078F954" w14:textId="77777777" w:rsidR="005F1949" w:rsidRPr="009E7821" w:rsidRDefault="005F1949" w:rsidP="006D29F6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5F1949" w:rsidRPr="009E7821" w14:paraId="44686C2E" w14:textId="77777777" w:rsidTr="006D29F6">
        <w:trPr>
          <w:cantSplit/>
          <w:trHeight w:val="283"/>
        </w:trPr>
        <w:tc>
          <w:tcPr>
            <w:tcW w:w="5000" w:type="pct"/>
            <w:gridSpan w:val="2"/>
          </w:tcPr>
          <w:p w14:paraId="1315BFB6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reprodukčného systému a prsníkov:</w:t>
            </w:r>
          </w:p>
        </w:tc>
      </w:tr>
      <w:tr w:rsidR="005F1949" w:rsidRPr="009E7821" w14:paraId="53D6F4D1" w14:textId="77777777" w:rsidTr="006D29F6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750AE9FD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Mužská neplodnosť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14:paraId="3EBF817A" w14:textId="77777777" w:rsidR="005F1949" w:rsidRPr="009E7821" w:rsidRDefault="005F1949" w:rsidP="006D29F6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1EA61428" w14:textId="77777777" w:rsidTr="006D29F6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AEB69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Celkové poruchy a reakcie v mieste podania:</w:t>
            </w:r>
          </w:p>
        </w:tc>
      </w:tr>
      <w:tr w:rsidR="005F1949" w:rsidRPr="009E7821" w14:paraId="1CCCA2C4" w14:textId="77777777" w:rsidTr="006D29F6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6460037E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Pyrexia</w:t>
            </w:r>
            <w:proofErr w:type="spellEnd"/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</w:tcPr>
          <w:p w14:paraId="5272E51E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621F3817" w14:textId="77777777" w:rsidTr="006D29F6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718CFE22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Únava</w:t>
            </w:r>
          </w:p>
        </w:tc>
        <w:tc>
          <w:tcPr>
            <w:tcW w:w="1215" w:type="pct"/>
            <w:vMerge/>
          </w:tcPr>
          <w:p w14:paraId="48FE62C0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6F460F7E" w14:textId="77777777" w:rsidTr="006D29F6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62B7AA1D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Reakcia v mieste podania injekcie</w:t>
            </w:r>
          </w:p>
        </w:tc>
        <w:tc>
          <w:tcPr>
            <w:tcW w:w="1215" w:type="pct"/>
            <w:vMerge w:val="restart"/>
          </w:tcPr>
          <w:p w14:paraId="3B05F99F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418134D9" w14:textId="77777777" w:rsidTr="006D29F6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6DCD4098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</w:t>
            </w:r>
          </w:p>
        </w:tc>
        <w:tc>
          <w:tcPr>
            <w:tcW w:w="1215" w:type="pct"/>
            <w:vMerge/>
          </w:tcPr>
          <w:p w14:paraId="7633EFBE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653B35D" w14:textId="77777777" w:rsidTr="006D29F6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14D5472B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Zimnica</w:t>
            </w:r>
          </w:p>
        </w:tc>
        <w:tc>
          <w:tcPr>
            <w:tcW w:w="1215" w:type="pct"/>
            <w:vMerge/>
          </w:tcPr>
          <w:p w14:paraId="55180A65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38A0ACA0" w14:textId="77777777" w:rsidTr="006D29F6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2414B521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Celková malátnosť </w:t>
            </w:r>
          </w:p>
        </w:tc>
        <w:tc>
          <w:tcPr>
            <w:tcW w:w="1215" w:type="pct"/>
            <w:vMerge/>
          </w:tcPr>
          <w:p w14:paraId="49756B42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FFCAE78" w14:textId="77777777" w:rsidTr="006D29F6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070B5450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Asténia</w:t>
            </w:r>
          </w:p>
        </w:tc>
        <w:tc>
          <w:tcPr>
            <w:tcW w:w="1215" w:type="pct"/>
            <w:vMerge/>
          </w:tcPr>
          <w:p w14:paraId="58AE40E6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99B893F" w14:textId="77777777" w:rsidTr="006D29F6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0BBDEF30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na hrudníku</w:t>
            </w:r>
          </w:p>
        </w:tc>
        <w:tc>
          <w:tcPr>
            <w:tcW w:w="1215" w:type="pct"/>
          </w:tcPr>
          <w:p w14:paraId="108DC3C1" w14:textId="77777777" w:rsidR="005F1949" w:rsidRPr="009E7821" w:rsidRDefault="005F1949" w:rsidP="006D29F6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</w:tbl>
    <w:p w14:paraId="4EED1053" w14:textId="77777777" w:rsidR="005F1949" w:rsidRPr="009E7821" w:rsidRDefault="005F1949" w:rsidP="005F1949">
      <w:pPr>
        <w:rPr>
          <w:rFonts w:ascii="Times New Roman" w:hAnsi="Times New Roman"/>
          <w:iCs/>
          <w:sz w:val="22"/>
          <w:szCs w:val="22"/>
          <w:lang w:val="sk-SK" w:eastAsia="sk-SK"/>
        </w:rPr>
      </w:pPr>
    </w:p>
    <w:p w14:paraId="77982334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F66201">
        <w:rPr>
          <w:rFonts w:ascii="Times New Roman" w:hAnsi="Times New Roman"/>
          <w:i/>
          <w:sz w:val="20"/>
          <w:lang w:val="sk-SK"/>
        </w:rPr>
        <w:t xml:space="preserve">* Frekvencie výskytu týchto nežiaducich účinkov sú </w:t>
      </w:r>
      <w:r>
        <w:rPr>
          <w:rFonts w:ascii="Times New Roman" w:hAnsi="Times New Roman"/>
          <w:i/>
          <w:sz w:val="20"/>
          <w:lang w:val="sk-SK"/>
        </w:rPr>
        <w:t>stanovené na základe</w:t>
      </w:r>
      <w:r w:rsidRPr="00F66201">
        <w:rPr>
          <w:rFonts w:ascii="Times New Roman" w:hAnsi="Times New Roman"/>
          <w:i/>
          <w:sz w:val="20"/>
          <w:lang w:val="sk-SK"/>
        </w:rPr>
        <w:t xml:space="preserve"> skúseností z obdobia po uvedení lieku na trh, všetky ostatné frekvencie výskytu vychádzajú z frekvencie hlásenej v klinických skúšaniach.</w:t>
      </w:r>
    </w:p>
    <w:bookmarkEnd w:id="7"/>
    <w:p w14:paraId="228B870A" w14:textId="77777777" w:rsidR="005F1949" w:rsidRPr="005725BE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5DC85BEE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Popis vybraných nežiaducich reakcií</w:t>
      </w:r>
    </w:p>
    <w:p w14:paraId="6A7B965F" w14:textId="77777777" w:rsidR="005F1949" w:rsidRPr="00EC148A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22449D58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proofErr w:type="spellStart"/>
      <w:r w:rsidRPr="005725BE">
        <w:rPr>
          <w:rFonts w:ascii="Times New Roman" w:hAnsi="Times New Roman"/>
          <w:i/>
          <w:sz w:val="22"/>
          <w:szCs w:val="22"/>
          <w:lang w:val="sk-SK"/>
        </w:rPr>
        <w:t>Neutropénia</w:t>
      </w:r>
      <w:proofErr w:type="spellEnd"/>
    </w:p>
    <w:p w14:paraId="3D5502D9" w14:textId="77777777" w:rsidR="005F1949" w:rsidRPr="00EC148A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015B1C6C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Riziko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neutropénie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nie je možné predvídať na základe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 počtu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neutrofilov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pred liečbou.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Neutropénia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sa zvyčajne vyskytne počas prvého alebo druhého týždňa indukčnej liečby a po podaní kumulatívnych dávok ≤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200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mg/kg. Počet krviniek sa zvyčajne vráti do normálu do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dní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ukončení liečby, alebo po znížení dávky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4.4).</w:t>
      </w:r>
    </w:p>
    <w:p w14:paraId="1F5E09B1" w14:textId="77777777" w:rsidR="005F1949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75A69674" w14:textId="77777777" w:rsidR="005F1949" w:rsidRPr="00694109" w:rsidRDefault="005F1949" w:rsidP="005F1949">
      <w:pPr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bookmarkStart w:id="8" w:name="_Hlk493596435"/>
      <w:r>
        <w:rPr>
          <w:rFonts w:ascii="Times New Roman" w:hAnsi="Times New Roman"/>
          <w:i/>
          <w:sz w:val="22"/>
          <w:szCs w:val="22"/>
          <w:lang w:val="sk-SK"/>
        </w:rPr>
        <w:t xml:space="preserve">Závažná </w:t>
      </w: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neutropénia</w:t>
      </w:r>
      <w:proofErr w:type="spellEnd"/>
    </w:p>
    <w:p w14:paraId="12E6CC9A" w14:textId="77777777" w:rsidR="005F1949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3B43F3C2" w14:textId="77777777" w:rsidR="005F1949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D976E4">
        <w:rPr>
          <w:rFonts w:ascii="Times New Roman" w:hAnsi="Times New Roman"/>
          <w:sz w:val="22"/>
          <w:szCs w:val="22"/>
          <w:lang w:val="sk-SK"/>
        </w:rPr>
        <w:t xml:space="preserve">Závažná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neutropénia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bola častejšie hlásená </w:t>
      </w:r>
      <w:r w:rsidRPr="00D976E4">
        <w:rPr>
          <w:rFonts w:ascii="Times New Roman" w:hAnsi="Times New Roman"/>
          <w:sz w:val="22"/>
          <w:szCs w:val="22"/>
          <w:lang w:val="sk-SK"/>
        </w:rPr>
        <w:t>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pacientov </w:t>
      </w:r>
      <w:r>
        <w:rPr>
          <w:rFonts w:ascii="Times New Roman" w:hAnsi="Times New Roman"/>
          <w:sz w:val="22"/>
          <w:szCs w:val="22"/>
          <w:lang w:val="sk-SK"/>
        </w:rPr>
        <w:t xml:space="preserve">infikovaných HIV </w:t>
      </w:r>
      <w:r w:rsidRPr="00D976E4">
        <w:rPr>
          <w:rFonts w:ascii="Times New Roman" w:hAnsi="Times New Roman"/>
          <w:sz w:val="22"/>
          <w:szCs w:val="22"/>
          <w:lang w:val="sk-SK"/>
        </w:rPr>
        <w:t>(1</w:t>
      </w:r>
      <w:r>
        <w:rPr>
          <w:rFonts w:ascii="Times New Roman" w:hAnsi="Times New Roman"/>
          <w:sz w:val="22"/>
          <w:szCs w:val="22"/>
          <w:lang w:val="sk-SK"/>
        </w:rPr>
        <w:t>4 </w:t>
      </w:r>
      <w:r w:rsidRPr="00D976E4">
        <w:rPr>
          <w:rFonts w:ascii="Times New Roman" w:hAnsi="Times New Roman"/>
          <w:sz w:val="22"/>
          <w:szCs w:val="22"/>
          <w:lang w:val="sk-SK"/>
        </w:rPr>
        <w:t>%)</w:t>
      </w:r>
      <w:r>
        <w:rPr>
          <w:rFonts w:ascii="Times New Roman" w:hAnsi="Times New Roman"/>
          <w:sz w:val="22"/>
          <w:szCs w:val="22"/>
          <w:lang w:val="sk-SK"/>
        </w:rPr>
        <w:t xml:space="preserve">, ktorí dostávali udržiavaciu liečbu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perorálne alebo intravenózne podávaným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(n = 1 704), </w:t>
      </w:r>
      <w:r w:rsidRPr="00D976E4">
        <w:rPr>
          <w:rFonts w:ascii="Times New Roman" w:hAnsi="Times New Roman"/>
          <w:sz w:val="22"/>
          <w:szCs w:val="22"/>
          <w:lang w:val="sk-SK"/>
        </w:rPr>
        <w:t>ako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pacientov po transplantácii orgánu</w:t>
      </w:r>
      <w:r>
        <w:rPr>
          <w:rFonts w:ascii="Times New Roman" w:hAnsi="Times New Roman"/>
          <w:sz w:val="22"/>
          <w:szCs w:val="22"/>
          <w:lang w:val="sk-SK"/>
        </w:rPr>
        <w:t>, ktorí boli liečení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alebo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peroráln</w:t>
      </w:r>
      <w:r>
        <w:rPr>
          <w:rFonts w:ascii="Times New Roman" w:hAnsi="Times New Roman"/>
          <w:sz w:val="22"/>
          <w:szCs w:val="22"/>
          <w:lang w:val="sk-SK"/>
        </w:rPr>
        <w:t>e podávaným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. U pacientov, ktorí boli liečení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alebo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peroráln</w:t>
      </w:r>
      <w:r>
        <w:rPr>
          <w:rFonts w:ascii="Times New Roman" w:hAnsi="Times New Roman"/>
          <w:sz w:val="22"/>
          <w:szCs w:val="22"/>
          <w:lang w:val="sk-SK"/>
        </w:rPr>
        <w:t>e podávaným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do 100.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dňa po transplantácii, bol výskyt závažnej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neutropénie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%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%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uvedenom poradí, zatiaľ čo u pacientov, ktorí boli liečení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do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200.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dňa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transplantácii, bol výskyt závažnej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neutropénie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%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bookmarkEnd w:id="8"/>
    <w:p w14:paraId="38EB1BB7" w14:textId="77777777" w:rsidR="005F1949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2E9304D6" w14:textId="77777777" w:rsidR="005F1949" w:rsidRPr="005725BE" w:rsidRDefault="005F1949" w:rsidP="005F1949">
      <w:pPr>
        <w:keepNext/>
        <w:keepLines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proofErr w:type="spellStart"/>
      <w:r w:rsidRPr="005725BE">
        <w:rPr>
          <w:rFonts w:ascii="Times New Roman" w:hAnsi="Times New Roman"/>
          <w:i/>
          <w:sz w:val="22"/>
          <w:szCs w:val="22"/>
          <w:lang w:val="sk-SK"/>
        </w:rPr>
        <w:t>Trombocytopénia</w:t>
      </w:r>
      <w:proofErr w:type="spellEnd"/>
    </w:p>
    <w:p w14:paraId="592D58E9" w14:textId="77777777" w:rsidR="005F1949" w:rsidRPr="005725BE" w:rsidRDefault="005F1949" w:rsidP="005F1949">
      <w:pPr>
        <w:keepNext/>
        <w:keepLines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3BB8D450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>Pacienti</w:t>
      </w:r>
      <w:r>
        <w:rPr>
          <w:rFonts w:ascii="Times New Roman" w:hAnsi="Times New Roman"/>
          <w:sz w:val="22"/>
          <w:szCs w:val="22"/>
          <w:lang w:val="sk-SK"/>
        </w:rPr>
        <w:t>, ktorí majú na začiatku liečby</w:t>
      </w:r>
      <w:r w:rsidRPr="005725BE">
        <w:rPr>
          <w:rFonts w:ascii="Times New Roman" w:hAnsi="Times New Roman"/>
          <w:sz w:val="22"/>
          <w:szCs w:val="22"/>
          <w:lang w:val="sk-SK"/>
        </w:rPr>
        <w:t> nízky poč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5725BE">
        <w:rPr>
          <w:rFonts w:ascii="Times New Roman" w:hAnsi="Times New Roman"/>
          <w:sz w:val="22"/>
          <w:szCs w:val="22"/>
          <w:lang w:val="sk-SK"/>
        </w:rPr>
        <w:t>t trombocytov (&lt;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100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000/</w:t>
      </w:r>
      <w:r>
        <w:rPr>
          <w:rFonts w:ascii="Times New Roman" w:hAnsi="Times New Roman"/>
          <w:sz w:val="22"/>
          <w:szCs w:val="22"/>
          <w:lang w:val="sk-SK"/>
        </w:rPr>
        <w:t>µ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l) sú vystavení zvýšenému riziku rozvoja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trombocytopénie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. Pacienti s 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iatrogénnou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imunosupresiou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sú kvôli liečbe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imunosupresívami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vystavení vyššiemu riziku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trombocytopénie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ako pacienti s AIDS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4.4). Závažná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trombocytopénia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môže byť spojená s potenciálne život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725BE">
        <w:rPr>
          <w:rFonts w:ascii="Times New Roman" w:hAnsi="Times New Roman"/>
          <w:sz w:val="22"/>
          <w:szCs w:val="22"/>
          <w:lang w:val="sk-SK"/>
        </w:rPr>
        <w:t>ohrozujúcim krvácaním.</w:t>
      </w:r>
    </w:p>
    <w:p w14:paraId="3CB5C998" w14:textId="77777777" w:rsidR="005F1949" w:rsidRPr="000F706A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25039F77" w14:textId="77777777" w:rsidR="005F1949" w:rsidRDefault="005F1949" w:rsidP="005F1949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Záchvaty</w:t>
      </w:r>
    </w:p>
    <w:p w14:paraId="17096A81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</w:p>
    <w:p w14:paraId="5F479B45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U pacientov dostávajúcich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imipenem</w:t>
      </w:r>
      <w:r>
        <w:rPr>
          <w:rFonts w:ascii="Times New Roman" w:hAnsi="Times New Roman"/>
          <w:sz w:val="22"/>
          <w:szCs w:val="22"/>
          <w:lang w:val="sk-SK"/>
        </w:rPr>
        <w:noBreakHyphen/>
      </w:r>
      <w:r w:rsidRPr="005725BE">
        <w:rPr>
          <w:rFonts w:ascii="Times New Roman" w:hAnsi="Times New Roman"/>
          <w:sz w:val="22"/>
          <w:szCs w:val="22"/>
          <w:lang w:val="sk-SK"/>
        </w:rPr>
        <w:t>cilastatín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bol hlásený výskyt </w:t>
      </w:r>
      <w:r>
        <w:rPr>
          <w:rFonts w:ascii="Times New Roman" w:hAnsi="Times New Roman"/>
          <w:sz w:val="22"/>
          <w:szCs w:val="22"/>
          <w:lang w:val="sk-SK"/>
        </w:rPr>
        <w:t xml:space="preserve">záchvatov </w:t>
      </w:r>
      <w:r w:rsidRPr="005725BE">
        <w:rPr>
          <w:rFonts w:ascii="Times New Roman" w:hAnsi="Times New Roman"/>
          <w:sz w:val="22"/>
          <w:szCs w:val="22"/>
          <w:lang w:val="sk-SK"/>
        </w:rPr>
        <w:t>(pozri čas</w:t>
      </w:r>
      <w:r>
        <w:rPr>
          <w:rFonts w:ascii="Times New Roman" w:hAnsi="Times New Roman"/>
          <w:sz w:val="22"/>
          <w:szCs w:val="22"/>
          <w:lang w:val="sk-SK"/>
        </w:rPr>
        <w:t>ti </w:t>
      </w:r>
      <w:r w:rsidRPr="005725BE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4.5).</w:t>
      </w:r>
    </w:p>
    <w:p w14:paraId="591CA00C" w14:textId="77777777" w:rsidR="005F1949" w:rsidRPr="005725BE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3A34E179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5725BE">
        <w:rPr>
          <w:rFonts w:ascii="Times New Roman" w:hAnsi="Times New Roman"/>
          <w:i/>
          <w:sz w:val="22"/>
          <w:szCs w:val="22"/>
          <w:lang w:val="sk-SK"/>
        </w:rPr>
        <w:t>Odl</w:t>
      </w:r>
      <w:r>
        <w:rPr>
          <w:rFonts w:ascii="Times New Roman" w:hAnsi="Times New Roman"/>
          <w:i/>
          <w:sz w:val="22"/>
          <w:szCs w:val="22"/>
          <w:lang w:val="sk-SK"/>
        </w:rPr>
        <w:t>ú</w:t>
      </w:r>
      <w:r w:rsidRPr="005725BE">
        <w:rPr>
          <w:rFonts w:ascii="Times New Roman" w:hAnsi="Times New Roman"/>
          <w:i/>
          <w:sz w:val="22"/>
          <w:szCs w:val="22"/>
          <w:lang w:val="sk-SK"/>
        </w:rPr>
        <w:t>p</w:t>
      </w:r>
      <w:r>
        <w:rPr>
          <w:rFonts w:ascii="Times New Roman" w:hAnsi="Times New Roman"/>
          <w:i/>
          <w:sz w:val="22"/>
          <w:szCs w:val="22"/>
          <w:lang w:val="sk-SK"/>
        </w:rPr>
        <w:t>e</w:t>
      </w:r>
      <w:r w:rsidRPr="005725BE">
        <w:rPr>
          <w:rFonts w:ascii="Times New Roman" w:hAnsi="Times New Roman"/>
          <w:i/>
          <w:sz w:val="22"/>
          <w:szCs w:val="22"/>
          <w:lang w:val="sk-SK"/>
        </w:rPr>
        <w:t>nie sietnice</w:t>
      </w:r>
    </w:p>
    <w:p w14:paraId="19BAB521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2AC3621F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Táto nežiaduca reakcia bola hlásená len v štúdiách 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Pr="005725BE">
        <w:rPr>
          <w:rFonts w:ascii="Times New Roman" w:hAnsi="Times New Roman"/>
          <w:sz w:val="22"/>
          <w:szCs w:val="22"/>
          <w:lang w:val="sk-SK"/>
        </w:rPr>
        <w:t> pacient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s </w:t>
      </w:r>
      <w:r>
        <w:rPr>
          <w:rFonts w:ascii="Times New Roman" w:hAnsi="Times New Roman"/>
          <w:sz w:val="22"/>
          <w:szCs w:val="22"/>
          <w:lang w:val="sk-SK"/>
        </w:rPr>
        <w:t>HIV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liečených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pre CMV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retinitídu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.</w:t>
      </w:r>
    </w:p>
    <w:p w14:paraId="2497FC68" w14:textId="77777777" w:rsidR="005F1949" w:rsidRPr="00A016B0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75BADDA5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5725BE">
        <w:rPr>
          <w:rFonts w:ascii="Times New Roman" w:hAnsi="Times New Roman"/>
          <w:i/>
          <w:sz w:val="22"/>
          <w:szCs w:val="22"/>
          <w:lang w:val="sk-SK"/>
        </w:rPr>
        <w:t>Reakcie v mieste vpichu injekcie</w:t>
      </w:r>
    </w:p>
    <w:p w14:paraId="1CD6082B" w14:textId="77777777" w:rsidR="005F1949" w:rsidRPr="00A016B0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5A040B99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Reakcie v mieste vpichu injekcie sa môžu u pacientov užívajúcich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vyskytovať</w:t>
      </w:r>
      <w:r>
        <w:rPr>
          <w:rFonts w:ascii="Times New Roman" w:hAnsi="Times New Roman"/>
          <w:sz w:val="22"/>
          <w:szCs w:val="22"/>
          <w:lang w:val="sk-SK"/>
        </w:rPr>
        <w:t xml:space="preserve"> často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sa má podávať podľa odporúčaní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4.2, aby sa znížilo riziko lokálneho podráždenia tkaniva.</w:t>
      </w:r>
    </w:p>
    <w:p w14:paraId="683DCC57" w14:textId="77777777" w:rsidR="005F1949" w:rsidRPr="005725BE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25D504B1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u w:val="single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Pediatrická populácia</w:t>
      </w:r>
    </w:p>
    <w:p w14:paraId="7821C108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41F73BBA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>U detí vo veku 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rokov</w:t>
      </w:r>
      <w:r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menej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neboli vykonané formálne klinické štúdie s 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zamerané na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bezpečnosť, ale zo skúseností s 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, ako prekurzorom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, je celkový bezpečnostný profil liečiva podobný u pacientov v pediatrickej a dospelej populácii.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</w:t>
      </w:r>
      <w:r w:rsidRPr="005725BE">
        <w:rPr>
          <w:rFonts w:ascii="Times New Roman" w:hAnsi="Times New Roman"/>
          <w:sz w:val="22"/>
          <w:szCs w:val="22"/>
          <w:lang w:val="sk-SK"/>
        </w:rPr>
        <w:t>eutropénia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sa vyskytuje častejšie u pediatrických pacientov, avšak medzi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neutropéniou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a infekciami, ako nežiaducimi reakciami u pediatrickej populácie, nie je žiaden súvis.</w:t>
      </w:r>
      <w:r>
        <w:rPr>
          <w:rFonts w:ascii="Times New Roman" w:hAnsi="Times New Roman"/>
          <w:sz w:val="22"/>
          <w:szCs w:val="22"/>
          <w:lang w:val="sk-SK"/>
        </w:rPr>
        <w:t xml:space="preserve"> Vyššie riziko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cytopénií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u novorodencov a dojčiat si vyžaduje pozorné monitorovanie počtu krviniek v týchto vekových skupinách pacientov (pozri časť 4.4).</w:t>
      </w:r>
    </w:p>
    <w:p w14:paraId="44BB3718" w14:textId="77777777" w:rsidR="005F1949" w:rsidRPr="005725BE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5D3D7C78" w14:textId="77777777" w:rsidR="005F1949" w:rsidRPr="005725BE" w:rsidRDefault="005F1949" w:rsidP="005F1949">
      <w:pPr>
        <w:keepNext/>
        <w:keepLines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U novorodencov a dojčiat s HIV/AIDS alebo symptomatickými vrodenými CMV infekciami liečených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sú dostupné len obmedzené údaje, napriek tomu sa zdá, že bezpečnostný profil zodpovedá známemu bezpečnostnému profilu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valgancikloviru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.</w:t>
      </w:r>
    </w:p>
    <w:p w14:paraId="1ADCDEE3" w14:textId="77777777" w:rsidR="005F1949" w:rsidRPr="00A016B0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265F7565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Hlásenie podozrení na nežiaduce reakcie</w:t>
      </w:r>
    </w:p>
    <w:p w14:paraId="37276FBF" w14:textId="77777777" w:rsidR="005F1949" w:rsidRPr="003F358C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</w:t>
      </w:r>
      <w:r>
        <w:rPr>
          <w:rFonts w:ascii="Times New Roman" w:hAnsi="Times New Roman"/>
          <w:sz w:val="22"/>
          <w:szCs w:val="22"/>
          <w:lang w:val="sk-SK"/>
        </w:rPr>
        <w:t xml:space="preserve">reakcie na </w:t>
      </w:r>
      <w:r w:rsidRPr="003F358C">
        <w:rPr>
          <w:rFonts w:ascii="Times New Roman" w:hAnsi="Times New Roman"/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Pr="003F358C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 V</w:t>
        </w:r>
      </w:hyperlink>
      <w:r w:rsidRPr="003F358C">
        <w:rPr>
          <w:rFonts w:ascii="Times New Roman" w:hAnsi="Times New Roman"/>
          <w:sz w:val="22"/>
          <w:szCs w:val="22"/>
          <w:highlight w:val="lightGray"/>
          <w:lang w:val="sk-SK"/>
        </w:rPr>
        <w:t>.</w:t>
      </w:r>
    </w:p>
    <w:p w14:paraId="595F68C6" w14:textId="77777777" w:rsidR="005F1949" w:rsidRPr="002D7A3E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C434A06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4.9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Predávkovanie</w:t>
      </w:r>
    </w:p>
    <w:p w14:paraId="7C7B96B4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C515F05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u w:val="single"/>
          <w:lang w:val="sk-SK" w:eastAsia="ja-JP"/>
        </w:rPr>
        <w:t>Príznaky</w:t>
      </w:r>
    </w:p>
    <w:p w14:paraId="48B6FE62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F49DEF4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Správy o predávkovaní intravenózne podaným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>, niektoré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fatálnym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koncom, sa získali z klinických skúšaní a z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postmarketingových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skúseností. Väčšina prípadov buď nemala súvis so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žiadnou inou nežiaducou reakciou, alebo sa vyskytla s jednou alebo viacerými nežiaducimi reakciami uvedenými nižšie:</w:t>
      </w:r>
    </w:p>
    <w:p w14:paraId="3FFAF8F4" w14:textId="77777777" w:rsidR="005F1949" w:rsidRPr="007419BB" w:rsidRDefault="005F1949" w:rsidP="005F1949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  <w:t xml:space="preserve">Hematologická toxicita: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myelosupresia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vrátane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pancytopénie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zlyhanie 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kostnej drene,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leukopénia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neutropénia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granulocytopénia</w:t>
      </w:r>
      <w:proofErr w:type="spellEnd"/>
    </w:p>
    <w:p w14:paraId="1A2D78F7" w14:textId="77777777" w:rsidR="005F1949" w:rsidRPr="007419BB" w:rsidRDefault="005F1949" w:rsidP="005F1949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Hepatotoxicita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>: hepatitída, porucha funkcie pečene</w:t>
      </w:r>
    </w:p>
    <w:p w14:paraId="5D866AC7" w14:textId="77777777" w:rsidR="005F1949" w:rsidRPr="007419BB" w:rsidRDefault="005F1949" w:rsidP="005F1949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Renálna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toxicita: zhoršenie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hematúrie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u pacientov s už existujúcim ochorením obličiek, akútne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poškodenie 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obličiek, zvýšená hladina kreatinínu</w:t>
      </w:r>
    </w:p>
    <w:p w14:paraId="08BB4656" w14:textId="77777777" w:rsidR="005F1949" w:rsidRPr="007419BB" w:rsidRDefault="005F1949" w:rsidP="005F1949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  <w:t>Gastrointestinálna toxicita: bolesti brucha, hnačka, vracanie</w:t>
      </w:r>
    </w:p>
    <w:p w14:paraId="13861641" w14:textId="77777777" w:rsidR="005F1949" w:rsidRPr="007419BB" w:rsidRDefault="005F1949" w:rsidP="005F1949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Neurotoxicita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: generalizovaný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tremor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r>
        <w:rPr>
          <w:rFonts w:ascii="Times New Roman" w:hAnsi="Times New Roman"/>
          <w:sz w:val="22"/>
          <w:szCs w:val="24"/>
          <w:lang w:val="sk-SK" w:eastAsia="ja-JP"/>
        </w:rPr>
        <w:t>záchvat</w:t>
      </w:r>
    </w:p>
    <w:p w14:paraId="1A107A42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14:paraId="052EE3C3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>
        <w:rPr>
          <w:rFonts w:ascii="Times New Roman" w:hAnsi="Times New Roman"/>
          <w:sz w:val="22"/>
          <w:szCs w:val="24"/>
          <w:u w:val="single"/>
          <w:lang w:val="sk-SK" w:eastAsia="ja-JP"/>
        </w:rPr>
        <w:t>Liečba</w:t>
      </w:r>
    </w:p>
    <w:p w14:paraId="72E462A3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3EA90D43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sa odbúrava hemodialýzou, preto hemodialýza môže pomôcť pri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znižovaní 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expozíci</w:t>
      </w:r>
      <w:r>
        <w:rPr>
          <w:rFonts w:ascii="Times New Roman" w:hAnsi="Times New Roman"/>
          <w:sz w:val="22"/>
          <w:szCs w:val="24"/>
          <w:lang w:val="sk-SK" w:eastAsia="ja-JP"/>
        </w:rPr>
        <w:t>e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lieku u pacientov, u ktorých dôjde k predávkovaniu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5.2).</w:t>
      </w:r>
    </w:p>
    <w:p w14:paraId="766E9B87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0C51823B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u w:val="single"/>
          <w:lang w:val="sk-SK" w:eastAsia="ja-JP"/>
        </w:rPr>
        <w:t>Dodatočné informácie pre osobitné populácie pacientov</w:t>
      </w:r>
    </w:p>
    <w:p w14:paraId="2DFDD266" w14:textId="77777777" w:rsidR="005F1949" w:rsidRPr="00F531D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D7D5909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Porucha funkcie obličiek: predpokladá sa, že predávkovanie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môže u pacientov s poruchou funkcie obličiek spôsobiť zvýšenú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renálnu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toxicitu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4.4).</w:t>
      </w:r>
    </w:p>
    <w:p w14:paraId="4CCDA122" w14:textId="77777777" w:rsidR="005F1949" w:rsidRPr="00F531D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07AB80BA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u w:val="single"/>
          <w:lang w:val="sk-SK" w:eastAsia="ja-JP"/>
        </w:rPr>
        <w:t>Pediatrická populácia</w:t>
      </w:r>
    </w:p>
    <w:p w14:paraId="59761E36" w14:textId="77777777" w:rsidR="005F1949" w:rsidRPr="00F531D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02ABA90D" w14:textId="4AA25568" w:rsidR="005F1949" w:rsidRPr="00F531D2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Nie sú dostupné konkrétne informácie.</w:t>
      </w:r>
    </w:p>
    <w:p w14:paraId="0E81097A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5.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FARMAKOLOGICKÉ VLASTNOSTI</w:t>
      </w:r>
    </w:p>
    <w:p w14:paraId="0755582E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024926F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5.1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AF1AB0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14:paraId="46128F3B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510D9B48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Farmakoterapeutická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 skupina:</w:t>
      </w:r>
      <w:r w:rsidRPr="00EF592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2"/>
          <w:lang w:val="sk-SK"/>
        </w:rPr>
        <w:t>antivirotiká</w:t>
      </w:r>
      <w:proofErr w:type="spellEnd"/>
      <w:r w:rsidRPr="00EF5929">
        <w:rPr>
          <w:rFonts w:ascii="Times New Roman" w:hAnsi="Times New Roman"/>
          <w:sz w:val="22"/>
          <w:szCs w:val="22"/>
          <w:lang w:val="sk-SK"/>
        </w:rPr>
        <w:t xml:space="preserve"> na systémové použitie, priamo pôsobiace </w:t>
      </w:r>
      <w:proofErr w:type="spellStart"/>
      <w:r w:rsidRPr="00EF5929">
        <w:rPr>
          <w:rFonts w:ascii="Times New Roman" w:hAnsi="Times New Roman"/>
          <w:sz w:val="22"/>
          <w:szCs w:val="22"/>
          <w:lang w:val="sk-SK"/>
        </w:rPr>
        <w:t>antivirotiká</w:t>
      </w:r>
      <w:proofErr w:type="spellEnd"/>
      <w:r w:rsidRPr="00EF592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F5929">
        <w:rPr>
          <w:rFonts w:ascii="Times New Roman" w:hAnsi="Times New Roman"/>
          <w:sz w:val="22"/>
          <w:szCs w:val="22"/>
          <w:lang w:val="sk-SK"/>
        </w:rPr>
        <w:t>nukleozidy</w:t>
      </w:r>
      <w:proofErr w:type="spellEnd"/>
      <w:r w:rsidRPr="00EF592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EF5929">
        <w:rPr>
          <w:rFonts w:ascii="Times New Roman" w:hAnsi="Times New Roman"/>
          <w:sz w:val="22"/>
          <w:szCs w:val="22"/>
          <w:lang w:val="sk-SK"/>
        </w:rPr>
        <w:t>nukleotidy</w:t>
      </w:r>
      <w:proofErr w:type="spellEnd"/>
      <w:r w:rsidRPr="00EF5929">
        <w:rPr>
          <w:rFonts w:ascii="Times New Roman" w:hAnsi="Times New Roman"/>
          <w:sz w:val="22"/>
          <w:szCs w:val="22"/>
          <w:lang w:val="sk-SK"/>
        </w:rPr>
        <w:t xml:space="preserve"> s výnimkou inhibítorov reverznej </w:t>
      </w:r>
      <w:proofErr w:type="spellStart"/>
      <w:r w:rsidRPr="00EF5929">
        <w:rPr>
          <w:rFonts w:ascii="Times New Roman" w:hAnsi="Times New Roman"/>
          <w:sz w:val="22"/>
          <w:szCs w:val="22"/>
          <w:lang w:val="sk-SK"/>
        </w:rPr>
        <w:t>transkriptázy</w:t>
      </w:r>
      <w:proofErr w:type="spellEnd"/>
      <w:r w:rsidRPr="00EF5929">
        <w:rPr>
          <w:rFonts w:ascii="Times New Roman" w:hAnsi="Times New Roman"/>
          <w:sz w:val="22"/>
          <w:szCs w:val="22"/>
          <w:lang w:val="sk-SK"/>
        </w:rPr>
        <w:t>,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F1AB0">
        <w:rPr>
          <w:rFonts w:ascii="Times New Roman" w:hAnsi="Times New Roman"/>
          <w:sz w:val="22"/>
          <w:szCs w:val="22"/>
          <w:lang w:val="sk-SK"/>
        </w:rPr>
        <w:t>ATC k</w:t>
      </w:r>
      <w:r>
        <w:rPr>
          <w:rFonts w:ascii="Times New Roman" w:hAnsi="Times New Roman"/>
          <w:sz w:val="22"/>
          <w:szCs w:val="22"/>
          <w:lang w:val="sk-SK"/>
        </w:rPr>
        <w:t>ód</w:t>
      </w:r>
      <w:r w:rsidRPr="00AF1AB0">
        <w:rPr>
          <w:rFonts w:ascii="Times New Roman" w:hAnsi="Times New Roman"/>
          <w:sz w:val="22"/>
          <w:szCs w:val="22"/>
          <w:lang w:val="sk-SK"/>
        </w:rPr>
        <w:t>: J05AB06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120AF2A0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90A92F4" w14:textId="77777777" w:rsidR="005F1949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 w:rsidRPr="00167927"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14:paraId="35B488A3" w14:textId="77777777" w:rsidR="005F1949" w:rsidRPr="00AF1AB0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14:paraId="69EAA191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 je syntetický </w:t>
      </w: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analóg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guanínu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, ktorý </w:t>
      </w: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inhibuje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 replikáciu herpetických vírusov </w:t>
      </w:r>
      <w:r w:rsidRPr="00AF1AB0">
        <w:rPr>
          <w:rFonts w:ascii="Times New Roman" w:hAnsi="Times New Roman"/>
          <w:i/>
          <w:sz w:val="22"/>
          <w:szCs w:val="22"/>
          <w:lang w:val="sk-SK"/>
        </w:rPr>
        <w:t>in</w:t>
      </w:r>
      <w:r>
        <w:rPr>
          <w:rFonts w:ascii="Times New Roman" w:hAnsi="Times New Roman"/>
          <w:i/>
          <w:sz w:val="22"/>
          <w:szCs w:val="22"/>
          <w:lang w:val="sk-SK"/>
        </w:rPr>
        <w:t> </w:t>
      </w:r>
      <w:r w:rsidRPr="00AF1AB0">
        <w:rPr>
          <w:rFonts w:ascii="Times New Roman" w:hAnsi="Times New Roman"/>
          <w:i/>
          <w:sz w:val="22"/>
          <w:szCs w:val="22"/>
          <w:lang w:val="sk-SK"/>
        </w:rPr>
        <w:t>vitro</w:t>
      </w:r>
      <w:r w:rsidRPr="00AF1AB0">
        <w:rPr>
          <w:rFonts w:ascii="Times New Roman" w:hAnsi="Times New Roman"/>
          <w:sz w:val="22"/>
          <w:szCs w:val="22"/>
          <w:lang w:val="sk-SK"/>
        </w:rPr>
        <w:t xml:space="preserve"> aj </w:t>
      </w:r>
      <w:r w:rsidRPr="00AF1AB0">
        <w:rPr>
          <w:rFonts w:ascii="Times New Roman" w:hAnsi="Times New Roman"/>
          <w:i/>
          <w:sz w:val="22"/>
          <w:szCs w:val="22"/>
          <w:lang w:val="sk-SK"/>
        </w:rPr>
        <w:t>in</w:t>
      </w:r>
      <w:r w:rsidRPr="00AF1AB0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AF1AB0">
        <w:rPr>
          <w:rFonts w:ascii="Times New Roman" w:hAnsi="Times New Roman"/>
          <w:i/>
          <w:sz w:val="22"/>
          <w:szCs w:val="22"/>
          <w:lang w:val="sk-SK"/>
        </w:rPr>
        <w:t>vivo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Z humánnych vírusov sú na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citlivé ľudský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cytomegalovírus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(HCMV), vírus herpes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simplex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typu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2 (HSV1 a HSV2), ľudský vírus herpes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simplex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typu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6,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7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a 8 (HHV6, HHV7, HHV8 ),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Epsteinov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Barrovej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vírus (EBV), vírus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varicella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zoster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(VZV) a vírus hepatitídy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B. Klinické štúdie vyhodnot</w:t>
      </w:r>
      <w:r>
        <w:rPr>
          <w:rFonts w:ascii="Times New Roman" w:hAnsi="Times New Roman"/>
          <w:sz w:val="22"/>
          <w:szCs w:val="24"/>
          <w:lang w:val="sk-SK" w:eastAsia="ja-JP"/>
        </w:rPr>
        <w:t>ili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účinnos</w:t>
      </w:r>
      <w:r>
        <w:rPr>
          <w:rFonts w:ascii="Times New Roman" w:hAnsi="Times New Roman"/>
          <w:sz w:val="22"/>
          <w:szCs w:val="24"/>
          <w:lang w:val="sk-SK" w:eastAsia="ja-JP"/>
        </w:rPr>
        <w:t>ť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lieku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len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proti CMV infekciám</w:t>
      </w:r>
      <w:r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69451509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1A44E08D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CMV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infikovaných bunkách sa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najskôr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fosforyluje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vírusovou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proteínkinázou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pUL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97 na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monofosfát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. Účinkom niekoľkých bunkových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kináz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dochádza k ďalšej fosforylácii, čo vedie ku vzniku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trifosfátu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, ktorý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sa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následne pomaly intracelulárne metabolizuje. Preukázalo sa to v bunkách infikovaných vírusmi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HSV s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 biologickým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polčasom 18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hodín a vírusmi CMV s 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biologickým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polčasom 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24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hodín, po odstránení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extracelulárneho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. Keďže fosforylácia je vo veľkej miere závislá od vírusovej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kinázy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fosforylácia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prebieha väčšinou v bunkách infikovaných vírusom.</w:t>
      </w:r>
    </w:p>
    <w:p w14:paraId="5F673260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Virostatická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aktivita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spočíva v inhibícii syntézy vírusovej DNA a to: (1)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kompetitívnou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inhibíciou včlenenia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deoxyguanozín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trifosfátu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do DNA, DNA polymerázou a (2) včlenením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trifosfátu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do vírusovej DNA, čím sa spôsobí prerušenie alebo sa veľmi obmedzí predĺženie vírusovej DNA.</w:t>
      </w:r>
    </w:p>
    <w:p w14:paraId="15046CB6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65CB41CE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Antivírusová aktivita</w:t>
      </w:r>
    </w:p>
    <w:p w14:paraId="41A864D0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4304565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Antivírusová aktivita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/>
          <w:sz w:val="22"/>
          <w:szCs w:val="24"/>
          <w:lang w:val="sk-SK" w:eastAsia="ja-JP"/>
        </w:rPr>
        <w:t>in</w:t>
      </w:r>
      <w:r>
        <w:rPr>
          <w:rFonts w:ascii="Times New Roman" w:hAnsi="Times New Roman"/>
          <w:i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/>
          <w:sz w:val="22"/>
          <w:szCs w:val="24"/>
          <w:lang w:val="sk-SK" w:eastAsia="ja-JP"/>
        </w:rPr>
        <w:t>vitro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voči CMV meraná IC50 sa pohybuje v rozmedzí 0,08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mol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(0,02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g/ml) až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mol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(3,57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g/ml).</w:t>
      </w:r>
    </w:p>
    <w:p w14:paraId="7AE3189E" w14:textId="77777777" w:rsidR="005F1949" w:rsidRPr="00EF5929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14:paraId="75345903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u w:val="single"/>
          <w:lang w:val="sk-SK" w:eastAsia="ja-JP"/>
        </w:rPr>
        <w:t>Klinická účinnosť a bezpečnosť</w:t>
      </w:r>
    </w:p>
    <w:p w14:paraId="7447AC6A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14:paraId="7CAE6719" w14:textId="77777777" w:rsidR="005F1949" w:rsidRPr="00EF5929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i/>
          <w:sz w:val="22"/>
          <w:szCs w:val="24"/>
          <w:lang w:val="sk-SK" w:eastAsia="ja-JP"/>
        </w:rPr>
        <w:t>Vírusová rezistencia</w:t>
      </w:r>
    </w:p>
    <w:p w14:paraId="49B62F61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6D447B78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Pravdepodobnosť vírusovej rezistencie sa má zvážiť u pacientov, ktorí opakovane dosiahli slabú klinickú odpoveď na liečbu, alebo u nich počas liečby pretrvávala kontinuálna vírusová exkrécia.</w:t>
      </w:r>
    </w:p>
    <w:p w14:paraId="7741A59F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C7BCEDB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Vírusová rezistencia na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môže vzniknúť selekciou mutácií v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géne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vírusovej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kináz</w:t>
      </w:r>
      <w:r>
        <w:rPr>
          <w:rFonts w:ascii="Times New Roman" w:hAnsi="Times New Roman"/>
          <w:sz w:val="22"/>
          <w:szCs w:val="24"/>
          <w:lang w:val="sk-SK" w:eastAsia="ja-JP"/>
        </w:rPr>
        <w:t>y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(UL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97) zodpovedn</w:t>
      </w:r>
      <w:r>
        <w:rPr>
          <w:rFonts w:ascii="Times New Roman" w:hAnsi="Times New Roman"/>
          <w:sz w:val="22"/>
          <w:szCs w:val="24"/>
          <w:lang w:val="sk-SK" w:eastAsia="ja-JP"/>
        </w:rPr>
        <w:t>ej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za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monofosforyláciu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a/alebo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géne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vírusov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ej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po</w:t>
      </w:r>
      <w:r>
        <w:rPr>
          <w:rFonts w:ascii="Times New Roman" w:hAnsi="Times New Roman"/>
          <w:sz w:val="22"/>
          <w:szCs w:val="24"/>
          <w:lang w:val="sk-SK" w:eastAsia="ja-JP"/>
        </w:rPr>
        <w:t>l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y</w:t>
      </w:r>
      <w:r>
        <w:rPr>
          <w:rFonts w:ascii="Times New Roman" w:hAnsi="Times New Roman"/>
          <w:sz w:val="22"/>
          <w:szCs w:val="24"/>
          <w:lang w:val="sk-SK" w:eastAsia="ja-JP"/>
        </w:rPr>
        <w:t>m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eráz</w:t>
      </w:r>
      <w:r>
        <w:rPr>
          <w:rFonts w:ascii="Times New Roman" w:hAnsi="Times New Roman"/>
          <w:sz w:val="22"/>
          <w:szCs w:val="24"/>
          <w:lang w:val="sk-SK" w:eastAsia="ja-JP"/>
        </w:rPr>
        <w:t>y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54). Vírusy obsahujúce mutácie v géne 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97 sú rezistentné na samotný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>, kým vírusy s mutáciou v géne 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54 sú rezistentné na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>, avšak môžu preukázať skríženú rezistenciu aj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na iné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antivirotiká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>, ktorých miestom účinku je tiež vírusová po</w:t>
      </w:r>
      <w:r>
        <w:rPr>
          <w:rFonts w:ascii="Times New Roman" w:hAnsi="Times New Roman"/>
          <w:sz w:val="22"/>
          <w:szCs w:val="24"/>
          <w:lang w:val="sk-SK" w:eastAsia="ja-JP"/>
        </w:rPr>
        <w:t>l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y</w:t>
      </w:r>
      <w:r>
        <w:rPr>
          <w:rFonts w:ascii="Times New Roman" w:hAnsi="Times New Roman"/>
          <w:sz w:val="22"/>
          <w:szCs w:val="24"/>
          <w:lang w:val="sk-SK" w:eastAsia="ja-JP"/>
        </w:rPr>
        <w:t>m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eráza.</w:t>
      </w:r>
    </w:p>
    <w:p w14:paraId="24BB7869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4707073F" w14:textId="77777777" w:rsidR="005F1949" w:rsidRPr="00EF5929" w:rsidRDefault="005F1949" w:rsidP="005F1949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u w:val="single"/>
          <w:lang w:val="sk-SK" w:eastAsia="ja-JP"/>
        </w:rPr>
        <w:t>Pediatrická populácia</w:t>
      </w:r>
    </w:p>
    <w:p w14:paraId="73ADD114" w14:textId="77777777" w:rsidR="005F1949" w:rsidRPr="00EF5929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14:paraId="6E3ADA42" w14:textId="77777777" w:rsidR="005F1949" w:rsidRPr="00EF5929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 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prospektívnej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štúdii</w:t>
      </w:r>
      <w:r>
        <w:rPr>
          <w:rFonts w:ascii="Times New Roman" w:hAnsi="Times New Roman"/>
          <w:sz w:val="22"/>
          <w:szCs w:val="24"/>
          <w:lang w:val="sk-SK" w:eastAsia="ja-JP"/>
        </w:rPr>
        <w:t>,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36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závažne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imunokompromitovaných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pediatrických pacientov (vo veku 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mesiacov až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rokov) s infekciou HIV a CMV dostávalo intravenózne podaný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 dávke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mg/kg denne počas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dní a následne perorálne podávaný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 priemere počas 32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týždňov.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bol účinný s profilom toxicity podobným ako u dospelých.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sa spájal s poklesom detekcie CMV kultiváciou alebo pri použití polymerázovej reťazovej reakcie.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Neutropénia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bola jediná závažná nežiaduca reakcia pozorovaná v priebehu štúdie a napriek tomu, že u žiadneho dieťaťa nebolo nutné ukončiť liečbu, 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prípadoch bola nasadená liečba rastovým faktorom stimulujúcim kolónie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granulocytov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(G-CSF), aby sa udržal absolútny počet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neutrofilov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väčší </w:t>
      </w:r>
      <w:r w:rsidRPr="00EF5929">
        <w:rPr>
          <w:rFonts w:ascii="Times New Roman" w:eastAsia="Arial Unicode MS" w:hAnsi="Times New Roman" w:cs="Arial"/>
          <w:iCs/>
          <w:sz w:val="22"/>
          <w:szCs w:val="24"/>
          <w:lang w:val="sk-SK" w:eastAsia="ja-JP"/>
        </w:rPr>
        <w:t xml:space="preserve">ako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400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buniek/mm</w:t>
      </w:r>
      <w:r w:rsidRPr="00EF5929">
        <w:rPr>
          <w:rFonts w:ascii="Times New Roman" w:hAnsi="Times New Roman"/>
          <w:sz w:val="22"/>
          <w:szCs w:val="24"/>
          <w:vertAlign w:val="superscript"/>
          <w:lang w:val="sk-SK" w:eastAsia="ja-JP"/>
        </w:rPr>
        <w:t>3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62D408B1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B5E4BBC" w14:textId="77777777" w:rsidR="005F1949" w:rsidRPr="00EF5929" w:rsidRDefault="005F1949" w:rsidP="005F1949">
      <w:pPr>
        <w:rPr>
          <w:rFonts w:ascii="Times New Roman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 retrospektívnej štúdii dostávalo 122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pediatrických príjemcov transplantovanej pečene (vo veku 16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dní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rokov, priemerný vek 2,5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roka) minimálne počas 14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dní intravenózne podaný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mg/kg dvakrát denne s následným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preemptívnym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PCR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CMV monitoringom. 43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pacientov bolo považovaných za vysokorizikových z hľadiska rizika vzniku CMV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infekcie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79 sa považovalo riziko za bežné. Asymptomatická CMV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infekcia bola dete</w:t>
      </w:r>
      <w:r>
        <w:rPr>
          <w:rFonts w:ascii="Times New Roman" w:hAnsi="Times New Roman"/>
          <w:sz w:val="22"/>
          <w:szCs w:val="24"/>
          <w:lang w:val="sk-SK" w:eastAsia="ja-JP"/>
        </w:rPr>
        <w:t>g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ovaná pomocou PCR u 34,4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% pacientov a jej výskyt bol pravdepodobnejší u vysokorizikových príjemcov, ako u príjemcov s bežným rizikom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(58,1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voči 21,8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%, p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 0,0001). U dvanástich pacientov (9,8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%) sa vyvinulo ochorenie CMV (u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vysokorizikových voči 4 s bežným rizikom, 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0,03). U troch pacientov sa vyvinula akútna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rejekcia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do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mesiacov od detekcie CMV, 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ale </w:t>
      </w:r>
      <w:proofErr w:type="spellStart"/>
      <w:r>
        <w:rPr>
          <w:rFonts w:ascii="Times New Roman" w:hAnsi="Times New Roman"/>
          <w:iCs/>
          <w:sz w:val="22"/>
          <w:szCs w:val="24"/>
          <w:lang w:val="sk-SK" w:eastAsia="ja-JP"/>
        </w:rPr>
        <w:t>rejekcia</w:t>
      </w:r>
      <w:proofErr w:type="spellEnd"/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predchádzala CMV infekciu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pacientov. Smrť ako sekundárny následok CMV sa nevyskytla. Celkovo 38,5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pacientov nedostalo antivírusovú medikáciu po ich iniciálnej pooperačnej profylaxii.</w:t>
      </w:r>
    </w:p>
    <w:p w14:paraId="6B8C588A" w14:textId="77777777" w:rsidR="005F1949" w:rsidRPr="00EF5929" w:rsidRDefault="005F1949" w:rsidP="005F1949">
      <w:pPr>
        <w:rPr>
          <w:rFonts w:ascii="Times New Roman" w:hAnsi="Times New Roman"/>
          <w:iCs/>
          <w:sz w:val="22"/>
          <w:szCs w:val="24"/>
          <w:lang w:val="sk-SK" w:eastAsia="ja-JP"/>
        </w:rPr>
      </w:pPr>
    </w:p>
    <w:p w14:paraId="022DA00C" w14:textId="77777777" w:rsidR="005F1949" w:rsidRPr="00EF5929" w:rsidRDefault="005F1949" w:rsidP="005F1949">
      <w:pPr>
        <w:rPr>
          <w:rFonts w:ascii="Times New Roman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V retrospektívnej analýze sa porovnávala bezpečnosť a účinnosť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v porovnaní s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valganciklovirom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92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pediatrických pacientov s transplantáciou obličky a/alebo pečene (vo veku 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mesiacov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rokov, medián veku 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rokov). Všetky deti dostávali intravenózne podaný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dávke 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mg/kg dvakrát denne počas dvoch týždňov po transplantácii. </w:t>
      </w:r>
      <w:r w:rsidRPr="00B700AF">
        <w:rPr>
          <w:rFonts w:ascii="Times New Roman" w:hAnsi="Times New Roman"/>
          <w:iCs/>
          <w:sz w:val="22"/>
          <w:szCs w:val="24"/>
          <w:lang w:val="sk-SK" w:eastAsia="ja-JP"/>
        </w:rPr>
        <w:t xml:space="preserve">Deti liečené pred rokom 2004 dostali následne perorálne podaný </w:t>
      </w:r>
      <w:proofErr w:type="spellStart"/>
      <w:r w:rsidRPr="00B700AF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B700AF">
        <w:rPr>
          <w:rFonts w:ascii="Times New Roman" w:hAnsi="Times New Roman"/>
          <w:iCs/>
          <w:sz w:val="22"/>
          <w:szCs w:val="24"/>
          <w:lang w:val="sk-SK" w:eastAsia="ja-JP"/>
        </w:rPr>
        <w:t xml:space="preserve"> trikrát denne v dávke 30 mg/kg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až do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g/dávku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(n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41), kým deti liečené po roku 2004 dostávali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valganciklovir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raz denne v dávke až do 900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mg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(n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51). Celková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incidencia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CMV bola 16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(15/92 pacientov). Čas do prepuknutia CMV infekcie bol porovnateľný v oboch skupinách.</w:t>
      </w:r>
    </w:p>
    <w:p w14:paraId="2B618DDB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588BC574" w14:textId="77777777" w:rsidR="005F1949" w:rsidRPr="00EF5929" w:rsidRDefault="005F1949" w:rsidP="005F1949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 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randomizovanej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, kontrolovanej štúdii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dostávalo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novorodencov (vek menej ako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mesiac) so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symptomatickým vrodeným CMV ochorením s komplikáciami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CNS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týždňov intravenózne podaný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v dávke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mg/kg každých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hodín alebo žiadnu liečbu. Zo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zaradených pacientov splnilo kritériá štúdie 42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pacientov a na začiatku štúdie 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mesiacoch sa vykonalo u nich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audiometrické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hodnotenie. 25 z nich dostávalo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nedostávalo žiadnu liečbu. Po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mesiacoch v porovnaní so stavom na začiatku štúdie sa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dvadsaťjeden z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25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pacientov, ktorí dostali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, sluch zlepšil alebo zostal v norme,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porovnaní s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pacientmi zo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17 v kontrolnej skupine (84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a 59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%, v uvedenom poradí, 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0,06).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žiadneho z pacientov, ktorým bol podaný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sa neobjavilo zhoršenie sluchu od začiatku štúdie do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mesiacov, v porovnaní so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pacientmi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kontrolnej skupine (p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sym w:font="Symbol" w:char="F03C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0,01). Do jedného roka od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začiatku štúdie sa objavilo u 5/24 pacientov dostávajúcich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a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13/19 pacientov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kontrolnej skupine zhoršenie sluchu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sym w:font="Symbol" w:char="F03C"/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0,01). V priebehu štúdie sa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29/46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pacientov dostávajúcich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vyskytla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neutropénia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 v porovnaní s 9/43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pacientov v kontrolnej skupine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sym w:font="Symbol" w:char="F03C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0,1). V priebehu štúdie nastala smrť 9x, z toho 3x v skupine s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ganciklovirom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a 6x v kontrolnej skupine. Žiadna smrť nesúvisela so študijnou liečbou.</w:t>
      </w:r>
    </w:p>
    <w:p w14:paraId="0522DB25" w14:textId="77777777" w:rsidR="005F1949" w:rsidRPr="00EF5929" w:rsidRDefault="005F1949" w:rsidP="005F1949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</w:p>
    <w:p w14:paraId="253DD26A" w14:textId="77777777" w:rsidR="005F1949" w:rsidRPr="00EF5929" w:rsidRDefault="005F1949" w:rsidP="005F1949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V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randomizovanej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 kontrolovanej štúdii III.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fázy dostávalo 100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novorodencov (vo veku 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33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dní, medián veku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dní) so závažným symptomatickým vrodeným CMV ochorením s komplikáciami 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v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CNS buď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intravenózne v dávke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dvakrát denne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týždňov (n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48) alebo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žiadnu antivírusovú liečbu (n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52). Dojčatá, ktoré dostávali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 mali zlepšené výsledky z hľadiska neurologického vývinu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mesiacoch, v porovnaní s tými, ktoré nedostávali antivírusovú liečbu. Hoci pacienti, ktorí dostávali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mali menšie oneskorenie 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neurologické výsledky bližšie k normálnym hodnotám, väčšina z nich bola stále pod hodnotami, ktoré zodpovedajú normálnemu vývoju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týždňoch,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mesiacoch alebo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mesiacoch veku. Bezpečnosť v štúdii nebola hodnotená.</w:t>
      </w:r>
    </w:p>
    <w:p w14:paraId="4FBDFA48" w14:textId="77777777" w:rsidR="005F1949" w:rsidRPr="00EF5929" w:rsidRDefault="005F1949" w:rsidP="005F1949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</w:p>
    <w:p w14:paraId="46378AD3" w14:textId="77777777" w:rsidR="005F1949" w:rsidRPr="00EF5929" w:rsidRDefault="005F1949" w:rsidP="005F1949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V retrospektívnej štúdii sa skúmal účinok antivírusovej liečby na neskorý nástup zhoršenia sluchu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dojčiat s vrodenou CMV infekciou (vo veku 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34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mesiacov, priemerný vek 10,3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±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7,8 mesiac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a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 medián veku 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mesiacov). V štúdii bolo zaradených 21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dojčiat s normálnym sluchom pri narodení,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ktorých sa vyvinul oneskorený nástup zhoršenia sluchu. Antivírusová liečba pozostávala buď z:</w:t>
      </w:r>
    </w:p>
    <w:p w14:paraId="5BD5A55B" w14:textId="77777777" w:rsidR="005F1949" w:rsidRPr="00EF5929" w:rsidRDefault="005F1949" w:rsidP="005F1949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- intravenózne podaného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jedenkrát denne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týždňov nasledovaná perorálnym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valganciklovirom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v dávke 17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dvakrát denne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týždňov a následne jedenkrát denne až do veku 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roka, alebo</w:t>
      </w:r>
    </w:p>
    <w:p w14:paraId="2E3572B2" w14:textId="77777777" w:rsidR="005F1949" w:rsidRPr="00EF5929" w:rsidRDefault="005F1949" w:rsidP="005F1949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- perorálne podaného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valgancikloviru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17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dvakrát denne počas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týždňov a následne jedenkrát denne počas 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mesiacov.</w:t>
      </w:r>
    </w:p>
    <w:p w14:paraId="537DD9F3" w14:textId="77777777" w:rsidR="005F1949" w:rsidRPr="00EF5929" w:rsidRDefault="005F1949" w:rsidP="005F1949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</w:p>
    <w:p w14:paraId="1E1F1D77" w14:textId="77777777" w:rsidR="005F1949" w:rsidRDefault="005F1949" w:rsidP="005F1949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U nikoho z detí nebol nutný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kochleárny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implantát, zhoršenie sluchu sa zlepšilo u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83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% detí postihnutých zhoršením sluchu pri zaradení do štúdie.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Neutropénia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bola jediný hlásený vedľajší účinok, u žiadneho pacienta nebolo nutné prerušiť liečbu.</w:t>
      </w:r>
    </w:p>
    <w:p w14:paraId="2ABA1E12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41206916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5.2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AF1AB0"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14:paraId="136C54F3" w14:textId="77777777" w:rsidR="005F1949" w:rsidRPr="00AF1AB0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3E03AD98" w14:textId="77777777" w:rsidR="005F1949" w:rsidRPr="00D327B4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 xml:space="preserve">Systémová expozícia </w:t>
      </w:r>
      <w:r w:rsidRPr="00C34264">
        <w:rPr>
          <w:rFonts w:ascii="Times New Roman" w:hAnsi="Times New Roman"/>
          <w:iCs/>
          <w:sz w:val="22"/>
          <w:szCs w:val="24"/>
          <w:lang w:val="sk-SK" w:eastAsia="ja-JP"/>
        </w:rPr>
        <w:t>(AUC</w:t>
      </w:r>
      <w:r w:rsidRPr="00C3426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0-</w:t>
      </w:r>
      <w:r w:rsidRPr="00C34264">
        <w:rPr>
          <w:rFonts w:ascii="Times New Roman" w:hAnsi="Times New Roman"/>
          <w:sz w:val="22"/>
          <w:szCs w:val="24"/>
          <w:vertAlign w:val="subscript"/>
          <w:lang w:val="sk-SK" w:eastAsia="ja-JP"/>
        </w:rPr>
        <w:t>∞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) hlásená po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jednorazovom podaní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i.v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. infúzie trvajúcej hodinu, v </w:t>
      </w:r>
      <w:r w:rsidRPr="0058282F">
        <w:rPr>
          <w:rFonts w:ascii="Times New Roman" w:hAnsi="Times New Roman"/>
          <w:sz w:val="22"/>
          <w:szCs w:val="24"/>
          <w:lang w:val="sk-SK" w:eastAsia="ja-JP"/>
        </w:rPr>
        <w:t>dávke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5mg/kg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u dospelých pacientov s transplantovanou pečeňou bola v priemere </w:t>
      </w:r>
      <w:r w:rsidRPr="00A00120">
        <w:rPr>
          <w:rFonts w:ascii="Times New Roman" w:hAnsi="Times New Roman"/>
          <w:sz w:val="22"/>
          <w:szCs w:val="24"/>
          <w:lang w:val="sk-SK" w:eastAsia="ja-JP"/>
        </w:rPr>
        <w:t>50,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6 </w:t>
      </w:r>
      <w:r w:rsidRPr="00A00120">
        <w:rPr>
          <w:rFonts w:ascii="Times New Roman" w:hAnsi="Times New Roman"/>
          <w:sz w:val="22"/>
          <w:szCs w:val="24"/>
          <w:lang w:val="sk-SK" w:eastAsia="ja-JP"/>
        </w:rPr>
        <w:t>µ</w:t>
      </w:r>
      <w:proofErr w:type="spellStart"/>
      <w:r w:rsidRPr="00A00120">
        <w:rPr>
          <w:rFonts w:ascii="Times New Roman" w:hAnsi="Times New Roman"/>
          <w:sz w:val="22"/>
          <w:szCs w:val="24"/>
          <w:lang w:val="sk-SK" w:eastAsia="ja-JP"/>
        </w:rPr>
        <w:t>g.h</w:t>
      </w:r>
      <w:proofErr w:type="spellEnd"/>
      <w:r w:rsidRPr="00A00120">
        <w:rPr>
          <w:rFonts w:ascii="Times New Roman" w:hAnsi="Times New Roman"/>
          <w:sz w:val="22"/>
          <w:szCs w:val="24"/>
          <w:lang w:val="sk-SK" w:eastAsia="ja-JP"/>
        </w:rPr>
        <w:t>/ml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 (CV% 40).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V tejto populácii pacientov bola maximálna priemerná plazmatická koncentrácia 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>(</w:t>
      </w:r>
      <w:proofErr w:type="spellStart"/>
      <w:r w:rsidRPr="00C34264">
        <w:rPr>
          <w:rFonts w:ascii="Times New Roman" w:hAnsi="Times New Roman"/>
          <w:sz w:val="22"/>
          <w:szCs w:val="24"/>
          <w:lang w:val="sk-SK" w:eastAsia="ja-JP"/>
        </w:rPr>
        <w:t>C</w:t>
      </w:r>
      <w:r w:rsidRPr="00C34264">
        <w:rPr>
          <w:rFonts w:ascii="Times New Roman" w:hAnsi="Times New Roman"/>
          <w:sz w:val="22"/>
          <w:szCs w:val="24"/>
          <w:vertAlign w:val="subscript"/>
          <w:lang w:val="sk-SK" w:eastAsia="ja-JP"/>
        </w:rPr>
        <w:t>max</w:t>
      </w:r>
      <w:proofErr w:type="spellEnd"/>
      <w:r w:rsidRPr="00C34264">
        <w:rPr>
          <w:rFonts w:ascii="Times New Roman" w:hAnsi="Times New Roman"/>
          <w:sz w:val="22"/>
          <w:szCs w:val="24"/>
          <w:lang w:val="sk-SK" w:eastAsia="ja-JP"/>
        </w:rPr>
        <w:t>)</w:t>
      </w:r>
      <w:r w:rsidRPr="003C07FD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>12,</w:t>
      </w:r>
      <w:r w:rsidRPr="00954526">
        <w:rPr>
          <w:rFonts w:ascii="Times New Roman" w:hAnsi="Times New Roman"/>
          <w:sz w:val="22"/>
          <w:szCs w:val="24"/>
          <w:lang w:val="sk-SK" w:eastAsia="ja-JP"/>
        </w:rPr>
        <w:t>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954526">
        <w:rPr>
          <w:rFonts w:ascii="Times New Roman" w:hAnsi="Times New Roman"/>
          <w:sz w:val="22"/>
          <w:szCs w:val="24"/>
          <w:lang w:val="sk-SK" w:eastAsia="ja-JP"/>
        </w:rPr>
        <w:t>µg/ml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 (CV% 24).</w:t>
      </w:r>
    </w:p>
    <w:p w14:paraId="2E27665A" w14:textId="77777777" w:rsidR="005F1949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14:paraId="388E6522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Distribúcia:</w:t>
      </w:r>
    </w:p>
    <w:p w14:paraId="49CAAC68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F44F090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Distribučný objem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 intravenóznom podaní koreluje s telesnou hmotnosťou. Distribučný objem v rovnovážnom stave je v rozmedzí 0,54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0,87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l/kg. Väzba na plazmatické bielkoviny je 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% pri koncentrácii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0,5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51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t>µ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g/ml.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prechádza do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mozgovo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miešneho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moku, kde boli pozorované koncentrácie dosahujúce 24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67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 plazmatickej koncentrácie.</w:t>
      </w:r>
    </w:p>
    <w:p w14:paraId="12CDBBE7" w14:textId="77777777" w:rsidR="005F1949" w:rsidRPr="00D327B4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14:paraId="79AE3C7F" w14:textId="77777777" w:rsidR="005F1949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proofErr w:type="spellStart"/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Biotransformácia</w:t>
      </w:r>
      <w:proofErr w:type="spellEnd"/>
    </w:p>
    <w:p w14:paraId="2C53BB17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33D2B03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sa vo významnejšej miere nemetabolizuje.</w:t>
      </w:r>
    </w:p>
    <w:p w14:paraId="7CA7DAC4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4E8098BF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Eliminácia</w:t>
      </w:r>
    </w:p>
    <w:p w14:paraId="3670C7DB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1FAFE8B0" w14:textId="77777777" w:rsidR="005F1949" w:rsidRPr="00D327B4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sa eliminuje prevažne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renálnou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exkréciou pomocou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glomerulárnej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filtrácie a aktívnej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tubulárnej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sekrécie nezmeneného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>. U pacientov s normálnou funkciou obličiek sa viac ako 90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% intravenózne podaného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vylúči močom v nezmenenej forme do 24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hodín.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Priemerný systémový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 podaní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sa pohybuje v rozmedzí 2,64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sym w:font="Symbol" w:char="F0B1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0,38 ml/min/kg (n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15) až 4,52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sym w:font="Symbol" w:char="F0B1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2,79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ml/min/kg (</w:t>
      </w:r>
      <w:r>
        <w:rPr>
          <w:rFonts w:ascii="Times New Roman" w:hAnsi="Times New Roman"/>
          <w:sz w:val="22"/>
          <w:szCs w:val="24"/>
          <w:lang w:val="sk-SK" w:eastAsia="ja-JP"/>
        </w:rPr>
        <w:t>N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6),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renálny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sa pohybuje v rozmedzí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2,57 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0,69 ml/min/kg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15) až 3,48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0,68 ml/min/kg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20), čo zodpovedá 90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101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% podaného </w:t>
      </w:r>
      <w:proofErr w:type="spellStart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.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Polčasy u pacientov bez poruchy funkcie obličiek sa pohybovali v rozmedzí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2,73 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1,29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6) až 3,98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1,78 hodín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8).</w:t>
      </w:r>
    </w:p>
    <w:p w14:paraId="3A7E7065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14:paraId="1FAA9EF9" w14:textId="77777777" w:rsidR="005F1949" w:rsidRPr="00D327B4" w:rsidRDefault="005F1949" w:rsidP="005F1949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proofErr w:type="spellStart"/>
      <w:r w:rsidRPr="00351FF2">
        <w:rPr>
          <w:rFonts w:ascii="Times New Roman" w:hAnsi="Times New Roman"/>
          <w:sz w:val="22"/>
          <w:szCs w:val="24"/>
          <w:u w:val="single"/>
          <w:lang w:val="sk-SK" w:eastAsia="ja-JP"/>
        </w:rPr>
        <w:t>Linearita</w:t>
      </w:r>
      <w:proofErr w:type="spellEnd"/>
      <w:r w:rsidRPr="00351FF2">
        <w:rPr>
          <w:rFonts w:ascii="Times New Roman" w:hAnsi="Times New Roman"/>
          <w:sz w:val="22"/>
          <w:szCs w:val="24"/>
          <w:u w:val="single"/>
          <w:lang w:val="sk-SK" w:eastAsia="ja-JP"/>
        </w:rPr>
        <w:t>/</w:t>
      </w:r>
      <w:proofErr w:type="spellStart"/>
      <w:r w:rsidRPr="00351FF2">
        <w:rPr>
          <w:rFonts w:ascii="Times New Roman" w:hAnsi="Times New Roman"/>
          <w:sz w:val="22"/>
          <w:szCs w:val="24"/>
          <w:u w:val="single"/>
          <w:lang w:val="sk-SK" w:eastAsia="ja-JP"/>
        </w:rPr>
        <w:t>nelinearita</w:t>
      </w:r>
      <w:proofErr w:type="spellEnd"/>
    </w:p>
    <w:p w14:paraId="6FA1667C" w14:textId="77777777" w:rsidR="005F1949" w:rsidRPr="00D327B4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14:paraId="1DE58D73" w14:textId="77777777" w:rsidR="005F1949" w:rsidRPr="00D327B4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Intravenózne podaný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preukazuje lineárnu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farmakokinetiku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v rozmedzí 1,6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5,0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mg/kg.</w:t>
      </w:r>
    </w:p>
    <w:p w14:paraId="0A70258F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0B5D9BF2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Pacienti s poruchou funkcie obličiek</w:t>
      </w:r>
    </w:p>
    <w:p w14:paraId="213440D9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6CA88591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bookmarkStart w:id="9" w:name="_Hlk493596899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Celkový </w:t>
      </w:r>
      <w:r>
        <w:rPr>
          <w:rFonts w:ascii="Times New Roman" w:hAnsi="Times New Roman"/>
          <w:sz w:val="22"/>
          <w:szCs w:val="24"/>
          <w:lang w:val="sk-SK" w:eastAsia="ja-JP"/>
        </w:rPr>
        <w:t>telový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ko</w:t>
      </w:r>
      <w:r>
        <w:rPr>
          <w:rFonts w:ascii="Times New Roman" w:hAnsi="Times New Roman"/>
          <w:sz w:val="22"/>
          <w:szCs w:val="24"/>
          <w:lang w:val="sk-SK" w:eastAsia="ja-JP"/>
        </w:rPr>
        <w:t>rel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uje lineárne s 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klírensom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kreatinínu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>. U pacientov s miern</w:t>
      </w:r>
      <w:r>
        <w:rPr>
          <w:rFonts w:ascii="Times New Roman" w:hAnsi="Times New Roman"/>
          <w:sz w:val="22"/>
          <w:szCs w:val="24"/>
          <w:lang w:val="sk-SK" w:eastAsia="ja-JP"/>
        </w:rPr>
        <w:t>ou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, stredne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ťažkou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a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 ťažkou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</w:t>
      </w:r>
      <w:r>
        <w:rPr>
          <w:rFonts w:ascii="Times New Roman" w:hAnsi="Times New Roman"/>
          <w:sz w:val="22"/>
          <w:szCs w:val="24"/>
          <w:lang w:val="sk-SK" w:eastAsia="ja-JP"/>
        </w:rPr>
        <w:t>ruchou funkcie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obličiek bol pozorovaný priemerný systémový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2,1;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a 0,3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ml/min./kg. Pacienti s poruchou funkcie obličiek majú dlhší polčas eliminácie</w:t>
      </w:r>
      <w:r>
        <w:rPr>
          <w:rFonts w:ascii="Times New Roman" w:hAnsi="Times New Roman"/>
          <w:sz w:val="22"/>
          <w:szCs w:val="24"/>
          <w:lang w:val="sk-SK" w:eastAsia="ja-JP"/>
        </w:rPr>
        <w:t>. U pacientov s ťažkou poruchou funkcie obličiek sa polčas eliminácie predĺžil 10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násobne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bookmarkEnd w:id="9"/>
      <w:r w:rsidRPr="00D327B4">
        <w:rPr>
          <w:rFonts w:ascii="Times New Roman" w:hAnsi="Times New Roman"/>
          <w:sz w:val="22"/>
          <w:szCs w:val="24"/>
          <w:lang w:val="sk-SK" w:eastAsia="ja-JP"/>
        </w:rPr>
        <w:t>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4.2. pre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úpravu dávky </w:t>
      </w:r>
      <w:r>
        <w:rPr>
          <w:rFonts w:ascii="Times New Roman" w:hAnsi="Times New Roman"/>
          <w:sz w:val="22"/>
          <w:szCs w:val="24"/>
          <w:lang w:val="sk-SK" w:eastAsia="ja-JP"/>
        </w:rPr>
        <w:t>u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paciento</w:t>
      </w:r>
      <w:r>
        <w:rPr>
          <w:rFonts w:ascii="Times New Roman" w:hAnsi="Times New Roman"/>
          <w:sz w:val="22"/>
          <w:szCs w:val="24"/>
          <w:lang w:val="sk-SK" w:eastAsia="ja-JP"/>
        </w:rPr>
        <w:t>v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 poruchou funkcie obličiek).</w:t>
      </w:r>
    </w:p>
    <w:p w14:paraId="1819097C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138D8CA0" w14:textId="77777777" w:rsidR="005F1949" w:rsidRPr="00D327B4" w:rsidRDefault="005F1949" w:rsidP="005F1949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Pacienti s poruchou funkcie obličiek podstupujúci hemodialýzu</w:t>
      </w:r>
    </w:p>
    <w:p w14:paraId="3858A0E7" w14:textId="77777777" w:rsidR="005F1949" w:rsidRPr="00D327B4" w:rsidRDefault="005F1949" w:rsidP="005F1949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14:paraId="3B21A266" w14:textId="77777777" w:rsidR="005F1949" w:rsidRPr="00D327B4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Hemodialýza redukuje plazmatickú koncentráciu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približne 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50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 po jeho intravenóznom podaní počas 4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hodinovej hemodialýzy.</w:t>
      </w:r>
    </w:p>
    <w:p w14:paraId="145FECCA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Počas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intermitentnej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hemodialýzy sa odhaduje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v rozmedzí od 42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92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ml/min,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dialyzačným polčasom 3,3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4,5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hod</w:t>
      </w:r>
      <w:r>
        <w:rPr>
          <w:rFonts w:ascii="Times New Roman" w:hAnsi="Times New Roman"/>
          <w:sz w:val="22"/>
          <w:szCs w:val="24"/>
          <w:lang w:val="sk-SK" w:eastAsia="ja-JP"/>
        </w:rPr>
        <w:t>i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n</w:t>
      </w:r>
      <w:r>
        <w:rPr>
          <w:rFonts w:ascii="Times New Roman" w:hAnsi="Times New Roman"/>
          <w:sz w:val="22"/>
          <w:szCs w:val="24"/>
          <w:lang w:val="sk-SK" w:eastAsia="ja-JP"/>
        </w:rPr>
        <w:t>y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. Frakcia odobratého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počas jednej dialýzy sa pohybovala medzi 50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sz w:val="22"/>
          <w:szCs w:val="24"/>
          <w:lang w:val="sk-SK" w:eastAsia="ja-JP"/>
        </w:rPr>
        <w:t> až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63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%. Odhady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pri kontinuálnej dialýze boli nižšie (4,0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29,6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ml/min), avšak vyústili do väčšej eliminácie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počas intervalu dávky.</w:t>
      </w:r>
    </w:p>
    <w:p w14:paraId="3F0BAAAB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3D9F3F2F" w14:textId="77777777" w:rsidR="005F1949" w:rsidRPr="00D92492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bookmarkStart w:id="10" w:name="_Hlk493596924"/>
      <w:r w:rsidRPr="00D92492">
        <w:rPr>
          <w:rFonts w:ascii="Times New Roman" w:hAnsi="Times New Roman"/>
          <w:sz w:val="22"/>
          <w:szCs w:val="24"/>
          <w:u w:val="single"/>
          <w:lang w:val="sk-SK" w:eastAsia="ja-JP"/>
        </w:rPr>
        <w:t>Pacienti s poruchou funkcie pečene</w:t>
      </w:r>
    </w:p>
    <w:p w14:paraId="2147B87B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577D0852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D92492">
        <w:rPr>
          <w:rFonts w:ascii="Times New Roman" w:hAnsi="Times New Roman"/>
          <w:sz w:val="22"/>
          <w:szCs w:val="24"/>
          <w:lang w:val="sk-SK" w:eastAsia="ja-JP"/>
        </w:rPr>
        <w:t xml:space="preserve">Bezpečnosť a účinnosť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sa neskúmali </w:t>
      </w:r>
      <w:r w:rsidRPr="00D92492">
        <w:rPr>
          <w:rFonts w:ascii="Times New Roman" w:hAnsi="Times New Roman"/>
          <w:sz w:val="22"/>
          <w:szCs w:val="24"/>
          <w:lang w:val="sk-SK" w:eastAsia="ja-JP"/>
        </w:rPr>
        <w:t xml:space="preserve">u pacientov s poruchou funkcie pečene. Porucha funkcie pečene by nemala ovplyvniť </w:t>
      </w:r>
      <w:proofErr w:type="spellStart"/>
      <w:r w:rsidRPr="00D92492">
        <w:rPr>
          <w:rFonts w:ascii="Times New Roman" w:hAnsi="Times New Roman"/>
          <w:sz w:val="22"/>
          <w:szCs w:val="24"/>
          <w:lang w:val="sk-SK" w:eastAsia="ja-JP"/>
        </w:rPr>
        <w:t>farmakokinetiku</w:t>
      </w:r>
      <w:proofErr w:type="spellEnd"/>
      <w:r w:rsidRPr="00D92492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92492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92492">
        <w:rPr>
          <w:rFonts w:ascii="Times New Roman" w:hAnsi="Times New Roman"/>
          <w:sz w:val="22"/>
          <w:szCs w:val="24"/>
          <w:lang w:val="sk-SK" w:eastAsia="ja-JP"/>
        </w:rPr>
        <w:t>, pretože sa vylučuje obličkami,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92492">
        <w:rPr>
          <w:rFonts w:ascii="Times New Roman" w:hAnsi="Times New Roman"/>
          <w:sz w:val="22"/>
          <w:szCs w:val="24"/>
          <w:lang w:val="sk-SK" w:eastAsia="ja-JP"/>
        </w:rPr>
        <w:t>preto nie je uvedené žiadne špecifické odporúčanie na dávkovanie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(pozri časť 4.2).</w:t>
      </w:r>
    </w:p>
    <w:bookmarkEnd w:id="10"/>
    <w:p w14:paraId="72B5101F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7386967" w14:textId="77777777" w:rsidR="005F1949" w:rsidRPr="00D327B4" w:rsidRDefault="005F1949" w:rsidP="005F1949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Pediatrická populácia</w:t>
      </w:r>
    </w:p>
    <w:p w14:paraId="3A305CE0" w14:textId="77777777" w:rsidR="005F1949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14:paraId="6C67C9A6" w14:textId="77777777" w:rsidR="005F1949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F</w:t>
      </w:r>
      <w:r>
        <w:rPr>
          <w:rFonts w:ascii="Times New Roman" w:hAnsi="Times New Roman"/>
          <w:sz w:val="22"/>
          <w:szCs w:val="24"/>
          <w:lang w:val="sk-SK" w:eastAsia="ja-JP"/>
        </w:rPr>
        <w:t>armakokinetika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intravenózne podáva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ného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(v dávke 200 mg/m</w:t>
      </w:r>
      <w:r w:rsidRPr="00C34264">
        <w:rPr>
          <w:rFonts w:ascii="Times New Roman" w:hAnsi="Times New Roman"/>
          <w:sz w:val="22"/>
          <w:szCs w:val="24"/>
          <w:vertAlign w:val="superscript"/>
          <w:lang w:val="sk-SK" w:eastAsia="ja-JP"/>
        </w:rPr>
        <w:t>2</w:t>
      </w:r>
      <w:r>
        <w:rPr>
          <w:rFonts w:ascii="Times New Roman" w:hAnsi="Times New Roman"/>
          <w:sz w:val="22"/>
          <w:szCs w:val="24"/>
          <w:lang w:val="sk-SK" w:eastAsia="ja-JP"/>
        </w:rPr>
        <w:t>) bola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skúma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ná v dvoch štúdiách u pediatrických pacientov s transplantáciou pečene (n=18) a obličiek (n=25) vo veku 3 mesiace až 16 rokov a hodnotená pomocou populačných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farmakokinetických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modelov.</w:t>
      </w:r>
    </w:p>
    <w:p w14:paraId="64AFE20F" w14:textId="77777777" w:rsidR="005F1949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kreatinínu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(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CrCL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) bol stanovený za štatisticky významnú </w:t>
      </w:r>
      <w:r w:rsidRPr="008242C8">
        <w:rPr>
          <w:rFonts w:ascii="Times New Roman" w:hAnsi="Times New Roman"/>
          <w:sz w:val="22"/>
          <w:szCs w:val="24"/>
          <w:lang w:val="sk-SK" w:eastAsia="ja-JP"/>
        </w:rPr>
        <w:t xml:space="preserve">premennú </w:t>
      </w:r>
      <w:proofErr w:type="spellStart"/>
      <w:r w:rsidRPr="008242C8">
        <w:rPr>
          <w:rFonts w:ascii="Times New Roman" w:hAnsi="Times New Roman"/>
          <w:sz w:val="22"/>
          <w:szCs w:val="24"/>
          <w:lang w:val="sk-SK" w:eastAsia="ja-JP"/>
        </w:rPr>
        <w:t>klírensu</w:t>
      </w:r>
      <w:proofErr w:type="spellEnd"/>
      <w:r w:rsidRPr="008242C8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8242C8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8242C8">
        <w:rPr>
          <w:rFonts w:ascii="Times New Roman" w:hAnsi="Times New Roman"/>
          <w:sz w:val="22"/>
          <w:szCs w:val="24"/>
          <w:lang w:val="sk-SK" w:eastAsia="ja-JP"/>
        </w:rPr>
        <w:t xml:space="preserve"> a výška pacienta bola stanovená za štatisticky významnú premennú </w:t>
      </w:r>
      <w:proofErr w:type="spellStart"/>
      <w:r w:rsidRPr="008242C8">
        <w:rPr>
          <w:rFonts w:ascii="Times New Roman" w:hAnsi="Times New Roman"/>
          <w:sz w:val="22"/>
          <w:szCs w:val="24"/>
          <w:lang w:val="sk-SK" w:eastAsia="ja-JP"/>
        </w:rPr>
        <w:t>klí</w:t>
      </w:r>
      <w:r>
        <w:rPr>
          <w:rFonts w:ascii="Times New Roman" w:hAnsi="Times New Roman"/>
          <w:sz w:val="22"/>
          <w:szCs w:val="24"/>
          <w:lang w:val="sk-SK" w:eastAsia="ja-JP"/>
        </w:rPr>
        <w:t>rensu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distribučného objemu v rovnovážnom stave a objemu periférnej distribúcie. Keď boli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CrCL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a výška súčasťou modelu, boli im pripisované zjavné rozdiely vo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farmakokinetike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v rôznych vekových skupinách, a  ani vek, pohlavie,</w:t>
      </w:r>
      <w:r w:rsidRPr="0025115B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ani typ transplantovaného orgánu neboli významnou </w:t>
      </w:r>
      <w:r w:rsidRPr="008242C8">
        <w:rPr>
          <w:rFonts w:ascii="Times New Roman" w:hAnsi="Times New Roman"/>
          <w:sz w:val="22"/>
          <w:szCs w:val="24"/>
          <w:lang w:val="sk-SK" w:eastAsia="ja-JP"/>
        </w:rPr>
        <w:t>premennou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v týchto populáciách pacientov. Tabuľka 1 uvádza odhadované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farmakokinetické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parametre podľa vekových skupín pacientov.</w:t>
      </w:r>
    </w:p>
    <w:p w14:paraId="4A8043EC" w14:textId="74FC4276" w:rsidR="005F1949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14:paraId="3A970E83" w14:textId="77777777" w:rsidR="008525C4" w:rsidRDefault="008525C4">
      <w:pPr>
        <w:spacing w:after="200" w:line="276" w:lineRule="auto"/>
        <w:rPr>
          <w:rFonts w:ascii="Times New Roman" w:hAnsi="Times New Roman"/>
          <w:b/>
          <w:sz w:val="22"/>
          <w:szCs w:val="24"/>
          <w:lang w:val="sk-SK" w:eastAsia="ja-JP"/>
        </w:rPr>
      </w:pPr>
      <w:r>
        <w:rPr>
          <w:rFonts w:ascii="Times New Roman" w:hAnsi="Times New Roman"/>
          <w:b/>
          <w:sz w:val="22"/>
          <w:szCs w:val="24"/>
          <w:lang w:val="sk-SK" w:eastAsia="ja-JP"/>
        </w:rPr>
        <w:br w:type="page"/>
      </w:r>
    </w:p>
    <w:p w14:paraId="35BA92D8" w14:textId="6667E3B2" w:rsidR="005F1949" w:rsidRDefault="005F1949" w:rsidP="005F1949">
      <w:pPr>
        <w:keepNext/>
        <w:keepLines/>
        <w:rPr>
          <w:rFonts w:ascii="Times New Roman" w:hAnsi="Times New Roman"/>
          <w:b/>
          <w:sz w:val="22"/>
          <w:szCs w:val="24"/>
          <w:lang w:val="sk-SK" w:eastAsia="ja-JP"/>
        </w:rPr>
      </w:pPr>
      <w:r w:rsidRPr="00C34264">
        <w:rPr>
          <w:rFonts w:ascii="Times New Roman" w:hAnsi="Times New Roman"/>
          <w:b/>
          <w:sz w:val="22"/>
          <w:szCs w:val="24"/>
          <w:lang w:val="sk-SK" w:eastAsia="ja-JP"/>
        </w:rPr>
        <w:t>Tabuľka 1</w:t>
      </w:r>
      <w:r>
        <w:rPr>
          <w:rFonts w:ascii="Times New Roman" w:hAnsi="Times New Roman"/>
          <w:b/>
          <w:sz w:val="22"/>
          <w:szCs w:val="24"/>
          <w:lang w:val="sk-SK" w:eastAsia="ja-JP"/>
        </w:rPr>
        <w:t xml:space="preserve">  </w:t>
      </w:r>
      <w:proofErr w:type="spellStart"/>
      <w:r>
        <w:rPr>
          <w:rFonts w:ascii="Times New Roman" w:hAnsi="Times New Roman"/>
          <w:b/>
          <w:sz w:val="22"/>
          <w:szCs w:val="24"/>
          <w:lang w:val="sk-SK" w:eastAsia="ja-JP"/>
        </w:rPr>
        <w:t>Farmakokinetické</w:t>
      </w:r>
      <w:proofErr w:type="spellEnd"/>
      <w:r>
        <w:rPr>
          <w:rFonts w:ascii="Times New Roman" w:hAnsi="Times New Roman"/>
          <w:b/>
          <w:sz w:val="22"/>
          <w:szCs w:val="24"/>
          <w:lang w:val="sk-SK" w:eastAsia="ja-JP"/>
        </w:rPr>
        <w:t xml:space="preserve"> parametre po </w:t>
      </w:r>
      <w:proofErr w:type="spellStart"/>
      <w:r>
        <w:rPr>
          <w:rFonts w:ascii="Times New Roman" w:hAnsi="Times New Roman"/>
          <w:b/>
          <w:sz w:val="22"/>
          <w:szCs w:val="24"/>
          <w:lang w:val="sk-SK" w:eastAsia="ja-JP"/>
        </w:rPr>
        <w:t>i.v</w:t>
      </w:r>
      <w:proofErr w:type="spellEnd"/>
      <w:r>
        <w:rPr>
          <w:rFonts w:ascii="Times New Roman" w:hAnsi="Times New Roman"/>
          <w:b/>
          <w:sz w:val="22"/>
          <w:szCs w:val="24"/>
          <w:lang w:val="sk-SK" w:eastAsia="ja-JP"/>
        </w:rPr>
        <w:t xml:space="preserve">. podaní </w:t>
      </w:r>
      <w:proofErr w:type="spellStart"/>
      <w:r>
        <w:rPr>
          <w:rFonts w:ascii="Times New Roman" w:hAnsi="Times New Roman"/>
          <w:b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b/>
          <w:sz w:val="22"/>
          <w:szCs w:val="24"/>
          <w:lang w:val="sk-SK" w:eastAsia="ja-JP"/>
        </w:rPr>
        <w:t xml:space="preserve"> podľa BSA (200mg/m</w:t>
      </w:r>
      <w:r w:rsidRPr="00C34264">
        <w:rPr>
          <w:rFonts w:ascii="Times New Roman" w:hAnsi="Times New Roman"/>
          <w:b/>
          <w:sz w:val="22"/>
          <w:szCs w:val="24"/>
          <w:vertAlign w:val="superscript"/>
          <w:lang w:val="sk-SK" w:eastAsia="ja-JP"/>
        </w:rPr>
        <w:t>2</w:t>
      </w:r>
      <w:r>
        <w:rPr>
          <w:rFonts w:ascii="Times New Roman" w:hAnsi="Times New Roman"/>
          <w:b/>
          <w:sz w:val="22"/>
          <w:szCs w:val="24"/>
          <w:lang w:val="sk-SK" w:eastAsia="ja-JP"/>
        </w:rPr>
        <w:t>) u pacientov s transplantáciou solídnych orgánov obličiek a pečene, vyjadrené mediánom (minimum- maximum).</w:t>
      </w:r>
    </w:p>
    <w:p w14:paraId="49FCA355" w14:textId="77777777" w:rsidR="008525C4" w:rsidRPr="00B20996" w:rsidRDefault="008525C4" w:rsidP="00B20996">
      <w:pPr>
        <w:rPr>
          <w:lang w:val="sk-SK"/>
        </w:rPr>
      </w:pPr>
    </w:p>
    <w:tbl>
      <w:tblPr>
        <w:tblW w:w="9147" w:type="dxa"/>
        <w:tblInd w:w="5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6"/>
        <w:gridCol w:w="2340"/>
        <w:gridCol w:w="2340"/>
        <w:gridCol w:w="2341"/>
      </w:tblGrid>
      <w:tr w:rsidR="005F1949" w:rsidRPr="00073932" w14:paraId="1CE02D68" w14:textId="77777777" w:rsidTr="006D29F6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EB9910" w14:textId="77777777" w:rsidR="005F1949" w:rsidRPr="00402E19" w:rsidRDefault="005F1949" w:rsidP="006D29F6">
            <w:pPr>
              <w:pStyle w:val="TableCell10Left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5BB807" w14:textId="77777777" w:rsidR="005F1949" w:rsidRPr="00F2713F" w:rsidRDefault="005F1949" w:rsidP="006D29F6">
            <w:pPr>
              <w:pStyle w:val="TableCell10Center"/>
              <w:rPr>
                <w:rFonts w:ascii="Times New Roman" w:hAnsi="Times New Roman"/>
                <w:sz w:val="22"/>
                <w:lang w:val="sk-SK"/>
              </w:rPr>
            </w:pPr>
            <w:r w:rsidRPr="00AD1612">
              <w:rPr>
                <w:rFonts w:ascii="Times New Roman" w:hAnsi="Times New Roman"/>
                <w:sz w:val="22"/>
              </w:rPr>
              <w:t xml:space="preserve">&lt; 6 </w:t>
            </w:r>
            <w:r>
              <w:rPr>
                <w:rFonts w:ascii="Times New Roman" w:hAnsi="Times New Roman"/>
                <w:sz w:val="22"/>
                <w:lang w:val="sk-SK"/>
              </w:rPr>
              <w:t>rokov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AFCDBD" w14:textId="77777777" w:rsidR="005F1949" w:rsidRPr="00F2713F" w:rsidRDefault="005F1949" w:rsidP="006D29F6">
            <w:pPr>
              <w:pStyle w:val="TableCell10Center"/>
              <w:rPr>
                <w:rFonts w:ascii="Times New Roman" w:hAnsi="Times New Roman"/>
                <w:sz w:val="22"/>
                <w:lang w:val="sk-SK"/>
              </w:rPr>
            </w:pPr>
            <w:r w:rsidRPr="00AD1612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až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menej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ako</w:t>
            </w:r>
            <w:r w:rsidRPr="00AD1612">
              <w:rPr>
                <w:rFonts w:ascii="Times New Roman" w:hAnsi="Times New Roman"/>
                <w:sz w:val="22"/>
              </w:rPr>
              <w:t xml:space="preserve">12 </w:t>
            </w:r>
            <w:r>
              <w:rPr>
                <w:rFonts w:ascii="Times New Roman" w:hAnsi="Times New Roman"/>
                <w:sz w:val="22"/>
                <w:lang w:val="sk-SK"/>
              </w:rPr>
              <w:t>rokov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CCC2" w14:textId="77777777" w:rsidR="005F1949" w:rsidRPr="00F2713F" w:rsidRDefault="005F1949" w:rsidP="006D29F6">
            <w:pPr>
              <w:pStyle w:val="TableCell10Center"/>
              <w:rPr>
                <w:rFonts w:ascii="Times New Roman" w:hAnsi="Times New Roman"/>
                <w:sz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lang w:val="sk-SK"/>
              </w:rPr>
              <w:t>12</w:t>
            </w:r>
            <w:r>
              <w:rPr>
                <w:rFonts w:ascii="Times New Roman" w:hAnsi="Times New Roman"/>
                <w:sz w:val="22"/>
                <w:lang w:val="sk-SK"/>
              </w:rPr>
              <w:t xml:space="preserve"> rokov</w:t>
            </w:r>
            <w:r w:rsidRPr="00C34264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k-SK"/>
              </w:rPr>
              <w:t xml:space="preserve">až menej ako </w:t>
            </w:r>
            <w:r w:rsidRPr="00C34264">
              <w:rPr>
                <w:rFonts w:ascii="Times New Roman" w:hAnsi="Times New Roman"/>
                <w:sz w:val="22"/>
                <w:lang w:val="sk-SK"/>
              </w:rPr>
              <w:t xml:space="preserve">16 </w:t>
            </w:r>
            <w:r>
              <w:rPr>
                <w:rFonts w:ascii="Times New Roman" w:hAnsi="Times New Roman"/>
                <w:sz w:val="22"/>
                <w:lang w:val="sk-SK"/>
              </w:rPr>
              <w:t>rokov</w:t>
            </w:r>
          </w:p>
        </w:tc>
      </w:tr>
      <w:tr w:rsidR="005F1949" w14:paraId="61ED114A" w14:textId="77777777" w:rsidTr="006D29F6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3ABD3B" w14:textId="77777777" w:rsidR="005F1949" w:rsidRPr="00402E19" w:rsidRDefault="005F1949" w:rsidP="006D29F6">
            <w:pPr>
              <w:pStyle w:val="TableCell10Left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B7A6117" w14:textId="77777777" w:rsidR="005F1949" w:rsidRPr="00AD1612" w:rsidRDefault="005F1949" w:rsidP="006D29F6">
            <w:pPr>
              <w:pStyle w:val="TableCell10Center"/>
              <w:rPr>
                <w:rFonts w:ascii="Times New Roman" w:hAnsi="Times New Roman"/>
                <w:sz w:val="22"/>
              </w:rPr>
            </w:pPr>
            <w:r w:rsidRPr="00AD1612">
              <w:rPr>
                <w:rFonts w:ascii="Times New Roman" w:hAnsi="Times New Roman"/>
                <w:sz w:val="22"/>
              </w:rPr>
              <w:t>n=17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0EB9555" w14:textId="77777777" w:rsidR="005F1949" w:rsidRPr="00AD1612" w:rsidRDefault="005F1949" w:rsidP="006D29F6">
            <w:pPr>
              <w:pStyle w:val="TableCell10Center"/>
              <w:rPr>
                <w:rFonts w:ascii="Times New Roman" w:hAnsi="Times New Roman"/>
                <w:sz w:val="22"/>
              </w:rPr>
            </w:pPr>
            <w:r w:rsidRPr="00AD1612">
              <w:rPr>
                <w:rFonts w:ascii="Times New Roman" w:hAnsi="Times New Roman"/>
                <w:sz w:val="22"/>
              </w:rPr>
              <w:t>n=9</w:t>
            </w:r>
          </w:p>
        </w:tc>
        <w:tc>
          <w:tcPr>
            <w:tcW w:w="2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CCBFF5" w14:textId="77777777" w:rsidR="005F1949" w:rsidRPr="00AD1612" w:rsidRDefault="005F1949" w:rsidP="006D29F6">
            <w:pPr>
              <w:pStyle w:val="TableCell10Center"/>
              <w:rPr>
                <w:rFonts w:ascii="Times New Roman" w:hAnsi="Times New Roman"/>
                <w:sz w:val="22"/>
              </w:rPr>
            </w:pPr>
            <w:r w:rsidRPr="00AD1612">
              <w:rPr>
                <w:rFonts w:ascii="Times New Roman" w:hAnsi="Times New Roman"/>
                <w:sz w:val="22"/>
              </w:rPr>
              <w:t>n=17</w:t>
            </w:r>
          </w:p>
        </w:tc>
      </w:tr>
      <w:tr w:rsidR="005F1949" w14:paraId="42990A34" w14:textId="77777777" w:rsidTr="006D29F6">
        <w:trPr>
          <w:cantSplit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5EBD2450" w14:textId="77777777" w:rsidR="005F1949" w:rsidRPr="00AD1612" w:rsidRDefault="005F1949" w:rsidP="006D29F6">
            <w:pPr>
              <w:pStyle w:val="TableCell10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CL(l</w:t>
            </w:r>
            <w:r w:rsidRPr="00AD1612">
              <w:rPr>
                <w:rFonts w:ascii="Times New Roman" w:hAnsi="Times New Roman"/>
                <w:sz w:val="22"/>
              </w:rPr>
              <w:t>/h)</w:t>
            </w:r>
          </w:p>
        </w:tc>
        <w:tc>
          <w:tcPr>
            <w:tcW w:w="2340" w:type="dxa"/>
            <w:shd w:val="clear" w:color="auto" w:fill="auto"/>
          </w:tcPr>
          <w:p w14:paraId="19270880" w14:textId="77777777" w:rsidR="005F1949" w:rsidRPr="00AD1612" w:rsidRDefault="005F1949" w:rsidP="006D29F6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4,23 (2,11-7,</w:t>
            </w:r>
            <w:r w:rsidRPr="00AD1612">
              <w:rPr>
                <w:rFonts w:ascii="Times New Roman" w:hAnsi="Times New Roman"/>
                <w:sz w:val="22"/>
              </w:rPr>
              <w:t>92)</w:t>
            </w:r>
          </w:p>
        </w:tc>
        <w:tc>
          <w:tcPr>
            <w:tcW w:w="2340" w:type="dxa"/>
            <w:shd w:val="clear" w:color="auto" w:fill="auto"/>
          </w:tcPr>
          <w:p w14:paraId="097DDE82" w14:textId="77777777" w:rsidR="005F1949" w:rsidRPr="00AD1612" w:rsidRDefault="005F1949" w:rsidP="006D29F6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4,03 (1,88-7,</w:t>
            </w:r>
            <w:r w:rsidRPr="00AD1612">
              <w:rPr>
                <w:rFonts w:ascii="Times New Roman" w:hAnsi="Times New Roman"/>
                <w:sz w:val="22"/>
              </w:rPr>
              <w:t>8)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shd w:val="clear" w:color="auto" w:fill="auto"/>
          </w:tcPr>
          <w:p w14:paraId="3CCDEA0F" w14:textId="77777777" w:rsidR="005F1949" w:rsidRPr="00AD1612" w:rsidRDefault="005F1949" w:rsidP="006D29F6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7,53 (2,89-16,</w:t>
            </w:r>
            <w:r w:rsidRPr="00AD1612">
              <w:rPr>
                <w:rFonts w:ascii="Times New Roman" w:hAnsi="Times New Roman"/>
                <w:sz w:val="22"/>
              </w:rPr>
              <w:t>8)</w:t>
            </w:r>
          </w:p>
        </w:tc>
      </w:tr>
      <w:tr w:rsidR="005F1949" w14:paraId="505CF9D8" w14:textId="77777777" w:rsidTr="006D29F6">
        <w:trPr>
          <w:cantSplit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0429550C" w14:textId="77777777" w:rsidR="005F1949" w:rsidRPr="00AD1612" w:rsidRDefault="005F1949" w:rsidP="006D29F6">
            <w:pPr>
              <w:pStyle w:val="TableCell10Left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Vcent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(l</w:t>
            </w:r>
            <w:r w:rsidRPr="00AD1612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14:paraId="40B04CE8" w14:textId="77777777" w:rsidR="005F1949" w:rsidRPr="00AD1612" w:rsidRDefault="005F1949" w:rsidP="006D29F6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1,83 (0,45-5,</w:t>
            </w:r>
            <w:r w:rsidRPr="00AD1612">
              <w:rPr>
                <w:rFonts w:ascii="Times New Roman" w:hAnsi="Times New Roman"/>
                <w:sz w:val="22"/>
              </w:rPr>
              <w:t>05)</w:t>
            </w:r>
          </w:p>
        </w:tc>
        <w:tc>
          <w:tcPr>
            <w:tcW w:w="2340" w:type="dxa"/>
            <w:shd w:val="clear" w:color="auto" w:fill="auto"/>
          </w:tcPr>
          <w:p w14:paraId="468325D1" w14:textId="77777777" w:rsidR="005F1949" w:rsidRPr="00AD1612" w:rsidRDefault="005F1949" w:rsidP="006D29F6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6,48 (3,34-9,</w:t>
            </w:r>
            <w:r w:rsidRPr="00AD1612">
              <w:rPr>
                <w:rFonts w:ascii="Times New Roman" w:hAnsi="Times New Roman"/>
                <w:sz w:val="22"/>
              </w:rPr>
              <w:t>95)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shd w:val="clear" w:color="auto" w:fill="auto"/>
          </w:tcPr>
          <w:p w14:paraId="304E8BFB" w14:textId="77777777" w:rsidR="005F1949" w:rsidRPr="00AD1612" w:rsidRDefault="005F1949" w:rsidP="006D29F6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12,1 (3,6-18,</w:t>
            </w:r>
            <w:r w:rsidRPr="00AD1612">
              <w:rPr>
                <w:rFonts w:ascii="Times New Roman" w:hAnsi="Times New Roman"/>
                <w:sz w:val="22"/>
              </w:rPr>
              <w:t>4)</w:t>
            </w:r>
          </w:p>
        </w:tc>
      </w:tr>
      <w:tr w:rsidR="005F1949" w14:paraId="328B74CA" w14:textId="77777777" w:rsidTr="006D29F6">
        <w:trPr>
          <w:cantSplit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19E9AF42" w14:textId="77777777" w:rsidR="005F1949" w:rsidRPr="00AD1612" w:rsidRDefault="005F1949" w:rsidP="006D29F6">
            <w:pPr>
              <w:pStyle w:val="TableCell10Left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Vperiph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(l</w:t>
            </w:r>
            <w:r w:rsidRPr="00AD1612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14:paraId="34F53E02" w14:textId="77777777" w:rsidR="005F1949" w:rsidRPr="00AD1612" w:rsidRDefault="005F1949" w:rsidP="006D29F6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5,81 (2,9-11,</w:t>
            </w:r>
            <w:r w:rsidRPr="00AD1612">
              <w:rPr>
                <w:rFonts w:ascii="Times New Roman" w:hAnsi="Times New Roman"/>
                <w:sz w:val="22"/>
              </w:rPr>
              <w:t>5)</w:t>
            </w:r>
          </w:p>
        </w:tc>
        <w:tc>
          <w:tcPr>
            <w:tcW w:w="2340" w:type="dxa"/>
            <w:shd w:val="clear" w:color="auto" w:fill="auto"/>
          </w:tcPr>
          <w:p w14:paraId="3F58B40F" w14:textId="77777777" w:rsidR="005F1949" w:rsidRPr="00AD1612" w:rsidRDefault="005F1949" w:rsidP="006D29F6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16,4 (11,3-20,</w:t>
            </w:r>
            <w:r w:rsidRPr="00AD1612">
              <w:rPr>
                <w:rFonts w:ascii="Times New Roman" w:hAnsi="Times New Roman"/>
                <w:sz w:val="22"/>
              </w:rPr>
              <w:t>1)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shd w:val="clear" w:color="auto" w:fill="auto"/>
          </w:tcPr>
          <w:p w14:paraId="49007B6A" w14:textId="77777777" w:rsidR="005F1949" w:rsidRPr="00AD1612" w:rsidRDefault="005F1949" w:rsidP="006D29F6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 (10,6-39,</w:t>
            </w:r>
            <w:r w:rsidRPr="00AD1612">
              <w:rPr>
                <w:rFonts w:ascii="Times New Roman" w:hAnsi="Times New Roman"/>
                <w:sz w:val="22"/>
              </w:rPr>
              <w:t>3)</w:t>
            </w:r>
          </w:p>
        </w:tc>
      </w:tr>
      <w:tr w:rsidR="005F1949" w14:paraId="3C22699B" w14:textId="77777777" w:rsidTr="006D29F6">
        <w:trPr>
          <w:cantSplit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C36B6" w14:textId="77777777" w:rsidR="005F1949" w:rsidRPr="004A30C1" w:rsidRDefault="005F1949" w:rsidP="006D29F6">
            <w:pPr>
              <w:pStyle w:val="TableCell10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Vss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(l</w:t>
            </w:r>
            <w:r w:rsidRPr="004A30C1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E9BA8FB" w14:textId="77777777" w:rsidR="005F1949" w:rsidRPr="004A30C1" w:rsidRDefault="005F1949" w:rsidP="006D29F6">
            <w:pPr>
              <w:pStyle w:val="Paragraph"/>
              <w:rPr>
                <w:rFonts w:ascii="Times New Roman" w:hAnsi="Times New Roman"/>
                <w:sz w:val="22"/>
                <w:szCs w:val="22"/>
              </w:rPr>
            </w:pPr>
            <w:r w:rsidRPr="004A30C1">
              <w:rPr>
                <w:rFonts w:ascii="Times New Roman" w:hAnsi="Times New Roman"/>
                <w:sz w:val="22"/>
                <w:szCs w:val="22"/>
              </w:rPr>
              <w:t>AUC</w:t>
            </w:r>
            <w:r w:rsidRPr="004A30C1">
              <w:rPr>
                <w:rFonts w:ascii="Times New Roman" w:hAnsi="Times New Roman"/>
                <w:sz w:val="22"/>
                <w:szCs w:val="22"/>
                <w:vertAlign w:val="subscript"/>
              </w:rPr>
              <w:t>0-24h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μg.h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/ml</w:t>
            </w:r>
            <w:r w:rsidRPr="004A30C1">
              <w:rPr>
                <w:rFonts w:ascii="Times New Roman" w:hAnsi="Times New Roman"/>
                <w:sz w:val="22"/>
                <w:szCs w:val="22"/>
              </w:rPr>
              <w:t>)</w:t>
            </w:r>
            <w:r w:rsidRPr="004A30C1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Cmax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μg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/ml</w:t>
            </w:r>
            <w:r w:rsidRPr="004A30C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4AE55E4" w14:textId="77777777" w:rsidR="005F1949" w:rsidRPr="004A30C1" w:rsidRDefault="005F1949" w:rsidP="006D29F6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4A30C1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,06 (3,35-16,</w:t>
            </w:r>
            <w:r w:rsidRPr="004A30C1">
              <w:rPr>
                <w:rFonts w:ascii="Times New Roman" w:hAnsi="Times New Roman"/>
                <w:sz w:val="22"/>
                <w:szCs w:val="22"/>
              </w:rPr>
              <w:t>6)</w:t>
            </w:r>
          </w:p>
          <w:p w14:paraId="2F21C1DA" w14:textId="77777777" w:rsidR="005F1949" w:rsidRPr="004A30C1" w:rsidRDefault="005F1949" w:rsidP="006D29F6">
            <w:pPr>
              <w:pStyle w:val="TableCell10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24,3 (14,1-38,</w:t>
            </w:r>
            <w:r w:rsidRPr="004A30C1">
              <w:rPr>
                <w:rFonts w:ascii="Times New Roman" w:hAnsi="Times New Roman"/>
                <w:sz w:val="22"/>
                <w:szCs w:val="22"/>
                <w:lang w:val="en-GB"/>
              </w:rPr>
              <w:t>9)</w:t>
            </w:r>
          </w:p>
          <w:p w14:paraId="3D16A09C" w14:textId="77777777" w:rsidR="005F1949" w:rsidRPr="004A30C1" w:rsidRDefault="005F1949" w:rsidP="006D29F6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12,1 (9,</w:t>
            </w:r>
            <w:r w:rsidRPr="004A30C1">
              <w:rPr>
                <w:rFonts w:ascii="Times New Roman" w:hAnsi="Times New Roman"/>
                <w:sz w:val="22"/>
                <w:szCs w:val="22"/>
              </w:rPr>
              <w:t>17-15)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81C6766" w14:textId="77777777" w:rsidR="005F1949" w:rsidRPr="00A11CC4" w:rsidRDefault="005F1949" w:rsidP="006D29F6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A11CC4">
              <w:rPr>
                <w:rFonts w:ascii="Times New Roman" w:hAnsi="Times New Roman"/>
                <w:sz w:val="22"/>
                <w:szCs w:val="22"/>
              </w:rPr>
              <w:t>22,1 (14,6-30,1)</w:t>
            </w:r>
          </w:p>
          <w:p w14:paraId="64B78F04" w14:textId="77777777" w:rsidR="005F1949" w:rsidRPr="00A11CC4" w:rsidRDefault="005F1949" w:rsidP="006D29F6">
            <w:pPr>
              <w:pStyle w:val="TableCell10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en-GB"/>
              </w:rPr>
              <w:t>40,4 (17,7-48,6)</w:t>
            </w:r>
          </w:p>
          <w:p w14:paraId="70F679EC" w14:textId="77777777" w:rsidR="005F1949" w:rsidRPr="00A11CC4" w:rsidRDefault="005F1949" w:rsidP="006D29F6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A11CC4">
              <w:rPr>
                <w:rFonts w:ascii="Times New Roman" w:hAnsi="Times New Roman"/>
                <w:sz w:val="22"/>
                <w:szCs w:val="22"/>
              </w:rPr>
              <w:t>13,3 (4,73-15)</w:t>
            </w:r>
          </w:p>
        </w:tc>
        <w:tc>
          <w:tcPr>
            <w:tcW w:w="2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3B09" w14:textId="77777777" w:rsidR="005F1949" w:rsidRPr="00A11CC4" w:rsidRDefault="005F1949" w:rsidP="006D29F6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A11CC4">
              <w:rPr>
                <w:rFonts w:ascii="Times New Roman" w:hAnsi="Times New Roman"/>
                <w:sz w:val="22"/>
                <w:szCs w:val="22"/>
              </w:rPr>
              <w:t>37,9 (16,5-57,2)</w:t>
            </w:r>
          </w:p>
          <w:p w14:paraId="15D59C1E" w14:textId="77777777" w:rsidR="005F1949" w:rsidRPr="00A11CC4" w:rsidRDefault="005F1949" w:rsidP="006D29F6">
            <w:pPr>
              <w:pStyle w:val="TableCell10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en-GB"/>
              </w:rPr>
              <w:t>37,6 (19,2-80,2)</w:t>
            </w:r>
          </w:p>
          <w:p w14:paraId="3ED2E831" w14:textId="77777777" w:rsidR="005F1949" w:rsidRPr="00A11CC4" w:rsidRDefault="005F1949" w:rsidP="006D29F6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A11CC4">
              <w:rPr>
                <w:rFonts w:ascii="Times New Roman" w:hAnsi="Times New Roman"/>
                <w:sz w:val="22"/>
                <w:szCs w:val="22"/>
              </w:rPr>
              <w:t>12,4 (4,57-30,8)</w:t>
            </w:r>
          </w:p>
        </w:tc>
      </w:tr>
    </w:tbl>
    <w:p w14:paraId="0F3A35EE" w14:textId="77777777" w:rsidR="005F1949" w:rsidRPr="00D327B4" w:rsidRDefault="005F1949" w:rsidP="005F1949">
      <w:pPr>
        <w:rPr>
          <w:rFonts w:ascii="Times New Roman" w:hAnsi="Times New Roman"/>
          <w:iCs/>
          <w:sz w:val="22"/>
          <w:szCs w:val="24"/>
          <w:lang w:val="sk-SK" w:eastAsia="ja-JP"/>
        </w:rPr>
      </w:pPr>
    </w:p>
    <w:p w14:paraId="47339E0A" w14:textId="77777777" w:rsidR="005F1949" w:rsidRPr="000B6F07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Okrem toho </w:t>
      </w:r>
      <w:proofErr w:type="spellStart"/>
      <w:r>
        <w:rPr>
          <w:rFonts w:ascii="Times New Roman" w:hAnsi="Times New Roman"/>
          <w:iCs/>
          <w:sz w:val="22"/>
          <w:szCs w:val="24"/>
          <w:lang w:val="sk-SK" w:eastAsia="ja-JP"/>
        </w:rPr>
        <w:t>f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armakokinetika</w:t>
      </w:r>
      <w:proofErr w:type="spellEnd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intravenózne podaného </w:t>
      </w:r>
      <w:proofErr w:type="spellStart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, podľa dávkovacieho režimu schváleného pre dospelých pacientov </w:t>
      </w:r>
      <w:r w:rsidRPr="00C34264">
        <w:rPr>
          <w:rFonts w:ascii="Times New Roman" w:eastAsia="Arial Unicode MS" w:hAnsi="Times New Roman"/>
          <w:sz w:val="22"/>
          <w:lang w:val="sk-SK" w:eastAsia="ja-JP"/>
        </w:rPr>
        <w:t xml:space="preserve">(5mg/kg </w:t>
      </w:r>
      <w:proofErr w:type="spellStart"/>
      <w:r w:rsidRPr="00C34264">
        <w:rPr>
          <w:rFonts w:ascii="Times New Roman" w:eastAsia="Arial Unicode MS" w:hAnsi="Times New Roman"/>
          <w:sz w:val="22"/>
          <w:lang w:val="sk-SK" w:eastAsia="ja-JP"/>
        </w:rPr>
        <w:t>i.v</w:t>
      </w:r>
      <w:proofErr w:type="spellEnd"/>
      <w:r w:rsidRPr="00C34264">
        <w:rPr>
          <w:rFonts w:ascii="Times New Roman" w:eastAsia="Arial Unicode MS" w:hAnsi="Times New Roman"/>
          <w:sz w:val="22"/>
          <w:lang w:val="sk-SK" w:eastAsia="ja-JP"/>
        </w:rPr>
        <w:t>.</w:t>
      </w:r>
      <w:r>
        <w:rPr>
          <w:rFonts w:ascii="Times New Roman" w:eastAsia="Arial Unicode MS" w:hAnsi="Times New Roman"/>
          <w:sz w:val="22"/>
          <w:lang w:val="sk-SK" w:eastAsia="ja-JP"/>
        </w:rPr>
        <w:t xml:space="preserve"> infúzia podaná v trvaní viac ako </w:t>
      </w:r>
      <w:r w:rsidRPr="00C34264">
        <w:rPr>
          <w:rFonts w:ascii="Times New Roman" w:eastAsia="Arial Unicode MS" w:hAnsi="Times New Roman"/>
          <w:sz w:val="22"/>
          <w:lang w:val="sk-SK" w:eastAsia="ja-JP"/>
        </w:rPr>
        <w:t>1 ho</w:t>
      </w:r>
      <w:r>
        <w:rPr>
          <w:rFonts w:ascii="Times New Roman" w:eastAsia="Arial Unicode MS" w:hAnsi="Times New Roman"/>
          <w:sz w:val="22"/>
          <w:lang w:val="sk-SK" w:eastAsia="ja-JP"/>
        </w:rPr>
        <w:t>dinu</w:t>
      </w:r>
      <w:r w:rsidRPr="00C34264">
        <w:rPr>
          <w:rFonts w:ascii="Times New Roman" w:eastAsia="Arial Unicode MS" w:hAnsi="Times New Roman"/>
          <w:sz w:val="22"/>
          <w:lang w:val="sk-SK" w:eastAsia="ja-JP"/>
        </w:rPr>
        <w:t>)</w:t>
      </w:r>
      <w:r w:rsidRPr="00C34264"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 xml:space="preserve">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sa skúmala 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v malých skupinách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dojčiat a detí s normálnou funkciou obličiek vo veku od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9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mesiacov do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rokov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(n= 10; priemerný vek 3,1 roka)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.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Expozícia meraná priemerným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AUC</w:t>
      </w:r>
      <w:r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0</w:t>
      </w:r>
      <w:r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sym w:font="Symbol" w:char="F02D"/>
      </w:r>
      <w:r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∞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bola 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1.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deň 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(n=10)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19,4 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7,1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a </w:t>
      </w:r>
      <w:r w:rsidRPr="00C34264">
        <w:rPr>
          <w:rFonts w:ascii="Times New Roman" w:hAnsi="Times New Roman"/>
          <w:sz w:val="22"/>
          <w:lang w:val="sk-SK" w:eastAsia="ja-JP"/>
        </w:rPr>
        <w:t>AUC</w:t>
      </w:r>
      <w:r w:rsidRPr="00C34264">
        <w:rPr>
          <w:rFonts w:ascii="Times New Roman" w:hAnsi="Times New Roman"/>
          <w:sz w:val="22"/>
          <w:vertAlign w:val="subscript"/>
          <w:lang w:val="sk-SK" w:eastAsia="ja-JP"/>
        </w:rPr>
        <w:t>0-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34264">
        <w:rPr>
          <w:rFonts w:ascii="Times New Roman" w:hAnsi="Times New Roman"/>
          <w:sz w:val="22"/>
          <w:vertAlign w:val="subscript"/>
          <w:lang w:val="sk-SK" w:eastAsia="ja-JP"/>
        </w:rPr>
        <w:t>12</w:t>
      </w:r>
      <w:r w:rsidRPr="00C34264">
        <w:rPr>
          <w:rFonts w:ascii="Times New Roman" w:hAnsi="Times New Roman"/>
          <w:sz w:val="22"/>
          <w:lang w:val="sk-SK" w:eastAsia="ja-JP"/>
        </w:rPr>
        <w:t xml:space="preserve">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14.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deň </w:t>
      </w:r>
      <w:r>
        <w:rPr>
          <w:rFonts w:ascii="Times New Roman" w:hAnsi="Times New Roman"/>
          <w:sz w:val="22"/>
          <w:lang w:val="sk-SK" w:eastAsia="ja-JP"/>
        </w:rPr>
        <w:t xml:space="preserve">(n=7)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24,1 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14,6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proofErr w:type="spellStart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g.h</w:t>
      </w:r>
      <w:proofErr w:type="spellEnd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/ml, hodnoty zodpovedajúceho </w:t>
      </w:r>
      <w:proofErr w:type="spellStart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C</w:t>
      </w:r>
      <w:r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max</w:t>
      </w:r>
      <w:proofErr w:type="spellEnd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boli 7,59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3,21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g/ml (1.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deň) a 8,31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4,9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g/ml (14.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deň).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V tejto štúdii bola pri dávkovaní odvodenom od telesnej hmotnosti pozorovaná tendencia poklesu smerom k nižším expozíciám v mladšej pediatrickej populácii. U pediatrických pacientov vo veku do 5 rokov bola priemerná hodnota 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>AUC</w:t>
      </w:r>
      <w:r w:rsidRPr="00C34264">
        <w:rPr>
          <w:rFonts w:ascii="Times New Roman" w:hAnsi="Times New Roman"/>
          <w:sz w:val="22"/>
          <w:szCs w:val="24"/>
          <w:vertAlign w:val="subscript"/>
          <w:lang w:val="sk-SK" w:eastAsia="ja-JP"/>
        </w:rPr>
        <w:t>0-∞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 v</w:t>
      </w:r>
      <w:r>
        <w:rPr>
          <w:rFonts w:ascii="Times New Roman" w:hAnsi="Times New Roman"/>
          <w:sz w:val="22"/>
          <w:szCs w:val="24"/>
          <w:lang w:val="sk-SK" w:eastAsia="ja-JP"/>
        </w:rPr>
        <w:t> 1.</w:t>
      </w:r>
      <w:r w:rsidRPr="000B6F07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ja-JP"/>
        </w:rPr>
        <w:t> deň</w:t>
      </w:r>
      <w:r w:rsidRPr="00AE7DA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(n=7) </w:t>
      </w:r>
      <w:r>
        <w:rPr>
          <w:rFonts w:ascii="Times New Roman" w:hAnsi="Times New Roman"/>
          <w:sz w:val="22"/>
          <w:szCs w:val="24"/>
          <w:lang w:val="sk-SK" w:eastAsia="ja-JP"/>
        </w:rPr>
        <w:t>17,7 ± 5,</w:t>
      </w:r>
      <w:r w:rsidRPr="00016467">
        <w:rPr>
          <w:rFonts w:ascii="Times New Roman" w:hAnsi="Times New Roman"/>
          <w:sz w:val="22"/>
          <w:szCs w:val="24"/>
          <w:lang w:val="sk-SK" w:eastAsia="ja-JP"/>
        </w:rPr>
        <w:t xml:space="preserve">5 </w:t>
      </w:r>
      <w:r w:rsidRPr="000B6F07">
        <w:rPr>
          <w:rFonts w:ascii="Times New Roman" w:hAnsi="Times New Roman"/>
          <w:sz w:val="22"/>
          <w:szCs w:val="24"/>
          <w:lang w:val="sk-SK" w:eastAsia="ja-JP"/>
        </w:rPr>
        <w:t>a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 AUC</w:t>
      </w:r>
      <w:r w:rsidRPr="00C34264">
        <w:rPr>
          <w:rFonts w:ascii="Times New Roman" w:hAnsi="Times New Roman"/>
          <w:sz w:val="22"/>
          <w:szCs w:val="24"/>
          <w:vertAlign w:val="subscript"/>
          <w:lang w:val="sk-SK" w:eastAsia="ja-JP"/>
        </w:rPr>
        <w:t>0-12h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ja-JP"/>
        </w:rPr>
        <w:t>v 14.</w:t>
      </w:r>
      <w:r w:rsidRPr="000B6F07">
        <w:rPr>
          <w:rFonts w:ascii="Times New Roman" w:hAnsi="Times New Roman"/>
          <w:sz w:val="22"/>
          <w:szCs w:val="24"/>
          <w:lang w:val="sk-SK" w:eastAsia="ja-JP"/>
        </w:rPr>
        <w:t xml:space="preserve"> deň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 (n=4) </w:t>
      </w:r>
      <w:r w:rsidRPr="000B6F07">
        <w:rPr>
          <w:rFonts w:ascii="Times New Roman" w:hAnsi="Times New Roman"/>
          <w:sz w:val="22"/>
          <w:szCs w:val="24"/>
          <w:lang w:val="sk-SK" w:eastAsia="ja-JP"/>
        </w:rPr>
        <w:t>17,1 ± 7,5 µ</w:t>
      </w:r>
      <w:proofErr w:type="spellStart"/>
      <w:r w:rsidRPr="000B6F07">
        <w:rPr>
          <w:rFonts w:ascii="Times New Roman" w:hAnsi="Times New Roman"/>
          <w:sz w:val="22"/>
          <w:szCs w:val="24"/>
          <w:lang w:val="sk-SK" w:eastAsia="ja-JP"/>
        </w:rPr>
        <w:t>g.h</w:t>
      </w:r>
      <w:proofErr w:type="spellEnd"/>
      <w:r w:rsidRPr="000B6F07">
        <w:rPr>
          <w:rFonts w:ascii="Times New Roman" w:hAnsi="Times New Roman"/>
          <w:sz w:val="22"/>
          <w:szCs w:val="24"/>
          <w:lang w:val="sk-SK" w:eastAsia="ja-JP"/>
        </w:rPr>
        <w:t>/ml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2242B06A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376909F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ktorý bol podávaný intravenózne, s dávkovacím režimom vypočítaným z  BSA a podľa  funkcie obličiek (3x BSA x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CrCLS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) a odvodený od pediatrického dávkovacieho algoritmu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valgancikloviru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viedol k podobným expozíciám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v pediatrickej populácii vo veku od narodenia do 16 rokov (pozri tabuľku 2).</w:t>
      </w:r>
    </w:p>
    <w:p w14:paraId="269713DB" w14:textId="6BA953B4" w:rsidR="008525C4" w:rsidRDefault="008525C4">
      <w:pPr>
        <w:spacing w:after="200" w:line="276" w:lineRule="auto"/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br w:type="page"/>
      </w:r>
    </w:p>
    <w:p w14:paraId="59FD1341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F7F1A9C" w14:textId="3A2C8E8A" w:rsidR="008525C4" w:rsidRPr="008525C4" w:rsidRDefault="005F1949" w:rsidP="008525C4">
      <w:pPr>
        <w:rPr>
          <w:rFonts w:ascii="Times New Roman" w:hAnsi="Times New Roman"/>
          <w:b/>
          <w:sz w:val="22"/>
          <w:szCs w:val="22"/>
          <w:lang w:val="sk-SK"/>
        </w:rPr>
      </w:pPr>
      <w:r w:rsidRPr="00C34264">
        <w:rPr>
          <w:rFonts w:ascii="Times New Roman" w:hAnsi="Times New Roman"/>
          <w:b/>
          <w:sz w:val="22"/>
          <w:szCs w:val="22"/>
          <w:lang w:val="sk-SK"/>
        </w:rPr>
        <w:t>Tabuľka</w:t>
      </w:r>
      <w:r w:rsidRPr="00B84AF1">
        <w:rPr>
          <w:rFonts w:ascii="Times New Roman" w:hAnsi="Times New Roman"/>
          <w:b/>
          <w:sz w:val="22"/>
          <w:szCs w:val="22"/>
          <w:lang w:val="sk-SK"/>
        </w:rPr>
        <w:t xml:space="preserve">  2 Simu</w:t>
      </w:r>
      <w:r>
        <w:rPr>
          <w:rFonts w:ascii="Times New Roman" w:hAnsi="Times New Roman"/>
          <w:b/>
          <w:sz w:val="22"/>
          <w:szCs w:val="22"/>
          <w:lang w:val="sk-SK"/>
        </w:rPr>
        <w:t>l</w:t>
      </w:r>
      <w:r w:rsidRPr="00B84AF1">
        <w:rPr>
          <w:rFonts w:ascii="Times New Roman" w:hAnsi="Times New Roman"/>
          <w:b/>
          <w:sz w:val="22"/>
          <w:szCs w:val="22"/>
          <w:lang w:val="sk-SK"/>
        </w:rPr>
        <w:t>ácia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>* AUC</w:t>
      </w:r>
      <w:r w:rsidRPr="00C34264">
        <w:rPr>
          <w:rFonts w:ascii="Times New Roman" w:hAnsi="Times New Roman"/>
          <w:b/>
          <w:sz w:val="22"/>
          <w:szCs w:val="22"/>
          <w:vertAlign w:val="subscript"/>
          <w:lang w:val="sk-SK"/>
        </w:rPr>
        <w:t xml:space="preserve">0-24h 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>(</w:t>
      </w:r>
      <w:r w:rsidRPr="00C34264">
        <w:rPr>
          <w:rFonts w:ascii="Times New Roman" w:hAnsi="Times New Roman"/>
          <w:b/>
          <w:sz w:val="22"/>
          <w:szCs w:val="22"/>
        </w:rPr>
        <w:sym w:font="Symbol" w:char="F06D"/>
      </w:r>
      <w:r w:rsidRPr="00C34264">
        <w:rPr>
          <w:rFonts w:ascii="Times New Roman" w:hAnsi="Times New Roman"/>
          <w:b/>
          <w:sz w:val="22"/>
          <w:szCs w:val="22"/>
          <w:lang w:val="sk-SK"/>
        </w:rPr>
        <w:t>g </w:t>
      </w:r>
      <w:r w:rsidRPr="00C34264">
        <w:rPr>
          <w:rFonts w:ascii="Times New Roman" w:hAnsi="Times New Roman"/>
          <w:b/>
          <w:position w:val="2"/>
          <w:sz w:val="22"/>
          <w:szCs w:val="22"/>
        </w:rPr>
        <w:sym w:font="Symbol" w:char="F0B7"/>
      </w:r>
      <w:r w:rsidRPr="00C34264">
        <w:rPr>
          <w:rFonts w:ascii="Times New Roman" w:hAnsi="Times New Roman"/>
          <w:b/>
          <w:sz w:val="22"/>
          <w:szCs w:val="22"/>
          <w:lang w:val="sk-SK"/>
        </w:rPr>
        <w:t xml:space="preserve"> h/ml) </w:t>
      </w:r>
      <w:proofErr w:type="spellStart"/>
      <w:r w:rsidRPr="00714C38">
        <w:rPr>
          <w:rFonts w:ascii="Times New Roman" w:hAnsi="Times New Roman"/>
          <w:b/>
          <w:sz w:val="22"/>
          <w:szCs w:val="22"/>
          <w:lang w:val="sk-SK"/>
        </w:rPr>
        <w:t>gancik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>loviru</w:t>
      </w:r>
      <w:proofErr w:type="spellEnd"/>
      <w:r w:rsidRPr="00C34264">
        <w:rPr>
          <w:rFonts w:ascii="Times New Roman" w:hAnsi="Times New Roman"/>
          <w:b/>
          <w:sz w:val="22"/>
          <w:szCs w:val="22"/>
          <w:lang w:val="sk-SK"/>
        </w:rPr>
        <w:t xml:space="preserve"> u pediatrických pacientov liečených dávkou</w:t>
      </w:r>
      <w:r w:rsidRPr="002709E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Pr="002709EB">
        <w:rPr>
          <w:rFonts w:ascii="Times New Roman" w:hAnsi="Times New Roman"/>
          <w:b/>
          <w:sz w:val="22"/>
          <w:szCs w:val="22"/>
          <w:lang w:val="sk-SK"/>
        </w:rPr>
        <w:t>gancik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>loviru</w:t>
      </w:r>
      <w:proofErr w:type="spellEnd"/>
      <w:r w:rsidRPr="002709EB">
        <w:rPr>
          <w:rFonts w:ascii="Times New Roman" w:hAnsi="Times New Roman"/>
          <w:b/>
          <w:sz w:val="22"/>
          <w:szCs w:val="22"/>
          <w:lang w:val="sk-SK"/>
        </w:rPr>
        <w:t xml:space="preserve"> (mg) 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 xml:space="preserve">3x BSA x </w:t>
      </w:r>
      <w:proofErr w:type="spellStart"/>
      <w:r w:rsidRPr="00C34264">
        <w:rPr>
          <w:rFonts w:ascii="Times New Roman" w:hAnsi="Times New Roman"/>
          <w:b/>
          <w:sz w:val="22"/>
          <w:szCs w:val="22"/>
          <w:lang w:val="sk-SK"/>
        </w:rPr>
        <w:t>CrCLS</w:t>
      </w:r>
      <w:proofErr w:type="spellEnd"/>
      <w:r w:rsidRPr="00C34264">
        <w:rPr>
          <w:rFonts w:ascii="Times New Roman" w:hAnsi="Times New Roman"/>
          <w:b/>
          <w:sz w:val="22"/>
          <w:szCs w:val="22"/>
          <w:lang w:val="sk-SK"/>
        </w:rPr>
        <w:t xml:space="preserve"> podávanou formou 1 hodinovej infúzie.</w:t>
      </w:r>
    </w:p>
    <w:tbl>
      <w:tblPr>
        <w:tblW w:w="8638" w:type="dxa"/>
        <w:tblInd w:w="5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69"/>
        <w:gridCol w:w="1094"/>
        <w:gridCol w:w="1156"/>
        <w:gridCol w:w="1034"/>
        <w:gridCol w:w="1095"/>
        <w:gridCol w:w="1095"/>
        <w:gridCol w:w="1095"/>
      </w:tblGrid>
      <w:tr w:rsidR="005F1949" w:rsidRPr="00040673" w14:paraId="56413864" w14:textId="77777777" w:rsidTr="006D29F6">
        <w:trPr>
          <w:cantSplit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333651" w14:textId="77777777" w:rsidR="005F1949" w:rsidRPr="00402E19" w:rsidRDefault="005F1949" w:rsidP="006D29F6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B78BD5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3C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 4 mesiace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7C2C05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B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4 mesiace až  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A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2 roky 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B173C9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3E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2 až 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3C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 6 roky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B3DA29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B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6 až 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3C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 12 rokov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C53648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B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12 až 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A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 16 rokov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02466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všetci pacienti</w:t>
            </w:r>
          </w:p>
        </w:tc>
      </w:tr>
      <w:tr w:rsidR="005F1949" w:rsidRPr="00040673" w14:paraId="6B3E7666" w14:textId="77777777" w:rsidTr="006D29F6">
        <w:trPr>
          <w:cantSplit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D3E47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počet</w:t>
            </w:r>
            <w:r w:rsidRPr="00C342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4264">
              <w:rPr>
                <w:rFonts w:ascii="Times New Roman" w:hAnsi="Times New Roman"/>
                <w:sz w:val="22"/>
                <w:szCs w:val="22"/>
              </w:rPr>
              <w:t>pacientov</w:t>
            </w:r>
            <w:proofErr w:type="spellEnd"/>
            <w:r w:rsidRPr="00C34264"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 w:rsidRPr="00C34264">
              <w:rPr>
                <w:rFonts w:ascii="Times New Roman" w:hAnsi="Times New Roman"/>
                <w:sz w:val="22"/>
                <w:szCs w:val="22"/>
              </w:rPr>
              <w:t>simulácii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14:paraId="3FEAFD7D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781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14:paraId="350B7A21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384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auto"/>
          </w:tcPr>
          <w:p w14:paraId="1459160A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86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14:paraId="38AF2D23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96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14:paraId="336377B3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126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F3DBA8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1473</w:t>
            </w:r>
          </w:p>
        </w:tc>
      </w:tr>
      <w:tr w:rsidR="005F1949" w:rsidRPr="00040673" w14:paraId="31F12D69" w14:textId="77777777" w:rsidTr="006D29F6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14:paraId="56511400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m</w:t>
            </w:r>
            <w:proofErr w:type="spellStart"/>
            <w:r w:rsidRPr="00C34264">
              <w:rPr>
                <w:rFonts w:ascii="Times New Roman" w:hAnsi="Times New Roman"/>
                <w:sz w:val="22"/>
                <w:szCs w:val="22"/>
              </w:rPr>
              <w:t>edián</w:t>
            </w:r>
            <w:proofErr w:type="spellEnd"/>
          </w:p>
        </w:tc>
        <w:tc>
          <w:tcPr>
            <w:tcW w:w="1094" w:type="dxa"/>
            <w:shd w:val="clear" w:color="auto" w:fill="auto"/>
          </w:tcPr>
          <w:p w14:paraId="7F792208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55,6</w:t>
            </w:r>
          </w:p>
        </w:tc>
        <w:tc>
          <w:tcPr>
            <w:tcW w:w="1156" w:type="dxa"/>
            <w:shd w:val="clear" w:color="auto" w:fill="auto"/>
          </w:tcPr>
          <w:p w14:paraId="651B8B88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56,9</w:t>
            </w:r>
          </w:p>
        </w:tc>
        <w:tc>
          <w:tcPr>
            <w:tcW w:w="1034" w:type="dxa"/>
            <w:shd w:val="clear" w:color="auto" w:fill="auto"/>
          </w:tcPr>
          <w:p w14:paraId="6CC4DFB5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54,4</w:t>
            </w:r>
          </w:p>
        </w:tc>
        <w:tc>
          <w:tcPr>
            <w:tcW w:w="1095" w:type="dxa"/>
            <w:shd w:val="clear" w:color="auto" w:fill="auto"/>
          </w:tcPr>
          <w:p w14:paraId="57C713E5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51,3</w:t>
            </w:r>
          </w:p>
        </w:tc>
        <w:tc>
          <w:tcPr>
            <w:tcW w:w="1095" w:type="dxa"/>
            <w:shd w:val="clear" w:color="auto" w:fill="auto"/>
          </w:tcPr>
          <w:p w14:paraId="0B531CD3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51,4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14:paraId="0E857BF5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55,4</w:t>
            </w:r>
          </w:p>
        </w:tc>
      </w:tr>
      <w:tr w:rsidR="005F1949" w:rsidRPr="00040673" w14:paraId="557838DF" w14:textId="77777777" w:rsidTr="006D29F6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14:paraId="0C67F2F5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priemer</w:t>
            </w:r>
          </w:p>
        </w:tc>
        <w:tc>
          <w:tcPr>
            <w:tcW w:w="1094" w:type="dxa"/>
            <w:shd w:val="clear" w:color="auto" w:fill="auto"/>
          </w:tcPr>
          <w:p w14:paraId="0AE0645E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57,1</w:t>
            </w:r>
          </w:p>
        </w:tc>
        <w:tc>
          <w:tcPr>
            <w:tcW w:w="1156" w:type="dxa"/>
            <w:shd w:val="clear" w:color="auto" w:fill="auto"/>
          </w:tcPr>
          <w:p w14:paraId="5D7728F0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58,0</w:t>
            </w:r>
          </w:p>
        </w:tc>
        <w:tc>
          <w:tcPr>
            <w:tcW w:w="1034" w:type="dxa"/>
            <w:shd w:val="clear" w:color="auto" w:fill="auto"/>
          </w:tcPr>
          <w:p w14:paraId="3F6A6145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55,1</w:t>
            </w:r>
          </w:p>
        </w:tc>
        <w:tc>
          <w:tcPr>
            <w:tcW w:w="1095" w:type="dxa"/>
            <w:shd w:val="clear" w:color="auto" w:fill="auto"/>
          </w:tcPr>
          <w:p w14:paraId="6F2264FD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52,6</w:t>
            </w:r>
          </w:p>
        </w:tc>
        <w:tc>
          <w:tcPr>
            <w:tcW w:w="1095" w:type="dxa"/>
            <w:shd w:val="clear" w:color="auto" w:fill="auto"/>
          </w:tcPr>
          <w:p w14:paraId="15891E59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51,8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14:paraId="485DE71E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56,4</w:t>
            </w:r>
          </w:p>
        </w:tc>
      </w:tr>
      <w:tr w:rsidR="005F1949" w:rsidRPr="00040673" w14:paraId="02507DCC" w14:textId="77777777" w:rsidTr="006D29F6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14:paraId="002AAE17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</w:rPr>
            </w:pPr>
            <w:r w:rsidRPr="00C34264">
              <w:rPr>
                <w:rFonts w:ascii="Times New Roman" w:hAnsi="Times New Roman"/>
                <w:sz w:val="22"/>
                <w:szCs w:val="22"/>
              </w:rPr>
              <w:t>Min</w:t>
            </w:r>
          </w:p>
        </w:tc>
        <w:tc>
          <w:tcPr>
            <w:tcW w:w="1094" w:type="dxa"/>
            <w:shd w:val="clear" w:color="auto" w:fill="auto"/>
          </w:tcPr>
          <w:p w14:paraId="00654B20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24,9</w:t>
            </w:r>
          </w:p>
        </w:tc>
        <w:tc>
          <w:tcPr>
            <w:tcW w:w="1156" w:type="dxa"/>
            <w:shd w:val="clear" w:color="auto" w:fill="auto"/>
          </w:tcPr>
          <w:p w14:paraId="48FFC8E4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24,3</w:t>
            </w:r>
          </w:p>
        </w:tc>
        <w:tc>
          <w:tcPr>
            <w:tcW w:w="1034" w:type="dxa"/>
            <w:shd w:val="clear" w:color="auto" w:fill="auto"/>
          </w:tcPr>
          <w:p w14:paraId="17CAB8DF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16,5</w:t>
            </w:r>
          </w:p>
        </w:tc>
        <w:tc>
          <w:tcPr>
            <w:tcW w:w="1095" w:type="dxa"/>
            <w:shd w:val="clear" w:color="auto" w:fill="auto"/>
          </w:tcPr>
          <w:p w14:paraId="57230001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23,9</w:t>
            </w:r>
          </w:p>
        </w:tc>
        <w:tc>
          <w:tcPr>
            <w:tcW w:w="1095" w:type="dxa"/>
            <w:shd w:val="clear" w:color="auto" w:fill="auto"/>
          </w:tcPr>
          <w:p w14:paraId="74C3FAA8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22,6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14:paraId="1D73E623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16,5</w:t>
            </w:r>
          </w:p>
        </w:tc>
      </w:tr>
      <w:tr w:rsidR="005F1949" w:rsidRPr="00040673" w14:paraId="15E33DFE" w14:textId="77777777" w:rsidTr="006D29F6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14:paraId="64F6AD9C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</w:rPr>
            </w:pPr>
            <w:r w:rsidRPr="00C34264">
              <w:rPr>
                <w:rFonts w:ascii="Times New Roman" w:hAnsi="Times New Roman"/>
                <w:sz w:val="22"/>
                <w:szCs w:val="22"/>
              </w:rPr>
              <w:t>Max</w:t>
            </w:r>
          </w:p>
        </w:tc>
        <w:tc>
          <w:tcPr>
            <w:tcW w:w="1094" w:type="dxa"/>
            <w:shd w:val="clear" w:color="auto" w:fill="auto"/>
          </w:tcPr>
          <w:p w14:paraId="666F23D8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124,1</w:t>
            </w:r>
          </w:p>
        </w:tc>
        <w:tc>
          <w:tcPr>
            <w:tcW w:w="1156" w:type="dxa"/>
            <w:shd w:val="clear" w:color="auto" w:fill="auto"/>
          </w:tcPr>
          <w:p w14:paraId="50BF1512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133,0</w:t>
            </w:r>
          </w:p>
        </w:tc>
        <w:tc>
          <w:tcPr>
            <w:tcW w:w="1034" w:type="dxa"/>
            <w:shd w:val="clear" w:color="auto" w:fill="auto"/>
          </w:tcPr>
          <w:p w14:paraId="4D983A31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105,7</w:t>
            </w:r>
          </w:p>
        </w:tc>
        <w:tc>
          <w:tcPr>
            <w:tcW w:w="1095" w:type="dxa"/>
            <w:shd w:val="clear" w:color="auto" w:fill="auto"/>
          </w:tcPr>
          <w:p w14:paraId="63FD3DCB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115,2</w:t>
            </w:r>
          </w:p>
        </w:tc>
        <w:tc>
          <w:tcPr>
            <w:tcW w:w="1095" w:type="dxa"/>
            <w:shd w:val="clear" w:color="auto" w:fill="auto"/>
          </w:tcPr>
          <w:p w14:paraId="05388657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94,1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14:paraId="6486792A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133,0</w:t>
            </w:r>
          </w:p>
        </w:tc>
      </w:tr>
      <w:tr w:rsidR="005F1949" w:rsidRPr="00040673" w14:paraId="6296CA53" w14:textId="77777777" w:rsidTr="006D29F6">
        <w:trPr>
          <w:cantSplit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CDE4CE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pt-BR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pacienti s</w:t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br/>
              <w:t>AUC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3C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40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6D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g </w:t>
            </w:r>
            <w:r w:rsidRPr="00C34264">
              <w:rPr>
                <w:rFonts w:ascii="Times New Roman" w:hAnsi="Times New Roman"/>
                <w:position w:val="2"/>
                <w:sz w:val="22"/>
                <w:szCs w:val="22"/>
              </w:rPr>
              <w:sym w:font="Symbol" w:char="F0B7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h/ml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14:paraId="7ACFA121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89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(11%)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14:paraId="0A655738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38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(10%)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auto"/>
          </w:tcPr>
          <w:p w14:paraId="6CCFA5EE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13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(15%)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14:paraId="751D8A34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23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(24%)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14:paraId="094BD8B7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28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(22%)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C5A6A5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191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(13%)</w:t>
            </w:r>
          </w:p>
        </w:tc>
      </w:tr>
      <w:tr w:rsidR="005F1949" w:rsidRPr="00040673" w14:paraId="2A628C7D" w14:textId="77777777" w:rsidTr="006D29F6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14:paraId="4DDCCFCE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pt-BR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pacienti s</w:t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br/>
              <w:t>AUC 40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2D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60 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6D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g </w:t>
            </w:r>
            <w:r w:rsidRPr="00C34264">
              <w:rPr>
                <w:rFonts w:ascii="Times New Roman" w:hAnsi="Times New Roman"/>
                <w:position w:val="2"/>
                <w:sz w:val="22"/>
                <w:szCs w:val="22"/>
              </w:rPr>
              <w:sym w:font="Symbol" w:char="F0B7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h/ml</w:t>
            </w:r>
          </w:p>
        </w:tc>
        <w:tc>
          <w:tcPr>
            <w:tcW w:w="1094" w:type="dxa"/>
            <w:shd w:val="clear" w:color="auto" w:fill="auto"/>
          </w:tcPr>
          <w:p w14:paraId="2B1D0321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398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(51%)</w:t>
            </w:r>
          </w:p>
        </w:tc>
        <w:tc>
          <w:tcPr>
            <w:tcW w:w="1156" w:type="dxa"/>
            <w:shd w:val="clear" w:color="auto" w:fill="auto"/>
          </w:tcPr>
          <w:p w14:paraId="130DD50B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195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(51%)</w:t>
            </w:r>
          </w:p>
        </w:tc>
        <w:tc>
          <w:tcPr>
            <w:tcW w:w="1034" w:type="dxa"/>
            <w:shd w:val="clear" w:color="auto" w:fill="auto"/>
          </w:tcPr>
          <w:p w14:paraId="14B2C87D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44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(51%)</w:t>
            </w:r>
          </w:p>
        </w:tc>
        <w:tc>
          <w:tcPr>
            <w:tcW w:w="1095" w:type="dxa"/>
            <w:shd w:val="clear" w:color="auto" w:fill="auto"/>
          </w:tcPr>
          <w:p w14:paraId="29C20D72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41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(43%)</w:t>
            </w:r>
          </w:p>
        </w:tc>
        <w:tc>
          <w:tcPr>
            <w:tcW w:w="1095" w:type="dxa"/>
            <w:shd w:val="clear" w:color="auto" w:fill="auto"/>
          </w:tcPr>
          <w:p w14:paraId="148AA46F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63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(50%)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14:paraId="25D2FDE2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741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(50%)</w:t>
            </w:r>
          </w:p>
        </w:tc>
      </w:tr>
      <w:tr w:rsidR="005F1949" w:rsidRPr="00040673" w14:paraId="7595452E" w14:textId="77777777" w:rsidTr="006D29F6">
        <w:trPr>
          <w:cantSplit/>
        </w:trPr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45288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pt-BR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pacienti s </w:t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br/>
              <w:t>AUC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3E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60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6D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g </w:t>
            </w:r>
            <w:r w:rsidRPr="00C34264">
              <w:rPr>
                <w:rFonts w:ascii="Times New Roman" w:hAnsi="Times New Roman"/>
                <w:position w:val="2"/>
                <w:sz w:val="22"/>
                <w:szCs w:val="22"/>
              </w:rPr>
              <w:sym w:font="Symbol" w:char="F0B7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h/ml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DCEEAF3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294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(38%)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</w:tcPr>
          <w:p w14:paraId="261820F4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151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(39%)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14:paraId="06B4FEB8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29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(34%)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14:paraId="689C96A8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32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(33%)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14:paraId="5A4CA59D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35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(28%)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582B" w14:textId="77777777" w:rsidR="005F1949" w:rsidRPr="00A11CC4" w:rsidRDefault="005F1949" w:rsidP="006D29F6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541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(37%)</w:t>
            </w:r>
          </w:p>
        </w:tc>
      </w:tr>
      <w:tr w:rsidR="005F1949" w:rsidRPr="00073932" w14:paraId="2CEBD184" w14:textId="77777777" w:rsidTr="006D29F6">
        <w:trPr>
          <w:cantSplit/>
        </w:trPr>
        <w:tc>
          <w:tcPr>
            <w:tcW w:w="863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A8BF490" w14:textId="77777777" w:rsidR="005F1949" w:rsidRPr="00A11CC4" w:rsidRDefault="005F1949" w:rsidP="006D29F6">
            <w:pPr>
              <w:keepNext/>
              <w:keepLines/>
              <w:spacing w:before="40" w:line="240" w:lineRule="exact"/>
              <w:ind w:left="29"/>
              <w:rPr>
                <w:rFonts w:ascii="Times New Roman" w:eastAsia="SimSun" w:hAnsi="Times New Roman"/>
                <w:i/>
                <w:szCs w:val="22"/>
                <w:lang w:val="sk-SK" w:eastAsia="zh-CN"/>
              </w:rPr>
            </w:pP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AUC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(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area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under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the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plasma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concentration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) plocha pod </w:t>
            </w:r>
            <w:r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časovou krivkou  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plazmatick</w:t>
            </w:r>
            <w:r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ej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koncentráci</w:t>
            </w:r>
            <w:r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e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; BSA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 (body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surface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area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) </w:t>
            </w:r>
            <w:r w:rsidRPr="00A11CC4">
              <w:rPr>
                <w:rFonts w:ascii="Times New Roman" w:hAnsi="Times New Roman"/>
                <w:sz w:val="22"/>
                <w:szCs w:val="22"/>
                <w:lang w:val="sk-SK"/>
              </w:rPr>
              <w:t>plocha povrchu tela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;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CrCL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klírens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kreatinínu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; max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maximum; min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minimum.</w:t>
            </w:r>
          </w:p>
          <w:p w14:paraId="66322615" w14:textId="77777777" w:rsidR="005F1949" w:rsidRPr="00A11CC4" w:rsidRDefault="005F1949" w:rsidP="006D29F6">
            <w:pPr>
              <w:keepNext/>
              <w:keepLines/>
              <w:spacing w:before="40" w:line="240" w:lineRule="exact"/>
              <w:ind w:left="245" w:hanging="216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sk-SK"/>
              </w:rPr>
              <w:t>*</w:t>
            </w:r>
            <w:r w:rsidRPr="00C34264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sk-SK"/>
              </w:rPr>
              <w:tab/>
            </w:r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Simulácie sa vykonali použitím validovaných populačných pediatrických PK modelov a demografických údajov od pediatrických pacientov, ktorí dostávali liečbu </w:t>
            </w:r>
            <w:proofErr w:type="spellStart"/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valganciklovirom</w:t>
            </w:r>
            <w:proofErr w:type="spellEnd"/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ganciklovirom</w:t>
            </w:r>
            <w:proofErr w:type="spellEnd"/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v klinických štúdiách (n=1473 záznamov údajov)</w:t>
            </w:r>
          </w:p>
        </w:tc>
      </w:tr>
    </w:tbl>
    <w:p w14:paraId="6DD17F48" w14:textId="77777777" w:rsidR="005F1949" w:rsidRPr="00471103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190CCE31" w14:textId="77777777" w:rsidR="005F1949" w:rsidRPr="007270FC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7270FC">
        <w:rPr>
          <w:rFonts w:ascii="Times New Roman" w:hAnsi="Times New Roman"/>
          <w:sz w:val="22"/>
          <w:szCs w:val="22"/>
          <w:u w:val="single"/>
          <w:lang w:val="sk-SK"/>
        </w:rPr>
        <w:t>Staršie osoby</w:t>
      </w:r>
    </w:p>
    <w:p w14:paraId="1B4EE9F9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D72A377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Neboli vykonané žiadne štúdie s dospelými staršími ako 65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F1AB0">
        <w:rPr>
          <w:rFonts w:ascii="Times New Roman" w:hAnsi="Times New Roman"/>
          <w:sz w:val="22"/>
          <w:szCs w:val="22"/>
          <w:lang w:val="sk-SK"/>
        </w:rPr>
        <w:t>rokov</w:t>
      </w:r>
      <w:r>
        <w:rPr>
          <w:rFonts w:ascii="Times New Roman" w:hAnsi="Times New Roman"/>
          <w:sz w:val="22"/>
          <w:szCs w:val="22"/>
          <w:lang w:val="sk-SK"/>
        </w:rPr>
        <w:t xml:space="preserve"> (pozri časť 4.2)</w:t>
      </w:r>
      <w:r w:rsidRPr="00AF1AB0">
        <w:rPr>
          <w:rFonts w:ascii="Times New Roman" w:hAnsi="Times New Roman"/>
          <w:sz w:val="22"/>
          <w:szCs w:val="22"/>
          <w:lang w:val="sk-SK"/>
        </w:rPr>
        <w:t>.</w:t>
      </w:r>
    </w:p>
    <w:p w14:paraId="71F5D3EF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ED07181" w14:textId="77777777" w:rsidR="005F1949" w:rsidRPr="00AF1AB0" w:rsidRDefault="005F1949" w:rsidP="005F1949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5.3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Predklinické údaje o bezpečnosti</w:t>
      </w:r>
    </w:p>
    <w:p w14:paraId="1D9F6178" w14:textId="77777777" w:rsidR="005F1949" w:rsidRDefault="005F1949" w:rsidP="005F1949">
      <w:pPr>
        <w:pStyle w:val="TextTi12"/>
        <w:keepNext/>
        <w:keepLines/>
        <w:jc w:val="left"/>
        <w:rPr>
          <w:sz w:val="22"/>
          <w:szCs w:val="22"/>
          <w:lang w:val="sk-SK"/>
        </w:rPr>
      </w:pPr>
    </w:p>
    <w:p w14:paraId="066AF8F6" w14:textId="77777777" w:rsidR="005F1949" w:rsidRPr="00AF1AB0" w:rsidRDefault="005F1949" w:rsidP="005F1949">
      <w:pPr>
        <w:pStyle w:val="TextTi12"/>
        <w:keepNext/>
        <w:keepLines/>
        <w:jc w:val="left"/>
        <w:rPr>
          <w:sz w:val="22"/>
          <w:szCs w:val="22"/>
          <w:lang w:val="sk-SK"/>
        </w:rPr>
      </w:pPr>
      <w:proofErr w:type="spellStart"/>
      <w:r w:rsidRPr="00AF1AB0">
        <w:rPr>
          <w:sz w:val="22"/>
          <w:szCs w:val="22"/>
          <w:lang w:val="sk-SK"/>
        </w:rPr>
        <w:t>Ganciklovir</w:t>
      </w:r>
      <w:proofErr w:type="spellEnd"/>
      <w:r w:rsidRPr="00AF1AB0">
        <w:rPr>
          <w:sz w:val="22"/>
          <w:szCs w:val="22"/>
          <w:lang w:val="sk-SK"/>
        </w:rPr>
        <w:t xml:space="preserve"> bol mutagénny v myšacích </w:t>
      </w:r>
      <w:proofErr w:type="spellStart"/>
      <w:r w:rsidRPr="00AF1AB0">
        <w:rPr>
          <w:sz w:val="22"/>
          <w:szCs w:val="22"/>
          <w:lang w:val="sk-SK"/>
        </w:rPr>
        <w:t>lymfómových</w:t>
      </w:r>
      <w:proofErr w:type="spellEnd"/>
      <w:r w:rsidRPr="00AF1AB0">
        <w:rPr>
          <w:sz w:val="22"/>
          <w:szCs w:val="22"/>
          <w:lang w:val="sk-SK"/>
        </w:rPr>
        <w:t xml:space="preserve"> bunkách a </w:t>
      </w:r>
      <w:proofErr w:type="spellStart"/>
      <w:r w:rsidRPr="00AF1AB0">
        <w:rPr>
          <w:sz w:val="22"/>
          <w:szCs w:val="22"/>
          <w:lang w:val="sk-SK"/>
        </w:rPr>
        <w:t>klastogénny</w:t>
      </w:r>
      <w:proofErr w:type="spellEnd"/>
      <w:r w:rsidRPr="00AF1AB0">
        <w:rPr>
          <w:sz w:val="22"/>
          <w:szCs w:val="22"/>
          <w:lang w:val="sk-SK"/>
        </w:rPr>
        <w:t xml:space="preserve"> v cicavčích bunkách.</w:t>
      </w:r>
      <w:r>
        <w:rPr>
          <w:sz w:val="22"/>
          <w:szCs w:val="22"/>
          <w:lang w:val="sk-SK"/>
        </w:rPr>
        <w:t xml:space="preserve"> </w:t>
      </w:r>
      <w:r w:rsidRPr="00AF1AB0">
        <w:rPr>
          <w:sz w:val="22"/>
          <w:szCs w:val="22"/>
          <w:lang w:val="sk-SK"/>
        </w:rPr>
        <w:t xml:space="preserve">Tieto výsledky zodpovedajú pozitívnej karcinogenite v štúdii s </w:t>
      </w:r>
      <w:proofErr w:type="spellStart"/>
      <w:r w:rsidRPr="00AF1AB0">
        <w:rPr>
          <w:sz w:val="22"/>
          <w:szCs w:val="22"/>
          <w:lang w:val="sk-SK"/>
        </w:rPr>
        <w:t>ganciklovirom</w:t>
      </w:r>
      <w:proofErr w:type="spellEnd"/>
      <w:r w:rsidRPr="00AF1AB0">
        <w:rPr>
          <w:sz w:val="22"/>
          <w:szCs w:val="22"/>
          <w:lang w:val="sk-SK"/>
        </w:rPr>
        <w:t xml:space="preserve"> na myšiach. </w:t>
      </w:r>
      <w:proofErr w:type="spellStart"/>
      <w:r w:rsidRPr="00AF1AB0">
        <w:rPr>
          <w:sz w:val="22"/>
          <w:szCs w:val="22"/>
          <w:lang w:val="sk-SK"/>
        </w:rPr>
        <w:t>Ganciclovir</w:t>
      </w:r>
      <w:proofErr w:type="spellEnd"/>
      <w:r w:rsidRPr="00AF1AB0">
        <w:rPr>
          <w:sz w:val="22"/>
          <w:szCs w:val="22"/>
          <w:lang w:val="sk-SK"/>
        </w:rPr>
        <w:t xml:space="preserve"> je potenciálny karcinogén.</w:t>
      </w:r>
    </w:p>
    <w:p w14:paraId="50DDA9F7" w14:textId="77777777" w:rsidR="005F1949" w:rsidRDefault="005F1949" w:rsidP="005F1949">
      <w:pPr>
        <w:pStyle w:val="TextTi12"/>
        <w:spacing w:after="0" w:line="240" w:lineRule="auto"/>
        <w:jc w:val="left"/>
        <w:rPr>
          <w:snapToGrid w:val="0"/>
          <w:sz w:val="22"/>
          <w:szCs w:val="22"/>
          <w:lang w:val="sk-SK"/>
        </w:rPr>
      </w:pPr>
    </w:p>
    <w:p w14:paraId="62CE5633" w14:textId="77777777" w:rsidR="005F1949" w:rsidRDefault="005F1949" w:rsidP="005F1949">
      <w:pPr>
        <w:pStyle w:val="TextTi12"/>
        <w:spacing w:after="0" w:line="240" w:lineRule="auto"/>
        <w:jc w:val="left"/>
        <w:rPr>
          <w:snapToGrid w:val="0"/>
          <w:sz w:val="22"/>
          <w:szCs w:val="22"/>
          <w:lang w:val="sk-SK"/>
        </w:rPr>
      </w:pPr>
      <w:proofErr w:type="spellStart"/>
      <w:r w:rsidRPr="004256FA">
        <w:rPr>
          <w:snapToGrid w:val="0"/>
          <w:sz w:val="22"/>
          <w:szCs w:val="22"/>
          <w:lang w:val="sk-SK"/>
        </w:rPr>
        <w:t>Ganciklovir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poškodzuje plodnosť a má teratogénne účinky u zvierat. Na základe štúdií na zvieratách, u ktorých systémovo pôsobiaci </w:t>
      </w:r>
      <w:proofErr w:type="spellStart"/>
      <w:r w:rsidRPr="004256FA">
        <w:rPr>
          <w:snapToGrid w:val="0"/>
          <w:sz w:val="22"/>
          <w:szCs w:val="22"/>
          <w:lang w:val="sk-SK"/>
        </w:rPr>
        <w:t>g</w:t>
      </w:r>
      <w:r>
        <w:rPr>
          <w:snapToGrid w:val="0"/>
          <w:sz w:val="22"/>
          <w:szCs w:val="22"/>
          <w:lang w:val="sk-SK"/>
        </w:rPr>
        <w:t>a</w:t>
      </w:r>
      <w:r w:rsidRPr="004256FA">
        <w:rPr>
          <w:snapToGrid w:val="0"/>
          <w:sz w:val="22"/>
          <w:szCs w:val="22"/>
          <w:lang w:val="sk-SK"/>
        </w:rPr>
        <w:t>nciklovir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indukoval </w:t>
      </w:r>
      <w:r>
        <w:rPr>
          <w:snapToGrid w:val="0"/>
          <w:sz w:val="22"/>
          <w:szCs w:val="22"/>
          <w:lang w:val="sk-SK"/>
        </w:rPr>
        <w:t xml:space="preserve">inhibíciu </w:t>
      </w:r>
      <w:proofErr w:type="spellStart"/>
      <w:r w:rsidRPr="004256FA">
        <w:rPr>
          <w:snapToGrid w:val="0"/>
          <w:sz w:val="22"/>
          <w:szCs w:val="22"/>
          <w:lang w:val="sk-SK"/>
        </w:rPr>
        <w:t>spermatogenéz</w:t>
      </w:r>
      <w:r>
        <w:rPr>
          <w:snapToGrid w:val="0"/>
          <w:sz w:val="22"/>
          <w:szCs w:val="22"/>
          <w:lang w:val="sk-SK"/>
        </w:rPr>
        <w:t>y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pri jeho </w:t>
      </w:r>
      <w:proofErr w:type="spellStart"/>
      <w:r w:rsidRPr="004256FA">
        <w:rPr>
          <w:snapToGrid w:val="0"/>
          <w:sz w:val="22"/>
          <w:szCs w:val="22"/>
          <w:lang w:val="sk-SK"/>
        </w:rPr>
        <w:t>subterapeutických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hladinách, sa pokladá za pravdepodobné, že </w:t>
      </w:r>
      <w:proofErr w:type="spellStart"/>
      <w:r w:rsidRPr="004256FA">
        <w:rPr>
          <w:snapToGrid w:val="0"/>
          <w:sz w:val="22"/>
          <w:szCs w:val="22"/>
          <w:lang w:val="sk-SK"/>
        </w:rPr>
        <w:t>ganciklovir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by mohol zapríčiniť inhibíciu </w:t>
      </w:r>
      <w:proofErr w:type="spellStart"/>
      <w:r w:rsidRPr="004256FA">
        <w:rPr>
          <w:snapToGrid w:val="0"/>
          <w:sz w:val="22"/>
          <w:szCs w:val="22"/>
          <w:lang w:val="sk-SK"/>
        </w:rPr>
        <w:t>spermatogenézy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u mužov.</w:t>
      </w:r>
    </w:p>
    <w:p w14:paraId="20CDCAD4" w14:textId="77777777" w:rsidR="005F1949" w:rsidRPr="0051192C" w:rsidRDefault="005F1949" w:rsidP="005F1949">
      <w:pPr>
        <w:pStyle w:val="Text"/>
        <w:rPr>
          <w:rFonts w:ascii="Times New Roman" w:hAnsi="Times New Roman"/>
          <w:sz w:val="22"/>
          <w:szCs w:val="22"/>
          <w:lang w:val="sk-SK"/>
        </w:rPr>
      </w:pPr>
    </w:p>
    <w:p w14:paraId="11EAFADD" w14:textId="77777777" w:rsidR="005F1949" w:rsidRPr="00D92492" w:rsidRDefault="005F1949" w:rsidP="005F1949">
      <w:pPr>
        <w:rPr>
          <w:rFonts w:ascii="Times New Roman" w:hAnsi="Times New Roman"/>
          <w:caps/>
          <w:sz w:val="22"/>
          <w:szCs w:val="22"/>
          <w:lang w:val="sk-SK"/>
        </w:rPr>
      </w:pPr>
    </w:p>
    <w:p w14:paraId="7EA6AD93" w14:textId="77777777" w:rsidR="005F1949" w:rsidRPr="00AF1AB0" w:rsidRDefault="005F1949" w:rsidP="005F1949">
      <w:pPr>
        <w:keepNext/>
        <w:keepLines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6.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Farmaceutické informácie</w:t>
      </w:r>
    </w:p>
    <w:p w14:paraId="5B5DD092" w14:textId="77777777" w:rsidR="005F1949" w:rsidRPr="00D92492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14:paraId="391747BB" w14:textId="77777777" w:rsidR="005F1949" w:rsidRPr="00AF1AB0" w:rsidRDefault="005F1949" w:rsidP="005F1949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Zoznam pomocných látok</w:t>
      </w:r>
    </w:p>
    <w:p w14:paraId="4D27B0D7" w14:textId="77777777" w:rsidR="005F1949" w:rsidRPr="00AF1AB0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14:paraId="06B81521" w14:textId="77777777" w:rsidR="005F1949" w:rsidRPr="001D2AF2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Hydroxid sodný (na úpravu pH)</w:t>
      </w:r>
    </w:p>
    <w:p w14:paraId="5F0F517A" w14:textId="77777777" w:rsidR="005F1949" w:rsidRPr="001D2AF2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Kyselina chlorovodíková (na úpravu pH)</w:t>
      </w:r>
    </w:p>
    <w:p w14:paraId="69B5A1E4" w14:textId="70C5BCE1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9512757" w14:textId="77777777" w:rsidR="008525C4" w:rsidRPr="00AF1AB0" w:rsidRDefault="008525C4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810893B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Inkompatibility</w:t>
      </w:r>
    </w:p>
    <w:p w14:paraId="2D6DA1BC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1E2622A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 xml:space="preserve">Nevykonali sa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štúdie kompatibility,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preto sa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tento liek nesmie </w:t>
      </w:r>
      <w:r>
        <w:rPr>
          <w:rFonts w:ascii="Times New Roman" w:hAnsi="Times New Roman"/>
          <w:sz w:val="22"/>
          <w:szCs w:val="24"/>
          <w:lang w:val="sk-SK" w:eastAsia="ja-JP"/>
        </w:rPr>
        <w:t>miešať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s inými liekmi </w:t>
      </w:r>
      <w:r>
        <w:rPr>
          <w:rFonts w:ascii="Times New Roman" w:hAnsi="Times New Roman"/>
          <w:sz w:val="22"/>
          <w:szCs w:val="24"/>
          <w:lang w:val="sk-SK" w:eastAsia="ja-JP"/>
        </w:rPr>
        <w:t>okrem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tých, ktoré sú uvedené v časti 6.6. Nepoužívať 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bakteriostatickú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vodu na injekciu s prísadou 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parabénov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(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parahydroxybenzoáty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), pretože sú s 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inkompatibilné a môžu spôsobovať precipitáciu.</w:t>
      </w:r>
    </w:p>
    <w:p w14:paraId="44DCE04A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8955A76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6.3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Čas použiteľnosti</w:t>
      </w:r>
    </w:p>
    <w:p w14:paraId="44BC4A11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67248EB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F1AB0">
        <w:rPr>
          <w:rFonts w:ascii="Times New Roman" w:hAnsi="Times New Roman"/>
          <w:sz w:val="22"/>
          <w:szCs w:val="22"/>
          <w:lang w:val="sk-SK"/>
        </w:rPr>
        <w:t>roky</w:t>
      </w:r>
    </w:p>
    <w:p w14:paraId="69641192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F0302B4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Po rekonštitúcii:</w:t>
      </w:r>
    </w:p>
    <w:p w14:paraId="718B861C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Chemická a fyzikálna stabilita pre použitie bola u rekonštituovaného lieku (po jeho rozpustení vo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vode na injekciu) preukázaná počas 12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hodín pri teplote 25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°C. Neuchovávajte v chladničke alebo mrazničke.</w:t>
      </w:r>
    </w:p>
    <w:p w14:paraId="10A4CE65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Z mikrobiologického hľadiska sa má rekonštituovaný roztok použiť okamžite. Ak sa nepoužije okamžite, za dobu uchovávania a za podmienky pred použitím je zodpovedný používateľ.</w:t>
      </w:r>
    </w:p>
    <w:p w14:paraId="1D8EB3AA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068F325D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Po rozriedení:</w:t>
      </w:r>
    </w:p>
    <w:p w14:paraId="3E8BD6B4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Chemická a fyzikálna stabilita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pre použitie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sa preukázala počas 24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hodín pri teplote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°C (nezmrazujte).</w:t>
      </w:r>
    </w:p>
    <w:p w14:paraId="15B884B8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62C84BB3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Z mikrobiologického hľadiska sa má infúzny roztok 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použiť okamžite. Ak sa nepoužije okamžite, za dobu uchovávania a za podmienky pred použitím je zodpovedný používateľ, doba nesmie prekročiť 24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hodín pri teplote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°C až 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°C, </w:t>
      </w:r>
      <w:r>
        <w:rPr>
          <w:rFonts w:ascii="Times New Roman" w:hAnsi="Times New Roman"/>
          <w:sz w:val="22"/>
          <w:szCs w:val="24"/>
          <w:lang w:val="sk-SK" w:eastAsia="ja-JP"/>
        </w:rPr>
        <w:t>pokiaľ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rozpustenie vo vode na injekciu (rekonštitúcia)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riedenie </w:t>
      </w:r>
      <w:r>
        <w:rPr>
          <w:rFonts w:ascii="Times New Roman" w:hAnsi="Times New Roman"/>
          <w:sz w:val="22"/>
          <w:szCs w:val="24"/>
          <w:lang w:val="sk-SK" w:eastAsia="ja-JP"/>
        </w:rPr>
        <w:t>ne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prebehlo za kontrolovaných 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validovaných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aseptických podmienok.</w:t>
      </w:r>
    </w:p>
    <w:p w14:paraId="390D0F75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516D7E4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6.4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Špeciálne u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>pozorneni</w:t>
      </w:r>
      <w:r>
        <w:rPr>
          <w:rFonts w:ascii="Times New Roman" w:hAnsi="Times New Roman"/>
          <w:b/>
          <w:sz w:val="22"/>
          <w:szCs w:val="22"/>
          <w:lang w:val="sk-SK"/>
        </w:rPr>
        <w:t>a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na </w:t>
      </w:r>
      <w:r>
        <w:rPr>
          <w:rFonts w:ascii="Times New Roman" w:hAnsi="Times New Roman"/>
          <w:b/>
          <w:sz w:val="22"/>
          <w:szCs w:val="22"/>
          <w:lang w:val="sk-SK"/>
        </w:rPr>
        <w:t>uchovávanie</w:t>
      </w:r>
    </w:p>
    <w:p w14:paraId="18651E3F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A46173F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Tento liek nevyžaduje žiadne zvláštne podmienky na </w:t>
      </w:r>
      <w:r>
        <w:rPr>
          <w:rFonts w:ascii="Times New Roman" w:hAnsi="Times New Roman"/>
          <w:sz w:val="22"/>
          <w:szCs w:val="24"/>
          <w:lang w:val="sk-SK" w:eastAsia="ja-JP"/>
        </w:rPr>
        <w:t>uchovávanie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6DF6CD36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302B7E3D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P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odmienky </w:t>
      </w:r>
      <w:r w:rsidRPr="00E20E82">
        <w:rPr>
          <w:rFonts w:ascii="Times New Roman" w:hAnsi="Times New Roman"/>
          <w:sz w:val="22"/>
          <w:szCs w:val="24"/>
          <w:lang w:val="sk-SK" w:eastAsia="ja-JP"/>
        </w:rPr>
        <w:t>na uchovávanie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po rekonštitúcii a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riedení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lieku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, 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6.3.</w:t>
      </w:r>
    </w:p>
    <w:p w14:paraId="0F96BA1D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46E96BF" w14:textId="77777777" w:rsidR="005F1949" w:rsidRPr="00AF1AB0" w:rsidRDefault="005F1949" w:rsidP="005F1949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6.5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Druh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obalu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a obsah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balenia</w:t>
      </w:r>
    </w:p>
    <w:p w14:paraId="4199D74E" w14:textId="77777777" w:rsidR="005F1949" w:rsidRPr="00AF1AB0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14:paraId="45E5B4D6" w14:textId="77777777" w:rsidR="005F1949" w:rsidRPr="00F073EA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F073EA">
        <w:rPr>
          <w:rFonts w:ascii="Times New Roman" w:hAnsi="Times New Roman"/>
          <w:sz w:val="22"/>
          <w:szCs w:val="24"/>
          <w:lang w:val="sk-SK" w:eastAsia="ja-JP"/>
        </w:rPr>
        <w:t>Balenie na jedno použitie obsahuje jednu 10 ml sklenenú injekčnú liekovku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proofErr w:type="spellStart"/>
      <w:r w:rsidRPr="00F073EA">
        <w:rPr>
          <w:rFonts w:ascii="Times New Roman" w:hAnsi="Times New Roman"/>
          <w:sz w:val="22"/>
          <w:szCs w:val="24"/>
          <w:lang w:val="sk-SK" w:eastAsia="ja-JP"/>
        </w:rPr>
        <w:t>fluoro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živicov</w:t>
      </w:r>
      <w:r>
        <w:rPr>
          <w:rFonts w:ascii="Times New Roman" w:hAnsi="Times New Roman"/>
          <w:sz w:val="22"/>
          <w:szCs w:val="24"/>
          <w:lang w:val="sk-SK" w:eastAsia="ja-JP"/>
        </w:rPr>
        <w:t>ou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zalaminovan</w:t>
      </w:r>
      <w:r>
        <w:rPr>
          <w:rFonts w:ascii="Times New Roman" w:hAnsi="Times New Roman"/>
          <w:sz w:val="22"/>
          <w:szCs w:val="24"/>
          <w:lang w:val="sk-SK" w:eastAsia="ja-JP"/>
        </w:rPr>
        <w:t>ou/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silikonizovanou</w:t>
      </w:r>
      <w:proofErr w:type="spellEnd"/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kaučuko</w:t>
      </w:r>
      <w:r>
        <w:rPr>
          <w:rFonts w:ascii="Times New Roman" w:hAnsi="Times New Roman"/>
          <w:sz w:val="22"/>
          <w:szCs w:val="24"/>
          <w:lang w:val="sk-SK" w:eastAsia="ja-JP"/>
        </w:rPr>
        <w:t>vou zátkou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a hliníkovým uz</w:t>
      </w:r>
      <w:r>
        <w:rPr>
          <w:rFonts w:ascii="Times New Roman" w:hAnsi="Times New Roman"/>
          <w:sz w:val="22"/>
          <w:szCs w:val="24"/>
          <w:lang w:val="sk-SK" w:eastAsia="ja-JP"/>
        </w:rPr>
        <w:t>áverom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s odtrhávacím viečkom (</w:t>
      </w:r>
      <w:proofErr w:type="spellStart"/>
      <w:r w:rsidRPr="00F073EA">
        <w:rPr>
          <w:rFonts w:ascii="Times New Roman" w:hAnsi="Times New Roman"/>
          <w:sz w:val="22"/>
          <w:szCs w:val="24"/>
          <w:lang w:val="sk-SK" w:eastAsia="ja-JP"/>
        </w:rPr>
        <w:t>flip-off</w:t>
      </w:r>
      <w:proofErr w:type="spellEnd"/>
      <w:r w:rsidRPr="00F073EA">
        <w:rPr>
          <w:rFonts w:ascii="Times New Roman" w:hAnsi="Times New Roman"/>
          <w:sz w:val="22"/>
          <w:szCs w:val="24"/>
          <w:lang w:val="sk-SK" w:eastAsia="ja-JP"/>
        </w:rPr>
        <w:t>).</w:t>
      </w:r>
    </w:p>
    <w:p w14:paraId="185745FE" w14:textId="77777777" w:rsidR="005F1949" w:rsidRPr="00F073EA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F073EA">
        <w:rPr>
          <w:rFonts w:ascii="Times New Roman" w:hAnsi="Times New Roman"/>
          <w:sz w:val="22"/>
          <w:szCs w:val="24"/>
          <w:lang w:val="sk-SK" w:eastAsia="ja-JP"/>
        </w:rPr>
        <w:t>Dostupné v baleniach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alebo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injekčnými liekovkami.</w:t>
      </w:r>
    </w:p>
    <w:p w14:paraId="6724E95A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F073EA">
        <w:rPr>
          <w:rFonts w:ascii="Times New Roman" w:hAnsi="Times New Roman"/>
          <w:sz w:val="22"/>
          <w:szCs w:val="24"/>
          <w:lang w:val="sk-SK" w:eastAsia="ja-JP"/>
        </w:rPr>
        <w:t>Na trh nemusia byť uvedené všetky veľkosti balenia.</w:t>
      </w:r>
    </w:p>
    <w:p w14:paraId="0E1917DC" w14:textId="77777777" w:rsidR="005F1949" w:rsidRPr="00AF1AB0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73B5178E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6.6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Špeciálne opatrenia na likvidáciu a na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zaobchádzani</w:t>
      </w:r>
      <w:r>
        <w:rPr>
          <w:rFonts w:ascii="Times New Roman" w:hAnsi="Times New Roman"/>
          <w:b/>
          <w:sz w:val="22"/>
          <w:szCs w:val="22"/>
          <w:lang w:val="sk-SK"/>
        </w:rPr>
        <w:t>e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s liekom</w:t>
      </w:r>
    </w:p>
    <w:p w14:paraId="05558B1D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DC699FF" w14:textId="77777777" w:rsidR="005F1949" w:rsidRPr="00C86475" w:rsidRDefault="005F1949" w:rsidP="005F1949">
      <w:pPr>
        <w:rPr>
          <w:rFonts w:ascii="Times New Roman" w:hAnsi="Times New Roman"/>
          <w:b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Pri zaobchádzaní s 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 je potrebná opatrnosť.</w:t>
      </w:r>
    </w:p>
    <w:p w14:paraId="070EA9E6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Keďže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sa pokladá u ľudí za potenciálne teratogénne a karcinogénne, pri zaobchádzaní s ním je potrebná opatrnosť. Je nutné zabrániť inhalácii prášku alebo priamemu kontaktu prášku v liekovkách, alebo pripraveného roztoku s kožou alebo sliznicami. Roztok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je alkalický (pH je približne 11). Pri náhodnom kontakte je potrebné zasiahnutú časť dôkladne umyť mydlom a vodou, zasiahnuté oči dôkladne vypláchnuť čistou vodou.</w:t>
      </w:r>
    </w:p>
    <w:p w14:paraId="5898A35C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2BFF336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u w:val="single"/>
          <w:lang w:val="sk-SK" w:eastAsia="ja-JP"/>
        </w:rPr>
        <w:t>Príprava rekonštituovaného koncentrátu</w:t>
      </w:r>
    </w:p>
    <w:p w14:paraId="48E242F2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B2F2026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Rekonštitúcia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lyofilizátu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má prebiehať za aseptických podmienok.</w:t>
      </w:r>
    </w:p>
    <w:p w14:paraId="49F10A4D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3F25042A" w14:textId="77777777" w:rsidR="005F1949" w:rsidRPr="00C86475" w:rsidRDefault="005F1949" w:rsidP="005F1949">
      <w:pPr>
        <w:rPr>
          <w:rFonts w:ascii="Times New Roman" w:hAnsi="Times New Roman"/>
          <w:b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1. Odtrhávacie viečko sa má odstrániť, aby sa sprístupnila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stredná časť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kaučukov</w:t>
      </w:r>
      <w:r>
        <w:rPr>
          <w:rFonts w:ascii="Times New Roman" w:hAnsi="Times New Roman"/>
          <w:sz w:val="22"/>
          <w:szCs w:val="24"/>
          <w:lang w:val="sk-SK" w:eastAsia="ja-JP"/>
        </w:rPr>
        <w:t>ej zátky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. Natiahnite 10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ml vody na injekciu do striekačky a potom pomaly vstrieknite stredom kaučukov</w:t>
      </w:r>
      <w:r>
        <w:rPr>
          <w:rFonts w:ascii="Times New Roman" w:hAnsi="Times New Roman"/>
          <w:sz w:val="22"/>
          <w:szCs w:val="24"/>
          <w:lang w:val="sk-SK" w:eastAsia="ja-JP"/>
        </w:rPr>
        <w:t>ej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ja-JP"/>
        </w:rPr>
        <w:t>zátky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do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injekčnej liekovky, ihlu striekačky nasmerujte k stene liekovky. </w:t>
      </w:r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Nepoužívať 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bakteriostatickú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 vodu na injekciu s prísadou 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parabénov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 (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parahydroxybenzoáty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), pretože nie je s 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 kompatibilná.</w:t>
      </w:r>
    </w:p>
    <w:p w14:paraId="0A1D9115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B539398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2. Injekčnou liekovkou sa má jemne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zakrúžiť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, aby sa zaistilo, že sa látka rozpustí.</w:t>
      </w:r>
    </w:p>
    <w:p w14:paraId="4051F434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3123B65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3. Injekčnou liekovkou sa má niekoľko minút jemne krúžiť/triasť, aby sa dosiahol čistý, rekonštituovaný roztok.</w:t>
      </w:r>
    </w:p>
    <w:p w14:paraId="0D7D56A1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1C71162A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4. Rekonštituovaný roztok sa má starostlivo skontrolovať, aby sa zaistilo, že liek je rozpustený a prakticky bez viditeľných častíc ešte pred rozriedením kompatibilným rozpúšťadlom. Farba rekonštituovaného roztoku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môže byť bezfarebná až svetložltá.</w:t>
      </w:r>
    </w:p>
    <w:p w14:paraId="396BFB29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E8F2CAE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P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odmienky </w:t>
      </w:r>
      <w:r>
        <w:rPr>
          <w:rFonts w:ascii="Times New Roman" w:hAnsi="Times New Roman"/>
          <w:sz w:val="22"/>
          <w:szCs w:val="24"/>
          <w:lang w:val="sk-SK" w:eastAsia="ja-JP"/>
        </w:rPr>
        <w:t>na uchovávanie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rekonštituovaného koncentrátu, 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6.3.</w:t>
      </w:r>
    </w:p>
    <w:p w14:paraId="55B218C7" w14:textId="77777777" w:rsidR="005F1949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14:paraId="2C6D7704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u w:val="single"/>
          <w:lang w:val="sk-SK" w:eastAsia="ja-JP"/>
        </w:rPr>
        <w:t>Príprava konečného riedeného roztoku na infúziu</w:t>
      </w:r>
    </w:p>
    <w:p w14:paraId="7E7B9D6E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67538204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Na základe telesnej hmotnosti pacienta sa ihlou z injekčnej liekovky odoberie adekvátny objem a následne sa nariedi do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príslušného roztoku na infúziu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. Do rekonštituovaného roztoku sa pridá 100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ml riediaceho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roztoku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. Infúzne koncentrácie väčšie než 10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mg/ml sa neodporúčajú.</w:t>
      </w:r>
    </w:p>
    <w:p w14:paraId="09AFB371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Chlorid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sodný,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%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dextróza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Ringerov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roztok alebo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Ringerov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roztok s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mliečnanom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sodným sú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určené ako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chemicky alebo fyzikálne kompatibilné s 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34839D50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3836E6CC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sa nemá miešať s inými liekmi podávanými intravenózne.</w:t>
      </w:r>
    </w:p>
    <w:p w14:paraId="2D40E6B1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DDEF230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Zriedený roztok sa má následne podať intravenóznou infúziou počas viac ako 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hodiny, ako je uvedené 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časti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4.2. Nepodávajte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intramuskulárnou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alebo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subkutánnou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injekciou, pretože to môže vyvolať závažné podráždenie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tkaniva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z dôvodu vysokého pH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(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približne 11) roztoku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5CFDE5C4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1364713D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P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odmienky </w:t>
      </w:r>
      <w:r>
        <w:rPr>
          <w:rFonts w:ascii="Times New Roman" w:hAnsi="Times New Roman"/>
          <w:sz w:val="22"/>
          <w:szCs w:val="24"/>
          <w:lang w:val="sk-SK" w:eastAsia="ja-JP"/>
        </w:rPr>
        <w:t>na uchovávanie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nariedeného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infúzneho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roztoku, 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6.3.</w:t>
      </w:r>
    </w:p>
    <w:p w14:paraId="0F58ED42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14:paraId="6192A403" w14:textId="77777777" w:rsidR="005F1949" w:rsidRPr="00C86475" w:rsidRDefault="005F1949" w:rsidP="005F1949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u w:val="single"/>
          <w:lang w:val="sk-SK" w:eastAsia="ja-JP"/>
        </w:rPr>
        <w:t>Likvidácia</w:t>
      </w:r>
    </w:p>
    <w:p w14:paraId="51AAF948" w14:textId="77777777" w:rsidR="005F1949" w:rsidRPr="00C86475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14:paraId="272A121B" w14:textId="77777777" w:rsidR="005F1949" w:rsidRPr="00C86475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Len na jednorazové použitie. Všetok nepoužitý liek alebo odpad vzniknutý z lieku sa má zlikvidovať v súlade s národnými požiadavkami.</w:t>
      </w:r>
    </w:p>
    <w:p w14:paraId="14054C36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A496226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5C471DED" w14:textId="77777777" w:rsidR="005F1949" w:rsidRPr="00AF1AB0" w:rsidRDefault="005F1949" w:rsidP="005F1949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7.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Držiteľ rozhodnutia o registrácii</w:t>
      </w:r>
    </w:p>
    <w:p w14:paraId="2F53E9EF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14251B0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CHEPLAPHARM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Arzneimittel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GmbH</w:t>
      </w:r>
      <w:proofErr w:type="spellEnd"/>
    </w:p>
    <w:p w14:paraId="28449AF1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Ziegelhof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24</w:t>
      </w:r>
    </w:p>
    <w:p w14:paraId="6AF8C665" w14:textId="77777777" w:rsidR="005F1949" w:rsidRPr="0095307C" w:rsidRDefault="005F1949" w:rsidP="005F1949">
      <w:pPr>
        <w:rPr>
          <w:rFonts w:ascii="Times New Roman" w:hAnsi="Times New Roman"/>
          <w:iCs/>
          <w:sz w:val="22"/>
          <w:szCs w:val="22"/>
          <w:lang w:val="sk-SK"/>
        </w:rPr>
      </w:pPr>
      <w:r w:rsidRPr="0095307C">
        <w:rPr>
          <w:rFonts w:ascii="Times New Roman" w:hAnsi="Times New Roman"/>
          <w:iCs/>
          <w:sz w:val="22"/>
          <w:szCs w:val="22"/>
          <w:lang w:val="sk-SK"/>
        </w:rPr>
        <w:t xml:space="preserve">17489 </w:t>
      </w:r>
      <w:proofErr w:type="spellStart"/>
      <w:r w:rsidRPr="0095307C">
        <w:rPr>
          <w:rFonts w:ascii="Times New Roman" w:hAnsi="Times New Roman"/>
          <w:iCs/>
          <w:sz w:val="22"/>
          <w:szCs w:val="22"/>
          <w:lang w:val="sk-SK"/>
        </w:rPr>
        <w:t>Greifswald</w:t>
      </w:r>
      <w:proofErr w:type="spellEnd"/>
    </w:p>
    <w:p w14:paraId="64E00F65" w14:textId="77777777" w:rsidR="005F1949" w:rsidRPr="00910C7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Nemecko</w:t>
      </w:r>
    </w:p>
    <w:p w14:paraId="02BB7587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C987BBB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0CF9DE9" w14:textId="77777777" w:rsidR="005F1949" w:rsidRPr="00AF1AB0" w:rsidRDefault="005F1949" w:rsidP="005F1949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8.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Registračné číslo</w:t>
      </w:r>
    </w:p>
    <w:p w14:paraId="27E9D07C" w14:textId="77777777" w:rsidR="005F1949" w:rsidRPr="000F6AA6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FEFDA8C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42/0138/91-C/S</w:t>
      </w:r>
    </w:p>
    <w:p w14:paraId="3F9FFADC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767A721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5E839BB1" w14:textId="77777777" w:rsidR="005F1949" w:rsidRPr="00AF1AB0" w:rsidRDefault="005F1949" w:rsidP="005F1949">
      <w:pPr>
        <w:rPr>
          <w:rFonts w:ascii="Times New Roman" w:hAnsi="Times New Roman"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9.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 xml:space="preserve">dátum 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 xml:space="preserve">PRVEJ </w:t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REGISTRÁCIE/predĺženia registrácie</w:t>
      </w:r>
    </w:p>
    <w:p w14:paraId="79F8B521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5549BF67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6D4FD5">
        <w:rPr>
          <w:rFonts w:ascii="Times New Roman" w:hAnsi="Times New Roman"/>
          <w:sz w:val="22"/>
          <w:szCs w:val="22"/>
          <w:lang w:val="sk-SK"/>
        </w:rPr>
        <w:t xml:space="preserve">Dátum prvej registrácie: </w:t>
      </w:r>
      <w:r w:rsidRPr="00AF1AB0">
        <w:rPr>
          <w:rFonts w:ascii="Times New Roman" w:hAnsi="Times New Roman"/>
          <w:sz w:val="22"/>
          <w:szCs w:val="22"/>
          <w:lang w:val="sk-SK"/>
        </w:rPr>
        <w:t>20.</w:t>
      </w:r>
      <w:r>
        <w:rPr>
          <w:rFonts w:ascii="Times New Roman" w:hAnsi="Times New Roman"/>
          <w:sz w:val="22"/>
          <w:szCs w:val="22"/>
          <w:lang w:val="sk-SK"/>
        </w:rPr>
        <w:t xml:space="preserve"> marca </w:t>
      </w:r>
      <w:r w:rsidRPr="00AF1AB0">
        <w:rPr>
          <w:rFonts w:ascii="Times New Roman" w:hAnsi="Times New Roman"/>
          <w:sz w:val="22"/>
          <w:szCs w:val="22"/>
          <w:lang w:val="sk-SK"/>
        </w:rPr>
        <w:t>1991</w:t>
      </w:r>
    </w:p>
    <w:p w14:paraId="0940BB8C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6D4FD5">
        <w:rPr>
          <w:rFonts w:ascii="Times New Roman" w:hAnsi="Times New Roman"/>
          <w:sz w:val="22"/>
          <w:szCs w:val="22"/>
          <w:lang w:val="sk-SK"/>
        </w:rPr>
        <w:t xml:space="preserve">Dátum posledného predĺženia registrácie: </w:t>
      </w:r>
      <w:r>
        <w:rPr>
          <w:rFonts w:ascii="Times New Roman" w:hAnsi="Times New Roman"/>
          <w:sz w:val="22"/>
          <w:szCs w:val="22"/>
          <w:lang w:val="sk-SK"/>
        </w:rPr>
        <w:t>28. apríla 2016</w:t>
      </w:r>
    </w:p>
    <w:p w14:paraId="13679745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822E865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E3A1241" w14:textId="77777777" w:rsidR="005F1949" w:rsidRDefault="005F1949" w:rsidP="005F1949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10.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Dátum revízie textu</w:t>
      </w:r>
    </w:p>
    <w:p w14:paraId="54DB1DDB" w14:textId="77777777" w:rsidR="005F1949" w:rsidRPr="000F6AA6" w:rsidRDefault="005F1949" w:rsidP="005F1949">
      <w:pPr>
        <w:rPr>
          <w:rFonts w:ascii="Times New Roman" w:hAnsi="Times New Roman"/>
          <w:caps/>
          <w:sz w:val="22"/>
          <w:szCs w:val="22"/>
          <w:lang w:val="sk-SK"/>
        </w:rPr>
      </w:pPr>
    </w:p>
    <w:p w14:paraId="0F94C7BB" w14:textId="2F899BC0" w:rsidR="005A268B" w:rsidRDefault="006D4EE9" w:rsidP="005F1949">
      <w:pPr>
        <w:outlineLvl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05/2020</w:t>
      </w:r>
    </w:p>
    <w:p w14:paraId="3BB01DF2" w14:textId="77777777" w:rsidR="008525C4" w:rsidRDefault="008525C4" w:rsidP="005F1949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49EC9A33" w14:textId="2BF39BE3" w:rsidR="005F1949" w:rsidRDefault="005F1949" w:rsidP="005F1949">
      <w:pPr>
        <w:outlineLvl w:val="0"/>
        <w:rPr>
          <w:rStyle w:val="Hypertextovprepojenie"/>
          <w:rFonts w:ascii="Times New Roman" w:hAnsi="Times New Roman"/>
          <w:sz w:val="22"/>
          <w:szCs w:val="22"/>
          <w:lang w:val="sk-SK"/>
        </w:rPr>
      </w:pPr>
      <w:r w:rsidRPr="00B3607B">
        <w:rPr>
          <w:rFonts w:ascii="Times New Roman" w:hAnsi="Times New Roman"/>
          <w:sz w:val="22"/>
          <w:szCs w:val="22"/>
          <w:lang w:val="sk-SK"/>
        </w:rPr>
        <w:t xml:space="preserve">Podrobné </w:t>
      </w:r>
      <w:r>
        <w:rPr>
          <w:rFonts w:ascii="Times New Roman" w:hAnsi="Times New Roman"/>
          <w:sz w:val="22"/>
          <w:szCs w:val="22"/>
          <w:lang w:val="sk-SK"/>
        </w:rPr>
        <w:t xml:space="preserve">informácie o tomto lieku sú dostupné na internetovej stránke </w:t>
      </w:r>
      <w:hyperlink r:id="rId9" w:history="1">
        <w:r w:rsidRPr="00A9670C">
          <w:rPr>
            <w:rStyle w:val="Hypertextovprepojenie"/>
            <w:rFonts w:ascii="Times New Roman" w:hAnsi="Times New Roman"/>
            <w:sz w:val="22"/>
            <w:szCs w:val="22"/>
            <w:lang w:val="sk-SK"/>
          </w:rPr>
          <w:t>www.sukl.sk</w:t>
        </w:r>
      </w:hyperlink>
    </w:p>
    <w:p w14:paraId="5E205EC0" w14:textId="77777777" w:rsidR="00C26556" w:rsidRDefault="00C26556" w:rsidP="00B20996">
      <w:pPr>
        <w:spacing w:after="200" w:line="276" w:lineRule="auto"/>
        <w:rPr>
          <w:rFonts w:ascii="Times New Roman" w:hAnsi="Times New Roman"/>
          <w:sz w:val="22"/>
          <w:szCs w:val="22"/>
          <w:lang w:val="sk-SK"/>
        </w:rPr>
      </w:pPr>
    </w:p>
    <w:sectPr w:rsidR="00C26556" w:rsidSect="00B3403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984D8" w14:textId="77777777" w:rsidR="006D29F6" w:rsidRDefault="006D29F6" w:rsidP="0010462A">
      <w:r>
        <w:separator/>
      </w:r>
    </w:p>
  </w:endnote>
  <w:endnote w:type="continuationSeparator" w:id="0">
    <w:p w14:paraId="267C9E2A" w14:textId="77777777" w:rsidR="006D29F6" w:rsidRDefault="006D29F6" w:rsidP="0010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06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CE9BDFD" w14:textId="77777777" w:rsidR="006D29F6" w:rsidRPr="006D29F6" w:rsidRDefault="006D29F6">
        <w:pPr>
          <w:pStyle w:val="Pta"/>
          <w:jc w:val="center"/>
          <w:rPr>
            <w:sz w:val="18"/>
            <w:szCs w:val="18"/>
          </w:rPr>
        </w:pPr>
        <w:r w:rsidRPr="006D29F6">
          <w:rPr>
            <w:rFonts w:ascii="Times New Roman" w:hAnsi="Times New Roman"/>
            <w:sz w:val="18"/>
            <w:szCs w:val="18"/>
          </w:rPr>
          <w:fldChar w:fldCharType="begin"/>
        </w:r>
        <w:r w:rsidRPr="006D29F6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6D29F6">
          <w:rPr>
            <w:rFonts w:ascii="Times New Roman" w:hAnsi="Times New Roman"/>
            <w:sz w:val="18"/>
            <w:szCs w:val="18"/>
          </w:rPr>
          <w:fldChar w:fldCharType="separate"/>
        </w:r>
        <w:r w:rsidR="00DB2865">
          <w:rPr>
            <w:rFonts w:ascii="Times New Roman" w:hAnsi="Times New Roman"/>
            <w:noProof/>
            <w:sz w:val="18"/>
            <w:szCs w:val="18"/>
          </w:rPr>
          <w:t>21</w:t>
        </w:r>
        <w:r w:rsidRPr="006D29F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E2A749E" w14:textId="77777777" w:rsidR="006D29F6" w:rsidRDefault="006D29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61488" w14:textId="77777777" w:rsidR="006D29F6" w:rsidRDefault="006D29F6" w:rsidP="0010462A">
      <w:r>
        <w:separator/>
      </w:r>
    </w:p>
  </w:footnote>
  <w:footnote w:type="continuationSeparator" w:id="0">
    <w:p w14:paraId="49F300FA" w14:textId="77777777" w:rsidR="006D29F6" w:rsidRDefault="006D29F6" w:rsidP="00104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FE9CE" w14:textId="6CD80C96" w:rsidR="006D29F6" w:rsidRPr="00BE2BBD" w:rsidRDefault="006D29F6" w:rsidP="001E5BD1">
    <w:pPr>
      <w:rPr>
        <w:lang w:val="sk-SK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č.1 k 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</w:t>
    </w:r>
    <w:proofErr w:type="spellEnd"/>
    <w:r>
      <w:rPr>
        <w:rFonts w:ascii="Times New Roman" w:hAnsi="Times New Roman"/>
        <w:sz w:val="18"/>
        <w:szCs w:val="18"/>
      </w:rPr>
      <w:t xml:space="preserve">. </w:t>
    </w:r>
    <w:proofErr w:type="gramStart"/>
    <w:r>
      <w:rPr>
        <w:rFonts w:ascii="Times New Roman" w:hAnsi="Times New Roman"/>
        <w:sz w:val="18"/>
        <w:szCs w:val="18"/>
      </w:rPr>
      <w:t>č</w:t>
    </w:r>
    <w:r w:rsidRPr="00D611DF">
      <w:rPr>
        <w:rFonts w:ascii="Times New Roman" w:hAnsi="Times New Roman"/>
        <w:sz w:val="18"/>
        <w:szCs w:val="18"/>
      </w:rPr>
      <w:t>. :</w:t>
    </w:r>
    <w:proofErr w:type="gramEnd"/>
    <w:r w:rsidRPr="00D611DF">
      <w:rPr>
        <w:rFonts w:ascii="Times New Roman" w:hAnsi="Times New Roman"/>
        <w:sz w:val="18"/>
        <w:szCs w:val="18"/>
      </w:rPr>
      <w:t xml:space="preserve"> </w:t>
    </w:r>
    <w:r w:rsidRPr="00D611DF">
      <w:rPr>
        <w:rFonts w:ascii="Times New Roman" w:hAnsi="Times New Roman"/>
        <w:sz w:val="18"/>
        <w:szCs w:val="18"/>
        <w:shd w:val="clear" w:color="auto" w:fill="FFFFFF"/>
      </w:rPr>
      <w:t>2020/01181-Z1B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85E48"/>
    <w:multiLevelType w:val="singleLevel"/>
    <w:tmpl w:val="6C5C92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59F4D74"/>
    <w:multiLevelType w:val="hybridMultilevel"/>
    <w:tmpl w:val="41BE7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E6BB7"/>
    <w:multiLevelType w:val="singleLevel"/>
    <w:tmpl w:val="2E086E46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A8547FA"/>
    <w:multiLevelType w:val="singleLevel"/>
    <w:tmpl w:val="08B0C2DC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76541B1"/>
    <w:multiLevelType w:val="hybridMultilevel"/>
    <w:tmpl w:val="EE386C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958E2"/>
    <w:multiLevelType w:val="hybridMultilevel"/>
    <w:tmpl w:val="1922A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14CAF"/>
    <w:multiLevelType w:val="hybridMultilevel"/>
    <w:tmpl w:val="8DB00202"/>
    <w:lvl w:ilvl="0" w:tplc="65BA1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93795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9" w15:restartNumberingAfterBreak="0">
    <w:nsid w:val="35927311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0" w15:restartNumberingAfterBreak="0">
    <w:nsid w:val="395C3056"/>
    <w:multiLevelType w:val="hybridMultilevel"/>
    <w:tmpl w:val="4EF23108"/>
    <w:lvl w:ilvl="0" w:tplc="61A43C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55DCE"/>
    <w:multiLevelType w:val="hybridMultilevel"/>
    <w:tmpl w:val="FEEA2630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4843A57"/>
    <w:multiLevelType w:val="singleLevel"/>
    <w:tmpl w:val="AC00199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DB718DD"/>
    <w:multiLevelType w:val="hybridMultilevel"/>
    <w:tmpl w:val="1BB093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18A5F15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5" w15:restartNumberingAfterBreak="0">
    <w:nsid w:val="5A5B28CE"/>
    <w:multiLevelType w:val="hybridMultilevel"/>
    <w:tmpl w:val="54E8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433C3"/>
    <w:multiLevelType w:val="hybridMultilevel"/>
    <w:tmpl w:val="D362EA74"/>
    <w:lvl w:ilvl="0" w:tplc="2FF666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66972"/>
    <w:multiLevelType w:val="hybridMultilevel"/>
    <w:tmpl w:val="28BCF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82077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9" w15:restartNumberingAfterBreak="0">
    <w:nsid w:val="61507594"/>
    <w:multiLevelType w:val="hybridMultilevel"/>
    <w:tmpl w:val="24C034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CC283F"/>
    <w:multiLevelType w:val="hybridMultilevel"/>
    <w:tmpl w:val="572A3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BE4F59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22" w15:restartNumberingAfterBreak="0">
    <w:nsid w:val="78505BCA"/>
    <w:multiLevelType w:val="hybridMultilevel"/>
    <w:tmpl w:val="64348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96534"/>
    <w:multiLevelType w:val="hybridMultilevel"/>
    <w:tmpl w:val="703A0356"/>
    <w:lvl w:ilvl="0" w:tplc="08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B97189A"/>
    <w:multiLevelType w:val="hybridMultilevel"/>
    <w:tmpl w:val="0F384C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8"/>
  </w:num>
  <w:num w:numId="4">
    <w:abstractNumId w:val="9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3"/>
  </w:num>
  <w:num w:numId="8">
    <w:abstractNumId w:val="23"/>
  </w:num>
  <w:num w:numId="9">
    <w:abstractNumId w:val="2"/>
  </w:num>
  <w:num w:numId="10">
    <w:abstractNumId w:val="19"/>
  </w:num>
  <w:num w:numId="11">
    <w:abstractNumId w:val="5"/>
  </w:num>
  <w:num w:numId="12">
    <w:abstractNumId w:val="20"/>
  </w:num>
  <w:num w:numId="13">
    <w:abstractNumId w:val="22"/>
  </w:num>
  <w:num w:numId="14">
    <w:abstractNumId w:val="24"/>
  </w:num>
  <w:num w:numId="15">
    <w:abstractNumId w:val="11"/>
  </w:num>
  <w:num w:numId="16">
    <w:abstractNumId w:val="6"/>
  </w:num>
  <w:num w:numId="17">
    <w:abstractNumId w:val="17"/>
  </w:num>
  <w:num w:numId="18">
    <w:abstractNumId w:val="1"/>
  </w:num>
  <w:num w:numId="19">
    <w:abstractNumId w:val="12"/>
  </w:num>
  <w:num w:numId="20">
    <w:abstractNumId w:val="3"/>
  </w:num>
  <w:num w:numId="21">
    <w:abstractNumId w:val="4"/>
  </w:num>
  <w:num w:numId="22">
    <w:abstractNumId w:val="15"/>
  </w:num>
  <w:num w:numId="23">
    <w:abstractNumId w:val="7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C2"/>
    <w:rsid w:val="00020E9D"/>
    <w:rsid w:val="00040673"/>
    <w:rsid w:val="00042929"/>
    <w:rsid w:val="00073932"/>
    <w:rsid w:val="000B5F6C"/>
    <w:rsid w:val="000B6F07"/>
    <w:rsid w:val="000C00E6"/>
    <w:rsid w:val="000C0395"/>
    <w:rsid w:val="000C62D9"/>
    <w:rsid w:val="000D015B"/>
    <w:rsid w:val="000F1CE8"/>
    <w:rsid w:val="000F5085"/>
    <w:rsid w:val="001017EC"/>
    <w:rsid w:val="001041B8"/>
    <w:rsid w:val="0010462A"/>
    <w:rsid w:val="00114996"/>
    <w:rsid w:val="00121D69"/>
    <w:rsid w:val="00130CA9"/>
    <w:rsid w:val="00146171"/>
    <w:rsid w:val="00164723"/>
    <w:rsid w:val="00175FA7"/>
    <w:rsid w:val="0019349D"/>
    <w:rsid w:val="001C0E88"/>
    <w:rsid w:val="001C5C62"/>
    <w:rsid w:val="001C7AB9"/>
    <w:rsid w:val="001D21F7"/>
    <w:rsid w:val="001D66CC"/>
    <w:rsid w:val="001E5BD1"/>
    <w:rsid w:val="002022F8"/>
    <w:rsid w:val="00205A91"/>
    <w:rsid w:val="0025115B"/>
    <w:rsid w:val="002709EB"/>
    <w:rsid w:val="00274B84"/>
    <w:rsid w:val="0027595E"/>
    <w:rsid w:val="002B0B2C"/>
    <w:rsid w:val="002D1F9A"/>
    <w:rsid w:val="0032501A"/>
    <w:rsid w:val="00360295"/>
    <w:rsid w:val="00380DBA"/>
    <w:rsid w:val="00382935"/>
    <w:rsid w:val="003A534F"/>
    <w:rsid w:val="003C07FD"/>
    <w:rsid w:val="003D3540"/>
    <w:rsid w:val="003E52EF"/>
    <w:rsid w:val="003F358C"/>
    <w:rsid w:val="00414973"/>
    <w:rsid w:val="004258D4"/>
    <w:rsid w:val="00440601"/>
    <w:rsid w:val="004702F7"/>
    <w:rsid w:val="00471103"/>
    <w:rsid w:val="004B04E8"/>
    <w:rsid w:val="004C7FD3"/>
    <w:rsid w:val="0050033A"/>
    <w:rsid w:val="0051192C"/>
    <w:rsid w:val="005248A3"/>
    <w:rsid w:val="00577C07"/>
    <w:rsid w:val="005837FF"/>
    <w:rsid w:val="005A268B"/>
    <w:rsid w:val="005B307F"/>
    <w:rsid w:val="005D0E1B"/>
    <w:rsid w:val="005D3700"/>
    <w:rsid w:val="005D60B5"/>
    <w:rsid w:val="005F1949"/>
    <w:rsid w:val="005F5EB8"/>
    <w:rsid w:val="00603D82"/>
    <w:rsid w:val="006046BA"/>
    <w:rsid w:val="00613D12"/>
    <w:rsid w:val="00640F9A"/>
    <w:rsid w:val="0065238A"/>
    <w:rsid w:val="006545FA"/>
    <w:rsid w:val="006A18EA"/>
    <w:rsid w:val="006A538D"/>
    <w:rsid w:val="006B5FDE"/>
    <w:rsid w:val="006D29F6"/>
    <w:rsid w:val="006D4EE9"/>
    <w:rsid w:val="006F19A5"/>
    <w:rsid w:val="006F6D98"/>
    <w:rsid w:val="00714648"/>
    <w:rsid w:val="00714C38"/>
    <w:rsid w:val="0072363B"/>
    <w:rsid w:val="00743898"/>
    <w:rsid w:val="007663DB"/>
    <w:rsid w:val="007723C0"/>
    <w:rsid w:val="0078241B"/>
    <w:rsid w:val="00787293"/>
    <w:rsid w:val="00796838"/>
    <w:rsid w:val="007A2DCC"/>
    <w:rsid w:val="007A7EDE"/>
    <w:rsid w:val="007B4DDC"/>
    <w:rsid w:val="007C08F5"/>
    <w:rsid w:val="007C22C4"/>
    <w:rsid w:val="007C2532"/>
    <w:rsid w:val="007D2197"/>
    <w:rsid w:val="00820DF8"/>
    <w:rsid w:val="00832FD4"/>
    <w:rsid w:val="00841CDA"/>
    <w:rsid w:val="0084768E"/>
    <w:rsid w:val="008525C4"/>
    <w:rsid w:val="008646A7"/>
    <w:rsid w:val="008A40A8"/>
    <w:rsid w:val="008B7B95"/>
    <w:rsid w:val="008F5BDF"/>
    <w:rsid w:val="00953055"/>
    <w:rsid w:val="00954526"/>
    <w:rsid w:val="00955F00"/>
    <w:rsid w:val="00965D34"/>
    <w:rsid w:val="009716C2"/>
    <w:rsid w:val="00977779"/>
    <w:rsid w:val="009876A2"/>
    <w:rsid w:val="00994DCB"/>
    <w:rsid w:val="009B24D6"/>
    <w:rsid w:val="009B336C"/>
    <w:rsid w:val="009D0AAC"/>
    <w:rsid w:val="009D0ECE"/>
    <w:rsid w:val="009E4C75"/>
    <w:rsid w:val="00A00120"/>
    <w:rsid w:val="00A050DE"/>
    <w:rsid w:val="00A05C36"/>
    <w:rsid w:val="00A779F3"/>
    <w:rsid w:val="00AC78BB"/>
    <w:rsid w:val="00AC7F8C"/>
    <w:rsid w:val="00AE7DA4"/>
    <w:rsid w:val="00AF3600"/>
    <w:rsid w:val="00AF574B"/>
    <w:rsid w:val="00B20996"/>
    <w:rsid w:val="00B33D80"/>
    <w:rsid w:val="00B34036"/>
    <w:rsid w:val="00B36561"/>
    <w:rsid w:val="00B42ED9"/>
    <w:rsid w:val="00B46925"/>
    <w:rsid w:val="00B83A9C"/>
    <w:rsid w:val="00B84AF1"/>
    <w:rsid w:val="00BA5D0A"/>
    <w:rsid w:val="00BA6686"/>
    <w:rsid w:val="00BB678D"/>
    <w:rsid w:val="00BC04B1"/>
    <w:rsid w:val="00BC0D8D"/>
    <w:rsid w:val="00BE2BBD"/>
    <w:rsid w:val="00BE62EE"/>
    <w:rsid w:val="00C17F62"/>
    <w:rsid w:val="00C26556"/>
    <w:rsid w:val="00C3276E"/>
    <w:rsid w:val="00C3792E"/>
    <w:rsid w:val="00C43D73"/>
    <w:rsid w:val="00C55C91"/>
    <w:rsid w:val="00C67B2D"/>
    <w:rsid w:val="00C87A4B"/>
    <w:rsid w:val="00C94A04"/>
    <w:rsid w:val="00C977D1"/>
    <w:rsid w:val="00CC7AC3"/>
    <w:rsid w:val="00CD52CE"/>
    <w:rsid w:val="00CD6CC9"/>
    <w:rsid w:val="00CE2661"/>
    <w:rsid w:val="00D241D4"/>
    <w:rsid w:val="00D26819"/>
    <w:rsid w:val="00D611DF"/>
    <w:rsid w:val="00D8608D"/>
    <w:rsid w:val="00DB2865"/>
    <w:rsid w:val="00DB6D16"/>
    <w:rsid w:val="00DF2945"/>
    <w:rsid w:val="00DF7762"/>
    <w:rsid w:val="00E05F2A"/>
    <w:rsid w:val="00E36DA0"/>
    <w:rsid w:val="00E40939"/>
    <w:rsid w:val="00E54CC7"/>
    <w:rsid w:val="00E75177"/>
    <w:rsid w:val="00E753A4"/>
    <w:rsid w:val="00E83D2A"/>
    <w:rsid w:val="00E949B1"/>
    <w:rsid w:val="00E963C8"/>
    <w:rsid w:val="00EA08FE"/>
    <w:rsid w:val="00EA6C7F"/>
    <w:rsid w:val="00EB4C28"/>
    <w:rsid w:val="00EE3E19"/>
    <w:rsid w:val="00F052CD"/>
    <w:rsid w:val="00F22E20"/>
    <w:rsid w:val="00F2713F"/>
    <w:rsid w:val="00F324C6"/>
    <w:rsid w:val="00F577C2"/>
    <w:rsid w:val="00FE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21EFC2"/>
  <w15:docId w15:val="{24C028F6-689C-49D7-8103-B685EF76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62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Nadpis1">
    <w:name w:val="heading 1"/>
    <w:basedOn w:val="Normlny"/>
    <w:next w:val="Normlny"/>
    <w:link w:val="Nadpis1Char"/>
    <w:qFormat/>
    <w:rsid w:val="0010462A"/>
    <w:pPr>
      <w:keepNext/>
      <w:jc w:val="center"/>
      <w:outlineLvl w:val="0"/>
    </w:pPr>
    <w:rPr>
      <w:b/>
      <w:sz w:val="20"/>
      <w:lang w:val="sk-SK"/>
    </w:rPr>
  </w:style>
  <w:style w:type="paragraph" w:styleId="Nadpis5">
    <w:name w:val="heading 5"/>
    <w:basedOn w:val="Normlny"/>
    <w:next w:val="Normlny"/>
    <w:link w:val="Nadpis5Char"/>
    <w:qFormat/>
    <w:rsid w:val="001046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10462A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462A"/>
    <w:rPr>
      <w:rFonts w:ascii="Arial" w:eastAsia="Times New Roman" w:hAnsi="Arial" w:cs="Times New Roman"/>
      <w:b/>
      <w:sz w:val="20"/>
      <w:szCs w:val="20"/>
    </w:rPr>
  </w:style>
  <w:style w:type="character" w:customStyle="1" w:styleId="Nadpis5Char">
    <w:name w:val="Nadpis 5 Char"/>
    <w:basedOn w:val="Predvolenpsmoodseku"/>
    <w:link w:val="Nadpis5"/>
    <w:rsid w:val="0010462A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Nadpis7Char">
    <w:name w:val="Nadpis 7 Char"/>
    <w:basedOn w:val="Predvolenpsmoodseku"/>
    <w:link w:val="Nadpis7"/>
    <w:rsid w:val="001046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rsid w:val="0010462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10462A"/>
    <w:rPr>
      <w:rFonts w:ascii="Arial" w:eastAsia="Times New Roman" w:hAnsi="Arial" w:cs="Times New Roman"/>
      <w:sz w:val="24"/>
      <w:szCs w:val="20"/>
    </w:rPr>
  </w:style>
  <w:style w:type="character" w:styleId="slostrany">
    <w:name w:val="page number"/>
    <w:basedOn w:val="Predvolenpsmoodseku"/>
    <w:rsid w:val="0010462A"/>
  </w:style>
  <w:style w:type="paragraph" w:styleId="Textbubliny">
    <w:name w:val="Balloon Text"/>
    <w:basedOn w:val="Normlny"/>
    <w:link w:val="TextbublinyChar"/>
    <w:semiHidden/>
    <w:rsid w:val="001046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10462A"/>
    <w:rPr>
      <w:rFonts w:ascii="Tahoma" w:eastAsia="Times New Roman" w:hAnsi="Tahoma" w:cs="Tahoma"/>
      <w:sz w:val="16"/>
      <w:szCs w:val="16"/>
      <w:lang w:val="en-US"/>
    </w:rPr>
  </w:style>
  <w:style w:type="paragraph" w:customStyle="1" w:styleId="Text">
    <w:name w:val="Text"/>
    <w:link w:val="TextChar1"/>
    <w:rsid w:val="0010462A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Zkladntext2">
    <w:name w:val="Body Text 2"/>
    <w:basedOn w:val="Normlny"/>
    <w:link w:val="Zkladntext2Char"/>
    <w:rsid w:val="0010462A"/>
    <w:pPr>
      <w:tabs>
        <w:tab w:val="left" w:pos="-720"/>
      </w:tabs>
      <w:suppressAutoHyphens/>
      <w:jc w:val="both"/>
    </w:pPr>
    <w:rPr>
      <w:sz w:val="20"/>
      <w:lang w:eastAsia="ja-JP"/>
    </w:rPr>
  </w:style>
  <w:style w:type="character" w:customStyle="1" w:styleId="Zkladntext2Char">
    <w:name w:val="Základný text 2 Char"/>
    <w:basedOn w:val="Predvolenpsmoodseku"/>
    <w:link w:val="Zkladntext2"/>
    <w:rsid w:val="0010462A"/>
    <w:rPr>
      <w:rFonts w:ascii="Arial" w:eastAsia="Times New Roman" w:hAnsi="Arial" w:cs="Times New Roman"/>
      <w:sz w:val="20"/>
      <w:szCs w:val="20"/>
      <w:lang w:val="en-US" w:eastAsia="ja-JP"/>
    </w:rPr>
  </w:style>
  <w:style w:type="paragraph" w:styleId="Zkladntext3">
    <w:name w:val="Body Text 3"/>
    <w:basedOn w:val="Normlny"/>
    <w:link w:val="Zkladntext3Char"/>
    <w:rsid w:val="0010462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0462A"/>
    <w:rPr>
      <w:rFonts w:ascii="Arial" w:eastAsia="Times New Roman" w:hAnsi="Arial" w:cs="Times New Roman"/>
      <w:sz w:val="16"/>
      <w:szCs w:val="16"/>
      <w:lang w:val="en-US"/>
    </w:rPr>
  </w:style>
  <w:style w:type="paragraph" w:styleId="Zkladntext">
    <w:name w:val="Body Text"/>
    <w:basedOn w:val="Normlny"/>
    <w:link w:val="ZkladntextChar"/>
    <w:rsid w:val="0010462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10462A"/>
    <w:rPr>
      <w:rFonts w:ascii="Arial" w:eastAsia="Times New Roman" w:hAnsi="Arial" w:cs="Times New Roman"/>
      <w:sz w:val="24"/>
      <w:szCs w:val="20"/>
      <w:lang w:val="en-US"/>
    </w:rPr>
  </w:style>
  <w:style w:type="paragraph" w:styleId="Textkomentra">
    <w:name w:val="annotation text"/>
    <w:basedOn w:val="Normlny"/>
    <w:link w:val="TextkomentraChar"/>
    <w:semiHidden/>
    <w:rsid w:val="0010462A"/>
    <w:pPr>
      <w:suppressAutoHyphens/>
    </w:pPr>
    <w:rPr>
      <w:sz w:val="20"/>
      <w:lang w:eastAsia="ja-JP"/>
    </w:rPr>
  </w:style>
  <w:style w:type="character" w:customStyle="1" w:styleId="TextkomentraChar">
    <w:name w:val="Text komentára Char"/>
    <w:basedOn w:val="Predvolenpsmoodseku"/>
    <w:link w:val="Textkomentra"/>
    <w:semiHidden/>
    <w:rsid w:val="0010462A"/>
    <w:rPr>
      <w:rFonts w:ascii="Arial" w:eastAsia="Times New Roman" w:hAnsi="Arial" w:cs="Times New Roman"/>
      <w:sz w:val="20"/>
      <w:szCs w:val="20"/>
      <w:lang w:val="en-US" w:eastAsia="ja-JP"/>
    </w:rPr>
  </w:style>
  <w:style w:type="paragraph" w:customStyle="1" w:styleId="TextTi11">
    <w:name w:val="Text:Ti11"/>
    <w:basedOn w:val="Normlny"/>
    <w:rsid w:val="0010462A"/>
    <w:pPr>
      <w:spacing w:after="170" w:line="260" w:lineRule="atLeast"/>
      <w:jc w:val="both"/>
    </w:pPr>
    <w:rPr>
      <w:rFonts w:ascii="Times New Roman" w:hAnsi="Times New Roman"/>
      <w:sz w:val="22"/>
      <w:lang w:eastAsia="ja-JP"/>
    </w:rPr>
  </w:style>
  <w:style w:type="paragraph" w:customStyle="1" w:styleId="TextTi12">
    <w:name w:val="Text:Ti12"/>
    <w:basedOn w:val="Normlny"/>
    <w:rsid w:val="0010462A"/>
    <w:pPr>
      <w:spacing w:after="170" w:line="280" w:lineRule="atLeast"/>
      <w:jc w:val="both"/>
    </w:pPr>
    <w:rPr>
      <w:rFonts w:ascii="Times New Roman" w:hAnsi="Times New Roman"/>
      <w:lang w:eastAsia="ja-JP"/>
    </w:rPr>
  </w:style>
  <w:style w:type="character" w:styleId="Hypertextovprepojenie">
    <w:name w:val="Hyperlink"/>
    <w:rsid w:val="0010462A"/>
    <w:rPr>
      <w:color w:val="0000FF"/>
      <w:u w:val="single"/>
    </w:rPr>
  </w:style>
  <w:style w:type="paragraph" w:styleId="Normlnywebov">
    <w:name w:val="Normal (Web)"/>
    <w:basedOn w:val="Normlny"/>
    <w:rsid w:val="0010462A"/>
    <w:pPr>
      <w:spacing w:before="100" w:beforeAutospacing="1" w:after="100" w:afterAutospacing="1"/>
    </w:pPr>
    <w:rPr>
      <w:rFonts w:ascii="Times New Roman" w:hAnsi="Times New Roman"/>
      <w:szCs w:val="24"/>
      <w:lang w:val="sk-SK" w:eastAsia="sk-SK"/>
    </w:rPr>
  </w:style>
  <w:style w:type="paragraph" w:customStyle="1" w:styleId="ItalicHeading">
    <w:name w:val="Italic Heading"/>
    <w:basedOn w:val="Text"/>
    <w:rsid w:val="0010462A"/>
    <w:pPr>
      <w:keepNext/>
    </w:pPr>
    <w:rPr>
      <w:b/>
      <w:i/>
    </w:rPr>
  </w:style>
  <w:style w:type="character" w:styleId="Odkaznakomentr">
    <w:name w:val="annotation reference"/>
    <w:semiHidden/>
    <w:rsid w:val="0010462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10462A"/>
    <w:pPr>
      <w:suppressAutoHyphens w:val="0"/>
    </w:pPr>
    <w:rPr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10462A"/>
    <w:rPr>
      <w:rFonts w:ascii="Arial" w:eastAsia="Times New Roman" w:hAnsi="Arial" w:cs="Times New Roman"/>
      <w:b/>
      <w:bCs/>
      <w:sz w:val="20"/>
      <w:szCs w:val="20"/>
      <w:lang w:val="en-US" w:eastAsia="ja-JP"/>
    </w:rPr>
  </w:style>
  <w:style w:type="paragraph" w:styleId="Hlavika">
    <w:name w:val="header"/>
    <w:basedOn w:val="Normlny"/>
    <w:link w:val="HlavikaChar"/>
    <w:uiPriority w:val="99"/>
    <w:rsid w:val="0010462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0462A"/>
    <w:rPr>
      <w:rFonts w:ascii="Arial" w:eastAsia="Times New Roman" w:hAnsi="Arial" w:cs="Times New Roman"/>
      <w:sz w:val="24"/>
      <w:szCs w:val="20"/>
      <w:lang w:val="en-US"/>
    </w:rPr>
  </w:style>
  <w:style w:type="character" w:styleId="PouitHypertextovPrepojenie">
    <w:name w:val="FollowedHyperlink"/>
    <w:rsid w:val="0010462A"/>
    <w:rPr>
      <w:color w:val="800080"/>
      <w:u w:val="single"/>
    </w:rPr>
  </w:style>
  <w:style w:type="paragraph" w:styleId="Revzia">
    <w:name w:val="Revision"/>
    <w:hidden/>
    <w:uiPriority w:val="99"/>
    <w:semiHidden/>
    <w:rsid w:val="0010462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TextChar1">
    <w:name w:val="Text Char1"/>
    <w:link w:val="Text"/>
    <w:locked/>
    <w:rsid w:val="004B04E8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Odsekzoznamu">
    <w:name w:val="List Paragraph"/>
    <w:basedOn w:val="Normlny"/>
    <w:uiPriority w:val="34"/>
    <w:qFormat/>
    <w:rsid w:val="002D1F9A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020E9D"/>
    <w:rPr>
      <w:color w:val="808080"/>
    </w:rPr>
  </w:style>
  <w:style w:type="character" w:styleId="Zvraznenie">
    <w:name w:val="Emphasis"/>
    <w:basedOn w:val="Predvolenpsmoodseku"/>
    <w:uiPriority w:val="20"/>
    <w:qFormat/>
    <w:rsid w:val="005F5EB8"/>
    <w:rPr>
      <w:i/>
      <w:iCs/>
    </w:rPr>
  </w:style>
  <w:style w:type="paragraph" w:customStyle="1" w:styleId="Paragraph">
    <w:name w:val="Paragraph"/>
    <w:basedOn w:val="Normlny"/>
    <w:link w:val="ParagraphChar"/>
    <w:rsid w:val="00796838"/>
    <w:pPr>
      <w:spacing w:after="170" w:line="280" w:lineRule="exact"/>
    </w:pPr>
    <w:rPr>
      <w:sz w:val="20"/>
      <w:lang w:eastAsia="ja-JP"/>
    </w:rPr>
  </w:style>
  <w:style w:type="character" w:customStyle="1" w:styleId="ParagraphChar">
    <w:name w:val="Paragraph Char"/>
    <w:link w:val="Paragraph"/>
    <w:locked/>
    <w:rsid w:val="00796838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TableCell10Left">
    <w:name w:val="Table Cell 10 Left"/>
    <w:basedOn w:val="Normlny"/>
    <w:link w:val="TableCell10LeftChar"/>
    <w:rsid w:val="00796838"/>
    <w:pPr>
      <w:keepNext/>
      <w:keepLines/>
      <w:spacing w:before="50" w:after="50" w:line="240" w:lineRule="exact"/>
    </w:pPr>
    <w:rPr>
      <w:sz w:val="20"/>
      <w:lang w:eastAsia="ja-JP"/>
    </w:rPr>
  </w:style>
  <w:style w:type="character" w:customStyle="1" w:styleId="TableCell10LeftChar">
    <w:name w:val="Table Cell 10 Left Char"/>
    <w:link w:val="TableCell10Left"/>
    <w:locked/>
    <w:rsid w:val="00796838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TableCell10Center">
    <w:name w:val="Table Cell 10 Center"/>
    <w:basedOn w:val="TableCell10Left"/>
    <w:rsid w:val="0079683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EFD8E-0631-4EF3-A98B-FB72511B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21</Pages>
  <Words>7154</Words>
  <Characters>40784</Characters>
  <Application>Microsoft Office Word</Application>
  <DocSecurity>0</DocSecurity>
  <Lines>339</Lines>
  <Paragraphs>95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F. Hoffmann-La Roche, Ltd.</Company>
  <LinksUpToDate>false</LinksUpToDate>
  <CharactersWithSpaces>47843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Repiščáková</dc:creator>
  <cp:lastModifiedBy>Repiščáková, Janka</cp:lastModifiedBy>
  <cp:revision>30</cp:revision>
  <cp:lastPrinted>2018-03-14T10:19:00Z</cp:lastPrinted>
  <dcterms:created xsi:type="dcterms:W3CDTF">2019-05-22T13:01:00Z</dcterms:created>
  <dcterms:modified xsi:type="dcterms:W3CDTF">2021-04-27T13:24:00Z</dcterms:modified>
</cp:coreProperties>
</file>