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E1998" w14:textId="77777777" w:rsidR="001A039C" w:rsidRPr="00CD6663" w:rsidRDefault="001A039C" w:rsidP="006A738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SÚHRN CHARAKTERISTICKÝCH VLASTNOSTÍ LIEKU</w:t>
      </w:r>
    </w:p>
    <w:p w14:paraId="23FFF66F" w14:textId="77777777" w:rsidR="00CD6663" w:rsidRPr="00CD6663" w:rsidRDefault="00CD6663" w:rsidP="000270F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D9DB500" w14:textId="77777777" w:rsidR="00CD6663" w:rsidRPr="00CD6663" w:rsidRDefault="00CD6663" w:rsidP="003070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6358F14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NÁZOV LIEKU</w:t>
      </w:r>
    </w:p>
    <w:p w14:paraId="1FBEB015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39909F7" w14:textId="00E58A1F" w:rsidR="00CD6663" w:rsidRDefault="00E26F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Bilastin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Tiefenbacher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20 mg tablety</w:t>
      </w:r>
    </w:p>
    <w:p w14:paraId="01DCD99D" w14:textId="77777777" w:rsidR="00CF663D" w:rsidRPr="00CD6663" w:rsidRDefault="00CF663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120245E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920099C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KVALITATÍVNE A</w:t>
      </w:r>
      <w:r w:rsidRPr="00CD6663">
        <w:rPr>
          <w:rFonts w:ascii="Times New Roman" w:eastAsia="Times New Roman" w:hAnsi="Times New Roman" w:cs="Times New Roman"/>
          <w:b/>
          <w:noProof/>
          <w:szCs w:val="20"/>
          <w:lang w:val="sk-SK" w:eastAsia="sk-SK" w:bidi="sk-SK"/>
        </w:rPr>
        <w:t> </w:t>
      </w: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KVANTITATÍVNE ZLOŽENIE</w:t>
      </w:r>
    </w:p>
    <w:p w14:paraId="6BD90C35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1601381" w14:textId="77777777" w:rsidR="00E26FEE" w:rsidRDefault="00E26FEE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lang w:val="sk-SK" w:eastAsia="sk-SK" w:bidi="sk-SK"/>
        </w:rPr>
        <w:t xml:space="preserve">Jedna tableta obsahuje 20 mg </w:t>
      </w:r>
      <w:proofErr w:type="spellStart"/>
      <w:r w:rsidRPr="00E26FEE">
        <w:rPr>
          <w:rFonts w:ascii="Times New Roman" w:eastAsia="Times New Roman" w:hAnsi="Times New Roman" w:cs="Times New Roman"/>
          <w:lang w:val="sk-SK" w:eastAsia="sk-SK" w:bidi="sk-SK"/>
        </w:rPr>
        <w:t>bilastínu</w:t>
      </w:r>
      <w:proofErr w:type="spellEnd"/>
      <w:r w:rsidRPr="00E26FEE">
        <w:rPr>
          <w:rFonts w:ascii="Times New Roman" w:eastAsia="Times New Roman" w:hAnsi="Times New Roman" w:cs="Times New Roman"/>
          <w:lang w:val="sk-SK" w:eastAsia="sk-SK" w:bidi="sk-SK"/>
        </w:rPr>
        <w:t>.</w:t>
      </w:r>
    </w:p>
    <w:p w14:paraId="6BE33D64" w14:textId="1A568C42" w:rsidR="00CD6663" w:rsidRPr="00CD6663" w:rsidRDefault="00CD666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Úplný zoznam pomocných látok, pozri časť 6.1.</w:t>
      </w:r>
    </w:p>
    <w:p w14:paraId="07B71161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5227269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58BD426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LIEKOVÁ FORMA</w:t>
      </w:r>
    </w:p>
    <w:p w14:paraId="4056A3E0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3928892" w14:textId="13A3A68A" w:rsidR="00CD6663" w:rsidRDefault="00E26FE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Tableta.</w:t>
      </w:r>
    </w:p>
    <w:p w14:paraId="0838C976" w14:textId="04280666" w:rsidR="00E26FEE" w:rsidRPr="00CD6663" w:rsidRDefault="00E26FEE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Okrúhl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e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, biel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e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až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takmer biele,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bikonvexn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é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tablety s priemerom približne 7 mm.</w:t>
      </w:r>
    </w:p>
    <w:p w14:paraId="378E1D2F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2026D3D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2259CD9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KLINICKÉ ÚDAJE</w:t>
      </w:r>
    </w:p>
    <w:p w14:paraId="47FEE296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8475F59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Terapeutické indikácie</w:t>
      </w:r>
    </w:p>
    <w:p w14:paraId="038736E9" w14:textId="0E8A2A16" w:rsidR="00E26FEE" w:rsidRPr="00E26FEE" w:rsidRDefault="00E26FEE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Symptomatická liečba alergickej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rinokonjunktivitídy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(sezónnej a celoročnej) a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urtikárie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</w:t>
      </w:r>
    </w:p>
    <w:p w14:paraId="141E2D9C" w14:textId="0D7EF553" w:rsidR="00CF663D" w:rsidRPr="00CD6663" w:rsidRDefault="00E26FEE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Bilastin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Tiefenbacher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indikovaný dospelým a dospievajúcim (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od 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12 rokov a 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starším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).</w:t>
      </w:r>
    </w:p>
    <w:p w14:paraId="4F65407B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A679F99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Dávkovanie a spôsob podávania</w:t>
      </w:r>
    </w:p>
    <w:p w14:paraId="7462A684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79B1290" w14:textId="77777777" w:rsidR="00CD6663" w:rsidRPr="00E26FEE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b/>
          <w:bCs/>
          <w:szCs w:val="20"/>
          <w:u w:val="single"/>
          <w:lang w:val="sk-SK" w:eastAsia="sk-SK" w:bidi="sk-SK"/>
        </w:rPr>
        <w:t>Dávkovanie</w:t>
      </w:r>
    </w:p>
    <w:p w14:paraId="3EE27D61" w14:textId="77777777" w:rsidR="00E26FEE" w:rsidRDefault="00E26FE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ABB7080" w14:textId="0F87DE50" w:rsidR="00E26FEE" w:rsidRPr="00E26FEE" w:rsidRDefault="00E26FE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Dospelí a dospievajúci (</w:t>
      </w:r>
      <w:r w:rsidR="00CF663D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 xml:space="preserve">od </w:t>
      </w:r>
      <w:r w:rsidRPr="00E26FEE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 xml:space="preserve">12 rokov a </w:t>
      </w:r>
      <w:r w:rsidR="00CF663D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starší</w:t>
      </w:r>
      <w:r w:rsidRPr="00E26FEE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)</w:t>
      </w:r>
    </w:p>
    <w:p w14:paraId="68D2B03A" w14:textId="5124A512" w:rsidR="00E26FEE" w:rsidRDefault="00E26FEE">
      <w:pPr>
        <w:keepNext/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20 mg </w:t>
      </w:r>
      <w:proofErr w:type="spellStart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(1 tableta) jedenkrát denne na zmiernenie príznakov alergickej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rinokonjunktivitídy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(sezónnej a celoročnej) a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urtikárie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7BD7D14A" w14:textId="4378B384" w:rsidR="00E26FEE" w:rsidRPr="00E26FEE" w:rsidRDefault="00E26FEE">
      <w:pPr>
        <w:keepNext/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Tablet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m</w:t>
      </w:r>
      <w:r w:rsidR="005310C9">
        <w:rPr>
          <w:rFonts w:ascii="Times New Roman" w:eastAsia="Times New Roman" w:hAnsi="Times New Roman" w:cs="Times New Roman"/>
          <w:szCs w:val="20"/>
          <w:lang w:val="sk-SK" w:eastAsia="sk-SK" w:bidi="sk-SK"/>
        </w:rPr>
        <w:t>á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užívať jednu hodinu pred alebo dve hodiny po jedle alebo po ovocnom džúse (pozri časť 4.5).</w:t>
      </w:r>
    </w:p>
    <w:p w14:paraId="4206B1C9" w14:textId="77777777" w:rsidR="00E26FEE" w:rsidRPr="00CD6663" w:rsidRDefault="00E26FE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k-SK" w:eastAsia="sk-SK" w:bidi="sk-SK"/>
        </w:rPr>
      </w:pPr>
    </w:p>
    <w:p w14:paraId="3090A5B8" w14:textId="088BA37A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Dĺžka </w:t>
      </w:r>
      <w:r w:rsidR="00CF663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liečby</w:t>
      </w:r>
    </w:p>
    <w:p w14:paraId="7ACE8775" w14:textId="55725A8A" w:rsidR="00E26FEE" w:rsidRDefault="00CF663D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Liečba 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alergickej </w:t>
      </w:r>
      <w:proofErr w:type="spellStart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rin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okonjunktivitídy</w:t>
      </w:r>
      <w:proofErr w:type="spellEnd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má byť obmedzená na dobu expozície alergénom. 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Liečba</w:t>
      </w:r>
      <w:r w:rsidR="005310C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sezónnej alergickej </w:t>
      </w:r>
      <w:proofErr w:type="spellStart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rinitídy</w:t>
      </w:r>
      <w:proofErr w:type="spellEnd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môže 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prerušiť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vymiznutí príznakov a znovu začať po 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ich 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znovuobjavení. Pri celoročnej alergickej </w:t>
      </w:r>
      <w:proofErr w:type="spellStart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rinitíde</w:t>
      </w:r>
      <w:proofErr w:type="spellEnd"/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môže paciento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m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navrhnúť kontinuálna liečba počas doby expozície alergénom. Dĺžka 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liečby</w:t>
      </w:r>
      <w:r w:rsidR="00E26FEE"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žihľavky závisí od typu, dĺžky a priebehu ťažkostí.</w:t>
      </w:r>
    </w:p>
    <w:p w14:paraId="198AB7CD" w14:textId="53FA7172" w:rsid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9DF1787" w14:textId="45DD6520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  <w:t>Osobitné populácie</w:t>
      </w:r>
    </w:p>
    <w:p w14:paraId="3BC2291C" w14:textId="22AFFAAE" w:rsid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430A114" w14:textId="1A14A96A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Starší </w:t>
      </w:r>
      <w:r w:rsidR="00CF663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pacienti</w:t>
      </w:r>
    </w:p>
    <w:p w14:paraId="6AD4B2D0" w14:textId="25B3F5AA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Nie je potrebná úprava dávkovania u starších 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pacientov 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(pozri časti 5.1 a 5.2).</w:t>
      </w:r>
    </w:p>
    <w:p w14:paraId="3DCDFFB7" w14:textId="22D7D58A" w:rsid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D27E29A" w14:textId="109BA118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Porucha funkcie obličiek</w:t>
      </w:r>
    </w:p>
    <w:p w14:paraId="729024AB" w14:textId="501780D3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Štúdie uskutočnené u dospelých v osobitných rizikových skupinách (pacienti s poruchou funkcie obličiek) 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naznačujú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že nie je potrebné upravovať dávku </w:t>
      </w:r>
      <w:proofErr w:type="spellStart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Bilastinu</w:t>
      </w:r>
      <w:proofErr w:type="spellEnd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Tiefenbacher</w:t>
      </w:r>
      <w:proofErr w:type="spellEnd"/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u dospelých (pozri časť 5.2).</w:t>
      </w:r>
    </w:p>
    <w:p w14:paraId="7FBAFF80" w14:textId="43E8CBB5" w:rsid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4DBC27C" w14:textId="2B4537B5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lastRenderedPageBreak/>
        <w:t>Porucha funkcie pečene</w:t>
      </w:r>
    </w:p>
    <w:p w14:paraId="3B574DC9" w14:textId="77AD580A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Nie sú žiadne klinické skúsenosti u pacientov s poruchou funkcie pečene. Vzhľadom na to, že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nemetabolizuje a je vylučovaný nezmenený močom a stolicou, neočakáva sa, že porucha funkcie pečene zvýši systémovú expozíciu nad bezpečnú hranicu u dospelých pacientov. 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>Ú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prava dávkovania u pacientov s poruchou funkcie pečene</w:t>
      </w:r>
      <w:r w:rsidR="00CF663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preto nie je potrebná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(pozri časť 5.2).</w:t>
      </w:r>
    </w:p>
    <w:p w14:paraId="6CD21EF4" w14:textId="77777777" w:rsid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878C62C" w14:textId="3332B391" w:rsidR="00E26FEE" w:rsidRPr="00E26FEE" w:rsidRDefault="00E26F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  <w:t>Pediatrická populácia</w:t>
      </w:r>
    </w:p>
    <w:p w14:paraId="7BD677EC" w14:textId="5E3FA77D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-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ab/>
        <w:t>Deti vo veku od 6 do 11 rokov s telesnou hmotnosťou najmenej 20 kg</w:t>
      </w:r>
    </w:p>
    <w:p w14:paraId="004B497E" w14:textId="5377CCA6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Pre túto populáciu sú vhodné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orodispergovateľné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tablety s obsahom 10 mg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perorálny roztok s 2,5 mg/ml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6C8C5C79" w14:textId="50676FE7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-</w:t>
      </w: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ab/>
        <w:t>Deti mladšie ako 6 rokov a s telesnou hmotnosťou menej ako 20 kg</w:t>
      </w:r>
    </w:p>
    <w:p w14:paraId="43FC2DD9" w14:textId="6750916A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súčasnosti dostupné údaje sú opísané v častiach 4.4, 4.8, 5.1 a 5.2, ale neumožňujú uviesť odporúčania na dávkovanie. Preto sa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nemá užívať v tejto vekovej skupine.</w:t>
      </w:r>
    </w:p>
    <w:p w14:paraId="5A0CF94A" w14:textId="4ED1AD51" w:rsidR="00E26FEE" w:rsidRDefault="00E26FEE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Bezpečnosť a účinnosť </w:t>
      </w:r>
      <w:proofErr w:type="spellStart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E26FE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detí s poruchou funkcie obličiek a s poruchou funkcie pečene neboli stanovené.</w:t>
      </w:r>
    </w:p>
    <w:p w14:paraId="6801B2AD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24309434" w14:textId="77777777" w:rsidR="00CD6663" w:rsidRPr="00E26FEE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u w:val="single"/>
          <w:lang w:val="sk-SK" w:eastAsia="sk-SK" w:bidi="sk-SK"/>
        </w:rPr>
      </w:pPr>
      <w:r w:rsidRPr="00E26FEE">
        <w:rPr>
          <w:rFonts w:ascii="Times New Roman" w:eastAsia="Times New Roman" w:hAnsi="Times New Roman" w:cs="Times New Roman"/>
          <w:b/>
          <w:bCs/>
          <w:szCs w:val="20"/>
          <w:u w:val="single"/>
          <w:lang w:val="sk-SK" w:eastAsia="sk-SK" w:bidi="sk-SK"/>
        </w:rPr>
        <w:t>Spôsob podávania</w:t>
      </w:r>
    </w:p>
    <w:p w14:paraId="76B2644E" w14:textId="77777777" w:rsidR="00CD6663" w:rsidRPr="007A7148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567F50D" w14:textId="7037D1F1" w:rsidR="007A7148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Perorálne po</w:t>
      </w:r>
      <w:r w:rsidR="00CF663D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užitie</w:t>
      </w: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 xml:space="preserve">. </w:t>
      </w:r>
    </w:p>
    <w:p w14:paraId="6A29A0EE" w14:textId="15768611" w:rsidR="00E26FEE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Tablet</w:t>
      </w:r>
      <w:r w:rsidR="00CF663D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a sa</w:t>
      </w: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 xml:space="preserve"> preh</w:t>
      </w:r>
      <w:r w:rsidR="00CF663D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ĺta</w:t>
      </w: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 xml:space="preserve"> a zap</w:t>
      </w:r>
      <w:r w:rsidR="00CF663D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íja</w:t>
      </w:r>
      <w:r w:rsidRPr="007A7148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 xml:space="preserve"> vodou</w:t>
      </w:r>
      <w:r w:rsidR="008106C1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.</w:t>
      </w:r>
    </w:p>
    <w:p w14:paraId="3433D37D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34522D9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Kontraindikácie</w:t>
      </w:r>
    </w:p>
    <w:p w14:paraId="4E56C0C3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12DE230" w14:textId="1CF4D0FB" w:rsidR="00CD6663" w:rsidRPr="00CD6663" w:rsidRDefault="00F65E6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Precitlivenosť na liečivo </w:t>
      </w:r>
      <w:r w:rsidR="00CD6663"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alebo na ktorúkoľvek z pomocných látok uvedených v časti 6.1.</w:t>
      </w:r>
    </w:p>
    <w:p w14:paraId="084B341E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81B0CEF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Osobitné upozornenia a opatrenia pri používaní</w:t>
      </w:r>
    </w:p>
    <w:p w14:paraId="50CC02D7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5C93DAA" w14:textId="2E20A6E7" w:rsid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  <w:t>Pediatrická populácia</w:t>
      </w:r>
    </w:p>
    <w:p w14:paraId="35AFAAA2" w14:textId="7EBB179E" w:rsidR="007A7148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Bezpečnosť a účinnosť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detí do 2 rokov neboli stanovené a u detí vo veku 2 až 5 rokov neexistujú dostatočné klinické skúsenosti, preto sa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tejto vekovej skupine nemá podávať.</w:t>
      </w:r>
    </w:p>
    <w:p w14:paraId="28034FC7" w14:textId="22183EFD" w:rsidR="007A7148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17354482" w14:textId="6A861230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Súbežné podávanie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inhibítormi P-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ako sú napr.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ketokonazol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erytromycín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cyklosporín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ritonavir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diltiazem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môže u pacientov so stredne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závažnou</w:t>
      </w:r>
      <w:r w:rsidR="00D03089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alebo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závažnou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funkcie obličiek spôsobiť zvýšenie plazmatickej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koncentrácie</w:t>
      </w:r>
      <w:r w:rsidR="00D03089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a preto aj zvýšenie rizika nežiaducich účinkov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Z tohto dôvodu sa má vyhnúť súbežnému podávaniu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inhibítor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ov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P-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pacientov so stredne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závažnou 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alebo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závažnou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funkcie obličiek.</w:t>
      </w:r>
    </w:p>
    <w:p w14:paraId="536924A6" w14:textId="1BCBB1C4" w:rsidR="00F26FCA" w:rsidRDefault="00F26F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06F65F8" w14:textId="1FCC5148" w:rsidR="000A2E26" w:rsidRPr="00F65E6C" w:rsidRDefault="000A2E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Bilastin</w:t>
      </w:r>
      <w:proofErr w:type="spellEnd"/>
      <w:r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>Tiefenbacher</w:t>
      </w:r>
      <w:proofErr w:type="spellEnd"/>
      <w:r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obsahuje sodík</w:t>
      </w:r>
      <w:r w:rsid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>:</w:t>
      </w:r>
    </w:p>
    <w:p w14:paraId="108AAC7A" w14:textId="5A962274" w:rsidR="007A7148" w:rsidRPr="007A7148" w:rsidRDefault="000A2E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26FCA">
        <w:rPr>
          <w:rFonts w:ascii="Times New Roman" w:eastAsia="Times New Roman" w:hAnsi="Times New Roman" w:cs="Times New Roman"/>
          <w:szCs w:val="20"/>
          <w:lang w:val="sk-SK" w:eastAsia="sk-SK" w:bidi="sk-SK"/>
        </w:rPr>
        <w:t>Tento liek obsahuje menej ako 1 mmol sodíka (23 mg) v tablete, t. j. v podstate zanedbateľné množstvo sodíka</w:t>
      </w:r>
      <w:r w:rsid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444FA429" w14:textId="77777777" w:rsidR="00CD6663" w:rsidRPr="00CD6663" w:rsidRDefault="00CD666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E59870C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Liekové a iné interakcie</w:t>
      </w:r>
    </w:p>
    <w:p w14:paraId="0B9E9C26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47A2689" w14:textId="42AF9192" w:rsidR="007A7148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Interakčné štúdie sa uskutočnili len u dospelých a sú zhrnuté nižšie.</w:t>
      </w:r>
    </w:p>
    <w:p w14:paraId="4725B638" w14:textId="77777777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1B8DD3A" w14:textId="4C6D7CE2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Interakci</w:t>
      </w:r>
      <w:r w:rsidR="00D0308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s jedlom: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Jedlo značne znižuje perorálnu biologickú dostupnosť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 30 %.</w:t>
      </w:r>
    </w:p>
    <w:p w14:paraId="57F67B0F" w14:textId="77777777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AF8D80D" w14:textId="1F5CD27B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Interakci</w:t>
      </w:r>
      <w:r w:rsidR="00D0308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s grapefruitovou šťavou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: súbežné užívanie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20 mg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grapefruitovou šťavou znižuje biologickú dostupnosť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 30 %. Tento účinok sa môže tiež vzťahovať na iné ovocné šťavy. Stupeň zníženia biologickej dostupnosti sa môže líšiť v závislosti od výrobcu a druhu ovocia. Mechanizmus tejto interakcie je inhibícia OATP1A2, transportér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 vychytávania </w:t>
      </w:r>
      <w:proofErr w:type="spellStart"/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ktorý je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lastRenderedPageBreak/>
        <w:t>jeho substrátom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(pozri časť 5.2). Lieky, ktoré sú substrátmi alebo inhibítormi OATP1A2, ako je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ritonavir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rifampicín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môžu mať taktiež potenciál znižovať plazmatické koncentrácie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59359D71" w14:textId="78E5DA34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DC05ADB" w14:textId="7D88D1A9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Interakci</w:t>
      </w:r>
      <w:r w:rsidR="00D0308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s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ketokonazolom</w:t>
      </w:r>
      <w:proofErr w:type="spellEnd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alebo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erytromycínom</w:t>
      </w:r>
      <w:proofErr w:type="spellEnd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: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Súbežné užívanie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20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a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 400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ketokonazolu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alebo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500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erytromycínu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3-krát denne zvyšuje AUC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dvojnásobne a </w:t>
      </w:r>
      <w:proofErr w:type="spellStart"/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c</w:t>
      </w:r>
      <w:r w:rsidRPr="00360831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>max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dvoj-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až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trojnásobne.</w:t>
      </w:r>
    </w:p>
    <w:p w14:paraId="24F0FB26" w14:textId="04E03A75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Tieto zmeny môžu byť vysvetlené interakciou s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 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črevnými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efluxnými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transportérmi, pretože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substrátom P-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nie je metabolizovaný (pozri časť 5.2).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Predpokladá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sa, že tieto zmeny neovplyvňujú bezpečnostný profil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ketokonazolu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erytromycínu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 Iné lieky, ktoré sú substrátmi alebo inhibítormi P-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ako je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cyklosporín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môžu mať taktiež potenciál zvyšovať plazmatické koncentrácie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5BAA1B6E" w14:textId="1C000502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7CCCCEE" w14:textId="747C0F0A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Interakci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diltiazemom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: Súbežné užívanie 20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a 60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diltiazemu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zvyšuje </w:t>
      </w:r>
      <w:proofErr w:type="spellStart"/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c</w:t>
      </w:r>
      <w:r w:rsidRPr="00360831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>max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 50 %. Tento </w:t>
      </w:r>
      <w:r w:rsidR="00D03089">
        <w:rPr>
          <w:rFonts w:ascii="Times New Roman" w:eastAsia="Times New Roman" w:hAnsi="Times New Roman" w:cs="Times New Roman"/>
          <w:szCs w:val="20"/>
          <w:lang w:val="sk-SK" w:eastAsia="sk-SK" w:bidi="sk-SK"/>
        </w:rPr>
        <w:t>účinok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môže byť vysvetlený interakciou s črevnými </w:t>
      </w:r>
      <w:proofErr w:type="spellStart"/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efluxnými</w:t>
      </w:r>
      <w:proofErr w:type="spellEnd"/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transportérmi (pozri časť 5.2) a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 predpokladá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sa, že nemá vplyv na bezpečnostný profil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78369EEE" w14:textId="627C160E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D671231" w14:textId="6853DE17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Interakci</w:t>
      </w:r>
      <w:r w:rsidR="00D0308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s alkoholom: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Psychomotorická výkonnosť po súbežnom užití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alkoholu a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20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bola podobná ako po užití alkoholu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placeb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3F795769" w14:textId="2D1B3242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763E306" w14:textId="292F49EF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Interakci</w:t>
      </w:r>
      <w:r w:rsidR="00297EA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</w:t>
      </w:r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 s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lorazepamom</w:t>
      </w:r>
      <w:proofErr w:type="spellEnd"/>
      <w:r w:rsidRP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: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Súbežné užívanie 20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a 3 mg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lorazepamu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1-krát denne počas 8 dní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nepotencovala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tlmivý účinok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lorazepamu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centrálnu nervovú sústavu (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CNS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)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0B9CA871" w14:textId="13F6B159" w:rsid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682175C" w14:textId="77777777" w:rsidR="007A7148" w:rsidRPr="007A7148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  <w:t>Pediatrická populácia</w:t>
      </w:r>
    </w:p>
    <w:p w14:paraId="378217A6" w14:textId="5ECD8483" w:rsidR="00CD6663" w:rsidRPr="00CD6663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Interakčné štúdie sa uskutočnili len u dospelých. Pretože u detí nie sú žiadne klinické skúsenosti týkajúce sa interakcie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inými liekmi, jedlom alebo ovocnými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šťavami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majú sa v súčasnosti pri predpisovaní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deťom brať do úvahy výsledky získané z interakčných štúdií u dospelých. K dispozícii nie sú žiadne klinické údaje u detí, ktoré by určovali, či zmeny AUC alebo </w:t>
      </w:r>
      <w:proofErr w:type="spellStart"/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c</w:t>
      </w:r>
      <w:r w:rsidRPr="00F26FCA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>max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dôsledku interakcií ovplyvňujú bezpečnostný profil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14D20483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803DAD3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Fertilita</w:t>
      </w:r>
      <w:proofErr w:type="spellEnd"/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, gravidita a laktácia</w:t>
      </w:r>
    </w:p>
    <w:p w14:paraId="26EEA433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805B7D8" w14:textId="0D61767A" w:rsidR="007A7148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Gravidita</w:t>
      </w:r>
      <w:r w:rsidR="007A714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:</w:t>
      </w:r>
      <w:r w:rsidR="007A7148" w:rsidRPr="007A7148">
        <w:rPr>
          <w:lang w:val="sk-SK"/>
        </w:rPr>
        <w:t xml:space="preserve">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K dispozícii nie sú</w:t>
      </w:r>
      <w:r w:rsidR="00A0065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žiadne alebo len obmedzené údaje o užívaní </w:t>
      </w:r>
      <w:proofErr w:type="spellStart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tehotných žien.</w:t>
      </w:r>
    </w:p>
    <w:p w14:paraId="2C1E004F" w14:textId="0D8621F7" w:rsidR="00CD6663" w:rsidRPr="007A7148" w:rsidRDefault="007A714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Štúdie na zvieratách nepreukázali priame alebo nepriame škodlivé účinky s ohľadom na reprodukčnú toxicitu, pôrod alebo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postnatálny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výv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in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(pozri časť 5.3). Ako preventívne opatrenie je vhodnejšie vyhnúť sa podávaniu </w:t>
      </w:r>
      <w:proofErr w:type="spellStart"/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bilast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počas tehotenstva.</w:t>
      </w:r>
    </w:p>
    <w:p w14:paraId="15FEB0FE" w14:textId="5EB5ACA7" w:rsidR="00CD6663" w:rsidRDefault="00CD6663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Dojčen</w:t>
      </w:r>
      <w:r w:rsidR="00297EA9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ie</w:t>
      </w:r>
      <w:r w:rsidR="007A7148"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: 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Nebola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vykonaná</w:t>
      </w:r>
      <w:r w:rsidR="00297EA9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štúdia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vylučovani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do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materského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mlieka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ľudí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Dostupné </w:t>
      </w:r>
      <w:proofErr w:type="spellStart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farmakokinetické</w:t>
      </w:r>
      <w:proofErr w:type="spellEnd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údaje u zvierat preukázali vylučovanie </w:t>
      </w:r>
      <w:proofErr w:type="spellStart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do mlieka (pozri časť 5.3). Rozhodnutie, či pokračovať/prerušiť dojčenie alebo ukončiť liečbu/vyhnúť sa liečbe </w:t>
      </w:r>
      <w:proofErr w:type="spellStart"/>
      <w:r w:rsidR="00D24AB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ínom</w:t>
      </w:r>
      <w:proofErr w:type="spellEnd"/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musí urobiť po zvážení prínosu dojčenia pre dieťa a prínosu liečby pre matku.</w:t>
      </w:r>
    </w:p>
    <w:p w14:paraId="759D8589" w14:textId="3047D92B" w:rsidR="007A7148" w:rsidRPr="00CD6663" w:rsidRDefault="00CD6663" w:rsidP="00F65E6C">
      <w:pPr>
        <w:spacing w:before="120" w:after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Fertilita</w:t>
      </w:r>
      <w:proofErr w:type="spellEnd"/>
      <w:r w:rsidR="00F65E6C" w:rsidRPr="00F65E6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: </w:t>
      </w:r>
      <w:r w:rsidR="007A7148"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Neexistujú žiadne alebo len obmedzené klinické údaje. Štúdia na potkanoch nepreukázala akýkoľvek negatívny účinok na plodnosť (pozri časť 5.3).</w:t>
      </w:r>
    </w:p>
    <w:p w14:paraId="21BF8692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</w:pPr>
    </w:p>
    <w:p w14:paraId="4B9A5F83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Ovplyvnenie schopnosti viesť vozidlá a obsluhovať stroje</w:t>
      </w:r>
    </w:p>
    <w:p w14:paraId="7C4F0193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1AD4C57" w14:textId="68FEEAAC" w:rsidR="00CD6663" w:rsidRDefault="007A71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Štúdia uskutočnená u dospelých s cieľom posúdiť vplyv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schopnosť viesť vozidlá preukázala, že liečba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om</w:t>
      </w:r>
      <w:proofErr w:type="spellEnd"/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 dávke 20 mg</w:t>
      </w:r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neovplyvnila schopnosť viesť vozidlá. Avšak, pretože individuálna odpoveď na liek sa môže líšiť, pacientom sa má odporučiť, aby neviedli vozidlá a neobsluhovali stroje, pokiaľ nezistia svoju vlastnú reakciu na </w:t>
      </w:r>
      <w:proofErr w:type="spellStart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A714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01DF6481" w14:textId="77777777" w:rsidR="00593BFD" w:rsidRPr="00CD6663" w:rsidRDefault="00593B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0567DDF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127ACCE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Nežiaduce účinky</w:t>
      </w:r>
    </w:p>
    <w:p w14:paraId="0A1D17AE" w14:textId="77777777" w:rsidR="00CD6663" w:rsidRPr="00CD6663" w:rsidRDefault="00CD6663" w:rsidP="00360831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6715AF0" w14:textId="1A8B46C3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Súhrn bezpečnostného profilu u dospelých a dospievajúcich pacientov</w:t>
      </w:r>
    </w:p>
    <w:p w14:paraId="4EC8BAA5" w14:textId="425EF8BB" w:rsid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lastRenderedPageBreak/>
        <w:t xml:space="preserve">Výskyt nežiaducich účinkov u dospelých a dospievajúcich pacientov s alergickou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rinokonjunktivitídou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chronickou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idiopatickou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urtikáriou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liečených 20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klinických štúdiách bol porovnateľný s pacientmi, ktorí dostávali placebo (12,7 % verzus 12,8 %).</w:t>
      </w:r>
    </w:p>
    <w:p w14:paraId="616F1A38" w14:textId="697E90E2" w:rsid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Klinické 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skúšania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II. a III. fázy, uskutočnené počas klinického vývoja, zahŕňali 2 525 dospelých a dospievajúcich pacientov liečených rôznymi dávkami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z ktorých 1 697 dostávalo 20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V týchto štúdiách 1 362 pacientov dostávalo placebo. Najčastejšie hlásené nežiaduce účinky u pacientov liečených 20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pri indikáciách alergickej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rinokonjunktivitídy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chronickej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indiopatickej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urtikárie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boli bolesť hlavy, ospalosť, závrat a únava. Tieto nežiaduce účinky sa objavili s porovnateľnou frekvenciou u pacientov užívajúcich placebo.</w:t>
      </w:r>
    </w:p>
    <w:p w14:paraId="2C61FF1B" w14:textId="77777777" w:rsidR="00297EA9" w:rsidRDefault="00297EA9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083B6C6B" w14:textId="3CB39274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Súhrn nežiaducich účinkov u dospelých a dospievajúcich pacientov v tabuľke</w:t>
      </w:r>
    </w:p>
    <w:p w14:paraId="55B73E75" w14:textId="6271AD6B" w:rsid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Nežiaduce účinky, ktoré mali aspoň minimálnu možnú súvislosť s liečbou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hlásené u viac ako 0,1 % pacientov liečených 20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priebehu klinického vývoja (</w:t>
      </w:r>
      <w:r w:rsidR="00297EA9">
        <w:rPr>
          <w:rFonts w:ascii="Times New Roman" w:eastAsia="Times New Roman" w:hAnsi="Times New Roman" w:cs="Times New Roman"/>
          <w:szCs w:val="20"/>
          <w:lang w:val="sk-SK" w:eastAsia="sk-SK" w:bidi="sk-SK"/>
        </w:rPr>
        <w:t>n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= 1 697), sú uvedené v nasledujúcej tabuľke.</w:t>
      </w:r>
    </w:p>
    <w:p w14:paraId="4F1BCC3A" w14:textId="7876AC4D" w:rsid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C5828E7" w14:textId="2BB79981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Frekvenci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>e sú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určen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>é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nasledovne:</w:t>
      </w:r>
    </w:p>
    <w:p w14:paraId="5D261C74" w14:textId="7086B7C7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Veľmi časté (≥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1/10)</w:t>
      </w:r>
    </w:p>
    <w:p w14:paraId="1A1E75C5" w14:textId="2A900BEC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Časté (≥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1/100 až &lt;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1/10)</w:t>
      </w:r>
    </w:p>
    <w:p w14:paraId="1D98C210" w14:textId="16C7339A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Menej časté (≥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1/1 000 až &lt;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1/100) </w:t>
      </w:r>
    </w:p>
    <w:p w14:paraId="08599BD5" w14:textId="483B4551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Zriedkavé (≥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1/10 000 až &lt;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1/1 000) </w:t>
      </w:r>
    </w:p>
    <w:p w14:paraId="70BC00CF" w14:textId="24DF1CF4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Veľmi zriedkavé (&lt;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1/10 000)</w:t>
      </w:r>
    </w:p>
    <w:p w14:paraId="7777FB82" w14:textId="3D88B026" w:rsidR="00593BFD" w:rsidRP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Neznáme (</w:t>
      </w:r>
      <w:r w:rsidR="002036C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nedá sa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odhadnúť z dostupných údajov)</w:t>
      </w:r>
    </w:p>
    <w:p w14:paraId="7BBD0100" w14:textId="0280D654" w:rsidR="00593BFD" w:rsidRDefault="00593BFD" w:rsidP="00360831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Zriedkavé, veľmi zriedkavé a reakcie s neznámou frekvenciou neboli zahrnuté do tabuľky.</w:t>
      </w:r>
    </w:p>
    <w:tbl>
      <w:tblPr>
        <w:tblStyle w:val="Mriekatabuky"/>
        <w:tblW w:w="8642" w:type="dxa"/>
        <w:tblLayout w:type="fixed"/>
        <w:tblLook w:val="04A0" w:firstRow="1" w:lastRow="0" w:firstColumn="1" w:lastColumn="0" w:noHBand="0" w:noVBand="1"/>
      </w:tblPr>
      <w:tblGrid>
        <w:gridCol w:w="2051"/>
        <w:gridCol w:w="73"/>
        <w:gridCol w:w="1979"/>
        <w:gridCol w:w="1700"/>
        <w:gridCol w:w="1560"/>
        <w:gridCol w:w="1273"/>
        <w:gridCol w:w="6"/>
      </w:tblGrid>
      <w:tr w:rsidR="000A2E26" w:rsidRPr="00593BFD" w14:paraId="7348461F" w14:textId="77777777" w:rsidTr="006971FA">
        <w:trPr>
          <w:gridAfter w:val="1"/>
          <w:wAfter w:w="6" w:type="dxa"/>
          <w:trHeight w:val="300"/>
        </w:trPr>
        <w:tc>
          <w:tcPr>
            <w:tcW w:w="4103" w:type="dxa"/>
            <w:gridSpan w:val="3"/>
          </w:tcPr>
          <w:p w14:paraId="49D53870" w14:textId="77777777" w:rsidR="000A2E26" w:rsidRDefault="000A2E26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Trieda orgánových systémov</w:t>
            </w:r>
          </w:p>
          <w:p w14:paraId="3661F875" w14:textId="6282AA89" w:rsidR="000A2E26" w:rsidRPr="00593BFD" w:rsidRDefault="000A2E26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700" w:type="dxa"/>
            <w:vMerge w:val="restart"/>
          </w:tcPr>
          <w:p w14:paraId="30671407" w14:textId="77777777" w:rsidR="000A2E26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Bilastín</w:t>
            </w:r>
            <w:proofErr w:type="spellEnd"/>
          </w:p>
          <w:p w14:paraId="3F21E163" w14:textId="77777777" w:rsidR="000A2E26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20 mg</w:t>
            </w:r>
          </w:p>
          <w:p w14:paraId="67855F4B" w14:textId="11D07BCB" w:rsidR="000A2E26" w:rsidRPr="00593BFD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=1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 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697</w:t>
            </w:r>
          </w:p>
        </w:tc>
        <w:tc>
          <w:tcPr>
            <w:tcW w:w="1560" w:type="dxa"/>
            <w:vMerge w:val="restart"/>
          </w:tcPr>
          <w:p w14:paraId="3D203D14" w14:textId="77777777" w:rsidR="000A2E26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Všetky dávky </w:t>
            </w:r>
            <w:proofErr w:type="spellStart"/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bilastínu</w:t>
            </w:r>
            <w:proofErr w:type="spellEnd"/>
          </w:p>
          <w:p w14:paraId="02A5A255" w14:textId="4F631A17" w:rsidR="000A2E26" w:rsidRPr="00593BFD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=2</w:t>
            </w:r>
            <w:r w:rsidR="00F65E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 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525</w:t>
            </w:r>
          </w:p>
        </w:tc>
        <w:tc>
          <w:tcPr>
            <w:tcW w:w="1273" w:type="dxa"/>
            <w:vMerge w:val="restart"/>
          </w:tcPr>
          <w:p w14:paraId="3FD2E7B6" w14:textId="77777777" w:rsidR="000A2E26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Placebo</w:t>
            </w:r>
          </w:p>
          <w:p w14:paraId="27ECCB89" w14:textId="77777777" w:rsidR="00F65E6C" w:rsidRDefault="00F65E6C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  <w:p w14:paraId="27514171" w14:textId="19101453" w:rsidR="000A2E26" w:rsidRPr="00593BFD" w:rsidRDefault="000A2E26" w:rsidP="00E807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=1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 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362</w:t>
            </w:r>
          </w:p>
        </w:tc>
      </w:tr>
      <w:tr w:rsidR="000A2E26" w:rsidRPr="00593BFD" w14:paraId="73FD7F3C" w14:textId="77777777" w:rsidTr="00F65E6C">
        <w:trPr>
          <w:gridAfter w:val="1"/>
          <w:wAfter w:w="6" w:type="dxa"/>
          <w:trHeight w:val="292"/>
        </w:trPr>
        <w:tc>
          <w:tcPr>
            <w:tcW w:w="2051" w:type="dxa"/>
          </w:tcPr>
          <w:p w14:paraId="5AE8B595" w14:textId="36FC4EB7" w:rsidR="000A2E26" w:rsidRPr="00593BFD" w:rsidRDefault="000A2E26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Frekvencia               </w:t>
            </w:r>
          </w:p>
        </w:tc>
        <w:tc>
          <w:tcPr>
            <w:tcW w:w="2052" w:type="dxa"/>
            <w:gridSpan w:val="2"/>
          </w:tcPr>
          <w:p w14:paraId="29B0BC92" w14:textId="77777777" w:rsidR="000A2E26" w:rsidRDefault="000A2E26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Nežiaduca reakcia</w:t>
            </w:r>
          </w:p>
          <w:p w14:paraId="36B6FB57" w14:textId="18E87A83" w:rsidR="000A2E26" w:rsidRPr="00593BFD" w:rsidRDefault="000A2E26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700" w:type="dxa"/>
            <w:vMerge/>
          </w:tcPr>
          <w:p w14:paraId="24D4F79F" w14:textId="5DCF5A41" w:rsidR="000A2E26" w:rsidRPr="00593BFD" w:rsidRDefault="000A2E26" w:rsidP="003070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560" w:type="dxa"/>
            <w:vMerge/>
          </w:tcPr>
          <w:p w14:paraId="192C5F63" w14:textId="77777777" w:rsidR="000A2E26" w:rsidRPr="00593BFD" w:rsidRDefault="000A2E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73" w:type="dxa"/>
            <w:vMerge/>
          </w:tcPr>
          <w:p w14:paraId="56541D86" w14:textId="51305BB6" w:rsidR="000A2E26" w:rsidRPr="00593BFD" w:rsidRDefault="000A2E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</w:p>
        </w:tc>
      </w:tr>
      <w:tr w:rsidR="00593BFD" w:rsidRPr="00593BFD" w14:paraId="20D1DC4E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10C2EB84" w14:textId="2269730A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Infekcie a</w:t>
            </w:r>
            <w:r w:rsidR="00A006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 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nákazy</w:t>
            </w:r>
          </w:p>
        </w:tc>
      </w:tr>
      <w:tr w:rsidR="00593BFD" w:rsidRPr="00593BFD" w14:paraId="7840CA9B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</w:tcPr>
          <w:p w14:paraId="2DFD5C67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6BCE9A81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Orálny herpes </w:t>
            </w:r>
          </w:p>
        </w:tc>
        <w:tc>
          <w:tcPr>
            <w:tcW w:w="1700" w:type="dxa"/>
          </w:tcPr>
          <w:p w14:paraId="700A44D1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54FEECC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(0,08 %)</w:t>
            </w:r>
          </w:p>
        </w:tc>
        <w:tc>
          <w:tcPr>
            <w:tcW w:w="1273" w:type="dxa"/>
          </w:tcPr>
          <w:p w14:paraId="52CF5D7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4F8F8C32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68A9A799" w14:textId="426F0AF8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metabolizmu a</w:t>
            </w:r>
            <w:r w:rsidR="002036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 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výživy</w:t>
            </w:r>
          </w:p>
        </w:tc>
      </w:tr>
      <w:tr w:rsidR="00593BFD" w:rsidRPr="00593BFD" w14:paraId="63CB29EC" w14:textId="77777777" w:rsidTr="006971FA">
        <w:trPr>
          <w:gridAfter w:val="1"/>
          <w:wAfter w:w="6" w:type="dxa"/>
          <w:trHeight w:val="510"/>
        </w:trPr>
        <w:tc>
          <w:tcPr>
            <w:tcW w:w="2124" w:type="dxa"/>
            <w:gridSpan w:val="2"/>
          </w:tcPr>
          <w:p w14:paraId="51023E6B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5E216A0F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Zvýšenie chuti do jedla</w:t>
            </w:r>
          </w:p>
        </w:tc>
        <w:tc>
          <w:tcPr>
            <w:tcW w:w="1700" w:type="dxa"/>
          </w:tcPr>
          <w:p w14:paraId="42EE9D7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10 (0,59 %)</w:t>
            </w:r>
          </w:p>
        </w:tc>
        <w:tc>
          <w:tcPr>
            <w:tcW w:w="1560" w:type="dxa"/>
          </w:tcPr>
          <w:p w14:paraId="571B93C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11 (0,44 %)</w:t>
            </w:r>
          </w:p>
        </w:tc>
        <w:tc>
          <w:tcPr>
            <w:tcW w:w="1273" w:type="dxa"/>
          </w:tcPr>
          <w:p w14:paraId="58021AC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7 (0,51%)</w:t>
            </w:r>
          </w:p>
        </w:tc>
      </w:tr>
      <w:tr w:rsidR="00593BFD" w:rsidRPr="00593BFD" w14:paraId="182DA4CD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041441D1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Psychické poruchy</w:t>
            </w:r>
          </w:p>
        </w:tc>
      </w:tr>
      <w:tr w:rsidR="00593BFD" w:rsidRPr="00593BFD" w14:paraId="7256993E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 w:val="restart"/>
          </w:tcPr>
          <w:p w14:paraId="2A1816F4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7935573E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Úzkosť</w:t>
            </w:r>
          </w:p>
        </w:tc>
        <w:tc>
          <w:tcPr>
            <w:tcW w:w="1700" w:type="dxa"/>
          </w:tcPr>
          <w:p w14:paraId="0E60E61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 (0,35 %)</w:t>
            </w:r>
          </w:p>
        </w:tc>
        <w:tc>
          <w:tcPr>
            <w:tcW w:w="1560" w:type="dxa"/>
          </w:tcPr>
          <w:p w14:paraId="3668419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8 (0,32 %)</w:t>
            </w:r>
          </w:p>
        </w:tc>
        <w:tc>
          <w:tcPr>
            <w:tcW w:w="1273" w:type="dxa"/>
          </w:tcPr>
          <w:p w14:paraId="58A94F5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06EA3F14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7F41E66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1E3088B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Nespavosť</w:t>
            </w:r>
          </w:p>
        </w:tc>
        <w:tc>
          <w:tcPr>
            <w:tcW w:w="1700" w:type="dxa"/>
          </w:tcPr>
          <w:p w14:paraId="46FA584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0D18AC2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0691154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263B4EBA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6382A686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nervového systému</w:t>
            </w:r>
          </w:p>
        </w:tc>
      </w:tr>
      <w:tr w:rsidR="00593BFD" w:rsidRPr="00593BFD" w14:paraId="4E05DF10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 w:val="restart"/>
          </w:tcPr>
          <w:p w14:paraId="4C480C90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Časté</w:t>
            </w:r>
          </w:p>
        </w:tc>
        <w:tc>
          <w:tcPr>
            <w:tcW w:w="1979" w:type="dxa"/>
          </w:tcPr>
          <w:p w14:paraId="0316C5BC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Ospalosť</w:t>
            </w:r>
          </w:p>
        </w:tc>
        <w:tc>
          <w:tcPr>
            <w:tcW w:w="1700" w:type="dxa"/>
          </w:tcPr>
          <w:p w14:paraId="1BAC737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52 (3,06 %)</w:t>
            </w:r>
          </w:p>
        </w:tc>
        <w:tc>
          <w:tcPr>
            <w:tcW w:w="1560" w:type="dxa"/>
          </w:tcPr>
          <w:p w14:paraId="41D6A8F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82 (3,25 %)</w:t>
            </w:r>
          </w:p>
        </w:tc>
        <w:tc>
          <w:tcPr>
            <w:tcW w:w="1273" w:type="dxa"/>
          </w:tcPr>
          <w:p w14:paraId="631C416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39 (2,86%)</w:t>
            </w:r>
          </w:p>
        </w:tc>
      </w:tr>
      <w:tr w:rsidR="00593BFD" w:rsidRPr="00593BFD" w14:paraId="25FE15DD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524B5010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2E4B5B31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Bolesť hlavy</w:t>
            </w:r>
          </w:p>
        </w:tc>
        <w:tc>
          <w:tcPr>
            <w:tcW w:w="1700" w:type="dxa"/>
          </w:tcPr>
          <w:p w14:paraId="1BF6376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68 ( 4,01 %)</w:t>
            </w:r>
          </w:p>
        </w:tc>
        <w:tc>
          <w:tcPr>
            <w:tcW w:w="1560" w:type="dxa"/>
          </w:tcPr>
          <w:p w14:paraId="4FB9152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90 (3,56 %)</w:t>
            </w:r>
          </w:p>
        </w:tc>
        <w:tc>
          <w:tcPr>
            <w:tcW w:w="1273" w:type="dxa"/>
          </w:tcPr>
          <w:p w14:paraId="0A6D811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46 (3,38%)</w:t>
            </w:r>
          </w:p>
        </w:tc>
      </w:tr>
      <w:tr w:rsidR="00593BFD" w:rsidRPr="00593BFD" w14:paraId="172E0648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</w:tcPr>
          <w:p w14:paraId="1F999634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Menej časté </w:t>
            </w:r>
          </w:p>
        </w:tc>
        <w:tc>
          <w:tcPr>
            <w:tcW w:w="1979" w:type="dxa"/>
          </w:tcPr>
          <w:p w14:paraId="62241757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Závraty</w:t>
            </w:r>
          </w:p>
        </w:tc>
        <w:tc>
          <w:tcPr>
            <w:tcW w:w="1700" w:type="dxa"/>
          </w:tcPr>
          <w:p w14:paraId="1DA0454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14 (0,83 %)</w:t>
            </w:r>
          </w:p>
        </w:tc>
        <w:tc>
          <w:tcPr>
            <w:tcW w:w="1560" w:type="dxa"/>
          </w:tcPr>
          <w:p w14:paraId="288E015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23 (0,91 %)</w:t>
            </w:r>
          </w:p>
        </w:tc>
        <w:tc>
          <w:tcPr>
            <w:tcW w:w="1273" w:type="dxa"/>
          </w:tcPr>
          <w:p w14:paraId="6AD5626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8 (0,59%)</w:t>
            </w:r>
          </w:p>
        </w:tc>
      </w:tr>
      <w:tr w:rsidR="00593BFD" w:rsidRPr="00593BFD" w14:paraId="186A24E7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5BB3B66C" w14:textId="30E47BC5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ucha a</w:t>
            </w:r>
            <w:r w:rsidR="00A006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 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labyrintu</w:t>
            </w:r>
          </w:p>
        </w:tc>
      </w:tr>
      <w:tr w:rsidR="00593BFD" w:rsidRPr="00593BFD" w14:paraId="4D7B445D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 w:val="restart"/>
          </w:tcPr>
          <w:p w14:paraId="3B167953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683942F6" w14:textId="0064AA43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Tinitus</w:t>
            </w:r>
            <w:proofErr w:type="spellEnd"/>
          </w:p>
        </w:tc>
        <w:tc>
          <w:tcPr>
            <w:tcW w:w="1700" w:type="dxa"/>
          </w:tcPr>
          <w:p w14:paraId="77CAC11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385E748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(0,08 %)</w:t>
            </w:r>
          </w:p>
        </w:tc>
        <w:tc>
          <w:tcPr>
            <w:tcW w:w="1273" w:type="dxa"/>
          </w:tcPr>
          <w:p w14:paraId="1AA8817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2131CE67" w14:textId="77777777" w:rsidTr="006971FA">
        <w:trPr>
          <w:gridAfter w:val="1"/>
          <w:wAfter w:w="6" w:type="dxa"/>
          <w:trHeight w:val="280"/>
        </w:trPr>
        <w:tc>
          <w:tcPr>
            <w:tcW w:w="2124" w:type="dxa"/>
            <w:gridSpan w:val="2"/>
            <w:vMerge/>
          </w:tcPr>
          <w:p w14:paraId="0CFA7BF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0072F7A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Vertigo</w:t>
            </w:r>
            <w:proofErr w:type="spellEnd"/>
          </w:p>
        </w:tc>
        <w:tc>
          <w:tcPr>
            <w:tcW w:w="1700" w:type="dxa"/>
          </w:tcPr>
          <w:p w14:paraId="559335E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(0,18 %)</w:t>
            </w:r>
          </w:p>
        </w:tc>
        <w:tc>
          <w:tcPr>
            <w:tcW w:w="1560" w:type="dxa"/>
          </w:tcPr>
          <w:p w14:paraId="0B87CB4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(0,12 %)</w:t>
            </w:r>
          </w:p>
        </w:tc>
        <w:tc>
          <w:tcPr>
            <w:tcW w:w="1273" w:type="dxa"/>
          </w:tcPr>
          <w:p w14:paraId="738DC7A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0A2E26" w14:paraId="2C86CE1E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0EC812D2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srdca a srdcovej činnosti</w:t>
            </w:r>
          </w:p>
        </w:tc>
      </w:tr>
      <w:tr w:rsidR="00593BFD" w:rsidRPr="00593BFD" w14:paraId="58D5FA95" w14:textId="77777777" w:rsidTr="006971FA">
        <w:trPr>
          <w:gridAfter w:val="1"/>
          <w:wAfter w:w="6" w:type="dxa"/>
          <w:trHeight w:val="510"/>
        </w:trPr>
        <w:tc>
          <w:tcPr>
            <w:tcW w:w="2124" w:type="dxa"/>
            <w:gridSpan w:val="2"/>
            <w:vMerge w:val="restart"/>
          </w:tcPr>
          <w:p w14:paraId="4A9E27D8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306B663B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Blokáda pravého ramienka</w:t>
            </w:r>
          </w:p>
        </w:tc>
        <w:tc>
          <w:tcPr>
            <w:tcW w:w="1700" w:type="dxa"/>
          </w:tcPr>
          <w:p w14:paraId="233DBA5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(0,24 %)</w:t>
            </w:r>
          </w:p>
        </w:tc>
        <w:tc>
          <w:tcPr>
            <w:tcW w:w="1560" w:type="dxa"/>
          </w:tcPr>
          <w:p w14:paraId="1221FAA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(0,20 %)</w:t>
            </w:r>
          </w:p>
        </w:tc>
        <w:tc>
          <w:tcPr>
            <w:tcW w:w="1273" w:type="dxa"/>
          </w:tcPr>
          <w:p w14:paraId="3C991C0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(0,22%)</w:t>
            </w:r>
          </w:p>
        </w:tc>
      </w:tr>
      <w:tr w:rsidR="00593BFD" w:rsidRPr="00593BFD" w14:paraId="7EF3FC5E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23FB1A7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733430F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Sínusová </w:t>
            </w: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arytmia</w:t>
            </w:r>
            <w:proofErr w:type="spellEnd"/>
          </w:p>
        </w:tc>
        <w:tc>
          <w:tcPr>
            <w:tcW w:w="1700" w:type="dxa"/>
          </w:tcPr>
          <w:p w14:paraId="34480BE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(0,30 %)</w:t>
            </w:r>
          </w:p>
        </w:tc>
        <w:tc>
          <w:tcPr>
            <w:tcW w:w="1560" w:type="dxa"/>
          </w:tcPr>
          <w:p w14:paraId="4AFCE34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(0,20 %)</w:t>
            </w:r>
          </w:p>
        </w:tc>
        <w:tc>
          <w:tcPr>
            <w:tcW w:w="1273" w:type="dxa"/>
          </w:tcPr>
          <w:p w14:paraId="62A8C0A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 (0,07%)</w:t>
            </w:r>
          </w:p>
        </w:tc>
      </w:tr>
      <w:tr w:rsidR="00593BFD" w:rsidRPr="00593BFD" w14:paraId="743DE281" w14:textId="77777777" w:rsidTr="006971FA">
        <w:trPr>
          <w:gridAfter w:val="1"/>
          <w:wAfter w:w="6" w:type="dxa"/>
          <w:trHeight w:val="510"/>
        </w:trPr>
        <w:tc>
          <w:tcPr>
            <w:tcW w:w="2124" w:type="dxa"/>
            <w:gridSpan w:val="2"/>
            <w:vMerge/>
          </w:tcPr>
          <w:p w14:paraId="71258E5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48D2AAE6" w14:textId="6AF5BFDA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Predĺženie intervalu</w:t>
            </w:r>
            <w:r w:rsidR="002036C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 QT na </w:t>
            </w: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EKG</w:t>
            </w:r>
          </w:p>
        </w:tc>
        <w:tc>
          <w:tcPr>
            <w:tcW w:w="1700" w:type="dxa"/>
          </w:tcPr>
          <w:p w14:paraId="54F306C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9 (0,53 %)</w:t>
            </w:r>
          </w:p>
        </w:tc>
        <w:tc>
          <w:tcPr>
            <w:tcW w:w="1560" w:type="dxa"/>
          </w:tcPr>
          <w:p w14:paraId="0A58F11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10 (0,40 %)</w:t>
            </w:r>
          </w:p>
        </w:tc>
        <w:tc>
          <w:tcPr>
            <w:tcW w:w="1273" w:type="dxa"/>
          </w:tcPr>
          <w:p w14:paraId="1125DA8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(0,37%)</w:t>
            </w:r>
          </w:p>
        </w:tc>
      </w:tr>
      <w:tr w:rsidR="00593BFD" w:rsidRPr="00593BFD" w14:paraId="58CC6C7E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0527712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552D2D4D" w14:textId="523DED58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Iné </w:t>
            </w:r>
            <w:r w:rsidR="002036C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poruchy na</w:t>
            </w:r>
            <w:r w:rsidR="002036C2"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 </w:t>
            </w: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EKG</w:t>
            </w:r>
          </w:p>
        </w:tc>
        <w:tc>
          <w:tcPr>
            <w:tcW w:w="1700" w:type="dxa"/>
          </w:tcPr>
          <w:p w14:paraId="412FC30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7 (0,41 %)</w:t>
            </w:r>
          </w:p>
        </w:tc>
        <w:tc>
          <w:tcPr>
            <w:tcW w:w="1560" w:type="dxa"/>
          </w:tcPr>
          <w:p w14:paraId="6059DE80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11 (0,44 %)</w:t>
            </w:r>
          </w:p>
        </w:tc>
        <w:tc>
          <w:tcPr>
            <w:tcW w:w="1273" w:type="dxa"/>
          </w:tcPr>
          <w:p w14:paraId="72B9B11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(0,15%)</w:t>
            </w:r>
          </w:p>
        </w:tc>
      </w:tr>
      <w:tr w:rsidR="00593BFD" w:rsidRPr="00593BFD" w14:paraId="63C112AC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356AF836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 xml:space="preserve">Poruchy dýchacej sústavy, hrudníka a </w:t>
            </w:r>
            <w:proofErr w:type="spellStart"/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mediastína</w:t>
            </w:r>
            <w:proofErr w:type="spellEnd"/>
          </w:p>
        </w:tc>
      </w:tr>
      <w:tr w:rsidR="00593BFD" w:rsidRPr="00593BFD" w14:paraId="4EC25498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 w:val="restart"/>
          </w:tcPr>
          <w:p w14:paraId="00F62F46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Menej časté </w:t>
            </w:r>
          </w:p>
        </w:tc>
        <w:tc>
          <w:tcPr>
            <w:tcW w:w="1979" w:type="dxa"/>
          </w:tcPr>
          <w:p w14:paraId="7F803B49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Dyspnoe</w:t>
            </w:r>
            <w:proofErr w:type="spellEnd"/>
          </w:p>
        </w:tc>
        <w:tc>
          <w:tcPr>
            <w:tcW w:w="1700" w:type="dxa"/>
          </w:tcPr>
          <w:p w14:paraId="756F5BD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4C22A03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(0,08 %)</w:t>
            </w:r>
          </w:p>
        </w:tc>
        <w:tc>
          <w:tcPr>
            <w:tcW w:w="1273" w:type="dxa"/>
          </w:tcPr>
          <w:p w14:paraId="676953D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01B230E1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10341DD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3A6A8E89" w14:textId="6D8C7C82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D</w:t>
            </w:r>
            <w:r w:rsidR="002036C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i</w:t>
            </w: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skomfort</w:t>
            </w:r>
            <w:proofErr w:type="spellEnd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 v nose</w:t>
            </w:r>
          </w:p>
        </w:tc>
        <w:tc>
          <w:tcPr>
            <w:tcW w:w="1700" w:type="dxa"/>
          </w:tcPr>
          <w:p w14:paraId="24EB032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66E4996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(0,08 %)</w:t>
            </w:r>
          </w:p>
        </w:tc>
        <w:tc>
          <w:tcPr>
            <w:tcW w:w="1273" w:type="dxa"/>
          </w:tcPr>
          <w:p w14:paraId="6ADED58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641B911F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2C09C80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0E4BBFC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Sucho v nose</w:t>
            </w:r>
          </w:p>
        </w:tc>
        <w:tc>
          <w:tcPr>
            <w:tcW w:w="1700" w:type="dxa"/>
          </w:tcPr>
          <w:p w14:paraId="0B08790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(0,18 %)</w:t>
            </w:r>
          </w:p>
        </w:tc>
        <w:tc>
          <w:tcPr>
            <w:tcW w:w="1560" w:type="dxa"/>
          </w:tcPr>
          <w:p w14:paraId="5F18C010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 (0,24 %)</w:t>
            </w:r>
          </w:p>
        </w:tc>
        <w:tc>
          <w:tcPr>
            <w:tcW w:w="1273" w:type="dxa"/>
          </w:tcPr>
          <w:p w14:paraId="538D059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(0,29%)</w:t>
            </w:r>
          </w:p>
        </w:tc>
      </w:tr>
      <w:tr w:rsidR="00593BFD" w:rsidRPr="00593BFD" w14:paraId="2EDA71E2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109B3F5C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gastrointestinálneho traktu</w:t>
            </w:r>
          </w:p>
        </w:tc>
      </w:tr>
      <w:tr w:rsidR="00593BFD" w:rsidRPr="00593BFD" w14:paraId="2B036AED" w14:textId="77777777" w:rsidTr="006971FA">
        <w:trPr>
          <w:gridAfter w:val="1"/>
          <w:wAfter w:w="6" w:type="dxa"/>
          <w:trHeight w:val="510"/>
        </w:trPr>
        <w:tc>
          <w:tcPr>
            <w:tcW w:w="2124" w:type="dxa"/>
            <w:gridSpan w:val="2"/>
            <w:vMerge w:val="restart"/>
          </w:tcPr>
          <w:p w14:paraId="0D4FAD31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Menej časté </w:t>
            </w:r>
          </w:p>
        </w:tc>
        <w:tc>
          <w:tcPr>
            <w:tcW w:w="1979" w:type="dxa"/>
          </w:tcPr>
          <w:p w14:paraId="44B3EC38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Bolesť v hornej časti brucha</w:t>
            </w:r>
          </w:p>
        </w:tc>
        <w:tc>
          <w:tcPr>
            <w:tcW w:w="1700" w:type="dxa"/>
          </w:tcPr>
          <w:p w14:paraId="4579FBC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11 (0,65 %)</w:t>
            </w:r>
          </w:p>
        </w:tc>
        <w:tc>
          <w:tcPr>
            <w:tcW w:w="1560" w:type="dxa"/>
          </w:tcPr>
          <w:p w14:paraId="73BC0C0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14 (0,55 %)</w:t>
            </w:r>
          </w:p>
        </w:tc>
        <w:tc>
          <w:tcPr>
            <w:tcW w:w="1273" w:type="dxa"/>
          </w:tcPr>
          <w:p w14:paraId="10265E7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 (0,44%)</w:t>
            </w:r>
          </w:p>
        </w:tc>
      </w:tr>
      <w:tr w:rsidR="00593BFD" w:rsidRPr="00593BFD" w14:paraId="48AFABEB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3D29E28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0AE5675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Bolesť brucha</w:t>
            </w:r>
          </w:p>
        </w:tc>
        <w:tc>
          <w:tcPr>
            <w:tcW w:w="1700" w:type="dxa"/>
          </w:tcPr>
          <w:p w14:paraId="1DBA0A7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(0,30 %)</w:t>
            </w:r>
          </w:p>
        </w:tc>
        <w:tc>
          <w:tcPr>
            <w:tcW w:w="1560" w:type="dxa"/>
          </w:tcPr>
          <w:p w14:paraId="0531126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(0,20 %)</w:t>
            </w:r>
          </w:p>
        </w:tc>
        <w:tc>
          <w:tcPr>
            <w:tcW w:w="1273" w:type="dxa"/>
          </w:tcPr>
          <w:p w14:paraId="469B238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(0,29%)</w:t>
            </w:r>
          </w:p>
        </w:tc>
      </w:tr>
      <w:tr w:rsidR="00593BFD" w:rsidRPr="00593BFD" w14:paraId="37E292CC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16632C1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759F406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Nevoľnosť</w:t>
            </w:r>
          </w:p>
        </w:tc>
        <w:tc>
          <w:tcPr>
            <w:tcW w:w="1700" w:type="dxa"/>
          </w:tcPr>
          <w:p w14:paraId="7976854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7 (0,41 %)</w:t>
            </w:r>
          </w:p>
        </w:tc>
        <w:tc>
          <w:tcPr>
            <w:tcW w:w="1560" w:type="dxa"/>
          </w:tcPr>
          <w:p w14:paraId="52E421A7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10 (0,40 %)</w:t>
            </w:r>
          </w:p>
        </w:tc>
        <w:tc>
          <w:tcPr>
            <w:tcW w:w="1273" w:type="dxa"/>
          </w:tcPr>
          <w:p w14:paraId="14EBDF4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14 (1,03%)</w:t>
            </w:r>
          </w:p>
        </w:tc>
      </w:tr>
      <w:tr w:rsidR="00593BFD" w:rsidRPr="00593BFD" w14:paraId="6563171D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0A265F5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7D23A401" w14:textId="1AAEED44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D</w:t>
            </w:r>
            <w:r w:rsidR="002036C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i</w:t>
            </w: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skomfort</w:t>
            </w:r>
            <w:proofErr w:type="spellEnd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 xml:space="preserve"> v</w:t>
            </w:r>
            <w:r w:rsidR="002036C2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 </w:t>
            </w: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žalúdku</w:t>
            </w:r>
          </w:p>
        </w:tc>
        <w:tc>
          <w:tcPr>
            <w:tcW w:w="1700" w:type="dxa"/>
          </w:tcPr>
          <w:p w14:paraId="5B57A4A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(0,18 %)</w:t>
            </w:r>
          </w:p>
        </w:tc>
        <w:tc>
          <w:tcPr>
            <w:tcW w:w="1560" w:type="dxa"/>
          </w:tcPr>
          <w:p w14:paraId="4C55C42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11542D8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26EA043D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257A9E89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6C20AFEE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Hnačka</w:t>
            </w:r>
          </w:p>
        </w:tc>
        <w:tc>
          <w:tcPr>
            <w:tcW w:w="1700" w:type="dxa"/>
          </w:tcPr>
          <w:p w14:paraId="3D0A2636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(0,24 %)</w:t>
            </w:r>
          </w:p>
        </w:tc>
        <w:tc>
          <w:tcPr>
            <w:tcW w:w="1560" w:type="dxa"/>
          </w:tcPr>
          <w:p w14:paraId="4968BD0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 (0,24 %)</w:t>
            </w:r>
          </w:p>
        </w:tc>
        <w:tc>
          <w:tcPr>
            <w:tcW w:w="1273" w:type="dxa"/>
          </w:tcPr>
          <w:p w14:paraId="5229C150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(0,22%)</w:t>
            </w:r>
          </w:p>
        </w:tc>
      </w:tr>
      <w:tr w:rsidR="00593BFD" w:rsidRPr="00593BFD" w14:paraId="2E8BB7DE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7AB15A6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00E5C46A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Sucho v ústach</w:t>
            </w:r>
          </w:p>
        </w:tc>
        <w:tc>
          <w:tcPr>
            <w:tcW w:w="1700" w:type="dxa"/>
          </w:tcPr>
          <w:p w14:paraId="09ACC36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43D0A59A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6 (0,24 %)</w:t>
            </w:r>
          </w:p>
        </w:tc>
        <w:tc>
          <w:tcPr>
            <w:tcW w:w="1273" w:type="dxa"/>
          </w:tcPr>
          <w:p w14:paraId="366DD4D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5 (0,37%)</w:t>
            </w:r>
          </w:p>
        </w:tc>
      </w:tr>
      <w:tr w:rsidR="00593BFD" w:rsidRPr="00593BFD" w14:paraId="7220DABB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41197F1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0A2E4F9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Dyspepsia</w:t>
            </w:r>
            <w:proofErr w:type="spellEnd"/>
          </w:p>
        </w:tc>
        <w:tc>
          <w:tcPr>
            <w:tcW w:w="1700" w:type="dxa"/>
          </w:tcPr>
          <w:p w14:paraId="2DB0BF82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70AF9BAA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1BF3C6D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(0,29%)</w:t>
            </w:r>
          </w:p>
        </w:tc>
      </w:tr>
      <w:tr w:rsidR="00593BFD" w:rsidRPr="00593BFD" w14:paraId="16E52894" w14:textId="77777777" w:rsidTr="006971FA">
        <w:trPr>
          <w:gridAfter w:val="1"/>
          <w:wAfter w:w="6" w:type="dxa"/>
          <w:trHeight w:val="294"/>
        </w:trPr>
        <w:tc>
          <w:tcPr>
            <w:tcW w:w="2124" w:type="dxa"/>
            <w:gridSpan w:val="2"/>
            <w:vMerge/>
          </w:tcPr>
          <w:p w14:paraId="71743EF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139FFCC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Gastritída</w:t>
            </w:r>
          </w:p>
        </w:tc>
        <w:tc>
          <w:tcPr>
            <w:tcW w:w="1700" w:type="dxa"/>
          </w:tcPr>
          <w:p w14:paraId="7BB0DB38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(0,24 %)</w:t>
            </w:r>
          </w:p>
        </w:tc>
        <w:tc>
          <w:tcPr>
            <w:tcW w:w="1560" w:type="dxa"/>
          </w:tcPr>
          <w:p w14:paraId="4AD6E26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30B7D14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0 (0,0%)</w:t>
            </w:r>
          </w:p>
        </w:tc>
      </w:tr>
      <w:tr w:rsidR="00593BFD" w:rsidRPr="00593BFD" w14:paraId="260670E7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705272AE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kože a podkožného tkaniva</w:t>
            </w:r>
          </w:p>
        </w:tc>
      </w:tr>
      <w:tr w:rsidR="00593BFD" w:rsidRPr="00593BFD" w14:paraId="7DE40DCD" w14:textId="77777777" w:rsidTr="006971FA">
        <w:trPr>
          <w:gridAfter w:val="1"/>
          <w:wAfter w:w="6" w:type="dxa"/>
          <w:trHeight w:val="272"/>
        </w:trPr>
        <w:tc>
          <w:tcPr>
            <w:tcW w:w="2124" w:type="dxa"/>
            <w:gridSpan w:val="2"/>
          </w:tcPr>
          <w:p w14:paraId="602612C7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2FAB335C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Pruritus</w:t>
            </w:r>
            <w:proofErr w:type="spellEnd"/>
          </w:p>
        </w:tc>
        <w:tc>
          <w:tcPr>
            <w:tcW w:w="1700" w:type="dxa"/>
          </w:tcPr>
          <w:p w14:paraId="55DE2CC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4769D99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42CE42C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(0,15%)</w:t>
            </w:r>
          </w:p>
        </w:tc>
      </w:tr>
      <w:tr w:rsidR="00593BFD" w:rsidRPr="000A2E26" w14:paraId="5D312BED" w14:textId="77777777" w:rsidTr="006971FA">
        <w:trPr>
          <w:gridAfter w:val="1"/>
          <w:wAfter w:w="6" w:type="dxa"/>
          <w:trHeight w:val="315"/>
        </w:trPr>
        <w:tc>
          <w:tcPr>
            <w:tcW w:w="8636" w:type="dxa"/>
            <w:gridSpan w:val="6"/>
          </w:tcPr>
          <w:p w14:paraId="30F25EF2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Celkové poruchy a reakcie v mieste podania</w:t>
            </w:r>
          </w:p>
        </w:tc>
      </w:tr>
      <w:tr w:rsidR="00593BFD" w:rsidRPr="00593BFD" w14:paraId="6830A4D8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 w:val="restart"/>
          </w:tcPr>
          <w:p w14:paraId="426EFDE9" w14:textId="77777777" w:rsidR="00593BFD" w:rsidRPr="00593BFD" w:rsidRDefault="00593BFD" w:rsidP="000270F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Menej časté</w:t>
            </w:r>
          </w:p>
        </w:tc>
        <w:tc>
          <w:tcPr>
            <w:tcW w:w="1979" w:type="dxa"/>
          </w:tcPr>
          <w:p w14:paraId="370FB32E" w14:textId="77777777" w:rsidR="00593BFD" w:rsidRPr="00593BFD" w:rsidRDefault="00593BFD" w:rsidP="00307067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Únava</w:t>
            </w:r>
          </w:p>
        </w:tc>
        <w:tc>
          <w:tcPr>
            <w:tcW w:w="1700" w:type="dxa"/>
          </w:tcPr>
          <w:p w14:paraId="7059B5E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14 (0,83 %)</w:t>
            </w:r>
          </w:p>
        </w:tc>
        <w:tc>
          <w:tcPr>
            <w:tcW w:w="1560" w:type="dxa"/>
          </w:tcPr>
          <w:p w14:paraId="3CA3BEED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19 (0,75 %)</w:t>
            </w:r>
          </w:p>
        </w:tc>
        <w:tc>
          <w:tcPr>
            <w:tcW w:w="1273" w:type="dxa"/>
          </w:tcPr>
          <w:p w14:paraId="70E04E81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18 (1,32%)</w:t>
            </w:r>
          </w:p>
        </w:tc>
      </w:tr>
      <w:tr w:rsidR="00593BFD" w:rsidRPr="00593BFD" w14:paraId="67AC4015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2D30E795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4831154C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Smäd</w:t>
            </w:r>
          </w:p>
        </w:tc>
        <w:tc>
          <w:tcPr>
            <w:tcW w:w="1700" w:type="dxa"/>
          </w:tcPr>
          <w:p w14:paraId="1E0ADA1B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(0,18 %)</w:t>
            </w:r>
          </w:p>
        </w:tc>
        <w:tc>
          <w:tcPr>
            <w:tcW w:w="1560" w:type="dxa"/>
          </w:tcPr>
          <w:p w14:paraId="215DFAF4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2D711E83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1 (0,07%)</w:t>
            </w:r>
          </w:p>
        </w:tc>
      </w:tr>
      <w:tr w:rsidR="00EC2DBC" w:rsidRPr="00593BFD" w14:paraId="2897EFA6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5E2C2290" w14:textId="77777777" w:rsidR="00EC2DBC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5E36E778" w14:textId="2DE0E9B5" w:rsidR="00EC2DBC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Zlepšenie predchádzajúceho stavu</w:t>
            </w:r>
          </w:p>
        </w:tc>
        <w:tc>
          <w:tcPr>
            <w:tcW w:w="1700" w:type="dxa"/>
          </w:tcPr>
          <w:p w14:paraId="7B5ADBC7" w14:textId="65C172DE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(0,12 %)</w:t>
            </w:r>
          </w:p>
        </w:tc>
        <w:tc>
          <w:tcPr>
            <w:tcW w:w="1560" w:type="dxa"/>
          </w:tcPr>
          <w:p w14:paraId="67AE64CA" w14:textId="42DFAFF3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2 (0,08 %)</w:t>
            </w:r>
          </w:p>
        </w:tc>
        <w:tc>
          <w:tcPr>
            <w:tcW w:w="1273" w:type="dxa"/>
          </w:tcPr>
          <w:p w14:paraId="285D9132" w14:textId="40F5C7BE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1 (0,07%)</w:t>
            </w:r>
          </w:p>
        </w:tc>
      </w:tr>
      <w:tr w:rsidR="00EC2DBC" w:rsidRPr="00593BFD" w14:paraId="6E9F34BC" w14:textId="77777777" w:rsidTr="006971FA">
        <w:trPr>
          <w:gridAfter w:val="1"/>
          <w:wAfter w:w="6" w:type="dxa"/>
          <w:trHeight w:val="315"/>
        </w:trPr>
        <w:tc>
          <w:tcPr>
            <w:tcW w:w="2124" w:type="dxa"/>
            <w:gridSpan w:val="2"/>
            <w:vMerge/>
          </w:tcPr>
          <w:p w14:paraId="746DD336" w14:textId="77777777" w:rsidR="00EC2DBC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344CB29B" w14:textId="0E6FA11E" w:rsidR="00EC2DBC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Horúčka</w:t>
            </w:r>
            <w:proofErr w:type="spellEnd"/>
          </w:p>
        </w:tc>
        <w:tc>
          <w:tcPr>
            <w:tcW w:w="1700" w:type="dxa"/>
          </w:tcPr>
          <w:p w14:paraId="7D6CC50A" w14:textId="0855D3BC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C35B98">
              <w:rPr>
                <w:rFonts w:ascii="Times New Roman" w:eastAsia="Times New Roman" w:hAnsi="Times New Roman"/>
                <w:color w:val="000000"/>
                <w:lang w:eastAsia="sk-SK"/>
              </w:rPr>
              <w:t>2 (0,12 %)</w:t>
            </w:r>
          </w:p>
        </w:tc>
        <w:tc>
          <w:tcPr>
            <w:tcW w:w="1560" w:type="dxa"/>
          </w:tcPr>
          <w:p w14:paraId="50CFFD94" w14:textId="40A0B2D4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C35B98">
              <w:rPr>
                <w:rFonts w:ascii="Times New Roman" w:eastAsia="Times New Roman" w:hAnsi="Times New Roman"/>
                <w:color w:val="000000"/>
                <w:lang w:eastAsia="sk-SK"/>
              </w:rPr>
              <w:t>3 (0,12 %)</w:t>
            </w:r>
          </w:p>
        </w:tc>
        <w:tc>
          <w:tcPr>
            <w:tcW w:w="1273" w:type="dxa"/>
          </w:tcPr>
          <w:p w14:paraId="563FF4CD" w14:textId="22063737" w:rsidR="00EC2DBC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C35B98">
              <w:rPr>
                <w:rFonts w:ascii="Times New Roman" w:eastAsia="Times New Roman" w:hAnsi="Times New Roman"/>
                <w:color w:val="000000"/>
                <w:lang w:eastAsia="sk-SK"/>
              </w:rPr>
              <w:t>1 (0,07%)</w:t>
            </w:r>
          </w:p>
        </w:tc>
      </w:tr>
      <w:tr w:rsidR="00593BFD" w:rsidRPr="00593BFD" w14:paraId="2DE5E741" w14:textId="77777777" w:rsidTr="006971FA">
        <w:trPr>
          <w:gridAfter w:val="1"/>
          <w:wAfter w:w="6" w:type="dxa"/>
          <w:trHeight w:val="510"/>
        </w:trPr>
        <w:tc>
          <w:tcPr>
            <w:tcW w:w="2124" w:type="dxa"/>
            <w:gridSpan w:val="2"/>
            <w:vMerge/>
          </w:tcPr>
          <w:p w14:paraId="5623642F" w14:textId="77777777" w:rsidR="00593BFD" w:rsidRPr="00593BFD" w:rsidRDefault="00593BFD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</w:p>
        </w:tc>
        <w:tc>
          <w:tcPr>
            <w:tcW w:w="1979" w:type="dxa"/>
          </w:tcPr>
          <w:p w14:paraId="26C730E6" w14:textId="31791D3F" w:rsidR="00593BFD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Asténia</w:t>
            </w:r>
            <w:proofErr w:type="spellEnd"/>
            <w:r w:rsidRPr="00EC2DBC" w:rsidDel="00EC2DBC">
              <w:rPr>
                <w:rFonts w:ascii="Times New Roman" w:eastAsia="Times New Roman" w:hAnsi="Times New Roman" w:cs="Times New Roman"/>
                <w:bCs/>
                <w:iCs/>
                <w:color w:val="000000"/>
                <w:highlight w:val="yellow"/>
                <w:lang w:val="sk-SK" w:eastAsia="sk-SK"/>
              </w:rPr>
              <w:t xml:space="preserve"> </w:t>
            </w:r>
          </w:p>
        </w:tc>
        <w:tc>
          <w:tcPr>
            <w:tcW w:w="1700" w:type="dxa"/>
          </w:tcPr>
          <w:p w14:paraId="42ABA885" w14:textId="0E63C112" w:rsidR="00593BFD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3 (0,18 %)</w:t>
            </w:r>
            <w:r w:rsidRPr="00EC2DBC" w:rsidDel="00EC2DBC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 xml:space="preserve"> </w:t>
            </w:r>
          </w:p>
        </w:tc>
        <w:tc>
          <w:tcPr>
            <w:tcW w:w="1560" w:type="dxa"/>
          </w:tcPr>
          <w:p w14:paraId="4E6CBC4D" w14:textId="23F29872" w:rsidR="00593BFD" w:rsidRPr="00593BFD" w:rsidRDefault="00EC2DB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  <w:t>4 (0,16 %)</w:t>
            </w:r>
          </w:p>
        </w:tc>
        <w:tc>
          <w:tcPr>
            <w:tcW w:w="1273" w:type="dxa"/>
          </w:tcPr>
          <w:p w14:paraId="3C80A27A" w14:textId="2CCF1D24" w:rsidR="00593BFD" w:rsidRPr="00593BFD" w:rsidRDefault="00EC2DB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</w:pPr>
            <w:r w:rsidRPr="00EC2DB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sk-SK" w:eastAsia="sk-SK"/>
              </w:rPr>
              <w:t>5 (0,37%)</w:t>
            </w:r>
          </w:p>
        </w:tc>
      </w:tr>
      <w:tr w:rsidR="00EC2DBC" w14:paraId="3817E0C7" w14:textId="77777777" w:rsidTr="006971FA">
        <w:tc>
          <w:tcPr>
            <w:tcW w:w="8642" w:type="dxa"/>
            <w:gridSpan w:val="7"/>
          </w:tcPr>
          <w:p w14:paraId="5B03B3DC" w14:textId="464CCF38" w:rsidR="00EC2DBC" w:rsidRPr="006971FA" w:rsidRDefault="00EC2DBC" w:rsidP="00EC2DB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Cs w:val="20"/>
                <w:lang w:val="sk-SK" w:eastAsia="sk-SK" w:bidi="sk-SK"/>
              </w:rPr>
            </w:pPr>
            <w:r w:rsidRPr="006971FA">
              <w:rPr>
                <w:rFonts w:ascii="Times New Roman" w:eastAsia="Times New Roman" w:hAnsi="Times New Roman" w:cs="Times New Roman"/>
                <w:b/>
                <w:bCs/>
                <w:szCs w:val="20"/>
                <w:lang w:val="sk-SK" w:eastAsia="sk-SK" w:bidi="sk-SK"/>
              </w:rPr>
              <w:t>Laboratórne a funkčné vyšetrenia</w:t>
            </w:r>
          </w:p>
        </w:tc>
      </w:tr>
      <w:tr w:rsidR="00EC2DBC" w14:paraId="7940F3D0" w14:textId="77777777" w:rsidTr="006971FA">
        <w:tc>
          <w:tcPr>
            <w:tcW w:w="2124" w:type="dxa"/>
            <w:gridSpan w:val="2"/>
            <w:vMerge w:val="restart"/>
          </w:tcPr>
          <w:p w14:paraId="071714AD" w14:textId="665E0C2A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Menej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časté</w:t>
            </w:r>
            <w:proofErr w:type="spellEnd"/>
          </w:p>
        </w:tc>
        <w:tc>
          <w:tcPr>
            <w:tcW w:w="1979" w:type="dxa"/>
          </w:tcPr>
          <w:p w14:paraId="1B80F748" w14:textId="315AC26F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Zvýšenie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gama-glutamyltransferázy</w:t>
            </w:r>
            <w:proofErr w:type="spellEnd"/>
          </w:p>
        </w:tc>
        <w:tc>
          <w:tcPr>
            <w:tcW w:w="1700" w:type="dxa"/>
          </w:tcPr>
          <w:p w14:paraId="3D9B551B" w14:textId="47A6C395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7 (0,41 %)</w:t>
            </w:r>
          </w:p>
        </w:tc>
        <w:tc>
          <w:tcPr>
            <w:tcW w:w="1560" w:type="dxa"/>
          </w:tcPr>
          <w:p w14:paraId="0B1CBF62" w14:textId="6B5AED53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8 (0,32 %)</w:t>
            </w:r>
          </w:p>
        </w:tc>
        <w:tc>
          <w:tcPr>
            <w:tcW w:w="1279" w:type="dxa"/>
            <w:gridSpan w:val="2"/>
          </w:tcPr>
          <w:p w14:paraId="68E6CC85" w14:textId="2EA7153C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(0,15%)</w:t>
            </w:r>
          </w:p>
        </w:tc>
      </w:tr>
      <w:tr w:rsidR="00EC2DBC" w14:paraId="04705B96" w14:textId="77777777" w:rsidTr="006971FA">
        <w:tc>
          <w:tcPr>
            <w:tcW w:w="2124" w:type="dxa"/>
            <w:gridSpan w:val="2"/>
            <w:vMerge/>
          </w:tcPr>
          <w:p w14:paraId="4BD6692C" w14:textId="77777777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</w:p>
        </w:tc>
        <w:tc>
          <w:tcPr>
            <w:tcW w:w="1979" w:type="dxa"/>
          </w:tcPr>
          <w:p w14:paraId="7B8DAB80" w14:textId="4248FED1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Zvýšenie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alanín</w:t>
            </w:r>
            <w:proofErr w:type="spellEnd"/>
            <w:r w:rsidR="00F65E6C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-</w:t>
            </w:r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aminotransferázy</w:t>
            </w:r>
            <w:proofErr w:type="spellEnd"/>
          </w:p>
        </w:tc>
        <w:tc>
          <w:tcPr>
            <w:tcW w:w="1700" w:type="dxa"/>
          </w:tcPr>
          <w:p w14:paraId="04F94AA2" w14:textId="37BDDBA4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5 (0,30 %)</w:t>
            </w:r>
          </w:p>
        </w:tc>
        <w:tc>
          <w:tcPr>
            <w:tcW w:w="1560" w:type="dxa"/>
          </w:tcPr>
          <w:p w14:paraId="6AB0E983" w14:textId="1D750F4A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5 (0,20 %)</w:t>
            </w:r>
          </w:p>
        </w:tc>
        <w:tc>
          <w:tcPr>
            <w:tcW w:w="1279" w:type="dxa"/>
            <w:gridSpan w:val="2"/>
          </w:tcPr>
          <w:p w14:paraId="1FFB3D6E" w14:textId="7C70E0A3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3 (0,22%)</w:t>
            </w:r>
          </w:p>
        </w:tc>
      </w:tr>
      <w:tr w:rsidR="00EC2DBC" w14:paraId="463E31AC" w14:textId="77777777" w:rsidTr="006971FA">
        <w:tc>
          <w:tcPr>
            <w:tcW w:w="2124" w:type="dxa"/>
            <w:gridSpan w:val="2"/>
            <w:vMerge/>
          </w:tcPr>
          <w:p w14:paraId="65764CED" w14:textId="77777777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</w:p>
        </w:tc>
        <w:tc>
          <w:tcPr>
            <w:tcW w:w="1979" w:type="dxa"/>
          </w:tcPr>
          <w:p w14:paraId="06720C39" w14:textId="05646CAC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 xml:space="preserve">Zvýšenie </w:t>
            </w:r>
            <w:proofErr w:type="spellStart"/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aspartát</w:t>
            </w:r>
            <w:proofErr w:type="spellEnd"/>
            <w:r w:rsidR="00F65E6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-</w:t>
            </w: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 xml:space="preserve"> </w:t>
            </w:r>
            <w:proofErr w:type="spellStart"/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aminotransferázy</w:t>
            </w:r>
            <w:proofErr w:type="spellEnd"/>
          </w:p>
        </w:tc>
        <w:tc>
          <w:tcPr>
            <w:tcW w:w="1700" w:type="dxa"/>
          </w:tcPr>
          <w:p w14:paraId="604B9E4D" w14:textId="36831A7F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3 (0,18 %)</w:t>
            </w:r>
          </w:p>
        </w:tc>
        <w:tc>
          <w:tcPr>
            <w:tcW w:w="1560" w:type="dxa"/>
          </w:tcPr>
          <w:p w14:paraId="5004E7A2" w14:textId="5802778B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3 (0,12 %)</w:t>
            </w:r>
          </w:p>
        </w:tc>
        <w:tc>
          <w:tcPr>
            <w:tcW w:w="1279" w:type="dxa"/>
            <w:gridSpan w:val="2"/>
          </w:tcPr>
          <w:p w14:paraId="67370EC3" w14:textId="3BB5896A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3 (0,22%)</w:t>
            </w:r>
          </w:p>
        </w:tc>
      </w:tr>
      <w:tr w:rsidR="00EC2DBC" w14:paraId="0512822A" w14:textId="77777777" w:rsidTr="006971FA">
        <w:tc>
          <w:tcPr>
            <w:tcW w:w="2124" w:type="dxa"/>
            <w:gridSpan w:val="2"/>
            <w:vMerge/>
          </w:tcPr>
          <w:p w14:paraId="5B045D5D" w14:textId="77777777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</w:p>
        </w:tc>
        <w:tc>
          <w:tcPr>
            <w:tcW w:w="1979" w:type="dxa"/>
          </w:tcPr>
          <w:p w14:paraId="517E965F" w14:textId="4BAE5AC4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Zvýšenie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kreatinínu v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krvi</w:t>
            </w:r>
            <w:proofErr w:type="spellEnd"/>
          </w:p>
        </w:tc>
        <w:tc>
          <w:tcPr>
            <w:tcW w:w="1700" w:type="dxa"/>
          </w:tcPr>
          <w:p w14:paraId="005B8F56" w14:textId="772646C2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(0,12 %)</w:t>
            </w:r>
          </w:p>
        </w:tc>
        <w:tc>
          <w:tcPr>
            <w:tcW w:w="1560" w:type="dxa"/>
          </w:tcPr>
          <w:p w14:paraId="53967B08" w14:textId="1679E4A0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(0,08 %)</w:t>
            </w:r>
          </w:p>
        </w:tc>
        <w:tc>
          <w:tcPr>
            <w:tcW w:w="1279" w:type="dxa"/>
            <w:gridSpan w:val="2"/>
          </w:tcPr>
          <w:p w14:paraId="4EFAC2DD" w14:textId="6E27990E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0 (0,0%)</w:t>
            </w:r>
          </w:p>
        </w:tc>
      </w:tr>
      <w:tr w:rsidR="00EC2DBC" w14:paraId="5552CE6C" w14:textId="77777777" w:rsidTr="006971FA">
        <w:tc>
          <w:tcPr>
            <w:tcW w:w="2124" w:type="dxa"/>
            <w:gridSpan w:val="2"/>
            <w:vMerge/>
          </w:tcPr>
          <w:p w14:paraId="32182B9F" w14:textId="77777777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</w:p>
        </w:tc>
        <w:tc>
          <w:tcPr>
            <w:tcW w:w="1979" w:type="dxa"/>
          </w:tcPr>
          <w:p w14:paraId="644E4C99" w14:textId="24377334" w:rsidR="00EC2DBC" w:rsidRDefault="00EC2DBC" w:rsidP="00F65E6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Zvýšenie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72064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tri</w:t>
            </w:r>
            <w:r w:rsidR="00F65E6C" w:rsidRPr="0072064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acylglycerolov</w:t>
            </w:r>
            <w:proofErr w:type="spellEnd"/>
            <w:r w:rsidRPr="0072064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v</w:t>
            </w:r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krvi</w:t>
            </w:r>
            <w:proofErr w:type="spellEnd"/>
          </w:p>
        </w:tc>
        <w:tc>
          <w:tcPr>
            <w:tcW w:w="1700" w:type="dxa"/>
          </w:tcPr>
          <w:p w14:paraId="2ADD819E" w14:textId="763F0673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(0,12 %)</w:t>
            </w:r>
          </w:p>
        </w:tc>
        <w:tc>
          <w:tcPr>
            <w:tcW w:w="1560" w:type="dxa"/>
          </w:tcPr>
          <w:p w14:paraId="0EC263CB" w14:textId="669D021C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(0,08 %)</w:t>
            </w:r>
          </w:p>
        </w:tc>
        <w:tc>
          <w:tcPr>
            <w:tcW w:w="1279" w:type="dxa"/>
            <w:gridSpan w:val="2"/>
          </w:tcPr>
          <w:p w14:paraId="527B0A9B" w14:textId="6865E426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3 (0,22%)</w:t>
            </w:r>
          </w:p>
        </w:tc>
      </w:tr>
      <w:tr w:rsidR="00EC2DBC" w14:paraId="64E6E400" w14:textId="77777777" w:rsidTr="006971FA">
        <w:tc>
          <w:tcPr>
            <w:tcW w:w="2124" w:type="dxa"/>
            <w:gridSpan w:val="2"/>
            <w:vMerge/>
          </w:tcPr>
          <w:p w14:paraId="64C5F793" w14:textId="77777777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</w:p>
        </w:tc>
        <w:tc>
          <w:tcPr>
            <w:tcW w:w="1979" w:type="dxa"/>
          </w:tcPr>
          <w:p w14:paraId="19B7A34A" w14:textId="78B90CD0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Zvýšenie</w:t>
            </w:r>
            <w:proofErr w:type="spellEnd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C35B98">
              <w:rPr>
                <w:rFonts w:ascii="Times New Roman" w:eastAsia="Times New Roman" w:hAnsi="Times New Roman"/>
                <w:bCs/>
                <w:iCs/>
                <w:color w:val="000000"/>
                <w:lang w:eastAsia="sk-SK"/>
              </w:rPr>
              <w:t>hmotnosti</w:t>
            </w:r>
            <w:proofErr w:type="spellEnd"/>
          </w:p>
        </w:tc>
        <w:tc>
          <w:tcPr>
            <w:tcW w:w="1700" w:type="dxa"/>
          </w:tcPr>
          <w:p w14:paraId="34FFFC0A" w14:textId="2FBBC832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8 (0,47 %)</w:t>
            </w:r>
          </w:p>
        </w:tc>
        <w:tc>
          <w:tcPr>
            <w:tcW w:w="1560" w:type="dxa"/>
          </w:tcPr>
          <w:p w14:paraId="5B74E146" w14:textId="6A7C3F69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12 (0,48 %)</w:t>
            </w:r>
          </w:p>
        </w:tc>
        <w:tc>
          <w:tcPr>
            <w:tcW w:w="1279" w:type="dxa"/>
            <w:gridSpan w:val="2"/>
          </w:tcPr>
          <w:p w14:paraId="2DF32BDF" w14:textId="075153E3" w:rsidR="00EC2DBC" w:rsidRDefault="00EC2DBC" w:rsidP="001E699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</w:pPr>
            <w:r w:rsidRPr="00EC2DBC">
              <w:rPr>
                <w:rFonts w:ascii="Times New Roman" w:eastAsia="Times New Roman" w:hAnsi="Times New Roman" w:cs="Times New Roman"/>
                <w:szCs w:val="20"/>
                <w:lang w:val="sk-SK" w:eastAsia="sk-SK" w:bidi="sk-SK"/>
              </w:rPr>
              <w:t>2 (0,15%)</w:t>
            </w:r>
          </w:p>
        </w:tc>
      </w:tr>
    </w:tbl>
    <w:p w14:paraId="73145822" w14:textId="209DABBF" w:rsidR="00593BFD" w:rsidRDefault="002036C2" w:rsidP="001E6998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F</w:t>
      </w:r>
      <w:r w:rsidR="00593BFD"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rekvenci</w:t>
      </w:r>
      <w:r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 neznáme</w:t>
      </w:r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(nedá 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sa </w:t>
      </w:r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odhadnúť z dostupných údajov): Palpitácie,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tachykardia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reakcie z precitlivenosti (ako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anafylaxia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angioedém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dyspnoe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vyrážka, lokalizovaný edém/lokalizovaný opuch a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erytém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) a vracanie boli zaznamenané po uvedení lieku na trh.</w:t>
      </w:r>
    </w:p>
    <w:p w14:paraId="245915D3" w14:textId="08A6F7ED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8820263" w14:textId="2E96EB08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Popis vybraných nežiaducich účinkov u dospelých a dospievajúcich pacientov</w:t>
      </w:r>
    </w:p>
    <w:p w14:paraId="6EC351D1" w14:textId="77777777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32A8D039" w14:textId="2BA1F5AD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Ospalosť, bolesť hlavy, závraty a únava boli pozorované u pacientov liečených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20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u pacientov s placebom. Hlásená frekvencia bola 3,06 % vs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,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2,86 % pre ospalosť; 4,01 % vs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3,38 % pre bolesť hlavy; 0,83 %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vs.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0,59 % pre závraty a 0,83 % vs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1,32 % pre únavu.</w:t>
      </w:r>
    </w:p>
    <w:p w14:paraId="35760092" w14:textId="77777777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E6BD491" w14:textId="7F5AC9B5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Informácie zozbierané počas sledovania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uvedení lieku na trh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potvrdili bezpečnostný profil pozorovaný počas klinického vývoja.</w:t>
      </w:r>
    </w:p>
    <w:p w14:paraId="2299B736" w14:textId="77777777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0478E05" w14:textId="19EAAA97" w:rsidR="00CD6663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Súhrn bezpečnostného profilu v pediatrickej populácii</w:t>
      </w:r>
    </w:p>
    <w:p w14:paraId="5A9F349A" w14:textId="77777777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40769994" w14:textId="5BD284AB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Počas klinického vývoja, frekvencia, typ a závažnosť nežiaducich účinkov u dospievajúcich (od 12 rokov do 17 rokov), boli rovnaké ako u dospelých. Informácie zozbierané k tejto populácii (dospievajúci) počas sledovania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uvedení lieku na trh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potvrdili závery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z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klinických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skúšaní.</w:t>
      </w:r>
    </w:p>
    <w:p w14:paraId="20EE9D48" w14:textId="560BEA67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Percento detí (vo veku 2 – 11 rokov), ktoré hlásili nežiaduce účinky po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liečbe 10 mg </w:t>
      </w:r>
      <w:proofErr w:type="spellStart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pre alergickú </w:t>
      </w:r>
      <w:proofErr w:type="spellStart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rinokonjunktivitídu</w:t>
      </w:r>
      <w:proofErr w:type="spellEnd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chronickú </w:t>
      </w:r>
      <w:proofErr w:type="spellStart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idiopatickú</w:t>
      </w:r>
      <w:proofErr w:type="spellEnd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urtikáriu</w:t>
      </w:r>
      <w:proofErr w:type="spellEnd"/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 rámci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12-týždňov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ého,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kontrolovan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ého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klinick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ého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skúšania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bolo porovnateľné s percentom v skupine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pacientov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 placebom (68,5 % verzus 67,5 %). </w:t>
      </w:r>
    </w:p>
    <w:p w14:paraId="6F25E138" w14:textId="1866466B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Nežiaduce účinky najčastejšie hlásené 291 deťmi vo veku 2 – 11 rokov,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ktoré boli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liečen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é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vo forme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orodispergovateľných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tabliet v rámci klinických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(#260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exponovaných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detí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klinickej štúdi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i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bezpečnosti, 31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exponovaných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detí 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vo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farmakokinetickej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</w:t>
      </w:r>
      <w:r w:rsidR="000270FF">
        <w:rPr>
          <w:rFonts w:ascii="Times New Roman" w:eastAsia="Times New Roman" w:hAnsi="Times New Roman" w:cs="Times New Roman"/>
          <w:szCs w:val="20"/>
          <w:lang w:val="sk-SK" w:eastAsia="sk-SK" w:bidi="sk-SK"/>
        </w:rPr>
        <w:t>i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) boli bolesť hlavy, alergická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konjunktivitída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rinitída</w:t>
      </w:r>
      <w:proofErr w:type="spellEnd"/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bolesť brucha. Tieto nežiaduce účinky vznikli s porovnateľnou frekvenciou u 249 pacientov s placebom.</w:t>
      </w:r>
    </w:p>
    <w:p w14:paraId="37DC3D94" w14:textId="173322BF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FC8B3E8" w14:textId="26622829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Súhrn nežiaducich účinkov v pediatrickej populácii v tabuľke</w:t>
      </w:r>
    </w:p>
    <w:p w14:paraId="39C1511E" w14:textId="4851B70D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1E84EAF" w14:textId="0B486839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Nežiaduce účinky, ktoré mali aspoň minimálnu možnú súvislosť s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boli hlásené u viac ako 0,1 % detí (2-11 rokov) dostávajúcich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priebehu klinického vývoja, sú uvedené v tabuľke nižšie.</w:t>
      </w:r>
    </w:p>
    <w:p w14:paraId="729B588D" w14:textId="73D2FDB7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97B09EB" w14:textId="510FD741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Frekvenci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>e sú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určen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>é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nasledovne:</w:t>
      </w:r>
    </w:p>
    <w:p w14:paraId="20384667" w14:textId="5FCE7DA2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Veľmi časté (≥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1/10)</w:t>
      </w:r>
    </w:p>
    <w:p w14:paraId="29F1A294" w14:textId="6B2E818E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Časté (≥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1/100 až &lt;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1/10)</w:t>
      </w:r>
    </w:p>
    <w:p w14:paraId="35F6D458" w14:textId="44659F1E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Menej časté (≥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1/1 000 až &lt;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1/100) </w:t>
      </w:r>
    </w:p>
    <w:p w14:paraId="593CFFDF" w14:textId="60BE1BCB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Zriedkavé (≥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1/10 000 až &lt;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1/1 000) </w:t>
      </w:r>
    </w:p>
    <w:p w14:paraId="1430E7EE" w14:textId="783D255E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Veľmi zriedkavé (&lt;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1/10 000)</w:t>
      </w:r>
    </w:p>
    <w:p w14:paraId="333E47BD" w14:textId="67C1C508" w:rsidR="00593BFD" w:rsidRP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Neznáme (</w:t>
      </w:r>
      <w:r w:rsidR="009625BE">
        <w:rPr>
          <w:rFonts w:ascii="Times New Roman" w:eastAsia="Times New Roman" w:hAnsi="Times New Roman" w:cs="Times New Roman"/>
          <w:szCs w:val="20"/>
          <w:lang w:val="sk-SK" w:eastAsia="sk-SK" w:bidi="sk-SK"/>
        </w:rPr>
        <w:t>nedá sa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odhadnúť z dostupných údajov)</w:t>
      </w:r>
    </w:p>
    <w:p w14:paraId="005C395D" w14:textId="0FB0BDBE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Zriedkavé, veľmi zriedkavé a reakcie s frekvenciou 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neznáme 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neboli zahrnuté do tabuľky.</w:t>
      </w:r>
    </w:p>
    <w:p w14:paraId="4E318B7A" w14:textId="5DC0ABA6" w:rsidR="00593BFD" w:rsidRDefault="00593BFD" w:rsidP="001E69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tbl>
      <w:tblPr>
        <w:tblW w:w="8783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111"/>
        <w:gridCol w:w="1701"/>
        <w:gridCol w:w="1412"/>
      </w:tblGrid>
      <w:tr w:rsidR="00593BFD" w:rsidRPr="00593BFD" w14:paraId="68DFCB06" w14:textId="77777777" w:rsidTr="00485833">
        <w:trPr>
          <w:trHeight w:val="22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0F75E" w14:textId="77777777" w:rsidR="00593BFD" w:rsidRPr="00593BFD" w:rsidRDefault="00593BFD" w:rsidP="000A2E26">
            <w:pPr>
              <w:widowControl w:val="0"/>
              <w:spacing w:before="49"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Trieda orgánových systémov</w:t>
            </w:r>
          </w:p>
          <w:p w14:paraId="20CEC8A9" w14:textId="0752ABF7" w:rsidR="00593BFD" w:rsidRPr="00593BFD" w:rsidRDefault="00593BFD" w:rsidP="000A2E26">
            <w:pPr>
              <w:widowControl w:val="0"/>
              <w:spacing w:before="49"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Frekvencia               Nežiaduca reakcia</w:t>
            </w:r>
          </w:p>
          <w:p w14:paraId="37F4CA72" w14:textId="77777777" w:rsidR="00593BFD" w:rsidRPr="00593BFD" w:rsidRDefault="00593BFD" w:rsidP="001E6998">
            <w:pPr>
              <w:widowControl w:val="0"/>
              <w:spacing w:before="49"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74317" w14:textId="77777777" w:rsidR="00593BFD" w:rsidRPr="00593BFD" w:rsidRDefault="00593BFD" w:rsidP="000A2E26">
            <w:pPr>
              <w:widowControl w:val="0"/>
              <w:spacing w:before="49"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b/>
                <w:w w:val="99"/>
                <w:szCs w:val="24"/>
                <w:lang w:val="sk-SK" w:eastAsia="sk-SK"/>
              </w:rPr>
            </w:pPr>
            <w:proofErr w:type="spellStart"/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Bilastín</w:t>
            </w:r>
            <w:proofErr w:type="spellEnd"/>
            <w:r w:rsidRPr="00593BFD">
              <w:rPr>
                <w:rFonts w:ascii="Times New Roman" w:eastAsia="Calibri" w:hAnsi="Times New Roman" w:cs="Times New Roman"/>
                <w:b/>
                <w:spacing w:val="29"/>
                <w:lang w:val="sk-SK" w:eastAsia="sk-SK"/>
              </w:rPr>
              <w:t xml:space="preserve"> </w:t>
            </w:r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10</w:t>
            </w:r>
            <w:r w:rsidRPr="00593BFD">
              <w:rPr>
                <w:rFonts w:ascii="Times New Roman" w:eastAsia="Calibri" w:hAnsi="Times New Roman" w:cs="Times New Roman"/>
                <w:b/>
                <w:spacing w:val="-5"/>
                <w:lang w:val="sk-SK" w:eastAsia="sk-SK"/>
              </w:rPr>
              <w:t> </w:t>
            </w:r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mg</w:t>
            </w:r>
          </w:p>
          <w:p w14:paraId="42A5B4BA" w14:textId="77777777" w:rsidR="00593BFD" w:rsidRPr="00593BFD" w:rsidRDefault="00593BFD" w:rsidP="000A2E26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(n=291)</w:t>
            </w:r>
            <w:r w:rsidRPr="00593BFD">
              <w:rPr>
                <w:rFonts w:ascii="Times New Roman" w:eastAsia="Calibri" w:hAnsi="Times New Roman" w:cs="Times New Roman"/>
                <w:b/>
                <w:vertAlign w:val="superscript"/>
                <w:lang w:val="sk-SK" w:eastAsia="sk-SK"/>
              </w:rPr>
              <w:t>#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132892" w14:textId="77777777" w:rsidR="00593BFD" w:rsidRPr="00593BFD" w:rsidRDefault="00593BFD" w:rsidP="000A2E26">
            <w:pPr>
              <w:widowControl w:val="0"/>
              <w:spacing w:before="49"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101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Placebo</w:t>
            </w:r>
          </w:p>
          <w:p w14:paraId="7C08638B" w14:textId="77777777" w:rsidR="00593BFD" w:rsidRPr="00593BFD" w:rsidRDefault="00593BFD" w:rsidP="000A2E26">
            <w:pPr>
              <w:widowControl w:val="0"/>
              <w:spacing w:after="0" w:line="215" w:lineRule="exact"/>
              <w:jc w:val="center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b/>
                <w:lang w:val="sk-SK" w:eastAsia="sk-SK"/>
              </w:rPr>
              <w:t>(n=249)</w:t>
            </w:r>
          </w:p>
        </w:tc>
      </w:tr>
      <w:tr w:rsidR="00593BFD" w:rsidRPr="00593BFD" w14:paraId="0007AA25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8503" w14:textId="1838A32E" w:rsidR="00593BFD" w:rsidRPr="00593BFD" w:rsidRDefault="00593BFD" w:rsidP="000270FF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Infekcie a</w:t>
            </w:r>
            <w:r w:rsidR="00A73897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 </w:t>
            </w: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nákazy</w:t>
            </w:r>
          </w:p>
        </w:tc>
      </w:tr>
      <w:tr w:rsidR="00593BFD" w:rsidRPr="00593BFD" w14:paraId="4E9582EE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034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EAA" w14:textId="77777777" w:rsidR="00593BFD" w:rsidRPr="00593BFD" w:rsidRDefault="00593BFD" w:rsidP="00281CB9">
            <w:pPr>
              <w:widowControl w:val="0"/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proofErr w:type="spellStart"/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Rinitída</w:t>
            </w:r>
            <w:proofErr w:type="spellEnd"/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3B9" w14:textId="77777777" w:rsidR="00593BFD" w:rsidRPr="00593BFD" w:rsidRDefault="00593BFD" w:rsidP="00307067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3 (1,0 %)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A03" w14:textId="77777777" w:rsidR="00593BFD" w:rsidRPr="00593BFD" w:rsidRDefault="00593BFD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3 (1,2 %)</w:t>
            </w:r>
          </w:p>
        </w:tc>
      </w:tr>
      <w:tr w:rsidR="00593BFD" w:rsidRPr="00593BFD" w14:paraId="40CD2BBB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874" w14:textId="77777777" w:rsidR="00593BFD" w:rsidRPr="00593BFD" w:rsidRDefault="00593BFD" w:rsidP="000270FF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nervového systému</w:t>
            </w:r>
          </w:p>
        </w:tc>
      </w:tr>
      <w:tr w:rsidR="00593BFD" w:rsidRPr="00593BFD" w14:paraId="6C218196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CDD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B49" w14:textId="77777777" w:rsidR="00593BFD" w:rsidRPr="00593BFD" w:rsidRDefault="00593BFD" w:rsidP="00281CB9">
            <w:pPr>
              <w:widowControl w:val="0"/>
              <w:spacing w:after="0" w:line="216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Bolesť hlavy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7C8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6 (2,1 %)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BAA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3 (1,2 %)</w:t>
            </w:r>
          </w:p>
        </w:tc>
      </w:tr>
      <w:tr w:rsidR="00593BFD" w:rsidRPr="00593BFD" w14:paraId="6DB60516" w14:textId="77777777" w:rsidTr="00485833">
        <w:trPr>
          <w:trHeight w:val="2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5469C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Menej 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6E6" w14:textId="3D13D0D7" w:rsidR="00593BFD" w:rsidRPr="00593BFD" w:rsidRDefault="00593BFD" w:rsidP="00281CB9">
            <w:pPr>
              <w:widowControl w:val="0"/>
              <w:spacing w:after="0" w:line="216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Závrat</w:t>
            </w:r>
            <w:r w:rsidR="00281CB9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26E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DBC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45CF5A16" w14:textId="77777777" w:rsidTr="00485833">
        <w:trPr>
          <w:trHeight w:val="2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D7E" w14:textId="77777777" w:rsidR="00593BFD" w:rsidRPr="00593BFD" w:rsidRDefault="00593BFD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65" w14:textId="77777777" w:rsidR="00593BFD" w:rsidRPr="00593BFD" w:rsidRDefault="00593BFD">
            <w:pPr>
              <w:widowControl w:val="0"/>
              <w:spacing w:after="0" w:line="216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Strata vedomia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AA4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827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63209D05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77E" w14:textId="77777777" w:rsidR="00593BFD" w:rsidRPr="00593BFD" w:rsidRDefault="00593BFD" w:rsidP="000270FF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color w:val="000000"/>
                <w:lang w:val="sk-SK" w:eastAsia="sk-SK"/>
              </w:rPr>
              <w:t>Poruchy oka</w:t>
            </w:r>
          </w:p>
        </w:tc>
      </w:tr>
      <w:tr w:rsidR="00593BFD" w:rsidRPr="00593BFD" w14:paraId="73CC8D38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742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524" w14:textId="77777777" w:rsidR="00593BFD" w:rsidRPr="00593BFD" w:rsidRDefault="00593BFD" w:rsidP="00281CB9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 xml:space="preserve">Alergická </w:t>
            </w:r>
            <w:proofErr w:type="spellStart"/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konjunktivitída</w:t>
            </w:r>
            <w:proofErr w:type="spellEnd"/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AC9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4</w:t>
            </w:r>
            <w:r w:rsidRPr="00593BFD">
              <w:rPr>
                <w:rFonts w:ascii="Times New Roman" w:eastAsia="Calibri" w:hAnsi="Times New Roman" w:cs="Times New Roman"/>
                <w:spacing w:val="17"/>
                <w:lang w:val="sk-SK" w:eastAsia="sk-SK"/>
              </w:rPr>
              <w:t xml:space="preserve"> </w:t>
            </w: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(1,4 %)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084" w14:textId="77777777" w:rsidR="00593BFD" w:rsidRPr="00593BFD" w:rsidRDefault="00593BFD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5</w:t>
            </w:r>
            <w:r w:rsidRPr="00593BFD">
              <w:rPr>
                <w:rFonts w:ascii="Times New Roman" w:eastAsia="Calibri" w:hAnsi="Times New Roman" w:cs="Times New Roman"/>
                <w:spacing w:val="-12"/>
                <w:lang w:val="sk-SK" w:eastAsia="sk-SK"/>
              </w:rPr>
              <w:t xml:space="preserve"> </w:t>
            </w: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(2,0 %)</w:t>
            </w:r>
          </w:p>
        </w:tc>
      </w:tr>
      <w:tr w:rsidR="00593BFD" w:rsidRPr="00593BFD" w14:paraId="32B860D9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924F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Menej 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01" w14:textId="77777777" w:rsidR="00593BFD" w:rsidRPr="00593BFD" w:rsidRDefault="00593BFD" w:rsidP="00281CB9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Podráždenie očí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011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ACF" w14:textId="77777777" w:rsidR="00593BFD" w:rsidRPr="00593BFD" w:rsidRDefault="00593BFD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48E59665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32A" w14:textId="77777777" w:rsidR="00593BFD" w:rsidRPr="00593BFD" w:rsidRDefault="00593BFD" w:rsidP="000270FF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gastrointestinálneho traktu</w:t>
            </w:r>
          </w:p>
        </w:tc>
      </w:tr>
      <w:tr w:rsidR="00593BFD" w:rsidRPr="00593BFD" w14:paraId="5725F04F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F5D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120" w14:textId="4CF2C634" w:rsidR="00593BFD" w:rsidRPr="00593BFD" w:rsidRDefault="00593BFD" w:rsidP="00281CB9">
            <w:pPr>
              <w:widowControl w:val="0"/>
              <w:spacing w:before="1" w:after="0" w:line="218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Bolesť brucha/</w:t>
            </w:r>
            <w:r w:rsidR="00281CB9">
              <w:rPr>
                <w:rFonts w:ascii="Times New Roman" w:eastAsia="Calibri" w:hAnsi="Times New Roman" w:cs="Times New Roman"/>
                <w:lang w:val="sk-SK" w:eastAsia="sk-SK"/>
              </w:rPr>
              <w:t>b</w:t>
            </w: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olesť v hornej časti brucha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743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3 (1,0 %)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89F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3 (1,2 %)</w:t>
            </w:r>
          </w:p>
        </w:tc>
      </w:tr>
      <w:tr w:rsidR="00593BFD" w:rsidRPr="00593BFD" w14:paraId="6B6ECC9D" w14:textId="77777777" w:rsidTr="00485833">
        <w:trPr>
          <w:trHeight w:val="22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ECF9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Menej 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A57" w14:textId="77777777" w:rsidR="00593BFD" w:rsidRPr="00593BFD" w:rsidRDefault="00593BFD" w:rsidP="00281CB9">
            <w:pPr>
              <w:widowControl w:val="0"/>
              <w:spacing w:before="1" w:after="0" w:line="218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Hnačka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513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2 (0,7 %)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FF5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4B527F0D" w14:textId="77777777" w:rsidTr="00485833">
        <w:trPr>
          <w:trHeight w:val="2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8F3C" w14:textId="77777777" w:rsidR="00593BFD" w:rsidRPr="00593BFD" w:rsidRDefault="00593BFD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F5D" w14:textId="77777777" w:rsidR="00593BFD" w:rsidRPr="00593BFD" w:rsidRDefault="00593BFD">
            <w:pPr>
              <w:widowControl w:val="0"/>
              <w:spacing w:before="1" w:after="0" w:line="218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Nevoľnosť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FF5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DA8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2FE30140" w14:textId="77777777" w:rsidTr="00485833">
        <w:trPr>
          <w:trHeight w:val="2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854" w14:textId="77777777" w:rsidR="00593BFD" w:rsidRPr="00593BFD" w:rsidRDefault="00593BFD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9DA" w14:textId="77777777" w:rsidR="00593BFD" w:rsidRPr="00593BFD" w:rsidRDefault="00593BFD">
            <w:pPr>
              <w:widowControl w:val="0"/>
              <w:spacing w:before="1" w:after="0" w:line="218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Opuch 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A24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149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359A49AD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506" w14:textId="77777777" w:rsidR="00593BFD" w:rsidRPr="00593BFD" w:rsidRDefault="00593BFD" w:rsidP="000270FF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Poruchy kože a podkožného tkaniva</w:t>
            </w:r>
          </w:p>
        </w:tc>
      </w:tr>
      <w:tr w:rsidR="00593BFD" w:rsidRPr="00593BFD" w14:paraId="5E3F6FB1" w14:textId="77777777" w:rsidTr="00485833">
        <w:trPr>
          <w:trHeight w:val="22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94B29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Menej 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184" w14:textId="77777777" w:rsidR="00593BFD" w:rsidRPr="00593BFD" w:rsidRDefault="00593BFD" w:rsidP="00281CB9">
            <w:pPr>
              <w:widowControl w:val="0"/>
              <w:spacing w:after="0" w:line="215" w:lineRule="exact"/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Ekzém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4E7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1 (0,3 %)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E47E" w14:textId="77777777" w:rsidR="00593BFD" w:rsidRPr="00593BFD" w:rsidRDefault="00593B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  <w:tr w:rsidR="00593BFD" w:rsidRPr="00593BFD" w14:paraId="4B3B9EF3" w14:textId="77777777" w:rsidTr="00485833">
        <w:trPr>
          <w:trHeight w:val="22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C2CD" w14:textId="77777777" w:rsidR="00593BFD" w:rsidRPr="00593BFD" w:rsidRDefault="00593BFD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2B8" w14:textId="77777777" w:rsidR="00593BFD" w:rsidRPr="00593BFD" w:rsidRDefault="00593BFD">
            <w:pPr>
              <w:widowControl w:val="0"/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proofErr w:type="spellStart"/>
            <w:r w:rsidRPr="00593BFD">
              <w:rPr>
                <w:rFonts w:ascii="Times New Roman" w:eastAsia="Calibri" w:hAnsi="Times New Roman" w:cs="Times New Roman"/>
                <w:w w:val="105"/>
                <w:lang w:val="sk-SK" w:eastAsia="sk-SK"/>
              </w:rPr>
              <w:t>Urtikária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B4B" w14:textId="77777777" w:rsidR="00593BFD" w:rsidRPr="00593BFD" w:rsidRDefault="00593BFD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2 (0,7 %)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5D6" w14:textId="77777777" w:rsidR="00593BFD" w:rsidRPr="00593BFD" w:rsidRDefault="00593B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2 (0,8 %)</w:t>
            </w:r>
          </w:p>
        </w:tc>
      </w:tr>
      <w:tr w:rsidR="00593BFD" w:rsidRPr="000A2E26" w14:paraId="447B4773" w14:textId="77777777" w:rsidTr="00485833">
        <w:trPr>
          <w:trHeight w:val="224"/>
        </w:trPr>
        <w:tc>
          <w:tcPr>
            <w:tcW w:w="8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B08F" w14:textId="77777777" w:rsidR="00593BFD" w:rsidRPr="00593BFD" w:rsidRDefault="00593BFD" w:rsidP="000270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lastRenderedPageBreak/>
              <w:t>Celkové poruchy a reakcie v mieste podania</w:t>
            </w:r>
          </w:p>
        </w:tc>
      </w:tr>
      <w:tr w:rsidR="00593BFD" w:rsidRPr="00593BFD" w14:paraId="112F9276" w14:textId="77777777" w:rsidTr="00485833">
        <w:trPr>
          <w:trHeight w:val="2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D706" w14:textId="77777777" w:rsidR="00593BFD" w:rsidRPr="00593BFD" w:rsidRDefault="00593BFD" w:rsidP="000270FF">
            <w:pPr>
              <w:widowControl w:val="0"/>
              <w:tabs>
                <w:tab w:val="left" w:pos="142"/>
              </w:tabs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Times New Roman" w:hAnsi="Times New Roman" w:cs="Times New Roman"/>
                <w:szCs w:val="24"/>
                <w:lang w:val="sk-SK" w:eastAsia="sk-SK"/>
              </w:rPr>
              <w:t>Menej časté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FA0" w14:textId="77777777" w:rsidR="00593BFD" w:rsidRPr="00593BFD" w:rsidRDefault="00593BFD" w:rsidP="00281CB9">
            <w:pPr>
              <w:widowControl w:val="0"/>
              <w:spacing w:after="0" w:line="215" w:lineRule="exact"/>
              <w:rPr>
                <w:rFonts w:ascii="Times New Roman" w:eastAsia="Calibri" w:hAnsi="Times New Roman" w:cs="Times New Roman"/>
                <w:w w:val="105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Únava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CED" w14:textId="77777777" w:rsidR="00593BFD" w:rsidRPr="00593BFD" w:rsidRDefault="00593BFD" w:rsidP="00307067">
            <w:pPr>
              <w:widowControl w:val="0"/>
              <w:spacing w:before="1"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2 (0,7 %)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4BB" w14:textId="77777777" w:rsidR="00593BFD" w:rsidRPr="00593BFD" w:rsidRDefault="00593BF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sk-SK" w:eastAsia="sk-SK"/>
              </w:rPr>
            </w:pPr>
            <w:r w:rsidRPr="00593BFD">
              <w:rPr>
                <w:rFonts w:ascii="Times New Roman" w:eastAsia="Calibri" w:hAnsi="Times New Roman" w:cs="Times New Roman"/>
                <w:lang w:val="sk-SK" w:eastAsia="sk-SK"/>
              </w:rPr>
              <w:t>0 (0,0 %)</w:t>
            </w:r>
          </w:p>
        </w:tc>
      </w:tr>
    </w:tbl>
    <w:p w14:paraId="4385E176" w14:textId="28E4B67F" w:rsidR="00593BFD" w:rsidRPr="00593BFD" w:rsidRDefault="00F65E6C" w:rsidP="00F26F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</w:pPr>
      <w:r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 xml:space="preserve">#260 detí exponovaných v </w:t>
      </w:r>
      <w:r w:rsidR="00593BFD" w:rsidRPr="00593BFD"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>klinickej štúdii</w:t>
      </w:r>
      <w:r w:rsidR="00281CB9"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 xml:space="preserve"> bezpečnosti</w:t>
      </w:r>
      <w:r w:rsidR="00593BFD" w:rsidRPr="00593BFD"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 xml:space="preserve">, 31 detí exponovaných vo </w:t>
      </w:r>
      <w:proofErr w:type="spellStart"/>
      <w:r w:rsidR="00593BFD" w:rsidRPr="00593BFD"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>farmakokinetickej</w:t>
      </w:r>
      <w:proofErr w:type="spellEnd"/>
      <w:r w:rsidR="00593BFD" w:rsidRPr="00593BFD">
        <w:rPr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 xml:space="preserve"> štúdii</w:t>
      </w:r>
    </w:p>
    <w:p w14:paraId="286B251F" w14:textId="317BD49A" w:rsidR="00593BFD" w:rsidRDefault="00593BFD" w:rsidP="00F26F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697F694" w14:textId="3A22843C" w:rsidR="00593BFD" w:rsidRDefault="00593BFD" w:rsidP="00F26F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Popis vybraných nežiaducich účinkov v pediatrickej populácii</w:t>
      </w:r>
    </w:p>
    <w:p w14:paraId="043441D9" w14:textId="67EA0A26" w:rsidR="00593BFD" w:rsidRDefault="00593BFD" w:rsidP="00F26F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Bolesť hlavy, bolesť brucha, alergická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konjunktivitída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rinitída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boli pozorované u detí liečených 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u detí s placebom. Hlásená frekvencia bola 2,1 % vs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1,2 % pre bolesť hlavy, 1,0 % vs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1,2 % pre bolesť brucha, 1,4 % vs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2,0 % pre alergickú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konjunktivitídu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1,0 % vs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1,2 % pre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rinitídu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375F45CA" w14:textId="77777777" w:rsidR="00593BFD" w:rsidRPr="00593BFD" w:rsidRDefault="00593BFD" w:rsidP="00F26F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4202C82" w14:textId="77777777" w:rsidR="00CD6663" w:rsidRPr="00CD6663" w:rsidRDefault="00CD6663" w:rsidP="000270FF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Hlásenie podozrení na nežiaduce reakcie</w:t>
      </w:r>
    </w:p>
    <w:p w14:paraId="66F004B5" w14:textId="4CB4A9E9" w:rsidR="00D81981" w:rsidRPr="00E35D40" w:rsidRDefault="00CD6663" w:rsidP="00E35D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="00281CB9" w:rsidRPr="00F26FCA">
        <w:rPr>
          <w:rFonts w:ascii="Times New Roman" w:eastAsia="Times New Roman" w:hAnsi="Times New Roman" w:cs="Times New Roman"/>
          <w:szCs w:val="20"/>
          <w:highlight w:val="lightGray"/>
          <w:lang w:val="sk-SK" w:eastAsia="sk-SK" w:bidi="sk-SK"/>
        </w:rPr>
        <w:t>národné centrum hlásenia uvedené v </w:t>
      </w:r>
      <w:hyperlink r:id="rId7" w:history="1">
        <w:r w:rsidR="00281CB9" w:rsidRPr="006971FA">
          <w:rPr>
            <w:rStyle w:val="Hypertextovprepojenie"/>
            <w:rFonts w:ascii="Times New Roman" w:eastAsia="Times New Roman" w:hAnsi="Times New Roman" w:cs="Times New Roman"/>
            <w:szCs w:val="20"/>
            <w:highlight w:val="lightGray"/>
            <w:lang w:val="sk-SK" w:eastAsia="sk-SK" w:bidi="sk-SK"/>
          </w:rPr>
          <w:t>Prílohe V</w:t>
        </w:r>
      </w:hyperlink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44647982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D963935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Predávkovanie</w:t>
      </w:r>
    </w:p>
    <w:p w14:paraId="671D7CF2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882A1C5" w14:textId="36387C7F" w:rsidR="00593BFD" w:rsidRDefault="00593B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Informácie týkajúce sa akútneho predávkovania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sú získané zo skúseností z klinických 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uskutočnených počas vývoja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lieku a skúseností po uvedení na trh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V klinických 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skúšaniach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podaní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dávkach 10 – 11 násobku terapeutickej dávky (220 mg 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vo forme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jedn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orazovej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dávk</w:t>
      </w:r>
      <w:r w:rsidR="00281CB9">
        <w:rPr>
          <w:rFonts w:ascii="Times New Roman" w:eastAsia="Times New Roman" w:hAnsi="Times New Roman" w:cs="Times New Roman"/>
          <w:szCs w:val="20"/>
          <w:lang w:val="sk-SK" w:eastAsia="sk-SK" w:bidi="sk-SK"/>
        </w:rPr>
        <w:t>y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; alebo 200 mg/deň počas 7 dní) 26 zdravým dospelým dobrovoľníkom bola frekvencia akútnych nežiaducich účinkov dvakrát vyššia ako pri placebe. Najčastejšie hlásené nežiaduce účinky boli závrat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y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, bolesť hlavy a nevoľnosť. Neboli hlásené žiadne závažné nežiaduce účinky a žiadne významné predĺženie intervalu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745CB8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QTc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Informácie zozbierané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počas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sledov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ania po uvedení lieku na trh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sú zhodné s tými, ktoré boli hlásené počas klinických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skúšaní.</w:t>
      </w:r>
    </w:p>
    <w:p w14:paraId="7C3484F2" w14:textId="06DDC0E1" w:rsidR="00593BFD" w:rsidRDefault="00745CB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Kritické</w:t>
      </w: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zhodnotenie účinku opakovaných dávok (100 mg x 4 dni)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ventrikulárnu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repolarizáciu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 </w:t>
      </w:r>
      <w:r w:rsidRPr="00A73897">
        <w:rPr>
          <w:rFonts w:ascii="Times New Roman" w:eastAsia="Times New Roman" w:hAnsi="Times New Roman" w:cs="Times New Roman"/>
          <w:szCs w:val="20"/>
          <w:lang w:val="sk-SK" w:eastAsia="sk-SK" w:bidi="sk-SK"/>
        </w:rPr>
        <w:t>prekríženej štúdii</w:t>
      </w:r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„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thorough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QT/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QTc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“ štúdii zahŕňajúcej 30 zdravých dospelých dobrovoľníkov nepreukázala signifikantné predĺženie </w:t>
      </w:r>
      <w:proofErr w:type="spellStart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QTc</w:t>
      </w:r>
      <w:proofErr w:type="spellEnd"/>
      <w:r w:rsidR="00593BFD"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714F2FD2" w14:textId="7722A66D" w:rsidR="00CD6663" w:rsidRPr="00593BFD" w:rsidRDefault="00593BFD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iCs/>
          <w:szCs w:val="20"/>
          <w:lang w:val="sk-SK" w:eastAsia="sk-SK" w:bidi="sk-SK"/>
        </w:rPr>
        <w:t>K dispozícii nie sú žiadne údaje o predávkovaní detí.</w:t>
      </w:r>
    </w:p>
    <w:p w14:paraId="169FDFEE" w14:textId="77777777" w:rsidR="00593BFD" w:rsidRPr="00593BFD" w:rsidRDefault="00593BFD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prípade predávkovania sa odporúča symptomatická a podporná liečba. </w:t>
      </w:r>
    </w:p>
    <w:p w14:paraId="05EA7850" w14:textId="0E5E5C5F" w:rsidR="00CD6663" w:rsidRDefault="00593BFD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Nie je známe žiadne špecifické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antidotum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02815F02" w14:textId="77777777" w:rsidR="00745CB8" w:rsidRPr="00CD6663" w:rsidRDefault="00745CB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F1653A2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69314AA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FARMAKOLOGICKÉ VLASTNOSTI</w:t>
      </w:r>
    </w:p>
    <w:p w14:paraId="338C9B0B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424D44E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Farmakodynamické vlastnosti</w:t>
      </w:r>
    </w:p>
    <w:p w14:paraId="03F18FFA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FA15496" w14:textId="7085254D" w:rsidR="00CD6663" w:rsidRDefault="00593B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Farmakoterapeutická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skupina: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antihistaminiká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systémové použitie, iné </w:t>
      </w:r>
      <w:proofErr w:type="spellStart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>antihistaminiká</w:t>
      </w:r>
      <w:proofErr w:type="spellEnd"/>
      <w:r w:rsidRPr="00593BFD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systémové použitie, ATC kód: R06AX29.</w:t>
      </w:r>
    </w:p>
    <w:p w14:paraId="3EF4F016" w14:textId="77777777" w:rsidR="00593BFD" w:rsidRPr="00CD6663" w:rsidRDefault="00593BF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191E66B" w14:textId="7F135280" w:rsidR="00CD6663" w:rsidRDefault="00CD66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Mechanizmus účinku</w:t>
      </w:r>
    </w:p>
    <w:p w14:paraId="3ED8A3DD" w14:textId="37E6A337" w:rsidR="007079D3" w:rsidRP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nesedatívny, dlhodobo pôsobiaci antagonista histamínu so selektívnou afinitou k periférnym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r w:rsidR="00745CB8" w:rsidRPr="00FA3D22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>1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-</w:t>
      </w:r>
      <w:r w:rsidR="00745CB8"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receptorom</w:t>
      </w:r>
      <w:r w:rsidR="00745CB8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 xml:space="preserve">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 bez afinity k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muskarínovým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receptorom. </w:t>
      </w:r>
    </w:p>
    <w:p w14:paraId="0812161A" w14:textId="26105172" w:rsid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inhibuje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histamínom vyvolaný opuch a reakcie začervenania kože po dobu 24 hodín po podaní jedn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orazových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dávok.</w:t>
      </w:r>
    </w:p>
    <w:p w14:paraId="042F8B45" w14:textId="77777777" w:rsidR="007079D3" w:rsidRPr="00CD6663" w:rsidRDefault="00707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A098BC6" w14:textId="0ED9DCB8" w:rsidR="007079D3" w:rsidRPr="007079D3" w:rsidRDefault="00707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Klinická účinnosť a bezpečnosť</w:t>
      </w:r>
    </w:p>
    <w:p w14:paraId="1F7FDDFE" w14:textId="5B113B6F" w:rsidR="007079D3" w:rsidRDefault="00707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skúšaniach</w:t>
      </w:r>
      <w:r w:rsidR="00B45895"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vykonaných u dospelých a dospievajúcich pacientov s alergickou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rinokonjunktivitídou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(sezónna alebo celoročná), bol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podávaný v dávke 20 mg raz denne počas 14 – 28 dní, účinný pri zmierňovaní príznakov ako je kýchanie, výtok z nosa, svrbenie nosa, upchatie nosa, svrbenie očí, slzenie a začervenanie očí.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účinne ovplyvnil príznaky počas 24 hodín.</w:t>
      </w:r>
    </w:p>
    <w:p w14:paraId="1AC0011F" w14:textId="5F0E4B24" w:rsid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lastRenderedPageBreak/>
        <w:t xml:space="preserve">V dvoch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skúšaniach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vykonaných u pacientov s chronickou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idiopatickou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urtikáriou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bol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dávke 20 mg, podávaný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raz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denne počas 28 dní, účinný pri zmierňovaní intenzity svrbenia a počtu a veľkosti opuchov, rovnako ako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d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i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skomfortu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pacientov v dôsledku žihľavky. U pacientov došlo k zlepšeniu kvality ich spánku a života.</w:t>
      </w:r>
    </w:p>
    <w:p w14:paraId="02769F48" w14:textId="52B48AD9" w:rsid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skúšaniach</w:t>
      </w:r>
      <w:r w:rsidR="00B45895"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, a to aj pri dávkach 200 mg denne (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-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násobok klinickej dávky) počas 7 dní u 9 osôb alebo dokonca pri súbežnom podávaní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inhibítorov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P-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ako je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ketokonazol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(24 osôb) a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erytromycín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(24 osôb), nebolo pozorované žiadne klinicky relevantné predĺženie intervalu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B45895"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QTc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akýkoľvek iný kardiovaskulárny účinok. Dodatočne bola vykonaná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štúdia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„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thorough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QT“ zahŕňajúca 30 dobrovoľníkov.</w:t>
      </w:r>
    </w:p>
    <w:p w14:paraId="5F0EEDE6" w14:textId="359AB88B" w:rsid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kontrolovaných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skúšaniach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pri odporúčanej dávke 20 mg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raz</w:t>
      </w:r>
      <w:r w:rsidR="00B45895"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denne bol bezpečnostný profil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týkajúci sa CNS podobný ako pri placebe a výskyt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somnolencie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štatisticky nelíšil od placeba. V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skúšaniach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dávkach až do 40 mg denne neovplyvnil psychomotorickú výkonnosť a nemal vplyv na schopnosť viesť vozidlá pri štandardných vodičských testoch.</w:t>
      </w:r>
    </w:p>
    <w:p w14:paraId="4C9895A8" w14:textId="0C295DB0" w:rsidR="007079D3" w:rsidRDefault="007079D3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U starších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pacientov </w:t>
      </w:r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(≥ 65 rokov) zahrnutých do štúdií II. a III. fázy sa nepozorovali žiadne rozdiely v účinnosti a bezpečnosti lieku v porovnaní s mladšími pacientmi. </w:t>
      </w:r>
      <w:proofErr w:type="spellStart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>Postregistračná</w:t>
      </w:r>
      <w:proofErr w:type="spellEnd"/>
      <w:r w:rsidRPr="007079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štúdia so 146 staršími pacientmi neukázala rozdiely v profile bezpečnosti v porovnaní s dospelou populáciou.</w:t>
      </w:r>
    </w:p>
    <w:p w14:paraId="3ECF9C02" w14:textId="77777777" w:rsidR="007079D3" w:rsidRDefault="00707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245B1DF" w14:textId="6BA0C26D" w:rsidR="00CD6663" w:rsidRPr="007079D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</w:pPr>
      <w:r w:rsidRPr="007079D3">
        <w:rPr>
          <w:rFonts w:ascii="Times New Roman" w:eastAsia="Times New Roman" w:hAnsi="Times New Roman" w:cs="Times New Roman"/>
          <w:i/>
          <w:iCs/>
          <w:szCs w:val="20"/>
          <w:u w:val="single"/>
          <w:lang w:val="sk-SK" w:eastAsia="sk-SK" w:bidi="sk-SK"/>
        </w:rPr>
        <w:t>Pediatrická populácia</w:t>
      </w:r>
    </w:p>
    <w:p w14:paraId="26C5A40F" w14:textId="230774BB" w:rsidR="00CD6663" w:rsidRDefault="00F15AE8" w:rsidP="001E699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Dospievajúci (12 rokov až 17 rokov) boli zahrnutí do klinického vývoja. 128 dospievajúcich dostávalo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počas klinických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</w:t>
      </w:r>
      <w:r w:rsidR="00B45895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(81 v dvojito zaslepených </w:t>
      </w:r>
      <w:r w:rsidR="00BB13F2">
        <w:rPr>
          <w:rFonts w:ascii="Times New Roman" w:eastAsia="Times New Roman" w:hAnsi="Times New Roman" w:cs="Times New Roman"/>
          <w:szCs w:val="20"/>
          <w:lang w:val="sk-SK" w:eastAsia="sk-SK" w:bidi="sk-SK"/>
        </w:rPr>
        <w:t>skú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šaniach</w:t>
      </w:r>
      <w:r w:rsidR="00B45895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alergickej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rinokonjunktivitídy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). Ďalších 116 dospievajúcich bolo randomizovaných do skupín s aktívnym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komparátorom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placebom. Neboli pozorované žiadne rozdiely v účinnosti a bezpečnosti medzi dospelými a dospievajúcimi.</w:t>
      </w:r>
    </w:p>
    <w:p w14:paraId="258C8479" w14:textId="71FE2140" w:rsidR="00F15AE8" w:rsidRDefault="00F15AE8" w:rsidP="001E699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Dokázaná účinnosť u dospelých a dospievajúcich môže byť podľa usmernení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extrapolovaná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pre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deti: systémová expozícia 10 mg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detí vo veku od 6 do 11 rokov s telesnou hmotnosťou najmenej 20 kg je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rovnocenná</w:t>
      </w:r>
      <w:r w:rsidR="00B45895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expozícii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u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dospelých 20 mg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(pozri časť 5.2).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Extrapolácia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 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údajov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od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dospelých a dospievajúcich sa považuje za vhodnú pre tento liek, keďže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patofyziológia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alergickej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rinokonjunktivitídy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urtikárie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rovnaká pre všetky vekové skupiny.</w:t>
      </w:r>
    </w:p>
    <w:p w14:paraId="22854F6A" w14:textId="10D261C9" w:rsidR="00F15AE8" w:rsidRDefault="00F15AE8" w:rsidP="001E6998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V 12-týždňov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om,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kontrolovan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om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klinick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om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skúšaní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deťmi vo veku 2 – 11 rokov (celkom 509 detí, 260 liečených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: 58 vo veku 2 až  &lt;6 rokov, 105 vo veku 6 až &lt;9 rokov a 97 vo veku 9 až &lt;12 rokov a 249, ktorým bolo podávané placebo: 58 vo veku 2 až &lt;6 rokov, 95 vo veku 6 až &lt;9 rokov a 96 vo veku 9 až &lt;12 rokov). Pri odporúčanej pediatrickej dávke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10 mg raz denne bol bezpečnostný profil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(n=260) podobný ako 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pri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placeb</w:t>
      </w:r>
      <w:r w:rsidR="00B45895">
        <w:rPr>
          <w:rFonts w:ascii="Times New Roman" w:eastAsia="Times New Roman" w:hAnsi="Times New Roman" w:cs="Times New Roman"/>
          <w:szCs w:val="20"/>
          <w:lang w:val="sk-SK" w:eastAsia="sk-SK" w:bidi="sk-SK"/>
        </w:rPr>
        <w:t>e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(n=249) s výskytom nežiaducich účinkov u 5,8% a 8,0% pacientov užívajúcich 10 mg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placebo v uvedenom poradí. </w:t>
      </w:r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>b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ilastín</w:t>
      </w:r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>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placebo mierne znížili ospalosť a sedatívne skóre v pediatrickom dotazníku o spánku počas t</w:t>
      </w:r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>ohto skúšania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bez významných rozdielov medzi sledovanými skupinami. U detí vo veku 2 – 11 rokov nebol pozorovaný významný rozdiel v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QTc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10 mg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porovnaní s placebom. Dotazník kvality života špecifický pre deti s alergickou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rinokonjunktivitídou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chronickou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urtikáriou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ukázal celkové zvýšenie skóre po 12 týždňoch so štatisticky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nesignifikantným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rozdielom medzi skupinou s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placebom. Celková populácia 509 detí zahŕňala: 479 </w:t>
      </w:r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>osôb</w:t>
      </w:r>
      <w:r w:rsidR="00DF4C6A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 alergickou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konjunktivitídou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30 </w:t>
      </w:r>
      <w:r w:rsidR="00DF4C6A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osôb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 diagnózou chronickej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urtikárie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260 detí dostávalo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252 (96,9%) na alergickú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8 (3,1 %) na chronickú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Analogicky 249 detí dostávalo placebo, 227 (91,2 %) na alergickú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22 (8,8 %) na chronickú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641E8678" w14:textId="77777777" w:rsidR="00CD6663" w:rsidRPr="00CD6663" w:rsidRDefault="00CD6663" w:rsidP="000270FF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F359F8F" w14:textId="673C682E" w:rsidR="00F15AE8" w:rsidRDefault="00F15AE8" w:rsidP="00281CB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lang w:val="sk-SK" w:eastAsia="sk-SK" w:bidi="sk-SK"/>
        </w:rPr>
        <w:t xml:space="preserve">Európska agentúra pre lieky udelila výnimku z povinnosti predložiť výsledky štúdií s </w:t>
      </w:r>
      <w:proofErr w:type="spellStart"/>
      <w:r w:rsidRPr="00F15AE8">
        <w:rPr>
          <w:rFonts w:ascii="Times New Roman" w:eastAsia="Times New Roman" w:hAnsi="Times New Roman" w:cs="Times New Roman"/>
          <w:lang w:val="sk-SK" w:eastAsia="sk-SK" w:bidi="sk-SK"/>
        </w:rPr>
        <w:t>bilastínom</w:t>
      </w:r>
      <w:proofErr w:type="spellEnd"/>
      <w:r w:rsidRPr="00F15AE8">
        <w:rPr>
          <w:rFonts w:ascii="Times New Roman" w:eastAsia="Times New Roman" w:hAnsi="Times New Roman" w:cs="Times New Roman"/>
          <w:lang w:val="sk-SK" w:eastAsia="sk-SK" w:bidi="sk-SK"/>
        </w:rPr>
        <w:t xml:space="preserve"> vo všetkých podskupinách pediatrickej populácie mladšej ako 2 roky (informácie o použití v pediatrickej populácii, pozri časť 4.2).</w:t>
      </w:r>
      <w:bookmarkStart w:id="0" w:name="_GoBack"/>
      <w:bookmarkEnd w:id="0"/>
    </w:p>
    <w:p w14:paraId="694E57EF" w14:textId="77777777" w:rsidR="00F15AE8" w:rsidRPr="00CD6663" w:rsidRDefault="00F15AE8" w:rsidP="0030706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D7322BF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Farmakokinetické vlastnosti</w:t>
      </w:r>
    </w:p>
    <w:p w14:paraId="4508ECED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2761D8A" w14:textId="3AAAF7E8" w:rsid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Absorpcia</w:t>
      </w:r>
    </w:p>
    <w:p w14:paraId="4BF55DC4" w14:textId="09B082C1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lastRenderedPageBreak/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rýchlo absorbuje po perorálnom podaní a maximálnu plazmatickú koncentráciu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dosahuje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približne po 1,3 hodine. Nepozorovala sa žiadna akumulácia. Priemerná hodnota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perorálnej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biologickej dostupnosti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61 %.</w:t>
      </w:r>
    </w:p>
    <w:p w14:paraId="6A720E6F" w14:textId="34A09DC7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857D7A8" w14:textId="580388B7" w:rsid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Distribúcia</w:t>
      </w:r>
    </w:p>
    <w:p w14:paraId="1AA0C5D9" w14:textId="733F8038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In vivo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</w:t>
      </w:r>
      <w:r w:rsidRPr="00F15AE8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in vitro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štúdie preukázali, že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je substrátom P-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(pozri časť 4.5 „Interakci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ketokonazolom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erytromycínom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diltiazemom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“) a OATP (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Organic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Anion-Transporting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Polypeptide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) (pozri časť 4.5 Interakci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a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grapefruitovou šťavou). 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>Predpokladá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sa, že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nie je substrátom transportérov</w:t>
      </w:r>
      <w:r w:rsidR="00745CB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BCRP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obličkových transportérov OCT2, OAT1 a OAT3. Na základe </w:t>
      </w:r>
      <w:r w:rsidRPr="00FA3D22"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  <w:t>in vitro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štúdií sa nepredpokladá, že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392176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systémovej cirkulácii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inhibuje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nasledujúce transportéry: P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-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MRP2, BCRP, BSEP, OATP1B1, OATP1B3, OATP2B1, 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OAT1, OAT3, OCT1, OCT2 a</w:t>
      </w:r>
      <w:r w:rsidR="00745CB8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 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NTCP</w:t>
      </w:r>
      <w:r w:rsidR="00745CB8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, keďže</w:t>
      </w:r>
      <w:r w:rsidR="002C2793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 zistený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745CB8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l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en mierny inhibičný účinok </w:t>
      </w:r>
      <w:r w:rsidR="002C2793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na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P-</w:t>
      </w:r>
      <w:proofErr w:type="spellStart"/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</w:t>
      </w:r>
      <w:proofErr w:type="spellEnd"/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, OATP2B1 a OCT1 s odhadovanou IC</w:t>
      </w:r>
      <w:r w:rsidRPr="00FA3D22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 xml:space="preserve">50 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≥ 300 µM, oveľa vyššou ako vypočíta</w:t>
      </w:r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nou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klinick</w:t>
      </w:r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ou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plazmatick</w:t>
      </w:r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ou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koncentráci</w:t>
      </w:r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ou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c</w:t>
      </w:r>
      <w:r w:rsidRPr="00FA3D22">
        <w:rPr>
          <w:rFonts w:ascii="Times New Roman" w:eastAsia="Times New Roman" w:hAnsi="Times New Roman" w:cs="Times New Roman"/>
          <w:szCs w:val="20"/>
          <w:vertAlign w:val="subscript"/>
          <w:lang w:val="sk-SK" w:eastAsia="sk-SK" w:bidi="sk-SK"/>
        </w:rPr>
        <w:t>max</w:t>
      </w:r>
      <w:proofErr w:type="spellEnd"/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, tieto interakcie n</w:t>
      </w:r>
      <w:r w:rsidR="006F657C"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>ie sú</w:t>
      </w:r>
      <w:r w:rsidR="002C2793" w:rsidRPr="00FA3D22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preto</w:t>
      </w:r>
      <w:r w:rsidRPr="002C279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klinicky relevantné.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N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 základe týchto výsledkov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však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nemožno vylúčiť inhibíciu transportérov prítomných v sliznici čreva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, napr. P-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glykoproteínu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4A3BD6ED" w14:textId="518BB582" w:rsidR="00F15AE8" w:rsidRPr="00F15AE8" w:rsidRDefault="006F657C">
      <w:pPr>
        <w:numPr>
          <w:ilvl w:val="12"/>
          <w:numId w:val="0"/>
        </w:numPr>
        <w:tabs>
          <w:tab w:val="left" w:pos="567"/>
        </w:tabs>
        <w:spacing w:before="120"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Pri terapeutických dávkach je v</w:t>
      </w:r>
      <w:r w:rsidR="00F15AE8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äzba </w:t>
      </w:r>
      <w:proofErr w:type="spellStart"/>
      <w:r w:rsidR="00F15AE8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F15AE8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plazmatické proteíny je 84 - 90 %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482DC782" w14:textId="1F4B9F9E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CF8F511" w14:textId="41195312" w:rsid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Biotransformácia</w:t>
      </w:r>
    </w:p>
    <w:p w14:paraId="12277682" w14:textId="40A4D11B" w:rsidR="00F15AE8" w:rsidRPr="00F15AE8" w:rsidRDefault="00F15AE8">
      <w:pPr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neindukoval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ani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neinhiboval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aktivitu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izoenzýmov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CYP450 v </w:t>
      </w:r>
      <w:r w:rsidRPr="00F15AE8">
        <w:rPr>
          <w:rFonts w:ascii="Times New Roman" w:eastAsia="Times New Roman" w:hAnsi="Times New Roman" w:cs="Times New Roman"/>
          <w:i/>
          <w:iCs/>
          <w:szCs w:val="20"/>
          <w:lang w:val="sk-SK" w:eastAsia="sk-SK" w:bidi="sk-SK"/>
        </w:rPr>
        <w:t>in vitro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štúdiách. </w:t>
      </w:r>
    </w:p>
    <w:p w14:paraId="65DE5E03" w14:textId="6950839C" w:rsid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Eliminácia</w:t>
      </w:r>
    </w:p>
    <w:p w14:paraId="50D5F8FF" w14:textId="77BF2DBD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V štúdii hmotnostnej rovnováhy uskutočnenej u zdravých dospelých dobrovoľníkov po podaní jedno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razovej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dávky 20 mg </w:t>
      </w:r>
      <w:r w:rsidRPr="00FA3D22">
        <w:rPr>
          <w:rFonts w:ascii="Times New Roman" w:eastAsia="Times New Roman" w:hAnsi="Times New Roman" w:cs="Times New Roman"/>
          <w:szCs w:val="20"/>
          <w:vertAlign w:val="superscript"/>
          <w:lang w:val="sk-SK" w:eastAsia="sk-SK" w:bidi="sk-SK"/>
        </w:rPr>
        <w:t>14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C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značeného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, bolo takmer 95 % podanej dávky vylúčen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ých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močom (28,3 %) a stolicou (66,5 %) ako nezmenený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čo potvrdzuje, že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nie je významne metabolizovaný u ľudí. Priemerný eliminačný polčas vypočítaný u zdravých dobrovoľníkov bol 14,5 h.</w:t>
      </w:r>
    </w:p>
    <w:p w14:paraId="131CB288" w14:textId="77777777" w:rsid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EC989AC" w14:textId="035CC555" w:rsid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proofErr w:type="spellStart"/>
      <w:r w:rsidRPr="00CD6663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Linearita</w:t>
      </w:r>
      <w:proofErr w:type="spellEnd"/>
    </w:p>
    <w:p w14:paraId="190AEEB3" w14:textId="42ED0803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študovanom dávkovom rozmedzí (5 mg až 220 mg) má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lineárnu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farmakokinetiku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 nízkou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interindividuálnou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variabilitou.</w:t>
      </w:r>
    </w:p>
    <w:p w14:paraId="26E0CD8D" w14:textId="193A57E4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E4A8C1C" w14:textId="77B3235A" w:rsid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Porucha funkcie obličiek</w:t>
      </w:r>
    </w:p>
    <w:p w14:paraId="2E603699" w14:textId="31DAE3AC" w:rsid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štúdii u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osôb</w:t>
      </w:r>
      <w:r w:rsidR="006F657C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s poruchou funkcie obličiek sa priemerná (SD) AUC</w:t>
      </w:r>
      <w:r w:rsidR="006F657C" w:rsidRPr="00FA3D22">
        <w:rPr>
          <w:position w:val="-2"/>
          <w:vertAlign w:val="subscript"/>
          <w:lang w:val="sk-SK"/>
        </w:rPr>
        <w:t>0-∞</w:t>
      </w:r>
      <w:r w:rsidR="006F657C" w:rsidRPr="00FA3D22">
        <w:rPr>
          <w:position w:val="-2"/>
          <w:lang w:val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zvýšila z 737,4 (± 260,8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ng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/ml u osôb bez poruchy (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rýchlosť glomerulárnej filtrácie (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GFR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)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: &gt; 80 ml/min/1,73 m</w:t>
      </w:r>
      <w:r w:rsidRPr="00FA3D22">
        <w:rPr>
          <w:rFonts w:ascii="Times New Roman" w:eastAsia="Times New Roman" w:hAnsi="Times New Roman" w:cs="Times New Roman"/>
          <w:szCs w:val="20"/>
          <w:vertAlign w:val="superscript"/>
          <w:lang w:val="sk-SK" w:eastAsia="sk-SK" w:bidi="sk-SK"/>
        </w:rPr>
        <w:t>2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) na: 967,4 (± 140,2)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ng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/ml u osôb s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miernou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(GFR: 50 - 80 ml/min/1,73 m</w:t>
      </w:r>
      <w:r w:rsidRPr="00FA3D22">
        <w:rPr>
          <w:rFonts w:ascii="Times New Roman" w:eastAsia="Times New Roman" w:hAnsi="Times New Roman" w:cs="Times New Roman"/>
          <w:szCs w:val="20"/>
          <w:vertAlign w:val="superscript"/>
          <w:lang w:val="sk-SK" w:eastAsia="sk-SK" w:bidi="sk-SK"/>
        </w:rPr>
        <w:t>2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), 1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384,2 (± 263,23)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ng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/ml u osôb so stredne 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závažnou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(GFR: 30 - &lt; 50 ml/min/1,73 m</w:t>
      </w:r>
      <w:r w:rsidRPr="00FA3D22">
        <w:rPr>
          <w:rFonts w:ascii="Times New Roman" w:eastAsia="Times New Roman" w:hAnsi="Times New Roman" w:cs="Times New Roman"/>
          <w:szCs w:val="20"/>
          <w:vertAlign w:val="superscript"/>
          <w:lang w:val="sk-SK" w:eastAsia="sk-SK" w:bidi="sk-SK"/>
        </w:rPr>
        <w:t>2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), and 1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708,5 (± 699,0)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ng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/ml u osôb s</w:t>
      </w:r>
      <w:r w:rsidR="006F657C">
        <w:rPr>
          <w:rFonts w:ascii="Times New Roman" w:eastAsia="Times New Roman" w:hAnsi="Times New Roman" w:cs="Times New Roman"/>
          <w:szCs w:val="20"/>
          <w:lang w:val="sk-SK" w:eastAsia="sk-SK" w:bidi="sk-SK"/>
        </w:rPr>
        <w:t>o závažnou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(GFR: &lt; 30 ml/min/1,73 m</w:t>
      </w:r>
      <w:r w:rsidRPr="00FA3D22">
        <w:rPr>
          <w:rFonts w:ascii="Times New Roman" w:eastAsia="Times New Roman" w:hAnsi="Times New Roman" w:cs="Times New Roman"/>
          <w:szCs w:val="20"/>
          <w:vertAlign w:val="superscript"/>
          <w:lang w:val="sk-SK" w:eastAsia="sk-SK" w:bidi="sk-SK"/>
        </w:rPr>
        <w:t>2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).</w:t>
      </w:r>
    </w:p>
    <w:p w14:paraId="7E31DE64" w14:textId="5A2DA048" w:rsid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236AD109" w14:textId="3FDE9DBB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Priemerný (SD) polčas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 9,3 hodiny (± 2,8) u osôb bez poruchy, 15,1 h (± 7,7) u osôb s 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>miernou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poruchou, 10,5 hodiny (± 2,3) u osôb so stredne 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>závažnou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 a 18,4 hodiny (± 11,4) u osôb s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>o závažnou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poruchou. Vylučovanie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močom bolo kompletné po 48 -72 hodinách u všetkých 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>osôb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Neočakáva sa, že by tieto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farmakokinetické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zmeny mali klinicky významný vplyv na bezpečnosť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pretože plazmatické 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>koncentrácie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pacientov s poruchou funkcie obličiek sú stále v rozmedzí, ktoré je pre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bezpečné.</w:t>
      </w:r>
    </w:p>
    <w:p w14:paraId="2178AC11" w14:textId="77777777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</w:p>
    <w:p w14:paraId="5DE7797E" w14:textId="24738257" w:rsidR="00CD6663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Porucha funkcie pečene</w:t>
      </w:r>
    </w:p>
    <w:p w14:paraId="7E5C13ED" w14:textId="3B2162F7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Nie sú dostupné žiadne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farmakokinetické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údaje u pacientov s poruchou funkcie pečene.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</w:t>
      </w:r>
      <w:r w:rsidR="00A43E5C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u ľudí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nemetabolizuje u ľudí. Keďže výsledky štúdie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pri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poruche funkcie obličiek ukazujú, že eliminácia obličkami je hlavnou cestou eliminácie, očakáva sa, že biliárna exkrécia sa iba okrajovo podieľa na eliminácii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Nepredpokladá sa, že zmeny pečeňových funkcií majú klinicky relevantný vplyv na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farmakokinetiku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0B044D59" w14:textId="3F17F4F2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5866BF1" w14:textId="01CD46CA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Starší </w:t>
      </w:r>
      <w:r w:rsidR="00307067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pacienti</w:t>
      </w:r>
      <w:r w:rsidRPr="00F15AE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>:</w:t>
      </w:r>
    </w:p>
    <w:p w14:paraId="151CC8CD" w14:textId="63835A7E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K dispozícii je iba obmedzené množstvo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farmakokinetických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údajov u osôb nad 65 rokov. Nepozorovali sa žiadne štatisticky významné rozdiely s ohľadom na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farmakokinetiku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u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lastRenderedPageBreak/>
        <w:t xml:space="preserve">starších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pacientov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vo veku viac ako 65 rokov v porovnaní s dospelou populáciou vo veku medzi 18 až 35 rokov.</w:t>
      </w:r>
    </w:p>
    <w:p w14:paraId="764E0C21" w14:textId="2B343F6E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6EDCD7D" w14:textId="77777777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u w:val="single"/>
          <w:lang w:val="sk-SK" w:eastAsia="sk-SK" w:bidi="sk-SK"/>
        </w:rPr>
        <w:t xml:space="preserve">Pediatrická populácia </w:t>
      </w:r>
    </w:p>
    <w:p w14:paraId="0E72391A" w14:textId="7F3DD2CF" w:rsid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Nie sú dostupné žiadne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farmakokinetické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údaje u dospievajúcich (12 rokov až 17 rokov),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keďže</w:t>
      </w:r>
      <w:r w:rsidR="00307067"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pre tento liek sa za primeran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ú</w:t>
      </w:r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považovala </w:t>
      </w:r>
      <w:proofErr w:type="spellStart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>extrapolácia</w:t>
      </w:r>
      <w:proofErr w:type="spellEnd"/>
      <w:r w:rsidRPr="00F15AE8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údajov zistených u dospelých.</w:t>
      </w:r>
    </w:p>
    <w:p w14:paraId="2F73D4AD" w14:textId="60C0A471" w:rsidR="00F15AE8" w:rsidRDefault="00D36137">
      <w:pPr>
        <w:numPr>
          <w:ilvl w:val="12"/>
          <w:numId w:val="0"/>
        </w:numPr>
        <w:tabs>
          <w:tab w:val="left" w:pos="567"/>
        </w:tabs>
        <w:spacing w:before="120"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Farmakokinetické údaje u detí boli získané z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farmakokinetickej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štúdie fázy II zahŕňajúcej 31 detí vo veku 4 – 11 rokov s alergickou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rinokonjunktivitídou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chronickou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urtikáriou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, ktorým bol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o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podaný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ch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raz denne v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orodispergovateľnej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tablete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</w:p>
    <w:p w14:paraId="2AC0577E" w14:textId="75FF77FA" w:rsidR="00F15AE8" w:rsidRDefault="00D36137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Farmakokinetická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analýza plazmatických koncentrácií ukázala, že pediatrická dávka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raz denne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vyvolala</w:t>
      </w:r>
      <w:r w:rsidR="00307067"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systémovú expozíciu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rovnocennú</w:t>
      </w:r>
      <w:r w:rsidR="00307067"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tej, ktorá bola pozorovaná po dávke 20 mg u dospelých a dospievajúcich, s priemernou hodnotou AUC 1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014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ng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.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h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/ml pre deti vo veku 6- 11 rokov. Tieto výsledky boli prevažne pod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bezpečnou úrovňou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stanoven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ou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základe dávky 80 mg raz denne u dospelých podľa bezpečnostného profilu lie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čiva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. Tieto výsledky potvrdili výber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10 mg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perorálne raz denne ako vhodnú terapeutickú dávku pre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>pediatrickú populáciu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vo veku 6 až 11 rokov s telesnou hmotnosťou najmenej 20 kg.</w:t>
      </w:r>
    </w:p>
    <w:p w14:paraId="1C5F02C0" w14:textId="77777777" w:rsidR="00F15AE8" w:rsidRPr="00F15AE8" w:rsidRDefault="00F15AE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42CB4BD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Predklinické údaje o bezpečnosti</w:t>
      </w:r>
    </w:p>
    <w:p w14:paraId="121E6199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FF9440E" w14:textId="1D1BF343" w:rsidR="00CD6663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Predklinické údaje s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bilastínom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získané na základe obvyklých farmakologických štúdií bezpečnosti, toxicity po opakovanom podávaní, genotoxicity a karcinogénneho potenciálu neodhalili žiadne osobitné riziko pre ľudí.</w:t>
      </w:r>
    </w:p>
    <w:p w14:paraId="54500DCE" w14:textId="534387E1" w:rsidR="00D36137" w:rsidRDefault="00D36137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štúdiách reprodukčnej toxicity, účinok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na plod (pre- a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postimplementačné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straty u potkanov a neúplná osifikácia kostí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lebky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sterna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 končatín u králikov) bol pozorovaný len pri dávkach </w:t>
      </w:r>
      <w:r w:rsidR="0030706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toxických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pre matku. Úroveň expozície 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 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NOAEL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(dávka bez pozorovaného nepriaznivého účinku)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prevyšuje (&gt; 30-krát) expozíciu u ľudí pri odporúčanej terapeutickej dávke.</w:t>
      </w:r>
    </w:p>
    <w:p w14:paraId="7A2744D9" w14:textId="1A6C9958" w:rsidR="00D36137" w:rsidRDefault="00D36137">
      <w:pPr>
        <w:tabs>
          <w:tab w:val="left" w:pos="567"/>
        </w:tabs>
        <w:spacing w:before="120"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V štúdii laktáci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e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bol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 podaní jednorazovej dávky (20 mg/kg) 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zistený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mlieku </w:t>
      </w:r>
      <w:proofErr w:type="spellStart"/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laktujúcich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potkanov. Koncentrácie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mlieku boli približne o polovicu nižšie ako koncentrácie v plazme matky. Význam uvedených výsledkov pre človeka nie je známy.</w:t>
      </w:r>
    </w:p>
    <w:p w14:paraId="7F5FA48A" w14:textId="0EDECCEF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4689D61" w14:textId="3075BBAA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V štúdii plodnosti u potkanov,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podávaný perorálne až do dávok 1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000 mg/kg/deň nevyvolal žiadny vplyv na samičie a samčie pohlavné orgány. Indexy párenia, plodnosti a 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ťarchavosti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neboli ovplyvnené.</w:t>
      </w:r>
    </w:p>
    <w:p w14:paraId="4B9B922E" w14:textId="2A43C21C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47A6605" w14:textId="40D413FA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Ako 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bolo pozorované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v štúdii distribúcie u potkanov so stanovením koncentrácie lie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čiva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autorádiografiou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,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bilastín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sa neakumuloval v CNS.</w:t>
      </w:r>
    </w:p>
    <w:p w14:paraId="4685B77C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2DCE1A6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EC9495D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FARMACEUTICKÉ INFORMÁCIE</w:t>
      </w:r>
    </w:p>
    <w:p w14:paraId="4B104722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A85AEBB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Zoznam pomocných látok</w:t>
      </w:r>
    </w:p>
    <w:p w14:paraId="058D0B70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</w:pPr>
    </w:p>
    <w:p w14:paraId="3B3C63A3" w14:textId="41344383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mani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t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ol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(E 421)</w:t>
      </w:r>
    </w:p>
    <w:p w14:paraId="7123991B" w14:textId="26BFE715" w:rsidR="00D36137" w:rsidRDefault="00F821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mikrokryštalická celulóza</w:t>
      </w:r>
    </w:p>
    <w:p w14:paraId="3914A2B0" w14:textId="733A793E" w:rsidR="00D36137" w:rsidRDefault="00F821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karboxymetylškrob</w:t>
      </w:r>
      <w:proofErr w:type="spellEnd"/>
    </w:p>
    <w:p w14:paraId="328E6EEB" w14:textId="2B0A3231" w:rsidR="00D36137" w:rsidRDefault="00F821D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metakremičitan</w:t>
      </w:r>
      <w:proofErr w:type="spellEnd"/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</w:t>
      </w:r>
      <w:proofErr w:type="spellStart"/>
      <w:r w:rsidR="00D36137"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horečnat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o</w:t>
      </w:r>
      <w:proofErr w:type="spellEnd"/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-hlinitý</w:t>
      </w:r>
    </w:p>
    <w:p w14:paraId="0840FE1F" w14:textId="03BC2837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stearát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horečnatý</w:t>
      </w:r>
    </w:p>
    <w:p w14:paraId="0572BE6D" w14:textId="15EFC94C" w:rsidR="00CD6663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koloidný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bezvodý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oxid kremičitý</w:t>
      </w:r>
    </w:p>
    <w:p w14:paraId="7CF3C03E" w14:textId="77777777" w:rsidR="00D36137" w:rsidRPr="00CD6663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E001C7D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Inkompatibility</w:t>
      </w:r>
    </w:p>
    <w:p w14:paraId="0551A66E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86A7439" w14:textId="4B7C83BA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Neaplikovateľné.</w:t>
      </w:r>
    </w:p>
    <w:p w14:paraId="65111012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AA25F13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lastRenderedPageBreak/>
        <w:t>Čas použiteľnosti</w:t>
      </w:r>
    </w:p>
    <w:p w14:paraId="22264242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0C89619" w14:textId="07DCBFFF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30 mesiacov</w:t>
      </w:r>
    </w:p>
    <w:p w14:paraId="1A3318CC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54B0A2D" w14:textId="77777777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Špeciálne upozornenia na uchovávanie</w:t>
      </w:r>
    </w:p>
    <w:p w14:paraId="1AD21F71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B780199" w14:textId="378761E1" w:rsidR="00CD6663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Tento liek nevyžaduje žiadne zvláštne podmienky na uchovávanie.</w:t>
      </w:r>
    </w:p>
    <w:p w14:paraId="5FC2D35F" w14:textId="77777777" w:rsidR="00D36137" w:rsidRPr="00CD6663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5E20627" w14:textId="522BBE90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 xml:space="preserve">Druh obalu a obsah balenia </w:t>
      </w:r>
    </w:p>
    <w:p w14:paraId="3B12C928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6D6EF177" w14:textId="41180924" w:rsidR="00D36137" w:rsidRDefault="00D361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PVC/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PVdC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-hliníkový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blister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alebo OPA-Al-PVC/Al </w:t>
      </w:r>
      <w:proofErr w:type="spellStart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blister</w:t>
      </w:r>
      <w:proofErr w:type="spellEnd"/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 balený v škatuľ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k</w:t>
      </w:r>
      <w:r w:rsidRPr="00D36137">
        <w:rPr>
          <w:rFonts w:ascii="Times New Roman" w:eastAsia="Times New Roman" w:hAnsi="Times New Roman" w:cs="Times New Roman"/>
          <w:szCs w:val="20"/>
          <w:lang w:val="sk-SK" w:eastAsia="sk-SK" w:bidi="sk-SK"/>
        </w:rPr>
        <w:t>ách obsahujúcich 10, 20, 30, 50 a 100 tabliet.</w:t>
      </w:r>
    </w:p>
    <w:p w14:paraId="5ABBC5D7" w14:textId="59E1F63A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Na trh nemusia byť uvedené všetky veľkosti balenia.</w:t>
      </w:r>
    </w:p>
    <w:p w14:paraId="70A1BFCA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8479DCD" w14:textId="026B32D6" w:rsidR="00CD6663" w:rsidRPr="00CD6663" w:rsidRDefault="00CD6663">
      <w:pPr>
        <w:keepNext/>
        <w:numPr>
          <w:ilvl w:val="1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bookmarkStart w:id="1" w:name="OLE_LINK1"/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 xml:space="preserve">Špeciálne opatrenia na likvidáciu </w:t>
      </w:r>
    </w:p>
    <w:p w14:paraId="20934496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CBAF573" w14:textId="03565DED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>Všetok nepoužitý liek alebo odpad vzniknutý z lieku sa má zlikvidovať v súlade s národnými požiadavkami.</w:t>
      </w:r>
    </w:p>
    <w:bookmarkEnd w:id="1"/>
    <w:p w14:paraId="3B671724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CEF9C29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F46DA2B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DRŽITEĽ ROZHODNUTIA O</w:t>
      </w:r>
      <w:r w:rsidRPr="00CD6663">
        <w:rPr>
          <w:rFonts w:ascii="Times New Roman" w:eastAsia="Times New Roman" w:hAnsi="Times New Roman" w:cs="Times New Roman"/>
          <w:b/>
          <w:noProof/>
          <w:szCs w:val="20"/>
          <w:lang w:val="sk-SK" w:eastAsia="sk-SK" w:bidi="sk-SK"/>
        </w:rPr>
        <w:t> </w:t>
      </w: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REGISTRÁCII</w:t>
      </w:r>
    </w:p>
    <w:p w14:paraId="2C2C4E1B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6329F30" w14:textId="64DF4E36" w:rsidR="00D36137" w:rsidRPr="00D36137" w:rsidRDefault="00D36137">
      <w:pPr>
        <w:numPr>
          <w:ilvl w:val="12"/>
          <w:numId w:val="0"/>
        </w:numPr>
        <w:tabs>
          <w:tab w:val="left" w:pos="567"/>
        </w:tabs>
        <w:spacing w:before="120" w:after="0" w:line="260" w:lineRule="exact"/>
        <w:ind w:right="-2"/>
        <w:rPr>
          <w:rFonts w:ascii="Times New Roman" w:eastAsia="Times New Roman" w:hAnsi="Times New Roman" w:cs="Times New Roman"/>
          <w:lang w:val="sk-SK"/>
        </w:rPr>
      </w:pPr>
      <w:proofErr w:type="spellStart"/>
      <w:r w:rsidRPr="00D36137">
        <w:rPr>
          <w:rFonts w:ascii="Times New Roman" w:eastAsia="Times New Roman" w:hAnsi="Times New Roman" w:cs="Times New Roman"/>
          <w:lang w:val="sk-SK"/>
        </w:rPr>
        <w:t>Alfred</w:t>
      </w:r>
      <w:proofErr w:type="spellEnd"/>
      <w:r w:rsidRPr="00D36137">
        <w:rPr>
          <w:rFonts w:ascii="Times New Roman" w:eastAsia="Times New Roman" w:hAnsi="Times New Roman" w:cs="Times New Roman"/>
          <w:lang w:val="sk-SK"/>
        </w:rPr>
        <w:t xml:space="preserve"> E. </w:t>
      </w:r>
      <w:proofErr w:type="spellStart"/>
      <w:r w:rsidRPr="00D36137">
        <w:rPr>
          <w:rFonts w:ascii="Times New Roman" w:eastAsia="Times New Roman" w:hAnsi="Times New Roman" w:cs="Times New Roman"/>
          <w:lang w:val="sk-SK"/>
        </w:rPr>
        <w:t>Tiefenbacher</w:t>
      </w:r>
      <w:proofErr w:type="spellEnd"/>
      <w:r w:rsidRPr="00D36137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D36137">
        <w:rPr>
          <w:rFonts w:ascii="Times New Roman" w:eastAsia="Times New Roman" w:hAnsi="Times New Roman" w:cs="Times New Roman"/>
          <w:lang w:val="sk-SK"/>
        </w:rPr>
        <w:t>GmbH</w:t>
      </w:r>
      <w:proofErr w:type="spellEnd"/>
      <w:r w:rsidRPr="00D36137">
        <w:rPr>
          <w:rFonts w:ascii="Times New Roman" w:eastAsia="Times New Roman" w:hAnsi="Times New Roman" w:cs="Times New Roman"/>
          <w:lang w:val="sk-SK"/>
        </w:rPr>
        <w:t xml:space="preserve"> &amp; C</w:t>
      </w:r>
      <w:r w:rsidR="00320CBA">
        <w:rPr>
          <w:rFonts w:ascii="Times New Roman" w:eastAsia="Times New Roman" w:hAnsi="Times New Roman" w:cs="Times New Roman"/>
          <w:lang w:val="sk-SK"/>
        </w:rPr>
        <w:t>o</w:t>
      </w:r>
      <w:r w:rsidRPr="00D36137">
        <w:rPr>
          <w:rFonts w:ascii="Times New Roman" w:eastAsia="Times New Roman" w:hAnsi="Times New Roman" w:cs="Times New Roman"/>
          <w:lang w:val="sk-SK"/>
        </w:rPr>
        <w:t>. KG</w:t>
      </w:r>
    </w:p>
    <w:p w14:paraId="6F11E7C0" w14:textId="77777777" w:rsidR="00D36137" w:rsidRPr="00D36137" w:rsidRDefault="00D36137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D36137">
        <w:rPr>
          <w:rFonts w:ascii="Times New Roman" w:eastAsia="Times New Roman" w:hAnsi="Times New Roman" w:cs="Times New Roman"/>
          <w:lang w:val="sk-SK"/>
        </w:rPr>
        <w:t>Van-der-</w:t>
      </w:r>
      <w:proofErr w:type="spellStart"/>
      <w:r w:rsidRPr="00D36137">
        <w:rPr>
          <w:rFonts w:ascii="Times New Roman" w:eastAsia="Times New Roman" w:hAnsi="Times New Roman" w:cs="Times New Roman"/>
          <w:lang w:val="sk-SK"/>
        </w:rPr>
        <w:t>Smissen</w:t>
      </w:r>
      <w:proofErr w:type="spellEnd"/>
      <w:r w:rsidRPr="00D36137">
        <w:rPr>
          <w:rFonts w:ascii="Times New Roman" w:eastAsia="Times New Roman" w:hAnsi="Times New Roman" w:cs="Times New Roman"/>
          <w:lang w:val="sk-SK"/>
        </w:rPr>
        <w:t>-Str. 1</w:t>
      </w:r>
    </w:p>
    <w:p w14:paraId="1CF49F7F" w14:textId="77777777" w:rsidR="00D36137" w:rsidRPr="00D36137" w:rsidRDefault="00D36137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D36137">
        <w:rPr>
          <w:rFonts w:ascii="Times New Roman" w:eastAsia="Times New Roman" w:hAnsi="Times New Roman" w:cs="Times New Roman"/>
          <w:lang w:val="sk-SK"/>
        </w:rPr>
        <w:t>22767 Hamburg</w:t>
      </w:r>
    </w:p>
    <w:p w14:paraId="6F979098" w14:textId="77777777" w:rsidR="00D36137" w:rsidRPr="00D36137" w:rsidRDefault="00D36137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D36137">
        <w:rPr>
          <w:rFonts w:ascii="Times New Roman" w:eastAsia="Times New Roman" w:hAnsi="Times New Roman" w:cs="Times New Roman"/>
          <w:lang w:val="sk-SK"/>
        </w:rPr>
        <w:t>Nemecko</w:t>
      </w:r>
    </w:p>
    <w:p w14:paraId="6E6D9660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D2EC726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069AFAC3" w14:textId="24975116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REGISTRAČNÉ ČÍSLO</w:t>
      </w:r>
    </w:p>
    <w:p w14:paraId="0292CB5B" w14:textId="77777777" w:rsid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13331D7" w14:textId="78EB9A60" w:rsidR="00F821D3" w:rsidRDefault="0072064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720648">
        <w:rPr>
          <w:rFonts w:ascii="Times New Roman" w:eastAsia="Times New Roman" w:hAnsi="Times New Roman" w:cs="Times New Roman"/>
          <w:szCs w:val="20"/>
          <w:lang w:val="sk-SK" w:eastAsia="sk-SK" w:bidi="sk-SK"/>
        </w:rPr>
        <w:t>24/0179/21-S</w:t>
      </w:r>
    </w:p>
    <w:p w14:paraId="018E3E9A" w14:textId="77777777" w:rsidR="00720648" w:rsidRPr="00CD6663" w:rsidRDefault="00720648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54902498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8D8C073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DÁTUM PRVEJ REGISTRÁCIE/PREDĹŽENIA REGISTRÁCIE</w:t>
      </w:r>
    </w:p>
    <w:p w14:paraId="6E5BD577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</w:pPr>
    </w:p>
    <w:p w14:paraId="54192054" w14:textId="4A3BD29C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szCs w:val="20"/>
          <w:lang w:val="sk-SK" w:eastAsia="sk-SK" w:bidi="sk-SK"/>
        </w:rPr>
        <w:t xml:space="preserve">Dátum prvej registrácie: </w:t>
      </w:r>
    </w:p>
    <w:p w14:paraId="62FA1825" w14:textId="6626D8EE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2F7D3748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71BE97F3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37D83A77" w14:textId="77777777" w:rsidR="00CD6663" w:rsidRPr="00CD6663" w:rsidRDefault="00CD666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</w:pPr>
      <w:r w:rsidRPr="00CD6663">
        <w:rPr>
          <w:rFonts w:ascii="Times New Roman" w:eastAsia="Times New Roman" w:hAnsi="Times New Roman" w:cs="Times New Roman"/>
          <w:b/>
          <w:szCs w:val="20"/>
          <w:lang w:val="sk-SK" w:eastAsia="sk-SK" w:bidi="sk-SK"/>
        </w:rPr>
        <w:t>DÁTUM REVÍZIE TEXTU</w:t>
      </w:r>
    </w:p>
    <w:p w14:paraId="7D47C45D" w14:textId="77777777" w:rsidR="00CD6663" w:rsidRPr="00CD6663" w:rsidRDefault="00CD666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5451B85" w14:textId="5394E102" w:rsidR="00CD6663" w:rsidRPr="00CD6663" w:rsidRDefault="00D24AB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0</w:t>
      </w:r>
      <w:r w:rsidR="00F821D3">
        <w:rPr>
          <w:rFonts w:ascii="Times New Roman" w:eastAsia="Times New Roman" w:hAnsi="Times New Roman" w:cs="Times New Roman"/>
          <w:szCs w:val="20"/>
          <w:lang w:val="sk-SK" w:eastAsia="sk-SK" w:bidi="sk-SK"/>
        </w:rPr>
        <w:t>6</w:t>
      </w:r>
      <w:r>
        <w:rPr>
          <w:rFonts w:ascii="Times New Roman" w:eastAsia="Times New Roman" w:hAnsi="Times New Roman" w:cs="Times New Roman"/>
          <w:szCs w:val="20"/>
          <w:lang w:val="sk-SK" w:eastAsia="sk-SK" w:bidi="sk-SK"/>
        </w:rPr>
        <w:t>/2021</w:t>
      </w:r>
    </w:p>
    <w:p w14:paraId="2209046A" w14:textId="77777777" w:rsidR="00CD6663" w:rsidRPr="00CD6663" w:rsidRDefault="00CD66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4EFB0AF5" w14:textId="77777777" w:rsidR="00CD6663" w:rsidRPr="00CD6663" w:rsidRDefault="00CD666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sk-SK" w:eastAsia="sk-SK" w:bidi="sk-SK"/>
        </w:rPr>
      </w:pPr>
    </w:p>
    <w:p w14:paraId="1F5D770B" w14:textId="3F9F2E46" w:rsidR="00EA60DF" w:rsidRPr="00CD6663" w:rsidRDefault="00EA60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sk-SK" w:eastAsia="sk-SK" w:bidi="sk-SK"/>
        </w:rPr>
      </w:pPr>
    </w:p>
    <w:sectPr w:rsidR="00EA60DF" w:rsidRPr="00CD666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31813" w16cex:dateUtc="2021-06-15T10:14:00Z"/>
  <w16cex:commentExtensible w16cex:durableId="2473181E" w16cex:dateUtc="2021-06-15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2B572E" w16cid:durableId="24731813"/>
  <w16cid:commentId w16cid:paraId="515C03A2" w16cid:durableId="247318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62305" w14:textId="77777777" w:rsidR="00590F93" w:rsidRDefault="00590F93" w:rsidP="00485833">
      <w:pPr>
        <w:spacing w:after="0" w:line="240" w:lineRule="auto"/>
      </w:pPr>
      <w:r>
        <w:separator/>
      </w:r>
    </w:p>
  </w:endnote>
  <w:endnote w:type="continuationSeparator" w:id="0">
    <w:p w14:paraId="1D51DDF7" w14:textId="77777777" w:rsidR="00590F93" w:rsidRDefault="00590F93" w:rsidP="0048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120919"/>
      <w:docPartObj>
        <w:docPartGallery w:val="Page Numbers (Bottom of Page)"/>
        <w:docPartUnique/>
      </w:docPartObj>
    </w:sdtPr>
    <w:sdtEndPr/>
    <w:sdtContent>
      <w:p w14:paraId="67AB9505" w14:textId="35F7DD7E" w:rsidR="0076069D" w:rsidRDefault="007606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40D" w:rsidRPr="0074140D">
          <w:rPr>
            <w:noProof/>
            <w:lang w:val="sk-SK"/>
          </w:rPr>
          <w:t>11</w:t>
        </w:r>
        <w:r>
          <w:fldChar w:fldCharType="end"/>
        </w:r>
      </w:p>
    </w:sdtContent>
  </w:sdt>
  <w:p w14:paraId="0F3FB3CD" w14:textId="77777777" w:rsidR="0076069D" w:rsidRDefault="007606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F84D2" w14:textId="77777777" w:rsidR="00590F93" w:rsidRDefault="00590F93" w:rsidP="00485833">
      <w:pPr>
        <w:spacing w:after="0" w:line="240" w:lineRule="auto"/>
      </w:pPr>
      <w:r>
        <w:separator/>
      </w:r>
    </w:p>
  </w:footnote>
  <w:footnote w:type="continuationSeparator" w:id="0">
    <w:p w14:paraId="1B2F8594" w14:textId="77777777" w:rsidR="00590F93" w:rsidRDefault="00590F93" w:rsidP="0048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54B7C" w14:textId="33654D55" w:rsidR="00F65E6C" w:rsidRPr="00F26FCA" w:rsidRDefault="00F65E6C">
    <w:pPr>
      <w:pStyle w:val="Hlavika"/>
      <w:rPr>
        <w:rFonts w:ascii="Times New Roman" w:hAnsi="Times New Roman"/>
      </w:rPr>
    </w:pPr>
    <w:proofErr w:type="spellStart"/>
    <w:r w:rsidRPr="00FF09C9">
      <w:rPr>
        <w:rFonts w:ascii="Times New Roman" w:hAnsi="Times New Roman"/>
        <w:sz w:val="18"/>
      </w:rPr>
      <w:t>Schválený</w:t>
    </w:r>
    <w:proofErr w:type="spellEnd"/>
    <w:r w:rsidRPr="00FF09C9">
      <w:rPr>
        <w:rFonts w:ascii="Times New Roman" w:hAnsi="Times New Roman"/>
        <w:sz w:val="18"/>
      </w:rPr>
      <w:t xml:space="preserve"> </w:t>
    </w:r>
    <w:proofErr w:type="spellStart"/>
    <w:r w:rsidRPr="00FF09C9">
      <w:rPr>
        <w:rFonts w:ascii="Times New Roman" w:hAnsi="Times New Roman"/>
        <w:sz w:val="18"/>
      </w:rPr>
      <w:t>text</w:t>
    </w:r>
    <w:proofErr w:type="spellEnd"/>
    <w:r w:rsidRPr="00FF09C9">
      <w:rPr>
        <w:rFonts w:ascii="Times New Roman" w:hAnsi="Times New Roman"/>
        <w:sz w:val="18"/>
      </w:rPr>
      <w:t xml:space="preserve"> k </w:t>
    </w:r>
    <w:proofErr w:type="spellStart"/>
    <w:r w:rsidRPr="00FF09C9">
      <w:rPr>
        <w:rFonts w:ascii="Times New Roman" w:hAnsi="Times New Roman"/>
        <w:sz w:val="18"/>
      </w:rPr>
      <w:t>rozhodnutiu</w:t>
    </w:r>
    <w:proofErr w:type="spellEnd"/>
    <w:r w:rsidRPr="00FF09C9">
      <w:rPr>
        <w:rFonts w:ascii="Times New Roman" w:hAnsi="Times New Roman"/>
        <w:sz w:val="18"/>
      </w:rPr>
      <w:t xml:space="preserve"> o </w:t>
    </w:r>
    <w:proofErr w:type="spellStart"/>
    <w:r w:rsidRPr="00FF09C9">
      <w:rPr>
        <w:rFonts w:ascii="Times New Roman" w:hAnsi="Times New Roman"/>
        <w:sz w:val="18"/>
      </w:rPr>
      <w:t>registrácii</w:t>
    </w:r>
    <w:proofErr w:type="spellEnd"/>
    <w:r>
      <w:rPr>
        <w:rFonts w:ascii="Times New Roman" w:hAnsi="Times New Roman"/>
        <w:sz w:val="18"/>
      </w:rPr>
      <w:t>,</w:t>
    </w:r>
    <w:r w:rsidRPr="00FF09C9">
      <w:rPr>
        <w:rFonts w:ascii="Times New Roman" w:hAnsi="Times New Roman"/>
        <w:sz w:val="18"/>
      </w:rPr>
      <w:t xml:space="preserve"> ev. č.:</w:t>
    </w:r>
    <w:r>
      <w:rPr>
        <w:rFonts w:ascii="Times New Roman" w:hAnsi="Times New Roman"/>
        <w:sz w:val="18"/>
      </w:rPr>
      <w:t xml:space="preserve"> </w:t>
    </w:r>
    <w:r w:rsidRPr="00D41A32">
      <w:rPr>
        <w:rFonts w:ascii="Times New Roman" w:hAnsi="Times New Roman"/>
        <w:sz w:val="18"/>
      </w:rPr>
      <w:t>2019/06719-REG</w:t>
    </w:r>
  </w:p>
  <w:p w14:paraId="42DB4322" w14:textId="77777777" w:rsidR="00F65E6C" w:rsidRDefault="00F65E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63"/>
    <w:rsid w:val="000270FF"/>
    <w:rsid w:val="000A2E26"/>
    <w:rsid w:val="00121FEE"/>
    <w:rsid w:val="001A039C"/>
    <w:rsid w:val="001E6998"/>
    <w:rsid w:val="002036C2"/>
    <w:rsid w:val="00281CB9"/>
    <w:rsid w:val="00286079"/>
    <w:rsid w:val="00297EA9"/>
    <w:rsid w:val="002C2793"/>
    <w:rsid w:val="00307067"/>
    <w:rsid w:val="00320CBA"/>
    <w:rsid w:val="00360831"/>
    <w:rsid w:val="00392176"/>
    <w:rsid w:val="00396BAD"/>
    <w:rsid w:val="00485833"/>
    <w:rsid w:val="005310C9"/>
    <w:rsid w:val="00590F93"/>
    <w:rsid w:val="00593BFD"/>
    <w:rsid w:val="00644DCB"/>
    <w:rsid w:val="006971FA"/>
    <w:rsid w:val="006A738E"/>
    <w:rsid w:val="006F657C"/>
    <w:rsid w:val="007079D3"/>
    <w:rsid w:val="00710E20"/>
    <w:rsid w:val="00720648"/>
    <w:rsid w:val="0074140D"/>
    <w:rsid w:val="00745CB8"/>
    <w:rsid w:val="0076069D"/>
    <w:rsid w:val="007A7148"/>
    <w:rsid w:val="008106C1"/>
    <w:rsid w:val="00831BE5"/>
    <w:rsid w:val="009625BE"/>
    <w:rsid w:val="00A00659"/>
    <w:rsid w:val="00A43E5C"/>
    <w:rsid w:val="00A73897"/>
    <w:rsid w:val="00B07246"/>
    <w:rsid w:val="00B45895"/>
    <w:rsid w:val="00BB13F2"/>
    <w:rsid w:val="00CD6663"/>
    <w:rsid w:val="00CF663D"/>
    <w:rsid w:val="00D03089"/>
    <w:rsid w:val="00D24AB8"/>
    <w:rsid w:val="00D36137"/>
    <w:rsid w:val="00D81981"/>
    <w:rsid w:val="00DC21FB"/>
    <w:rsid w:val="00DF4C6A"/>
    <w:rsid w:val="00E26FEE"/>
    <w:rsid w:val="00E35D40"/>
    <w:rsid w:val="00E80726"/>
    <w:rsid w:val="00EA60DF"/>
    <w:rsid w:val="00EB7B7E"/>
    <w:rsid w:val="00EC2DBC"/>
    <w:rsid w:val="00F15AE8"/>
    <w:rsid w:val="00F26FCA"/>
    <w:rsid w:val="00F65E6C"/>
    <w:rsid w:val="00F821D3"/>
    <w:rsid w:val="00FA3D22"/>
    <w:rsid w:val="00FC1ABC"/>
    <w:rsid w:val="00FC67E1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AB38B"/>
  <w15:chartTrackingRefBased/>
  <w15:docId w15:val="{3A91FE18-1B51-4F42-8261-F97F9A3B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03089"/>
    <w:pPr>
      <w:widowControl w:val="0"/>
      <w:autoSpaceDE w:val="0"/>
      <w:autoSpaceDN w:val="0"/>
      <w:spacing w:after="0" w:line="240" w:lineRule="auto"/>
      <w:ind w:left="837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83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8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833"/>
  </w:style>
  <w:style w:type="paragraph" w:styleId="Pta">
    <w:name w:val="footer"/>
    <w:basedOn w:val="Normlny"/>
    <w:link w:val="PtaChar"/>
    <w:uiPriority w:val="99"/>
    <w:unhideWhenUsed/>
    <w:rsid w:val="00485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833"/>
  </w:style>
  <w:style w:type="character" w:styleId="Odkaznakomentr">
    <w:name w:val="annotation reference"/>
    <w:basedOn w:val="Predvolenpsmoodseku"/>
    <w:uiPriority w:val="99"/>
    <w:semiHidden/>
    <w:unhideWhenUsed/>
    <w:rsid w:val="00D030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30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30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30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308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03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Mriekatabuky">
    <w:name w:val="Table Grid"/>
    <w:basedOn w:val="Normlnatabuka"/>
    <w:uiPriority w:val="39"/>
    <w:rsid w:val="00E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971F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9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template-form/qrd-appendix-v-adverse-drug-reaction-reporting-details_en.docx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4297</Words>
  <Characters>24494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Rülke, Freya</dc:creator>
  <cp:keywords/>
  <dc:description/>
  <cp:lastModifiedBy>SK Peer review</cp:lastModifiedBy>
  <cp:revision>15</cp:revision>
  <cp:lastPrinted>2021-06-15T12:41:00Z</cp:lastPrinted>
  <dcterms:created xsi:type="dcterms:W3CDTF">2021-06-10T09:48:00Z</dcterms:created>
  <dcterms:modified xsi:type="dcterms:W3CDTF">2021-06-15T12:43:00Z</dcterms:modified>
</cp:coreProperties>
</file>