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4A570" w14:textId="77777777" w:rsidR="00C278DF" w:rsidRPr="0050414B" w:rsidRDefault="00C278DF" w:rsidP="009C246B">
      <w:pPr>
        <w:pStyle w:val="Hlavika"/>
        <w:jc w:val="both"/>
        <w:rPr>
          <w:rFonts w:ascii="Times New Roman" w:hAnsi="Times New Roman"/>
          <w:sz w:val="18"/>
          <w:szCs w:val="18"/>
          <w:lang w:val="sk-SK" w:eastAsia="sk-SK"/>
        </w:rPr>
      </w:pPr>
    </w:p>
    <w:p w14:paraId="55B18E9D" w14:textId="77777777" w:rsidR="00207DBB" w:rsidRPr="00F50FCA" w:rsidRDefault="00207DBB" w:rsidP="0050414B">
      <w:pPr>
        <w:jc w:val="center"/>
        <w:rPr>
          <w:b/>
          <w:szCs w:val="22"/>
        </w:rPr>
      </w:pPr>
      <w:r w:rsidRPr="00F50FCA">
        <w:rPr>
          <w:b/>
          <w:szCs w:val="22"/>
        </w:rPr>
        <w:t>SÚHRN CHARAKTERISTICKÝCH VLASTNOSTÍ LIEKU</w:t>
      </w:r>
    </w:p>
    <w:p w14:paraId="17B9039D" w14:textId="77777777" w:rsidR="00C278DF" w:rsidRPr="00726429" w:rsidRDefault="00C278D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2FCC6B10" w14:textId="77777777" w:rsidR="00AF432F" w:rsidRPr="00726429" w:rsidRDefault="00AF432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50341429" w14:textId="77777777" w:rsidR="00780926" w:rsidRPr="00726429" w:rsidRDefault="00780926" w:rsidP="009C246B">
      <w:pPr>
        <w:ind w:left="0" w:firstLine="0"/>
        <w:jc w:val="both"/>
        <w:rPr>
          <w:szCs w:val="22"/>
        </w:rPr>
      </w:pPr>
      <w:r w:rsidRPr="00726429">
        <w:rPr>
          <w:b/>
          <w:szCs w:val="22"/>
        </w:rPr>
        <w:t>1.</w:t>
      </w:r>
      <w:r w:rsidRPr="00726429">
        <w:rPr>
          <w:b/>
          <w:szCs w:val="22"/>
        </w:rPr>
        <w:tab/>
        <w:t>NÁZOV LIEKU</w:t>
      </w:r>
    </w:p>
    <w:p w14:paraId="78F65071" w14:textId="77777777" w:rsidR="00780926" w:rsidRPr="00726429" w:rsidRDefault="00780926" w:rsidP="009C246B">
      <w:pPr>
        <w:jc w:val="both"/>
        <w:rPr>
          <w:szCs w:val="22"/>
        </w:rPr>
      </w:pPr>
    </w:p>
    <w:p w14:paraId="1C79004E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150</w:t>
      </w:r>
    </w:p>
    <w:p w14:paraId="690D708C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</w:p>
    <w:p w14:paraId="43A39E40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</w:p>
    <w:p w14:paraId="76FACC99" w14:textId="77777777" w:rsidR="006E6CFE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</w:p>
    <w:p w14:paraId="0E87F123" w14:textId="77777777" w:rsidR="00C278DF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350</w:t>
      </w:r>
    </w:p>
    <w:p w14:paraId="103A8065" w14:textId="77777777" w:rsidR="00780926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400</w:t>
      </w:r>
    </w:p>
    <w:p w14:paraId="2F5C4A68" w14:textId="77777777" w:rsidR="00CB1B6F" w:rsidRDefault="00CB1B6F" w:rsidP="009C246B">
      <w:pPr>
        <w:jc w:val="both"/>
        <w:rPr>
          <w:szCs w:val="22"/>
        </w:rPr>
      </w:pPr>
    </w:p>
    <w:p w14:paraId="029F359A" w14:textId="77777777" w:rsidR="00C278DF" w:rsidRPr="00726429" w:rsidRDefault="00CB1B6F" w:rsidP="009C246B">
      <w:pPr>
        <w:jc w:val="both"/>
        <w:rPr>
          <w:szCs w:val="22"/>
        </w:rPr>
      </w:pPr>
      <w:r>
        <w:rPr>
          <w:szCs w:val="22"/>
        </w:rPr>
        <w:t>injekčný roztok</w:t>
      </w:r>
    </w:p>
    <w:p w14:paraId="30D802CD" w14:textId="77777777" w:rsidR="00C66FEA" w:rsidRDefault="00C66FEA" w:rsidP="009C246B">
      <w:pPr>
        <w:jc w:val="both"/>
        <w:rPr>
          <w:szCs w:val="22"/>
        </w:rPr>
      </w:pPr>
    </w:p>
    <w:p w14:paraId="69F0529B" w14:textId="77777777" w:rsidR="008066FC" w:rsidRPr="00726429" w:rsidRDefault="008066FC" w:rsidP="009C246B">
      <w:pPr>
        <w:jc w:val="both"/>
        <w:rPr>
          <w:szCs w:val="22"/>
        </w:rPr>
      </w:pPr>
    </w:p>
    <w:p w14:paraId="439DF6E0" w14:textId="77777777" w:rsidR="00780926" w:rsidRPr="00726429" w:rsidRDefault="00780926" w:rsidP="009C246B">
      <w:pPr>
        <w:jc w:val="both"/>
        <w:rPr>
          <w:szCs w:val="22"/>
        </w:rPr>
      </w:pPr>
      <w:r w:rsidRPr="00726429">
        <w:rPr>
          <w:b/>
          <w:szCs w:val="22"/>
        </w:rPr>
        <w:t>2.</w:t>
      </w:r>
      <w:r w:rsidRPr="00726429">
        <w:rPr>
          <w:b/>
          <w:szCs w:val="22"/>
        </w:rPr>
        <w:tab/>
        <w:t>KVALITATÍVNE A KVANTITATÍVNE ZLOŽENIE</w:t>
      </w:r>
    </w:p>
    <w:p w14:paraId="1E14BECD" w14:textId="77777777" w:rsidR="00780926" w:rsidRPr="00726429" w:rsidRDefault="00780926" w:rsidP="001E54B3">
      <w:pPr>
        <w:ind w:left="0" w:firstLine="0"/>
        <w:rPr>
          <w:szCs w:val="22"/>
        </w:rPr>
      </w:pPr>
    </w:p>
    <w:p w14:paraId="1CE886A2" w14:textId="77777777" w:rsidR="00FE0FFF" w:rsidRPr="00726429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 xml:space="preserve">Liečivo: </w:t>
      </w:r>
      <w:r w:rsidR="00C66FEA" w:rsidRPr="00726429">
        <w:rPr>
          <w:szCs w:val="22"/>
        </w:rPr>
        <w:t>jomeprol</w:t>
      </w:r>
      <w:r w:rsidR="00FE0FFF" w:rsidRPr="00726429">
        <w:rPr>
          <w:szCs w:val="22"/>
        </w:rPr>
        <w:t xml:space="preserve"> </w:t>
      </w:r>
    </w:p>
    <w:p w14:paraId="1F81A542" w14:textId="77777777" w:rsidR="00207DBB" w:rsidRPr="00F50FCA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>Konce</w:t>
      </w:r>
      <w:r w:rsidR="005468D4" w:rsidRPr="00726429">
        <w:rPr>
          <w:szCs w:val="22"/>
        </w:rPr>
        <w:t>n</w:t>
      </w:r>
      <w:r w:rsidRPr="00726429">
        <w:rPr>
          <w:szCs w:val="22"/>
        </w:rPr>
        <w:t xml:space="preserve">trácia jódu: </w:t>
      </w:r>
      <w:r w:rsidRPr="00113579">
        <w:rPr>
          <w:szCs w:val="22"/>
        </w:rPr>
        <w:tab/>
        <w:t>IOMERON 150 – 150 mg</w:t>
      </w:r>
      <w:r w:rsidR="005468D4" w:rsidRPr="00113579">
        <w:rPr>
          <w:szCs w:val="22"/>
        </w:rPr>
        <w:t>/ml</w:t>
      </w:r>
      <w:r w:rsidR="0037599F" w:rsidRPr="00113579">
        <w:rPr>
          <w:szCs w:val="22"/>
        </w:rPr>
        <w:t xml:space="preserve"> jódu/ml=306,2</w:t>
      </w:r>
      <w:r w:rsidR="00464521">
        <w:rPr>
          <w:szCs w:val="22"/>
        </w:rPr>
        <w:t xml:space="preserve"> mg</w:t>
      </w:r>
      <w:r w:rsidR="0037599F" w:rsidRPr="00113579">
        <w:rPr>
          <w:szCs w:val="22"/>
        </w:rPr>
        <w:t xml:space="preserve"> </w:t>
      </w:r>
      <w:r w:rsidR="0064292F">
        <w:rPr>
          <w:szCs w:val="22"/>
        </w:rPr>
        <w:t>j</w:t>
      </w:r>
      <w:r w:rsidR="0037599F" w:rsidRPr="00113579">
        <w:rPr>
          <w:szCs w:val="22"/>
        </w:rPr>
        <w:t>omeprolu/1 ml</w:t>
      </w:r>
    </w:p>
    <w:p w14:paraId="4BAD957D" w14:textId="77777777" w:rsidR="00207DBB" w:rsidRPr="00726429" w:rsidRDefault="00594C6F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207DBB" w:rsidRPr="00726429">
        <w:rPr>
          <w:szCs w:val="22"/>
        </w:rPr>
        <w:t>IOMERON 200 – 200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jódu/ml=408,2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5D4CC54F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  <w:t>IOMERON 250 – 250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jódu/ml=510,3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53A4CED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30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jódu/ml=612,4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08A60927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</w:t>
      </w:r>
      <w:r w:rsidRPr="00726429">
        <w:rPr>
          <w:szCs w:val="22"/>
        </w:rPr>
        <w:t>50 –</w:t>
      </w:r>
      <w:r w:rsidR="0009634E" w:rsidRPr="00726429">
        <w:rPr>
          <w:szCs w:val="22"/>
        </w:rPr>
        <w:t xml:space="preserve"> 3</w:t>
      </w:r>
      <w:r w:rsidRPr="00726429">
        <w:rPr>
          <w:szCs w:val="22"/>
        </w:rPr>
        <w:t>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jódu/ml=714,4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4B9C39B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40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40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jódu/ml=816,5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4591F21E" w14:textId="7F86EEEC" w:rsidR="00FE0FFF" w:rsidRPr="00726429" w:rsidRDefault="00FE0FFF" w:rsidP="001E54B3">
      <w:pPr>
        <w:tabs>
          <w:tab w:val="left" w:pos="567"/>
        </w:tabs>
        <w:ind w:left="0" w:firstLine="0"/>
        <w:rPr>
          <w:szCs w:val="22"/>
        </w:rPr>
      </w:pPr>
    </w:p>
    <w:p w14:paraId="0B023674" w14:textId="77777777" w:rsidR="00780926" w:rsidRPr="00726429" w:rsidRDefault="00780926" w:rsidP="001E54B3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726429">
        <w:rPr>
          <w:szCs w:val="22"/>
          <w:lang w:eastAsia="en-US"/>
        </w:rPr>
        <w:t>Úplný zoznam pomocných látok, pozri časť 6.1.</w:t>
      </w:r>
    </w:p>
    <w:p w14:paraId="6EEFB38A" w14:textId="77777777" w:rsidR="00780926" w:rsidRPr="00726429" w:rsidRDefault="00780926" w:rsidP="001E54B3">
      <w:pPr>
        <w:rPr>
          <w:szCs w:val="22"/>
        </w:rPr>
      </w:pPr>
    </w:p>
    <w:p w14:paraId="7CC7A632" w14:textId="77777777" w:rsidR="00780926" w:rsidRPr="00726429" w:rsidRDefault="00780926" w:rsidP="001E54B3">
      <w:pPr>
        <w:rPr>
          <w:szCs w:val="22"/>
        </w:rPr>
      </w:pPr>
    </w:p>
    <w:p w14:paraId="123FD01E" w14:textId="77777777" w:rsidR="00780926" w:rsidRPr="00726429" w:rsidRDefault="00780926" w:rsidP="001E54B3">
      <w:pPr>
        <w:rPr>
          <w:caps/>
          <w:szCs w:val="22"/>
        </w:rPr>
      </w:pPr>
      <w:r w:rsidRPr="00726429">
        <w:rPr>
          <w:b/>
          <w:szCs w:val="22"/>
        </w:rPr>
        <w:t>3.</w:t>
      </w:r>
      <w:r w:rsidRPr="00726429">
        <w:rPr>
          <w:b/>
          <w:szCs w:val="22"/>
        </w:rPr>
        <w:tab/>
        <w:t>LIEKOVÁ FORMA</w:t>
      </w:r>
    </w:p>
    <w:p w14:paraId="351FBD6E" w14:textId="77777777" w:rsidR="00780926" w:rsidRPr="00726429" w:rsidRDefault="00780926" w:rsidP="001E54B3">
      <w:pPr>
        <w:rPr>
          <w:szCs w:val="22"/>
        </w:rPr>
      </w:pPr>
    </w:p>
    <w:p w14:paraId="1DB2F716" w14:textId="77777777" w:rsidR="00E93ED9" w:rsidRPr="00113579" w:rsidRDefault="00C93F0B" w:rsidP="009254D5">
      <w:pPr>
        <w:ind w:left="0" w:right="-852" w:firstLine="0"/>
        <w:rPr>
          <w:szCs w:val="22"/>
        </w:rPr>
      </w:pPr>
      <w:r w:rsidRPr="00726429">
        <w:rPr>
          <w:szCs w:val="22"/>
        </w:rPr>
        <w:t>Iomeron je číry, bezfarebný až slabo žltý i</w:t>
      </w:r>
      <w:r w:rsidR="00E93ED9" w:rsidRPr="00726429">
        <w:rPr>
          <w:szCs w:val="22"/>
        </w:rPr>
        <w:t>njekčný roztok</w:t>
      </w:r>
      <w:r w:rsidR="00E93ED9" w:rsidRPr="00113579">
        <w:rPr>
          <w:szCs w:val="22"/>
        </w:rPr>
        <w:t>.</w:t>
      </w:r>
    </w:p>
    <w:p w14:paraId="75BDBD76" w14:textId="77777777" w:rsidR="00FE0FFF" w:rsidRPr="00113579" w:rsidRDefault="00FE0FFF" w:rsidP="00A61B11">
      <w:pPr>
        <w:tabs>
          <w:tab w:val="left" w:pos="567"/>
        </w:tabs>
        <w:ind w:left="0" w:firstLine="0"/>
        <w:rPr>
          <w:szCs w:val="22"/>
        </w:rPr>
      </w:pPr>
      <w:r w:rsidRPr="00F50FCA">
        <w:rPr>
          <w:szCs w:val="22"/>
        </w:rPr>
        <w:t xml:space="preserve">Iomeron je sterilný injekčný roztok </w:t>
      </w:r>
      <w:r w:rsidR="00C13275" w:rsidRPr="00F50FCA">
        <w:rPr>
          <w:szCs w:val="22"/>
        </w:rPr>
        <w:t xml:space="preserve">obsahujúci kontrastnú látku, </w:t>
      </w:r>
      <w:r w:rsidRPr="00726429">
        <w:rPr>
          <w:szCs w:val="22"/>
        </w:rPr>
        <w:t>určený na priame podávanie pri röntgenologických vyšetreniach</w:t>
      </w:r>
      <w:r w:rsidR="00C66FEA" w:rsidRPr="00113579">
        <w:rPr>
          <w:szCs w:val="22"/>
        </w:rPr>
        <w:t>.</w:t>
      </w:r>
      <w:r w:rsidRPr="00113579">
        <w:rPr>
          <w:szCs w:val="22"/>
        </w:rPr>
        <w:t xml:space="preserve"> </w:t>
      </w:r>
    </w:p>
    <w:p w14:paraId="0B1A5A19" w14:textId="77777777" w:rsidR="00C93F0B" w:rsidRPr="00113579" w:rsidRDefault="00C93F0B" w:rsidP="00A61B11">
      <w:pPr>
        <w:tabs>
          <w:tab w:val="left" w:pos="567"/>
        </w:tabs>
        <w:ind w:left="0" w:firstLine="0"/>
        <w:rPr>
          <w:szCs w:val="22"/>
        </w:rPr>
      </w:pPr>
    </w:p>
    <w:p w14:paraId="0CFF18DF" w14:textId="77777777" w:rsidR="00780926" w:rsidRPr="00113579" w:rsidRDefault="00780926" w:rsidP="001E54B3">
      <w:pPr>
        <w:rPr>
          <w:szCs w:val="22"/>
        </w:rPr>
      </w:pPr>
    </w:p>
    <w:p w14:paraId="3169E7CC" w14:textId="77777777" w:rsidR="00780926" w:rsidRPr="00F50FCA" w:rsidRDefault="00780926" w:rsidP="001E54B3">
      <w:pPr>
        <w:rPr>
          <w:caps/>
          <w:szCs w:val="22"/>
        </w:rPr>
      </w:pPr>
      <w:r w:rsidRPr="00F50FCA">
        <w:rPr>
          <w:b/>
          <w:caps/>
          <w:szCs w:val="22"/>
        </w:rPr>
        <w:t>4.</w:t>
      </w:r>
      <w:r w:rsidRPr="00F50FCA">
        <w:rPr>
          <w:b/>
          <w:caps/>
          <w:szCs w:val="22"/>
        </w:rPr>
        <w:tab/>
        <w:t>KLINICKÉ ÚDAJE</w:t>
      </w:r>
    </w:p>
    <w:p w14:paraId="46EE4D35" w14:textId="77777777" w:rsidR="00780926" w:rsidRPr="00726429" w:rsidRDefault="00780926" w:rsidP="001E54B3">
      <w:pPr>
        <w:rPr>
          <w:szCs w:val="22"/>
        </w:rPr>
      </w:pPr>
    </w:p>
    <w:p w14:paraId="3F14CAC3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4.1</w:t>
      </w:r>
      <w:r w:rsidRPr="00726429">
        <w:rPr>
          <w:b/>
          <w:szCs w:val="22"/>
        </w:rPr>
        <w:tab/>
        <w:t>Terapeutické indikácie</w:t>
      </w:r>
    </w:p>
    <w:p w14:paraId="1BB372E2" w14:textId="77777777" w:rsidR="00780926" w:rsidRPr="00726429" w:rsidRDefault="00780926" w:rsidP="001E54B3">
      <w:pPr>
        <w:rPr>
          <w:szCs w:val="22"/>
        </w:rPr>
      </w:pPr>
    </w:p>
    <w:p w14:paraId="4E4B0BFC" w14:textId="77777777" w:rsidR="00780926" w:rsidRPr="00726429" w:rsidRDefault="00780926" w:rsidP="00A61B11">
      <w:pPr>
        <w:rPr>
          <w:szCs w:val="22"/>
        </w:rPr>
      </w:pPr>
      <w:r w:rsidRPr="00726429">
        <w:rPr>
          <w:szCs w:val="22"/>
        </w:rPr>
        <w:t xml:space="preserve">Tento liek je </w:t>
      </w:r>
      <w:r w:rsidR="001B73FD" w:rsidRPr="00726429">
        <w:rPr>
          <w:szCs w:val="22"/>
        </w:rPr>
        <w:t xml:space="preserve">určený </w:t>
      </w:r>
      <w:r w:rsidRPr="00726429">
        <w:rPr>
          <w:szCs w:val="22"/>
        </w:rPr>
        <w:t>len na diagnostic</w:t>
      </w:r>
      <w:r w:rsidR="00F44936" w:rsidRPr="00726429">
        <w:rPr>
          <w:szCs w:val="22"/>
        </w:rPr>
        <w:t>ké použitie.</w:t>
      </w:r>
    </w:p>
    <w:p w14:paraId="3017B21E" w14:textId="77777777" w:rsidR="00780926" w:rsidRPr="00726429" w:rsidRDefault="00780926" w:rsidP="00A61B11">
      <w:pPr>
        <w:rPr>
          <w:szCs w:val="22"/>
        </w:rPr>
      </w:pPr>
    </w:p>
    <w:p w14:paraId="1818EE23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t>IOMERON 150</w:t>
      </w:r>
      <w:r w:rsidRPr="00726429">
        <w:rPr>
          <w:szCs w:val="22"/>
          <w:lang w:bidi="ar-DZ"/>
        </w:rPr>
        <w:t xml:space="preserve"> </w:t>
      </w:r>
    </w:p>
    <w:p w14:paraId="0F7461E6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Infúzna urografia,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mikčná cystouretrografia, mikčná cystouret</w:t>
      </w:r>
      <w:r w:rsidR="00311E93" w:rsidRPr="00726429">
        <w:rPr>
          <w:szCs w:val="22"/>
          <w:lang w:bidi="ar-DZ"/>
        </w:rPr>
        <w:t>r</w:t>
      </w:r>
      <w:r w:rsidRPr="00726429">
        <w:rPr>
          <w:szCs w:val="22"/>
          <w:lang w:bidi="ar-DZ"/>
        </w:rPr>
        <w:t xml:space="preserve">ografia u </w:t>
      </w:r>
      <w:r w:rsidR="00635E0E" w:rsidRPr="00726429">
        <w:rPr>
          <w:szCs w:val="22"/>
          <w:lang w:bidi="ar-DZ"/>
        </w:rPr>
        <w:t>pediatrickej populácie.</w:t>
      </w:r>
    </w:p>
    <w:p w14:paraId="7EDC7C55" w14:textId="77777777" w:rsidR="00F44936" w:rsidRPr="00726429" w:rsidRDefault="00F44936" w:rsidP="006125FA">
      <w:pPr>
        <w:ind w:left="0" w:right="-852" w:firstLine="0"/>
        <w:rPr>
          <w:i/>
          <w:szCs w:val="22"/>
          <w:lang w:bidi="ar-DZ"/>
        </w:rPr>
      </w:pPr>
    </w:p>
    <w:p w14:paraId="6B9AC987" w14:textId="77777777" w:rsidR="00F44936" w:rsidRPr="00726429" w:rsidRDefault="00F44936" w:rsidP="004B4C2E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200</w:t>
      </w:r>
    </w:p>
    <w:p w14:paraId="2C323B9A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Periférna flebografia,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artrografia, hysterosalpingografia, cholangiografia, retrográdna uretrografia, retrográdna pyelouretrografia, myelografia.</w:t>
      </w:r>
    </w:p>
    <w:p w14:paraId="1E254AA7" w14:textId="77777777" w:rsidR="00F44936" w:rsidRPr="00726429" w:rsidRDefault="00F44936" w:rsidP="001D463A">
      <w:pPr>
        <w:ind w:left="0" w:right="-852" w:firstLine="0"/>
        <w:rPr>
          <w:i/>
          <w:szCs w:val="22"/>
          <w:lang w:bidi="ar-DZ"/>
        </w:rPr>
      </w:pPr>
    </w:p>
    <w:p w14:paraId="17ADBBFE" w14:textId="77777777" w:rsidR="00F44936" w:rsidRPr="00726429" w:rsidRDefault="00F44936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IOMERON 250</w:t>
      </w:r>
    </w:p>
    <w:p w14:paraId="7F11B225" w14:textId="77777777" w:rsidR="00F44936" w:rsidRPr="00726429" w:rsidRDefault="00F44936" w:rsidP="004B4C2E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urografia, periférna flebografia, CT mozgu a tela, intravenózna a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myelografia.</w:t>
      </w:r>
    </w:p>
    <w:p w14:paraId="64EC4274" w14:textId="77777777" w:rsidR="00F44936" w:rsidRPr="00726429" w:rsidRDefault="00F44936" w:rsidP="001E54B3">
      <w:pPr>
        <w:ind w:left="0" w:right="-852" w:firstLine="0"/>
        <w:rPr>
          <w:i/>
          <w:szCs w:val="22"/>
          <w:lang w:bidi="ar-DZ"/>
        </w:rPr>
      </w:pPr>
    </w:p>
    <w:p w14:paraId="56BE56A6" w14:textId="77777777" w:rsidR="00F44936" w:rsidRPr="00726429" w:rsidRDefault="00F44936" w:rsidP="004B4C2E">
      <w:pPr>
        <w:keepNext/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lastRenderedPageBreak/>
        <w:t>IOMERON 300</w:t>
      </w:r>
    </w:p>
    <w:p w14:paraId="5F0EF778" w14:textId="77777777" w:rsidR="00F44936" w:rsidRPr="00F50FCA" w:rsidRDefault="00F44936" w:rsidP="004B4C2E">
      <w:pPr>
        <w:keepNext/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>Intravenózna urografia (u dospelých a</w:t>
      </w:r>
      <w:r w:rsidR="00363A44" w:rsidRPr="00726429">
        <w:rPr>
          <w:szCs w:val="22"/>
          <w:lang w:bidi="ar-DZ"/>
        </w:rPr>
        <w:t> pediatrick</w:t>
      </w:r>
      <w:r w:rsidR="00341276" w:rsidRPr="00726429">
        <w:rPr>
          <w:szCs w:val="22"/>
          <w:lang w:bidi="ar-DZ"/>
        </w:rPr>
        <w:t>ej</w:t>
      </w:r>
      <w:r w:rsidR="00363A44" w:rsidRPr="00726429">
        <w:rPr>
          <w:szCs w:val="22"/>
          <w:lang w:bidi="ar-DZ"/>
        </w:rPr>
        <w:t xml:space="preserve"> popul</w:t>
      </w:r>
      <w:r w:rsidR="00341276" w:rsidRPr="00726429">
        <w:rPr>
          <w:szCs w:val="22"/>
          <w:lang w:bidi="ar-DZ"/>
        </w:rPr>
        <w:t>á</w:t>
      </w:r>
      <w:r w:rsidR="00363A44" w:rsidRPr="00726429">
        <w:rPr>
          <w:szCs w:val="22"/>
          <w:lang w:bidi="ar-DZ"/>
        </w:rPr>
        <w:t>c</w:t>
      </w:r>
      <w:r w:rsidR="00341276" w:rsidRPr="00726429">
        <w:rPr>
          <w:szCs w:val="22"/>
          <w:lang w:bidi="ar-DZ"/>
        </w:rPr>
        <w:t>i</w:t>
      </w:r>
      <w:r w:rsidR="00363A44" w:rsidRPr="00726429">
        <w:rPr>
          <w:szCs w:val="22"/>
          <w:lang w:bidi="ar-DZ"/>
        </w:rPr>
        <w:t>e</w:t>
      </w:r>
      <w:r w:rsidRPr="00726429">
        <w:rPr>
          <w:szCs w:val="22"/>
          <w:lang w:bidi="ar-DZ"/>
        </w:rPr>
        <w:t xml:space="preserve">), periférna flebografia, CT mozgu a tela, kavernózografia, intravenózna DSA, konvenčná angiografia,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</w:t>
      </w:r>
      <w:r w:rsidRPr="00113579">
        <w:rPr>
          <w:szCs w:val="22"/>
          <w:lang w:bidi="ar-DZ"/>
        </w:rPr>
        <w:t>, konvenčná selektívna koronárna artériografia, intervenčná koronárna artériografia, ERCP, artrografia, hysterosalpi</w:t>
      </w:r>
      <w:r w:rsidRPr="00F50FCA">
        <w:rPr>
          <w:szCs w:val="22"/>
          <w:lang w:bidi="ar-DZ"/>
        </w:rPr>
        <w:t>ngografia, fistulografia, diskografia, galaktografia, cholangiografia, dakryocystografia, sialografia, retrográdna uretrografia, retrográdna pyelouretrografia, myelografia.</w:t>
      </w:r>
    </w:p>
    <w:p w14:paraId="5C389647" w14:textId="77777777" w:rsidR="00F44936" w:rsidRPr="00726429" w:rsidRDefault="00F44936" w:rsidP="001E54B3">
      <w:pPr>
        <w:ind w:right="-852"/>
        <w:rPr>
          <w:i/>
          <w:szCs w:val="22"/>
          <w:lang w:bidi="ar-DZ"/>
        </w:rPr>
      </w:pPr>
    </w:p>
    <w:p w14:paraId="01E9F9EA" w14:textId="77777777" w:rsidR="00F44936" w:rsidRPr="00726429" w:rsidRDefault="00F44936" w:rsidP="004B4C2E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350</w:t>
      </w:r>
    </w:p>
    <w:p w14:paraId="08252A80" w14:textId="77777777" w:rsidR="00F44936" w:rsidRPr="00726429" w:rsidRDefault="00F44936" w:rsidP="004B4C2E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CT tela, intravenózna DSA, konvenčná angiografia,</w:t>
      </w:r>
      <w:r w:rsidR="00A44BD6" w:rsidRPr="00113579">
        <w:rPr>
          <w:szCs w:val="22"/>
          <w:lang w:bidi="ar-DZ"/>
        </w:rPr>
        <w:t xml:space="preserve"> intraarteriálna</w:t>
      </w:r>
      <w:r w:rsidRPr="00113579">
        <w:rPr>
          <w:szCs w:val="22"/>
          <w:lang w:bidi="ar-DZ"/>
        </w:rPr>
        <w:t xml:space="preserve"> DSA, angiokardiografia </w:t>
      </w:r>
      <w:r w:rsidR="00AB6471" w:rsidRPr="00F50FCA">
        <w:rPr>
          <w:szCs w:val="22"/>
          <w:lang w:bidi="ar-DZ"/>
        </w:rPr>
        <w:t>(</w:t>
      </w:r>
      <w:r w:rsidRPr="00F50FCA">
        <w:rPr>
          <w:szCs w:val="22"/>
          <w:lang w:bidi="ar-DZ"/>
        </w:rPr>
        <w:t xml:space="preserve">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konvenčná selektívna koronárna artériografia, intervenčná koro</w:t>
      </w:r>
      <w:r w:rsidR="00871463" w:rsidRPr="00F50FCA">
        <w:rPr>
          <w:szCs w:val="22"/>
          <w:lang w:bidi="ar-DZ"/>
        </w:rPr>
        <w:t>nárna artériografia</w:t>
      </w:r>
      <w:r w:rsidRPr="00F50FCA">
        <w:rPr>
          <w:szCs w:val="22"/>
          <w:lang w:bidi="ar-DZ"/>
        </w:rPr>
        <w:t>, artrografia, hysterosalpingografia, fi</w:t>
      </w:r>
      <w:r w:rsidRPr="00726429">
        <w:rPr>
          <w:szCs w:val="22"/>
          <w:lang w:bidi="ar-DZ"/>
        </w:rPr>
        <w:t>stulografia, galaktografia, retrográdna cholangiografia, dakryocystografia, sialografia.</w:t>
      </w:r>
    </w:p>
    <w:p w14:paraId="14DC3597" w14:textId="77777777" w:rsidR="00F44936" w:rsidRPr="00726429" w:rsidRDefault="00F44936" w:rsidP="001E54B3">
      <w:pPr>
        <w:ind w:left="0" w:right="-852" w:firstLine="0"/>
        <w:rPr>
          <w:i/>
          <w:szCs w:val="22"/>
        </w:rPr>
      </w:pPr>
    </w:p>
    <w:p w14:paraId="5F009818" w14:textId="77777777" w:rsidR="00F44936" w:rsidRPr="00726429" w:rsidRDefault="00F44936" w:rsidP="004B4C2E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IOMERON 400</w:t>
      </w:r>
    </w:p>
    <w:p w14:paraId="34D7AECB" w14:textId="77777777" w:rsidR="00F44936" w:rsidRPr="00113579" w:rsidRDefault="00F44936" w:rsidP="004B4C2E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Intravenózna urografia (u dospelých, vrátane pacientov s poškodením obličiek alebo s diabetes mellitus), CT tela, konvenčná angiografia, </w:t>
      </w:r>
      <w:r w:rsidR="00A44BD6" w:rsidRPr="00726429">
        <w:rPr>
          <w:szCs w:val="22"/>
          <w:lang w:bidi="ar-DZ"/>
        </w:rPr>
        <w:t>intraarteriálna</w:t>
      </w:r>
      <w:r w:rsidRPr="00726429">
        <w:rPr>
          <w:szCs w:val="22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</w:rPr>
        <w:t>, konvenčná selektívna koronárna artériografia, intervenčná koronárna artériografia, fistulografia, galaktografia, dakryocystografia, sialografia.</w:t>
      </w:r>
    </w:p>
    <w:p w14:paraId="51596A47" w14:textId="77777777" w:rsidR="00F44936" w:rsidRPr="00F50FCA" w:rsidRDefault="00F44936" w:rsidP="001E54B3">
      <w:pPr>
        <w:ind w:right="-852"/>
        <w:rPr>
          <w:szCs w:val="22"/>
        </w:rPr>
      </w:pPr>
    </w:p>
    <w:p w14:paraId="6E4EF909" w14:textId="77777777" w:rsidR="00F44936" w:rsidRPr="00726429" w:rsidRDefault="00F44936" w:rsidP="001E54B3">
      <w:pPr>
        <w:ind w:right="-1"/>
        <w:rPr>
          <w:szCs w:val="22"/>
        </w:rPr>
      </w:pPr>
      <w:r w:rsidRPr="00726429">
        <w:rPr>
          <w:i/>
          <w:szCs w:val="22"/>
        </w:rPr>
        <w:t xml:space="preserve">CT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počítačová (computerová) tomografia</w:t>
      </w:r>
    </w:p>
    <w:p w14:paraId="66B4C6E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>DSA</w:t>
      </w:r>
      <w:r w:rsidRPr="00726429">
        <w:rPr>
          <w:szCs w:val="22"/>
        </w:rPr>
        <w:t xml:space="preserve"> -</w:t>
      </w:r>
      <w:r w:rsidRPr="00726429">
        <w:rPr>
          <w:i/>
          <w:szCs w:val="22"/>
        </w:rPr>
        <w:t xml:space="preserve"> digitálna subtrakčná angiografia</w:t>
      </w:r>
    </w:p>
    <w:p w14:paraId="403F76D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 xml:space="preserve">ERCP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endoskopická retrográdna cholangiopankreatikografia</w:t>
      </w:r>
    </w:p>
    <w:p w14:paraId="5DBEF7A9" w14:textId="77777777" w:rsidR="00F44936" w:rsidRPr="00113579" w:rsidRDefault="00F44936" w:rsidP="00A61B11">
      <w:pPr>
        <w:ind w:right="-852"/>
        <w:rPr>
          <w:szCs w:val="22"/>
        </w:rPr>
      </w:pPr>
    </w:p>
    <w:p w14:paraId="022FFB45" w14:textId="77777777" w:rsidR="00311E93" w:rsidRPr="00F50FCA" w:rsidRDefault="00311E93" w:rsidP="00A61B11">
      <w:pPr>
        <w:outlineLvl w:val="0"/>
        <w:rPr>
          <w:b/>
          <w:szCs w:val="22"/>
        </w:rPr>
      </w:pPr>
      <w:r w:rsidRPr="00F50FCA">
        <w:rPr>
          <w:b/>
          <w:szCs w:val="22"/>
        </w:rPr>
        <w:t>4.2</w:t>
      </w:r>
      <w:r w:rsidRPr="00F50FCA">
        <w:rPr>
          <w:b/>
          <w:szCs w:val="22"/>
        </w:rPr>
        <w:tab/>
        <w:t>Dávkovanie a spôsob podávania</w:t>
      </w:r>
    </w:p>
    <w:p w14:paraId="05C736A0" w14:textId="77777777" w:rsidR="00780926" w:rsidRPr="00726429" w:rsidRDefault="00780926" w:rsidP="00A61B11">
      <w:pPr>
        <w:rPr>
          <w:szCs w:val="22"/>
        </w:rPr>
      </w:pPr>
    </w:p>
    <w:p w14:paraId="46874037" w14:textId="77777777" w:rsidR="00E1698A" w:rsidRPr="00726429" w:rsidRDefault="00E1698A" w:rsidP="006125FA">
      <w:pPr>
        <w:rPr>
          <w:szCs w:val="22"/>
          <w:u w:val="single"/>
        </w:rPr>
      </w:pPr>
      <w:r w:rsidRPr="00726429">
        <w:rPr>
          <w:szCs w:val="22"/>
          <w:u w:val="single"/>
        </w:rPr>
        <w:t>Dávkovanie</w:t>
      </w:r>
    </w:p>
    <w:p w14:paraId="4DB74F45" w14:textId="77777777" w:rsidR="00E1698A" w:rsidRPr="00726429" w:rsidRDefault="00E1698A" w:rsidP="006125FA">
      <w:pPr>
        <w:rPr>
          <w:szCs w:val="22"/>
          <w:u w:val="single"/>
        </w:rPr>
      </w:pPr>
    </w:p>
    <w:p w14:paraId="0C68D7B2" w14:textId="77777777" w:rsidR="008D2D84" w:rsidRPr="00726429" w:rsidRDefault="00504F13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 xml:space="preserve">Dávkovanie a rýchlosť podania môžu byť veľmi rozdielne v závislosti od </w:t>
      </w:r>
      <w:r w:rsidR="0006604F" w:rsidRPr="00726429">
        <w:rPr>
          <w:bCs/>
          <w:szCs w:val="22"/>
        </w:rPr>
        <w:t>faktorov ako je vek, veľkosť tela,</w:t>
      </w:r>
      <w:r w:rsidR="000A30B2" w:rsidRPr="00726429">
        <w:rPr>
          <w:bCs/>
          <w:szCs w:val="22"/>
        </w:rPr>
        <w:t xml:space="preserve"> prietok krvi, predpokladaná patológia, stupeň a rozsah požadovaného zvýraznenia, štruktúr</w:t>
      </w:r>
      <w:r w:rsidR="000C5A2B">
        <w:rPr>
          <w:bCs/>
          <w:szCs w:val="22"/>
        </w:rPr>
        <w:t>a</w:t>
      </w:r>
      <w:r w:rsidR="000A30B2" w:rsidRPr="00726429">
        <w:rPr>
          <w:bCs/>
          <w:szCs w:val="22"/>
        </w:rPr>
        <w:t xml:space="preserve"> alebo oblas</w:t>
      </w:r>
      <w:r w:rsidR="000C5A2B">
        <w:rPr>
          <w:bCs/>
          <w:szCs w:val="22"/>
        </w:rPr>
        <w:t>ť</w:t>
      </w:r>
      <w:r w:rsidR="000A30B2" w:rsidRPr="00726429">
        <w:rPr>
          <w:bCs/>
          <w:szCs w:val="22"/>
        </w:rPr>
        <w:t>, ktoré majú byť skúmané</w:t>
      </w:r>
      <w:r w:rsidR="00CC5EFE" w:rsidRPr="00726429">
        <w:rPr>
          <w:bCs/>
          <w:szCs w:val="22"/>
        </w:rPr>
        <w:t xml:space="preserve"> v procese ochorenia, ktoré postihuj</w:t>
      </w:r>
      <w:r w:rsidR="000C5A2B">
        <w:rPr>
          <w:bCs/>
          <w:szCs w:val="22"/>
        </w:rPr>
        <w:t>e</w:t>
      </w:r>
      <w:r w:rsidR="00CC5EFE" w:rsidRPr="00726429">
        <w:rPr>
          <w:bCs/>
          <w:szCs w:val="22"/>
        </w:rPr>
        <w:t xml:space="preserve"> pacienta. </w:t>
      </w:r>
      <w:r w:rsidR="00380178" w:rsidRPr="00726429">
        <w:rPr>
          <w:bCs/>
          <w:szCs w:val="22"/>
        </w:rPr>
        <w:t>Väčšina dávok uvedených v nasledujúcej tabuľke predstavujú bežné dávky</w:t>
      </w:r>
      <w:r w:rsidR="000C5A2B">
        <w:rPr>
          <w:bCs/>
          <w:szCs w:val="22"/>
        </w:rPr>
        <w:t>,</w:t>
      </w:r>
      <w:r w:rsidR="00380178" w:rsidRPr="00726429">
        <w:rPr>
          <w:bCs/>
          <w:szCs w:val="22"/>
        </w:rPr>
        <w:t xml:space="preserve"> </w:t>
      </w:r>
      <w:r w:rsidR="000C5A2B">
        <w:rPr>
          <w:bCs/>
          <w:szCs w:val="22"/>
        </w:rPr>
        <w:t>a</w:t>
      </w:r>
      <w:r w:rsidR="00380178" w:rsidRPr="00726429">
        <w:rPr>
          <w:bCs/>
          <w:szCs w:val="22"/>
        </w:rPr>
        <w:t xml:space="preserve">však, je potrebné zvážiť, </w:t>
      </w:r>
      <w:r w:rsidR="0075159A" w:rsidRPr="00726429">
        <w:rPr>
          <w:bCs/>
          <w:szCs w:val="22"/>
        </w:rPr>
        <w:t>maximálne dávkovanie</w:t>
      </w:r>
      <w:r w:rsidR="008D2D84" w:rsidRPr="00726429">
        <w:rPr>
          <w:bCs/>
          <w:szCs w:val="22"/>
        </w:rPr>
        <w:t xml:space="preserve"> na konci tabuľky.</w:t>
      </w:r>
    </w:p>
    <w:p w14:paraId="2D278209" w14:textId="77777777" w:rsidR="008D2D84" w:rsidRPr="00726429" w:rsidRDefault="008D2D84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>Odporúčané dávkovanie u dospelých je založené na dospelom s hmotnosťou 70 kg. Dávky sú uvedené pre jednotlivé injekcie alebo na kilogram (kg) telesnej hmotnosti (BW).</w:t>
      </w:r>
    </w:p>
    <w:p w14:paraId="5FB459DA" w14:textId="77777777" w:rsidR="00504F13" w:rsidRPr="00726429" w:rsidRDefault="00504F13" w:rsidP="0050414B">
      <w:pPr>
        <w:ind w:left="0" w:right="-852" w:firstLine="0"/>
        <w:rPr>
          <w:b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504F13" w:rsidRPr="00726429" w14:paraId="7B15F22C" w14:textId="77777777" w:rsidTr="002B1574">
        <w:trPr>
          <w:cantSplit/>
        </w:trPr>
        <w:tc>
          <w:tcPr>
            <w:tcW w:w="2412" w:type="dxa"/>
          </w:tcPr>
          <w:p w14:paraId="24E7DE1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Indikácia </w:t>
            </w:r>
          </w:p>
        </w:tc>
        <w:tc>
          <w:tcPr>
            <w:tcW w:w="2101" w:type="dxa"/>
            <w:gridSpan w:val="2"/>
          </w:tcPr>
          <w:p w14:paraId="6E3F95F5" w14:textId="77777777" w:rsidR="006E0C37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IOMERON</w:t>
            </w:r>
          </w:p>
          <w:p w14:paraId="1868B90A" w14:textId="77777777" w:rsidR="00504F13" w:rsidRPr="00726429" w:rsidRDefault="006E0C37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Koncentrácia 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mg 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(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jódu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)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/ml</w:t>
            </w:r>
          </w:p>
        </w:tc>
        <w:tc>
          <w:tcPr>
            <w:tcW w:w="5126" w:type="dxa"/>
            <w:gridSpan w:val="3"/>
          </w:tcPr>
          <w:p w14:paraId="048F70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Odporúčaná dávka</w:t>
            </w:r>
          </w:p>
          <w:p w14:paraId="0DE73CD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7C17180" w14:textId="77777777" w:rsidTr="002B1574">
        <w:tc>
          <w:tcPr>
            <w:tcW w:w="2412" w:type="dxa"/>
          </w:tcPr>
          <w:p w14:paraId="13F87BA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urografia</w:t>
            </w:r>
          </w:p>
        </w:tc>
        <w:tc>
          <w:tcPr>
            <w:tcW w:w="2101" w:type="dxa"/>
            <w:gridSpan w:val="2"/>
          </w:tcPr>
          <w:p w14:paraId="3EAD2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13F2381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Dospelí: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50 - 150 ml</w:t>
            </w:r>
          </w:p>
          <w:p w14:paraId="4E5E04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Novorodenci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e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3 - 4,8 ml/kg</w:t>
            </w:r>
          </w:p>
          <w:p w14:paraId="07EEB6C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Dojčatá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(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1 rok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)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f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: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2,5 - 4 ml/kg</w:t>
            </w:r>
          </w:p>
          <w:p w14:paraId="6BE6FE94" w14:textId="77777777" w:rsidR="00504F13" w:rsidRPr="00F50FCA" w:rsidRDefault="009C4216" w:rsidP="009C4216">
            <w:pPr>
              <w:pStyle w:val="Obyajntext"/>
              <w:ind w:right="-322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DA58FC" w:rsidRPr="00DA58FC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 xml:space="preserve">a, 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11357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1 - 2,5 ml/kg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504F13" w:rsidRPr="00726429" w14:paraId="33C7A67A" w14:textId="77777777" w:rsidTr="002B1574">
        <w:trPr>
          <w:trHeight w:val="789"/>
        </w:trPr>
        <w:tc>
          <w:tcPr>
            <w:tcW w:w="2412" w:type="dxa"/>
          </w:tcPr>
          <w:p w14:paraId="732BE72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Infúzna urografia</w:t>
            </w:r>
          </w:p>
        </w:tc>
        <w:tc>
          <w:tcPr>
            <w:tcW w:w="2101" w:type="dxa"/>
            <w:gridSpan w:val="2"/>
          </w:tcPr>
          <w:p w14:paraId="7650CBF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  <w:p w14:paraId="14ACBC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41CF6136" w14:textId="77777777" w:rsidR="0051563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250 ml</w:t>
            </w:r>
          </w:p>
          <w:p w14:paraId="4BD13413" w14:textId="77777777" w:rsidR="00504F13" w:rsidRPr="00113579" w:rsidRDefault="009C4216" w:rsidP="009C4216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2B650F" w:rsidRPr="00726429">
              <w:rPr>
                <w:szCs w:val="22"/>
                <w:vertAlign w:val="superscript"/>
              </w:rPr>
              <w:t>a</w:t>
            </w:r>
            <w:r w:rsidR="002B650F" w:rsidRPr="00113579">
              <w:rPr>
                <w:szCs w:val="22"/>
                <w:vertAlign w:val="superscript"/>
              </w:rPr>
              <w:t>,g</w:t>
            </w:r>
          </w:p>
        </w:tc>
      </w:tr>
      <w:tr w:rsidR="00504F13" w:rsidRPr="00726429" w14:paraId="5947F225" w14:textId="77777777" w:rsidTr="002B1574">
        <w:tc>
          <w:tcPr>
            <w:tcW w:w="2412" w:type="dxa"/>
          </w:tcPr>
          <w:p w14:paraId="0D4A6D8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Periférna flebografia</w:t>
            </w:r>
          </w:p>
          <w:p w14:paraId="7B590B1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220B67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200, 250,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  <w:p w14:paraId="2A9D7D7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76E2ACFE" w14:textId="77777777" w:rsidR="0051563F" w:rsidRPr="00726429" w:rsidRDefault="00504F13" w:rsidP="001E54B3">
            <w:pPr>
              <w:tabs>
                <w:tab w:val="left" w:pos="1087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31322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31322" w:rsidRPr="00726429">
              <w:rPr>
                <w:szCs w:val="22"/>
                <w:vertAlign w:val="superscript"/>
              </w:rPr>
              <w:t>b</w:t>
            </w:r>
          </w:p>
          <w:p w14:paraId="71139504" w14:textId="77777777" w:rsidR="00431322" w:rsidRPr="00726429" w:rsidRDefault="00431322" w:rsidP="001E54B3">
            <w:pPr>
              <w:tabs>
                <w:tab w:val="left" w:pos="113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1748A754" w14:textId="77777777" w:rsidR="00504F13" w:rsidRPr="00726429" w:rsidRDefault="00431322" w:rsidP="001E54B3">
            <w:pPr>
              <w:tabs>
                <w:tab w:val="left" w:pos="1133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="0051563F"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70B69D91" w14:textId="77777777" w:rsidTr="002B1574">
        <w:tc>
          <w:tcPr>
            <w:tcW w:w="2412" w:type="dxa"/>
          </w:tcPr>
          <w:p w14:paraId="38214ADC" w14:textId="77777777" w:rsidR="00504F13" w:rsidRPr="00113579" w:rsidRDefault="002B370B" w:rsidP="002B370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0414B">
              <w:rPr>
                <w:rFonts w:ascii="Times New Roman" w:hAnsi="Times New Roman"/>
                <w:b/>
                <w:sz w:val="22"/>
                <w:szCs w:val="22"/>
                <w:lang w:val="sk-SK" w:bidi="ar-DZ"/>
              </w:rPr>
              <w:t>Digitálna subtrakčná</w:t>
            </w:r>
            <w:r w:rsidR="00504F13"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flebografia</w:t>
            </w:r>
          </w:p>
        </w:tc>
        <w:tc>
          <w:tcPr>
            <w:tcW w:w="2101" w:type="dxa"/>
            <w:gridSpan w:val="2"/>
          </w:tcPr>
          <w:p w14:paraId="7041B67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50FCA">
              <w:rPr>
                <w:rFonts w:ascii="Times New Roman" w:hAnsi="Times New Roman"/>
                <w:sz w:val="22"/>
                <w:szCs w:val="22"/>
                <w:lang w:val="sk-SK"/>
              </w:rPr>
              <w:t>150, 200</w:t>
            </w:r>
          </w:p>
          <w:p w14:paraId="24018CD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6A858C31" w14:textId="77777777" w:rsidR="0051563F" w:rsidRPr="00726429" w:rsidRDefault="00504F13" w:rsidP="001E54B3">
            <w:pPr>
              <w:tabs>
                <w:tab w:val="left" w:pos="1153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953F9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953F9" w:rsidRPr="00726429">
              <w:rPr>
                <w:szCs w:val="22"/>
                <w:vertAlign w:val="superscript"/>
              </w:rPr>
              <w:t>b</w:t>
            </w:r>
          </w:p>
          <w:p w14:paraId="20601D74" w14:textId="77777777" w:rsidR="004953F9" w:rsidRPr="00726429" w:rsidRDefault="004953F9" w:rsidP="001E54B3">
            <w:pPr>
              <w:tabs>
                <w:tab w:val="left" w:pos="120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="003D605C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2256A2F7" w14:textId="77777777" w:rsidR="00504F13" w:rsidRPr="00726429" w:rsidRDefault="004953F9" w:rsidP="001E54B3">
            <w:pPr>
              <w:tabs>
                <w:tab w:val="left" w:pos="1229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1F0092DD" w14:textId="77777777" w:rsidTr="002B1574">
        <w:trPr>
          <w:cantSplit/>
        </w:trPr>
        <w:tc>
          <w:tcPr>
            <w:tcW w:w="2412" w:type="dxa"/>
          </w:tcPr>
          <w:p w14:paraId="28C7BA9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CT </w:t>
            </w:r>
            <w:r w:rsidR="002160F9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hlavy</w:t>
            </w:r>
          </w:p>
          <w:p w14:paraId="114DF08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76110AF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  <w:r w:rsidR="00391368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, 350, 400</w:t>
            </w:r>
          </w:p>
          <w:p w14:paraId="06DE67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1D3EBEEA" w14:textId="77777777" w:rsidR="00504F13" w:rsidRPr="00726429" w:rsidRDefault="00504F13" w:rsidP="001E54B3">
            <w:pPr>
              <w:tabs>
                <w:tab w:val="left" w:pos="1143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3D605C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50 - 200 ml</w:t>
            </w:r>
          </w:p>
          <w:p w14:paraId="0B2ED726" w14:textId="77777777" w:rsidR="00504F13" w:rsidRPr="00113579" w:rsidRDefault="002B370B" w:rsidP="00CB143F">
            <w:pPr>
              <w:rPr>
                <w:b/>
                <w:szCs w:val="22"/>
              </w:rPr>
            </w:pPr>
            <w:r w:rsidRPr="00726429">
              <w:rPr>
                <w:i/>
                <w:iCs/>
                <w:szCs w:val="22"/>
              </w:rPr>
              <w:t>Pediatrická populácia</w:t>
            </w:r>
            <w:r w:rsidR="003D605C" w:rsidRPr="00726429">
              <w:rPr>
                <w:i/>
                <w:iCs/>
                <w:szCs w:val="22"/>
              </w:rPr>
              <w:t>i</w:t>
            </w:r>
            <w:r w:rsidR="003D605C" w:rsidRPr="00113579">
              <w:rPr>
                <w:szCs w:val="22"/>
                <w:vertAlign w:val="superscript"/>
              </w:rPr>
              <w:t>a,g</w:t>
            </w:r>
            <w:r w:rsidR="00504F1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4E2EEFAD" w14:textId="77777777" w:rsidTr="002B1574">
        <w:trPr>
          <w:cantSplit/>
        </w:trPr>
        <w:tc>
          <w:tcPr>
            <w:tcW w:w="2412" w:type="dxa"/>
          </w:tcPr>
          <w:p w14:paraId="740EFB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CT tela</w:t>
            </w:r>
          </w:p>
          <w:p w14:paraId="7DDD024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2ADAF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7C2D84EF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51B237" w14:textId="77777777" w:rsidR="00504F13" w:rsidRPr="00726429" w:rsidRDefault="002B370B" w:rsidP="0050414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a,g</w:t>
            </w:r>
            <w:r w:rsidR="00B273E3" w:rsidRPr="00726429">
              <w:rPr>
                <w:szCs w:val="22"/>
              </w:rPr>
              <w:t xml:space="preserve"> </w:t>
            </w:r>
          </w:p>
        </w:tc>
      </w:tr>
      <w:tr w:rsidR="00504F13" w:rsidRPr="00726429" w14:paraId="7390F6E9" w14:textId="77777777" w:rsidTr="002B1574">
        <w:tc>
          <w:tcPr>
            <w:tcW w:w="2412" w:type="dxa"/>
          </w:tcPr>
          <w:p w14:paraId="79AD97E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Kavernózografia</w:t>
            </w:r>
          </w:p>
        </w:tc>
        <w:tc>
          <w:tcPr>
            <w:tcW w:w="2125" w:type="dxa"/>
            <w:gridSpan w:val="3"/>
          </w:tcPr>
          <w:p w14:paraId="13A8C9B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4D4F3AD6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do 100 ml</w:t>
            </w:r>
          </w:p>
        </w:tc>
      </w:tr>
      <w:tr w:rsidR="00504F13" w:rsidRPr="00726429" w14:paraId="28C5D348" w14:textId="77777777" w:rsidTr="002B1574">
        <w:tc>
          <w:tcPr>
            <w:tcW w:w="2412" w:type="dxa"/>
          </w:tcPr>
          <w:p w14:paraId="1B5D3A5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DSA</w:t>
            </w:r>
          </w:p>
          <w:p w14:paraId="6292D7A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3668955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  <w:p w14:paraId="6535D26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CD53179" w14:textId="77777777" w:rsidR="00504F13" w:rsidRDefault="00504F13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8C5F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10 - 60 ml do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D7E56A" w14:textId="77777777" w:rsidR="006D2C8C" w:rsidRPr="006D2C8C" w:rsidRDefault="006D2C8C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periférna žila, horná dutá žila, prav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predsie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ň</w:t>
            </w:r>
            <w:r w:rsidRPr="002B157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30-50 ml (hneď po podaní sa má podať 20-40 ml izotonického roztoku)</w:t>
            </w:r>
          </w:p>
          <w:p w14:paraId="6A891A60" w14:textId="77777777" w:rsidR="00504F13" w:rsidRPr="00113579" w:rsidRDefault="002B370B" w:rsidP="002B370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</w:t>
            </w:r>
            <w:r w:rsidR="003D605C" w:rsidRPr="00113579">
              <w:rPr>
                <w:szCs w:val="22"/>
                <w:vertAlign w:val="superscript"/>
              </w:rPr>
              <w:t>,g</w:t>
            </w:r>
            <w:r w:rsidR="00B273E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6ECAB033" w14:textId="77777777" w:rsidTr="002B1574">
        <w:trPr>
          <w:trHeight w:val="232"/>
        </w:trPr>
        <w:tc>
          <w:tcPr>
            <w:tcW w:w="9639" w:type="dxa"/>
            <w:gridSpan w:val="6"/>
          </w:tcPr>
          <w:p w14:paraId="4847350B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iCs/>
                <w:sz w:val="22"/>
                <w:szCs w:val="22"/>
                <w:lang w:val="sk-SK"/>
              </w:rPr>
              <w:t>Konvenčná angiografia</w:t>
            </w:r>
          </w:p>
        </w:tc>
      </w:tr>
      <w:tr w:rsidR="00504F13" w:rsidRPr="00726429" w14:paraId="61BCE7A7" w14:textId="77777777" w:rsidTr="002B1574">
        <w:tc>
          <w:tcPr>
            <w:tcW w:w="3685" w:type="dxa"/>
            <w:gridSpan w:val="2"/>
          </w:tcPr>
          <w:p w14:paraId="70D6801F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>Artériografia horných končatín</w:t>
            </w:r>
          </w:p>
        </w:tc>
        <w:tc>
          <w:tcPr>
            <w:tcW w:w="1701" w:type="dxa"/>
            <w:gridSpan w:val="3"/>
          </w:tcPr>
          <w:p w14:paraId="6FFE1F2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02FEA2D8" w14:textId="77777777" w:rsidR="00504F13" w:rsidRP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5 – 15 ml</w:t>
            </w:r>
          </w:p>
          <w:p w14:paraId="7DB9F36F" w14:textId="77777777" w:rsidR="00504F13" w:rsidRPr="00BE2282" w:rsidRDefault="00BE2282" w:rsidP="001A3FE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BE228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subklaviálne podanie do ramennej 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artérie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  <w:tr w:rsidR="00504F13" w:rsidRPr="00726429" w14:paraId="7D07E01F" w14:textId="77777777" w:rsidTr="002B1574">
        <w:tc>
          <w:tcPr>
            <w:tcW w:w="3685" w:type="dxa"/>
            <w:gridSpan w:val="2"/>
          </w:tcPr>
          <w:p w14:paraId="270FEC07" w14:textId="77777777" w:rsidR="00504F13" w:rsidRPr="00726429" w:rsidRDefault="000B17B6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Art</w:t>
            </w:r>
            <w:r w:rsidR="0051563F" w:rsidRPr="00726429">
              <w:rPr>
                <w:szCs w:val="22"/>
              </w:rPr>
              <w:t>é</w:t>
            </w:r>
            <w:r w:rsidRPr="00726429">
              <w:rPr>
                <w:szCs w:val="22"/>
              </w:rPr>
              <w:t xml:space="preserve">riografia </w:t>
            </w:r>
            <w:r w:rsidR="0051563F" w:rsidRPr="00726429">
              <w:rPr>
                <w:szCs w:val="22"/>
              </w:rPr>
              <w:t>panvy a </w:t>
            </w:r>
            <w:r w:rsidRPr="00726429">
              <w:rPr>
                <w:szCs w:val="22"/>
              </w:rPr>
              <w:t>dolných končatín</w:t>
            </w:r>
          </w:p>
        </w:tc>
        <w:tc>
          <w:tcPr>
            <w:tcW w:w="1701" w:type="dxa"/>
            <w:gridSpan w:val="3"/>
          </w:tcPr>
          <w:p w14:paraId="28DE93C6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7DD7D47D" w14:textId="77777777" w:rsid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10 – 90 ml</w:t>
            </w:r>
          </w:p>
          <w:p w14:paraId="5BFFBD23" w14:textId="77777777" w:rsidR="00504F13" w:rsidRPr="00726429" w:rsidRDefault="008C5F3F" w:rsidP="008C5F3F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stehenná artéria 5 – 20 ml</w:t>
            </w:r>
          </w:p>
        </w:tc>
      </w:tr>
      <w:tr w:rsidR="00504F13" w:rsidRPr="00726429" w14:paraId="61D10C8D" w14:textId="77777777" w:rsidTr="002B1574">
        <w:tc>
          <w:tcPr>
            <w:tcW w:w="3685" w:type="dxa"/>
            <w:gridSpan w:val="2"/>
          </w:tcPr>
          <w:p w14:paraId="322E017E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Abdominálna artériografia</w:t>
            </w:r>
          </w:p>
        </w:tc>
        <w:tc>
          <w:tcPr>
            <w:tcW w:w="1701" w:type="dxa"/>
            <w:gridSpan w:val="3"/>
          </w:tcPr>
          <w:p w14:paraId="29FC1EE8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483A85D8" w14:textId="77777777" w:rsidR="00504F1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 xml:space="preserve"> : 5 – 60 ml</w:t>
            </w:r>
          </w:p>
          <w:p w14:paraId="082D87F6" w14:textId="77777777" w:rsidR="006C077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selektívna</w:t>
            </w:r>
            <w:r w:rsidR="006C0773">
              <w:rPr>
                <w:szCs w:val="22"/>
              </w:rPr>
              <w:t xml:space="preserve"> artériografia (truncus coeliacus)</w:t>
            </w:r>
            <w:r>
              <w:rPr>
                <w:szCs w:val="22"/>
              </w:rPr>
              <w:t>:</w:t>
            </w:r>
          </w:p>
          <w:p w14:paraId="55C5AFB3" w14:textId="77777777" w:rsidR="002D1BA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D1BA3">
              <w:rPr>
                <w:szCs w:val="22"/>
              </w:rPr>
              <w:t>15 – 30 ml</w:t>
            </w:r>
          </w:p>
          <w:p w14:paraId="1BF23CDF" w14:textId="77777777" w:rsidR="006C0773" w:rsidRDefault="006C0773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mezenterické artérie: 20 ml</w:t>
            </w:r>
          </w:p>
          <w:p w14:paraId="3715FE7F" w14:textId="77777777" w:rsidR="00504F13" w:rsidRPr="00726429" w:rsidRDefault="006C0773" w:rsidP="006C077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renálne artérie: 15 ml </w:t>
            </w:r>
          </w:p>
        </w:tc>
      </w:tr>
      <w:tr w:rsidR="00504F13" w:rsidRPr="00726429" w14:paraId="2911E7B2" w14:textId="77777777" w:rsidTr="002B1574">
        <w:tc>
          <w:tcPr>
            <w:tcW w:w="3685" w:type="dxa"/>
            <w:gridSpan w:val="2"/>
          </w:tcPr>
          <w:p w14:paraId="2BDB62D4" w14:textId="77777777" w:rsidR="00504F13" w:rsidRPr="00726429" w:rsidRDefault="004F3C82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Aortografia</w:t>
            </w:r>
          </w:p>
        </w:tc>
        <w:tc>
          <w:tcPr>
            <w:tcW w:w="1701" w:type="dxa"/>
            <w:gridSpan w:val="3"/>
          </w:tcPr>
          <w:p w14:paraId="1A6B1E2F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</w:t>
            </w:r>
          </w:p>
        </w:tc>
        <w:tc>
          <w:tcPr>
            <w:tcW w:w="4253" w:type="dxa"/>
          </w:tcPr>
          <w:p w14:paraId="1A71A946" w14:textId="77777777" w:rsidR="006C077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6C0773">
              <w:rPr>
                <w:szCs w:val="22"/>
              </w:rPr>
              <w:t xml:space="preserve">: 50 – 80 ml </w:t>
            </w:r>
          </w:p>
          <w:p w14:paraId="15779EC0" w14:textId="77777777" w:rsidR="00504F13" w:rsidRPr="006C0773" w:rsidRDefault="004F3C82" w:rsidP="004F3C82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72BED" w:rsidRPr="004F3C82">
              <w:rPr>
                <w:szCs w:val="22"/>
              </w:rPr>
              <w:t>escendentná aorta</w:t>
            </w:r>
            <w:r w:rsidR="006C0773">
              <w:rPr>
                <w:szCs w:val="22"/>
              </w:rPr>
              <w:t>: 20 – 50 ml</w:t>
            </w:r>
            <w:r w:rsidRPr="00726429">
              <w:rPr>
                <w:szCs w:val="22"/>
                <w:vertAlign w:val="superscript"/>
              </w:rPr>
              <w:t>b</w:t>
            </w:r>
          </w:p>
        </w:tc>
      </w:tr>
      <w:tr w:rsidR="00504F13" w:rsidRPr="00726429" w14:paraId="39FAF3BF" w14:textId="77777777" w:rsidTr="002B1574">
        <w:tc>
          <w:tcPr>
            <w:tcW w:w="3685" w:type="dxa"/>
            <w:gridSpan w:val="2"/>
          </w:tcPr>
          <w:p w14:paraId="2EF2572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205610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43694EA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170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</w:p>
        </w:tc>
      </w:tr>
      <w:tr w:rsidR="00504F13" w:rsidRPr="00726429" w14:paraId="38D246CC" w14:textId="77777777" w:rsidTr="002B1574">
        <w:trPr>
          <w:trHeight w:val="268"/>
        </w:trPr>
        <w:tc>
          <w:tcPr>
            <w:tcW w:w="3685" w:type="dxa"/>
            <w:gridSpan w:val="2"/>
          </w:tcPr>
          <w:p w14:paraId="6B65BE2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393BC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4535B7A0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A0736C">
              <w:rPr>
                <w:szCs w:val="22"/>
              </w:rPr>
              <w:t xml:space="preserve">5 – 15 ml na artériu, </w:t>
            </w:r>
            <w:r w:rsidRPr="00726429">
              <w:rPr>
                <w:szCs w:val="22"/>
              </w:rPr>
              <w:t>do 100</w:t>
            </w:r>
            <w:r w:rsidR="00AF432F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ml</w:t>
            </w:r>
          </w:p>
        </w:tc>
      </w:tr>
      <w:tr w:rsidR="00504F13" w:rsidRPr="00726429" w14:paraId="51B07421" w14:textId="77777777" w:rsidTr="002B1574">
        <w:tc>
          <w:tcPr>
            <w:tcW w:w="3685" w:type="dxa"/>
            <w:gridSpan w:val="2"/>
          </w:tcPr>
          <w:p w14:paraId="75F2D97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Artériografia u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detí</w:t>
            </w:r>
          </w:p>
        </w:tc>
        <w:tc>
          <w:tcPr>
            <w:tcW w:w="1701" w:type="dxa"/>
            <w:gridSpan w:val="3"/>
          </w:tcPr>
          <w:p w14:paraId="008ED1B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4253" w:type="dxa"/>
          </w:tcPr>
          <w:p w14:paraId="02109854" w14:textId="77777777" w:rsidR="00504F13" w:rsidRPr="00726429" w:rsidRDefault="00DA58FC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Pr="00DA58FC">
              <w:rPr>
                <w:i/>
                <w:szCs w:val="22"/>
                <w:vertAlign w:val="superscript"/>
              </w:rPr>
              <w:t>a</w:t>
            </w:r>
            <w:r w:rsidRPr="002B1574">
              <w:rPr>
                <w:i/>
                <w:szCs w:val="22"/>
                <w:vertAlign w:val="superscript"/>
              </w:rPr>
              <w:t xml:space="preserve"> </w:t>
            </w:r>
            <w:r w:rsidR="0051563F" w:rsidRPr="00726429">
              <w:rPr>
                <w:i/>
                <w:szCs w:val="22"/>
                <w:vertAlign w:val="superscript"/>
              </w:rPr>
              <w:t>g</w:t>
            </w:r>
            <w:r w:rsidR="00504F13" w:rsidRPr="00726429">
              <w:rPr>
                <w:szCs w:val="22"/>
              </w:rPr>
              <w:t>: do 130</w:t>
            </w:r>
            <w:r w:rsidR="00AF432F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3D605C" w:rsidRPr="00726429">
              <w:rPr>
                <w:szCs w:val="22"/>
                <w:vertAlign w:val="superscript"/>
              </w:rPr>
              <w:t>a</w:t>
            </w:r>
          </w:p>
        </w:tc>
      </w:tr>
      <w:tr w:rsidR="00504F13" w:rsidRPr="00726429" w14:paraId="58D20258" w14:textId="77777777" w:rsidTr="002B1574">
        <w:tc>
          <w:tcPr>
            <w:tcW w:w="3685" w:type="dxa"/>
            <w:gridSpan w:val="2"/>
          </w:tcPr>
          <w:p w14:paraId="79640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Intervenčná artériografia</w:t>
            </w:r>
          </w:p>
        </w:tc>
        <w:tc>
          <w:tcPr>
            <w:tcW w:w="1701" w:type="dxa"/>
            <w:gridSpan w:val="3"/>
          </w:tcPr>
          <w:p w14:paraId="0CBBC2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1A29B5FB" w14:textId="77777777" w:rsidR="00AF432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</w:p>
          <w:p w14:paraId="4D372D4F" w14:textId="77777777" w:rsidR="00504F13" w:rsidRPr="00726429" w:rsidRDefault="00DA58FC" w:rsidP="00DA58FC">
            <w:pPr>
              <w:ind w:left="0" w:right="-852" w:firstLine="0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="003D605C" w:rsidRPr="00DA58FC">
              <w:rPr>
                <w:i/>
                <w:szCs w:val="22"/>
                <w:vertAlign w:val="superscript"/>
              </w:rPr>
              <w:t>a,</w:t>
            </w:r>
            <w:r w:rsidR="003D605C" w:rsidRPr="00726429">
              <w:rPr>
                <w:szCs w:val="22"/>
                <w:vertAlign w:val="superscript"/>
              </w:rPr>
              <w:t>g</w:t>
            </w:r>
          </w:p>
        </w:tc>
      </w:tr>
      <w:tr w:rsidR="00504F13" w:rsidRPr="00726429" w14:paraId="195736B9" w14:textId="77777777" w:rsidTr="002B1574">
        <w:trPr>
          <w:trHeight w:val="232"/>
        </w:trPr>
        <w:tc>
          <w:tcPr>
            <w:tcW w:w="9639" w:type="dxa"/>
            <w:gridSpan w:val="6"/>
          </w:tcPr>
          <w:p w14:paraId="0BB0D139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b w:val="0"/>
                <w:bCs/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bCs/>
                <w:iCs/>
                <w:sz w:val="22"/>
                <w:szCs w:val="22"/>
                <w:lang w:val="sk-SK"/>
              </w:rPr>
              <w:t>Intraart</w:t>
            </w:r>
            <w:r w:rsidR="000C5A2B">
              <w:rPr>
                <w:bCs/>
                <w:iCs/>
                <w:sz w:val="22"/>
                <w:szCs w:val="22"/>
                <w:lang w:val="sk-SK"/>
              </w:rPr>
              <w:t>e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>r</w:t>
            </w:r>
            <w:r w:rsidR="00F65EA0" w:rsidRPr="00726429">
              <w:rPr>
                <w:bCs/>
                <w:iCs/>
                <w:sz w:val="22"/>
                <w:szCs w:val="22"/>
                <w:lang w:val="sk-SK"/>
              </w:rPr>
              <w:t>iálna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 xml:space="preserve"> DSA</w:t>
            </w:r>
          </w:p>
        </w:tc>
      </w:tr>
      <w:tr w:rsidR="00504F13" w:rsidRPr="00726429" w14:paraId="1A583F6C" w14:textId="77777777" w:rsidTr="002B1574">
        <w:tc>
          <w:tcPr>
            <w:tcW w:w="2412" w:type="dxa"/>
          </w:tcPr>
          <w:p w14:paraId="41DB27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F93DA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  <w:p w14:paraId="36430A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50007E5" w14:textId="77777777" w:rsidR="006446E2" w:rsidRPr="00726429" w:rsidRDefault="006446E2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30 - 60 ml na prehľadnú angiografiu</w:t>
            </w:r>
            <w:r w:rsidR="006D2C8C">
              <w:rPr>
                <w:szCs w:val="22"/>
              </w:rPr>
              <w:t xml:space="preserve"> (celkovo)</w:t>
            </w:r>
          </w:p>
          <w:p w14:paraId="2D3BB31C" w14:textId="77777777" w:rsidR="006D2C8C" w:rsidRPr="00726429" w:rsidRDefault="006446E2" w:rsidP="001E54B3">
            <w:pPr>
              <w:tabs>
                <w:tab w:val="left" w:pos="779"/>
              </w:tabs>
              <w:ind w:left="0" w:right="-852" w:firstLine="0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 xml:space="preserve"> 5-10 ml </w:t>
            </w:r>
            <w:r w:rsidR="006D2C8C">
              <w:rPr>
                <w:szCs w:val="22"/>
              </w:rPr>
              <w:t>selektívna injekcia</w:t>
            </w:r>
          </w:p>
          <w:p w14:paraId="6653079F" w14:textId="77777777" w:rsidR="00504F13" w:rsidRPr="00726429" w:rsidRDefault="0045019D" w:rsidP="0045019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504F13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        </w:t>
            </w:r>
          </w:p>
        </w:tc>
      </w:tr>
      <w:tr w:rsidR="00504F13" w:rsidRPr="00726429" w14:paraId="6236D00A" w14:textId="77777777" w:rsidTr="002B1574">
        <w:tc>
          <w:tcPr>
            <w:tcW w:w="2412" w:type="dxa"/>
          </w:tcPr>
          <w:p w14:paraId="4685D1D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Hrudná</w:t>
            </w:r>
          </w:p>
        </w:tc>
        <w:tc>
          <w:tcPr>
            <w:tcW w:w="2125" w:type="dxa"/>
            <w:gridSpan w:val="3"/>
          </w:tcPr>
          <w:p w14:paraId="16D053D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02" w:type="dxa"/>
            <w:gridSpan w:val="2"/>
          </w:tcPr>
          <w:p w14:paraId="512D290F" w14:textId="77777777" w:rsidR="006446E2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2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0 - 25 ml (aorta), opakova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  <w:p w14:paraId="4C8D0901" w14:textId="77777777" w:rsidR="009D19F1" w:rsidRDefault="006446E2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9D19F1">
              <w:rPr>
                <w:rFonts w:ascii="Times New Roman" w:hAnsi="Times New Roman"/>
                <w:sz w:val="22"/>
                <w:szCs w:val="22"/>
                <w:lang w:val="sk-SK"/>
              </w:rPr>
              <w:t>4-8 ml (vertebrálne tepny)</w:t>
            </w:r>
          </w:p>
          <w:p w14:paraId="599F3C0F" w14:textId="77777777" w:rsidR="00504F13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 ml (bronchiálne artérie)</w:t>
            </w:r>
          </w:p>
          <w:p w14:paraId="4CCFFD57" w14:textId="77777777" w:rsidR="009D19F1" w:rsidRPr="00726429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04F13" w:rsidRPr="00726429" w14:paraId="10BE575B" w14:textId="77777777" w:rsidTr="002B1574">
        <w:trPr>
          <w:trHeight w:val="281"/>
        </w:trPr>
        <w:tc>
          <w:tcPr>
            <w:tcW w:w="2412" w:type="dxa"/>
          </w:tcPr>
          <w:p w14:paraId="6BD7FCE0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blú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aorty </w:t>
            </w:r>
          </w:p>
        </w:tc>
        <w:tc>
          <w:tcPr>
            <w:tcW w:w="2125" w:type="dxa"/>
            <w:gridSpan w:val="3"/>
          </w:tcPr>
          <w:p w14:paraId="580D172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093D53A3" w14:textId="77777777" w:rsidR="00504F13" w:rsidRPr="003C623F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3C623F">
              <w:rPr>
                <w:rFonts w:ascii="Times New Roman" w:hAnsi="Times New Roman"/>
                <w:sz w:val="22"/>
                <w:szCs w:val="22"/>
                <w:lang w:val="sk-SK"/>
              </w:rPr>
              <w:t>: 20 – 25 ml (aorta a krčné tepny)</w:t>
            </w:r>
          </w:p>
        </w:tc>
      </w:tr>
      <w:tr w:rsidR="00504F13" w:rsidRPr="00726429" w14:paraId="2A7AA124" w14:textId="77777777" w:rsidTr="002B1574">
        <w:trPr>
          <w:trHeight w:val="74"/>
        </w:trPr>
        <w:tc>
          <w:tcPr>
            <w:tcW w:w="2412" w:type="dxa"/>
          </w:tcPr>
          <w:p w14:paraId="7129E7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Brucho</w:t>
            </w:r>
          </w:p>
        </w:tc>
        <w:tc>
          <w:tcPr>
            <w:tcW w:w="2125" w:type="dxa"/>
            <w:gridSpan w:val="3"/>
          </w:tcPr>
          <w:p w14:paraId="6FB3F6F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66176495" w14:textId="77777777" w:rsidR="00504F13" w:rsidRPr="00FF7BDD" w:rsidRDefault="00504F13" w:rsidP="00FF7BD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 – 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>0 ml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(hlavné vetvy brušnej aorty)</w:t>
            </w:r>
          </w:p>
        </w:tc>
      </w:tr>
      <w:tr w:rsidR="00504F13" w:rsidRPr="00726429" w14:paraId="59012BAB" w14:textId="77777777" w:rsidTr="002B1574">
        <w:tc>
          <w:tcPr>
            <w:tcW w:w="2412" w:type="dxa"/>
          </w:tcPr>
          <w:p w14:paraId="3D84A2F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Aortografia</w:t>
            </w:r>
          </w:p>
        </w:tc>
        <w:tc>
          <w:tcPr>
            <w:tcW w:w="2125" w:type="dxa"/>
            <w:gridSpan w:val="3"/>
          </w:tcPr>
          <w:p w14:paraId="246CC31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B85D9CB" w14:textId="77777777" w:rsidR="00504F13" w:rsidRPr="00726429" w:rsidRDefault="00504F13" w:rsidP="00AD0875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AD0875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5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– 5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ml</w:t>
            </w:r>
          </w:p>
        </w:tc>
      </w:tr>
      <w:tr w:rsidR="00504F13" w:rsidRPr="00726429" w14:paraId="54397D7E" w14:textId="77777777" w:rsidTr="002B1574">
        <w:tc>
          <w:tcPr>
            <w:tcW w:w="2412" w:type="dxa"/>
          </w:tcPr>
          <w:p w14:paraId="1CF520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Translumbálna aortografia</w:t>
            </w:r>
          </w:p>
        </w:tc>
        <w:tc>
          <w:tcPr>
            <w:tcW w:w="2125" w:type="dxa"/>
            <w:gridSpan w:val="3"/>
          </w:tcPr>
          <w:p w14:paraId="02F6599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FD7C8A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504F13" w:rsidRPr="00726429" w14:paraId="4D9CE283" w14:textId="77777777" w:rsidTr="002B1574">
        <w:trPr>
          <w:trHeight w:val="50"/>
        </w:trPr>
        <w:tc>
          <w:tcPr>
            <w:tcW w:w="2412" w:type="dxa"/>
          </w:tcPr>
          <w:p w14:paraId="3C903EE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Periférna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4CA5F5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  <w:p w14:paraId="62B764C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30A191D7" w14:textId="77777777" w:rsidR="0035204E" w:rsidRPr="00726429" w:rsidRDefault="00504F13" w:rsidP="001E54B3">
            <w:pPr>
              <w:tabs>
                <w:tab w:val="left" w:pos="921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5 - 10 ml, na selektívne inj</w:t>
            </w:r>
            <w:r w:rsidR="000B3BA6">
              <w:rPr>
                <w:szCs w:val="22"/>
              </w:rPr>
              <w:t>i</w:t>
            </w:r>
            <w:r w:rsidRPr="00726429">
              <w:rPr>
                <w:szCs w:val="22"/>
              </w:rPr>
              <w:t xml:space="preserve">kovanie až do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 xml:space="preserve"> 250 ml</w:t>
            </w:r>
          </w:p>
          <w:p w14:paraId="4164A864" w14:textId="77777777" w:rsidR="00504F13" w:rsidRPr="00726429" w:rsidRDefault="0045019D" w:rsidP="001E54B3">
            <w:pPr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5204E" w:rsidRPr="00726429">
              <w:rPr>
                <w:szCs w:val="22"/>
                <w:vertAlign w:val="superscript"/>
              </w:rPr>
              <w:t>a,g</w:t>
            </w:r>
          </w:p>
        </w:tc>
      </w:tr>
      <w:tr w:rsidR="00504F13" w:rsidRPr="00726429" w14:paraId="47B23367" w14:textId="77777777" w:rsidTr="002B1574">
        <w:tc>
          <w:tcPr>
            <w:tcW w:w="2412" w:type="dxa"/>
          </w:tcPr>
          <w:p w14:paraId="16AAA1CB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</w:t>
            </w:r>
            <w:r w:rsidR="00993DE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tionálna</w:t>
            </w:r>
          </w:p>
        </w:tc>
        <w:tc>
          <w:tcPr>
            <w:tcW w:w="2125" w:type="dxa"/>
            <w:gridSpan w:val="3"/>
          </w:tcPr>
          <w:p w14:paraId="2B0DB94C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, 350</w:t>
            </w:r>
          </w:p>
          <w:p w14:paraId="488A5633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7E19C834" w14:textId="77777777" w:rsidR="00504F13" w:rsidRPr="00726429" w:rsidRDefault="00504F13" w:rsidP="001E54B3">
            <w:pPr>
              <w:pStyle w:val="Obyajntext"/>
              <w:tabs>
                <w:tab w:val="left" w:pos="921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Dospelí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10 - 30 ml, na selektívne inj</w:t>
            </w:r>
            <w:r w:rsidR="000B3BA6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kovanie až do</w:t>
            </w:r>
            <w:r w:rsidR="00C644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 ml</w:t>
            </w:r>
          </w:p>
          <w:p w14:paraId="3E225F63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</w:p>
        </w:tc>
      </w:tr>
      <w:tr w:rsidR="00504F13" w:rsidRPr="00726429" w14:paraId="5B2D5F99" w14:textId="77777777" w:rsidTr="002B1574">
        <w:tc>
          <w:tcPr>
            <w:tcW w:w="2412" w:type="dxa"/>
          </w:tcPr>
          <w:p w14:paraId="1A6AD97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Angiokardiografia </w:t>
            </w:r>
          </w:p>
        </w:tc>
        <w:tc>
          <w:tcPr>
            <w:tcW w:w="2125" w:type="dxa"/>
            <w:gridSpan w:val="3"/>
          </w:tcPr>
          <w:p w14:paraId="1025D5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1685AB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210765D5" w14:textId="77777777" w:rsidR="00504F13" w:rsidRPr="00A0736C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: 30 – 80 ml</w:t>
            </w:r>
          </w:p>
          <w:p w14:paraId="33DA5CF8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3 - 5 ml/kg</w:t>
            </w:r>
          </w:p>
        </w:tc>
      </w:tr>
      <w:tr w:rsidR="00504F13" w:rsidRPr="00726429" w14:paraId="2F43898E" w14:textId="77777777" w:rsidTr="002B1574">
        <w:tc>
          <w:tcPr>
            <w:tcW w:w="2412" w:type="dxa"/>
          </w:tcPr>
          <w:p w14:paraId="76B951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Konvenčná selektívna koronárna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3E7FB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4483D72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10E153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4 - 10 ml do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artérie, opakova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</w:tc>
      </w:tr>
      <w:tr w:rsidR="00504F13" w:rsidRPr="00726429" w14:paraId="47390007" w14:textId="77777777" w:rsidTr="002B1574">
        <w:tc>
          <w:tcPr>
            <w:tcW w:w="2412" w:type="dxa"/>
          </w:tcPr>
          <w:p w14:paraId="4D00D51E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ERCP </w:t>
            </w:r>
          </w:p>
          <w:p w14:paraId="33FCB32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007164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93184E5" w14:textId="77777777" w:rsidR="00504F13" w:rsidRPr="00726429" w:rsidRDefault="0035204E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do 100 ml</w:t>
            </w:r>
          </w:p>
          <w:p w14:paraId="1BC3F27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2D55D4F3" w14:textId="77777777" w:rsidTr="002B1574">
        <w:tc>
          <w:tcPr>
            <w:tcW w:w="2412" w:type="dxa"/>
          </w:tcPr>
          <w:p w14:paraId="70C2F15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Artrografi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  <w:p w14:paraId="01B22C4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B59F30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34CCBC05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 do 10 ml/1 inj. </w:t>
            </w:r>
          </w:p>
        </w:tc>
      </w:tr>
      <w:tr w:rsidR="00504F13" w:rsidRPr="00726429" w14:paraId="19A4A967" w14:textId="77777777" w:rsidTr="002B1574">
        <w:tc>
          <w:tcPr>
            <w:tcW w:w="2412" w:type="dxa"/>
          </w:tcPr>
          <w:p w14:paraId="50D72C8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Hysterosalpingografia</w:t>
            </w:r>
          </w:p>
        </w:tc>
        <w:tc>
          <w:tcPr>
            <w:tcW w:w="2125" w:type="dxa"/>
            <w:gridSpan w:val="3"/>
          </w:tcPr>
          <w:p w14:paraId="69D4A82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1E441AAB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Dospelí:</w:t>
            </w:r>
            <w:r w:rsidRPr="00726429">
              <w:rPr>
                <w:szCs w:val="22"/>
              </w:rPr>
              <w:t xml:space="preserve"> do 35 ml</w:t>
            </w:r>
          </w:p>
          <w:p w14:paraId="35BFC99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92C19B1" w14:textId="77777777" w:rsidTr="002B1574">
        <w:tc>
          <w:tcPr>
            <w:tcW w:w="2412" w:type="dxa"/>
          </w:tcPr>
          <w:p w14:paraId="5D03933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Fistulografia</w:t>
            </w:r>
          </w:p>
        </w:tc>
        <w:tc>
          <w:tcPr>
            <w:tcW w:w="2125" w:type="dxa"/>
            <w:gridSpan w:val="3"/>
          </w:tcPr>
          <w:p w14:paraId="6D333A5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151C62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100 ml</w:t>
            </w:r>
          </w:p>
        </w:tc>
      </w:tr>
      <w:tr w:rsidR="00504F13" w:rsidRPr="00726429" w14:paraId="77E8FD94" w14:textId="77777777" w:rsidTr="002B1574">
        <w:tc>
          <w:tcPr>
            <w:tcW w:w="2412" w:type="dxa"/>
          </w:tcPr>
          <w:p w14:paraId="4BE26C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Diskografia</w:t>
            </w:r>
          </w:p>
        </w:tc>
        <w:tc>
          <w:tcPr>
            <w:tcW w:w="2125" w:type="dxa"/>
            <w:gridSpan w:val="3"/>
          </w:tcPr>
          <w:p w14:paraId="486466E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02" w:type="dxa"/>
            <w:gridSpan w:val="2"/>
          </w:tcPr>
          <w:p w14:paraId="4ECBB4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4 ml</w:t>
            </w:r>
          </w:p>
        </w:tc>
      </w:tr>
      <w:tr w:rsidR="00504F13" w:rsidRPr="00726429" w14:paraId="33F46A20" w14:textId="77777777" w:rsidTr="002B1574">
        <w:tc>
          <w:tcPr>
            <w:tcW w:w="2412" w:type="dxa"/>
          </w:tcPr>
          <w:p w14:paraId="4054FEE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Galaktografia</w:t>
            </w:r>
          </w:p>
        </w:tc>
        <w:tc>
          <w:tcPr>
            <w:tcW w:w="2125" w:type="dxa"/>
            <w:gridSpan w:val="3"/>
          </w:tcPr>
          <w:p w14:paraId="17C4436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5F5BA66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A0CB1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0,15 - 1,2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0FEC1C8A" w14:textId="77777777" w:rsidTr="002B1574">
        <w:tc>
          <w:tcPr>
            <w:tcW w:w="2412" w:type="dxa"/>
          </w:tcPr>
          <w:p w14:paraId="42982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Dakryocystografia</w:t>
            </w:r>
          </w:p>
          <w:p w14:paraId="616B5A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6E8343B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3CCAAB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61432C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2,5 - 8 ml/1 inj.</w:t>
            </w:r>
          </w:p>
        </w:tc>
      </w:tr>
      <w:tr w:rsidR="00504F13" w:rsidRPr="00726429" w14:paraId="4DD2F174" w14:textId="77777777" w:rsidTr="002B1574">
        <w:tc>
          <w:tcPr>
            <w:tcW w:w="2412" w:type="dxa"/>
          </w:tcPr>
          <w:p w14:paraId="700F8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Sialografia</w:t>
            </w:r>
          </w:p>
        </w:tc>
        <w:tc>
          <w:tcPr>
            <w:tcW w:w="2125" w:type="dxa"/>
            <w:gridSpan w:val="3"/>
          </w:tcPr>
          <w:p w14:paraId="1EEF346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59B9F40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1 - 3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1BA0A697" w14:textId="77777777" w:rsidTr="002B1574">
        <w:tc>
          <w:tcPr>
            <w:tcW w:w="2412" w:type="dxa"/>
          </w:tcPr>
          <w:p w14:paraId="3085CB3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Mikčná cystouretrografia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17D252F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7AC611A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100 - 250 ml</w:t>
            </w:r>
          </w:p>
        </w:tc>
      </w:tr>
      <w:tr w:rsidR="00504F13" w:rsidRPr="00726429" w14:paraId="5CB662BC" w14:textId="77777777" w:rsidTr="002B1574">
        <w:tc>
          <w:tcPr>
            <w:tcW w:w="2412" w:type="dxa"/>
          </w:tcPr>
          <w:p w14:paraId="7D239D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Mikčná cystouretrografia 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 pediatrii</w:t>
            </w:r>
          </w:p>
        </w:tc>
        <w:tc>
          <w:tcPr>
            <w:tcW w:w="2101" w:type="dxa"/>
            <w:gridSpan w:val="2"/>
          </w:tcPr>
          <w:p w14:paraId="5A6AF04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5391F152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40 - 210 ml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  <w:p w14:paraId="20E3C2D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45E97D80" w14:textId="77777777" w:rsidTr="002B1574">
        <w:tc>
          <w:tcPr>
            <w:tcW w:w="2412" w:type="dxa"/>
            <w:tcBorders>
              <w:bottom w:val="single" w:sz="4" w:space="0" w:color="auto"/>
            </w:tcBorders>
          </w:tcPr>
          <w:p w14:paraId="5BF69BB7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c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holangiografia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14:paraId="1EC0980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trike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D94B7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2D5C385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60 ml</w:t>
            </w:r>
          </w:p>
        </w:tc>
      </w:tr>
      <w:tr w:rsidR="00504F13" w:rsidRPr="00726429" w14:paraId="27050C5E" w14:textId="77777777" w:rsidTr="002B1574">
        <w:tc>
          <w:tcPr>
            <w:tcW w:w="2412" w:type="dxa"/>
          </w:tcPr>
          <w:p w14:paraId="29807D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416BD28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607942D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: 20 - 100 ml</w:t>
            </w:r>
          </w:p>
        </w:tc>
      </w:tr>
      <w:tr w:rsidR="00504F13" w:rsidRPr="00726429" w14:paraId="413CCDA0" w14:textId="77777777" w:rsidTr="002B1574">
        <w:tc>
          <w:tcPr>
            <w:tcW w:w="2412" w:type="dxa"/>
          </w:tcPr>
          <w:p w14:paraId="07B82D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pyelo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uretro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3FBEAED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1145E3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10 - 20 ml/1 inj.</w:t>
            </w:r>
          </w:p>
        </w:tc>
      </w:tr>
      <w:tr w:rsidR="00504F13" w:rsidRPr="00726429" w14:paraId="62E3491C" w14:textId="77777777" w:rsidTr="002B1574">
        <w:tc>
          <w:tcPr>
            <w:tcW w:w="2412" w:type="dxa"/>
            <w:tcBorders>
              <w:bottom w:val="single" w:sz="4" w:space="0" w:color="auto"/>
            </w:tcBorders>
          </w:tcPr>
          <w:p w14:paraId="54A9422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Myelografia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7C5C840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200 </w:t>
            </w:r>
          </w:p>
          <w:p w14:paraId="0441C58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250 </w:t>
            </w:r>
          </w:p>
          <w:p w14:paraId="6A44974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646D4015" w14:textId="77777777" w:rsidR="00504F13" w:rsidRPr="00726429" w:rsidRDefault="00504F13" w:rsidP="001E54B3">
            <w:pPr>
              <w:pStyle w:val="Obyajntext"/>
              <w:tabs>
                <w:tab w:val="left" w:pos="113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13 – 22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4E406109" w14:textId="77777777" w:rsidR="00504F13" w:rsidRPr="00726429" w:rsidRDefault="00AF432F" w:rsidP="001E54B3">
            <w:pPr>
              <w:pStyle w:val="Obyajntext"/>
              <w:tabs>
                <w:tab w:val="left" w:pos="1153"/>
              </w:tabs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–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18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16D77655" w14:textId="77777777" w:rsidR="00504F13" w:rsidRPr="00726429" w:rsidRDefault="002B214B" w:rsidP="001E54B3">
            <w:pPr>
              <w:tabs>
                <w:tab w:val="left" w:pos="117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8 – 15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51563F" w:rsidRPr="00726429">
              <w:rPr>
                <w:szCs w:val="22"/>
                <w:vertAlign w:val="superscript"/>
              </w:rPr>
              <w:t>d</w:t>
            </w:r>
          </w:p>
        </w:tc>
      </w:tr>
    </w:tbl>
    <w:p w14:paraId="447893C9" w14:textId="77777777" w:rsidR="00504F13" w:rsidRPr="0036485B" w:rsidRDefault="00504F13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a </w:t>
      </w:r>
      <w:r w:rsidR="003D605C" w:rsidRPr="0036485B">
        <w:rPr>
          <w:sz w:val="20"/>
          <w:szCs w:val="20"/>
        </w:rPr>
        <w:t xml:space="preserve">= </w:t>
      </w:r>
      <w:r w:rsidRPr="0036485B">
        <w:rPr>
          <w:sz w:val="20"/>
          <w:szCs w:val="20"/>
        </w:rPr>
        <w:t xml:space="preserve">podľa </w:t>
      </w:r>
      <w:r w:rsidR="00FB61EC" w:rsidRPr="0036485B">
        <w:rPr>
          <w:sz w:val="20"/>
          <w:szCs w:val="20"/>
        </w:rPr>
        <w:t xml:space="preserve">telesnej </w:t>
      </w:r>
      <w:r w:rsidRPr="0036485B">
        <w:rPr>
          <w:sz w:val="20"/>
          <w:szCs w:val="20"/>
        </w:rPr>
        <w:t xml:space="preserve">hmotnosti a veku </w:t>
      </w:r>
    </w:p>
    <w:p w14:paraId="60CA4CFA" w14:textId="77777777" w:rsidR="00504F13" w:rsidRPr="0036485B" w:rsidRDefault="00504F13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b </w:t>
      </w:r>
      <w:r w:rsidR="003D605C" w:rsidRPr="0036485B">
        <w:rPr>
          <w:sz w:val="20"/>
          <w:szCs w:val="20"/>
        </w:rPr>
        <w:t xml:space="preserve">= </w:t>
      </w:r>
      <w:r w:rsidR="0035204E" w:rsidRPr="0036485B">
        <w:rPr>
          <w:sz w:val="20"/>
          <w:szCs w:val="20"/>
        </w:rPr>
        <w:t xml:space="preserve">dávka </w:t>
      </w:r>
      <w:r w:rsidRPr="0036485B">
        <w:rPr>
          <w:sz w:val="20"/>
          <w:szCs w:val="20"/>
        </w:rPr>
        <w:t>ne</w:t>
      </w:r>
      <w:r w:rsidR="00424A7D" w:rsidRPr="0036485B">
        <w:rPr>
          <w:sz w:val="20"/>
          <w:szCs w:val="20"/>
        </w:rPr>
        <w:t>smie prekročiť</w:t>
      </w:r>
      <w:r w:rsidRPr="0036485B">
        <w:rPr>
          <w:sz w:val="20"/>
          <w:szCs w:val="20"/>
        </w:rPr>
        <w:t xml:space="preserve"> 250 ml. Jednotlivá dávka je závislá od</w:t>
      </w:r>
      <w:r w:rsidR="00FB61EC" w:rsidRPr="0036485B">
        <w:rPr>
          <w:sz w:val="20"/>
          <w:szCs w:val="20"/>
        </w:rPr>
        <w:t xml:space="preserve"> cievnej</w:t>
      </w:r>
      <w:r w:rsidRPr="0036485B">
        <w:rPr>
          <w:sz w:val="20"/>
          <w:szCs w:val="20"/>
        </w:rPr>
        <w:t xml:space="preserve"> oblasti</w:t>
      </w:r>
      <w:r w:rsidR="00FB61EC" w:rsidRPr="0036485B">
        <w:rPr>
          <w:sz w:val="20"/>
          <w:szCs w:val="20"/>
        </w:rPr>
        <w:t>, ktorá sa má vyšetriť</w:t>
      </w:r>
    </w:p>
    <w:p w14:paraId="4BF7ED2F" w14:textId="77777777" w:rsidR="0051563F" w:rsidRPr="0036485B" w:rsidRDefault="00504F13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c </w:t>
      </w:r>
      <w:r w:rsidR="003D605C" w:rsidRPr="0036485B">
        <w:rPr>
          <w:sz w:val="20"/>
          <w:szCs w:val="20"/>
        </w:rPr>
        <w:t>=</w:t>
      </w:r>
      <w:r w:rsidRPr="0036485B">
        <w:rPr>
          <w:sz w:val="20"/>
          <w:szCs w:val="20"/>
        </w:rPr>
        <w:t xml:space="preserve"> </w:t>
      </w:r>
      <w:r w:rsidR="0035204E" w:rsidRPr="0036485B">
        <w:rPr>
          <w:sz w:val="20"/>
          <w:szCs w:val="20"/>
        </w:rPr>
        <w:t>dávka nesmie prekročiť</w:t>
      </w:r>
      <w:r w:rsidRPr="0036485B">
        <w:rPr>
          <w:sz w:val="20"/>
          <w:szCs w:val="20"/>
        </w:rPr>
        <w:t xml:space="preserve"> 350 ml</w:t>
      </w:r>
    </w:p>
    <w:p w14:paraId="0153002A" w14:textId="77777777" w:rsidR="0051563F" w:rsidRPr="0036485B" w:rsidRDefault="0051563F" w:rsidP="001E54B3">
      <w:pPr>
        <w:ind w:left="284" w:hanging="284"/>
        <w:rPr>
          <w:sz w:val="20"/>
          <w:szCs w:val="20"/>
        </w:rPr>
      </w:pPr>
      <w:r w:rsidRPr="0036485B">
        <w:rPr>
          <w:sz w:val="20"/>
          <w:szCs w:val="20"/>
        </w:rPr>
        <w:t xml:space="preserve">d = </w:t>
      </w:r>
      <w:r w:rsidR="0035204E" w:rsidRPr="0036485B">
        <w:rPr>
          <w:sz w:val="20"/>
          <w:szCs w:val="20"/>
        </w:rPr>
        <w:t>dávka nesmie prekročiť 4 500 mg I a koncentráciu presahujúcu 300 mg I /ml pri intratekálnom vyšetrení</w:t>
      </w:r>
    </w:p>
    <w:p w14:paraId="683A07CC" w14:textId="77777777" w:rsidR="0051563F" w:rsidRPr="0036485B" w:rsidRDefault="0051563F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e = </w:t>
      </w:r>
      <w:r w:rsidR="003D605C" w:rsidRPr="0036485B">
        <w:rPr>
          <w:sz w:val="20"/>
          <w:szCs w:val="20"/>
        </w:rPr>
        <w:t>novorodenci: 0 - 27 dní</w:t>
      </w:r>
    </w:p>
    <w:p w14:paraId="154A1453" w14:textId="77777777" w:rsidR="00504F13" w:rsidRPr="0036485B" w:rsidRDefault="0051563F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f = </w:t>
      </w:r>
      <w:r w:rsidR="003D605C" w:rsidRPr="0036485B">
        <w:rPr>
          <w:sz w:val="20"/>
          <w:szCs w:val="20"/>
        </w:rPr>
        <w:t>dojčatá</w:t>
      </w:r>
      <w:r w:rsidR="00FB61EC" w:rsidRPr="0036485B">
        <w:rPr>
          <w:sz w:val="20"/>
          <w:szCs w:val="20"/>
        </w:rPr>
        <w:t>:</w:t>
      </w:r>
      <w:r w:rsidR="003D605C" w:rsidRPr="0036485B">
        <w:rPr>
          <w:sz w:val="20"/>
          <w:szCs w:val="20"/>
        </w:rPr>
        <w:t xml:space="preserve"> od 28 dní do 12 mesiacov</w:t>
      </w:r>
    </w:p>
    <w:p w14:paraId="55FA72B7" w14:textId="77777777" w:rsidR="0051563F" w:rsidRPr="0036485B" w:rsidRDefault="0051563F" w:rsidP="001E54B3">
      <w:pPr>
        <w:rPr>
          <w:sz w:val="20"/>
          <w:szCs w:val="20"/>
        </w:rPr>
      </w:pPr>
      <w:r w:rsidRPr="0036485B">
        <w:rPr>
          <w:sz w:val="20"/>
          <w:szCs w:val="20"/>
        </w:rPr>
        <w:t xml:space="preserve">g = vrátane dojčiat, </w:t>
      </w:r>
      <w:r w:rsidR="0045019D" w:rsidRPr="0036485B">
        <w:rPr>
          <w:sz w:val="20"/>
          <w:szCs w:val="20"/>
        </w:rPr>
        <w:t>pediatrickej populácie</w:t>
      </w:r>
      <w:r w:rsidRPr="0036485B">
        <w:rPr>
          <w:sz w:val="20"/>
          <w:szCs w:val="20"/>
        </w:rPr>
        <w:t>; vo veku od 1 do 17 rokov</w:t>
      </w:r>
    </w:p>
    <w:p w14:paraId="040FCA06" w14:textId="77777777" w:rsidR="0051563F" w:rsidRPr="00F50FCA" w:rsidRDefault="0051563F" w:rsidP="00793AB8">
      <w:pPr>
        <w:ind w:right="-852"/>
        <w:rPr>
          <w:szCs w:val="22"/>
        </w:rPr>
      </w:pPr>
    </w:p>
    <w:p w14:paraId="6CC5FF1A" w14:textId="77777777" w:rsidR="00E1698A" w:rsidRPr="00113579" w:rsidRDefault="00E1698A" w:rsidP="00793AB8">
      <w:pPr>
        <w:rPr>
          <w:szCs w:val="22"/>
          <w:u w:val="single"/>
        </w:rPr>
      </w:pPr>
      <w:r w:rsidRPr="00F50FCA">
        <w:rPr>
          <w:szCs w:val="22"/>
          <w:u w:val="single"/>
        </w:rPr>
        <w:t>Spôsob pod</w:t>
      </w:r>
      <w:r w:rsidR="002B214B" w:rsidRPr="00726429">
        <w:rPr>
          <w:szCs w:val="22"/>
          <w:u w:val="single"/>
        </w:rPr>
        <w:t>áv</w:t>
      </w:r>
      <w:r w:rsidRPr="00726429">
        <w:rPr>
          <w:szCs w:val="22"/>
          <w:u w:val="single"/>
        </w:rPr>
        <w:t xml:space="preserve">ania </w:t>
      </w:r>
    </w:p>
    <w:p w14:paraId="02D867C2" w14:textId="77777777" w:rsidR="00E1698A" w:rsidRPr="00113579" w:rsidRDefault="00E1698A" w:rsidP="006D13C7">
      <w:pPr>
        <w:ind w:left="0" w:firstLine="0"/>
        <w:rPr>
          <w:b/>
          <w:szCs w:val="22"/>
        </w:rPr>
      </w:pPr>
    </w:p>
    <w:p w14:paraId="431132C0" w14:textId="77777777" w:rsidR="00840784" w:rsidRPr="00F50FCA" w:rsidRDefault="00840784" w:rsidP="00793AB8">
      <w:pPr>
        <w:pStyle w:val="Zkladntext"/>
        <w:keepNext/>
        <w:outlineLvl w:val="0"/>
        <w:rPr>
          <w:szCs w:val="22"/>
          <w:highlight w:val="cyan"/>
          <w:u w:val="single"/>
        </w:rPr>
      </w:pPr>
      <w:r w:rsidRPr="00F50FCA">
        <w:rPr>
          <w:szCs w:val="22"/>
          <w:u w:val="single"/>
        </w:rPr>
        <w:t>Intravaskulárne podanie</w:t>
      </w:r>
    </w:p>
    <w:p w14:paraId="05D4CF37" w14:textId="77777777" w:rsidR="00840784" w:rsidRPr="00726429" w:rsidRDefault="00840784" w:rsidP="006D13C7">
      <w:pPr>
        <w:ind w:left="0" w:firstLine="0"/>
        <w:rPr>
          <w:szCs w:val="22"/>
        </w:rPr>
      </w:pPr>
      <w:r w:rsidRPr="00726429">
        <w:rPr>
          <w:szCs w:val="22"/>
        </w:rPr>
        <w:t xml:space="preserve">Intravaskulárne podanie </w:t>
      </w:r>
      <w:r w:rsidR="00686FFB">
        <w:rPr>
          <w:szCs w:val="22"/>
        </w:rPr>
        <w:t>kontrastnej látky</w:t>
      </w:r>
      <w:r w:rsidR="000C5A2B">
        <w:rPr>
          <w:szCs w:val="22"/>
        </w:rPr>
        <w:t>,</w:t>
      </w:r>
      <w:r w:rsidRPr="00726429">
        <w:rPr>
          <w:szCs w:val="22"/>
        </w:rPr>
        <w:t xml:space="preserve"> ak je to možné, by malo byť vykonané pacientom v ľahu.</w:t>
      </w:r>
    </w:p>
    <w:p w14:paraId="501E24D5" w14:textId="77777777" w:rsidR="00840784" w:rsidRPr="00726429" w:rsidRDefault="00840784" w:rsidP="006D13C7">
      <w:pPr>
        <w:ind w:left="0" w:firstLine="0"/>
        <w:rPr>
          <w:b/>
          <w:szCs w:val="22"/>
        </w:rPr>
      </w:pPr>
    </w:p>
    <w:p w14:paraId="2F77CD88" w14:textId="77777777" w:rsidR="00DE509D" w:rsidRPr="00113579" w:rsidRDefault="00DE509D" w:rsidP="006D13C7">
      <w:pPr>
        <w:ind w:left="0" w:firstLine="0"/>
        <w:rPr>
          <w:b/>
          <w:szCs w:val="22"/>
        </w:rPr>
      </w:pPr>
      <w:r w:rsidRPr="00726429">
        <w:rPr>
          <w:b/>
          <w:i/>
          <w:szCs w:val="22"/>
        </w:rPr>
        <w:t>Pri</w:t>
      </w:r>
      <w:r w:rsidRPr="00113579">
        <w:rPr>
          <w:b/>
          <w:i/>
          <w:szCs w:val="22"/>
        </w:rPr>
        <w:t xml:space="preserve"> aplikácii kontrastnej látky je nutná zvýšená opatrnosť, aby sa zabránilo extravazácii.</w:t>
      </w:r>
    </w:p>
    <w:p w14:paraId="22149F31" w14:textId="77777777" w:rsidR="00DE509D" w:rsidRPr="00F50FCA" w:rsidRDefault="00DE509D" w:rsidP="006D13C7">
      <w:pPr>
        <w:ind w:left="0" w:firstLine="0"/>
        <w:rPr>
          <w:b/>
          <w:szCs w:val="22"/>
        </w:rPr>
      </w:pPr>
    </w:p>
    <w:p w14:paraId="0C2BEAE7" w14:textId="77777777" w:rsidR="00840784" w:rsidRPr="006D13C7" w:rsidRDefault="00DE509D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6D13C7">
        <w:rPr>
          <w:i/>
          <w:szCs w:val="22"/>
          <w:lang w:eastAsia="it-IT"/>
        </w:rPr>
        <w:t>Intravenózna</w:t>
      </w:r>
      <w:r w:rsidR="00840784" w:rsidRPr="006D13C7">
        <w:rPr>
          <w:i/>
          <w:szCs w:val="22"/>
          <w:lang w:eastAsia="it-IT"/>
        </w:rPr>
        <w:t>/</w:t>
      </w:r>
      <w:r w:rsidRPr="006D13C7">
        <w:rPr>
          <w:i/>
          <w:szCs w:val="22"/>
          <w:lang w:eastAsia="it-IT"/>
        </w:rPr>
        <w:t>infúzna</w:t>
      </w:r>
      <w:r w:rsidR="00840784" w:rsidRPr="006D13C7">
        <w:rPr>
          <w:i/>
          <w:szCs w:val="22"/>
          <w:lang w:eastAsia="it-IT"/>
        </w:rPr>
        <w:t xml:space="preserve"> u</w:t>
      </w:r>
      <w:r w:rsidRPr="006D13C7">
        <w:rPr>
          <w:i/>
          <w:szCs w:val="22"/>
          <w:lang w:eastAsia="it-IT"/>
        </w:rPr>
        <w:t>rografia</w:t>
      </w:r>
    </w:p>
    <w:p w14:paraId="0BDF5A11" w14:textId="77777777" w:rsidR="00C82E70" w:rsidRPr="006D13C7" w:rsidRDefault="00DE509D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Vybraná dávka môže byť podaná</w:t>
      </w:r>
      <w:r w:rsidR="00C82E70" w:rsidRPr="006D13C7">
        <w:rPr>
          <w:szCs w:val="22"/>
          <w:lang w:eastAsia="it-IT"/>
        </w:rPr>
        <w:t xml:space="preserve"> ako rýchla injekcia alebo infúzia, v závislosti od typu požadovaného vyšetrenia.</w:t>
      </w:r>
    </w:p>
    <w:p w14:paraId="128EEFDB" w14:textId="77777777" w:rsidR="000A1330" w:rsidRPr="006D13C7" w:rsidRDefault="00C82E70" w:rsidP="00AB1E34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 xml:space="preserve">Fyziologicky zlá schopnosť </w:t>
      </w:r>
      <w:r w:rsidR="000A1330" w:rsidRPr="006D13C7">
        <w:rPr>
          <w:szCs w:val="22"/>
          <w:lang w:eastAsia="it-IT"/>
        </w:rPr>
        <w:t>hromadenia relatívne vysokých dávok kontrastnej látky v nefrónoch obličiek u dojčiat.</w:t>
      </w:r>
      <w:r w:rsidRPr="006D13C7">
        <w:rPr>
          <w:szCs w:val="22"/>
          <w:lang w:eastAsia="it-IT"/>
        </w:rPr>
        <w:t xml:space="preserve"> </w:t>
      </w:r>
    </w:p>
    <w:p w14:paraId="10946872" w14:textId="77777777" w:rsidR="00EF7383" w:rsidRPr="006D13C7" w:rsidRDefault="00EF7383" w:rsidP="006D13C7">
      <w:pPr>
        <w:ind w:left="0" w:firstLine="0"/>
        <w:rPr>
          <w:szCs w:val="22"/>
          <w:lang w:eastAsia="it-IT"/>
        </w:rPr>
      </w:pPr>
    </w:p>
    <w:p w14:paraId="2877A69F" w14:textId="77777777" w:rsidR="00870696" w:rsidRPr="006D13C7" w:rsidRDefault="00850414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Vyšetrenie závisí na čase injekcie/infúzie. Pre rýchlu injekciu po dobu 1-2</w:t>
      </w:r>
      <w:r w:rsidR="000C5A2B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>minút by mal prvý film expozície prebiehať 3-5 minút po podaní injekcie (parenchymatická fáza) a druhá</w:t>
      </w:r>
      <w:r w:rsidR="006A0C75" w:rsidRPr="006D13C7">
        <w:rPr>
          <w:szCs w:val="22"/>
          <w:lang w:eastAsia="it-IT"/>
        </w:rPr>
        <w:t xml:space="preserve"> po 8-15 minút</w:t>
      </w:r>
      <w:r w:rsidR="000C5A2B">
        <w:rPr>
          <w:szCs w:val="22"/>
          <w:lang w:eastAsia="it-IT"/>
        </w:rPr>
        <w:t>ach</w:t>
      </w:r>
      <w:r w:rsidR="006A0C75" w:rsidRPr="006D13C7">
        <w:rPr>
          <w:szCs w:val="22"/>
          <w:lang w:eastAsia="it-IT"/>
        </w:rPr>
        <w:t xml:space="preserve"> (vylučovacia fáza). Pre pomalú infúziu po dobu 3-5 minút, čas expozície má byť 5-10 minút pre parench</w:t>
      </w:r>
      <w:r w:rsidR="00870696" w:rsidRPr="006D13C7">
        <w:rPr>
          <w:szCs w:val="22"/>
          <w:lang w:eastAsia="it-IT"/>
        </w:rPr>
        <w:t>ymatick</w:t>
      </w:r>
      <w:r w:rsidR="00B662D1" w:rsidRPr="006D13C7">
        <w:rPr>
          <w:szCs w:val="22"/>
          <w:lang w:eastAsia="it-IT"/>
        </w:rPr>
        <w:t>ú fázu</w:t>
      </w:r>
      <w:r w:rsidR="006A0C75" w:rsidRPr="006D13C7">
        <w:rPr>
          <w:szCs w:val="22"/>
          <w:lang w:eastAsia="it-IT"/>
        </w:rPr>
        <w:t xml:space="preserve"> a 12-20 minút pre </w:t>
      </w:r>
      <w:r w:rsidR="00870696" w:rsidRPr="006D13C7">
        <w:rPr>
          <w:szCs w:val="22"/>
          <w:lang w:eastAsia="it-IT"/>
        </w:rPr>
        <w:t>vylučovaci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 xml:space="preserve"> fáz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>.</w:t>
      </w:r>
    </w:p>
    <w:p w14:paraId="113FE700" w14:textId="77777777" w:rsidR="00870696" w:rsidRPr="006D13C7" w:rsidRDefault="00870696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Čas expozície</w:t>
      </w:r>
      <w:r w:rsidR="007005EA" w:rsidRPr="006D13C7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 xml:space="preserve">môže byť oneskorený </w:t>
      </w:r>
      <w:r w:rsidR="007005EA" w:rsidRPr="006D13C7">
        <w:rPr>
          <w:szCs w:val="22"/>
          <w:lang w:eastAsia="it-IT"/>
        </w:rPr>
        <w:t>v prípade mierne poškodených obličiek. U tejto skupiny pacientov je celková dávka 200-350mg l</w:t>
      </w:r>
      <w:r w:rsidR="00923371" w:rsidRPr="006D13C7">
        <w:rPr>
          <w:szCs w:val="22"/>
          <w:lang w:eastAsia="it-IT"/>
        </w:rPr>
        <w:t>/kg telesnej hmotnosti, ktorá sa nesmie prekročiť.</w:t>
      </w:r>
    </w:p>
    <w:p w14:paraId="5B8D982E" w14:textId="77777777" w:rsidR="0004150B" w:rsidRPr="006D13C7" w:rsidRDefault="0004150B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62140ADB" w14:textId="77777777" w:rsidR="0004150B" w:rsidRPr="00DA4C08" w:rsidRDefault="0004150B" w:rsidP="00793AB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DA4C08">
        <w:rPr>
          <w:sz w:val="22"/>
          <w:szCs w:val="22"/>
          <w:lang w:val="sk-SK"/>
        </w:rPr>
        <w:t>Flebografia</w:t>
      </w:r>
    </w:p>
    <w:p w14:paraId="35F14DD9" w14:textId="77777777" w:rsidR="00686FFB" w:rsidRPr="00726429" w:rsidRDefault="00686FFB" w:rsidP="00686FFB">
      <w:pPr>
        <w:tabs>
          <w:tab w:val="left" w:pos="0"/>
        </w:tabs>
        <w:ind w:left="0" w:right="-1" w:firstLine="0"/>
        <w:rPr>
          <w:szCs w:val="22"/>
        </w:rPr>
      </w:pPr>
      <w:r w:rsidRPr="00F50FCA">
        <w:rPr>
          <w:szCs w:val="22"/>
        </w:rPr>
        <w:t>Pre minimalizovanie extravazácie počas in</w:t>
      </w:r>
      <w:r w:rsidRPr="00726429">
        <w:rPr>
          <w:szCs w:val="22"/>
        </w:rPr>
        <w:t>jekcie sa odporúča fluoroskopia.</w:t>
      </w:r>
    </w:p>
    <w:p w14:paraId="054452F4" w14:textId="77777777" w:rsidR="00686FFB" w:rsidRPr="00726429" w:rsidRDefault="00686FFB" w:rsidP="00B30CE3">
      <w:pPr>
        <w:pStyle w:val="Zkladntext"/>
        <w:rPr>
          <w:szCs w:val="22"/>
        </w:rPr>
      </w:pPr>
    </w:p>
    <w:p w14:paraId="292F1B4E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Počítačová tomografia</w:t>
      </w:r>
      <w:r w:rsidR="00840784" w:rsidRPr="00E06BE0">
        <w:rPr>
          <w:i/>
          <w:szCs w:val="22"/>
          <w:lang w:eastAsia="it-IT"/>
        </w:rPr>
        <w:t xml:space="preserve">: </w:t>
      </w:r>
    </w:p>
    <w:p w14:paraId="0F374FD0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CT hlavy</w:t>
      </w:r>
    </w:p>
    <w:p w14:paraId="57FD952F" w14:textId="77777777" w:rsidR="00840784" w:rsidRPr="00E06BE0" w:rsidRDefault="0056752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szCs w:val="22"/>
          <w:lang w:eastAsia="it-IT"/>
        </w:rPr>
        <w:t xml:space="preserve">Zvýšenie kontrastu pre zobrazenie hlavy závisí od nedostatku krvi, mozgovej </w:t>
      </w:r>
      <w:r w:rsidR="00E06BE0" w:rsidRPr="00E06BE0">
        <w:rPr>
          <w:szCs w:val="22"/>
          <w:lang w:eastAsia="it-IT"/>
        </w:rPr>
        <w:t>bariéry</w:t>
      </w:r>
      <w:r w:rsidRPr="00E06BE0">
        <w:rPr>
          <w:szCs w:val="22"/>
          <w:lang w:eastAsia="it-IT"/>
        </w:rPr>
        <w:t xml:space="preserve"> alebo rozsahu jeho narušenia. Snímky sa zvyčajne zobrazujú 2 minúty po podaní kontrastnej látky, ale čas zobrazenia </w:t>
      </w:r>
      <w:r w:rsidR="00872EB0" w:rsidRPr="00E06BE0">
        <w:rPr>
          <w:szCs w:val="22"/>
          <w:lang w:eastAsia="it-IT"/>
        </w:rPr>
        <w:t xml:space="preserve">sa líši v závislosti od vaskularizácie alebo rozsahu hemato </w:t>
      </w:r>
      <w:r w:rsidR="00E06BE0" w:rsidRPr="00E06BE0">
        <w:rPr>
          <w:szCs w:val="22"/>
          <w:lang w:eastAsia="it-IT"/>
        </w:rPr>
        <w:t xml:space="preserve">- </w:t>
      </w:r>
      <w:r w:rsidR="00872EB0" w:rsidRPr="00E06BE0">
        <w:rPr>
          <w:szCs w:val="22"/>
          <w:lang w:eastAsia="it-IT"/>
        </w:rPr>
        <w:t xml:space="preserve">encefalickej bariéry. </w:t>
      </w:r>
      <w:r w:rsidR="004B0214" w:rsidRPr="00E06BE0">
        <w:rPr>
          <w:i/>
          <w:szCs w:val="22"/>
          <w:lang w:eastAsia="it-IT"/>
        </w:rPr>
        <w:t>CT tela</w:t>
      </w:r>
    </w:p>
    <w:p w14:paraId="365115E0" w14:textId="77777777" w:rsidR="0050680C" w:rsidRDefault="004B0214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Potrebná </w:t>
      </w:r>
      <w:r w:rsidR="00211D7C" w:rsidRPr="00E06BE0">
        <w:rPr>
          <w:szCs w:val="22"/>
          <w:lang w:eastAsia="it-IT"/>
        </w:rPr>
        <w:t>d</w:t>
      </w:r>
      <w:r w:rsidRPr="00E06BE0">
        <w:rPr>
          <w:szCs w:val="22"/>
          <w:lang w:eastAsia="it-IT"/>
        </w:rPr>
        <w:t>ávka kontrastnej látky</w:t>
      </w:r>
      <w:r w:rsidR="00211D7C" w:rsidRPr="00E06BE0">
        <w:rPr>
          <w:szCs w:val="22"/>
          <w:lang w:eastAsia="it-IT"/>
        </w:rPr>
        <w:t>,</w:t>
      </w:r>
      <w:r w:rsidRPr="00E06BE0">
        <w:rPr>
          <w:szCs w:val="22"/>
          <w:lang w:eastAsia="it-IT"/>
        </w:rPr>
        <w:t xml:space="preserve"> rýchlosť</w:t>
      </w:r>
      <w:r w:rsidR="00211D7C" w:rsidRPr="00E06BE0">
        <w:rPr>
          <w:szCs w:val="22"/>
          <w:lang w:eastAsia="it-IT"/>
        </w:rPr>
        <w:t xml:space="preserve"> a spôsob podania (tableta, infúzia, viac fázové podanie) závisí od vyšetrovaného orgánu, diagnózy a </w:t>
      </w:r>
      <w:r w:rsidR="00221AF9" w:rsidRPr="00E06BE0">
        <w:rPr>
          <w:szCs w:val="22"/>
          <w:lang w:eastAsia="it-IT"/>
        </w:rPr>
        <w:t>ob</w:t>
      </w:r>
      <w:r w:rsidR="00211D7C" w:rsidRPr="00E06BE0">
        <w:rPr>
          <w:szCs w:val="22"/>
          <w:lang w:eastAsia="it-IT"/>
        </w:rPr>
        <w:t>zvlášť</w:t>
      </w:r>
      <w:r w:rsidR="00221AF9" w:rsidRPr="00E06BE0">
        <w:rPr>
          <w:szCs w:val="22"/>
          <w:lang w:eastAsia="it-IT"/>
        </w:rPr>
        <w:t xml:space="preserve"> rôznych snímok a zobrazenia</w:t>
      </w:r>
      <w:r w:rsidR="0050680C" w:rsidRPr="00E06BE0">
        <w:rPr>
          <w:szCs w:val="22"/>
          <w:lang w:eastAsia="it-IT"/>
        </w:rPr>
        <w:t>. Pre</w:t>
      </w:r>
      <w:r w:rsidR="00793AB8" w:rsidRPr="00E06BE0">
        <w:rPr>
          <w:szCs w:val="22"/>
          <w:lang w:eastAsia="it-IT"/>
        </w:rPr>
        <w:t xml:space="preserve"> rýchle zobrazenie je vhodné po</w:t>
      </w:r>
      <w:r w:rsidR="0050680C" w:rsidRPr="00E06BE0">
        <w:rPr>
          <w:szCs w:val="22"/>
          <w:lang w:eastAsia="it-IT"/>
        </w:rPr>
        <w:t>žitie elektrického injektora.</w:t>
      </w:r>
    </w:p>
    <w:p w14:paraId="5FC0F822" w14:textId="77777777" w:rsidR="003A67A1" w:rsidRPr="00E06BE0" w:rsidRDefault="003A67A1" w:rsidP="00E06BE0">
      <w:pPr>
        <w:ind w:left="0" w:firstLine="0"/>
        <w:rPr>
          <w:szCs w:val="22"/>
          <w:lang w:eastAsia="it-IT"/>
        </w:rPr>
      </w:pPr>
    </w:p>
    <w:p w14:paraId="08FC0E51" w14:textId="77777777" w:rsidR="00840784" w:rsidRPr="00E06BE0" w:rsidRDefault="0050680C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Konvenčná angiografia:</w:t>
      </w:r>
    </w:p>
    <w:p w14:paraId="48BDE45C" w14:textId="77777777" w:rsidR="00840784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Peri</w:t>
      </w:r>
      <w:r w:rsidR="00011F23" w:rsidRPr="00E06BE0">
        <w:rPr>
          <w:i/>
          <w:szCs w:val="22"/>
          <w:lang w:eastAsia="it-IT"/>
        </w:rPr>
        <w:t>férna angiografia</w:t>
      </w:r>
      <w:r w:rsidRPr="00E06BE0">
        <w:rPr>
          <w:i/>
          <w:szCs w:val="22"/>
          <w:lang w:eastAsia="it-IT"/>
        </w:rPr>
        <w:t xml:space="preserve"> </w:t>
      </w:r>
    </w:p>
    <w:p w14:paraId="37EE7A55" w14:textId="77777777" w:rsidR="00011F23" w:rsidRPr="00E06BE0" w:rsidRDefault="006662BF" w:rsidP="00E06BE0">
      <w:pPr>
        <w:ind w:left="0" w:firstLine="0"/>
        <w:rPr>
          <w:szCs w:val="22"/>
          <w:lang w:eastAsia="it-IT"/>
        </w:rPr>
      </w:pPr>
      <w:r w:rsidRPr="006662BF">
        <w:rPr>
          <w:szCs w:val="22"/>
          <w:lang w:eastAsia="it-IT"/>
        </w:rPr>
        <w:t>Objem a r</w:t>
      </w:r>
      <w:r>
        <w:rPr>
          <w:szCs w:val="22"/>
          <w:lang w:eastAsia="it-IT"/>
        </w:rPr>
        <w:t>ý</w:t>
      </w:r>
      <w:r w:rsidR="00011F23" w:rsidRPr="00E06BE0">
        <w:rPr>
          <w:szCs w:val="22"/>
          <w:lang w:eastAsia="it-IT"/>
        </w:rPr>
        <w:t>chlos</w:t>
      </w:r>
      <w:r w:rsidR="00BD64EF" w:rsidRPr="00E06BE0">
        <w:rPr>
          <w:szCs w:val="22"/>
          <w:lang w:eastAsia="it-IT"/>
        </w:rPr>
        <w:t>ť</w:t>
      </w:r>
      <w:r w:rsidR="00011F23" w:rsidRPr="00E06BE0">
        <w:rPr>
          <w:szCs w:val="22"/>
          <w:lang w:eastAsia="it-IT"/>
        </w:rPr>
        <w:t xml:space="preserve"> kontrastnej injekcie ma byť úmerná prietoku krvi cievami.</w:t>
      </w:r>
    </w:p>
    <w:p w14:paraId="52D7F1B5" w14:textId="77777777" w:rsidR="00840784" w:rsidRPr="00E06BE0" w:rsidRDefault="00011F23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A</w:t>
      </w:r>
      <w:r w:rsidR="00A61AA5">
        <w:rPr>
          <w:i/>
          <w:szCs w:val="22"/>
          <w:lang w:eastAsia="it-IT"/>
        </w:rPr>
        <w:t>o</w:t>
      </w:r>
      <w:r w:rsidRPr="00E06BE0">
        <w:rPr>
          <w:i/>
          <w:szCs w:val="22"/>
          <w:lang w:eastAsia="it-IT"/>
        </w:rPr>
        <w:t>rtografia</w:t>
      </w:r>
      <w:r w:rsidR="00840784" w:rsidRPr="00E06BE0">
        <w:rPr>
          <w:i/>
          <w:szCs w:val="22"/>
          <w:lang w:eastAsia="it-IT"/>
        </w:rPr>
        <w:t xml:space="preserve"> (art</w:t>
      </w:r>
      <w:r w:rsidR="001A3FE3">
        <w:rPr>
          <w:i/>
          <w:szCs w:val="22"/>
          <w:lang w:eastAsia="it-IT"/>
        </w:rPr>
        <w:t>é</w:t>
      </w:r>
      <w:r w:rsidR="00840784" w:rsidRPr="00E06BE0">
        <w:rPr>
          <w:i/>
          <w:szCs w:val="22"/>
          <w:lang w:eastAsia="it-IT"/>
        </w:rPr>
        <w:t>riogra</w:t>
      </w:r>
      <w:r w:rsidRPr="00E06BE0">
        <w:rPr>
          <w:i/>
          <w:szCs w:val="22"/>
          <w:lang w:eastAsia="it-IT"/>
        </w:rPr>
        <w:t>fia zostupnej aorty</w:t>
      </w:r>
      <w:r w:rsidR="00840784" w:rsidRPr="00E06BE0">
        <w:rPr>
          <w:i/>
          <w:szCs w:val="22"/>
          <w:lang w:eastAsia="it-IT"/>
        </w:rPr>
        <w:t>)</w:t>
      </w:r>
    </w:p>
    <w:p w14:paraId="41609CFF" w14:textId="77777777" w:rsidR="00011F23" w:rsidRPr="00E06BE0" w:rsidRDefault="00011F23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</w:t>
      </w:r>
      <w:r w:rsidR="00FA057C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</w:t>
      </w:r>
      <w:r w:rsidR="006662BF">
        <w:rPr>
          <w:szCs w:val="22"/>
          <w:lang w:eastAsia="it-IT"/>
        </w:rPr>
        <w:t xml:space="preserve"> </w:t>
      </w:r>
      <w:r w:rsidRPr="00E06BE0">
        <w:rPr>
          <w:szCs w:val="22"/>
          <w:lang w:eastAsia="it-IT"/>
        </w:rPr>
        <w:t>byť zavedená priamo intraarteriálnou injekciou (Seldingerova metóda) pre zobrazenie aorty a jej hlavných vetiev.</w:t>
      </w:r>
    </w:p>
    <w:p w14:paraId="3273C039" w14:textId="77777777" w:rsidR="00BD1658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S</w:t>
      </w:r>
      <w:r w:rsidR="00BD1658" w:rsidRPr="00E06BE0">
        <w:rPr>
          <w:i/>
          <w:szCs w:val="22"/>
          <w:lang w:eastAsia="it-IT"/>
        </w:rPr>
        <w:t>elektívna brušná art</w:t>
      </w:r>
      <w:r w:rsidR="00970FB6">
        <w:rPr>
          <w:i/>
          <w:szCs w:val="22"/>
          <w:lang w:eastAsia="it-IT"/>
        </w:rPr>
        <w:t>é</w:t>
      </w:r>
      <w:r w:rsidR="00BD1658" w:rsidRPr="00E06BE0">
        <w:rPr>
          <w:i/>
          <w:szCs w:val="22"/>
          <w:lang w:eastAsia="it-IT"/>
        </w:rPr>
        <w:t>riografia</w:t>
      </w:r>
    </w:p>
    <w:p w14:paraId="1DA21F87" w14:textId="77777777" w:rsidR="00BD1658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Vizualizácia brušnej tepny sa dosiahne katetrizáciou a injekciou do pečene, </w:t>
      </w:r>
      <w:r w:rsidR="00FA057C">
        <w:rPr>
          <w:szCs w:val="22"/>
        </w:rPr>
        <w:t>truncus coeliacus</w:t>
      </w:r>
      <w:r w:rsidRPr="00E06BE0">
        <w:rPr>
          <w:szCs w:val="22"/>
          <w:lang w:eastAsia="it-IT"/>
        </w:rPr>
        <w:t xml:space="preserve"> alebo me</w:t>
      </w:r>
      <w:r w:rsidR="00A16614">
        <w:rPr>
          <w:szCs w:val="22"/>
          <w:lang w:eastAsia="it-IT"/>
        </w:rPr>
        <w:t>z</w:t>
      </w:r>
      <w:r w:rsidRPr="00E06BE0">
        <w:rPr>
          <w:szCs w:val="22"/>
          <w:lang w:eastAsia="it-IT"/>
        </w:rPr>
        <w:t>en</w:t>
      </w:r>
      <w:r w:rsidR="00A16614">
        <w:rPr>
          <w:szCs w:val="22"/>
          <w:lang w:eastAsia="it-IT"/>
        </w:rPr>
        <w:t>t</w:t>
      </w:r>
      <w:r w:rsidRPr="00E06BE0">
        <w:rPr>
          <w:szCs w:val="22"/>
          <w:lang w:eastAsia="it-IT"/>
        </w:rPr>
        <w:t>erických artérií.</w:t>
      </w:r>
    </w:p>
    <w:p w14:paraId="6FA04932" w14:textId="77777777" w:rsidR="00840784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Cerebrálna angiografia</w:t>
      </w:r>
      <w:r w:rsidR="00840784" w:rsidRPr="00E06BE0">
        <w:rPr>
          <w:i/>
          <w:szCs w:val="22"/>
          <w:lang w:eastAsia="it-IT"/>
        </w:rPr>
        <w:t xml:space="preserve"> </w:t>
      </w:r>
    </w:p>
    <w:p w14:paraId="7324E41E" w14:textId="77777777" w:rsidR="000D78A7" w:rsidRPr="00E06BE0" w:rsidRDefault="00BD165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Vykonáva sa </w:t>
      </w:r>
      <w:r w:rsidR="000D78A7" w:rsidRPr="00E06BE0">
        <w:rPr>
          <w:szCs w:val="22"/>
          <w:lang w:eastAsia="it-IT"/>
        </w:rPr>
        <w:t>selekt</w:t>
      </w:r>
      <w:r w:rsidR="00797086">
        <w:rPr>
          <w:szCs w:val="22"/>
          <w:lang w:eastAsia="it-IT"/>
        </w:rPr>
        <w:t>í</w:t>
      </w:r>
      <w:r w:rsidR="000D78A7" w:rsidRPr="00E06BE0">
        <w:rPr>
          <w:szCs w:val="22"/>
          <w:lang w:eastAsia="it-IT"/>
        </w:rPr>
        <w:t xml:space="preserve">vna katetrizácia, ktorá môže vyžadovať opakované podanie množstva 5-10ml </w:t>
      </w:r>
      <w:r w:rsidR="0064292F">
        <w:rPr>
          <w:szCs w:val="22"/>
          <w:lang w:eastAsia="it-IT"/>
        </w:rPr>
        <w:t>j</w:t>
      </w:r>
      <w:r w:rsidR="000D78A7" w:rsidRPr="00E06BE0">
        <w:rPr>
          <w:szCs w:val="22"/>
          <w:lang w:eastAsia="it-IT"/>
        </w:rPr>
        <w:t>omeprolu.</w:t>
      </w:r>
    </w:p>
    <w:p w14:paraId="695054E6" w14:textId="77777777" w:rsidR="000D78A7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Intra-ven</w:t>
      </w:r>
      <w:r w:rsidR="000D78A7" w:rsidRPr="00E06BE0">
        <w:rPr>
          <w:i/>
          <w:szCs w:val="22"/>
          <w:lang w:eastAsia="it-IT"/>
        </w:rPr>
        <w:t>ózna digitálna subtrakčná angiografia )IV-DSA)</w:t>
      </w:r>
    </w:p>
    <w:p w14:paraId="49D5DB17" w14:textId="77777777" w:rsidR="000D78A7" w:rsidRPr="00E06BE0" w:rsidRDefault="000D78A7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má byť podaná intrave</w:t>
      </w:r>
      <w:r w:rsidR="00FA057C">
        <w:rPr>
          <w:szCs w:val="22"/>
          <w:lang w:eastAsia="it-IT"/>
        </w:rPr>
        <w:t>n</w:t>
      </w:r>
      <w:r w:rsidRPr="00E06BE0">
        <w:rPr>
          <w:szCs w:val="22"/>
          <w:lang w:eastAsia="it-IT"/>
        </w:rPr>
        <w:t>ózne centrálne alebo periférne.</w:t>
      </w:r>
    </w:p>
    <w:p w14:paraId="2C42CB89" w14:textId="77777777" w:rsidR="00204A8F" w:rsidRDefault="000D78A7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>IV-DSA m</w:t>
      </w:r>
      <w:r w:rsidR="00335341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 byť použit</w:t>
      </w:r>
      <w:r w:rsidR="00FA057C">
        <w:rPr>
          <w:szCs w:val="22"/>
          <w:lang w:eastAsia="it-IT"/>
        </w:rPr>
        <w:t>á</w:t>
      </w:r>
      <w:r w:rsidRPr="00E06BE0">
        <w:rPr>
          <w:szCs w:val="22"/>
          <w:lang w:eastAsia="it-IT"/>
        </w:rPr>
        <w:t xml:space="preserve"> pre srdce, vrátane koronárnych bypasov</w:t>
      </w:r>
      <w:r w:rsidR="00CB676E" w:rsidRPr="00E06BE0">
        <w:rPr>
          <w:szCs w:val="22"/>
          <w:lang w:eastAsia="it-IT"/>
        </w:rPr>
        <w:t>, p</w:t>
      </w:r>
      <w:r w:rsidR="00FA057C">
        <w:rPr>
          <w:szCs w:val="22"/>
          <w:lang w:eastAsia="it-IT"/>
        </w:rPr>
        <w:t>ľ</w:t>
      </w:r>
      <w:r w:rsidR="00CB676E" w:rsidRPr="00E06BE0">
        <w:rPr>
          <w:szCs w:val="22"/>
          <w:lang w:eastAsia="it-IT"/>
        </w:rPr>
        <w:t>úcnych tepien, tepien brachiocefalického obehu, arteriálneho oblúka, abdominálnej aorty a jej hlavn</w:t>
      </w:r>
      <w:r w:rsidR="00FA057C">
        <w:rPr>
          <w:szCs w:val="22"/>
          <w:lang w:eastAsia="it-IT"/>
        </w:rPr>
        <w:t>ých</w:t>
      </w:r>
      <w:r w:rsidR="00CB676E" w:rsidRPr="00E06BE0">
        <w:rPr>
          <w:szCs w:val="22"/>
          <w:lang w:eastAsia="it-IT"/>
        </w:rPr>
        <w:t xml:space="preserve"> vet</w:t>
      </w:r>
      <w:r w:rsidR="00FA057C">
        <w:rPr>
          <w:szCs w:val="22"/>
          <w:lang w:eastAsia="it-IT"/>
        </w:rPr>
        <w:t>iev</w:t>
      </w:r>
      <w:r w:rsidR="00CB676E" w:rsidRPr="00E06BE0">
        <w:rPr>
          <w:szCs w:val="22"/>
          <w:lang w:eastAsia="it-IT"/>
        </w:rPr>
        <w:t xml:space="preserve"> na bedrové tepny a tepny končatín. </w:t>
      </w:r>
    </w:p>
    <w:p w14:paraId="198719DE" w14:textId="77777777" w:rsidR="00840784" w:rsidRPr="00E06BE0" w:rsidRDefault="00CB676E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</w:t>
      </w:r>
      <w:r w:rsidR="00840784" w:rsidRPr="00E06BE0">
        <w:rPr>
          <w:i/>
          <w:szCs w:val="22"/>
          <w:lang w:eastAsia="it-IT"/>
        </w:rPr>
        <w:t>-arteri</w:t>
      </w:r>
      <w:r w:rsidRPr="00E06BE0">
        <w:rPr>
          <w:i/>
          <w:szCs w:val="22"/>
          <w:lang w:eastAsia="it-IT"/>
        </w:rPr>
        <w:t>álna digitálna substrakčná angiografia</w:t>
      </w:r>
      <w:r w:rsidR="00840784" w:rsidRPr="00E06BE0">
        <w:rPr>
          <w:i/>
          <w:szCs w:val="22"/>
          <w:lang w:eastAsia="it-IT"/>
        </w:rPr>
        <w:t xml:space="preserve"> (IA-DSA)</w:t>
      </w:r>
    </w:p>
    <w:p w14:paraId="6EF81DFB" w14:textId="77777777" w:rsidR="00C009A8" w:rsidRPr="00E06BE0" w:rsidRDefault="0064292F" w:rsidP="00E06BE0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J</w:t>
      </w:r>
      <w:r w:rsidR="00840784" w:rsidRPr="00E06BE0">
        <w:rPr>
          <w:szCs w:val="22"/>
          <w:lang w:eastAsia="it-IT"/>
        </w:rPr>
        <w:t xml:space="preserve">omeprol </w:t>
      </w:r>
      <w:r w:rsidR="00CB676E" w:rsidRPr="00E06BE0">
        <w:rPr>
          <w:szCs w:val="22"/>
          <w:lang w:eastAsia="it-IT"/>
        </w:rPr>
        <w:t>sa odporúča</w:t>
      </w:r>
      <w:r w:rsidR="00C009A8" w:rsidRPr="00E06BE0">
        <w:rPr>
          <w:szCs w:val="22"/>
          <w:lang w:eastAsia="it-IT"/>
        </w:rPr>
        <w:t xml:space="preserve"> pre intra</w:t>
      </w:r>
      <w:r>
        <w:rPr>
          <w:szCs w:val="22"/>
          <w:lang w:eastAsia="it-IT"/>
        </w:rPr>
        <w:t>-</w:t>
      </w:r>
      <w:r w:rsidR="00C009A8" w:rsidRPr="00E06BE0">
        <w:rPr>
          <w:szCs w:val="22"/>
          <w:lang w:eastAsia="it-IT"/>
        </w:rPr>
        <w:t>arteriálnu injekciu h</w:t>
      </w:r>
      <w:r w:rsidR="00335341">
        <w:rPr>
          <w:szCs w:val="22"/>
          <w:lang w:eastAsia="it-IT"/>
        </w:rPr>
        <w:t>l</w:t>
      </w:r>
      <w:r w:rsidR="00C009A8" w:rsidRPr="00E06BE0">
        <w:rPr>
          <w:szCs w:val="22"/>
          <w:lang w:eastAsia="it-IT"/>
        </w:rPr>
        <w:t>avy, krku, brucha, obličiek a periférnych ciev.</w:t>
      </w:r>
    </w:p>
    <w:p w14:paraId="3FA31933" w14:textId="77777777" w:rsidR="00C009A8" w:rsidRPr="00E06BE0" w:rsidRDefault="00C009A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Objem a koncentrácia použité v IA-DSA sú približne 50%, ako sa používa pre konvenčné postupy.</w:t>
      </w:r>
    </w:p>
    <w:p w14:paraId="6F0A8C78" w14:textId="77777777" w:rsidR="00C009A8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Inje</w:t>
      </w:r>
      <w:r w:rsidR="00C009A8" w:rsidRPr="00BE281C">
        <w:rPr>
          <w:szCs w:val="22"/>
          <w:lang w:eastAsia="it-IT"/>
        </w:rPr>
        <w:t>kcia sa môže opakovať podľa potreby.</w:t>
      </w:r>
      <w:r w:rsidR="00946BB5" w:rsidRPr="00BE281C">
        <w:rPr>
          <w:szCs w:val="22"/>
          <w:lang w:eastAsia="it-IT"/>
        </w:rPr>
        <w:t xml:space="preserve"> Pohyb pacienta, vrátane dýchania a prehĺtania môže mať za následo</w:t>
      </w:r>
      <w:r w:rsidR="00B2669C">
        <w:rPr>
          <w:szCs w:val="22"/>
          <w:lang w:eastAsia="it-IT"/>
        </w:rPr>
        <w:t>k</w:t>
      </w:r>
      <w:r w:rsidR="00946BB5" w:rsidRPr="00BE281C">
        <w:rPr>
          <w:szCs w:val="22"/>
          <w:lang w:eastAsia="it-IT"/>
        </w:rPr>
        <w:t xml:space="preserve"> degradáciu obrazu.</w:t>
      </w:r>
    </w:p>
    <w:p w14:paraId="02BBDAB9" w14:textId="77777777" w:rsidR="00840784" w:rsidRPr="00BE281C" w:rsidRDefault="00840784" w:rsidP="00BE281C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Angio</w:t>
      </w:r>
      <w:r w:rsidR="00B2669C">
        <w:rPr>
          <w:i/>
          <w:szCs w:val="22"/>
          <w:lang w:eastAsia="it-IT"/>
        </w:rPr>
        <w:t>k</w:t>
      </w:r>
      <w:r w:rsidRPr="00BE281C">
        <w:rPr>
          <w:i/>
          <w:szCs w:val="22"/>
          <w:lang w:eastAsia="it-IT"/>
        </w:rPr>
        <w:t>ardiog</w:t>
      </w:r>
      <w:r w:rsidR="00B2669C">
        <w:rPr>
          <w:i/>
          <w:szCs w:val="22"/>
          <w:lang w:eastAsia="it-IT"/>
        </w:rPr>
        <w:t>ra</w:t>
      </w:r>
      <w:r w:rsidR="00946BB5" w:rsidRPr="00BE281C">
        <w:rPr>
          <w:i/>
          <w:szCs w:val="22"/>
          <w:lang w:eastAsia="it-IT"/>
        </w:rPr>
        <w:t>fia, ventrikulografia, selektívna koronárna artériografia</w:t>
      </w:r>
    </w:p>
    <w:p w14:paraId="7BC299E2" w14:textId="77777777" w:rsidR="00946BB5" w:rsidRPr="00BE281C" w:rsidRDefault="00946BB5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Je potrebné </w:t>
      </w:r>
      <w:r w:rsidR="007B5F23" w:rsidRPr="007B5F23">
        <w:rPr>
          <w:szCs w:val="22"/>
          <w:lang w:eastAsia="it-IT"/>
        </w:rPr>
        <w:t>mať odborný person</w:t>
      </w:r>
      <w:r w:rsidR="007B5F23">
        <w:rPr>
          <w:szCs w:val="22"/>
          <w:lang w:eastAsia="it-IT"/>
        </w:rPr>
        <w:t>á</w:t>
      </w:r>
      <w:r w:rsidR="005348B2" w:rsidRPr="00BE281C">
        <w:rPr>
          <w:szCs w:val="22"/>
          <w:lang w:eastAsia="it-IT"/>
        </w:rPr>
        <w:t>l, monitorovacie zariadenia, EKG a zodpove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ajúce zariadenia na okamžitú resuscit</w:t>
      </w:r>
      <w:r w:rsidR="003D68F1" w:rsidRPr="003D68F1">
        <w:rPr>
          <w:szCs w:val="22"/>
          <w:lang w:eastAsia="it-IT"/>
        </w:rPr>
        <w:t>áciu a kardioverziu. Elektrokar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iogram a vitálne funkcie majú byť sledované po celú dobu procesu.</w:t>
      </w:r>
    </w:p>
    <w:p w14:paraId="73967986" w14:textId="77777777" w:rsidR="005348B2" w:rsidRPr="00BE281C" w:rsidRDefault="005348B2" w:rsidP="00BE281C">
      <w:pPr>
        <w:ind w:left="0" w:firstLine="0"/>
        <w:rPr>
          <w:szCs w:val="22"/>
          <w:u w:val="single"/>
          <w:lang w:eastAsia="it-IT"/>
        </w:rPr>
      </w:pPr>
    </w:p>
    <w:p w14:paraId="6EC0F559" w14:textId="77777777" w:rsidR="00840784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u w:val="single"/>
          <w:lang w:eastAsia="it-IT"/>
        </w:rPr>
        <w:t>Intrat</w:t>
      </w:r>
      <w:r w:rsidR="005348B2" w:rsidRPr="00BE281C">
        <w:rPr>
          <w:szCs w:val="22"/>
          <w:u w:val="single"/>
          <w:lang w:eastAsia="it-IT"/>
        </w:rPr>
        <w:t>ekálne podanie</w:t>
      </w:r>
      <w:r w:rsidRPr="00BE281C">
        <w:rPr>
          <w:szCs w:val="22"/>
          <w:u w:val="single"/>
          <w:lang w:eastAsia="it-IT"/>
        </w:rPr>
        <w:t xml:space="preserve"> (IT)</w:t>
      </w:r>
    </w:p>
    <w:p w14:paraId="7B915848" w14:textId="77777777" w:rsidR="005348B2" w:rsidRPr="00BE281C" w:rsidRDefault="005348B2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Celková dávka </w:t>
      </w:r>
      <w:r w:rsidR="00AA3753" w:rsidRPr="00BE281C">
        <w:rPr>
          <w:szCs w:val="22"/>
          <w:lang w:eastAsia="it-IT"/>
        </w:rPr>
        <w:t>vyššia ako 4500 mg jódu a jomeprolové injekcie</w:t>
      </w:r>
      <w:r w:rsidR="0024187A">
        <w:rPr>
          <w:szCs w:val="22"/>
          <w:lang w:eastAsia="it-IT"/>
        </w:rPr>
        <w:t>, ktoré obsahujú</w:t>
      </w:r>
      <w:r w:rsidR="00AA3753" w:rsidRPr="00BE281C">
        <w:rPr>
          <w:szCs w:val="22"/>
          <w:lang w:eastAsia="it-IT"/>
        </w:rPr>
        <w:t xml:space="preserve"> viac ako 300 mg I/l</w:t>
      </w:r>
      <w:r w:rsidR="0024187A" w:rsidRPr="0024187A">
        <w:rPr>
          <w:szCs w:val="22"/>
          <w:lang w:eastAsia="it-IT"/>
        </w:rPr>
        <w:t xml:space="preserve"> sa nem</w:t>
      </w:r>
      <w:r w:rsidR="0024187A">
        <w:rPr>
          <w:szCs w:val="22"/>
          <w:lang w:eastAsia="it-IT"/>
        </w:rPr>
        <w:t>ajú</w:t>
      </w:r>
      <w:r w:rsidR="00AA3753" w:rsidRPr="00BE281C">
        <w:rPr>
          <w:szCs w:val="22"/>
          <w:lang w:eastAsia="it-IT"/>
        </w:rPr>
        <w:t xml:space="preserve"> používať intratekálne.</w:t>
      </w:r>
    </w:p>
    <w:p w14:paraId="11F4B33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Lumbálna punkcia</w:t>
      </w:r>
      <w:r w:rsidR="0024187A">
        <w:rPr>
          <w:szCs w:val="22"/>
          <w:lang w:eastAsia="it-IT"/>
        </w:rPr>
        <w:t xml:space="preserve"> je</w:t>
      </w:r>
      <w:r w:rsidRPr="00BE281C">
        <w:rPr>
          <w:szCs w:val="22"/>
          <w:lang w:eastAsia="it-IT"/>
        </w:rPr>
        <w:t xml:space="preserve"> medzi L3 a L4 </w:t>
      </w:r>
      <w:r w:rsidR="0024187A">
        <w:rPr>
          <w:szCs w:val="22"/>
          <w:lang w:eastAsia="it-IT"/>
        </w:rPr>
        <w:t xml:space="preserve">v prípade, </w:t>
      </w:r>
      <w:r w:rsidRPr="00BE281C">
        <w:rPr>
          <w:szCs w:val="22"/>
          <w:lang w:eastAsia="it-IT"/>
        </w:rPr>
        <w:t xml:space="preserve">ak je patologické podozrenie. </w:t>
      </w:r>
    </w:p>
    <w:p w14:paraId="738C6F4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Aby sa zabránilo nadmernému zmiešaniu s mozgovomiechovým mokom</w:t>
      </w:r>
      <w:r w:rsidR="002C5FB0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injekcia musí byť podaná pomaly</w:t>
      </w:r>
      <w:r w:rsidR="002C5FB0">
        <w:rPr>
          <w:szCs w:val="22"/>
          <w:lang w:eastAsia="it-IT"/>
        </w:rPr>
        <w:t xml:space="preserve"> počas</w:t>
      </w:r>
      <w:r w:rsidRPr="00BE281C">
        <w:rPr>
          <w:szCs w:val="22"/>
          <w:lang w:eastAsia="it-IT"/>
        </w:rPr>
        <w:t xml:space="preserve"> 1-2 minút.</w:t>
      </w:r>
    </w:p>
    <w:p w14:paraId="6D966510" w14:textId="77777777" w:rsidR="00840784" w:rsidRPr="00BE281C" w:rsidRDefault="001A77F5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Počas intratekálneho podania je potre</w:t>
      </w:r>
      <w:r w:rsidR="002C5FB0">
        <w:rPr>
          <w:szCs w:val="22"/>
          <w:lang w:eastAsia="it-IT"/>
        </w:rPr>
        <w:t>b</w:t>
      </w:r>
      <w:r w:rsidRPr="00BE281C">
        <w:rPr>
          <w:szCs w:val="22"/>
          <w:lang w:eastAsia="it-IT"/>
        </w:rPr>
        <w:t>né:</w:t>
      </w:r>
    </w:p>
    <w:p w14:paraId="3DB00854" w14:textId="77777777" w:rsidR="002C5FB0" w:rsidRDefault="001A77F5" w:rsidP="007E3362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 w:rsidRPr="00BE281C">
        <w:rPr>
          <w:szCs w:val="22"/>
          <w:lang w:eastAsia="it-IT"/>
        </w:rPr>
        <w:t>Zvýšiť</w:t>
      </w:r>
      <w:r w:rsidR="002C5FB0">
        <w:rPr>
          <w:szCs w:val="22"/>
          <w:lang w:eastAsia="it-IT"/>
        </w:rPr>
        <w:t xml:space="preserve"> polohu</w:t>
      </w:r>
      <w:r w:rsidRPr="00BE281C">
        <w:rPr>
          <w:szCs w:val="22"/>
          <w:lang w:eastAsia="it-IT"/>
        </w:rPr>
        <w:t xml:space="preserve"> pacientov</w:t>
      </w:r>
      <w:r w:rsidR="002C5FB0">
        <w:rPr>
          <w:szCs w:val="22"/>
          <w:lang w:eastAsia="it-IT"/>
        </w:rPr>
        <w:t>ej</w:t>
      </w:r>
      <w:r w:rsidRPr="00BE281C">
        <w:rPr>
          <w:szCs w:val="22"/>
          <w:lang w:eastAsia="it-IT"/>
        </w:rPr>
        <w:t xml:space="preserve"> hlav</w:t>
      </w:r>
      <w:r w:rsidR="002C5FB0">
        <w:rPr>
          <w:szCs w:val="22"/>
          <w:lang w:eastAsia="it-IT"/>
        </w:rPr>
        <w:t>y</w:t>
      </w:r>
      <w:r w:rsidRPr="00BE281C">
        <w:rPr>
          <w:szCs w:val="22"/>
          <w:lang w:eastAsia="it-IT"/>
        </w:rPr>
        <w:t xml:space="preserve"> na nosid</w:t>
      </w:r>
      <w:r w:rsidR="0024187A">
        <w:rPr>
          <w:szCs w:val="22"/>
          <w:lang w:eastAsia="it-IT"/>
        </w:rPr>
        <w:t>l</w:t>
      </w:r>
      <w:r w:rsidRPr="00BE281C">
        <w:rPr>
          <w:szCs w:val="22"/>
          <w:lang w:eastAsia="it-IT"/>
        </w:rPr>
        <w:t>ách alebo v</w:t>
      </w:r>
      <w:r w:rsidR="0024187A">
        <w:rPr>
          <w:szCs w:val="22"/>
          <w:lang w:eastAsia="it-IT"/>
        </w:rPr>
        <w:t> </w:t>
      </w:r>
      <w:r w:rsidRPr="00BE281C">
        <w:rPr>
          <w:szCs w:val="22"/>
          <w:lang w:eastAsia="it-IT"/>
        </w:rPr>
        <w:t>posteli</w:t>
      </w:r>
      <w:r w:rsidR="0024187A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a</w:t>
      </w:r>
      <w:r w:rsidR="0024187A">
        <w:rPr>
          <w:szCs w:val="22"/>
          <w:lang w:eastAsia="it-IT"/>
        </w:rPr>
        <w:t>le</w:t>
      </w:r>
      <w:r w:rsidRPr="00BE281C">
        <w:rPr>
          <w:szCs w:val="22"/>
          <w:lang w:eastAsia="it-IT"/>
        </w:rPr>
        <w:t xml:space="preserve"> </w:t>
      </w:r>
      <w:r w:rsidR="0024187A" w:rsidRPr="007E3362">
        <w:rPr>
          <w:szCs w:val="22"/>
          <w:lang w:eastAsia="it-IT"/>
        </w:rPr>
        <w:t>n</w:t>
      </w:r>
      <w:r w:rsidRPr="007E3362">
        <w:rPr>
          <w:szCs w:val="22"/>
          <w:lang w:eastAsia="it-IT"/>
        </w:rPr>
        <w:t>ie nižšie ako o 10-20</w:t>
      </w:r>
      <w:r w:rsidR="002C5FB0" w:rsidRPr="007E3362">
        <w:rPr>
          <w:szCs w:val="22"/>
          <w:lang w:eastAsia="it-IT"/>
        </w:rPr>
        <w:t xml:space="preserve"> </w:t>
      </w:r>
      <w:r w:rsidR="007E3362" w:rsidRPr="007E3362">
        <w:rPr>
          <w:szCs w:val="22"/>
          <w:lang w:eastAsia="it-IT"/>
        </w:rPr>
        <w:t>stupňov počas hrudných a krčných procedúr,</w:t>
      </w:r>
    </w:p>
    <w:p w14:paraId="253C5F8D" w14:textId="77777777" w:rsidR="00081671" w:rsidRPr="00BE281C" w:rsidRDefault="0024187A" w:rsidP="00A61AA5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>
        <w:rPr>
          <w:szCs w:val="22"/>
          <w:lang w:eastAsia="it-IT"/>
        </w:rPr>
        <w:t>u</w:t>
      </w:r>
      <w:r w:rsidR="00081671" w:rsidRPr="00BE281C">
        <w:rPr>
          <w:szCs w:val="22"/>
          <w:lang w:eastAsia="it-IT"/>
        </w:rPr>
        <w:t xml:space="preserve"> pacientov s nadmernou lor</w:t>
      </w:r>
      <w:r>
        <w:rPr>
          <w:szCs w:val="22"/>
          <w:lang w:eastAsia="it-IT"/>
        </w:rPr>
        <w:t>d</w:t>
      </w:r>
      <w:r w:rsidR="00081671" w:rsidRPr="00BE281C">
        <w:rPr>
          <w:szCs w:val="22"/>
          <w:lang w:eastAsia="it-IT"/>
        </w:rPr>
        <w:t>ózou treba zvážiť polohovanie pacienta pre vstrekovanie a pohyb v strednom cephale (bližšie k hlave).</w:t>
      </w:r>
    </w:p>
    <w:p w14:paraId="182A6051" w14:textId="77777777" w:rsidR="00840784" w:rsidRPr="00BE281C" w:rsidRDefault="00840784" w:rsidP="002A5D15">
      <w:pPr>
        <w:ind w:left="0" w:firstLine="0"/>
        <w:rPr>
          <w:szCs w:val="22"/>
          <w:lang w:eastAsia="it-IT"/>
        </w:rPr>
      </w:pPr>
    </w:p>
    <w:p w14:paraId="2CBDD0D4" w14:textId="77777777" w:rsidR="00081671" w:rsidRPr="00BE281C" w:rsidRDefault="00081671" w:rsidP="009E4B56">
      <w:pPr>
        <w:ind w:left="0" w:firstLine="0"/>
        <w:outlineLvl w:val="0"/>
        <w:rPr>
          <w:szCs w:val="22"/>
          <w:u w:val="single"/>
          <w:lang w:eastAsia="it-IT"/>
        </w:rPr>
      </w:pPr>
      <w:r w:rsidRPr="00BE281C">
        <w:rPr>
          <w:szCs w:val="22"/>
          <w:u w:val="single"/>
          <w:lang w:eastAsia="it-IT"/>
        </w:rPr>
        <w:t>Iné spôsoby podávania:</w:t>
      </w:r>
    </w:p>
    <w:p w14:paraId="090120D9" w14:textId="77777777" w:rsidR="00840784" w:rsidRPr="00BE281C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Artrogr</w:t>
      </w:r>
      <w:r w:rsidR="00081671" w:rsidRPr="00BE281C">
        <w:rPr>
          <w:i/>
          <w:szCs w:val="22"/>
          <w:lang w:eastAsia="it-IT"/>
        </w:rPr>
        <w:t>afia, fistulografia, vesikulografia</w:t>
      </w:r>
    </w:p>
    <w:p w14:paraId="0B55D16B" w14:textId="77777777" w:rsidR="00081671" w:rsidRPr="00BE281C" w:rsidRDefault="00081671" w:rsidP="009E4B56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Sú potrebné prísne aseptické postupy, aby sa zabránilo infekcii.</w:t>
      </w:r>
    </w:p>
    <w:p w14:paraId="764FAC44" w14:textId="77777777" w:rsidR="00081671" w:rsidRPr="009E4B56" w:rsidRDefault="002027FD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Artrografia</w:t>
      </w:r>
      <w:r w:rsidR="00A61AA5">
        <w:rPr>
          <w:szCs w:val="22"/>
          <w:lang w:eastAsia="it-IT"/>
        </w:rPr>
        <w:t xml:space="preserve"> </w:t>
      </w:r>
      <w:r w:rsidR="00081671" w:rsidRPr="00BE281C">
        <w:rPr>
          <w:szCs w:val="22"/>
          <w:lang w:eastAsia="it-IT"/>
        </w:rPr>
        <w:t xml:space="preserve">sa vykonáva zvyčajne </w:t>
      </w:r>
      <w:r w:rsidR="002A5D15" w:rsidRPr="002A5D15">
        <w:rPr>
          <w:szCs w:val="22"/>
          <w:lang w:eastAsia="it-IT"/>
        </w:rPr>
        <w:t>v lokálnej anestéz</w:t>
      </w:r>
      <w:r w:rsidR="002A5D15">
        <w:rPr>
          <w:szCs w:val="22"/>
          <w:lang w:eastAsia="it-IT"/>
        </w:rPr>
        <w:t>e</w:t>
      </w:r>
      <w:r w:rsidR="00081671" w:rsidRPr="009E4B56">
        <w:rPr>
          <w:szCs w:val="22"/>
          <w:lang w:eastAsia="it-IT"/>
        </w:rPr>
        <w:t>.</w:t>
      </w:r>
    </w:p>
    <w:p w14:paraId="6990A7F5" w14:textId="77777777" w:rsidR="00081671" w:rsidRPr="009E4B56" w:rsidRDefault="00081671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Fluoroskopická kontrola má byť použitá na zabezpečenie správneho zavedenia ihly do synoviá</w:t>
      </w:r>
      <w:r w:rsidR="0064292F">
        <w:rPr>
          <w:szCs w:val="22"/>
          <w:lang w:eastAsia="it-IT"/>
        </w:rPr>
        <w:t>l</w:t>
      </w:r>
      <w:r w:rsidRPr="009E4B56">
        <w:rPr>
          <w:szCs w:val="22"/>
          <w:lang w:eastAsia="it-IT"/>
        </w:rPr>
        <w:t xml:space="preserve">neho priestoru </w:t>
      </w:r>
      <w:r w:rsidR="007555A0" w:rsidRPr="009E4B56">
        <w:rPr>
          <w:szCs w:val="22"/>
          <w:lang w:eastAsia="it-IT"/>
        </w:rPr>
        <w:t xml:space="preserve">aby sa zabránilo extrakapsulárnej injekcii. </w:t>
      </w:r>
    </w:p>
    <w:p w14:paraId="6D885A90" w14:textId="77777777" w:rsidR="007555A0" w:rsidRDefault="000C5A2B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Odsávanie</w:t>
      </w:r>
      <w:r w:rsidR="007555A0" w:rsidRPr="009E4B56">
        <w:rPr>
          <w:szCs w:val="22"/>
          <w:lang w:eastAsia="it-IT"/>
        </w:rPr>
        <w:t xml:space="preserve"> nadmernej synoviálnej tekutiny do priestoru znižuje bolesť pri injekcii, aby sa zabránilo riedeniu </w:t>
      </w:r>
      <w:r w:rsidR="00CD063C">
        <w:rPr>
          <w:szCs w:val="22"/>
          <w:lang w:eastAsia="it-IT"/>
        </w:rPr>
        <w:t>k</w:t>
      </w:r>
      <w:r w:rsidR="007555A0" w:rsidRPr="009E4B56">
        <w:rPr>
          <w:szCs w:val="22"/>
          <w:lang w:eastAsia="it-IT"/>
        </w:rPr>
        <w:t>ontrastnej látky.</w:t>
      </w:r>
    </w:p>
    <w:p w14:paraId="23072A1E" w14:textId="77777777" w:rsidR="00CD063C" w:rsidRPr="009E4B56" w:rsidRDefault="00CD063C" w:rsidP="009E4B56">
      <w:pPr>
        <w:ind w:left="0" w:firstLine="0"/>
        <w:rPr>
          <w:szCs w:val="22"/>
          <w:lang w:eastAsia="it-IT"/>
        </w:rPr>
      </w:pPr>
    </w:p>
    <w:p w14:paraId="64E798A3" w14:textId="77777777" w:rsidR="007555A0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V priebehu vstrekovania sa nemá </w:t>
      </w:r>
      <w:r w:rsidR="00CD063C" w:rsidRPr="00CD063C">
        <w:rPr>
          <w:szCs w:val="22"/>
          <w:lang w:eastAsia="it-IT"/>
        </w:rPr>
        <w:t>vyvíjať</w:t>
      </w:r>
      <w:r w:rsidRPr="009E4B56">
        <w:rPr>
          <w:szCs w:val="22"/>
          <w:lang w:eastAsia="it-IT"/>
        </w:rPr>
        <w:t xml:space="preserve"> nadmerný tlak.</w:t>
      </w:r>
    </w:p>
    <w:p w14:paraId="23D799F5" w14:textId="77777777" w:rsidR="00FE4DE5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Vizualizácia spoločných dutín a kĺbov</w:t>
      </w:r>
      <w:r w:rsidR="00FE4DE5" w:rsidRPr="009E4B56">
        <w:rPr>
          <w:szCs w:val="22"/>
          <w:lang w:eastAsia="it-IT"/>
        </w:rPr>
        <w:t xml:space="preserve">ých plôch sa dosiahne </w:t>
      </w:r>
      <w:r w:rsidR="00F4206B" w:rsidRPr="00F4206B">
        <w:rPr>
          <w:szCs w:val="22"/>
          <w:lang w:eastAsia="it-IT"/>
        </w:rPr>
        <w:t>jedným</w:t>
      </w:r>
      <w:r w:rsidR="00FE4DE5" w:rsidRPr="009E4B56">
        <w:rPr>
          <w:szCs w:val="22"/>
          <w:lang w:eastAsia="it-IT"/>
        </w:rPr>
        <w:t xml:space="preserve"> alebo dvojitým kontrastným vyšetrením.</w:t>
      </w:r>
    </w:p>
    <w:p w14:paraId="2139FF55" w14:textId="77777777" w:rsidR="00FE4DE5" w:rsidRPr="009E4B56" w:rsidRDefault="00FE4DE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Nižšie množstvo kontrastnej látky sa používa na kolennú a ramennú artrografiu pri dvo</w:t>
      </w:r>
      <w:r w:rsidR="00F4206B">
        <w:rPr>
          <w:szCs w:val="22"/>
          <w:lang w:eastAsia="it-IT"/>
        </w:rPr>
        <w:t>j</w:t>
      </w:r>
      <w:r w:rsidRPr="009E4B56">
        <w:rPr>
          <w:szCs w:val="22"/>
          <w:lang w:eastAsia="it-IT"/>
        </w:rPr>
        <w:t>itom vyšetrení.</w:t>
      </w:r>
    </w:p>
    <w:p w14:paraId="4905239D" w14:textId="77777777" w:rsidR="00CC2155" w:rsidRPr="009E4B56" w:rsidRDefault="00CC215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Na rozptýlenie </w:t>
      </w:r>
      <w:r w:rsidR="00F4206B" w:rsidRPr="00F4206B">
        <w:rPr>
          <w:szCs w:val="22"/>
          <w:lang w:eastAsia="it-IT"/>
        </w:rPr>
        <w:t>média</w:t>
      </w:r>
      <w:r w:rsidRPr="009E4B56">
        <w:rPr>
          <w:szCs w:val="22"/>
          <w:lang w:eastAsia="it-IT"/>
        </w:rPr>
        <w:t xml:space="preserve"> v celom priestore kĺbu sa používajú aktívne alebo pasívne manipulácie.</w:t>
      </w:r>
    </w:p>
    <w:p w14:paraId="65341FAA" w14:textId="77777777" w:rsidR="00F4206B" w:rsidRDefault="00F4206B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1BAFB099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Endos</w:t>
      </w:r>
      <w:r w:rsidR="00437D58" w:rsidRPr="009E4B56">
        <w:rPr>
          <w:i/>
          <w:szCs w:val="22"/>
          <w:lang w:eastAsia="it-IT"/>
        </w:rPr>
        <w:t>kopická</w:t>
      </w:r>
      <w:r w:rsidRPr="009E4B56">
        <w:rPr>
          <w:i/>
          <w:szCs w:val="22"/>
          <w:lang w:eastAsia="it-IT"/>
        </w:rPr>
        <w:t xml:space="preserve"> retrogr</w:t>
      </w:r>
      <w:r w:rsidR="00437D58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cholangio-pan</w:t>
      </w:r>
      <w:r w:rsidR="00437D58" w:rsidRPr="009E4B56">
        <w:rPr>
          <w:i/>
          <w:szCs w:val="22"/>
          <w:lang w:eastAsia="it-IT"/>
        </w:rPr>
        <w:t xml:space="preserve">kreotografia </w:t>
      </w:r>
      <w:r w:rsidRPr="009E4B56">
        <w:rPr>
          <w:i/>
          <w:szCs w:val="22"/>
          <w:lang w:eastAsia="it-IT"/>
        </w:rPr>
        <w:t>(E.R.C.P.)</w:t>
      </w:r>
    </w:p>
    <w:p w14:paraId="3E16B061" w14:textId="77777777" w:rsidR="00EC69AE" w:rsidRDefault="00437D58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Počas </w:t>
      </w:r>
      <w:r w:rsidR="00C535DF" w:rsidRPr="009E4B56">
        <w:rPr>
          <w:szCs w:val="22"/>
          <w:lang w:eastAsia="it-IT"/>
        </w:rPr>
        <w:t xml:space="preserve">ERCP sa </w:t>
      </w:r>
      <w:r w:rsidRPr="009E4B56">
        <w:rPr>
          <w:szCs w:val="22"/>
          <w:lang w:eastAsia="it-IT"/>
        </w:rPr>
        <w:t xml:space="preserve">má </w:t>
      </w:r>
      <w:r w:rsidR="00C535DF" w:rsidRPr="009E4B56">
        <w:rPr>
          <w:szCs w:val="22"/>
          <w:lang w:eastAsia="it-IT"/>
        </w:rPr>
        <w:t xml:space="preserve">venovať pozornosť </w:t>
      </w:r>
      <w:r w:rsidR="00F4206B" w:rsidRPr="00F50FCA">
        <w:rPr>
          <w:szCs w:val="22"/>
          <w:lang w:eastAsia="it-IT"/>
        </w:rPr>
        <w:t xml:space="preserve">vstrekovaciemu </w:t>
      </w:r>
      <w:r w:rsidR="00C535DF" w:rsidRPr="009E4B56">
        <w:rPr>
          <w:szCs w:val="22"/>
          <w:lang w:eastAsia="it-IT"/>
        </w:rPr>
        <w:t xml:space="preserve">tlaku injekcie a celkovému objemu podanej injekcie na zníženie rozšírenia </w:t>
      </w:r>
      <w:r w:rsidR="00EC69AE" w:rsidRPr="009E4B56">
        <w:rPr>
          <w:szCs w:val="22"/>
          <w:lang w:eastAsia="it-IT"/>
        </w:rPr>
        <w:t>kanál</w:t>
      </w:r>
      <w:r w:rsidR="000C5A2B">
        <w:rPr>
          <w:szCs w:val="22"/>
          <w:lang w:eastAsia="it-IT"/>
        </w:rPr>
        <w:t>a</w:t>
      </w:r>
      <w:r w:rsidR="00EC69AE" w:rsidRPr="009E4B56">
        <w:rPr>
          <w:szCs w:val="22"/>
          <w:lang w:eastAsia="it-IT"/>
        </w:rPr>
        <w:t xml:space="preserve"> vyšetren</w:t>
      </w:r>
      <w:r w:rsidR="000C5A2B">
        <w:rPr>
          <w:szCs w:val="22"/>
          <w:lang w:eastAsia="it-IT"/>
        </w:rPr>
        <w:t>ia</w:t>
      </w:r>
      <w:r w:rsidR="00EC69AE" w:rsidRPr="009E4B56">
        <w:rPr>
          <w:szCs w:val="22"/>
          <w:lang w:eastAsia="it-IT"/>
        </w:rPr>
        <w:t>.</w:t>
      </w:r>
      <w:r w:rsidR="00F50FCA">
        <w:rPr>
          <w:szCs w:val="22"/>
          <w:lang w:eastAsia="it-IT"/>
        </w:rPr>
        <w:t xml:space="preserve"> Maximálna dávka pre použitie v ERPC je 100ml.</w:t>
      </w:r>
    </w:p>
    <w:p w14:paraId="07794811" w14:textId="77777777" w:rsidR="00F4206B" w:rsidRPr="009E4B56" w:rsidRDefault="00F4206B" w:rsidP="009E4B56">
      <w:pPr>
        <w:ind w:left="0" w:firstLine="0"/>
        <w:rPr>
          <w:szCs w:val="22"/>
          <w:lang w:eastAsia="it-IT"/>
        </w:rPr>
      </w:pPr>
    </w:p>
    <w:p w14:paraId="52CE6AF3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Hysterosalpingogra</w:t>
      </w:r>
      <w:r w:rsidR="00B74020" w:rsidRPr="009E4B56">
        <w:rPr>
          <w:i/>
          <w:szCs w:val="22"/>
          <w:lang w:eastAsia="it-IT"/>
        </w:rPr>
        <w:t>fia</w:t>
      </w:r>
    </w:p>
    <w:p w14:paraId="53E9BDA6" w14:textId="77777777" w:rsidR="00840784" w:rsidRPr="009E4B56" w:rsidRDefault="00B7402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Zvyčajná dávka je</w:t>
      </w:r>
      <w:r w:rsidR="00840784" w:rsidRPr="009E4B56">
        <w:rPr>
          <w:szCs w:val="22"/>
          <w:lang w:eastAsia="it-IT"/>
        </w:rPr>
        <w:t xml:space="preserve"> 10-15 m</w:t>
      </w:r>
      <w:r w:rsidRPr="009E4B56">
        <w:rPr>
          <w:szCs w:val="22"/>
          <w:lang w:eastAsia="it-IT"/>
        </w:rPr>
        <w:t>l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podávaná pomaly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cez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kanilu</w:t>
      </w:r>
      <w:r w:rsidR="00183DC2" w:rsidRPr="009E4B56">
        <w:rPr>
          <w:szCs w:val="22"/>
          <w:lang w:eastAsia="it-IT"/>
        </w:rPr>
        <w:t xml:space="preserve"> bez zbytočného tlaku</w:t>
      </w:r>
      <w:r w:rsidR="00840784" w:rsidRPr="009E4B56">
        <w:rPr>
          <w:szCs w:val="22"/>
          <w:lang w:eastAsia="it-IT"/>
        </w:rPr>
        <w:t xml:space="preserve">. </w:t>
      </w:r>
      <w:r w:rsidR="00183DC2" w:rsidRPr="009E4B56">
        <w:rPr>
          <w:szCs w:val="22"/>
          <w:lang w:eastAsia="it-IT"/>
        </w:rPr>
        <w:t>Odporúča sa fluoroskopické sledovanie.</w:t>
      </w:r>
    </w:p>
    <w:p w14:paraId="491D6D2F" w14:textId="77777777" w:rsidR="00892AF3" w:rsidRPr="009E4B56" w:rsidRDefault="00892AF3" w:rsidP="009E4B56">
      <w:pPr>
        <w:ind w:left="0" w:firstLine="0"/>
        <w:rPr>
          <w:szCs w:val="22"/>
          <w:lang w:eastAsia="it-IT"/>
        </w:rPr>
      </w:pPr>
    </w:p>
    <w:p w14:paraId="08F282CA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Retrogr</w:t>
      </w:r>
      <w:r w:rsidR="00183DC2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cystouretrogra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/pyelogra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/cholangiogra</w:t>
      </w:r>
      <w:r w:rsidR="00183DC2" w:rsidRPr="009E4B56">
        <w:rPr>
          <w:i/>
          <w:szCs w:val="22"/>
          <w:lang w:eastAsia="it-IT"/>
        </w:rPr>
        <w:t>fia</w:t>
      </w:r>
    </w:p>
    <w:p w14:paraId="5A902346" w14:textId="77777777" w:rsidR="00183DC2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Sú nevyhnutné sterilné postupy.</w:t>
      </w:r>
    </w:p>
    <w:p w14:paraId="66A60E7E" w14:textId="77777777" w:rsidR="00947ECF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Vzh</w:t>
      </w:r>
      <w:r w:rsidR="003362EE" w:rsidRPr="009E4B56">
        <w:rPr>
          <w:szCs w:val="22"/>
          <w:lang w:eastAsia="it-IT"/>
        </w:rPr>
        <w:t>ľ</w:t>
      </w:r>
      <w:r w:rsidRPr="009E4B56">
        <w:rPr>
          <w:szCs w:val="22"/>
          <w:lang w:eastAsia="it-IT"/>
        </w:rPr>
        <w:t>adom k tomu, že retrogr</w:t>
      </w:r>
      <w:r w:rsidR="003362EE" w:rsidRPr="009E4B56">
        <w:rPr>
          <w:szCs w:val="22"/>
          <w:lang w:eastAsia="it-IT"/>
        </w:rPr>
        <w:t>á</w:t>
      </w:r>
      <w:r w:rsidRPr="009E4B56">
        <w:rPr>
          <w:szCs w:val="22"/>
          <w:lang w:eastAsia="it-IT"/>
        </w:rPr>
        <w:t xml:space="preserve">dne </w:t>
      </w:r>
      <w:r w:rsidR="00892AF3" w:rsidRPr="009E4B56">
        <w:rPr>
          <w:szCs w:val="22"/>
          <w:lang w:eastAsia="it-IT"/>
        </w:rPr>
        <w:t>procesy</w:t>
      </w:r>
      <w:r w:rsidRPr="009E4B56">
        <w:rPr>
          <w:szCs w:val="22"/>
          <w:lang w:eastAsia="it-IT"/>
        </w:rPr>
        <w:t xml:space="preserve"> </w:t>
      </w:r>
      <w:r w:rsidR="003362EE" w:rsidRPr="009E4B56">
        <w:rPr>
          <w:szCs w:val="22"/>
          <w:lang w:eastAsia="it-IT"/>
        </w:rPr>
        <w:t xml:space="preserve">si </w:t>
      </w:r>
      <w:r w:rsidRPr="009E4B56">
        <w:rPr>
          <w:szCs w:val="22"/>
          <w:lang w:eastAsia="it-IT"/>
        </w:rPr>
        <w:t xml:space="preserve">vyžadujú </w:t>
      </w:r>
      <w:r w:rsidR="003362EE" w:rsidRPr="009E4B56">
        <w:rPr>
          <w:szCs w:val="22"/>
          <w:lang w:eastAsia="it-IT"/>
        </w:rPr>
        <w:t>špeciálne</w:t>
      </w:r>
      <w:r w:rsidRPr="009E4B56">
        <w:rPr>
          <w:szCs w:val="22"/>
          <w:lang w:eastAsia="it-IT"/>
        </w:rPr>
        <w:t xml:space="preserve"> prístrojové vybavenie</w:t>
      </w:r>
      <w:r w:rsidR="003362EE" w:rsidRPr="009E4B56">
        <w:rPr>
          <w:szCs w:val="22"/>
          <w:lang w:eastAsia="it-IT"/>
        </w:rPr>
        <w:t xml:space="preserve">, </w:t>
      </w:r>
      <w:r w:rsidR="00947ECF" w:rsidRPr="009E4B56">
        <w:rPr>
          <w:szCs w:val="22"/>
          <w:lang w:eastAsia="it-IT"/>
        </w:rPr>
        <w:t xml:space="preserve">majú byť </w:t>
      </w:r>
      <w:r w:rsidR="003362EE" w:rsidRPr="009E4B56">
        <w:rPr>
          <w:szCs w:val="22"/>
          <w:lang w:eastAsia="it-IT"/>
        </w:rPr>
        <w:t xml:space="preserve">pacienti s akútnou infekciou orgánov </w:t>
      </w:r>
      <w:r w:rsidR="00947ECF" w:rsidRPr="009E4B56">
        <w:rPr>
          <w:szCs w:val="22"/>
          <w:lang w:eastAsia="it-IT"/>
        </w:rPr>
        <w:t>vyšetrovaní s opatrnosťou.</w:t>
      </w:r>
    </w:p>
    <w:p w14:paraId="0B86DE5B" w14:textId="77777777" w:rsidR="00F50625" w:rsidRPr="009E4B56" w:rsidRDefault="00F50625" w:rsidP="009E4B56">
      <w:pPr>
        <w:ind w:left="0" w:firstLine="0"/>
        <w:rPr>
          <w:szCs w:val="22"/>
          <w:lang w:eastAsia="it-IT"/>
        </w:rPr>
      </w:pPr>
      <w:r w:rsidRPr="00113579">
        <w:rPr>
          <w:szCs w:val="22"/>
        </w:rPr>
        <w:t>Pre cystouretrogra</w:t>
      </w:r>
      <w:r w:rsidRPr="00335341">
        <w:rPr>
          <w:szCs w:val="22"/>
        </w:rPr>
        <w:t xml:space="preserve">fiu </w:t>
      </w:r>
      <w:r w:rsidR="00272D02" w:rsidRPr="007B5F23">
        <w:rPr>
          <w:szCs w:val="22"/>
        </w:rPr>
        <w:t>má byť</w:t>
      </w:r>
      <w:r w:rsidR="00ED6CE0" w:rsidRPr="007B5F23">
        <w:rPr>
          <w:szCs w:val="22"/>
        </w:rPr>
        <w:t xml:space="preserve"> poda</w:t>
      </w:r>
      <w:r w:rsidR="00272D02" w:rsidRPr="0024187A">
        <w:rPr>
          <w:szCs w:val="22"/>
        </w:rPr>
        <w:t>né</w:t>
      </w:r>
      <w:r w:rsidR="00ED6CE0" w:rsidRPr="0024187A">
        <w:rPr>
          <w:szCs w:val="22"/>
        </w:rPr>
        <w:t xml:space="preserve"> dostatočné </w:t>
      </w:r>
      <w:r w:rsidRPr="0024187A">
        <w:rPr>
          <w:szCs w:val="22"/>
        </w:rPr>
        <w:t xml:space="preserve">množstvo kontrastnej látky </w:t>
      </w:r>
      <w:r w:rsidR="00272D02" w:rsidRPr="0024187A">
        <w:rPr>
          <w:szCs w:val="22"/>
        </w:rPr>
        <w:t xml:space="preserve">pre dostatočné naplnenie močového mechúra. </w:t>
      </w:r>
      <w:r w:rsidRPr="00F50FCA">
        <w:rPr>
          <w:szCs w:val="22"/>
        </w:rPr>
        <w:t xml:space="preserve">Plnenie močového mechúra </w:t>
      </w:r>
      <w:r w:rsidR="00437D58" w:rsidRPr="00F50FCA">
        <w:rPr>
          <w:szCs w:val="22"/>
        </w:rPr>
        <w:t>sa má</w:t>
      </w:r>
      <w:r w:rsidRPr="00F50FCA">
        <w:rPr>
          <w:szCs w:val="22"/>
        </w:rPr>
        <w:t xml:space="preserve"> vykona</w:t>
      </w:r>
      <w:r w:rsidR="00437D58" w:rsidRPr="00F50FCA">
        <w:rPr>
          <w:szCs w:val="22"/>
        </w:rPr>
        <w:t>ť v ustálenom stave s opatrnosťou</w:t>
      </w:r>
      <w:r w:rsidRPr="00F50FCA">
        <w:rPr>
          <w:szCs w:val="22"/>
        </w:rPr>
        <w:t>, aby sa zabránilo nadmernému tlaku.</w:t>
      </w:r>
    </w:p>
    <w:p w14:paraId="500CEFB9" w14:textId="77777777" w:rsidR="00840784" w:rsidRPr="00113579" w:rsidRDefault="00840784" w:rsidP="004B4C2E">
      <w:pPr>
        <w:rPr>
          <w:b/>
          <w:szCs w:val="22"/>
        </w:rPr>
      </w:pPr>
    </w:p>
    <w:p w14:paraId="1B555B8F" w14:textId="77777777" w:rsidR="00CE74A7" w:rsidRPr="00113579" w:rsidRDefault="00CE74A7" w:rsidP="005C1814">
      <w:pPr>
        <w:ind w:left="0" w:firstLine="0"/>
        <w:rPr>
          <w:b/>
          <w:szCs w:val="22"/>
        </w:rPr>
      </w:pPr>
    </w:p>
    <w:p w14:paraId="34A63E23" w14:textId="77777777" w:rsidR="00504F13" w:rsidRPr="00F50FCA" w:rsidRDefault="00504F13" w:rsidP="001E54B3">
      <w:pPr>
        <w:ind w:left="0" w:right="-1" w:firstLine="0"/>
        <w:rPr>
          <w:szCs w:val="22"/>
        </w:rPr>
      </w:pPr>
      <w:r w:rsidRPr="00F50FCA">
        <w:rPr>
          <w:szCs w:val="22"/>
        </w:rPr>
        <w:t xml:space="preserve">Roztok kontrastného média na intravaskulárne a intratekálne použitie sa musí pred </w:t>
      </w:r>
      <w:r w:rsidR="00424A7D" w:rsidRPr="00F50FCA">
        <w:rPr>
          <w:szCs w:val="22"/>
        </w:rPr>
        <w:t>podaním</w:t>
      </w:r>
      <w:r w:rsidRPr="00F50FCA">
        <w:rPr>
          <w:szCs w:val="22"/>
        </w:rPr>
        <w:t xml:space="preserve"> zohriať na telesnú teplotu.</w:t>
      </w:r>
    </w:p>
    <w:p w14:paraId="68AA9F9A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 použitím je nutné ubezpečiť sa, že obal (ampulka alebo fľaša) je originálne uzatvorený a nie je poškodený. Kontrastn</w:t>
      </w:r>
      <w:r w:rsidR="00A94358" w:rsidRPr="00726429">
        <w:rPr>
          <w:szCs w:val="22"/>
        </w:rPr>
        <w:t>á</w:t>
      </w:r>
      <w:r w:rsidRPr="00726429">
        <w:rPr>
          <w:szCs w:val="22"/>
        </w:rPr>
        <w:t xml:space="preserve"> </w:t>
      </w:r>
      <w:r w:rsidR="00A94358" w:rsidRPr="00726429">
        <w:rPr>
          <w:szCs w:val="22"/>
        </w:rPr>
        <w:t>látka</w:t>
      </w:r>
      <w:r w:rsidRPr="00726429">
        <w:rPr>
          <w:szCs w:val="22"/>
        </w:rPr>
        <w:t xml:space="preserve"> sa musí z obalu odobrať v aseptických podmienkach sterilnou striekačkou. </w:t>
      </w:r>
    </w:p>
    <w:p w14:paraId="74B9BD72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14A5AAD7" w14:textId="77777777" w:rsidR="00504F13" w:rsidRPr="00726429" w:rsidRDefault="00504F13" w:rsidP="00A61B11">
      <w:pPr>
        <w:ind w:left="0" w:firstLine="0"/>
        <w:rPr>
          <w:b/>
          <w:i/>
          <w:szCs w:val="22"/>
        </w:rPr>
      </w:pPr>
      <w:r w:rsidRPr="00726429">
        <w:rPr>
          <w:szCs w:val="22"/>
        </w:rPr>
        <w:t xml:space="preserve">Ak sa nepoužijú pomôcky na jednorazové použitie, musí sa venovať </w:t>
      </w:r>
      <w:r w:rsidR="0064292F">
        <w:rPr>
          <w:szCs w:val="22"/>
        </w:rPr>
        <w:t>zvýšená</w:t>
      </w:r>
      <w:r w:rsidR="0064292F" w:rsidRPr="00726429">
        <w:rPr>
          <w:szCs w:val="22"/>
        </w:rPr>
        <w:t xml:space="preserve"> </w:t>
      </w:r>
      <w:r w:rsidRPr="00726429">
        <w:rPr>
          <w:szCs w:val="22"/>
        </w:rPr>
        <w:t>pozornosť zabráneni</w:t>
      </w:r>
      <w:r w:rsidR="0064292F">
        <w:rPr>
          <w:szCs w:val="22"/>
        </w:rPr>
        <w:t>u</w:t>
      </w:r>
      <w:r w:rsidRPr="00726429">
        <w:rPr>
          <w:szCs w:val="22"/>
        </w:rPr>
        <w:t xml:space="preserve"> reziduálnej kontaminácie zvyškami detergentov</w:t>
      </w:r>
      <w:r w:rsidR="00A94358" w:rsidRPr="00726429">
        <w:rPr>
          <w:szCs w:val="22"/>
        </w:rPr>
        <w:t>.</w:t>
      </w:r>
    </w:p>
    <w:p w14:paraId="4623190C" w14:textId="77777777" w:rsidR="006D438B" w:rsidRPr="00F4206B" w:rsidRDefault="006D438B" w:rsidP="006125FA">
      <w:pPr>
        <w:rPr>
          <w:szCs w:val="22"/>
        </w:rPr>
      </w:pPr>
    </w:p>
    <w:p w14:paraId="4B84B68D" w14:textId="77777777" w:rsidR="00780926" w:rsidRPr="00F50FCA" w:rsidRDefault="00780926" w:rsidP="001D463A">
      <w:pPr>
        <w:rPr>
          <w:szCs w:val="22"/>
        </w:rPr>
      </w:pPr>
      <w:r w:rsidRPr="00F50FCA">
        <w:rPr>
          <w:b/>
          <w:szCs w:val="22"/>
        </w:rPr>
        <w:t>4.3</w:t>
      </w:r>
      <w:r w:rsidRPr="00F50FCA">
        <w:rPr>
          <w:b/>
          <w:szCs w:val="22"/>
        </w:rPr>
        <w:tab/>
        <w:t xml:space="preserve">Kontraindikácie </w:t>
      </w:r>
    </w:p>
    <w:p w14:paraId="3D5C2D38" w14:textId="77777777" w:rsidR="00780926" w:rsidRPr="00F50FCA" w:rsidRDefault="00780926" w:rsidP="00354EAF">
      <w:pPr>
        <w:rPr>
          <w:szCs w:val="22"/>
        </w:rPr>
      </w:pPr>
    </w:p>
    <w:p w14:paraId="143F89B3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F50FCA">
        <w:rPr>
          <w:szCs w:val="22"/>
        </w:rPr>
        <w:t xml:space="preserve">Precitlivenosť na liečivo alebo </w:t>
      </w:r>
      <w:r w:rsidR="004015C3">
        <w:rPr>
          <w:szCs w:val="22"/>
        </w:rPr>
        <w:t xml:space="preserve">na </w:t>
      </w:r>
      <w:r w:rsidRPr="00F50FCA">
        <w:rPr>
          <w:szCs w:val="22"/>
        </w:rPr>
        <w:t xml:space="preserve">ktorúkoľvek </w:t>
      </w:r>
      <w:r w:rsidR="0026214A" w:rsidRPr="00726429">
        <w:rPr>
          <w:szCs w:val="22"/>
        </w:rPr>
        <w:t>z </w:t>
      </w:r>
      <w:r w:rsidRPr="00726429">
        <w:rPr>
          <w:szCs w:val="22"/>
        </w:rPr>
        <w:t>pomocn</w:t>
      </w:r>
      <w:r w:rsidR="0026214A" w:rsidRPr="00726429">
        <w:rPr>
          <w:szCs w:val="22"/>
        </w:rPr>
        <w:t>ých látok uvedených v časti 6.1</w:t>
      </w:r>
      <w:r w:rsidR="00594C6F" w:rsidRPr="00726429">
        <w:rPr>
          <w:szCs w:val="22"/>
        </w:rPr>
        <w:t>.</w:t>
      </w:r>
    </w:p>
    <w:p w14:paraId="64924F06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</w:p>
    <w:p w14:paraId="5BEE7F75" w14:textId="77777777" w:rsidR="00935738" w:rsidRPr="00726429" w:rsidRDefault="00935738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 xml:space="preserve">Je nutné sa vyhnúť </w:t>
      </w:r>
      <w:r w:rsidR="009D4105" w:rsidRPr="00726429">
        <w:rPr>
          <w:szCs w:val="22"/>
        </w:rPr>
        <w:t xml:space="preserve">podaniu kontrastnej látky pri </w:t>
      </w:r>
      <w:r w:rsidRPr="00726429">
        <w:rPr>
          <w:szCs w:val="22"/>
        </w:rPr>
        <w:t>vyšetrenia</w:t>
      </w:r>
      <w:r w:rsidR="009D4105" w:rsidRPr="00726429">
        <w:rPr>
          <w:szCs w:val="22"/>
        </w:rPr>
        <w:t>ch</w:t>
      </w:r>
      <w:r w:rsidRPr="00726429">
        <w:rPr>
          <w:szCs w:val="22"/>
        </w:rPr>
        <w:t xml:space="preserve"> ženských pohlavných </w:t>
      </w:r>
      <w:r w:rsidR="009D4105" w:rsidRPr="00726429">
        <w:rPr>
          <w:szCs w:val="22"/>
        </w:rPr>
        <w:t xml:space="preserve">orgánov </w:t>
      </w:r>
      <w:r w:rsidRPr="00726429">
        <w:rPr>
          <w:szCs w:val="22"/>
        </w:rPr>
        <w:t>v prípade akútneho zápalu genitálií alebo v prípade suspektnej alebo potvrdenej gravidity.</w:t>
      </w:r>
    </w:p>
    <w:p w14:paraId="679C8305" w14:textId="77777777" w:rsidR="0026214A" w:rsidRPr="00726429" w:rsidRDefault="0026214A" w:rsidP="001E54B3">
      <w:pPr>
        <w:pStyle w:val="Zarkazkladnhotextu"/>
        <w:spacing w:after="0"/>
        <w:ind w:left="0" w:firstLine="0"/>
        <w:rPr>
          <w:szCs w:val="22"/>
        </w:rPr>
      </w:pPr>
    </w:p>
    <w:p w14:paraId="7A5B36A5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Intratekálne podanie</w:t>
      </w:r>
    </w:p>
    <w:p w14:paraId="184C645C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>Súbežné intratekálne podanie kortikosteroidov s </w:t>
      </w:r>
      <w:r w:rsidR="00C66FEA" w:rsidRPr="00726429">
        <w:rPr>
          <w:szCs w:val="22"/>
        </w:rPr>
        <w:t>jomeprolom</w:t>
      </w:r>
      <w:r w:rsidRPr="00726429">
        <w:rPr>
          <w:szCs w:val="22"/>
        </w:rPr>
        <w:t xml:space="preserve"> je kontraindikované (pozri časť 4.5)</w:t>
      </w:r>
      <w:r w:rsidR="000C5A2B">
        <w:rPr>
          <w:szCs w:val="22"/>
        </w:rPr>
        <w:t>.</w:t>
      </w:r>
    </w:p>
    <w:p w14:paraId="45B2E02F" w14:textId="77777777" w:rsidR="00FE6B64" w:rsidRPr="00726429" w:rsidRDefault="00FE6B64" w:rsidP="001E54B3">
      <w:pPr>
        <w:ind w:left="0" w:firstLine="0"/>
        <w:rPr>
          <w:szCs w:val="22"/>
        </w:rPr>
      </w:pPr>
    </w:p>
    <w:p w14:paraId="2ED894A1" w14:textId="344F73D2" w:rsidR="004B4C2E" w:rsidRDefault="00515273" w:rsidP="004B4C2E">
      <w:pPr>
        <w:ind w:left="0" w:firstLine="0"/>
        <w:rPr>
          <w:szCs w:val="22"/>
        </w:rPr>
      </w:pPr>
      <w:r w:rsidRPr="00726429">
        <w:rPr>
          <w:szCs w:val="22"/>
        </w:rPr>
        <w:t>Ak sa vyskytli pri myelografii technické problémy, bezprostredné opakovanie je kontraindikované vzhľadom na možnosť predávkovania.</w:t>
      </w:r>
    </w:p>
    <w:p w14:paraId="671AFC94" w14:textId="77777777" w:rsidR="004B4C2E" w:rsidRDefault="004B4C2E" w:rsidP="004B4C2E">
      <w:pPr>
        <w:ind w:left="0" w:firstLine="0"/>
        <w:rPr>
          <w:b/>
          <w:szCs w:val="22"/>
        </w:rPr>
      </w:pPr>
    </w:p>
    <w:p w14:paraId="7C40E987" w14:textId="77777777" w:rsidR="00780926" w:rsidRPr="00726429" w:rsidRDefault="00780926" w:rsidP="004B4C2E">
      <w:pPr>
        <w:keepNext/>
        <w:rPr>
          <w:b/>
          <w:szCs w:val="22"/>
        </w:rPr>
      </w:pPr>
      <w:r w:rsidRPr="00726429">
        <w:rPr>
          <w:b/>
          <w:szCs w:val="22"/>
        </w:rPr>
        <w:t>4.4</w:t>
      </w:r>
      <w:r w:rsidRPr="00726429">
        <w:rPr>
          <w:b/>
          <w:szCs w:val="22"/>
        </w:rPr>
        <w:tab/>
        <w:t>Osobitné upozornenia a opatrenia pri používaní</w:t>
      </w:r>
    </w:p>
    <w:p w14:paraId="614BE39E" w14:textId="77777777" w:rsidR="00E1698A" w:rsidRPr="00726429" w:rsidRDefault="00E1698A" w:rsidP="004B4C2E">
      <w:pPr>
        <w:keepNext/>
        <w:rPr>
          <w:szCs w:val="22"/>
        </w:rPr>
      </w:pPr>
    </w:p>
    <w:p w14:paraId="3767FCBD" w14:textId="77777777" w:rsidR="00504F13" w:rsidRPr="00726429" w:rsidRDefault="00504F13" w:rsidP="00430724">
      <w:pPr>
        <w:pStyle w:val="Nadpis9"/>
        <w:spacing w:line="240" w:lineRule="auto"/>
        <w:ind w:right="-1"/>
        <w:jc w:val="left"/>
        <w:rPr>
          <w:i w:val="0"/>
          <w:szCs w:val="22"/>
          <w:lang w:val="sk-SK"/>
        </w:rPr>
      </w:pPr>
      <w:r w:rsidRPr="00726429">
        <w:rPr>
          <w:i w:val="0"/>
          <w:szCs w:val="22"/>
          <w:lang w:val="sk-SK"/>
        </w:rPr>
        <w:t>Všeobecné upozornenia pre všetky cesty podania</w:t>
      </w:r>
    </w:p>
    <w:p w14:paraId="2B57BE6C" w14:textId="77777777" w:rsidR="00E9728A" w:rsidRPr="00726429" w:rsidRDefault="00E9728A" w:rsidP="004B4C2E">
      <w:pPr>
        <w:keepNext/>
        <w:rPr>
          <w:szCs w:val="22"/>
        </w:rPr>
      </w:pPr>
    </w:p>
    <w:p w14:paraId="6030EDF4" w14:textId="77777777" w:rsidR="00504F13" w:rsidRPr="00335341" w:rsidRDefault="00504F13" w:rsidP="004B4C2E">
      <w:pPr>
        <w:keepNext/>
        <w:ind w:left="0" w:firstLine="0"/>
        <w:rPr>
          <w:szCs w:val="22"/>
        </w:rPr>
      </w:pPr>
      <w:r w:rsidRPr="00726429">
        <w:rPr>
          <w:szCs w:val="22"/>
        </w:rPr>
        <w:t>Diagnostické postupy, ktoré zahŕňajú použitie akéhokoľvek rádi</w:t>
      </w:r>
      <w:r w:rsidR="00E9728A" w:rsidRPr="00726429">
        <w:rPr>
          <w:szCs w:val="22"/>
        </w:rPr>
        <w:t xml:space="preserve">ologického činidla by mali byť </w:t>
      </w:r>
      <w:r w:rsidRPr="00726429">
        <w:rPr>
          <w:szCs w:val="22"/>
        </w:rPr>
        <w:t>vykonávané pod vedením vyškolených pracovníkov s dôkladnou znalosťou daného postupu, ktorý vykonávajú.</w:t>
      </w:r>
      <w:r w:rsidR="006412B6" w:rsidRPr="00726429">
        <w:rPr>
          <w:szCs w:val="22"/>
        </w:rPr>
        <w:t xml:space="preserve"> Z dôvodu možných z</w:t>
      </w:r>
      <w:r w:rsidR="0045118E" w:rsidRPr="00726429">
        <w:rPr>
          <w:szCs w:val="22"/>
        </w:rPr>
        <w:t>á</w:t>
      </w:r>
      <w:r w:rsidR="006412B6" w:rsidRPr="00726429">
        <w:rPr>
          <w:szCs w:val="22"/>
        </w:rPr>
        <w:t>važných než</w:t>
      </w:r>
      <w:r w:rsidR="0045118E" w:rsidRPr="00726429">
        <w:rPr>
          <w:szCs w:val="22"/>
        </w:rPr>
        <w:t>ia</w:t>
      </w:r>
      <w:r w:rsidR="006412B6" w:rsidRPr="00726429">
        <w:rPr>
          <w:szCs w:val="22"/>
        </w:rPr>
        <w:t>d</w:t>
      </w:r>
      <w:r w:rsidR="00DB2A63">
        <w:rPr>
          <w:szCs w:val="22"/>
        </w:rPr>
        <w:t>u</w:t>
      </w:r>
      <w:r w:rsidR="006412B6" w:rsidRPr="00726429">
        <w:rPr>
          <w:szCs w:val="22"/>
        </w:rPr>
        <w:t>c</w:t>
      </w:r>
      <w:r w:rsidR="0045118E" w:rsidRPr="00726429">
        <w:rPr>
          <w:szCs w:val="22"/>
        </w:rPr>
        <w:t>i</w:t>
      </w:r>
      <w:r w:rsidR="006412B6" w:rsidRPr="00726429">
        <w:rPr>
          <w:szCs w:val="22"/>
        </w:rPr>
        <w:t>ch účink</w:t>
      </w:r>
      <w:r w:rsidR="0045118E" w:rsidRPr="00726429">
        <w:rPr>
          <w:szCs w:val="22"/>
        </w:rPr>
        <w:t>ov</w:t>
      </w:r>
      <w:r w:rsidR="006412B6" w:rsidRPr="00726429">
        <w:rPr>
          <w:szCs w:val="22"/>
        </w:rPr>
        <w:t xml:space="preserve"> sa liek môže použiť len na pracoviskách, kde sú okamžite dostupné prístroje na riešenie mimoriadnych stavov a personál, ktorý je vyškolený v resuscitačných postupoch</w:t>
      </w:r>
      <w:r w:rsidR="006412B6" w:rsidRPr="00113579">
        <w:rPr>
          <w:szCs w:val="22"/>
        </w:rPr>
        <w:t>.</w:t>
      </w:r>
    </w:p>
    <w:p w14:paraId="502596BC" w14:textId="77777777" w:rsidR="007508A8" w:rsidRPr="00726429" w:rsidRDefault="00A64C80" w:rsidP="001E54B3">
      <w:pPr>
        <w:ind w:left="0" w:firstLine="0"/>
        <w:rPr>
          <w:szCs w:val="22"/>
        </w:rPr>
      </w:pPr>
      <w:r w:rsidRPr="00F50FCA">
        <w:rPr>
          <w:szCs w:val="22"/>
        </w:rPr>
        <w:t xml:space="preserve">Po parenterálnom podaní rádioaktívneho média </w:t>
      </w:r>
      <w:r w:rsidR="007508A8" w:rsidRPr="00F50FCA">
        <w:rPr>
          <w:szCs w:val="22"/>
        </w:rPr>
        <w:t>má byť</w:t>
      </w:r>
      <w:r w:rsidRPr="00726429">
        <w:rPr>
          <w:szCs w:val="22"/>
        </w:rPr>
        <w:t xml:space="preserve"> k dispozícii kompetentný personál a pohotovostné zariadenia najmenej počas 30 minút </w:t>
      </w:r>
      <w:r w:rsidR="009C2AE9" w:rsidRPr="00726429">
        <w:rPr>
          <w:szCs w:val="22"/>
        </w:rPr>
        <w:t>po podaní liečby</w:t>
      </w:r>
      <w:r w:rsidR="000C5A2B">
        <w:rPr>
          <w:szCs w:val="22"/>
        </w:rPr>
        <w:t>,</w:t>
      </w:r>
      <w:r w:rsidR="009C2AE9" w:rsidRPr="00726429">
        <w:rPr>
          <w:szCs w:val="22"/>
        </w:rPr>
        <w:t xml:space="preserve"> v prípade akýchkoľvek komplikácii </w:t>
      </w:r>
      <w:r w:rsidR="007508A8" w:rsidRPr="00726429">
        <w:rPr>
          <w:szCs w:val="22"/>
        </w:rPr>
        <w:t>počas liečby</w:t>
      </w:r>
      <w:r w:rsidR="009C2AE9" w:rsidRPr="00726429">
        <w:rPr>
          <w:szCs w:val="22"/>
        </w:rPr>
        <w:t xml:space="preserve"> ako aj </w:t>
      </w:r>
      <w:r w:rsidR="007508A8" w:rsidRPr="00726429">
        <w:rPr>
          <w:szCs w:val="22"/>
        </w:rPr>
        <w:t>pohotovostn</w:t>
      </w:r>
      <w:r w:rsidR="000C5A2B">
        <w:rPr>
          <w:szCs w:val="22"/>
        </w:rPr>
        <w:t>á</w:t>
      </w:r>
      <w:r w:rsidR="007508A8" w:rsidRPr="00726429">
        <w:rPr>
          <w:szCs w:val="22"/>
        </w:rPr>
        <w:t xml:space="preserve"> liečb</w:t>
      </w:r>
      <w:r w:rsidR="000C5A2B">
        <w:rPr>
          <w:szCs w:val="22"/>
        </w:rPr>
        <w:t>a</w:t>
      </w:r>
      <w:r w:rsidR="007508A8" w:rsidRPr="00726429">
        <w:rPr>
          <w:szCs w:val="22"/>
        </w:rPr>
        <w:t xml:space="preserve"> závažných akútnych alebo oneskorených reakcií na kontrastnú látku.</w:t>
      </w:r>
    </w:p>
    <w:p w14:paraId="29CFE55A" w14:textId="77777777" w:rsidR="0004041C" w:rsidRPr="00726429" w:rsidRDefault="0004041C" w:rsidP="001E54B3">
      <w:pPr>
        <w:rPr>
          <w:szCs w:val="22"/>
        </w:rPr>
      </w:pPr>
    </w:p>
    <w:p w14:paraId="279E691E" w14:textId="77777777" w:rsidR="00504F13" w:rsidRPr="00726429" w:rsidRDefault="00504F13" w:rsidP="001E54B3">
      <w:pPr>
        <w:pStyle w:val="Nadpis8"/>
        <w:tabs>
          <w:tab w:val="clear" w:pos="567"/>
          <w:tab w:val="left" w:pos="0"/>
        </w:tabs>
        <w:spacing w:line="240" w:lineRule="auto"/>
        <w:ind w:left="0" w:right="-1" w:firstLine="0"/>
        <w:jc w:val="left"/>
        <w:rPr>
          <w:b w:val="0"/>
          <w:i w:val="0"/>
          <w:szCs w:val="22"/>
          <w:lang w:val="sk-SK"/>
        </w:rPr>
      </w:pPr>
      <w:r w:rsidRPr="00726429">
        <w:rPr>
          <w:b w:val="0"/>
          <w:i w:val="0"/>
          <w:szCs w:val="22"/>
          <w:lang w:val="sk-SK"/>
        </w:rPr>
        <w:t xml:space="preserve">Vzhľadom na možné závažné nežiaduce účinky sa má použitie jódových kontrastných látok </w:t>
      </w:r>
      <w:r w:rsidR="0094043A" w:rsidRPr="00726429">
        <w:rPr>
          <w:b w:val="0"/>
          <w:i w:val="0"/>
          <w:szCs w:val="22"/>
          <w:lang w:val="sk-SK"/>
        </w:rPr>
        <w:t>obmedzi</w:t>
      </w:r>
      <w:r w:rsidRPr="00726429">
        <w:rPr>
          <w:b w:val="0"/>
          <w:i w:val="0"/>
          <w:szCs w:val="22"/>
          <w:lang w:val="sk-SK"/>
        </w:rPr>
        <w:t xml:space="preserve">ť iba na tie prípady, kde je presne stanovená klinická potreba na vyšetrenie kontrastnými látkami. </w:t>
      </w:r>
      <w:r w:rsidRPr="00726429">
        <w:rPr>
          <w:b w:val="0"/>
          <w:i w:val="0"/>
          <w:szCs w:val="22"/>
          <w:lang w:val="sk-SK"/>
        </w:rPr>
        <w:lastRenderedPageBreak/>
        <w:t xml:space="preserve">Potreba sa musí vyhodnotiť na základe klinického stavu pacienta, zvlášť vo vzťahu k známym patologickým stavom kardiovaskulárneho, </w:t>
      </w:r>
      <w:r w:rsidR="0094043A" w:rsidRPr="00726429">
        <w:rPr>
          <w:b w:val="0"/>
          <w:i w:val="0"/>
          <w:szCs w:val="22"/>
          <w:lang w:val="sk-SK"/>
        </w:rPr>
        <w:t xml:space="preserve">renálneho </w:t>
      </w:r>
      <w:r w:rsidRPr="00726429">
        <w:rPr>
          <w:b w:val="0"/>
          <w:i w:val="0"/>
          <w:szCs w:val="22"/>
          <w:lang w:val="sk-SK"/>
        </w:rPr>
        <w:t>a hepatobiliárneho systému.</w:t>
      </w:r>
      <w:r w:rsidR="00F569F2" w:rsidRPr="00726429">
        <w:rPr>
          <w:b w:val="0"/>
          <w:i w:val="0"/>
          <w:szCs w:val="22"/>
          <w:lang w:val="sk-SK"/>
        </w:rPr>
        <w:t xml:space="preserve"> </w:t>
      </w:r>
    </w:p>
    <w:p w14:paraId="63E82CD4" w14:textId="77777777" w:rsidR="001C19E4" w:rsidRPr="00726429" w:rsidRDefault="001C19E4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5D0CB6F4" w14:textId="77777777" w:rsidR="00E9728A" w:rsidRDefault="00504F13" w:rsidP="001E54B3">
      <w:pPr>
        <w:tabs>
          <w:tab w:val="left" w:pos="0"/>
        </w:tabs>
        <w:ind w:left="0" w:right="-1" w:firstLine="0"/>
        <w:rPr>
          <w:szCs w:val="22"/>
        </w:rPr>
      </w:pPr>
      <w:r w:rsidRPr="00726429">
        <w:rPr>
          <w:szCs w:val="22"/>
        </w:rPr>
        <w:t>Zvláštnu pozornosť je potrebné venovať pacientom so suspektnou trombózou, flebitídou, ťažkou ischémiou, lokálnymi infekciami ale</w:t>
      </w:r>
      <w:r w:rsidR="00E9728A" w:rsidRPr="00726429">
        <w:rPr>
          <w:szCs w:val="22"/>
        </w:rPr>
        <w:t>bo art</w:t>
      </w:r>
      <w:r w:rsidR="002F5C3C" w:rsidRPr="00726429">
        <w:rPr>
          <w:szCs w:val="22"/>
        </w:rPr>
        <w:t>é</w:t>
      </w:r>
      <w:r w:rsidR="00E9728A" w:rsidRPr="00726429">
        <w:rPr>
          <w:szCs w:val="22"/>
        </w:rPr>
        <w:t>riovenóznou obštrukciou</w:t>
      </w:r>
      <w:r w:rsidR="00E9728A" w:rsidRPr="00113579">
        <w:rPr>
          <w:szCs w:val="22"/>
        </w:rPr>
        <w:t>.</w:t>
      </w:r>
    </w:p>
    <w:p w14:paraId="357EDF64" w14:textId="615B9170" w:rsidR="005E58BC" w:rsidRDefault="005E58BC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10E77033" w14:textId="77AD90DF" w:rsidR="00FF22A5" w:rsidRPr="0036485B" w:rsidRDefault="00FF22A5" w:rsidP="001E54B3">
      <w:pPr>
        <w:tabs>
          <w:tab w:val="left" w:pos="0"/>
        </w:tabs>
        <w:ind w:left="0" w:right="-1" w:firstLine="0"/>
        <w:rPr>
          <w:i/>
          <w:iCs/>
        </w:rPr>
      </w:pPr>
      <w:r w:rsidRPr="0036485B">
        <w:rPr>
          <w:i/>
          <w:iCs/>
        </w:rPr>
        <w:t>Encefalopatia indukovaná kontrastnou látkou</w:t>
      </w:r>
    </w:p>
    <w:p w14:paraId="589BA4E2" w14:textId="77777777" w:rsidR="00FF22A5" w:rsidRDefault="00FF22A5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311604B7" w14:textId="0AF2977F" w:rsidR="005E58BC" w:rsidRDefault="005E58BC" w:rsidP="005E58BC">
      <w:pPr>
        <w:autoSpaceDE w:val="0"/>
        <w:autoSpaceDN w:val="0"/>
        <w:adjustRightInd w:val="0"/>
        <w:ind w:left="0" w:firstLine="0"/>
        <w:rPr>
          <w:szCs w:val="22"/>
        </w:rPr>
      </w:pPr>
      <w:r w:rsidRPr="0036485B">
        <w:rPr>
          <w:szCs w:val="22"/>
        </w:rPr>
        <w:t xml:space="preserve">Pri používaní jomeprolu bola hlásená encefalopatia (pozri časť 4.8). </w:t>
      </w:r>
    </w:p>
    <w:p w14:paraId="17AA9B56" w14:textId="77777777" w:rsidR="00FF22A5" w:rsidRPr="0036485B" w:rsidRDefault="00FF22A5" w:rsidP="005E58B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4BFAFAE" w14:textId="0715EE90" w:rsidR="005E58BC" w:rsidRDefault="005E58BC" w:rsidP="005E58BC">
      <w:pPr>
        <w:autoSpaceDE w:val="0"/>
        <w:autoSpaceDN w:val="0"/>
        <w:adjustRightInd w:val="0"/>
        <w:ind w:left="0" w:firstLine="0"/>
        <w:rPr>
          <w:szCs w:val="22"/>
        </w:rPr>
      </w:pPr>
      <w:r w:rsidRPr="0036485B">
        <w:rPr>
          <w:szCs w:val="22"/>
        </w:rPr>
        <w:t xml:space="preserve">Encefalopatia indukovaná kontrastnou látkou sa môže manifestovať prejavmi a príznakmi neurologickej dysfunkcie, ako sú bolesť hlavy, poruchy zraku, kortikálna slepota, zmätenosť, záchvaty, strata koordinácie, hemiparéza, afázia, bezvedomie, kóma a mozgový edém v priebehu niekoľkých minút až hodín po podaní jomeprolu, ktoré väčšinou odoznejú v priebehu niekoľkých dní. </w:t>
      </w:r>
    </w:p>
    <w:p w14:paraId="6F6DC641" w14:textId="77777777" w:rsidR="00FF22A5" w:rsidRPr="0036485B" w:rsidRDefault="00FF22A5" w:rsidP="005E58B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F4CE215" w14:textId="38C37FD3" w:rsidR="005E58BC" w:rsidRPr="00335341" w:rsidRDefault="005E58BC" w:rsidP="005E58BC">
      <w:pPr>
        <w:tabs>
          <w:tab w:val="left" w:pos="0"/>
        </w:tabs>
        <w:ind w:left="0" w:right="-1" w:firstLine="0"/>
        <w:rPr>
          <w:szCs w:val="22"/>
        </w:rPr>
      </w:pPr>
      <w:r w:rsidRPr="0036485B">
        <w:rPr>
          <w:szCs w:val="22"/>
        </w:rPr>
        <w:t>Liek sa má používať s opatrnosťou u pacientov s chorobami, ktoré narúšajú integritu hematoencefalickej bariéry (HEB), čo môže potenciálne viesť k zvýšenej priepustnosti HEB pre kontrastné látky a k zvýšeniu rizika encefalopatie. Ak existuje podozrenie na encefalopatiu indukovanú kontrastnou látkou, má sa podávanie jomeprolu prerušiť a má sa začať vhodná liečba.</w:t>
      </w:r>
    </w:p>
    <w:p w14:paraId="100A671F" w14:textId="77777777" w:rsidR="00E9728A" w:rsidRPr="00113579" w:rsidRDefault="00E9728A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A22D258" w14:textId="77777777" w:rsidR="001C3A0B" w:rsidRPr="00335341" w:rsidRDefault="00024B2C" w:rsidP="001E54B3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13579">
        <w:rPr>
          <w:szCs w:val="22"/>
          <w:u w:val="single"/>
        </w:rPr>
        <w:t>Osobitné skupiny pacientov</w:t>
      </w:r>
    </w:p>
    <w:p w14:paraId="24EC821E" w14:textId="77777777" w:rsidR="00504F13" w:rsidRPr="00726429" w:rsidRDefault="00504F13" w:rsidP="001E54B3">
      <w:pPr>
        <w:rPr>
          <w:szCs w:val="22"/>
          <w:u w:val="single"/>
        </w:rPr>
      </w:pPr>
    </w:p>
    <w:p w14:paraId="20486E06" w14:textId="77777777" w:rsidR="00504F13" w:rsidRPr="00726429" w:rsidRDefault="00C079C7" w:rsidP="001E54B3">
      <w:pPr>
        <w:keepNext/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Pediatrická populácia</w:t>
      </w:r>
    </w:p>
    <w:p w14:paraId="15B1ADB4" w14:textId="77777777" w:rsidR="00AC66EB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Deti mladšie ako jeden rok, hlavne novorodenci, sú veľmi citlivé na nerovnováhu elektrolytov a zmeny v hemodynamike. </w:t>
      </w:r>
    </w:p>
    <w:p w14:paraId="5C619DD8" w14:textId="77777777" w:rsidR="00504F13" w:rsidRPr="00726429" w:rsidRDefault="00504F13" w:rsidP="001E54B3">
      <w:pPr>
        <w:ind w:left="0" w:right="-1" w:firstLine="0"/>
        <w:rPr>
          <w:szCs w:val="22"/>
        </w:rPr>
      </w:pPr>
    </w:p>
    <w:p w14:paraId="27F13DF0" w14:textId="77777777" w:rsidR="005823B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i/>
          <w:iCs/>
          <w:szCs w:val="22"/>
        </w:rPr>
        <w:t>Starší pacienti</w:t>
      </w:r>
      <w:r w:rsidRPr="00726429">
        <w:rPr>
          <w:szCs w:val="22"/>
        </w:rPr>
        <w:t xml:space="preserve"> </w:t>
      </w:r>
    </w:p>
    <w:p w14:paraId="6CE1EB30" w14:textId="77777777" w:rsidR="00504F13" w:rsidRPr="00726429" w:rsidRDefault="005823B3" w:rsidP="001E54B3">
      <w:pPr>
        <w:ind w:left="0" w:firstLine="0"/>
        <w:rPr>
          <w:szCs w:val="22"/>
        </w:rPr>
      </w:pPr>
      <w:r w:rsidRPr="00726429">
        <w:rPr>
          <w:szCs w:val="22"/>
        </w:rPr>
        <w:t>U</w:t>
      </w:r>
      <w:r w:rsidR="00504F13" w:rsidRPr="00726429">
        <w:rPr>
          <w:szCs w:val="22"/>
        </w:rPr>
        <w:t xml:space="preserve"> týchto pacientov </w:t>
      </w:r>
      <w:r w:rsidR="001C3A0B" w:rsidRPr="00726429">
        <w:rPr>
          <w:szCs w:val="22"/>
        </w:rPr>
        <w:t>stúpa</w:t>
      </w:r>
      <w:r w:rsidR="00504F13" w:rsidRPr="00726429">
        <w:rPr>
          <w:szCs w:val="22"/>
        </w:rPr>
        <w:t xml:space="preserve"> riziko</w:t>
      </w:r>
      <w:r w:rsidR="001C3A0B" w:rsidRPr="00726429">
        <w:rPr>
          <w:szCs w:val="22"/>
        </w:rPr>
        <w:t xml:space="preserve"> vzniku</w:t>
      </w:r>
      <w:r w:rsidR="00504F13" w:rsidRPr="00726429">
        <w:rPr>
          <w:szCs w:val="22"/>
        </w:rPr>
        <w:t xml:space="preserve"> </w:t>
      </w:r>
      <w:r w:rsidR="002A086B" w:rsidRPr="00726429">
        <w:rPr>
          <w:szCs w:val="22"/>
        </w:rPr>
        <w:t xml:space="preserve">nežiaducich </w:t>
      </w:r>
      <w:r w:rsidR="00504F13" w:rsidRPr="00726429">
        <w:rPr>
          <w:szCs w:val="22"/>
        </w:rPr>
        <w:t>reakci</w:t>
      </w:r>
      <w:r w:rsidR="002A086B" w:rsidRPr="00726429">
        <w:rPr>
          <w:szCs w:val="22"/>
        </w:rPr>
        <w:t>í, najmä po podaní</w:t>
      </w:r>
      <w:r w:rsidR="00504F13" w:rsidRPr="00726429">
        <w:rPr>
          <w:szCs w:val="22"/>
        </w:rPr>
        <w:t xml:space="preserve"> vysok</w:t>
      </w:r>
      <w:r w:rsidR="002A086B" w:rsidRPr="00726429">
        <w:rPr>
          <w:szCs w:val="22"/>
        </w:rPr>
        <w:t>ých</w:t>
      </w:r>
      <w:r w:rsidR="00504F13" w:rsidRPr="00726429">
        <w:rPr>
          <w:szCs w:val="22"/>
        </w:rPr>
        <w:t xml:space="preserve"> dáv</w:t>
      </w:r>
      <w:r w:rsidR="002A086B" w:rsidRPr="00726429">
        <w:rPr>
          <w:szCs w:val="22"/>
        </w:rPr>
        <w:t>ok</w:t>
      </w:r>
      <w:r w:rsidR="00504F13" w:rsidRPr="00726429">
        <w:rPr>
          <w:szCs w:val="22"/>
        </w:rPr>
        <w:t xml:space="preserve"> kontrastnej látky. U</w:t>
      </w:r>
      <w:r w:rsidR="002A086B" w:rsidRPr="00726429">
        <w:rPr>
          <w:szCs w:val="22"/>
        </w:rPr>
        <w:t> </w:t>
      </w:r>
      <w:r w:rsidR="00504F13" w:rsidRPr="00726429">
        <w:rPr>
          <w:szCs w:val="22"/>
        </w:rPr>
        <w:t>t</w:t>
      </w:r>
      <w:r w:rsidR="002A086B" w:rsidRPr="00726429">
        <w:rPr>
          <w:szCs w:val="22"/>
        </w:rPr>
        <w:t xml:space="preserve">ýchto osôb </w:t>
      </w:r>
      <w:r w:rsidR="00504F13" w:rsidRPr="00726429">
        <w:rPr>
          <w:szCs w:val="22"/>
        </w:rPr>
        <w:t xml:space="preserve">je vyššia pravdepodobnosť akútnej renálnej insuficiencie. </w:t>
      </w:r>
    </w:p>
    <w:p w14:paraId="320889D3" w14:textId="77777777" w:rsidR="002A086B" w:rsidRPr="00726429" w:rsidRDefault="002A086B" w:rsidP="001E54B3">
      <w:pPr>
        <w:ind w:left="0" w:firstLine="0"/>
        <w:rPr>
          <w:szCs w:val="22"/>
        </w:rPr>
      </w:pPr>
    </w:p>
    <w:p w14:paraId="0C9C2106" w14:textId="77777777" w:rsidR="00504F13" w:rsidRPr="00726429" w:rsidRDefault="00504F13" w:rsidP="00A61B11">
      <w:pPr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Ženy vo fertilnom veku</w:t>
      </w:r>
    </w:p>
    <w:p w14:paraId="5CAB8D96" w14:textId="77777777" w:rsidR="00C01892" w:rsidRPr="00726429" w:rsidRDefault="00504F13" w:rsidP="006125F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Ak ženy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vo fertilnom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veku majú podstúpiť RTG vyšetrenie, musia sa urobiť primerané vyšetrenia a opatrenia bez ohľadu na to, či sa RTG vyšetrenie má vykonať s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kontrast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nou látkou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alebo bez ne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j</w:t>
      </w:r>
      <w:r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0A08459" w14:textId="77777777" w:rsidR="001C3A0B" w:rsidRPr="00F50FCA" w:rsidRDefault="001C3A0B" w:rsidP="001D463A">
      <w:pPr>
        <w:ind w:left="0" w:right="-1" w:firstLine="0"/>
        <w:rPr>
          <w:szCs w:val="22"/>
        </w:rPr>
      </w:pPr>
    </w:p>
    <w:p w14:paraId="19021A35" w14:textId="77777777" w:rsidR="003A31D1" w:rsidRPr="00726429" w:rsidRDefault="003A31D1" w:rsidP="001E54B3">
      <w:pPr>
        <w:ind w:left="0" w:firstLine="0"/>
        <w:rPr>
          <w:b/>
          <w:bCs/>
          <w:i/>
          <w:iCs/>
          <w:szCs w:val="22"/>
          <w:u w:val="single"/>
        </w:rPr>
      </w:pPr>
      <w:r w:rsidRPr="00726429">
        <w:rPr>
          <w:b/>
          <w:bCs/>
          <w:i/>
          <w:iCs/>
          <w:szCs w:val="22"/>
          <w:u w:val="single"/>
        </w:rPr>
        <w:t xml:space="preserve">Použitie u pacientov so </w:t>
      </w:r>
      <w:r w:rsidR="00661C63" w:rsidRPr="00726429">
        <w:rPr>
          <w:b/>
          <w:bCs/>
          <w:i/>
          <w:iCs/>
          <w:szCs w:val="22"/>
          <w:u w:val="single"/>
        </w:rPr>
        <w:t>špecifickými chorobnými</w:t>
      </w:r>
      <w:r w:rsidRPr="00726429">
        <w:rPr>
          <w:b/>
          <w:bCs/>
          <w:i/>
          <w:iCs/>
          <w:szCs w:val="22"/>
          <w:u w:val="single"/>
        </w:rPr>
        <w:t xml:space="preserve"> stavmi</w:t>
      </w:r>
    </w:p>
    <w:p w14:paraId="00B42EDC" w14:textId="77777777" w:rsidR="004A4CBE" w:rsidRPr="00726429" w:rsidRDefault="004A4CBE" w:rsidP="001E54B3">
      <w:pPr>
        <w:ind w:left="0" w:firstLine="0"/>
        <w:rPr>
          <w:i/>
          <w:szCs w:val="22"/>
        </w:rPr>
      </w:pPr>
    </w:p>
    <w:p w14:paraId="1B766BF7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 xml:space="preserve">Precitlivenosť na jódované kontrastné látky </w:t>
      </w:r>
    </w:p>
    <w:p w14:paraId="2918A57F" w14:textId="77777777" w:rsidR="003A31D1" w:rsidRPr="00726429" w:rsidRDefault="003A31D1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Precitlivenosť alebo reakcia na jódované kontrastné </w:t>
      </w:r>
      <w:r w:rsidR="00327619" w:rsidRPr="00726429">
        <w:rPr>
          <w:szCs w:val="22"/>
        </w:rPr>
        <w:t>látky</w:t>
      </w:r>
      <w:r w:rsidRPr="00726429">
        <w:rPr>
          <w:szCs w:val="22"/>
        </w:rPr>
        <w:t xml:space="preserve"> v anamnéze zvyšuje riziko zopakovania závažnej reakcie dokonca aj na neiónové </w:t>
      </w:r>
      <w:r w:rsidR="00E551F3" w:rsidRPr="00726429">
        <w:rPr>
          <w:szCs w:val="22"/>
        </w:rPr>
        <w:t>látky</w:t>
      </w:r>
      <w:r w:rsidRPr="00726429">
        <w:rPr>
          <w:szCs w:val="22"/>
        </w:rPr>
        <w:t>.</w:t>
      </w:r>
    </w:p>
    <w:p w14:paraId="3191B20C" w14:textId="77777777" w:rsidR="00191544" w:rsidRPr="00726429" w:rsidRDefault="00191544" w:rsidP="001E54B3">
      <w:pPr>
        <w:ind w:left="0" w:firstLine="0"/>
        <w:rPr>
          <w:i/>
          <w:szCs w:val="22"/>
        </w:rPr>
      </w:pPr>
      <w:r w:rsidRPr="00726429">
        <w:rPr>
          <w:szCs w:val="22"/>
        </w:rPr>
        <w:t>U pacientov s podozrením na precitli</w:t>
      </w:r>
      <w:r w:rsidR="002214E5" w:rsidRPr="00726429">
        <w:rPr>
          <w:szCs w:val="22"/>
        </w:rPr>
        <w:t>ven</w:t>
      </w:r>
      <w:r w:rsidRPr="00726429">
        <w:rPr>
          <w:szCs w:val="22"/>
        </w:rPr>
        <w:t>osť na kontrastnú</w:t>
      </w:r>
      <w:r w:rsidR="002214E5" w:rsidRPr="00726429">
        <w:rPr>
          <w:szCs w:val="22"/>
        </w:rPr>
        <w:t xml:space="preserve"> látku sa neodporúča </w:t>
      </w:r>
      <w:r w:rsidRPr="00726429">
        <w:rPr>
          <w:szCs w:val="22"/>
        </w:rPr>
        <w:t>test</w:t>
      </w:r>
      <w:r w:rsidR="002214E5" w:rsidRPr="00726429">
        <w:rPr>
          <w:szCs w:val="22"/>
        </w:rPr>
        <w:t>ovacia dávka na citlivosť</w:t>
      </w:r>
      <w:r w:rsidRPr="00726429">
        <w:rPr>
          <w:szCs w:val="22"/>
        </w:rPr>
        <w:t xml:space="preserve">, </w:t>
      </w:r>
      <w:r w:rsidR="002214E5" w:rsidRPr="00726429">
        <w:rPr>
          <w:szCs w:val="22"/>
        </w:rPr>
        <w:t>pretože vážn</w:t>
      </w:r>
      <w:r w:rsidR="000C5A2B">
        <w:rPr>
          <w:szCs w:val="22"/>
        </w:rPr>
        <w:t>e</w:t>
      </w:r>
      <w:r w:rsidR="002214E5" w:rsidRPr="00726429">
        <w:rPr>
          <w:szCs w:val="22"/>
        </w:rPr>
        <w:t xml:space="preserve"> až</w:t>
      </w:r>
      <w:r w:rsidRPr="00726429">
        <w:rPr>
          <w:szCs w:val="22"/>
        </w:rPr>
        <w:t xml:space="preserve"> </w:t>
      </w:r>
      <w:r w:rsidR="002214E5" w:rsidRPr="00726429">
        <w:rPr>
          <w:szCs w:val="22"/>
        </w:rPr>
        <w:t>smrteľn</w:t>
      </w:r>
      <w:r w:rsidR="000C5A2B">
        <w:rPr>
          <w:szCs w:val="22"/>
        </w:rPr>
        <w:t>é</w:t>
      </w:r>
      <w:r w:rsidR="002214E5" w:rsidRPr="00726429">
        <w:rPr>
          <w:szCs w:val="22"/>
        </w:rPr>
        <w:t xml:space="preserve"> reakci</w:t>
      </w:r>
      <w:r w:rsidR="000C5A2B">
        <w:rPr>
          <w:szCs w:val="22"/>
        </w:rPr>
        <w:t>e</w:t>
      </w:r>
      <w:r w:rsidRPr="00726429">
        <w:rPr>
          <w:szCs w:val="22"/>
        </w:rPr>
        <w:t xml:space="preserve"> na kontrastnú látku </w:t>
      </w:r>
      <w:r w:rsidR="002214E5" w:rsidRPr="00726429">
        <w:rPr>
          <w:szCs w:val="22"/>
        </w:rPr>
        <w:t>nemožno predvídať z</w:t>
      </w:r>
      <w:r w:rsidR="002B4ECD">
        <w:rPr>
          <w:szCs w:val="22"/>
        </w:rPr>
        <w:t> </w:t>
      </w:r>
      <w:r w:rsidR="002214E5" w:rsidRPr="00726429">
        <w:rPr>
          <w:szCs w:val="22"/>
        </w:rPr>
        <w:t>testu</w:t>
      </w:r>
      <w:r w:rsidR="002B4ECD">
        <w:rPr>
          <w:szCs w:val="22"/>
        </w:rPr>
        <w:t>.</w:t>
      </w:r>
      <w:r w:rsidR="002214E5" w:rsidRPr="00726429">
        <w:rPr>
          <w:szCs w:val="22"/>
        </w:rPr>
        <w:t xml:space="preserve"> </w:t>
      </w:r>
    </w:p>
    <w:p w14:paraId="3D683B55" w14:textId="77777777" w:rsidR="003A31D1" w:rsidRPr="00726429" w:rsidRDefault="003A31D1" w:rsidP="001E54B3">
      <w:pPr>
        <w:ind w:left="0" w:firstLine="0"/>
        <w:rPr>
          <w:iCs/>
          <w:szCs w:val="22"/>
        </w:rPr>
      </w:pPr>
    </w:p>
    <w:p w14:paraId="62B8FA37" w14:textId="77777777" w:rsidR="003A31D1" w:rsidRPr="00726429" w:rsidRDefault="003A31D1" w:rsidP="001E54B3">
      <w:pPr>
        <w:ind w:left="0" w:firstLine="0"/>
        <w:rPr>
          <w:b/>
          <w:szCs w:val="22"/>
        </w:rPr>
      </w:pPr>
      <w:r w:rsidRPr="00726429">
        <w:rPr>
          <w:i/>
          <w:szCs w:val="22"/>
        </w:rPr>
        <w:t>Alergická predispozícia</w:t>
      </w:r>
      <w:r w:rsidRPr="00726429">
        <w:rPr>
          <w:b/>
          <w:szCs w:val="22"/>
        </w:rPr>
        <w:t xml:space="preserve"> </w:t>
      </w:r>
    </w:p>
    <w:p w14:paraId="6D63F954" w14:textId="77777777" w:rsidR="003A31D1" w:rsidRPr="00726429" w:rsidRDefault="003A31D1" w:rsidP="001E54B3">
      <w:pPr>
        <w:ind w:left="0" w:firstLine="0"/>
        <w:rPr>
          <w:iCs/>
          <w:szCs w:val="22"/>
        </w:rPr>
      </w:pPr>
      <w:r w:rsidRPr="00726429">
        <w:rPr>
          <w:szCs w:val="22"/>
        </w:rPr>
        <w:t xml:space="preserve">Je známe, že nežiaduce reakcie na jódované kontrastné </w:t>
      </w:r>
      <w:r w:rsidR="00591C70" w:rsidRPr="00726429">
        <w:rPr>
          <w:szCs w:val="22"/>
        </w:rPr>
        <w:t>látky</w:t>
      </w:r>
      <w:r w:rsidRPr="00726429">
        <w:rPr>
          <w:szCs w:val="22"/>
        </w:rPr>
        <w:t xml:space="preserve"> sú častejšie u pacientov, ktorí majú v anamnéze alergiu</w:t>
      </w:r>
      <w:r w:rsidR="001C19E4" w:rsidRPr="00726429">
        <w:rPr>
          <w:szCs w:val="22"/>
        </w:rPr>
        <w:t xml:space="preserve"> ako je senná nádcha, žihľavka a alergia na potraviny</w:t>
      </w:r>
      <w:r w:rsidRPr="00726429">
        <w:rPr>
          <w:szCs w:val="22"/>
        </w:rPr>
        <w:t xml:space="preserve">. </w:t>
      </w:r>
    </w:p>
    <w:p w14:paraId="2F60F431" w14:textId="77777777" w:rsidR="003A31D1" w:rsidRPr="00726429" w:rsidRDefault="003A31D1" w:rsidP="001E54B3">
      <w:pPr>
        <w:ind w:left="0" w:firstLine="0"/>
        <w:rPr>
          <w:i/>
          <w:szCs w:val="22"/>
        </w:rPr>
      </w:pPr>
    </w:p>
    <w:p w14:paraId="3584CC33" w14:textId="77777777" w:rsidR="003A31D1" w:rsidRPr="00726429" w:rsidRDefault="008C4B7B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P</w:t>
      </w:r>
      <w:r w:rsidR="003A31D1" w:rsidRPr="00726429">
        <w:rPr>
          <w:i/>
          <w:szCs w:val="22"/>
        </w:rPr>
        <w:t xml:space="preserve">acienti </w:t>
      </w:r>
      <w:r w:rsidRPr="00726429">
        <w:rPr>
          <w:i/>
          <w:szCs w:val="22"/>
        </w:rPr>
        <w:t>s astmou</w:t>
      </w:r>
    </w:p>
    <w:p w14:paraId="5EF623FD" w14:textId="77777777" w:rsidR="004B4C2E" w:rsidRDefault="003A31D1" w:rsidP="004B4C2E">
      <w:pPr>
        <w:ind w:left="0" w:firstLine="0"/>
        <w:rPr>
          <w:szCs w:val="22"/>
        </w:rPr>
      </w:pPr>
      <w:r w:rsidRPr="00726429">
        <w:rPr>
          <w:szCs w:val="22"/>
        </w:rPr>
        <w:t>U pacientov</w:t>
      </w:r>
      <w:r w:rsidRPr="00726429">
        <w:rPr>
          <w:b/>
          <w:szCs w:val="22"/>
        </w:rPr>
        <w:t xml:space="preserve"> </w:t>
      </w:r>
      <w:r w:rsidR="00ED2C91" w:rsidRPr="00726429">
        <w:rPr>
          <w:szCs w:val="22"/>
        </w:rPr>
        <w:t>s astmou</w:t>
      </w:r>
      <w:r w:rsidR="00ED2C91" w:rsidRPr="00726429">
        <w:rPr>
          <w:b/>
          <w:szCs w:val="22"/>
        </w:rPr>
        <w:t xml:space="preserve"> </w:t>
      </w:r>
      <w:r w:rsidRPr="00726429">
        <w:rPr>
          <w:szCs w:val="22"/>
        </w:rPr>
        <w:t xml:space="preserve">je </w:t>
      </w:r>
      <w:r w:rsidR="00ED2C91" w:rsidRPr="00726429">
        <w:rPr>
          <w:szCs w:val="22"/>
        </w:rPr>
        <w:t xml:space="preserve">potrebná zvýšená opatrnosť kvôli </w:t>
      </w:r>
      <w:r w:rsidRPr="00726429">
        <w:rPr>
          <w:szCs w:val="22"/>
        </w:rPr>
        <w:t>vyššie</w:t>
      </w:r>
      <w:r w:rsidR="00ED2C91" w:rsidRPr="00726429">
        <w:rPr>
          <w:szCs w:val="22"/>
        </w:rPr>
        <w:t>mu</w:t>
      </w:r>
      <w:r w:rsidRPr="00726429">
        <w:rPr>
          <w:szCs w:val="22"/>
        </w:rPr>
        <w:t xml:space="preserve"> nebezpečenstv</w:t>
      </w:r>
      <w:r w:rsidR="00ED2C91" w:rsidRPr="00726429">
        <w:rPr>
          <w:szCs w:val="22"/>
        </w:rPr>
        <w:t>u</w:t>
      </w:r>
      <w:r w:rsidRPr="00726429">
        <w:rPr>
          <w:szCs w:val="22"/>
        </w:rPr>
        <w:t xml:space="preserve"> bronchospastických epizód po podaní kontrastnej látky</w:t>
      </w:r>
      <w:r w:rsidR="006D438B" w:rsidRPr="00726429">
        <w:rPr>
          <w:szCs w:val="22"/>
        </w:rPr>
        <w:t>, najmä ak užívajú beta-blokátory.</w:t>
      </w:r>
    </w:p>
    <w:p w14:paraId="6D22E133" w14:textId="77777777" w:rsidR="004B4C2E" w:rsidRDefault="004B4C2E" w:rsidP="004B4C2E">
      <w:pPr>
        <w:ind w:left="0" w:firstLine="0"/>
        <w:rPr>
          <w:szCs w:val="22"/>
        </w:rPr>
      </w:pPr>
    </w:p>
    <w:p w14:paraId="4F4A0E41" w14:textId="23CF920E" w:rsidR="003A31D1" w:rsidRPr="00726429" w:rsidRDefault="003A31D1" w:rsidP="004B4C2E">
      <w:pPr>
        <w:keepNext/>
        <w:ind w:left="0" w:firstLine="0"/>
        <w:rPr>
          <w:b/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 xml:space="preserve">Hypertyreoidizmus, nodulárna struma </w:t>
      </w:r>
    </w:p>
    <w:p w14:paraId="6711B518" w14:textId="77777777" w:rsidR="003A31D1" w:rsidRPr="00726429" w:rsidRDefault="003A31D1" w:rsidP="004B4C2E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bCs/>
          <w:iCs/>
          <w:noProof w:val="0"/>
          <w:szCs w:val="22"/>
          <w:lang w:val="sk-SK"/>
        </w:rPr>
        <w:t xml:space="preserve">Kontrastné </w:t>
      </w:r>
      <w:r w:rsidR="008A4D5A" w:rsidRPr="00726429">
        <w:rPr>
          <w:b w:val="0"/>
          <w:bCs/>
          <w:iCs/>
          <w:noProof w:val="0"/>
          <w:szCs w:val="22"/>
          <w:lang w:val="sk-SK"/>
        </w:rPr>
        <w:t>látky</w:t>
      </w:r>
      <w:r w:rsidRPr="00726429">
        <w:rPr>
          <w:b w:val="0"/>
          <w:bCs/>
          <w:iCs/>
          <w:noProof w:val="0"/>
          <w:szCs w:val="22"/>
          <w:lang w:val="sk-SK"/>
        </w:rPr>
        <w:t xml:space="preserve"> môžu obsahovať stopy anorganických jodidov schopných ovplyvniť funkciu štítnej žľazy u pacientov s hypertyreózou alebo strumou, spojenou s tyreotoxikózou.</w:t>
      </w:r>
      <w:r w:rsidRPr="00726429">
        <w:rPr>
          <w:b w:val="0"/>
          <w:iCs/>
          <w:noProof w:val="0"/>
          <w:szCs w:val="22"/>
          <w:lang w:val="sk-SK"/>
        </w:rPr>
        <w:t xml:space="preserve"> Po podaní konvenčných iónových kontrastných </w:t>
      </w:r>
      <w:r w:rsidR="00013A44" w:rsidRPr="00726429">
        <w:rPr>
          <w:b w:val="0"/>
          <w:iCs/>
          <w:noProof w:val="0"/>
          <w:szCs w:val="22"/>
          <w:lang w:val="sk-SK"/>
        </w:rPr>
        <w:t>látok</w:t>
      </w:r>
      <w:r w:rsidRPr="00726429">
        <w:rPr>
          <w:b w:val="0"/>
          <w:iCs/>
          <w:noProof w:val="0"/>
          <w:szCs w:val="22"/>
          <w:lang w:val="sk-SK"/>
        </w:rPr>
        <w:t xml:space="preserve"> sa vyskytli prípady tyreotoxickej krízy.</w:t>
      </w:r>
      <w:r w:rsidR="00ED2C91" w:rsidRPr="00726429">
        <w:rPr>
          <w:b w:val="0"/>
          <w:iCs/>
          <w:noProof w:val="0"/>
          <w:szCs w:val="22"/>
          <w:lang w:val="sk-SK"/>
        </w:rPr>
        <w:t xml:space="preserve"> Preto je u týchto pacientov potrebná zvýšená opatrnosť.</w:t>
      </w:r>
    </w:p>
    <w:p w14:paraId="2D5D3F9F" w14:textId="77777777" w:rsidR="00B22ED8" w:rsidRPr="00726429" w:rsidRDefault="00B22ED8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D5E91CC" w14:textId="77777777" w:rsidR="003A31D1" w:rsidRPr="00F50FCA" w:rsidRDefault="003A31D1" w:rsidP="001E54B3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i/>
          <w:sz w:val="22"/>
          <w:szCs w:val="22"/>
          <w:lang w:val="sk-SK"/>
        </w:rPr>
        <w:lastRenderedPageBreak/>
        <w:t xml:space="preserve">Renálna </w:t>
      </w:r>
      <w:r w:rsidR="009B6544" w:rsidRPr="002B1574">
        <w:rPr>
          <w:rFonts w:ascii="Times New Roman" w:hAnsi="Times New Roman"/>
          <w:i/>
          <w:sz w:val="22"/>
          <w:szCs w:val="22"/>
          <w:lang w:val="sk-SK"/>
        </w:rPr>
        <w:t>nedostatočnosť</w:t>
      </w:r>
    </w:p>
    <w:p w14:paraId="600C338C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s poruchou funkcie obličiek môže podanie kontrastnej látky vyvolať epizódy zlyhania obličiek. </w:t>
      </w:r>
    </w:p>
    <w:p w14:paraId="4F226630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K preventívnym opatreniam patrí: </w:t>
      </w:r>
    </w:p>
    <w:p w14:paraId="75B72197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identifikácia vysoko rizikových pacientov; </w:t>
      </w:r>
    </w:p>
    <w:p w14:paraId="0D909C1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zabezpečenie dostatočnej hydratácie pred podaním kontrastnej látky, najmä pokračovaním intravenóznej infúzie pred a počas vyšetrenia a to až dovtedy, kým sa kontrastná látka obličkami úplne nevylúči; </w:t>
      </w:r>
    </w:p>
    <w:p w14:paraId="7FC1BA8E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tam, kde je to možné, </w:t>
      </w:r>
      <w:r w:rsidR="00862599">
        <w:rPr>
          <w:szCs w:val="22"/>
        </w:rPr>
        <w:t xml:space="preserve">je potrebné </w:t>
      </w:r>
      <w:r w:rsidRPr="00726429">
        <w:rPr>
          <w:szCs w:val="22"/>
        </w:rPr>
        <w:t>vylúčenie podávania nefrotoxických liekov alebo odklad veľkých operácií alebo zákrokov, ako je obličková angioplastika dovtedy, kým obličky celkom nevylúčia kontrastnú látku;</w:t>
      </w:r>
    </w:p>
    <w:p w14:paraId="461ED85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odloženie ďalších vyšetrení s kontrastnou látkou až kým sa funkcia obličiek nevráti na úroveň pred vyšetrením. </w:t>
      </w:r>
    </w:p>
    <w:p w14:paraId="285F4E83" w14:textId="77777777" w:rsidR="007054B5" w:rsidRPr="00726429" w:rsidRDefault="007054B5" w:rsidP="001E54B3">
      <w:pPr>
        <w:ind w:left="0" w:right="-1" w:firstLine="0"/>
        <w:rPr>
          <w:szCs w:val="22"/>
        </w:rPr>
      </w:pPr>
    </w:p>
    <w:p w14:paraId="6B53D28D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Dialyzovan</w:t>
      </w:r>
      <w:r w:rsidR="006C7BDF" w:rsidRPr="00726429">
        <w:rPr>
          <w:szCs w:val="22"/>
        </w:rPr>
        <w:t>í pacienti</w:t>
      </w:r>
      <w:r w:rsidRPr="00726429">
        <w:rPr>
          <w:szCs w:val="22"/>
        </w:rPr>
        <w:t xml:space="preserve"> m</w:t>
      </w:r>
      <w:r w:rsidR="006C7BDF" w:rsidRPr="00726429">
        <w:rPr>
          <w:szCs w:val="22"/>
        </w:rPr>
        <w:t>ôžu</w:t>
      </w:r>
      <w:r w:rsidRPr="00726429">
        <w:rPr>
          <w:szCs w:val="22"/>
        </w:rPr>
        <w:t xml:space="preserve"> </w:t>
      </w:r>
      <w:r w:rsidR="006C7BDF" w:rsidRPr="00726429">
        <w:rPr>
          <w:szCs w:val="22"/>
        </w:rPr>
        <w:t xml:space="preserve">dostať </w:t>
      </w:r>
      <w:r w:rsidR="00ED2C91" w:rsidRPr="00726429">
        <w:rPr>
          <w:szCs w:val="22"/>
        </w:rPr>
        <w:t xml:space="preserve">iba </w:t>
      </w:r>
      <w:r w:rsidR="006C7BDF" w:rsidRPr="00726429">
        <w:rPr>
          <w:szCs w:val="22"/>
        </w:rPr>
        <w:t>kontrastn</w:t>
      </w:r>
      <w:r w:rsidR="00ED2C91" w:rsidRPr="00726429">
        <w:rPr>
          <w:szCs w:val="22"/>
        </w:rPr>
        <w:t>é</w:t>
      </w:r>
      <w:r w:rsidR="006C7BDF" w:rsidRPr="00726429">
        <w:rPr>
          <w:szCs w:val="22"/>
        </w:rPr>
        <w:t xml:space="preserve"> látk</w:t>
      </w:r>
      <w:r w:rsidR="00ED2C91" w:rsidRPr="00726429">
        <w:rPr>
          <w:szCs w:val="22"/>
        </w:rPr>
        <w:t>y</w:t>
      </w:r>
      <w:r w:rsidRPr="00726429">
        <w:rPr>
          <w:szCs w:val="22"/>
        </w:rPr>
        <w:t xml:space="preserve">, </w:t>
      </w:r>
      <w:r w:rsidR="00ED2C91" w:rsidRPr="00726429">
        <w:rPr>
          <w:szCs w:val="22"/>
        </w:rPr>
        <w:t>ktoré</w:t>
      </w:r>
      <w:r w:rsidR="006C7BDF" w:rsidRPr="00726429">
        <w:rPr>
          <w:szCs w:val="22"/>
        </w:rPr>
        <w:t xml:space="preserve"> sa d</w:t>
      </w:r>
      <w:r w:rsidR="00ED2C91" w:rsidRPr="00726429">
        <w:rPr>
          <w:szCs w:val="22"/>
        </w:rPr>
        <w:t>ajú</w:t>
      </w:r>
      <w:r w:rsidRPr="00726429">
        <w:rPr>
          <w:szCs w:val="22"/>
        </w:rPr>
        <w:t xml:space="preserve"> odstrániť dialýzou</w:t>
      </w:r>
      <w:r w:rsidR="00ED2C91" w:rsidRPr="00726429">
        <w:rPr>
          <w:szCs w:val="22"/>
        </w:rPr>
        <w:t xml:space="preserve"> ako napr</w:t>
      </w:r>
      <w:r w:rsidR="0045118E" w:rsidRPr="00726429">
        <w:rPr>
          <w:szCs w:val="22"/>
        </w:rPr>
        <w:t>í</w:t>
      </w:r>
      <w:r w:rsidR="00ED2C91" w:rsidRPr="00726429">
        <w:rPr>
          <w:szCs w:val="22"/>
        </w:rPr>
        <w:t>klad jomeprol</w:t>
      </w:r>
      <w:r w:rsidRPr="00726429">
        <w:rPr>
          <w:szCs w:val="22"/>
        </w:rPr>
        <w:t>.</w:t>
      </w:r>
    </w:p>
    <w:p w14:paraId="09C158B2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97466AD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Diabetes mellitus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193D5A9" w14:textId="77777777" w:rsidR="00A52283" w:rsidRPr="005536F1" w:rsidRDefault="006412B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Poškodenie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obličiek u diabetických pacientov je jedn</w:t>
      </w:r>
      <w:r w:rsidR="004B09E7" w:rsidRPr="00726429">
        <w:rPr>
          <w:rFonts w:ascii="Times New Roman" w:hAnsi="Times New Roman"/>
          <w:sz w:val="22"/>
          <w:szCs w:val="22"/>
          <w:lang w:val="sk-SK"/>
        </w:rPr>
        <w:t>ý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>m z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 rizikových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faktor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ov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ved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ú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c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i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ch 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>k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zlyhaniu obličiek po intravaskulárnom podaní kontrastnej látky. </w:t>
      </w:r>
      <w:r w:rsidR="00275693">
        <w:rPr>
          <w:rFonts w:ascii="Times New Roman" w:hAnsi="Times New Roman"/>
          <w:sz w:val="22"/>
          <w:szCs w:val="22"/>
          <w:lang w:val="sk-SK"/>
        </w:rPr>
        <w:t xml:space="preserve">Intravaskulárne podanie kontrastnej </w:t>
      </w:r>
      <w:r w:rsidR="00275693" w:rsidRPr="005536F1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275693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m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urýchliť laktátovú acidózu u pac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ientov, ktorí užívajú biguanidy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(Pozri časť 4.5 Liekové a iné  interakcie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).</w:t>
      </w:r>
    </w:p>
    <w:p w14:paraId="7F7893ED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4FCFDBA4" w14:textId="77777777" w:rsidR="003A31D1" w:rsidRPr="003B7D07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3B7D07">
        <w:rPr>
          <w:rFonts w:ascii="Times New Roman" w:hAnsi="Times New Roman"/>
          <w:i/>
          <w:sz w:val="22"/>
          <w:szCs w:val="22"/>
          <w:lang w:val="sk-SK"/>
        </w:rPr>
        <w:t>Mnohopočetný myelóm, paraproteinémia</w:t>
      </w:r>
      <w:r w:rsidRPr="003B7D07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429F5D2" w14:textId="77777777" w:rsidR="003A31D1" w:rsidRPr="00726429" w:rsidRDefault="00AC66EB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382DDA">
        <w:rPr>
          <w:rFonts w:ascii="Times New Roman" w:hAnsi="Times New Roman"/>
          <w:sz w:val="22"/>
          <w:szCs w:val="22"/>
          <w:lang w:val="sk-SK"/>
        </w:rPr>
        <w:t>M</w:t>
      </w:r>
      <w:r w:rsidR="003A31D1" w:rsidRPr="00E242CF">
        <w:rPr>
          <w:rFonts w:ascii="Times New Roman" w:hAnsi="Times New Roman"/>
          <w:sz w:val="22"/>
          <w:szCs w:val="22"/>
          <w:lang w:val="sk-SK"/>
        </w:rPr>
        <w:t xml:space="preserve">yelomatóza alebo paraproteinémia predisponujú k poruche funkcie obličiek po podaní kontrastnej látky. </w:t>
      </w:r>
      <w:r w:rsidR="00B7057B" w:rsidRPr="00E242CF">
        <w:rPr>
          <w:rFonts w:ascii="Times New Roman" w:hAnsi="Times New Roman"/>
          <w:sz w:val="22"/>
          <w:szCs w:val="22"/>
          <w:lang w:val="sk-SK"/>
        </w:rPr>
        <w:t>Po podaní kontrastnej látky sa o</w:t>
      </w:r>
      <w:r w:rsidR="003A31D1" w:rsidRPr="00084337">
        <w:rPr>
          <w:rFonts w:ascii="Times New Roman" w:hAnsi="Times New Roman"/>
          <w:sz w:val="22"/>
          <w:szCs w:val="22"/>
          <w:lang w:val="sk-SK"/>
        </w:rPr>
        <w:t>dporúča primeraná hydratácia.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8C871ED" w14:textId="77777777" w:rsidR="003A31D1" w:rsidRPr="00726429" w:rsidRDefault="003A31D1" w:rsidP="001D463A">
      <w:pPr>
        <w:ind w:left="0" w:right="-852" w:firstLine="0"/>
        <w:rPr>
          <w:i/>
          <w:szCs w:val="22"/>
        </w:rPr>
      </w:pPr>
    </w:p>
    <w:p w14:paraId="0CC755A9" w14:textId="77777777" w:rsidR="003A31D1" w:rsidRPr="00726429" w:rsidRDefault="003A31D1" w:rsidP="00354EAF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Feochromocytóm</w:t>
      </w:r>
    </w:p>
    <w:p w14:paraId="562DEF96" w14:textId="77777777" w:rsidR="00E42351" w:rsidRPr="00726429" w:rsidRDefault="00B75619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</w:t>
      </w:r>
      <w:r w:rsidR="00987DB2" w:rsidRPr="00726429">
        <w:rPr>
          <w:szCs w:val="22"/>
        </w:rPr>
        <w:t>po intravaskulárnom podaní kontrastnej látky</w:t>
      </w:r>
      <w:r w:rsidR="0022699D" w:rsidRPr="00726429">
        <w:rPr>
          <w:szCs w:val="22"/>
        </w:rPr>
        <w:t xml:space="preserve"> počas rádiologického výkonu, </w:t>
      </w:r>
      <w:r w:rsidRPr="00726429">
        <w:rPr>
          <w:szCs w:val="22"/>
        </w:rPr>
        <w:t>sa môže vyvinúť hypertenzná kríza</w:t>
      </w:r>
      <w:r w:rsidR="0022699D" w:rsidRPr="00726429">
        <w:rPr>
          <w:szCs w:val="22"/>
        </w:rPr>
        <w:t xml:space="preserve">. </w:t>
      </w:r>
      <w:r w:rsidR="000C5A2B">
        <w:rPr>
          <w:szCs w:val="22"/>
        </w:rPr>
        <w:t xml:space="preserve">Pred intraarteriálnym injikovaním kontrastnej látky u </w:t>
      </w:r>
      <w:r w:rsidR="00B7057B" w:rsidRPr="00726429">
        <w:rPr>
          <w:szCs w:val="22"/>
        </w:rPr>
        <w:t> </w:t>
      </w:r>
      <w:r w:rsidR="00E42351" w:rsidRPr="00726429">
        <w:rPr>
          <w:szCs w:val="22"/>
        </w:rPr>
        <w:t>pacientov s feochromocytómom sa odporúča premedikácia blokátormi alfa</w:t>
      </w:r>
      <w:r w:rsidR="006D438B" w:rsidRPr="00726429">
        <w:rPr>
          <w:szCs w:val="22"/>
        </w:rPr>
        <w:t xml:space="preserve"> a beta</w:t>
      </w:r>
      <w:r w:rsidR="00E42351" w:rsidRPr="00726429">
        <w:rPr>
          <w:szCs w:val="22"/>
        </w:rPr>
        <w:t>-receptoro</w:t>
      </w:r>
      <w:r w:rsidR="006D438B" w:rsidRPr="00726429">
        <w:rPr>
          <w:szCs w:val="22"/>
        </w:rPr>
        <w:t>v</w:t>
      </w:r>
      <w:r w:rsidR="00AC66EB">
        <w:rPr>
          <w:szCs w:val="22"/>
        </w:rPr>
        <w:t xml:space="preserve"> pod dohľadom lekára.</w:t>
      </w:r>
    </w:p>
    <w:p w14:paraId="3B4D3A5D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1CC4D8B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Kosáčikovitá anémia </w:t>
      </w:r>
    </w:p>
    <w:p w14:paraId="46BA3FD7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  <w:r w:rsidRPr="00726429">
        <w:rPr>
          <w:szCs w:val="22"/>
        </w:rPr>
        <w:t>U jedincov homozygotných pre kosáčikovitú anémiu, môžu kontrastné látky vyvolať drepanocytózu. Odporúča sa primeraná hydratácia.</w:t>
      </w:r>
    </w:p>
    <w:p w14:paraId="722FFBC3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</w:p>
    <w:p w14:paraId="35DA4DD1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Myasthenia gravis</w:t>
      </w:r>
    </w:p>
    <w:p w14:paraId="12E82D03" w14:textId="77777777" w:rsidR="003A31D1" w:rsidRPr="00726429" w:rsidRDefault="003A31D1" w:rsidP="00A61B11">
      <w:pPr>
        <w:tabs>
          <w:tab w:val="left" w:pos="921"/>
        </w:tabs>
        <w:ind w:left="0" w:firstLine="0"/>
        <w:rPr>
          <w:b/>
          <w:szCs w:val="22"/>
          <w:u w:val="single"/>
        </w:rPr>
      </w:pPr>
      <w:r w:rsidRPr="00726429">
        <w:rPr>
          <w:szCs w:val="22"/>
        </w:rPr>
        <w:t>Podanie jódovaných kontrastných látok môže zhoršiť príznaky a symptómy myasténie.</w:t>
      </w:r>
    </w:p>
    <w:p w14:paraId="701376A6" w14:textId="77777777" w:rsidR="003A31D1" w:rsidRPr="00726429" w:rsidRDefault="003A31D1" w:rsidP="001D463A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35BB9EBD" w14:textId="77777777" w:rsidR="003A31D1" w:rsidRPr="00726429" w:rsidRDefault="003A31D1" w:rsidP="00354EAF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Závažná dysfunkcia pečene a obličiek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9C589CE" w14:textId="77777777" w:rsidR="003A31D1" w:rsidRPr="00726429" w:rsidRDefault="00BE2527" w:rsidP="00A42B8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 w:eastAsia="sk-SK"/>
        </w:rPr>
      </w:pPr>
      <w:r w:rsidRPr="00B928F1">
        <w:rPr>
          <w:rFonts w:ascii="Times New Roman" w:hAnsi="Times New Roman"/>
          <w:sz w:val="22"/>
          <w:szCs w:val="22"/>
          <w:lang w:val="sk-SK"/>
        </w:rPr>
        <w:t>Kombinácia závažného poškodenia pečene a </w:t>
      </w:r>
      <w:r w:rsidRPr="00447A6C">
        <w:rPr>
          <w:rFonts w:ascii="Times New Roman" w:hAnsi="Times New Roman"/>
          <w:sz w:val="22"/>
          <w:szCs w:val="22"/>
          <w:lang w:val="sk-SK"/>
        </w:rPr>
        <w:t xml:space="preserve">obličiek </w:t>
      </w:r>
      <w:r w:rsidRPr="00106923">
        <w:rPr>
          <w:rFonts w:ascii="Times New Roman" w:hAnsi="Times New Roman"/>
          <w:sz w:val="22"/>
          <w:szCs w:val="22"/>
          <w:lang w:val="sk-SK"/>
        </w:rPr>
        <w:t>m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spôso</w:t>
      </w:r>
      <w:r w:rsidR="00DA673D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biť oneskorenie exkrécie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kontrastnej látky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a tým predisponovať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rizik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u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nežiaducich reakcií.</w:t>
      </w:r>
      <w:r w:rsidRPr="0010692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A44992D" w14:textId="77777777" w:rsidR="0094225C" w:rsidRDefault="0094225C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24B51835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Závažné kardiovaskulárne ochorenia </w:t>
      </w:r>
    </w:p>
    <w:p w14:paraId="526E8052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Riziko nežiaducich reakcií je zvýšené u pacientov so závažným ochorením srdca a to najmä u pacientov so</w:t>
      </w:r>
      <w:r w:rsidR="00F23F43" w:rsidRPr="00726429">
        <w:rPr>
          <w:szCs w:val="22"/>
        </w:rPr>
        <w:t> </w:t>
      </w:r>
      <w:r w:rsidRPr="00726429">
        <w:rPr>
          <w:szCs w:val="22"/>
        </w:rPr>
        <w:t xml:space="preserve">zlyhaním srdca a ischemickou chorobou. Intravaskulárne </w:t>
      </w:r>
      <w:r w:rsidR="00F23F43" w:rsidRPr="00726429">
        <w:rPr>
          <w:szCs w:val="22"/>
        </w:rPr>
        <w:t>podanie</w:t>
      </w:r>
      <w:r w:rsidRPr="00726429">
        <w:rPr>
          <w:szCs w:val="22"/>
        </w:rPr>
        <w:t xml:space="preserve"> kontrastnej látky môže vyvolať pľúcny edém u pacientov s manifestným alebo incipientným zlyhávaním srdca, kým u pacientov s pulmonálnou hypertenziou a chlopňovou chybou srdca môže viesť k výrazným hemodynamickým zmenám. </w:t>
      </w:r>
    </w:p>
    <w:p w14:paraId="743DA62C" w14:textId="77777777" w:rsidR="00B96005" w:rsidRPr="00726429" w:rsidRDefault="00B96005" w:rsidP="001E54B3">
      <w:pPr>
        <w:ind w:left="0" w:right="-1" w:firstLine="0"/>
        <w:rPr>
          <w:szCs w:val="22"/>
        </w:rPr>
      </w:pPr>
    </w:p>
    <w:p w14:paraId="7C1CE4C2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7B80F390" w14:textId="77777777" w:rsidR="003A31D1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Ťažká a c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hronická hypertenzia môže zvýšiť riziko poškodenia obličiek po podaní kontrastnej látky a zvýšiť riziká spojené s katetrizačnými postupmi. </w:t>
      </w:r>
    </w:p>
    <w:p w14:paraId="1D0CDCB7" w14:textId="77777777" w:rsidR="00E9728A" w:rsidRPr="00726429" w:rsidRDefault="00E9728A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117C26A2" w14:textId="77777777" w:rsidR="003A31D1" w:rsidRPr="00726429" w:rsidRDefault="003A31D1" w:rsidP="0036485B">
      <w:pPr>
        <w:pStyle w:val="Obyajntext"/>
        <w:keepNext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lastRenderedPageBreak/>
        <w:t>Poruchy CNS</w:t>
      </w:r>
    </w:p>
    <w:p w14:paraId="62E2D9A2" w14:textId="77777777" w:rsidR="00661C63" w:rsidRPr="00726429" w:rsidRDefault="003A31D1" w:rsidP="0036485B">
      <w:pPr>
        <w:pStyle w:val="Obyajntext"/>
        <w:keepNext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Osobitnú pozornosť je potrebné venovať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 xml:space="preserve">intravaskulárnemu podaniu kontrastnej látky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pacientom s akútnou mozgovou príhodou alebo akútnym intrakraniálnym krvácaním,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>a pri ochoreniach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, ktoré sú spojené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 poškodením 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hematoencefalickej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bariéry, edémom mozgu a akútnou demyelinizáciou. </w:t>
      </w:r>
    </w:p>
    <w:p w14:paraId="33C41250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03FF6793" w14:textId="77777777" w:rsidR="00661C63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Intrakraniálne nádory alebo metastázy a anamnéza epilepsie zvyšujú pravdepodobnosť výskytu kŕčov. </w:t>
      </w:r>
    </w:p>
    <w:p w14:paraId="78352414" w14:textId="77777777" w:rsidR="00661C63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29B5FD8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Podanie kontrastnej látky môže zhoršiť neurologické symptómy spôsobené degeneratívnymi, zápalovými alebo neoplastickými cerebrovaskulárnymi chorobnými zmenami.</w:t>
      </w:r>
    </w:p>
    <w:p w14:paraId="45CB7A4F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2A1FFBDF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Intravaskulárne podanie kontrastnej látky môže spôsobiť vazospazmus a následné epizódy mozgovej ischémie. </w:t>
      </w:r>
    </w:p>
    <w:p w14:paraId="280E6551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B519CF5" w14:textId="77777777" w:rsidR="003A31D1" w:rsidRPr="00726429" w:rsidRDefault="003A31D1" w:rsidP="009D4105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so symptomatickými cerebrovaskulárnymi chorobami, nedávnou mozgovou príhodou alebo častými TIA (transient ischaemic attacks – prechodnými ischemickými príhodami) hrozí zvýšené riziko prechodných neurologických komplikácií. </w:t>
      </w:r>
    </w:p>
    <w:p w14:paraId="14FF3641" w14:textId="77777777" w:rsidR="003A31D1" w:rsidRPr="00726429" w:rsidRDefault="003A31D1" w:rsidP="009D4105">
      <w:pPr>
        <w:rPr>
          <w:szCs w:val="22"/>
        </w:rPr>
      </w:pPr>
    </w:p>
    <w:p w14:paraId="1DD10786" w14:textId="77777777" w:rsidR="003A31D1" w:rsidRPr="00726429" w:rsidRDefault="003A31D1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Alkoholizmus</w:t>
      </w:r>
    </w:p>
    <w:p w14:paraId="771A6416" w14:textId="77777777" w:rsidR="003A31D1" w:rsidRPr="00726429" w:rsidRDefault="003A31D1" w:rsidP="001E54B3">
      <w:pPr>
        <w:ind w:left="0" w:right="-1" w:firstLine="0"/>
        <w:rPr>
          <w:bCs/>
          <w:szCs w:val="22"/>
        </w:rPr>
      </w:pPr>
      <w:r w:rsidRPr="00726429">
        <w:rPr>
          <w:bCs/>
          <w:szCs w:val="22"/>
        </w:rPr>
        <w:t>Experimentálne aj klinicky sa dokázalo</w:t>
      </w:r>
      <w:r w:rsidRPr="00726429">
        <w:rPr>
          <w:szCs w:val="22"/>
        </w:rPr>
        <w:t>, že akútny a</w:t>
      </w:r>
      <w:r w:rsidR="006A52D6" w:rsidRPr="00726429">
        <w:rPr>
          <w:szCs w:val="22"/>
        </w:rPr>
        <w:t>j</w:t>
      </w:r>
      <w:r w:rsidRPr="00726429">
        <w:rPr>
          <w:szCs w:val="22"/>
        </w:rPr>
        <w:t xml:space="preserve"> chronický alkoholizmus zvyšuje permeabilitu</w:t>
      </w:r>
      <w:r w:rsidR="0064454B" w:rsidRPr="00726429">
        <w:rPr>
          <w:szCs w:val="22"/>
        </w:rPr>
        <w:t xml:space="preserve"> </w:t>
      </w:r>
      <w:r w:rsidRPr="00726429">
        <w:rPr>
          <w:bCs/>
          <w:szCs w:val="22"/>
        </w:rPr>
        <w:t xml:space="preserve">hematoencefalickej </w:t>
      </w:r>
      <w:r w:rsidRPr="00726429">
        <w:rPr>
          <w:szCs w:val="22"/>
        </w:rPr>
        <w:t xml:space="preserve">bariéry. </w:t>
      </w:r>
      <w:r w:rsidRPr="00726429">
        <w:rPr>
          <w:bCs/>
          <w:szCs w:val="22"/>
        </w:rPr>
        <w:t xml:space="preserve">To uľahčuje prechod </w:t>
      </w:r>
      <w:r w:rsidRPr="00726429">
        <w:rPr>
          <w:szCs w:val="22"/>
        </w:rPr>
        <w:t>jódových prípravkov do mozgového tkaniva, čo môže viesť k poruchám CNS.</w:t>
      </w:r>
      <w:r w:rsidR="00612D3D">
        <w:rPr>
          <w:szCs w:val="22"/>
        </w:rPr>
        <w:t xml:space="preserve"> </w:t>
      </w:r>
      <w:r w:rsidRPr="00726429">
        <w:rPr>
          <w:bCs/>
          <w:szCs w:val="22"/>
        </w:rPr>
        <w:t>Alkoholizmus môže znížiť prah vzniku kŕčov.</w:t>
      </w:r>
    </w:p>
    <w:p w14:paraId="4A7E99FA" w14:textId="77777777" w:rsidR="003A31D1" w:rsidRPr="00726429" w:rsidRDefault="003A31D1" w:rsidP="001E54B3">
      <w:pPr>
        <w:pStyle w:val="Nadpis4"/>
        <w:spacing w:line="240" w:lineRule="auto"/>
        <w:ind w:left="567"/>
        <w:jc w:val="left"/>
        <w:rPr>
          <w:b w:val="0"/>
          <w:iCs/>
          <w:noProof w:val="0"/>
          <w:szCs w:val="22"/>
          <w:lang w:val="sk-SK"/>
        </w:rPr>
      </w:pPr>
    </w:p>
    <w:p w14:paraId="75E5DA91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i/>
          <w:iCs/>
          <w:noProof w:val="0"/>
          <w:szCs w:val="22"/>
          <w:lang w:val="sk-SK"/>
        </w:rPr>
      </w:pPr>
      <w:r w:rsidRPr="00726429">
        <w:rPr>
          <w:b w:val="0"/>
          <w:i/>
          <w:iCs/>
          <w:noProof w:val="0"/>
          <w:szCs w:val="22"/>
          <w:lang w:val="sk-SK"/>
        </w:rPr>
        <w:t xml:space="preserve">Závislosť od liekov </w:t>
      </w:r>
    </w:p>
    <w:p w14:paraId="0DFEE936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iCs/>
          <w:noProof w:val="0"/>
          <w:szCs w:val="22"/>
          <w:lang w:val="sk-SK"/>
        </w:rPr>
        <w:t>Abúzus liečiv môže znížiť prah vzniku kŕčov.</w:t>
      </w:r>
    </w:p>
    <w:p w14:paraId="0D4921A3" w14:textId="77777777" w:rsidR="00B22ED8" w:rsidRPr="00113579" w:rsidRDefault="00B22ED8" w:rsidP="001E54B3">
      <w:pPr>
        <w:pStyle w:val="Obyajntext"/>
        <w:tabs>
          <w:tab w:val="left" w:pos="0"/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499C1DD7" w14:textId="77777777" w:rsidR="003A31D1" w:rsidRPr="00F50FCA" w:rsidRDefault="003A31D1" w:rsidP="001E54B3">
      <w:pPr>
        <w:pStyle w:val="Obyajntext"/>
        <w:tabs>
          <w:tab w:val="left" w:pos="0"/>
        </w:tabs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</w:pPr>
      <w:r w:rsidRPr="00F50FCA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  <w:t>Špeciálne upozornenie na používanie</w:t>
      </w:r>
    </w:p>
    <w:p w14:paraId="0531A0B8" w14:textId="77777777" w:rsidR="003A31D1" w:rsidRPr="00726429" w:rsidRDefault="003A31D1" w:rsidP="001E54B3">
      <w:pPr>
        <w:rPr>
          <w:szCs w:val="22"/>
          <w:u w:val="single"/>
        </w:rPr>
      </w:pPr>
    </w:p>
    <w:p w14:paraId="5BEF5DA0" w14:textId="77777777" w:rsidR="003A31D1" w:rsidRPr="00726429" w:rsidRDefault="003A31D1" w:rsidP="001E54B3">
      <w:pPr>
        <w:ind w:right="-852"/>
        <w:rPr>
          <w:szCs w:val="22"/>
          <w:u w:val="single"/>
        </w:rPr>
      </w:pPr>
      <w:r w:rsidRPr="00726429">
        <w:rPr>
          <w:szCs w:val="22"/>
          <w:u w:val="single"/>
        </w:rPr>
        <w:t>Vo vzťahu k pacientovi</w:t>
      </w:r>
    </w:p>
    <w:p w14:paraId="08E7B877" w14:textId="77777777" w:rsidR="003A31D1" w:rsidRPr="00726429" w:rsidRDefault="003A31D1" w:rsidP="001E54B3">
      <w:pPr>
        <w:ind w:right="-852"/>
        <w:rPr>
          <w:i/>
          <w:szCs w:val="22"/>
        </w:rPr>
      </w:pPr>
    </w:p>
    <w:p w14:paraId="3C9C71F1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Hydratácia</w:t>
      </w:r>
      <w:r w:rsidRPr="00726429">
        <w:rPr>
          <w:szCs w:val="22"/>
        </w:rPr>
        <w:t xml:space="preserve"> </w:t>
      </w:r>
    </w:p>
    <w:p w14:paraId="58CBF3AE" w14:textId="77777777" w:rsidR="006E46B3" w:rsidRPr="002B1574" w:rsidRDefault="00BE2527" w:rsidP="001D463A">
      <w:pPr>
        <w:ind w:left="0" w:right="-1" w:firstLine="0"/>
        <w:rPr>
          <w:bCs/>
          <w:szCs w:val="22"/>
          <w:shd w:val="clear" w:color="auto" w:fill="FFFFFF"/>
        </w:rPr>
      </w:pPr>
      <w:r>
        <w:rPr>
          <w:szCs w:val="22"/>
        </w:rPr>
        <w:t xml:space="preserve">Pacienti musia byť dobre </w:t>
      </w:r>
      <w:r w:rsidR="001B78DC">
        <w:rPr>
          <w:szCs w:val="22"/>
        </w:rPr>
        <w:t>hydratovaní a príslušné abnormality tekutín a hladín elektrolytov majú byť upravené pred a následne po inj</w:t>
      </w:r>
      <w:r w:rsidR="000C5A2B">
        <w:rPr>
          <w:szCs w:val="22"/>
        </w:rPr>
        <w:t>i</w:t>
      </w:r>
      <w:r w:rsidR="001B78DC">
        <w:rPr>
          <w:szCs w:val="22"/>
        </w:rPr>
        <w:t xml:space="preserve">kovaní kontrastnej látky. </w:t>
      </w:r>
      <w:r w:rsidR="000C5A2B">
        <w:rPr>
          <w:szCs w:val="22"/>
        </w:rPr>
        <w:t>Obzvlášť</w:t>
      </w:r>
      <w:r w:rsidR="001B78DC">
        <w:rPr>
          <w:szCs w:val="22"/>
        </w:rPr>
        <w:t>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závažnou nedostatočnosťou funk</w:t>
      </w:r>
      <w:r w:rsidR="000C5A2B">
        <w:rPr>
          <w:szCs w:val="22"/>
        </w:rPr>
        <w:t>cie</w:t>
      </w:r>
      <w:r w:rsidR="001B78DC">
        <w:rPr>
          <w:szCs w:val="22"/>
        </w:rPr>
        <w:t xml:space="preserve"> pečene alebo myokardu, s mnohopočetným myelómom, diabetes mellitus, polyúriou, oligúriou, hyperurikémiou, u novorodencov, starších pacientov a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závažnými systémovými ochoreniami nesmú byť dehydrovaní. </w:t>
      </w:r>
      <w:r w:rsidR="001073D7">
        <w:rPr>
          <w:szCs w:val="22"/>
        </w:rPr>
        <w:t xml:space="preserve">Taktiež je vyššie riziko u pacientov </w:t>
      </w:r>
      <w:r w:rsidR="00F52035">
        <w:rPr>
          <w:szCs w:val="22"/>
        </w:rPr>
        <w:t>so</w:t>
      </w:r>
      <w:r w:rsidR="001073D7">
        <w:rPr>
          <w:szCs w:val="22"/>
        </w:rPr>
        <w:t xml:space="preserve"> závažn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nedostatočnosť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pečene a obličiek. Opatrnosť je potrebná u</w:t>
      </w:r>
      <w:r w:rsidR="006E46B3">
        <w:rPr>
          <w:szCs w:val="22"/>
        </w:rPr>
        <w:t xml:space="preserve"> pacientov </w:t>
      </w:r>
      <w:r w:rsidR="00B928F1">
        <w:rPr>
          <w:szCs w:val="22"/>
        </w:rPr>
        <w:t>so stavom, ktorý sa m</w:t>
      </w:r>
      <w:r w:rsidR="00B928F1" w:rsidRPr="002B1574">
        <w:rPr>
          <w:bCs/>
          <w:shd w:val="clear" w:color="auto" w:fill="FFFFFF"/>
        </w:rPr>
        <w:t>ôže zhoršiť nadmerným množstvom tekutín</w:t>
      </w:r>
      <w:r w:rsidR="001073D7" w:rsidRPr="002B1574">
        <w:rPr>
          <w:bCs/>
          <w:szCs w:val="22"/>
          <w:shd w:val="clear" w:color="auto" w:fill="FFFFFF"/>
        </w:rPr>
        <w:t>, vrátene srdcového zlyhania.</w:t>
      </w:r>
    </w:p>
    <w:p w14:paraId="23503ED7" w14:textId="77777777" w:rsidR="007E37B0" w:rsidRPr="00726429" w:rsidRDefault="007E37B0" w:rsidP="001D463A">
      <w:pPr>
        <w:ind w:left="0" w:right="-1" w:firstLine="0"/>
        <w:rPr>
          <w:szCs w:val="22"/>
        </w:rPr>
      </w:pPr>
    </w:p>
    <w:p w14:paraId="588795C5" w14:textId="77777777" w:rsidR="003A31D1" w:rsidRPr="00335341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113579">
        <w:rPr>
          <w:rFonts w:ascii="Times New Roman" w:hAnsi="Times New Roman"/>
          <w:i/>
          <w:sz w:val="22"/>
          <w:szCs w:val="22"/>
          <w:lang w:val="sk-SK"/>
        </w:rPr>
        <w:t>Diétne odporúčania</w:t>
      </w:r>
      <w:r w:rsidRPr="0033534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4899456" w14:textId="77777777" w:rsidR="003A31D1" w:rsidRPr="00A65C78" w:rsidRDefault="003A31D1" w:rsidP="0094001C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sz w:val="22"/>
          <w:szCs w:val="22"/>
          <w:lang w:val="sk-SK"/>
        </w:rPr>
        <w:t xml:space="preserve">Pokiaľ lekár neurčí inak, pacient dostane v deň vyšetrenia normálnu stravu spolu s primeraným množstvom tekutín. </w:t>
      </w:r>
    </w:p>
    <w:p w14:paraId="34592D73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eastAsia="SimSun" w:hAnsi="Times New Roman"/>
          <w:b/>
          <w:sz w:val="22"/>
          <w:szCs w:val="22"/>
          <w:lang w:val="sk-SK" w:eastAsia="zh-CN"/>
        </w:rPr>
      </w:pPr>
    </w:p>
    <w:p w14:paraId="5C315391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Precitlivenosť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B5FC3C1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U pacientov s predispozíciou k alergiám, známou precitlivenosťou na jódované kontrastné látky a/alebo astmou v anamnéze treba vziať do úvahy možnosť prevencie reakcií anafylakt</w:t>
      </w:r>
      <w:r w:rsidR="001D463A" w:rsidRPr="00726429">
        <w:rPr>
          <w:szCs w:val="22"/>
        </w:rPr>
        <w:t>ick</w:t>
      </w:r>
      <w:r w:rsidRPr="00726429">
        <w:rPr>
          <w:szCs w:val="22"/>
        </w:rPr>
        <w:t>ého typu premedikáciou antihistaminikami a/alebo kortikoidmi.</w:t>
      </w:r>
    </w:p>
    <w:p w14:paraId="53E5BA66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</w:p>
    <w:p w14:paraId="2F2CBB7D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Úzkosť</w:t>
      </w:r>
    </w:p>
    <w:p w14:paraId="62217B7B" w14:textId="77777777" w:rsidR="003A31D1" w:rsidRPr="00726429" w:rsidRDefault="003A31D1" w:rsidP="001D463A">
      <w:pPr>
        <w:ind w:left="0" w:right="-1" w:firstLine="0"/>
        <w:rPr>
          <w:szCs w:val="22"/>
        </w:rPr>
      </w:pPr>
      <w:r w:rsidRPr="00726429">
        <w:rPr>
          <w:szCs w:val="22"/>
        </w:rPr>
        <w:t>Výrazné stavy vzrušenia, úzkosti a slabosti môžu byť príčinou nežiaducich účinkov alebo môžu ich intenzitu zvýrazniť. V takýchto prípadoch sa odporúča podanie sedatív.</w:t>
      </w:r>
    </w:p>
    <w:p w14:paraId="398B0C0E" w14:textId="77777777" w:rsidR="003A31D1" w:rsidRPr="00726429" w:rsidRDefault="003A31D1" w:rsidP="004B4C2E">
      <w:pPr>
        <w:ind w:left="0" w:right="-852" w:firstLine="0"/>
        <w:rPr>
          <w:szCs w:val="22"/>
        </w:rPr>
      </w:pPr>
    </w:p>
    <w:p w14:paraId="265A3DEB" w14:textId="77777777" w:rsidR="003A31D1" w:rsidRPr="00726429" w:rsidRDefault="003A31D1" w:rsidP="00935738">
      <w:pPr>
        <w:ind w:left="0" w:firstLine="0"/>
        <w:rPr>
          <w:szCs w:val="22"/>
        </w:rPr>
      </w:pPr>
    </w:p>
    <w:p w14:paraId="6F062920" w14:textId="77777777" w:rsidR="003A31D1" w:rsidRPr="00726429" w:rsidRDefault="003A31D1" w:rsidP="004B4C2E">
      <w:pPr>
        <w:keepNext/>
        <w:ind w:right="-1"/>
        <w:rPr>
          <w:szCs w:val="22"/>
          <w:u w:val="single"/>
        </w:rPr>
      </w:pPr>
      <w:r w:rsidRPr="00726429">
        <w:rPr>
          <w:szCs w:val="22"/>
          <w:u w:val="single"/>
        </w:rPr>
        <w:t>Vo vzťahu k použitej metóde</w:t>
      </w:r>
    </w:p>
    <w:p w14:paraId="5A6498C6" w14:textId="77777777" w:rsidR="003A31D1" w:rsidRPr="00726429" w:rsidRDefault="003A31D1" w:rsidP="004B4C2E">
      <w:pPr>
        <w:keepNext/>
        <w:ind w:right="-1"/>
        <w:rPr>
          <w:i/>
          <w:szCs w:val="22"/>
        </w:rPr>
      </w:pPr>
    </w:p>
    <w:p w14:paraId="6045D059" w14:textId="77777777" w:rsidR="003A31D1" w:rsidRPr="00726429" w:rsidRDefault="003A31D1" w:rsidP="004B4C2E">
      <w:pPr>
        <w:keepNext/>
        <w:ind w:right="-1"/>
        <w:rPr>
          <w:i/>
          <w:szCs w:val="22"/>
        </w:rPr>
      </w:pPr>
      <w:r w:rsidRPr="00726429">
        <w:rPr>
          <w:i/>
          <w:szCs w:val="22"/>
        </w:rPr>
        <w:t xml:space="preserve">Koagulácia, katetrizačné techniky </w:t>
      </w:r>
    </w:p>
    <w:p w14:paraId="7156E02A" w14:textId="77777777" w:rsidR="003A31D1" w:rsidRPr="00726429" w:rsidRDefault="003A31D1" w:rsidP="004B4C2E">
      <w:pPr>
        <w:pStyle w:val="Zkladntext2"/>
        <w:keepNext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t xml:space="preserve">Nízka interferencia s normálnymi fyziologickými funkciami je jednou z vlastností neiónových kontrastných látok. Následkom toho neiónové kontrastné látky majú nižšiu antikoagulačnú aktivitu </w:t>
      </w:r>
      <w:r w:rsidRPr="00726429">
        <w:rPr>
          <w:i/>
          <w:iCs/>
          <w:szCs w:val="22"/>
        </w:rPr>
        <w:lastRenderedPageBreak/>
        <w:t>in</w:t>
      </w:r>
      <w:r w:rsidR="00D61A75" w:rsidRPr="00726429">
        <w:rPr>
          <w:i/>
          <w:iCs/>
          <w:szCs w:val="22"/>
        </w:rPr>
        <w:t> </w:t>
      </w:r>
      <w:r w:rsidRPr="00726429">
        <w:rPr>
          <w:i/>
          <w:iCs/>
          <w:szCs w:val="22"/>
        </w:rPr>
        <w:t xml:space="preserve">vitro </w:t>
      </w:r>
      <w:r w:rsidRPr="00726429">
        <w:rPr>
          <w:szCs w:val="22"/>
        </w:rPr>
        <w:t xml:space="preserve">ako iónové. Odborný a pomocný personál preto musí pri vaskulárnych katetrizačných postupoch venovať mimoriadnu pozornosť angiografickej technike a premývaniu katétrov fyziologickým roztokom soli (do ktorej sa v prípade potreby pridá heparín), aby sa minimalizovalo nebezpečenstvo tromboembolických komplikácií spôsobených daným vyšetrovacím postupom. </w:t>
      </w:r>
    </w:p>
    <w:p w14:paraId="2CE29270" w14:textId="77777777" w:rsidR="003A31D1" w:rsidRPr="00726429" w:rsidRDefault="003A31D1" w:rsidP="001E54B3">
      <w:pPr>
        <w:ind w:left="0"/>
        <w:rPr>
          <w:iCs/>
          <w:szCs w:val="22"/>
        </w:rPr>
      </w:pPr>
    </w:p>
    <w:p w14:paraId="0B188AD0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i/>
          <w:szCs w:val="22"/>
        </w:rPr>
        <w:t>Pozorovanie pacienta</w:t>
      </w:r>
    </w:p>
    <w:p w14:paraId="479202E9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  <w:u w:val="single"/>
        </w:rPr>
        <w:t>Intravaskulárna aplikácia</w:t>
      </w:r>
      <w:r w:rsidRPr="00726429">
        <w:rPr>
          <w:szCs w:val="22"/>
        </w:rPr>
        <w:t xml:space="preserve"> kontrastnej látky sa má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ak je to možné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vykonávať u ležiaceho pacienta. Pacienta je potrebné sledovať minimálne 30 minút po podaní kontrastnej látky. </w:t>
      </w:r>
    </w:p>
    <w:p w14:paraId="47868B12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F9216FF" w14:textId="77777777" w:rsidR="00BE7918" w:rsidRPr="00E66B89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E66B89">
        <w:rPr>
          <w:rFonts w:ascii="Times New Roman" w:hAnsi="Times New Roman"/>
          <w:sz w:val="22"/>
          <w:szCs w:val="22"/>
          <w:u w:val="single"/>
          <w:lang w:val="sk-SK"/>
        </w:rPr>
        <w:t>Myelografia</w:t>
      </w:r>
    </w:p>
    <w:p w14:paraId="7288E5DD" w14:textId="77777777" w:rsidR="00BE7918" w:rsidRPr="00BE7918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8E73617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BE7918">
        <w:rPr>
          <w:rFonts w:ascii="Times New Roman" w:hAnsi="Times New Roman"/>
          <w:sz w:val="22"/>
          <w:szCs w:val="22"/>
          <w:u w:val="single"/>
          <w:lang w:val="sk-SK"/>
        </w:rPr>
        <w:t xml:space="preserve">Intratekálna aplikácia </w:t>
      </w:r>
    </w:p>
    <w:p w14:paraId="2912CBED" w14:textId="77777777" w:rsidR="003A31D1" w:rsidRPr="00F50FCA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1260615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Rovnako ako u iných jódovaných kontrastných látok</w:t>
      </w:r>
      <w:r w:rsidR="009710F5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jomeprol má byť podávaný s opatrnosťou u pacientov so zvýšeným intrakraniálnym tlakom alebo podozrením na intrakraniálny nádor,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bsces alebo hematóm.</w:t>
      </w:r>
    </w:p>
    <w:p w14:paraId="3AC43C4E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Antikonvulzívna liečba</w:t>
      </w:r>
      <w:r w:rsidR="0011224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12243" w:rsidRPr="00726429">
        <w:rPr>
          <w:rFonts w:ascii="Times New Roman" w:hAnsi="Times New Roman"/>
          <w:sz w:val="22"/>
          <w:szCs w:val="22"/>
          <w:lang w:val="sk-SK"/>
        </w:rPr>
        <w:t>pacientov, u ktorých je známe, že trpia kŕčmi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m</w:t>
      </w:r>
      <w:r w:rsidR="002538BA">
        <w:rPr>
          <w:rFonts w:ascii="Times New Roman" w:hAnsi="Times New Roman"/>
          <w:sz w:val="22"/>
          <w:szCs w:val="22"/>
          <w:lang w:val="sk-SK"/>
        </w:rPr>
        <w:t>á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 xml:space="preserve"> byť zachovaná pred a po myelografi</w:t>
      </w:r>
      <w:r w:rsidR="00112243">
        <w:rPr>
          <w:rFonts w:ascii="Times New Roman" w:hAnsi="Times New Roman"/>
          <w:sz w:val="22"/>
          <w:szCs w:val="22"/>
          <w:lang w:val="sk-SK"/>
        </w:rPr>
        <w:t>i.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154A4CA9" w14:textId="77777777" w:rsidR="003A31D1" w:rsidRPr="00726429" w:rsidRDefault="003A31D1" w:rsidP="00A65C78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 ukončení vyšetrenia cervikálnej alebo lumbocervikálnej oblasti</w:t>
      </w:r>
      <w:r w:rsidR="009710F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zdvihnite vrchný koniec stola v približne 45° uhle cca na dve minúty, aby kontrastná látka mohla prúdiť nadol do nižších polôh</w:t>
      </w:r>
      <w:r w:rsidR="00BE7918">
        <w:rPr>
          <w:rFonts w:ascii="Times New Roman" w:hAnsi="Times New Roman"/>
          <w:sz w:val="22"/>
          <w:szCs w:val="22"/>
          <w:lang w:val="sk-SK"/>
        </w:rPr>
        <w:t>. 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abráňte pacientovi v nadmernom a </w:t>
      </w:r>
      <w:r w:rsidR="00BE7918">
        <w:rPr>
          <w:rFonts w:ascii="Times New Roman" w:hAnsi="Times New Roman"/>
          <w:sz w:val="22"/>
          <w:szCs w:val="22"/>
          <w:lang w:val="sk-SK"/>
        </w:rPr>
        <w:t>aktívnom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pohybe alebo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námahe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udržujte pacienta pokojného a pod neustálym dohľadom, v polohe so zdvihnutou hlavou najmä počas prvých niekoľkých </w:t>
      </w:r>
      <w:r w:rsidR="005D04C1" w:rsidRPr="00726429">
        <w:rPr>
          <w:rFonts w:ascii="Times New Roman" w:hAnsi="Times New Roman"/>
          <w:sz w:val="22"/>
          <w:szCs w:val="22"/>
          <w:lang w:val="sk-SK"/>
        </w:rPr>
        <w:t>(4-8)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hodín po vyšetrení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112243">
        <w:rPr>
          <w:rFonts w:ascii="Times New Roman" w:hAnsi="Times New Roman"/>
          <w:sz w:val="22"/>
          <w:szCs w:val="22"/>
          <w:lang w:val="sk-SK"/>
        </w:rPr>
        <w:t>P</w:t>
      </w:r>
      <w:r w:rsidRPr="00726429">
        <w:rPr>
          <w:rFonts w:ascii="Times New Roman" w:hAnsi="Times New Roman"/>
          <w:sz w:val="22"/>
          <w:szCs w:val="22"/>
          <w:lang w:val="sk-SK"/>
        </w:rPr>
        <w:t>o</w:t>
      </w:r>
      <w:r w:rsidR="00112243">
        <w:rPr>
          <w:rFonts w:ascii="Times New Roman" w:hAnsi="Times New Roman"/>
          <w:sz w:val="22"/>
          <w:szCs w:val="22"/>
          <w:lang w:val="sk-SK"/>
        </w:rPr>
        <w:t>čas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112243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>to dob</w:t>
      </w:r>
      <w:r w:rsidR="00112243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musí pacient ostať ležať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na chrbte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nesmie opustiť lôžko</w:t>
      </w:r>
      <w:r w:rsidR="009710F5">
        <w:rPr>
          <w:rFonts w:ascii="Times New Roman" w:hAnsi="Times New Roman"/>
          <w:sz w:val="22"/>
          <w:szCs w:val="22"/>
          <w:lang w:val="sk-SK"/>
        </w:rPr>
        <w:t>.</w:t>
      </w:r>
    </w:p>
    <w:p w14:paraId="5E6BBE71" w14:textId="77777777" w:rsidR="003A31D1" w:rsidRPr="00726429" w:rsidRDefault="003A31D1" w:rsidP="005D04C1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75E717" w14:textId="77777777" w:rsidR="00C01892" w:rsidRPr="00A65C78" w:rsidRDefault="00C01892" w:rsidP="00A65C7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A65C78">
        <w:rPr>
          <w:sz w:val="22"/>
          <w:szCs w:val="22"/>
          <w:lang w:val="sk-SK"/>
        </w:rPr>
        <w:t>Intra-cistern</w:t>
      </w:r>
      <w:r w:rsidR="003B3D9F" w:rsidRPr="00A65C78">
        <w:rPr>
          <w:sz w:val="22"/>
          <w:szCs w:val="22"/>
          <w:lang w:val="sk-SK"/>
        </w:rPr>
        <w:t>á</w:t>
      </w:r>
      <w:r w:rsidRPr="00A65C78">
        <w:rPr>
          <w:sz w:val="22"/>
          <w:szCs w:val="22"/>
          <w:lang w:val="sk-SK"/>
        </w:rPr>
        <w:t>l</w:t>
      </w:r>
      <w:r w:rsidR="003B3D9F" w:rsidRPr="00A65C78">
        <w:rPr>
          <w:sz w:val="22"/>
          <w:szCs w:val="22"/>
          <w:lang w:val="sk-SK"/>
        </w:rPr>
        <w:t>ne</w:t>
      </w:r>
      <w:r w:rsidRPr="00A65C78">
        <w:rPr>
          <w:sz w:val="22"/>
          <w:szCs w:val="22"/>
          <w:lang w:val="sk-SK"/>
        </w:rPr>
        <w:t xml:space="preserve"> </w:t>
      </w:r>
      <w:r w:rsidR="003B3D9F" w:rsidRPr="00A65C78">
        <w:rPr>
          <w:sz w:val="22"/>
          <w:szCs w:val="22"/>
          <w:lang w:val="sk-SK"/>
        </w:rPr>
        <w:t>alebo ventri</w:t>
      </w:r>
      <w:r w:rsidR="00112243">
        <w:rPr>
          <w:sz w:val="22"/>
          <w:szCs w:val="22"/>
          <w:lang w:val="sk-SK"/>
        </w:rPr>
        <w:t>k</w:t>
      </w:r>
      <w:r w:rsidR="003B3D9F" w:rsidRPr="00A65C78">
        <w:rPr>
          <w:sz w:val="22"/>
          <w:szCs w:val="22"/>
          <w:lang w:val="sk-SK"/>
        </w:rPr>
        <w:t>ulárne podanie</w:t>
      </w:r>
    </w:p>
    <w:p w14:paraId="542F48BA" w14:textId="77777777" w:rsidR="003B3D9F" w:rsidRPr="002A5D15" w:rsidRDefault="003B3D9F" w:rsidP="005D04C1">
      <w:pPr>
        <w:pStyle w:val="Zkladntext"/>
        <w:rPr>
          <w:szCs w:val="22"/>
        </w:rPr>
      </w:pPr>
      <w:r w:rsidRPr="00113579">
        <w:rPr>
          <w:szCs w:val="22"/>
        </w:rPr>
        <w:t xml:space="preserve">Priame </w:t>
      </w:r>
      <w:r w:rsidR="00C01892" w:rsidRPr="00A65C78">
        <w:rPr>
          <w:szCs w:val="22"/>
        </w:rPr>
        <w:t>intra-cistern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l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alebo</w:t>
      </w:r>
      <w:r w:rsidR="00C01892" w:rsidRPr="00A65C78">
        <w:rPr>
          <w:szCs w:val="22"/>
        </w:rPr>
        <w:t xml:space="preserve"> ventri</w:t>
      </w:r>
      <w:r w:rsidR="00112243">
        <w:rPr>
          <w:szCs w:val="22"/>
        </w:rPr>
        <w:t>k</w:t>
      </w:r>
      <w:r w:rsidR="00C01892" w:rsidRPr="00A65C78">
        <w:rPr>
          <w:szCs w:val="22"/>
        </w:rPr>
        <w:t>ul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r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podanie pre štandardn</w:t>
      </w:r>
      <w:r w:rsidRPr="00335341">
        <w:rPr>
          <w:szCs w:val="22"/>
        </w:rPr>
        <w:t>ú r</w:t>
      </w:r>
      <w:r w:rsidRPr="007B5F23">
        <w:rPr>
          <w:szCs w:val="22"/>
        </w:rPr>
        <w:t>ö</w:t>
      </w:r>
      <w:r w:rsidRPr="002A5D15">
        <w:rPr>
          <w:szCs w:val="22"/>
        </w:rPr>
        <w:t>ntgenografiu bez elektronického zosilnenia sa neodporúča.</w:t>
      </w:r>
    </w:p>
    <w:p w14:paraId="3505EC93" w14:textId="77777777" w:rsidR="00C01892" w:rsidRPr="00113579" w:rsidRDefault="00C01892" w:rsidP="004B4C2E">
      <w:pPr>
        <w:pStyle w:val="Zkladntext"/>
        <w:rPr>
          <w:szCs w:val="22"/>
        </w:rPr>
      </w:pPr>
    </w:p>
    <w:p w14:paraId="3F51978C" w14:textId="77777777" w:rsidR="003A31D1" w:rsidRPr="00726429" w:rsidRDefault="003A31D1" w:rsidP="001E54B3">
      <w:pPr>
        <w:ind w:right="-852"/>
        <w:rPr>
          <w:szCs w:val="22"/>
        </w:rPr>
      </w:pPr>
    </w:p>
    <w:p w14:paraId="382FAF06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Extravazácia </w:t>
      </w:r>
    </w:p>
    <w:p w14:paraId="185A58DE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Počas injikovania kontrastnej látky je potrebné venovať mimoriadnu pozornosť, aby sa zabránilo extravazácii. Zvlášť dôležité je to u pacientov s ťažkými arteriálnymi alebo venóznymi ochoreniami.</w:t>
      </w:r>
    </w:p>
    <w:p w14:paraId="5D0FEE66" w14:textId="77777777" w:rsidR="003A31D1" w:rsidRPr="00726429" w:rsidRDefault="003A31D1" w:rsidP="001E54B3">
      <w:pPr>
        <w:ind w:right="-1"/>
        <w:rPr>
          <w:szCs w:val="22"/>
        </w:rPr>
      </w:pPr>
    </w:p>
    <w:p w14:paraId="4739B045" w14:textId="77777777" w:rsidR="00780926" w:rsidRPr="00726429" w:rsidRDefault="00780926" w:rsidP="001E54B3">
      <w:pPr>
        <w:keepNext/>
        <w:rPr>
          <w:b/>
          <w:szCs w:val="22"/>
        </w:rPr>
      </w:pPr>
      <w:r w:rsidRPr="00726429">
        <w:rPr>
          <w:b/>
          <w:szCs w:val="22"/>
        </w:rPr>
        <w:t>4.5</w:t>
      </w:r>
      <w:r w:rsidRPr="00726429">
        <w:rPr>
          <w:b/>
          <w:szCs w:val="22"/>
        </w:rPr>
        <w:tab/>
        <w:t>Liekové a iné interakcie</w:t>
      </w:r>
    </w:p>
    <w:p w14:paraId="399AB790" w14:textId="77777777" w:rsidR="003A31D1" w:rsidRPr="00726429" w:rsidRDefault="003A31D1" w:rsidP="001E54B3">
      <w:pPr>
        <w:ind w:left="0" w:firstLine="0"/>
        <w:rPr>
          <w:szCs w:val="22"/>
        </w:rPr>
      </w:pPr>
    </w:p>
    <w:p w14:paraId="7F80DF55" w14:textId="77777777" w:rsidR="0064648A" w:rsidRPr="00726429" w:rsidRDefault="001073D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Kedykoľvek je to potrebné, u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 xml:space="preserve">žívanie liekov znižujúcich riziko záchvatu ako sú </w:t>
      </w:r>
      <w:r>
        <w:rPr>
          <w:rFonts w:ascii="Times New Roman" w:hAnsi="Times New Roman"/>
          <w:sz w:val="22"/>
          <w:szCs w:val="22"/>
          <w:lang w:val="sk-SK"/>
        </w:rPr>
        <w:t xml:space="preserve">určité 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neurolep</w:t>
      </w:r>
      <w:r w:rsidR="00E47383">
        <w:rPr>
          <w:rFonts w:ascii="Times New Roman" w:hAnsi="Times New Roman"/>
          <w:sz w:val="22"/>
          <w:szCs w:val="22"/>
          <w:lang w:val="sk-SK"/>
        </w:rPr>
        <w:t>t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iká (inhibítory MAO, tricyklické antidepresíva), analeptiká, antiemetiká a deriváty fenotiazínu sa má prerušiť 48 hodín pred vyšetrením.</w:t>
      </w:r>
    </w:p>
    <w:p w14:paraId="0E04BFC9" w14:textId="77777777" w:rsidR="00F96F05" w:rsidRPr="007B5F23" w:rsidRDefault="00341276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113579">
        <w:rPr>
          <w:rFonts w:ascii="Times New Roman" w:hAnsi="Times New Roman"/>
          <w:sz w:val="22"/>
          <w:szCs w:val="22"/>
          <w:lang w:val="sk-SK"/>
        </w:rPr>
        <w:t>Liečba</w:t>
      </w:r>
      <w:r w:rsidR="00F96F05" w:rsidRPr="00335341">
        <w:rPr>
          <w:rFonts w:ascii="Times New Roman" w:hAnsi="Times New Roman"/>
          <w:sz w:val="22"/>
          <w:szCs w:val="22"/>
          <w:lang w:val="sk-SK"/>
        </w:rPr>
        <w:t xml:space="preserve"> nesm</w:t>
      </w:r>
      <w:r w:rsidRPr="00335341">
        <w:rPr>
          <w:rFonts w:ascii="Times New Roman" w:hAnsi="Times New Roman"/>
          <w:sz w:val="22"/>
          <w:szCs w:val="22"/>
          <w:lang w:val="sk-SK"/>
        </w:rPr>
        <w:t>ie</w:t>
      </w:r>
      <w:r w:rsidR="00F96F05" w:rsidRPr="007B5F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5D15">
        <w:rPr>
          <w:rFonts w:ascii="Times New Roman" w:hAnsi="Times New Roman"/>
          <w:sz w:val="22"/>
          <w:szCs w:val="22"/>
          <w:lang w:val="sk-SK"/>
        </w:rPr>
        <w:t>byť</w:t>
      </w:r>
      <w:r w:rsidR="00F96F05" w:rsidRPr="00F50FC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50FCA">
        <w:rPr>
          <w:rFonts w:ascii="Times New Roman" w:hAnsi="Times New Roman"/>
          <w:sz w:val="22"/>
          <w:szCs w:val="22"/>
          <w:lang w:val="sk-SK"/>
        </w:rPr>
        <w:t>zahájen</w:t>
      </w:r>
      <w:r w:rsidR="00946E0A" w:rsidRPr="00726429">
        <w:rPr>
          <w:rFonts w:ascii="Times New Roman" w:hAnsi="Times New Roman"/>
          <w:sz w:val="22"/>
          <w:szCs w:val="22"/>
          <w:lang w:val="sk-SK"/>
        </w:rPr>
        <w:t>á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skôr ako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24 </w:t>
      </w:r>
      <w:r w:rsidRPr="00726429">
        <w:rPr>
          <w:rFonts w:ascii="Times New Roman" w:hAnsi="Times New Roman"/>
          <w:sz w:val="22"/>
          <w:szCs w:val="22"/>
          <w:lang w:val="sk-SK"/>
        </w:rPr>
        <w:t>hodín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po </w:t>
      </w:r>
      <w:r w:rsidRPr="00726429">
        <w:rPr>
          <w:rFonts w:ascii="Times New Roman" w:hAnsi="Times New Roman"/>
          <w:sz w:val="22"/>
          <w:szCs w:val="22"/>
          <w:lang w:val="sk-SK"/>
        </w:rPr>
        <w:t>procedúre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>.</w:t>
      </w:r>
      <w:r w:rsidR="0045118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>Optimálne dávkovaná antikonvulzívna terapia u epileptických pacientov a pacientov so záchvatmi v anamnéz</w:t>
      </w:r>
      <w:r w:rsidR="00D51BAA" w:rsidRPr="00726429">
        <w:rPr>
          <w:rFonts w:ascii="Times New Roman" w:hAnsi="Times New Roman"/>
          <w:sz w:val="22"/>
          <w:szCs w:val="22"/>
          <w:lang w:val="sk-SK"/>
        </w:rPr>
        <w:t>e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 xml:space="preserve"> sa nesmie prerušiť</w:t>
      </w:r>
      <w:r w:rsidR="0064648A" w:rsidRPr="00113579">
        <w:rPr>
          <w:rFonts w:ascii="Times New Roman" w:hAnsi="Times New Roman"/>
          <w:sz w:val="22"/>
          <w:szCs w:val="22"/>
          <w:lang w:val="sk-SK"/>
        </w:rPr>
        <w:t xml:space="preserve"> a má </w:t>
      </w:r>
      <w:r w:rsidR="0064648A" w:rsidRPr="00335341">
        <w:rPr>
          <w:rFonts w:ascii="Times New Roman" w:hAnsi="Times New Roman"/>
          <w:sz w:val="22"/>
          <w:szCs w:val="22"/>
          <w:lang w:val="sk-SK"/>
        </w:rPr>
        <w:t>byť podávaná v obvyklom dávkovaní.</w:t>
      </w:r>
    </w:p>
    <w:p w14:paraId="673E37E4" w14:textId="77777777" w:rsidR="00F96F05" w:rsidRPr="00F50FCA" w:rsidRDefault="00F96F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8F316AB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U pacientov so srdcovým ochorením a hypertenziou liečených diuretikami, ACE-inhibítormi a/alebo betablokátormi bolo zaznamenané zvýšené riziko výskytu nežiaducich účinkov po podaní iónových kontrastných látok.</w:t>
      </w:r>
    </w:p>
    <w:p w14:paraId="00B98D18" w14:textId="77777777" w:rsidR="00941BD0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9668591" w14:textId="77777777" w:rsidR="00B83D90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Alergie – podobne ako reakcie na kontrastné látky, sú stále častejšie a môžu sa prejaviť oneskorene u pacientov liečených imunomodulátormi, ako interleukín-2 (IL-2).</w:t>
      </w:r>
    </w:p>
    <w:p w14:paraId="1D1F0031" w14:textId="77777777" w:rsidR="00B83D90" w:rsidRPr="00726429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957280C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Beta-blokátory môžu zníž</w:t>
      </w:r>
      <w:r w:rsidR="00DC3753" w:rsidRPr="00726429">
        <w:rPr>
          <w:rFonts w:ascii="Times New Roman" w:hAnsi="Times New Roman"/>
          <w:sz w:val="22"/>
          <w:szCs w:val="22"/>
          <w:lang w:val="sk-SK"/>
        </w:rPr>
        <w:t>iť odpoveď na liečbu bronchospaz</w:t>
      </w:r>
      <w:r w:rsidRPr="00726429">
        <w:rPr>
          <w:rFonts w:ascii="Times New Roman" w:hAnsi="Times New Roman"/>
          <w:sz w:val="22"/>
          <w:szCs w:val="22"/>
          <w:lang w:val="sk-SK"/>
        </w:rPr>
        <w:t>mu vyvolaného kontrastnou látkou.</w:t>
      </w:r>
    </w:p>
    <w:p w14:paraId="6517A8A2" w14:textId="77777777" w:rsidR="00941BD0" w:rsidRPr="00726429" w:rsidRDefault="00941BD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7AD39D9" w14:textId="77777777" w:rsidR="00623F57" w:rsidRPr="00726429" w:rsidRDefault="00623F57" w:rsidP="004B4C2E">
      <w:pPr>
        <w:ind w:left="0" w:firstLine="0"/>
        <w:rPr>
          <w:szCs w:val="22"/>
        </w:rPr>
      </w:pPr>
      <w:r w:rsidRPr="00726429">
        <w:rPr>
          <w:szCs w:val="22"/>
        </w:rPr>
        <w:t>Metform</w:t>
      </w:r>
      <w:r w:rsidR="00B83D90">
        <w:rPr>
          <w:szCs w:val="22"/>
        </w:rPr>
        <w:t>í</w:t>
      </w:r>
      <w:r w:rsidRPr="00726429">
        <w:rPr>
          <w:szCs w:val="22"/>
        </w:rPr>
        <w:t>n</w:t>
      </w:r>
    </w:p>
    <w:p w14:paraId="2B91225C" w14:textId="77777777" w:rsidR="00DC3753" w:rsidRPr="00726429" w:rsidRDefault="006D438B" w:rsidP="004B4C2E">
      <w:pPr>
        <w:ind w:left="0" w:firstLine="0"/>
        <w:rPr>
          <w:szCs w:val="22"/>
        </w:rPr>
      </w:pPr>
      <w:r w:rsidRPr="00726429">
        <w:rPr>
          <w:szCs w:val="22"/>
        </w:rPr>
        <w:t>Diabetickí pacienti s normálnou funkciou obličiek môžu užívať metformín v obvyklých dávkach.</w:t>
      </w:r>
    </w:p>
    <w:p w14:paraId="79DFE5CE" w14:textId="77777777" w:rsidR="00993FFA" w:rsidRPr="00335341" w:rsidRDefault="00993FFA" w:rsidP="006D438B">
      <w:pPr>
        <w:ind w:left="0" w:firstLine="0"/>
        <w:rPr>
          <w:szCs w:val="22"/>
        </w:rPr>
      </w:pPr>
      <w:r w:rsidRPr="00726429">
        <w:rPr>
          <w:szCs w:val="22"/>
        </w:rPr>
        <w:t>Podávanie perorálnych antidiabetík z triedy biguanidov (metformín) je potrebné</w:t>
      </w:r>
      <w:r w:rsidR="004015C3">
        <w:rPr>
          <w:szCs w:val="22"/>
        </w:rPr>
        <w:t xml:space="preserve"> </w:t>
      </w:r>
      <w:r w:rsidRPr="00726429">
        <w:rPr>
          <w:szCs w:val="22"/>
        </w:rPr>
        <w:t>prerušiť na 48 hodín pred aplikácio</w:t>
      </w:r>
      <w:r w:rsidR="004015C3">
        <w:rPr>
          <w:szCs w:val="22"/>
        </w:rPr>
        <w:t>u</w:t>
      </w:r>
      <w:r w:rsidRPr="00726429">
        <w:rPr>
          <w:szCs w:val="22"/>
        </w:rPr>
        <w:t xml:space="preserve"> kontrastnej látky u pacientov so stredne ťažkou formou zlyhania obličiek a to z dôvodu zabrániť vyvolaniu laktátovej acidózy u týchto pacientov. Ďalšie podávanie biguanidov je </w:t>
      </w:r>
      <w:r w:rsidRPr="00726429">
        <w:rPr>
          <w:szCs w:val="22"/>
        </w:rPr>
        <w:lastRenderedPageBreak/>
        <w:t>možné a</w:t>
      </w:r>
      <w:r w:rsidR="00F4042C">
        <w:rPr>
          <w:szCs w:val="22"/>
        </w:rPr>
        <w:t>ž</w:t>
      </w:r>
      <w:r w:rsidRPr="00726429">
        <w:rPr>
          <w:szCs w:val="22"/>
        </w:rPr>
        <w:t> po 4</w:t>
      </w:r>
      <w:r w:rsidR="00275693">
        <w:rPr>
          <w:szCs w:val="22"/>
        </w:rPr>
        <w:t>8</w:t>
      </w:r>
      <w:r w:rsidRPr="00726429">
        <w:rPr>
          <w:szCs w:val="22"/>
        </w:rPr>
        <w:t xml:space="preserve"> hodinách, ak sa hladina kreatinínu nezmenila (pozri časť 4.4</w:t>
      </w:r>
      <w:r w:rsidR="008B576B" w:rsidRPr="00726429">
        <w:rPr>
          <w:szCs w:val="22"/>
        </w:rPr>
        <w:t xml:space="preserve"> </w:t>
      </w:r>
      <w:r w:rsidR="003F5BA3" w:rsidRPr="00726429">
        <w:rPr>
          <w:szCs w:val="22"/>
        </w:rPr>
        <w:t>Špeciálne upozornenia a opatenia na používanie</w:t>
      </w:r>
      <w:r w:rsidRPr="00726429">
        <w:rPr>
          <w:szCs w:val="22"/>
        </w:rPr>
        <w:t>)</w:t>
      </w:r>
    </w:p>
    <w:p w14:paraId="1D800D7E" w14:textId="77777777" w:rsidR="006D438B" w:rsidRPr="00726429" w:rsidRDefault="006D438B" w:rsidP="006D438B">
      <w:pPr>
        <w:ind w:left="0" w:firstLine="0"/>
        <w:rPr>
          <w:szCs w:val="22"/>
        </w:rPr>
      </w:pPr>
      <w:r w:rsidRPr="00F50FCA">
        <w:rPr>
          <w:szCs w:val="22"/>
        </w:rPr>
        <w:t>V prípade akútnych pacientov, ktorí majú poruchu funkcie obličiek alebo u ktorých stav obličiek nepoznáme, musí lekár zvážiť riziko a prínos vyšetrenia s kontrastnou látkou a prijať opatrenia. Metformín nesmie byť podaný od začiatku vyšetrenia kontrastnou látkou. Pacient musí byť po vyšetrení monitorovaný z dôvodu mo</w:t>
      </w:r>
      <w:r w:rsidRPr="00726429">
        <w:rPr>
          <w:szCs w:val="22"/>
        </w:rPr>
        <w:t>žného vzniku laktátovej acidózy. Liečba metformínom môže opäť pokračovať po 48 hodinách od vyšetrenia, v prípade že hladina kreatinínu v</w:t>
      </w:r>
      <w:r w:rsidR="0071303E">
        <w:rPr>
          <w:szCs w:val="22"/>
        </w:rPr>
        <w:t> </w:t>
      </w:r>
      <w:r w:rsidRPr="00726429">
        <w:rPr>
          <w:szCs w:val="22"/>
        </w:rPr>
        <w:t>sére</w:t>
      </w:r>
      <w:r w:rsidR="0071303E">
        <w:rPr>
          <w:szCs w:val="22"/>
        </w:rPr>
        <w:t>/</w:t>
      </w:r>
      <w:r w:rsidRPr="00726429">
        <w:rPr>
          <w:szCs w:val="22"/>
        </w:rPr>
        <w:t>eGFR klesla na pôvodné hodnoty pred vyšetrením.</w:t>
      </w:r>
    </w:p>
    <w:p w14:paraId="549265C7" w14:textId="77777777" w:rsidR="00623F57" w:rsidRPr="00F4042C" w:rsidRDefault="00623F5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 w:eastAsia="sk-SK"/>
        </w:rPr>
      </w:pPr>
    </w:p>
    <w:p w14:paraId="0F575651" w14:textId="77777777" w:rsidR="00623F57" w:rsidRPr="0036485B" w:rsidRDefault="00623F57" w:rsidP="004B4C2E">
      <w:pPr>
        <w:pStyle w:val="Obyajntext"/>
        <w:tabs>
          <w:tab w:val="left" w:pos="921"/>
        </w:tabs>
        <w:rPr>
          <w:rFonts w:ascii="Times New Roman" w:hAnsi="Times New Roman"/>
          <w:i/>
          <w:iCs/>
          <w:sz w:val="22"/>
          <w:szCs w:val="22"/>
          <w:lang w:val="sk-SK"/>
        </w:rPr>
      </w:pPr>
      <w:r w:rsidRPr="0036485B">
        <w:rPr>
          <w:rFonts w:ascii="Times New Roman" w:hAnsi="Times New Roman"/>
          <w:i/>
          <w:iCs/>
          <w:sz w:val="22"/>
          <w:szCs w:val="22"/>
          <w:lang w:val="sk-SK" w:eastAsia="sk-SK"/>
        </w:rPr>
        <w:t>Myelografia</w:t>
      </w:r>
    </w:p>
    <w:p w14:paraId="24971ECB" w14:textId="77777777" w:rsidR="00623F57" w:rsidRPr="00F4042C" w:rsidRDefault="00623F57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36485B">
        <w:rPr>
          <w:rFonts w:ascii="Times New Roman" w:hAnsi="Times New Roman"/>
          <w:sz w:val="22"/>
          <w:szCs w:val="22"/>
          <w:lang w:val="sk-SK"/>
        </w:rPr>
        <w:t>Epiduráln</w:t>
      </w:r>
      <w:r w:rsidR="008D712E" w:rsidRPr="0036485B">
        <w:rPr>
          <w:rFonts w:ascii="Times New Roman" w:hAnsi="Times New Roman"/>
          <w:sz w:val="22"/>
          <w:szCs w:val="22"/>
          <w:lang w:val="sk-SK"/>
        </w:rPr>
        <w:t>e</w:t>
      </w:r>
      <w:r w:rsidRPr="0036485B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8D712E" w:rsidRPr="0036485B">
        <w:rPr>
          <w:rFonts w:ascii="Times New Roman" w:hAnsi="Times New Roman"/>
          <w:sz w:val="22"/>
          <w:szCs w:val="22"/>
          <w:lang w:val="sk-SK"/>
        </w:rPr>
        <w:t xml:space="preserve"> intratekálne </w:t>
      </w:r>
      <w:r w:rsidR="00AB667D" w:rsidRPr="0036485B">
        <w:rPr>
          <w:rFonts w:ascii="Times New Roman" w:hAnsi="Times New Roman"/>
          <w:sz w:val="22"/>
          <w:szCs w:val="22"/>
          <w:lang w:val="sk-SK"/>
        </w:rPr>
        <w:t xml:space="preserve">kortikosteroidy </w:t>
      </w:r>
      <w:r w:rsidR="00700307" w:rsidRPr="0036485B">
        <w:rPr>
          <w:rFonts w:ascii="Times New Roman" w:hAnsi="Times New Roman"/>
          <w:sz w:val="22"/>
          <w:szCs w:val="22"/>
          <w:lang w:val="sk-SK"/>
        </w:rPr>
        <w:t xml:space="preserve">nikdy </w:t>
      </w:r>
      <w:r w:rsidR="002C5B31" w:rsidRPr="0036485B">
        <w:rPr>
          <w:rFonts w:ascii="Times New Roman" w:hAnsi="Times New Roman"/>
          <w:sz w:val="22"/>
          <w:szCs w:val="22"/>
          <w:lang w:val="sk-SK"/>
        </w:rPr>
        <w:t>ne</w:t>
      </w:r>
      <w:r w:rsidR="004E34AD" w:rsidRPr="0036485B">
        <w:rPr>
          <w:rFonts w:ascii="Times New Roman" w:hAnsi="Times New Roman"/>
          <w:sz w:val="22"/>
          <w:szCs w:val="22"/>
          <w:lang w:val="sk-SK"/>
        </w:rPr>
        <w:t>smú</w:t>
      </w:r>
      <w:r w:rsidR="00AB667D" w:rsidRPr="0036485B">
        <w:rPr>
          <w:rFonts w:ascii="Times New Roman" w:hAnsi="Times New Roman"/>
          <w:sz w:val="22"/>
          <w:szCs w:val="22"/>
          <w:lang w:val="sk-SK"/>
        </w:rPr>
        <w:t xml:space="preserve"> byť</w:t>
      </w:r>
      <w:r w:rsidR="00700307" w:rsidRPr="0036485B">
        <w:rPr>
          <w:rFonts w:ascii="Times New Roman" w:hAnsi="Times New Roman"/>
          <w:sz w:val="22"/>
          <w:szCs w:val="22"/>
          <w:lang w:val="sk-SK"/>
        </w:rPr>
        <w:t xml:space="preserve"> podávané súčasne s jódov</w:t>
      </w:r>
      <w:r w:rsidR="004E34AD" w:rsidRPr="0036485B">
        <w:rPr>
          <w:rFonts w:ascii="Times New Roman" w:hAnsi="Times New Roman"/>
          <w:sz w:val="22"/>
          <w:szCs w:val="22"/>
          <w:lang w:val="sk-SK"/>
        </w:rPr>
        <w:t>ým</w:t>
      </w:r>
      <w:r w:rsidR="00700307" w:rsidRPr="0036485B">
        <w:rPr>
          <w:rFonts w:ascii="Times New Roman" w:hAnsi="Times New Roman"/>
          <w:sz w:val="22"/>
          <w:szCs w:val="22"/>
          <w:lang w:val="sk-SK"/>
        </w:rPr>
        <w:t xml:space="preserve"> kontrastn</w:t>
      </w:r>
      <w:r w:rsidR="004E34AD" w:rsidRPr="0036485B">
        <w:rPr>
          <w:rFonts w:ascii="Times New Roman" w:hAnsi="Times New Roman"/>
          <w:sz w:val="22"/>
          <w:szCs w:val="22"/>
          <w:lang w:val="sk-SK"/>
        </w:rPr>
        <w:t>ým</w:t>
      </w:r>
      <w:r w:rsidR="00700307" w:rsidRPr="0036485B">
        <w:rPr>
          <w:rFonts w:ascii="Times New Roman" w:hAnsi="Times New Roman"/>
          <w:sz w:val="22"/>
          <w:szCs w:val="22"/>
          <w:lang w:val="sk-SK"/>
        </w:rPr>
        <w:t xml:space="preserve"> médi</w:t>
      </w:r>
      <w:r w:rsidR="004E34AD" w:rsidRPr="0036485B">
        <w:rPr>
          <w:rFonts w:ascii="Times New Roman" w:hAnsi="Times New Roman"/>
          <w:sz w:val="22"/>
          <w:szCs w:val="22"/>
          <w:lang w:val="sk-SK"/>
        </w:rPr>
        <w:t>om</w:t>
      </w:r>
      <w:r w:rsidR="00700307" w:rsidRPr="0036485B">
        <w:rPr>
          <w:rFonts w:ascii="Times New Roman" w:hAnsi="Times New Roman"/>
          <w:sz w:val="22"/>
          <w:szCs w:val="22"/>
          <w:lang w:val="sk-SK"/>
        </w:rPr>
        <w:t>, pretože kortikosteroidy môžu podporiť a ovplyvniť príznaky a symptómy arachnoiditídy. (Pozri časť 4.3 Kontraindikácie).</w:t>
      </w:r>
    </w:p>
    <w:p w14:paraId="54852285" w14:textId="77777777" w:rsidR="00670B4A" w:rsidRPr="00F4042C" w:rsidRDefault="00670B4A" w:rsidP="001E54B3">
      <w:pPr>
        <w:pStyle w:val="Zkladntext"/>
        <w:tabs>
          <w:tab w:val="left" w:pos="921"/>
        </w:tabs>
        <w:rPr>
          <w:szCs w:val="22"/>
          <w:u w:val="single"/>
        </w:rPr>
      </w:pPr>
    </w:p>
    <w:p w14:paraId="128A1AD1" w14:textId="77777777" w:rsidR="003A31D1" w:rsidRPr="004E34AD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4E34AD">
        <w:rPr>
          <w:rFonts w:ascii="Times New Roman" w:hAnsi="Times New Roman"/>
          <w:i/>
          <w:sz w:val="22"/>
          <w:szCs w:val="22"/>
          <w:lang w:val="sk-SK"/>
        </w:rPr>
        <w:t>Tyreoidálny funkčný test</w:t>
      </w:r>
    </w:p>
    <w:p w14:paraId="573376E0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jódovaných kontrastných látok znižuje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schopnosť tkaniva štítnej žľazy prijať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rádioizotop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 jódu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na diagnostiku porúch </w:t>
      </w:r>
      <w:r w:rsidRPr="00726429">
        <w:rPr>
          <w:rFonts w:ascii="Times New Roman" w:hAnsi="Times New Roman"/>
          <w:sz w:val="22"/>
          <w:szCs w:val="22"/>
          <w:lang w:val="sk-SK"/>
        </w:rPr>
        <w:t>štítn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žľaz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počas dvoch i viacerých týždňov. </w:t>
      </w:r>
    </w:p>
    <w:p w14:paraId="6C645CFE" w14:textId="77777777" w:rsidR="003A31D1" w:rsidRPr="00726429" w:rsidRDefault="003A31D1" w:rsidP="00A61B11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Výsledky štúdií „Väzba jódu proteínmi“ a „Absorpcia rádioaktívneho jódu“ nemusia presne odrážať činnosť štítnej žľazy do dvoch týždňov po podaní jódovanej kontrastnej látky. Ak sa takéto testy musia vykonať, je lepšie použiť absorpciu živice T3 a testy s celkovým alebo voľným tyroxínom (T4). </w:t>
      </w:r>
    </w:p>
    <w:p w14:paraId="61507282" w14:textId="77777777" w:rsidR="00AA7B07" w:rsidRPr="00726429" w:rsidRDefault="00AA7B07" w:rsidP="001D463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45D757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Laboratórne vyšetrenia</w:t>
      </w:r>
    </w:p>
    <w:p w14:paraId="206316F3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Vysoké koncentrácie kontrastnej látky v sére a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 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moči môžu interferovať s výsledkami laboratórnych vyšetrení bilirubínu, proteínov a anorganických látok (napr. železa, medi, vápnika, fosfátov). </w:t>
      </w:r>
    </w:p>
    <w:p w14:paraId="147422CD" w14:textId="77777777" w:rsidR="003A31D1" w:rsidRPr="00726429" w:rsidRDefault="003A31D1" w:rsidP="001E54B3">
      <w:pPr>
        <w:ind w:left="0" w:firstLine="0"/>
        <w:rPr>
          <w:szCs w:val="22"/>
        </w:rPr>
      </w:pPr>
    </w:p>
    <w:p w14:paraId="4667C0A1" w14:textId="77777777" w:rsidR="00780926" w:rsidRPr="00726429" w:rsidRDefault="00780926" w:rsidP="001E54B3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t>4.6</w:t>
      </w:r>
      <w:r w:rsidRPr="00726429">
        <w:rPr>
          <w:b/>
          <w:szCs w:val="22"/>
        </w:rPr>
        <w:tab/>
      </w:r>
      <w:r w:rsidR="00E1698A" w:rsidRPr="00726429">
        <w:rPr>
          <w:b/>
          <w:szCs w:val="22"/>
        </w:rPr>
        <w:t>Fertilita, g</w:t>
      </w:r>
      <w:r w:rsidRPr="00726429">
        <w:rPr>
          <w:b/>
          <w:szCs w:val="22"/>
        </w:rPr>
        <w:t>ravidita a laktácia</w:t>
      </w:r>
    </w:p>
    <w:p w14:paraId="1555B622" w14:textId="77777777" w:rsidR="00780926" w:rsidRPr="00726429" w:rsidRDefault="00780926" w:rsidP="001E54B3">
      <w:pPr>
        <w:keepNext/>
        <w:ind w:left="0" w:firstLine="0"/>
        <w:rPr>
          <w:szCs w:val="22"/>
        </w:rPr>
      </w:pPr>
    </w:p>
    <w:p w14:paraId="1439016F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Fertilita</w:t>
      </w:r>
    </w:p>
    <w:p w14:paraId="69F8B2F3" w14:textId="77777777" w:rsidR="006F3CAB" w:rsidRPr="00726429" w:rsidRDefault="003A31D1" w:rsidP="006F3CAB">
      <w:pPr>
        <w:ind w:left="0" w:right="-1" w:firstLine="0"/>
        <w:rPr>
          <w:szCs w:val="22"/>
        </w:rPr>
      </w:pPr>
      <w:r w:rsidRPr="00726429">
        <w:rPr>
          <w:szCs w:val="22"/>
        </w:rPr>
        <w:t>Štúdie na zvieratách nepreukázali žiadne teratogénne aleb</w:t>
      </w:r>
      <w:r w:rsidR="00F569F2" w:rsidRPr="00726429">
        <w:rPr>
          <w:szCs w:val="22"/>
        </w:rPr>
        <w:t xml:space="preserve">o </w:t>
      </w:r>
      <w:r w:rsidR="00424A7D" w:rsidRPr="00726429">
        <w:rPr>
          <w:szCs w:val="22"/>
        </w:rPr>
        <w:t>embryo</w:t>
      </w:r>
      <w:r w:rsidR="00F569F2" w:rsidRPr="00726429">
        <w:rPr>
          <w:szCs w:val="22"/>
        </w:rPr>
        <w:t>toxické účinky po podaní j</w:t>
      </w:r>
      <w:r w:rsidRPr="00726429">
        <w:rPr>
          <w:szCs w:val="22"/>
        </w:rPr>
        <w:t>omeprolu.</w:t>
      </w:r>
      <w:r w:rsidR="006F3CAB" w:rsidRPr="00113579">
        <w:rPr>
          <w:szCs w:val="22"/>
        </w:rPr>
        <w:t xml:space="preserve"> Je potrebné prijať primerané vyšetrenia a opat</w:t>
      </w:r>
      <w:r w:rsidR="00EA1BDF" w:rsidRPr="00335341">
        <w:rPr>
          <w:szCs w:val="22"/>
        </w:rPr>
        <w:t>r</w:t>
      </w:r>
      <w:r w:rsidR="006F3CAB" w:rsidRPr="00335341">
        <w:rPr>
          <w:szCs w:val="22"/>
        </w:rPr>
        <w:t xml:space="preserve">enia </w:t>
      </w:r>
      <w:r w:rsidR="006F3CAB" w:rsidRPr="007B5F23">
        <w:rPr>
          <w:szCs w:val="22"/>
        </w:rPr>
        <w:t xml:space="preserve">u žien v plodnom veku </w:t>
      </w:r>
      <w:r w:rsidR="006F3CAB" w:rsidRPr="002A5D15">
        <w:rPr>
          <w:szCs w:val="22"/>
        </w:rPr>
        <w:t>pri</w:t>
      </w:r>
      <w:r w:rsidR="006F3CAB" w:rsidRPr="00F50FCA">
        <w:rPr>
          <w:szCs w:val="22"/>
        </w:rPr>
        <w:t xml:space="preserve"> </w:t>
      </w:r>
      <w:r w:rsidR="00EA1BDF" w:rsidRPr="00F50FCA">
        <w:rPr>
          <w:szCs w:val="22"/>
        </w:rPr>
        <w:t>každo</w:t>
      </w:r>
      <w:r w:rsidR="00EA1BDF" w:rsidRPr="00726429">
        <w:rPr>
          <w:szCs w:val="22"/>
        </w:rPr>
        <w:t>m vyšetrení ožiarením, či už s kontrastnou látkou, alebo bez nej.</w:t>
      </w:r>
    </w:p>
    <w:p w14:paraId="04F5F3E4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6A9A1C9C" w14:textId="77777777" w:rsidR="003A31D1" w:rsidRPr="00726429" w:rsidRDefault="003A31D1" w:rsidP="001E54B3">
      <w:pPr>
        <w:ind w:left="0" w:right="-1" w:firstLine="0"/>
        <w:rPr>
          <w:i/>
          <w:szCs w:val="22"/>
        </w:rPr>
      </w:pPr>
      <w:r w:rsidRPr="00726429">
        <w:rPr>
          <w:i/>
          <w:szCs w:val="22"/>
        </w:rPr>
        <w:t>Gravidita</w:t>
      </w:r>
    </w:p>
    <w:p w14:paraId="35488203" w14:textId="77777777" w:rsidR="003A31D1" w:rsidRPr="00726429" w:rsidRDefault="00424A7D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Tak</w:t>
      </w:r>
      <w:r w:rsidR="003A31D1" w:rsidRPr="00726429">
        <w:rPr>
          <w:szCs w:val="22"/>
        </w:rPr>
        <w:t xml:space="preserve"> ako u iných neiónových kontrastných látok, nie sú ani u Iomeronu k dispozícii kontrolované štúdie u gravidných žien, potvrdzujúce jeho bezpečné podávanie. Tam, kde je to možné, je potrebné vyhnúť sa radiačnému ožiareniu počas tehotenstva, a pri indikácii vyšetrenia (s kontrastnou látkou aj bez nej) je zvlášť nevyhnutné posúdiť pomer prínosu a rizika diagnostického výkonu.</w:t>
      </w:r>
    </w:p>
    <w:p w14:paraId="39B071CD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410A8E9A" w14:textId="77777777" w:rsidR="00E9728A" w:rsidRPr="00726429" w:rsidRDefault="0087059E" w:rsidP="001E54B3">
      <w:pPr>
        <w:pStyle w:val="Bezriadkovania"/>
        <w:rPr>
          <w:i/>
          <w:szCs w:val="22"/>
        </w:rPr>
      </w:pPr>
      <w:r w:rsidRPr="00726429">
        <w:rPr>
          <w:i/>
          <w:szCs w:val="22"/>
        </w:rPr>
        <w:t>Laktácia</w:t>
      </w:r>
    </w:p>
    <w:p w14:paraId="4D0D8E93" w14:textId="77777777" w:rsidR="006D438B" w:rsidRPr="00335341" w:rsidRDefault="008024FA" w:rsidP="006730A5">
      <w:pPr>
        <w:ind w:left="0" w:firstLine="0"/>
        <w:rPr>
          <w:szCs w:val="22"/>
        </w:rPr>
      </w:pPr>
      <w:r w:rsidRPr="00726429">
        <w:rPr>
          <w:szCs w:val="22"/>
        </w:rPr>
        <w:t>Jódové kontrastné látky sa nevylučujú do ľudského materského mlieka a nie sú toxické u zvierat po perorálnom podaní. Z doteraz získaných skúseností nie je pr</w:t>
      </w:r>
      <w:r w:rsidR="009710F5">
        <w:rPr>
          <w:szCs w:val="22"/>
        </w:rPr>
        <w:t>a</w:t>
      </w:r>
      <w:r w:rsidRPr="00726429">
        <w:rPr>
          <w:szCs w:val="22"/>
        </w:rPr>
        <w:t>vdepodobné poškodenie</w:t>
      </w:r>
      <w:r w:rsidR="00290E5E" w:rsidRPr="00726429">
        <w:rPr>
          <w:szCs w:val="22"/>
        </w:rPr>
        <w:t xml:space="preserve"> dojčaťa. </w:t>
      </w:r>
      <w:r w:rsidR="00E229A3" w:rsidRPr="00726429">
        <w:rPr>
          <w:szCs w:val="22"/>
        </w:rPr>
        <w:t>Iomeron</w:t>
      </w:r>
      <w:r w:rsidR="00B42062" w:rsidRPr="00726429">
        <w:rPr>
          <w:szCs w:val="22"/>
        </w:rPr>
        <w:t xml:space="preserve"> sa môže používať </w:t>
      </w:r>
      <w:r w:rsidR="00EA1BDF" w:rsidRPr="00726429">
        <w:rPr>
          <w:szCs w:val="22"/>
        </w:rPr>
        <w:t>počas</w:t>
      </w:r>
      <w:r w:rsidR="00B42062" w:rsidRPr="00726429">
        <w:rPr>
          <w:szCs w:val="22"/>
        </w:rPr>
        <w:t xml:space="preserve"> dojčen</w:t>
      </w:r>
      <w:r w:rsidR="00EA1BDF" w:rsidRPr="00726429">
        <w:rPr>
          <w:szCs w:val="22"/>
        </w:rPr>
        <w:t>ia</w:t>
      </w:r>
      <w:r w:rsidR="006D438B" w:rsidRPr="00113579">
        <w:rPr>
          <w:szCs w:val="22"/>
        </w:rPr>
        <w:t>.</w:t>
      </w:r>
    </w:p>
    <w:p w14:paraId="1C237512" w14:textId="77777777" w:rsidR="003A31D1" w:rsidRPr="00726429" w:rsidRDefault="003A31D1" w:rsidP="006730A5">
      <w:pPr>
        <w:ind w:left="0" w:firstLine="0"/>
        <w:rPr>
          <w:szCs w:val="22"/>
        </w:rPr>
      </w:pPr>
    </w:p>
    <w:p w14:paraId="174EFAF3" w14:textId="77777777" w:rsidR="00780926" w:rsidRPr="00726429" w:rsidRDefault="00780926" w:rsidP="004B4C2E">
      <w:pPr>
        <w:keepNext/>
        <w:rPr>
          <w:szCs w:val="22"/>
        </w:rPr>
      </w:pPr>
      <w:r w:rsidRPr="00726429">
        <w:rPr>
          <w:b/>
          <w:szCs w:val="22"/>
        </w:rPr>
        <w:t>4.7</w:t>
      </w:r>
      <w:r w:rsidRPr="00726429">
        <w:rPr>
          <w:b/>
          <w:szCs w:val="22"/>
        </w:rPr>
        <w:tab/>
        <w:t>Ovplyvnenie schopnosti viesť vozidlá a obsluhovať stroje</w:t>
      </w:r>
    </w:p>
    <w:p w14:paraId="4BFDF3B9" w14:textId="77777777" w:rsidR="00780926" w:rsidRPr="00726429" w:rsidRDefault="00780926" w:rsidP="004B4C2E">
      <w:pPr>
        <w:keepNext/>
        <w:rPr>
          <w:szCs w:val="22"/>
        </w:rPr>
      </w:pPr>
    </w:p>
    <w:p w14:paraId="687BE9EE" w14:textId="77777777" w:rsidR="007D7E99" w:rsidRPr="00726429" w:rsidRDefault="006D438B" w:rsidP="004B4C2E">
      <w:pPr>
        <w:keepNext/>
        <w:ind w:left="0" w:right="-1" w:firstLine="0"/>
        <w:rPr>
          <w:szCs w:val="22"/>
        </w:rPr>
      </w:pPr>
      <w:r w:rsidRPr="00726429">
        <w:rPr>
          <w:szCs w:val="22"/>
        </w:rPr>
        <w:t>Nie je známy žiadny vplyv na schopnosť viesť vozidlá a obsluhovať stroje.</w:t>
      </w:r>
      <w:r w:rsidR="00A6528C" w:rsidRPr="00726429">
        <w:rPr>
          <w:szCs w:val="22"/>
        </w:rPr>
        <w:t xml:space="preserve"> </w:t>
      </w:r>
    </w:p>
    <w:p w14:paraId="74CA349C" w14:textId="77777777" w:rsidR="006D438B" w:rsidRPr="00726429" w:rsidRDefault="007D7E99" w:rsidP="006D438B">
      <w:pPr>
        <w:ind w:left="0" w:right="-1" w:firstLine="0"/>
        <w:rPr>
          <w:szCs w:val="22"/>
        </w:rPr>
      </w:pPr>
      <w:r w:rsidRPr="00726429">
        <w:rPr>
          <w:szCs w:val="22"/>
        </w:rPr>
        <w:t>Po intratekálnom podaní sa n</w:t>
      </w:r>
      <w:r w:rsidR="00A6528C" w:rsidRPr="00726429">
        <w:rPr>
          <w:szCs w:val="22"/>
        </w:rPr>
        <w:t>eodporúča viesť motorové vozidl</w:t>
      </w:r>
      <w:r w:rsidR="00E72960">
        <w:rPr>
          <w:szCs w:val="22"/>
        </w:rPr>
        <w:t>á</w:t>
      </w:r>
      <w:r w:rsidR="00A6528C" w:rsidRPr="00726429">
        <w:rPr>
          <w:szCs w:val="22"/>
        </w:rPr>
        <w:t xml:space="preserve"> alebo obsluhovať stroje</w:t>
      </w:r>
      <w:r w:rsidRPr="00726429">
        <w:rPr>
          <w:szCs w:val="22"/>
        </w:rPr>
        <w:t xml:space="preserve"> počas 24 hodín.</w:t>
      </w:r>
    </w:p>
    <w:p w14:paraId="0C514D1F" w14:textId="77777777" w:rsidR="00780926" w:rsidRPr="00335341" w:rsidRDefault="00780926" w:rsidP="001D463A">
      <w:pPr>
        <w:rPr>
          <w:szCs w:val="22"/>
        </w:rPr>
      </w:pPr>
    </w:p>
    <w:p w14:paraId="260848E6" w14:textId="77777777" w:rsidR="00780926" w:rsidRPr="002A5D15" w:rsidRDefault="00780926" w:rsidP="004B4C2E">
      <w:pPr>
        <w:keepNext/>
        <w:rPr>
          <w:b/>
          <w:szCs w:val="22"/>
        </w:rPr>
      </w:pPr>
      <w:r w:rsidRPr="002A5D15">
        <w:rPr>
          <w:b/>
          <w:szCs w:val="22"/>
        </w:rPr>
        <w:t>4.8</w:t>
      </w:r>
      <w:r w:rsidRPr="002A5D15">
        <w:rPr>
          <w:b/>
          <w:szCs w:val="22"/>
        </w:rPr>
        <w:tab/>
        <w:t>Nežiaduce účinky</w:t>
      </w:r>
    </w:p>
    <w:p w14:paraId="26E16098" w14:textId="77777777" w:rsidR="0087059E" w:rsidRPr="00F50FCA" w:rsidRDefault="0087059E" w:rsidP="004B4C2E">
      <w:pPr>
        <w:keepNext/>
        <w:ind w:left="0" w:right="-1" w:firstLine="0"/>
        <w:rPr>
          <w:szCs w:val="22"/>
        </w:rPr>
      </w:pPr>
    </w:p>
    <w:p w14:paraId="2F43742C" w14:textId="77777777" w:rsidR="0087059E" w:rsidRPr="00726429" w:rsidRDefault="0087059E" w:rsidP="004B4C2E">
      <w:pPr>
        <w:pStyle w:val="Obyajntext"/>
        <w:keepNext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sú zvyčajne mierne až stredne závažné a prechodného charakteru.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B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oli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však </w:t>
      </w:r>
      <w:r w:rsidRPr="00726429">
        <w:rPr>
          <w:rFonts w:ascii="Times New Roman" w:hAnsi="Times New Roman"/>
          <w:sz w:val="22"/>
          <w:szCs w:val="22"/>
          <w:lang w:val="sk-SK"/>
        </w:rPr>
        <w:t>hlásené aj závažné, život ohrozujúce reakcie, ktoré viedli k úmrtiu. Vo väčšine prípadov sa účinky objavujú počas niekoľkých minút po podaní, občas aj neskôr.</w:t>
      </w:r>
    </w:p>
    <w:p w14:paraId="49CC845D" w14:textId="77777777" w:rsidR="0087059E" w:rsidRPr="00726429" w:rsidRDefault="0087059E" w:rsidP="001E54B3">
      <w:pPr>
        <w:ind w:left="0" w:right="-1" w:firstLine="0"/>
        <w:rPr>
          <w:szCs w:val="22"/>
        </w:rPr>
      </w:pPr>
    </w:p>
    <w:p w14:paraId="45FECF7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Anafylaxia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sa môže vyskytnúť s rôznymi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príznakmi a l</w:t>
      </w:r>
      <w:r w:rsidRPr="00726429">
        <w:rPr>
          <w:rFonts w:ascii="Times New Roman" w:hAnsi="Times New Roman"/>
          <w:sz w:val="22"/>
          <w:szCs w:val="22"/>
          <w:lang w:val="sk-SK"/>
        </w:rPr>
        <w:t>en zriedka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vo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sa u jedného pacienta rozvinú všetky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Zvyčajne</w:t>
      </w:r>
      <w:r w:rsidRPr="00726429">
        <w:rPr>
          <w:rFonts w:ascii="Times New Roman" w:hAnsi="Times New Roman"/>
          <w:sz w:val="22"/>
          <w:szCs w:val="22"/>
          <w:lang w:val="sk-SK"/>
        </w:rPr>
        <w:t>, po 1 až 15 min</w:t>
      </w:r>
      <w:r w:rsidR="00F23F43" w:rsidRPr="00726429">
        <w:rPr>
          <w:rFonts w:ascii="Times New Roman" w:hAnsi="Times New Roman"/>
          <w:sz w:val="22"/>
          <w:szCs w:val="22"/>
          <w:lang w:val="sk-SK"/>
        </w:rPr>
        <w:t>útach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(zriedkavo až po 2 h) s</w:t>
      </w:r>
      <w:r w:rsidR="00405B24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 začne sťažovať na </w:t>
      </w:r>
      <w:r w:rsidRPr="00726429">
        <w:rPr>
          <w:rFonts w:ascii="Times New Roman" w:hAnsi="Times New Roman"/>
          <w:sz w:val="22"/>
          <w:szCs w:val="22"/>
          <w:lang w:val="sk-SK"/>
        </w:rPr>
        <w:lastRenderedPageBreak/>
        <w:t xml:space="preserve">pocit nevoľnosti, nepokoj, sčervenanie, pocit tepla,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potenie, závrat,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slzenie, nádchu, palpitácie,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parestéziu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pruritus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pulzujúcu bolesť v 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hlave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faryngolaryng</w:t>
      </w:r>
      <w:r w:rsidR="009710F5">
        <w:rPr>
          <w:rFonts w:ascii="Times New Roman" w:hAnsi="Times New Roman"/>
          <w:sz w:val="22"/>
          <w:szCs w:val="22"/>
          <w:lang w:val="sk-SK"/>
        </w:rPr>
        <w:t>e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áln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bolesť a stiahnutie hrdla</w:t>
      </w:r>
      <w:r w:rsidRPr="0011357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dysphagi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,</w:t>
      </w:r>
      <w:r w:rsidRPr="00335341">
        <w:rPr>
          <w:rFonts w:ascii="Times New Roman" w:hAnsi="Times New Roman"/>
          <w:sz w:val="22"/>
          <w:szCs w:val="22"/>
          <w:lang w:val="sk-SK"/>
        </w:rPr>
        <w:t xml:space="preserve"> kašeľ, kýchanie, </w:t>
      </w:r>
      <w:r w:rsidR="00946E0A" w:rsidRPr="007B5F23">
        <w:rPr>
          <w:rFonts w:ascii="Times New Roman" w:hAnsi="Times New Roman"/>
          <w:sz w:val="22"/>
          <w:szCs w:val="22"/>
          <w:lang w:val="sk-SK"/>
        </w:rPr>
        <w:t>u</w:t>
      </w:r>
      <w:r w:rsidR="00165138" w:rsidRPr="002A5D15">
        <w:rPr>
          <w:rFonts w:ascii="Times New Roman" w:hAnsi="Times New Roman"/>
          <w:sz w:val="22"/>
          <w:szCs w:val="22"/>
          <w:lang w:val="sk-SK"/>
        </w:rPr>
        <w:t>rtikári</w:t>
      </w:r>
      <w:r w:rsidR="00946E0A" w:rsidRPr="00F50FCA">
        <w:rPr>
          <w:rFonts w:ascii="Times New Roman" w:hAnsi="Times New Roman"/>
          <w:sz w:val="22"/>
          <w:szCs w:val="22"/>
          <w:lang w:val="sk-SK"/>
        </w:rPr>
        <w:t>u</w:t>
      </w:r>
      <w:r w:rsidRPr="00F50FCA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erytému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ľahk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lokalizované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edémy </w:t>
      </w:r>
      <w:r w:rsidRPr="00726429">
        <w:rPr>
          <w:rFonts w:ascii="Times New Roman" w:hAnsi="Times New Roman"/>
          <w:sz w:val="22"/>
          <w:szCs w:val="22"/>
          <w:lang w:val="sk-SK"/>
        </w:rPr>
        <w:t>alebo angioedém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dyspnoe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 dôsledku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edému </w:t>
      </w:r>
      <w:r w:rsidRPr="00726429">
        <w:rPr>
          <w:rFonts w:ascii="Times New Roman" w:hAnsi="Times New Roman"/>
          <w:sz w:val="22"/>
          <w:szCs w:val="22"/>
          <w:lang w:val="sk-SK"/>
        </w:rPr>
        <w:t>jazyka a 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hrtana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a/alebo na laryngospazmus prejavujúci sa dýchavičnosťou a bronchospazmom. </w:t>
      </w:r>
    </w:p>
    <w:p w14:paraId="5B699604" w14:textId="77777777" w:rsidR="0087059E" w:rsidRPr="00726429" w:rsidRDefault="0087059E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CAD0179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Hlásené boli aj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nau</w:t>
      </w:r>
      <w:r w:rsidR="00E517AA"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ea</w:t>
      </w:r>
      <w:r w:rsidRPr="00726429">
        <w:rPr>
          <w:rFonts w:ascii="Times New Roman" w:hAnsi="Times New Roman"/>
          <w:sz w:val="22"/>
          <w:szCs w:val="22"/>
          <w:lang w:val="sk-SK"/>
        </w:rPr>
        <w:t>, vracanie, boles</w:t>
      </w:r>
      <w:r w:rsidR="004D5FE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brucha a hnačka.</w:t>
      </w:r>
    </w:p>
    <w:p w14:paraId="141E7FFD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120B84A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Tieto reakcie, ktoré sa môžu vyskytnúť bez ohľadu na podanú dávku a cestu podania, môžu predstavovať prvé znaky obehového kolapsu.</w:t>
      </w:r>
    </w:p>
    <w:p w14:paraId="0F4AF59B" w14:textId="77777777" w:rsidR="0087059E" w:rsidRPr="00335341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kontrastnej látky musí byť okamžite prerušené a v prípade potreby je vhodné urýchlene začať so špecifickou liečbou podanou </w:t>
      </w:r>
      <w:r w:rsidR="00C536DF" w:rsidRPr="00335341">
        <w:rPr>
          <w:rFonts w:ascii="Times New Roman" w:hAnsi="Times New Roman"/>
          <w:sz w:val="22"/>
          <w:szCs w:val="22"/>
          <w:lang w:val="sk-SK"/>
        </w:rPr>
        <w:t>intravenózne.</w:t>
      </w:r>
    </w:p>
    <w:p w14:paraId="49BD0590" w14:textId="77777777" w:rsidR="00424A7D" w:rsidRPr="00F50FCA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38B3F60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Závažné reakcie kardiovaskulárneho systému, ako je vazodilatácia s výraznou hypotenziou, tachykardi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, cyanóz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strat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vedomia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postupujúca do </w:t>
      </w:r>
      <w:r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ástavy dychu </w:t>
      </w:r>
      <w:r w:rsidRPr="00726429">
        <w:rPr>
          <w:rFonts w:ascii="Times New Roman" w:hAnsi="Times New Roman"/>
          <w:sz w:val="22"/>
          <w:szCs w:val="22"/>
          <w:lang w:val="sk-SK"/>
        </w:rPr>
        <w:t>a/alebo srdcovej činnosti, sa môžu skončiť smrťou.</w:t>
      </w:r>
      <w:r w:rsidR="00065DFD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Tieto prejavy môžu nastať rýchlo a vyžadujú si úplnú a agresívnu kardiopulmonálnu resus</w:t>
      </w:r>
      <w:r w:rsidR="00B161E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>itáciu.</w:t>
      </w:r>
    </w:p>
    <w:p w14:paraId="400B2C74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07B52B3F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Primárny obehový kolaps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môže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vyskytnúť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ako jediný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a/alebo iniciálny prejav </w:t>
      </w:r>
      <w:r w:rsidRPr="00726429">
        <w:rPr>
          <w:rFonts w:ascii="Times New Roman" w:hAnsi="Times New Roman"/>
          <w:sz w:val="22"/>
          <w:szCs w:val="22"/>
          <w:lang w:val="sk-SK"/>
        </w:rPr>
        <w:t>bez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respiračných príznakov alebo iných prejavov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alebo príznakov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uvedených vyššie.</w:t>
      </w:r>
    </w:p>
    <w:p w14:paraId="4C48BFD7" w14:textId="77777777" w:rsidR="008D4FD3" w:rsidRPr="00726429" w:rsidRDefault="008D4FD3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DF47E8A" w14:textId="77777777" w:rsidR="00165138" w:rsidRPr="00726429" w:rsidRDefault="0087059E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hlásené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klinických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skúšaní s</w:t>
      </w:r>
      <w:r w:rsidR="009F166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dospelý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726429">
        <w:rPr>
          <w:rFonts w:ascii="Times New Roman" w:hAnsi="Times New Roman"/>
          <w:sz w:val="22"/>
          <w:szCs w:val="22"/>
          <w:lang w:val="sk-SK"/>
        </w:rPr>
        <w:t>po uvedení lieku na trh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sú popísané v nasledujúcich tabuľkách podľa frekven</w:t>
      </w:r>
      <w:r w:rsidR="00F569F2" w:rsidRPr="0072642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ie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výskytu 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klasifikované podľa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tried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orgánových systémov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databázy </w:t>
      </w:r>
      <w:r w:rsidRPr="00726429">
        <w:rPr>
          <w:rFonts w:ascii="Times New Roman" w:hAnsi="Times New Roman"/>
          <w:sz w:val="22"/>
          <w:szCs w:val="22"/>
          <w:lang w:val="sk-SK"/>
        </w:rPr>
        <w:t>MedDRA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(v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časté (≥ 1/10)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č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asté (≥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100 až &lt; 1/10), menej časté (≥ 1/1 000 až &lt; 1/100), 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riedkavé (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≥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1/10 000 až 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1/1 000)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zriedkavé (&lt;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1/10 000) a neznáme (z dostupných údajov)).</w:t>
      </w:r>
    </w:p>
    <w:p w14:paraId="47A72908" w14:textId="77777777" w:rsidR="00165138" w:rsidRPr="00726429" w:rsidRDefault="00165138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2DDFAE2" w14:textId="77777777" w:rsidR="0087059E" w:rsidRPr="00726429" w:rsidRDefault="0087059E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 každej skupine sú nežiaduce účinky zoradené podľa frekvencií klesajúcej závažnosti.</w:t>
      </w:r>
    </w:p>
    <w:p w14:paraId="48EEAE48" w14:textId="77777777" w:rsidR="00EB7BC0" w:rsidRDefault="00EB7BC0" w:rsidP="001E54B3">
      <w:pPr>
        <w:ind w:right="-852"/>
        <w:rPr>
          <w:b/>
          <w:szCs w:val="22"/>
        </w:rPr>
      </w:pPr>
    </w:p>
    <w:p w14:paraId="07A0D581" w14:textId="77777777" w:rsidR="0087059E" w:rsidRDefault="00EB7BC0" w:rsidP="001E54B3">
      <w:pPr>
        <w:ind w:right="-852"/>
        <w:rPr>
          <w:b/>
          <w:szCs w:val="22"/>
        </w:rPr>
      </w:pPr>
      <w:r>
        <w:rPr>
          <w:b/>
          <w:szCs w:val="22"/>
        </w:rPr>
        <w:t>Dospelí</w:t>
      </w:r>
    </w:p>
    <w:p w14:paraId="402B6512" w14:textId="77777777" w:rsidR="00EB7BC0" w:rsidRPr="00726429" w:rsidRDefault="00EB7BC0" w:rsidP="001E54B3">
      <w:pPr>
        <w:ind w:right="-852"/>
        <w:rPr>
          <w:b/>
          <w:szCs w:val="22"/>
        </w:rPr>
      </w:pPr>
    </w:p>
    <w:p w14:paraId="5BD127A6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/>
        </w:rPr>
        <w:t>Intravaskulárne podanie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133"/>
        <w:gridCol w:w="1501"/>
        <w:gridCol w:w="1436"/>
        <w:gridCol w:w="2403"/>
      </w:tblGrid>
      <w:tr w:rsidR="00C248A0" w:rsidRPr="00726429" w14:paraId="5FADB13C" w14:textId="77777777" w:rsidTr="00186244">
        <w:tc>
          <w:tcPr>
            <w:tcW w:w="2257" w:type="dxa"/>
            <w:vMerge w:val="restart"/>
          </w:tcPr>
          <w:p w14:paraId="01EAE96B" w14:textId="77777777" w:rsidR="00C248A0" w:rsidRPr="00726429" w:rsidRDefault="009C1EB4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</w:t>
            </w:r>
            <w:r w:rsidR="00C248A0" w:rsidRPr="00726429">
              <w:rPr>
                <w:b/>
                <w:szCs w:val="22"/>
              </w:rPr>
              <w:t>rgánov</w:t>
            </w:r>
            <w:r w:rsidRPr="00726429">
              <w:rPr>
                <w:b/>
                <w:szCs w:val="22"/>
              </w:rPr>
              <w:t>ých</w:t>
            </w:r>
          </w:p>
          <w:p w14:paraId="2C0966BE" w14:textId="77777777" w:rsidR="00C248A0" w:rsidRPr="00726429" w:rsidRDefault="009C1EB4" w:rsidP="001E54B3">
            <w:pPr>
              <w:rPr>
                <w:szCs w:val="22"/>
              </w:rPr>
            </w:pPr>
            <w:r w:rsidRPr="00726429">
              <w:rPr>
                <w:b/>
                <w:szCs w:val="22"/>
              </w:rPr>
              <w:t>s</w:t>
            </w:r>
            <w:r w:rsidR="00C248A0" w:rsidRPr="00726429">
              <w:rPr>
                <w:b/>
                <w:szCs w:val="22"/>
              </w:rPr>
              <w:t>ystém</w:t>
            </w:r>
            <w:r w:rsidRPr="00726429">
              <w:rPr>
                <w:b/>
                <w:szCs w:val="22"/>
              </w:rPr>
              <w:t>ov</w:t>
            </w:r>
          </w:p>
        </w:tc>
        <w:tc>
          <w:tcPr>
            <w:tcW w:w="6473" w:type="dxa"/>
            <w:gridSpan w:val="4"/>
          </w:tcPr>
          <w:p w14:paraId="7FB75BB1" w14:textId="77777777" w:rsidR="00C248A0" w:rsidRPr="00726429" w:rsidRDefault="00C248A0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712741" w:rsidRPr="00726429">
              <w:rPr>
                <w:b/>
                <w:szCs w:val="22"/>
              </w:rPr>
              <w:t>reakcie</w:t>
            </w:r>
          </w:p>
          <w:p w14:paraId="38458FE2" w14:textId="77777777" w:rsidR="00C248A0" w:rsidRPr="00726429" w:rsidRDefault="00C248A0" w:rsidP="001E54B3">
            <w:pPr>
              <w:rPr>
                <w:b/>
                <w:szCs w:val="22"/>
              </w:rPr>
            </w:pPr>
          </w:p>
        </w:tc>
      </w:tr>
      <w:tr w:rsidR="00C248A0" w:rsidRPr="00726429" w14:paraId="384A7F73" w14:textId="77777777" w:rsidTr="00186244">
        <w:tc>
          <w:tcPr>
            <w:tcW w:w="2257" w:type="dxa"/>
            <w:vMerge/>
          </w:tcPr>
          <w:p w14:paraId="2575265C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1A4D6FEA" w14:textId="77777777" w:rsidR="00C248A0" w:rsidRPr="00726429" w:rsidRDefault="00C248A0" w:rsidP="00FE4FD1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712741" w:rsidRPr="00726429">
              <w:rPr>
                <w:b/>
                <w:szCs w:val="22"/>
              </w:rPr>
              <w:t>skúšania</w:t>
            </w:r>
          </w:p>
        </w:tc>
        <w:tc>
          <w:tcPr>
            <w:tcW w:w="2403" w:type="dxa"/>
            <w:vAlign w:val="center"/>
          </w:tcPr>
          <w:p w14:paraId="27CB2B57" w14:textId="77777777" w:rsidR="00C248A0" w:rsidRPr="00726429" w:rsidRDefault="00C248A0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C248A0" w:rsidRPr="00726429" w14:paraId="17153F13" w14:textId="77777777" w:rsidTr="00186244">
        <w:tc>
          <w:tcPr>
            <w:tcW w:w="2257" w:type="dxa"/>
            <w:vMerge/>
          </w:tcPr>
          <w:p w14:paraId="1D082643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1133" w:type="dxa"/>
          </w:tcPr>
          <w:p w14:paraId="5CB096C1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7D944FB6" w14:textId="77777777" w:rsidR="00C248A0" w:rsidRPr="00726429" w:rsidRDefault="00C248A0" w:rsidP="001E54B3">
            <w:pPr>
              <w:tabs>
                <w:tab w:val="left" w:pos="709"/>
              </w:tabs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436" w:type="dxa"/>
          </w:tcPr>
          <w:p w14:paraId="3DC30502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Zriedkavé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7DA3FC5C" w14:textId="77777777" w:rsidR="00C248A0" w:rsidRPr="00726429" w:rsidRDefault="009C1EB4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</w:t>
            </w:r>
            <w:r w:rsidR="00C248A0" w:rsidRPr="00726429">
              <w:rPr>
                <w:b/>
                <w:szCs w:val="22"/>
              </w:rPr>
              <w:t>eznám</w:t>
            </w:r>
            <w:r w:rsidRPr="00726429">
              <w:rPr>
                <w:b/>
                <w:szCs w:val="22"/>
              </w:rPr>
              <w:t xml:space="preserve">e </w:t>
            </w:r>
            <w:r w:rsidR="00D40966" w:rsidRPr="00726429">
              <w:rPr>
                <w:szCs w:val="22"/>
              </w:rPr>
              <w:t>*</w:t>
            </w:r>
          </w:p>
        </w:tc>
      </w:tr>
      <w:tr w:rsidR="00C248A0" w:rsidRPr="00726429" w14:paraId="7C4A3A47" w14:textId="77777777" w:rsidTr="00186244">
        <w:tc>
          <w:tcPr>
            <w:tcW w:w="2257" w:type="dxa"/>
          </w:tcPr>
          <w:p w14:paraId="252173E0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krvi a lymfatického systému</w:t>
            </w:r>
          </w:p>
        </w:tc>
        <w:tc>
          <w:tcPr>
            <w:tcW w:w="1133" w:type="dxa"/>
          </w:tcPr>
          <w:p w14:paraId="0F672627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032F6E7A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DADFCA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C2BE08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Trombocytopénia</w:t>
            </w:r>
          </w:p>
          <w:p w14:paraId="18011333" w14:textId="77777777" w:rsidR="00A678C8" w:rsidRPr="00726429" w:rsidRDefault="00A678C8" w:rsidP="001E54B3">
            <w:pPr>
              <w:rPr>
                <w:szCs w:val="22"/>
              </w:rPr>
            </w:pPr>
            <w:r w:rsidRPr="00850C5F">
              <w:rPr>
                <w:szCs w:val="22"/>
                <w:lang w:val="cs-CZ"/>
              </w:rPr>
              <w:t>Hemolytická anémia</w:t>
            </w:r>
          </w:p>
        </w:tc>
      </w:tr>
      <w:tr w:rsidR="00C248A0" w:rsidRPr="00726429" w14:paraId="5CC9C621" w14:textId="77777777" w:rsidTr="00186244">
        <w:trPr>
          <w:trHeight w:val="820"/>
        </w:trPr>
        <w:tc>
          <w:tcPr>
            <w:tcW w:w="2257" w:type="dxa"/>
          </w:tcPr>
          <w:p w14:paraId="46AAC32F" w14:textId="77777777" w:rsidR="00C248A0" w:rsidRPr="00726429" w:rsidRDefault="00594C6F" w:rsidP="001E54B3">
            <w:pPr>
              <w:ind w:left="34" w:hanging="34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imunitného systému</w:t>
            </w:r>
          </w:p>
        </w:tc>
        <w:tc>
          <w:tcPr>
            <w:tcW w:w="1133" w:type="dxa"/>
          </w:tcPr>
          <w:p w14:paraId="200EB2A0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6EE761B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D9C8F2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3A2CDE1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Anafy</w:t>
            </w:r>
            <w:r w:rsidR="004D159D" w:rsidRPr="00726429">
              <w:rPr>
                <w:szCs w:val="22"/>
              </w:rPr>
              <w:t>laktick</w:t>
            </w:r>
            <w:r w:rsidRPr="00726429">
              <w:rPr>
                <w:szCs w:val="22"/>
              </w:rPr>
              <w:t>é</w:t>
            </w:r>
          </w:p>
          <w:p w14:paraId="66516CD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reakcie</w:t>
            </w:r>
          </w:p>
        </w:tc>
      </w:tr>
      <w:tr w:rsidR="00C248A0" w:rsidRPr="00726429" w14:paraId="1EB8B8E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43C2BF2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Psychi</w:t>
            </w:r>
            <w:r w:rsidR="00594C6F" w:rsidRPr="00726429">
              <w:rPr>
                <w:b/>
                <w:bCs/>
                <w:szCs w:val="22"/>
              </w:rPr>
              <w:t xml:space="preserve">cké </w:t>
            </w:r>
            <w:r w:rsidRPr="00726429">
              <w:rPr>
                <w:b/>
                <w:bCs/>
                <w:szCs w:val="22"/>
              </w:rPr>
              <w:t>poruchy</w:t>
            </w:r>
          </w:p>
        </w:tc>
        <w:tc>
          <w:tcPr>
            <w:tcW w:w="1133" w:type="dxa"/>
          </w:tcPr>
          <w:p w14:paraId="212BE282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2B9D56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E0EBB2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2E0BFA" w14:textId="77777777" w:rsidR="00C248A0" w:rsidRPr="00726429" w:rsidRDefault="00C248A0" w:rsidP="001E54B3">
            <w:pPr>
              <w:tabs>
                <w:tab w:val="left" w:pos="709"/>
              </w:tabs>
              <w:rPr>
                <w:szCs w:val="22"/>
              </w:rPr>
            </w:pPr>
            <w:r w:rsidRPr="00726429">
              <w:rPr>
                <w:szCs w:val="22"/>
              </w:rPr>
              <w:t>Úzkosť</w:t>
            </w:r>
          </w:p>
          <w:p w14:paraId="4F8E3CA0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Stav zmätenosti</w:t>
            </w:r>
          </w:p>
        </w:tc>
      </w:tr>
      <w:tr w:rsidR="00C248A0" w:rsidRPr="00726429" w14:paraId="31A3309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2F9ACD57" w14:textId="77777777" w:rsidR="00C248A0" w:rsidRPr="00726429" w:rsidRDefault="00C278D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n</w:t>
            </w:r>
            <w:r w:rsidR="00C248A0" w:rsidRPr="00726429">
              <w:rPr>
                <w:b/>
                <w:bCs/>
                <w:szCs w:val="22"/>
              </w:rPr>
              <w:t>ervov</w:t>
            </w:r>
            <w:r w:rsidRPr="00726429">
              <w:rPr>
                <w:b/>
                <w:bCs/>
                <w:szCs w:val="22"/>
              </w:rPr>
              <w:t>ého</w:t>
            </w:r>
            <w:r w:rsidR="00C248A0" w:rsidRPr="00726429">
              <w:rPr>
                <w:b/>
                <w:bCs/>
                <w:szCs w:val="22"/>
              </w:rPr>
              <w:t xml:space="preserve"> </w:t>
            </w: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133" w:type="dxa"/>
          </w:tcPr>
          <w:p w14:paraId="60C43E6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639AA6F2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  <w:p w14:paraId="3F036E3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</w:tc>
        <w:tc>
          <w:tcPr>
            <w:tcW w:w="1436" w:type="dxa"/>
          </w:tcPr>
          <w:p w14:paraId="01A8788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Presynkopa</w:t>
            </w:r>
          </w:p>
        </w:tc>
        <w:tc>
          <w:tcPr>
            <w:tcW w:w="2403" w:type="dxa"/>
          </w:tcPr>
          <w:p w14:paraId="37244AC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Kóma</w:t>
            </w:r>
          </w:p>
          <w:p w14:paraId="06567511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Tranzitórn</w:t>
            </w:r>
            <w:r w:rsidR="0094043A" w:rsidRPr="00726429">
              <w:rPr>
                <w:snapToGrid w:val="0"/>
                <w:szCs w:val="22"/>
              </w:rPr>
              <w:t>a (prechodná)</w:t>
            </w:r>
          </w:p>
          <w:p w14:paraId="3DD5BCE8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ischemick</w:t>
            </w:r>
            <w:r w:rsidR="0094043A" w:rsidRPr="00726429">
              <w:rPr>
                <w:snapToGrid w:val="0"/>
                <w:szCs w:val="22"/>
              </w:rPr>
              <w:t>á</w:t>
            </w:r>
            <w:r w:rsidRPr="00726429">
              <w:rPr>
                <w:snapToGrid w:val="0"/>
                <w:szCs w:val="22"/>
              </w:rPr>
              <w:t xml:space="preserve"> </w:t>
            </w:r>
            <w:r w:rsidR="0094043A" w:rsidRPr="00726429">
              <w:rPr>
                <w:snapToGrid w:val="0"/>
                <w:szCs w:val="22"/>
              </w:rPr>
              <w:t>porucha</w:t>
            </w:r>
            <w:r w:rsidRPr="00726429">
              <w:rPr>
                <w:snapToGrid w:val="0"/>
                <w:szCs w:val="22"/>
              </w:rPr>
              <w:t xml:space="preserve"> </w:t>
            </w:r>
          </w:p>
          <w:p w14:paraId="4BBCDECE" w14:textId="77777777" w:rsidR="00C248A0" w:rsidRPr="00726429" w:rsidRDefault="0071587A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Paralýza</w:t>
            </w:r>
          </w:p>
          <w:p w14:paraId="27BC6C77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Synkopa</w:t>
            </w:r>
          </w:p>
          <w:p w14:paraId="0299CCBA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Kŕče</w:t>
            </w:r>
          </w:p>
          <w:p w14:paraId="614FB796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Strata vedomia</w:t>
            </w:r>
          </w:p>
          <w:p w14:paraId="4A42E24A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Dyzartria </w:t>
            </w:r>
          </w:p>
          <w:p w14:paraId="02F017D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Parestézia</w:t>
            </w:r>
          </w:p>
          <w:p w14:paraId="4FCF363F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Amnézia</w:t>
            </w:r>
          </w:p>
          <w:p w14:paraId="5B60EFFF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Spavosť</w:t>
            </w:r>
          </w:p>
          <w:p w14:paraId="4ADAF33F" w14:textId="77777777" w:rsidR="00C248A0" w:rsidRDefault="00B638A9" w:rsidP="000611F5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</w:t>
            </w:r>
            <w:r w:rsidR="00C248A0" w:rsidRPr="00726429">
              <w:rPr>
                <w:snapToGrid w:val="0"/>
                <w:szCs w:val="22"/>
              </w:rPr>
              <w:t>bnorm</w:t>
            </w:r>
            <w:r w:rsidRPr="00726429">
              <w:rPr>
                <w:snapToGrid w:val="0"/>
                <w:szCs w:val="22"/>
              </w:rPr>
              <w:t>álna chuť</w:t>
            </w:r>
          </w:p>
          <w:p w14:paraId="30E3E3B4" w14:textId="1FEF516F" w:rsidR="005E58BC" w:rsidRPr="00726429" w:rsidRDefault="005E58BC" w:rsidP="005E58BC">
            <w:pPr>
              <w:ind w:left="0" w:firstLine="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Encefalopatia </w:t>
            </w:r>
            <w:r w:rsidRPr="0036485B">
              <w:rPr>
                <w:snapToGrid w:val="0"/>
                <w:szCs w:val="22"/>
              </w:rPr>
              <w:t>indukovaná kontrastnou látkou*</w:t>
            </w:r>
            <w:r>
              <w:rPr>
                <w:snapToGrid w:val="0"/>
                <w:szCs w:val="22"/>
              </w:rPr>
              <w:t>*</w:t>
            </w:r>
          </w:p>
        </w:tc>
      </w:tr>
      <w:tr w:rsidR="00C248A0" w:rsidRPr="00726429" w14:paraId="6F46025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5C8C7755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Poruchy oka</w:t>
            </w:r>
          </w:p>
        </w:tc>
        <w:tc>
          <w:tcPr>
            <w:tcW w:w="1133" w:type="dxa"/>
          </w:tcPr>
          <w:p w14:paraId="13CAED98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6B09A167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6B81EDAB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72879FB2" w14:textId="77777777" w:rsidR="00D40966" w:rsidRPr="00726429" w:rsidRDefault="00186244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Prechodná s</w:t>
            </w:r>
            <w:r w:rsidR="00C248A0" w:rsidRPr="00726429">
              <w:rPr>
                <w:snapToGrid w:val="0"/>
                <w:szCs w:val="22"/>
              </w:rPr>
              <w:t xml:space="preserve">lepota Poruchy videnia </w:t>
            </w:r>
          </w:p>
          <w:p w14:paraId="58066321" w14:textId="77777777" w:rsidR="00C248A0" w:rsidRPr="00726429" w:rsidRDefault="00454222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Konjunktivitída</w:t>
            </w:r>
          </w:p>
          <w:p w14:paraId="0815BF62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Zvýšené slzenie</w:t>
            </w:r>
          </w:p>
          <w:p w14:paraId="455BD6A3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Fotopsia</w:t>
            </w:r>
          </w:p>
        </w:tc>
      </w:tr>
      <w:tr w:rsidR="00C248A0" w:rsidRPr="00726429" w14:paraId="25E96E44" w14:textId="77777777" w:rsidTr="00186244">
        <w:trPr>
          <w:trHeight w:val="2697"/>
        </w:trPr>
        <w:tc>
          <w:tcPr>
            <w:tcW w:w="2257" w:type="dxa"/>
          </w:tcPr>
          <w:p w14:paraId="6BD5406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srdca a srdcovej činnosti </w:t>
            </w:r>
          </w:p>
        </w:tc>
        <w:tc>
          <w:tcPr>
            <w:tcW w:w="1133" w:type="dxa"/>
          </w:tcPr>
          <w:p w14:paraId="6F14F6F3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1252BD65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0B387B93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Bradykardia</w:t>
            </w:r>
          </w:p>
          <w:p w14:paraId="10E96C81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Tachykardia</w:t>
            </w:r>
          </w:p>
          <w:p w14:paraId="65F449E2" w14:textId="77777777" w:rsidR="001073D7" w:rsidRPr="00726429" w:rsidRDefault="001073D7" w:rsidP="001E54B3">
            <w:pPr>
              <w:rPr>
                <w:szCs w:val="22"/>
              </w:rPr>
            </w:pPr>
            <w:r>
              <w:rPr>
                <w:szCs w:val="22"/>
              </w:rPr>
              <w:t>Extrasystoly</w:t>
            </w:r>
          </w:p>
          <w:p w14:paraId="67C345B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49560C17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</w:t>
            </w:r>
            <w:r w:rsidR="00186244" w:rsidRPr="00726429">
              <w:rPr>
                <w:snapToGrid w:val="0"/>
                <w:szCs w:val="22"/>
              </w:rPr>
              <w:t>stav</w:t>
            </w:r>
            <w:r w:rsidR="0094043A" w:rsidRPr="00726429">
              <w:rPr>
                <w:snapToGrid w:val="0"/>
                <w:szCs w:val="22"/>
              </w:rPr>
              <w:t>enie</w:t>
            </w:r>
            <w:r w:rsidRPr="00726429">
              <w:rPr>
                <w:snapToGrid w:val="0"/>
                <w:szCs w:val="22"/>
              </w:rPr>
              <w:t xml:space="preserve"> srdca</w:t>
            </w:r>
          </w:p>
          <w:p w14:paraId="051AB84F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Infarkt myokardu</w:t>
            </w:r>
          </w:p>
          <w:p w14:paraId="6D1D5C0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Srdcové zlyhanie</w:t>
            </w:r>
          </w:p>
          <w:p w14:paraId="1A6074A0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Angina pectoris </w:t>
            </w:r>
          </w:p>
          <w:p w14:paraId="0166F02D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Arytmie</w:t>
            </w:r>
          </w:p>
          <w:p w14:paraId="65189DDA" w14:textId="77777777" w:rsidR="00C248A0" w:rsidRPr="00726429" w:rsidRDefault="00A86B65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Fibrilácia komôr alebo </w:t>
            </w:r>
            <w:r w:rsidR="00C248A0" w:rsidRPr="00726429">
              <w:rPr>
                <w:snapToGrid w:val="0"/>
                <w:szCs w:val="22"/>
              </w:rPr>
              <w:t>predsiení</w:t>
            </w:r>
          </w:p>
          <w:p w14:paraId="7C6C942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Atrioventrik</w:t>
            </w:r>
            <w:r w:rsidR="009710F5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>lárny</w:t>
            </w:r>
            <w:r w:rsidR="00E42351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blok </w:t>
            </w:r>
          </w:p>
          <w:p w14:paraId="6C7D81C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Cyanóza</w:t>
            </w:r>
          </w:p>
        </w:tc>
      </w:tr>
      <w:tr w:rsidR="00C248A0" w:rsidRPr="00726429" w14:paraId="1490617E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737E3A0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ciev </w:t>
            </w:r>
          </w:p>
        </w:tc>
        <w:tc>
          <w:tcPr>
            <w:tcW w:w="1133" w:type="dxa"/>
          </w:tcPr>
          <w:p w14:paraId="0624181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31BCEF3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436" w:type="dxa"/>
          </w:tcPr>
          <w:p w14:paraId="3831E80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</w:tc>
        <w:tc>
          <w:tcPr>
            <w:tcW w:w="2403" w:type="dxa"/>
          </w:tcPr>
          <w:p w14:paraId="6D9FF0B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Kolaps obehového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syst</w:t>
            </w:r>
            <w:r w:rsidR="00186244" w:rsidRPr="00726429">
              <w:rPr>
                <w:snapToGrid w:val="0"/>
                <w:szCs w:val="22"/>
              </w:rPr>
              <w:t>é</w:t>
            </w:r>
            <w:r w:rsidRPr="00726429">
              <w:rPr>
                <w:snapToGrid w:val="0"/>
                <w:szCs w:val="22"/>
              </w:rPr>
              <w:t>m</w:t>
            </w:r>
            <w:r w:rsidR="00186244" w:rsidRPr="00726429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 xml:space="preserve"> alebo šok </w:t>
            </w:r>
          </w:p>
          <w:p w14:paraId="2BE3A7C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Návaly horúčav</w:t>
            </w:r>
            <w:r w:rsidR="00E42351" w:rsidRPr="00726429">
              <w:rPr>
                <w:snapToGrid w:val="0"/>
                <w:szCs w:val="22"/>
              </w:rPr>
              <w:t>y</w:t>
            </w:r>
          </w:p>
          <w:p w14:paraId="57A94A33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Bledosť</w:t>
            </w:r>
          </w:p>
        </w:tc>
      </w:tr>
      <w:tr w:rsidR="00C248A0" w:rsidRPr="00726429" w14:paraId="3AF27B7C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1F8E5E2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dýchacej sústavy, hrudníka a mediastína </w:t>
            </w:r>
          </w:p>
        </w:tc>
        <w:tc>
          <w:tcPr>
            <w:tcW w:w="1133" w:type="dxa"/>
          </w:tcPr>
          <w:p w14:paraId="4497D10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0F3B407C" w14:textId="77777777" w:rsidR="00C248A0" w:rsidRPr="00726429" w:rsidRDefault="00922008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Dyspnoe</w:t>
            </w:r>
          </w:p>
        </w:tc>
        <w:tc>
          <w:tcPr>
            <w:tcW w:w="1436" w:type="dxa"/>
          </w:tcPr>
          <w:p w14:paraId="6F2582F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0D1E97ED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astavenie</w:t>
            </w:r>
            <w:r w:rsidRPr="00726429">
              <w:rPr>
                <w:snapToGrid w:val="0"/>
                <w:szCs w:val="22"/>
              </w:rPr>
              <w:t xml:space="preserve"> dýchania</w:t>
            </w:r>
          </w:p>
          <w:p w14:paraId="69B7102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Syndróm akútnej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respiračnej tiesne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(ARDS) </w:t>
            </w:r>
          </w:p>
          <w:p w14:paraId="2EF4673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Pľúcny edém</w:t>
            </w:r>
          </w:p>
          <w:p w14:paraId="71286CCA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Opuch hrtana </w:t>
            </w:r>
          </w:p>
          <w:p w14:paraId="36E269F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Opuch hltan</w:t>
            </w:r>
            <w:r w:rsidR="009710F5">
              <w:rPr>
                <w:snapToGrid w:val="0"/>
                <w:szCs w:val="22"/>
              </w:rPr>
              <w:t>a</w:t>
            </w:r>
          </w:p>
          <w:p w14:paraId="2708B1E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Bronchospazmus</w:t>
            </w:r>
          </w:p>
          <w:p w14:paraId="139DBE1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Astma</w:t>
            </w:r>
          </w:p>
          <w:p w14:paraId="259243A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Kašeľ</w:t>
            </w:r>
          </w:p>
          <w:p w14:paraId="773A72EC" w14:textId="77777777" w:rsidR="00A86B65" w:rsidRPr="00726429" w:rsidRDefault="00A86B65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Faryngeálny diskomfort</w:t>
            </w:r>
          </w:p>
          <w:p w14:paraId="1857C15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Laryngeáln</w:t>
            </w:r>
            <w:r w:rsidR="00A86B65" w:rsidRPr="00726429">
              <w:rPr>
                <w:snapToGrid w:val="0"/>
                <w:szCs w:val="22"/>
              </w:rPr>
              <w:t>y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="00A86B65" w:rsidRPr="00726429">
              <w:rPr>
                <w:snapToGrid w:val="0"/>
                <w:szCs w:val="22"/>
              </w:rPr>
              <w:t>diskomfort</w:t>
            </w:r>
          </w:p>
          <w:p w14:paraId="79A11F50" w14:textId="77777777" w:rsidR="00186244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Nádcha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</w:p>
          <w:p w14:paraId="353B31CE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Dysfónia</w:t>
            </w:r>
          </w:p>
        </w:tc>
      </w:tr>
      <w:tr w:rsidR="00C248A0" w:rsidRPr="00726429" w14:paraId="61C2B982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378211D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133" w:type="dxa"/>
          </w:tcPr>
          <w:p w14:paraId="329AF99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7E656466" w14:textId="77777777" w:rsidR="00C248A0" w:rsidRPr="00726429" w:rsidRDefault="00186244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</w:t>
            </w:r>
            <w:r w:rsidR="00C248A0" w:rsidRPr="00726429">
              <w:rPr>
                <w:szCs w:val="22"/>
              </w:rPr>
              <w:t>rac</w:t>
            </w:r>
            <w:r w:rsidRPr="00726429">
              <w:rPr>
                <w:szCs w:val="22"/>
              </w:rPr>
              <w:t>a</w:t>
            </w:r>
            <w:r w:rsidR="00C248A0" w:rsidRPr="00726429">
              <w:rPr>
                <w:szCs w:val="22"/>
              </w:rPr>
              <w:t>nie</w:t>
            </w:r>
          </w:p>
          <w:p w14:paraId="12C9A1C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Nevoľnosť</w:t>
            </w:r>
          </w:p>
        </w:tc>
        <w:tc>
          <w:tcPr>
            <w:tcW w:w="1436" w:type="dxa"/>
          </w:tcPr>
          <w:p w14:paraId="5C4F36F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65FC7101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Hnačka</w:t>
            </w:r>
          </w:p>
          <w:p w14:paraId="208813F3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Bolesti brucha</w:t>
            </w:r>
          </w:p>
          <w:p w14:paraId="1F7209ED" w14:textId="77777777" w:rsidR="00C248A0" w:rsidRPr="00726429" w:rsidRDefault="00C248A0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</w:t>
            </w:r>
            <w:r w:rsidR="004D5FE7" w:rsidRPr="00726429">
              <w:rPr>
                <w:snapToGrid w:val="0"/>
                <w:szCs w:val="22"/>
              </w:rPr>
              <w:t>é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vylučovanie slín</w:t>
            </w:r>
          </w:p>
          <w:p w14:paraId="74F388DC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Dysfágia</w:t>
            </w:r>
          </w:p>
          <w:p w14:paraId="3DD64FDD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Rozšírenie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slinných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žliaz</w:t>
            </w:r>
          </w:p>
        </w:tc>
      </w:tr>
      <w:tr w:rsidR="00C248A0" w:rsidRPr="00726429" w14:paraId="1F707C04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653A37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 podkožného tkaniva</w:t>
            </w:r>
          </w:p>
        </w:tc>
        <w:tc>
          <w:tcPr>
            <w:tcW w:w="1133" w:type="dxa"/>
          </w:tcPr>
          <w:p w14:paraId="51B2F40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947BA28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Erytrém</w:t>
            </w:r>
          </w:p>
          <w:p w14:paraId="2FBD6AAC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Urtikária</w:t>
            </w:r>
          </w:p>
          <w:p w14:paraId="10B20FAB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436" w:type="dxa"/>
          </w:tcPr>
          <w:p w14:paraId="1A0FDC0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Výražka</w:t>
            </w:r>
          </w:p>
          <w:p w14:paraId="6D78C844" w14:textId="77777777" w:rsidR="00C248A0" w:rsidRPr="00726429" w:rsidRDefault="00C248A0" w:rsidP="00A61B11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7997CDAB" w14:textId="77777777" w:rsidR="00E76C44" w:rsidRDefault="00E76C44" w:rsidP="00527387">
            <w:pPr>
              <w:ind w:left="0" w:firstLine="0"/>
              <w:rPr>
                <w:snapToGrid w:val="0"/>
                <w:szCs w:val="22"/>
              </w:rPr>
            </w:pPr>
            <w:r w:rsidRPr="00E76C44">
              <w:rPr>
                <w:snapToGrid w:val="0"/>
                <w:szCs w:val="22"/>
              </w:rPr>
              <w:t>Akútna generalizovaná exant</w:t>
            </w:r>
            <w:r w:rsidR="007E009A">
              <w:rPr>
                <w:snapToGrid w:val="0"/>
                <w:szCs w:val="22"/>
              </w:rPr>
              <w:t>e</w:t>
            </w:r>
            <w:r w:rsidRPr="00E76C44">
              <w:rPr>
                <w:snapToGrid w:val="0"/>
                <w:szCs w:val="22"/>
              </w:rPr>
              <w:t>m</w:t>
            </w:r>
            <w:r w:rsidR="007E009A">
              <w:rPr>
                <w:snapToGrid w:val="0"/>
                <w:szCs w:val="22"/>
              </w:rPr>
              <w:t>at</w:t>
            </w:r>
            <w:r w:rsidRPr="00E76C44">
              <w:rPr>
                <w:snapToGrid w:val="0"/>
                <w:szCs w:val="22"/>
              </w:rPr>
              <w:t>ózna pustulóza</w:t>
            </w:r>
          </w:p>
          <w:p w14:paraId="4DA7BCBB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Angioedém</w:t>
            </w:r>
          </w:p>
          <w:p w14:paraId="37003EA8" w14:textId="77777777" w:rsidR="00C248A0" w:rsidRPr="00726429" w:rsidRDefault="00C248A0" w:rsidP="00104FA1">
            <w:pPr>
              <w:rPr>
                <w:szCs w:val="22"/>
              </w:rPr>
            </w:pPr>
            <w:r w:rsidRPr="00726429">
              <w:rPr>
                <w:szCs w:val="22"/>
              </w:rPr>
              <w:t>Zvýšené potenie</w:t>
            </w:r>
          </w:p>
        </w:tc>
      </w:tr>
      <w:tr w:rsidR="00C248A0" w:rsidRPr="00726429" w14:paraId="575D9100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95255C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133" w:type="dxa"/>
          </w:tcPr>
          <w:p w14:paraId="26B1B9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0B28B65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3E7BFB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Bolesti chrbta</w:t>
            </w:r>
          </w:p>
        </w:tc>
        <w:tc>
          <w:tcPr>
            <w:tcW w:w="2403" w:type="dxa"/>
          </w:tcPr>
          <w:p w14:paraId="5CB3558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Bolesti kĺbov</w:t>
            </w:r>
          </w:p>
          <w:p w14:paraId="66E41745" w14:textId="77777777" w:rsidR="00C248A0" w:rsidRPr="00726429" w:rsidRDefault="00C248A0" w:rsidP="002B1574">
            <w:pPr>
              <w:rPr>
                <w:szCs w:val="22"/>
              </w:rPr>
            </w:pPr>
          </w:p>
        </w:tc>
      </w:tr>
      <w:tr w:rsidR="00C248A0" w:rsidRPr="00726429" w14:paraId="76AD3C67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B908C2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obličiek a močových ciest</w:t>
            </w:r>
          </w:p>
        </w:tc>
        <w:tc>
          <w:tcPr>
            <w:tcW w:w="1133" w:type="dxa"/>
          </w:tcPr>
          <w:p w14:paraId="335DCE99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30CB84EC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436" w:type="dxa"/>
          </w:tcPr>
          <w:p w14:paraId="0AB7143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C8EA06D" w14:textId="77777777" w:rsidR="00C248A0" w:rsidRPr="00726429" w:rsidRDefault="00C248A0" w:rsidP="00486BF3">
            <w:pPr>
              <w:ind w:left="23" w:hanging="23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Zlyhanie obličiek</w:t>
            </w:r>
            <w:r w:rsidR="008D4FD3" w:rsidRPr="00726429">
              <w:rPr>
                <w:snapToGrid w:val="0"/>
                <w:szCs w:val="22"/>
              </w:rPr>
              <w:t xml:space="preserve"> </w:t>
            </w:r>
            <w:r w:rsidR="00FE4FD1" w:rsidRPr="00726429">
              <w:rPr>
                <w:snapToGrid w:val="0"/>
                <w:szCs w:val="22"/>
              </w:rPr>
              <w:t>(</w:t>
            </w:r>
            <w:r w:rsidR="002C133F" w:rsidRPr="00726429">
              <w:rPr>
                <w:snapToGrid w:val="0"/>
                <w:szCs w:val="22"/>
              </w:rPr>
              <w:t>vrátane</w:t>
            </w:r>
            <w:r w:rsidR="008D4FD3" w:rsidRPr="00726429">
              <w:rPr>
                <w:snapToGrid w:val="0"/>
                <w:szCs w:val="22"/>
              </w:rPr>
              <w:t xml:space="preserve"> ak</w:t>
            </w:r>
            <w:r w:rsidR="006A329C" w:rsidRPr="00726429">
              <w:rPr>
                <w:snapToGrid w:val="0"/>
                <w:szCs w:val="22"/>
              </w:rPr>
              <w:t>ú</w:t>
            </w:r>
            <w:r w:rsidR="008D4FD3" w:rsidRPr="00726429">
              <w:rPr>
                <w:snapToGrid w:val="0"/>
                <w:szCs w:val="22"/>
              </w:rPr>
              <w:t>tn</w:t>
            </w:r>
            <w:r w:rsidR="006A329C" w:rsidRPr="00726429">
              <w:rPr>
                <w:snapToGrid w:val="0"/>
                <w:szCs w:val="22"/>
              </w:rPr>
              <w:t>e</w:t>
            </w:r>
            <w:r w:rsidR="008D4FD3" w:rsidRPr="00726429">
              <w:rPr>
                <w:snapToGrid w:val="0"/>
                <w:szCs w:val="22"/>
              </w:rPr>
              <w:t>ho</w:t>
            </w:r>
            <w:r w:rsidR="00FE4FD1" w:rsidRPr="00726429">
              <w:rPr>
                <w:snapToGrid w:val="0"/>
                <w:szCs w:val="22"/>
              </w:rPr>
              <w:t xml:space="preserve"> zlyhania)</w:t>
            </w:r>
          </w:p>
        </w:tc>
      </w:tr>
      <w:tr w:rsidR="00C248A0" w:rsidRPr="00726429" w14:paraId="1F4BE5BF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6EF32E35" w14:textId="77777777" w:rsidR="00C248A0" w:rsidRPr="00726429" w:rsidRDefault="009C1EB4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Celkové poruchy a reakcie v mieste podania</w:t>
            </w:r>
          </w:p>
        </w:tc>
        <w:tc>
          <w:tcPr>
            <w:tcW w:w="1133" w:type="dxa"/>
          </w:tcPr>
          <w:p w14:paraId="02408B96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Pocit tepla</w:t>
            </w:r>
          </w:p>
        </w:tc>
        <w:tc>
          <w:tcPr>
            <w:tcW w:w="1501" w:type="dxa"/>
          </w:tcPr>
          <w:p w14:paraId="0137B55D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Bolesť na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 xml:space="preserve">hrudníku </w:t>
            </w:r>
          </w:p>
          <w:p w14:paraId="51356948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Teplo a bolesť</w:t>
            </w:r>
            <w:r w:rsidR="00186244" w:rsidRPr="00726429">
              <w:rPr>
                <w:szCs w:val="22"/>
              </w:rPr>
              <w:t xml:space="preserve"> v </w:t>
            </w:r>
            <w:r w:rsidRPr="00726429">
              <w:rPr>
                <w:szCs w:val="22"/>
              </w:rPr>
              <w:t>mieste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vpichu</w:t>
            </w:r>
            <w:r w:rsidR="00D40966" w:rsidRPr="00726429">
              <w:rPr>
                <w:szCs w:val="22"/>
              </w:rPr>
              <w:t xml:space="preserve"> injekcie</w:t>
            </w:r>
          </w:p>
          <w:p w14:paraId="0914DE5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00A2B1F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Asténia</w:t>
            </w:r>
          </w:p>
          <w:p w14:paraId="7C92C61E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Stuhlosť</w:t>
            </w:r>
          </w:p>
          <w:p w14:paraId="25C7683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Horúčka</w:t>
            </w:r>
          </w:p>
          <w:p w14:paraId="6DF6840F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535317B" w14:textId="3811436F" w:rsidR="00C248A0" w:rsidRPr="00726429" w:rsidRDefault="00C248A0" w:rsidP="000611F5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Reakcie v mieste</w:t>
            </w:r>
            <w:r w:rsidR="000745A6" w:rsidRPr="00726429">
              <w:rPr>
                <w:snapToGrid w:val="0"/>
                <w:szCs w:val="22"/>
              </w:rPr>
              <w:t xml:space="preserve"> </w:t>
            </w:r>
            <w:r w:rsidR="008F3A2C" w:rsidRPr="00726429">
              <w:rPr>
                <w:snapToGrid w:val="0"/>
                <w:szCs w:val="22"/>
              </w:rPr>
              <w:t>v</w:t>
            </w:r>
            <w:r w:rsidRPr="00726429">
              <w:rPr>
                <w:snapToGrid w:val="0"/>
                <w:szCs w:val="22"/>
              </w:rPr>
              <w:t>pichu</w:t>
            </w:r>
            <w:r w:rsidR="00D40966" w:rsidRPr="00726429">
              <w:rPr>
                <w:snapToGrid w:val="0"/>
                <w:szCs w:val="22"/>
              </w:rPr>
              <w:t xml:space="preserve"> injekcie</w:t>
            </w:r>
            <w:r w:rsidRPr="00726429">
              <w:rPr>
                <w:snapToGrid w:val="0"/>
                <w:szCs w:val="22"/>
              </w:rPr>
              <w:t>**</w:t>
            </w:r>
            <w:r w:rsidR="00B4513D" w:rsidRPr="00726429">
              <w:rPr>
                <w:snapToGrid w:val="0"/>
                <w:szCs w:val="22"/>
              </w:rPr>
              <w:t>*</w:t>
            </w:r>
          </w:p>
          <w:p w14:paraId="04B8033E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Únava</w:t>
            </w:r>
          </w:p>
          <w:p w14:paraId="226126E9" w14:textId="77777777" w:rsidR="004D5FE7" w:rsidRPr="00726429" w:rsidRDefault="004D5FE7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Malátnosť</w:t>
            </w:r>
          </w:p>
          <w:p w14:paraId="041E73C4" w14:textId="77777777" w:rsidR="00C248A0" w:rsidRPr="00726429" w:rsidRDefault="00C248A0" w:rsidP="001E54B3">
            <w:pPr>
              <w:rPr>
                <w:szCs w:val="22"/>
              </w:rPr>
            </w:pPr>
          </w:p>
        </w:tc>
      </w:tr>
      <w:tr w:rsidR="00C248A0" w:rsidRPr="00726429" w14:paraId="3D317B4D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DB98510" w14:textId="77777777" w:rsidR="00C248A0" w:rsidRPr="00726429" w:rsidRDefault="009C1EB4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Laboratórne a funkčné vyšetrenia</w:t>
            </w:r>
          </w:p>
        </w:tc>
        <w:tc>
          <w:tcPr>
            <w:tcW w:w="1133" w:type="dxa"/>
          </w:tcPr>
          <w:p w14:paraId="113284E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A20DCA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9BD7A29" w14:textId="77777777" w:rsidR="00C248A0" w:rsidRPr="00726429" w:rsidRDefault="008F3A2C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Zvýšená hladina kreatinínu v</w:t>
            </w:r>
            <w:r w:rsidR="00382DDA">
              <w:rPr>
                <w:szCs w:val="22"/>
              </w:rPr>
              <w:t> </w:t>
            </w:r>
            <w:r w:rsidRPr="00726429">
              <w:rPr>
                <w:szCs w:val="22"/>
              </w:rPr>
              <w:t>krvi</w:t>
            </w:r>
          </w:p>
        </w:tc>
        <w:tc>
          <w:tcPr>
            <w:tcW w:w="2403" w:type="dxa"/>
          </w:tcPr>
          <w:p w14:paraId="35045707" w14:textId="77777777" w:rsidR="00C248A0" w:rsidRPr="00726429" w:rsidRDefault="004D5FE7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Elevácia ST segme</w:t>
            </w:r>
            <w:r w:rsidR="00EB7BC0">
              <w:rPr>
                <w:snapToGrid w:val="0"/>
                <w:szCs w:val="22"/>
              </w:rPr>
              <w:t>n</w:t>
            </w:r>
            <w:r w:rsidRPr="00726429">
              <w:rPr>
                <w:snapToGrid w:val="0"/>
                <w:szCs w:val="22"/>
              </w:rPr>
              <w:t>tu na EKG</w:t>
            </w:r>
            <w:r w:rsidR="00C248A0" w:rsidRPr="00726429">
              <w:rPr>
                <w:snapToGrid w:val="0"/>
                <w:szCs w:val="22"/>
              </w:rPr>
              <w:t xml:space="preserve"> </w:t>
            </w:r>
          </w:p>
          <w:p w14:paraId="028B831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Abnormálny</w:t>
            </w:r>
            <w:r w:rsidR="00D40966" w:rsidRPr="00726429">
              <w:rPr>
                <w:snapToGrid w:val="0"/>
                <w:szCs w:val="22"/>
              </w:rPr>
              <w:t xml:space="preserve"> </w:t>
            </w:r>
            <w:r w:rsidR="00DC3ADD" w:rsidRPr="00726429">
              <w:rPr>
                <w:snapToGrid w:val="0"/>
                <w:szCs w:val="22"/>
              </w:rPr>
              <w:t>elektro</w:t>
            </w:r>
            <w:r w:rsidRPr="00726429">
              <w:rPr>
                <w:snapToGrid w:val="0"/>
                <w:szCs w:val="22"/>
              </w:rPr>
              <w:t>kardiogram</w:t>
            </w:r>
          </w:p>
        </w:tc>
      </w:tr>
    </w:tbl>
    <w:p w14:paraId="2E54004F" w14:textId="77777777" w:rsidR="0087059E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>* Pretože</w:t>
      </w:r>
      <w:r w:rsidR="0094043A" w:rsidRPr="00726429">
        <w:rPr>
          <w:szCs w:val="22"/>
        </w:rPr>
        <w:t xml:space="preserve"> reakcie</w:t>
      </w:r>
      <w:r w:rsidRPr="00726429">
        <w:rPr>
          <w:szCs w:val="22"/>
        </w:rPr>
        <w:t xml:space="preserve"> neboli pozorované počas klinických </w:t>
      </w:r>
      <w:r w:rsidR="00D40966" w:rsidRPr="00726429">
        <w:rPr>
          <w:szCs w:val="22"/>
        </w:rPr>
        <w:t>skúšaní</w:t>
      </w:r>
      <w:r w:rsidRPr="00726429">
        <w:rPr>
          <w:szCs w:val="22"/>
        </w:rPr>
        <w:t xml:space="preserve"> so 4 515 pacientmi, predpokladá sa, že ich </w:t>
      </w:r>
      <w:r w:rsidR="0094043A" w:rsidRPr="00726429">
        <w:rPr>
          <w:szCs w:val="22"/>
        </w:rPr>
        <w:t xml:space="preserve">relatívna frekvencia </w:t>
      </w:r>
      <w:r w:rsidRPr="00726429">
        <w:rPr>
          <w:szCs w:val="22"/>
        </w:rPr>
        <w:t>výskyt</w:t>
      </w:r>
      <w:r w:rsidR="0094043A" w:rsidRPr="00726429">
        <w:rPr>
          <w:szCs w:val="22"/>
        </w:rPr>
        <w:t>u</w:t>
      </w:r>
      <w:r w:rsidRPr="00726429">
        <w:rPr>
          <w:szCs w:val="22"/>
        </w:rPr>
        <w:t xml:space="preserve"> je zriedkav</w:t>
      </w:r>
      <w:r w:rsidR="0094043A" w:rsidRPr="00726429">
        <w:rPr>
          <w:szCs w:val="22"/>
        </w:rPr>
        <w:t>á</w:t>
      </w:r>
      <w:r w:rsidRPr="00726429">
        <w:rPr>
          <w:szCs w:val="22"/>
        </w:rPr>
        <w:t xml:space="preserve"> (≥1/10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 xml:space="preserve">000 </w:t>
      </w:r>
      <w:r w:rsidR="00C248A0" w:rsidRPr="00726429">
        <w:rPr>
          <w:szCs w:val="22"/>
        </w:rPr>
        <w:t>až</w:t>
      </w:r>
      <w:r w:rsidRPr="00726429">
        <w:rPr>
          <w:szCs w:val="22"/>
        </w:rPr>
        <w:t xml:space="preserve"> &lt;1/1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>000).</w:t>
      </w:r>
    </w:p>
    <w:p w14:paraId="74FD545A" w14:textId="4852912B" w:rsidR="005E58BC" w:rsidRDefault="005E58BC" w:rsidP="001E54B3">
      <w:pPr>
        <w:ind w:left="0" w:firstLine="0"/>
        <w:rPr>
          <w:szCs w:val="22"/>
        </w:rPr>
      </w:pPr>
      <w:r>
        <w:rPr>
          <w:szCs w:val="22"/>
        </w:rPr>
        <w:t>**</w:t>
      </w:r>
      <w:r w:rsidRPr="0036485B">
        <w:rPr>
          <w:szCs w:val="22"/>
        </w:rPr>
        <w:t>Encefalopatia sa môže manifestovať prejavmi a príznakmi neurologickej dysfunkcie, ako sú bolesť hlavy, poruchy zraku, kortikálna slepota, zmätenosť, záchvaty, strata koordinácie, hemiparéza, afázia, bezvedomie, kóma a mozgový edém.</w:t>
      </w:r>
    </w:p>
    <w:p w14:paraId="5A61AF4C" w14:textId="77777777" w:rsidR="00B4513D" w:rsidRDefault="00B4513D" w:rsidP="00B4513D">
      <w:pPr>
        <w:ind w:left="0" w:firstLine="0"/>
        <w:rPr>
          <w:szCs w:val="22"/>
        </w:rPr>
      </w:pPr>
      <w:r w:rsidRPr="00726429">
        <w:rPr>
          <w:snapToGrid w:val="0"/>
          <w:szCs w:val="22"/>
        </w:rPr>
        <w:t>***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 injekcie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bolesť a opuch</w:t>
      </w:r>
      <w:r w:rsidRPr="00726429">
        <w:rPr>
          <w:szCs w:val="22"/>
        </w:rPr>
        <w:t xml:space="preserve">. </w:t>
      </w:r>
      <w:r w:rsidRPr="00726429">
        <w:rPr>
          <w:rStyle w:val="hps"/>
          <w:szCs w:val="22"/>
        </w:rPr>
        <w:t>Vo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väčšine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prípadov sú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spôsobené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extravazáciou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kontrastnej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látky.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Tieto reakcie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sú zvyčajne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prechodné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Pr="00726429">
        <w:rPr>
          <w:szCs w:val="22"/>
        </w:rPr>
        <w:t> </w:t>
      </w:r>
      <w:r w:rsidRPr="00726429">
        <w:rPr>
          <w:rStyle w:val="hps"/>
          <w:szCs w:val="22"/>
        </w:rPr>
        <w:t>odoznejú bez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následkov.</w:t>
      </w:r>
      <w:r w:rsidRPr="00726429">
        <w:rPr>
          <w:szCs w:val="22"/>
        </w:rPr>
        <w:t xml:space="preserve"> Hlásené boli aj p</w:t>
      </w:r>
      <w:r w:rsidRPr="00726429">
        <w:rPr>
          <w:rStyle w:val="hps"/>
          <w:szCs w:val="22"/>
        </w:rPr>
        <w:t>rípady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zápalom</w:t>
      </w:r>
      <w:r w:rsidRPr="00726429">
        <w:rPr>
          <w:szCs w:val="22"/>
        </w:rPr>
        <w:t xml:space="preserve">, </w:t>
      </w:r>
      <w:r w:rsidRPr="00726429">
        <w:rPr>
          <w:rStyle w:val="hps"/>
          <w:szCs w:val="22"/>
        </w:rPr>
        <w:t>kožná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nekróza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dokonca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rozvoj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kompartment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syndrómu</w:t>
      </w:r>
      <w:r w:rsidRPr="00726429">
        <w:rPr>
          <w:szCs w:val="22"/>
        </w:rPr>
        <w:t xml:space="preserve"> </w:t>
      </w:r>
    </w:p>
    <w:p w14:paraId="2EF3CF3A" w14:textId="77777777" w:rsidR="00B4513D" w:rsidRPr="00726429" w:rsidRDefault="00B4513D" w:rsidP="001E54B3">
      <w:pPr>
        <w:ind w:left="0" w:firstLine="0"/>
        <w:rPr>
          <w:szCs w:val="22"/>
        </w:rPr>
      </w:pPr>
    </w:p>
    <w:p w14:paraId="7E6D2F7C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DC3B403" w14:textId="77777777" w:rsidR="00387C51" w:rsidRPr="00726429" w:rsidRDefault="007C3F8B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Ako komplikácie koronárnych katetrizačných postupov </w:t>
      </w:r>
      <w:r w:rsidR="00065DFD" w:rsidRPr="00726429">
        <w:rPr>
          <w:szCs w:val="22"/>
        </w:rPr>
        <w:t>boli hlá</w:t>
      </w:r>
      <w:r w:rsidR="00946E0A" w:rsidRPr="00726429">
        <w:rPr>
          <w:szCs w:val="22"/>
        </w:rPr>
        <w:t>s</w:t>
      </w:r>
      <w:r w:rsidR="00065DFD" w:rsidRPr="00726429">
        <w:rPr>
          <w:szCs w:val="22"/>
        </w:rPr>
        <w:t>en</w:t>
      </w:r>
      <w:r w:rsidR="00946E0A" w:rsidRPr="00726429">
        <w:rPr>
          <w:szCs w:val="22"/>
        </w:rPr>
        <w:t>é</w:t>
      </w:r>
      <w:r w:rsidRPr="00726429">
        <w:rPr>
          <w:szCs w:val="22"/>
        </w:rPr>
        <w:t xml:space="preserve"> t</w:t>
      </w:r>
      <w:r w:rsidR="00DB6F19" w:rsidRPr="00726429">
        <w:rPr>
          <w:szCs w:val="22"/>
        </w:rPr>
        <w:t>rombóza koronárnej artérie a embólia vencovitých tepien</w:t>
      </w:r>
      <w:r w:rsidRPr="00726429">
        <w:rPr>
          <w:szCs w:val="22"/>
        </w:rPr>
        <w:t>.</w:t>
      </w:r>
    </w:p>
    <w:p w14:paraId="17DDBC9F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099D7F6" w14:textId="77777777" w:rsidR="00387C51" w:rsidRPr="00726429" w:rsidRDefault="00FF3F5D" w:rsidP="00A61B11">
      <w:pPr>
        <w:ind w:left="0" w:firstLine="0"/>
        <w:rPr>
          <w:szCs w:val="22"/>
        </w:rPr>
      </w:pPr>
      <w:r w:rsidRPr="00726429">
        <w:rPr>
          <w:szCs w:val="22"/>
        </w:rPr>
        <w:t xml:space="preserve">Pri intraarteriálnej injekcii kontrastnej látky, najmä po koronárnej a cerebrálnej angiografii, sa pozoroval vazospazmus a následná ischémia, často v dôsledku </w:t>
      </w:r>
      <w:r w:rsidR="00DB6F19" w:rsidRPr="00726429">
        <w:rPr>
          <w:szCs w:val="22"/>
        </w:rPr>
        <w:t xml:space="preserve">samotného zákroku, </w:t>
      </w:r>
      <w:r w:rsidR="00F23F43" w:rsidRPr="00726429">
        <w:rPr>
          <w:szCs w:val="22"/>
        </w:rPr>
        <w:t>prípadne</w:t>
      </w:r>
      <w:r w:rsidR="00387C51" w:rsidRPr="00726429">
        <w:rPr>
          <w:szCs w:val="22"/>
        </w:rPr>
        <w:t xml:space="preserve"> </w:t>
      </w:r>
      <w:r w:rsidR="00F23F43" w:rsidRPr="00726429">
        <w:rPr>
          <w:szCs w:val="22"/>
        </w:rPr>
        <w:t>vyvolané hrotom</w:t>
      </w:r>
      <w:r w:rsidR="00387C51" w:rsidRPr="00726429">
        <w:rPr>
          <w:szCs w:val="22"/>
        </w:rPr>
        <w:t xml:space="preserve"> katétra alebo nadmerný</w:t>
      </w:r>
      <w:r w:rsidR="006119F8" w:rsidRPr="00726429">
        <w:rPr>
          <w:szCs w:val="22"/>
        </w:rPr>
        <w:t>m</w:t>
      </w:r>
      <w:r w:rsidR="00387C51" w:rsidRPr="00726429">
        <w:rPr>
          <w:szCs w:val="22"/>
        </w:rPr>
        <w:t xml:space="preserve"> tlak</w:t>
      </w:r>
      <w:r w:rsidRPr="00726429">
        <w:rPr>
          <w:szCs w:val="22"/>
        </w:rPr>
        <w:t xml:space="preserve">om </w:t>
      </w:r>
      <w:r w:rsidR="00387C51" w:rsidRPr="00726429">
        <w:rPr>
          <w:szCs w:val="22"/>
        </w:rPr>
        <w:t>katétra.</w:t>
      </w:r>
    </w:p>
    <w:p w14:paraId="18FEB4B0" w14:textId="77777777" w:rsidR="00FF3F5D" w:rsidRPr="00726429" w:rsidRDefault="00FF3F5D" w:rsidP="001E54B3">
      <w:pPr>
        <w:pStyle w:val="Zkladntext"/>
        <w:rPr>
          <w:szCs w:val="22"/>
        </w:rPr>
      </w:pPr>
      <w:r w:rsidRPr="00726429">
        <w:rPr>
          <w:szCs w:val="22"/>
        </w:rPr>
        <w:t xml:space="preserve">Tak </w:t>
      </w:r>
      <w:r w:rsidR="00387C51" w:rsidRPr="00726429">
        <w:rPr>
          <w:szCs w:val="22"/>
        </w:rPr>
        <w:t xml:space="preserve">ako u iných </w:t>
      </w:r>
      <w:r w:rsidRPr="00726429">
        <w:rPr>
          <w:szCs w:val="22"/>
        </w:rPr>
        <w:t>j</w:t>
      </w:r>
      <w:r w:rsidR="00387C51" w:rsidRPr="00726429">
        <w:rPr>
          <w:szCs w:val="22"/>
        </w:rPr>
        <w:t xml:space="preserve">ódových kontrastných látok, </w:t>
      </w:r>
      <w:r w:rsidRPr="00726429">
        <w:rPr>
          <w:szCs w:val="22"/>
        </w:rPr>
        <w:t xml:space="preserve">sa </w:t>
      </w:r>
      <w:r w:rsidR="00387C51" w:rsidRPr="00726429">
        <w:rPr>
          <w:szCs w:val="22"/>
        </w:rPr>
        <w:t xml:space="preserve">po podaní </w:t>
      </w:r>
      <w:r w:rsidRPr="00726429">
        <w:rPr>
          <w:szCs w:val="22"/>
        </w:rPr>
        <w:t>injekcie jomeprolu</w:t>
      </w:r>
      <w:r w:rsidR="00387C51" w:rsidRPr="00726429">
        <w:rPr>
          <w:szCs w:val="22"/>
        </w:rPr>
        <w:t xml:space="preserve"> hlá</w:t>
      </w:r>
      <w:r w:rsidRPr="00726429">
        <w:rPr>
          <w:szCs w:val="22"/>
        </w:rPr>
        <w:t>sili</w:t>
      </w:r>
      <w:r w:rsidR="00387C51" w:rsidRPr="00726429">
        <w:rPr>
          <w:szCs w:val="22"/>
        </w:rPr>
        <w:t xml:space="preserve"> veľmi zriedkavé prípady </w:t>
      </w:r>
      <w:r w:rsidRPr="00726429">
        <w:rPr>
          <w:szCs w:val="22"/>
        </w:rPr>
        <w:t>mukokutánneho syndrómu</w:t>
      </w:r>
      <w:r w:rsidR="00387C51" w:rsidRPr="00726429">
        <w:rPr>
          <w:szCs w:val="22"/>
        </w:rPr>
        <w:t>, vrátane Stevens</w:t>
      </w:r>
      <w:r w:rsidRPr="00726429">
        <w:rPr>
          <w:szCs w:val="22"/>
        </w:rPr>
        <w:t>ov</w:t>
      </w:r>
      <w:r w:rsidR="00387C51" w:rsidRPr="00726429">
        <w:rPr>
          <w:szCs w:val="22"/>
        </w:rPr>
        <w:t>-Johnsonov</w:t>
      </w:r>
      <w:r w:rsidRPr="00726429">
        <w:rPr>
          <w:szCs w:val="22"/>
        </w:rPr>
        <w:t>ho</w:t>
      </w:r>
      <w:r w:rsidR="00387C51" w:rsidRPr="00726429">
        <w:rPr>
          <w:szCs w:val="22"/>
        </w:rPr>
        <w:t xml:space="preserve"> syndróm</w:t>
      </w:r>
      <w:r w:rsidRPr="00726429">
        <w:rPr>
          <w:szCs w:val="22"/>
        </w:rPr>
        <w:t>u</w:t>
      </w:r>
      <w:r w:rsidR="00387C51" w:rsidRPr="00726429">
        <w:rPr>
          <w:szCs w:val="22"/>
        </w:rPr>
        <w:t>, toxick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epidermáln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nekrolýz</w:t>
      </w:r>
      <w:r w:rsidRPr="00726429">
        <w:rPr>
          <w:szCs w:val="22"/>
        </w:rPr>
        <w:t>y</w:t>
      </w:r>
      <w:r w:rsidR="00387C51" w:rsidRPr="00726429">
        <w:rPr>
          <w:szCs w:val="22"/>
        </w:rPr>
        <w:t xml:space="preserve"> (Lyellov syndróm) a multiform</w:t>
      </w:r>
      <w:r w:rsidRPr="00726429">
        <w:rPr>
          <w:szCs w:val="22"/>
        </w:rPr>
        <w:t>ného erytému.</w:t>
      </w:r>
    </w:p>
    <w:p w14:paraId="7E667FE0" w14:textId="77777777" w:rsidR="00FF3F5D" w:rsidRPr="00726429" w:rsidRDefault="00FF3F5D" w:rsidP="001E54B3">
      <w:pPr>
        <w:pStyle w:val="Zkladntext"/>
        <w:rPr>
          <w:szCs w:val="22"/>
        </w:rPr>
      </w:pPr>
    </w:p>
    <w:p w14:paraId="3D44C091" w14:textId="77777777" w:rsidR="00D40966" w:rsidRPr="00726429" w:rsidRDefault="00C278DF" w:rsidP="001E54B3">
      <w:pPr>
        <w:ind w:left="0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119C4ED3" w14:textId="77777777" w:rsidR="0087059E" w:rsidRPr="00726429" w:rsidRDefault="0087059E" w:rsidP="001E54B3">
      <w:pPr>
        <w:ind w:left="0" w:firstLine="0"/>
        <w:rPr>
          <w:b/>
          <w:i/>
          <w:szCs w:val="22"/>
        </w:rPr>
      </w:pPr>
    </w:p>
    <w:p w14:paraId="3488A774" w14:textId="77777777" w:rsidR="00D40966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K dispozícii sú len obmedzené skúsenosti s pediatrickými pacientmi. </w:t>
      </w:r>
      <w:r w:rsidR="00F23F43" w:rsidRPr="00726429">
        <w:rPr>
          <w:szCs w:val="22"/>
        </w:rPr>
        <w:t>Do k</w:t>
      </w:r>
      <w:r w:rsidRPr="00726429">
        <w:rPr>
          <w:szCs w:val="22"/>
        </w:rPr>
        <w:t>linické</w:t>
      </w:r>
      <w:r w:rsidR="00DB6F19" w:rsidRPr="00726429">
        <w:rPr>
          <w:szCs w:val="22"/>
        </w:rPr>
        <w:t>ho</w:t>
      </w:r>
      <w:r w:rsidRPr="00726429">
        <w:rPr>
          <w:szCs w:val="22"/>
        </w:rPr>
        <w:t xml:space="preserve"> hodnoteni</w:t>
      </w:r>
      <w:r w:rsidR="006119F8" w:rsidRPr="00726429">
        <w:rPr>
          <w:szCs w:val="22"/>
        </w:rPr>
        <w:t>a</w:t>
      </w:r>
      <w:r w:rsidRPr="00726429">
        <w:rPr>
          <w:szCs w:val="22"/>
        </w:rPr>
        <w:t xml:space="preserve"> bezpečnosti v</w:t>
      </w:r>
      <w:r w:rsidR="00F23F43" w:rsidRPr="00726429">
        <w:rPr>
          <w:szCs w:val="22"/>
        </w:rPr>
        <w:t> </w:t>
      </w:r>
      <w:r w:rsidR="00871463" w:rsidRPr="00726429">
        <w:rPr>
          <w:szCs w:val="22"/>
        </w:rPr>
        <w:t>pediatrickej</w:t>
      </w:r>
      <w:r w:rsidRPr="00726429">
        <w:rPr>
          <w:szCs w:val="22"/>
        </w:rPr>
        <w:t xml:space="preserve"> populácii bolo zahrnutých 167 pacientov.</w:t>
      </w:r>
      <w:r w:rsidR="00E517AA" w:rsidRPr="00726429">
        <w:rPr>
          <w:szCs w:val="22"/>
        </w:rPr>
        <w:t xml:space="preserve"> </w:t>
      </w:r>
    </w:p>
    <w:p w14:paraId="798CECD2" w14:textId="77777777" w:rsidR="0087059E" w:rsidRPr="00726429" w:rsidRDefault="00D40966" w:rsidP="001E54B3">
      <w:pPr>
        <w:ind w:left="0" w:firstLine="0"/>
        <w:rPr>
          <w:szCs w:val="22"/>
        </w:rPr>
      </w:pPr>
      <w:r w:rsidRPr="00726429">
        <w:rPr>
          <w:szCs w:val="22"/>
        </w:rPr>
        <w:t>B</w:t>
      </w:r>
      <w:r w:rsidR="0087059E" w:rsidRPr="00726429">
        <w:rPr>
          <w:szCs w:val="22"/>
        </w:rPr>
        <w:t xml:space="preserve">ezpečnostný profil </w:t>
      </w:r>
      <w:r w:rsidRPr="00726429">
        <w:rPr>
          <w:szCs w:val="22"/>
        </w:rPr>
        <w:t xml:space="preserve">jomeprolu </w:t>
      </w:r>
      <w:r w:rsidR="00871463" w:rsidRPr="00726429">
        <w:rPr>
          <w:szCs w:val="22"/>
        </w:rPr>
        <w:t xml:space="preserve">u detí </w:t>
      </w:r>
      <w:r w:rsidR="0087059E" w:rsidRPr="00726429">
        <w:rPr>
          <w:szCs w:val="22"/>
        </w:rPr>
        <w:t xml:space="preserve">je podobný </w:t>
      </w:r>
      <w:r w:rsidR="00871463" w:rsidRPr="00726429">
        <w:rPr>
          <w:szCs w:val="22"/>
        </w:rPr>
        <w:t>ako</w:t>
      </w:r>
      <w:r w:rsidR="0087059E" w:rsidRPr="00726429">
        <w:rPr>
          <w:szCs w:val="22"/>
        </w:rPr>
        <w:t> u dospelých.</w:t>
      </w:r>
    </w:p>
    <w:p w14:paraId="2E6632C5" w14:textId="77777777" w:rsidR="0087059E" w:rsidRPr="00726429" w:rsidRDefault="0087059E" w:rsidP="001E54B3">
      <w:pPr>
        <w:ind w:left="0" w:firstLine="0"/>
        <w:rPr>
          <w:szCs w:val="22"/>
        </w:rPr>
      </w:pPr>
    </w:p>
    <w:p w14:paraId="21B67A6C" w14:textId="77777777" w:rsidR="0087059E" w:rsidRPr="00726429" w:rsidRDefault="0087059E" w:rsidP="00A61B11">
      <w:pPr>
        <w:ind w:left="0" w:firstLine="0"/>
        <w:rPr>
          <w:szCs w:val="22"/>
          <w:u w:val="single"/>
        </w:rPr>
      </w:pPr>
      <w:r w:rsidRPr="00726429">
        <w:rPr>
          <w:b/>
          <w:szCs w:val="22"/>
          <w:u w:val="single"/>
        </w:rPr>
        <w:t>Intratekálne podanie</w:t>
      </w:r>
    </w:p>
    <w:p w14:paraId="70834651" w14:textId="77777777" w:rsidR="00E517AA" w:rsidRPr="00726429" w:rsidRDefault="00E517AA" w:rsidP="001D463A">
      <w:pPr>
        <w:ind w:left="0" w:firstLine="0"/>
        <w:rPr>
          <w:szCs w:val="22"/>
          <w:u w:val="single"/>
        </w:rPr>
      </w:pPr>
    </w:p>
    <w:p w14:paraId="772D7D6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Najčastejšie hlásenými nežiaducimi účinkami po intratekálnom podaní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 xml:space="preserve"> j</w:t>
      </w:r>
      <w:r w:rsidRPr="00726429">
        <w:rPr>
          <w:rFonts w:ascii="Times New Roman" w:hAnsi="Times New Roman"/>
          <w:sz w:val="22"/>
          <w:szCs w:val="22"/>
          <w:lang w:val="sk-SK"/>
        </w:rPr>
        <w:t>omeprolu sú boles</w:t>
      </w:r>
      <w:r w:rsidR="00871463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hlavy, závrat, vracanie a bolesti chrbta. Tieto reakcie sú zvyčajne mierne až stredne závažné a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prechodné. Zriedkavo môž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boles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 pretrvávať niekoľko dní. Väčšina nežiaducich účinkov sa dostaví niekoľko hodín (3 až 6 hodín) po zákroku, vzhľadom k rozloženiu kontrastnej látky v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krvnom obehu z miesta podania do intravaskulárneho priestoru mozgovomiechového moku (pozri </w:t>
      </w:r>
      <w:r w:rsidR="00701A9B" w:rsidRPr="00726429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5.2). Väčšina reakcií sa zvyčajne objavuje 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v priebehu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24 hodín po injekcii.</w:t>
      </w:r>
    </w:p>
    <w:p w14:paraId="27308228" w14:textId="77777777" w:rsidR="00E517AA" w:rsidRPr="00726429" w:rsidRDefault="00E517AA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</w:p>
    <w:p w14:paraId="0AFDF2C1" w14:textId="77777777" w:rsidR="0087059E" w:rsidRPr="00726429" w:rsidRDefault="0087059E" w:rsidP="001E54B3">
      <w:pPr>
        <w:keepNext/>
        <w:ind w:right="-852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693"/>
        <w:gridCol w:w="1749"/>
        <w:gridCol w:w="1749"/>
        <w:gridCol w:w="1747"/>
      </w:tblGrid>
      <w:tr w:rsidR="00387C51" w:rsidRPr="00726429" w14:paraId="4962818A" w14:textId="77777777" w:rsidTr="0087059E">
        <w:tc>
          <w:tcPr>
            <w:tcW w:w="1803" w:type="dxa"/>
            <w:vMerge w:val="restart"/>
          </w:tcPr>
          <w:p w14:paraId="4B568EC2" w14:textId="77777777" w:rsidR="009C1EB4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orgánových</w:t>
            </w:r>
          </w:p>
          <w:p w14:paraId="52AF8E9A" w14:textId="77777777" w:rsidR="0087059E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systémov</w:t>
            </w:r>
          </w:p>
        </w:tc>
        <w:tc>
          <w:tcPr>
            <w:tcW w:w="7214" w:type="dxa"/>
            <w:gridSpan w:val="4"/>
          </w:tcPr>
          <w:p w14:paraId="33FE99E4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102442" w:rsidRPr="00726429">
              <w:rPr>
                <w:b/>
                <w:szCs w:val="22"/>
              </w:rPr>
              <w:t>reakcie</w:t>
            </w:r>
          </w:p>
        </w:tc>
      </w:tr>
      <w:tr w:rsidR="00387C51" w:rsidRPr="00726429" w14:paraId="7238AB7C" w14:textId="77777777" w:rsidTr="0087059E">
        <w:tc>
          <w:tcPr>
            <w:tcW w:w="1803" w:type="dxa"/>
            <w:vMerge/>
          </w:tcPr>
          <w:p w14:paraId="6310706F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08B64259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102442" w:rsidRPr="00726429">
              <w:rPr>
                <w:b/>
                <w:szCs w:val="22"/>
              </w:rPr>
              <w:t>skúšania</w:t>
            </w:r>
          </w:p>
        </w:tc>
        <w:tc>
          <w:tcPr>
            <w:tcW w:w="1804" w:type="dxa"/>
            <w:vAlign w:val="center"/>
          </w:tcPr>
          <w:p w14:paraId="531BF2A6" w14:textId="77777777" w:rsidR="0087059E" w:rsidRPr="00726429" w:rsidRDefault="0087059E" w:rsidP="001E54B3">
            <w:pPr>
              <w:keepNext/>
              <w:ind w:left="25" w:hanging="25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387C51" w:rsidRPr="00726429" w14:paraId="7854AB6D" w14:textId="77777777" w:rsidTr="0087059E">
        <w:tc>
          <w:tcPr>
            <w:tcW w:w="1803" w:type="dxa"/>
            <w:vMerge/>
          </w:tcPr>
          <w:p w14:paraId="0317A471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D0C4836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Veľmi časté</w:t>
            </w:r>
          </w:p>
        </w:tc>
        <w:tc>
          <w:tcPr>
            <w:tcW w:w="1803" w:type="dxa"/>
          </w:tcPr>
          <w:p w14:paraId="1B3B0C33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</w:p>
        </w:tc>
        <w:tc>
          <w:tcPr>
            <w:tcW w:w="1804" w:type="dxa"/>
          </w:tcPr>
          <w:p w14:paraId="434FBD12" w14:textId="77777777" w:rsidR="0087059E" w:rsidRPr="00726429" w:rsidRDefault="00572F87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D40966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804" w:type="dxa"/>
          </w:tcPr>
          <w:p w14:paraId="65152C62" w14:textId="77777777" w:rsidR="0087059E" w:rsidRPr="00726429" w:rsidRDefault="00D40966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Neznáme (z dostupných údajov)</w:t>
            </w:r>
            <w:r w:rsidRPr="00726429">
              <w:rPr>
                <w:szCs w:val="22"/>
              </w:rPr>
              <w:t>*</w:t>
            </w:r>
          </w:p>
        </w:tc>
      </w:tr>
      <w:tr w:rsidR="00387C51" w:rsidRPr="00726429" w14:paraId="10047957" w14:textId="77777777" w:rsidTr="006A4929">
        <w:tc>
          <w:tcPr>
            <w:tcW w:w="1803" w:type="dxa"/>
          </w:tcPr>
          <w:p w14:paraId="63417027" w14:textId="77777777" w:rsidR="00387C51" w:rsidRPr="00726429" w:rsidRDefault="00387C51" w:rsidP="00486BF3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i</w:t>
            </w:r>
            <w:r w:rsidRPr="00726429">
              <w:rPr>
                <w:b/>
                <w:bCs/>
                <w:szCs w:val="22"/>
              </w:rPr>
              <w:t>munitného</w:t>
            </w:r>
          </w:p>
          <w:p w14:paraId="6078763C" w14:textId="77777777" w:rsidR="0087059E" w:rsidRPr="00726429" w:rsidRDefault="00594C6F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</w:t>
            </w:r>
            <w:r w:rsidR="0087059E" w:rsidRPr="00726429">
              <w:rPr>
                <w:b/>
                <w:bCs/>
                <w:szCs w:val="22"/>
              </w:rPr>
              <w:t>ystému</w:t>
            </w:r>
          </w:p>
        </w:tc>
        <w:tc>
          <w:tcPr>
            <w:tcW w:w="1803" w:type="dxa"/>
          </w:tcPr>
          <w:p w14:paraId="085CD57C" w14:textId="77777777" w:rsidR="0087059E" w:rsidRPr="00726429" w:rsidRDefault="0087059E" w:rsidP="001E54B3">
            <w:pPr>
              <w:keepNext/>
              <w:rPr>
                <w:b/>
                <w:szCs w:val="22"/>
                <w:u w:val="single"/>
              </w:rPr>
            </w:pPr>
          </w:p>
        </w:tc>
        <w:tc>
          <w:tcPr>
            <w:tcW w:w="1803" w:type="dxa"/>
          </w:tcPr>
          <w:p w14:paraId="6C76A8EC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1F3B4C63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40EE461C" w14:textId="77777777" w:rsidR="0087059E" w:rsidRPr="00726429" w:rsidRDefault="00387C51" w:rsidP="00B74DD7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Anafylakt</w:t>
            </w:r>
            <w:r w:rsidR="006A4929" w:rsidRPr="00726429">
              <w:rPr>
                <w:szCs w:val="22"/>
              </w:rPr>
              <w:t>ické</w:t>
            </w:r>
            <w:r w:rsidR="00B74DD7" w:rsidRPr="00726429">
              <w:rPr>
                <w:szCs w:val="22"/>
              </w:rPr>
              <w:t xml:space="preserve"> </w:t>
            </w:r>
            <w:r w:rsidR="006A4929" w:rsidRPr="00726429">
              <w:rPr>
                <w:szCs w:val="22"/>
              </w:rPr>
              <w:t>reakcie</w:t>
            </w:r>
          </w:p>
        </w:tc>
      </w:tr>
      <w:tr w:rsidR="00387C51" w:rsidRPr="00726429" w14:paraId="3EC3BC4B" w14:textId="77777777" w:rsidTr="0087059E">
        <w:tc>
          <w:tcPr>
            <w:tcW w:w="1803" w:type="dxa"/>
          </w:tcPr>
          <w:p w14:paraId="16AFB7EE" w14:textId="77777777" w:rsidR="00387C51" w:rsidRPr="00726429" w:rsidRDefault="00387C51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n</w:t>
            </w:r>
            <w:r w:rsidRPr="00726429">
              <w:rPr>
                <w:b/>
                <w:bCs/>
                <w:szCs w:val="22"/>
              </w:rPr>
              <w:t>ervového</w:t>
            </w:r>
          </w:p>
          <w:p w14:paraId="6E2FD73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803" w:type="dxa"/>
          </w:tcPr>
          <w:p w14:paraId="3C6023D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  <w:p w14:paraId="4F4B8DE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08FA37F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</w:tc>
        <w:tc>
          <w:tcPr>
            <w:tcW w:w="1804" w:type="dxa"/>
          </w:tcPr>
          <w:p w14:paraId="41800B0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Strata vedomia</w:t>
            </w:r>
          </w:p>
          <w:p w14:paraId="6834588B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Paraparéz</w:t>
            </w:r>
            <w:r w:rsidR="00F43A07" w:rsidRPr="00726429">
              <w:rPr>
                <w:szCs w:val="22"/>
              </w:rPr>
              <w:t>a</w:t>
            </w:r>
          </w:p>
          <w:p w14:paraId="3B35CB80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Parestézia</w:t>
            </w:r>
          </w:p>
          <w:p w14:paraId="19CCC2C5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Hypoestézia</w:t>
            </w:r>
          </w:p>
          <w:p w14:paraId="5F58CE2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Ospalosť</w:t>
            </w:r>
          </w:p>
        </w:tc>
        <w:tc>
          <w:tcPr>
            <w:tcW w:w="1804" w:type="dxa"/>
          </w:tcPr>
          <w:p w14:paraId="6CEA0FD9" w14:textId="77777777" w:rsidR="0087059E" w:rsidRPr="00726429" w:rsidRDefault="0087059E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Epilepsia</w:t>
            </w:r>
          </w:p>
          <w:p w14:paraId="6A6EFBEE" w14:textId="229803DA" w:rsidR="0087059E" w:rsidRPr="00726429" w:rsidRDefault="00AE138D" w:rsidP="0036485B">
            <w:pPr>
              <w:keepNext/>
              <w:ind w:left="0" w:firstLine="0"/>
              <w:rPr>
                <w:szCs w:val="22"/>
              </w:rPr>
            </w:pPr>
            <w:r w:rsidRPr="00AE138D">
              <w:rPr>
                <w:szCs w:val="22"/>
              </w:rPr>
              <w:t>Encefalopatia indukovaná kontrastnou látkou*</w:t>
            </w:r>
            <w:r>
              <w:rPr>
                <w:szCs w:val="22"/>
              </w:rPr>
              <w:t>*</w:t>
            </w:r>
          </w:p>
        </w:tc>
      </w:tr>
      <w:tr w:rsidR="00387C51" w:rsidRPr="00726429" w14:paraId="5167C442" w14:textId="77777777" w:rsidTr="0087059E">
        <w:tc>
          <w:tcPr>
            <w:tcW w:w="1803" w:type="dxa"/>
          </w:tcPr>
          <w:p w14:paraId="761B531F" w14:textId="77777777" w:rsidR="0087059E" w:rsidRPr="00726429" w:rsidRDefault="00594C6F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</w:t>
            </w:r>
            <w:r w:rsidR="0087059E" w:rsidRPr="00726429">
              <w:rPr>
                <w:b/>
                <w:bCs/>
                <w:szCs w:val="22"/>
              </w:rPr>
              <w:t>oruchy</w:t>
            </w:r>
            <w:r w:rsidRPr="00726429">
              <w:rPr>
                <w:b/>
                <w:bCs/>
                <w:szCs w:val="22"/>
              </w:rPr>
              <w:t xml:space="preserve"> ciev</w:t>
            </w:r>
          </w:p>
          <w:p w14:paraId="1150D03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64507C82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7EC57FB5" w14:textId="77777777" w:rsidR="0087059E" w:rsidRPr="00726429" w:rsidRDefault="00102442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804" w:type="dxa"/>
          </w:tcPr>
          <w:p w14:paraId="79C145F3" w14:textId="77777777" w:rsidR="0087059E" w:rsidRPr="00726429" w:rsidRDefault="00102442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  <w:p w14:paraId="06A57D95" w14:textId="77777777" w:rsidR="0087059E" w:rsidRPr="00726429" w:rsidRDefault="002837A0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Sčervenanie</w:t>
            </w:r>
          </w:p>
        </w:tc>
        <w:tc>
          <w:tcPr>
            <w:tcW w:w="1804" w:type="dxa"/>
          </w:tcPr>
          <w:p w14:paraId="15CF6BD0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563A39EF" w14:textId="77777777" w:rsidTr="0087059E">
        <w:tc>
          <w:tcPr>
            <w:tcW w:w="1803" w:type="dxa"/>
          </w:tcPr>
          <w:p w14:paraId="14E0EC93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803" w:type="dxa"/>
          </w:tcPr>
          <w:p w14:paraId="13E079A7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5A7C2A1" w14:textId="77777777" w:rsidR="002837A0" w:rsidRPr="00726429" w:rsidRDefault="002837A0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Nauzea</w:t>
            </w:r>
          </w:p>
          <w:p w14:paraId="2FE24E7D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Vracanie</w:t>
            </w:r>
          </w:p>
          <w:p w14:paraId="17E9ED80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449040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02CEAD9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CB39024" w14:textId="77777777" w:rsidTr="0087059E">
        <w:tc>
          <w:tcPr>
            <w:tcW w:w="1803" w:type="dxa"/>
          </w:tcPr>
          <w:p w14:paraId="12CD5B06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 podkožného tkaniva</w:t>
            </w:r>
          </w:p>
        </w:tc>
        <w:tc>
          <w:tcPr>
            <w:tcW w:w="1803" w:type="dxa"/>
          </w:tcPr>
          <w:p w14:paraId="6B29A4D5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7A56D4D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605EE86E" w14:textId="77777777" w:rsidR="00387C51" w:rsidRPr="00726429" w:rsidRDefault="00387C51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Nadmerné</w:t>
            </w:r>
            <w:r w:rsidR="002837A0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potenie</w:t>
            </w:r>
          </w:p>
          <w:p w14:paraId="3407AC69" w14:textId="77777777" w:rsidR="00387C51" w:rsidRPr="00726429" w:rsidRDefault="002837A0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804" w:type="dxa"/>
          </w:tcPr>
          <w:p w14:paraId="256E19EE" w14:textId="77777777" w:rsidR="00387C51" w:rsidRPr="00726429" w:rsidRDefault="00946E0A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zCs w:val="22"/>
              </w:rPr>
              <w:t>Vyrážka</w:t>
            </w:r>
          </w:p>
          <w:p w14:paraId="0BE57484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34E73A28" w14:textId="77777777" w:rsidTr="00594C6F">
        <w:tc>
          <w:tcPr>
            <w:tcW w:w="1803" w:type="dxa"/>
            <w:shd w:val="clear" w:color="auto" w:fill="auto"/>
          </w:tcPr>
          <w:p w14:paraId="0FADAB05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803" w:type="dxa"/>
            <w:shd w:val="clear" w:color="auto" w:fill="auto"/>
          </w:tcPr>
          <w:p w14:paraId="14868EB3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091D1F21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F43A07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chrbta</w:t>
            </w:r>
          </w:p>
          <w:p w14:paraId="3D3FEE02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516E63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končatín </w:t>
            </w:r>
          </w:p>
        </w:tc>
        <w:tc>
          <w:tcPr>
            <w:tcW w:w="1804" w:type="dxa"/>
            <w:shd w:val="clear" w:color="auto" w:fill="auto"/>
          </w:tcPr>
          <w:p w14:paraId="589AA555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Stuh</w:t>
            </w:r>
            <w:r w:rsidR="00102442" w:rsidRPr="00726429">
              <w:rPr>
                <w:szCs w:val="22"/>
              </w:rPr>
              <w:t>nuto</w:t>
            </w:r>
            <w:r w:rsidRPr="00726429">
              <w:rPr>
                <w:szCs w:val="22"/>
              </w:rPr>
              <w:t>sť svalov</w:t>
            </w:r>
          </w:p>
          <w:p w14:paraId="3FC58938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krku</w:t>
            </w:r>
          </w:p>
        </w:tc>
        <w:tc>
          <w:tcPr>
            <w:tcW w:w="1804" w:type="dxa"/>
            <w:shd w:val="clear" w:color="auto" w:fill="auto"/>
          </w:tcPr>
          <w:p w14:paraId="182DECEF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E3AD306" w14:textId="77777777" w:rsidTr="00594C6F">
        <w:tc>
          <w:tcPr>
            <w:tcW w:w="1803" w:type="dxa"/>
            <w:shd w:val="clear" w:color="auto" w:fill="auto"/>
          </w:tcPr>
          <w:p w14:paraId="25AEE640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Celkové poruchy a reakcie v mieste podania</w:t>
            </w:r>
          </w:p>
        </w:tc>
        <w:tc>
          <w:tcPr>
            <w:tcW w:w="1803" w:type="dxa"/>
            <w:shd w:val="clear" w:color="auto" w:fill="auto"/>
          </w:tcPr>
          <w:p w14:paraId="41C3F74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15F2F47B" w14:textId="516F5C06" w:rsidR="00387C51" w:rsidRPr="00726429" w:rsidRDefault="00387C51" w:rsidP="001E54B3">
            <w:pPr>
              <w:keepNext/>
              <w:ind w:left="7" w:hanging="7"/>
              <w:rPr>
                <w:szCs w:val="22"/>
              </w:rPr>
            </w:pPr>
            <w:r w:rsidRPr="00726429">
              <w:rPr>
                <w:szCs w:val="22"/>
              </w:rPr>
              <w:t>Reakcia v</w:t>
            </w:r>
            <w:r w:rsidR="00102442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mieste</w:t>
            </w:r>
            <w:r w:rsidR="00102442" w:rsidRPr="00726429">
              <w:rPr>
                <w:szCs w:val="22"/>
              </w:rPr>
              <w:t xml:space="preserve"> v</w:t>
            </w:r>
            <w:r w:rsidRPr="00726429">
              <w:rPr>
                <w:szCs w:val="22"/>
              </w:rPr>
              <w:t>pichu</w:t>
            </w:r>
            <w:r w:rsidR="00102442" w:rsidRPr="00726429">
              <w:rPr>
                <w:szCs w:val="22"/>
              </w:rPr>
              <w:t xml:space="preserve"> injekcie</w:t>
            </w:r>
            <w:bookmarkStart w:id="0" w:name="_Hlk71554672"/>
            <w:r w:rsidR="00B4513D" w:rsidRPr="00B4513D">
              <w:rPr>
                <w:szCs w:val="22"/>
              </w:rPr>
              <w:t>*</w:t>
            </w:r>
            <w:r w:rsidR="00B4513D">
              <w:rPr>
                <w:szCs w:val="22"/>
              </w:rPr>
              <w:t>**</w:t>
            </w:r>
            <w:bookmarkEnd w:id="0"/>
          </w:p>
        </w:tc>
        <w:tc>
          <w:tcPr>
            <w:tcW w:w="1804" w:type="dxa"/>
            <w:shd w:val="clear" w:color="auto" w:fill="auto"/>
          </w:tcPr>
          <w:p w14:paraId="2499CC4E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Pocit tepla</w:t>
            </w:r>
          </w:p>
          <w:p w14:paraId="3B3F99F6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Horúčka</w:t>
            </w:r>
          </w:p>
        </w:tc>
        <w:tc>
          <w:tcPr>
            <w:tcW w:w="1804" w:type="dxa"/>
            <w:shd w:val="clear" w:color="auto" w:fill="auto"/>
          </w:tcPr>
          <w:p w14:paraId="1202531A" w14:textId="77777777" w:rsidR="00387C51" w:rsidRPr="00F50FCA" w:rsidRDefault="00387C51" w:rsidP="00997BF7">
            <w:pPr>
              <w:keepNext/>
              <w:rPr>
                <w:szCs w:val="22"/>
              </w:rPr>
            </w:pPr>
          </w:p>
        </w:tc>
      </w:tr>
    </w:tbl>
    <w:p w14:paraId="31BE916E" w14:textId="77777777" w:rsidR="0087059E" w:rsidRPr="00726429" w:rsidRDefault="0087059E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* </w:t>
      </w:r>
      <w:r w:rsidR="0094043A" w:rsidRPr="00726429">
        <w:rPr>
          <w:szCs w:val="22"/>
        </w:rPr>
        <w:t xml:space="preserve">Pretože reakcie neboli pozorované počas klinických skúšaní s 388 pacientmi, predpokladá sa, že ich </w:t>
      </w:r>
      <w:r w:rsidR="00F43A07" w:rsidRPr="00726429">
        <w:rPr>
          <w:szCs w:val="22"/>
        </w:rPr>
        <w:t>relatívna</w:t>
      </w:r>
      <w:r w:rsidR="0094043A" w:rsidRPr="00726429">
        <w:rPr>
          <w:szCs w:val="22"/>
        </w:rPr>
        <w:t xml:space="preserve"> frekvencia výskytu je menej častá (≥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>1/1 000 až &lt;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1/100). Na opis </w:t>
      </w:r>
      <w:r w:rsidRPr="00726429">
        <w:rPr>
          <w:szCs w:val="22"/>
        </w:rPr>
        <w:t>jednotlivých reakcií a ich príznak</w:t>
      </w:r>
      <w:r w:rsidR="0094043A" w:rsidRPr="00726429">
        <w:rPr>
          <w:szCs w:val="22"/>
        </w:rPr>
        <w:t>ov</w:t>
      </w:r>
      <w:r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a súvisiacich stavov sa </w:t>
      </w:r>
      <w:r w:rsidR="001B4AFA" w:rsidRPr="00726429">
        <w:rPr>
          <w:szCs w:val="22"/>
        </w:rPr>
        <w:t>p</w:t>
      </w:r>
      <w:r w:rsidR="0094043A" w:rsidRPr="00726429">
        <w:rPr>
          <w:szCs w:val="22"/>
        </w:rPr>
        <w:t>oužíva naj</w:t>
      </w:r>
      <w:r w:rsidR="001B4AFA" w:rsidRPr="00726429">
        <w:rPr>
          <w:szCs w:val="22"/>
        </w:rPr>
        <w:t>v</w:t>
      </w:r>
      <w:r w:rsidR="0094043A" w:rsidRPr="00726429">
        <w:rPr>
          <w:szCs w:val="22"/>
        </w:rPr>
        <w:t>hodnejší termín podľa databázy MedDRA</w:t>
      </w:r>
      <w:r w:rsidRPr="00726429">
        <w:rPr>
          <w:szCs w:val="22"/>
        </w:rPr>
        <w:t>.</w:t>
      </w:r>
    </w:p>
    <w:p w14:paraId="6C1C1BE5" w14:textId="61A748B5" w:rsidR="00AE138D" w:rsidRPr="00726429" w:rsidRDefault="00AE138D" w:rsidP="001E54B3">
      <w:pPr>
        <w:ind w:left="0" w:right="-1" w:firstLine="0"/>
        <w:rPr>
          <w:b/>
          <w:szCs w:val="22"/>
        </w:rPr>
      </w:pPr>
      <w:r>
        <w:rPr>
          <w:rStyle w:val="hps"/>
          <w:szCs w:val="22"/>
        </w:rPr>
        <w:t>**</w:t>
      </w:r>
      <w:r w:rsidRPr="00AE138D">
        <w:t xml:space="preserve"> </w:t>
      </w:r>
      <w:r w:rsidRPr="00AE138D">
        <w:rPr>
          <w:rStyle w:val="hps"/>
          <w:szCs w:val="22"/>
        </w:rPr>
        <w:t>Encefalopatia sa môže manifestovať prejavmi a príznakmi neurologickej dysfunkcie, ako sú bolesť hlavy, poruchy zraku, kortikálna slepota, zmätenosť, záchvaty, strata koordinácie, hemiparéza, afázia, bezvedomie, kóma a mozgový edém.</w:t>
      </w:r>
    </w:p>
    <w:p w14:paraId="316EB61D" w14:textId="3652B590" w:rsidR="00B4513D" w:rsidRDefault="00B4513D" w:rsidP="00B4513D">
      <w:pPr>
        <w:ind w:left="0" w:right="-1" w:firstLine="0"/>
        <w:rPr>
          <w:rStyle w:val="hps"/>
          <w:szCs w:val="22"/>
        </w:rPr>
      </w:pPr>
      <w:r w:rsidRPr="00B4513D">
        <w:rPr>
          <w:b/>
          <w:snapToGrid w:val="0"/>
          <w:szCs w:val="22"/>
        </w:rPr>
        <w:t>***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</w:t>
      </w:r>
      <w:r w:rsidRPr="00726429">
        <w:rPr>
          <w:szCs w:val="22"/>
        </w:rPr>
        <w:t xml:space="preserve"> injekcie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bolesť v</w:t>
      </w:r>
      <w:r w:rsidRPr="00726429">
        <w:rPr>
          <w:szCs w:val="22"/>
        </w:rPr>
        <w:t> </w:t>
      </w:r>
      <w:r w:rsidRPr="00726429">
        <w:rPr>
          <w:rStyle w:val="hps"/>
          <w:szCs w:val="22"/>
        </w:rPr>
        <w:t>mieste aplikácie, pocit nepohody v mieste vpichu, bolesť v mieste vpichu a pocit tepla v mieste vpichu.</w:t>
      </w:r>
    </w:p>
    <w:p w14:paraId="3BCE1EC9" w14:textId="77777777" w:rsidR="00387C51" w:rsidRPr="0036485B" w:rsidRDefault="00387C51" w:rsidP="001E54B3">
      <w:pPr>
        <w:ind w:left="0" w:right="-852" w:firstLine="0"/>
        <w:rPr>
          <w:b/>
          <w:iCs/>
          <w:szCs w:val="22"/>
        </w:rPr>
      </w:pPr>
    </w:p>
    <w:p w14:paraId="6D7FE35A" w14:textId="77777777" w:rsidR="00102442" w:rsidRPr="00726429" w:rsidRDefault="00C278DF" w:rsidP="001E54B3">
      <w:pPr>
        <w:ind w:left="0" w:right="-852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5E41E7D5" w14:textId="77777777" w:rsidR="0087059E" w:rsidRPr="00726429" w:rsidRDefault="0087059E" w:rsidP="001E54B3">
      <w:pPr>
        <w:ind w:left="0" w:right="-852" w:firstLine="0"/>
        <w:rPr>
          <w:b/>
          <w:i/>
          <w:szCs w:val="22"/>
        </w:rPr>
      </w:pPr>
    </w:p>
    <w:p w14:paraId="2167C533" w14:textId="77777777" w:rsidR="0087059E" w:rsidRPr="00726429" w:rsidRDefault="0087146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</w:t>
      </w:r>
      <w:r w:rsidR="00374CAB" w:rsidRPr="00726429">
        <w:rPr>
          <w:szCs w:val="22"/>
        </w:rPr>
        <w:t>o intratekálnom po</w:t>
      </w:r>
      <w:r w:rsidRPr="00726429">
        <w:rPr>
          <w:szCs w:val="22"/>
        </w:rPr>
        <w:t>daní</w:t>
      </w:r>
      <w:r w:rsidR="00374CAB" w:rsidRPr="00726429">
        <w:rPr>
          <w:szCs w:val="22"/>
        </w:rPr>
        <w:t xml:space="preserve"> j</w:t>
      </w:r>
      <w:r w:rsidR="0087059E" w:rsidRPr="00726429">
        <w:rPr>
          <w:szCs w:val="22"/>
        </w:rPr>
        <w:t>omeprolu v</w:t>
      </w:r>
      <w:r w:rsidRPr="00726429">
        <w:rPr>
          <w:szCs w:val="22"/>
        </w:rPr>
        <w:t> </w:t>
      </w:r>
      <w:r w:rsidR="0087059E" w:rsidRPr="00726429">
        <w:rPr>
          <w:szCs w:val="22"/>
        </w:rPr>
        <w:t>klinických</w:t>
      </w:r>
      <w:r w:rsidRPr="00726429">
        <w:rPr>
          <w:szCs w:val="22"/>
        </w:rPr>
        <w:t xml:space="preserve"> skúšaniach ani po uvedení lieku na trh neboli hlásené žiadne nežiaduce účinky.</w:t>
      </w:r>
    </w:p>
    <w:p w14:paraId="250501CE" w14:textId="77777777" w:rsidR="0087059E" w:rsidRPr="00726429" w:rsidRDefault="0087059E" w:rsidP="001E54B3">
      <w:pPr>
        <w:ind w:left="0" w:right="-852" w:firstLine="0"/>
        <w:rPr>
          <w:szCs w:val="22"/>
        </w:rPr>
      </w:pPr>
    </w:p>
    <w:p w14:paraId="4C23123A" w14:textId="77777777" w:rsidR="002837A0" w:rsidRPr="00726429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u w:val="single"/>
          <w:lang w:val="sk-SK" w:eastAsia="en-US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Podanie do t</w:t>
      </w:r>
      <w:r w:rsidR="0087059E"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elov</w:t>
      </w: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ých dutín</w:t>
      </w:r>
    </w:p>
    <w:p w14:paraId="787F2577" w14:textId="77777777" w:rsidR="000611F5" w:rsidRPr="00726429" w:rsidRDefault="0087059E" w:rsidP="000611F5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 w:eastAsia="en-US"/>
        </w:rPr>
      </w:pP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Po injekčnom podaní kontrastnej látky </w:t>
      </w:r>
      <w:r w:rsidR="000E45A8" w:rsidRPr="00726429">
        <w:rPr>
          <w:rFonts w:ascii="Times New Roman" w:hAnsi="Times New Roman"/>
          <w:sz w:val="22"/>
          <w:szCs w:val="22"/>
          <w:lang w:val="sk-SK" w:eastAsia="en-US"/>
        </w:rPr>
        <w:t xml:space="preserve">obsahujúcej jód </w:t>
      </w: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do telových dutín, </w:t>
      </w:r>
      <w:r w:rsidR="000611F5" w:rsidRPr="00726429">
        <w:rPr>
          <w:rFonts w:ascii="Times New Roman" w:hAnsi="Times New Roman"/>
          <w:sz w:val="22"/>
          <w:szCs w:val="22"/>
          <w:lang w:val="sk-SK" w:eastAsia="en-US"/>
        </w:rPr>
        <w:t>sa kontrastná látka pomaly absorbuje do krvného obehu z miesta podania a následne je vylučovaná obličkami.</w:t>
      </w:r>
    </w:p>
    <w:p w14:paraId="40CD43BC" w14:textId="77777777" w:rsidR="00E42351" w:rsidRPr="00F00683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DAC66BB" w14:textId="77777777" w:rsidR="0087059E" w:rsidRPr="00726429" w:rsidRDefault="0087059E" w:rsidP="001E54B3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EE3D43">
        <w:rPr>
          <w:rFonts w:ascii="Times New Roman" w:hAnsi="Times New Roman"/>
          <w:sz w:val="22"/>
          <w:szCs w:val="22"/>
          <w:lang w:val="sk-SK"/>
        </w:rPr>
        <w:t xml:space="preserve">Často sa vyskytuje mierny vzostup hladín amylázy </w:t>
      </w:r>
      <w:r w:rsidRPr="00EE3D43">
        <w:rPr>
          <w:rFonts w:ascii="Times New Roman" w:hAnsi="Times New Roman"/>
          <w:bCs/>
          <w:sz w:val="22"/>
          <w:szCs w:val="22"/>
          <w:lang w:val="sk-SK"/>
        </w:rPr>
        <w:t>p</w:t>
      </w:r>
      <w:r w:rsidRPr="00EE3D43">
        <w:rPr>
          <w:rFonts w:ascii="Times New Roman" w:hAnsi="Times New Roman"/>
          <w:sz w:val="22"/>
          <w:szCs w:val="22"/>
          <w:lang w:val="sk-SK"/>
        </w:rPr>
        <w:t>o ERCP (endoskopická retrográdna cholangiopankreat</w:t>
      </w:r>
      <w:r w:rsidR="00430310" w:rsidRPr="00176A37">
        <w:rPr>
          <w:rFonts w:ascii="Times New Roman" w:hAnsi="Times New Roman"/>
          <w:sz w:val="22"/>
          <w:szCs w:val="22"/>
          <w:lang w:val="sk-SK"/>
        </w:rPr>
        <w:t>ik</w:t>
      </w:r>
      <w:r w:rsidRPr="0050414B">
        <w:rPr>
          <w:rFonts w:ascii="Times New Roman" w:hAnsi="Times New Roman"/>
          <w:sz w:val="22"/>
          <w:szCs w:val="22"/>
          <w:lang w:val="sk-SK"/>
        </w:rPr>
        <w:t>ografia).</w:t>
      </w:r>
      <w:r w:rsidR="00E42351" w:rsidRPr="0050414B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0414B">
        <w:rPr>
          <w:rFonts w:ascii="Times New Roman" w:hAnsi="Times New Roman"/>
          <w:bCs/>
          <w:sz w:val="22"/>
          <w:szCs w:val="22"/>
          <w:lang w:val="sk-SK"/>
        </w:rPr>
        <w:t>Popísané boli zriedkavé prípady pankreatitídy.</w:t>
      </w:r>
    </w:p>
    <w:p w14:paraId="79EDC8D4" w14:textId="77777777" w:rsidR="0087059E" w:rsidRPr="00726429" w:rsidRDefault="0087059E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323E765C" w14:textId="77777777" w:rsidR="0087059E" w:rsidRPr="00726429" w:rsidRDefault="0087059E" w:rsidP="00A61B11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Reakcie zaznamenané p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ri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artrografii a fistulografii obvykle 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 xml:space="preserve">predstavujú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dráždi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vé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prejav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v 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dôsledku zhoršenia existujúcich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zápalov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ých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ochorení. </w:t>
      </w:r>
    </w:p>
    <w:p w14:paraId="214F7F51" w14:textId="77777777" w:rsidR="00E42351" w:rsidRPr="00726429" w:rsidRDefault="00E42351" w:rsidP="001D463A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1D3FC61" w14:textId="77777777" w:rsidR="0087059E" w:rsidRPr="00726429" w:rsidRDefault="00E42351" w:rsidP="00354EAF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eakcie z precitlivenosti sú zriedkavé, vo všeobecnosti mierne a majú formu kožných reakcií. </w:t>
      </w:r>
      <w:r w:rsidR="00430310" w:rsidRPr="00726429">
        <w:rPr>
          <w:rFonts w:ascii="Times New Roman" w:hAnsi="Times New Roman"/>
          <w:bCs/>
          <w:sz w:val="22"/>
          <w:szCs w:val="22"/>
          <w:lang w:val="sk-SK"/>
        </w:rPr>
        <w:t>Pravdepodobnosť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 závažných anaf</w:t>
      </w:r>
      <w:r w:rsidR="00104FA1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="00354EAF" w:rsidRPr="00726429">
        <w:rPr>
          <w:rFonts w:ascii="Times New Roman" w:hAnsi="Times New Roman"/>
          <w:bCs/>
          <w:sz w:val="22"/>
          <w:szCs w:val="22"/>
          <w:lang w:val="sk-SK"/>
        </w:rPr>
        <w:t>laktick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ých reakcií sa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však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nemôže vylúčiť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3C85C053" w14:textId="77777777" w:rsidR="0087059E" w:rsidRPr="00726429" w:rsidRDefault="0087059E" w:rsidP="004D159D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</w:p>
    <w:p w14:paraId="722FF4A3" w14:textId="77777777" w:rsidR="0087059E" w:rsidRPr="00726429" w:rsidRDefault="00E42351" w:rsidP="00104FA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lastRenderedPageBreak/>
        <w:t>Tak</w:t>
      </w:r>
      <w:r w:rsidR="00DF1764">
        <w:rPr>
          <w:rFonts w:ascii="Times New Roman" w:hAnsi="Times New Roman"/>
          <w:sz w:val="22"/>
          <w:szCs w:val="22"/>
          <w:lang w:val="sk-SK"/>
        </w:rPr>
        <w:t>,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DF1764">
        <w:rPr>
          <w:rFonts w:ascii="Times New Roman" w:hAnsi="Times New Roman"/>
          <w:sz w:val="22"/>
          <w:szCs w:val="22"/>
          <w:lang w:val="sk-SK"/>
        </w:rPr>
        <w:t>pri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 iných jódovaných kontrastných látk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ach,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po hysterosalpingografii 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môžu vyskytnúť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bolesti panvy a nevoľnosť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4C902CF" w14:textId="77777777" w:rsidR="00C278DF" w:rsidRPr="00726429" w:rsidRDefault="00C278DF" w:rsidP="001E54B3">
      <w:pPr>
        <w:pStyle w:val="Normlnywebov"/>
        <w:spacing w:before="0"/>
        <w:rPr>
          <w:sz w:val="22"/>
          <w:szCs w:val="22"/>
          <w:u w:val="single"/>
        </w:rPr>
      </w:pPr>
    </w:p>
    <w:p w14:paraId="1E7D80C4" w14:textId="1304D3E2" w:rsidR="00C278DF" w:rsidRDefault="00C278DF" w:rsidP="004B4C2E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  <w:r w:rsidRPr="00726429">
        <w:rPr>
          <w:szCs w:val="22"/>
          <w:u w:val="single"/>
        </w:rPr>
        <w:t>Hlásenie podozrení na nežiaduce reakcie</w:t>
      </w:r>
    </w:p>
    <w:p w14:paraId="3B414DDC" w14:textId="77777777" w:rsidR="00FC4ED3" w:rsidRPr="00726429" w:rsidRDefault="00FC4ED3" w:rsidP="004B4C2E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</w:p>
    <w:p w14:paraId="4FC19035" w14:textId="0DDE9AE0" w:rsidR="00C278DF" w:rsidRPr="00113579" w:rsidRDefault="00C278DF" w:rsidP="004B4C2E">
      <w:pPr>
        <w:keepNext/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2642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27387">
        <w:rPr>
          <w:szCs w:val="22"/>
        </w:rPr>
        <w:t xml:space="preserve">na </w:t>
      </w:r>
      <w:r w:rsidRPr="004B4C2E">
        <w:rPr>
          <w:szCs w:val="22"/>
          <w:highlight w:val="lightGray"/>
        </w:rPr>
        <w:t>národné</w:t>
      </w:r>
      <w:r w:rsidR="00527387" w:rsidRPr="004B4C2E">
        <w:rPr>
          <w:szCs w:val="22"/>
          <w:highlight w:val="lightGray"/>
        </w:rPr>
        <w:t xml:space="preserve"> centrum</w:t>
      </w:r>
      <w:r w:rsidRPr="004B4C2E">
        <w:rPr>
          <w:szCs w:val="22"/>
          <w:highlight w:val="lightGray"/>
        </w:rPr>
        <w:t xml:space="preserve"> hlásenia uvedené v </w:t>
      </w:r>
      <w:hyperlink r:id="rId8" w:history="1">
        <w:r w:rsidRPr="004B4C2E">
          <w:rPr>
            <w:rStyle w:val="Hypertextovprepojenie"/>
            <w:szCs w:val="22"/>
            <w:highlight w:val="lightGray"/>
          </w:rPr>
          <w:t>Prílohe V</w:t>
        </w:r>
      </w:hyperlink>
      <w:r w:rsidRPr="00113579">
        <w:rPr>
          <w:szCs w:val="22"/>
        </w:rPr>
        <w:t>.</w:t>
      </w:r>
    </w:p>
    <w:p w14:paraId="4FC61326" w14:textId="77777777" w:rsidR="00387C51" w:rsidRPr="00F50FCA" w:rsidRDefault="00387C51" w:rsidP="001E54B3">
      <w:pPr>
        <w:rPr>
          <w:b/>
          <w:szCs w:val="22"/>
        </w:rPr>
      </w:pPr>
    </w:p>
    <w:p w14:paraId="7CD98719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4.9</w:t>
      </w:r>
      <w:r w:rsidRPr="00726429">
        <w:rPr>
          <w:b/>
          <w:szCs w:val="22"/>
        </w:rPr>
        <w:tab/>
        <w:t>Predávkovanie</w:t>
      </w:r>
    </w:p>
    <w:p w14:paraId="4020B24F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1654DA7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Predávkovanie môže viesť k život ohrozujúcim nežiaducim reakciám, najmä účink</w:t>
      </w:r>
      <w:r w:rsidR="00893C5E" w:rsidRPr="00726429">
        <w:rPr>
          <w:szCs w:val="22"/>
        </w:rPr>
        <w:t>om</w:t>
      </w:r>
      <w:r w:rsidRPr="00726429">
        <w:rPr>
          <w:szCs w:val="22"/>
        </w:rPr>
        <w:t xml:space="preserve"> na pulmonálny a</w:t>
      </w:r>
      <w:r w:rsidR="00102442" w:rsidRPr="00726429">
        <w:rPr>
          <w:szCs w:val="22"/>
        </w:rPr>
        <w:t> </w:t>
      </w:r>
      <w:r w:rsidRPr="00726429">
        <w:rPr>
          <w:szCs w:val="22"/>
        </w:rPr>
        <w:t>kardiovaskulárny systém.</w:t>
      </w:r>
      <w:r w:rsidR="008702B3">
        <w:rPr>
          <w:szCs w:val="22"/>
        </w:rPr>
        <w:t xml:space="preserve"> V príprade intravaskulárneho alebo intratekálneho predávkovania</w:t>
      </w:r>
      <w:r w:rsidRPr="00726429">
        <w:rPr>
          <w:szCs w:val="22"/>
        </w:rPr>
        <w:t xml:space="preserve"> </w:t>
      </w:r>
      <w:r w:rsidR="008702B3">
        <w:rPr>
          <w:szCs w:val="22"/>
        </w:rPr>
        <w:t xml:space="preserve">je na ošetrujúcom lekárovi, aby individuálne posúdil stav pacienta a odporučil podpornú liečbu alebo pozorovanie. </w:t>
      </w:r>
      <w:r w:rsidRPr="00726429">
        <w:rPr>
          <w:szCs w:val="22"/>
        </w:rPr>
        <w:t>Pri predávkovaní je predovšetkým nevyhnutná podpora všetkých vitálnych funkcií</w:t>
      </w:r>
      <w:r w:rsidR="00424A7D" w:rsidRPr="00726429">
        <w:rPr>
          <w:szCs w:val="22"/>
        </w:rPr>
        <w:t>,</w:t>
      </w:r>
      <w:r w:rsidRPr="00726429">
        <w:rPr>
          <w:szCs w:val="22"/>
        </w:rPr>
        <w:t xml:space="preserve"> vrátane rýchleho </w:t>
      </w:r>
      <w:r w:rsidR="00374CAB" w:rsidRPr="00726429">
        <w:rPr>
          <w:szCs w:val="22"/>
        </w:rPr>
        <w:t>začatia symptomatickej liečby. J</w:t>
      </w:r>
      <w:r w:rsidRPr="00726429">
        <w:rPr>
          <w:szCs w:val="22"/>
        </w:rPr>
        <w:t>omeprol sa neviaže na plazm</w:t>
      </w:r>
      <w:r w:rsidR="00FF3F5D" w:rsidRPr="00726429">
        <w:rPr>
          <w:szCs w:val="22"/>
        </w:rPr>
        <w:t xml:space="preserve">atické </w:t>
      </w:r>
      <w:r w:rsidRPr="00726429">
        <w:rPr>
          <w:szCs w:val="22"/>
        </w:rPr>
        <w:t xml:space="preserve">alebo sérové </w:t>
      </w:r>
      <w:r w:rsidR="00FF3F5D" w:rsidRPr="00726429">
        <w:rPr>
          <w:szCs w:val="22"/>
        </w:rPr>
        <w:t>bielkoviny</w:t>
      </w:r>
      <w:r w:rsidRPr="00726429">
        <w:rPr>
          <w:szCs w:val="22"/>
        </w:rPr>
        <w:t>, preto</w:t>
      </w:r>
      <w:r w:rsidRPr="00726429">
        <w:rPr>
          <w:b/>
          <w:i/>
          <w:szCs w:val="22"/>
        </w:rPr>
        <w:t xml:space="preserve"> </w:t>
      </w:r>
      <w:r w:rsidRPr="00726429">
        <w:rPr>
          <w:bCs/>
          <w:iCs/>
          <w:szCs w:val="22"/>
        </w:rPr>
        <w:t>je dialyzovate</w:t>
      </w:r>
      <w:r w:rsidR="00FF3F5D" w:rsidRPr="00726429">
        <w:rPr>
          <w:bCs/>
          <w:iCs/>
          <w:szCs w:val="22"/>
        </w:rPr>
        <w:t>ľ</w:t>
      </w:r>
      <w:r w:rsidRPr="00726429">
        <w:rPr>
          <w:bCs/>
          <w:iCs/>
          <w:szCs w:val="22"/>
        </w:rPr>
        <w:t>ný</w:t>
      </w:r>
      <w:r w:rsidRPr="00726429">
        <w:rPr>
          <w:szCs w:val="22"/>
        </w:rPr>
        <w:t>.</w:t>
      </w:r>
    </w:p>
    <w:p w14:paraId="6660C80C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A</w:t>
      </w:r>
      <w:r w:rsidR="00374CAB" w:rsidRPr="00726429">
        <w:rPr>
          <w:szCs w:val="22"/>
        </w:rPr>
        <w:t>k je to potrebné, na vylúčenie j</w:t>
      </w:r>
      <w:r w:rsidRPr="00726429">
        <w:rPr>
          <w:szCs w:val="22"/>
        </w:rPr>
        <w:t>omeprolu sa môže použiť hemodialýza</w:t>
      </w:r>
      <w:r w:rsidRPr="00113579">
        <w:rPr>
          <w:szCs w:val="22"/>
        </w:rPr>
        <w:t>.</w:t>
      </w:r>
      <w:r w:rsidR="003879ED" w:rsidRPr="00F50FCA">
        <w:rPr>
          <w:szCs w:val="22"/>
        </w:rPr>
        <w:t xml:space="preserve"> Liečba predávkovania</w:t>
      </w:r>
      <w:r w:rsidR="003879ED" w:rsidRPr="00726429">
        <w:rPr>
          <w:szCs w:val="22"/>
        </w:rPr>
        <w:t xml:space="preserve"> je zameraná na podporu všetkých vitálnych funkcií a rýchlom zavedení symptomaticke</w:t>
      </w:r>
      <w:r w:rsidR="00382646">
        <w:rPr>
          <w:szCs w:val="22"/>
        </w:rPr>
        <w:t>j</w:t>
      </w:r>
      <w:r w:rsidR="003879ED" w:rsidRPr="00726429">
        <w:rPr>
          <w:szCs w:val="22"/>
        </w:rPr>
        <w:t xml:space="preserve"> terapie.</w:t>
      </w:r>
    </w:p>
    <w:p w14:paraId="29E76008" w14:textId="77777777" w:rsidR="00FE0FFF" w:rsidRPr="004B4C2E" w:rsidRDefault="00FE0FFF" w:rsidP="004B4C2E">
      <w:pPr>
        <w:ind w:left="0" w:right="-852" w:firstLine="0"/>
      </w:pPr>
    </w:p>
    <w:p w14:paraId="2C5BED6C" w14:textId="77777777" w:rsidR="00FE0FFF" w:rsidRPr="00726429" w:rsidRDefault="00FE0FFF" w:rsidP="004D159D">
      <w:pPr>
        <w:ind w:left="0" w:right="-1" w:firstLine="0"/>
        <w:rPr>
          <w:szCs w:val="22"/>
          <w:u w:val="single"/>
        </w:rPr>
      </w:pPr>
    </w:p>
    <w:p w14:paraId="5DB00BE5" w14:textId="77777777" w:rsidR="00FF3F5D" w:rsidRPr="00726429" w:rsidRDefault="00FE0FFF" w:rsidP="00104FA1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V prípade náhodného </w:t>
      </w:r>
      <w:r w:rsidRPr="00726429">
        <w:rPr>
          <w:szCs w:val="22"/>
          <w:u w:val="single"/>
        </w:rPr>
        <w:t xml:space="preserve">predávkovania intratekálne </w:t>
      </w:r>
      <w:r w:rsidRPr="00726429">
        <w:rPr>
          <w:szCs w:val="22"/>
        </w:rPr>
        <w:t xml:space="preserve">(pozri časť 4.2), </w:t>
      </w:r>
      <w:r w:rsidR="00382646">
        <w:rPr>
          <w:szCs w:val="22"/>
        </w:rPr>
        <w:t xml:space="preserve">príznaky a prejavy porúch CNS </w:t>
      </w:r>
      <w:r w:rsidRPr="00726429">
        <w:rPr>
          <w:szCs w:val="22"/>
        </w:rPr>
        <w:t>môžu byť: vzostupná hyper</w:t>
      </w:r>
      <w:r w:rsidR="00B638A9" w:rsidRPr="00726429">
        <w:rPr>
          <w:szCs w:val="22"/>
        </w:rPr>
        <w:t>re</w:t>
      </w:r>
      <w:r w:rsidRPr="00726429">
        <w:rPr>
          <w:szCs w:val="22"/>
        </w:rPr>
        <w:t xml:space="preserve">flexia alebo tonické črevné kŕče, až generalizované kŕče, hypertermia, </w:t>
      </w:r>
      <w:r w:rsidR="00FF3F5D" w:rsidRPr="00726429">
        <w:rPr>
          <w:szCs w:val="22"/>
        </w:rPr>
        <w:t>apatia</w:t>
      </w:r>
      <w:r w:rsidRPr="00726429">
        <w:rPr>
          <w:szCs w:val="22"/>
        </w:rPr>
        <w:t xml:space="preserve"> a </w:t>
      </w:r>
      <w:r w:rsidR="000E45A8" w:rsidRPr="00726429">
        <w:rPr>
          <w:szCs w:val="22"/>
        </w:rPr>
        <w:t>respiračná depresia</w:t>
      </w:r>
      <w:r w:rsidRPr="00726429">
        <w:rPr>
          <w:szCs w:val="22"/>
        </w:rPr>
        <w:t>.</w:t>
      </w:r>
    </w:p>
    <w:p w14:paraId="45C52ADB" w14:textId="77777777" w:rsidR="00FF3F5D" w:rsidRPr="00726429" w:rsidRDefault="00FF3F5D" w:rsidP="006A4929">
      <w:pPr>
        <w:ind w:left="0" w:right="-1" w:firstLine="0"/>
        <w:rPr>
          <w:szCs w:val="22"/>
        </w:rPr>
      </w:pPr>
    </w:p>
    <w:p w14:paraId="3809E528" w14:textId="77777777" w:rsidR="00FE0FFF" w:rsidRPr="00726429" w:rsidRDefault="00FE0FFF" w:rsidP="00A42B8E">
      <w:pPr>
        <w:ind w:left="0" w:right="-1" w:firstLine="0"/>
        <w:rPr>
          <w:szCs w:val="22"/>
        </w:rPr>
      </w:pPr>
      <w:r w:rsidRPr="00726429">
        <w:rPr>
          <w:szCs w:val="22"/>
        </w:rPr>
        <w:t>V prípade intrakraniálnej infiltrácie kontrastn</w:t>
      </w:r>
      <w:r w:rsidR="00B638A9" w:rsidRPr="00726429">
        <w:rPr>
          <w:szCs w:val="22"/>
        </w:rPr>
        <w:t>ej látky</w:t>
      </w:r>
      <w:r w:rsidRPr="00726429">
        <w:rPr>
          <w:szCs w:val="22"/>
        </w:rPr>
        <w:t xml:space="preserve"> sa odporúča profylaktická perorálna antikonvulzívna liečba diazepamom alebo barbiturátmi po dobu 24 až 48 hodín.</w:t>
      </w:r>
    </w:p>
    <w:p w14:paraId="6EA901F3" w14:textId="77777777" w:rsidR="00780926" w:rsidRPr="00726429" w:rsidRDefault="00780926" w:rsidP="00A42B8E">
      <w:pPr>
        <w:rPr>
          <w:szCs w:val="22"/>
        </w:rPr>
      </w:pPr>
    </w:p>
    <w:p w14:paraId="64BCBFFC" w14:textId="77777777" w:rsidR="00780926" w:rsidRPr="00726429" w:rsidRDefault="00780926" w:rsidP="001E54B3">
      <w:pPr>
        <w:rPr>
          <w:szCs w:val="22"/>
        </w:rPr>
      </w:pPr>
    </w:p>
    <w:p w14:paraId="381E185D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</w:t>
      </w:r>
      <w:r w:rsidRPr="00726429">
        <w:rPr>
          <w:b/>
          <w:szCs w:val="22"/>
        </w:rPr>
        <w:tab/>
        <w:t>FARMAKOLOGICKÉ VLASTNOSTI</w:t>
      </w:r>
    </w:p>
    <w:p w14:paraId="75997E40" w14:textId="77777777" w:rsidR="00780926" w:rsidRPr="00726429" w:rsidRDefault="00780926" w:rsidP="001E54B3">
      <w:pPr>
        <w:rPr>
          <w:bCs/>
          <w:szCs w:val="22"/>
        </w:rPr>
      </w:pPr>
    </w:p>
    <w:p w14:paraId="1C8D4E9E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5.1</w:t>
      </w:r>
      <w:r w:rsidRPr="00726429">
        <w:rPr>
          <w:b/>
          <w:szCs w:val="22"/>
        </w:rPr>
        <w:tab/>
        <w:t>Farmakodynamické vlastnosti</w:t>
      </w:r>
    </w:p>
    <w:p w14:paraId="740DD67E" w14:textId="77777777" w:rsidR="00780926" w:rsidRPr="00726429" w:rsidRDefault="00780926" w:rsidP="001E54B3">
      <w:pPr>
        <w:rPr>
          <w:szCs w:val="22"/>
        </w:rPr>
      </w:pPr>
    </w:p>
    <w:p w14:paraId="51EA8A78" w14:textId="77777777" w:rsidR="00185059" w:rsidRDefault="0078092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Farmakoterapeutick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á skupina:</w:t>
      </w:r>
      <w:r w:rsidR="00185059">
        <w:rPr>
          <w:rFonts w:ascii="Times New Roman" w:hAnsi="Times New Roman"/>
          <w:sz w:val="22"/>
          <w:szCs w:val="22"/>
          <w:lang w:val="sk-SK"/>
        </w:rPr>
        <w:t xml:space="preserve"> Kontrastné látky,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85059">
        <w:rPr>
          <w:rFonts w:ascii="Times New Roman" w:hAnsi="Times New Roman"/>
          <w:sz w:val="22"/>
          <w:szCs w:val="22"/>
          <w:lang w:val="sk-SK"/>
        </w:rPr>
        <w:t>N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ízkoosmolárn</w:t>
      </w:r>
      <w:r w:rsidR="00185059">
        <w:rPr>
          <w:rFonts w:ascii="Times New Roman" w:hAnsi="Times New Roman"/>
          <w:sz w:val="22"/>
          <w:szCs w:val="22"/>
          <w:lang w:val="sk-SK"/>
        </w:rPr>
        <w:t>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, nefrotropn</w:t>
      </w:r>
      <w:r w:rsidR="00185059">
        <w:rPr>
          <w:rFonts w:ascii="Times New Roman" w:hAnsi="Times New Roman"/>
          <w:sz w:val="22"/>
          <w:szCs w:val="22"/>
          <w:lang w:val="sk-SK"/>
        </w:rPr>
        <w:t>é RTG-kontrastné látky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85059">
        <w:rPr>
          <w:rFonts w:ascii="Times New Roman" w:hAnsi="Times New Roman"/>
          <w:sz w:val="22"/>
          <w:szCs w:val="22"/>
          <w:lang w:val="sk-SK"/>
        </w:rPr>
        <w:t>rozpustné vo vode</w:t>
      </w:r>
    </w:p>
    <w:p w14:paraId="2DCF109C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ATC kód: V08AB10 </w:t>
      </w:r>
    </w:p>
    <w:p w14:paraId="7BBD038A" w14:textId="77777777" w:rsidR="00C278DF" w:rsidRPr="00726429" w:rsidRDefault="00C278D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1D3DC14B" w14:textId="77777777" w:rsidR="00FE50A2" w:rsidRPr="00486BF3" w:rsidRDefault="00424A7D" w:rsidP="00FE50A2">
      <w:pPr>
        <w:pStyle w:val="Zkladntext"/>
        <w:rPr>
          <w:szCs w:val="22"/>
        </w:rPr>
      </w:pPr>
      <w:r w:rsidRPr="00726429">
        <w:rPr>
          <w:szCs w:val="22"/>
        </w:rPr>
        <w:t xml:space="preserve">Liečivo </w:t>
      </w:r>
      <w:r w:rsidR="00FE0FFF" w:rsidRPr="00726429">
        <w:rPr>
          <w:szCs w:val="22"/>
        </w:rPr>
        <w:t>Iomeronu je trijódovaná ne</w:t>
      </w:r>
      <w:r w:rsidR="00374CAB" w:rsidRPr="00726429">
        <w:rPr>
          <w:szCs w:val="22"/>
        </w:rPr>
        <w:t>iónová kontrastná látka j</w:t>
      </w:r>
      <w:r w:rsidR="00FE0FFF" w:rsidRPr="00726429">
        <w:rPr>
          <w:szCs w:val="22"/>
        </w:rPr>
        <w:t>omeprol</w:t>
      </w:r>
      <w:r w:rsidR="00FE50A2" w:rsidRPr="00726429">
        <w:rPr>
          <w:szCs w:val="22"/>
        </w:rPr>
        <w:t xml:space="preserve"> </w:t>
      </w:r>
      <w:r w:rsidR="003879ED" w:rsidRPr="00726429">
        <w:rPr>
          <w:szCs w:val="22"/>
        </w:rPr>
        <w:t>a jeho indi</w:t>
      </w:r>
      <w:r w:rsidR="00017661" w:rsidRPr="00726429">
        <w:rPr>
          <w:szCs w:val="22"/>
        </w:rPr>
        <w:t>kácia</w:t>
      </w:r>
      <w:r w:rsidR="00DF1764">
        <w:rPr>
          <w:szCs w:val="22"/>
        </w:rPr>
        <w:t xml:space="preserve"> je</w:t>
      </w:r>
      <w:r w:rsidR="00017661" w:rsidRPr="00726429">
        <w:rPr>
          <w:szCs w:val="22"/>
        </w:rPr>
        <w:t xml:space="preserve"> pre použitie pri RTG vyšetrení</w:t>
      </w:r>
      <w:r w:rsidR="00FE50A2" w:rsidRPr="00486BF3">
        <w:rPr>
          <w:szCs w:val="22"/>
        </w:rPr>
        <w:t>.</w:t>
      </w:r>
    </w:p>
    <w:p w14:paraId="652D0CF8" w14:textId="77777777" w:rsidR="00017661" w:rsidRPr="00726429" w:rsidRDefault="0064292F" w:rsidP="00FE50A2">
      <w:pPr>
        <w:pStyle w:val="Zkladntext"/>
        <w:rPr>
          <w:szCs w:val="22"/>
        </w:rPr>
      </w:pPr>
      <w:r>
        <w:rPr>
          <w:szCs w:val="22"/>
        </w:rPr>
        <w:t>J</w:t>
      </w:r>
      <w:r w:rsidR="00FE50A2" w:rsidRPr="00486BF3">
        <w:rPr>
          <w:szCs w:val="22"/>
        </w:rPr>
        <w:t xml:space="preserve">omeprol </w:t>
      </w:r>
      <w:r w:rsidR="00017661" w:rsidRPr="00113579">
        <w:rPr>
          <w:szCs w:val="22"/>
        </w:rPr>
        <w:t>a jeho prípravky sa vyznačujú zv</w:t>
      </w:r>
      <w:r w:rsidR="00DF1764">
        <w:rPr>
          <w:szCs w:val="22"/>
        </w:rPr>
        <w:t>l</w:t>
      </w:r>
      <w:r w:rsidR="00017661" w:rsidRPr="00113579">
        <w:rPr>
          <w:szCs w:val="22"/>
        </w:rPr>
        <w:t>ášť n</w:t>
      </w:r>
      <w:r w:rsidR="00017661" w:rsidRPr="00F50FCA">
        <w:rPr>
          <w:szCs w:val="22"/>
        </w:rPr>
        <w:t>ízkou osmolalitou a vizkozitou v porovnaní s ostatnými neiónovými kontr</w:t>
      </w:r>
      <w:r w:rsidR="00017661" w:rsidRPr="00726429">
        <w:rPr>
          <w:szCs w:val="22"/>
        </w:rPr>
        <w:t>astnými látkami.</w:t>
      </w:r>
    </w:p>
    <w:p w14:paraId="0C57852D" w14:textId="77777777" w:rsidR="00780926" w:rsidRPr="00726429" w:rsidRDefault="00780926" w:rsidP="00486BF3">
      <w:pPr>
        <w:pStyle w:val="Zkladntext"/>
        <w:rPr>
          <w:szCs w:val="22"/>
        </w:rPr>
      </w:pPr>
    </w:p>
    <w:p w14:paraId="149CC539" w14:textId="77777777" w:rsidR="00780926" w:rsidRPr="00726429" w:rsidRDefault="00780926" w:rsidP="001E54B3">
      <w:pPr>
        <w:ind w:left="0" w:firstLine="0"/>
        <w:rPr>
          <w:b/>
          <w:szCs w:val="22"/>
        </w:rPr>
      </w:pPr>
      <w:r w:rsidRPr="00726429">
        <w:rPr>
          <w:b/>
          <w:szCs w:val="22"/>
        </w:rPr>
        <w:t>5.2</w:t>
      </w:r>
      <w:r w:rsidRPr="00726429">
        <w:rPr>
          <w:b/>
          <w:szCs w:val="22"/>
        </w:rPr>
        <w:tab/>
        <w:t>Farmakokinetické vlastnosti</w:t>
      </w:r>
    </w:p>
    <w:p w14:paraId="5D46E62F" w14:textId="77777777" w:rsidR="00E1698A" w:rsidRPr="00726429" w:rsidRDefault="00E1698A" w:rsidP="001E54B3">
      <w:pPr>
        <w:ind w:left="0" w:firstLine="0"/>
        <w:rPr>
          <w:szCs w:val="22"/>
        </w:rPr>
      </w:pPr>
    </w:p>
    <w:p w14:paraId="03F9880C" w14:textId="77777777" w:rsidR="00FE0FFF" w:rsidRPr="00726429" w:rsidRDefault="00FE0FFF" w:rsidP="004B4C2E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Intravaskulárne podanie</w:t>
      </w:r>
    </w:p>
    <w:p w14:paraId="16E4E836" w14:textId="77777777" w:rsidR="00424A7D" w:rsidRPr="00726429" w:rsidRDefault="00424A7D" w:rsidP="004B4C2E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</w:p>
    <w:p w14:paraId="66AD2DC4" w14:textId="77777777" w:rsidR="00FE0FFF" w:rsidRPr="00726429" w:rsidRDefault="00FE0FFF" w:rsidP="004B4C2E">
      <w:pPr>
        <w:pStyle w:val="Zarkazkladnhotextu2"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t>Farmakokinetika, znášanlivosť a diagnostic</w:t>
      </w:r>
      <w:r w:rsidR="00374CAB" w:rsidRPr="00726429">
        <w:rPr>
          <w:szCs w:val="22"/>
        </w:rPr>
        <w:t>ká účinnosť injekčného roztoku j</w:t>
      </w:r>
      <w:r w:rsidRPr="00726429">
        <w:rPr>
          <w:szCs w:val="22"/>
        </w:rPr>
        <w:t xml:space="preserve">omeprolu s koncentráciou do 400 mg jódu/ml sa hodnotila </w:t>
      </w:r>
      <w:r w:rsidR="0056201D" w:rsidRPr="00726429">
        <w:rPr>
          <w:szCs w:val="22"/>
        </w:rPr>
        <w:t>u z</w:t>
      </w:r>
      <w:r w:rsidRPr="00726429">
        <w:rPr>
          <w:szCs w:val="22"/>
        </w:rPr>
        <w:t>dravých dobrovoľníko</w:t>
      </w:r>
      <w:r w:rsidR="00E75FF4" w:rsidRPr="00726429">
        <w:rPr>
          <w:szCs w:val="22"/>
        </w:rPr>
        <w:t>v</w:t>
      </w:r>
      <w:r w:rsidRPr="00726429">
        <w:rPr>
          <w:szCs w:val="22"/>
        </w:rPr>
        <w:t xml:space="preserve"> a</w:t>
      </w:r>
      <w:r w:rsidR="0056201D" w:rsidRPr="00726429">
        <w:rPr>
          <w:szCs w:val="22"/>
        </w:rPr>
        <w:t> u </w:t>
      </w:r>
      <w:r w:rsidRPr="00726429">
        <w:rPr>
          <w:szCs w:val="22"/>
        </w:rPr>
        <w:t>paciento</w:t>
      </w:r>
      <w:r w:rsidR="0056201D" w:rsidRPr="00726429">
        <w:rPr>
          <w:szCs w:val="22"/>
        </w:rPr>
        <w:t>v</w:t>
      </w:r>
      <w:r w:rsidRPr="00726429">
        <w:rPr>
          <w:szCs w:val="22"/>
        </w:rPr>
        <w:t xml:space="preserve"> pri </w:t>
      </w:r>
      <w:r w:rsidR="0056201D" w:rsidRPr="00726429">
        <w:rPr>
          <w:szCs w:val="22"/>
        </w:rPr>
        <w:t xml:space="preserve">urografických a angiografických </w:t>
      </w:r>
      <w:r w:rsidRPr="00726429">
        <w:rPr>
          <w:szCs w:val="22"/>
        </w:rPr>
        <w:t xml:space="preserve">vyšetreniach, počítačovej tomografii (CT) a vyšetreniach telových dutín. </w:t>
      </w:r>
    </w:p>
    <w:p w14:paraId="1CC1A35A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Pri uvedených vyšetreniach sa nepreukázali žiadne klinicky významné zmeny v hodnotách laboratórnych testov a</w:t>
      </w:r>
      <w:r w:rsidR="0056201D" w:rsidRPr="00726429">
        <w:rPr>
          <w:szCs w:val="22"/>
        </w:rPr>
        <w:t> vo </w:t>
      </w:r>
      <w:r w:rsidRPr="00726429">
        <w:rPr>
          <w:szCs w:val="22"/>
        </w:rPr>
        <w:t>vitálnych funkci</w:t>
      </w:r>
      <w:r w:rsidR="00424A7D" w:rsidRPr="00726429">
        <w:rPr>
          <w:szCs w:val="22"/>
        </w:rPr>
        <w:t>ách</w:t>
      </w:r>
      <w:r w:rsidRPr="00726429">
        <w:rPr>
          <w:szCs w:val="22"/>
        </w:rPr>
        <w:t>.</w:t>
      </w:r>
    </w:p>
    <w:p w14:paraId="4BA483CB" w14:textId="77777777" w:rsidR="002C7080" w:rsidRPr="00726429" w:rsidRDefault="002C7080" w:rsidP="001E54B3">
      <w:pPr>
        <w:ind w:left="0" w:right="-852" w:firstLine="0"/>
        <w:rPr>
          <w:szCs w:val="22"/>
        </w:rPr>
      </w:pPr>
    </w:p>
    <w:p w14:paraId="0160E342" w14:textId="77777777" w:rsidR="00FE0FFF" w:rsidRPr="00726429" w:rsidRDefault="00374CAB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Farmakokinetika j</w:t>
      </w:r>
      <w:r w:rsidR="00FE0FFF" w:rsidRPr="00726429">
        <w:rPr>
          <w:szCs w:val="22"/>
        </w:rPr>
        <w:t xml:space="preserve">omeprolu po intravaskulárnom podaní sa popisuje ako dvojkompartmentový model, ktorý má rýchlu fázu distribúcie liečiva a pomalú fázu jeho eliminácie. U 18 zdravých dobrovoľníkov sa pohyboval </w:t>
      </w:r>
      <w:r w:rsidR="00E75FF4" w:rsidRPr="00726429">
        <w:rPr>
          <w:szCs w:val="22"/>
        </w:rPr>
        <w:t xml:space="preserve">priemerný </w:t>
      </w:r>
      <w:r w:rsidR="00FE0FFF" w:rsidRPr="00726429">
        <w:rPr>
          <w:szCs w:val="22"/>
        </w:rPr>
        <w:t xml:space="preserve">polčas fázy distribúcie medzi 23 ± 14 min a fázy </w:t>
      </w:r>
      <w:r w:rsidR="0056201D" w:rsidRPr="00726429">
        <w:rPr>
          <w:szCs w:val="22"/>
        </w:rPr>
        <w:t>eliminácie</w:t>
      </w:r>
      <w:r w:rsidR="00FE0FFF" w:rsidRPr="00726429">
        <w:rPr>
          <w:szCs w:val="22"/>
        </w:rPr>
        <w:t xml:space="preserve"> 109 ± 20 min. </w:t>
      </w:r>
      <w:r w:rsidR="00424A7D" w:rsidRPr="00726429">
        <w:rPr>
          <w:szCs w:val="22"/>
        </w:rPr>
        <w:t>J</w:t>
      </w:r>
      <w:r w:rsidR="00FE0FFF" w:rsidRPr="00726429">
        <w:rPr>
          <w:szCs w:val="22"/>
        </w:rPr>
        <w:t>omeprol sa vylučuje hlavne obličkami. Ak nie je porušená činnosť obličiek, kumul</w:t>
      </w:r>
      <w:r w:rsidRPr="00726429">
        <w:rPr>
          <w:szCs w:val="22"/>
        </w:rPr>
        <w:t xml:space="preserve">atívna urinárna </w:t>
      </w:r>
      <w:r w:rsidRPr="00726429">
        <w:rPr>
          <w:szCs w:val="22"/>
        </w:rPr>
        <w:lastRenderedPageBreak/>
        <w:t>exkrécia j</w:t>
      </w:r>
      <w:r w:rsidR="00FE0FFF" w:rsidRPr="00726429">
        <w:rPr>
          <w:szCs w:val="22"/>
        </w:rPr>
        <w:t>omeprolu, vyjadrená ako percento podanej intravenóznej dávky, je približne 24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až 34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60 minút, 84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8 hodín, 87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12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hodín a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95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v priebehu 24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-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96 hodín po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 xml:space="preserve">podaní. </w:t>
      </w:r>
    </w:p>
    <w:p w14:paraId="7CFB0CA7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46214CEB" w14:textId="77777777" w:rsidR="00FE0FFF" w:rsidRPr="00726429" w:rsidRDefault="00FE0FFF" w:rsidP="00E77DDE">
      <w:pPr>
        <w:pStyle w:val="Obyajntext"/>
        <w:keepNext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Renálna insuficiencia</w:t>
      </w:r>
    </w:p>
    <w:p w14:paraId="0690A81E" w14:textId="77777777" w:rsidR="00FE0FFF" w:rsidRPr="00726429" w:rsidRDefault="00FE0FFF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 insuficienciou obličiek sa polčas vylučovania predĺži v závislosti od stupňa renálnej insuficiencie. </w:t>
      </w:r>
    </w:p>
    <w:p w14:paraId="768E4B15" w14:textId="77777777" w:rsidR="00FE0FFF" w:rsidRPr="00726429" w:rsidRDefault="00374CAB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neviaže na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 plazmatické alebo sérové bielkoviny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4BE349B5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698F7FF0" w14:textId="77777777" w:rsidR="00FE0FFF" w:rsidRPr="00726429" w:rsidRDefault="00FE0FFF" w:rsidP="004B4C2E">
      <w:pPr>
        <w:pStyle w:val="Obyajntext"/>
        <w:rPr>
          <w:rFonts w:ascii="Times New Roman" w:hAnsi="Times New Roman"/>
          <w:bCs/>
          <w:i/>
          <w:i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i/>
          <w:iCs/>
          <w:sz w:val="22"/>
          <w:szCs w:val="22"/>
          <w:lang w:val="sk-SK"/>
        </w:rPr>
        <w:t>Intratekálne podanie</w:t>
      </w:r>
    </w:p>
    <w:p w14:paraId="412C1C90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4509C40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Absorbcia</w:t>
      </w:r>
    </w:p>
    <w:p w14:paraId="33871838" w14:textId="77777777" w:rsidR="00FE0FFF" w:rsidRPr="00726429" w:rsidRDefault="00374CAB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Farmakokinetika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omeprolu po in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tratekálnom podaní </w:t>
      </w:r>
      <w:r w:rsidR="00102442" w:rsidRPr="00726429">
        <w:rPr>
          <w:rFonts w:ascii="Times New Roman" w:hAnsi="Times New Roman"/>
          <w:sz w:val="22"/>
          <w:szCs w:val="22"/>
          <w:lang w:val="sk-SK"/>
        </w:rPr>
        <w:t>pre</w:t>
      </w:r>
      <w:r w:rsidRPr="00726429">
        <w:rPr>
          <w:rFonts w:ascii="Times New Roman" w:hAnsi="Times New Roman"/>
          <w:sz w:val="22"/>
          <w:szCs w:val="22"/>
          <w:lang w:val="sk-SK"/>
        </w:rPr>
        <w:t>ukazuje, že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do 3 až 6 hodín po podaní úplne absorbuje do cerebrospinálneho moku.</w:t>
      </w:r>
    </w:p>
    <w:p w14:paraId="60B8F56F" w14:textId="77777777" w:rsidR="002C7080" w:rsidRPr="00726429" w:rsidRDefault="002C7080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32AC7C0A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Eliminácia</w:t>
      </w:r>
    </w:p>
    <w:p w14:paraId="1E1F67DF" w14:textId="77777777" w:rsidR="00FE0FFF" w:rsidRPr="00726429" w:rsidRDefault="00CC6471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Biologický p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olčas 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eliminácie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je od 8 do 11 hodín bez ohľadu na dávku. Merateľné koncentrácie v plazme sa pozorovali až po 24 h u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93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% pacientov. Vylučuje sa obličkami ako ne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zmenený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omeprol.</w:t>
      </w:r>
    </w:p>
    <w:p w14:paraId="35E0A07E" w14:textId="77777777" w:rsidR="00FE0FFF" w:rsidRPr="00726429" w:rsidRDefault="00FE0FFF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14:paraId="0579CA62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Väčšia časť účinnej látky sa vylúči močom v priebehu 24 hodín po podaní dávky, minimálne percento sa vylúči počas 24 až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4</w:t>
      </w:r>
      <w:r w:rsidRPr="00726429">
        <w:rPr>
          <w:rFonts w:ascii="Times New Roman" w:hAnsi="Times New Roman"/>
          <w:sz w:val="22"/>
          <w:szCs w:val="22"/>
          <w:lang w:val="sk-SK"/>
        </w:rPr>
        <w:t>8 hodín neskôr.</w:t>
      </w:r>
    </w:p>
    <w:p w14:paraId="2C55C574" w14:textId="77777777" w:rsidR="00780926" w:rsidRPr="00726429" w:rsidRDefault="00780926" w:rsidP="001E54B3">
      <w:pPr>
        <w:rPr>
          <w:szCs w:val="22"/>
        </w:rPr>
      </w:pPr>
    </w:p>
    <w:p w14:paraId="7184C14A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5.3</w:t>
      </w:r>
      <w:r w:rsidRPr="00726429">
        <w:rPr>
          <w:b/>
          <w:szCs w:val="22"/>
        </w:rPr>
        <w:tab/>
        <w:t>Predklinické údaje o bezpečnosti</w:t>
      </w:r>
    </w:p>
    <w:p w14:paraId="0CF81F09" w14:textId="77777777" w:rsidR="00A30B04" w:rsidRPr="00726429" w:rsidRDefault="00A30B04" w:rsidP="001E54B3">
      <w:pPr>
        <w:ind w:left="0" w:right="-852" w:firstLine="0"/>
        <w:rPr>
          <w:szCs w:val="22"/>
        </w:rPr>
      </w:pPr>
    </w:p>
    <w:p w14:paraId="25CB4628" w14:textId="77777777" w:rsidR="00A30B04" w:rsidRPr="00726429" w:rsidRDefault="00A30B04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Predklinické štúdie týkajúce sa bezpečnosti, toxicity opakovaných dávok, genotoxicity a reprodukcie nenaznačujú žiadne osobitné nebezpečenstvo pre človeka.</w:t>
      </w:r>
    </w:p>
    <w:p w14:paraId="024F349E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33A23AD6" w14:textId="77777777" w:rsidR="00D74030" w:rsidRPr="00486BF3" w:rsidRDefault="00D7403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>Predklinické účinky sa pozorovali výlučne po expozícii dávok, ktoré boli považované za omnoho vyššie, ako sú maximálne dávky, ktoré sa môžu podať ľuďom, a v dôsledku toho sú z klinického hľadiska zanedbateľné.</w:t>
      </w:r>
    </w:p>
    <w:p w14:paraId="71B7E860" w14:textId="77777777" w:rsidR="00A30B04" w:rsidRPr="00113579" w:rsidRDefault="002D3302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 xml:space="preserve">Účinky v predklinických štúdiách sa pozorovali iba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 xml:space="preserve">pri expozíciách 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považovaných za dostatočne vyššie, ako je maximálna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>expozícia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 u ľudí, čo poukazuje na malý význam týchto zistení pre klinické použitie.</w:t>
      </w:r>
    </w:p>
    <w:p w14:paraId="375AAA67" w14:textId="77777777" w:rsidR="00424A7D" w:rsidRPr="00F50FCA" w:rsidRDefault="00424A7D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C481141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Výsledky, získané štúdiami na potkanoc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h, myšiach a psoch ukazujú, že 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omeprol sa vyznačuje akútnou toxicitou jednorazovej intraarteriálnej a intravenóznej dávky, ktorá je porovnateľná alebo nižšia ako toxicita iných neiónových kontrastných látok a má u potkanov a psov uspokojivú tolerovateľnosť po opakovaných dávkach. </w:t>
      </w:r>
    </w:p>
    <w:p w14:paraId="63CAAA4D" w14:textId="77777777" w:rsidR="00A30B04" w:rsidRPr="00726429" w:rsidRDefault="00A30B04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70F434F2" w14:textId="77777777" w:rsidR="00E1698A" w:rsidRPr="00726429" w:rsidRDefault="00E1698A" w:rsidP="001E54B3">
      <w:pPr>
        <w:rPr>
          <w:szCs w:val="22"/>
        </w:rPr>
      </w:pPr>
    </w:p>
    <w:p w14:paraId="63A0141C" w14:textId="77777777" w:rsidR="00780926" w:rsidRPr="00726429" w:rsidRDefault="00780926" w:rsidP="001E54B3">
      <w:pPr>
        <w:rPr>
          <w:b/>
          <w:szCs w:val="22"/>
        </w:rPr>
      </w:pPr>
      <w:r w:rsidRPr="00726429">
        <w:rPr>
          <w:b/>
          <w:szCs w:val="22"/>
        </w:rPr>
        <w:t>6.</w:t>
      </w:r>
      <w:r w:rsidRPr="00726429">
        <w:rPr>
          <w:b/>
          <w:szCs w:val="22"/>
        </w:rPr>
        <w:tab/>
        <w:t>FARMACEUTICKÉ INFORMÁCIE</w:t>
      </w:r>
    </w:p>
    <w:p w14:paraId="0F305B1B" w14:textId="77777777" w:rsidR="00780926" w:rsidRPr="00726429" w:rsidRDefault="00780926" w:rsidP="001E54B3">
      <w:pPr>
        <w:rPr>
          <w:szCs w:val="22"/>
        </w:rPr>
      </w:pPr>
    </w:p>
    <w:p w14:paraId="4D23C19F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6.1</w:t>
      </w:r>
      <w:r w:rsidRPr="00726429">
        <w:rPr>
          <w:b/>
          <w:szCs w:val="22"/>
        </w:rPr>
        <w:tab/>
        <w:t>Zoznam pomocných látok</w:t>
      </w:r>
    </w:p>
    <w:p w14:paraId="6FC7CE0B" w14:textId="77777777" w:rsidR="00780926" w:rsidRPr="00726429" w:rsidRDefault="00780926" w:rsidP="00A61B11">
      <w:pPr>
        <w:ind w:left="0" w:firstLine="0"/>
        <w:rPr>
          <w:szCs w:val="22"/>
        </w:rPr>
      </w:pPr>
    </w:p>
    <w:p w14:paraId="5F3881AB" w14:textId="77777777" w:rsidR="00C278DF" w:rsidRPr="00726429" w:rsidRDefault="00C278DF" w:rsidP="00354EAF">
      <w:pPr>
        <w:ind w:left="0" w:right="-852" w:firstLine="0"/>
        <w:rPr>
          <w:szCs w:val="22"/>
        </w:rPr>
      </w:pPr>
      <w:r w:rsidRPr="00726429">
        <w:rPr>
          <w:szCs w:val="22"/>
        </w:rPr>
        <w:t>T</w:t>
      </w:r>
      <w:r w:rsidR="00CE2965" w:rsidRPr="00726429">
        <w:rPr>
          <w:szCs w:val="22"/>
        </w:rPr>
        <w:t>rometamol</w:t>
      </w:r>
    </w:p>
    <w:p w14:paraId="15D358C3" w14:textId="77777777" w:rsidR="00C278DF" w:rsidRPr="00726429" w:rsidRDefault="00C278DF" w:rsidP="004D159D">
      <w:pPr>
        <w:ind w:left="0" w:right="-852" w:firstLine="0"/>
        <w:rPr>
          <w:szCs w:val="22"/>
        </w:rPr>
      </w:pPr>
      <w:r w:rsidRPr="00726429">
        <w:rPr>
          <w:szCs w:val="22"/>
        </w:rPr>
        <w:t>K</w:t>
      </w:r>
      <w:r w:rsidR="00CE2965" w:rsidRPr="00726429">
        <w:rPr>
          <w:szCs w:val="22"/>
        </w:rPr>
        <w:t>yselina chlorovodíková</w:t>
      </w:r>
    </w:p>
    <w:p w14:paraId="6800E9EF" w14:textId="77777777" w:rsidR="00C278DF" w:rsidRPr="00726429" w:rsidRDefault="00C278DF" w:rsidP="00104FA1">
      <w:pPr>
        <w:ind w:left="0" w:right="-852" w:firstLine="0"/>
        <w:rPr>
          <w:szCs w:val="22"/>
        </w:rPr>
      </w:pPr>
      <w:r w:rsidRPr="00726429">
        <w:rPr>
          <w:szCs w:val="22"/>
        </w:rPr>
        <w:t>V</w:t>
      </w:r>
      <w:r w:rsidR="00CE2965" w:rsidRPr="00726429">
        <w:rPr>
          <w:szCs w:val="22"/>
        </w:rPr>
        <w:t>oda na injekciu</w:t>
      </w:r>
    </w:p>
    <w:p w14:paraId="061B5F67" w14:textId="77777777" w:rsidR="00A30B04" w:rsidRPr="00726429" w:rsidRDefault="00A30B04" w:rsidP="00A42B8E">
      <w:pPr>
        <w:ind w:left="0" w:right="-852" w:firstLine="0"/>
        <w:rPr>
          <w:szCs w:val="22"/>
        </w:rPr>
      </w:pPr>
    </w:p>
    <w:p w14:paraId="6327A345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6.2</w:t>
      </w:r>
      <w:r w:rsidRPr="00726429">
        <w:rPr>
          <w:b/>
          <w:szCs w:val="22"/>
        </w:rPr>
        <w:tab/>
        <w:t>Inkompatibility</w:t>
      </w:r>
    </w:p>
    <w:p w14:paraId="02AF7865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0AA6481" w14:textId="77777777" w:rsidR="00A30B04" w:rsidRPr="00726429" w:rsidRDefault="00A30B04" w:rsidP="001E54B3">
      <w:pPr>
        <w:pStyle w:val="Zarkazkladnhotextu"/>
        <w:spacing w:after="0"/>
        <w:ind w:left="0" w:right="-1" w:firstLine="0"/>
        <w:rPr>
          <w:szCs w:val="22"/>
        </w:rPr>
      </w:pPr>
      <w:r w:rsidRPr="00726429">
        <w:rPr>
          <w:szCs w:val="22"/>
        </w:rPr>
        <w:t xml:space="preserve">Dokázalo sa, že </w:t>
      </w:r>
      <w:r w:rsidR="0026214A" w:rsidRPr="00726429">
        <w:rPr>
          <w:szCs w:val="22"/>
        </w:rPr>
        <w:t>j</w:t>
      </w:r>
      <w:r w:rsidRPr="00726429">
        <w:rPr>
          <w:szCs w:val="22"/>
        </w:rPr>
        <w:t xml:space="preserve">omeprol je chemicky a fyzikálne kompatibilný a neinterferuje s pôsobením heparínu alebo roztokov, ktoré obsahujú nízkomolekulový heparín. </w:t>
      </w:r>
    </w:p>
    <w:p w14:paraId="43DE69FA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69486BE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6.3</w:t>
      </w:r>
      <w:r w:rsidRPr="00726429">
        <w:rPr>
          <w:b/>
          <w:szCs w:val="22"/>
        </w:rPr>
        <w:tab/>
        <w:t>Čas použiteľnosti</w:t>
      </w:r>
    </w:p>
    <w:p w14:paraId="4B020894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81002A3" w14:textId="77777777" w:rsidR="00A30B04" w:rsidRPr="00726429" w:rsidRDefault="00A30B04" w:rsidP="001E54B3">
      <w:pPr>
        <w:ind w:left="0" w:right="-852" w:firstLine="0"/>
        <w:rPr>
          <w:szCs w:val="22"/>
        </w:rPr>
      </w:pPr>
      <w:r w:rsidRPr="00726429">
        <w:rPr>
          <w:szCs w:val="22"/>
        </w:rPr>
        <w:t>5 rokov</w:t>
      </w:r>
    </w:p>
    <w:p w14:paraId="0941FE23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3BF2CCD" w14:textId="77777777" w:rsidR="00780926" w:rsidRPr="00726429" w:rsidRDefault="00780926" w:rsidP="004B4C2E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lastRenderedPageBreak/>
        <w:t>6.4</w:t>
      </w:r>
      <w:r w:rsidRPr="00726429">
        <w:rPr>
          <w:b/>
          <w:szCs w:val="22"/>
        </w:rPr>
        <w:tab/>
        <w:t>Špeciálne upozornenia na uchovávanie</w:t>
      </w:r>
    </w:p>
    <w:p w14:paraId="18269522" w14:textId="77777777" w:rsidR="00780926" w:rsidRPr="00726429" w:rsidRDefault="00780926" w:rsidP="004B4C2E">
      <w:pPr>
        <w:keepNext/>
        <w:ind w:left="0" w:firstLine="0"/>
        <w:rPr>
          <w:szCs w:val="22"/>
        </w:rPr>
      </w:pPr>
    </w:p>
    <w:p w14:paraId="1B33F8F8" w14:textId="49BFCE3F" w:rsidR="00A30B04" w:rsidRPr="00726429" w:rsidRDefault="0041358A" w:rsidP="004B4C2E">
      <w:pPr>
        <w:keepNext/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>
        <w:t>Uchovávajte vo vonkajšom obale na ochranu pred svetlom.</w:t>
      </w:r>
      <w:r w:rsidRPr="00726429">
        <w:rPr>
          <w:szCs w:val="22"/>
          <w:lang w:eastAsia="en-GB"/>
        </w:rPr>
        <w:t xml:space="preserve"> </w:t>
      </w:r>
      <w:bookmarkStart w:id="1" w:name="_GoBack"/>
      <w:bookmarkEnd w:id="1"/>
      <w:r w:rsidR="00A30B04" w:rsidRPr="00726429">
        <w:rPr>
          <w:szCs w:val="22"/>
          <w:lang w:eastAsia="en-GB"/>
        </w:rPr>
        <w:t xml:space="preserve">Aj keď je citlivosť </w:t>
      </w:r>
      <w:r w:rsidR="0026214A" w:rsidRPr="00726429">
        <w:rPr>
          <w:szCs w:val="22"/>
          <w:lang w:eastAsia="en-GB"/>
        </w:rPr>
        <w:t>j</w:t>
      </w:r>
      <w:r w:rsidR="00A30B04" w:rsidRPr="00726429">
        <w:rPr>
          <w:szCs w:val="22"/>
          <w:lang w:eastAsia="en-GB"/>
        </w:rPr>
        <w:t xml:space="preserve">omeprolu na RTG žiarenie nízka, odporúča sa </w:t>
      </w:r>
      <w:r w:rsidR="00C278DF" w:rsidRPr="00726429">
        <w:rPr>
          <w:szCs w:val="22"/>
          <w:lang w:eastAsia="en-GB"/>
        </w:rPr>
        <w:t xml:space="preserve">liek </w:t>
      </w:r>
      <w:r w:rsidR="00A30B04" w:rsidRPr="00726429">
        <w:rPr>
          <w:szCs w:val="22"/>
          <w:lang w:eastAsia="en-GB"/>
        </w:rPr>
        <w:t>skladovať mimo dosah ionizujúceho žiarenia.</w:t>
      </w:r>
    </w:p>
    <w:p w14:paraId="33E2FDBD" w14:textId="77777777" w:rsidR="00A30B04" w:rsidRPr="00726429" w:rsidRDefault="00C278DF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Lieky</w:t>
      </w:r>
      <w:r w:rsidR="00A30B04" w:rsidRPr="00726429">
        <w:rPr>
          <w:szCs w:val="22"/>
          <w:lang w:eastAsia="en-GB"/>
        </w:rPr>
        <w:t xml:space="preserve"> určené na parenterálne použitie sa musia vždy, keď to roztok a obal umožňuje, pred podaním preveriť, či v nich nie sú rozptýlené čiastočky alebo či nevybledol. </w:t>
      </w:r>
    </w:p>
    <w:p w14:paraId="262D059E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</w:p>
    <w:p w14:paraId="283D3C97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Nepoužívajte roztok, ktorý je vyblednutý alebo v ktorom sú rozptýlené čiastočky.</w:t>
      </w:r>
    </w:p>
    <w:p w14:paraId="504A3D8D" w14:textId="77777777" w:rsidR="00A30B04" w:rsidRPr="00726429" w:rsidRDefault="00A30B04" w:rsidP="001E54B3">
      <w:pPr>
        <w:ind w:left="0" w:right="-852" w:firstLine="0"/>
        <w:rPr>
          <w:b/>
          <w:szCs w:val="22"/>
        </w:rPr>
      </w:pPr>
    </w:p>
    <w:p w14:paraId="4B283C1D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6.5</w:t>
      </w:r>
      <w:r w:rsidRPr="00726429">
        <w:rPr>
          <w:b/>
          <w:szCs w:val="22"/>
        </w:rPr>
        <w:tab/>
        <w:t xml:space="preserve">Druh obalu a obsah balenia </w:t>
      </w:r>
    </w:p>
    <w:p w14:paraId="619701F8" w14:textId="77777777" w:rsidR="00780926" w:rsidRPr="00726429" w:rsidRDefault="00780926" w:rsidP="001E54B3">
      <w:pPr>
        <w:ind w:left="0" w:firstLine="0"/>
        <w:rPr>
          <w:szCs w:val="22"/>
        </w:rPr>
      </w:pPr>
    </w:p>
    <w:p w14:paraId="79337456" w14:textId="77777777" w:rsidR="00A30B04" w:rsidRPr="00726429" w:rsidRDefault="000061B6" w:rsidP="001E54B3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C16733">
        <w:rPr>
          <w:rStyle w:val="hps"/>
          <w:color w:val="333333"/>
          <w:szCs w:val="22"/>
        </w:rPr>
        <w:t>Liek je dodávaný</w:t>
      </w:r>
      <w:r w:rsidRPr="00C16733">
        <w:rPr>
          <w:color w:val="333333"/>
          <w:szCs w:val="22"/>
        </w:rPr>
        <w:t xml:space="preserve"> </w:t>
      </w:r>
      <w:r w:rsidRPr="00C16733">
        <w:rPr>
          <w:rStyle w:val="hps"/>
          <w:color w:val="333333"/>
          <w:szCs w:val="22"/>
        </w:rPr>
        <w:t>vo forme</w:t>
      </w:r>
      <w:r w:rsidRPr="00C16733">
        <w:rPr>
          <w:color w:val="333333"/>
          <w:szCs w:val="22"/>
        </w:rPr>
        <w:t xml:space="preserve"> </w:t>
      </w:r>
      <w:r w:rsidRPr="00C16733">
        <w:rPr>
          <w:szCs w:val="22"/>
        </w:rPr>
        <w:t>sklenených fliaš uzatvorených gumenou (halobutylovou) zátkou a hliníkovým obrubovým uzáverom (pertlou)</w:t>
      </w:r>
      <w:r>
        <w:rPr>
          <w:szCs w:val="22"/>
        </w:rPr>
        <w:t>.</w:t>
      </w:r>
    </w:p>
    <w:p w14:paraId="46030100" w14:textId="77777777" w:rsidR="00A30B04" w:rsidRDefault="00A30B04" w:rsidP="009C246B">
      <w:pPr>
        <w:jc w:val="both"/>
        <w:rPr>
          <w:szCs w:val="22"/>
        </w:rPr>
      </w:pPr>
    </w:p>
    <w:p w14:paraId="7C4A3D48" w14:textId="77777777" w:rsidR="00CD3B46" w:rsidRPr="00C16733" w:rsidRDefault="00CD3B46" w:rsidP="00CD3B46">
      <w:pPr>
        <w:rPr>
          <w:szCs w:val="22"/>
        </w:rPr>
      </w:pPr>
      <w:r w:rsidRPr="00C16733">
        <w:rPr>
          <w:szCs w:val="22"/>
        </w:rPr>
        <w:t>Veľkos</w:t>
      </w:r>
      <w:r>
        <w:rPr>
          <w:szCs w:val="22"/>
        </w:rPr>
        <w:t>ti</w:t>
      </w:r>
      <w:r w:rsidRPr="00C16733">
        <w:rPr>
          <w:szCs w:val="22"/>
        </w:rPr>
        <w:t xml:space="preserve"> balenia: </w:t>
      </w:r>
    </w:p>
    <w:p w14:paraId="471DDCA8" w14:textId="77777777" w:rsidR="00CD3B46" w:rsidRDefault="00CD3B46" w:rsidP="00CD3B46">
      <w:pPr>
        <w:rPr>
          <w:szCs w:val="22"/>
        </w:rPr>
      </w:pPr>
      <w:r>
        <w:rPr>
          <w:szCs w:val="22"/>
        </w:rPr>
        <w:t>IOMERON 150: 10x50 ml, 10x75 ml, 10x100 ml, 10x150 ml, 10x200 ml a 10x250 ml.</w:t>
      </w:r>
    </w:p>
    <w:p w14:paraId="5FA6E947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200: 10x50 ml, 10x75 ml, 10x100 ml, 10x150 ml, 10x200 ml a 10x250 ml.</w:t>
      </w:r>
    </w:p>
    <w:p w14:paraId="2150373D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250: 10x50 ml, 10x75 ml, 10x100 ml, 10x150 ml, 10x200 ml a 10x250 ml.</w:t>
      </w:r>
    </w:p>
    <w:p w14:paraId="1D63EEF6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300: 10x30 ml, 10x50 ml, 10x75 ml, 10x100 ml, 10x150 ml, 10x200 ml, 10x250 ml a 500 ml.</w:t>
      </w:r>
    </w:p>
    <w:p w14:paraId="1DD31801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350: 10x30 ml, 10x50 ml, 10x75 ml, 10x100 ml, 10x150 ml, 10x200 ml, 10x250 ml a 500 ml.</w:t>
      </w:r>
    </w:p>
    <w:p w14:paraId="464CA086" w14:textId="5677FB9B" w:rsidR="00CD3B46" w:rsidRPr="00C16733" w:rsidRDefault="00CD3B46" w:rsidP="004B4C2E">
      <w:pPr>
        <w:ind w:left="0" w:firstLine="0"/>
        <w:rPr>
          <w:szCs w:val="22"/>
        </w:rPr>
      </w:pPr>
      <w:r>
        <w:rPr>
          <w:szCs w:val="22"/>
        </w:rPr>
        <w:t>IOMERON 400: 10x30 ml, 10x50 ml, 10x75 ml, 10x100 ml, 10x150 ml, 10x200 ml</w:t>
      </w:r>
      <w:r w:rsidR="0098015A">
        <w:rPr>
          <w:szCs w:val="22"/>
        </w:rPr>
        <w:t>,</w:t>
      </w:r>
      <w:r>
        <w:rPr>
          <w:szCs w:val="22"/>
        </w:rPr>
        <w:t xml:space="preserve"> 10x250 ml</w:t>
      </w:r>
      <w:r w:rsidR="0098015A">
        <w:rPr>
          <w:szCs w:val="22"/>
        </w:rPr>
        <w:t xml:space="preserve">, </w:t>
      </w:r>
      <w:r w:rsidR="0098015A" w:rsidRPr="0036485B">
        <w:rPr>
          <w:szCs w:val="22"/>
          <w:lang w:val="it-IT"/>
        </w:rPr>
        <w:t>1x500 ml a 6x500</w:t>
      </w:r>
      <w:r w:rsidR="0098015A" w:rsidRPr="0036485B">
        <w:rPr>
          <w:lang w:val="it-IT"/>
        </w:rPr>
        <w:t xml:space="preserve"> ml</w:t>
      </w:r>
      <w:r>
        <w:rPr>
          <w:szCs w:val="22"/>
        </w:rPr>
        <w:t>.</w:t>
      </w:r>
    </w:p>
    <w:p w14:paraId="04B71D6F" w14:textId="77777777" w:rsidR="00CD3B46" w:rsidRPr="00726429" w:rsidRDefault="00CD3B46" w:rsidP="009C246B">
      <w:pPr>
        <w:jc w:val="both"/>
        <w:rPr>
          <w:szCs w:val="22"/>
        </w:rPr>
      </w:pPr>
    </w:p>
    <w:p w14:paraId="7FF0DC40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Na trh nemusia byť uvedené všetky veľkosti balenia.</w:t>
      </w:r>
    </w:p>
    <w:p w14:paraId="563E748A" w14:textId="77777777" w:rsidR="00A30B04" w:rsidRPr="00726429" w:rsidRDefault="00A30B04" w:rsidP="001D4BDD">
      <w:pPr>
        <w:rPr>
          <w:szCs w:val="22"/>
        </w:rPr>
      </w:pPr>
    </w:p>
    <w:p w14:paraId="3509C48D" w14:textId="77777777" w:rsidR="00A30B04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6.6</w:t>
      </w:r>
      <w:r w:rsidRPr="00726429">
        <w:rPr>
          <w:b/>
          <w:szCs w:val="22"/>
        </w:rPr>
        <w:tab/>
      </w:r>
      <w:r w:rsidRPr="00726429">
        <w:rPr>
          <w:b/>
          <w:bCs/>
          <w:szCs w:val="22"/>
        </w:rPr>
        <w:t>Špeciálne opatrenia na likvidáciu</w:t>
      </w:r>
      <w:r w:rsidRPr="00726429">
        <w:rPr>
          <w:b/>
          <w:szCs w:val="22"/>
        </w:rPr>
        <w:t xml:space="preserve"> </w:t>
      </w:r>
    </w:p>
    <w:p w14:paraId="52C616B6" w14:textId="77777777" w:rsidR="00A30B04" w:rsidRPr="00726429" w:rsidRDefault="00A30B04" w:rsidP="001D4BDD">
      <w:pPr>
        <w:rPr>
          <w:b/>
          <w:bCs/>
          <w:szCs w:val="22"/>
        </w:rPr>
      </w:pPr>
    </w:p>
    <w:p w14:paraId="14621485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Tento liek uchovávajte mimo dohľadu a dosahu detí.</w:t>
      </w:r>
    </w:p>
    <w:p w14:paraId="11B9E1F9" w14:textId="77777777" w:rsidR="00A30B04" w:rsidRPr="00726429" w:rsidRDefault="00A30B04" w:rsidP="001D4BDD">
      <w:pPr>
        <w:ind w:right="-852"/>
        <w:rPr>
          <w:szCs w:val="22"/>
        </w:rPr>
      </w:pPr>
    </w:p>
    <w:p w14:paraId="231ED504" w14:textId="77777777" w:rsidR="007165BF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Z jednej fľaše </w:t>
      </w:r>
      <w:r w:rsidR="006D7B54" w:rsidRPr="00726429">
        <w:rPr>
          <w:szCs w:val="22"/>
        </w:rPr>
        <w:t xml:space="preserve">obsahujúcej roztok </w:t>
      </w:r>
      <w:r w:rsidRPr="00726429">
        <w:rPr>
          <w:szCs w:val="22"/>
        </w:rPr>
        <w:t>kontrastn</w:t>
      </w:r>
      <w:r w:rsidR="006D7B54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nesmie odobrať viac dávok. Gumová zátka sa nikdy nesmie prepichnúť viac </w:t>
      </w:r>
      <w:r w:rsidR="0094043A" w:rsidRPr="00726429">
        <w:rPr>
          <w:szCs w:val="22"/>
        </w:rPr>
        <w:t>krát</w:t>
      </w:r>
      <w:r w:rsidRPr="00726429">
        <w:rPr>
          <w:szCs w:val="22"/>
        </w:rPr>
        <w:t xml:space="preserve">. Na prepichnutie zátky a odobratie </w:t>
      </w:r>
      <w:r w:rsidR="006D7B54" w:rsidRPr="00726429">
        <w:rPr>
          <w:szCs w:val="22"/>
        </w:rPr>
        <w:t>kontrastnej látky</w:t>
      </w:r>
      <w:r w:rsidRPr="00726429">
        <w:rPr>
          <w:szCs w:val="22"/>
        </w:rPr>
        <w:t xml:space="preserve"> sa musí použiť špeciálna kanylová ihla. Akékoľvek zvyšujúce množstvo sa nesmie použiť pri vyšetrení a musí sa znehodnotiť spolu so</w:t>
      </w:r>
      <w:r w:rsidR="0094043A" w:rsidRPr="00726429">
        <w:rPr>
          <w:szCs w:val="22"/>
        </w:rPr>
        <w:t> </w:t>
      </w:r>
      <w:r w:rsidRPr="00726429">
        <w:rPr>
          <w:szCs w:val="22"/>
        </w:rPr>
        <w:t xml:space="preserve">spájajúcimi hadičkami. </w:t>
      </w:r>
    </w:p>
    <w:p w14:paraId="2C72563A" w14:textId="77777777" w:rsidR="00A30B04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Akýkoľvek zvyšok kontrastnej látky v striekačke sa musí znehodnotiť. </w:t>
      </w:r>
    </w:p>
    <w:p w14:paraId="3962AEAF" w14:textId="77777777" w:rsidR="00A30B04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>Pri používaní 500 ml fliaš sa odporúča dodržiavať nasledovné postupy. Roztok kontrastn</w:t>
      </w:r>
      <w:r w:rsidR="004D5FE7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musí aplikovať pacientovi automatickým injektorom. Hadičky spájajúce injektor s pacientom (pacientove hadičky) sa musia vymieňať po každom vyšetrení kvôli možnej kontaminácii krvou. Na</w:t>
      </w:r>
      <w:r w:rsidR="006D7B54" w:rsidRPr="00726429">
        <w:rPr>
          <w:szCs w:val="22"/>
        </w:rPr>
        <w:t> </w:t>
      </w:r>
      <w:r w:rsidRPr="00726429">
        <w:rPr>
          <w:szCs w:val="22"/>
        </w:rPr>
        <w:t xml:space="preserve">konci vyšetrovacieho dňa sa musí znehodnotiť akýkoľvek zvyšný roztok kontrastnej látky vo fľaši, </w:t>
      </w:r>
      <w:r w:rsidR="006D7B54" w:rsidRPr="00726429">
        <w:rPr>
          <w:szCs w:val="22"/>
        </w:rPr>
        <w:t>v s</w:t>
      </w:r>
      <w:r w:rsidRPr="00726429">
        <w:rPr>
          <w:szCs w:val="22"/>
        </w:rPr>
        <w:t>pájajúcich hadičkách a v ktorejkoľvek časti injektora.</w:t>
      </w:r>
    </w:p>
    <w:p w14:paraId="19D45195" w14:textId="53FC5CB3" w:rsidR="008E1E17" w:rsidRPr="00781158" w:rsidRDefault="008E1E17" w:rsidP="008E1E17">
      <w:pPr>
        <w:ind w:left="0" w:right="-1" w:firstLine="0"/>
        <w:rPr>
          <w:szCs w:val="22"/>
        </w:rPr>
      </w:pPr>
      <w:r w:rsidRPr="00E77DDE">
        <w:rPr>
          <w:szCs w:val="22"/>
        </w:rPr>
        <w:t>Chemická a fyzikálna stabilita lieku po prvom otvorení bola preukázaná počas 24 hodín pri 40 °C, pokiaľ je  chránený pred svetlom.</w:t>
      </w:r>
    </w:p>
    <w:p w14:paraId="014A8B16" w14:textId="77777777" w:rsidR="008E1E17" w:rsidRPr="00726429" w:rsidRDefault="008E1E17" w:rsidP="008E1E17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81158">
        <w:rPr>
          <w:szCs w:val="22"/>
        </w:rPr>
        <w:t>Z mikrobiologického hľadiska má byť liek po otvorení použitý okamžite. Pokiaľ sa liek nepoužije okamžite, za čas a podmienky uchovávania pred použitím zodpovedá používateľ a čas nemá byť dlhší ako 10 hodín pri teplote 25 °C.</w:t>
      </w:r>
    </w:p>
    <w:p w14:paraId="23C6892F" w14:textId="77777777" w:rsidR="00CE2965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Dodržiavať sa musia aj všetky ďalšie návody výrobcu injekčného systému alebo prístrojového vybavenia. </w:t>
      </w:r>
    </w:p>
    <w:p w14:paraId="1289A0C7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Nepoužívajte tento liek po dátume exspirácie, ktorý je uvedený na obale. Dátum exspirácie sa vzťahuje na posledný deň v danom mesiaci.</w:t>
      </w:r>
    </w:p>
    <w:p w14:paraId="44E9A2F5" w14:textId="77777777" w:rsidR="00C278DF" w:rsidRPr="00726429" w:rsidRDefault="00C278DF" w:rsidP="001D4BDD">
      <w:pPr>
        <w:rPr>
          <w:szCs w:val="22"/>
        </w:rPr>
      </w:pPr>
    </w:p>
    <w:p w14:paraId="521D7D16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Nepoužitý liek alebo odpad vzniknutý z lieku treba vrátiť do lekárne.</w:t>
      </w:r>
    </w:p>
    <w:p w14:paraId="5054A2B0" w14:textId="77777777" w:rsidR="00780926" w:rsidRPr="00726429" w:rsidRDefault="00780926" w:rsidP="001D4BDD">
      <w:pPr>
        <w:rPr>
          <w:szCs w:val="22"/>
        </w:rPr>
      </w:pPr>
    </w:p>
    <w:p w14:paraId="59F210C7" w14:textId="77777777" w:rsidR="00780926" w:rsidRPr="00726429" w:rsidRDefault="00780926" w:rsidP="001D4BDD">
      <w:pPr>
        <w:rPr>
          <w:szCs w:val="22"/>
        </w:rPr>
      </w:pPr>
    </w:p>
    <w:p w14:paraId="367A9024" w14:textId="77777777" w:rsidR="00780926" w:rsidRPr="00726429" w:rsidRDefault="00780926" w:rsidP="004B4C2E">
      <w:pPr>
        <w:keepNext/>
        <w:rPr>
          <w:b/>
          <w:szCs w:val="22"/>
        </w:rPr>
      </w:pPr>
      <w:r w:rsidRPr="00726429">
        <w:rPr>
          <w:b/>
          <w:szCs w:val="22"/>
        </w:rPr>
        <w:lastRenderedPageBreak/>
        <w:t>7.</w:t>
      </w:r>
      <w:r w:rsidRPr="00726429">
        <w:rPr>
          <w:b/>
          <w:szCs w:val="22"/>
        </w:rPr>
        <w:tab/>
        <w:t>DRŽITEĽ ROZHODNUTIA O REGISTRÁCII</w:t>
      </w:r>
    </w:p>
    <w:p w14:paraId="16F8737F" w14:textId="77777777" w:rsidR="00780926" w:rsidRPr="00726429" w:rsidRDefault="00780926" w:rsidP="004B4C2E">
      <w:pPr>
        <w:keepNext/>
        <w:rPr>
          <w:szCs w:val="22"/>
        </w:rPr>
      </w:pPr>
    </w:p>
    <w:p w14:paraId="54738E60" w14:textId="77777777" w:rsidR="00A30B04" w:rsidRPr="00726429" w:rsidRDefault="00A30B04" w:rsidP="004B4C2E">
      <w:pPr>
        <w:keepNext/>
        <w:rPr>
          <w:szCs w:val="22"/>
        </w:rPr>
      </w:pPr>
      <w:r w:rsidRPr="00726429">
        <w:rPr>
          <w:szCs w:val="22"/>
        </w:rPr>
        <w:t>Bracco Imaging Deuschland GmbH</w:t>
      </w:r>
    </w:p>
    <w:p w14:paraId="7029DE66" w14:textId="77777777" w:rsidR="00A42B8E" w:rsidRPr="00726429" w:rsidRDefault="00A42B8E" w:rsidP="00A42B8E">
      <w:pPr>
        <w:tabs>
          <w:tab w:val="left" w:pos="3686"/>
        </w:tabs>
        <w:ind w:right="-852"/>
        <w:rPr>
          <w:szCs w:val="22"/>
        </w:rPr>
      </w:pPr>
      <w:r w:rsidRPr="00726429">
        <w:rPr>
          <w:szCs w:val="22"/>
        </w:rPr>
        <w:t>Max-Stromeyer-Strasse 116</w:t>
      </w:r>
    </w:p>
    <w:p w14:paraId="1145F3FB" w14:textId="77777777" w:rsidR="0026214A" w:rsidRPr="00726429" w:rsidRDefault="00A30B04" w:rsidP="00A42B8E">
      <w:pPr>
        <w:ind w:left="0" w:firstLine="0"/>
        <w:rPr>
          <w:szCs w:val="22"/>
        </w:rPr>
      </w:pPr>
      <w:r w:rsidRPr="00726429">
        <w:rPr>
          <w:szCs w:val="22"/>
        </w:rPr>
        <w:t>78467 Konstanz</w:t>
      </w:r>
    </w:p>
    <w:p w14:paraId="43ADA0A7" w14:textId="77777777" w:rsidR="00A30B04" w:rsidRPr="00726429" w:rsidRDefault="0026214A" w:rsidP="001D4BDD">
      <w:pPr>
        <w:rPr>
          <w:szCs w:val="22"/>
        </w:rPr>
      </w:pPr>
      <w:r w:rsidRPr="00726429">
        <w:rPr>
          <w:szCs w:val="22"/>
        </w:rPr>
        <w:t>Nemecko</w:t>
      </w:r>
    </w:p>
    <w:p w14:paraId="76F8F08B" w14:textId="77777777" w:rsidR="00780926" w:rsidRPr="00726429" w:rsidRDefault="00780926" w:rsidP="001D4BDD">
      <w:pPr>
        <w:rPr>
          <w:szCs w:val="22"/>
        </w:rPr>
      </w:pPr>
    </w:p>
    <w:p w14:paraId="47310872" w14:textId="77777777" w:rsidR="00780926" w:rsidRPr="00726429" w:rsidRDefault="00780926" w:rsidP="001D4BDD">
      <w:pPr>
        <w:rPr>
          <w:szCs w:val="22"/>
        </w:rPr>
      </w:pPr>
    </w:p>
    <w:p w14:paraId="3F1DD24F" w14:textId="77777777" w:rsidR="00780926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8.</w:t>
      </w:r>
      <w:r w:rsidRPr="00726429">
        <w:rPr>
          <w:b/>
          <w:szCs w:val="22"/>
        </w:rPr>
        <w:tab/>
        <w:t xml:space="preserve">REGISTRAČNÉ ČÍSLO </w:t>
      </w:r>
    </w:p>
    <w:p w14:paraId="7619F2D1" w14:textId="77777777" w:rsidR="00780926" w:rsidRPr="00726429" w:rsidRDefault="00780926" w:rsidP="001D4BDD">
      <w:pPr>
        <w:rPr>
          <w:i/>
          <w:szCs w:val="22"/>
        </w:rPr>
      </w:pPr>
    </w:p>
    <w:p w14:paraId="5C853F20" w14:textId="77777777" w:rsidR="00EE3D43" w:rsidRPr="00726429" w:rsidRDefault="00EE3D43" w:rsidP="00EE3D43">
      <w:pPr>
        <w:ind w:left="0" w:right="-852" w:firstLine="0"/>
        <w:rPr>
          <w:szCs w:val="22"/>
        </w:rPr>
      </w:pPr>
      <w:r w:rsidRPr="00726429">
        <w:rPr>
          <w:szCs w:val="22"/>
        </w:rPr>
        <w:t>IOMERON 150</w:t>
      </w:r>
      <w:r>
        <w:rPr>
          <w:szCs w:val="22"/>
        </w:rPr>
        <w:t xml:space="preserve"> reg.č. </w:t>
      </w:r>
      <w:r w:rsidRPr="00726429">
        <w:rPr>
          <w:szCs w:val="22"/>
        </w:rPr>
        <w:t>48/0479/96-S</w:t>
      </w:r>
    </w:p>
    <w:p w14:paraId="7ED38A8F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48/0195/15-S</w:t>
      </w:r>
    </w:p>
    <w:p w14:paraId="14778B49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48/0196/15-S</w:t>
      </w:r>
    </w:p>
    <w:p w14:paraId="49272265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48/0197/15-S</w:t>
      </w:r>
    </w:p>
    <w:p w14:paraId="7D5F6357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350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48/0198/15-S</w:t>
      </w:r>
    </w:p>
    <w:p w14:paraId="4F72FAF6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400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48/0199/15-S</w:t>
      </w:r>
    </w:p>
    <w:p w14:paraId="0912A109" w14:textId="77777777" w:rsidR="00780926" w:rsidRPr="00726429" w:rsidRDefault="00780926" w:rsidP="001D4BDD">
      <w:pPr>
        <w:rPr>
          <w:szCs w:val="22"/>
        </w:rPr>
      </w:pPr>
    </w:p>
    <w:p w14:paraId="2AB89ECD" w14:textId="77777777" w:rsidR="00780926" w:rsidRPr="00726429" w:rsidRDefault="00780926" w:rsidP="009C246B">
      <w:pPr>
        <w:jc w:val="both"/>
        <w:rPr>
          <w:szCs w:val="22"/>
        </w:rPr>
      </w:pPr>
    </w:p>
    <w:p w14:paraId="07B0F1B9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9.</w:t>
      </w:r>
      <w:r w:rsidRPr="00726429">
        <w:rPr>
          <w:b/>
          <w:szCs w:val="22"/>
        </w:rPr>
        <w:tab/>
        <w:t xml:space="preserve">DÁTUM </w:t>
      </w:r>
      <w:r w:rsidR="00CE2965" w:rsidRPr="00726429">
        <w:rPr>
          <w:b/>
          <w:bCs/>
          <w:szCs w:val="22"/>
        </w:rPr>
        <w:t>PRVEJ REGISTRÁCIE/ PREDĹŽENIA REGISTRÁCIE</w:t>
      </w:r>
    </w:p>
    <w:p w14:paraId="2A35F21E" w14:textId="77777777" w:rsidR="00780926" w:rsidRPr="00726429" w:rsidRDefault="00780926" w:rsidP="009C246B">
      <w:pPr>
        <w:jc w:val="both"/>
        <w:rPr>
          <w:szCs w:val="22"/>
        </w:rPr>
      </w:pPr>
    </w:p>
    <w:p w14:paraId="72962D4E" w14:textId="5A36DFA6" w:rsidR="00C278DF" w:rsidRPr="00726429" w:rsidRDefault="00C278DF" w:rsidP="009C246B">
      <w:pPr>
        <w:jc w:val="both"/>
        <w:rPr>
          <w:i/>
          <w:szCs w:val="22"/>
        </w:rPr>
      </w:pPr>
      <w:r w:rsidRPr="00726429">
        <w:rPr>
          <w:szCs w:val="22"/>
        </w:rPr>
        <w:t>Dátum prvej registrácie: 06. jún</w:t>
      </w:r>
      <w:r w:rsidR="00527387">
        <w:rPr>
          <w:szCs w:val="22"/>
        </w:rPr>
        <w:t>a</w:t>
      </w:r>
      <w:r w:rsidRPr="00726429">
        <w:rPr>
          <w:szCs w:val="22"/>
        </w:rPr>
        <w:t xml:space="preserve"> 1996</w:t>
      </w:r>
    </w:p>
    <w:p w14:paraId="06550353" w14:textId="062ED799" w:rsidR="00C278DF" w:rsidRPr="00726429" w:rsidRDefault="00C278DF" w:rsidP="009C246B">
      <w:pPr>
        <w:jc w:val="both"/>
        <w:rPr>
          <w:szCs w:val="22"/>
        </w:rPr>
      </w:pPr>
      <w:r w:rsidRPr="00726429">
        <w:rPr>
          <w:szCs w:val="22"/>
        </w:rPr>
        <w:t xml:space="preserve">Dátum posledného predĺženia registrácie: </w:t>
      </w:r>
      <w:r w:rsidR="009563DD" w:rsidRPr="00726429">
        <w:rPr>
          <w:szCs w:val="22"/>
        </w:rPr>
        <w:t>26. novemb</w:t>
      </w:r>
      <w:r w:rsidR="00527387">
        <w:rPr>
          <w:szCs w:val="22"/>
        </w:rPr>
        <w:t>ra</w:t>
      </w:r>
      <w:r w:rsidR="009563DD" w:rsidRPr="00726429">
        <w:rPr>
          <w:szCs w:val="22"/>
        </w:rPr>
        <w:t xml:space="preserve"> </w:t>
      </w:r>
      <w:r w:rsidR="0026214A" w:rsidRPr="00726429">
        <w:rPr>
          <w:szCs w:val="22"/>
        </w:rPr>
        <w:t>2007</w:t>
      </w:r>
    </w:p>
    <w:p w14:paraId="066D2F8B" w14:textId="77777777" w:rsidR="00780926" w:rsidRPr="00726429" w:rsidRDefault="00780926" w:rsidP="009C246B">
      <w:pPr>
        <w:jc w:val="both"/>
        <w:rPr>
          <w:szCs w:val="22"/>
        </w:rPr>
      </w:pPr>
    </w:p>
    <w:p w14:paraId="25C5974D" w14:textId="77777777" w:rsidR="00C278DF" w:rsidRPr="00726429" w:rsidRDefault="00C278DF" w:rsidP="009C246B">
      <w:pPr>
        <w:jc w:val="both"/>
        <w:rPr>
          <w:szCs w:val="22"/>
        </w:rPr>
      </w:pPr>
    </w:p>
    <w:p w14:paraId="284A3A78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10.</w:t>
      </w:r>
      <w:r w:rsidRPr="00726429">
        <w:rPr>
          <w:b/>
          <w:szCs w:val="22"/>
        </w:rPr>
        <w:tab/>
        <w:t>DÁTUM REVÍZIE TEXTU</w:t>
      </w:r>
    </w:p>
    <w:p w14:paraId="42B1CABC" w14:textId="77777777" w:rsidR="00780926" w:rsidRPr="00726429" w:rsidRDefault="00780926" w:rsidP="009C246B">
      <w:pPr>
        <w:jc w:val="both"/>
        <w:rPr>
          <w:b/>
          <w:szCs w:val="22"/>
        </w:rPr>
      </w:pPr>
    </w:p>
    <w:p w14:paraId="39BB7087" w14:textId="7083D449" w:rsidR="00780926" w:rsidRPr="00726429" w:rsidRDefault="0041358A" w:rsidP="009C246B">
      <w:pPr>
        <w:ind w:left="0" w:firstLine="0"/>
        <w:jc w:val="both"/>
        <w:rPr>
          <w:b/>
          <w:szCs w:val="22"/>
        </w:rPr>
      </w:pPr>
      <w:r>
        <w:rPr>
          <w:szCs w:val="22"/>
        </w:rPr>
        <w:t>10</w:t>
      </w:r>
      <w:r w:rsidR="006D00B2">
        <w:rPr>
          <w:szCs w:val="22"/>
        </w:rPr>
        <w:t>/2021</w:t>
      </w:r>
    </w:p>
    <w:sectPr w:rsidR="00780926" w:rsidRPr="00726429" w:rsidSect="0041358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F737D" w14:textId="77777777" w:rsidR="00A57B65" w:rsidRDefault="00A57B65">
      <w:r>
        <w:separator/>
      </w:r>
    </w:p>
  </w:endnote>
  <w:endnote w:type="continuationSeparator" w:id="0">
    <w:p w14:paraId="63E4F71E" w14:textId="77777777" w:rsidR="00A57B65" w:rsidRDefault="00A57B65">
      <w:r>
        <w:continuationSeparator/>
      </w:r>
    </w:p>
  </w:endnote>
  <w:endnote w:type="continuationNotice" w:id="1">
    <w:p w14:paraId="4A55B567" w14:textId="77777777" w:rsidR="00A57B65" w:rsidRDefault="00A5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B2FE" w14:textId="77777777" w:rsidR="00430724" w:rsidRPr="00E77DDE" w:rsidRDefault="0043072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4B4C2E">
      <w:fldChar w:fldCharType="begin"/>
    </w:r>
    <w:r w:rsidRPr="004B4C2E">
      <w:instrText xml:space="preserve"> EQ </w:instrText>
    </w:r>
    <w:r w:rsidRPr="004B4C2E">
      <w:fldChar w:fldCharType="end"/>
    </w:r>
    <w:r w:rsidRPr="00E77DDE">
      <w:rPr>
        <w:rStyle w:val="slostrany"/>
        <w:rFonts w:ascii="Times New Roman" w:hAnsi="Times New Roman"/>
        <w:sz w:val="18"/>
        <w:szCs w:val="18"/>
      </w:rPr>
      <w:fldChar w:fldCharType="begin"/>
    </w:r>
    <w:r w:rsidRPr="004B4C2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77DDE">
      <w:rPr>
        <w:rStyle w:val="slostrany"/>
        <w:rFonts w:ascii="Times New Roman" w:hAnsi="Times New Roman"/>
        <w:sz w:val="18"/>
        <w:szCs w:val="18"/>
      </w:rPr>
      <w:fldChar w:fldCharType="separate"/>
    </w:r>
    <w:r w:rsidR="00D13A03">
      <w:rPr>
        <w:rStyle w:val="slostrany"/>
        <w:rFonts w:ascii="Times New Roman" w:hAnsi="Times New Roman"/>
        <w:noProof/>
        <w:sz w:val="18"/>
        <w:szCs w:val="18"/>
      </w:rPr>
      <w:t>18</w:t>
    </w:r>
    <w:r w:rsidRPr="00E77DD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EC67" w14:textId="77777777" w:rsidR="00430724" w:rsidRDefault="0043072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839D3" w14:textId="77777777" w:rsidR="00A57B65" w:rsidRDefault="00A57B65">
      <w:r>
        <w:separator/>
      </w:r>
    </w:p>
  </w:footnote>
  <w:footnote w:type="continuationSeparator" w:id="0">
    <w:p w14:paraId="6B82D899" w14:textId="77777777" w:rsidR="00A57B65" w:rsidRDefault="00A57B65">
      <w:r>
        <w:continuationSeparator/>
      </w:r>
    </w:p>
  </w:footnote>
  <w:footnote w:type="continuationNotice" w:id="1">
    <w:p w14:paraId="78181C13" w14:textId="77777777" w:rsidR="00A57B65" w:rsidRDefault="00A57B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5AA8" w14:textId="777BB5FA" w:rsidR="00430724" w:rsidRDefault="0041358A" w:rsidP="00430724">
    <w:pPr>
      <w:pStyle w:val="Hlavika"/>
      <w:jc w:val="both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zmene, ev.č. 2020/05634-ZME</w:t>
    </w:r>
  </w:p>
  <w:p w14:paraId="66D8C9E6" w14:textId="265C126D" w:rsidR="00430724" w:rsidRPr="0041358A" w:rsidRDefault="00430724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56EE" w14:textId="1B5C467B" w:rsidR="00430724" w:rsidRPr="004B4C2E" w:rsidRDefault="00430724" w:rsidP="004B4C2E">
    <w:pPr>
      <w:pStyle w:val="Hlavika"/>
      <w:jc w:val="both"/>
      <w:rPr>
        <w:rFonts w:ascii="Times New Roman" w:hAnsi="Times New Roman"/>
        <w:sz w:val="18"/>
        <w:lang w:val="sk-SK"/>
      </w:rPr>
    </w:pPr>
    <w:r w:rsidRPr="008E1E17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>ríloha č. 1</w:t>
    </w:r>
    <w:r w:rsidRPr="008E1E17">
      <w:rPr>
        <w:rFonts w:ascii="Times New Roman" w:hAnsi="Times New Roman"/>
        <w:sz w:val="18"/>
        <w:szCs w:val="18"/>
        <w:lang w:val="sk-SK"/>
      </w:rPr>
      <w:t xml:space="preserve"> k notifikácii o zmene, ev. č.: 2018/00396-ZME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D6699"/>
    <w:multiLevelType w:val="hybridMultilevel"/>
    <w:tmpl w:val="414A3AC4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C166616"/>
    <w:multiLevelType w:val="singleLevel"/>
    <w:tmpl w:val="2816223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F7B2643"/>
    <w:multiLevelType w:val="hybridMultilevel"/>
    <w:tmpl w:val="4878AEC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1FC90ADB"/>
    <w:multiLevelType w:val="hybridMultilevel"/>
    <w:tmpl w:val="32927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6E42"/>
    <w:multiLevelType w:val="hybridMultilevel"/>
    <w:tmpl w:val="4712E264"/>
    <w:lvl w:ilvl="0" w:tplc="108076E2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6AC53B0"/>
    <w:multiLevelType w:val="hybridMultilevel"/>
    <w:tmpl w:val="031CA868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BD38A0C6">
      <w:numFmt w:val="bullet"/>
      <w:lvlText w:val="-"/>
      <w:lvlJc w:val="left"/>
      <w:pPr>
        <w:tabs>
          <w:tab w:val="num" w:pos="1809"/>
        </w:tabs>
        <w:ind w:left="1809" w:hanging="72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5DA973E6"/>
    <w:multiLevelType w:val="singleLevel"/>
    <w:tmpl w:val="97CCF2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E1D2FC1"/>
    <w:multiLevelType w:val="hybridMultilevel"/>
    <w:tmpl w:val="7C5EBF56"/>
    <w:lvl w:ilvl="0" w:tplc="8C786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7"/>
  </w:num>
  <w:num w:numId="17">
    <w:abstractNumId w:val="18"/>
  </w:num>
  <w:num w:numId="18">
    <w:abstractNumId w:val="12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2108"/>
    <w:rsid w:val="00002551"/>
    <w:rsid w:val="0000579B"/>
    <w:rsid w:val="000061B6"/>
    <w:rsid w:val="00007750"/>
    <w:rsid w:val="00011362"/>
    <w:rsid w:val="00011F23"/>
    <w:rsid w:val="00013A44"/>
    <w:rsid w:val="00017661"/>
    <w:rsid w:val="00024B2C"/>
    <w:rsid w:val="00026EE4"/>
    <w:rsid w:val="00030BFC"/>
    <w:rsid w:val="00031469"/>
    <w:rsid w:val="00036024"/>
    <w:rsid w:val="00036F73"/>
    <w:rsid w:val="00037851"/>
    <w:rsid w:val="0004041C"/>
    <w:rsid w:val="00041352"/>
    <w:rsid w:val="0004150B"/>
    <w:rsid w:val="000467EC"/>
    <w:rsid w:val="00047D3F"/>
    <w:rsid w:val="000611F5"/>
    <w:rsid w:val="00061914"/>
    <w:rsid w:val="00065DFD"/>
    <w:rsid w:val="0006604F"/>
    <w:rsid w:val="00070E4A"/>
    <w:rsid w:val="000745A6"/>
    <w:rsid w:val="0007634A"/>
    <w:rsid w:val="00077CF6"/>
    <w:rsid w:val="00081671"/>
    <w:rsid w:val="0008189A"/>
    <w:rsid w:val="00084337"/>
    <w:rsid w:val="00090230"/>
    <w:rsid w:val="00090F40"/>
    <w:rsid w:val="0009634E"/>
    <w:rsid w:val="000963D9"/>
    <w:rsid w:val="00096CAA"/>
    <w:rsid w:val="00097356"/>
    <w:rsid w:val="00097F9A"/>
    <w:rsid w:val="000A1330"/>
    <w:rsid w:val="000A30B2"/>
    <w:rsid w:val="000A49AF"/>
    <w:rsid w:val="000B17B6"/>
    <w:rsid w:val="000B2DA6"/>
    <w:rsid w:val="000B3BA6"/>
    <w:rsid w:val="000B40FE"/>
    <w:rsid w:val="000C2223"/>
    <w:rsid w:val="000C5A2B"/>
    <w:rsid w:val="000D1FA1"/>
    <w:rsid w:val="000D78A7"/>
    <w:rsid w:val="000E21A6"/>
    <w:rsid w:val="000E2D93"/>
    <w:rsid w:val="000E374E"/>
    <w:rsid w:val="000E45A8"/>
    <w:rsid w:val="000E4D77"/>
    <w:rsid w:val="000E4DC9"/>
    <w:rsid w:val="000E7685"/>
    <w:rsid w:val="00102442"/>
    <w:rsid w:val="00104FA1"/>
    <w:rsid w:val="00106923"/>
    <w:rsid w:val="001073D7"/>
    <w:rsid w:val="00112243"/>
    <w:rsid w:val="00113579"/>
    <w:rsid w:val="00115928"/>
    <w:rsid w:val="001172B9"/>
    <w:rsid w:val="001205BD"/>
    <w:rsid w:val="00122A84"/>
    <w:rsid w:val="00125888"/>
    <w:rsid w:val="001263E7"/>
    <w:rsid w:val="00133D1C"/>
    <w:rsid w:val="00135D08"/>
    <w:rsid w:val="0015367B"/>
    <w:rsid w:val="00155C82"/>
    <w:rsid w:val="00165138"/>
    <w:rsid w:val="00167DD0"/>
    <w:rsid w:val="00176A37"/>
    <w:rsid w:val="00177A4A"/>
    <w:rsid w:val="00183DC2"/>
    <w:rsid w:val="00185059"/>
    <w:rsid w:val="00186244"/>
    <w:rsid w:val="00187219"/>
    <w:rsid w:val="00187527"/>
    <w:rsid w:val="00191544"/>
    <w:rsid w:val="00191799"/>
    <w:rsid w:val="001A150E"/>
    <w:rsid w:val="001A3FE3"/>
    <w:rsid w:val="001A5937"/>
    <w:rsid w:val="001A5F10"/>
    <w:rsid w:val="001A604F"/>
    <w:rsid w:val="001A77F5"/>
    <w:rsid w:val="001B1E6D"/>
    <w:rsid w:val="001B20A8"/>
    <w:rsid w:val="001B4151"/>
    <w:rsid w:val="001B4AFA"/>
    <w:rsid w:val="001B73FD"/>
    <w:rsid w:val="001B78DC"/>
    <w:rsid w:val="001C19E4"/>
    <w:rsid w:val="001C3A0B"/>
    <w:rsid w:val="001C449F"/>
    <w:rsid w:val="001C463D"/>
    <w:rsid w:val="001C5DFD"/>
    <w:rsid w:val="001D0EE9"/>
    <w:rsid w:val="001D17F9"/>
    <w:rsid w:val="001D1B4B"/>
    <w:rsid w:val="001D463A"/>
    <w:rsid w:val="001D4BDD"/>
    <w:rsid w:val="001D4F3C"/>
    <w:rsid w:val="001E2CC2"/>
    <w:rsid w:val="001E54B3"/>
    <w:rsid w:val="001E5888"/>
    <w:rsid w:val="001E6185"/>
    <w:rsid w:val="001E7FE1"/>
    <w:rsid w:val="001F3ED0"/>
    <w:rsid w:val="001F5152"/>
    <w:rsid w:val="002003FB"/>
    <w:rsid w:val="002027FD"/>
    <w:rsid w:val="00204A8F"/>
    <w:rsid w:val="00207DBB"/>
    <w:rsid w:val="00210AC5"/>
    <w:rsid w:val="00211D7C"/>
    <w:rsid w:val="0021350B"/>
    <w:rsid w:val="00214515"/>
    <w:rsid w:val="002160F9"/>
    <w:rsid w:val="00216FF8"/>
    <w:rsid w:val="00217241"/>
    <w:rsid w:val="00220341"/>
    <w:rsid w:val="002214E5"/>
    <w:rsid w:val="00221AF9"/>
    <w:rsid w:val="002227EB"/>
    <w:rsid w:val="0022527A"/>
    <w:rsid w:val="0022699D"/>
    <w:rsid w:val="00230D07"/>
    <w:rsid w:val="002327B8"/>
    <w:rsid w:val="00236B24"/>
    <w:rsid w:val="0024187A"/>
    <w:rsid w:val="002467E0"/>
    <w:rsid w:val="002502F6"/>
    <w:rsid w:val="002538BA"/>
    <w:rsid w:val="0025422C"/>
    <w:rsid w:val="00254A8F"/>
    <w:rsid w:val="0025621D"/>
    <w:rsid w:val="002576DE"/>
    <w:rsid w:val="00257829"/>
    <w:rsid w:val="0026214A"/>
    <w:rsid w:val="002700D8"/>
    <w:rsid w:val="0027165C"/>
    <w:rsid w:val="00272D02"/>
    <w:rsid w:val="00275693"/>
    <w:rsid w:val="0027664A"/>
    <w:rsid w:val="00277056"/>
    <w:rsid w:val="00281C02"/>
    <w:rsid w:val="002832E4"/>
    <w:rsid w:val="002837A0"/>
    <w:rsid w:val="00283BF9"/>
    <w:rsid w:val="00290E5E"/>
    <w:rsid w:val="002A086B"/>
    <w:rsid w:val="002A0FB9"/>
    <w:rsid w:val="002A1018"/>
    <w:rsid w:val="002A1C0A"/>
    <w:rsid w:val="002A1F5D"/>
    <w:rsid w:val="002A2186"/>
    <w:rsid w:val="002A24BE"/>
    <w:rsid w:val="002A32AD"/>
    <w:rsid w:val="002A5D15"/>
    <w:rsid w:val="002B1574"/>
    <w:rsid w:val="002B214B"/>
    <w:rsid w:val="002B370B"/>
    <w:rsid w:val="002B40A4"/>
    <w:rsid w:val="002B4ECD"/>
    <w:rsid w:val="002B650F"/>
    <w:rsid w:val="002B7838"/>
    <w:rsid w:val="002C0355"/>
    <w:rsid w:val="002C133F"/>
    <w:rsid w:val="002C1636"/>
    <w:rsid w:val="002C1D15"/>
    <w:rsid w:val="002C428B"/>
    <w:rsid w:val="002C5B31"/>
    <w:rsid w:val="002C5FB0"/>
    <w:rsid w:val="002C7080"/>
    <w:rsid w:val="002D1BA3"/>
    <w:rsid w:val="002D3302"/>
    <w:rsid w:val="002E0040"/>
    <w:rsid w:val="002E68D8"/>
    <w:rsid w:val="002F03E7"/>
    <w:rsid w:val="002F53E4"/>
    <w:rsid w:val="002F5C3C"/>
    <w:rsid w:val="003009BE"/>
    <w:rsid w:val="0031186C"/>
    <w:rsid w:val="00311E93"/>
    <w:rsid w:val="00312B18"/>
    <w:rsid w:val="00313888"/>
    <w:rsid w:val="003146B3"/>
    <w:rsid w:val="003150ED"/>
    <w:rsid w:val="00317DAC"/>
    <w:rsid w:val="00322FBC"/>
    <w:rsid w:val="00327619"/>
    <w:rsid w:val="00331C13"/>
    <w:rsid w:val="00332DC3"/>
    <w:rsid w:val="00334B34"/>
    <w:rsid w:val="00335341"/>
    <w:rsid w:val="003362EE"/>
    <w:rsid w:val="00340E26"/>
    <w:rsid w:val="00341276"/>
    <w:rsid w:val="00342F8E"/>
    <w:rsid w:val="00347756"/>
    <w:rsid w:val="003503A8"/>
    <w:rsid w:val="0035204E"/>
    <w:rsid w:val="00354EAF"/>
    <w:rsid w:val="00355F02"/>
    <w:rsid w:val="003560F1"/>
    <w:rsid w:val="00360E91"/>
    <w:rsid w:val="00363A44"/>
    <w:rsid w:val="00364727"/>
    <w:rsid w:val="0036485B"/>
    <w:rsid w:val="00373EF9"/>
    <w:rsid w:val="00374CAB"/>
    <w:rsid w:val="0037599F"/>
    <w:rsid w:val="003763A6"/>
    <w:rsid w:val="00380178"/>
    <w:rsid w:val="00382646"/>
    <w:rsid w:val="00382DDA"/>
    <w:rsid w:val="003879ED"/>
    <w:rsid w:val="00387C51"/>
    <w:rsid w:val="00391368"/>
    <w:rsid w:val="0039642B"/>
    <w:rsid w:val="00396B62"/>
    <w:rsid w:val="003A24EC"/>
    <w:rsid w:val="003A31D1"/>
    <w:rsid w:val="003A42AA"/>
    <w:rsid w:val="003A67A1"/>
    <w:rsid w:val="003A706F"/>
    <w:rsid w:val="003B0491"/>
    <w:rsid w:val="003B3D9F"/>
    <w:rsid w:val="003B7D07"/>
    <w:rsid w:val="003C2C2F"/>
    <w:rsid w:val="003C36DF"/>
    <w:rsid w:val="003C623F"/>
    <w:rsid w:val="003D605C"/>
    <w:rsid w:val="003D68F1"/>
    <w:rsid w:val="003E04B1"/>
    <w:rsid w:val="003E644B"/>
    <w:rsid w:val="003E694F"/>
    <w:rsid w:val="003E6C54"/>
    <w:rsid w:val="003F2753"/>
    <w:rsid w:val="003F43E2"/>
    <w:rsid w:val="003F5BA3"/>
    <w:rsid w:val="004015C3"/>
    <w:rsid w:val="00405B24"/>
    <w:rsid w:val="0041172C"/>
    <w:rsid w:val="0041358A"/>
    <w:rsid w:val="00414DED"/>
    <w:rsid w:val="00420468"/>
    <w:rsid w:val="00423191"/>
    <w:rsid w:val="00423370"/>
    <w:rsid w:val="0042356B"/>
    <w:rsid w:val="00424A7D"/>
    <w:rsid w:val="00425E41"/>
    <w:rsid w:val="00430310"/>
    <w:rsid w:val="00430724"/>
    <w:rsid w:val="00431322"/>
    <w:rsid w:val="00432337"/>
    <w:rsid w:val="00436F12"/>
    <w:rsid w:val="00437D58"/>
    <w:rsid w:val="00440AF8"/>
    <w:rsid w:val="00447A6C"/>
    <w:rsid w:val="0045019D"/>
    <w:rsid w:val="0045118E"/>
    <w:rsid w:val="00452977"/>
    <w:rsid w:val="00454222"/>
    <w:rsid w:val="00463F6C"/>
    <w:rsid w:val="00464521"/>
    <w:rsid w:val="0046457B"/>
    <w:rsid w:val="0047302A"/>
    <w:rsid w:val="0048157F"/>
    <w:rsid w:val="00486BF3"/>
    <w:rsid w:val="00486C3D"/>
    <w:rsid w:val="00492F13"/>
    <w:rsid w:val="004933BD"/>
    <w:rsid w:val="004953F9"/>
    <w:rsid w:val="004A12F6"/>
    <w:rsid w:val="004A4CBE"/>
    <w:rsid w:val="004B0214"/>
    <w:rsid w:val="004B09E7"/>
    <w:rsid w:val="004B4C2E"/>
    <w:rsid w:val="004B6FC7"/>
    <w:rsid w:val="004B7FE8"/>
    <w:rsid w:val="004C6223"/>
    <w:rsid w:val="004D159D"/>
    <w:rsid w:val="004D5BB8"/>
    <w:rsid w:val="004D5FE7"/>
    <w:rsid w:val="004E34AD"/>
    <w:rsid w:val="004F168F"/>
    <w:rsid w:val="004F3C82"/>
    <w:rsid w:val="004F4128"/>
    <w:rsid w:val="004F5D99"/>
    <w:rsid w:val="0050414B"/>
    <w:rsid w:val="00504F13"/>
    <w:rsid w:val="0050680C"/>
    <w:rsid w:val="00506F61"/>
    <w:rsid w:val="00507453"/>
    <w:rsid w:val="005127B5"/>
    <w:rsid w:val="00515273"/>
    <w:rsid w:val="0051563F"/>
    <w:rsid w:val="00516E63"/>
    <w:rsid w:val="00524BF8"/>
    <w:rsid w:val="00525F50"/>
    <w:rsid w:val="0052718A"/>
    <w:rsid w:val="00527387"/>
    <w:rsid w:val="00527504"/>
    <w:rsid w:val="00527B2D"/>
    <w:rsid w:val="00527EF3"/>
    <w:rsid w:val="005313C0"/>
    <w:rsid w:val="00534225"/>
    <w:rsid w:val="005348B2"/>
    <w:rsid w:val="00534CF7"/>
    <w:rsid w:val="005468D4"/>
    <w:rsid w:val="005536F1"/>
    <w:rsid w:val="00554BB4"/>
    <w:rsid w:val="00557B16"/>
    <w:rsid w:val="00557B4A"/>
    <w:rsid w:val="0056166E"/>
    <w:rsid w:val="0056201D"/>
    <w:rsid w:val="00567524"/>
    <w:rsid w:val="00572F87"/>
    <w:rsid w:val="005823B3"/>
    <w:rsid w:val="005839F4"/>
    <w:rsid w:val="00587367"/>
    <w:rsid w:val="005900C2"/>
    <w:rsid w:val="00591C70"/>
    <w:rsid w:val="00594C6F"/>
    <w:rsid w:val="00595122"/>
    <w:rsid w:val="005A166A"/>
    <w:rsid w:val="005A5F99"/>
    <w:rsid w:val="005A71C8"/>
    <w:rsid w:val="005B3A8F"/>
    <w:rsid w:val="005B49C3"/>
    <w:rsid w:val="005B58B4"/>
    <w:rsid w:val="005C16C3"/>
    <w:rsid w:val="005C1814"/>
    <w:rsid w:val="005D04C1"/>
    <w:rsid w:val="005D07FB"/>
    <w:rsid w:val="005E58BC"/>
    <w:rsid w:val="005E7CED"/>
    <w:rsid w:val="005F15DE"/>
    <w:rsid w:val="005F4D28"/>
    <w:rsid w:val="005F718E"/>
    <w:rsid w:val="00603455"/>
    <w:rsid w:val="006119F8"/>
    <w:rsid w:val="006125FA"/>
    <w:rsid w:val="00612D3D"/>
    <w:rsid w:val="00613E89"/>
    <w:rsid w:val="00614448"/>
    <w:rsid w:val="00623F57"/>
    <w:rsid w:val="00624EC3"/>
    <w:rsid w:val="0063120D"/>
    <w:rsid w:val="00634CA6"/>
    <w:rsid w:val="00635C39"/>
    <w:rsid w:val="00635E0E"/>
    <w:rsid w:val="006404E6"/>
    <w:rsid w:val="006412B6"/>
    <w:rsid w:val="0064292F"/>
    <w:rsid w:val="0064454B"/>
    <w:rsid w:val="006446E2"/>
    <w:rsid w:val="0064648A"/>
    <w:rsid w:val="00646FD5"/>
    <w:rsid w:val="00650D0B"/>
    <w:rsid w:val="00661C63"/>
    <w:rsid w:val="00664192"/>
    <w:rsid w:val="00665656"/>
    <w:rsid w:val="006662BF"/>
    <w:rsid w:val="00666D30"/>
    <w:rsid w:val="00670B4A"/>
    <w:rsid w:val="006730A5"/>
    <w:rsid w:val="0067655F"/>
    <w:rsid w:val="00685BC5"/>
    <w:rsid w:val="00686FFB"/>
    <w:rsid w:val="0068755F"/>
    <w:rsid w:val="00692DE2"/>
    <w:rsid w:val="00693217"/>
    <w:rsid w:val="006964C7"/>
    <w:rsid w:val="006A0574"/>
    <w:rsid w:val="006A0C75"/>
    <w:rsid w:val="006A28C9"/>
    <w:rsid w:val="006A329C"/>
    <w:rsid w:val="006A3A7B"/>
    <w:rsid w:val="006A4929"/>
    <w:rsid w:val="006A52D6"/>
    <w:rsid w:val="006A68C6"/>
    <w:rsid w:val="006B1053"/>
    <w:rsid w:val="006B22EB"/>
    <w:rsid w:val="006B4131"/>
    <w:rsid w:val="006C0773"/>
    <w:rsid w:val="006C1CB8"/>
    <w:rsid w:val="006C7BDF"/>
    <w:rsid w:val="006D00B2"/>
    <w:rsid w:val="006D13C7"/>
    <w:rsid w:val="006D2C8C"/>
    <w:rsid w:val="006D438B"/>
    <w:rsid w:val="006D5B82"/>
    <w:rsid w:val="006D7B54"/>
    <w:rsid w:val="006E03B3"/>
    <w:rsid w:val="006E0C37"/>
    <w:rsid w:val="006E46B3"/>
    <w:rsid w:val="006E6CFE"/>
    <w:rsid w:val="006F3CAB"/>
    <w:rsid w:val="00700307"/>
    <w:rsid w:val="007005EA"/>
    <w:rsid w:val="007008A9"/>
    <w:rsid w:val="00701A9B"/>
    <w:rsid w:val="007054B5"/>
    <w:rsid w:val="00712741"/>
    <w:rsid w:val="0071303E"/>
    <w:rsid w:val="007133BC"/>
    <w:rsid w:val="0071587A"/>
    <w:rsid w:val="007165BF"/>
    <w:rsid w:val="00716A8F"/>
    <w:rsid w:val="00722174"/>
    <w:rsid w:val="00724E11"/>
    <w:rsid w:val="007260D7"/>
    <w:rsid w:val="00726429"/>
    <w:rsid w:val="00730458"/>
    <w:rsid w:val="007366F4"/>
    <w:rsid w:val="00740769"/>
    <w:rsid w:val="00740AF8"/>
    <w:rsid w:val="0074193B"/>
    <w:rsid w:val="00742AA3"/>
    <w:rsid w:val="00743257"/>
    <w:rsid w:val="00744696"/>
    <w:rsid w:val="0075063B"/>
    <w:rsid w:val="007508A8"/>
    <w:rsid w:val="0075159A"/>
    <w:rsid w:val="007555A0"/>
    <w:rsid w:val="00757ECC"/>
    <w:rsid w:val="00765A8D"/>
    <w:rsid w:val="00780926"/>
    <w:rsid w:val="00781158"/>
    <w:rsid w:val="00781F82"/>
    <w:rsid w:val="00786093"/>
    <w:rsid w:val="00786AA6"/>
    <w:rsid w:val="00791189"/>
    <w:rsid w:val="00793AB8"/>
    <w:rsid w:val="00794D5E"/>
    <w:rsid w:val="00797086"/>
    <w:rsid w:val="007A3AF4"/>
    <w:rsid w:val="007A6D77"/>
    <w:rsid w:val="007B5F23"/>
    <w:rsid w:val="007C28AD"/>
    <w:rsid w:val="007C3F8B"/>
    <w:rsid w:val="007C5EFB"/>
    <w:rsid w:val="007D7205"/>
    <w:rsid w:val="007D7E99"/>
    <w:rsid w:val="007E009A"/>
    <w:rsid w:val="007E3362"/>
    <w:rsid w:val="007E37B0"/>
    <w:rsid w:val="007E560A"/>
    <w:rsid w:val="007E7E37"/>
    <w:rsid w:val="007F0061"/>
    <w:rsid w:val="007F6801"/>
    <w:rsid w:val="00800E3E"/>
    <w:rsid w:val="008024FA"/>
    <w:rsid w:val="00802F9A"/>
    <w:rsid w:val="00805387"/>
    <w:rsid w:val="00805D7C"/>
    <w:rsid w:val="008066FC"/>
    <w:rsid w:val="0081441E"/>
    <w:rsid w:val="00815834"/>
    <w:rsid w:val="0081738E"/>
    <w:rsid w:val="00830FC8"/>
    <w:rsid w:val="00840784"/>
    <w:rsid w:val="00844346"/>
    <w:rsid w:val="00850414"/>
    <w:rsid w:val="0085357F"/>
    <w:rsid w:val="0085413C"/>
    <w:rsid w:val="00857866"/>
    <w:rsid w:val="00862599"/>
    <w:rsid w:val="00867453"/>
    <w:rsid w:val="008702B3"/>
    <w:rsid w:val="0087059E"/>
    <w:rsid w:val="00870696"/>
    <w:rsid w:val="00871463"/>
    <w:rsid w:val="00872EB0"/>
    <w:rsid w:val="0087455D"/>
    <w:rsid w:val="00880300"/>
    <w:rsid w:val="008817B0"/>
    <w:rsid w:val="00881969"/>
    <w:rsid w:val="008875CB"/>
    <w:rsid w:val="008877EF"/>
    <w:rsid w:val="00892AF3"/>
    <w:rsid w:val="00893C5E"/>
    <w:rsid w:val="008974E9"/>
    <w:rsid w:val="008A4D5A"/>
    <w:rsid w:val="008B1828"/>
    <w:rsid w:val="008B555A"/>
    <w:rsid w:val="008B576B"/>
    <w:rsid w:val="008B6510"/>
    <w:rsid w:val="008C2959"/>
    <w:rsid w:val="008C4B7B"/>
    <w:rsid w:val="008C5F3F"/>
    <w:rsid w:val="008D206D"/>
    <w:rsid w:val="008D2B6E"/>
    <w:rsid w:val="008D2D84"/>
    <w:rsid w:val="008D2FC5"/>
    <w:rsid w:val="008D4FD3"/>
    <w:rsid w:val="008D712E"/>
    <w:rsid w:val="008E1E17"/>
    <w:rsid w:val="008E2906"/>
    <w:rsid w:val="008F3A2C"/>
    <w:rsid w:val="008F602A"/>
    <w:rsid w:val="009055D9"/>
    <w:rsid w:val="00914632"/>
    <w:rsid w:val="00922008"/>
    <w:rsid w:val="00923371"/>
    <w:rsid w:val="00923B11"/>
    <w:rsid w:val="009245D5"/>
    <w:rsid w:val="009254D5"/>
    <w:rsid w:val="00935738"/>
    <w:rsid w:val="00937BCD"/>
    <w:rsid w:val="0094001C"/>
    <w:rsid w:val="0094043A"/>
    <w:rsid w:val="00941BD0"/>
    <w:rsid w:val="0094225C"/>
    <w:rsid w:val="00944742"/>
    <w:rsid w:val="009447B7"/>
    <w:rsid w:val="00946BB5"/>
    <w:rsid w:val="00946E0A"/>
    <w:rsid w:val="00947ECF"/>
    <w:rsid w:val="00950E52"/>
    <w:rsid w:val="00953370"/>
    <w:rsid w:val="00954A92"/>
    <w:rsid w:val="009561F3"/>
    <w:rsid w:val="009563DD"/>
    <w:rsid w:val="00960067"/>
    <w:rsid w:val="009647C6"/>
    <w:rsid w:val="009673B0"/>
    <w:rsid w:val="00970FB6"/>
    <w:rsid w:val="009710F5"/>
    <w:rsid w:val="0098015A"/>
    <w:rsid w:val="00986F9F"/>
    <w:rsid w:val="00987DB2"/>
    <w:rsid w:val="009903B6"/>
    <w:rsid w:val="00990742"/>
    <w:rsid w:val="00990B91"/>
    <w:rsid w:val="00993DEB"/>
    <w:rsid w:val="00993FFA"/>
    <w:rsid w:val="00994754"/>
    <w:rsid w:val="00997BF7"/>
    <w:rsid w:val="009A26AB"/>
    <w:rsid w:val="009A3AD0"/>
    <w:rsid w:val="009A5C82"/>
    <w:rsid w:val="009A7BBE"/>
    <w:rsid w:val="009B6544"/>
    <w:rsid w:val="009C111F"/>
    <w:rsid w:val="009C1EB4"/>
    <w:rsid w:val="009C246B"/>
    <w:rsid w:val="009C2AE9"/>
    <w:rsid w:val="009C4216"/>
    <w:rsid w:val="009C4D1F"/>
    <w:rsid w:val="009C5A79"/>
    <w:rsid w:val="009C7142"/>
    <w:rsid w:val="009D19F1"/>
    <w:rsid w:val="009D2506"/>
    <w:rsid w:val="009D4105"/>
    <w:rsid w:val="009D5573"/>
    <w:rsid w:val="009D773C"/>
    <w:rsid w:val="009E3E08"/>
    <w:rsid w:val="009E4B56"/>
    <w:rsid w:val="009F166E"/>
    <w:rsid w:val="009F1E18"/>
    <w:rsid w:val="00A00034"/>
    <w:rsid w:val="00A01FAB"/>
    <w:rsid w:val="00A05725"/>
    <w:rsid w:val="00A0710C"/>
    <w:rsid w:val="00A0736C"/>
    <w:rsid w:val="00A10438"/>
    <w:rsid w:val="00A14599"/>
    <w:rsid w:val="00A16614"/>
    <w:rsid w:val="00A24746"/>
    <w:rsid w:val="00A307FC"/>
    <w:rsid w:val="00A3093D"/>
    <w:rsid w:val="00A30B04"/>
    <w:rsid w:val="00A362E4"/>
    <w:rsid w:val="00A37C43"/>
    <w:rsid w:val="00A407B8"/>
    <w:rsid w:val="00A424B3"/>
    <w:rsid w:val="00A42B8E"/>
    <w:rsid w:val="00A43242"/>
    <w:rsid w:val="00A43F3E"/>
    <w:rsid w:val="00A44BD6"/>
    <w:rsid w:val="00A45EF2"/>
    <w:rsid w:val="00A50764"/>
    <w:rsid w:val="00A52283"/>
    <w:rsid w:val="00A52FB4"/>
    <w:rsid w:val="00A55E66"/>
    <w:rsid w:val="00A57B65"/>
    <w:rsid w:val="00A6008E"/>
    <w:rsid w:val="00A61AA5"/>
    <w:rsid w:val="00A61B11"/>
    <w:rsid w:val="00A64C80"/>
    <w:rsid w:val="00A6528C"/>
    <w:rsid w:val="00A65C78"/>
    <w:rsid w:val="00A678C8"/>
    <w:rsid w:val="00A737B8"/>
    <w:rsid w:val="00A75B8C"/>
    <w:rsid w:val="00A80A8F"/>
    <w:rsid w:val="00A833E5"/>
    <w:rsid w:val="00A83BE1"/>
    <w:rsid w:val="00A860DD"/>
    <w:rsid w:val="00A86B65"/>
    <w:rsid w:val="00A92101"/>
    <w:rsid w:val="00A94358"/>
    <w:rsid w:val="00A964CA"/>
    <w:rsid w:val="00A96BC6"/>
    <w:rsid w:val="00A97298"/>
    <w:rsid w:val="00A977C9"/>
    <w:rsid w:val="00AA19E9"/>
    <w:rsid w:val="00AA3753"/>
    <w:rsid w:val="00AA7B07"/>
    <w:rsid w:val="00AB1E34"/>
    <w:rsid w:val="00AB3009"/>
    <w:rsid w:val="00AB30F3"/>
    <w:rsid w:val="00AB6471"/>
    <w:rsid w:val="00AB667D"/>
    <w:rsid w:val="00AC11A4"/>
    <w:rsid w:val="00AC1DF5"/>
    <w:rsid w:val="00AC55EE"/>
    <w:rsid w:val="00AC66EB"/>
    <w:rsid w:val="00AD0875"/>
    <w:rsid w:val="00AD2FC7"/>
    <w:rsid w:val="00AE138D"/>
    <w:rsid w:val="00AF432C"/>
    <w:rsid w:val="00AF432F"/>
    <w:rsid w:val="00AF59DB"/>
    <w:rsid w:val="00AF5D1E"/>
    <w:rsid w:val="00AF738E"/>
    <w:rsid w:val="00B04CE0"/>
    <w:rsid w:val="00B07509"/>
    <w:rsid w:val="00B11EE1"/>
    <w:rsid w:val="00B161E9"/>
    <w:rsid w:val="00B20195"/>
    <w:rsid w:val="00B22ED8"/>
    <w:rsid w:val="00B24535"/>
    <w:rsid w:val="00B2669C"/>
    <w:rsid w:val="00B273E3"/>
    <w:rsid w:val="00B30CE3"/>
    <w:rsid w:val="00B323B9"/>
    <w:rsid w:val="00B42062"/>
    <w:rsid w:val="00B42A6A"/>
    <w:rsid w:val="00B4513D"/>
    <w:rsid w:val="00B54BE9"/>
    <w:rsid w:val="00B638A9"/>
    <w:rsid w:val="00B662D1"/>
    <w:rsid w:val="00B7057B"/>
    <w:rsid w:val="00B74020"/>
    <w:rsid w:val="00B74DD7"/>
    <w:rsid w:val="00B75597"/>
    <w:rsid w:val="00B75619"/>
    <w:rsid w:val="00B76590"/>
    <w:rsid w:val="00B8383D"/>
    <w:rsid w:val="00B83D90"/>
    <w:rsid w:val="00B928F1"/>
    <w:rsid w:val="00B96005"/>
    <w:rsid w:val="00B96EEC"/>
    <w:rsid w:val="00BA2010"/>
    <w:rsid w:val="00BA3A12"/>
    <w:rsid w:val="00BB3F6C"/>
    <w:rsid w:val="00BB555E"/>
    <w:rsid w:val="00BB5904"/>
    <w:rsid w:val="00BB786A"/>
    <w:rsid w:val="00BC7EB5"/>
    <w:rsid w:val="00BD1658"/>
    <w:rsid w:val="00BD356E"/>
    <w:rsid w:val="00BD64EF"/>
    <w:rsid w:val="00BD6DF9"/>
    <w:rsid w:val="00BE2282"/>
    <w:rsid w:val="00BE2527"/>
    <w:rsid w:val="00BE281C"/>
    <w:rsid w:val="00BE4818"/>
    <w:rsid w:val="00BE4B6A"/>
    <w:rsid w:val="00BE7918"/>
    <w:rsid w:val="00BF2262"/>
    <w:rsid w:val="00BF3716"/>
    <w:rsid w:val="00BF43A5"/>
    <w:rsid w:val="00BF49C8"/>
    <w:rsid w:val="00BF59D5"/>
    <w:rsid w:val="00BF70E9"/>
    <w:rsid w:val="00C009A8"/>
    <w:rsid w:val="00C01892"/>
    <w:rsid w:val="00C031E0"/>
    <w:rsid w:val="00C03458"/>
    <w:rsid w:val="00C079C7"/>
    <w:rsid w:val="00C13275"/>
    <w:rsid w:val="00C1367D"/>
    <w:rsid w:val="00C13C42"/>
    <w:rsid w:val="00C13C86"/>
    <w:rsid w:val="00C2309E"/>
    <w:rsid w:val="00C248A0"/>
    <w:rsid w:val="00C27241"/>
    <w:rsid w:val="00C278DF"/>
    <w:rsid w:val="00C32357"/>
    <w:rsid w:val="00C40CB4"/>
    <w:rsid w:val="00C41BEF"/>
    <w:rsid w:val="00C44F2A"/>
    <w:rsid w:val="00C461DF"/>
    <w:rsid w:val="00C535DF"/>
    <w:rsid w:val="00C536DF"/>
    <w:rsid w:val="00C56BDC"/>
    <w:rsid w:val="00C6444E"/>
    <w:rsid w:val="00C6618B"/>
    <w:rsid w:val="00C66259"/>
    <w:rsid w:val="00C66FEA"/>
    <w:rsid w:val="00C72BED"/>
    <w:rsid w:val="00C72DD5"/>
    <w:rsid w:val="00C76932"/>
    <w:rsid w:val="00C82E70"/>
    <w:rsid w:val="00C85052"/>
    <w:rsid w:val="00C85B40"/>
    <w:rsid w:val="00C86573"/>
    <w:rsid w:val="00C869C8"/>
    <w:rsid w:val="00C93F0B"/>
    <w:rsid w:val="00CB143F"/>
    <w:rsid w:val="00CB1B6F"/>
    <w:rsid w:val="00CB25B2"/>
    <w:rsid w:val="00CB676E"/>
    <w:rsid w:val="00CC18C7"/>
    <w:rsid w:val="00CC2155"/>
    <w:rsid w:val="00CC56A5"/>
    <w:rsid w:val="00CC5EFE"/>
    <w:rsid w:val="00CC6471"/>
    <w:rsid w:val="00CC6EA1"/>
    <w:rsid w:val="00CC7FB4"/>
    <w:rsid w:val="00CD03F9"/>
    <w:rsid w:val="00CD063C"/>
    <w:rsid w:val="00CD0EB9"/>
    <w:rsid w:val="00CD3B46"/>
    <w:rsid w:val="00CD43D6"/>
    <w:rsid w:val="00CE01DC"/>
    <w:rsid w:val="00CE2965"/>
    <w:rsid w:val="00CE74A7"/>
    <w:rsid w:val="00CF018F"/>
    <w:rsid w:val="00CF76C2"/>
    <w:rsid w:val="00D05C64"/>
    <w:rsid w:val="00D06B2B"/>
    <w:rsid w:val="00D07109"/>
    <w:rsid w:val="00D12850"/>
    <w:rsid w:val="00D13A03"/>
    <w:rsid w:val="00D14F9D"/>
    <w:rsid w:val="00D15C7A"/>
    <w:rsid w:val="00D323EC"/>
    <w:rsid w:val="00D33AC2"/>
    <w:rsid w:val="00D367BF"/>
    <w:rsid w:val="00D36EFF"/>
    <w:rsid w:val="00D40966"/>
    <w:rsid w:val="00D443F0"/>
    <w:rsid w:val="00D505B9"/>
    <w:rsid w:val="00D51BAA"/>
    <w:rsid w:val="00D54567"/>
    <w:rsid w:val="00D57851"/>
    <w:rsid w:val="00D61A75"/>
    <w:rsid w:val="00D65165"/>
    <w:rsid w:val="00D67C7A"/>
    <w:rsid w:val="00D712F1"/>
    <w:rsid w:val="00D74030"/>
    <w:rsid w:val="00D77818"/>
    <w:rsid w:val="00D8286F"/>
    <w:rsid w:val="00D82EF3"/>
    <w:rsid w:val="00D85C8E"/>
    <w:rsid w:val="00D94110"/>
    <w:rsid w:val="00D9497B"/>
    <w:rsid w:val="00D96C14"/>
    <w:rsid w:val="00D96F2E"/>
    <w:rsid w:val="00DA3756"/>
    <w:rsid w:val="00DA4C08"/>
    <w:rsid w:val="00DA58FC"/>
    <w:rsid w:val="00DA673D"/>
    <w:rsid w:val="00DA67E6"/>
    <w:rsid w:val="00DA6BA1"/>
    <w:rsid w:val="00DB2A63"/>
    <w:rsid w:val="00DB5E21"/>
    <w:rsid w:val="00DB6F19"/>
    <w:rsid w:val="00DC0323"/>
    <w:rsid w:val="00DC3753"/>
    <w:rsid w:val="00DC3ADD"/>
    <w:rsid w:val="00DC4E7D"/>
    <w:rsid w:val="00DC7206"/>
    <w:rsid w:val="00DE509D"/>
    <w:rsid w:val="00DE6670"/>
    <w:rsid w:val="00DF1764"/>
    <w:rsid w:val="00DF210C"/>
    <w:rsid w:val="00DF2901"/>
    <w:rsid w:val="00E00177"/>
    <w:rsid w:val="00E00BA9"/>
    <w:rsid w:val="00E00F87"/>
    <w:rsid w:val="00E02A58"/>
    <w:rsid w:val="00E06BE0"/>
    <w:rsid w:val="00E11CE4"/>
    <w:rsid w:val="00E128E4"/>
    <w:rsid w:val="00E13A3E"/>
    <w:rsid w:val="00E1493D"/>
    <w:rsid w:val="00E16627"/>
    <w:rsid w:val="00E1698A"/>
    <w:rsid w:val="00E175E1"/>
    <w:rsid w:val="00E17D94"/>
    <w:rsid w:val="00E229A3"/>
    <w:rsid w:val="00E23A3A"/>
    <w:rsid w:val="00E242CF"/>
    <w:rsid w:val="00E31C38"/>
    <w:rsid w:val="00E33643"/>
    <w:rsid w:val="00E33C45"/>
    <w:rsid w:val="00E402C1"/>
    <w:rsid w:val="00E4179D"/>
    <w:rsid w:val="00E42351"/>
    <w:rsid w:val="00E47383"/>
    <w:rsid w:val="00E517AA"/>
    <w:rsid w:val="00E53CD7"/>
    <w:rsid w:val="00E5410C"/>
    <w:rsid w:val="00E551F3"/>
    <w:rsid w:val="00E55CAD"/>
    <w:rsid w:val="00E6031C"/>
    <w:rsid w:val="00E66B89"/>
    <w:rsid w:val="00E72960"/>
    <w:rsid w:val="00E731B9"/>
    <w:rsid w:val="00E75FF4"/>
    <w:rsid w:val="00E76C44"/>
    <w:rsid w:val="00E77DDE"/>
    <w:rsid w:val="00E80394"/>
    <w:rsid w:val="00E84BFD"/>
    <w:rsid w:val="00E850FC"/>
    <w:rsid w:val="00E90A70"/>
    <w:rsid w:val="00E92038"/>
    <w:rsid w:val="00E92137"/>
    <w:rsid w:val="00E93ED9"/>
    <w:rsid w:val="00E94E7C"/>
    <w:rsid w:val="00E9728A"/>
    <w:rsid w:val="00EA133F"/>
    <w:rsid w:val="00EA1BDF"/>
    <w:rsid w:val="00EA5567"/>
    <w:rsid w:val="00EA7C60"/>
    <w:rsid w:val="00EA7CF2"/>
    <w:rsid w:val="00EB0721"/>
    <w:rsid w:val="00EB7BC0"/>
    <w:rsid w:val="00EC2B15"/>
    <w:rsid w:val="00EC3128"/>
    <w:rsid w:val="00EC69AE"/>
    <w:rsid w:val="00ED2C91"/>
    <w:rsid w:val="00ED33EF"/>
    <w:rsid w:val="00ED6CE0"/>
    <w:rsid w:val="00EE05C3"/>
    <w:rsid w:val="00EE349D"/>
    <w:rsid w:val="00EE38E6"/>
    <w:rsid w:val="00EE3D43"/>
    <w:rsid w:val="00EE53B0"/>
    <w:rsid w:val="00EE7306"/>
    <w:rsid w:val="00EF3C73"/>
    <w:rsid w:val="00EF42BD"/>
    <w:rsid w:val="00EF4D91"/>
    <w:rsid w:val="00EF5275"/>
    <w:rsid w:val="00EF7383"/>
    <w:rsid w:val="00F00598"/>
    <w:rsid w:val="00F00683"/>
    <w:rsid w:val="00F008AB"/>
    <w:rsid w:val="00F00D87"/>
    <w:rsid w:val="00F02F60"/>
    <w:rsid w:val="00F03CAE"/>
    <w:rsid w:val="00F05991"/>
    <w:rsid w:val="00F05FCD"/>
    <w:rsid w:val="00F065EE"/>
    <w:rsid w:val="00F06656"/>
    <w:rsid w:val="00F10CCC"/>
    <w:rsid w:val="00F114F2"/>
    <w:rsid w:val="00F13A40"/>
    <w:rsid w:val="00F15B9E"/>
    <w:rsid w:val="00F15DCF"/>
    <w:rsid w:val="00F23F43"/>
    <w:rsid w:val="00F30177"/>
    <w:rsid w:val="00F32100"/>
    <w:rsid w:val="00F332B0"/>
    <w:rsid w:val="00F3475A"/>
    <w:rsid w:val="00F4042C"/>
    <w:rsid w:val="00F4206B"/>
    <w:rsid w:val="00F42522"/>
    <w:rsid w:val="00F43A07"/>
    <w:rsid w:val="00F4429B"/>
    <w:rsid w:val="00F44613"/>
    <w:rsid w:val="00F44936"/>
    <w:rsid w:val="00F50449"/>
    <w:rsid w:val="00F50625"/>
    <w:rsid w:val="00F50FCA"/>
    <w:rsid w:val="00F52035"/>
    <w:rsid w:val="00F5349F"/>
    <w:rsid w:val="00F563C7"/>
    <w:rsid w:val="00F569F2"/>
    <w:rsid w:val="00F56ACC"/>
    <w:rsid w:val="00F63DAD"/>
    <w:rsid w:val="00F65EA0"/>
    <w:rsid w:val="00F818D6"/>
    <w:rsid w:val="00F825E0"/>
    <w:rsid w:val="00F8384D"/>
    <w:rsid w:val="00F846B6"/>
    <w:rsid w:val="00F86380"/>
    <w:rsid w:val="00F9107D"/>
    <w:rsid w:val="00F94257"/>
    <w:rsid w:val="00F964CF"/>
    <w:rsid w:val="00F96F05"/>
    <w:rsid w:val="00FA057C"/>
    <w:rsid w:val="00FB5F6D"/>
    <w:rsid w:val="00FB61EC"/>
    <w:rsid w:val="00FB63DB"/>
    <w:rsid w:val="00FC3E20"/>
    <w:rsid w:val="00FC4ED3"/>
    <w:rsid w:val="00FC6918"/>
    <w:rsid w:val="00FD25FA"/>
    <w:rsid w:val="00FD2831"/>
    <w:rsid w:val="00FD7904"/>
    <w:rsid w:val="00FD7D1D"/>
    <w:rsid w:val="00FE0FFF"/>
    <w:rsid w:val="00FE1D99"/>
    <w:rsid w:val="00FE2450"/>
    <w:rsid w:val="00FE49BA"/>
    <w:rsid w:val="00FE4DE5"/>
    <w:rsid w:val="00FE4FD1"/>
    <w:rsid w:val="00FE50A2"/>
    <w:rsid w:val="00FE6B64"/>
    <w:rsid w:val="00FF1AE5"/>
    <w:rsid w:val="00FF22A5"/>
    <w:rsid w:val="00FF3F5D"/>
    <w:rsid w:val="00FF707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1634CC"/>
  <w15:docId w15:val="{C243913D-AA1F-4D75-B5E7-CE2381A2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byajntext">
    <w:name w:val="Plain Text"/>
    <w:basedOn w:val="Normlny"/>
    <w:link w:val="ObyajntextChar"/>
    <w:rsid w:val="00F44936"/>
    <w:pPr>
      <w:ind w:left="0" w:firstLine="0"/>
    </w:pPr>
    <w:rPr>
      <w:rFonts w:ascii="Courier New" w:hAnsi="Courier New"/>
      <w:sz w:val="20"/>
      <w:szCs w:val="20"/>
      <w:lang w:val="it-IT" w:eastAsia="it-IT"/>
    </w:rPr>
  </w:style>
  <w:style w:type="character" w:customStyle="1" w:styleId="ObyajntextChar">
    <w:name w:val="Obyčajný text Char"/>
    <w:link w:val="Obyajntext"/>
    <w:rsid w:val="00F44936"/>
    <w:rPr>
      <w:rFonts w:ascii="Courier New" w:hAnsi="Courier New"/>
      <w:lang w:val="it-IT" w:eastAsia="it-IT"/>
    </w:rPr>
  </w:style>
  <w:style w:type="paragraph" w:styleId="Zarkazkladnhotextu">
    <w:name w:val="Body Text Indent"/>
    <w:basedOn w:val="Normlny"/>
    <w:link w:val="ZarkazkladnhotextuChar"/>
    <w:rsid w:val="00504F1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504F13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3A31D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3A31D1"/>
    <w:rPr>
      <w:sz w:val="22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3A31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3A31D1"/>
    <w:rPr>
      <w:sz w:val="22"/>
      <w:szCs w:val="24"/>
      <w:lang w:val="sk-SK" w:eastAsia="sk-SK"/>
    </w:rPr>
  </w:style>
  <w:style w:type="paragraph" w:customStyle="1" w:styleId="Paragrafo">
    <w:name w:val="Paragrafo"/>
    <w:basedOn w:val="Normlny"/>
    <w:rsid w:val="003A31D1"/>
    <w:pPr>
      <w:autoSpaceDE w:val="0"/>
      <w:autoSpaceDN w:val="0"/>
      <w:spacing w:before="40" w:after="40" w:line="280" w:lineRule="atLeast"/>
      <w:ind w:left="0" w:firstLine="0"/>
    </w:pPr>
    <w:rPr>
      <w:rFonts w:ascii="TimesNewRomanPS" w:hAnsi="TimesNewRomanPS"/>
      <w:noProof/>
      <w:sz w:val="20"/>
      <w:szCs w:val="20"/>
      <w:lang w:val="en-GB" w:eastAsia="it-IT"/>
    </w:rPr>
  </w:style>
  <w:style w:type="table" w:styleId="Mriekatabuky">
    <w:name w:val="Table Grid"/>
    <w:basedOn w:val="Normlnatabuka"/>
    <w:rsid w:val="0087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7059E"/>
  </w:style>
  <w:style w:type="paragraph" w:styleId="Zarkazkladnhotextu3">
    <w:name w:val="Body Text Indent 3"/>
    <w:basedOn w:val="Normlny"/>
    <w:link w:val="Zarkazkladnhotextu3Char"/>
    <w:rsid w:val="00650D0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650D0B"/>
    <w:rPr>
      <w:sz w:val="16"/>
      <w:szCs w:val="16"/>
      <w:lang w:val="sk-SK" w:eastAsia="sk-SK"/>
    </w:rPr>
  </w:style>
  <w:style w:type="paragraph" w:styleId="Bezriadkovania">
    <w:name w:val="No Spacing"/>
    <w:uiPriority w:val="1"/>
    <w:qFormat/>
    <w:rsid w:val="00387C51"/>
    <w:pPr>
      <w:ind w:left="567" w:hanging="567"/>
    </w:pPr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C278DF"/>
    <w:rPr>
      <w:rFonts w:ascii="Helvetica" w:hAnsi="Helvetica"/>
      <w:lang w:val="cs-CZ" w:eastAsia="en-US"/>
    </w:rPr>
  </w:style>
  <w:style w:type="paragraph" w:styleId="Normlnywebov">
    <w:name w:val="Normal (Web)"/>
    <w:basedOn w:val="Normlny"/>
    <w:uiPriority w:val="99"/>
    <w:unhideWhenUsed/>
    <w:rsid w:val="00C278DF"/>
    <w:pPr>
      <w:spacing w:before="180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C278DF"/>
    <w:rPr>
      <w:sz w:val="22"/>
      <w:szCs w:val="24"/>
      <w:lang w:val="sk-SK" w:eastAsia="sk-SK"/>
    </w:rPr>
  </w:style>
  <w:style w:type="paragraph" w:customStyle="1" w:styleId="Default">
    <w:name w:val="Default"/>
    <w:rsid w:val="00E423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Zvraznenie">
    <w:name w:val="Emphasis"/>
    <w:uiPriority w:val="20"/>
    <w:qFormat/>
    <w:rsid w:val="00424A7D"/>
    <w:rPr>
      <w:b/>
      <w:bCs/>
      <w:i w:val="0"/>
      <w:iCs w:val="0"/>
    </w:rPr>
  </w:style>
  <w:style w:type="character" w:customStyle="1" w:styleId="st1">
    <w:name w:val="st1"/>
    <w:basedOn w:val="Predvolenpsmoodseku"/>
    <w:rsid w:val="00424A7D"/>
  </w:style>
  <w:style w:type="paragraph" w:customStyle="1" w:styleId="Revzia1">
    <w:name w:val="Revízia1"/>
    <w:hidden/>
    <w:uiPriority w:val="99"/>
    <w:semiHidden/>
    <w:rsid w:val="00A0710C"/>
    <w:rPr>
      <w:noProof/>
      <w:sz w:val="22"/>
      <w:szCs w:val="24"/>
      <w:lang w:val="sk-SK" w:eastAsia="sk-SK"/>
    </w:rPr>
  </w:style>
  <w:style w:type="paragraph" w:customStyle="1" w:styleId="SubHeading2">
    <w:name w:val="SubHeading 2"/>
    <w:basedOn w:val="Normlny"/>
    <w:next w:val="Zkladntext"/>
    <w:rsid w:val="00634CA6"/>
    <w:pPr>
      <w:keepNext/>
      <w:tabs>
        <w:tab w:val="left" w:pos="1134"/>
      </w:tabs>
      <w:spacing w:before="120"/>
      <w:ind w:left="0" w:firstLine="0"/>
    </w:pPr>
    <w:rPr>
      <w:i/>
      <w:sz w:val="24"/>
      <w:szCs w:val="20"/>
      <w:lang w:val="it-IT" w:eastAsia="it-IT"/>
    </w:rPr>
  </w:style>
  <w:style w:type="paragraph" w:styleId="truktradokumentu">
    <w:name w:val="Document Map"/>
    <w:basedOn w:val="Normlny"/>
    <w:link w:val="truktradokumentuChar"/>
    <w:rsid w:val="0037599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37599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semiHidden/>
    <w:rsid w:val="007165BF"/>
    <w:rPr>
      <w:lang w:val="sk-SK"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C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A7B6F-385C-46EF-B89E-EED3FA94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6224</Words>
  <Characters>40667</Characters>
  <Application>Microsoft Office Word</Application>
  <DocSecurity>0</DocSecurity>
  <Lines>338</Lines>
  <Paragraphs>93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GlaxoSmithKline</Company>
  <LinksUpToDate>false</LinksUpToDate>
  <CharactersWithSpaces>46798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Michalkova</dc:creator>
  <cp:lastModifiedBy>Skladaná, Judita</cp:lastModifiedBy>
  <cp:revision>3</cp:revision>
  <cp:lastPrinted>2021-10-01T10:11:00Z</cp:lastPrinted>
  <dcterms:created xsi:type="dcterms:W3CDTF">2021-10-01T10:11:00Z</dcterms:created>
  <dcterms:modified xsi:type="dcterms:W3CDTF">2021-10-01T10:12:00Z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Hreferralspcsk</vt:lpwstr>
  </property>
  <property fmtid="{D5CDD505-2E9C-101B-9397-08002B2CF9AE}" pid="32" name="DM_Creation_Date">
    <vt:lpwstr>26/07/2011 14:59:29</vt:lpwstr>
  </property>
  <property fmtid="{D5CDD505-2E9C-101B-9397-08002B2CF9AE}" pid="33" name="DM_Modify_Date">
    <vt:lpwstr>26/07/2011 14:59:29</vt:lpwstr>
  </property>
  <property fmtid="{D5CDD505-2E9C-101B-9397-08002B2CF9AE}" pid="34" name="DM_Creator_Name">
    <vt:lpwstr>Wozniak Izabela</vt:lpwstr>
  </property>
  <property fmtid="{D5CDD505-2E9C-101B-9397-08002B2CF9AE}" pid="35" name="DM_Modifier_Name">
    <vt:lpwstr>Wozniak Izabela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Wozniak Izabela</vt:lpwstr>
  </property>
  <property fmtid="{D5CDD505-2E9C-101B-9397-08002B2CF9AE}" pid="42" name="DM_Modified_Date">
    <vt:lpwstr>26/07/2011 14:59:29</vt:lpwstr>
  </property>
</Properties>
</file>