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A11C9" w14:textId="77777777" w:rsidR="00DE7F2A" w:rsidRPr="00EF6721" w:rsidRDefault="00DE7F2A" w:rsidP="00DE7F2A">
      <w:pPr>
        <w:tabs>
          <w:tab w:val="left" w:pos="567"/>
        </w:tabs>
        <w:jc w:val="center"/>
        <w:rPr>
          <w:sz w:val="22"/>
          <w:szCs w:val="22"/>
        </w:rPr>
      </w:pPr>
    </w:p>
    <w:p w14:paraId="48491466" w14:textId="77777777" w:rsidR="00DE7F2A" w:rsidRPr="00EF6721" w:rsidRDefault="00DE7F2A" w:rsidP="00DE7F2A">
      <w:pPr>
        <w:pStyle w:val="Nzov"/>
        <w:spacing w:before="0"/>
        <w:rPr>
          <w:rFonts w:ascii="Times New Roman" w:hAnsi="Times New Roman"/>
          <w:b w:val="0"/>
          <w:sz w:val="22"/>
          <w:szCs w:val="22"/>
        </w:rPr>
      </w:pPr>
    </w:p>
    <w:p w14:paraId="36A078BA" w14:textId="77777777" w:rsidR="00DE7F2A" w:rsidRPr="00D83EB4" w:rsidRDefault="00DE7F2A" w:rsidP="00DE7F2A">
      <w:pPr>
        <w:pStyle w:val="Nzov"/>
        <w:spacing w:before="0"/>
        <w:rPr>
          <w:rFonts w:ascii="Times New Roman" w:hAnsi="Times New Roman"/>
          <w:caps/>
          <w:sz w:val="22"/>
          <w:szCs w:val="22"/>
        </w:rPr>
      </w:pPr>
      <w:r w:rsidRPr="00D83EB4">
        <w:rPr>
          <w:rFonts w:ascii="Times New Roman" w:hAnsi="Times New Roman"/>
          <w:caps/>
          <w:sz w:val="22"/>
          <w:szCs w:val="22"/>
        </w:rPr>
        <w:t>Súhrn charakteristických vlastností lieku</w:t>
      </w:r>
    </w:p>
    <w:p w14:paraId="45445215" w14:textId="77777777" w:rsidR="00DE7F2A" w:rsidRPr="00D83EB4" w:rsidRDefault="00DE7F2A" w:rsidP="00DE7F2A">
      <w:pPr>
        <w:rPr>
          <w:sz w:val="22"/>
          <w:szCs w:val="22"/>
        </w:rPr>
      </w:pPr>
    </w:p>
    <w:p w14:paraId="690DD9A6" w14:textId="77777777" w:rsidR="00DE7F2A" w:rsidRPr="00D83EB4" w:rsidRDefault="00DE7F2A" w:rsidP="00DE7F2A">
      <w:pPr>
        <w:pStyle w:val="Nadpis1"/>
        <w:keepLines/>
        <w:suppressAutoHyphens/>
        <w:ind w:left="561" w:hanging="561"/>
        <w:rPr>
          <w:caps/>
          <w:szCs w:val="22"/>
        </w:rPr>
      </w:pPr>
      <w:r w:rsidRPr="00D83EB4">
        <w:rPr>
          <w:caps/>
          <w:szCs w:val="22"/>
        </w:rPr>
        <w:t>1.</w:t>
      </w:r>
      <w:r w:rsidRPr="00D83EB4">
        <w:rPr>
          <w:caps/>
          <w:szCs w:val="22"/>
        </w:rPr>
        <w:tab/>
        <w:t>Názov lieku</w:t>
      </w:r>
    </w:p>
    <w:p w14:paraId="5363B655" w14:textId="77777777" w:rsidR="00DE7F2A" w:rsidRPr="00D83EB4" w:rsidRDefault="00DE7F2A" w:rsidP="00DE7F2A">
      <w:pPr>
        <w:keepNext/>
        <w:tabs>
          <w:tab w:val="num" w:pos="0"/>
        </w:tabs>
        <w:rPr>
          <w:sz w:val="22"/>
          <w:szCs w:val="22"/>
        </w:rPr>
      </w:pPr>
    </w:p>
    <w:p w14:paraId="3356AC7A" w14:textId="77777777" w:rsidR="00DE7F2A" w:rsidRPr="00D83EB4" w:rsidRDefault="00DE7F2A" w:rsidP="00DE7F2A">
      <w:pPr>
        <w:tabs>
          <w:tab w:val="num" w:pos="0"/>
        </w:tabs>
        <w:rPr>
          <w:sz w:val="22"/>
          <w:szCs w:val="22"/>
        </w:rPr>
      </w:pPr>
      <w:r w:rsidRPr="00D83EB4">
        <w:rPr>
          <w:sz w:val="22"/>
          <w:szCs w:val="22"/>
        </w:rPr>
        <w:t>Allergodil</w:t>
      </w:r>
    </w:p>
    <w:p w14:paraId="1F2396BE" w14:textId="77777777" w:rsidR="00DE7F2A" w:rsidRPr="00D83EB4" w:rsidRDefault="00DE7F2A" w:rsidP="00DE7F2A">
      <w:pPr>
        <w:tabs>
          <w:tab w:val="num" w:pos="0"/>
        </w:tabs>
        <w:rPr>
          <w:sz w:val="22"/>
          <w:szCs w:val="22"/>
          <w:highlight w:val="yellow"/>
        </w:rPr>
      </w:pPr>
      <w:r w:rsidRPr="00D83EB4">
        <w:rPr>
          <w:sz w:val="22"/>
          <w:szCs w:val="22"/>
        </w:rPr>
        <w:t>0,1 % nosová aerodisperzia</w:t>
      </w:r>
    </w:p>
    <w:p w14:paraId="335AC95F" w14:textId="77777777" w:rsidR="00DE7F2A" w:rsidRPr="00D83EB4" w:rsidRDefault="00DE7F2A" w:rsidP="00DE7F2A">
      <w:pPr>
        <w:tabs>
          <w:tab w:val="num" w:pos="0"/>
        </w:tabs>
        <w:rPr>
          <w:sz w:val="22"/>
          <w:szCs w:val="22"/>
        </w:rPr>
      </w:pPr>
    </w:p>
    <w:p w14:paraId="3CEC0CE4" w14:textId="77777777" w:rsidR="00DE7F2A" w:rsidRPr="00D83EB4" w:rsidRDefault="00DE7F2A" w:rsidP="00DE7F2A">
      <w:pPr>
        <w:tabs>
          <w:tab w:val="num" w:pos="0"/>
        </w:tabs>
        <w:rPr>
          <w:bCs/>
          <w:sz w:val="22"/>
          <w:szCs w:val="22"/>
        </w:rPr>
      </w:pPr>
    </w:p>
    <w:p w14:paraId="46B75654" w14:textId="77777777" w:rsidR="00DE7F2A" w:rsidRPr="00D83EB4" w:rsidRDefault="00DE7F2A" w:rsidP="00DE7F2A">
      <w:pPr>
        <w:pStyle w:val="Nadpis1"/>
        <w:keepLines/>
        <w:suppressAutoHyphens/>
        <w:ind w:left="561" w:hanging="561"/>
        <w:rPr>
          <w:caps/>
          <w:szCs w:val="22"/>
        </w:rPr>
      </w:pPr>
      <w:r w:rsidRPr="00D83EB4">
        <w:rPr>
          <w:caps/>
          <w:szCs w:val="22"/>
        </w:rPr>
        <w:t>2.</w:t>
      </w:r>
      <w:r w:rsidRPr="00D83EB4">
        <w:rPr>
          <w:caps/>
          <w:szCs w:val="22"/>
        </w:rPr>
        <w:tab/>
        <w:t>Kvalitatívne a kvantitatívne zloženie</w:t>
      </w:r>
    </w:p>
    <w:p w14:paraId="0277A3A5" w14:textId="77777777" w:rsidR="00DE7F2A" w:rsidRPr="00D83EB4" w:rsidRDefault="00DE7F2A" w:rsidP="00DE7F2A">
      <w:pPr>
        <w:keepNext/>
        <w:tabs>
          <w:tab w:val="num" w:pos="0"/>
        </w:tabs>
        <w:rPr>
          <w:bCs/>
          <w:sz w:val="22"/>
          <w:szCs w:val="22"/>
        </w:rPr>
      </w:pPr>
    </w:p>
    <w:p w14:paraId="42CD9D39" w14:textId="443851EA" w:rsidR="00DE7F2A" w:rsidRPr="00D83EB4" w:rsidRDefault="00DE7F2A" w:rsidP="00DE7F2A">
      <w:pPr>
        <w:tabs>
          <w:tab w:val="num" w:pos="0"/>
        </w:tabs>
        <w:rPr>
          <w:bCs/>
          <w:sz w:val="22"/>
          <w:szCs w:val="22"/>
        </w:rPr>
      </w:pPr>
      <w:r w:rsidRPr="00D83EB4">
        <w:rPr>
          <w:bCs/>
          <w:sz w:val="22"/>
          <w:szCs w:val="22"/>
        </w:rPr>
        <w:t>Roztok obsahuje 0,1% w/v azelastínium</w:t>
      </w:r>
      <w:r w:rsidR="00D83EB4" w:rsidRPr="00D83EB4">
        <w:rPr>
          <w:bCs/>
          <w:sz w:val="22"/>
          <w:szCs w:val="22"/>
        </w:rPr>
        <w:t>-</w:t>
      </w:r>
      <w:r w:rsidRPr="00D83EB4">
        <w:rPr>
          <w:bCs/>
          <w:sz w:val="22"/>
          <w:szCs w:val="22"/>
        </w:rPr>
        <w:t>chloridu.</w:t>
      </w:r>
    </w:p>
    <w:p w14:paraId="65157AF5" w14:textId="3FAB6782" w:rsidR="00DE7F2A" w:rsidRPr="00D83EB4" w:rsidRDefault="00DE7F2A" w:rsidP="00DE7F2A">
      <w:pPr>
        <w:tabs>
          <w:tab w:val="num" w:pos="0"/>
        </w:tabs>
        <w:rPr>
          <w:bCs/>
          <w:sz w:val="22"/>
          <w:szCs w:val="22"/>
        </w:rPr>
      </w:pPr>
      <w:r w:rsidRPr="00D83EB4">
        <w:rPr>
          <w:bCs/>
          <w:sz w:val="22"/>
          <w:szCs w:val="22"/>
        </w:rPr>
        <w:t>Jedna jednorazová uvoľnená dávka (0,14  ml) obsahuje 0,14  mg azelastínium</w:t>
      </w:r>
      <w:r w:rsidR="00D83EB4" w:rsidRPr="00D83EB4">
        <w:rPr>
          <w:bCs/>
          <w:sz w:val="22"/>
          <w:szCs w:val="22"/>
        </w:rPr>
        <w:t>-</w:t>
      </w:r>
      <w:r w:rsidRPr="00D83EB4">
        <w:rPr>
          <w:bCs/>
          <w:sz w:val="22"/>
          <w:szCs w:val="22"/>
        </w:rPr>
        <w:t>chloridu.</w:t>
      </w:r>
    </w:p>
    <w:p w14:paraId="041B0564" w14:textId="77777777" w:rsidR="00DE7F2A" w:rsidRPr="00D83EB4" w:rsidRDefault="00DE7F2A" w:rsidP="00DE7F2A">
      <w:pPr>
        <w:tabs>
          <w:tab w:val="num" w:pos="0"/>
        </w:tabs>
        <w:rPr>
          <w:bCs/>
          <w:sz w:val="22"/>
          <w:szCs w:val="22"/>
        </w:rPr>
      </w:pPr>
    </w:p>
    <w:p w14:paraId="1BAA6E86" w14:textId="77777777" w:rsidR="00DE7F2A" w:rsidRPr="00D83EB4" w:rsidRDefault="00DE7F2A" w:rsidP="00DE7F2A">
      <w:pPr>
        <w:pStyle w:val="Zkladntext"/>
        <w:tabs>
          <w:tab w:val="clear" w:pos="0"/>
        </w:tabs>
        <w:outlineLvl w:val="0"/>
        <w:rPr>
          <w:szCs w:val="22"/>
        </w:rPr>
      </w:pPr>
      <w:r w:rsidRPr="00D83EB4">
        <w:rPr>
          <w:szCs w:val="22"/>
        </w:rPr>
        <w:t>Úplný zoznam pomocných látok, pozri časť 6.1.</w:t>
      </w:r>
    </w:p>
    <w:p w14:paraId="745ED00F" w14:textId="77777777" w:rsidR="00DE7F2A" w:rsidRPr="00D83EB4" w:rsidRDefault="00DE7F2A" w:rsidP="00DE7F2A">
      <w:pPr>
        <w:rPr>
          <w:sz w:val="22"/>
          <w:szCs w:val="22"/>
        </w:rPr>
      </w:pPr>
    </w:p>
    <w:p w14:paraId="7460D74B" w14:textId="77777777" w:rsidR="00DE7F2A" w:rsidRPr="00D83EB4" w:rsidRDefault="00DE7F2A" w:rsidP="00DE7F2A">
      <w:pPr>
        <w:rPr>
          <w:sz w:val="22"/>
          <w:szCs w:val="22"/>
        </w:rPr>
      </w:pPr>
    </w:p>
    <w:p w14:paraId="42303E39" w14:textId="77777777" w:rsidR="00DE7F2A" w:rsidRPr="00D83EB4" w:rsidRDefault="00DE7F2A" w:rsidP="00DE7F2A">
      <w:pPr>
        <w:pStyle w:val="Nadpis1"/>
        <w:keepLines/>
        <w:suppressAutoHyphens/>
        <w:ind w:left="561" w:hanging="561"/>
        <w:rPr>
          <w:caps/>
          <w:szCs w:val="22"/>
        </w:rPr>
      </w:pPr>
      <w:r w:rsidRPr="00D83EB4">
        <w:rPr>
          <w:caps/>
          <w:szCs w:val="22"/>
        </w:rPr>
        <w:t>3.</w:t>
      </w:r>
      <w:r w:rsidRPr="00D83EB4">
        <w:rPr>
          <w:caps/>
          <w:szCs w:val="22"/>
        </w:rPr>
        <w:tab/>
        <w:t>Lieková forma</w:t>
      </w:r>
    </w:p>
    <w:p w14:paraId="4FCFF2CA" w14:textId="77777777" w:rsidR="00DE7F2A" w:rsidRPr="00D83EB4" w:rsidRDefault="00DE7F2A" w:rsidP="00DE7F2A">
      <w:pPr>
        <w:keepNext/>
        <w:rPr>
          <w:sz w:val="22"/>
          <w:szCs w:val="22"/>
        </w:rPr>
      </w:pPr>
    </w:p>
    <w:p w14:paraId="77A2004D" w14:textId="77777777" w:rsidR="00DE7F2A" w:rsidRPr="00D83EB4" w:rsidRDefault="00DE7F2A" w:rsidP="00DE7F2A">
      <w:pPr>
        <w:pStyle w:val="Zarkazkladnhotextu2"/>
        <w:tabs>
          <w:tab w:val="num" w:pos="0"/>
        </w:tabs>
        <w:ind w:left="0"/>
        <w:jc w:val="left"/>
        <w:rPr>
          <w:rFonts w:ascii="Times New Roman" w:hAnsi="Times New Roman"/>
          <w:sz w:val="22"/>
          <w:szCs w:val="22"/>
        </w:rPr>
      </w:pPr>
      <w:r w:rsidRPr="00D83EB4">
        <w:rPr>
          <w:rFonts w:ascii="Times New Roman" w:hAnsi="Times New Roman"/>
          <w:sz w:val="22"/>
          <w:szCs w:val="22"/>
        </w:rPr>
        <w:t>Nosová aerodisperzia.</w:t>
      </w:r>
    </w:p>
    <w:p w14:paraId="1CF290C5" w14:textId="77777777" w:rsidR="00DE7F2A" w:rsidRPr="00D83EB4" w:rsidRDefault="00DE7F2A" w:rsidP="00DE7F2A">
      <w:pPr>
        <w:tabs>
          <w:tab w:val="num" w:pos="0"/>
        </w:tabs>
        <w:rPr>
          <w:bCs/>
          <w:sz w:val="22"/>
          <w:szCs w:val="22"/>
        </w:rPr>
      </w:pPr>
      <w:r w:rsidRPr="00D83EB4">
        <w:rPr>
          <w:bCs/>
          <w:sz w:val="22"/>
          <w:szCs w:val="22"/>
        </w:rPr>
        <w:t>Popis lieku: Číry, bezfarebný až takmer bezfarebný roztok.</w:t>
      </w:r>
    </w:p>
    <w:p w14:paraId="20A8A6B7" w14:textId="77777777" w:rsidR="00DE7F2A" w:rsidRPr="00D83EB4" w:rsidRDefault="00DE7F2A" w:rsidP="00DE7F2A">
      <w:pPr>
        <w:tabs>
          <w:tab w:val="num" w:pos="0"/>
        </w:tabs>
        <w:rPr>
          <w:bCs/>
          <w:sz w:val="22"/>
          <w:szCs w:val="22"/>
        </w:rPr>
      </w:pPr>
    </w:p>
    <w:p w14:paraId="01108976" w14:textId="77777777" w:rsidR="00DE7F2A" w:rsidRPr="00D83EB4" w:rsidRDefault="00DE7F2A" w:rsidP="00DE7F2A">
      <w:pPr>
        <w:tabs>
          <w:tab w:val="num" w:pos="0"/>
        </w:tabs>
        <w:rPr>
          <w:bCs/>
          <w:sz w:val="22"/>
          <w:szCs w:val="22"/>
        </w:rPr>
      </w:pPr>
    </w:p>
    <w:p w14:paraId="72761236" w14:textId="77777777" w:rsidR="00DE7F2A" w:rsidRPr="00D83EB4" w:rsidRDefault="00DE7F2A" w:rsidP="00DE7F2A">
      <w:pPr>
        <w:pStyle w:val="Nadpis1"/>
        <w:keepLines/>
        <w:suppressAutoHyphens/>
        <w:ind w:left="561" w:hanging="561"/>
        <w:rPr>
          <w:caps/>
          <w:szCs w:val="22"/>
        </w:rPr>
      </w:pPr>
      <w:r w:rsidRPr="00D83EB4">
        <w:rPr>
          <w:caps/>
          <w:szCs w:val="22"/>
        </w:rPr>
        <w:t>4.</w:t>
      </w:r>
      <w:r w:rsidRPr="00D83EB4">
        <w:rPr>
          <w:caps/>
          <w:szCs w:val="22"/>
        </w:rPr>
        <w:tab/>
        <w:t>Klinické údaje</w:t>
      </w:r>
    </w:p>
    <w:p w14:paraId="36A5911D" w14:textId="77777777" w:rsidR="00DE7F2A" w:rsidRPr="00D83EB4" w:rsidRDefault="00DE7F2A" w:rsidP="00DE7F2A">
      <w:pPr>
        <w:keepNext/>
        <w:tabs>
          <w:tab w:val="left" w:pos="2340"/>
        </w:tabs>
        <w:rPr>
          <w:bCs/>
          <w:caps/>
          <w:sz w:val="22"/>
          <w:szCs w:val="22"/>
        </w:rPr>
      </w:pPr>
    </w:p>
    <w:p w14:paraId="08BCCF58" w14:textId="77777777" w:rsidR="00DE7F2A" w:rsidRPr="00D83EB4" w:rsidRDefault="00DE7F2A" w:rsidP="00DE7F2A">
      <w:pPr>
        <w:pStyle w:val="Nadpis1"/>
        <w:keepLines/>
        <w:suppressAutoHyphens/>
        <w:ind w:left="561" w:hanging="561"/>
        <w:rPr>
          <w:szCs w:val="22"/>
        </w:rPr>
      </w:pPr>
      <w:r w:rsidRPr="00D83EB4">
        <w:rPr>
          <w:szCs w:val="22"/>
        </w:rPr>
        <w:t>4.1</w:t>
      </w:r>
      <w:r w:rsidRPr="00D83EB4">
        <w:rPr>
          <w:szCs w:val="22"/>
        </w:rPr>
        <w:tab/>
        <w:t>Terapeutické indikácie</w:t>
      </w:r>
    </w:p>
    <w:p w14:paraId="4E6B1339" w14:textId="77777777" w:rsidR="00DE7F2A" w:rsidRPr="00D83EB4" w:rsidRDefault="00DE7F2A" w:rsidP="00DE7F2A">
      <w:pPr>
        <w:keepNext/>
        <w:rPr>
          <w:sz w:val="22"/>
          <w:szCs w:val="22"/>
        </w:rPr>
      </w:pPr>
    </w:p>
    <w:p w14:paraId="7CCD4AA5" w14:textId="77777777" w:rsidR="00DE7F2A" w:rsidRPr="00D83EB4" w:rsidRDefault="00DE7F2A" w:rsidP="00DE7F2A">
      <w:pPr>
        <w:rPr>
          <w:sz w:val="22"/>
          <w:szCs w:val="22"/>
        </w:rPr>
      </w:pPr>
      <w:r w:rsidRPr="00D83EB4">
        <w:rPr>
          <w:sz w:val="22"/>
          <w:szCs w:val="22"/>
        </w:rPr>
        <w:t>Na symptomatickú liečbu</w:t>
      </w:r>
    </w:p>
    <w:p w14:paraId="6AB58D15" w14:textId="77777777" w:rsidR="00DE7F2A" w:rsidRPr="00D83EB4" w:rsidRDefault="00DE7F2A" w:rsidP="00DE7F2A">
      <w:pPr>
        <w:numPr>
          <w:ilvl w:val="0"/>
          <w:numId w:val="1"/>
        </w:numPr>
        <w:ind w:left="567" w:hanging="567"/>
        <w:rPr>
          <w:sz w:val="22"/>
          <w:szCs w:val="22"/>
        </w:rPr>
      </w:pPr>
      <w:r w:rsidRPr="00D83EB4">
        <w:rPr>
          <w:sz w:val="22"/>
          <w:szCs w:val="22"/>
        </w:rPr>
        <w:t>sezónnej alergickej rinitídy (vrátane sennej nádchy) a</w:t>
      </w:r>
    </w:p>
    <w:p w14:paraId="51F24342" w14:textId="77777777" w:rsidR="00DE7F2A" w:rsidRPr="00D83EB4" w:rsidRDefault="00DE7F2A" w:rsidP="00DE7F2A">
      <w:pPr>
        <w:numPr>
          <w:ilvl w:val="0"/>
          <w:numId w:val="1"/>
        </w:numPr>
        <w:ind w:left="567" w:hanging="567"/>
        <w:rPr>
          <w:bCs/>
          <w:sz w:val="22"/>
          <w:szCs w:val="22"/>
        </w:rPr>
      </w:pPr>
      <w:r w:rsidRPr="00D83EB4">
        <w:rPr>
          <w:sz w:val="22"/>
          <w:szCs w:val="22"/>
        </w:rPr>
        <w:t>chronickej alergickej rinitídy.</w:t>
      </w:r>
    </w:p>
    <w:p w14:paraId="560B12A4" w14:textId="77777777" w:rsidR="00DE7F2A" w:rsidRPr="00D83EB4" w:rsidRDefault="00DE7F2A" w:rsidP="00DE7F2A">
      <w:pPr>
        <w:tabs>
          <w:tab w:val="num" w:pos="0"/>
        </w:tabs>
        <w:rPr>
          <w:bCs/>
          <w:sz w:val="22"/>
          <w:szCs w:val="22"/>
        </w:rPr>
      </w:pPr>
    </w:p>
    <w:p w14:paraId="01D70B5A" w14:textId="77777777" w:rsidR="00DE7F2A" w:rsidRPr="00D83EB4" w:rsidRDefault="00DE7F2A" w:rsidP="00DE7F2A">
      <w:pPr>
        <w:pStyle w:val="Nadpis1"/>
        <w:keepLines/>
        <w:suppressAutoHyphens/>
        <w:ind w:left="561" w:hanging="561"/>
        <w:rPr>
          <w:bCs/>
          <w:szCs w:val="22"/>
        </w:rPr>
      </w:pPr>
      <w:r w:rsidRPr="00D83EB4">
        <w:rPr>
          <w:bCs/>
          <w:szCs w:val="22"/>
        </w:rPr>
        <w:t>4.2</w:t>
      </w:r>
      <w:r w:rsidRPr="00D83EB4">
        <w:rPr>
          <w:bCs/>
          <w:szCs w:val="22"/>
        </w:rPr>
        <w:tab/>
        <w:t>Dávkovanie a spôsob podávania</w:t>
      </w:r>
    </w:p>
    <w:p w14:paraId="31DB3325" w14:textId="77777777" w:rsidR="00DE7F2A" w:rsidRPr="00D83EB4" w:rsidRDefault="00DE7F2A" w:rsidP="00DE7F2A">
      <w:pPr>
        <w:keepNext/>
        <w:tabs>
          <w:tab w:val="num" w:pos="0"/>
        </w:tabs>
        <w:rPr>
          <w:bCs/>
          <w:sz w:val="22"/>
          <w:szCs w:val="22"/>
          <w:u w:val="single"/>
        </w:rPr>
      </w:pPr>
    </w:p>
    <w:p w14:paraId="4145D5CE" w14:textId="77777777" w:rsidR="00DE7F2A" w:rsidRPr="00D83EB4" w:rsidRDefault="00DE7F2A" w:rsidP="00DE7F2A">
      <w:pPr>
        <w:tabs>
          <w:tab w:val="num" w:pos="0"/>
        </w:tabs>
        <w:rPr>
          <w:bCs/>
          <w:sz w:val="22"/>
          <w:szCs w:val="22"/>
          <w:u w:val="single"/>
        </w:rPr>
      </w:pPr>
      <w:r w:rsidRPr="00D83EB4">
        <w:rPr>
          <w:bCs/>
          <w:sz w:val="22"/>
          <w:szCs w:val="22"/>
          <w:u w:val="single"/>
        </w:rPr>
        <w:t>Dospelí a deti od 6 rokov</w:t>
      </w:r>
    </w:p>
    <w:p w14:paraId="2F2815A1" w14:textId="229B2E67" w:rsidR="00DE7F2A" w:rsidRPr="00D83EB4" w:rsidRDefault="00DE7F2A" w:rsidP="00DE7F2A">
      <w:pPr>
        <w:tabs>
          <w:tab w:val="num" w:pos="0"/>
        </w:tabs>
        <w:rPr>
          <w:bCs/>
          <w:sz w:val="22"/>
          <w:szCs w:val="22"/>
        </w:rPr>
      </w:pPr>
      <w:r w:rsidRPr="00D83EB4">
        <w:rPr>
          <w:bCs/>
          <w:sz w:val="22"/>
          <w:szCs w:val="22"/>
        </w:rPr>
        <w:t>Jedna aplikácia (0,14 ml = 0,14 mg azelastínium</w:t>
      </w:r>
      <w:r w:rsidR="00D83EB4" w:rsidRPr="00D83EB4">
        <w:rPr>
          <w:bCs/>
          <w:sz w:val="22"/>
          <w:szCs w:val="22"/>
        </w:rPr>
        <w:t>-</w:t>
      </w:r>
      <w:r w:rsidRPr="00D83EB4">
        <w:rPr>
          <w:bCs/>
          <w:sz w:val="22"/>
          <w:szCs w:val="22"/>
        </w:rPr>
        <w:t>chloridu) do každej nosovej dierky dvakrát denne (zodpovedá dennej dávke 0,56 mg azelastínium</w:t>
      </w:r>
      <w:r w:rsidR="00D83EB4" w:rsidRPr="00D83EB4">
        <w:rPr>
          <w:bCs/>
          <w:sz w:val="22"/>
          <w:szCs w:val="22"/>
        </w:rPr>
        <w:t>-</w:t>
      </w:r>
      <w:r w:rsidRPr="00D83EB4">
        <w:rPr>
          <w:bCs/>
          <w:sz w:val="22"/>
          <w:szCs w:val="22"/>
        </w:rPr>
        <w:t>chloridu).</w:t>
      </w:r>
    </w:p>
    <w:p w14:paraId="2FD29A81" w14:textId="77777777" w:rsidR="00DE7F2A" w:rsidRPr="00D83EB4" w:rsidRDefault="00DE7F2A" w:rsidP="00DE7F2A">
      <w:pPr>
        <w:tabs>
          <w:tab w:val="num" w:pos="0"/>
        </w:tabs>
        <w:rPr>
          <w:bCs/>
          <w:sz w:val="22"/>
          <w:szCs w:val="22"/>
        </w:rPr>
      </w:pPr>
    </w:p>
    <w:p w14:paraId="3D7E189C" w14:textId="77777777" w:rsidR="00DE7F2A" w:rsidRPr="00D83EB4" w:rsidRDefault="00DE7F2A" w:rsidP="00DE7F2A">
      <w:pPr>
        <w:tabs>
          <w:tab w:val="num" w:pos="0"/>
        </w:tabs>
        <w:rPr>
          <w:bCs/>
          <w:sz w:val="22"/>
          <w:szCs w:val="22"/>
        </w:rPr>
      </w:pPr>
      <w:r w:rsidRPr="00D83EB4">
        <w:rPr>
          <w:bCs/>
          <w:sz w:val="22"/>
          <w:szCs w:val="22"/>
        </w:rPr>
        <w:t>Allergodil</w:t>
      </w:r>
      <w:r w:rsidRPr="00D83EB4">
        <w:rPr>
          <w:bCs/>
          <w:sz w:val="22"/>
          <w:szCs w:val="22"/>
          <w:vertAlign w:val="superscript"/>
        </w:rPr>
        <w:t xml:space="preserve"> </w:t>
      </w:r>
      <w:r w:rsidRPr="00D83EB4">
        <w:rPr>
          <w:bCs/>
          <w:sz w:val="22"/>
          <w:szCs w:val="22"/>
        </w:rPr>
        <w:t>nosová aerodisperzia je vhodná na dlhodobé používanie. Z hľadiska dĺžky používania nie sú žiadne obmedzenia.</w:t>
      </w:r>
    </w:p>
    <w:p w14:paraId="2982F908" w14:textId="77777777" w:rsidR="00DE7F2A" w:rsidRPr="00D83EB4" w:rsidRDefault="00DE7F2A" w:rsidP="00DE7F2A">
      <w:pPr>
        <w:tabs>
          <w:tab w:val="num" w:pos="0"/>
        </w:tabs>
        <w:rPr>
          <w:bCs/>
          <w:sz w:val="22"/>
          <w:szCs w:val="22"/>
          <w:u w:val="single"/>
        </w:rPr>
      </w:pPr>
    </w:p>
    <w:p w14:paraId="20987203" w14:textId="77777777" w:rsidR="00DE7F2A" w:rsidRPr="00D83EB4" w:rsidRDefault="00DE7F2A" w:rsidP="00DE7F2A">
      <w:pPr>
        <w:tabs>
          <w:tab w:val="num" w:pos="0"/>
        </w:tabs>
        <w:rPr>
          <w:bCs/>
          <w:sz w:val="22"/>
          <w:szCs w:val="22"/>
          <w:u w:val="single"/>
        </w:rPr>
      </w:pPr>
      <w:r w:rsidRPr="00D83EB4">
        <w:rPr>
          <w:bCs/>
          <w:sz w:val="22"/>
          <w:szCs w:val="22"/>
          <w:u w:val="single"/>
        </w:rPr>
        <w:t>Starší pacienti</w:t>
      </w:r>
    </w:p>
    <w:p w14:paraId="135AA938" w14:textId="77777777" w:rsidR="00DE7F2A" w:rsidRPr="00D83EB4" w:rsidRDefault="00DE7F2A" w:rsidP="00DE7F2A">
      <w:pPr>
        <w:tabs>
          <w:tab w:val="num" w:pos="0"/>
        </w:tabs>
        <w:rPr>
          <w:bCs/>
          <w:sz w:val="22"/>
          <w:szCs w:val="22"/>
        </w:rPr>
      </w:pPr>
      <w:r w:rsidRPr="00D83EB4">
        <w:rPr>
          <w:bCs/>
          <w:sz w:val="22"/>
          <w:szCs w:val="22"/>
        </w:rPr>
        <w:t>U starších ľudí sa nevykonali žiadne špecifické štúdie.</w:t>
      </w:r>
    </w:p>
    <w:p w14:paraId="181A91CD" w14:textId="77777777" w:rsidR="00DE7F2A" w:rsidRPr="00D83EB4" w:rsidRDefault="00DE7F2A" w:rsidP="00DE7F2A">
      <w:pPr>
        <w:tabs>
          <w:tab w:val="num" w:pos="0"/>
        </w:tabs>
        <w:rPr>
          <w:bCs/>
          <w:sz w:val="22"/>
          <w:szCs w:val="22"/>
        </w:rPr>
      </w:pPr>
      <w:r w:rsidRPr="00D83EB4">
        <w:rPr>
          <w:bCs/>
          <w:sz w:val="22"/>
          <w:szCs w:val="22"/>
        </w:rPr>
        <w:t>Pri lokálnej aplikácii nie je potrebné zníženie celkovej dennej dávky ani redukcia jednotlivých dávok.</w:t>
      </w:r>
    </w:p>
    <w:p w14:paraId="4E5831C0" w14:textId="77777777" w:rsidR="00DE7F2A" w:rsidRPr="00D83EB4" w:rsidRDefault="00DE7F2A" w:rsidP="00DE7F2A">
      <w:pPr>
        <w:tabs>
          <w:tab w:val="num" w:pos="0"/>
        </w:tabs>
        <w:rPr>
          <w:sz w:val="22"/>
          <w:szCs w:val="22"/>
        </w:rPr>
      </w:pPr>
    </w:p>
    <w:p w14:paraId="28796925" w14:textId="77777777" w:rsidR="00DE7F2A" w:rsidRPr="00D83EB4" w:rsidRDefault="00DE7F2A" w:rsidP="00DE7F2A">
      <w:pPr>
        <w:pStyle w:val="Nadpis1"/>
        <w:keepLines/>
        <w:suppressAutoHyphens/>
        <w:ind w:left="561" w:hanging="561"/>
        <w:rPr>
          <w:bCs/>
          <w:szCs w:val="22"/>
        </w:rPr>
      </w:pPr>
      <w:r w:rsidRPr="00D83EB4">
        <w:rPr>
          <w:bCs/>
          <w:szCs w:val="22"/>
        </w:rPr>
        <w:t>4.3</w:t>
      </w:r>
      <w:r w:rsidRPr="00D83EB4">
        <w:rPr>
          <w:bCs/>
          <w:szCs w:val="22"/>
        </w:rPr>
        <w:tab/>
        <w:t>Kontraindikácie</w:t>
      </w:r>
    </w:p>
    <w:p w14:paraId="54C3747A" w14:textId="77777777" w:rsidR="00DE7F2A" w:rsidRPr="00D83EB4" w:rsidRDefault="00DE7F2A" w:rsidP="00DE7F2A">
      <w:pPr>
        <w:keepNext/>
        <w:tabs>
          <w:tab w:val="num" w:pos="0"/>
        </w:tabs>
        <w:rPr>
          <w:bCs/>
          <w:sz w:val="22"/>
          <w:szCs w:val="22"/>
        </w:rPr>
      </w:pPr>
    </w:p>
    <w:p w14:paraId="69584376" w14:textId="77777777" w:rsidR="00DE7F2A" w:rsidRPr="00D83EB4" w:rsidRDefault="00DE7F2A" w:rsidP="00DE7F2A">
      <w:pPr>
        <w:autoSpaceDE w:val="0"/>
        <w:autoSpaceDN w:val="0"/>
        <w:adjustRightInd w:val="0"/>
        <w:rPr>
          <w:sz w:val="22"/>
          <w:szCs w:val="22"/>
        </w:rPr>
      </w:pPr>
      <w:r w:rsidRPr="00D83EB4">
        <w:rPr>
          <w:sz w:val="22"/>
          <w:szCs w:val="22"/>
        </w:rPr>
        <w:t>Precitlivenosť na liečivo alebo na ktorúkoľvek z pomocných látok uvedených v časti 6.1.</w:t>
      </w:r>
    </w:p>
    <w:p w14:paraId="7A20E938" w14:textId="77777777" w:rsidR="00DE7F2A" w:rsidRPr="00D83EB4" w:rsidRDefault="00DE7F2A" w:rsidP="00DE7F2A">
      <w:pPr>
        <w:autoSpaceDE w:val="0"/>
        <w:autoSpaceDN w:val="0"/>
        <w:adjustRightInd w:val="0"/>
        <w:rPr>
          <w:sz w:val="22"/>
          <w:szCs w:val="22"/>
        </w:rPr>
      </w:pPr>
    </w:p>
    <w:p w14:paraId="5BA00400" w14:textId="77777777" w:rsidR="00DE7F2A" w:rsidRPr="00D83EB4" w:rsidRDefault="00DE7F2A" w:rsidP="00DE7F2A">
      <w:pPr>
        <w:autoSpaceDE w:val="0"/>
        <w:autoSpaceDN w:val="0"/>
        <w:adjustRightInd w:val="0"/>
        <w:rPr>
          <w:sz w:val="22"/>
          <w:szCs w:val="22"/>
        </w:rPr>
      </w:pPr>
      <w:r w:rsidRPr="00D83EB4">
        <w:rPr>
          <w:sz w:val="22"/>
          <w:szCs w:val="22"/>
        </w:rPr>
        <w:t>Deti do 6 rokov.</w:t>
      </w:r>
    </w:p>
    <w:p w14:paraId="24C65B2E" w14:textId="77777777" w:rsidR="00DE7F2A" w:rsidRPr="00D83EB4" w:rsidRDefault="00DE7F2A" w:rsidP="00DE7F2A">
      <w:pPr>
        <w:tabs>
          <w:tab w:val="num" w:pos="0"/>
        </w:tabs>
        <w:rPr>
          <w:bCs/>
          <w:sz w:val="22"/>
          <w:szCs w:val="22"/>
          <w:highlight w:val="green"/>
        </w:rPr>
      </w:pPr>
    </w:p>
    <w:p w14:paraId="68A4ABC1" w14:textId="77777777" w:rsidR="00DE7F2A" w:rsidRPr="00D83EB4" w:rsidRDefault="00DE7F2A" w:rsidP="00DE7F2A">
      <w:pPr>
        <w:pStyle w:val="Nadpis1"/>
        <w:keepLines/>
        <w:suppressAutoHyphens/>
        <w:ind w:left="561" w:hanging="561"/>
        <w:rPr>
          <w:bCs/>
          <w:szCs w:val="22"/>
        </w:rPr>
      </w:pPr>
      <w:r w:rsidRPr="00D83EB4">
        <w:rPr>
          <w:bCs/>
          <w:szCs w:val="22"/>
        </w:rPr>
        <w:t>4.4</w:t>
      </w:r>
      <w:r w:rsidRPr="00D83EB4">
        <w:rPr>
          <w:bCs/>
          <w:szCs w:val="22"/>
        </w:rPr>
        <w:tab/>
        <w:t>Osobitné upozornenia a opatrenia pri používaní</w:t>
      </w:r>
    </w:p>
    <w:p w14:paraId="105E0639" w14:textId="77777777" w:rsidR="00DE7F2A" w:rsidRPr="00D83EB4" w:rsidRDefault="00DE7F2A" w:rsidP="00DE7F2A">
      <w:pPr>
        <w:keepNext/>
        <w:rPr>
          <w:sz w:val="22"/>
          <w:szCs w:val="22"/>
        </w:rPr>
      </w:pPr>
    </w:p>
    <w:p w14:paraId="02217CE5" w14:textId="77777777" w:rsidR="00DE7F2A" w:rsidRPr="00D83EB4" w:rsidRDefault="00DE7F2A" w:rsidP="00DE7F2A">
      <w:pPr>
        <w:pStyle w:val="Zarkazkladnhotextu"/>
        <w:tabs>
          <w:tab w:val="num" w:pos="0"/>
        </w:tabs>
        <w:ind w:left="0"/>
        <w:rPr>
          <w:rFonts w:ascii="Times New Roman" w:hAnsi="Times New Roman"/>
          <w:sz w:val="22"/>
          <w:szCs w:val="22"/>
        </w:rPr>
      </w:pPr>
      <w:r w:rsidRPr="00D83EB4">
        <w:rPr>
          <w:rFonts w:ascii="Times New Roman" w:hAnsi="Times New Roman"/>
          <w:sz w:val="22"/>
          <w:szCs w:val="22"/>
        </w:rPr>
        <w:t xml:space="preserve">Pozri časti </w:t>
      </w:r>
      <w:smartTag w:uri="urn:schemas-microsoft-com:office:smarttags" w:element="metricconverter">
        <w:smartTagPr>
          <w:attr w:name="ProductID" w:val="4.5 a"/>
        </w:smartTagPr>
        <w:r w:rsidRPr="00D83EB4">
          <w:rPr>
            <w:rFonts w:ascii="Times New Roman" w:hAnsi="Times New Roman"/>
            <w:sz w:val="22"/>
            <w:szCs w:val="22"/>
          </w:rPr>
          <w:t>4.5 a</w:t>
        </w:r>
      </w:smartTag>
      <w:r w:rsidRPr="00D83EB4">
        <w:rPr>
          <w:rFonts w:ascii="Times New Roman" w:hAnsi="Times New Roman"/>
          <w:sz w:val="22"/>
          <w:szCs w:val="22"/>
        </w:rPr>
        <w:t xml:space="preserve"> 4.6.</w:t>
      </w:r>
    </w:p>
    <w:p w14:paraId="59C11BE8" w14:textId="77777777" w:rsidR="00DE7F2A" w:rsidRPr="00D83EB4" w:rsidRDefault="00DE7F2A" w:rsidP="00DE7F2A">
      <w:pPr>
        <w:pStyle w:val="Zarkazkladnhotextu"/>
        <w:tabs>
          <w:tab w:val="num" w:pos="0"/>
        </w:tabs>
        <w:ind w:left="0"/>
        <w:rPr>
          <w:rFonts w:ascii="Times New Roman" w:hAnsi="Times New Roman"/>
          <w:sz w:val="22"/>
          <w:szCs w:val="22"/>
        </w:rPr>
      </w:pPr>
    </w:p>
    <w:p w14:paraId="60586E65" w14:textId="77777777" w:rsidR="00DE7F2A" w:rsidRPr="00D83EB4" w:rsidRDefault="00DE7F2A" w:rsidP="00DE7F2A">
      <w:pPr>
        <w:pStyle w:val="Nadpis1"/>
        <w:keepLines/>
        <w:suppressAutoHyphens/>
        <w:ind w:left="561" w:hanging="561"/>
        <w:rPr>
          <w:bCs/>
          <w:szCs w:val="22"/>
        </w:rPr>
      </w:pPr>
      <w:r w:rsidRPr="00D83EB4">
        <w:rPr>
          <w:bCs/>
          <w:szCs w:val="22"/>
        </w:rPr>
        <w:lastRenderedPageBreak/>
        <w:t>4.5</w:t>
      </w:r>
      <w:r w:rsidRPr="00D83EB4">
        <w:rPr>
          <w:bCs/>
          <w:szCs w:val="22"/>
        </w:rPr>
        <w:tab/>
        <w:t>Liekové a iné interakcie</w:t>
      </w:r>
    </w:p>
    <w:p w14:paraId="3B9004BD" w14:textId="77777777" w:rsidR="00DE7F2A" w:rsidRPr="00D83EB4" w:rsidRDefault="00DE7F2A" w:rsidP="00DE7F2A">
      <w:pPr>
        <w:keepNext/>
        <w:rPr>
          <w:sz w:val="22"/>
          <w:szCs w:val="22"/>
        </w:rPr>
      </w:pPr>
    </w:p>
    <w:p w14:paraId="1F129DA7" w14:textId="77777777" w:rsidR="00DE7F2A" w:rsidRPr="00D83EB4" w:rsidRDefault="00DE7F2A" w:rsidP="00DE7F2A">
      <w:pPr>
        <w:tabs>
          <w:tab w:val="num" w:pos="0"/>
        </w:tabs>
        <w:rPr>
          <w:sz w:val="22"/>
          <w:szCs w:val="22"/>
        </w:rPr>
      </w:pPr>
      <w:r w:rsidRPr="00D83EB4">
        <w:rPr>
          <w:sz w:val="22"/>
          <w:szCs w:val="22"/>
        </w:rPr>
        <w:t>S liekom</w:t>
      </w:r>
      <w:r w:rsidRPr="00D83EB4">
        <w:rPr>
          <w:bCs/>
          <w:sz w:val="22"/>
          <w:szCs w:val="22"/>
        </w:rPr>
        <w:t xml:space="preserve"> Allergodil</w:t>
      </w:r>
      <w:r w:rsidRPr="00D83EB4">
        <w:rPr>
          <w:sz w:val="22"/>
          <w:szCs w:val="22"/>
        </w:rPr>
        <w:t xml:space="preserve"> nosová aerodisperzia sa nepozorovali žiadne špecifické interakcie.</w:t>
      </w:r>
    </w:p>
    <w:p w14:paraId="2836E517" w14:textId="364FF538" w:rsidR="00DE7F2A" w:rsidRPr="00D83EB4" w:rsidRDefault="00DE7F2A" w:rsidP="00DE7F2A">
      <w:pPr>
        <w:tabs>
          <w:tab w:val="num" w:pos="0"/>
        </w:tabs>
        <w:rPr>
          <w:sz w:val="22"/>
          <w:szCs w:val="22"/>
        </w:rPr>
      </w:pPr>
      <w:r w:rsidRPr="00D83EB4">
        <w:rPr>
          <w:sz w:val="22"/>
          <w:szCs w:val="22"/>
        </w:rPr>
        <w:t>Po perorálnom podaní 4,4 mg azelastínium</w:t>
      </w:r>
      <w:r w:rsidR="00D83EB4" w:rsidRPr="00D83EB4">
        <w:rPr>
          <w:sz w:val="22"/>
          <w:szCs w:val="22"/>
        </w:rPr>
        <w:t>-</w:t>
      </w:r>
      <w:r w:rsidRPr="00D83EB4">
        <w:rPr>
          <w:sz w:val="22"/>
          <w:szCs w:val="22"/>
        </w:rPr>
        <w:t>chloridu dvakrát denne, sa dokázala interakcia s cimetidínom, ktorá má za následok zníženie plazmatických hladín azelastínu. Predpokladá sa, že cimetidín inhibuje metabolizmus azelastínu tým, že ovplyvňuje aktivitu pečeňového systému cytochrómu P450. U pacientov, u ktorých je potrebná súbežná liečba antagonistami H</w:t>
      </w:r>
      <w:r w:rsidRPr="00D83EB4">
        <w:rPr>
          <w:sz w:val="22"/>
          <w:szCs w:val="22"/>
          <w:vertAlign w:val="subscript"/>
        </w:rPr>
        <w:t>2</w:t>
      </w:r>
      <w:r w:rsidRPr="00D83EB4">
        <w:rPr>
          <w:sz w:val="22"/>
          <w:szCs w:val="22"/>
        </w:rPr>
        <w:t xml:space="preserve"> receptorov, sa cimetidín nemá použiť a má sa predpísať iný alternatívny antagonista H</w:t>
      </w:r>
      <w:r w:rsidRPr="00D83EB4">
        <w:rPr>
          <w:sz w:val="22"/>
          <w:szCs w:val="22"/>
          <w:vertAlign w:val="subscript"/>
        </w:rPr>
        <w:t>2</w:t>
      </w:r>
      <w:r w:rsidRPr="00D83EB4">
        <w:rPr>
          <w:sz w:val="22"/>
          <w:szCs w:val="22"/>
        </w:rPr>
        <w:t xml:space="preserve"> receptorov.</w:t>
      </w:r>
    </w:p>
    <w:p w14:paraId="5CFF5987" w14:textId="77777777" w:rsidR="00DE7F2A" w:rsidRPr="00D83EB4" w:rsidRDefault="00DE7F2A" w:rsidP="00DE7F2A">
      <w:pPr>
        <w:tabs>
          <w:tab w:val="num" w:pos="0"/>
        </w:tabs>
        <w:rPr>
          <w:sz w:val="22"/>
          <w:szCs w:val="22"/>
        </w:rPr>
      </w:pPr>
      <w:r w:rsidRPr="00D83EB4">
        <w:rPr>
          <w:sz w:val="22"/>
          <w:szCs w:val="22"/>
        </w:rPr>
        <w:t>Vykonali sa špecifické štúdie účinkov azelastínu na zmenu intervalu QT (QTc) u ľudí po perorálnom podaní. Azelastín sa študoval podaný samostatne, ako aj pri súbežnom podávaní s erytromycínom alebo s ketokonazolom. Žiadny účinok na interval QTc sa nepozoroval.</w:t>
      </w:r>
    </w:p>
    <w:p w14:paraId="4B1A7665" w14:textId="77777777" w:rsidR="00DE7F2A" w:rsidRPr="00D83EB4" w:rsidRDefault="00DE7F2A" w:rsidP="00DE7F2A">
      <w:pPr>
        <w:tabs>
          <w:tab w:val="num" w:pos="0"/>
        </w:tabs>
        <w:rPr>
          <w:bCs/>
          <w:sz w:val="22"/>
          <w:szCs w:val="22"/>
        </w:rPr>
      </w:pPr>
    </w:p>
    <w:p w14:paraId="513CDF2D" w14:textId="77777777" w:rsidR="00DE7F2A" w:rsidRPr="00D83EB4" w:rsidRDefault="00DE7F2A" w:rsidP="00DE7F2A">
      <w:pPr>
        <w:pStyle w:val="Nadpis1"/>
        <w:keepLines/>
        <w:suppressAutoHyphens/>
        <w:ind w:left="561" w:hanging="561"/>
        <w:rPr>
          <w:bCs/>
          <w:szCs w:val="22"/>
        </w:rPr>
      </w:pPr>
      <w:r w:rsidRPr="00D83EB4">
        <w:rPr>
          <w:bCs/>
          <w:szCs w:val="22"/>
        </w:rPr>
        <w:t>4.6</w:t>
      </w:r>
      <w:r w:rsidRPr="00D83EB4">
        <w:rPr>
          <w:bCs/>
          <w:szCs w:val="22"/>
        </w:rPr>
        <w:tab/>
        <w:t>Fertilita, gravidita a laktácia</w:t>
      </w:r>
    </w:p>
    <w:p w14:paraId="274A9D10" w14:textId="77777777" w:rsidR="00DE7F2A" w:rsidRPr="00D83EB4" w:rsidRDefault="00DE7F2A" w:rsidP="00DE7F2A">
      <w:pPr>
        <w:pStyle w:val="Zarkazkladnhotextu3"/>
        <w:keepNext/>
        <w:tabs>
          <w:tab w:val="num" w:pos="0"/>
        </w:tabs>
        <w:ind w:left="0"/>
        <w:jc w:val="left"/>
        <w:rPr>
          <w:rFonts w:ascii="Times New Roman" w:hAnsi="Times New Roman" w:cs="Times New Roman"/>
          <w:sz w:val="22"/>
          <w:szCs w:val="22"/>
        </w:rPr>
      </w:pPr>
    </w:p>
    <w:p w14:paraId="74782EE0"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U zvierat sa po perorálnom podaní vysokých dávok (400 až 500-násobku perorálnej dávky u ľudí) objavilo v priebehu reprodukčného testu úmrtie plodu, retardácia rastu a zvýšený výskyt abnormalít skeletu, ktorých význam u ľudí nie je jasný.</w:t>
      </w:r>
    </w:p>
    <w:p w14:paraId="41AB2CD4"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Vzhľadom na to, že sa podáva nízka dávka, dochádza k minimálnej systémovej expozícii. Pokiaľ však nie sú dostupné dostatočné skúsenosti u človeka, je potrebné, ako pri všetkých liečivách, postupovať opatrne počas gravidity a dojčenia.</w:t>
      </w:r>
    </w:p>
    <w:p w14:paraId="5EE398C1" w14:textId="77777777" w:rsidR="00DE7F2A" w:rsidRPr="00D83EB4" w:rsidRDefault="00DE7F2A" w:rsidP="00DE7F2A">
      <w:pPr>
        <w:tabs>
          <w:tab w:val="num" w:pos="0"/>
        </w:tabs>
        <w:rPr>
          <w:sz w:val="22"/>
          <w:szCs w:val="22"/>
        </w:rPr>
      </w:pPr>
    </w:p>
    <w:p w14:paraId="5C6818DA" w14:textId="77777777" w:rsidR="00DE7F2A" w:rsidRPr="00D83EB4" w:rsidRDefault="00DE7F2A" w:rsidP="00DE7F2A">
      <w:pPr>
        <w:tabs>
          <w:tab w:val="num" w:pos="0"/>
        </w:tabs>
        <w:rPr>
          <w:sz w:val="22"/>
          <w:szCs w:val="22"/>
        </w:rPr>
      </w:pPr>
      <w:r w:rsidRPr="00D83EB4">
        <w:rPr>
          <w:sz w:val="22"/>
          <w:szCs w:val="22"/>
        </w:rPr>
        <w:t xml:space="preserve">Aj napriek tomu, že sa doposiaľ v štúdiách s laboratórnymi zvieratami nezistili žiadne dôkazy teratogénneho účinku po dávkach vysoko prevyšujúcich terapeutickú dávku, súčasné terapeutické koncepty neodporúčajú používanie </w:t>
      </w:r>
      <w:r w:rsidRPr="00D83EB4">
        <w:rPr>
          <w:bCs/>
          <w:sz w:val="22"/>
          <w:szCs w:val="22"/>
        </w:rPr>
        <w:t>Allergodilu</w:t>
      </w:r>
      <w:r w:rsidRPr="00D83EB4">
        <w:rPr>
          <w:sz w:val="22"/>
          <w:szCs w:val="22"/>
        </w:rPr>
        <w:t xml:space="preserve"> nosovej aerodisperzie počas prvého trimestra gravidity.</w:t>
      </w:r>
    </w:p>
    <w:p w14:paraId="208E3CE3" w14:textId="77777777" w:rsidR="00DE7F2A" w:rsidRPr="00D83EB4" w:rsidRDefault="00DE7F2A" w:rsidP="00DE7F2A">
      <w:pPr>
        <w:tabs>
          <w:tab w:val="num" w:pos="0"/>
        </w:tabs>
        <w:rPr>
          <w:sz w:val="22"/>
          <w:szCs w:val="22"/>
        </w:rPr>
      </w:pPr>
      <w:r w:rsidRPr="00D83EB4">
        <w:rPr>
          <w:bCs/>
          <w:sz w:val="22"/>
          <w:szCs w:val="22"/>
        </w:rPr>
        <w:t>Allergodil</w:t>
      </w:r>
      <w:r w:rsidRPr="00D83EB4">
        <w:rPr>
          <w:sz w:val="22"/>
          <w:szCs w:val="22"/>
        </w:rPr>
        <w:t xml:space="preserve"> nosová aerodisperzia sa nemá používať počas dojčenia, pretože nie sú dostatočné dôkazy o bezpečnosti tohto lieku počas dojčenia.</w:t>
      </w:r>
    </w:p>
    <w:p w14:paraId="0BC29434" w14:textId="77777777" w:rsidR="00DE7F2A" w:rsidRPr="00D83EB4" w:rsidRDefault="00DE7F2A" w:rsidP="00DE7F2A">
      <w:pPr>
        <w:tabs>
          <w:tab w:val="num" w:pos="0"/>
        </w:tabs>
        <w:rPr>
          <w:sz w:val="22"/>
          <w:szCs w:val="22"/>
          <w:highlight w:val="green"/>
        </w:rPr>
      </w:pPr>
    </w:p>
    <w:p w14:paraId="42BC4A29" w14:textId="77777777" w:rsidR="00DE7F2A" w:rsidRPr="00D83EB4" w:rsidRDefault="00DE7F2A" w:rsidP="00DE7F2A">
      <w:pPr>
        <w:pStyle w:val="Nadpis1"/>
        <w:keepLines/>
        <w:suppressAutoHyphens/>
        <w:ind w:left="561" w:hanging="561"/>
        <w:rPr>
          <w:bCs/>
          <w:szCs w:val="22"/>
        </w:rPr>
      </w:pPr>
      <w:r w:rsidRPr="00D83EB4">
        <w:rPr>
          <w:bCs/>
          <w:szCs w:val="22"/>
        </w:rPr>
        <w:t>4.7</w:t>
      </w:r>
      <w:r w:rsidRPr="00D83EB4">
        <w:rPr>
          <w:bCs/>
          <w:szCs w:val="22"/>
        </w:rPr>
        <w:tab/>
        <w:t>Ovplyvnenie schopnosti viesť vozidlá a obsluhovať stroje</w:t>
      </w:r>
    </w:p>
    <w:p w14:paraId="4C75D45F" w14:textId="77777777" w:rsidR="00DE7F2A" w:rsidRPr="00D83EB4" w:rsidRDefault="00DE7F2A" w:rsidP="00DE7F2A">
      <w:pPr>
        <w:keepNext/>
        <w:rPr>
          <w:sz w:val="22"/>
          <w:szCs w:val="22"/>
        </w:rPr>
      </w:pPr>
    </w:p>
    <w:p w14:paraId="5F61134E" w14:textId="77777777" w:rsidR="00DE7F2A" w:rsidRPr="00D83EB4" w:rsidRDefault="00DE7F2A" w:rsidP="00DE7F2A">
      <w:pPr>
        <w:pStyle w:val="Zarkazkladnhotextu"/>
        <w:tabs>
          <w:tab w:val="num" w:pos="0"/>
        </w:tabs>
        <w:ind w:left="0"/>
        <w:rPr>
          <w:rFonts w:ascii="Times New Roman" w:hAnsi="Times New Roman"/>
          <w:sz w:val="22"/>
          <w:szCs w:val="22"/>
        </w:rPr>
      </w:pPr>
      <w:r w:rsidRPr="00D83EB4">
        <w:rPr>
          <w:rFonts w:ascii="Times New Roman" w:hAnsi="Times New Roman"/>
          <w:sz w:val="22"/>
          <w:szCs w:val="22"/>
        </w:rPr>
        <w:t>Allergodil nosová aerodisperzia nemá žiadny alebo má zanedbateľný vplyv na schopnosť viesť vozidlá a obsluhovať stroje.</w:t>
      </w:r>
    </w:p>
    <w:p w14:paraId="2A2E8C87" w14:textId="77777777" w:rsidR="00DE7F2A" w:rsidRPr="00D83EB4" w:rsidRDefault="00DE7F2A" w:rsidP="00DE7F2A">
      <w:pPr>
        <w:pStyle w:val="Zarkazkladnhotextu"/>
        <w:tabs>
          <w:tab w:val="num" w:pos="0"/>
        </w:tabs>
        <w:ind w:left="0"/>
        <w:rPr>
          <w:rFonts w:ascii="Times New Roman" w:hAnsi="Times New Roman"/>
          <w:sz w:val="22"/>
          <w:szCs w:val="22"/>
          <w:highlight w:val="green"/>
        </w:rPr>
      </w:pPr>
    </w:p>
    <w:p w14:paraId="56D1CDD1" w14:textId="77777777" w:rsidR="00DE7F2A" w:rsidRPr="00D83EB4" w:rsidRDefault="00DE7F2A" w:rsidP="00DE7F2A">
      <w:pPr>
        <w:pStyle w:val="Nadpis1"/>
        <w:keepLines/>
        <w:suppressAutoHyphens/>
        <w:ind w:left="561" w:hanging="561"/>
        <w:rPr>
          <w:bCs/>
          <w:szCs w:val="22"/>
        </w:rPr>
      </w:pPr>
      <w:r w:rsidRPr="00D83EB4">
        <w:rPr>
          <w:bCs/>
          <w:szCs w:val="22"/>
        </w:rPr>
        <w:t>4.8</w:t>
      </w:r>
      <w:r w:rsidRPr="00D83EB4">
        <w:rPr>
          <w:bCs/>
          <w:szCs w:val="22"/>
        </w:rPr>
        <w:tab/>
        <w:t>Nežiaduce účinky</w:t>
      </w:r>
    </w:p>
    <w:p w14:paraId="49D19C4C" w14:textId="77777777" w:rsidR="00DE7F2A" w:rsidRPr="00D83EB4" w:rsidRDefault="00DE7F2A" w:rsidP="00DE7F2A">
      <w:pPr>
        <w:keepNext/>
        <w:rPr>
          <w:sz w:val="22"/>
          <w:szCs w:val="22"/>
        </w:rPr>
      </w:pPr>
    </w:p>
    <w:p w14:paraId="0965F37E" w14:textId="347F29FB"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Na základe klinických štúdií po podaní dennej dávky 0,56 mg azelastínium</w:t>
      </w:r>
      <w:r w:rsidR="00D83EB4" w:rsidRPr="00D83EB4">
        <w:rPr>
          <w:rFonts w:ascii="Times New Roman" w:hAnsi="Times New Roman" w:cs="Times New Roman"/>
          <w:sz w:val="22"/>
          <w:szCs w:val="22"/>
        </w:rPr>
        <w:t>-</w:t>
      </w:r>
      <w:r w:rsidRPr="00D83EB4">
        <w:rPr>
          <w:rFonts w:ascii="Times New Roman" w:hAnsi="Times New Roman" w:cs="Times New Roman"/>
          <w:sz w:val="22"/>
          <w:szCs w:val="22"/>
        </w:rPr>
        <w:t>chloridu sa s nasledovnou frekvenciou vyskytovali a opísali tieto nežiaduce účinky:</w:t>
      </w:r>
    </w:p>
    <w:p w14:paraId="273AE11F" w14:textId="77777777" w:rsidR="00DE7F2A" w:rsidRPr="00D83EB4" w:rsidRDefault="00DE7F2A" w:rsidP="00DE7F2A">
      <w:pPr>
        <w:pStyle w:val="Zkladntext"/>
        <w:numPr>
          <w:ilvl w:val="0"/>
          <w:numId w:val="2"/>
        </w:numPr>
        <w:ind w:left="567" w:hanging="567"/>
        <w:rPr>
          <w:szCs w:val="22"/>
        </w:rPr>
      </w:pPr>
      <w:r w:rsidRPr="00D83EB4">
        <w:rPr>
          <w:szCs w:val="22"/>
        </w:rPr>
        <w:t>v zriedkavých prípadoch podráždenie zapálenej nosovej sliznice napr. pichanie, svrbenie a kýchanie, v zriedkavých prípadoch krvácanie z nosa,</w:t>
      </w:r>
    </w:p>
    <w:p w14:paraId="18DB2C85" w14:textId="77777777" w:rsidR="00DE7F2A" w:rsidRPr="00D83EB4" w:rsidRDefault="00DE7F2A" w:rsidP="00DE7F2A">
      <w:pPr>
        <w:numPr>
          <w:ilvl w:val="0"/>
          <w:numId w:val="2"/>
        </w:numPr>
        <w:ind w:left="567" w:hanging="567"/>
        <w:rPr>
          <w:sz w:val="22"/>
          <w:szCs w:val="22"/>
        </w:rPr>
      </w:pPr>
      <w:r w:rsidRPr="00D83EB4">
        <w:rPr>
          <w:sz w:val="22"/>
          <w:szCs w:val="22"/>
        </w:rPr>
        <w:t>horká chuť po aplikácii (zapríčinená nesprávnou aplikáciou napr. zaklonením hlavy dozadu), čo môže vyvolať príležitostne nauzeu.</w:t>
      </w:r>
    </w:p>
    <w:p w14:paraId="2B479E05" w14:textId="77777777" w:rsidR="00DE7F2A" w:rsidRPr="00D83EB4" w:rsidRDefault="00DE7F2A" w:rsidP="00DE7F2A">
      <w:pPr>
        <w:tabs>
          <w:tab w:val="num" w:pos="0"/>
        </w:tabs>
        <w:rPr>
          <w:bCs/>
          <w:sz w:val="22"/>
          <w:szCs w:val="22"/>
        </w:rPr>
      </w:pPr>
    </w:p>
    <w:p w14:paraId="7585E607" w14:textId="77777777" w:rsidR="00DE7F2A" w:rsidRPr="00D83EB4" w:rsidRDefault="00DE7F2A" w:rsidP="00DE7F2A">
      <w:pPr>
        <w:autoSpaceDE w:val="0"/>
        <w:autoSpaceDN w:val="0"/>
        <w:adjustRightInd w:val="0"/>
        <w:rPr>
          <w:sz w:val="22"/>
          <w:szCs w:val="22"/>
          <w:u w:val="single"/>
        </w:rPr>
      </w:pPr>
      <w:r w:rsidRPr="00D83EB4">
        <w:rPr>
          <w:sz w:val="22"/>
          <w:szCs w:val="22"/>
          <w:u w:val="single"/>
        </w:rPr>
        <w:t>Hlásenie podozrení na nežiaduce reakcie</w:t>
      </w:r>
    </w:p>
    <w:p w14:paraId="2CD68DEF" w14:textId="7FB7D4C2" w:rsidR="00DE7F2A" w:rsidRPr="00D83EB4" w:rsidRDefault="00DE7F2A" w:rsidP="00DE7F2A">
      <w:pPr>
        <w:autoSpaceDE w:val="0"/>
        <w:autoSpaceDN w:val="0"/>
        <w:adjustRightInd w:val="0"/>
        <w:rPr>
          <w:sz w:val="22"/>
          <w:szCs w:val="22"/>
        </w:rPr>
      </w:pPr>
      <w:r w:rsidRPr="00D83EB4">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D83EB4">
        <w:rPr>
          <w:sz w:val="22"/>
          <w:szCs w:val="22"/>
          <w:highlight w:val="lightGray"/>
        </w:rPr>
        <w:t>národné centrum hlásenia uvedené v </w:t>
      </w:r>
      <w:hyperlink r:id="rId7" w:history="1">
        <w:r w:rsidRPr="00D83EB4">
          <w:rPr>
            <w:rStyle w:val="Hypertextovprepojenie"/>
            <w:sz w:val="22"/>
            <w:szCs w:val="22"/>
            <w:shd w:val="clear" w:color="auto" w:fill="BFBFBF"/>
          </w:rPr>
          <w:t>Prílohe V</w:t>
        </w:r>
      </w:hyperlink>
      <w:r w:rsidRPr="00D83EB4">
        <w:rPr>
          <w:sz w:val="22"/>
          <w:szCs w:val="22"/>
          <w:shd w:val="clear" w:color="auto" w:fill="BFBFBF"/>
        </w:rPr>
        <w:t>.</w:t>
      </w:r>
    </w:p>
    <w:p w14:paraId="3E0FD92C" w14:textId="77777777" w:rsidR="00DE7F2A" w:rsidRPr="00D83EB4" w:rsidRDefault="00DE7F2A" w:rsidP="00DE7F2A">
      <w:pPr>
        <w:rPr>
          <w:sz w:val="22"/>
          <w:szCs w:val="22"/>
        </w:rPr>
      </w:pPr>
    </w:p>
    <w:p w14:paraId="010B548A" w14:textId="77777777" w:rsidR="00DE7F2A" w:rsidRPr="00D83EB4" w:rsidRDefault="00DE7F2A" w:rsidP="00DE7F2A">
      <w:pPr>
        <w:pStyle w:val="Nadpis1"/>
        <w:keepLines/>
        <w:suppressAutoHyphens/>
        <w:ind w:left="561" w:hanging="561"/>
        <w:rPr>
          <w:bCs/>
          <w:szCs w:val="22"/>
        </w:rPr>
      </w:pPr>
      <w:r w:rsidRPr="00D83EB4">
        <w:rPr>
          <w:bCs/>
          <w:szCs w:val="22"/>
        </w:rPr>
        <w:t>4.9</w:t>
      </w:r>
      <w:r w:rsidRPr="00D83EB4">
        <w:rPr>
          <w:bCs/>
          <w:szCs w:val="22"/>
        </w:rPr>
        <w:tab/>
        <w:t>Predávkovanie</w:t>
      </w:r>
    </w:p>
    <w:p w14:paraId="2AB6E6A9" w14:textId="77777777" w:rsidR="00DE7F2A" w:rsidRPr="00D83EB4" w:rsidRDefault="00DE7F2A" w:rsidP="00DE7F2A">
      <w:pPr>
        <w:keepNext/>
        <w:tabs>
          <w:tab w:val="num" w:pos="0"/>
        </w:tabs>
        <w:rPr>
          <w:sz w:val="22"/>
          <w:szCs w:val="22"/>
        </w:rPr>
      </w:pPr>
    </w:p>
    <w:p w14:paraId="45BBA189" w14:textId="77777777" w:rsidR="00DE7F2A" w:rsidRPr="00D83EB4" w:rsidRDefault="00DE7F2A" w:rsidP="00DE7F2A">
      <w:pPr>
        <w:pStyle w:val="Zkladntext2"/>
        <w:jc w:val="left"/>
        <w:rPr>
          <w:szCs w:val="22"/>
        </w:rPr>
      </w:pPr>
      <w:r w:rsidRPr="00D83EB4">
        <w:rPr>
          <w:szCs w:val="22"/>
        </w:rPr>
        <w:t>Pri aplikácii do nosa sa reakcie z predávkovania nepredpokladajú. Výsledky štúdií so zvieratami ukazujú, že toxická dávka môže vyvolať centrálne nervové príznaky, t.j. excitáciu, tremor a kŕče. V prípade predávkovania sa po náhodnom perorálnom užití môžu objaviť prejavy a príznaky, ktoré sa u ľudí môžu prejaviť ospalosťou, zmätenosťou, kómou, tachykardiou a hypotenziou. Pri skorom zistení predávkovania sa odporúča vykonať výplach žalúdka. Žiadne antidotum nie je známe.</w:t>
      </w:r>
    </w:p>
    <w:p w14:paraId="4A30D654" w14:textId="77777777" w:rsidR="00DE7F2A" w:rsidRPr="00D83EB4" w:rsidRDefault="00DE7F2A" w:rsidP="00DE7F2A">
      <w:pPr>
        <w:tabs>
          <w:tab w:val="num" w:pos="0"/>
        </w:tabs>
        <w:rPr>
          <w:sz w:val="22"/>
          <w:szCs w:val="22"/>
          <w:highlight w:val="green"/>
        </w:rPr>
      </w:pPr>
    </w:p>
    <w:p w14:paraId="4E9B36AC" w14:textId="77777777" w:rsidR="00DE7F2A" w:rsidRPr="00D83EB4" w:rsidRDefault="00DE7F2A" w:rsidP="00DE7F2A">
      <w:pPr>
        <w:tabs>
          <w:tab w:val="num" w:pos="0"/>
        </w:tabs>
        <w:rPr>
          <w:sz w:val="22"/>
          <w:szCs w:val="22"/>
          <w:highlight w:val="green"/>
        </w:rPr>
      </w:pPr>
    </w:p>
    <w:p w14:paraId="338D3C60" w14:textId="77777777" w:rsidR="00DE7F2A" w:rsidRPr="00D83EB4" w:rsidRDefault="00DE7F2A" w:rsidP="00DE7F2A">
      <w:pPr>
        <w:pStyle w:val="Nadpis1"/>
        <w:keepLines/>
        <w:suppressAutoHyphens/>
        <w:ind w:left="561" w:hanging="561"/>
        <w:rPr>
          <w:caps/>
          <w:szCs w:val="22"/>
        </w:rPr>
      </w:pPr>
      <w:r w:rsidRPr="00D83EB4">
        <w:rPr>
          <w:caps/>
          <w:szCs w:val="22"/>
        </w:rPr>
        <w:lastRenderedPageBreak/>
        <w:t>5.</w:t>
      </w:r>
      <w:r w:rsidRPr="00D83EB4">
        <w:rPr>
          <w:caps/>
          <w:szCs w:val="22"/>
        </w:rPr>
        <w:tab/>
        <w:t>Farmakologické vlastnosti</w:t>
      </w:r>
    </w:p>
    <w:p w14:paraId="4C520B30" w14:textId="77777777" w:rsidR="00DE7F2A" w:rsidRPr="00D83EB4" w:rsidRDefault="00DE7F2A" w:rsidP="00DE7F2A">
      <w:pPr>
        <w:keepNext/>
        <w:rPr>
          <w:bCs/>
          <w:sz w:val="22"/>
          <w:szCs w:val="22"/>
        </w:rPr>
      </w:pPr>
    </w:p>
    <w:p w14:paraId="028401E3" w14:textId="77777777" w:rsidR="00DE7F2A" w:rsidRPr="00D83EB4" w:rsidRDefault="00DE7F2A" w:rsidP="00DE7F2A">
      <w:pPr>
        <w:pStyle w:val="Nadpis1"/>
        <w:keepLines/>
        <w:suppressAutoHyphens/>
        <w:ind w:left="561" w:hanging="561"/>
        <w:rPr>
          <w:szCs w:val="22"/>
        </w:rPr>
      </w:pPr>
      <w:r w:rsidRPr="00D83EB4">
        <w:rPr>
          <w:szCs w:val="22"/>
        </w:rPr>
        <w:t>5.1</w:t>
      </w:r>
      <w:r w:rsidRPr="00D83EB4">
        <w:rPr>
          <w:szCs w:val="22"/>
        </w:rPr>
        <w:tab/>
        <w:t>Farmakodynamické vlastnosti</w:t>
      </w:r>
    </w:p>
    <w:p w14:paraId="1D4925F4" w14:textId="77777777" w:rsidR="00DE7F2A" w:rsidRPr="00D83EB4" w:rsidRDefault="00DE7F2A" w:rsidP="00DE7F2A">
      <w:pPr>
        <w:keepNext/>
        <w:rPr>
          <w:sz w:val="22"/>
          <w:szCs w:val="22"/>
        </w:rPr>
      </w:pPr>
    </w:p>
    <w:p w14:paraId="1A41B5DF" w14:textId="77777777" w:rsidR="00DE7F2A" w:rsidRPr="00D83EB4" w:rsidRDefault="00DE7F2A" w:rsidP="00DE7F2A">
      <w:pPr>
        <w:rPr>
          <w:sz w:val="22"/>
          <w:szCs w:val="22"/>
        </w:rPr>
      </w:pPr>
      <w:r w:rsidRPr="00D83EB4">
        <w:rPr>
          <w:sz w:val="22"/>
          <w:szCs w:val="22"/>
        </w:rPr>
        <w:t>Farmakoterapeutická skupina: Antihistaminikum, antialergikum, ATC kód: R01AC03</w:t>
      </w:r>
    </w:p>
    <w:p w14:paraId="65EAE747"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p>
    <w:p w14:paraId="7FB782A1" w14:textId="77777777" w:rsidR="00DE7F2A" w:rsidRPr="00D83EB4" w:rsidRDefault="00DE7F2A" w:rsidP="00DE7F2A">
      <w:pPr>
        <w:rPr>
          <w:sz w:val="22"/>
          <w:szCs w:val="22"/>
        </w:rPr>
      </w:pPr>
      <w:r w:rsidRPr="00D83EB4">
        <w:rPr>
          <w:sz w:val="22"/>
          <w:szCs w:val="22"/>
        </w:rPr>
        <w:t>Azelastín je ftalazinónový derivát s originálnou štruktúrou klasifikovaný ako dlhodobo pôsobiaca antialergická látka s osobitne silnými selektívnymi H</w:t>
      </w:r>
      <w:r w:rsidRPr="00D83EB4">
        <w:rPr>
          <w:position w:val="-6"/>
          <w:sz w:val="22"/>
          <w:szCs w:val="22"/>
        </w:rPr>
        <w:t xml:space="preserve">1 </w:t>
      </w:r>
      <w:r w:rsidRPr="00D83EB4">
        <w:rPr>
          <w:sz w:val="22"/>
          <w:szCs w:val="22"/>
        </w:rPr>
        <w:t>antagonistickými vlastnosťami.</w:t>
      </w:r>
    </w:p>
    <w:p w14:paraId="3E1B53A6" w14:textId="77777777" w:rsidR="00DE7F2A" w:rsidRPr="00D83EB4" w:rsidRDefault="00DE7F2A" w:rsidP="00DE7F2A">
      <w:pPr>
        <w:rPr>
          <w:sz w:val="22"/>
          <w:szCs w:val="22"/>
        </w:rPr>
      </w:pPr>
      <w:r w:rsidRPr="00D83EB4">
        <w:rPr>
          <w:sz w:val="22"/>
          <w:szCs w:val="22"/>
        </w:rPr>
        <w:t xml:space="preserve">Údaje z </w:t>
      </w:r>
      <w:r w:rsidRPr="00D83EB4">
        <w:rPr>
          <w:i/>
          <w:sz w:val="22"/>
          <w:szCs w:val="22"/>
        </w:rPr>
        <w:t xml:space="preserve">in vivo </w:t>
      </w:r>
      <w:r w:rsidRPr="00D83EB4">
        <w:rPr>
          <w:sz w:val="22"/>
          <w:szCs w:val="22"/>
        </w:rPr>
        <w:t xml:space="preserve">(predklinických) a </w:t>
      </w:r>
      <w:r w:rsidRPr="00D83EB4">
        <w:rPr>
          <w:i/>
          <w:sz w:val="22"/>
          <w:szCs w:val="22"/>
        </w:rPr>
        <w:t>in vitro</w:t>
      </w:r>
      <w:r w:rsidRPr="00D83EB4">
        <w:rPr>
          <w:sz w:val="22"/>
          <w:szCs w:val="22"/>
        </w:rPr>
        <w:t xml:space="preserve"> štúdií ukazujú, že azelastín inhibuje syntézu alebo uvoľňovanie chemických mediátorov, o ktorých je známe, že sa zúčastňujú alergických reakcií v skorej a v neskorej fáze napr. leukotriény, histamín, inhibítory PAF a sérotonín.</w:t>
      </w:r>
    </w:p>
    <w:p w14:paraId="3964D634" w14:textId="77777777" w:rsidR="00DE7F2A" w:rsidRPr="00D83EB4" w:rsidRDefault="00DE7F2A" w:rsidP="00DE7F2A">
      <w:pPr>
        <w:rPr>
          <w:i/>
          <w:sz w:val="22"/>
          <w:szCs w:val="22"/>
        </w:rPr>
      </w:pPr>
      <w:r w:rsidRPr="00D83EB4">
        <w:rPr>
          <w:sz w:val="22"/>
          <w:szCs w:val="22"/>
        </w:rPr>
        <w:t xml:space="preserve">Analýza EKG pacientov, ktorí sa dlhodobo liečili azelastínom neukázala klinicky významný účinok azelastínu na QTc interval v štúdiách s niekoľkonásobnými dávkami. U viac ako 3 700 pacientov liečených perorálne azelastínom sa nepozorovala žiadna súvislosť azelastínu s ventrikulárnou arytmiou alebo </w:t>
      </w:r>
      <w:r w:rsidRPr="00D83EB4">
        <w:rPr>
          <w:i/>
          <w:sz w:val="22"/>
          <w:szCs w:val="22"/>
        </w:rPr>
        <w:t>torsade de pointes.</w:t>
      </w:r>
    </w:p>
    <w:p w14:paraId="6C7A6CFE" w14:textId="77777777" w:rsidR="00DE7F2A" w:rsidRPr="00D83EB4" w:rsidRDefault="00DE7F2A" w:rsidP="00DE7F2A">
      <w:pPr>
        <w:tabs>
          <w:tab w:val="num" w:pos="0"/>
        </w:tabs>
        <w:rPr>
          <w:sz w:val="22"/>
          <w:szCs w:val="22"/>
        </w:rPr>
      </w:pPr>
      <w:r w:rsidRPr="00D83EB4">
        <w:rPr>
          <w:sz w:val="22"/>
          <w:szCs w:val="22"/>
        </w:rPr>
        <w:t>Údaje z klinických štúdií ukazujú, že nosový sprej azelastínu má rýchlejší nástup účinku ako tablety desloratadínu a nazálne podávaného mometazónu. Zmiernenie nazálnych príznakov alergie sa pozoruje do 15 minút po podaní.</w:t>
      </w:r>
    </w:p>
    <w:p w14:paraId="2FB43FE4" w14:textId="77777777" w:rsidR="00DE7F2A" w:rsidRPr="00D83EB4" w:rsidRDefault="00DE7F2A" w:rsidP="00DE7F2A">
      <w:pPr>
        <w:tabs>
          <w:tab w:val="num" w:pos="0"/>
        </w:tabs>
        <w:rPr>
          <w:sz w:val="22"/>
          <w:szCs w:val="22"/>
        </w:rPr>
      </w:pPr>
    </w:p>
    <w:p w14:paraId="3103CBCC" w14:textId="77777777" w:rsidR="00DE7F2A" w:rsidRPr="00D83EB4" w:rsidRDefault="00DE7F2A" w:rsidP="00DE7F2A">
      <w:pPr>
        <w:pStyle w:val="Nadpis1"/>
        <w:keepLines/>
        <w:suppressAutoHyphens/>
        <w:ind w:left="561" w:hanging="561"/>
        <w:rPr>
          <w:bCs/>
          <w:szCs w:val="22"/>
        </w:rPr>
      </w:pPr>
      <w:r w:rsidRPr="00D83EB4">
        <w:rPr>
          <w:bCs/>
          <w:szCs w:val="22"/>
        </w:rPr>
        <w:t>5.2</w:t>
      </w:r>
      <w:r w:rsidRPr="00D83EB4">
        <w:rPr>
          <w:bCs/>
          <w:szCs w:val="22"/>
        </w:rPr>
        <w:tab/>
        <w:t>Farmakokinetické vlastnosti</w:t>
      </w:r>
    </w:p>
    <w:p w14:paraId="79AE0CE6" w14:textId="77777777" w:rsidR="00DE7F2A" w:rsidRPr="00D83EB4" w:rsidRDefault="00DE7F2A" w:rsidP="00DE7F2A">
      <w:pPr>
        <w:keepNext/>
        <w:tabs>
          <w:tab w:val="num" w:pos="0"/>
        </w:tabs>
        <w:rPr>
          <w:sz w:val="22"/>
          <w:szCs w:val="22"/>
        </w:rPr>
      </w:pPr>
    </w:p>
    <w:p w14:paraId="2531D1D0" w14:textId="77777777" w:rsidR="00DE7F2A" w:rsidRPr="00D83EB4" w:rsidRDefault="00DE7F2A" w:rsidP="00DE7F2A">
      <w:pPr>
        <w:rPr>
          <w:sz w:val="22"/>
          <w:szCs w:val="22"/>
        </w:rPr>
      </w:pPr>
      <w:r w:rsidRPr="00D83EB4">
        <w:rPr>
          <w:sz w:val="22"/>
          <w:szCs w:val="22"/>
        </w:rPr>
        <w:t>Po perorálnom podaní sa azelastín rýchlo absorbuje a vykazuje 81 % absolútnu biologickú dostupnosť. Potrava nemá žiaden vplyv na absorpciu. Distribučný objem je veľký, čo poukazuje na distribúciu prevažne v periférnych tkanivách. Väzba na bielkoviny je relatívne nízka (80 % - 90 %).</w:t>
      </w:r>
    </w:p>
    <w:p w14:paraId="034ACE97" w14:textId="0D7A4459" w:rsidR="00DE7F2A" w:rsidRPr="00D83EB4" w:rsidRDefault="00DE7F2A" w:rsidP="00DE7F2A">
      <w:pPr>
        <w:tabs>
          <w:tab w:val="num" w:pos="0"/>
        </w:tabs>
        <w:rPr>
          <w:sz w:val="22"/>
          <w:szCs w:val="22"/>
        </w:rPr>
      </w:pPr>
      <w:r w:rsidRPr="00D83EB4">
        <w:rPr>
          <w:sz w:val="22"/>
          <w:szCs w:val="22"/>
        </w:rPr>
        <w:t>Polčas plazmatickej eliminácie po jednorazovej dávke azelastínu je približne 20 hodín pre azelastín a okolo 45 hodín pre terapeuticky aktívny metabolit N-desmetylazelastín. Exkrécia azelastínium</w:t>
      </w:r>
      <w:r w:rsidR="00D83EB4" w:rsidRPr="00D83EB4">
        <w:rPr>
          <w:sz w:val="22"/>
          <w:szCs w:val="22"/>
        </w:rPr>
        <w:t>-</w:t>
      </w:r>
      <w:r w:rsidRPr="00D83EB4">
        <w:rPr>
          <w:sz w:val="22"/>
          <w:szCs w:val="22"/>
        </w:rPr>
        <w:t>chloridu sa uskutočňuje prevažne stolicou. Stále vylučovanie malého množstva azelastínu do stolice poukazuje na možný enterohepatálny obeh.</w:t>
      </w:r>
    </w:p>
    <w:p w14:paraId="67E428E8" w14:textId="269CCCB8" w:rsidR="00DE7F2A" w:rsidRPr="00D83EB4" w:rsidRDefault="00DE7F2A" w:rsidP="00DE7F2A">
      <w:pPr>
        <w:pStyle w:val="Zkladntext"/>
        <w:rPr>
          <w:szCs w:val="22"/>
        </w:rPr>
      </w:pPr>
      <w:r w:rsidRPr="00D83EB4">
        <w:rPr>
          <w:szCs w:val="22"/>
        </w:rPr>
        <w:t>Po opakovanej aplikácii dennej dávky 0,56 mg azelastínium</w:t>
      </w:r>
      <w:r w:rsidR="00D83EB4" w:rsidRPr="00D83EB4">
        <w:rPr>
          <w:szCs w:val="22"/>
        </w:rPr>
        <w:t>-</w:t>
      </w:r>
      <w:r w:rsidRPr="00D83EB4">
        <w:rPr>
          <w:szCs w:val="22"/>
        </w:rPr>
        <w:t>chloridu do nosa (čo zodpovedá jednej aplikačnej dávke do oboch nosných dierok dvakrát denne ) zdravým dobrovoľníkom, sa dosiahla rovnovážna plazmatická koncentrácia C</w:t>
      </w:r>
      <w:r w:rsidRPr="00D83EB4">
        <w:rPr>
          <w:szCs w:val="22"/>
          <w:vertAlign w:val="subscript"/>
        </w:rPr>
        <w:t>max</w:t>
      </w:r>
      <w:r w:rsidRPr="00D83EB4">
        <w:rPr>
          <w:szCs w:val="22"/>
        </w:rPr>
        <w:t xml:space="preserve"> azelastínu 0,27 ng/ml. Hladiny aktívneho metabolitu N-desmetylazelastínu boli detekované pri spodnej hranici kvantifikácie (0,12 ng/ml).</w:t>
      </w:r>
    </w:p>
    <w:p w14:paraId="37023303" w14:textId="4034B7A5" w:rsidR="00DE7F2A" w:rsidRPr="00D83EB4" w:rsidRDefault="00DE7F2A" w:rsidP="00DE7F2A">
      <w:pPr>
        <w:pStyle w:val="Zkladntext"/>
        <w:rPr>
          <w:szCs w:val="22"/>
        </w:rPr>
      </w:pPr>
      <w:r w:rsidRPr="00D83EB4">
        <w:rPr>
          <w:szCs w:val="22"/>
        </w:rPr>
        <w:t>Opakovaná aplikácia do nosa u pacientov s alergickou rinitídou spôsobuje v porovnaní so zdravými dobrovoľníkmi zvýšenie plazmatických hladín azelastínu. To poukazuje na možnosť zvýšenej systémovej absorpcie (najpravdepodobnejšou príčinou je lepší prienik cez zapálenú nosovú sliznicu). Po celkovej dennej dávke 0,56 mg azelastínium</w:t>
      </w:r>
      <w:r w:rsidR="00D83EB4" w:rsidRPr="00D83EB4">
        <w:rPr>
          <w:szCs w:val="22"/>
        </w:rPr>
        <w:t>-</w:t>
      </w:r>
      <w:r w:rsidRPr="00D83EB4">
        <w:rPr>
          <w:szCs w:val="22"/>
        </w:rPr>
        <w:t>chloridu (napr. jedna aplikačná dávka do oboch nosných dierok dvakrát denne) sa dve hodiny po aplikácii pozorovali priemerné rovnovážne plazmatické koncentrácie azelastínu 0,65 ng/ml. Dvojnásobná denná dávka 1,12 mg azelastínium</w:t>
      </w:r>
      <w:r w:rsidR="00D83EB4" w:rsidRPr="00D83EB4">
        <w:rPr>
          <w:szCs w:val="22"/>
        </w:rPr>
        <w:t>-</w:t>
      </w:r>
      <w:r w:rsidRPr="00D83EB4">
        <w:rPr>
          <w:szCs w:val="22"/>
        </w:rPr>
        <w:t>chloridu (napr. dve aplikačné dávky do oboch nosných dierok dvakrát denne) má za následok priemerné rovnovážne plazmatické koncentrácie azelastínu 1,09 ng/ml, čo dokazuje proporcionalitu dávok bez dávkového rozmedzia.</w:t>
      </w:r>
    </w:p>
    <w:p w14:paraId="6A6BC5B1" w14:textId="417600FE" w:rsidR="00DE7F2A" w:rsidRPr="00D83EB4" w:rsidRDefault="00DE7F2A" w:rsidP="00DE7F2A">
      <w:pPr>
        <w:pStyle w:val="Zkladntext"/>
        <w:rPr>
          <w:szCs w:val="22"/>
        </w:rPr>
      </w:pPr>
      <w:r w:rsidRPr="00D83EB4">
        <w:rPr>
          <w:szCs w:val="22"/>
        </w:rPr>
        <w:t>Napriek relatívne zvýšenej absorpcii u pacientov sa však po aplikácii do nosa počíta okolo osemkrát nižšia systémová expozícia v porovnaní s perorálnou liečbou s dennými dávkami 4,4 mg azelastínium</w:t>
      </w:r>
      <w:r w:rsidR="00D83EB4" w:rsidRPr="00D83EB4">
        <w:rPr>
          <w:szCs w:val="22"/>
        </w:rPr>
        <w:t>-</w:t>
      </w:r>
      <w:r w:rsidRPr="00D83EB4">
        <w:rPr>
          <w:szCs w:val="22"/>
        </w:rPr>
        <w:t>chloridu, čo reprezentuje terapeutickú perorálnu dávku na liečbu alergickej rinitídy.</w:t>
      </w:r>
    </w:p>
    <w:p w14:paraId="438BFBB4" w14:textId="77777777" w:rsidR="00DE7F2A" w:rsidRPr="00D83EB4" w:rsidRDefault="00DE7F2A" w:rsidP="00DE7F2A">
      <w:pPr>
        <w:tabs>
          <w:tab w:val="num" w:pos="0"/>
        </w:tabs>
        <w:rPr>
          <w:sz w:val="22"/>
          <w:szCs w:val="22"/>
        </w:rPr>
      </w:pPr>
    </w:p>
    <w:p w14:paraId="6C441183" w14:textId="77777777" w:rsidR="00DE7F2A" w:rsidRPr="00D83EB4" w:rsidRDefault="00DE7F2A" w:rsidP="00DE7F2A">
      <w:pPr>
        <w:pStyle w:val="Nadpis1"/>
        <w:keepLines/>
        <w:suppressAutoHyphens/>
        <w:ind w:left="561" w:hanging="561"/>
        <w:rPr>
          <w:bCs/>
          <w:szCs w:val="22"/>
        </w:rPr>
      </w:pPr>
      <w:r w:rsidRPr="00D83EB4">
        <w:rPr>
          <w:bCs/>
          <w:szCs w:val="22"/>
        </w:rPr>
        <w:t>5.3</w:t>
      </w:r>
      <w:r w:rsidRPr="00D83EB4">
        <w:rPr>
          <w:bCs/>
          <w:szCs w:val="22"/>
        </w:rPr>
        <w:tab/>
        <w:t>Predklinické údaje o bezpečnosti</w:t>
      </w:r>
    </w:p>
    <w:p w14:paraId="0A60C8BA" w14:textId="77777777" w:rsidR="00DE7F2A" w:rsidRPr="00D83EB4" w:rsidRDefault="00DE7F2A" w:rsidP="00DE7F2A">
      <w:pPr>
        <w:keepNext/>
        <w:tabs>
          <w:tab w:val="num" w:pos="750"/>
        </w:tabs>
        <w:rPr>
          <w:sz w:val="22"/>
          <w:szCs w:val="22"/>
        </w:rPr>
      </w:pPr>
    </w:p>
    <w:p w14:paraId="3E013E0B" w14:textId="6710F81F" w:rsidR="00DE7F2A" w:rsidRPr="00D83EB4" w:rsidRDefault="00DE7F2A" w:rsidP="00DE7F2A">
      <w:pPr>
        <w:pStyle w:val="Zkladntext"/>
        <w:rPr>
          <w:szCs w:val="22"/>
        </w:rPr>
      </w:pPr>
      <w:r w:rsidRPr="00D83EB4">
        <w:rPr>
          <w:szCs w:val="22"/>
        </w:rPr>
        <w:t>Azelastínium</w:t>
      </w:r>
      <w:r w:rsidR="00D83EB4" w:rsidRPr="00D83EB4">
        <w:rPr>
          <w:szCs w:val="22"/>
        </w:rPr>
        <w:t>-</w:t>
      </w:r>
      <w:r w:rsidRPr="00D83EB4">
        <w:rPr>
          <w:szCs w:val="22"/>
        </w:rPr>
        <w:t xml:space="preserve">chlorid nevykazoval žiadny senzibilizujúci účinok u morčaťa. Azelastín nevykázal žiadne genotoxické účinky v súbore pokusoch </w:t>
      </w:r>
      <w:r w:rsidRPr="00D83EB4">
        <w:rPr>
          <w:i/>
          <w:iCs/>
          <w:szCs w:val="22"/>
        </w:rPr>
        <w:t>in vitro</w:t>
      </w:r>
      <w:r w:rsidRPr="00D83EB4">
        <w:rPr>
          <w:szCs w:val="22"/>
        </w:rPr>
        <w:t xml:space="preserve"> a </w:t>
      </w:r>
      <w:r w:rsidRPr="00D83EB4">
        <w:rPr>
          <w:i/>
          <w:iCs/>
          <w:szCs w:val="22"/>
        </w:rPr>
        <w:t>in vivo</w:t>
      </w:r>
      <w:r w:rsidRPr="00D83EB4">
        <w:rPr>
          <w:szCs w:val="22"/>
        </w:rPr>
        <w:t xml:space="preserve"> testov, ani žiadne karcinogénne účinky u potkanov alebo myší. U samcov a samíc potkanov vyvolal azelastín po perorálnych dávkach vyšších ako 30 mg/kg/deň dávkovo závislé zníženie indexu fertility, neboli však zistené žiadne, od účinnej dávky závislé zmeny v reprodukčných orgánoch samcov alebo samičiek počas chronických štúdií toxicity.</w:t>
      </w:r>
    </w:p>
    <w:p w14:paraId="50B607DC"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Embryotoxické a teratogénne účinky u potkanov, myší a králikov sa vyskytovali len po použití maternálnych toxických dávok (napr. malformácie skeletu boli pozorované u potkanov a králikov po dávkach 50 mg/kg/deň).</w:t>
      </w:r>
    </w:p>
    <w:p w14:paraId="725850EB"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p>
    <w:p w14:paraId="41254AF2" w14:textId="77777777" w:rsidR="00DE7F2A" w:rsidRPr="00D83EB4" w:rsidRDefault="00DE7F2A" w:rsidP="00DE7F2A">
      <w:pPr>
        <w:tabs>
          <w:tab w:val="num" w:pos="0"/>
        </w:tabs>
        <w:rPr>
          <w:sz w:val="22"/>
          <w:szCs w:val="22"/>
        </w:rPr>
      </w:pPr>
    </w:p>
    <w:p w14:paraId="4EB8FE41" w14:textId="77777777" w:rsidR="00DE7F2A" w:rsidRPr="00D83EB4" w:rsidRDefault="00DE7F2A" w:rsidP="00DE7F2A">
      <w:pPr>
        <w:pStyle w:val="Nadpis1"/>
        <w:keepLines/>
        <w:suppressAutoHyphens/>
        <w:ind w:left="561" w:hanging="561"/>
        <w:rPr>
          <w:szCs w:val="22"/>
        </w:rPr>
      </w:pPr>
      <w:r w:rsidRPr="00D83EB4">
        <w:rPr>
          <w:caps/>
          <w:szCs w:val="22"/>
        </w:rPr>
        <w:lastRenderedPageBreak/>
        <w:t>6.</w:t>
      </w:r>
      <w:r w:rsidRPr="00D83EB4">
        <w:rPr>
          <w:caps/>
          <w:szCs w:val="22"/>
        </w:rPr>
        <w:tab/>
        <w:t>Farmaceutické informácie</w:t>
      </w:r>
    </w:p>
    <w:p w14:paraId="29FEE360" w14:textId="77777777" w:rsidR="00DE7F2A" w:rsidRPr="00D83EB4" w:rsidRDefault="00DE7F2A" w:rsidP="00DE7F2A">
      <w:pPr>
        <w:keepNext/>
        <w:rPr>
          <w:bCs/>
          <w:sz w:val="22"/>
          <w:szCs w:val="22"/>
        </w:rPr>
      </w:pPr>
    </w:p>
    <w:p w14:paraId="32659299" w14:textId="77777777" w:rsidR="00DE7F2A" w:rsidRPr="00D83EB4" w:rsidRDefault="00DE7F2A" w:rsidP="00DE7F2A">
      <w:pPr>
        <w:pStyle w:val="Nadpis1"/>
        <w:keepLines/>
        <w:suppressAutoHyphens/>
        <w:ind w:left="561" w:hanging="561"/>
        <w:rPr>
          <w:szCs w:val="22"/>
        </w:rPr>
      </w:pPr>
      <w:r w:rsidRPr="00D83EB4">
        <w:rPr>
          <w:szCs w:val="22"/>
        </w:rPr>
        <w:t>6.1</w:t>
      </w:r>
      <w:r w:rsidRPr="00D83EB4">
        <w:rPr>
          <w:szCs w:val="22"/>
        </w:rPr>
        <w:tab/>
        <w:t>Zoznam pomocných látok</w:t>
      </w:r>
    </w:p>
    <w:p w14:paraId="7DB5BE50" w14:textId="77777777" w:rsidR="00DE7F2A" w:rsidRPr="00D83EB4" w:rsidRDefault="00DE7F2A" w:rsidP="00DE7F2A">
      <w:pPr>
        <w:keepNext/>
        <w:tabs>
          <w:tab w:val="num" w:pos="750"/>
        </w:tabs>
        <w:rPr>
          <w:sz w:val="22"/>
          <w:szCs w:val="22"/>
        </w:rPr>
      </w:pPr>
    </w:p>
    <w:p w14:paraId="4052EEE2" w14:textId="0C1469C8"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dihydrát edetátu</w:t>
      </w:r>
      <w:r w:rsidR="00D83EB4" w:rsidRPr="00D83EB4">
        <w:rPr>
          <w:rFonts w:ascii="Times New Roman" w:hAnsi="Times New Roman" w:cs="Times New Roman"/>
          <w:sz w:val="22"/>
          <w:szCs w:val="22"/>
        </w:rPr>
        <w:t xml:space="preserve"> disodného</w:t>
      </w:r>
    </w:p>
    <w:p w14:paraId="48A33CA0"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hypromelóza</w:t>
      </w:r>
    </w:p>
    <w:p w14:paraId="3959AEE0"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dodekahydrát hydrogénfosforečnanu sodného</w:t>
      </w:r>
    </w:p>
    <w:p w14:paraId="40969EAB" w14:textId="062AD4BB"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kyselina citrónová</w:t>
      </w:r>
    </w:p>
    <w:p w14:paraId="6D51D10C"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chlorid sodný</w:t>
      </w:r>
    </w:p>
    <w:p w14:paraId="76CDABC6" w14:textId="77777777" w:rsidR="00DE7F2A" w:rsidRPr="00D83EB4" w:rsidRDefault="00DE7F2A" w:rsidP="00DE7F2A">
      <w:pPr>
        <w:pStyle w:val="Zarkazkladnhotextu3"/>
        <w:tabs>
          <w:tab w:val="num" w:pos="0"/>
        </w:tabs>
        <w:ind w:left="0"/>
        <w:jc w:val="left"/>
        <w:rPr>
          <w:rFonts w:ascii="Times New Roman" w:hAnsi="Times New Roman" w:cs="Times New Roman"/>
          <w:sz w:val="22"/>
          <w:szCs w:val="22"/>
        </w:rPr>
      </w:pPr>
      <w:r w:rsidRPr="00D83EB4">
        <w:rPr>
          <w:rFonts w:ascii="Times New Roman" w:hAnsi="Times New Roman" w:cs="Times New Roman"/>
          <w:sz w:val="22"/>
          <w:szCs w:val="22"/>
        </w:rPr>
        <w:t>čistená voda.</w:t>
      </w:r>
    </w:p>
    <w:p w14:paraId="4B43B2DB" w14:textId="77777777" w:rsidR="00DE7F2A" w:rsidRPr="00D83EB4" w:rsidRDefault="00DE7F2A" w:rsidP="00DE7F2A">
      <w:pPr>
        <w:tabs>
          <w:tab w:val="num" w:pos="0"/>
        </w:tabs>
        <w:rPr>
          <w:bCs/>
          <w:sz w:val="22"/>
          <w:szCs w:val="22"/>
          <w:highlight w:val="green"/>
        </w:rPr>
      </w:pPr>
    </w:p>
    <w:p w14:paraId="7F3152FF" w14:textId="77777777" w:rsidR="00DE7F2A" w:rsidRPr="00D83EB4" w:rsidRDefault="00DE7F2A" w:rsidP="00DE7F2A">
      <w:pPr>
        <w:pStyle w:val="Nadpis1"/>
        <w:keepLines/>
        <w:suppressAutoHyphens/>
        <w:ind w:left="561" w:hanging="561"/>
        <w:rPr>
          <w:bCs/>
          <w:szCs w:val="22"/>
        </w:rPr>
      </w:pPr>
      <w:r w:rsidRPr="00D83EB4">
        <w:rPr>
          <w:bCs/>
          <w:szCs w:val="22"/>
        </w:rPr>
        <w:t>6.2</w:t>
      </w:r>
      <w:r w:rsidRPr="00D83EB4">
        <w:rPr>
          <w:bCs/>
          <w:szCs w:val="22"/>
        </w:rPr>
        <w:tab/>
        <w:t>Inkompatibility</w:t>
      </w:r>
    </w:p>
    <w:p w14:paraId="2249FFDE" w14:textId="77777777" w:rsidR="00DE7F2A" w:rsidRPr="00D83EB4" w:rsidRDefault="00DE7F2A" w:rsidP="00DE7F2A">
      <w:pPr>
        <w:keepNext/>
        <w:tabs>
          <w:tab w:val="num" w:pos="750"/>
        </w:tabs>
        <w:rPr>
          <w:sz w:val="22"/>
          <w:szCs w:val="22"/>
        </w:rPr>
      </w:pPr>
    </w:p>
    <w:p w14:paraId="0BE9AB9D" w14:textId="77777777" w:rsidR="00DE7F2A" w:rsidRPr="00D83EB4" w:rsidRDefault="00DE7F2A" w:rsidP="00DE7F2A">
      <w:pPr>
        <w:ind w:left="567" w:hanging="567"/>
        <w:rPr>
          <w:sz w:val="22"/>
          <w:szCs w:val="22"/>
          <w:lang w:eastAsia="sk-SK"/>
        </w:rPr>
      </w:pPr>
      <w:r w:rsidRPr="00D83EB4">
        <w:rPr>
          <w:sz w:val="22"/>
          <w:szCs w:val="22"/>
          <w:lang w:eastAsia="sk-SK"/>
        </w:rPr>
        <w:t>Neaplikovateľné.</w:t>
      </w:r>
    </w:p>
    <w:p w14:paraId="1E694FD9" w14:textId="77777777" w:rsidR="00DE7F2A" w:rsidRPr="00D83EB4" w:rsidRDefault="00DE7F2A" w:rsidP="00DE7F2A">
      <w:pPr>
        <w:tabs>
          <w:tab w:val="num" w:pos="0"/>
        </w:tabs>
        <w:rPr>
          <w:bCs/>
          <w:sz w:val="22"/>
          <w:szCs w:val="22"/>
        </w:rPr>
      </w:pPr>
    </w:p>
    <w:p w14:paraId="4928F8F2" w14:textId="77777777" w:rsidR="00DE7F2A" w:rsidRPr="00D83EB4" w:rsidRDefault="00DE7F2A" w:rsidP="00DE7F2A">
      <w:pPr>
        <w:pStyle w:val="Nadpis1"/>
        <w:keepLines/>
        <w:suppressAutoHyphens/>
        <w:ind w:left="561" w:hanging="561"/>
        <w:rPr>
          <w:bCs/>
          <w:szCs w:val="22"/>
        </w:rPr>
      </w:pPr>
      <w:r w:rsidRPr="00D83EB4">
        <w:rPr>
          <w:bCs/>
          <w:szCs w:val="22"/>
        </w:rPr>
        <w:t>6.3</w:t>
      </w:r>
      <w:r w:rsidRPr="00D83EB4">
        <w:rPr>
          <w:bCs/>
          <w:szCs w:val="22"/>
        </w:rPr>
        <w:tab/>
        <w:t>Čas použiteľnosti</w:t>
      </w:r>
    </w:p>
    <w:p w14:paraId="43E32FD5" w14:textId="77777777" w:rsidR="00DE7F2A" w:rsidRPr="00D83EB4" w:rsidRDefault="00DE7F2A" w:rsidP="00DE7F2A">
      <w:pPr>
        <w:pStyle w:val="Zarkazkladnhotextu"/>
        <w:keepNext/>
        <w:tabs>
          <w:tab w:val="num" w:pos="0"/>
        </w:tabs>
        <w:ind w:left="0"/>
        <w:rPr>
          <w:rFonts w:ascii="Times New Roman" w:hAnsi="Times New Roman"/>
          <w:sz w:val="22"/>
          <w:szCs w:val="22"/>
        </w:rPr>
      </w:pPr>
    </w:p>
    <w:p w14:paraId="7DAEE900" w14:textId="77777777" w:rsidR="00DE7F2A" w:rsidRPr="00D83EB4" w:rsidRDefault="00DE7F2A" w:rsidP="00DE7F2A">
      <w:pPr>
        <w:pStyle w:val="Zarkazkladnhotextu"/>
        <w:tabs>
          <w:tab w:val="num" w:pos="0"/>
        </w:tabs>
        <w:ind w:left="0"/>
        <w:rPr>
          <w:rFonts w:ascii="Times New Roman" w:hAnsi="Times New Roman"/>
          <w:sz w:val="22"/>
          <w:szCs w:val="22"/>
        </w:rPr>
      </w:pPr>
      <w:r w:rsidRPr="00D83EB4">
        <w:rPr>
          <w:rFonts w:ascii="Times New Roman" w:hAnsi="Times New Roman"/>
          <w:sz w:val="22"/>
          <w:szCs w:val="22"/>
        </w:rPr>
        <w:t>3 roky</w:t>
      </w:r>
    </w:p>
    <w:p w14:paraId="3A2D910C" w14:textId="77777777" w:rsidR="00DE7F2A" w:rsidRPr="00D83EB4" w:rsidRDefault="00DE7F2A" w:rsidP="00DE7F2A">
      <w:pPr>
        <w:pStyle w:val="Zarkazkladnhotextu"/>
        <w:tabs>
          <w:tab w:val="num" w:pos="0"/>
        </w:tabs>
        <w:ind w:left="0"/>
        <w:rPr>
          <w:rFonts w:ascii="Times New Roman" w:hAnsi="Times New Roman"/>
          <w:sz w:val="22"/>
          <w:szCs w:val="22"/>
        </w:rPr>
      </w:pPr>
      <w:r w:rsidRPr="00D83EB4">
        <w:rPr>
          <w:rFonts w:ascii="Times New Roman" w:hAnsi="Times New Roman"/>
          <w:sz w:val="22"/>
          <w:szCs w:val="22"/>
        </w:rPr>
        <w:t>Po prvom otvorení liekovky 6 mesiacov.</w:t>
      </w:r>
    </w:p>
    <w:p w14:paraId="01225081" w14:textId="77777777" w:rsidR="00DE7F2A" w:rsidRPr="00D83EB4" w:rsidRDefault="00DE7F2A" w:rsidP="00DE7F2A">
      <w:pPr>
        <w:tabs>
          <w:tab w:val="num" w:pos="0"/>
        </w:tabs>
        <w:rPr>
          <w:sz w:val="22"/>
          <w:szCs w:val="22"/>
        </w:rPr>
      </w:pPr>
    </w:p>
    <w:p w14:paraId="1C7721DB" w14:textId="77777777" w:rsidR="00DE7F2A" w:rsidRPr="00D83EB4" w:rsidRDefault="00DE7F2A" w:rsidP="00DE7F2A">
      <w:pPr>
        <w:pStyle w:val="Nadpis1"/>
        <w:keepLines/>
        <w:suppressAutoHyphens/>
        <w:ind w:left="561" w:hanging="561"/>
        <w:rPr>
          <w:bCs/>
          <w:szCs w:val="22"/>
        </w:rPr>
      </w:pPr>
      <w:r w:rsidRPr="00D83EB4">
        <w:rPr>
          <w:bCs/>
          <w:szCs w:val="22"/>
        </w:rPr>
        <w:t>6.4</w:t>
      </w:r>
      <w:r w:rsidRPr="00D83EB4">
        <w:rPr>
          <w:bCs/>
          <w:szCs w:val="22"/>
        </w:rPr>
        <w:tab/>
        <w:t>Špeciálne upozornenia na uchovávanie</w:t>
      </w:r>
    </w:p>
    <w:p w14:paraId="215AA2DB" w14:textId="77777777" w:rsidR="00DE7F2A" w:rsidRPr="00D83EB4" w:rsidRDefault="00DE7F2A" w:rsidP="00DE7F2A">
      <w:pPr>
        <w:pStyle w:val="Zarkazkladnhotextu"/>
        <w:keepNext/>
        <w:tabs>
          <w:tab w:val="num" w:pos="0"/>
        </w:tabs>
        <w:ind w:left="0"/>
        <w:rPr>
          <w:rFonts w:ascii="Times New Roman" w:hAnsi="Times New Roman"/>
          <w:sz w:val="22"/>
          <w:szCs w:val="22"/>
        </w:rPr>
      </w:pPr>
    </w:p>
    <w:p w14:paraId="2D2677CD" w14:textId="77777777" w:rsidR="00DE7F2A" w:rsidRPr="00D83EB4" w:rsidRDefault="00DE7F2A" w:rsidP="00DE7F2A">
      <w:pPr>
        <w:pStyle w:val="Zarkazkladnhotextu"/>
        <w:tabs>
          <w:tab w:val="num" w:pos="0"/>
        </w:tabs>
        <w:ind w:left="0"/>
        <w:rPr>
          <w:rFonts w:ascii="Times New Roman" w:hAnsi="Times New Roman"/>
          <w:sz w:val="22"/>
          <w:szCs w:val="22"/>
        </w:rPr>
      </w:pPr>
      <w:r w:rsidRPr="00D83EB4">
        <w:rPr>
          <w:rFonts w:ascii="Times New Roman" w:hAnsi="Times New Roman"/>
          <w:sz w:val="22"/>
          <w:szCs w:val="22"/>
        </w:rPr>
        <w:t xml:space="preserve">Uchovávajte pri teplote nad </w:t>
      </w:r>
      <w:smartTag w:uri="urn:schemas-microsoft-com:office:smarttags" w:element="metricconverter">
        <w:smartTagPr>
          <w:attr w:name="ProductID" w:val="8 °C"/>
        </w:smartTagPr>
        <w:r w:rsidRPr="00D83EB4">
          <w:rPr>
            <w:rFonts w:ascii="Times New Roman" w:hAnsi="Times New Roman"/>
            <w:sz w:val="22"/>
            <w:szCs w:val="22"/>
          </w:rPr>
          <w:t>8 °C</w:t>
        </w:r>
      </w:smartTag>
      <w:r w:rsidRPr="00D83EB4">
        <w:rPr>
          <w:rFonts w:ascii="Times New Roman" w:hAnsi="Times New Roman"/>
          <w:sz w:val="22"/>
          <w:szCs w:val="22"/>
        </w:rPr>
        <w:t>.</w:t>
      </w:r>
    </w:p>
    <w:p w14:paraId="37CEB333" w14:textId="77777777" w:rsidR="00DE7F2A" w:rsidRPr="00D83EB4" w:rsidRDefault="00DE7F2A" w:rsidP="00DE7F2A">
      <w:pPr>
        <w:pStyle w:val="Zarkazkladnhotextu"/>
        <w:tabs>
          <w:tab w:val="num" w:pos="0"/>
        </w:tabs>
        <w:ind w:left="0"/>
        <w:rPr>
          <w:rFonts w:ascii="Times New Roman" w:hAnsi="Times New Roman"/>
          <w:sz w:val="22"/>
          <w:szCs w:val="22"/>
        </w:rPr>
      </w:pPr>
    </w:p>
    <w:p w14:paraId="0FBD84CF" w14:textId="77777777" w:rsidR="00DE7F2A" w:rsidRPr="00D83EB4" w:rsidRDefault="00DE7F2A" w:rsidP="00DE7F2A">
      <w:pPr>
        <w:pStyle w:val="Nadpis1"/>
        <w:keepLines/>
        <w:suppressAutoHyphens/>
        <w:ind w:left="561" w:hanging="561"/>
        <w:rPr>
          <w:bCs/>
          <w:szCs w:val="22"/>
        </w:rPr>
      </w:pPr>
      <w:r w:rsidRPr="00D83EB4">
        <w:rPr>
          <w:bCs/>
          <w:szCs w:val="22"/>
        </w:rPr>
        <w:t>6.5</w:t>
      </w:r>
      <w:r w:rsidRPr="00D83EB4">
        <w:rPr>
          <w:bCs/>
          <w:szCs w:val="22"/>
        </w:rPr>
        <w:tab/>
        <w:t>Druh obalu a obsah balenia</w:t>
      </w:r>
    </w:p>
    <w:p w14:paraId="749CA9C0" w14:textId="77777777" w:rsidR="00DE7F2A" w:rsidRPr="00D83EB4" w:rsidRDefault="00DE7F2A" w:rsidP="00DE7F2A">
      <w:pPr>
        <w:pStyle w:val="Zarkazkladnhotextu"/>
        <w:keepNext/>
        <w:tabs>
          <w:tab w:val="num" w:pos="0"/>
        </w:tabs>
        <w:ind w:left="0"/>
        <w:rPr>
          <w:rFonts w:ascii="Times New Roman" w:hAnsi="Times New Roman"/>
          <w:sz w:val="22"/>
          <w:szCs w:val="22"/>
        </w:rPr>
      </w:pPr>
    </w:p>
    <w:p w14:paraId="39291F90" w14:textId="77777777" w:rsidR="00DE7F2A" w:rsidRPr="00D83EB4" w:rsidRDefault="00DE7F2A" w:rsidP="00DE7F2A">
      <w:pPr>
        <w:pStyle w:val="Zarkazkladnhotextu"/>
        <w:tabs>
          <w:tab w:val="num" w:pos="0"/>
        </w:tabs>
        <w:ind w:left="0"/>
        <w:rPr>
          <w:rFonts w:ascii="Times New Roman" w:hAnsi="Times New Roman"/>
          <w:sz w:val="22"/>
          <w:szCs w:val="22"/>
        </w:rPr>
      </w:pPr>
      <w:r w:rsidRPr="00D83EB4">
        <w:rPr>
          <w:rFonts w:ascii="Times New Roman" w:hAnsi="Times New Roman"/>
          <w:sz w:val="22"/>
          <w:szCs w:val="22"/>
        </w:rPr>
        <w:t>Fľaštička z hnedého skla s aerodisperznou pumpou z PE, škatuľka, písomná informácia pre používateľa.</w:t>
      </w:r>
    </w:p>
    <w:p w14:paraId="79ACB80B" w14:textId="77777777" w:rsidR="00DE7F2A" w:rsidRPr="00D83EB4" w:rsidRDefault="00DE7F2A" w:rsidP="00DE7F2A">
      <w:pPr>
        <w:pStyle w:val="Zkladntext2"/>
        <w:jc w:val="left"/>
        <w:rPr>
          <w:szCs w:val="22"/>
        </w:rPr>
      </w:pPr>
      <w:r w:rsidRPr="00D83EB4">
        <w:rPr>
          <w:szCs w:val="22"/>
        </w:rPr>
        <w:t>Veľkosť balenia: 5 ml, 10 ml a 20 ml.</w:t>
      </w:r>
    </w:p>
    <w:p w14:paraId="721D6AF0" w14:textId="77777777" w:rsidR="00DE7F2A" w:rsidRPr="00D83EB4" w:rsidRDefault="00DE7F2A" w:rsidP="00DE7F2A">
      <w:pPr>
        <w:tabs>
          <w:tab w:val="num" w:pos="0"/>
        </w:tabs>
        <w:rPr>
          <w:sz w:val="22"/>
          <w:szCs w:val="22"/>
        </w:rPr>
      </w:pPr>
    </w:p>
    <w:p w14:paraId="6D9C7D95" w14:textId="77777777" w:rsidR="00DE7F2A" w:rsidRPr="00D83EB4" w:rsidRDefault="00DE7F2A" w:rsidP="00DE7F2A">
      <w:pPr>
        <w:pStyle w:val="Nadpis1"/>
        <w:keepLines/>
        <w:suppressAutoHyphens/>
        <w:ind w:left="561" w:hanging="561"/>
        <w:rPr>
          <w:bCs/>
          <w:szCs w:val="22"/>
        </w:rPr>
      </w:pPr>
      <w:r w:rsidRPr="00D83EB4">
        <w:rPr>
          <w:bCs/>
          <w:szCs w:val="22"/>
        </w:rPr>
        <w:t>6.6</w:t>
      </w:r>
      <w:r w:rsidRPr="00D83EB4">
        <w:rPr>
          <w:bCs/>
          <w:szCs w:val="22"/>
        </w:rPr>
        <w:tab/>
        <w:t>Špeciálne opatrenia na likvidáciu</w:t>
      </w:r>
    </w:p>
    <w:p w14:paraId="278ABBD6" w14:textId="77777777" w:rsidR="00DE7F2A" w:rsidRPr="00D83EB4" w:rsidRDefault="00DE7F2A" w:rsidP="00DE7F2A">
      <w:pPr>
        <w:keepNext/>
        <w:tabs>
          <w:tab w:val="num" w:pos="0"/>
        </w:tabs>
        <w:rPr>
          <w:sz w:val="22"/>
          <w:szCs w:val="22"/>
        </w:rPr>
      </w:pPr>
    </w:p>
    <w:p w14:paraId="1054BA37" w14:textId="77777777" w:rsidR="00DE7F2A" w:rsidRPr="00D83EB4" w:rsidRDefault="00DE7F2A" w:rsidP="00DE7F2A">
      <w:pPr>
        <w:tabs>
          <w:tab w:val="num" w:pos="0"/>
        </w:tabs>
        <w:rPr>
          <w:sz w:val="22"/>
          <w:szCs w:val="22"/>
        </w:rPr>
      </w:pPr>
      <w:r w:rsidRPr="00D83EB4">
        <w:rPr>
          <w:sz w:val="22"/>
          <w:szCs w:val="22"/>
        </w:rPr>
        <w:t>Nosovú aerodisperziu dávkujte vo vzpriamenej polohe hlavy!</w:t>
      </w:r>
    </w:p>
    <w:p w14:paraId="1D788FAC" w14:textId="77777777" w:rsidR="00DE7F2A" w:rsidRPr="00D83EB4" w:rsidRDefault="00DE7F2A" w:rsidP="00DE7F2A">
      <w:pPr>
        <w:numPr>
          <w:ilvl w:val="0"/>
          <w:numId w:val="3"/>
        </w:numPr>
        <w:ind w:left="567" w:hanging="567"/>
        <w:rPr>
          <w:sz w:val="22"/>
          <w:szCs w:val="22"/>
        </w:rPr>
      </w:pPr>
      <w:r w:rsidRPr="00D83EB4">
        <w:rPr>
          <w:sz w:val="22"/>
          <w:szCs w:val="22"/>
        </w:rPr>
        <w:t>Odstráňte ochranný vrchnáčik.</w:t>
      </w:r>
    </w:p>
    <w:p w14:paraId="352C7C19" w14:textId="77777777" w:rsidR="00DE7F2A" w:rsidRPr="00D83EB4" w:rsidRDefault="00DE7F2A" w:rsidP="00DE7F2A">
      <w:pPr>
        <w:numPr>
          <w:ilvl w:val="0"/>
          <w:numId w:val="3"/>
        </w:numPr>
        <w:ind w:left="567" w:hanging="567"/>
        <w:rPr>
          <w:sz w:val="22"/>
          <w:szCs w:val="22"/>
        </w:rPr>
      </w:pPr>
      <w:r w:rsidRPr="00D83EB4">
        <w:rPr>
          <w:sz w:val="22"/>
          <w:szCs w:val="22"/>
        </w:rPr>
        <w:t>Pred použitím pumpičku 2-3-krát zatlačte.</w:t>
      </w:r>
    </w:p>
    <w:p w14:paraId="06A190EB" w14:textId="77777777" w:rsidR="00DE7F2A" w:rsidRPr="00D83EB4" w:rsidRDefault="00DE7F2A" w:rsidP="00DE7F2A">
      <w:pPr>
        <w:numPr>
          <w:ilvl w:val="0"/>
          <w:numId w:val="3"/>
        </w:numPr>
        <w:ind w:left="567" w:hanging="567"/>
        <w:rPr>
          <w:sz w:val="22"/>
          <w:szCs w:val="22"/>
        </w:rPr>
      </w:pPr>
      <w:r w:rsidRPr="00D83EB4">
        <w:rPr>
          <w:sz w:val="22"/>
          <w:szCs w:val="22"/>
        </w:rPr>
        <w:t>Aplikujte jedenkrát dávku do každej nosovej dierky držiac hlavu vo vzpriamenej polohe.</w:t>
      </w:r>
    </w:p>
    <w:p w14:paraId="7F4145EF" w14:textId="77777777" w:rsidR="00DE7F2A" w:rsidRPr="00D83EB4" w:rsidRDefault="00DE7F2A" w:rsidP="00DE7F2A">
      <w:pPr>
        <w:numPr>
          <w:ilvl w:val="0"/>
          <w:numId w:val="3"/>
        </w:numPr>
        <w:ind w:left="567" w:hanging="567"/>
        <w:rPr>
          <w:sz w:val="22"/>
          <w:szCs w:val="22"/>
        </w:rPr>
      </w:pPr>
      <w:r w:rsidRPr="00D83EB4">
        <w:rPr>
          <w:sz w:val="22"/>
          <w:szCs w:val="22"/>
        </w:rPr>
        <w:t>Utrite a nasaďte ochranný vrchnáčik.</w:t>
      </w:r>
    </w:p>
    <w:p w14:paraId="0624D55E" w14:textId="77777777" w:rsidR="00DE7F2A" w:rsidRPr="00D83EB4" w:rsidRDefault="00DE7F2A" w:rsidP="00DE7F2A">
      <w:pPr>
        <w:rPr>
          <w:sz w:val="22"/>
          <w:szCs w:val="22"/>
        </w:rPr>
      </w:pPr>
    </w:p>
    <w:p w14:paraId="4E1A2E38" w14:textId="77777777" w:rsidR="00DE7F2A" w:rsidRPr="00D83EB4" w:rsidRDefault="00DE7F2A" w:rsidP="00DE7F2A">
      <w:pPr>
        <w:tabs>
          <w:tab w:val="num" w:pos="0"/>
        </w:tabs>
        <w:rPr>
          <w:sz w:val="22"/>
          <w:szCs w:val="22"/>
        </w:rPr>
      </w:pPr>
    </w:p>
    <w:p w14:paraId="5D6C0796" w14:textId="77777777" w:rsidR="00DE7F2A" w:rsidRPr="00D83EB4" w:rsidRDefault="00DE7F2A" w:rsidP="00DE7F2A">
      <w:pPr>
        <w:pStyle w:val="Nadpis1"/>
        <w:keepLines/>
        <w:suppressAutoHyphens/>
        <w:ind w:left="561" w:hanging="561"/>
        <w:rPr>
          <w:caps/>
          <w:szCs w:val="22"/>
        </w:rPr>
      </w:pPr>
      <w:r w:rsidRPr="00D83EB4">
        <w:rPr>
          <w:caps/>
          <w:szCs w:val="22"/>
        </w:rPr>
        <w:t>7.</w:t>
      </w:r>
      <w:r w:rsidRPr="00D83EB4">
        <w:rPr>
          <w:caps/>
          <w:szCs w:val="22"/>
        </w:rPr>
        <w:tab/>
        <w:t>Držiteľ rozhodnutia o registrácii</w:t>
      </w:r>
    </w:p>
    <w:p w14:paraId="146BFF41" w14:textId="77777777" w:rsidR="00DE7F2A" w:rsidRPr="00D83EB4" w:rsidRDefault="00DE7F2A" w:rsidP="00DE7F2A">
      <w:pPr>
        <w:keepNext/>
        <w:rPr>
          <w:sz w:val="22"/>
          <w:szCs w:val="22"/>
        </w:rPr>
      </w:pPr>
    </w:p>
    <w:p w14:paraId="0E2C1A76" w14:textId="77777777" w:rsidR="00DE7F2A" w:rsidRPr="00D83EB4" w:rsidRDefault="00DE7F2A" w:rsidP="00DE7F2A">
      <w:pPr>
        <w:rPr>
          <w:sz w:val="22"/>
          <w:szCs w:val="22"/>
        </w:rPr>
      </w:pPr>
      <w:r w:rsidRPr="00D83EB4">
        <w:rPr>
          <w:sz w:val="22"/>
          <w:szCs w:val="22"/>
        </w:rPr>
        <w:t>Mylan IRE Healthcare Limited</w:t>
      </w:r>
    </w:p>
    <w:p w14:paraId="4CFFDD09" w14:textId="77777777" w:rsidR="00DE7F2A" w:rsidRPr="00D83EB4" w:rsidRDefault="00DE7F2A" w:rsidP="00DE7F2A">
      <w:pPr>
        <w:rPr>
          <w:sz w:val="22"/>
          <w:szCs w:val="22"/>
        </w:rPr>
      </w:pPr>
      <w:r w:rsidRPr="00D83EB4">
        <w:rPr>
          <w:sz w:val="22"/>
          <w:szCs w:val="22"/>
        </w:rPr>
        <w:t>Unit 35/36 Grange Parade</w:t>
      </w:r>
    </w:p>
    <w:p w14:paraId="0ECF76A4" w14:textId="77777777" w:rsidR="00DE7F2A" w:rsidRPr="00D83EB4" w:rsidRDefault="00DE7F2A" w:rsidP="00DE7F2A">
      <w:pPr>
        <w:rPr>
          <w:sz w:val="22"/>
          <w:szCs w:val="22"/>
        </w:rPr>
      </w:pPr>
      <w:r w:rsidRPr="00D83EB4">
        <w:rPr>
          <w:sz w:val="22"/>
          <w:szCs w:val="22"/>
        </w:rPr>
        <w:t>Baldoyle Industrial Estate</w:t>
      </w:r>
    </w:p>
    <w:p w14:paraId="48073949" w14:textId="77777777" w:rsidR="00DE7F2A" w:rsidRPr="00D83EB4" w:rsidRDefault="00DE7F2A" w:rsidP="00DE7F2A">
      <w:pPr>
        <w:rPr>
          <w:sz w:val="22"/>
          <w:szCs w:val="22"/>
        </w:rPr>
      </w:pPr>
      <w:r w:rsidRPr="00D83EB4">
        <w:rPr>
          <w:sz w:val="22"/>
          <w:szCs w:val="22"/>
        </w:rPr>
        <w:t>Dublin 13</w:t>
      </w:r>
    </w:p>
    <w:p w14:paraId="582D78D7" w14:textId="77777777" w:rsidR="00DE7F2A" w:rsidRPr="00D83EB4" w:rsidRDefault="00DE7F2A" w:rsidP="00DE7F2A">
      <w:pPr>
        <w:rPr>
          <w:sz w:val="22"/>
          <w:szCs w:val="22"/>
        </w:rPr>
      </w:pPr>
      <w:r w:rsidRPr="00D83EB4">
        <w:rPr>
          <w:sz w:val="22"/>
          <w:szCs w:val="22"/>
        </w:rPr>
        <w:t>Írsko</w:t>
      </w:r>
    </w:p>
    <w:p w14:paraId="6381A958" w14:textId="77777777" w:rsidR="00DE7F2A" w:rsidRPr="00D83EB4" w:rsidRDefault="00DE7F2A" w:rsidP="00DE7F2A">
      <w:pPr>
        <w:rPr>
          <w:sz w:val="22"/>
          <w:szCs w:val="22"/>
        </w:rPr>
      </w:pPr>
    </w:p>
    <w:p w14:paraId="004A7BA0" w14:textId="77777777" w:rsidR="00DE7F2A" w:rsidRPr="00D83EB4" w:rsidRDefault="00DE7F2A" w:rsidP="00DE7F2A">
      <w:pPr>
        <w:rPr>
          <w:sz w:val="22"/>
          <w:szCs w:val="22"/>
        </w:rPr>
      </w:pPr>
    </w:p>
    <w:p w14:paraId="447556C2" w14:textId="77777777" w:rsidR="00DE7F2A" w:rsidRPr="00D83EB4" w:rsidRDefault="00DE7F2A" w:rsidP="00DE7F2A">
      <w:pPr>
        <w:pStyle w:val="Nadpis1"/>
        <w:keepLines/>
        <w:suppressAutoHyphens/>
        <w:ind w:left="561" w:hanging="561"/>
        <w:rPr>
          <w:caps/>
          <w:szCs w:val="22"/>
        </w:rPr>
      </w:pPr>
      <w:r w:rsidRPr="00D83EB4">
        <w:rPr>
          <w:caps/>
          <w:szCs w:val="22"/>
        </w:rPr>
        <w:t>8.</w:t>
      </w:r>
      <w:r w:rsidRPr="00D83EB4">
        <w:rPr>
          <w:caps/>
          <w:szCs w:val="22"/>
        </w:rPr>
        <w:tab/>
        <w:t>Registračné číslo</w:t>
      </w:r>
    </w:p>
    <w:p w14:paraId="648E1BB4" w14:textId="77777777" w:rsidR="00DE7F2A" w:rsidRPr="00D83EB4" w:rsidRDefault="00DE7F2A" w:rsidP="00DE7F2A">
      <w:pPr>
        <w:keepNext/>
        <w:rPr>
          <w:snapToGrid w:val="0"/>
          <w:color w:val="000000"/>
          <w:sz w:val="22"/>
          <w:szCs w:val="22"/>
          <w:lang w:eastAsia="cs-CZ"/>
        </w:rPr>
      </w:pPr>
    </w:p>
    <w:p w14:paraId="3AC9BEB4" w14:textId="77777777" w:rsidR="00DE7F2A" w:rsidRPr="00D83EB4" w:rsidRDefault="00DE7F2A" w:rsidP="00DE7F2A">
      <w:pPr>
        <w:rPr>
          <w:sz w:val="22"/>
          <w:szCs w:val="22"/>
        </w:rPr>
      </w:pPr>
      <w:r w:rsidRPr="00D83EB4">
        <w:rPr>
          <w:snapToGrid w:val="0"/>
          <w:color w:val="000000"/>
          <w:sz w:val="22"/>
          <w:szCs w:val="22"/>
          <w:lang w:eastAsia="cs-CZ"/>
        </w:rPr>
        <w:t>24/0205/97-S</w:t>
      </w:r>
    </w:p>
    <w:p w14:paraId="68A5D1F6" w14:textId="77777777" w:rsidR="00DE7F2A" w:rsidRPr="00D83EB4" w:rsidRDefault="00DE7F2A" w:rsidP="00DE7F2A">
      <w:pPr>
        <w:rPr>
          <w:sz w:val="22"/>
          <w:szCs w:val="22"/>
        </w:rPr>
      </w:pPr>
    </w:p>
    <w:p w14:paraId="3C74AAA7" w14:textId="77777777" w:rsidR="00DE7F2A" w:rsidRPr="00D83EB4" w:rsidRDefault="00DE7F2A" w:rsidP="00DE7F2A">
      <w:pPr>
        <w:rPr>
          <w:sz w:val="22"/>
          <w:szCs w:val="22"/>
        </w:rPr>
      </w:pPr>
    </w:p>
    <w:p w14:paraId="62C38BCD" w14:textId="77777777" w:rsidR="00DE7F2A" w:rsidRPr="00D83EB4" w:rsidRDefault="00DE7F2A" w:rsidP="00DE7F2A">
      <w:pPr>
        <w:pStyle w:val="Nadpis1"/>
        <w:keepLines/>
        <w:suppressAutoHyphens/>
        <w:ind w:left="561" w:hanging="561"/>
        <w:rPr>
          <w:caps/>
          <w:szCs w:val="22"/>
        </w:rPr>
      </w:pPr>
      <w:r w:rsidRPr="00D83EB4">
        <w:rPr>
          <w:caps/>
          <w:szCs w:val="22"/>
        </w:rPr>
        <w:t>9.</w:t>
      </w:r>
      <w:r w:rsidRPr="00D83EB4">
        <w:rPr>
          <w:caps/>
          <w:szCs w:val="22"/>
        </w:rPr>
        <w:tab/>
        <w:t>Dátum PRVEJ registrácie/predĺženia registrácie</w:t>
      </w:r>
    </w:p>
    <w:p w14:paraId="02D72E17" w14:textId="77777777" w:rsidR="00DE7F2A" w:rsidRPr="00D83EB4" w:rsidRDefault="00DE7F2A" w:rsidP="00DE7F2A">
      <w:pPr>
        <w:keepNext/>
        <w:rPr>
          <w:sz w:val="22"/>
          <w:szCs w:val="22"/>
        </w:rPr>
      </w:pPr>
    </w:p>
    <w:p w14:paraId="140FCA14" w14:textId="77777777" w:rsidR="00DE7F2A" w:rsidRPr="00D83EB4" w:rsidRDefault="00DE7F2A" w:rsidP="00DE7F2A">
      <w:pPr>
        <w:rPr>
          <w:sz w:val="22"/>
          <w:szCs w:val="22"/>
        </w:rPr>
      </w:pPr>
      <w:r w:rsidRPr="00D83EB4">
        <w:rPr>
          <w:sz w:val="22"/>
          <w:szCs w:val="22"/>
        </w:rPr>
        <w:t>Dátum prvej registrácie: 6. mája 1997</w:t>
      </w:r>
    </w:p>
    <w:p w14:paraId="3CC80AB4" w14:textId="110BB407" w:rsidR="00DE7F2A" w:rsidRPr="00D83EB4" w:rsidRDefault="00DE7F2A" w:rsidP="00DE7F2A">
      <w:pPr>
        <w:rPr>
          <w:sz w:val="22"/>
          <w:szCs w:val="22"/>
        </w:rPr>
      </w:pPr>
      <w:r w:rsidRPr="00D83EB4">
        <w:rPr>
          <w:sz w:val="22"/>
          <w:szCs w:val="22"/>
        </w:rPr>
        <w:t>Dátum posledného predĺženia registrácie: 12.</w:t>
      </w:r>
      <w:r w:rsidR="00D83EB4" w:rsidRPr="00D83EB4">
        <w:rPr>
          <w:sz w:val="22"/>
          <w:szCs w:val="22"/>
        </w:rPr>
        <w:t xml:space="preserve"> </w:t>
      </w:r>
      <w:r w:rsidRPr="00D83EB4">
        <w:rPr>
          <w:sz w:val="22"/>
          <w:szCs w:val="22"/>
        </w:rPr>
        <w:t>decembra 2007</w:t>
      </w:r>
    </w:p>
    <w:p w14:paraId="614F7707" w14:textId="77777777" w:rsidR="00DE7F2A" w:rsidRPr="00D83EB4" w:rsidRDefault="00DE7F2A" w:rsidP="00DE7F2A">
      <w:pPr>
        <w:rPr>
          <w:sz w:val="22"/>
          <w:szCs w:val="22"/>
        </w:rPr>
      </w:pPr>
    </w:p>
    <w:p w14:paraId="40962700" w14:textId="77777777" w:rsidR="00DE7F2A" w:rsidRPr="00D83EB4" w:rsidRDefault="00DE7F2A" w:rsidP="00DE7F2A">
      <w:pPr>
        <w:pStyle w:val="Nadpis1"/>
        <w:keepLines/>
        <w:suppressAutoHyphens/>
        <w:ind w:left="561" w:hanging="561"/>
        <w:rPr>
          <w:szCs w:val="22"/>
          <w:highlight w:val="green"/>
        </w:rPr>
      </w:pPr>
      <w:r w:rsidRPr="00D83EB4">
        <w:rPr>
          <w:caps/>
          <w:szCs w:val="22"/>
        </w:rPr>
        <w:t>10.</w:t>
      </w:r>
      <w:r w:rsidRPr="00D83EB4">
        <w:rPr>
          <w:caps/>
          <w:szCs w:val="22"/>
        </w:rPr>
        <w:tab/>
        <w:t>Dátum revízie textu</w:t>
      </w:r>
    </w:p>
    <w:p w14:paraId="5B631493" w14:textId="77777777" w:rsidR="00DE7F2A" w:rsidRPr="00D83EB4" w:rsidRDefault="00DE7F2A" w:rsidP="00DE7F2A">
      <w:pPr>
        <w:keepNext/>
        <w:rPr>
          <w:sz w:val="22"/>
          <w:szCs w:val="22"/>
        </w:rPr>
      </w:pPr>
    </w:p>
    <w:p w14:paraId="4EE70440" w14:textId="296AB553" w:rsidR="00DC2C4E" w:rsidRPr="00D83EB4" w:rsidRDefault="00D83EB4">
      <w:r w:rsidRPr="00D83EB4">
        <w:rPr>
          <w:sz w:val="22"/>
          <w:szCs w:val="22"/>
        </w:rPr>
        <w:t>02/2022</w:t>
      </w:r>
      <w:bookmarkStart w:id="0" w:name="_GoBack"/>
      <w:bookmarkEnd w:id="0"/>
    </w:p>
    <w:sectPr w:rsidR="00DC2C4E" w:rsidRPr="00D83EB4">
      <w:headerReference w:type="default" r:id="rId8"/>
      <w:footerReference w:type="even" r:id="rId9"/>
      <w:footerReference w:type="default" r:id="rId10"/>
      <w:pgSz w:w="11906" w:h="16838"/>
      <w:pgMar w:top="1440"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FF5E3" w14:textId="77777777" w:rsidR="00DE7F2A" w:rsidRDefault="00DE7F2A" w:rsidP="00DE7F2A">
      <w:r>
        <w:separator/>
      </w:r>
    </w:p>
  </w:endnote>
  <w:endnote w:type="continuationSeparator" w:id="0">
    <w:p w14:paraId="70EEE2D0" w14:textId="77777777" w:rsidR="00DE7F2A" w:rsidRDefault="00DE7F2A" w:rsidP="00DE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E85CB" w14:textId="77777777" w:rsidR="0060378C" w:rsidRDefault="00DE7F2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780F8E91" w14:textId="77777777" w:rsidR="0060378C" w:rsidRDefault="00D83EB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A446C" w14:textId="77777777" w:rsidR="0060378C" w:rsidRPr="00EF6721" w:rsidRDefault="00DE7F2A" w:rsidP="006D626C">
    <w:pPr>
      <w:pStyle w:val="Pta"/>
      <w:framePr w:wrap="around" w:vAnchor="text" w:hAnchor="margin" w:xAlign="right" w:y="1"/>
      <w:rPr>
        <w:rStyle w:val="slostrany"/>
        <w:sz w:val="18"/>
        <w:szCs w:val="18"/>
      </w:rPr>
    </w:pPr>
    <w:r w:rsidRPr="00EF6721">
      <w:rPr>
        <w:rStyle w:val="slostrany"/>
        <w:sz w:val="18"/>
        <w:szCs w:val="18"/>
      </w:rPr>
      <w:fldChar w:fldCharType="begin"/>
    </w:r>
    <w:r w:rsidRPr="00EF6721">
      <w:rPr>
        <w:rStyle w:val="slostrany"/>
        <w:sz w:val="18"/>
        <w:szCs w:val="18"/>
      </w:rPr>
      <w:instrText xml:space="preserve">PAGE  </w:instrText>
    </w:r>
    <w:r w:rsidRPr="00EF6721">
      <w:rPr>
        <w:rStyle w:val="slostrany"/>
        <w:sz w:val="18"/>
        <w:szCs w:val="18"/>
      </w:rPr>
      <w:fldChar w:fldCharType="separate"/>
    </w:r>
    <w:r w:rsidR="00D83EB4">
      <w:rPr>
        <w:rStyle w:val="slostrany"/>
        <w:noProof/>
        <w:sz w:val="18"/>
        <w:szCs w:val="18"/>
      </w:rPr>
      <w:t>4</w:t>
    </w:r>
    <w:r w:rsidRPr="00EF6721">
      <w:rPr>
        <w:rStyle w:val="slostrany"/>
        <w:sz w:val="18"/>
        <w:szCs w:val="18"/>
      </w:rPr>
      <w:fldChar w:fldCharType="end"/>
    </w:r>
  </w:p>
  <w:p w14:paraId="20DFB6B5" w14:textId="77777777" w:rsidR="0060378C" w:rsidRDefault="00D83EB4">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EA700" w14:textId="77777777" w:rsidR="00DE7F2A" w:rsidRDefault="00DE7F2A" w:rsidP="00DE7F2A">
      <w:r>
        <w:separator/>
      </w:r>
    </w:p>
  </w:footnote>
  <w:footnote w:type="continuationSeparator" w:id="0">
    <w:p w14:paraId="6A01B1D8" w14:textId="77777777" w:rsidR="00DE7F2A" w:rsidRDefault="00DE7F2A" w:rsidP="00DE7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1F1B8" w14:textId="5EDD1510" w:rsidR="000C19C1" w:rsidRPr="00EF6721" w:rsidRDefault="00C5036B" w:rsidP="00EF6721">
    <w:pPr>
      <w:rPr>
        <w:sz w:val="18"/>
        <w:szCs w:val="18"/>
      </w:rPr>
    </w:pPr>
    <w:r w:rsidRPr="001D2306">
      <w:rPr>
        <w:sz w:val="18"/>
        <w:szCs w:val="18"/>
      </w:rPr>
      <w:t xml:space="preserve">Príloha č. </w:t>
    </w:r>
    <w:r>
      <w:rPr>
        <w:sz w:val="18"/>
        <w:szCs w:val="18"/>
      </w:rPr>
      <w:t>1</w:t>
    </w:r>
    <w:r w:rsidRPr="001D2306">
      <w:rPr>
        <w:sz w:val="18"/>
        <w:szCs w:val="18"/>
      </w:rPr>
      <w:t xml:space="preserve"> k notifikácii o zmene, ev. č</w:t>
    </w:r>
    <w:r w:rsidR="00D83EB4">
      <w:rPr>
        <w:sz w:val="18"/>
        <w:szCs w:val="18"/>
      </w:rPr>
      <w:t>: 2021/07101-Z1A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40FF2"/>
    <w:multiLevelType w:val="hybridMultilevel"/>
    <w:tmpl w:val="F9A25CBC"/>
    <w:lvl w:ilvl="0" w:tplc="35E055B4">
      <w:start w:val="1"/>
      <w:numFmt w:val="decimal"/>
      <w:lvlText w:val="%1."/>
      <w:lvlJc w:val="left"/>
      <w:pPr>
        <w:ind w:left="1353" w:hanging="360"/>
      </w:pPr>
      <w:rPr>
        <w:rFonts w:hint="default"/>
        <w:b w:val="0"/>
        <w:i w:val="0"/>
        <w:sz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
    <w:nsid w:val="7ADC2584"/>
    <w:multiLevelType w:val="hybridMultilevel"/>
    <w:tmpl w:val="E09E8DD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B1519CA"/>
    <w:multiLevelType w:val="hybridMultilevel"/>
    <w:tmpl w:val="29562CA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2A"/>
    <w:rsid w:val="00C5036B"/>
    <w:rsid w:val="00D83EB4"/>
    <w:rsid w:val="00DB09F9"/>
    <w:rsid w:val="00DC2C4E"/>
    <w:rsid w:val="00DE7F2A"/>
    <w:rsid w:val="00E231BB"/>
    <w:rsid w:val="00F5369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6FDCB7"/>
  <w15:chartTrackingRefBased/>
  <w15:docId w15:val="{ECF38BD1-434F-4F81-9244-088F0D81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7F2A"/>
    <w:pPr>
      <w:spacing w:after="0" w:line="240" w:lineRule="auto"/>
    </w:pPr>
    <w:rPr>
      <w:rFonts w:ascii="Times New Roman" w:eastAsia="Times New Roman" w:hAnsi="Times New Roman" w:cs="Times New Roman"/>
      <w:sz w:val="24"/>
      <w:szCs w:val="20"/>
    </w:rPr>
  </w:style>
  <w:style w:type="paragraph" w:styleId="Nadpis1">
    <w:name w:val="heading 1"/>
    <w:basedOn w:val="Normlny"/>
    <w:next w:val="Normlny"/>
    <w:link w:val="Nadpis1Char"/>
    <w:uiPriority w:val="9"/>
    <w:qFormat/>
    <w:rsid w:val="00DE7F2A"/>
    <w:pPr>
      <w:keepNext/>
      <w:outlineLvl w:val="0"/>
    </w:pPr>
    <w:rPr>
      <w:b/>
      <w:sz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E7F2A"/>
    <w:rPr>
      <w:rFonts w:ascii="Times New Roman" w:eastAsia="Times New Roman" w:hAnsi="Times New Roman" w:cs="Times New Roman"/>
      <w:b/>
      <w:szCs w:val="20"/>
      <w:lang w:eastAsia="cs-CZ"/>
    </w:rPr>
  </w:style>
  <w:style w:type="paragraph" w:styleId="Pta">
    <w:name w:val="footer"/>
    <w:basedOn w:val="Normlny"/>
    <w:link w:val="PtaChar"/>
    <w:rsid w:val="00DE7F2A"/>
    <w:pPr>
      <w:tabs>
        <w:tab w:val="center" w:pos="4536"/>
        <w:tab w:val="right" w:pos="9072"/>
      </w:tabs>
    </w:pPr>
  </w:style>
  <w:style w:type="character" w:customStyle="1" w:styleId="PtaChar">
    <w:name w:val="Päta Char"/>
    <w:basedOn w:val="Predvolenpsmoodseku"/>
    <w:link w:val="Pta"/>
    <w:rsid w:val="00DE7F2A"/>
    <w:rPr>
      <w:rFonts w:ascii="Times New Roman" w:eastAsia="Times New Roman" w:hAnsi="Times New Roman" w:cs="Times New Roman"/>
      <w:sz w:val="24"/>
      <w:szCs w:val="20"/>
    </w:rPr>
  </w:style>
  <w:style w:type="character" w:styleId="slostrany">
    <w:name w:val="page number"/>
    <w:basedOn w:val="Predvolenpsmoodseku"/>
    <w:rsid w:val="00DE7F2A"/>
  </w:style>
  <w:style w:type="paragraph" w:styleId="Nzov">
    <w:name w:val="Title"/>
    <w:basedOn w:val="Normlny"/>
    <w:link w:val="NzovChar"/>
    <w:qFormat/>
    <w:rsid w:val="00DE7F2A"/>
    <w:pPr>
      <w:spacing w:before="120"/>
      <w:jc w:val="center"/>
    </w:pPr>
    <w:rPr>
      <w:rFonts w:ascii="Arial" w:hAnsi="Arial"/>
      <w:b/>
      <w:sz w:val="26"/>
    </w:rPr>
  </w:style>
  <w:style w:type="character" w:customStyle="1" w:styleId="NzovChar">
    <w:name w:val="Názov Char"/>
    <w:basedOn w:val="Predvolenpsmoodseku"/>
    <w:link w:val="Nzov"/>
    <w:rsid w:val="00DE7F2A"/>
    <w:rPr>
      <w:rFonts w:ascii="Arial" w:eastAsia="Times New Roman" w:hAnsi="Arial" w:cs="Times New Roman"/>
      <w:b/>
      <w:sz w:val="26"/>
      <w:szCs w:val="20"/>
    </w:rPr>
  </w:style>
  <w:style w:type="paragraph" w:styleId="Zarkazkladnhotextu3">
    <w:name w:val="Body Text Indent 3"/>
    <w:basedOn w:val="Normlny"/>
    <w:link w:val="Zarkazkladnhotextu3Char"/>
    <w:rsid w:val="00DE7F2A"/>
    <w:pPr>
      <w:ind w:left="357"/>
      <w:jc w:val="both"/>
    </w:pPr>
    <w:rPr>
      <w:rFonts w:ascii="Arial" w:hAnsi="Arial" w:cs="Arial"/>
      <w:sz w:val="20"/>
    </w:rPr>
  </w:style>
  <w:style w:type="character" w:customStyle="1" w:styleId="Zarkazkladnhotextu3Char">
    <w:name w:val="Zarážka základného textu 3 Char"/>
    <w:basedOn w:val="Predvolenpsmoodseku"/>
    <w:link w:val="Zarkazkladnhotextu3"/>
    <w:rsid w:val="00DE7F2A"/>
    <w:rPr>
      <w:rFonts w:ascii="Arial" w:eastAsia="Times New Roman" w:hAnsi="Arial" w:cs="Arial"/>
      <w:sz w:val="20"/>
      <w:szCs w:val="20"/>
    </w:rPr>
  </w:style>
  <w:style w:type="paragraph" w:styleId="Zarkazkladnhotextu2">
    <w:name w:val="Body Text Indent 2"/>
    <w:basedOn w:val="Normlny"/>
    <w:link w:val="Zarkazkladnhotextu2Char"/>
    <w:rsid w:val="00DE7F2A"/>
    <w:pPr>
      <w:ind w:left="360"/>
      <w:jc w:val="both"/>
    </w:pPr>
    <w:rPr>
      <w:rFonts w:ascii="Arial" w:hAnsi="Arial"/>
      <w:bCs/>
      <w:sz w:val="20"/>
      <w:szCs w:val="24"/>
    </w:rPr>
  </w:style>
  <w:style w:type="character" w:customStyle="1" w:styleId="Zarkazkladnhotextu2Char">
    <w:name w:val="Zarážka základného textu 2 Char"/>
    <w:basedOn w:val="Predvolenpsmoodseku"/>
    <w:link w:val="Zarkazkladnhotextu2"/>
    <w:rsid w:val="00DE7F2A"/>
    <w:rPr>
      <w:rFonts w:ascii="Arial" w:eastAsia="Times New Roman" w:hAnsi="Arial" w:cs="Times New Roman"/>
      <w:bCs/>
      <w:sz w:val="20"/>
      <w:szCs w:val="24"/>
    </w:rPr>
  </w:style>
  <w:style w:type="paragraph" w:styleId="Zarkazkladnhotextu">
    <w:name w:val="Body Text Indent"/>
    <w:basedOn w:val="Normlny"/>
    <w:link w:val="ZarkazkladnhotextuChar"/>
    <w:rsid w:val="00DE7F2A"/>
    <w:pPr>
      <w:ind w:left="360"/>
    </w:pPr>
    <w:rPr>
      <w:rFonts w:ascii="Arial" w:hAnsi="Arial"/>
      <w:bCs/>
      <w:sz w:val="20"/>
      <w:szCs w:val="24"/>
    </w:rPr>
  </w:style>
  <w:style w:type="character" w:customStyle="1" w:styleId="ZarkazkladnhotextuChar">
    <w:name w:val="Zarážka základného textu Char"/>
    <w:basedOn w:val="Predvolenpsmoodseku"/>
    <w:link w:val="Zarkazkladnhotextu"/>
    <w:rsid w:val="00DE7F2A"/>
    <w:rPr>
      <w:rFonts w:ascii="Arial" w:eastAsia="Times New Roman" w:hAnsi="Arial" w:cs="Times New Roman"/>
      <w:bCs/>
      <w:sz w:val="20"/>
      <w:szCs w:val="24"/>
    </w:rPr>
  </w:style>
  <w:style w:type="paragraph" w:styleId="Zkladntext">
    <w:name w:val="Body Text"/>
    <w:basedOn w:val="Normlny"/>
    <w:link w:val="ZkladntextChar"/>
    <w:rsid w:val="00DE7F2A"/>
    <w:pPr>
      <w:tabs>
        <w:tab w:val="num" w:pos="0"/>
      </w:tabs>
    </w:pPr>
    <w:rPr>
      <w:sz w:val="22"/>
    </w:rPr>
  </w:style>
  <w:style w:type="character" w:customStyle="1" w:styleId="ZkladntextChar">
    <w:name w:val="Základný text Char"/>
    <w:basedOn w:val="Predvolenpsmoodseku"/>
    <w:link w:val="Zkladntext"/>
    <w:rsid w:val="00DE7F2A"/>
    <w:rPr>
      <w:rFonts w:ascii="Times New Roman" w:eastAsia="Times New Roman" w:hAnsi="Times New Roman" w:cs="Times New Roman"/>
      <w:szCs w:val="20"/>
    </w:rPr>
  </w:style>
  <w:style w:type="paragraph" w:styleId="Zkladntext2">
    <w:name w:val="Body Text 2"/>
    <w:basedOn w:val="Normlny"/>
    <w:link w:val="Zkladntext2Char"/>
    <w:rsid w:val="00DE7F2A"/>
    <w:pPr>
      <w:tabs>
        <w:tab w:val="num" w:pos="0"/>
      </w:tabs>
      <w:jc w:val="both"/>
    </w:pPr>
    <w:rPr>
      <w:sz w:val="22"/>
    </w:rPr>
  </w:style>
  <w:style w:type="character" w:customStyle="1" w:styleId="Zkladntext2Char">
    <w:name w:val="Základný text 2 Char"/>
    <w:basedOn w:val="Predvolenpsmoodseku"/>
    <w:link w:val="Zkladntext2"/>
    <w:rsid w:val="00DE7F2A"/>
    <w:rPr>
      <w:rFonts w:ascii="Times New Roman" w:eastAsia="Times New Roman" w:hAnsi="Times New Roman" w:cs="Times New Roman"/>
      <w:szCs w:val="20"/>
    </w:rPr>
  </w:style>
  <w:style w:type="character" w:styleId="Hypertextovprepojenie">
    <w:name w:val="Hyperlink"/>
    <w:rsid w:val="00DE7F2A"/>
    <w:rPr>
      <w:rFonts w:cs="Times New Roman"/>
      <w:color w:val="0000FF"/>
      <w:u w:val="single"/>
    </w:rPr>
  </w:style>
  <w:style w:type="paragraph" w:styleId="Hlavika">
    <w:name w:val="header"/>
    <w:basedOn w:val="Normlny"/>
    <w:link w:val="HlavikaChar"/>
    <w:uiPriority w:val="99"/>
    <w:unhideWhenUsed/>
    <w:rsid w:val="00DE7F2A"/>
    <w:pPr>
      <w:tabs>
        <w:tab w:val="center" w:pos="4536"/>
        <w:tab w:val="right" w:pos="9072"/>
      </w:tabs>
    </w:pPr>
  </w:style>
  <w:style w:type="character" w:customStyle="1" w:styleId="HlavikaChar">
    <w:name w:val="Hlavička Char"/>
    <w:basedOn w:val="Predvolenpsmoodseku"/>
    <w:link w:val="Hlavika"/>
    <w:uiPriority w:val="99"/>
    <w:rsid w:val="00DE7F2A"/>
    <w:rPr>
      <w:rFonts w:ascii="Times New Roman" w:eastAsia="Times New Roman" w:hAnsi="Times New Roman" w:cs="Times New Roman"/>
      <w:sz w:val="24"/>
      <w:szCs w:val="20"/>
    </w:rPr>
  </w:style>
  <w:style w:type="paragraph" w:styleId="Textbubliny">
    <w:name w:val="Balloon Text"/>
    <w:basedOn w:val="Normlny"/>
    <w:link w:val="TextbublinyChar"/>
    <w:uiPriority w:val="99"/>
    <w:semiHidden/>
    <w:unhideWhenUsed/>
    <w:rsid w:val="00D83E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D83E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8345</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Milan</dc:creator>
  <cp:keywords/>
  <dc:description/>
  <cp:lastModifiedBy>AK</cp:lastModifiedBy>
  <cp:revision>2</cp:revision>
  <dcterms:created xsi:type="dcterms:W3CDTF">2022-02-18T08:14:00Z</dcterms:created>
  <dcterms:modified xsi:type="dcterms:W3CDTF">2022-02-18T08:14:00Z</dcterms:modified>
</cp:coreProperties>
</file>