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9014" w14:textId="77777777" w:rsidR="00015CBC" w:rsidRPr="00F62A0B" w:rsidRDefault="00015CBC" w:rsidP="00F62A0B">
      <w:pPr>
        <w:jc w:val="center"/>
        <w:rPr>
          <w:b/>
          <w:sz w:val="22"/>
        </w:rPr>
      </w:pPr>
      <w:r w:rsidRPr="00F62A0B">
        <w:rPr>
          <w:b/>
          <w:sz w:val="22"/>
        </w:rPr>
        <w:t>SÚHRN CHARAKTERISTICKÝCH VLASTNOSTÍ LIEKU</w:t>
      </w:r>
    </w:p>
    <w:p w14:paraId="71C444FA" w14:textId="77777777" w:rsidR="00015CBC" w:rsidRPr="00F62A0B" w:rsidRDefault="00015CBC" w:rsidP="00F62A0B">
      <w:pPr>
        <w:rPr>
          <w:sz w:val="24"/>
        </w:rPr>
      </w:pPr>
    </w:p>
    <w:p w14:paraId="11971273" w14:textId="77777777" w:rsidR="00015CBC" w:rsidRPr="00F62A0B" w:rsidRDefault="00015CBC" w:rsidP="00F62A0B">
      <w:pPr>
        <w:rPr>
          <w:sz w:val="24"/>
        </w:rPr>
      </w:pPr>
    </w:p>
    <w:p w14:paraId="6BAB8158" w14:textId="77777777" w:rsidR="00015CBC" w:rsidRPr="00554C4D" w:rsidRDefault="00015CBC">
      <w:pPr>
        <w:numPr>
          <w:ilvl w:val="0"/>
          <w:numId w:val="1"/>
        </w:numPr>
        <w:jc w:val="both"/>
        <w:rPr>
          <w:b/>
          <w:sz w:val="22"/>
        </w:rPr>
      </w:pPr>
      <w:r w:rsidRPr="00554C4D">
        <w:rPr>
          <w:b/>
          <w:sz w:val="22"/>
        </w:rPr>
        <w:t>NÁZOV LIEKU</w:t>
      </w:r>
    </w:p>
    <w:p w14:paraId="2D8DF652" w14:textId="77777777" w:rsidR="00015CBC" w:rsidRPr="00554C4D" w:rsidRDefault="00015CBC">
      <w:pPr>
        <w:pStyle w:val="Heading1"/>
        <w:ind w:left="0"/>
        <w:jc w:val="both"/>
        <w:rPr>
          <w:b/>
          <w:sz w:val="22"/>
        </w:rPr>
      </w:pPr>
    </w:p>
    <w:p w14:paraId="3A2F6A40" w14:textId="77777777" w:rsidR="00E0069D" w:rsidRPr="00E6668F" w:rsidRDefault="00015CBC">
      <w:pPr>
        <w:pStyle w:val="Heading1"/>
        <w:ind w:left="0"/>
        <w:jc w:val="both"/>
        <w:rPr>
          <w:bCs/>
          <w:sz w:val="22"/>
        </w:rPr>
      </w:pPr>
      <w:r w:rsidRPr="00554C4D">
        <w:rPr>
          <w:bCs/>
          <w:sz w:val="22"/>
        </w:rPr>
        <w:t>G</w:t>
      </w:r>
      <w:r w:rsidR="00FF4654" w:rsidRPr="00554C4D">
        <w:rPr>
          <w:bCs/>
          <w:sz w:val="22"/>
        </w:rPr>
        <w:t>lucophage</w:t>
      </w:r>
      <w:r w:rsidRPr="00E6668F">
        <w:rPr>
          <w:bCs/>
          <w:sz w:val="22"/>
        </w:rPr>
        <w:t xml:space="preserve"> XR</w:t>
      </w:r>
    </w:p>
    <w:p w14:paraId="480BF782" w14:textId="77777777" w:rsidR="00AE0584" w:rsidRPr="00554C4D" w:rsidRDefault="00AE0584" w:rsidP="00AE0584">
      <w:pPr>
        <w:pStyle w:val="Heading1"/>
        <w:ind w:left="0"/>
        <w:jc w:val="both"/>
        <w:rPr>
          <w:bCs/>
          <w:sz w:val="22"/>
        </w:rPr>
      </w:pPr>
      <w:r w:rsidRPr="00554C4D">
        <w:rPr>
          <w:bCs/>
          <w:sz w:val="22"/>
        </w:rPr>
        <w:t>Glucophage XR 750 mg</w:t>
      </w:r>
    </w:p>
    <w:p w14:paraId="0E232367" w14:textId="77777777" w:rsidR="00AE0584" w:rsidRPr="00554C4D" w:rsidRDefault="00AE0584" w:rsidP="00AE0584">
      <w:pPr>
        <w:pStyle w:val="Heading1"/>
        <w:ind w:left="0"/>
        <w:jc w:val="both"/>
        <w:rPr>
          <w:bCs/>
          <w:sz w:val="22"/>
        </w:rPr>
      </w:pPr>
      <w:r w:rsidRPr="00554C4D">
        <w:rPr>
          <w:bCs/>
          <w:sz w:val="22"/>
        </w:rPr>
        <w:t>Glucophage XR 1000 mg</w:t>
      </w:r>
    </w:p>
    <w:p w14:paraId="7511CC7B" w14:textId="77777777" w:rsidR="00E37985" w:rsidRPr="00554C4D" w:rsidRDefault="00E37985">
      <w:pPr>
        <w:jc w:val="both"/>
        <w:rPr>
          <w:sz w:val="22"/>
        </w:rPr>
      </w:pPr>
      <w:r w:rsidRPr="00554C4D">
        <w:rPr>
          <w:sz w:val="22"/>
        </w:rPr>
        <w:t>tablety s predĺženým uvoľňovaním</w:t>
      </w:r>
    </w:p>
    <w:p w14:paraId="46DE6F03" w14:textId="77777777" w:rsidR="00E37985" w:rsidRPr="00554C4D" w:rsidRDefault="00E37985">
      <w:pPr>
        <w:jc w:val="both"/>
        <w:rPr>
          <w:sz w:val="22"/>
        </w:rPr>
      </w:pPr>
    </w:p>
    <w:p w14:paraId="5E55A852" w14:textId="77777777" w:rsidR="00015CBC" w:rsidRPr="00554C4D" w:rsidRDefault="00015CBC">
      <w:pPr>
        <w:jc w:val="both"/>
      </w:pPr>
    </w:p>
    <w:p w14:paraId="172730A7" w14:textId="77777777" w:rsidR="00015CBC" w:rsidRPr="00554C4D" w:rsidRDefault="00015CBC">
      <w:pPr>
        <w:numPr>
          <w:ilvl w:val="0"/>
          <w:numId w:val="1"/>
        </w:numPr>
        <w:jc w:val="both"/>
        <w:rPr>
          <w:b/>
          <w:sz w:val="22"/>
        </w:rPr>
      </w:pPr>
      <w:r w:rsidRPr="00554C4D">
        <w:rPr>
          <w:b/>
          <w:sz w:val="22"/>
        </w:rPr>
        <w:t xml:space="preserve">KVALITATÍVNE A KVANTITATÍVNE ZLOŽENIE </w:t>
      </w:r>
    </w:p>
    <w:p w14:paraId="5582287F" w14:textId="77777777" w:rsidR="00015CBC" w:rsidRPr="00554C4D" w:rsidRDefault="00015CBC" w:rsidP="00F62A0B">
      <w:pPr>
        <w:pStyle w:val="BodyTextIndent"/>
        <w:ind w:left="0"/>
        <w:jc w:val="both"/>
        <w:rPr>
          <w:sz w:val="22"/>
        </w:rPr>
      </w:pPr>
    </w:p>
    <w:p w14:paraId="7D5861F4" w14:textId="77777777" w:rsidR="00511398" w:rsidRPr="00554C4D" w:rsidRDefault="00511398" w:rsidP="00511398">
      <w:pPr>
        <w:pStyle w:val="Heading1"/>
        <w:ind w:left="0"/>
        <w:jc w:val="both"/>
        <w:rPr>
          <w:bCs/>
          <w:sz w:val="22"/>
        </w:rPr>
      </w:pPr>
      <w:r w:rsidRPr="00554C4D">
        <w:rPr>
          <w:bCs/>
          <w:sz w:val="22"/>
        </w:rPr>
        <w:t>Glucophage XR</w:t>
      </w:r>
    </w:p>
    <w:p w14:paraId="42B2DB55" w14:textId="7132C74C" w:rsidR="00015CBC" w:rsidRPr="00554C4D" w:rsidRDefault="000B3DF6" w:rsidP="00FF4654">
      <w:pPr>
        <w:pStyle w:val="BodyTextIndent"/>
        <w:ind w:left="0"/>
        <w:rPr>
          <w:sz w:val="22"/>
        </w:rPr>
      </w:pPr>
      <w:r w:rsidRPr="00554C4D">
        <w:rPr>
          <w:sz w:val="22"/>
        </w:rPr>
        <w:t>K</w:t>
      </w:r>
      <w:r w:rsidR="00015CBC" w:rsidRPr="00554C4D">
        <w:rPr>
          <w:sz w:val="22"/>
        </w:rPr>
        <w:t>aždá tableta s predĺženým uvoľňovaním obsahuje</w:t>
      </w:r>
      <w:r w:rsidR="00FF4654" w:rsidRPr="00554C4D">
        <w:rPr>
          <w:sz w:val="22"/>
        </w:rPr>
        <w:t xml:space="preserve"> </w:t>
      </w:r>
      <w:r w:rsidR="00FA1D27" w:rsidRPr="00554C4D">
        <w:rPr>
          <w:sz w:val="22"/>
        </w:rPr>
        <w:t xml:space="preserve">500 mg </w:t>
      </w:r>
      <w:r w:rsidR="00E0069D" w:rsidRPr="00554C4D">
        <w:rPr>
          <w:sz w:val="22"/>
        </w:rPr>
        <w:t>m</w:t>
      </w:r>
      <w:r w:rsidR="00015CBC" w:rsidRPr="00554C4D">
        <w:rPr>
          <w:sz w:val="22"/>
        </w:rPr>
        <w:t>etformínium</w:t>
      </w:r>
      <w:r w:rsidR="00F62A0B">
        <w:rPr>
          <w:sz w:val="22"/>
        </w:rPr>
        <w:t>-</w:t>
      </w:r>
      <w:r w:rsidR="00015CBC" w:rsidRPr="00554C4D">
        <w:rPr>
          <w:sz w:val="22"/>
        </w:rPr>
        <w:t>chlorid</w:t>
      </w:r>
      <w:r w:rsidR="00FA1D27" w:rsidRPr="00554C4D">
        <w:rPr>
          <w:sz w:val="22"/>
        </w:rPr>
        <w:t>u</w:t>
      </w:r>
      <w:r w:rsidR="005D4C93" w:rsidRPr="00554C4D">
        <w:rPr>
          <w:sz w:val="22"/>
        </w:rPr>
        <w:t>,</w:t>
      </w:r>
      <w:r w:rsidR="00015CBC" w:rsidRPr="00554C4D">
        <w:rPr>
          <w:sz w:val="22"/>
        </w:rPr>
        <w:t xml:space="preserve"> </w:t>
      </w:r>
      <w:r w:rsidR="00E0069D" w:rsidRPr="00554C4D">
        <w:rPr>
          <w:sz w:val="22"/>
        </w:rPr>
        <w:t xml:space="preserve">čo </w:t>
      </w:r>
      <w:r w:rsidR="00015CBC" w:rsidRPr="00554C4D">
        <w:rPr>
          <w:sz w:val="22"/>
        </w:rPr>
        <w:t>zodpovedá 390 mg metformínu</w:t>
      </w:r>
      <w:r w:rsidR="00FA1D27" w:rsidRPr="00554C4D">
        <w:rPr>
          <w:sz w:val="22"/>
        </w:rPr>
        <w:t>.</w:t>
      </w:r>
      <w:r w:rsidR="00015CBC" w:rsidRPr="00554C4D">
        <w:rPr>
          <w:sz w:val="22"/>
        </w:rPr>
        <w:t xml:space="preserve">  </w:t>
      </w:r>
    </w:p>
    <w:p w14:paraId="629511EF" w14:textId="77777777" w:rsidR="00EC0F77" w:rsidRPr="00554C4D" w:rsidRDefault="00EC0F77" w:rsidP="00FF4654">
      <w:pPr>
        <w:pStyle w:val="BodyTextIndent"/>
        <w:ind w:left="0"/>
        <w:rPr>
          <w:sz w:val="22"/>
        </w:rPr>
      </w:pPr>
    </w:p>
    <w:p w14:paraId="0BDDF7A9" w14:textId="77777777" w:rsidR="00511398" w:rsidRPr="00554C4D" w:rsidRDefault="00511398" w:rsidP="00511398">
      <w:pPr>
        <w:pStyle w:val="Heading1"/>
        <w:ind w:left="0"/>
        <w:jc w:val="both"/>
        <w:rPr>
          <w:bCs/>
          <w:sz w:val="22"/>
        </w:rPr>
      </w:pPr>
      <w:r w:rsidRPr="00554C4D">
        <w:rPr>
          <w:bCs/>
          <w:sz w:val="22"/>
        </w:rPr>
        <w:t>Glucophage XR 750 mg</w:t>
      </w:r>
    </w:p>
    <w:p w14:paraId="5D72CF35" w14:textId="14DB0F5A" w:rsidR="00511398" w:rsidRPr="00554C4D" w:rsidRDefault="00511398">
      <w:pPr>
        <w:pStyle w:val="BodyTextIndent"/>
        <w:ind w:hanging="360"/>
        <w:jc w:val="both"/>
        <w:rPr>
          <w:sz w:val="22"/>
        </w:rPr>
      </w:pPr>
      <w:r w:rsidRPr="00554C4D">
        <w:rPr>
          <w:sz w:val="22"/>
        </w:rPr>
        <w:t>Každá tableta s predĺženým uvoľňovaním obsahuje 750 mg metformínium</w:t>
      </w:r>
      <w:r w:rsidR="00F62A0B">
        <w:rPr>
          <w:sz w:val="22"/>
        </w:rPr>
        <w:t>-</w:t>
      </w:r>
      <w:r w:rsidRPr="00554C4D">
        <w:rPr>
          <w:sz w:val="22"/>
        </w:rPr>
        <w:t>chloridu, čo zodpovedá</w:t>
      </w:r>
    </w:p>
    <w:p w14:paraId="188402AB" w14:textId="77777777" w:rsidR="00015CBC" w:rsidRPr="00554C4D" w:rsidRDefault="00511398">
      <w:pPr>
        <w:pStyle w:val="BodyTextIndent"/>
        <w:ind w:hanging="360"/>
        <w:jc w:val="both"/>
        <w:rPr>
          <w:sz w:val="22"/>
        </w:rPr>
      </w:pPr>
      <w:r w:rsidRPr="00554C4D">
        <w:rPr>
          <w:sz w:val="22"/>
        </w:rPr>
        <w:t xml:space="preserve">585 mg metformínu.  </w:t>
      </w:r>
    </w:p>
    <w:p w14:paraId="1B670881" w14:textId="77777777" w:rsidR="00EC0F77" w:rsidRPr="00554C4D" w:rsidRDefault="00EC0F77">
      <w:pPr>
        <w:pStyle w:val="BodyTextIndent"/>
        <w:ind w:hanging="360"/>
        <w:jc w:val="both"/>
        <w:rPr>
          <w:sz w:val="22"/>
        </w:rPr>
      </w:pPr>
    </w:p>
    <w:p w14:paraId="5ABE010C" w14:textId="77777777" w:rsidR="00511398" w:rsidRPr="00554C4D" w:rsidRDefault="00511398" w:rsidP="00511398">
      <w:pPr>
        <w:pStyle w:val="Heading1"/>
        <w:ind w:left="0"/>
        <w:jc w:val="both"/>
        <w:rPr>
          <w:bCs/>
          <w:sz w:val="22"/>
        </w:rPr>
      </w:pPr>
      <w:r w:rsidRPr="00554C4D">
        <w:rPr>
          <w:bCs/>
          <w:sz w:val="22"/>
        </w:rPr>
        <w:t>Glucophage XR 1000 mg</w:t>
      </w:r>
    </w:p>
    <w:p w14:paraId="463B0E70" w14:textId="28AD2116" w:rsidR="00511398" w:rsidRPr="00554C4D" w:rsidRDefault="00511398">
      <w:pPr>
        <w:pStyle w:val="BodyTextIndent"/>
        <w:ind w:hanging="360"/>
        <w:jc w:val="both"/>
        <w:rPr>
          <w:sz w:val="22"/>
        </w:rPr>
      </w:pPr>
      <w:r w:rsidRPr="00554C4D">
        <w:rPr>
          <w:sz w:val="22"/>
        </w:rPr>
        <w:t>Každá tableta s predĺženým uvoľňovaním obsahuje 1000 mg metformínium</w:t>
      </w:r>
      <w:r w:rsidR="00F62A0B">
        <w:rPr>
          <w:sz w:val="22"/>
        </w:rPr>
        <w:t>-</w:t>
      </w:r>
      <w:r w:rsidRPr="00554C4D">
        <w:rPr>
          <w:sz w:val="22"/>
        </w:rPr>
        <w:t>chloridu, čo zodpovedá</w:t>
      </w:r>
    </w:p>
    <w:p w14:paraId="62A5B9CC" w14:textId="262D21E3" w:rsidR="00511398" w:rsidRPr="00554C4D" w:rsidRDefault="00511398">
      <w:pPr>
        <w:pStyle w:val="BodyTextIndent"/>
        <w:ind w:hanging="360"/>
        <w:jc w:val="both"/>
        <w:rPr>
          <w:sz w:val="22"/>
        </w:rPr>
      </w:pPr>
      <w:r w:rsidRPr="00554C4D">
        <w:rPr>
          <w:sz w:val="22"/>
        </w:rPr>
        <w:t>780 mg metformínu.</w:t>
      </w:r>
    </w:p>
    <w:p w14:paraId="0AD5C285" w14:textId="77777777" w:rsidR="00511398" w:rsidRPr="00554C4D" w:rsidRDefault="00511398">
      <w:pPr>
        <w:pStyle w:val="BodyTextIndent"/>
        <w:ind w:hanging="360"/>
        <w:jc w:val="both"/>
        <w:rPr>
          <w:sz w:val="22"/>
        </w:rPr>
      </w:pPr>
    </w:p>
    <w:p w14:paraId="45942203" w14:textId="77777777" w:rsidR="00015CBC" w:rsidRPr="00554C4D" w:rsidRDefault="00015CBC">
      <w:pPr>
        <w:pStyle w:val="BodyTextIndent"/>
        <w:ind w:hanging="360"/>
        <w:jc w:val="both"/>
        <w:rPr>
          <w:sz w:val="22"/>
        </w:rPr>
      </w:pPr>
      <w:r w:rsidRPr="00554C4D">
        <w:rPr>
          <w:sz w:val="22"/>
        </w:rPr>
        <w:t>Úplný zoznam pomocných látok, pozri časť 6.1.</w:t>
      </w:r>
    </w:p>
    <w:p w14:paraId="5EE9A1AF" w14:textId="77777777" w:rsidR="00015CBC" w:rsidRPr="00554C4D" w:rsidRDefault="00015CBC">
      <w:pPr>
        <w:pStyle w:val="BodyTextIndent"/>
        <w:ind w:hanging="360"/>
        <w:jc w:val="both"/>
        <w:rPr>
          <w:sz w:val="22"/>
        </w:rPr>
      </w:pPr>
    </w:p>
    <w:p w14:paraId="43EC9330" w14:textId="77777777" w:rsidR="00015CBC" w:rsidRPr="00554C4D" w:rsidRDefault="00015CBC">
      <w:pPr>
        <w:jc w:val="both"/>
        <w:rPr>
          <w:sz w:val="22"/>
        </w:rPr>
      </w:pPr>
    </w:p>
    <w:p w14:paraId="65D75F65" w14:textId="77777777" w:rsidR="00015CBC" w:rsidRPr="00554C4D" w:rsidRDefault="00015CBC">
      <w:pPr>
        <w:numPr>
          <w:ilvl w:val="0"/>
          <w:numId w:val="1"/>
        </w:numPr>
        <w:jc w:val="both"/>
        <w:rPr>
          <w:b/>
          <w:sz w:val="22"/>
        </w:rPr>
      </w:pPr>
      <w:r w:rsidRPr="00554C4D">
        <w:rPr>
          <w:b/>
          <w:sz w:val="22"/>
        </w:rPr>
        <w:t>LIEKOVÁ FORMA</w:t>
      </w:r>
    </w:p>
    <w:p w14:paraId="1273800F" w14:textId="77777777" w:rsidR="00015CBC" w:rsidRPr="00554C4D" w:rsidRDefault="00015CBC">
      <w:pPr>
        <w:pStyle w:val="Heading1"/>
        <w:ind w:left="0"/>
        <w:jc w:val="both"/>
        <w:rPr>
          <w:sz w:val="22"/>
        </w:rPr>
      </w:pPr>
    </w:p>
    <w:p w14:paraId="7404752C" w14:textId="77777777" w:rsidR="00015CBC" w:rsidRPr="00554C4D" w:rsidRDefault="00D729D8">
      <w:pPr>
        <w:pStyle w:val="Heading1"/>
        <w:ind w:left="0"/>
        <w:jc w:val="both"/>
        <w:rPr>
          <w:sz w:val="22"/>
        </w:rPr>
      </w:pPr>
      <w:r w:rsidRPr="00554C4D">
        <w:rPr>
          <w:sz w:val="22"/>
        </w:rPr>
        <w:t xml:space="preserve">Tableta </w:t>
      </w:r>
      <w:r w:rsidR="00015CBC" w:rsidRPr="00554C4D">
        <w:rPr>
          <w:sz w:val="22"/>
        </w:rPr>
        <w:t>s predĺženým uvoľňovaním.</w:t>
      </w:r>
    </w:p>
    <w:p w14:paraId="6A0FFBE3" w14:textId="77777777" w:rsidR="00CF2CFA" w:rsidRPr="00554C4D" w:rsidRDefault="00CF2CFA" w:rsidP="00CF2CFA">
      <w:pPr>
        <w:ind w:left="1710"/>
      </w:pPr>
    </w:p>
    <w:p w14:paraId="023F2AAE" w14:textId="77777777" w:rsidR="00511398" w:rsidRPr="00554C4D" w:rsidRDefault="00511398" w:rsidP="00511398">
      <w:pPr>
        <w:rPr>
          <w:sz w:val="22"/>
          <w:szCs w:val="22"/>
        </w:rPr>
      </w:pPr>
      <w:r w:rsidRPr="00554C4D">
        <w:rPr>
          <w:sz w:val="22"/>
          <w:szCs w:val="22"/>
        </w:rPr>
        <w:t>Glucophage XR tablety s predĺženým uvoľňovaním sú biele až sivobiele bikonvexné</w:t>
      </w:r>
      <w:r w:rsidR="006848C3" w:rsidRPr="00554C4D">
        <w:rPr>
          <w:sz w:val="22"/>
          <w:szCs w:val="22"/>
        </w:rPr>
        <w:t xml:space="preserve"> okrúhle </w:t>
      </w:r>
      <w:r w:rsidRPr="00554C4D">
        <w:rPr>
          <w:sz w:val="22"/>
          <w:szCs w:val="22"/>
        </w:rPr>
        <w:t xml:space="preserve">tablety, na jednej strane tablety je vyrazené ,,500“. </w:t>
      </w:r>
    </w:p>
    <w:p w14:paraId="4C550850" w14:textId="77777777" w:rsidR="00511398" w:rsidRPr="00554C4D" w:rsidRDefault="00511398" w:rsidP="00CF2CFA">
      <w:pPr>
        <w:rPr>
          <w:sz w:val="22"/>
          <w:szCs w:val="22"/>
        </w:rPr>
      </w:pPr>
      <w:r w:rsidRPr="00554C4D">
        <w:rPr>
          <w:sz w:val="22"/>
          <w:szCs w:val="22"/>
        </w:rPr>
        <w:t xml:space="preserve">Glucophage XR 750 mg tablety s predĺženým uvoľňovaním sú biele až sivobiele bikonvexné tablety v tvare kapsuly, na jednej strane tablety je vyrazené ,,750“ a na druhej strane ,,Merck“. </w:t>
      </w:r>
    </w:p>
    <w:p w14:paraId="752CBA41" w14:textId="77777777" w:rsidR="00E625FB" w:rsidRPr="00554C4D" w:rsidRDefault="00511398" w:rsidP="00511398">
      <w:pPr>
        <w:jc w:val="both"/>
        <w:rPr>
          <w:sz w:val="22"/>
        </w:rPr>
      </w:pPr>
      <w:r w:rsidRPr="00554C4D">
        <w:rPr>
          <w:sz w:val="22"/>
          <w:szCs w:val="22"/>
        </w:rPr>
        <w:t xml:space="preserve">Glucophage XR 1000 mg tablety s predĺženým uvoľňovaním sú biele až sivobiele bikonvexné tablety v tvare kapsuly, na jednej strane tablety je vyrazené ,,1000“ a na druhej strane ,,Merck“. </w:t>
      </w:r>
    </w:p>
    <w:p w14:paraId="4FF2549C" w14:textId="77777777" w:rsidR="00015CBC" w:rsidRPr="00554C4D" w:rsidRDefault="00015CBC">
      <w:pPr>
        <w:jc w:val="both"/>
        <w:rPr>
          <w:sz w:val="22"/>
        </w:rPr>
      </w:pPr>
    </w:p>
    <w:p w14:paraId="1EA4CE66" w14:textId="77777777" w:rsidR="00CF2CFA" w:rsidRPr="00554C4D" w:rsidRDefault="00CF2CFA">
      <w:pPr>
        <w:jc w:val="both"/>
        <w:rPr>
          <w:sz w:val="22"/>
        </w:rPr>
      </w:pPr>
    </w:p>
    <w:p w14:paraId="338EDDD8" w14:textId="77777777" w:rsidR="00422A3E" w:rsidRPr="00554C4D" w:rsidRDefault="00015CBC" w:rsidP="00422A3E">
      <w:pPr>
        <w:numPr>
          <w:ilvl w:val="0"/>
          <w:numId w:val="1"/>
        </w:numPr>
        <w:jc w:val="both"/>
        <w:rPr>
          <w:b/>
          <w:sz w:val="22"/>
        </w:rPr>
      </w:pPr>
      <w:r w:rsidRPr="00554C4D">
        <w:rPr>
          <w:b/>
          <w:sz w:val="22"/>
        </w:rPr>
        <w:t>KLINICKÉ ÚDAJE</w:t>
      </w:r>
    </w:p>
    <w:p w14:paraId="0AE1898E" w14:textId="77777777" w:rsidR="00422A3E" w:rsidRPr="00554C4D" w:rsidRDefault="00422A3E" w:rsidP="00265FB7">
      <w:pPr>
        <w:pStyle w:val="Heading3"/>
        <w:tabs>
          <w:tab w:val="left" w:pos="709"/>
        </w:tabs>
        <w:jc w:val="both"/>
        <w:rPr>
          <w:b/>
          <w:sz w:val="22"/>
        </w:rPr>
      </w:pPr>
    </w:p>
    <w:p w14:paraId="0966B726" w14:textId="77777777" w:rsidR="00584272" w:rsidRPr="00554C4D" w:rsidRDefault="00015CBC" w:rsidP="00265FB7">
      <w:pPr>
        <w:pStyle w:val="Heading3"/>
        <w:tabs>
          <w:tab w:val="left" w:pos="709"/>
        </w:tabs>
        <w:jc w:val="both"/>
        <w:rPr>
          <w:b/>
          <w:sz w:val="22"/>
        </w:rPr>
      </w:pPr>
      <w:r w:rsidRPr="00554C4D">
        <w:rPr>
          <w:b/>
          <w:sz w:val="22"/>
        </w:rPr>
        <w:t>4.1</w:t>
      </w:r>
      <w:r w:rsidR="00584272" w:rsidRPr="00554C4D">
        <w:rPr>
          <w:b/>
          <w:sz w:val="22"/>
        </w:rPr>
        <w:tab/>
      </w:r>
      <w:r w:rsidRPr="00554C4D">
        <w:rPr>
          <w:b/>
          <w:sz w:val="22"/>
        </w:rPr>
        <w:t>Terapeutické indikácie</w:t>
      </w:r>
    </w:p>
    <w:p w14:paraId="448CE6E0" w14:textId="77777777" w:rsidR="00584272" w:rsidRPr="00554C4D" w:rsidRDefault="00584272" w:rsidP="00E625FB">
      <w:pPr>
        <w:pStyle w:val="Heading3"/>
        <w:jc w:val="both"/>
        <w:rPr>
          <w:b/>
          <w:sz w:val="22"/>
        </w:rPr>
      </w:pPr>
    </w:p>
    <w:p w14:paraId="6C81F072" w14:textId="77777777" w:rsidR="006A09AC" w:rsidRPr="00554C4D" w:rsidRDefault="00015CBC" w:rsidP="00F62A0B">
      <w:pPr>
        <w:pStyle w:val="Heading3"/>
        <w:rPr>
          <w:sz w:val="22"/>
          <w:szCs w:val="22"/>
        </w:rPr>
      </w:pPr>
      <w:r w:rsidRPr="00554C4D">
        <w:rPr>
          <w:sz w:val="22"/>
          <w:szCs w:val="22"/>
        </w:rPr>
        <w:t xml:space="preserve">Liečba </w:t>
      </w:r>
      <w:r w:rsidR="00E625FB" w:rsidRPr="00554C4D">
        <w:rPr>
          <w:sz w:val="22"/>
          <w:szCs w:val="22"/>
        </w:rPr>
        <w:t>diabet</w:t>
      </w:r>
      <w:r w:rsidR="00FF4654" w:rsidRPr="00554C4D">
        <w:rPr>
          <w:sz w:val="22"/>
          <w:szCs w:val="22"/>
        </w:rPr>
        <w:t>es</w:t>
      </w:r>
      <w:r w:rsidR="00E625FB" w:rsidRPr="00554C4D">
        <w:rPr>
          <w:sz w:val="22"/>
          <w:szCs w:val="22"/>
        </w:rPr>
        <w:t xml:space="preserve"> </w:t>
      </w:r>
      <w:r w:rsidRPr="00554C4D">
        <w:rPr>
          <w:sz w:val="22"/>
          <w:szCs w:val="22"/>
        </w:rPr>
        <w:t xml:space="preserve">mellitus 2. typu u dospelých, hlavne u obéznych pacientov, </w:t>
      </w:r>
      <w:r w:rsidR="00E625FB" w:rsidRPr="00554C4D">
        <w:rPr>
          <w:sz w:val="22"/>
          <w:szCs w:val="22"/>
        </w:rPr>
        <w:t xml:space="preserve">ak diétnymi opatreniami a telesným cvičením </w:t>
      </w:r>
      <w:r w:rsidR="00B4221D" w:rsidRPr="00554C4D">
        <w:rPr>
          <w:sz w:val="22"/>
          <w:szCs w:val="22"/>
        </w:rPr>
        <w:t>nebola dosiahnutá adekvátna kontrola glykémie.</w:t>
      </w:r>
      <w:r w:rsidRPr="00554C4D">
        <w:rPr>
          <w:sz w:val="22"/>
          <w:szCs w:val="22"/>
        </w:rPr>
        <w:t xml:space="preserve"> </w:t>
      </w:r>
    </w:p>
    <w:p w14:paraId="4FF233C8" w14:textId="77777777" w:rsidR="00015CBC" w:rsidRPr="00554C4D" w:rsidRDefault="00015CBC" w:rsidP="00F62A0B">
      <w:pPr>
        <w:pStyle w:val="Heading3"/>
        <w:rPr>
          <w:sz w:val="22"/>
          <w:szCs w:val="22"/>
        </w:rPr>
      </w:pPr>
      <w:r w:rsidRPr="00554C4D">
        <w:rPr>
          <w:sz w:val="22"/>
          <w:szCs w:val="22"/>
        </w:rPr>
        <w:t xml:space="preserve">Glucophage XR môže byť indikovaný </w:t>
      </w:r>
      <w:r w:rsidR="006F798F" w:rsidRPr="00554C4D">
        <w:rPr>
          <w:sz w:val="22"/>
          <w:szCs w:val="22"/>
        </w:rPr>
        <w:t>ako</w:t>
      </w:r>
      <w:r w:rsidRPr="00554C4D">
        <w:rPr>
          <w:sz w:val="22"/>
          <w:szCs w:val="22"/>
        </w:rPr>
        <w:t xml:space="preserve"> monoterapi</w:t>
      </w:r>
      <w:r w:rsidR="006F798F" w:rsidRPr="00554C4D">
        <w:rPr>
          <w:sz w:val="22"/>
          <w:szCs w:val="22"/>
        </w:rPr>
        <w:t>a</w:t>
      </w:r>
      <w:r w:rsidRPr="00554C4D">
        <w:rPr>
          <w:sz w:val="22"/>
          <w:szCs w:val="22"/>
        </w:rPr>
        <w:t xml:space="preserve"> alebo v kombinácii s inými perorálnymi antidiabetikami</w:t>
      </w:r>
      <w:r w:rsidR="00BC2C29" w:rsidRPr="00554C4D">
        <w:rPr>
          <w:sz w:val="22"/>
          <w:szCs w:val="22"/>
        </w:rPr>
        <w:t xml:space="preserve"> </w:t>
      </w:r>
      <w:r w:rsidRPr="00554C4D">
        <w:rPr>
          <w:sz w:val="22"/>
          <w:szCs w:val="22"/>
        </w:rPr>
        <w:t>alebo s inzulínom.</w:t>
      </w:r>
    </w:p>
    <w:p w14:paraId="19B96EED" w14:textId="77777777" w:rsidR="00015CBC" w:rsidRPr="00554C4D" w:rsidRDefault="00015CBC" w:rsidP="00F62A0B">
      <w:pPr>
        <w:pStyle w:val="Heading3"/>
        <w:rPr>
          <w:sz w:val="22"/>
          <w:szCs w:val="22"/>
        </w:rPr>
      </w:pPr>
      <w:r w:rsidRPr="00554C4D">
        <w:rPr>
          <w:sz w:val="22"/>
          <w:szCs w:val="22"/>
        </w:rPr>
        <w:t xml:space="preserve">Použitie metformínu ako lieku prvej voľby u obéznych </w:t>
      </w:r>
      <w:r w:rsidR="003E5CE8" w:rsidRPr="00554C4D">
        <w:rPr>
          <w:sz w:val="22"/>
          <w:szCs w:val="22"/>
        </w:rPr>
        <w:t xml:space="preserve">dospelých </w:t>
      </w:r>
      <w:r w:rsidRPr="00554C4D">
        <w:rPr>
          <w:sz w:val="22"/>
          <w:szCs w:val="22"/>
        </w:rPr>
        <w:t>pacientov s diabetom 2. typu po zlyhaní</w:t>
      </w:r>
      <w:r w:rsidR="000A7D43" w:rsidRPr="00554C4D">
        <w:rPr>
          <w:sz w:val="22"/>
          <w:szCs w:val="22"/>
        </w:rPr>
        <w:t xml:space="preserve"> </w:t>
      </w:r>
      <w:r w:rsidRPr="00554C4D">
        <w:rPr>
          <w:sz w:val="22"/>
          <w:szCs w:val="22"/>
        </w:rPr>
        <w:t>diéty znižuje výskyt diabetických komplikácií (pozri časť 5.1).</w:t>
      </w:r>
    </w:p>
    <w:p w14:paraId="79E149D1" w14:textId="77777777" w:rsidR="00310DE1" w:rsidRPr="00554C4D" w:rsidRDefault="00310DE1" w:rsidP="00F62A0B">
      <w:pPr>
        <w:rPr>
          <w:b/>
          <w:sz w:val="22"/>
        </w:rPr>
      </w:pPr>
    </w:p>
    <w:p w14:paraId="52D9E151" w14:textId="77777777" w:rsidR="00015CBC" w:rsidRPr="00554C4D" w:rsidRDefault="00015CBC">
      <w:pPr>
        <w:jc w:val="both"/>
        <w:rPr>
          <w:b/>
          <w:sz w:val="22"/>
        </w:rPr>
      </w:pPr>
      <w:r w:rsidRPr="00554C4D">
        <w:rPr>
          <w:b/>
          <w:sz w:val="22"/>
        </w:rPr>
        <w:t>4.2</w:t>
      </w:r>
      <w:r w:rsidR="00584272" w:rsidRPr="00554C4D">
        <w:rPr>
          <w:b/>
          <w:sz w:val="22"/>
        </w:rPr>
        <w:tab/>
      </w:r>
      <w:r w:rsidRPr="00554C4D">
        <w:rPr>
          <w:b/>
          <w:sz w:val="22"/>
        </w:rPr>
        <w:t xml:space="preserve">Dávkovanie </w:t>
      </w:r>
      <w:r w:rsidR="00BC2C29" w:rsidRPr="00554C4D">
        <w:rPr>
          <w:b/>
          <w:sz w:val="22"/>
        </w:rPr>
        <w:t xml:space="preserve">a </w:t>
      </w:r>
      <w:r w:rsidRPr="00554C4D">
        <w:rPr>
          <w:b/>
          <w:sz w:val="22"/>
        </w:rPr>
        <w:t>spôsob podávania</w:t>
      </w:r>
    </w:p>
    <w:p w14:paraId="0BA5CD26" w14:textId="77777777" w:rsidR="00D729D8" w:rsidRPr="00554C4D" w:rsidRDefault="00D729D8">
      <w:pPr>
        <w:jc w:val="both"/>
        <w:rPr>
          <w:b/>
          <w:sz w:val="22"/>
        </w:rPr>
      </w:pPr>
    </w:p>
    <w:p w14:paraId="72BBF3C8" w14:textId="77777777" w:rsidR="00D729D8" w:rsidRPr="00554C4D" w:rsidRDefault="00D729D8">
      <w:pPr>
        <w:jc w:val="both"/>
        <w:rPr>
          <w:sz w:val="22"/>
          <w:u w:val="single"/>
        </w:rPr>
      </w:pPr>
      <w:r w:rsidRPr="00554C4D">
        <w:rPr>
          <w:sz w:val="22"/>
          <w:u w:val="single"/>
        </w:rPr>
        <w:t>Dávkovanie</w:t>
      </w:r>
    </w:p>
    <w:p w14:paraId="2F843CB7" w14:textId="77777777" w:rsidR="003D5289" w:rsidRPr="00554C4D" w:rsidRDefault="003D5289" w:rsidP="00DF19BC">
      <w:pPr>
        <w:jc w:val="both"/>
        <w:rPr>
          <w:rFonts w:cs="QUOWUE+Verdana"/>
          <w:i/>
          <w:iCs/>
          <w:sz w:val="22"/>
          <w:szCs w:val="22"/>
        </w:rPr>
      </w:pPr>
      <w:r w:rsidRPr="00554C4D">
        <w:rPr>
          <w:rFonts w:cs="QUOWUE+Verdana"/>
          <w:i/>
          <w:iCs/>
          <w:sz w:val="22"/>
          <w:szCs w:val="22"/>
        </w:rPr>
        <w:lastRenderedPageBreak/>
        <w:t>Dospelí s normálnou funkciou obličiek (GFR ≥ 90 ml/min)</w:t>
      </w:r>
    </w:p>
    <w:p w14:paraId="7F19F219" w14:textId="77777777" w:rsidR="003D5289" w:rsidRPr="00554C4D" w:rsidRDefault="003D5289" w:rsidP="00DF19BC">
      <w:pPr>
        <w:jc w:val="both"/>
        <w:rPr>
          <w:rFonts w:cs="QUOWUE+Verdana"/>
          <w:i/>
          <w:iCs/>
          <w:sz w:val="22"/>
          <w:szCs w:val="22"/>
        </w:rPr>
      </w:pPr>
    </w:p>
    <w:p w14:paraId="21699D13" w14:textId="77777777" w:rsidR="00015CBC" w:rsidRPr="00554C4D" w:rsidRDefault="00015CBC">
      <w:pPr>
        <w:pStyle w:val="Heading2"/>
        <w:jc w:val="both"/>
        <w:rPr>
          <w:sz w:val="22"/>
        </w:rPr>
      </w:pPr>
      <w:r w:rsidRPr="00554C4D">
        <w:rPr>
          <w:sz w:val="22"/>
        </w:rPr>
        <w:t>Monoterapia a kombinácia s inými perorálnymi antidiabetikami</w:t>
      </w:r>
    </w:p>
    <w:p w14:paraId="6BBB9C45" w14:textId="77777777" w:rsidR="00225AFB" w:rsidRPr="00554C4D" w:rsidRDefault="00BC2C29">
      <w:pPr>
        <w:numPr>
          <w:ilvl w:val="0"/>
          <w:numId w:val="13"/>
        </w:numPr>
        <w:jc w:val="both"/>
        <w:rPr>
          <w:sz w:val="22"/>
        </w:rPr>
      </w:pPr>
      <w:r w:rsidRPr="00554C4D">
        <w:rPr>
          <w:sz w:val="22"/>
        </w:rPr>
        <w:t>Zvyčajná poč</w:t>
      </w:r>
      <w:r w:rsidR="00015CBC" w:rsidRPr="00554C4D">
        <w:rPr>
          <w:sz w:val="22"/>
        </w:rPr>
        <w:t>iatočná dávka je 1 tableta Glucophage XR</w:t>
      </w:r>
      <w:r w:rsidR="00AF16E4" w:rsidRPr="00554C4D">
        <w:rPr>
          <w:sz w:val="22"/>
        </w:rPr>
        <w:t xml:space="preserve"> </w:t>
      </w:r>
      <w:r w:rsidR="00225AFB" w:rsidRPr="00554C4D">
        <w:rPr>
          <w:sz w:val="22"/>
        </w:rPr>
        <w:t xml:space="preserve">500 mg </w:t>
      </w:r>
      <w:r w:rsidR="00AF16E4" w:rsidRPr="00554C4D">
        <w:rPr>
          <w:sz w:val="22"/>
        </w:rPr>
        <w:t xml:space="preserve">alebo </w:t>
      </w:r>
      <w:r w:rsidR="00225AFB" w:rsidRPr="00554C4D">
        <w:rPr>
          <w:sz w:val="22"/>
        </w:rPr>
        <w:t>1 tableta</w:t>
      </w:r>
    </w:p>
    <w:p w14:paraId="1766F004" w14:textId="77777777" w:rsidR="00225AFB" w:rsidRPr="00554C4D" w:rsidRDefault="00225AFB" w:rsidP="00225AFB">
      <w:pPr>
        <w:ind w:left="810"/>
        <w:jc w:val="both"/>
        <w:rPr>
          <w:sz w:val="22"/>
        </w:rPr>
      </w:pPr>
      <w:r w:rsidRPr="00554C4D">
        <w:rPr>
          <w:sz w:val="22"/>
        </w:rPr>
        <w:t>Glucophage XR 750 mg raz denne. Po 10 až 15 dňoch môže byť dávka upravená na základe hodnôt glykémie. Postupné zvyšovanie dávky môže zlepšiť gastrointestinálnu toleranciu.</w:t>
      </w:r>
    </w:p>
    <w:p w14:paraId="6312811F" w14:textId="77777777" w:rsidR="00015CBC" w:rsidRPr="00554C4D" w:rsidRDefault="00601895" w:rsidP="00AF16E4">
      <w:pPr>
        <w:tabs>
          <w:tab w:val="left" w:pos="810"/>
        </w:tabs>
        <w:jc w:val="both"/>
        <w:rPr>
          <w:sz w:val="22"/>
        </w:rPr>
      </w:pPr>
      <w:r w:rsidRPr="00554C4D">
        <w:rPr>
          <w:sz w:val="22"/>
        </w:rPr>
        <w:tab/>
      </w:r>
      <w:r w:rsidR="00015CBC" w:rsidRPr="00554C4D">
        <w:rPr>
          <w:sz w:val="22"/>
        </w:rPr>
        <w:t xml:space="preserve">Maximálna </w:t>
      </w:r>
      <w:r w:rsidRPr="00554C4D">
        <w:rPr>
          <w:sz w:val="22"/>
        </w:rPr>
        <w:t xml:space="preserve">odporúčaná </w:t>
      </w:r>
      <w:r w:rsidR="00015CBC" w:rsidRPr="00554C4D">
        <w:rPr>
          <w:sz w:val="22"/>
        </w:rPr>
        <w:t xml:space="preserve">dávka </w:t>
      </w:r>
      <w:r w:rsidR="00AF16E4" w:rsidRPr="00554C4D">
        <w:rPr>
          <w:sz w:val="22"/>
        </w:rPr>
        <w:t>je 2000 mg</w:t>
      </w:r>
      <w:r w:rsidR="00901A63" w:rsidRPr="00554C4D">
        <w:rPr>
          <w:sz w:val="22"/>
        </w:rPr>
        <w:t xml:space="preserve"> </w:t>
      </w:r>
      <w:r w:rsidR="00015CBC" w:rsidRPr="00554C4D">
        <w:rPr>
          <w:sz w:val="22"/>
        </w:rPr>
        <w:t>denne.</w:t>
      </w:r>
    </w:p>
    <w:p w14:paraId="57F080E4" w14:textId="77777777" w:rsidR="00015CBC" w:rsidRPr="00554C4D" w:rsidRDefault="00015CBC">
      <w:pPr>
        <w:numPr>
          <w:ilvl w:val="0"/>
          <w:numId w:val="13"/>
        </w:numPr>
        <w:jc w:val="both"/>
        <w:rPr>
          <w:sz w:val="22"/>
        </w:rPr>
      </w:pPr>
      <w:r w:rsidRPr="00554C4D">
        <w:rPr>
          <w:sz w:val="22"/>
        </w:rPr>
        <w:t xml:space="preserve">Dávka sa má zvyšovať po častiach o 500 mg </w:t>
      </w:r>
      <w:r w:rsidR="00901A63" w:rsidRPr="00554C4D">
        <w:rPr>
          <w:sz w:val="22"/>
        </w:rPr>
        <w:t>každý 10</w:t>
      </w:r>
      <w:r w:rsidR="008D4119" w:rsidRPr="00554C4D">
        <w:rPr>
          <w:sz w:val="22"/>
        </w:rPr>
        <w:t>.</w:t>
      </w:r>
      <w:r w:rsidR="00901A63" w:rsidRPr="00554C4D">
        <w:rPr>
          <w:sz w:val="22"/>
        </w:rPr>
        <w:t xml:space="preserve"> až 15</w:t>
      </w:r>
      <w:r w:rsidR="008D4119" w:rsidRPr="00554C4D">
        <w:rPr>
          <w:sz w:val="22"/>
        </w:rPr>
        <w:t>.</w:t>
      </w:r>
      <w:r w:rsidR="00901A63" w:rsidRPr="00554C4D">
        <w:rPr>
          <w:sz w:val="22"/>
        </w:rPr>
        <w:t xml:space="preserve"> deň</w:t>
      </w:r>
      <w:r w:rsidRPr="00554C4D">
        <w:rPr>
          <w:sz w:val="22"/>
        </w:rPr>
        <w:t>, maximálne na 2000 mg raz denne večer s jedlom.</w:t>
      </w:r>
    </w:p>
    <w:p w14:paraId="408D839E" w14:textId="77777777" w:rsidR="00AF16E4" w:rsidRPr="00554C4D" w:rsidRDefault="00AE7967" w:rsidP="00AE7967">
      <w:pPr>
        <w:numPr>
          <w:ilvl w:val="0"/>
          <w:numId w:val="13"/>
        </w:numPr>
        <w:jc w:val="both"/>
        <w:rPr>
          <w:sz w:val="22"/>
        </w:rPr>
      </w:pPr>
      <w:r w:rsidRPr="00554C4D">
        <w:rPr>
          <w:sz w:val="22"/>
        </w:rPr>
        <w:t xml:space="preserve">Ak sa nedosiahne kontrola glykémie pri dávke 4 tablety Glucophage XR </w:t>
      </w:r>
      <w:r w:rsidR="00AF16E4" w:rsidRPr="00554C4D">
        <w:rPr>
          <w:sz w:val="22"/>
        </w:rPr>
        <w:t xml:space="preserve">500 mg alebo </w:t>
      </w:r>
    </w:p>
    <w:p w14:paraId="0FFF279B" w14:textId="77777777" w:rsidR="00AE7967" w:rsidRPr="00554C4D" w:rsidRDefault="00AF16E4" w:rsidP="00AF16E4">
      <w:pPr>
        <w:ind w:left="810"/>
        <w:jc w:val="both"/>
        <w:rPr>
          <w:sz w:val="22"/>
        </w:rPr>
      </w:pPr>
      <w:r w:rsidRPr="00554C4D">
        <w:rPr>
          <w:sz w:val="22"/>
        </w:rPr>
        <w:t xml:space="preserve">3 tablety Glucophage XR 750 mg alebo 2 tablety Glucophage XR 1000 mg </w:t>
      </w:r>
      <w:r w:rsidR="00AE7967" w:rsidRPr="00554C4D">
        <w:rPr>
          <w:sz w:val="22"/>
        </w:rPr>
        <w:t>raz denne, môž</w:t>
      </w:r>
      <w:r w:rsidR="008E0359" w:rsidRPr="00554C4D">
        <w:rPr>
          <w:sz w:val="22"/>
        </w:rPr>
        <w:t>e</w:t>
      </w:r>
      <w:r w:rsidR="00AE7967" w:rsidRPr="00554C4D">
        <w:rPr>
          <w:sz w:val="22"/>
        </w:rPr>
        <w:t xml:space="preserve"> sa </w:t>
      </w:r>
      <w:r w:rsidR="008E0359" w:rsidRPr="00554C4D">
        <w:rPr>
          <w:sz w:val="22"/>
        </w:rPr>
        <w:t>liečba nahradiť</w:t>
      </w:r>
      <w:r w:rsidR="00AE7967" w:rsidRPr="00554C4D">
        <w:rPr>
          <w:sz w:val="22"/>
        </w:rPr>
        <w:t xml:space="preserve"> </w:t>
      </w:r>
      <w:r w:rsidR="008E0359" w:rsidRPr="00554C4D">
        <w:rPr>
          <w:sz w:val="22"/>
        </w:rPr>
        <w:t>metformínom s okamžitým uvoľňovaním v dávke 3000 mg denne.</w:t>
      </w:r>
    </w:p>
    <w:p w14:paraId="4A9F2BAA" w14:textId="77777777" w:rsidR="00AE7967" w:rsidRPr="00554C4D" w:rsidRDefault="00015CBC" w:rsidP="008E0359">
      <w:pPr>
        <w:numPr>
          <w:ilvl w:val="0"/>
          <w:numId w:val="13"/>
        </w:numPr>
        <w:jc w:val="both"/>
        <w:rPr>
          <w:sz w:val="22"/>
        </w:rPr>
      </w:pPr>
      <w:r w:rsidRPr="00554C4D">
        <w:rPr>
          <w:sz w:val="22"/>
        </w:rPr>
        <w:t>U pacientov už liečených metformínom, počiatočná dávka Glucophage XR musí byť ekvivalentná dennej dávke tabliet metformínu s nepredĺženým účinkom.</w:t>
      </w:r>
    </w:p>
    <w:p w14:paraId="575B081A" w14:textId="77777777" w:rsidR="00015CBC" w:rsidRPr="00554C4D" w:rsidRDefault="00015CBC">
      <w:pPr>
        <w:numPr>
          <w:ilvl w:val="0"/>
          <w:numId w:val="11"/>
        </w:numPr>
        <w:jc w:val="both"/>
        <w:rPr>
          <w:sz w:val="22"/>
        </w:rPr>
      </w:pPr>
      <w:r w:rsidRPr="00554C4D">
        <w:rPr>
          <w:sz w:val="22"/>
        </w:rPr>
        <w:t xml:space="preserve">V prípade náhrady iného perorálneho antidiabetika metformínom sa predchádzajúca terapia  </w:t>
      </w:r>
      <w:r w:rsidR="004A06C9" w:rsidRPr="00554C4D">
        <w:rPr>
          <w:sz w:val="22"/>
        </w:rPr>
        <w:t xml:space="preserve">ukončí </w:t>
      </w:r>
      <w:r w:rsidRPr="00554C4D">
        <w:rPr>
          <w:sz w:val="22"/>
        </w:rPr>
        <w:t>a nahradí sa Glucophage XR vo vyššie uvedených  dávkach.</w:t>
      </w:r>
    </w:p>
    <w:p w14:paraId="5A52A423" w14:textId="77777777" w:rsidR="00CF2CFA" w:rsidRPr="00554C4D" w:rsidRDefault="00CF2CFA" w:rsidP="00CF2CFA">
      <w:pPr>
        <w:ind w:left="765"/>
        <w:jc w:val="both"/>
        <w:rPr>
          <w:sz w:val="22"/>
        </w:rPr>
      </w:pPr>
    </w:p>
    <w:p w14:paraId="2F6FB2A0" w14:textId="77777777" w:rsidR="00015CBC" w:rsidRPr="00554C4D" w:rsidRDefault="00015CBC" w:rsidP="006A5653">
      <w:pPr>
        <w:pStyle w:val="Heading2"/>
        <w:tabs>
          <w:tab w:val="left" w:pos="0"/>
        </w:tabs>
        <w:jc w:val="both"/>
        <w:rPr>
          <w:sz w:val="22"/>
        </w:rPr>
      </w:pPr>
      <w:r w:rsidRPr="00554C4D">
        <w:rPr>
          <w:sz w:val="22"/>
        </w:rPr>
        <w:t>Kombinácia s inzulínom</w:t>
      </w:r>
    </w:p>
    <w:p w14:paraId="6B246AC8" w14:textId="77777777" w:rsidR="00015CBC" w:rsidRPr="00554C4D" w:rsidRDefault="00015CBC" w:rsidP="006A5653">
      <w:pPr>
        <w:pStyle w:val="Heading3"/>
        <w:tabs>
          <w:tab w:val="left" w:pos="0"/>
        </w:tabs>
        <w:jc w:val="both"/>
        <w:rPr>
          <w:sz w:val="22"/>
        </w:rPr>
      </w:pPr>
      <w:r w:rsidRPr="00554C4D">
        <w:rPr>
          <w:sz w:val="22"/>
        </w:rPr>
        <w:t xml:space="preserve">Metformín a inzulín </w:t>
      </w:r>
      <w:r w:rsidR="006A5653" w:rsidRPr="00554C4D">
        <w:rPr>
          <w:sz w:val="22"/>
        </w:rPr>
        <w:t xml:space="preserve">použitý </w:t>
      </w:r>
      <w:r w:rsidRPr="00554C4D">
        <w:rPr>
          <w:sz w:val="22"/>
        </w:rPr>
        <w:t>v kombinácii, umožnia dosiahnuť lepšiu kontrolu  glykémie.</w:t>
      </w:r>
    </w:p>
    <w:p w14:paraId="6F215F82" w14:textId="77777777" w:rsidR="00015CBC" w:rsidRPr="00554C4D" w:rsidRDefault="00015CBC" w:rsidP="006A5653">
      <w:pPr>
        <w:pStyle w:val="Heading3"/>
        <w:tabs>
          <w:tab w:val="left" w:pos="0"/>
        </w:tabs>
        <w:jc w:val="both"/>
        <w:rPr>
          <w:sz w:val="22"/>
        </w:rPr>
      </w:pPr>
      <w:r w:rsidRPr="00554C4D">
        <w:rPr>
          <w:sz w:val="22"/>
        </w:rPr>
        <w:t xml:space="preserve">Obvyklá počiatočná dávka je </w:t>
      </w:r>
      <w:r w:rsidR="00A60BB5" w:rsidRPr="00554C4D">
        <w:rPr>
          <w:sz w:val="22"/>
        </w:rPr>
        <w:t xml:space="preserve">1 tableta </w:t>
      </w:r>
      <w:r w:rsidR="008D4119" w:rsidRPr="00554C4D">
        <w:rPr>
          <w:sz w:val="22"/>
        </w:rPr>
        <w:t>Glucophage XR 500 mg</w:t>
      </w:r>
      <w:r w:rsidR="006A5653" w:rsidRPr="00554C4D">
        <w:rPr>
          <w:sz w:val="22"/>
        </w:rPr>
        <w:t xml:space="preserve"> </w:t>
      </w:r>
      <w:r w:rsidR="00A60BB5" w:rsidRPr="00554C4D">
        <w:rPr>
          <w:sz w:val="22"/>
        </w:rPr>
        <w:t xml:space="preserve">alebo Glucophage XR 750 mg </w:t>
      </w:r>
      <w:r w:rsidR="006A5653" w:rsidRPr="00554C4D">
        <w:rPr>
          <w:sz w:val="22"/>
        </w:rPr>
        <w:t xml:space="preserve">raz </w:t>
      </w:r>
      <w:r w:rsidRPr="00554C4D">
        <w:rPr>
          <w:sz w:val="22"/>
        </w:rPr>
        <w:t xml:space="preserve">denne. </w:t>
      </w:r>
    </w:p>
    <w:p w14:paraId="6E59EAF2" w14:textId="77777777" w:rsidR="003E2BCE" w:rsidRPr="00554C4D" w:rsidRDefault="00015CBC" w:rsidP="008D4119">
      <w:pPr>
        <w:tabs>
          <w:tab w:val="left" w:pos="360"/>
        </w:tabs>
        <w:jc w:val="both"/>
        <w:rPr>
          <w:i/>
          <w:sz w:val="22"/>
        </w:rPr>
      </w:pPr>
      <w:r w:rsidRPr="00554C4D">
        <w:rPr>
          <w:sz w:val="22"/>
        </w:rPr>
        <w:t>Súčasne sa dávkovanie inzulínu upraví na základe výsledkov kontroly glykémie.</w:t>
      </w:r>
    </w:p>
    <w:p w14:paraId="0A973556" w14:textId="77777777" w:rsidR="006A5653" w:rsidRPr="00554C4D" w:rsidRDefault="006A5653" w:rsidP="006A5653">
      <w:pPr>
        <w:tabs>
          <w:tab w:val="left" w:pos="0"/>
        </w:tabs>
        <w:jc w:val="both"/>
        <w:rPr>
          <w:sz w:val="22"/>
        </w:rPr>
      </w:pPr>
    </w:p>
    <w:p w14:paraId="65E5DB9D" w14:textId="77777777" w:rsidR="00015CBC" w:rsidRPr="00554C4D" w:rsidRDefault="00015CBC" w:rsidP="006A5653">
      <w:pPr>
        <w:tabs>
          <w:tab w:val="left" w:pos="0"/>
        </w:tabs>
        <w:jc w:val="both"/>
        <w:rPr>
          <w:i/>
          <w:sz w:val="22"/>
          <w:u w:val="single"/>
        </w:rPr>
      </w:pPr>
      <w:r w:rsidRPr="00554C4D">
        <w:rPr>
          <w:i/>
          <w:sz w:val="22"/>
          <w:u w:val="single"/>
        </w:rPr>
        <w:t xml:space="preserve">Starší </w:t>
      </w:r>
      <w:r w:rsidR="006A5653" w:rsidRPr="00554C4D">
        <w:rPr>
          <w:i/>
          <w:sz w:val="22"/>
          <w:u w:val="single"/>
        </w:rPr>
        <w:t>pacienti</w:t>
      </w:r>
    </w:p>
    <w:p w14:paraId="3E26F8CB" w14:textId="77777777" w:rsidR="00015CBC" w:rsidRPr="00554C4D" w:rsidRDefault="00015CBC" w:rsidP="006A5653">
      <w:pPr>
        <w:pStyle w:val="Heading3"/>
        <w:tabs>
          <w:tab w:val="left" w:pos="0"/>
        </w:tabs>
        <w:rPr>
          <w:sz w:val="22"/>
        </w:rPr>
      </w:pPr>
      <w:r w:rsidRPr="00554C4D">
        <w:rPr>
          <w:sz w:val="22"/>
        </w:rPr>
        <w:t>Vzhľadom na možnosť zníženia renálnej funkcie u dospelých, dávkovanie metformínu</w:t>
      </w:r>
    </w:p>
    <w:p w14:paraId="782346A7" w14:textId="77777777" w:rsidR="003E2BCE" w:rsidRPr="00554C4D" w:rsidRDefault="00015CBC" w:rsidP="006A5653">
      <w:pPr>
        <w:tabs>
          <w:tab w:val="left" w:pos="0"/>
        </w:tabs>
        <w:ind w:left="450" w:hanging="450"/>
        <w:jc w:val="both"/>
        <w:rPr>
          <w:sz w:val="22"/>
        </w:rPr>
      </w:pPr>
      <w:r w:rsidRPr="00554C4D">
        <w:rPr>
          <w:sz w:val="22"/>
        </w:rPr>
        <w:t xml:space="preserve">sa upravuje na základe </w:t>
      </w:r>
      <w:r w:rsidR="006A5653" w:rsidRPr="00554C4D">
        <w:rPr>
          <w:sz w:val="22"/>
        </w:rPr>
        <w:t>výsledkov renálnych funkcií</w:t>
      </w:r>
      <w:r w:rsidRPr="00554C4D">
        <w:rPr>
          <w:sz w:val="22"/>
        </w:rPr>
        <w:t xml:space="preserve">. </w:t>
      </w:r>
      <w:r w:rsidR="006A5653" w:rsidRPr="00554C4D">
        <w:rPr>
          <w:sz w:val="22"/>
        </w:rPr>
        <w:t>P</w:t>
      </w:r>
      <w:r w:rsidRPr="00554C4D">
        <w:rPr>
          <w:sz w:val="22"/>
        </w:rPr>
        <w:t>ravidelné sledovanie renálnych funkci</w:t>
      </w:r>
      <w:r w:rsidR="003E2BCE" w:rsidRPr="00554C4D">
        <w:rPr>
          <w:sz w:val="22"/>
        </w:rPr>
        <w:t>í je</w:t>
      </w:r>
    </w:p>
    <w:p w14:paraId="7C5A7CBC" w14:textId="77777777" w:rsidR="00015CBC" w:rsidRPr="00554C4D" w:rsidRDefault="006A5653" w:rsidP="006A5653">
      <w:pPr>
        <w:tabs>
          <w:tab w:val="left" w:pos="0"/>
        </w:tabs>
        <w:ind w:left="450" w:hanging="450"/>
        <w:jc w:val="both"/>
        <w:rPr>
          <w:sz w:val="22"/>
        </w:rPr>
      </w:pPr>
      <w:r w:rsidRPr="00554C4D">
        <w:rPr>
          <w:sz w:val="22"/>
        </w:rPr>
        <w:t>nevyhnutné</w:t>
      </w:r>
      <w:r w:rsidR="00015CBC" w:rsidRPr="00554C4D">
        <w:rPr>
          <w:sz w:val="22"/>
        </w:rPr>
        <w:t xml:space="preserve"> </w:t>
      </w:r>
      <w:r w:rsidRPr="00554C4D">
        <w:rPr>
          <w:sz w:val="22"/>
        </w:rPr>
        <w:t>(pozri časť 4.4).</w:t>
      </w:r>
    </w:p>
    <w:p w14:paraId="3670331B" w14:textId="77777777" w:rsidR="001F1FF6" w:rsidRPr="00554C4D" w:rsidRDefault="001F1FF6" w:rsidP="006A5653">
      <w:pPr>
        <w:tabs>
          <w:tab w:val="left" w:pos="0"/>
        </w:tabs>
        <w:ind w:left="450" w:hanging="450"/>
        <w:jc w:val="both"/>
        <w:rPr>
          <w:sz w:val="22"/>
        </w:rPr>
      </w:pPr>
    </w:p>
    <w:p w14:paraId="09656190" w14:textId="77777777" w:rsidR="00657562" w:rsidRPr="00554C4D" w:rsidRDefault="00657562" w:rsidP="00657562">
      <w:pPr>
        <w:pStyle w:val="BodyText2"/>
        <w:rPr>
          <w:rFonts w:ascii="Times New Roman" w:hAnsi="Times New Roman"/>
          <w:i/>
          <w:sz w:val="22"/>
          <w:szCs w:val="22"/>
        </w:rPr>
      </w:pPr>
      <w:r w:rsidRPr="00554C4D">
        <w:rPr>
          <w:rFonts w:ascii="Times New Roman" w:hAnsi="Times New Roman"/>
          <w:i/>
          <w:sz w:val="22"/>
          <w:szCs w:val="22"/>
        </w:rPr>
        <w:t>Porucha funkcie obličiek</w:t>
      </w:r>
    </w:p>
    <w:p w14:paraId="115C811F" w14:textId="77777777" w:rsidR="00657562" w:rsidRPr="00554C4D" w:rsidRDefault="00657562" w:rsidP="00657562">
      <w:pPr>
        <w:pStyle w:val="BodyText2"/>
        <w:rPr>
          <w:i/>
          <w:sz w:val="22"/>
          <w:szCs w:val="22"/>
        </w:rPr>
      </w:pPr>
    </w:p>
    <w:p w14:paraId="24D23165" w14:textId="77777777" w:rsidR="00657562" w:rsidRPr="00554C4D" w:rsidRDefault="00657562" w:rsidP="00DF19BC">
      <w:pPr>
        <w:rPr>
          <w:sz w:val="22"/>
          <w:szCs w:val="22"/>
        </w:rPr>
      </w:pPr>
      <w:r w:rsidRPr="00554C4D">
        <w:rPr>
          <w:sz w:val="22"/>
          <w:szCs w:val="22"/>
        </w:rPr>
        <w:t xml:space="preserve">Pred začatím liečby metformínom a minimálne raz ročne po jej začatí je potrebné vyhodnotiť GFR. U pacientov so zvýšeným rizikom ďalšej progresie poruchy funkcie obličiek a u starších osôb je potrebné funkciu obličiek hodnotiť častejšie, napr. každé 3-6 mesiacov. </w:t>
      </w:r>
    </w:p>
    <w:p w14:paraId="2EBDACD6" w14:textId="77777777" w:rsidR="00657562" w:rsidRPr="00554C4D" w:rsidRDefault="00657562" w:rsidP="006A5653">
      <w:pPr>
        <w:tabs>
          <w:tab w:val="left" w:pos="0"/>
        </w:tabs>
        <w:ind w:left="450" w:hanging="45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3124"/>
        <w:gridCol w:w="4540"/>
      </w:tblGrid>
      <w:tr w:rsidR="00DE6D1F" w:rsidRPr="00554C4D" w14:paraId="34814EBF" w14:textId="77777777" w:rsidTr="0071446C">
        <w:trPr>
          <w:trHeight w:val="481"/>
        </w:trPr>
        <w:tc>
          <w:tcPr>
            <w:tcW w:w="1382" w:type="dxa"/>
            <w:shd w:val="clear" w:color="auto" w:fill="auto"/>
          </w:tcPr>
          <w:p w14:paraId="3D9C499C" w14:textId="77777777" w:rsidR="00DE6D1F" w:rsidRPr="00554C4D" w:rsidRDefault="00DE6D1F" w:rsidP="00DF19BC">
            <w:pPr>
              <w:keepNext/>
              <w:jc w:val="both"/>
              <w:rPr>
                <w:rFonts w:eastAsia="Batang"/>
                <w:sz w:val="22"/>
                <w:szCs w:val="22"/>
              </w:rPr>
            </w:pPr>
            <w:r w:rsidRPr="00554C4D">
              <w:rPr>
                <w:rFonts w:eastAsia="Batang"/>
                <w:sz w:val="22"/>
                <w:szCs w:val="22"/>
              </w:rPr>
              <w:t>GFR ml/min</w:t>
            </w:r>
          </w:p>
        </w:tc>
        <w:tc>
          <w:tcPr>
            <w:tcW w:w="3124" w:type="dxa"/>
            <w:shd w:val="clear" w:color="auto" w:fill="auto"/>
          </w:tcPr>
          <w:p w14:paraId="2FC0C488" w14:textId="77777777" w:rsidR="00DE6D1F" w:rsidRPr="00554C4D" w:rsidRDefault="00DE6D1F" w:rsidP="00DF19BC">
            <w:pPr>
              <w:keepNext/>
              <w:rPr>
                <w:rFonts w:eastAsia="Batang"/>
                <w:sz w:val="22"/>
                <w:szCs w:val="22"/>
              </w:rPr>
            </w:pPr>
            <w:r w:rsidRPr="00554C4D">
              <w:rPr>
                <w:rFonts w:eastAsia="Batang"/>
                <w:sz w:val="22"/>
                <w:szCs w:val="22"/>
              </w:rPr>
              <w:t>Celková maximálna denná dávka</w:t>
            </w:r>
          </w:p>
          <w:p w14:paraId="11406D9A" w14:textId="77777777" w:rsidR="00DE6D1F" w:rsidRPr="00554C4D" w:rsidRDefault="00DE6D1F" w:rsidP="00DF19BC">
            <w:pPr>
              <w:keepNext/>
              <w:jc w:val="both"/>
              <w:rPr>
                <w:rFonts w:eastAsia="Batang"/>
                <w:sz w:val="22"/>
                <w:szCs w:val="22"/>
              </w:rPr>
            </w:pPr>
            <w:r w:rsidRPr="00554C4D">
              <w:rPr>
                <w:rFonts w:eastAsia="Batang"/>
                <w:sz w:val="22"/>
                <w:szCs w:val="22"/>
              </w:rPr>
              <w:t xml:space="preserve"> </w:t>
            </w:r>
          </w:p>
        </w:tc>
        <w:tc>
          <w:tcPr>
            <w:tcW w:w="4540" w:type="dxa"/>
            <w:shd w:val="clear" w:color="auto" w:fill="auto"/>
          </w:tcPr>
          <w:p w14:paraId="6FB95867" w14:textId="77777777" w:rsidR="00DE6D1F" w:rsidRPr="00554C4D" w:rsidRDefault="00DE6D1F" w:rsidP="00DF19BC">
            <w:pPr>
              <w:keepNext/>
              <w:jc w:val="both"/>
              <w:rPr>
                <w:rFonts w:eastAsia="Batang"/>
                <w:sz w:val="22"/>
                <w:szCs w:val="22"/>
              </w:rPr>
            </w:pPr>
            <w:r w:rsidRPr="00554C4D">
              <w:rPr>
                <w:rFonts w:eastAsia="Batang"/>
                <w:sz w:val="22"/>
                <w:szCs w:val="22"/>
              </w:rPr>
              <w:t xml:space="preserve">Ďalšie uváženie </w:t>
            </w:r>
          </w:p>
        </w:tc>
      </w:tr>
      <w:tr w:rsidR="00DE6D1F" w:rsidRPr="00554C4D" w14:paraId="24BFE235" w14:textId="77777777" w:rsidTr="0071446C">
        <w:tc>
          <w:tcPr>
            <w:tcW w:w="1382" w:type="dxa"/>
            <w:shd w:val="clear" w:color="auto" w:fill="auto"/>
          </w:tcPr>
          <w:p w14:paraId="5FB6BB71" w14:textId="77777777" w:rsidR="00DE6D1F" w:rsidRPr="00554C4D" w:rsidRDefault="00DE6D1F" w:rsidP="00DF19BC">
            <w:pPr>
              <w:keepNext/>
              <w:jc w:val="both"/>
              <w:rPr>
                <w:rFonts w:eastAsia="Batang"/>
                <w:sz w:val="22"/>
                <w:szCs w:val="22"/>
              </w:rPr>
            </w:pPr>
            <w:r w:rsidRPr="00554C4D">
              <w:rPr>
                <w:rFonts w:eastAsia="Batang"/>
                <w:sz w:val="22"/>
                <w:szCs w:val="22"/>
              </w:rPr>
              <w:t>60-89</w:t>
            </w:r>
          </w:p>
        </w:tc>
        <w:tc>
          <w:tcPr>
            <w:tcW w:w="3124" w:type="dxa"/>
            <w:shd w:val="clear" w:color="auto" w:fill="auto"/>
          </w:tcPr>
          <w:p w14:paraId="0041D7E3" w14:textId="77777777" w:rsidR="00DE6D1F" w:rsidRPr="00554C4D" w:rsidRDefault="00DE6D1F" w:rsidP="00DF19BC">
            <w:pPr>
              <w:keepNext/>
              <w:jc w:val="both"/>
              <w:rPr>
                <w:rFonts w:eastAsia="Batang"/>
                <w:sz w:val="22"/>
                <w:szCs w:val="22"/>
              </w:rPr>
            </w:pPr>
            <w:r w:rsidRPr="00554C4D">
              <w:rPr>
                <w:rFonts w:eastAsia="Batang"/>
                <w:sz w:val="22"/>
                <w:szCs w:val="22"/>
              </w:rPr>
              <w:t>2 000 mg</w:t>
            </w:r>
          </w:p>
        </w:tc>
        <w:tc>
          <w:tcPr>
            <w:tcW w:w="4540" w:type="dxa"/>
            <w:shd w:val="clear" w:color="auto" w:fill="auto"/>
          </w:tcPr>
          <w:p w14:paraId="7903E046" w14:textId="77777777" w:rsidR="00DE6D1F" w:rsidRPr="00554C4D" w:rsidRDefault="00D862B9" w:rsidP="00DF19BC">
            <w:pPr>
              <w:keepNext/>
              <w:jc w:val="both"/>
              <w:rPr>
                <w:rFonts w:eastAsia="Batang"/>
                <w:sz w:val="22"/>
                <w:szCs w:val="22"/>
              </w:rPr>
            </w:pPr>
            <w:r w:rsidRPr="00554C4D">
              <w:rPr>
                <w:sz w:val="22"/>
                <w:szCs w:val="22"/>
              </w:rPr>
              <w:t>Je možné zvážiť zníž</w:t>
            </w:r>
            <w:r w:rsidR="00634A5F" w:rsidRPr="00554C4D">
              <w:rPr>
                <w:sz w:val="22"/>
                <w:szCs w:val="22"/>
              </w:rPr>
              <w:t>enie</w:t>
            </w:r>
            <w:r w:rsidRPr="00554C4D">
              <w:rPr>
                <w:sz w:val="22"/>
                <w:szCs w:val="22"/>
              </w:rPr>
              <w:t xml:space="preserve"> dávky vzhľadom na pokles funkcie obličiek.</w:t>
            </w:r>
          </w:p>
        </w:tc>
      </w:tr>
      <w:tr w:rsidR="00D071F9" w:rsidRPr="00554C4D" w14:paraId="256767E8" w14:textId="77777777" w:rsidTr="0071446C">
        <w:tc>
          <w:tcPr>
            <w:tcW w:w="1382" w:type="dxa"/>
            <w:shd w:val="clear" w:color="auto" w:fill="auto"/>
          </w:tcPr>
          <w:p w14:paraId="7055C805" w14:textId="77777777" w:rsidR="00D071F9" w:rsidRPr="00554C4D" w:rsidRDefault="00D071F9" w:rsidP="00DF19BC">
            <w:pPr>
              <w:keepNext/>
              <w:jc w:val="both"/>
              <w:rPr>
                <w:rFonts w:eastAsia="Batang"/>
                <w:sz w:val="22"/>
                <w:szCs w:val="22"/>
              </w:rPr>
            </w:pPr>
            <w:r w:rsidRPr="00554C4D">
              <w:rPr>
                <w:rFonts w:eastAsia="Batang"/>
                <w:sz w:val="22"/>
                <w:szCs w:val="22"/>
              </w:rPr>
              <w:t>45-59</w:t>
            </w:r>
          </w:p>
        </w:tc>
        <w:tc>
          <w:tcPr>
            <w:tcW w:w="3124" w:type="dxa"/>
            <w:shd w:val="clear" w:color="auto" w:fill="auto"/>
          </w:tcPr>
          <w:p w14:paraId="25E74D92" w14:textId="77777777" w:rsidR="00D071F9" w:rsidRPr="00554C4D" w:rsidRDefault="00D071F9" w:rsidP="00DF19BC">
            <w:pPr>
              <w:keepNext/>
              <w:jc w:val="both"/>
              <w:rPr>
                <w:rFonts w:eastAsia="Batang"/>
                <w:sz w:val="22"/>
                <w:szCs w:val="22"/>
              </w:rPr>
            </w:pPr>
            <w:r w:rsidRPr="00554C4D">
              <w:rPr>
                <w:rFonts w:eastAsia="Batang"/>
                <w:sz w:val="22"/>
                <w:szCs w:val="22"/>
              </w:rPr>
              <w:t>2 000 mg</w:t>
            </w:r>
          </w:p>
        </w:tc>
        <w:tc>
          <w:tcPr>
            <w:tcW w:w="4540" w:type="dxa"/>
            <w:vMerge w:val="restart"/>
            <w:shd w:val="clear" w:color="auto" w:fill="auto"/>
          </w:tcPr>
          <w:p w14:paraId="3597A74B" w14:textId="77777777" w:rsidR="00D071F9" w:rsidRPr="00554C4D" w:rsidRDefault="00D071F9" w:rsidP="00DF19BC">
            <w:pPr>
              <w:keepNext/>
              <w:ind w:left="30" w:hanging="30"/>
              <w:rPr>
                <w:sz w:val="22"/>
                <w:szCs w:val="22"/>
              </w:rPr>
            </w:pPr>
            <w:r w:rsidRPr="00554C4D">
              <w:rPr>
                <w:sz w:val="22"/>
                <w:szCs w:val="22"/>
              </w:rPr>
              <w:t>Pred zvážením zahájenia liečby metformínom je potrebné posúdiť faktory, ktoré by mohli zvyšovať riziko laktátovej acidózy (pozri časť 4.4).</w:t>
            </w:r>
          </w:p>
          <w:p w14:paraId="15F9A624" w14:textId="77777777" w:rsidR="00D071F9" w:rsidRPr="00554C4D" w:rsidRDefault="00D071F9" w:rsidP="00DF19BC">
            <w:pPr>
              <w:keepNext/>
              <w:rPr>
                <w:rFonts w:eastAsia="Batang"/>
                <w:sz w:val="22"/>
                <w:szCs w:val="22"/>
              </w:rPr>
            </w:pPr>
            <w:r w:rsidRPr="00554C4D">
              <w:rPr>
                <w:sz w:val="22"/>
                <w:szCs w:val="22"/>
              </w:rPr>
              <w:t>Úvodná dávka je nanajvýš polovica z maximálnej dávky.</w:t>
            </w:r>
          </w:p>
        </w:tc>
      </w:tr>
      <w:tr w:rsidR="00D071F9" w:rsidRPr="00554C4D" w14:paraId="24114F45" w14:textId="77777777" w:rsidTr="0071446C">
        <w:tc>
          <w:tcPr>
            <w:tcW w:w="1382" w:type="dxa"/>
            <w:shd w:val="clear" w:color="auto" w:fill="auto"/>
          </w:tcPr>
          <w:p w14:paraId="0B09E4EF" w14:textId="77777777" w:rsidR="00D071F9" w:rsidRPr="00554C4D" w:rsidRDefault="00D071F9" w:rsidP="00DF19BC">
            <w:pPr>
              <w:jc w:val="both"/>
              <w:rPr>
                <w:rFonts w:eastAsia="Batang"/>
                <w:sz w:val="22"/>
                <w:szCs w:val="22"/>
              </w:rPr>
            </w:pPr>
            <w:r w:rsidRPr="00554C4D">
              <w:rPr>
                <w:rFonts w:eastAsia="Batang"/>
                <w:sz w:val="22"/>
                <w:szCs w:val="22"/>
              </w:rPr>
              <w:t>30-44</w:t>
            </w:r>
          </w:p>
        </w:tc>
        <w:tc>
          <w:tcPr>
            <w:tcW w:w="3124" w:type="dxa"/>
            <w:shd w:val="clear" w:color="auto" w:fill="auto"/>
          </w:tcPr>
          <w:p w14:paraId="15A05A67" w14:textId="77777777" w:rsidR="00D071F9" w:rsidRPr="00554C4D" w:rsidRDefault="00D071F9" w:rsidP="00DF19BC">
            <w:pPr>
              <w:jc w:val="both"/>
              <w:rPr>
                <w:rFonts w:eastAsia="Batang"/>
                <w:sz w:val="22"/>
                <w:szCs w:val="22"/>
              </w:rPr>
            </w:pPr>
            <w:r w:rsidRPr="00554C4D">
              <w:rPr>
                <w:rFonts w:eastAsia="Batang"/>
                <w:sz w:val="22"/>
                <w:szCs w:val="22"/>
              </w:rPr>
              <w:t>1 000 mg</w:t>
            </w:r>
          </w:p>
        </w:tc>
        <w:tc>
          <w:tcPr>
            <w:tcW w:w="4540" w:type="dxa"/>
            <w:vMerge/>
            <w:shd w:val="clear" w:color="auto" w:fill="auto"/>
          </w:tcPr>
          <w:p w14:paraId="43B8D006" w14:textId="77777777" w:rsidR="00D071F9" w:rsidRPr="00554C4D" w:rsidRDefault="00D071F9" w:rsidP="00DF19BC">
            <w:pPr>
              <w:jc w:val="both"/>
              <w:rPr>
                <w:rFonts w:eastAsia="Batang"/>
                <w:sz w:val="22"/>
                <w:szCs w:val="22"/>
              </w:rPr>
            </w:pPr>
          </w:p>
        </w:tc>
      </w:tr>
      <w:tr w:rsidR="00DE6D1F" w:rsidRPr="00554C4D" w14:paraId="42803C3D" w14:textId="77777777" w:rsidTr="0071446C">
        <w:tc>
          <w:tcPr>
            <w:tcW w:w="1382" w:type="dxa"/>
            <w:shd w:val="clear" w:color="auto" w:fill="auto"/>
          </w:tcPr>
          <w:p w14:paraId="471AE2C8" w14:textId="77777777" w:rsidR="00DE6D1F" w:rsidRPr="00554C4D" w:rsidRDefault="00DE6D1F" w:rsidP="00DF19BC">
            <w:pPr>
              <w:jc w:val="both"/>
              <w:rPr>
                <w:rFonts w:eastAsia="Batang"/>
                <w:sz w:val="22"/>
                <w:szCs w:val="22"/>
              </w:rPr>
            </w:pPr>
            <w:r w:rsidRPr="00554C4D">
              <w:rPr>
                <w:rFonts w:eastAsia="Batang"/>
                <w:sz w:val="22"/>
                <w:szCs w:val="22"/>
              </w:rPr>
              <w:t>&lt; 30</w:t>
            </w:r>
          </w:p>
        </w:tc>
        <w:tc>
          <w:tcPr>
            <w:tcW w:w="3124" w:type="dxa"/>
            <w:shd w:val="clear" w:color="auto" w:fill="auto"/>
          </w:tcPr>
          <w:p w14:paraId="6D7AEEE4" w14:textId="77777777" w:rsidR="00DE6D1F" w:rsidRPr="00554C4D" w:rsidRDefault="00DE6D1F" w:rsidP="00DF19BC">
            <w:pPr>
              <w:jc w:val="both"/>
              <w:rPr>
                <w:rFonts w:eastAsia="Batang"/>
                <w:sz w:val="22"/>
                <w:szCs w:val="22"/>
              </w:rPr>
            </w:pPr>
            <w:r w:rsidRPr="00554C4D">
              <w:rPr>
                <w:rFonts w:eastAsia="Batang"/>
                <w:sz w:val="22"/>
                <w:szCs w:val="22"/>
              </w:rPr>
              <w:t>-----</w:t>
            </w:r>
          </w:p>
        </w:tc>
        <w:tc>
          <w:tcPr>
            <w:tcW w:w="4540" w:type="dxa"/>
            <w:shd w:val="clear" w:color="auto" w:fill="auto"/>
          </w:tcPr>
          <w:p w14:paraId="202B91AC" w14:textId="77777777" w:rsidR="00DE6D1F" w:rsidRPr="00554C4D" w:rsidRDefault="00DE6D1F" w:rsidP="00DF19BC">
            <w:pPr>
              <w:rPr>
                <w:rFonts w:eastAsia="Batang"/>
                <w:sz w:val="22"/>
                <w:szCs w:val="22"/>
              </w:rPr>
            </w:pPr>
            <w:r w:rsidRPr="00554C4D">
              <w:rPr>
                <w:rFonts w:eastAsia="Batang"/>
                <w:sz w:val="22"/>
                <w:szCs w:val="22"/>
              </w:rPr>
              <w:t>Metformín je kontraindikovaný.</w:t>
            </w:r>
          </w:p>
        </w:tc>
      </w:tr>
    </w:tbl>
    <w:p w14:paraId="4C93D84F" w14:textId="77777777" w:rsidR="00DE6D1F" w:rsidRPr="00554C4D" w:rsidRDefault="00DE6D1F" w:rsidP="006A5653">
      <w:pPr>
        <w:tabs>
          <w:tab w:val="left" w:pos="0"/>
        </w:tabs>
        <w:ind w:left="450" w:hanging="450"/>
        <w:jc w:val="both"/>
        <w:rPr>
          <w:sz w:val="22"/>
        </w:rPr>
      </w:pPr>
    </w:p>
    <w:p w14:paraId="5EDE3AF8" w14:textId="77777777" w:rsidR="00015CBC" w:rsidRPr="00554C4D" w:rsidRDefault="00852BC8" w:rsidP="006A5653">
      <w:pPr>
        <w:tabs>
          <w:tab w:val="left" w:pos="0"/>
          <w:tab w:val="left" w:pos="1080"/>
        </w:tabs>
        <w:jc w:val="both"/>
        <w:rPr>
          <w:i/>
          <w:sz w:val="22"/>
          <w:u w:val="single"/>
        </w:rPr>
      </w:pPr>
      <w:r w:rsidRPr="00554C4D">
        <w:rPr>
          <w:i/>
          <w:sz w:val="22"/>
          <w:u w:val="single"/>
        </w:rPr>
        <w:t>Pediatrická populácia</w:t>
      </w:r>
    </w:p>
    <w:p w14:paraId="0E8927FE" w14:textId="77777777" w:rsidR="00015CBC" w:rsidRPr="00554C4D" w:rsidRDefault="00015CBC" w:rsidP="006A5653">
      <w:pPr>
        <w:tabs>
          <w:tab w:val="left" w:pos="0"/>
        </w:tabs>
        <w:jc w:val="both"/>
        <w:rPr>
          <w:sz w:val="22"/>
        </w:rPr>
      </w:pPr>
      <w:r w:rsidRPr="00554C4D">
        <w:rPr>
          <w:sz w:val="22"/>
        </w:rPr>
        <w:t xml:space="preserve">Pre nedostatok údajov sa Glucophage XR nemá podávať deťom. </w:t>
      </w:r>
    </w:p>
    <w:p w14:paraId="3ED00454" w14:textId="2C79B564" w:rsidR="00015CBC" w:rsidRPr="00554C4D" w:rsidRDefault="00015CBC">
      <w:pPr>
        <w:pStyle w:val="Heading3"/>
        <w:jc w:val="both"/>
        <w:rPr>
          <w:sz w:val="22"/>
        </w:rPr>
      </w:pPr>
    </w:p>
    <w:p w14:paraId="4D42E82D" w14:textId="54309272" w:rsidR="00015CBC" w:rsidRPr="00554C4D" w:rsidRDefault="00015CBC">
      <w:pPr>
        <w:jc w:val="both"/>
        <w:rPr>
          <w:b/>
          <w:sz w:val="22"/>
        </w:rPr>
      </w:pPr>
      <w:r w:rsidRPr="00554C4D">
        <w:rPr>
          <w:b/>
          <w:sz w:val="22"/>
        </w:rPr>
        <w:t>4.3</w:t>
      </w:r>
      <w:r w:rsidR="00584272" w:rsidRPr="00554C4D">
        <w:rPr>
          <w:b/>
          <w:sz w:val="22"/>
        </w:rPr>
        <w:tab/>
      </w:r>
      <w:r w:rsidRPr="00554C4D">
        <w:rPr>
          <w:b/>
          <w:sz w:val="22"/>
        </w:rPr>
        <w:t>Kontraindikácie</w:t>
      </w:r>
    </w:p>
    <w:p w14:paraId="1AD1E223" w14:textId="77777777" w:rsidR="00015CBC" w:rsidRPr="00554C4D" w:rsidRDefault="00015CBC">
      <w:pPr>
        <w:jc w:val="both"/>
        <w:rPr>
          <w:b/>
          <w:sz w:val="22"/>
        </w:rPr>
      </w:pPr>
    </w:p>
    <w:p w14:paraId="00DD1FC0" w14:textId="77777777" w:rsidR="00015CBC" w:rsidRPr="00554C4D" w:rsidRDefault="00015CBC" w:rsidP="00F62A0B">
      <w:pPr>
        <w:numPr>
          <w:ilvl w:val="0"/>
          <w:numId w:val="28"/>
        </w:numPr>
        <w:ind w:left="567" w:hanging="567"/>
        <w:rPr>
          <w:sz w:val="22"/>
        </w:rPr>
      </w:pPr>
      <w:r w:rsidRPr="00554C4D">
        <w:rPr>
          <w:sz w:val="22"/>
        </w:rPr>
        <w:t xml:space="preserve">Precitlivenosť na </w:t>
      </w:r>
      <w:r w:rsidR="00634A5F" w:rsidRPr="00554C4D">
        <w:rPr>
          <w:sz w:val="22"/>
        </w:rPr>
        <w:t xml:space="preserve">liečivo </w:t>
      </w:r>
      <w:r w:rsidRPr="00554C4D">
        <w:rPr>
          <w:sz w:val="22"/>
        </w:rPr>
        <w:t xml:space="preserve">alebo na </w:t>
      </w:r>
      <w:r w:rsidR="008C2604" w:rsidRPr="00554C4D">
        <w:rPr>
          <w:sz w:val="22"/>
        </w:rPr>
        <w:t xml:space="preserve">ktorúkoľvek </w:t>
      </w:r>
      <w:r w:rsidRPr="00554C4D">
        <w:rPr>
          <w:sz w:val="22"/>
        </w:rPr>
        <w:t>z pomocných látok</w:t>
      </w:r>
      <w:r w:rsidR="00D256FD" w:rsidRPr="00554C4D">
        <w:rPr>
          <w:sz w:val="22"/>
        </w:rPr>
        <w:t xml:space="preserve"> uvedených v časti 6.1.</w:t>
      </w:r>
    </w:p>
    <w:p w14:paraId="3E17C3B8" w14:textId="77777777" w:rsidR="00784021" w:rsidRPr="00554C4D" w:rsidRDefault="0078294D" w:rsidP="00F62A0B">
      <w:pPr>
        <w:numPr>
          <w:ilvl w:val="0"/>
          <w:numId w:val="28"/>
        </w:numPr>
        <w:ind w:left="567" w:hanging="567"/>
        <w:rPr>
          <w:sz w:val="22"/>
          <w:szCs w:val="22"/>
        </w:rPr>
      </w:pPr>
      <w:r w:rsidRPr="00554C4D">
        <w:rPr>
          <w:sz w:val="22"/>
          <w:szCs w:val="22"/>
        </w:rPr>
        <w:t xml:space="preserve">Akýkoľvek typ akútnej metabolickej acidózy (ako napríklad laktátová acidóza, diabetická </w:t>
      </w:r>
      <w:r w:rsidR="00784021" w:rsidRPr="00554C4D">
        <w:rPr>
          <w:sz w:val="22"/>
          <w:szCs w:val="22"/>
        </w:rPr>
        <w:t xml:space="preserve"> </w:t>
      </w:r>
    </w:p>
    <w:p w14:paraId="30BC41D0" w14:textId="77777777" w:rsidR="00784021" w:rsidRPr="00554C4D" w:rsidRDefault="0078294D" w:rsidP="00F62A0B">
      <w:pPr>
        <w:ind w:left="567"/>
        <w:rPr>
          <w:sz w:val="22"/>
          <w:szCs w:val="22"/>
        </w:rPr>
      </w:pPr>
      <w:r w:rsidRPr="00554C4D">
        <w:rPr>
          <w:sz w:val="22"/>
          <w:szCs w:val="22"/>
        </w:rPr>
        <w:t>ketoacidóza).</w:t>
      </w:r>
    </w:p>
    <w:p w14:paraId="413590F2" w14:textId="77777777" w:rsidR="0078294D" w:rsidRPr="00554C4D" w:rsidRDefault="0078294D" w:rsidP="00F62A0B">
      <w:pPr>
        <w:numPr>
          <w:ilvl w:val="0"/>
          <w:numId w:val="28"/>
        </w:numPr>
        <w:ind w:left="567" w:hanging="567"/>
        <w:rPr>
          <w:sz w:val="22"/>
          <w:szCs w:val="22"/>
        </w:rPr>
      </w:pPr>
      <w:r w:rsidRPr="00554C4D">
        <w:rPr>
          <w:sz w:val="22"/>
          <w:szCs w:val="22"/>
        </w:rPr>
        <w:lastRenderedPageBreak/>
        <w:t xml:space="preserve">Diabetická pre-kóma. </w:t>
      </w:r>
    </w:p>
    <w:p w14:paraId="3F065939" w14:textId="77777777" w:rsidR="0078294D" w:rsidRPr="00554C4D" w:rsidRDefault="0078294D" w:rsidP="00F62A0B">
      <w:pPr>
        <w:numPr>
          <w:ilvl w:val="0"/>
          <w:numId w:val="28"/>
        </w:numPr>
        <w:ind w:left="567" w:hanging="567"/>
        <w:rPr>
          <w:sz w:val="22"/>
          <w:szCs w:val="22"/>
        </w:rPr>
      </w:pPr>
      <w:r w:rsidRPr="00554C4D">
        <w:rPr>
          <w:sz w:val="22"/>
          <w:szCs w:val="22"/>
        </w:rPr>
        <w:t>Závažné zlyhanie obličiek (GFR &lt; 30 ml/min).</w:t>
      </w:r>
    </w:p>
    <w:p w14:paraId="7199BA38" w14:textId="77777777" w:rsidR="007965E6" w:rsidRPr="00554C4D" w:rsidRDefault="007965E6" w:rsidP="00F62A0B">
      <w:pPr>
        <w:numPr>
          <w:ilvl w:val="0"/>
          <w:numId w:val="28"/>
        </w:numPr>
        <w:ind w:left="567" w:hanging="567"/>
        <w:rPr>
          <w:sz w:val="22"/>
          <w:szCs w:val="22"/>
        </w:rPr>
      </w:pPr>
      <w:r w:rsidRPr="00554C4D">
        <w:rPr>
          <w:sz w:val="22"/>
          <w:szCs w:val="22"/>
        </w:rPr>
        <w:t xml:space="preserve">Akútne ochorenia, ktoré môžu potenciálne ovplyvniť renálne funkcie ako: dehydratácia, závažná infekcia, šok. </w:t>
      </w:r>
    </w:p>
    <w:p w14:paraId="3189E05E" w14:textId="77777777" w:rsidR="007965E6" w:rsidRPr="00554C4D" w:rsidRDefault="007965E6" w:rsidP="00F62A0B">
      <w:pPr>
        <w:numPr>
          <w:ilvl w:val="0"/>
          <w:numId w:val="34"/>
        </w:numPr>
        <w:ind w:left="567" w:hanging="567"/>
        <w:rPr>
          <w:sz w:val="22"/>
          <w:szCs w:val="22"/>
        </w:rPr>
      </w:pPr>
      <w:r w:rsidRPr="00554C4D">
        <w:rPr>
          <w:sz w:val="22"/>
          <w:szCs w:val="22"/>
        </w:rPr>
        <w:t>Ochorenie, ktoré môže spôsobiť tkanivovú hypoxiu (predovšetkým akútne alebo zhoršujúce sa chronické ochorenie), napr. dekompenzované srdcové zlyhanie, respiračné zlyhanie, nedávny infarkt myokardu, šok.</w:t>
      </w:r>
    </w:p>
    <w:p w14:paraId="117150E4" w14:textId="77777777" w:rsidR="007965E6" w:rsidRPr="00554C4D" w:rsidRDefault="007965E6" w:rsidP="00F62A0B">
      <w:pPr>
        <w:numPr>
          <w:ilvl w:val="0"/>
          <w:numId w:val="34"/>
        </w:numPr>
        <w:tabs>
          <w:tab w:val="clear" w:pos="720"/>
          <w:tab w:val="num" w:pos="0"/>
        </w:tabs>
        <w:ind w:left="567" w:hanging="567"/>
        <w:rPr>
          <w:sz w:val="22"/>
          <w:szCs w:val="22"/>
        </w:rPr>
      </w:pPr>
      <w:r w:rsidRPr="00554C4D">
        <w:rPr>
          <w:sz w:val="22"/>
          <w:szCs w:val="22"/>
        </w:rPr>
        <w:t>Hepatálna insuficiencia, akútna intoxikácia alkoholom, alkoholizmus.</w:t>
      </w:r>
    </w:p>
    <w:p w14:paraId="4338ED08" w14:textId="77777777" w:rsidR="00015CBC" w:rsidRPr="00554C4D" w:rsidRDefault="00015CBC" w:rsidP="00F62A0B">
      <w:pPr>
        <w:pStyle w:val="BodyTextIndent2"/>
        <w:ind w:left="567" w:hanging="567"/>
        <w:rPr>
          <w:b w:val="0"/>
          <w:sz w:val="22"/>
        </w:rPr>
      </w:pPr>
    </w:p>
    <w:p w14:paraId="79EA1A34" w14:textId="666F0670" w:rsidR="00015CBC" w:rsidRPr="00554C4D" w:rsidRDefault="00015CBC">
      <w:pPr>
        <w:pStyle w:val="Heading4"/>
        <w:rPr>
          <w:sz w:val="22"/>
        </w:rPr>
      </w:pPr>
      <w:r w:rsidRPr="00554C4D">
        <w:rPr>
          <w:sz w:val="22"/>
        </w:rPr>
        <w:t>4.4</w:t>
      </w:r>
      <w:r w:rsidR="00584272" w:rsidRPr="00554C4D">
        <w:rPr>
          <w:sz w:val="22"/>
        </w:rPr>
        <w:tab/>
      </w:r>
      <w:r w:rsidRPr="00554C4D">
        <w:rPr>
          <w:sz w:val="22"/>
        </w:rPr>
        <w:t xml:space="preserve">Osobitné upozornenia a opatrenia </w:t>
      </w:r>
      <w:r w:rsidR="00CF2CFA" w:rsidRPr="00554C4D">
        <w:rPr>
          <w:sz w:val="22"/>
        </w:rPr>
        <w:t xml:space="preserve">pri </w:t>
      </w:r>
      <w:r w:rsidR="00B9351D" w:rsidRPr="00554C4D">
        <w:rPr>
          <w:sz w:val="22"/>
        </w:rPr>
        <w:t>po</w:t>
      </w:r>
      <w:r w:rsidR="00CF2CFA" w:rsidRPr="00554C4D">
        <w:rPr>
          <w:sz w:val="22"/>
        </w:rPr>
        <w:t>užívaní</w:t>
      </w:r>
    </w:p>
    <w:p w14:paraId="24FC35FA" w14:textId="77777777" w:rsidR="00090D90" w:rsidRPr="00554C4D" w:rsidRDefault="00090D90">
      <w:pPr>
        <w:pStyle w:val="Heading4"/>
        <w:rPr>
          <w:sz w:val="22"/>
          <w:u w:val="single"/>
        </w:rPr>
      </w:pPr>
    </w:p>
    <w:p w14:paraId="7AAF7FAC" w14:textId="77777777" w:rsidR="007965E6" w:rsidRPr="00554C4D" w:rsidRDefault="007965E6" w:rsidP="00422A3E">
      <w:pPr>
        <w:jc w:val="both"/>
        <w:rPr>
          <w:sz w:val="22"/>
          <w:szCs w:val="22"/>
          <w:u w:val="single"/>
        </w:rPr>
      </w:pPr>
      <w:r w:rsidRPr="00554C4D">
        <w:rPr>
          <w:sz w:val="22"/>
          <w:szCs w:val="22"/>
          <w:u w:val="single"/>
        </w:rPr>
        <w:t>Laktátová acidóza</w:t>
      </w:r>
    </w:p>
    <w:p w14:paraId="39C1F11B" w14:textId="77777777" w:rsidR="00037D90" w:rsidRPr="00554C4D" w:rsidRDefault="00037D90" w:rsidP="00AF2898">
      <w:pPr>
        <w:pStyle w:val="CM16"/>
        <w:spacing w:line="283" w:lineRule="atLeast"/>
        <w:rPr>
          <w:rFonts w:ascii="Times New Roman" w:hAnsi="Times New Roman"/>
          <w:sz w:val="22"/>
          <w:szCs w:val="22"/>
          <w:lang w:val="sk-SK"/>
        </w:rPr>
      </w:pPr>
      <w:r w:rsidRPr="00554C4D">
        <w:rPr>
          <w:rFonts w:ascii="Times New Roman" w:hAnsi="Times New Roman"/>
          <w:sz w:val="22"/>
          <w:szCs w:val="22"/>
          <w:lang w:val="sk-SK"/>
        </w:rPr>
        <w:t xml:space="preserve">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 </w:t>
      </w:r>
    </w:p>
    <w:p w14:paraId="604B69F4" w14:textId="77777777" w:rsidR="00037D90" w:rsidRPr="00554C4D" w:rsidRDefault="00037D90" w:rsidP="00AF2898">
      <w:pPr>
        <w:pStyle w:val="CM16"/>
        <w:spacing w:line="280" w:lineRule="atLeast"/>
        <w:rPr>
          <w:rFonts w:ascii="Times New Roman" w:hAnsi="Times New Roman"/>
          <w:sz w:val="22"/>
          <w:szCs w:val="22"/>
          <w:lang w:val="sk-SK"/>
        </w:rPr>
      </w:pPr>
      <w:r w:rsidRPr="00554C4D">
        <w:rPr>
          <w:rFonts w:ascii="Times New Roman" w:hAnsi="Times New Roman"/>
          <w:sz w:val="22"/>
          <w:szCs w:val="22"/>
          <w:lang w:val="sk-SK"/>
        </w:rPr>
        <w:t xml:space="preserve">V prípade dehydratácie (závažná hnačka alebo vracanie, horúčka alebo znížený príjem tekutín) je potrebné dočasne prerušiť podávanie metformínu a odporúča sa kontaktovať zdravotníckeho pracovníka. </w:t>
      </w:r>
    </w:p>
    <w:p w14:paraId="482CAAFA" w14:textId="77777777" w:rsidR="00037D90" w:rsidRPr="00554C4D" w:rsidRDefault="00037D90" w:rsidP="00AF2898">
      <w:pPr>
        <w:pStyle w:val="CM16"/>
        <w:spacing w:line="280" w:lineRule="atLeast"/>
        <w:rPr>
          <w:rFonts w:ascii="Times New Roman" w:hAnsi="Times New Roman"/>
          <w:sz w:val="22"/>
          <w:szCs w:val="22"/>
          <w:lang w:val="sk-SK"/>
        </w:rPr>
      </w:pPr>
      <w:r w:rsidRPr="00554C4D">
        <w:rPr>
          <w:rFonts w:ascii="Times New Roman" w:hAnsi="Times New Roman"/>
          <w:sz w:val="22"/>
          <w:szCs w:val="22"/>
          <w:lang w:val="sk-SK"/>
        </w:rPr>
        <w:t xml:space="preserve">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 </w:t>
      </w:r>
    </w:p>
    <w:p w14:paraId="74A823E4" w14:textId="77777777" w:rsidR="00037D90" w:rsidRPr="00F62A0B" w:rsidRDefault="00037D90" w:rsidP="00422A3E">
      <w:pPr>
        <w:pStyle w:val="CM5"/>
        <w:rPr>
          <w:rFonts w:ascii="Times New Roman" w:hAnsi="Times New Roman"/>
          <w:sz w:val="22"/>
          <w:szCs w:val="22"/>
          <w:lang w:val="sk-SK"/>
        </w:rPr>
      </w:pPr>
      <w:r w:rsidRPr="00F62A0B">
        <w:rPr>
          <w:rFonts w:ascii="Times New Roman" w:hAnsi="Times New Roman"/>
          <w:sz w:val="22"/>
          <w:szCs w:val="22"/>
          <w:lang w:val="sk-SK"/>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14:paraId="7175D152" w14:textId="77777777" w:rsidR="00037D90" w:rsidRPr="00554C4D" w:rsidRDefault="00037D90" w:rsidP="00DF19BC">
      <w:pPr>
        <w:ind w:left="3360"/>
        <w:jc w:val="both"/>
        <w:rPr>
          <w:sz w:val="22"/>
          <w:szCs w:val="22"/>
        </w:rPr>
      </w:pPr>
    </w:p>
    <w:p w14:paraId="4FEC1B6B" w14:textId="77777777" w:rsidR="00037D90" w:rsidRPr="00554C4D" w:rsidRDefault="00037D90" w:rsidP="00DF19BC">
      <w:pPr>
        <w:jc w:val="both"/>
        <w:rPr>
          <w:i/>
          <w:sz w:val="22"/>
          <w:szCs w:val="22"/>
          <w:u w:val="single"/>
        </w:rPr>
      </w:pPr>
      <w:r w:rsidRPr="00554C4D">
        <w:rPr>
          <w:i/>
          <w:sz w:val="22"/>
          <w:szCs w:val="22"/>
          <w:u w:val="single"/>
        </w:rPr>
        <w:t>Funkcia obličiek</w:t>
      </w:r>
    </w:p>
    <w:p w14:paraId="2FE4AF9D" w14:textId="77777777" w:rsidR="00037D90" w:rsidRPr="00E6668F" w:rsidRDefault="00037D90" w:rsidP="00037D90">
      <w:pPr>
        <w:pStyle w:val="CM4"/>
        <w:rPr>
          <w:rFonts w:ascii="Times New Roman" w:hAnsi="Times New Roman"/>
          <w:sz w:val="22"/>
          <w:szCs w:val="22"/>
          <w:lang w:val="sk-SK"/>
        </w:rPr>
      </w:pPr>
      <w:r w:rsidRPr="00554C4D">
        <w:rPr>
          <w:rFonts w:ascii="Times New Roman" w:hAnsi="Times New Roman"/>
          <w:sz w:val="22"/>
          <w:szCs w:val="22"/>
          <w:lang w:val="sk-SK"/>
        </w:rPr>
        <w:t>GFR je potrebné vyhodnotiť pred začiatkom liečby a pravidelne po ňom, pozri časť 4.2. Metformín je kontraindikovaný u pacientov s GFR &lt; 30 ml/min a v prípade výskytu stavov, pri ktorých dochádza k zmene funkcie obličiek, je potre</w:t>
      </w:r>
      <w:r w:rsidRPr="00E6668F">
        <w:rPr>
          <w:rFonts w:ascii="Times New Roman" w:hAnsi="Times New Roman"/>
          <w:sz w:val="22"/>
          <w:szCs w:val="22"/>
          <w:lang w:val="sk-SK"/>
        </w:rPr>
        <w:t xml:space="preserve">bné ho dočasne prestať podávať, pozri časť 4.3. </w:t>
      </w:r>
    </w:p>
    <w:p w14:paraId="7331E868" w14:textId="77777777" w:rsidR="001754CA" w:rsidRPr="00554C4D" w:rsidRDefault="001754CA" w:rsidP="00D31B51">
      <w:pPr>
        <w:tabs>
          <w:tab w:val="num" w:pos="0"/>
        </w:tabs>
        <w:jc w:val="both"/>
        <w:rPr>
          <w:sz w:val="22"/>
          <w:szCs w:val="22"/>
        </w:rPr>
      </w:pPr>
    </w:p>
    <w:p w14:paraId="5CADDDD5" w14:textId="77777777" w:rsidR="001754CA" w:rsidRPr="00554C4D" w:rsidRDefault="001754CA" w:rsidP="00D31B51">
      <w:pPr>
        <w:jc w:val="both"/>
        <w:rPr>
          <w:sz w:val="22"/>
          <w:szCs w:val="22"/>
          <w:u w:val="single"/>
        </w:rPr>
      </w:pPr>
      <w:r w:rsidRPr="00554C4D">
        <w:rPr>
          <w:sz w:val="22"/>
          <w:szCs w:val="22"/>
          <w:u w:val="single"/>
        </w:rPr>
        <w:t>Srdcové funkcie</w:t>
      </w:r>
    </w:p>
    <w:p w14:paraId="15241E8E" w14:textId="77777777" w:rsidR="001754CA" w:rsidRPr="00554C4D" w:rsidRDefault="001754CA" w:rsidP="00D31B51">
      <w:pPr>
        <w:jc w:val="both"/>
        <w:rPr>
          <w:sz w:val="22"/>
          <w:szCs w:val="22"/>
        </w:rPr>
      </w:pPr>
      <w:r w:rsidRPr="00554C4D">
        <w:rPr>
          <w:sz w:val="22"/>
          <w:szCs w:val="22"/>
        </w:rPr>
        <w:t xml:space="preserve">U pacientov so srdcovým zlyhaním je väčšie riziko hypoxie a renálnej insuficiencie. Pacienti so stabilným chronickým srdcovým zlyhaním môžu užívať metformín iba vtedy, ak sa pravidelne monitorujú ich srdcové a renálne funkcie. </w:t>
      </w:r>
    </w:p>
    <w:p w14:paraId="25B4EFD3" w14:textId="77777777" w:rsidR="001754CA" w:rsidRPr="00554C4D" w:rsidRDefault="001754CA" w:rsidP="00D31B51">
      <w:pPr>
        <w:jc w:val="both"/>
        <w:rPr>
          <w:sz w:val="22"/>
          <w:szCs w:val="22"/>
        </w:rPr>
      </w:pPr>
      <w:r w:rsidRPr="00554C4D">
        <w:rPr>
          <w:sz w:val="22"/>
          <w:szCs w:val="22"/>
        </w:rPr>
        <w:t>U pacientov s akútnym a nestabilným srdcovým zlyhaním je metformím kontraindikovaný  (pozri časť 4.3).</w:t>
      </w:r>
    </w:p>
    <w:p w14:paraId="29613B02" w14:textId="77777777" w:rsidR="00D03B44" w:rsidRPr="00554C4D" w:rsidRDefault="00D03B44" w:rsidP="00D31B51">
      <w:pPr>
        <w:ind w:left="1560"/>
      </w:pPr>
    </w:p>
    <w:p w14:paraId="12218EE6" w14:textId="77777777" w:rsidR="00793F39" w:rsidRPr="00554C4D" w:rsidRDefault="00793F39" w:rsidP="00DF19BC">
      <w:pPr>
        <w:jc w:val="both"/>
        <w:rPr>
          <w:i/>
          <w:sz w:val="22"/>
          <w:szCs w:val="22"/>
          <w:u w:val="single"/>
        </w:rPr>
      </w:pPr>
      <w:r w:rsidRPr="00554C4D">
        <w:rPr>
          <w:i/>
          <w:sz w:val="22"/>
          <w:szCs w:val="22"/>
          <w:u w:val="single"/>
        </w:rPr>
        <w:t>Podanie jódovej kontrastnej látky</w:t>
      </w:r>
    </w:p>
    <w:p w14:paraId="2C73D8DC" w14:textId="77777777" w:rsidR="00793F39" w:rsidRPr="00554C4D" w:rsidRDefault="00793F39" w:rsidP="00793F39">
      <w:pPr>
        <w:pStyle w:val="CM3"/>
        <w:rPr>
          <w:rFonts w:ascii="Times New Roman" w:hAnsi="Times New Roman"/>
          <w:sz w:val="22"/>
          <w:szCs w:val="22"/>
          <w:lang w:val="sk-SK"/>
        </w:rPr>
      </w:pPr>
      <w:r w:rsidRPr="00554C4D">
        <w:rPr>
          <w:rFonts w:ascii="Times New Roman" w:hAnsi="Times New Roman"/>
          <w:sz w:val="22"/>
          <w:szCs w:val="22"/>
          <w:lang w:val="sk-SK"/>
        </w:rPr>
        <w:t xml:space="preserve">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 </w:t>
      </w:r>
    </w:p>
    <w:p w14:paraId="73533873" w14:textId="77777777" w:rsidR="00793F39" w:rsidRPr="00554C4D" w:rsidRDefault="00793F39" w:rsidP="00DF19BC">
      <w:pPr>
        <w:ind w:left="3360"/>
        <w:jc w:val="both"/>
        <w:rPr>
          <w:sz w:val="22"/>
          <w:szCs w:val="22"/>
        </w:rPr>
      </w:pPr>
    </w:p>
    <w:p w14:paraId="5AA98D62" w14:textId="77777777" w:rsidR="00793F39" w:rsidRPr="00554C4D" w:rsidRDefault="00793F39" w:rsidP="00DF19BC">
      <w:pPr>
        <w:jc w:val="both"/>
        <w:rPr>
          <w:i/>
          <w:sz w:val="22"/>
          <w:szCs w:val="22"/>
          <w:u w:val="single"/>
        </w:rPr>
      </w:pPr>
      <w:r w:rsidRPr="00554C4D">
        <w:rPr>
          <w:i/>
          <w:sz w:val="22"/>
          <w:szCs w:val="22"/>
          <w:u w:val="single"/>
        </w:rPr>
        <w:t>Chirurgický zákrok</w:t>
      </w:r>
    </w:p>
    <w:p w14:paraId="35A1E150" w14:textId="77777777" w:rsidR="00793F39" w:rsidRPr="00554C4D" w:rsidRDefault="00793F39" w:rsidP="00793F39">
      <w:pPr>
        <w:pStyle w:val="CM5"/>
        <w:rPr>
          <w:rFonts w:ascii="Times New Roman" w:hAnsi="Times New Roman"/>
          <w:sz w:val="22"/>
          <w:szCs w:val="22"/>
          <w:lang w:val="sk-SK"/>
        </w:rPr>
      </w:pPr>
      <w:r w:rsidRPr="00554C4D">
        <w:rPr>
          <w:rFonts w:ascii="Times New Roman" w:hAnsi="Times New Roman"/>
          <w:sz w:val="22"/>
          <w:szCs w:val="22"/>
          <w:lang w:val="sk-SK"/>
        </w:rPr>
        <w:t>Metformín sa musí vysadiť v čase chirurgického zákroku s celkovou, spinálnou alebo epidurálnou anestéziou. Liečba sa nesmie opätovne nasadiť skôr ako 48 hodín po chirurgickom zákroku alebo po obnovení perorálnej výživy a za predpoklad</w:t>
      </w:r>
      <w:r w:rsidR="002A717E" w:rsidRPr="00554C4D">
        <w:rPr>
          <w:rFonts w:ascii="Times New Roman" w:hAnsi="Times New Roman"/>
          <w:sz w:val="22"/>
          <w:szCs w:val="22"/>
          <w:lang w:val="sk-SK"/>
        </w:rPr>
        <w:t>u</w:t>
      </w:r>
      <w:r w:rsidRPr="00554C4D">
        <w:rPr>
          <w:rFonts w:ascii="Times New Roman" w:hAnsi="Times New Roman"/>
          <w:sz w:val="22"/>
          <w:szCs w:val="22"/>
          <w:lang w:val="sk-SK"/>
        </w:rPr>
        <w:t xml:space="preserve">, že došlo k opätovnému vyhodnoteniu funkcie obličiek a pri </w:t>
      </w:r>
      <w:r w:rsidRPr="00554C4D">
        <w:rPr>
          <w:rFonts w:ascii="Times New Roman" w:hAnsi="Times New Roman"/>
          <w:sz w:val="22"/>
          <w:szCs w:val="22"/>
          <w:lang w:val="sk-SK"/>
        </w:rPr>
        <w:lastRenderedPageBreak/>
        <w:t xml:space="preserve">zistení, že je stabilná. </w:t>
      </w:r>
    </w:p>
    <w:p w14:paraId="1E4D8571" w14:textId="77777777" w:rsidR="00015CBC" w:rsidRPr="00554C4D" w:rsidRDefault="00015CBC">
      <w:pPr>
        <w:jc w:val="both"/>
        <w:rPr>
          <w:b/>
          <w:sz w:val="22"/>
        </w:rPr>
      </w:pPr>
    </w:p>
    <w:p w14:paraId="1F050F8D" w14:textId="77777777" w:rsidR="00015CBC" w:rsidRPr="00554C4D" w:rsidRDefault="001512F3">
      <w:pPr>
        <w:jc w:val="both"/>
        <w:rPr>
          <w:sz w:val="22"/>
          <w:u w:val="single"/>
        </w:rPr>
      </w:pPr>
      <w:r w:rsidRPr="00554C4D">
        <w:rPr>
          <w:sz w:val="22"/>
          <w:u w:val="single"/>
        </w:rPr>
        <w:t>Ďalšie</w:t>
      </w:r>
      <w:r w:rsidR="00015CBC" w:rsidRPr="00554C4D">
        <w:rPr>
          <w:sz w:val="22"/>
          <w:u w:val="single"/>
        </w:rPr>
        <w:t xml:space="preserve"> upozornenia</w:t>
      </w:r>
    </w:p>
    <w:p w14:paraId="20326359" w14:textId="77777777" w:rsidR="001512F3" w:rsidRPr="00554C4D" w:rsidRDefault="00015CBC">
      <w:pPr>
        <w:jc w:val="both"/>
        <w:rPr>
          <w:sz w:val="22"/>
        </w:rPr>
      </w:pPr>
      <w:r w:rsidRPr="00554C4D">
        <w:rPr>
          <w:sz w:val="22"/>
        </w:rPr>
        <w:t>Všetci pacienti majú dodržiavať diétu s pravidelne rozdeleným denným príjmom cukrov</w:t>
      </w:r>
      <w:r w:rsidR="006F798F" w:rsidRPr="00554C4D">
        <w:rPr>
          <w:sz w:val="22"/>
        </w:rPr>
        <w:t xml:space="preserve"> počas dňa.</w:t>
      </w:r>
      <w:r w:rsidRPr="00554C4D">
        <w:rPr>
          <w:sz w:val="22"/>
        </w:rPr>
        <w:t xml:space="preserve"> </w:t>
      </w:r>
    </w:p>
    <w:p w14:paraId="481A1FFA" w14:textId="77777777" w:rsidR="00015CBC" w:rsidRPr="00554C4D" w:rsidRDefault="006F798F">
      <w:pPr>
        <w:jc w:val="both"/>
        <w:rPr>
          <w:sz w:val="22"/>
        </w:rPr>
      </w:pPr>
      <w:r w:rsidRPr="00554C4D">
        <w:rPr>
          <w:sz w:val="22"/>
        </w:rPr>
        <w:t>P</w:t>
      </w:r>
      <w:r w:rsidR="00015CBC" w:rsidRPr="00554C4D">
        <w:rPr>
          <w:sz w:val="22"/>
        </w:rPr>
        <w:t xml:space="preserve">acienti </w:t>
      </w:r>
      <w:r w:rsidRPr="00554C4D">
        <w:rPr>
          <w:sz w:val="22"/>
        </w:rPr>
        <w:t xml:space="preserve">s nadváhou </w:t>
      </w:r>
      <w:r w:rsidR="00015CBC" w:rsidRPr="00554C4D">
        <w:rPr>
          <w:sz w:val="22"/>
        </w:rPr>
        <w:t xml:space="preserve">majú pokračovať v </w:t>
      </w:r>
      <w:r w:rsidR="001512F3" w:rsidRPr="00554C4D">
        <w:rPr>
          <w:sz w:val="22"/>
        </w:rPr>
        <w:t xml:space="preserve">redukčnej </w:t>
      </w:r>
      <w:r w:rsidR="00015CBC" w:rsidRPr="00554C4D">
        <w:rPr>
          <w:sz w:val="22"/>
        </w:rPr>
        <w:t>diéte.</w:t>
      </w:r>
    </w:p>
    <w:p w14:paraId="5DA97BE0" w14:textId="4D366EDD" w:rsidR="00930FA2" w:rsidRDefault="006F798F" w:rsidP="001512F3">
      <w:pPr>
        <w:jc w:val="both"/>
        <w:rPr>
          <w:sz w:val="22"/>
          <w:szCs w:val="22"/>
        </w:rPr>
      </w:pPr>
      <w:r w:rsidRPr="00554C4D">
        <w:rPr>
          <w:sz w:val="22"/>
          <w:szCs w:val="22"/>
        </w:rPr>
        <w:t xml:space="preserve">Zvyčajné laboratórne vyšetrenia na sledovanie diabetu je potrebné vykonávať pravidelne. </w:t>
      </w:r>
    </w:p>
    <w:p w14:paraId="3C47E79B" w14:textId="77777777" w:rsidR="00930FA2" w:rsidRDefault="00930FA2" w:rsidP="001512F3">
      <w:pPr>
        <w:jc w:val="both"/>
        <w:rPr>
          <w:sz w:val="22"/>
          <w:szCs w:val="22"/>
        </w:rPr>
      </w:pPr>
    </w:p>
    <w:p w14:paraId="2A03DA0F" w14:textId="77777777" w:rsidR="00930FA2" w:rsidRDefault="00930FA2" w:rsidP="00930FA2">
      <w:pPr>
        <w:rPr>
          <w:sz w:val="22"/>
          <w:szCs w:val="22"/>
        </w:rPr>
      </w:pPr>
      <w:bookmarkStart w:id="0" w:name="_Hlk98752963"/>
      <w:r>
        <w:rPr>
          <w:sz w:val="22"/>
          <w:szCs w:val="22"/>
        </w:rPr>
        <w:t xml:space="preserve">Metformín môže znižovať sérové hladiny vitamínu B12. </w:t>
      </w:r>
    </w:p>
    <w:p w14:paraId="70D132B6" w14:textId="77777777" w:rsidR="00930FA2" w:rsidRPr="00BF0153" w:rsidRDefault="00930FA2" w:rsidP="00930FA2">
      <w:pPr>
        <w:rPr>
          <w:sz w:val="22"/>
          <w:szCs w:val="22"/>
        </w:rPr>
      </w:pPr>
      <w:r w:rsidRPr="00BF0153">
        <w:rPr>
          <w:sz w:val="22"/>
          <w:szCs w:val="22"/>
        </w:rPr>
        <w:t xml:space="preserve">Riziko nízkych hladín vitamínu B12 sa zvyšuje so zvyšujúcou sa dávkou metformínu, dobou liečby a/alebo u pacientov s rizikovými faktormi, kde je známe, že spôsobujú nedostatok vitamínu B12. </w:t>
      </w:r>
    </w:p>
    <w:p w14:paraId="249351FA" w14:textId="6805D7AF" w:rsidR="00930FA2" w:rsidRDefault="00930FA2" w:rsidP="00930FA2">
      <w:pPr>
        <w:rPr>
          <w:sz w:val="22"/>
          <w:szCs w:val="22"/>
        </w:rPr>
      </w:pPr>
      <w:r w:rsidRPr="00BF0153">
        <w:rPr>
          <w:sz w:val="22"/>
          <w:szCs w:val="22"/>
        </w:rPr>
        <w:t>V prípade podozrenia na nedostatok vitamínu B12 (</w:t>
      </w:r>
      <w:r>
        <w:rPr>
          <w:sz w:val="22"/>
          <w:szCs w:val="22"/>
        </w:rPr>
        <w:t>ako je</w:t>
      </w:r>
      <w:r w:rsidRPr="00BF0153">
        <w:rPr>
          <w:sz w:val="22"/>
          <w:szCs w:val="22"/>
        </w:rPr>
        <w:t xml:space="preserve"> anémi</w:t>
      </w:r>
      <w:r>
        <w:rPr>
          <w:sz w:val="22"/>
          <w:szCs w:val="22"/>
        </w:rPr>
        <w:t>a</w:t>
      </w:r>
      <w:r w:rsidRPr="00BF0153">
        <w:rPr>
          <w:sz w:val="22"/>
          <w:szCs w:val="22"/>
        </w:rPr>
        <w:t xml:space="preserve"> alebo neuropati</w:t>
      </w:r>
      <w:r>
        <w:rPr>
          <w:sz w:val="22"/>
          <w:szCs w:val="22"/>
        </w:rPr>
        <w:t>a</w:t>
      </w:r>
      <w:r w:rsidRPr="00BF0153">
        <w:rPr>
          <w:sz w:val="22"/>
          <w:szCs w:val="22"/>
        </w:rPr>
        <w:t xml:space="preserve">) je potrebné sledovať sérové hladiny vitamínu B12. U pacientov s rizikovými faktormi spôsobujúcimi nedostatok vitamínu B12 </w:t>
      </w:r>
      <w:r>
        <w:rPr>
          <w:sz w:val="22"/>
          <w:szCs w:val="22"/>
        </w:rPr>
        <w:t>je</w:t>
      </w:r>
      <w:r w:rsidRPr="00BF0153">
        <w:rPr>
          <w:sz w:val="22"/>
          <w:szCs w:val="22"/>
        </w:rPr>
        <w:t xml:space="preserve"> nutné pravidelné sledovanie vitamínu B12. Liečba metformínom </w:t>
      </w:r>
      <w:r>
        <w:rPr>
          <w:sz w:val="22"/>
          <w:szCs w:val="22"/>
        </w:rPr>
        <w:t>má</w:t>
      </w:r>
      <w:r w:rsidRPr="00BF0153">
        <w:rPr>
          <w:sz w:val="22"/>
          <w:szCs w:val="22"/>
        </w:rPr>
        <w:t xml:space="preserve"> pokračovať tak dlho, </w:t>
      </w:r>
      <w:r w:rsidR="00AB36ED">
        <w:rPr>
          <w:sz w:val="22"/>
          <w:szCs w:val="22"/>
        </w:rPr>
        <w:t>kým</w:t>
      </w:r>
      <w:r w:rsidRPr="00BF0153">
        <w:rPr>
          <w:sz w:val="22"/>
          <w:szCs w:val="22"/>
        </w:rPr>
        <w:t xml:space="preserve"> je tolerovaná a nie je kontraindikovaná, a </w:t>
      </w:r>
      <w:r>
        <w:rPr>
          <w:sz w:val="22"/>
          <w:szCs w:val="22"/>
        </w:rPr>
        <w:t>má</w:t>
      </w:r>
      <w:r w:rsidRPr="00BF0153">
        <w:rPr>
          <w:sz w:val="22"/>
          <w:szCs w:val="22"/>
        </w:rPr>
        <w:t xml:space="preserve"> byť </w:t>
      </w:r>
      <w:r>
        <w:rPr>
          <w:sz w:val="22"/>
          <w:szCs w:val="22"/>
        </w:rPr>
        <w:t>poskytnutá</w:t>
      </w:r>
      <w:r w:rsidRPr="00BF0153">
        <w:rPr>
          <w:sz w:val="22"/>
          <w:szCs w:val="22"/>
        </w:rPr>
        <w:t xml:space="preserve"> vhodná korekčná liečba nedostatku vitamínu B12 v súlade s aktuálnymi klinickými </w:t>
      </w:r>
      <w:r w:rsidR="00AB36ED">
        <w:rPr>
          <w:sz w:val="22"/>
          <w:szCs w:val="22"/>
        </w:rPr>
        <w:t>odporúčaniami</w:t>
      </w:r>
      <w:r>
        <w:rPr>
          <w:szCs w:val="22"/>
        </w:rPr>
        <w:t>.</w:t>
      </w:r>
    </w:p>
    <w:bookmarkEnd w:id="0"/>
    <w:p w14:paraId="51EA7128" w14:textId="77777777" w:rsidR="00930FA2" w:rsidRDefault="00930FA2" w:rsidP="001512F3">
      <w:pPr>
        <w:jc w:val="both"/>
        <w:rPr>
          <w:sz w:val="22"/>
          <w:szCs w:val="22"/>
        </w:rPr>
      </w:pPr>
    </w:p>
    <w:p w14:paraId="2D49A113" w14:textId="4A023650" w:rsidR="001512F3" w:rsidRPr="00554C4D" w:rsidRDefault="00015CBC" w:rsidP="001512F3">
      <w:pPr>
        <w:jc w:val="both"/>
        <w:rPr>
          <w:sz w:val="22"/>
        </w:rPr>
      </w:pPr>
      <w:r w:rsidRPr="00554C4D">
        <w:rPr>
          <w:sz w:val="22"/>
        </w:rPr>
        <w:t xml:space="preserve">Metformín samotný nevyvoláva hypoglykémiu, je však potrebné zvýšiť opatrnosť, ak je podávaný spolu s inzulínom alebo </w:t>
      </w:r>
      <w:r w:rsidR="001512F3" w:rsidRPr="00554C4D">
        <w:rPr>
          <w:sz w:val="22"/>
        </w:rPr>
        <w:t xml:space="preserve">s inými perorálnymi antidiabetikami (napr. deriváty </w:t>
      </w:r>
      <w:r w:rsidR="004B3E39" w:rsidRPr="00554C4D">
        <w:rPr>
          <w:sz w:val="22"/>
        </w:rPr>
        <w:t xml:space="preserve">sulfonylurey </w:t>
      </w:r>
      <w:r w:rsidR="001512F3" w:rsidRPr="00554C4D">
        <w:rPr>
          <w:sz w:val="22"/>
        </w:rPr>
        <w:t>alebo meglitinidy)</w:t>
      </w:r>
      <w:r w:rsidRPr="00554C4D">
        <w:rPr>
          <w:sz w:val="22"/>
        </w:rPr>
        <w:t>.</w:t>
      </w:r>
    </w:p>
    <w:p w14:paraId="7CB514EA" w14:textId="77777777" w:rsidR="001512F3" w:rsidRPr="00554C4D" w:rsidRDefault="00015CBC">
      <w:pPr>
        <w:jc w:val="both"/>
        <w:rPr>
          <w:sz w:val="22"/>
        </w:rPr>
      </w:pPr>
      <w:r w:rsidRPr="00554C4D">
        <w:rPr>
          <w:sz w:val="22"/>
        </w:rPr>
        <w:t>V stolici môžu byť prítomné zvyšky tabliet. Pacienti majú byť upozornení, že je to</w:t>
      </w:r>
      <w:r w:rsidR="000A7D43" w:rsidRPr="00554C4D">
        <w:rPr>
          <w:sz w:val="22"/>
        </w:rPr>
        <w:t xml:space="preserve"> </w:t>
      </w:r>
      <w:r w:rsidRPr="00554C4D">
        <w:rPr>
          <w:sz w:val="22"/>
        </w:rPr>
        <w:t>normálne</w:t>
      </w:r>
      <w:r w:rsidR="007E78A6" w:rsidRPr="00554C4D">
        <w:rPr>
          <w:sz w:val="22"/>
        </w:rPr>
        <w:t>, je to zvyšok matrice tablety, z ktorej sa uvoľňuje liečivo.</w:t>
      </w:r>
    </w:p>
    <w:p w14:paraId="49F04BFE" w14:textId="77777777" w:rsidR="00E90E30" w:rsidRPr="00554C4D" w:rsidRDefault="00E90E30">
      <w:pPr>
        <w:jc w:val="both"/>
        <w:rPr>
          <w:sz w:val="22"/>
        </w:rPr>
      </w:pPr>
    </w:p>
    <w:p w14:paraId="22A03A33" w14:textId="77777777" w:rsidR="00422A3E" w:rsidRPr="00554C4D" w:rsidRDefault="00422A3E" w:rsidP="00422A3E">
      <w:pPr>
        <w:rPr>
          <w:i/>
          <w:sz w:val="22"/>
          <w:szCs w:val="22"/>
        </w:rPr>
      </w:pPr>
      <w:r w:rsidRPr="00554C4D">
        <w:rPr>
          <w:i/>
          <w:sz w:val="22"/>
          <w:szCs w:val="22"/>
        </w:rPr>
        <w:t>Pomocné látky so známym účinkom</w:t>
      </w:r>
      <w:r w:rsidRPr="00554C4D" w:rsidDel="00AC5AE4">
        <w:rPr>
          <w:i/>
          <w:sz w:val="22"/>
          <w:szCs w:val="22"/>
        </w:rPr>
        <w:t xml:space="preserve"> </w:t>
      </w:r>
    </w:p>
    <w:p w14:paraId="77E571B8" w14:textId="77777777" w:rsidR="00E90E30" w:rsidRPr="00554C4D" w:rsidRDefault="00E90E30" w:rsidP="00E90E30">
      <w:r w:rsidRPr="00554C4D">
        <w:rPr>
          <w:sz w:val="22"/>
          <w:szCs w:val="22"/>
        </w:rPr>
        <w:t>Tento liek obsahuje menej ako 1 mmol (23 mg) sodíka v jednej dávke, t. j. v podstate zanedbateľné množstvo sodíka.</w:t>
      </w:r>
    </w:p>
    <w:p w14:paraId="38488CB7" w14:textId="77777777" w:rsidR="00015CBC" w:rsidRPr="00554C4D" w:rsidRDefault="00015CBC">
      <w:pPr>
        <w:jc w:val="both"/>
        <w:rPr>
          <w:b/>
          <w:sz w:val="22"/>
        </w:rPr>
      </w:pPr>
    </w:p>
    <w:p w14:paraId="524B1F79" w14:textId="3DE30AAB" w:rsidR="00015CBC" w:rsidRPr="00554C4D" w:rsidRDefault="00015CBC">
      <w:pPr>
        <w:jc w:val="both"/>
        <w:rPr>
          <w:b/>
          <w:sz w:val="22"/>
        </w:rPr>
      </w:pPr>
      <w:r w:rsidRPr="00554C4D">
        <w:rPr>
          <w:b/>
          <w:sz w:val="22"/>
        </w:rPr>
        <w:t>4.5</w:t>
      </w:r>
      <w:r w:rsidR="00C72318" w:rsidRPr="00554C4D">
        <w:rPr>
          <w:b/>
          <w:sz w:val="22"/>
        </w:rPr>
        <w:tab/>
      </w:r>
      <w:r w:rsidRPr="00554C4D">
        <w:rPr>
          <w:b/>
          <w:sz w:val="22"/>
        </w:rPr>
        <w:t>Liekové a iné interakcie</w:t>
      </w:r>
    </w:p>
    <w:p w14:paraId="27033A61" w14:textId="77777777" w:rsidR="00015CBC" w:rsidRPr="00554C4D" w:rsidRDefault="00015CBC">
      <w:pPr>
        <w:rPr>
          <w:b/>
          <w:sz w:val="22"/>
        </w:rPr>
      </w:pPr>
    </w:p>
    <w:p w14:paraId="41E35169" w14:textId="77777777" w:rsidR="00793F39" w:rsidRPr="00554C4D" w:rsidRDefault="00793F39" w:rsidP="00DF19BC">
      <w:pPr>
        <w:jc w:val="both"/>
        <w:rPr>
          <w:rFonts w:cs="QUOWUE+Verdana"/>
          <w:iCs/>
          <w:sz w:val="22"/>
          <w:szCs w:val="22"/>
          <w:u w:val="single"/>
        </w:rPr>
      </w:pPr>
      <w:r w:rsidRPr="00554C4D">
        <w:rPr>
          <w:rFonts w:cs="QUOWUE+Verdana"/>
          <w:iCs/>
          <w:sz w:val="22"/>
          <w:szCs w:val="22"/>
          <w:u w:val="single"/>
        </w:rPr>
        <w:t xml:space="preserve">Súbežné používanie, ktoré sa neodporúča </w:t>
      </w:r>
    </w:p>
    <w:p w14:paraId="48B70F7F" w14:textId="77777777" w:rsidR="00363CA2" w:rsidRPr="00554C4D" w:rsidRDefault="00015CBC" w:rsidP="00363CA2">
      <w:pPr>
        <w:rPr>
          <w:i/>
        </w:rPr>
      </w:pPr>
      <w:r w:rsidRPr="00554C4D">
        <w:rPr>
          <w:i/>
          <w:sz w:val="22"/>
        </w:rPr>
        <w:t>Alkohol</w:t>
      </w:r>
    </w:p>
    <w:p w14:paraId="31DA599F" w14:textId="77777777" w:rsidR="006E0AEB" w:rsidRPr="00554C4D" w:rsidRDefault="006E0AEB" w:rsidP="00DF19BC">
      <w:pPr>
        <w:jc w:val="both"/>
        <w:rPr>
          <w:sz w:val="22"/>
          <w:szCs w:val="22"/>
        </w:rPr>
      </w:pPr>
      <w:r w:rsidRPr="00554C4D">
        <w:rPr>
          <w:sz w:val="22"/>
          <w:szCs w:val="22"/>
        </w:rPr>
        <w:t xml:space="preserve">Intoxikácia alkoholom je spojená so zvýšeným rizikom laktátovej acidózy najmä v prípadoch hladovania, nedostatočnej výživy alebo poškodenia funkcie pečene. </w:t>
      </w:r>
    </w:p>
    <w:p w14:paraId="20AD047A" w14:textId="77777777" w:rsidR="006E0AEB" w:rsidRPr="00554C4D" w:rsidRDefault="006E0AEB" w:rsidP="00DF19BC">
      <w:pPr>
        <w:jc w:val="both"/>
        <w:rPr>
          <w:sz w:val="22"/>
          <w:szCs w:val="22"/>
        </w:rPr>
      </w:pPr>
    </w:p>
    <w:p w14:paraId="28917C63" w14:textId="77777777" w:rsidR="00015CBC" w:rsidRPr="00554C4D" w:rsidRDefault="00015CBC">
      <w:pPr>
        <w:jc w:val="both"/>
        <w:rPr>
          <w:i/>
          <w:sz w:val="22"/>
        </w:rPr>
      </w:pPr>
      <w:r w:rsidRPr="00554C4D">
        <w:rPr>
          <w:i/>
          <w:sz w:val="22"/>
        </w:rPr>
        <w:t>Jódové kontrastné látky</w:t>
      </w:r>
    </w:p>
    <w:p w14:paraId="705DA10D" w14:textId="77777777" w:rsidR="006E0AEB" w:rsidRPr="00554C4D" w:rsidRDefault="006E0AEB" w:rsidP="006E0AEB">
      <w:pPr>
        <w:pStyle w:val="CM11"/>
        <w:rPr>
          <w:rFonts w:ascii="Times New Roman" w:eastAsia="Batang" w:hAnsi="Times New Roman"/>
          <w:sz w:val="22"/>
          <w:szCs w:val="22"/>
          <w:lang w:val="sk-SK"/>
        </w:rPr>
      </w:pPr>
      <w:r w:rsidRPr="00554C4D">
        <w:rPr>
          <w:rFonts w:ascii="Times New Roman" w:eastAsia="Batang" w:hAnsi="Times New Roman"/>
          <w:sz w:val="22"/>
          <w:szCs w:val="22"/>
          <w:lang w:val="sk-SK"/>
        </w:rPr>
        <w:t xml:space="preserve">Pred zobrazovacím vyšetrením alebo v čase zobrazovacieho vyšetrenia sa metformín musí vysadiť a nesmie sa opätovne nasadiť, kým neuplynie minimálne 48 hodín potom, za predpokladu, že došlo k opätovnému vyhodnoteniu funkcie obličiek a zistilo sa, že je stabilná, pozri časti 4.2 a 4.4. </w:t>
      </w:r>
    </w:p>
    <w:p w14:paraId="52F86DAD" w14:textId="77777777" w:rsidR="006E0AEB" w:rsidRPr="00554C4D" w:rsidRDefault="006E0AEB" w:rsidP="00DF19BC">
      <w:pPr>
        <w:ind w:left="4080"/>
        <w:jc w:val="both"/>
        <w:rPr>
          <w:sz w:val="22"/>
          <w:szCs w:val="22"/>
        </w:rPr>
      </w:pPr>
    </w:p>
    <w:p w14:paraId="1F946CBA" w14:textId="77777777" w:rsidR="006E0AEB" w:rsidRPr="00554C4D" w:rsidRDefault="006E0AEB" w:rsidP="00DF19BC">
      <w:pPr>
        <w:jc w:val="both"/>
        <w:rPr>
          <w:rFonts w:cs="QUOWUE+Verdana"/>
          <w:iCs/>
          <w:sz w:val="22"/>
          <w:szCs w:val="22"/>
          <w:u w:val="single"/>
        </w:rPr>
      </w:pPr>
      <w:r w:rsidRPr="00554C4D">
        <w:rPr>
          <w:rFonts w:cs="QUOWUE+Verdana"/>
          <w:iCs/>
          <w:sz w:val="22"/>
          <w:szCs w:val="22"/>
          <w:u w:val="single"/>
        </w:rPr>
        <w:t xml:space="preserve">Kombinácia, pri ktorej sa vyžaduje opatrnosť pri používaní </w:t>
      </w:r>
    </w:p>
    <w:p w14:paraId="1C1BDE1C" w14:textId="77777777" w:rsidR="006E0AEB" w:rsidRPr="00554C4D" w:rsidRDefault="006E0AEB" w:rsidP="006E0AEB">
      <w:pPr>
        <w:pStyle w:val="CM3"/>
        <w:rPr>
          <w:rFonts w:ascii="Times New Roman" w:eastAsia="Batang" w:hAnsi="Times New Roman"/>
          <w:sz w:val="22"/>
          <w:szCs w:val="22"/>
          <w:lang w:val="sk-SK"/>
        </w:rPr>
      </w:pPr>
      <w:r w:rsidRPr="00554C4D">
        <w:rPr>
          <w:rFonts w:ascii="Times New Roman" w:eastAsia="Batang" w:hAnsi="Times New Roman"/>
          <w:sz w:val="22"/>
          <w:szCs w:val="22"/>
          <w:lang w:val="sk-SK"/>
        </w:rPr>
        <w:t>Niektoré lieky môžu nežiaduco ovplyvňovať funkciu obličiek, čo môže zv</w:t>
      </w:r>
      <w:r w:rsidR="00B56A10" w:rsidRPr="00554C4D">
        <w:rPr>
          <w:rFonts w:ascii="Times New Roman" w:eastAsia="Batang" w:hAnsi="Times New Roman"/>
          <w:sz w:val="22"/>
          <w:szCs w:val="22"/>
          <w:lang w:val="sk-SK"/>
        </w:rPr>
        <w:t>ý</w:t>
      </w:r>
      <w:r w:rsidRPr="00554C4D">
        <w:rPr>
          <w:rFonts w:ascii="Times New Roman" w:eastAsia="Batang" w:hAnsi="Times New Roman"/>
          <w:sz w:val="22"/>
          <w:szCs w:val="22"/>
          <w:lang w:val="sk-SK"/>
        </w:rPr>
        <w:t>šiť riziko laktátovej acidózy, napr. NSAID vrátane selektívnych inhibítorov cyklooxygenázy II (COX), inhibítorov ACE, antagonistov receptora angiotenzínu II a diuretík, obzvlášť kľ</w:t>
      </w:r>
      <w:r w:rsidR="00B56A10" w:rsidRPr="00554C4D">
        <w:rPr>
          <w:rFonts w:ascii="Times New Roman" w:eastAsia="Batang" w:hAnsi="Times New Roman"/>
          <w:sz w:val="22"/>
          <w:szCs w:val="22"/>
          <w:lang w:val="sk-SK"/>
        </w:rPr>
        <w:t>u</w:t>
      </w:r>
      <w:r w:rsidRPr="00554C4D">
        <w:rPr>
          <w:rFonts w:ascii="Times New Roman" w:eastAsia="Batang" w:hAnsi="Times New Roman"/>
          <w:sz w:val="22"/>
          <w:szCs w:val="22"/>
          <w:lang w:val="sk-SK"/>
        </w:rPr>
        <w:t xml:space="preserve">čkových diuretík. Ak sa začína používať alebo používa takýto liek v kombinácii s metformínom, je potrebné dôkladné monitorovanie funkcie obličiek. </w:t>
      </w:r>
    </w:p>
    <w:p w14:paraId="74249709" w14:textId="77777777" w:rsidR="00477BE5" w:rsidRPr="00554C4D" w:rsidRDefault="00477BE5" w:rsidP="00477BE5">
      <w:pPr>
        <w:pStyle w:val="SPCnormal"/>
        <w:rPr>
          <w:lang w:val="sk-SK"/>
        </w:rPr>
      </w:pPr>
    </w:p>
    <w:p w14:paraId="3AC31D52" w14:textId="77777777" w:rsidR="006F46A0" w:rsidRPr="00554C4D" w:rsidRDefault="00015CBC" w:rsidP="006F46A0">
      <w:pPr>
        <w:rPr>
          <w:i/>
          <w:sz w:val="22"/>
        </w:rPr>
      </w:pPr>
      <w:r w:rsidRPr="00554C4D">
        <w:rPr>
          <w:i/>
          <w:sz w:val="22"/>
        </w:rPr>
        <w:t>Lieky s vnútornou hyp</w:t>
      </w:r>
      <w:r w:rsidR="004A06C9" w:rsidRPr="00554C4D">
        <w:rPr>
          <w:i/>
          <w:sz w:val="22"/>
        </w:rPr>
        <w:t>er</w:t>
      </w:r>
      <w:r w:rsidRPr="00554C4D">
        <w:rPr>
          <w:i/>
          <w:sz w:val="22"/>
        </w:rPr>
        <w:t xml:space="preserve">glykemickou aktivitou (napr. glukokortikoidy </w:t>
      </w:r>
      <w:r w:rsidR="00585331" w:rsidRPr="00554C4D">
        <w:rPr>
          <w:i/>
          <w:sz w:val="22"/>
        </w:rPr>
        <w:t xml:space="preserve">podávané systémovo </w:t>
      </w:r>
    </w:p>
    <w:p w14:paraId="6A489FBD" w14:textId="02FD6324" w:rsidR="00015CBC" w:rsidRDefault="00015CBC" w:rsidP="006F46A0">
      <w:pPr>
        <w:rPr>
          <w:i/>
          <w:sz w:val="22"/>
        </w:rPr>
      </w:pPr>
      <w:r w:rsidRPr="00554C4D">
        <w:rPr>
          <w:i/>
          <w:sz w:val="22"/>
        </w:rPr>
        <w:t>a lokálne a</w:t>
      </w:r>
      <w:r w:rsidR="009E09EC" w:rsidRPr="00554C4D">
        <w:rPr>
          <w:i/>
          <w:sz w:val="22"/>
        </w:rPr>
        <w:t> </w:t>
      </w:r>
      <w:r w:rsidRPr="00554C4D">
        <w:rPr>
          <w:i/>
          <w:sz w:val="22"/>
        </w:rPr>
        <w:t>sympatomimetiká</w:t>
      </w:r>
      <w:r w:rsidR="009E09EC" w:rsidRPr="00554C4D">
        <w:rPr>
          <w:i/>
          <w:sz w:val="22"/>
        </w:rPr>
        <w:t>)</w:t>
      </w:r>
      <w:r w:rsidR="00CF1868">
        <w:rPr>
          <w:i/>
          <w:sz w:val="22"/>
        </w:rPr>
        <w:t>.</w:t>
      </w:r>
    </w:p>
    <w:p w14:paraId="726AB70D" w14:textId="77777777" w:rsidR="00CF1868" w:rsidRPr="00E6668F" w:rsidRDefault="00CF1868" w:rsidP="006F46A0">
      <w:pPr>
        <w:rPr>
          <w:b/>
          <w:i/>
          <w:sz w:val="22"/>
        </w:rPr>
      </w:pPr>
    </w:p>
    <w:p w14:paraId="7F250467" w14:textId="4A1D058E" w:rsidR="00015CBC" w:rsidRPr="00554C4D" w:rsidRDefault="00015CBC" w:rsidP="00585331">
      <w:pPr>
        <w:rPr>
          <w:sz w:val="22"/>
        </w:rPr>
      </w:pPr>
      <w:r w:rsidRPr="00554C4D">
        <w:rPr>
          <w:sz w:val="22"/>
        </w:rPr>
        <w:t xml:space="preserve">Môže byť potrebné vykonávať častejšie glykemické kontroly, najmä na začiatku liečby. Ak je to potrebné, upravte dávkovanie metformínu počas liečby a </w:t>
      </w:r>
      <w:r w:rsidR="00585331" w:rsidRPr="00554C4D">
        <w:rPr>
          <w:sz w:val="22"/>
        </w:rPr>
        <w:t>po jej skončení</w:t>
      </w:r>
      <w:r w:rsidRPr="00554C4D">
        <w:rPr>
          <w:sz w:val="22"/>
        </w:rPr>
        <w:t>.</w:t>
      </w:r>
    </w:p>
    <w:p w14:paraId="4A26CF17" w14:textId="77777777" w:rsidR="00015CBC" w:rsidRPr="00554C4D" w:rsidRDefault="00015CBC">
      <w:pPr>
        <w:pStyle w:val="BodyText"/>
        <w:jc w:val="both"/>
        <w:rPr>
          <w:b/>
          <w:sz w:val="22"/>
        </w:rPr>
      </w:pPr>
    </w:p>
    <w:p w14:paraId="1DCF8D24" w14:textId="77777777" w:rsidR="00554C4D" w:rsidRDefault="006B2615" w:rsidP="00E6668F">
      <w:pPr>
        <w:pStyle w:val="SPCnormal"/>
        <w:rPr>
          <w:lang w:val="sk-SK" w:eastAsia="en-US"/>
        </w:rPr>
      </w:pPr>
      <w:r w:rsidRPr="00554C4D">
        <w:rPr>
          <w:i/>
          <w:lang w:val="sk-SK" w:eastAsia="en-US"/>
        </w:rPr>
        <w:t>Transportéry pre organické katióny (OCT</w:t>
      </w:r>
      <w:r w:rsidR="00B54F88" w:rsidRPr="00554C4D">
        <w:rPr>
          <w:i/>
          <w:lang w:val="sk-SK" w:eastAsia="en-US"/>
        </w:rPr>
        <w:t>, organic cation transporters</w:t>
      </w:r>
      <w:r w:rsidRPr="00554C4D">
        <w:rPr>
          <w:i/>
          <w:lang w:val="sk-SK" w:eastAsia="en-US"/>
        </w:rPr>
        <w:t>)</w:t>
      </w:r>
    </w:p>
    <w:p w14:paraId="78111236" w14:textId="77777777" w:rsidR="00554C4D" w:rsidRDefault="00554C4D">
      <w:pPr>
        <w:pStyle w:val="SPCnormal"/>
        <w:rPr>
          <w:lang w:val="sk-SK" w:eastAsia="en-US"/>
        </w:rPr>
      </w:pPr>
    </w:p>
    <w:p w14:paraId="780284C9" w14:textId="62A071B6" w:rsidR="00B140DA" w:rsidRDefault="006B2615">
      <w:pPr>
        <w:pStyle w:val="SPCnormal"/>
        <w:rPr>
          <w:lang w:val="sk-SK" w:eastAsia="en-US"/>
        </w:rPr>
      </w:pPr>
      <w:r w:rsidRPr="00554C4D">
        <w:rPr>
          <w:lang w:val="sk-SK" w:eastAsia="en-US"/>
        </w:rPr>
        <w:t>Metformín je substrátom pre oba transportéry OCT1 a OCT2.</w:t>
      </w:r>
    </w:p>
    <w:p w14:paraId="324A168B" w14:textId="40374AC7" w:rsidR="00554C4D" w:rsidRDefault="00554C4D">
      <w:pPr>
        <w:pStyle w:val="SPCnormal"/>
        <w:rPr>
          <w:lang w:val="sk-SK" w:eastAsia="en-US"/>
        </w:rPr>
      </w:pPr>
    </w:p>
    <w:p w14:paraId="5D034C7A" w14:textId="243C9135" w:rsidR="00554C4D" w:rsidRPr="00554C4D" w:rsidRDefault="006B2615">
      <w:pPr>
        <w:pStyle w:val="SPCnormal"/>
        <w:rPr>
          <w:lang w:val="sk-SK" w:eastAsia="en-US"/>
        </w:rPr>
      </w:pPr>
      <w:r w:rsidRPr="00554C4D">
        <w:rPr>
          <w:lang w:val="sk-SK" w:eastAsia="en-US"/>
        </w:rPr>
        <w:lastRenderedPageBreak/>
        <w:t>Súbežné podávanie metformínu s</w:t>
      </w:r>
      <w:r w:rsidR="00554C4D" w:rsidRPr="00554C4D">
        <w:rPr>
          <w:lang w:val="sk-SK" w:eastAsia="en-US"/>
        </w:rPr>
        <w:t>:</w:t>
      </w:r>
    </w:p>
    <w:p w14:paraId="4096ABC1" w14:textId="5CF43516" w:rsidR="00554C4D" w:rsidRPr="005F55F8" w:rsidRDefault="006B2615" w:rsidP="00F62A0B">
      <w:pPr>
        <w:pStyle w:val="SPCnormal"/>
        <w:numPr>
          <w:ilvl w:val="0"/>
          <w:numId w:val="34"/>
        </w:numPr>
        <w:tabs>
          <w:tab w:val="clear" w:pos="720"/>
          <w:tab w:val="num" w:pos="426"/>
        </w:tabs>
        <w:ind w:left="426" w:hanging="426"/>
        <w:rPr>
          <w:lang w:val="sk-SK" w:eastAsia="en-US"/>
        </w:rPr>
      </w:pPr>
      <w:r w:rsidRPr="005F55F8">
        <w:rPr>
          <w:lang w:val="sk-SK" w:eastAsia="en-US"/>
        </w:rPr>
        <w:t>inhibítormi OCT1 (ako je verapamil) môže znížiť účinnosť metformínu.</w:t>
      </w:r>
    </w:p>
    <w:p w14:paraId="28E0348A" w14:textId="0B47060C" w:rsidR="00554C4D" w:rsidRPr="005F55F8" w:rsidRDefault="006B2615" w:rsidP="00F62A0B">
      <w:pPr>
        <w:pStyle w:val="SPCnormal"/>
        <w:numPr>
          <w:ilvl w:val="0"/>
          <w:numId w:val="34"/>
        </w:numPr>
        <w:tabs>
          <w:tab w:val="clear" w:pos="720"/>
          <w:tab w:val="num" w:pos="426"/>
        </w:tabs>
        <w:ind w:left="426" w:hanging="426"/>
        <w:rPr>
          <w:lang w:val="sk-SK" w:eastAsia="en-US"/>
        </w:rPr>
      </w:pPr>
      <w:proofErr w:type="spellStart"/>
      <w:r w:rsidRPr="005F55F8">
        <w:t>induktormi</w:t>
      </w:r>
      <w:proofErr w:type="spellEnd"/>
      <w:r w:rsidRPr="005F55F8">
        <w:t xml:space="preserve"> OCT1 (</w:t>
      </w:r>
      <w:proofErr w:type="spellStart"/>
      <w:r w:rsidRPr="005F55F8">
        <w:t>ako</w:t>
      </w:r>
      <w:proofErr w:type="spellEnd"/>
      <w:r w:rsidRPr="005F55F8">
        <w:t xml:space="preserve"> je </w:t>
      </w:r>
      <w:proofErr w:type="spellStart"/>
      <w:r w:rsidRPr="005F55F8">
        <w:t>rifampicín</w:t>
      </w:r>
      <w:proofErr w:type="spellEnd"/>
      <w:r w:rsidRPr="005F55F8">
        <w:t xml:space="preserve">) </w:t>
      </w:r>
      <w:proofErr w:type="spellStart"/>
      <w:r w:rsidRPr="005F55F8">
        <w:t>môže</w:t>
      </w:r>
      <w:proofErr w:type="spellEnd"/>
      <w:r w:rsidRPr="005F55F8">
        <w:t xml:space="preserve"> </w:t>
      </w:r>
      <w:proofErr w:type="spellStart"/>
      <w:r w:rsidRPr="005F55F8">
        <w:t>zvýšiť</w:t>
      </w:r>
      <w:proofErr w:type="spellEnd"/>
      <w:r w:rsidRPr="005F55F8">
        <w:t xml:space="preserve"> </w:t>
      </w:r>
      <w:proofErr w:type="spellStart"/>
      <w:r w:rsidRPr="005F55F8">
        <w:t>gastrointestinálnu</w:t>
      </w:r>
      <w:proofErr w:type="spellEnd"/>
      <w:r w:rsidRPr="005F55F8">
        <w:t xml:space="preserve"> </w:t>
      </w:r>
      <w:proofErr w:type="spellStart"/>
      <w:r w:rsidRPr="005F55F8">
        <w:t>absorpciu</w:t>
      </w:r>
      <w:proofErr w:type="spellEnd"/>
      <w:r w:rsidRPr="005F55F8">
        <w:t xml:space="preserve"> a </w:t>
      </w:r>
      <w:proofErr w:type="spellStart"/>
      <w:r w:rsidRPr="005F55F8">
        <w:t>účinnosť</w:t>
      </w:r>
      <w:proofErr w:type="spellEnd"/>
      <w:r w:rsidRPr="005F55F8">
        <w:t xml:space="preserve"> </w:t>
      </w:r>
      <w:r w:rsidRPr="005F55F8">
        <w:rPr>
          <w:lang w:val="sk-SK" w:eastAsia="en-US"/>
        </w:rPr>
        <w:t>metformínu.</w:t>
      </w:r>
    </w:p>
    <w:p w14:paraId="561437F6" w14:textId="2DCD1E09" w:rsidR="00554C4D" w:rsidRPr="005F55F8" w:rsidRDefault="006B2615" w:rsidP="00F62A0B">
      <w:pPr>
        <w:pStyle w:val="SPCnormal"/>
        <w:numPr>
          <w:ilvl w:val="0"/>
          <w:numId w:val="34"/>
        </w:numPr>
        <w:tabs>
          <w:tab w:val="clear" w:pos="720"/>
          <w:tab w:val="num" w:pos="426"/>
        </w:tabs>
        <w:ind w:left="426" w:hanging="426"/>
        <w:rPr>
          <w:lang w:val="sk-SK" w:eastAsia="en-US"/>
        </w:rPr>
      </w:pPr>
      <w:r w:rsidRPr="005F55F8">
        <w:rPr>
          <w:lang w:val="sk-SK" w:eastAsia="en-US"/>
        </w:rPr>
        <w:t>inhibítormi OCT2 (ako je cimetidín, dolutegravir, ranolazín, trimetoprim, vandetanib, isavukonazol) môže znížiť renálne vylučovanie metformínu, čo vedie k zvýšenej koncentrácii metformínu v plazme.</w:t>
      </w:r>
    </w:p>
    <w:p w14:paraId="2169780A" w14:textId="03F79101" w:rsidR="00B54F88" w:rsidRPr="005F55F8" w:rsidRDefault="006B2615" w:rsidP="00F62A0B">
      <w:pPr>
        <w:pStyle w:val="SPCnormal"/>
        <w:numPr>
          <w:ilvl w:val="0"/>
          <w:numId w:val="34"/>
        </w:numPr>
        <w:tabs>
          <w:tab w:val="clear" w:pos="720"/>
          <w:tab w:val="num" w:pos="426"/>
        </w:tabs>
        <w:ind w:left="426" w:hanging="426"/>
        <w:rPr>
          <w:lang w:val="sk-SK" w:eastAsia="en-US"/>
        </w:rPr>
      </w:pPr>
      <w:r w:rsidRPr="00F62A0B">
        <w:rPr>
          <w:lang w:val="sk-SK"/>
        </w:rPr>
        <w:t xml:space="preserve">inhibítormi oboch OCT1 a OCT2 (ako </w:t>
      </w:r>
      <w:r w:rsidR="00915A81" w:rsidRPr="00F62A0B">
        <w:rPr>
          <w:lang w:val="sk-SK"/>
        </w:rPr>
        <w:t>k</w:t>
      </w:r>
      <w:r w:rsidRPr="00F62A0B">
        <w:rPr>
          <w:lang w:val="sk-SK"/>
        </w:rPr>
        <w:t xml:space="preserve">rizotinib, olaparib) môže ovplyvniť účinnosť a renálnu </w:t>
      </w:r>
      <w:r w:rsidRPr="005F55F8">
        <w:rPr>
          <w:lang w:val="sk-SK" w:eastAsia="en-US"/>
        </w:rPr>
        <w:t>elimináciu metformínu.</w:t>
      </w:r>
    </w:p>
    <w:p w14:paraId="1D7BFAD7" w14:textId="77777777" w:rsidR="00554C4D" w:rsidRPr="005F55F8" w:rsidRDefault="00554C4D" w:rsidP="00F62A0B">
      <w:pPr>
        <w:pStyle w:val="SPCnormal"/>
        <w:tabs>
          <w:tab w:val="num" w:pos="426"/>
        </w:tabs>
        <w:ind w:left="426" w:hanging="426"/>
        <w:rPr>
          <w:lang w:val="sk-SK" w:eastAsia="en-US"/>
        </w:rPr>
      </w:pPr>
    </w:p>
    <w:p w14:paraId="662EE99A" w14:textId="4B827F7F" w:rsidR="006B2615" w:rsidRPr="00554C4D" w:rsidRDefault="006B2615" w:rsidP="006B2615">
      <w:pPr>
        <w:pStyle w:val="SPCnormal"/>
        <w:rPr>
          <w:lang w:val="sk-SK" w:eastAsia="en-US"/>
        </w:rPr>
      </w:pPr>
      <w:r w:rsidRPr="00554C4D">
        <w:rPr>
          <w:lang w:val="sk-SK" w:eastAsia="en-US"/>
        </w:rPr>
        <w:t>Opatrnosť sa preto odporúča, a to najmä u pacientov s poruchou funkcie obličiek, ke</w:t>
      </w:r>
      <w:r w:rsidR="00B54F88" w:rsidRPr="00554C4D">
        <w:rPr>
          <w:lang w:val="sk-SK" w:eastAsia="en-US"/>
        </w:rPr>
        <w:t>ď</w:t>
      </w:r>
      <w:r w:rsidRPr="00554C4D">
        <w:rPr>
          <w:lang w:val="sk-SK" w:eastAsia="en-US"/>
        </w:rPr>
        <w:t xml:space="preserve"> </w:t>
      </w:r>
      <w:r w:rsidR="00B54F88" w:rsidRPr="00554C4D">
        <w:rPr>
          <w:lang w:val="sk-SK" w:eastAsia="en-US"/>
        </w:rPr>
        <w:t xml:space="preserve">sa </w:t>
      </w:r>
      <w:r w:rsidRPr="00554C4D">
        <w:rPr>
          <w:lang w:val="sk-SK" w:eastAsia="en-US"/>
        </w:rPr>
        <w:t xml:space="preserve">tieto lieky podávajú súbežne s metformínom, pretože koncentrácia metformínu v plazme sa môže zvýšiť. </w:t>
      </w:r>
    </w:p>
    <w:p w14:paraId="30C4AE36" w14:textId="77777777" w:rsidR="006B2615" w:rsidRPr="00554C4D" w:rsidRDefault="006B2615" w:rsidP="006B2615">
      <w:pPr>
        <w:pStyle w:val="SPCnormal"/>
        <w:rPr>
          <w:lang w:val="sk-SK" w:eastAsia="en-US"/>
        </w:rPr>
      </w:pPr>
      <w:r w:rsidRPr="00554C4D">
        <w:rPr>
          <w:lang w:val="sk-SK" w:eastAsia="en-US"/>
        </w:rPr>
        <w:t>Ak je to potrebné, môže sa zvážiť úprava dávky</w:t>
      </w:r>
      <w:r w:rsidR="00B54F88" w:rsidRPr="00554C4D">
        <w:rPr>
          <w:lang w:val="sk-SK" w:eastAsia="en-US"/>
        </w:rPr>
        <w:t xml:space="preserve"> metformínu</w:t>
      </w:r>
      <w:r w:rsidRPr="00554C4D">
        <w:rPr>
          <w:lang w:val="sk-SK" w:eastAsia="en-US"/>
        </w:rPr>
        <w:t>, nakoľko inhibítory</w:t>
      </w:r>
      <w:r w:rsidR="00B54F88" w:rsidRPr="00554C4D">
        <w:rPr>
          <w:lang w:val="sk-SK" w:eastAsia="en-US"/>
        </w:rPr>
        <w:t xml:space="preserve">/induktory </w:t>
      </w:r>
      <w:r w:rsidRPr="00554C4D">
        <w:rPr>
          <w:lang w:val="sk-SK" w:eastAsia="en-US"/>
        </w:rPr>
        <w:t>OCT môžu mať vplyv na účinnosť metformínu.</w:t>
      </w:r>
    </w:p>
    <w:p w14:paraId="045C0B5D" w14:textId="77777777" w:rsidR="006B2615" w:rsidRPr="00554C4D" w:rsidRDefault="006B2615">
      <w:pPr>
        <w:pStyle w:val="BodyText"/>
        <w:jc w:val="both"/>
        <w:rPr>
          <w:b/>
          <w:sz w:val="22"/>
        </w:rPr>
      </w:pPr>
    </w:p>
    <w:p w14:paraId="5A2C95AC" w14:textId="68620473" w:rsidR="00015CBC" w:rsidRPr="00554C4D" w:rsidRDefault="00015CBC">
      <w:pPr>
        <w:pStyle w:val="BodyText"/>
        <w:jc w:val="both"/>
        <w:rPr>
          <w:b/>
          <w:sz w:val="22"/>
        </w:rPr>
      </w:pPr>
      <w:r w:rsidRPr="00554C4D">
        <w:rPr>
          <w:b/>
          <w:sz w:val="22"/>
        </w:rPr>
        <w:t>4.6</w:t>
      </w:r>
      <w:r w:rsidR="00C72318" w:rsidRPr="00554C4D">
        <w:rPr>
          <w:b/>
          <w:sz w:val="22"/>
        </w:rPr>
        <w:tab/>
      </w:r>
      <w:r w:rsidRPr="00554C4D">
        <w:rPr>
          <w:b/>
          <w:sz w:val="22"/>
        </w:rPr>
        <w:t>Fertilita, gravidita a laktácia</w:t>
      </w:r>
    </w:p>
    <w:p w14:paraId="7B76CBBC" w14:textId="77777777" w:rsidR="00015CBC" w:rsidRPr="00554C4D" w:rsidRDefault="00015CBC">
      <w:pPr>
        <w:pStyle w:val="BodyText"/>
        <w:jc w:val="both"/>
        <w:rPr>
          <w:sz w:val="22"/>
        </w:rPr>
      </w:pPr>
    </w:p>
    <w:p w14:paraId="1772ECDA" w14:textId="77777777" w:rsidR="00015CBC" w:rsidRPr="00554C4D" w:rsidRDefault="00015CBC" w:rsidP="00225AFB">
      <w:pPr>
        <w:rPr>
          <w:noProof/>
          <w:sz w:val="22"/>
          <w:u w:val="single"/>
        </w:rPr>
      </w:pPr>
      <w:r w:rsidRPr="00554C4D">
        <w:rPr>
          <w:noProof/>
          <w:sz w:val="22"/>
          <w:u w:val="single"/>
        </w:rPr>
        <w:t>Gravidita</w:t>
      </w:r>
    </w:p>
    <w:p w14:paraId="144E81CE" w14:textId="3DDF9E39" w:rsidR="008E6937" w:rsidRPr="00F62A0B" w:rsidRDefault="008E6937" w:rsidP="008E6937">
      <w:pPr>
        <w:rPr>
          <w:sz w:val="22"/>
          <w:szCs w:val="22"/>
        </w:rPr>
      </w:pPr>
      <w:bookmarkStart w:id="1" w:name="_Hlk95557690"/>
      <w:r w:rsidRPr="00F62A0B">
        <w:rPr>
          <w:noProof/>
          <w:sz w:val="22"/>
          <w:szCs w:val="22"/>
        </w:rPr>
        <w:t>Nekontrolovaná hyperglykémia v perikoncepčnej fáze a počas gravidity je spojená so zvýšeným rizikom kongenitálnych abnormalít, potratom, hypertenziou navodenou graviditou, preeklampsiou a perinatálnou mortalitou.</w:t>
      </w:r>
      <w:r w:rsidR="00B65B84">
        <w:rPr>
          <w:sz w:val="22"/>
          <w:szCs w:val="22"/>
        </w:rPr>
        <w:t xml:space="preserve"> </w:t>
      </w:r>
      <w:r w:rsidRPr="00F62A0B">
        <w:rPr>
          <w:sz w:val="22"/>
          <w:szCs w:val="22"/>
        </w:rPr>
        <w:t>Počas tehotenstva je dôležité udržiavať hladiny glukózy v krvi čo najbližšie k</w:t>
      </w:r>
      <w:r w:rsidR="004734B4">
        <w:rPr>
          <w:sz w:val="22"/>
          <w:szCs w:val="22"/>
        </w:rPr>
        <w:t> </w:t>
      </w:r>
      <w:r w:rsidRPr="00F62A0B">
        <w:rPr>
          <w:sz w:val="22"/>
          <w:szCs w:val="22"/>
        </w:rPr>
        <w:t>normál</w:t>
      </w:r>
      <w:r w:rsidR="00930FA2">
        <w:rPr>
          <w:sz w:val="22"/>
          <w:szCs w:val="22"/>
        </w:rPr>
        <w:t>nej</w:t>
      </w:r>
      <w:r w:rsidR="004734B4">
        <w:rPr>
          <w:sz w:val="22"/>
          <w:szCs w:val="22"/>
        </w:rPr>
        <w:t xml:space="preserve"> hladin</w:t>
      </w:r>
      <w:r w:rsidR="00930FA2">
        <w:rPr>
          <w:sz w:val="22"/>
          <w:szCs w:val="22"/>
        </w:rPr>
        <w:t>e</w:t>
      </w:r>
      <w:r w:rsidRPr="00F62A0B">
        <w:rPr>
          <w:sz w:val="22"/>
          <w:szCs w:val="22"/>
        </w:rPr>
        <w:t>, aby sa znížilo riziko nežiaducich následkov súvisiacich s hyperglykémiou pre matku a jej dieťa.</w:t>
      </w:r>
    </w:p>
    <w:p w14:paraId="19D35D0C" w14:textId="77777777" w:rsidR="004734B4" w:rsidRDefault="004734B4" w:rsidP="008E6937">
      <w:pPr>
        <w:rPr>
          <w:sz w:val="22"/>
          <w:szCs w:val="22"/>
        </w:rPr>
      </w:pPr>
    </w:p>
    <w:p w14:paraId="22D6681F" w14:textId="77777777" w:rsidR="008E6937" w:rsidRDefault="008E6937" w:rsidP="008E6937">
      <w:pPr>
        <w:rPr>
          <w:sz w:val="22"/>
          <w:szCs w:val="22"/>
        </w:rPr>
      </w:pPr>
      <w:r w:rsidRPr="00F62A0B">
        <w:rPr>
          <w:sz w:val="22"/>
          <w:szCs w:val="22"/>
        </w:rPr>
        <w:t>Metformín prechádza placentou a dosahuje hladiny, ktoré môžu byť také vysoké ako sú koncentrácie u matky.</w:t>
      </w:r>
    </w:p>
    <w:p w14:paraId="4BA30E84" w14:textId="77777777" w:rsidR="004734B4" w:rsidRPr="00F62A0B" w:rsidRDefault="004734B4" w:rsidP="008E6937">
      <w:pPr>
        <w:rPr>
          <w:sz w:val="22"/>
          <w:szCs w:val="22"/>
        </w:rPr>
      </w:pPr>
    </w:p>
    <w:p w14:paraId="42A84D2F" w14:textId="46C5D08A" w:rsidR="008E6937" w:rsidRDefault="008E6937" w:rsidP="008E6937">
      <w:pPr>
        <w:keepNext/>
        <w:keepLines/>
        <w:autoSpaceDE w:val="0"/>
        <w:autoSpaceDN w:val="0"/>
        <w:adjustRightInd w:val="0"/>
        <w:jc w:val="both"/>
        <w:rPr>
          <w:sz w:val="22"/>
          <w:szCs w:val="22"/>
          <w:lang w:eastAsia="fr-FR"/>
        </w:rPr>
      </w:pPr>
      <w:bookmarkStart w:id="2" w:name="_Hlk60654153"/>
      <w:r w:rsidRPr="00F62A0B">
        <w:rPr>
          <w:sz w:val="22"/>
          <w:szCs w:val="22"/>
          <w:lang w:eastAsia="fr-FR"/>
        </w:rPr>
        <w:t>Veľké množstvo údajov u tehotných žien (viac ako 1 000 výsledkov expozície) z kohortovej štúdie založenej na registr</w:t>
      </w:r>
      <w:r w:rsidR="004734B4">
        <w:rPr>
          <w:sz w:val="22"/>
          <w:szCs w:val="22"/>
          <w:lang w:eastAsia="fr-FR"/>
        </w:rPr>
        <w:t>i</w:t>
      </w:r>
      <w:r w:rsidRPr="00F62A0B">
        <w:rPr>
          <w:sz w:val="22"/>
          <w:szCs w:val="22"/>
          <w:lang w:eastAsia="fr-FR"/>
        </w:rPr>
        <w:t xml:space="preserve"> a z publikovaných údajov (metaanalýzy, klinické štúdie a registre) nenaznačuje žiadne zvýšené riziko vrodených abnormalít ani fetálnej/neonatálnej toxicity po expozícii metformínom v perikoncepčnej fáze a/alebo počas tehotenstva.</w:t>
      </w:r>
    </w:p>
    <w:p w14:paraId="4970CD85" w14:textId="77777777" w:rsidR="004734B4" w:rsidRPr="00F62A0B" w:rsidRDefault="004734B4" w:rsidP="008E6937">
      <w:pPr>
        <w:keepNext/>
        <w:keepLines/>
        <w:autoSpaceDE w:val="0"/>
        <w:autoSpaceDN w:val="0"/>
        <w:adjustRightInd w:val="0"/>
        <w:jc w:val="both"/>
        <w:rPr>
          <w:sz w:val="22"/>
          <w:szCs w:val="22"/>
          <w:lang w:eastAsia="fr-FR"/>
        </w:rPr>
      </w:pPr>
    </w:p>
    <w:bookmarkEnd w:id="2"/>
    <w:p w14:paraId="58610170" w14:textId="77777777" w:rsidR="004734B4" w:rsidRDefault="008E6937" w:rsidP="008E6937">
      <w:pPr>
        <w:rPr>
          <w:sz w:val="22"/>
          <w:szCs w:val="22"/>
          <w:lang w:eastAsia="fr-FR"/>
        </w:rPr>
      </w:pPr>
      <w:r w:rsidRPr="00F62A0B">
        <w:rPr>
          <w:sz w:val="22"/>
          <w:szCs w:val="22"/>
          <w:lang w:eastAsia="fr-FR"/>
        </w:rPr>
        <w:t xml:space="preserve">Existujú obmedzené a nepresvedčivé dôkazy o účinku metformínu počas gravidity na dlhodobý výsledok telesnej hmotnosti detí. Zdá sa, že metformín neovplyvňuje motorický a sociálny vývoj do 4 rokov u detí exponovaných počas tehotenstva, hoci údaje o dlhodobých výsledkoch sú obmedzené. </w:t>
      </w:r>
    </w:p>
    <w:p w14:paraId="1B2297DD" w14:textId="77777777" w:rsidR="004734B4" w:rsidRDefault="004734B4" w:rsidP="008E6937">
      <w:pPr>
        <w:rPr>
          <w:sz w:val="22"/>
          <w:szCs w:val="22"/>
          <w:lang w:eastAsia="fr-FR"/>
        </w:rPr>
      </w:pPr>
    </w:p>
    <w:p w14:paraId="6DDD9B96" w14:textId="1C80FACF" w:rsidR="008E6937" w:rsidRPr="00F62A0B" w:rsidRDefault="008E6937" w:rsidP="008E6937">
      <w:pPr>
        <w:rPr>
          <w:sz w:val="22"/>
          <w:szCs w:val="22"/>
          <w:lang w:eastAsia="fr-FR"/>
        </w:rPr>
      </w:pPr>
      <w:r w:rsidRPr="00F62A0B">
        <w:rPr>
          <w:sz w:val="22"/>
          <w:szCs w:val="22"/>
          <w:lang w:eastAsia="fr-FR"/>
        </w:rPr>
        <w:t>Ak je to klinicky potrebné, môže sa zvážiť použitie metformínu počas gravidity a v perikoncepčnej fáze ako pridanie alebo alternatíva k inzulínu.</w:t>
      </w:r>
    </w:p>
    <w:p w14:paraId="30DBCEE2" w14:textId="77777777" w:rsidR="008E6937" w:rsidRPr="00F62A0B" w:rsidRDefault="008E6937" w:rsidP="008E6937">
      <w:pPr>
        <w:rPr>
          <w:sz w:val="22"/>
          <w:szCs w:val="22"/>
          <w:lang w:eastAsia="fr-FR"/>
        </w:rPr>
      </w:pPr>
    </w:p>
    <w:bookmarkEnd w:id="1"/>
    <w:p w14:paraId="26838631" w14:textId="77777777" w:rsidR="00015CBC" w:rsidRPr="00554C4D" w:rsidRDefault="00BB2747" w:rsidP="00DF19BC">
      <w:pPr>
        <w:pStyle w:val="BodyText"/>
        <w:rPr>
          <w:sz w:val="22"/>
          <w:u w:val="single"/>
        </w:rPr>
      </w:pPr>
      <w:r w:rsidRPr="00554C4D">
        <w:rPr>
          <w:sz w:val="22"/>
          <w:u w:val="single"/>
        </w:rPr>
        <w:t>Dojčenie</w:t>
      </w:r>
    </w:p>
    <w:p w14:paraId="1EBFCD6F" w14:textId="77777777" w:rsidR="00015CBC" w:rsidRPr="00554C4D" w:rsidRDefault="00015CBC">
      <w:pPr>
        <w:rPr>
          <w:sz w:val="22"/>
        </w:rPr>
      </w:pPr>
      <w:r w:rsidRPr="00554C4D">
        <w:rPr>
          <w:sz w:val="22"/>
        </w:rPr>
        <w:t>Metformín sa vylučuje do materského mlieka. Neboli pozorované žiadne nežiaduce účinky u dojčených novorodencov/detí. Keďže je dostupné limitované množstvo údajov, dojčenie počas liečby metformínom sa neodporúča. Pri rozhodovaní</w:t>
      </w:r>
      <w:r w:rsidR="00550F91" w:rsidRPr="00554C4D">
        <w:rPr>
          <w:sz w:val="22"/>
        </w:rPr>
        <w:t>,</w:t>
      </w:r>
      <w:r w:rsidRPr="00554C4D">
        <w:rPr>
          <w:sz w:val="22"/>
        </w:rPr>
        <w:t xml:space="preserve"> či prerušiť dojčenie</w:t>
      </w:r>
      <w:r w:rsidR="00550F91" w:rsidRPr="00554C4D">
        <w:rPr>
          <w:sz w:val="22"/>
        </w:rPr>
        <w:t>,</w:t>
      </w:r>
      <w:r w:rsidRPr="00554C4D">
        <w:rPr>
          <w:sz w:val="22"/>
        </w:rPr>
        <w:t xml:space="preserve"> je potrebné zohľadniť prínos dojčenia a možné riziko nežiaduceho účinku na dieťa.</w:t>
      </w:r>
    </w:p>
    <w:p w14:paraId="3F38E7AD" w14:textId="77777777" w:rsidR="00B54F88" w:rsidRPr="00554C4D" w:rsidRDefault="00B54F88" w:rsidP="00E64AEB">
      <w:pPr>
        <w:rPr>
          <w:sz w:val="22"/>
          <w:u w:val="single"/>
        </w:rPr>
      </w:pPr>
    </w:p>
    <w:p w14:paraId="051CB536" w14:textId="77777777" w:rsidR="00015CBC" w:rsidRPr="00554C4D" w:rsidRDefault="00015CBC" w:rsidP="00E64AEB">
      <w:pPr>
        <w:rPr>
          <w:sz w:val="22"/>
          <w:u w:val="single"/>
        </w:rPr>
      </w:pPr>
      <w:r w:rsidRPr="00554C4D">
        <w:rPr>
          <w:sz w:val="22"/>
          <w:u w:val="single"/>
        </w:rPr>
        <w:t>Fertilita</w:t>
      </w:r>
    </w:p>
    <w:p w14:paraId="39609888" w14:textId="77777777" w:rsidR="00E64AEB" w:rsidRPr="00554C4D" w:rsidRDefault="00164E64" w:rsidP="00E64AEB">
      <w:pPr>
        <w:rPr>
          <w:sz w:val="22"/>
        </w:rPr>
      </w:pPr>
      <w:r w:rsidRPr="00554C4D">
        <w:rPr>
          <w:sz w:val="22"/>
          <w:szCs w:val="22"/>
        </w:rPr>
        <w:t>Podávanie metformínu potkanom</w:t>
      </w:r>
      <w:r w:rsidR="00015CBC" w:rsidRPr="00554C4D">
        <w:rPr>
          <w:sz w:val="22"/>
        </w:rPr>
        <w:t xml:space="preserve"> </w:t>
      </w:r>
      <w:r w:rsidR="00E64AEB" w:rsidRPr="00554C4D">
        <w:rPr>
          <w:sz w:val="22"/>
        </w:rPr>
        <w:t xml:space="preserve">v dávkach vyšších ako 600 mg/kg/deň, ktoré sú približne trikrát vyššie ako je maximálna odporúčaná denná dávka pre ľudí na základe plochy povrchu tela, </w:t>
      </w:r>
      <w:r w:rsidR="00015CBC" w:rsidRPr="00554C4D">
        <w:rPr>
          <w:sz w:val="22"/>
        </w:rPr>
        <w:t>ne</w:t>
      </w:r>
      <w:r w:rsidR="00E64AEB" w:rsidRPr="00554C4D">
        <w:rPr>
          <w:sz w:val="22"/>
        </w:rPr>
        <w:t xml:space="preserve">malo žiaden </w:t>
      </w:r>
      <w:r w:rsidR="00015CBC" w:rsidRPr="00554C4D">
        <w:rPr>
          <w:sz w:val="22"/>
        </w:rPr>
        <w:t>negatívny vplyv na fertilitu</w:t>
      </w:r>
      <w:r w:rsidR="00AA7F1D" w:rsidRPr="00554C4D">
        <w:rPr>
          <w:sz w:val="22"/>
        </w:rPr>
        <w:t>.</w:t>
      </w:r>
      <w:r w:rsidR="00015CBC" w:rsidRPr="00554C4D">
        <w:rPr>
          <w:sz w:val="22"/>
        </w:rPr>
        <w:t xml:space="preserve"> </w:t>
      </w:r>
    </w:p>
    <w:p w14:paraId="49C870EC" w14:textId="77777777" w:rsidR="00015CBC" w:rsidRPr="00554C4D" w:rsidRDefault="00015CBC" w:rsidP="00E64AEB">
      <w:pPr>
        <w:rPr>
          <w:sz w:val="22"/>
        </w:rPr>
      </w:pPr>
    </w:p>
    <w:p w14:paraId="29A0ED92" w14:textId="3D5C1B07" w:rsidR="00015CBC" w:rsidRPr="00554C4D" w:rsidRDefault="00015CBC">
      <w:pPr>
        <w:pStyle w:val="BodyText"/>
        <w:jc w:val="both"/>
        <w:rPr>
          <w:b/>
          <w:sz w:val="22"/>
        </w:rPr>
      </w:pPr>
      <w:r w:rsidRPr="00554C4D">
        <w:rPr>
          <w:b/>
          <w:sz w:val="22"/>
        </w:rPr>
        <w:t>4.7</w:t>
      </w:r>
      <w:r w:rsidR="00584272" w:rsidRPr="00554C4D">
        <w:rPr>
          <w:b/>
          <w:sz w:val="22"/>
        </w:rPr>
        <w:tab/>
      </w:r>
      <w:r w:rsidRPr="00554C4D">
        <w:rPr>
          <w:b/>
          <w:sz w:val="22"/>
        </w:rPr>
        <w:t>Ovplyvnenie schopnosti viesť vozidlá a obsluhovať stroje</w:t>
      </w:r>
    </w:p>
    <w:p w14:paraId="1DC6B9BB" w14:textId="77777777" w:rsidR="00225AFB" w:rsidRPr="00554C4D" w:rsidRDefault="00225AFB">
      <w:pPr>
        <w:pStyle w:val="BodyText"/>
        <w:jc w:val="both"/>
        <w:rPr>
          <w:b/>
          <w:sz w:val="22"/>
        </w:rPr>
      </w:pPr>
    </w:p>
    <w:p w14:paraId="6BCFFD8B" w14:textId="77777777" w:rsidR="00E64AEB" w:rsidRPr="00554C4D" w:rsidRDefault="00E64AEB" w:rsidP="00E64AEB">
      <w:pPr>
        <w:jc w:val="both"/>
        <w:rPr>
          <w:sz w:val="22"/>
          <w:szCs w:val="22"/>
        </w:rPr>
      </w:pPr>
      <w:r w:rsidRPr="00554C4D">
        <w:rPr>
          <w:sz w:val="22"/>
          <w:szCs w:val="22"/>
        </w:rPr>
        <w:t>Monoterapia metformínom nespôsobuje hypoglykémiu a teda nemá vplyv na schopnosť viesť vozidlá a obsluhovať stroje. Pacientov je však potrebné upozorniť na riziko hypoglykémie pri užívaní metformínu v kombinácii s inými antidiabetickými liekmi (napr. sulfonylurey, inzulín alebo meglitinidy).</w:t>
      </w:r>
    </w:p>
    <w:p w14:paraId="253EA9B2" w14:textId="77777777" w:rsidR="00E64AEB" w:rsidRPr="00554C4D" w:rsidRDefault="00E64AEB" w:rsidP="00E64AEB">
      <w:pPr>
        <w:jc w:val="both"/>
        <w:rPr>
          <w:sz w:val="22"/>
          <w:szCs w:val="22"/>
        </w:rPr>
      </w:pPr>
    </w:p>
    <w:p w14:paraId="7000D03A" w14:textId="1185C186" w:rsidR="00015CBC" w:rsidRPr="00554C4D" w:rsidRDefault="00015CBC">
      <w:pPr>
        <w:pStyle w:val="BodyText"/>
        <w:jc w:val="both"/>
        <w:rPr>
          <w:b/>
          <w:sz w:val="22"/>
        </w:rPr>
      </w:pPr>
      <w:r w:rsidRPr="00554C4D">
        <w:rPr>
          <w:b/>
          <w:sz w:val="22"/>
        </w:rPr>
        <w:t>4.8</w:t>
      </w:r>
      <w:r w:rsidR="00584272" w:rsidRPr="00554C4D">
        <w:rPr>
          <w:b/>
          <w:sz w:val="22"/>
        </w:rPr>
        <w:tab/>
      </w:r>
      <w:r w:rsidRPr="00554C4D">
        <w:rPr>
          <w:b/>
          <w:sz w:val="22"/>
        </w:rPr>
        <w:t>Nežiaduce účinky</w:t>
      </w:r>
    </w:p>
    <w:p w14:paraId="6A41349C" w14:textId="77777777" w:rsidR="00015CBC" w:rsidRPr="00554C4D" w:rsidRDefault="00015CBC">
      <w:pPr>
        <w:ind w:left="1800" w:hanging="1800"/>
        <w:rPr>
          <w:sz w:val="22"/>
        </w:rPr>
      </w:pPr>
    </w:p>
    <w:p w14:paraId="628C221B" w14:textId="77777777" w:rsidR="00015CBC" w:rsidRPr="00554C4D" w:rsidRDefault="00C75488" w:rsidP="00C75488">
      <w:pPr>
        <w:jc w:val="both"/>
        <w:rPr>
          <w:sz w:val="22"/>
        </w:rPr>
      </w:pPr>
      <w:r w:rsidRPr="00554C4D">
        <w:rPr>
          <w:sz w:val="22"/>
        </w:rPr>
        <w:t xml:space="preserve">Na začiatku liečby </w:t>
      </w:r>
      <w:r w:rsidR="00015CBC" w:rsidRPr="00554C4D">
        <w:rPr>
          <w:sz w:val="22"/>
        </w:rPr>
        <w:t xml:space="preserve">sú najčastejšími </w:t>
      </w:r>
      <w:r w:rsidR="00AA7F1D" w:rsidRPr="00554C4D">
        <w:rPr>
          <w:sz w:val="22"/>
        </w:rPr>
        <w:t xml:space="preserve">nežiaducimi </w:t>
      </w:r>
      <w:r w:rsidR="00015CBC" w:rsidRPr="00554C4D">
        <w:rPr>
          <w:sz w:val="22"/>
        </w:rPr>
        <w:t>účinkami nauzea, vracanie, hnačka, bole</w:t>
      </w:r>
      <w:r w:rsidRPr="00554C4D">
        <w:rPr>
          <w:sz w:val="22"/>
        </w:rPr>
        <w:t>s</w:t>
      </w:r>
      <w:r w:rsidR="00015CBC" w:rsidRPr="00554C4D">
        <w:rPr>
          <w:sz w:val="22"/>
        </w:rPr>
        <w:t xml:space="preserve">ť brucha a strata chuti do jedla, ktoré vo väčšine prípadov spontánne ustúpia. Na zabránenie ich vzniku sa odporúča </w:t>
      </w:r>
      <w:r w:rsidRPr="00554C4D">
        <w:rPr>
          <w:sz w:val="22"/>
        </w:rPr>
        <w:t>pomalé zvyšovanie dávok.</w:t>
      </w:r>
    </w:p>
    <w:p w14:paraId="3505530E" w14:textId="77777777" w:rsidR="00C75488" w:rsidRPr="00554C4D" w:rsidRDefault="00C75488" w:rsidP="00C75488">
      <w:pPr>
        <w:ind w:left="1800" w:hanging="1800"/>
        <w:rPr>
          <w:sz w:val="22"/>
        </w:rPr>
      </w:pPr>
      <w:r w:rsidRPr="00554C4D">
        <w:rPr>
          <w:sz w:val="22"/>
        </w:rPr>
        <w:t>Pri liečbe metformínom sa m</w:t>
      </w:r>
      <w:r w:rsidR="00015CBC" w:rsidRPr="00554C4D">
        <w:rPr>
          <w:sz w:val="22"/>
        </w:rPr>
        <w:t xml:space="preserve">ôžu vyskytnúť </w:t>
      </w:r>
      <w:r w:rsidRPr="00554C4D">
        <w:rPr>
          <w:sz w:val="22"/>
        </w:rPr>
        <w:t xml:space="preserve">nasledujúce </w:t>
      </w:r>
      <w:r w:rsidR="00015CBC" w:rsidRPr="00554C4D">
        <w:rPr>
          <w:sz w:val="22"/>
        </w:rPr>
        <w:t xml:space="preserve">nežiaduce účinky. </w:t>
      </w:r>
    </w:p>
    <w:p w14:paraId="2850137C" w14:textId="77777777" w:rsidR="00015CBC" w:rsidRPr="00554C4D" w:rsidRDefault="00015CBC" w:rsidP="00C75488">
      <w:pPr>
        <w:ind w:left="1800" w:hanging="1800"/>
        <w:rPr>
          <w:sz w:val="22"/>
        </w:rPr>
      </w:pPr>
      <w:r w:rsidRPr="00554C4D">
        <w:rPr>
          <w:sz w:val="22"/>
        </w:rPr>
        <w:t xml:space="preserve">Frekvencia </w:t>
      </w:r>
      <w:r w:rsidR="00C75488" w:rsidRPr="00554C4D">
        <w:rPr>
          <w:sz w:val="22"/>
        </w:rPr>
        <w:t xml:space="preserve">výskytu </w:t>
      </w:r>
      <w:r w:rsidRPr="00554C4D">
        <w:rPr>
          <w:sz w:val="22"/>
        </w:rPr>
        <w:t>je definovaná nasledovne:</w:t>
      </w:r>
    </w:p>
    <w:p w14:paraId="230835E5" w14:textId="77777777" w:rsidR="00C75488" w:rsidRPr="00554C4D" w:rsidRDefault="00015CBC">
      <w:pPr>
        <w:ind w:left="1800" w:hanging="1800"/>
        <w:rPr>
          <w:sz w:val="22"/>
        </w:rPr>
      </w:pPr>
      <w:r w:rsidRPr="00554C4D">
        <w:rPr>
          <w:sz w:val="22"/>
        </w:rPr>
        <w:t>Veľmi časté (≥</w:t>
      </w:r>
      <w:r w:rsidR="00BC299D" w:rsidRPr="00554C4D">
        <w:rPr>
          <w:sz w:val="22"/>
        </w:rPr>
        <w:t xml:space="preserve"> </w:t>
      </w:r>
      <w:r w:rsidRPr="00554C4D">
        <w:rPr>
          <w:sz w:val="22"/>
        </w:rPr>
        <w:t>1/10), časté (≥</w:t>
      </w:r>
      <w:r w:rsidR="00BC299D" w:rsidRPr="00554C4D">
        <w:rPr>
          <w:sz w:val="22"/>
        </w:rPr>
        <w:t xml:space="preserve"> </w:t>
      </w:r>
      <w:r w:rsidRPr="00554C4D">
        <w:rPr>
          <w:sz w:val="22"/>
        </w:rPr>
        <w:t>1/100 až &lt;</w:t>
      </w:r>
      <w:r w:rsidR="00BC299D" w:rsidRPr="00554C4D">
        <w:rPr>
          <w:sz w:val="22"/>
        </w:rPr>
        <w:t xml:space="preserve"> </w:t>
      </w:r>
      <w:r w:rsidRPr="00554C4D">
        <w:rPr>
          <w:sz w:val="22"/>
        </w:rPr>
        <w:t>1/10), menej časté (≥</w:t>
      </w:r>
      <w:r w:rsidR="00BC299D" w:rsidRPr="00554C4D">
        <w:rPr>
          <w:sz w:val="22"/>
        </w:rPr>
        <w:t xml:space="preserve"> </w:t>
      </w:r>
      <w:r w:rsidRPr="00554C4D">
        <w:rPr>
          <w:sz w:val="22"/>
        </w:rPr>
        <w:t>1/1000 až &lt;</w:t>
      </w:r>
      <w:r w:rsidR="00BC299D" w:rsidRPr="00554C4D">
        <w:rPr>
          <w:sz w:val="22"/>
        </w:rPr>
        <w:t xml:space="preserve"> </w:t>
      </w:r>
      <w:r w:rsidRPr="00554C4D">
        <w:rPr>
          <w:sz w:val="22"/>
        </w:rPr>
        <w:t xml:space="preserve">1/100), zriedkavé </w:t>
      </w:r>
    </w:p>
    <w:p w14:paraId="0D084E5D" w14:textId="77777777" w:rsidR="00015CBC" w:rsidRPr="00554C4D" w:rsidRDefault="00015CBC">
      <w:pPr>
        <w:ind w:left="1800" w:hanging="1800"/>
        <w:rPr>
          <w:sz w:val="22"/>
        </w:rPr>
      </w:pPr>
      <w:r w:rsidRPr="00554C4D">
        <w:rPr>
          <w:sz w:val="22"/>
        </w:rPr>
        <w:t>(</w:t>
      </w:r>
      <w:r w:rsidR="004C1A77" w:rsidRPr="00554C4D">
        <w:rPr>
          <w:sz w:val="22"/>
          <w:szCs w:val="22"/>
        </w:rPr>
        <w:t>≥</w:t>
      </w:r>
      <w:r w:rsidRPr="00554C4D">
        <w:rPr>
          <w:sz w:val="22"/>
        </w:rPr>
        <w:t>1/10 000 až &lt;</w:t>
      </w:r>
      <w:r w:rsidR="00BC299D" w:rsidRPr="00554C4D">
        <w:rPr>
          <w:sz w:val="22"/>
        </w:rPr>
        <w:t xml:space="preserve"> </w:t>
      </w:r>
      <w:r w:rsidRPr="00554C4D">
        <w:rPr>
          <w:sz w:val="22"/>
        </w:rPr>
        <w:t>1/1000), veľmi zriedkavé (&lt;</w:t>
      </w:r>
      <w:r w:rsidR="00BC299D" w:rsidRPr="00554C4D">
        <w:rPr>
          <w:sz w:val="22"/>
        </w:rPr>
        <w:t xml:space="preserve"> </w:t>
      </w:r>
      <w:r w:rsidRPr="00554C4D">
        <w:rPr>
          <w:sz w:val="22"/>
        </w:rPr>
        <w:t>1/10 000 ).</w:t>
      </w:r>
    </w:p>
    <w:p w14:paraId="12B2F3CB" w14:textId="77777777" w:rsidR="00C75488" w:rsidRPr="00554C4D" w:rsidRDefault="00C75488" w:rsidP="00C75488">
      <w:pPr>
        <w:rPr>
          <w:sz w:val="22"/>
          <w:szCs w:val="22"/>
        </w:rPr>
      </w:pPr>
      <w:r w:rsidRPr="00554C4D">
        <w:rPr>
          <w:sz w:val="22"/>
          <w:szCs w:val="22"/>
        </w:rPr>
        <w:t xml:space="preserve">V rámci jednotlivých skupín frekvencií sú nežiaduce účinky usporiadané v poradí klesajúcej </w:t>
      </w:r>
    </w:p>
    <w:p w14:paraId="763F7A73" w14:textId="77777777" w:rsidR="00C75488" w:rsidRPr="00554C4D" w:rsidRDefault="00C75488" w:rsidP="00C75488">
      <w:pPr>
        <w:ind w:left="1942" w:hanging="1942"/>
        <w:rPr>
          <w:sz w:val="22"/>
          <w:szCs w:val="22"/>
        </w:rPr>
      </w:pPr>
      <w:r w:rsidRPr="00554C4D">
        <w:rPr>
          <w:sz w:val="22"/>
          <w:szCs w:val="22"/>
        </w:rPr>
        <w:t>závažnosti.</w:t>
      </w:r>
    </w:p>
    <w:p w14:paraId="7C498775" w14:textId="77777777" w:rsidR="00775EA3" w:rsidRPr="00554C4D" w:rsidRDefault="00775EA3" w:rsidP="00C75488">
      <w:pPr>
        <w:ind w:left="1942" w:hanging="1942"/>
        <w:rPr>
          <w:sz w:val="22"/>
          <w:szCs w:val="22"/>
        </w:rPr>
      </w:pPr>
    </w:p>
    <w:p w14:paraId="2BDE931C" w14:textId="7C4DC984" w:rsidR="00FA2004" w:rsidRDefault="00FA2004" w:rsidP="00D31B51">
      <w:pPr>
        <w:rPr>
          <w:bCs/>
          <w:sz w:val="22"/>
          <w:u w:val="single"/>
        </w:rPr>
      </w:pPr>
      <w:r w:rsidRPr="00554C4D">
        <w:rPr>
          <w:bCs/>
          <w:sz w:val="22"/>
          <w:u w:val="single"/>
        </w:rPr>
        <w:t>Poruchy metabolizmu a výživy</w:t>
      </w:r>
      <w:r w:rsidRPr="00554C4D">
        <w:rPr>
          <w:bCs/>
          <w:sz w:val="22"/>
          <w:u w:val="single"/>
        </w:rPr>
        <w:tab/>
      </w:r>
    </w:p>
    <w:p w14:paraId="5322F242" w14:textId="77777777" w:rsidR="00930FA2" w:rsidRPr="00F62A0B" w:rsidRDefault="00930FA2" w:rsidP="00F62A0B">
      <w:pPr>
        <w:pStyle w:val="ListParagraph"/>
        <w:numPr>
          <w:ilvl w:val="0"/>
          <w:numId w:val="39"/>
        </w:numPr>
        <w:rPr>
          <w:sz w:val="22"/>
          <w:szCs w:val="22"/>
        </w:rPr>
      </w:pPr>
      <w:bookmarkStart w:id="3" w:name="_Hlk98752608"/>
      <w:r w:rsidRPr="00F62A0B">
        <w:rPr>
          <w:i/>
          <w:iCs/>
          <w:sz w:val="22"/>
          <w:szCs w:val="22"/>
        </w:rPr>
        <w:t>Časté:</w:t>
      </w:r>
      <w:r w:rsidRPr="00F62A0B">
        <w:rPr>
          <w:sz w:val="22"/>
          <w:szCs w:val="22"/>
        </w:rPr>
        <w:t xml:space="preserve"> zníženie/nedostatok vitamínu B12 (pozri časť 4.4).</w:t>
      </w:r>
    </w:p>
    <w:bookmarkEnd w:id="3"/>
    <w:p w14:paraId="14BE598A" w14:textId="164E1CF1" w:rsidR="00FA2004" w:rsidRDefault="00FA2004" w:rsidP="00D31B51">
      <w:pPr>
        <w:numPr>
          <w:ilvl w:val="0"/>
          <w:numId w:val="30"/>
        </w:numPr>
        <w:jc w:val="both"/>
        <w:rPr>
          <w:sz w:val="22"/>
          <w:szCs w:val="22"/>
        </w:rPr>
      </w:pPr>
      <w:r w:rsidRPr="00554C4D">
        <w:rPr>
          <w:i/>
          <w:iCs/>
          <w:sz w:val="22"/>
          <w:szCs w:val="22"/>
        </w:rPr>
        <w:t>Veľmi zriedkavé:</w:t>
      </w:r>
      <w:r w:rsidRPr="00554C4D">
        <w:rPr>
          <w:sz w:val="22"/>
          <w:szCs w:val="22"/>
        </w:rPr>
        <w:t xml:space="preserve"> laktátová acidóza (pozri časť 4.4).</w:t>
      </w:r>
    </w:p>
    <w:p w14:paraId="4DB9166D" w14:textId="77777777" w:rsidR="00930FA2" w:rsidRPr="00554C4D" w:rsidRDefault="00930FA2" w:rsidP="00F62A0B">
      <w:pPr>
        <w:ind w:left="720"/>
        <w:jc w:val="both"/>
        <w:rPr>
          <w:sz w:val="22"/>
          <w:szCs w:val="22"/>
        </w:rPr>
      </w:pPr>
    </w:p>
    <w:p w14:paraId="15DE4DB9" w14:textId="77777777" w:rsidR="00015CBC" w:rsidRPr="00554C4D" w:rsidRDefault="00015CBC" w:rsidP="00FA2004">
      <w:pPr>
        <w:rPr>
          <w:bCs/>
          <w:sz w:val="22"/>
          <w:u w:val="single"/>
        </w:rPr>
      </w:pPr>
      <w:r w:rsidRPr="00554C4D">
        <w:rPr>
          <w:bCs/>
          <w:sz w:val="22"/>
          <w:u w:val="single"/>
        </w:rPr>
        <w:t>Poruchy nervového systému</w:t>
      </w:r>
    </w:p>
    <w:p w14:paraId="0C585FB1" w14:textId="77777777" w:rsidR="00015CBC" w:rsidRPr="00554C4D" w:rsidRDefault="00015CBC" w:rsidP="00D31B51">
      <w:pPr>
        <w:numPr>
          <w:ilvl w:val="0"/>
          <w:numId w:val="31"/>
        </w:numPr>
        <w:rPr>
          <w:sz w:val="22"/>
        </w:rPr>
      </w:pPr>
      <w:r w:rsidRPr="00554C4D">
        <w:rPr>
          <w:i/>
          <w:iCs/>
          <w:sz w:val="22"/>
        </w:rPr>
        <w:t xml:space="preserve">Časté: </w:t>
      </w:r>
      <w:r w:rsidR="00FA2004" w:rsidRPr="00554C4D">
        <w:rPr>
          <w:sz w:val="22"/>
        </w:rPr>
        <w:t xml:space="preserve">porucha </w:t>
      </w:r>
      <w:r w:rsidRPr="00554C4D">
        <w:rPr>
          <w:sz w:val="22"/>
        </w:rPr>
        <w:t>chuti</w:t>
      </w:r>
      <w:r w:rsidR="00FA2004" w:rsidRPr="00554C4D">
        <w:rPr>
          <w:sz w:val="22"/>
        </w:rPr>
        <w:t>.</w:t>
      </w:r>
    </w:p>
    <w:p w14:paraId="355BC698" w14:textId="77777777" w:rsidR="00775EA3" w:rsidRPr="00554C4D" w:rsidRDefault="00775EA3" w:rsidP="00D31B51">
      <w:pPr>
        <w:ind w:left="720"/>
        <w:rPr>
          <w:sz w:val="22"/>
        </w:rPr>
      </w:pPr>
    </w:p>
    <w:p w14:paraId="1CDE7F07" w14:textId="77777777" w:rsidR="00015CBC" w:rsidRPr="00554C4D" w:rsidRDefault="00015CBC" w:rsidP="00FA2004">
      <w:pPr>
        <w:rPr>
          <w:bCs/>
          <w:sz w:val="22"/>
          <w:u w:val="single"/>
        </w:rPr>
      </w:pPr>
      <w:r w:rsidRPr="00554C4D">
        <w:rPr>
          <w:bCs/>
          <w:sz w:val="22"/>
          <w:u w:val="single"/>
        </w:rPr>
        <w:t>Poruchy gastrointestinálneho traktu</w:t>
      </w:r>
    </w:p>
    <w:p w14:paraId="1EBBDFCD" w14:textId="77777777" w:rsidR="00015CBC" w:rsidRPr="00554C4D" w:rsidRDefault="00015CBC" w:rsidP="00D31B51">
      <w:pPr>
        <w:numPr>
          <w:ilvl w:val="0"/>
          <w:numId w:val="32"/>
        </w:numPr>
        <w:rPr>
          <w:sz w:val="22"/>
        </w:rPr>
      </w:pPr>
      <w:r w:rsidRPr="00554C4D">
        <w:rPr>
          <w:i/>
          <w:iCs/>
          <w:sz w:val="22"/>
        </w:rPr>
        <w:t>Veľmi časté:</w:t>
      </w:r>
      <w:r w:rsidRPr="00554C4D">
        <w:rPr>
          <w:sz w:val="22"/>
        </w:rPr>
        <w:t xml:space="preserve"> </w:t>
      </w:r>
      <w:r w:rsidR="00FA2004" w:rsidRPr="00554C4D">
        <w:rPr>
          <w:sz w:val="22"/>
        </w:rPr>
        <w:t xml:space="preserve">gastrointestinálne </w:t>
      </w:r>
      <w:r w:rsidRPr="00554C4D">
        <w:rPr>
          <w:sz w:val="22"/>
        </w:rPr>
        <w:t>ťažkosti ako nauzea, vracanie, hnačka, bolesť brucha a strata chuti do jedla. Tieto nežiaduce účinky sa vyskytujú najčastejšie na začiatku liečby a vo väčšine prípadov spontánne ustúpia.</w:t>
      </w:r>
      <w:r w:rsidR="00775EA3" w:rsidRPr="00554C4D">
        <w:rPr>
          <w:sz w:val="22"/>
        </w:rPr>
        <w:t xml:space="preserve"> </w:t>
      </w:r>
      <w:r w:rsidRPr="00554C4D">
        <w:rPr>
          <w:sz w:val="22"/>
        </w:rPr>
        <w:t>Pomalé zvyšovanie dávky môže zlepšiť gastrointestinálnu znášanlivosť lieku.</w:t>
      </w:r>
    </w:p>
    <w:p w14:paraId="28856E0D" w14:textId="77777777" w:rsidR="00775EA3" w:rsidRPr="00554C4D" w:rsidRDefault="00775EA3" w:rsidP="00D31B51">
      <w:pPr>
        <w:ind w:left="720"/>
        <w:rPr>
          <w:sz w:val="22"/>
        </w:rPr>
      </w:pPr>
    </w:p>
    <w:p w14:paraId="21DBB381" w14:textId="77777777" w:rsidR="00015CBC" w:rsidRPr="00554C4D" w:rsidRDefault="00015CBC" w:rsidP="00FA2004">
      <w:pPr>
        <w:rPr>
          <w:bCs/>
          <w:sz w:val="22"/>
          <w:u w:val="single"/>
        </w:rPr>
      </w:pPr>
      <w:r w:rsidRPr="00554C4D">
        <w:rPr>
          <w:bCs/>
          <w:sz w:val="22"/>
          <w:u w:val="single"/>
        </w:rPr>
        <w:t>Poruchy pečene a žlčových ciest</w:t>
      </w:r>
    </w:p>
    <w:p w14:paraId="048219FC" w14:textId="77777777" w:rsidR="00015CBC" w:rsidRPr="00554C4D" w:rsidRDefault="00015CBC" w:rsidP="00D31B51">
      <w:pPr>
        <w:numPr>
          <w:ilvl w:val="0"/>
          <w:numId w:val="33"/>
        </w:numPr>
        <w:rPr>
          <w:sz w:val="22"/>
        </w:rPr>
      </w:pPr>
      <w:r w:rsidRPr="00554C4D">
        <w:rPr>
          <w:i/>
          <w:iCs/>
          <w:sz w:val="22"/>
        </w:rPr>
        <w:t>Veľmi zriedkavé:</w:t>
      </w:r>
      <w:r w:rsidRPr="00554C4D">
        <w:rPr>
          <w:sz w:val="22"/>
        </w:rPr>
        <w:t xml:space="preserve"> </w:t>
      </w:r>
      <w:r w:rsidR="00FA2004" w:rsidRPr="00554C4D">
        <w:rPr>
          <w:sz w:val="22"/>
        </w:rPr>
        <w:t>i</w:t>
      </w:r>
      <w:r w:rsidRPr="00554C4D">
        <w:rPr>
          <w:sz w:val="22"/>
        </w:rPr>
        <w:t xml:space="preserve">zolované hlásenia abnormálnych výsledkov pečeňových testov alebo </w:t>
      </w:r>
      <w:r w:rsidR="008F7D63" w:rsidRPr="00554C4D">
        <w:rPr>
          <w:sz w:val="22"/>
        </w:rPr>
        <w:t>hepatitídy</w:t>
      </w:r>
      <w:r w:rsidRPr="00554C4D">
        <w:rPr>
          <w:sz w:val="22"/>
        </w:rPr>
        <w:t>, ktoré ustúpili po prerušení liečby metformínom.</w:t>
      </w:r>
    </w:p>
    <w:p w14:paraId="0E2B7BEB" w14:textId="77777777" w:rsidR="00775EA3" w:rsidRPr="00554C4D" w:rsidRDefault="00775EA3" w:rsidP="00D31B51">
      <w:pPr>
        <w:ind w:left="720"/>
        <w:rPr>
          <w:sz w:val="22"/>
        </w:rPr>
      </w:pPr>
    </w:p>
    <w:p w14:paraId="353D8FA8" w14:textId="77777777" w:rsidR="00015CBC" w:rsidRPr="00554C4D" w:rsidRDefault="00015CBC" w:rsidP="00FA2004">
      <w:pPr>
        <w:rPr>
          <w:bCs/>
          <w:sz w:val="22"/>
          <w:u w:val="single"/>
        </w:rPr>
      </w:pPr>
      <w:r w:rsidRPr="00554C4D">
        <w:rPr>
          <w:bCs/>
          <w:sz w:val="22"/>
          <w:u w:val="single"/>
        </w:rPr>
        <w:t>Poruchy kože a podkožného tkaniva</w:t>
      </w:r>
    </w:p>
    <w:p w14:paraId="15BCFD18" w14:textId="77777777" w:rsidR="00015CBC" w:rsidRPr="00554C4D" w:rsidRDefault="00015CBC" w:rsidP="00D31B51">
      <w:pPr>
        <w:numPr>
          <w:ilvl w:val="0"/>
          <w:numId w:val="33"/>
        </w:numPr>
        <w:rPr>
          <w:sz w:val="22"/>
        </w:rPr>
      </w:pPr>
      <w:r w:rsidRPr="00554C4D">
        <w:rPr>
          <w:i/>
          <w:iCs/>
          <w:sz w:val="22"/>
        </w:rPr>
        <w:t>Veľmi zriedkavé</w:t>
      </w:r>
      <w:r w:rsidRPr="00554C4D">
        <w:rPr>
          <w:sz w:val="22"/>
        </w:rPr>
        <w:t>: kožné reakcie ako erytém, pruritus, urtikária.</w:t>
      </w:r>
    </w:p>
    <w:p w14:paraId="0E464C20" w14:textId="77777777" w:rsidR="001F1FF6" w:rsidRPr="00554C4D" w:rsidRDefault="001F1FF6" w:rsidP="00FA2004">
      <w:pPr>
        <w:rPr>
          <w:sz w:val="22"/>
        </w:rPr>
      </w:pPr>
    </w:p>
    <w:p w14:paraId="39E32943" w14:textId="77777777" w:rsidR="00501D2C" w:rsidRPr="00554C4D" w:rsidRDefault="00501D2C" w:rsidP="00D31B51">
      <w:pPr>
        <w:suppressLineNumbers/>
        <w:autoSpaceDE w:val="0"/>
        <w:autoSpaceDN w:val="0"/>
        <w:adjustRightInd w:val="0"/>
        <w:rPr>
          <w:sz w:val="22"/>
          <w:szCs w:val="22"/>
          <w:u w:val="single"/>
          <w:lang w:eastAsia="sk-SK"/>
        </w:rPr>
      </w:pPr>
      <w:r w:rsidRPr="00554C4D">
        <w:rPr>
          <w:sz w:val="22"/>
          <w:szCs w:val="22"/>
          <w:u w:val="single"/>
          <w:lang w:eastAsia="sk-SK"/>
        </w:rPr>
        <w:t>Hlásenie podozrení na nežiaduce reakcie</w:t>
      </w:r>
    </w:p>
    <w:p w14:paraId="5AB2CDAC" w14:textId="77777777" w:rsidR="006B2615" w:rsidRPr="00554C4D" w:rsidRDefault="00501D2C" w:rsidP="00DF19BC">
      <w:pPr>
        <w:suppressLineNumbers/>
        <w:autoSpaceDE w:val="0"/>
        <w:rPr>
          <w:sz w:val="22"/>
        </w:rPr>
      </w:pPr>
      <w:r w:rsidRPr="00554C4D">
        <w:rPr>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6B2615" w:rsidRPr="00554C4D">
        <w:rPr>
          <w:sz w:val="22"/>
        </w:rPr>
        <w:t xml:space="preserve">na </w:t>
      </w:r>
      <w:r w:rsidR="006B2615" w:rsidRPr="00554C4D">
        <w:rPr>
          <w:sz w:val="22"/>
          <w:highlight w:val="lightGray"/>
        </w:rPr>
        <w:t xml:space="preserve">národné centrum hlásenia uvedené </w:t>
      </w:r>
      <w:r w:rsidR="006B2615" w:rsidRPr="00554C4D">
        <w:rPr>
          <w:sz w:val="22"/>
          <w:szCs w:val="22"/>
          <w:highlight w:val="lightGray"/>
          <w:shd w:val="clear" w:color="auto" w:fill="C0C0C0"/>
        </w:rPr>
        <w:t>v </w:t>
      </w:r>
      <w:hyperlink r:id="rId8" w:history="1">
        <w:r w:rsidR="006B2615" w:rsidRPr="00554C4D">
          <w:rPr>
            <w:rStyle w:val="Hyperlink"/>
            <w:sz w:val="22"/>
            <w:szCs w:val="22"/>
            <w:highlight w:val="lightGray"/>
            <w:shd w:val="clear" w:color="auto" w:fill="C0C0C0"/>
          </w:rPr>
          <w:t>Prílohe V</w:t>
        </w:r>
      </w:hyperlink>
      <w:r w:rsidR="006B2615" w:rsidRPr="00554C4D">
        <w:rPr>
          <w:sz w:val="22"/>
          <w:szCs w:val="22"/>
          <w:shd w:val="clear" w:color="auto" w:fill="C0C0C0"/>
        </w:rPr>
        <w:t>.</w:t>
      </w:r>
    </w:p>
    <w:p w14:paraId="188933A0" w14:textId="77777777" w:rsidR="00015CBC" w:rsidRPr="00554C4D" w:rsidRDefault="00015CBC" w:rsidP="006B2615">
      <w:pPr>
        <w:suppressLineNumbers/>
        <w:autoSpaceDE w:val="0"/>
        <w:autoSpaceDN w:val="0"/>
        <w:adjustRightInd w:val="0"/>
        <w:rPr>
          <w:sz w:val="22"/>
        </w:rPr>
      </w:pPr>
    </w:p>
    <w:p w14:paraId="628E496E" w14:textId="42AB2F93" w:rsidR="00015CBC" w:rsidRPr="00E6668F" w:rsidRDefault="00015CBC">
      <w:pPr>
        <w:pStyle w:val="BodyText"/>
        <w:jc w:val="both"/>
        <w:rPr>
          <w:b/>
          <w:sz w:val="22"/>
        </w:rPr>
      </w:pPr>
      <w:r w:rsidRPr="00554C4D">
        <w:rPr>
          <w:b/>
          <w:sz w:val="22"/>
        </w:rPr>
        <w:t>4.9</w:t>
      </w:r>
      <w:r w:rsidR="00584272" w:rsidRPr="00554C4D">
        <w:rPr>
          <w:b/>
          <w:sz w:val="22"/>
        </w:rPr>
        <w:tab/>
      </w:r>
      <w:r w:rsidRPr="00E6668F">
        <w:rPr>
          <w:b/>
          <w:sz w:val="22"/>
        </w:rPr>
        <w:t>Predávkovanie</w:t>
      </w:r>
    </w:p>
    <w:p w14:paraId="07A3E5AB" w14:textId="77777777" w:rsidR="00FA2004" w:rsidRPr="00E6668F" w:rsidRDefault="00FA2004">
      <w:pPr>
        <w:pStyle w:val="BodyText"/>
        <w:jc w:val="both"/>
        <w:rPr>
          <w:sz w:val="22"/>
        </w:rPr>
      </w:pPr>
    </w:p>
    <w:p w14:paraId="35AE8965" w14:textId="77777777" w:rsidR="00FA2004" w:rsidRPr="00554C4D" w:rsidRDefault="00FA2004" w:rsidP="00F62A0B">
      <w:pPr>
        <w:rPr>
          <w:sz w:val="22"/>
          <w:szCs w:val="22"/>
        </w:rPr>
      </w:pPr>
      <w:r w:rsidRPr="00E6668F">
        <w:rPr>
          <w:sz w:val="22"/>
          <w:szCs w:val="22"/>
        </w:rPr>
        <w:t xml:space="preserve">Hypoglykémia sa nepozorovala ani pri dávkach do 85 g metformíniumchloridu, hoci laktátová acidóza sa za takýchto okolností vyskytla. Závažné predávkovanie metformínom alebo súbežné riziká môžu viesť </w:t>
      </w:r>
      <w:r w:rsidRPr="00554C4D">
        <w:rPr>
          <w:sz w:val="22"/>
          <w:szCs w:val="22"/>
        </w:rPr>
        <w:t>k laktátovej acidóze. Laktátová acidóza je urgentný stav a pacient musí byť hospitalizovaný. Najúčinnejšou metódou odstránenia laktátu a metformínu je hemodialýza.</w:t>
      </w:r>
    </w:p>
    <w:p w14:paraId="03D9AAFB" w14:textId="77777777" w:rsidR="00015CBC" w:rsidRPr="00554C4D" w:rsidRDefault="00015CBC">
      <w:pPr>
        <w:pStyle w:val="BodyText"/>
        <w:jc w:val="both"/>
        <w:rPr>
          <w:sz w:val="22"/>
        </w:rPr>
      </w:pPr>
    </w:p>
    <w:p w14:paraId="50811701" w14:textId="77777777" w:rsidR="00015CBC" w:rsidRPr="00554C4D" w:rsidRDefault="00015CBC">
      <w:pPr>
        <w:pStyle w:val="BodyText"/>
        <w:jc w:val="both"/>
        <w:rPr>
          <w:sz w:val="22"/>
        </w:rPr>
      </w:pPr>
    </w:p>
    <w:p w14:paraId="035C6792" w14:textId="3C4CF7D7" w:rsidR="00015CBC" w:rsidRPr="00554C4D" w:rsidRDefault="00015CBC">
      <w:pPr>
        <w:pStyle w:val="BodyText"/>
        <w:numPr>
          <w:ilvl w:val="0"/>
          <w:numId w:val="1"/>
        </w:numPr>
        <w:jc w:val="both"/>
        <w:rPr>
          <w:b/>
          <w:sz w:val="22"/>
        </w:rPr>
      </w:pPr>
      <w:r w:rsidRPr="00554C4D">
        <w:rPr>
          <w:b/>
          <w:sz w:val="22"/>
        </w:rPr>
        <w:t>FARMAKOLOGICKÉ VLASTNOSTI</w:t>
      </w:r>
    </w:p>
    <w:p w14:paraId="0AFDF63A" w14:textId="77777777" w:rsidR="00015CBC" w:rsidRPr="00554C4D" w:rsidRDefault="00015CBC">
      <w:pPr>
        <w:pStyle w:val="BodyText"/>
        <w:jc w:val="both"/>
        <w:rPr>
          <w:b/>
          <w:sz w:val="22"/>
        </w:rPr>
      </w:pPr>
    </w:p>
    <w:p w14:paraId="4BDBCCA9" w14:textId="6FCCB9FC" w:rsidR="00015CBC" w:rsidRPr="00554C4D" w:rsidRDefault="00015CBC">
      <w:pPr>
        <w:pStyle w:val="BodyText"/>
        <w:jc w:val="both"/>
        <w:rPr>
          <w:b/>
          <w:sz w:val="22"/>
        </w:rPr>
      </w:pPr>
      <w:r w:rsidRPr="00554C4D">
        <w:rPr>
          <w:b/>
          <w:sz w:val="22"/>
        </w:rPr>
        <w:t>5.1</w:t>
      </w:r>
      <w:r w:rsidR="00584272" w:rsidRPr="00554C4D">
        <w:rPr>
          <w:b/>
          <w:sz w:val="22"/>
        </w:rPr>
        <w:tab/>
      </w:r>
      <w:r w:rsidRPr="00554C4D">
        <w:rPr>
          <w:b/>
          <w:sz w:val="22"/>
        </w:rPr>
        <w:t>Farmakodynamické vlastnosti</w:t>
      </w:r>
    </w:p>
    <w:p w14:paraId="4A475512" w14:textId="77777777" w:rsidR="00015CBC" w:rsidRPr="00554C4D" w:rsidRDefault="00015CBC">
      <w:pPr>
        <w:pStyle w:val="BodyText"/>
        <w:rPr>
          <w:b/>
          <w:sz w:val="22"/>
        </w:rPr>
      </w:pPr>
    </w:p>
    <w:p w14:paraId="2D978009" w14:textId="77777777" w:rsidR="00463AC4" w:rsidRPr="00554C4D" w:rsidRDefault="00463AC4" w:rsidP="00463AC4">
      <w:pPr>
        <w:jc w:val="both"/>
        <w:rPr>
          <w:sz w:val="22"/>
          <w:szCs w:val="22"/>
        </w:rPr>
      </w:pPr>
      <w:r w:rsidRPr="00554C4D">
        <w:rPr>
          <w:sz w:val="22"/>
          <w:szCs w:val="22"/>
        </w:rPr>
        <w:t>Farmakoterapeutická skupina: liečivá znižujúce hladinu glukózy v krvi, biguanidy.</w:t>
      </w:r>
    </w:p>
    <w:p w14:paraId="2817B3B6" w14:textId="77777777" w:rsidR="00463AC4" w:rsidRPr="00554C4D" w:rsidRDefault="00463AC4" w:rsidP="00463AC4">
      <w:pPr>
        <w:jc w:val="both"/>
        <w:rPr>
          <w:sz w:val="22"/>
          <w:szCs w:val="22"/>
        </w:rPr>
      </w:pPr>
      <w:r w:rsidRPr="00554C4D">
        <w:rPr>
          <w:sz w:val="22"/>
          <w:szCs w:val="22"/>
        </w:rPr>
        <w:t xml:space="preserve">ATC kód: A10BA02 </w:t>
      </w:r>
    </w:p>
    <w:p w14:paraId="305609CF" w14:textId="77777777" w:rsidR="00501D2C" w:rsidRPr="00554C4D" w:rsidRDefault="00501D2C" w:rsidP="00463AC4">
      <w:pPr>
        <w:jc w:val="both"/>
        <w:rPr>
          <w:sz w:val="22"/>
          <w:szCs w:val="22"/>
        </w:rPr>
      </w:pPr>
    </w:p>
    <w:p w14:paraId="6FC328FB" w14:textId="77777777" w:rsidR="00501D2C" w:rsidRPr="00554C4D" w:rsidRDefault="00501D2C" w:rsidP="00463AC4">
      <w:pPr>
        <w:jc w:val="both"/>
        <w:rPr>
          <w:i/>
          <w:sz w:val="22"/>
          <w:szCs w:val="22"/>
          <w:u w:val="single"/>
        </w:rPr>
      </w:pPr>
      <w:r w:rsidRPr="00554C4D">
        <w:rPr>
          <w:i/>
          <w:sz w:val="22"/>
          <w:szCs w:val="22"/>
          <w:u w:val="single"/>
        </w:rPr>
        <w:t>Mechanizmus účinku</w:t>
      </w:r>
    </w:p>
    <w:p w14:paraId="2D081CC5" w14:textId="77777777" w:rsidR="008F7D63" w:rsidRPr="00554C4D" w:rsidRDefault="008F7D63" w:rsidP="008F7D63">
      <w:pPr>
        <w:jc w:val="both"/>
        <w:rPr>
          <w:sz w:val="22"/>
          <w:szCs w:val="22"/>
        </w:rPr>
      </w:pPr>
      <w:r w:rsidRPr="00554C4D">
        <w:rPr>
          <w:sz w:val="22"/>
          <w:szCs w:val="22"/>
        </w:rPr>
        <w:t>Metformín je biguanid s antihyperglykemickými účinkami, znižujúci bazálnu aj postprandiálnu glykémiu. Nestimuluje sekréciu inzulínu, preto nevyvoláva hypoglykémiu.</w:t>
      </w:r>
    </w:p>
    <w:p w14:paraId="2B448783" w14:textId="77777777" w:rsidR="00463AC4" w:rsidRPr="00554C4D" w:rsidRDefault="00463AC4" w:rsidP="00463AC4">
      <w:pPr>
        <w:jc w:val="both"/>
        <w:rPr>
          <w:sz w:val="22"/>
          <w:szCs w:val="22"/>
        </w:rPr>
      </w:pPr>
      <w:r w:rsidRPr="00554C4D">
        <w:rPr>
          <w:sz w:val="22"/>
          <w:szCs w:val="22"/>
        </w:rPr>
        <w:t>Metformín môže pôsobiť pomocou 3 mechanizmov:</w:t>
      </w:r>
    </w:p>
    <w:p w14:paraId="7F0F6D2D" w14:textId="77777777" w:rsidR="00463AC4" w:rsidRPr="00554C4D" w:rsidRDefault="00463AC4" w:rsidP="00D31B51">
      <w:pPr>
        <w:numPr>
          <w:ilvl w:val="0"/>
          <w:numId w:val="33"/>
        </w:numPr>
        <w:jc w:val="both"/>
        <w:rPr>
          <w:sz w:val="22"/>
          <w:szCs w:val="22"/>
        </w:rPr>
      </w:pPr>
      <w:r w:rsidRPr="00554C4D">
        <w:rPr>
          <w:sz w:val="22"/>
          <w:szCs w:val="22"/>
        </w:rPr>
        <w:lastRenderedPageBreak/>
        <w:t>znížením produkcie glukózy v pečeni inhibíciou glukoneogenézy a glykogenolýzy,</w:t>
      </w:r>
    </w:p>
    <w:p w14:paraId="0DDC4738" w14:textId="77777777" w:rsidR="00463AC4" w:rsidRPr="00554C4D" w:rsidRDefault="00463AC4" w:rsidP="00D31B51">
      <w:pPr>
        <w:numPr>
          <w:ilvl w:val="0"/>
          <w:numId w:val="33"/>
        </w:numPr>
        <w:jc w:val="both"/>
        <w:rPr>
          <w:sz w:val="22"/>
          <w:szCs w:val="22"/>
        </w:rPr>
      </w:pPr>
      <w:r w:rsidRPr="00554C4D">
        <w:rPr>
          <w:sz w:val="22"/>
          <w:szCs w:val="22"/>
        </w:rPr>
        <w:t>zvýšením citlivosti na inzulín vo svaloch, zlepšením periférneho vychytávania a utilizácie glukózy,</w:t>
      </w:r>
    </w:p>
    <w:p w14:paraId="56A4EA29" w14:textId="77777777" w:rsidR="00463AC4" w:rsidRPr="00554C4D" w:rsidRDefault="00463AC4" w:rsidP="00D31B51">
      <w:pPr>
        <w:numPr>
          <w:ilvl w:val="0"/>
          <w:numId w:val="33"/>
        </w:numPr>
        <w:jc w:val="both"/>
        <w:rPr>
          <w:sz w:val="22"/>
          <w:szCs w:val="22"/>
        </w:rPr>
      </w:pPr>
      <w:r w:rsidRPr="00554C4D">
        <w:rPr>
          <w:sz w:val="22"/>
          <w:szCs w:val="22"/>
        </w:rPr>
        <w:t>spomalením vstrebávania glukózy v  črevách.</w:t>
      </w:r>
    </w:p>
    <w:p w14:paraId="0FB8174A" w14:textId="77777777" w:rsidR="00463AC4" w:rsidRPr="00554C4D" w:rsidRDefault="00463AC4" w:rsidP="00F62A0B">
      <w:pPr>
        <w:rPr>
          <w:sz w:val="22"/>
          <w:szCs w:val="22"/>
        </w:rPr>
      </w:pPr>
      <w:r w:rsidRPr="00554C4D">
        <w:rPr>
          <w:sz w:val="22"/>
          <w:szCs w:val="22"/>
        </w:rPr>
        <w:t>Metformín stimuluje syntézu intracelulárneho glykogénu p</w:t>
      </w:r>
      <w:r w:rsidR="00402A2B" w:rsidRPr="00554C4D">
        <w:rPr>
          <w:sz w:val="22"/>
          <w:szCs w:val="22"/>
        </w:rPr>
        <w:t>ô</w:t>
      </w:r>
      <w:r w:rsidRPr="00554C4D">
        <w:rPr>
          <w:sz w:val="22"/>
          <w:szCs w:val="22"/>
        </w:rPr>
        <w:t>s</w:t>
      </w:r>
      <w:r w:rsidR="00402A2B" w:rsidRPr="00554C4D">
        <w:rPr>
          <w:sz w:val="22"/>
          <w:szCs w:val="22"/>
        </w:rPr>
        <w:t>o</w:t>
      </w:r>
      <w:r w:rsidRPr="00554C4D">
        <w:rPr>
          <w:sz w:val="22"/>
          <w:szCs w:val="22"/>
        </w:rPr>
        <w:t>bením na glykogénsyntetázu. Metformín zvyšuje transportnú kapacitu všetkých doteraz známych typov membránových prenášačov glukózy (GLUTs).</w:t>
      </w:r>
    </w:p>
    <w:p w14:paraId="2462370B" w14:textId="77777777" w:rsidR="00501D2C" w:rsidRPr="00554C4D" w:rsidRDefault="00501D2C" w:rsidP="00F62A0B">
      <w:pPr>
        <w:rPr>
          <w:sz w:val="22"/>
          <w:szCs w:val="22"/>
        </w:rPr>
      </w:pPr>
    </w:p>
    <w:p w14:paraId="66E66D92" w14:textId="77777777" w:rsidR="00501D2C" w:rsidRPr="00554C4D" w:rsidRDefault="00501D2C" w:rsidP="00463AC4">
      <w:pPr>
        <w:jc w:val="both"/>
        <w:rPr>
          <w:sz w:val="22"/>
          <w:szCs w:val="22"/>
        </w:rPr>
      </w:pPr>
      <w:r w:rsidRPr="00554C4D">
        <w:rPr>
          <w:i/>
          <w:sz w:val="22"/>
          <w:szCs w:val="22"/>
          <w:u w:val="single"/>
        </w:rPr>
        <w:t>Farmakodynamické účinky</w:t>
      </w:r>
    </w:p>
    <w:p w14:paraId="31066C4E" w14:textId="77777777" w:rsidR="00463AC4" w:rsidRPr="00554C4D" w:rsidRDefault="00463AC4" w:rsidP="00463AC4">
      <w:pPr>
        <w:numPr>
          <w:ilvl w:val="12"/>
          <w:numId w:val="0"/>
        </w:numPr>
        <w:ind w:right="-2"/>
        <w:outlineLvl w:val="0"/>
        <w:rPr>
          <w:sz w:val="22"/>
        </w:rPr>
      </w:pPr>
      <w:r w:rsidRPr="00554C4D">
        <w:rPr>
          <w:sz w:val="22"/>
        </w:rPr>
        <w:t>V klinických skúšaniach je užívanie metformínu spojené buď s udržiavaním stabilnej váhy alebo ju mierne znižuje.</w:t>
      </w:r>
    </w:p>
    <w:p w14:paraId="5E75C640" w14:textId="77777777" w:rsidR="00463AC4" w:rsidRPr="00554C4D" w:rsidRDefault="00463AC4" w:rsidP="00463AC4">
      <w:pPr>
        <w:jc w:val="both"/>
        <w:rPr>
          <w:sz w:val="22"/>
          <w:szCs w:val="22"/>
        </w:rPr>
      </w:pPr>
      <w:r w:rsidRPr="00554C4D">
        <w:rPr>
          <w:sz w:val="22"/>
          <w:szCs w:val="22"/>
        </w:rPr>
        <w:t>Nezávisle od účinku na glykémiu má metformín u ľudí priaznivý vplyv na lipidový metabolizmus. Tento vplyv bol preukázaný pri terapeutických dávkach v kontrolovaných strednodobých alebo dlhodobých klinických skúšaniach: metformín znižuje hladiny celkového cholesterolu, LDL cholesterolu a triacylglycerolov.</w:t>
      </w:r>
    </w:p>
    <w:p w14:paraId="67435DE3" w14:textId="77777777" w:rsidR="00501D2C" w:rsidRPr="00554C4D" w:rsidRDefault="00501D2C" w:rsidP="00463AC4">
      <w:pPr>
        <w:jc w:val="both"/>
        <w:rPr>
          <w:sz w:val="22"/>
          <w:szCs w:val="22"/>
        </w:rPr>
      </w:pPr>
    </w:p>
    <w:p w14:paraId="1E75C919" w14:textId="77777777" w:rsidR="00463AC4" w:rsidRPr="00554C4D" w:rsidRDefault="00463AC4" w:rsidP="007E78A6">
      <w:pPr>
        <w:ind w:left="1942" w:hanging="1942"/>
        <w:rPr>
          <w:i/>
          <w:sz w:val="22"/>
          <w:szCs w:val="22"/>
          <w:u w:val="single"/>
        </w:rPr>
      </w:pPr>
      <w:r w:rsidRPr="00554C4D">
        <w:rPr>
          <w:i/>
          <w:sz w:val="22"/>
          <w:szCs w:val="22"/>
          <w:u w:val="single"/>
        </w:rPr>
        <w:t>Klinická účinnosť</w:t>
      </w:r>
      <w:r w:rsidR="00E11AA8" w:rsidRPr="00554C4D">
        <w:rPr>
          <w:i/>
          <w:sz w:val="22"/>
          <w:szCs w:val="22"/>
          <w:u w:val="single"/>
        </w:rPr>
        <w:t xml:space="preserve"> a bezpečnosť</w:t>
      </w:r>
    </w:p>
    <w:p w14:paraId="27B092AF" w14:textId="77777777" w:rsidR="00463AC4" w:rsidRPr="00554C4D" w:rsidRDefault="00463AC4" w:rsidP="00F62A0B">
      <w:pPr>
        <w:ind w:left="1942" w:hanging="1942"/>
        <w:rPr>
          <w:sz w:val="22"/>
          <w:szCs w:val="22"/>
        </w:rPr>
      </w:pPr>
      <w:r w:rsidRPr="00554C4D">
        <w:rPr>
          <w:sz w:val="22"/>
          <w:szCs w:val="22"/>
        </w:rPr>
        <w:t>Prospektívna randomizovaná štúdia (UKPDS) potvrdila dlhodobý priaznivý vplyv intenzívnej</w:t>
      </w:r>
    </w:p>
    <w:p w14:paraId="3BF80BCE" w14:textId="77777777" w:rsidR="00463AC4" w:rsidRPr="00554C4D" w:rsidRDefault="00463AC4" w:rsidP="00F62A0B">
      <w:pPr>
        <w:rPr>
          <w:sz w:val="22"/>
          <w:szCs w:val="22"/>
        </w:rPr>
      </w:pPr>
      <w:r w:rsidRPr="00554C4D">
        <w:rPr>
          <w:sz w:val="22"/>
          <w:szCs w:val="22"/>
        </w:rPr>
        <w:t>kontroly glykémie u dospelých pacientov s diabetom 2. typu.</w:t>
      </w:r>
    </w:p>
    <w:p w14:paraId="35E9BB92" w14:textId="77777777" w:rsidR="00463AC4" w:rsidRPr="00554C4D" w:rsidRDefault="00463AC4" w:rsidP="00F62A0B">
      <w:pPr>
        <w:ind w:left="3510" w:hanging="3510"/>
        <w:rPr>
          <w:sz w:val="22"/>
          <w:szCs w:val="22"/>
        </w:rPr>
      </w:pPr>
      <w:r w:rsidRPr="00554C4D">
        <w:rPr>
          <w:sz w:val="22"/>
          <w:szCs w:val="22"/>
        </w:rPr>
        <w:t>Analýza výsledkov pacientov s nadváhou liečených metformínom po zlyhaní diéty dokázala:</w:t>
      </w:r>
    </w:p>
    <w:p w14:paraId="62CDB2CB" w14:textId="77777777" w:rsidR="00463AC4" w:rsidRPr="00554C4D" w:rsidRDefault="00463AC4" w:rsidP="00F62A0B">
      <w:pPr>
        <w:numPr>
          <w:ilvl w:val="0"/>
          <w:numId w:val="24"/>
        </w:numPr>
        <w:rPr>
          <w:sz w:val="22"/>
          <w:szCs w:val="22"/>
        </w:rPr>
      </w:pPr>
      <w:r w:rsidRPr="00554C4D">
        <w:rPr>
          <w:sz w:val="22"/>
          <w:szCs w:val="22"/>
        </w:rPr>
        <w:t>významný pokles absolútneho rizika diabetických komplikácií v skupine liečenej metformínom (29,8 prípadov/1000 pacientorokov) oproti skupine liečenej diétou (43,3 prípadov na 1000 pacientorokov), p = 0,0023, a oproti skupinám liečených kombináciou sulfonylurey a inzulínom v monoterapii (40,1 prípadov na 1000 pacientorokov), p = 0,0034;</w:t>
      </w:r>
    </w:p>
    <w:p w14:paraId="0850FF06" w14:textId="1C07F24F" w:rsidR="00463AC4" w:rsidRPr="00554C4D" w:rsidRDefault="00463AC4" w:rsidP="00F62A0B">
      <w:pPr>
        <w:numPr>
          <w:ilvl w:val="0"/>
          <w:numId w:val="24"/>
        </w:numPr>
        <w:rPr>
          <w:sz w:val="22"/>
          <w:szCs w:val="22"/>
        </w:rPr>
      </w:pPr>
      <w:r w:rsidRPr="00554C4D">
        <w:rPr>
          <w:sz w:val="22"/>
          <w:szCs w:val="22"/>
        </w:rPr>
        <w:t>významný pokles absolútneho rizika s diabetom súvisiacej mortality: metformín 7,5 prípadov na 1000 pacientorokov, diéta samotná 12,7 prípadov na 1000 pacientorokov, p = 0,017;</w:t>
      </w:r>
    </w:p>
    <w:p w14:paraId="26544486" w14:textId="77777777" w:rsidR="00463AC4" w:rsidRPr="00554C4D" w:rsidRDefault="00463AC4" w:rsidP="00F62A0B">
      <w:pPr>
        <w:numPr>
          <w:ilvl w:val="0"/>
          <w:numId w:val="24"/>
        </w:numPr>
        <w:rPr>
          <w:sz w:val="22"/>
          <w:szCs w:val="22"/>
        </w:rPr>
      </w:pPr>
      <w:r w:rsidRPr="00554C4D">
        <w:rPr>
          <w:sz w:val="22"/>
          <w:szCs w:val="22"/>
        </w:rPr>
        <w:t>významný pokles absolútneho rizika celkovej mortality: metformín 13,5 prípadov na 1000 pacientorokov, oproti diéte samotnej 20,6 prípadov na 1000 pacientorokov (p=0,011) a oproti skupinám kombinovanej terapie sulfonylurea a inzulín v monoterapii 18,9 prípadov na 1000 pacientorokov (p=0,021);</w:t>
      </w:r>
    </w:p>
    <w:p w14:paraId="09D59D21" w14:textId="77777777" w:rsidR="00463AC4" w:rsidRPr="00554C4D" w:rsidRDefault="00CE4660" w:rsidP="00F62A0B">
      <w:pPr>
        <w:ind w:left="720" w:hanging="360"/>
        <w:rPr>
          <w:sz w:val="22"/>
          <w:szCs w:val="22"/>
        </w:rPr>
      </w:pPr>
      <w:r w:rsidRPr="00554C4D">
        <w:rPr>
          <w:sz w:val="22"/>
          <w:szCs w:val="22"/>
        </w:rPr>
        <w:t>-</w:t>
      </w:r>
      <w:r w:rsidR="00463AC4" w:rsidRPr="00554C4D">
        <w:rPr>
          <w:sz w:val="22"/>
          <w:szCs w:val="22"/>
        </w:rPr>
        <w:tab/>
        <w:t>významný pokles absolútneho rizika infarktu myokardu: metformín 11 prípadov na 1000 pacientorokov, diéta samotná 18 prípadov na 1000 pacientorokov (p=0,01).</w:t>
      </w:r>
    </w:p>
    <w:p w14:paraId="62F9A34C" w14:textId="77777777" w:rsidR="00463AC4" w:rsidRPr="00554C4D" w:rsidRDefault="00463AC4" w:rsidP="00F62A0B">
      <w:pPr>
        <w:ind w:left="1942" w:hanging="1800"/>
        <w:rPr>
          <w:sz w:val="22"/>
          <w:szCs w:val="22"/>
        </w:rPr>
      </w:pPr>
    </w:p>
    <w:p w14:paraId="1DFA902D" w14:textId="77777777" w:rsidR="00463AC4" w:rsidRPr="00554C4D" w:rsidRDefault="00463AC4" w:rsidP="00F62A0B">
      <w:pPr>
        <w:rPr>
          <w:sz w:val="22"/>
          <w:szCs w:val="22"/>
        </w:rPr>
      </w:pPr>
      <w:r w:rsidRPr="00554C4D">
        <w:rPr>
          <w:sz w:val="22"/>
          <w:szCs w:val="22"/>
        </w:rPr>
        <w:t>Prínos klinickej účinnosti metformínu používaného ako liek druhej voľ</w:t>
      </w:r>
      <w:r w:rsidR="00CE4660" w:rsidRPr="00554C4D">
        <w:rPr>
          <w:sz w:val="22"/>
          <w:szCs w:val="22"/>
        </w:rPr>
        <w:t xml:space="preserve">by v kombinácii so </w:t>
      </w:r>
      <w:r w:rsidRPr="00554C4D">
        <w:rPr>
          <w:sz w:val="22"/>
          <w:szCs w:val="22"/>
        </w:rPr>
        <w:t>sulfonylureou nie je dokázaný.</w:t>
      </w:r>
    </w:p>
    <w:p w14:paraId="3079C19A" w14:textId="77777777" w:rsidR="00015CBC" w:rsidRPr="00554C4D" w:rsidRDefault="00463AC4" w:rsidP="00F62A0B">
      <w:pPr>
        <w:pStyle w:val="BodyText"/>
        <w:rPr>
          <w:sz w:val="22"/>
          <w:u w:val="single"/>
        </w:rPr>
      </w:pPr>
      <w:r w:rsidRPr="00554C4D">
        <w:rPr>
          <w:sz w:val="22"/>
          <w:szCs w:val="22"/>
        </w:rPr>
        <w:t xml:space="preserve">Kombinácia metformínu s inzulínom sa použila u vybraných pacientov s diabetom 1. typu, no klinický prínos tejto kombinácie sa formálne nepotvrdil. </w:t>
      </w:r>
    </w:p>
    <w:p w14:paraId="4A04EDB6" w14:textId="77777777" w:rsidR="00CE4660" w:rsidRPr="00554C4D" w:rsidRDefault="00CE4660" w:rsidP="00F62A0B">
      <w:pPr>
        <w:rPr>
          <w:b/>
          <w:sz w:val="22"/>
        </w:rPr>
      </w:pPr>
    </w:p>
    <w:p w14:paraId="3A2044DF" w14:textId="77E77A9E" w:rsidR="00015CBC" w:rsidRPr="00554C4D" w:rsidRDefault="00015CBC">
      <w:pPr>
        <w:jc w:val="both"/>
        <w:rPr>
          <w:sz w:val="22"/>
        </w:rPr>
      </w:pPr>
      <w:r w:rsidRPr="00554C4D">
        <w:rPr>
          <w:b/>
          <w:sz w:val="22"/>
        </w:rPr>
        <w:t>5.2</w:t>
      </w:r>
      <w:r w:rsidR="00584272" w:rsidRPr="00554C4D">
        <w:rPr>
          <w:b/>
          <w:sz w:val="22"/>
        </w:rPr>
        <w:tab/>
      </w:r>
      <w:r w:rsidRPr="00554C4D">
        <w:rPr>
          <w:b/>
          <w:sz w:val="22"/>
        </w:rPr>
        <w:t>Farmakokinetické vlastnosti</w:t>
      </w:r>
    </w:p>
    <w:p w14:paraId="02FEEC1E" w14:textId="77777777" w:rsidR="00015CBC" w:rsidRPr="00554C4D" w:rsidRDefault="00015CBC">
      <w:pPr>
        <w:pStyle w:val="BodyText"/>
        <w:rPr>
          <w:i/>
          <w:sz w:val="22"/>
        </w:rPr>
      </w:pPr>
    </w:p>
    <w:p w14:paraId="08B4EADB" w14:textId="77777777" w:rsidR="00015CBC" w:rsidRPr="00554C4D" w:rsidRDefault="00015CBC">
      <w:pPr>
        <w:pStyle w:val="BodyText"/>
        <w:rPr>
          <w:sz w:val="22"/>
          <w:u w:val="single"/>
        </w:rPr>
      </w:pPr>
      <w:r w:rsidRPr="00554C4D">
        <w:rPr>
          <w:sz w:val="22"/>
          <w:u w:val="single"/>
        </w:rPr>
        <w:t>Absorpcia</w:t>
      </w:r>
    </w:p>
    <w:p w14:paraId="1FA290A1" w14:textId="77777777" w:rsidR="00015CBC" w:rsidRPr="00554C4D" w:rsidRDefault="00015CBC">
      <w:pPr>
        <w:pStyle w:val="BodyText"/>
        <w:rPr>
          <w:sz w:val="22"/>
        </w:rPr>
      </w:pPr>
      <w:r w:rsidRPr="00554C4D">
        <w:rPr>
          <w:i/>
          <w:sz w:val="22"/>
        </w:rPr>
        <w:t xml:space="preserve"> </w:t>
      </w:r>
      <w:r w:rsidRPr="00554C4D">
        <w:rPr>
          <w:sz w:val="22"/>
        </w:rPr>
        <w:t xml:space="preserve">Po perorálnej dávke tablety s predĺženým </w:t>
      </w:r>
      <w:r w:rsidR="00550F91" w:rsidRPr="00554C4D">
        <w:rPr>
          <w:sz w:val="22"/>
        </w:rPr>
        <w:t xml:space="preserve">uvoľňovaním </w:t>
      </w:r>
      <w:r w:rsidRPr="00554C4D">
        <w:rPr>
          <w:sz w:val="22"/>
        </w:rPr>
        <w:t>je absorpcia metformínu významne</w:t>
      </w:r>
    </w:p>
    <w:p w14:paraId="3A933C62" w14:textId="77777777" w:rsidR="00015CBC" w:rsidRPr="00554C4D" w:rsidRDefault="00015CBC">
      <w:pPr>
        <w:pStyle w:val="BodyText"/>
        <w:rPr>
          <w:sz w:val="22"/>
        </w:rPr>
      </w:pPr>
      <w:r w:rsidRPr="00554C4D">
        <w:rPr>
          <w:sz w:val="22"/>
        </w:rPr>
        <w:t>spomalená v porovnaní s tabletou s okamžitým uvoľňovaním, t</w:t>
      </w:r>
      <w:r w:rsidRPr="00554C4D">
        <w:rPr>
          <w:sz w:val="22"/>
          <w:vertAlign w:val="subscript"/>
        </w:rPr>
        <w:t>max</w:t>
      </w:r>
      <w:r w:rsidRPr="00554C4D">
        <w:rPr>
          <w:sz w:val="22"/>
        </w:rPr>
        <w:t xml:space="preserve"> sa dosiahne v priebehu 7. hodiny (t</w:t>
      </w:r>
      <w:r w:rsidRPr="00554C4D">
        <w:rPr>
          <w:sz w:val="22"/>
          <w:vertAlign w:val="subscript"/>
        </w:rPr>
        <w:t>max</w:t>
      </w:r>
      <w:r w:rsidRPr="00554C4D">
        <w:rPr>
          <w:sz w:val="22"/>
        </w:rPr>
        <w:t xml:space="preserve"> pre tabletu s okamžitým uvoľňovaním je 2,5 hod.).</w:t>
      </w:r>
    </w:p>
    <w:p w14:paraId="3D804645" w14:textId="77777777" w:rsidR="00CE4660" w:rsidRPr="00554C4D" w:rsidRDefault="00CE4660" w:rsidP="00E6668F">
      <w:pPr>
        <w:pStyle w:val="BodyText"/>
        <w:rPr>
          <w:sz w:val="22"/>
        </w:rPr>
      </w:pPr>
      <w:r w:rsidRPr="00554C4D">
        <w:rPr>
          <w:sz w:val="22"/>
        </w:rPr>
        <w:t>Po perorálnom podaní jednor</w:t>
      </w:r>
      <w:r w:rsidR="00EE6777" w:rsidRPr="00554C4D">
        <w:rPr>
          <w:sz w:val="22"/>
        </w:rPr>
        <w:t>a</w:t>
      </w:r>
      <w:r w:rsidRPr="00554C4D">
        <w:rPr>
          <w:sz w:val="22"/>
        </w:rPr>
        <w:t xml:space="preserve">zovej dávky 1500 mg </w:t>
      </w:r>
      <w:r w:rsidR="00EE6777" w:rsidRPr="00554C4D">
        <w:rPr>
          <w:sz w:val="22"/>
        </w:rPr>
        <w:t>Glucophage XR 750 mg po jedle je maximálna plazmatická koncentrácia 1 193 ng/ml dosiahnutá priemerne do 5 hodín s rozpätím 4 až 12 hodín.</w:t>
      </w:r>
    </w:p>
    <w:p w14:paraId="7D148BF2" w14:textId="77777777" w:rsidR="00EE6777" w:rsidRPr="00554C4D" w:rsidRDefault="00EE6777">
      <w:pPr>
        <w:pStyle w:val="BodyText"/>
        <w:rPr>
          <w:color w:val="FF0000"/>
          <w:sz w:val="22"/>
        </w:rPr>
      </w:pPr>
      <w:r w:rsidRPr="00554C4D">
        <w:rPr>
          <w:sz w:val="22"/>
        </w:rPr>
        <w:t>Bolo dokázané, že Glucophage XR 750 mg je bioekvivalentný s Glucophage XR 500 mg pri dávke 1500 mg s ohľadom na C</w:t>
      </w:r>
      <w:r w:rsidRPr="00554C4D">
        <w:rPr>
          <w:sz w:val="22"/>
          <w:vertAlign w:val="subscript"/>
        </w:rPr>
        <w:t xml:space="preserve">max </w:t>
      </w:r>
      <w:r w:rsidRPr="00554C4D">
        <w:rPr>
          <w:sz w:val="22"/>
        </w:rPr>
        <w:t xml:space="preserve">a AUC </w:t>
      </w:r>
      <w:r w:rsidR="000D61A6" w:rsidRPr="00554C4D">
        <w:rPr>
          <w:sz w:val="22"/>
        </w:rPr>
        <w:t xml:space="preserve">podaný </w:t>
      </w:r>
      <w:r w:rsidRPr="00554C4D">
        <w:rPr>
          <w:sz w:val="22"/>
        </w:rPr>
        <w:t>u zdravých dobrovoľníkov</w:t>
      </w:r>
      <w:r w:rsidR="00611AD3" w:rsidRPr="00554C4D">
        <w:rPr>
          <w:sz w:val="22"/>
        </w:rPr>
        <w:t xml:space="preserve"> po jedle a nalačno.</w:t>
      </w:r>
    </w:p>
    <w:p w14:paraId="1849BCAD" w14:textId="77777777" w:rsidR="00611AD3" w:rsidRPr="00554C4D" w:rsidRDefault="00611AD3">
      <w:pPr>
        <w:pStyle w:val="BodyText"/>
        <w:rPr>
          <w:sz w:val="22"/>
        </w:rPr>
      </w:pPr>
      <w:r w:rsidRPr="00554C4D">
        <w:rPr>
          <w:sz w:val="22"/>
        </w:rPr>
        <w:t>Po jednorazovom perorálnom podaní 1 tablety Glucophage XR 1000 mg po jedle je maximálna plazmatická koncentrácia 1 214 ng/ml dosiahnutá priemerne do 5 hodín s rozpätím 4 až 10 hodín.</w:t>
      </w:r>
    </w:p>
    <w:p w14:paraId="5FD7F2C4" w14:textId="77777777" w:rsidR="00611AD3" w:rsidRPr="00554C4D" w:rsidRDefault="00611AD3">
      <w:pPr>
        <w:pStyle w:val="BodyText"/>
        <w:rPr>
          <w:sz w:val="22"/>
        </w:rPr>
      </w:pPr>
      <w:r w:rsidRPr="00554C4D">
        <w:rPr>
          <w:sz w:val="22"/>
        </w:rPr>
        <w:t>Bolo dokázané, že Glucophage XR 1000 mg je bioekvivalentný s Glucophage XR 500 mg pri dávke 1000 mg s ohľadom na C</w:t>
      </w:r>
      <w:r w:rsidRPr="00554C4D">
        <w:rPr>
          <w:sz w:val="22"/>
          <w:vertAlign w:val="subscript"/>
        </w:rPr>
        <w:t xml:space="preserve">max </w:t>
      </w:r>
      <w:r w:rsidRPr="00554C4D">
        <w:rPr>
          <w:sz w:val="22"/>
        </w:rPr>
        <w:t>a</w:t>
      </w:r>
      <w:r w:rsidR="000D61A6" w:rsidRPr="00554C4D">
        <w:rPr>
          <w:sz w:val="22"/>
        </w:rPr>
        <w:t> </w:t>
      </w:r>
      <w:r w:rsidRPr="00554C4D">
        <w:rPr>
          <w:sz w:val="22"/>
        </w:rPr>
        <w:t>AUC</w:t>
      </w:r>
      <w:r w:rsidR="000D61A6" w:rsidRPr="00554C4D">
        <w:rPr>
          <w:sz w:val="22"/>
        </w:rPr>
        <w:t>, podaný</w:t>
      </w:r>
      <w:r w:rsidRPr="00554C4D">
        <w:rPr>
          <w:sz w:val="22"/>
        </w:rPr>
        <w:t xml:space="preserve"> u zdravých dobrovoľníkov po jedle a nalačno.</w:t>
      </w:r>
    </w:p>
    <w:p w14:paraId="7A8932B3" w14:textId="77777777" w:rsidR="00015CBC" w:rsidRPr="00554C4D" w:rsidRDefault="00015CBC">
      <w:pPr>
        <w:pStyle w:val="BodyText"/>
        <w:rPr>
          <w:sz w:val="22"/>
        </w:rPr>
      </w:pPr>
      <w:r w:rsidRPr="00554C4D">
        <w:rPr>
          <w:sz w:val="22"/>
        </w:rPr>
        <w:t>V ustálenom stave, rovnako ako u tabliet s okamžitým uvoľňovaním, C</w:t>
      </w:r>
      <w:r w:rsidRPr="00554C4D">
        <w:rPr>
          <w:sz w:val="22"/>
          <w:vertAlign w:val="subscript"/>
        </w:rPr>
        <w:t xml:space="preserve">max </w:t>
      </w:r>
      <w:r w:rsidRPr="00554C4D">
        <w:rPr>
          <w:sz w:val="22"/>
        </w:rPr>
        <w:t xml:space="preserve">a AUC nestúpajú  </w:t>
      </w:r>
    </w:p>
    <w:p w14:paraId="7C6AF3A3" w14:textId="77777777" w:rsidR="00015CBC" w:rsidRPr="00554C4D" w:rsidRDefault="00015CBC" w:rsidP="00F62A0B">
      <w:pPr>
        <w:pStyle w:val="BodyText"/>
        <w:rPr>
          <w:sz w:val="22"/>
        </w:rPr>
      </w:pPr>
      <w:r w:rsidRPr="00554C4D">
        <w:rPr>
          <w:sz w:val="22"/>
        </w:rPr>
        <w:t xml:space="preserve">proporcionálne s podanou dávkou. AUC po jednorazovom podaní 2000 mg tabliet metformínu s </w:t>
      </w:r>
    </w:p>
    <w:p w14:paraId="2E11A2BC" w14:textId="77777777" w:rsidR="00015CBC" w:rsidRPr="00554C4D" w:rsidRDefault="00015CBC" w:rsidP="00F62A0B">
      <w:pPr>
        <w:pStyle w:val="BodyText"/>
        <w:rPr>
          <w:sz w:val="22"/>
        </w:rPr>
      </w:pPr>
      <w:r w:rsidRPr="00554C4D">
        <w:rPr>
          <w:sz w:val="22"/>
        </w:rPr>
        <w:t>predĺženým uvoľňovaním je podobné AUC pozorovanému po podaní 1000 mg tabliet metformínu</w:t>
      </w:r>
    </w:p>
    <w:p w14:paraId="759CDD23" w14:textId="77777777" w:rsidR="00015CBC" w:rsidRPr="00554C4D" w:rsidRDefault="00015CBC" w:rsidP="00F62A0B">
      <w:pPr>
        <w:pStyle w:val="BodyText"/>
        <w:rPr>
          <w:sz w:val="22"/>
        </w:rPr>
      </w:pPr>
      <w:r w:rsidRPr="00554C4D">
        <w:rPr>
          <w:sz w:val="22"/>
        </w:rPr>
        <w:t>s okamžitým uvoľňovaním.</w:t>
      </w:r>
    </w:p>
    <w:p w14:paraId="1DDC7590" w14:textId="77777777" w:rsidR="00611AD3" w:rsidRPr="00554C4D" w:rsidRDefault="00611AD3" w:rsidP="00F62A0B">
      <w:pPr>
        <w:pStyle w:val="BodyText"/>
        <w:rPr>
          <w:sz w:val="22"/>
          <w:vertAlign w:val="subscript"/>
        </w:rPr>
      </w:pPr>
      <w:r w:rsidRPr="00554C4D">
        <w:rPr>
          <w:sz w:val="22"/>
        </w:rPr>
        <w:t>V</w:t>
      </w:r>
      <w:r w:rsidR="00015CBC" w:rsidRPr="00554C4D">
        <w:rPr>
          <w:sz w:val="22"/>
        </w:rPr>
        <w:t>ariabilita C</w:t>
      </w:r>
      <w:r w:rsidR="00015CBC" w:rsidRPr="00554C4D">
        <w:rPr>
          <w:sz w:val="22"/>
          <w:vertAlign w:val="subscript"/>
        </w:rPr>
        <w:t>max</w:t>
      </w:r>
      <w:r w:rsidR="00015CBC" w:rsidRPr="00554C4D">
        <w:rPr>
          <w:sz w:val="22"/>
        </w:rPr>
        <w:t xml:space="preserve"> a AUC metformínu s predĺženým uvoľňovaním je porovnateľná s C</w:t>
      </w:r>
      <w:r w:rsidR="00015CBC" w:rsidRPr="00554C4D">
        <w:rPr>
          <w:sz w:val="22"/>
          <w:vertAlign w:val="subscript"/>
        </w:rPr>
        <w:t xml:space="preserve">max </w:t>
      </w:r>
    </w:p>
    <w:p w14:paraId="2D96D3E1" w14:textId="77777777" w:rsidR="00015CBC" w:rsidRPr="00554C4D" w:rsidRDefault="00015CBC">
      <w:pPr>
        <w:pStyle w:val="BodyText"/>
        <w:jc w:val="both"/>
        <w:rPr>
          <w:sz w:val="22"/>
        </w:rPr>
      </w:pPr>
      <w:r w:rsidRPr="00554C4D">
        <w:rPr>
          <w:sz w:val="22"/>
        </w:rPr>
        <w:lastRenderedPageBreak/>
        <w:t>a AUC pozorovanými pri tabletách metformínu s okamžitým uvoľňovaním.</w:t>
      </w:r>
    </w:p>
    <w:p w14:paraId="0E4B2BEB" w14:textId="77777777" w:rsidR="004D76CF" w:rsidRPr="00554C4D" w:rsidRDefault="004D76CF">
      <w:pPr>
        <w:pStyle w:val="BodyText"/>
        <w:jc w:val="both"/>
        <w:rPr>
          <w:sz w:val="22"/>
        </w:rPr>
      </w:pPr>
      <w:r w:rsidRPr="00554C4D">
        <w:rPr>
          <w:sz w:val="22"/>
        </w:rPr>
        <w:t xml:space="preserve">Pri podaní 2 tabliet 500 mg metformínu s predĺženým uvoľňovaním po jedle sa AUC zvýšila asi o </w:t>
      </w:r>
    </w:p>
    <w:p w14:paraId="74E08D4A" w14:textId="77777777" w:rsidR="004D76CF" w:rsidRPr="00554C4D" w:rsidRDefault="008A6E31">
      <w:pPr>
        <w:pStyle w:val="BodyText"/>
        <w:jc w:val="both"/>
        <w:rPr>
          <w:sz w:val="22"/>
        </w:rPr>
      </w:pPr>
      <w:r w:rsidRPr="00554C4D">
        <w:rPr>
          <w:sz w:val="22"/>
        </w:rPr>
        <w:t>7</w:t>
      </w:r>
      <w:r w:rsidR="004D76CF" w:rsidRPr="00554C4D">
        <w:rPr>
          <w:sz w:val="22"/>
        </w:rPr>
        <w:t>0 % ( C</w:t>
      </w:r>
      <w:r w:rsidR="004D76CF" w:rsidRPr="00554C4D">
        <w:rPr>
          <w:sz w:val="22"/>
          <w:vertAlign w:val="subscript"/>
        </w:rPr>
        <w:t>max</w:t>
      </w:r>
      <w:r w:rsidR="004D76CF" w:rsidRPr="00554C4D">
        <w:rPr>
          <w:sz w:val="22"/>
        </w:rPr>
        <w:t xml:space="preserve"> sa zvýšila o 18% a t</w:t>
      </w:r>
      <w:r w:rsidR="004D76CF" w:rsidRPr="00554C4D">
        <w:rPr>
          <w:sz w:val="22"/>
          <w:vertAlign w:val="subscript"/>
        </w:rPr>
        <w:t xml:space="preserve">max </w:t>
      </w:r>
      <w:r w:rsidR="004D76CF" w:rsidRPr="00554C4D">
        <w:rPr>
          <w:sz w:val="22"/>
        </w:rPr>
        <w:t>sa mierne predĺžila, asi o</w:t>
      </w:r>
      <w:r w:rsidRPr="00554C4D">
        <w:rPr>
          <w:sz w:val="22"/>
        </w:rPr>
        <w:t xml:space="preserve"> 1 </w:t>
      </w:r>
      <w:r w:rsidR="004D76CF" w:rsidRPr="00554C4D">
        <w:rPr>
          <w:sz w:val="22"/>
        </w:rPr>
        <w:t>hodinu) oproti podaniu nalačno.</w:t>
      </w:r>
    </w:p>
    <w:p w14:paraId="6599558E" w14:textId="77777777" w:rsidR="004D76CF" w:rsidRPr="00554C4D" w:rsidRDefault="004D76CF" w:rsidP="004D76CF">
      <w:pPr>
        <w:pStyle w:val="BodyText"/>
        <w:jc w:val="both"/>
        <w:rPr>
          <w:sz w:val="22"/>
        </w:rPr>
      </w:pPr>
      <w:r w:rsidRPr="00554C4D">
        <w:rPr>
          <w:sz w:val="22"/>
        </w:rPr>
        <w:t xml:space="preserve">Pri podaní 1 tablety 1000 mg metformínu s predĺženým uvoľňovaním po jedle sa AUC zvýšila asi o </w:t>
      </w:r>
    </w:p>
    <w:p w14:paraId="46740439" w14:textId="77777777" w:rsidR="004D76CF" w:rsidRPr="00554C4D" w:rsidRDefault="008A6E31" w:rsidP="004D76CF">
      <w:pPr>
        <w:pStyle w:val="BodyText"/>
        <w:jc w:val="both"/>
        <w:rPr>
          <w:sz w:val="22"/>
        </w:rPr>
      </w:pPr>
      <w:r w:rsidRPr="00554C4D">
        <w:rPr>
          <w:sz w:val="22"/>
        </w:rPr>
        <w:t>77</w:t>
      </w:r>
      <w:r w:rsidR="004D76CF" w:rsidRPr="00554C4D">
        <w:rPr>
          <w:sz w:val="22"/>
        </w:rPr>
        <w:t xml:space="preserve"> % ( C</w:t>
      </w:r>
      <w:r w:rsidR="004D76CF" w:rsidRPr="00554C4D">
        <w:rPr>
          <w:sz w:val="22"/>
          <w:vertAlign w:val="subscript"/>
        </w:rPr>
        <w:t>max</w:t>
      </w:r>
      <w:r w:rsidR="004D76CF" w:rsidRPr="00554C4D">
        <w:rPr>
          <w:sz w:val="22"/>
        </w:rPr>
        <w:t xml:space="preserve"> sa zvýšila o </w:t>
      </w:r>
      <w:r w:rsidRPr="00554C4D">
        <w:rPr>
          <w:sz w:val="22"/>
        </w:rPr>
        <w:t>26</w:t>
      </w:r>
      <w:r w:rsidR="004D76CF" w:rsidRPr="00554C4D">
        <w:rPr>
          <w:sz w:val="22"/>
        </w:rPr>
        <w:t>% a t</w:t>
      </w:r>
      <w:r w:rsidR="004D76CF" w:rsidRPr="00554C4D">
        <w:rPr>
          <w:sz w:val="22"/>
          <w:vertAlign w:val="subscript"/>
        </w:rPr>
        <w:t xml:space="preserve">max </w:t>
      </w:r>
      <w:r w:rsidR="004D76CF" w:rsidRPr="00554C4D">
        <w:rPr>
          <w:sz w:val="22"/>
        </w:rPr>
        <w:t>sa mierne predĺžila, asi o</w:t>
      </w:r>
      <w:r w:rsidRPr="00554C4D">
        <w:rPr>
          <w:sz w:val="22"/>
        </w:rPr>
        <w:t xml:space="preserve"> 1 </w:t>
      </w:r>
      <w:r w:rsidR="004D76CF" w:rsidRPr="00554C4D">
        <w:rPr>
          <w:sz w:val="22"/>
        </w:rPr>
        <w:t>hodinu) oproti podaniu nalačno.</w:t>
      </w:r>
    </w:p>
    <w:p w14:paraId="6BD2DE2A" w14:textId="77777777" w:rsidR="00015CBC" w:rsidRPr="00554C4D" w:rsidRDefault="00015CBC">
      <w:pPr>
        <w:pStyle w:val="BodyText"/>
        <w:jc w:val="both"/>
        <w:rPr>
          <w:sz w:val="22"/>
        </w:rPr>
      </w:pPr>
      <w:r w:rsidRPr="00554C4D">
        <w:rPr>
          <w:sz w:val="22"/>
        </w:rPr>
        <w:t xml:space="preserve">I keď AUC klesne asi o 30 % v prípade, že sa tablety s predĺženým uvoľňovaním podávajú </w:t>
      </w:r>
    </w:p>
    <w:p w14:paraId="13A1DAD6" w14:textId="77777777" w:rsidR="00015CBC" w:rsidRPr="00554C4D" w:rsidRDefault="00015CBC">
      <w:pPr>
        <w:pStyle w:val="BodyText"/>
        <w:jc w:val="both"/>
        <w:rPr>
          <w:sz w:val="22"/>
        </w:rPr>
      </w:pPr>
      <w:r w:rsidRPr="00554C4D">
        <w:rPr>
          <w:sz w:val="22"/>
        </w:rPr>
        <w:t>nalačno, C</w:t>
      </w:r>
      <w:r w:rsidRPr="00554C4D">
        <w:rPr>
          <w:sz w:val="22"/>
          <w:vertAlign w:val="subscript"/>
        </w:rPr>
        <w:t>max</w:t>
      </w:r>
      <w:r w:rsidRPr="00554C4D">
        <w:rPr>
          <w:sz w:val="22"/>
        </w:rPr>
        <w:t xml:space="preserve"> a t</w:t>
      </w:r>
      <w:r w:rsidRPr="00554C4D">
        <w:rPr>
          <w:sz w:val="22"/>
          <w:vertAlign w:val="subscript"/>
        </w:rPr>
        <w:t>max</w:t>
      </w:r>
      <w:r w:rsidRPr="00554C4D">
        <w:rPr>
          <w:sz w:val="22"/>
        </w:rPr>
        <w:t xml:space="preserve"> ostanú nezmenené.</w:t>
      </w:r>
    </w:p>
    <w:p w14:paraId="4354F4AC" w14:textId="77777777" w:rsidR="00015CBC" w:rsidRPr="00554C4D" w:rsidRDefault="00015CBC">
      <w:pPr>
        <w:pStyle w:val="BodyText"/>
        <w:rPr>
          <w:sz w:val="22"/>
        </w:rPr>
      </w:pPr>
      <w:r w:rsidRPr="00554C4D">
        <w:rPr>
          <w:sz w:val="22"/>
        </w:rPr>
        <w:t>Absorpcia metformínu s predĺženým uvoľňovaním nie je ovplyvnená zložením jedla.</w:t>
      </w:r>
    </w:p>
    <w:p w14:paraId="2D3B356A" w14:textId="77777777" w:rsidR="006F0867" w:rsidRPr="00554C4D" w:rsidRDefault="008A6E31">
      <w:pPr>
        <w:pStyle w:val="BodyText"/>
        <w:jc w:val="both"/>
        <w:rPr>
          <w:sz w:val="22"/>
        </w:rPr>
      </w:pPr>
      <w:r w:rsidRPr="00554C4D">
        <w:rPr>
          <w:sz w:val="22"/>
        </w:rPr>
        <w:t>Nepozorovala sa a</w:t>
      </w:r>
      <w:r w:rsidR="00015CBC" w:rsidRPr="00554C4D">
        <w:rPr>
          <w:sz w:val="22"/>
        </w:rPr>
        <w:t xml:space="preserve">kumulácia po opakovanom podaní až do 2000 mg metformínu v tabletách </w:t>
      </w:r>
    </w:p>
    <w:p w14:paraId="537CEF8F" w14:textId="77777777" w:rsidR="007E78A6" w:rsidRPr="00554C4D" w:rsidRDefault="00015CBC">
      <w:pPr>
        <w:pStyle w:val="BodyText"/>
        <w:jc w:val="both"/>
        <w:rPr>
          <w:sz w:val="22"/>
        </w:rPr>
      </w:pPr>
      <w:r w:rsidRPr="00554C4D">
        <w:rPr>
          <w:sz w:val="22"/>
        </w:rPr>
        <w:t>s predĺženým uvoľňovaním</w:t>
      </w:r>
      <w:r w:rsidR="008A6E31" w:rsidRPr="00554C4D">
        <w:rPr>
          <w:sz w:val="22"/>
        </w:rPr>
        <w:t>.</w:t>
      </w:r>
    </w:p>
    <w:p w14:paraId="7AFF28CC" w14:textId="77777777" w:rsidR="00015CBC" w:rsidRPr="00554C4D" w:rsidRDefault="00015CBC">
      <w:pPr>
        <w:pStyle w:val="BodyText"/>
        <w:jc w:val="both"/>
        <w:rPr>
          <w:sz w:val="22"/>
        </w:rPr>
      </w:pPr>
    </w:p>
    <w:p w14:paraId="29CD10DF" w14:textId="77777777" w:rsidR="00015CBC" w:rsidRPr="00554C4D" w:rsidRDefault="00015CBC">
      <w:pPr>
        <w:pStyle w:val="BodyText"/>
        <w:jc w:val="both"/>
        <w:rPr>
          <w:sz w:val="22"/>
          <w:u w:val="single"/>
        </w:rPr>
      </w:pPr>
      <w:r w:rsidRPr="00554C4D">
        <w:rPr>
          <w:sz w:val="22"/>
          <w:u w:val="single"/>
        </w:rPr>
        <w:t>Distribúcia</w:t>
      </w:r>
    </w:p>
    <w:p w14:paraId="3B0D111B" w14:textId="77777777" w:rsidR="00015CBC" w:rsidRPr="00554C4D" w:rsidRDefault="00015CBC">
      <w:pPr>
        <w:pStyle w:val="BodyText"/>
        <w:rPr>
          <w:sz w:val="22"/>
        </w:rPr>
      </w:pPr>
      <w:r w:rsidRPr="00554C4D">
        <w:rPr>
          <w:sz w:val="22"/>
        </w:rPr>
        <w:t xml:space="preserve">Väzba na plazmatické bielkoviny je zanedbateľná. Metformín prechádza do erytrocytov. </w:t>
      </w:r>
    </w:p>
    <w:p w14:paraId="7F560754" w14:textId="77777777" w:rsidR="008A6E31" w:rsidRPr="00554C4D" w:rsidRDefault="00015CBC">
      <w:pPr>
        <w:pStyle w:val="BodyText"/>
        <w:jc w:val="both"/>
        <w:rPr>
          <w:sz w:val="22"/>
        </w:rPr>
      </w:pPr>
      <w:r w:rsidRPr="00554C4D">
        <w:rPr>
          <w:sz w:val="22"/>
        </w:rPr>
        <w:t xml:space="preserve">Maximálne hladiny v krvi sú nižšie ako maximálne hladiny v plazme a </w:t>
      </w:r>
      <w:r w:rsidR="008A6E31" w:rsidRPr="00554C4D">
        <w:rPr>
          <w:sz w:val="22"/>
        </w:rPr>
        <w:t xml:space="preserve">dosiahnu </w:t>
      </w:r>
      <w:r w:rsidRPr="00554C4D">
        <w:rPr>
          <w:sz w:val="22"/>
        </w:rPr>
        <w:t xml:space="preserve">sa približne </w:t>
      </w:r>
    </w:p>
    <w:p w14:paraId="22642F82" w14:textId="77777777" w:rsidR="00015CBC" w:rsidRPr="00554C4D" w:rsidRDefault="00015CBC">
      <w:pPr>
        <w:pStyle w:val="BodyText"/>
        <w:jc w:val="both"/>
        <w:rPr>
          <w:sz w:val="22"/>
        </w:rPr>
      </w:pPr>
      <w:r w:rsidRPr="00554C4D">
        <w:rPr>
          <w:sz w:val="22"/>
        </w:rPr>
        <w:t xml:space="preserve">v rovnakom čase. Erytrocyty predstavujú s najväčšou pravdepodobnosťou sekundárny </w:t>
      </w:r>
    </w:p>
    <w:p w14:paraId="787F49CB" w14:textId="77777777" w:rsidR="00015CBC" w:rsidRPr="00554C4D" w:rsidRDefault="00015CBC">
      <w:pPr>
        <w:pStyle w:val="BodyText"/>
        <w:jc w:val="both"/>
        <w:rPr>
          <w:sz w:val="22"/>
        </w:rPr>
      </w:pPr>
      <w:r w:rsidRPr="00554C4D">
        <w:rPr>
          <w:sz w:val="22"/>
        </w:rPr>
        <w:t xml:space="preserve">distribučný kompartment. </w:t>
      </w:r>
      <w:r w:rsidR="00AA7F1D" w:rsidRPr="00554C4D">
        <w:rPr>
          <w:sz w:val="22"/>
        </w:rPr>
        <w:t xml:space="preserve">Priemerný </w:t>
      </w:r>
      <w:r w:rsidRPr="00554C4D">
        <w:rPr>
          <w:sz w:val="22"/>
        </w:rPr>
        <w:t>distribučný objem V</w:t>
      </w:r>
      <w:r w:rsidRPr="00554C4D">
        <w:rPr>
          <w:sz w:val="22"/>
          <w:vertAlign w:val="subscript"/>
        </w:rPr>
        <w:t xml:space="preserve">d </w:t>
      </w:r>
      <w:r w:rsidRPr="00554C4D">
        <w:rPr>
          <w:sz w:val="22"/>
        </w:rPr>
        <w:t>sa pohybuje od 63 do 276 l.</w:t>
      </w:r>
    </w:p>
    <w:p w14:paraId="463EDA18" w14:textId="77777777" w:rsidR="006E5D75" w:rsidRPr="00554C4D" w:rsidRDefault="006E5D75">
      <w:pPr>
        <w:pStyle w:val="BodyText"/>
        <w:jc w:val="both"/>
        <w:rPr>
          <w:sz w:val="22"/>
        </w:rPr>
      </w:pPr>
    </w:p>
    <w:p w14:paraId="7441B38A" w14:textId="77777777" w:rsidR="00015CBC" w:rsidRPr="00554C4D" w:rsidRDefault="00501D2C">
      <w:pPr>
        <w:pStyle w:val="BodyText"/>
        <w:jc w:val="both"/>
        <w:rPr>
          <w:sz w:val="22"/>
          <w:u w:val="single"/>
        </w:rPr>
      </w:pPr>
      <w:r w:rsidRPr="00554C4D">
        <w:rPr>
          <w:sz w:val="22"/>
          <w:u w:val="single"/>
        </w:rPr>
        <w:t>Biotransformácia</w:t>
      </w:r>
    </w:p>
    <w:p w14:paraId="1791B9C2" w14:textId="77777777" w:rsidR="00015CBC" w:rsidRPr="00554C4D" w:rsidRDefault="00015CBC">
      <w:pPr>
        <w:pStyle w:val="BodyText"/>
        <w:jc w:val="both"/>
        <w:rPr>
          <w:sz w:val="22"/>
        </w:rPr>
      </w:pPr>
      <w:r w:rsidRPr="00554C4D">
        <w:rPr>
          <w:sz w:val="22"/>
        </w:rPr>
        <w:t xml:space="preserve">Metformín sa vylučuje v nezmenenej forme močom. U človeka neboli identifikované žiadne </w:t>
      </w:r>
    </w:p>
    <w:p w14:paraId="4C900E6F" w14:textId="77777777" w:rsidR="00015CBC" w:rsidRPr="00554C4D" w:rsidRDefault="00015CBC">
      <w:pPr>
        <w:pStyle w:val="BodyText"/>
        <w:jc w:val="both"/>
        <w:rPr>
          <w:sz w:val="22"/>
        </w:rPr>
      </w:pPr>
      <w:r w:rsidRPr="00554C4D">
        <w:rPr>
          <w:sz w:val="22"/>
        </w:rPr>
        <w:t>metabolity.</w:t>
      </w:r>
    </w:p>
    <w:p w14:paraId="4D8692B0" w14:textId="77777777" w:rsidR="00501D2C" w:rsidRPr="00554C4D" w:rsidRDefault="00501D2C">
      <w:pPr>
        <w:pStyle w:val="BodyText"/>
        <w:jc w:val="both"/>
        <w:rPr>
          <w:sz w:val="22"/>
        </w:rPr>
      </w:pPr>
    </w:p>
    <w:p w14:paraId="3EB64606" w14:textId="77777777" w:rsidR="00015CBC" w:rsidRPr="00554C4D" w:rsidRDefault="00015CBC">
      <w:pPr>
        <w:pStyle w:val="BodyText"/>
        <w:jc w:val="both"/>
        <w:rPr>
          <w:sz w:val="22"/>
          <w:u w:val="single"/>
        </w:rPr>
      </w:pPr>
      <w:r w:rsidRPr="00554C4D">
        <w:rPr>
          <w:sz w:val="22"/>
          <w:u w:val="single"/>
        </w:rPr>
        <w:t>Eliminácia</w:t>
      </w:r>
    </w:p>
    <w:p w14:paraId="71A93715" w14:textId="77777777" w:rsidR="00015CBC" w:rsidRPr="00554C4D" w:rsidRDefault="00015CBC">
      <w:pPr>
        <w:pStyle w:val="BodyText"/>
        <w:jc w:val="both"/>
        <w:rPr>
          <w:sz w:val="22"/>
        </w:rPr>
      </w:pPr>
      <w:r w:rsidRPr="00554C4D">
        <w:rPr>
          <w:sz w:val="22"/>
        </w:rPr>
        <w:t xml:space="preserve">Renálny klírens metformínu je </w:t>
      </w:r>
      <w:r w:rsidRPr="00554C4D">
        <w:rPr>
          <w:sz w:val="22"/>
        </w:rPr>
        <w:sym w:font="Symbol" w:char="F03E"/>
      </w:r>
      <w:r w:rsidRPr="00554C4D">
        <w:rPr>
          <w:sz w:val="22"/>
        </w:rPr>
        <w:t xml:space="preserve"> 400 ml/min, čo naznačuje, že metformín sa vylučuje </w:t>
      </w:r>
    </w:p>
    <w:p w14:paraId="03B317D8" w14:textId="77777777" w:rsidR="00015CBC" w:rsidRPr="00554C4D" w:rsidRDefault="00015CBC">
      <w:pPr>
        <w:pStyle w:val="BodyText"/>
        <w:jc w:val="both"/>
        <w:rPr>
          <w:sz w:val="22"/>
        </w:rPr>
      </w:pPr>
      <w:r w:rsidRPr="00554C4D">
        <w:rPr>
          <w:sz w:val="22"/>
        </w:rPr>
        <w:t xml:space="preserve">glomerulárnou filtráciou a tubulárnou sekréciou. Ukazuje sa, že po perorálnom podaní </w:t>
      </w:r>
    </w:p>
    <w:p w14:paraId="08A66CA6" w14:textId="77777777" w:rsidR="00015CBC" w:rsidRPr="00554C4D" w:rsidRDefault="00015CBC">
      <w:pPr>
        <w:pStyle w:val="BodyText"/>
        <w:jc w:val="both"/>
        <w:rPr>
          <w:sz w:val="22"/>
        </w:rPr>
      </w:pPr>
      <w:r w:rsidRPr="00554C4D">
        <w:rPr>
          <w:sz w:val="22"/>
        </w:rPr>
        <w:t xml:space="preserve">je </w:t>
      </w:r>
      <w:r w:rsidR="00AA7F1D" w:rsidRPr="00554C4D">
        <w:rPr>
          <w:sz w:val="22"/>
        </w:rPr>
        <w:t xml:space="preserve">zdanlivý </w:t>
      </w:r>
      <w:r w:rsidRPr="00554C4D">
        <w:rPr>
          <w:sz w:val="22"/>
        </w:rPr>
        <w:t xml:space="preserve">eliminačný polčas približne 6,5 hodiny. </w:t>
      </w:r>
    </w:p>
    <w:p w14:paraId="73A2D21A" w14:textId="77777777" w:rsidR="00015CBC" w:rsidRPr="00554C4D" w:rsidRDefault="00015CBC">
      <w:pPr>
        <w:pStyle w:val="BodyText"/>
        <w:jc w:val="both"/>
        <w:rPr>
          <w:sz w:val="22"/>
        </w:rPr>
      </w:pPr>
      <w:r w:rsidRPr="00554C4D">
        <w:rPr>
          <w:sz w:val="22"/>
        </w:rPr>
        <w:t xml:space="preserve">Pri poruche funkcie obličiek je renálny klírens znížený v porovnaní s kreatinínom, a preto je  </w:t>
      </w:r>
    </w:p>
    <w:p w14:paraId="48631952" w14:textId="77777777" w:rsidR="00015CBC" w:rsidRPr="00554C4D" w:rsidRDefault="00015CBC">
      <w:pPr>
        <w:pStyle w:val="BodyText"/>
        <w:jc w:val="both"/>
        <w:rPr>
          <w:sz w:val="22"/>
        </w:rPr>
      </w:pPr>
      <w:r w:rsidRPr="00554C4D">
        <w:rPr>
          <w:sz w:val="22"/>
        </w:rPr>
        <w:t>eliminačný polčas predĺžený, čo vedie k zvýšeným hladinám metformínu v plazme.</w:t>
      </w:r>
    </w:p>
    <w:p w14:paraId="1CCF2B98" w14:textId="77777777" w:rsidR="00E11AA8" w:rsidRPr="00554C4D" w:rsidRDefault="00E11AA8">
      <w:pPr>
        <w:pStyle w:val="BodyText"/>
        <w:jc w:val="both"/>
        <w:rPr>
          <w:sz w:val="22"/>
        </w:rPr>
      </w:pPr>
    </w:p>
    <w:p w14:paraId="52C820A9" w14:textId="77777777" w:rsidR="00E11AA8" w:rsidRPr="00554C4D" w:rsidRDefault="00E11AA8" w:rsidP="00D31B51">
      <w:pPr>
        <w:jc w:val="both"/>
        <w:rPr>
          <w:sz w:val="22"/>
          <w:szCs w:val="22"/>
          <w:u w:val="single"/>
        </w:rPr>
      </w:pPr>
      <w:r w:rsidRPr="00554C4D">
        <w:rPr>
          <w:sz w:val="22"/>
          <w:szCs w:val="22"/>
          <w:u w:val="single"/>
        </w:rPr>
        <w:t>Charakteristiky v špecifických skupinách pacientov</w:t>
      </w:r>
    </w:p>
    <w:p w14:paraId="6299E74F" w14:textId="77777777" w:rsidR="00E11AA8" w:rsidRPr="00554C4D" w:rsidRDefault="00E11AA8" w:rsidP="00D31B51">
      <w:pPr>
        <w:ind w:left="3360"/>
        <w:jc w:val="both"/>
        <w:rPr>
          <w:sz w:val="22"/>
          <w:szCs w:val="22"/>
          <w:u w:val="single"/>
        </w:rPr>
      </w:pPr>
    </w:p>
    <w:p w14:paraId="454B9B77" w14:textId="77777777" w:rsidR="00E11AA8" w:rsidRPr="00554C4D" w:rsidRDefault="00E11AA8" w:rsidP="00D31B51">
      <w:pPr>
        <w:jc w:val="both"/>
        <w:rPr>
          <w:sz w:val="22"/>
          <w:szCs w:val="22"/>
          <w:u w:val="single"/>
        </w:rPr>
      </w:pPr>
      <w:r w:rsidRPr="00554C4D">
        <w:rPr>
          <w:sz w:val="22"/>
          <w:szCs w:val="22"/>
          <w:u w:val="single"/>
        </w:rPr>
        <w:t>Poškodenie obličiek</w:t>
      </w:r>
    </w:p>
    <w:p w14:paraId="0097EEF0" w14:textId="77777777" w:rsidR="00E11AA8" w:rsidRPr="00554C4D" w:rsidRDefault="00E11AA8" w:rsidP="00D31B51">
      <w:pPr>
        <w:jc w:val="both"/>
        <w:rPr>
          <w:sz w:val="22"/>
          <w:szCs w:val="22"/>
        </w:rPr>
      </w:pPr>
      <w:r w:rsidRPr="00554C4D">
        <w:rPr>
          <w:sz w:val="22"/>
          <w:szCs w:val="22"/>
        </w:rPr>
        <w:t>Dostupné údaje týkajúce sa pacientov s miernou renálnou insuficienciou sú nedostatočné a v tejto podskupine sa nedá spoľahlivo určiť systémovú expozíciu metformínu na rozdiel od subjektov s normálnymi renálnymi funkciami. Preto je treba prispôsobiť dávkovanie s prihliadnutím na klinickú účinnosť/znášanlivosť (pozri časť 4.2).</w:t>
      </w:r>
    </w:p>
    <w:p w14:paraId="5FB62455" w14:textId="77777777" w:rsidR="008F7D63" w:rsidRPr="00554C4D" w:rsidRDefault="008F7D63">
      <w:pPr>
        <w:pStyle w:val="BodyText"/>
        <w:jc w:val="both"/>
        <w:rPr>
          <w:b/>
          <w:sz w:val="22"/>
        </w:rPr>
      </w:pPr>
    </w:p>
    <w:p w14:paraId="699CC517" w14:textId="77777777" w:rsidR="00015CBC" w:rsidRPr="00554C4D" w:rsidRDefault="00015CBC">
      <w:pPr>
        <w:pStyle w:val="BodyText"/>
        <w:jc w:val="both"/>
        <w:rPr>
          <w:b/>
          <w:sz w:val="22"/>
        </w:rPr>
      </w:pPr>
      <w:r w:rsidRPr="00554C4D">
        <w:rPr>
          <w:b/>
          <w:sz w:val="22"/>
        </w:rPr>
        <w:t xml:space="preserve">5.3 </w:t>
      </w:r>
      <w:r w:rsidR="00584272" w:rsidRPr="00554C4D">
        <w:rPr>
          <w:b/>
          <w:sz w:val="22"/>
        </w:rPr>
        <w:tab/>
      </w:r>
      <w:r w:rsidRPr="00554C4D">
        <w:rPr>
          <w:b/>
          <w:sz w:val="22"/>
        </w:rPr>
        <w:t>Predklinické údaje o bezpečnosti</w:t>
      </w:r>
    </w:p>
    <w:p w14:paraId="3E420475" w14:textId="77777777" w:rsidR="00015CBC" w:rsidRPr="00554C4D" w:rsidRDefault="00015CBC">
      <w:pPr>
        <w:pStyle w:val="BodyText"/>
        <w:jc w:val="both"/>
        <w:rPr>
          <w:sz w:val="22"/>
        </w:rPr>
      </w:pPr>
    </w:p>
    <w:p w14:paraId="05B1D513" w14:textId="77777777" w:rsidR="00015CBC" w:rsidRPr="00554C4D" w:rsidRDefault="008F7D63">
      <w:pPr>
        <w:pStyle w:val="BodyText"/>
        <w:jc w:val="both"/>
        <w:rPr>
          <w:sz w:val="22"/>
        </w:rPr>
      </w:pPr>
      <w:r w:rsidRPr="00554C4D">
        <w:rPr>
          <w:sz w:val="22"/>
          <w:szCs w:val="22"/>
        </w:rPr>
        <w:t>Predklinické údaje na základe obvyklých farmakologických štúdií bezpečnosti, toxicity po opakovanom podávaní, genotoxicity, karcinogénneho potenciálu a reprodukčnej toxicity neodhalili žiadne osobitné riziko pre ľudí</w:t>
      </w:r>
    </w:p>
    <w:p w14:paraId="1247E1D8" w14:textId="77777777" w:rsidR="006F0867" w:rsidRPr="00554C4D" w:rsidRDefault="006F0867">
      <w:pPr>
        <w:pStyle w:val="BodyText"/>
        <w:jc w:val="both"/>
        <w:rPr>
          <w:sz w:val="22"/>
        </w:rPr>
      </w:pPr>
    </w:p>
    <w:p w14:paraId="6AAFC7D3" w14:textId="77777777" w:rsidR="008F7D63" w:rsidRPr="00554C4D" w:rsidRDefault="008F7D63">
      <w:pPr>
        <w:pStyle w:val="BodyText"/>
        <w:jc w:val="both"/>
        <w:rPr>
          <w:sz w:val="22"/>
        </w:rPr>
      </w:pPr>
    </w:p>
    <w:p w14:paraId="7491D7DE" w14:textId="77777777" w:rsidR="00015CBC" w:rsidRPr="00554C4D" w:rsidRDefault="00015CBC">
      <w:pPr>
        <w:pStyle w:val="BodyText"/>
        <w:jc w:val="both"/>
        <w:rPr>
          <w:b/>
          <w:sz w:val="22"/>
        </w:rPr>
      </w:pPr>
      <w:r w:rsidRPr="00554C4D">
        <w:rPr>
          <w:b/>
          <w:sz w:val="22"/>
        </w:rPr>
        <w:t>6.</w:t>
      </w:r>
      <w:r w:rsidR="00C10448" w:rsidRPr="00554C4D">
        <w:rPr>
          <w:b/>
          <w:sz w:val="22"/>
        </w:rPr>
        <w:tab/>
      </w:r>
      <w:r w:rsidRPr="00554C4D">
        <w:rPr>
          <w:b/>
          <w:sz w:val="22"/>
        </w:rPr>
        <w:t xml:space="preserve">FARMACEUTICKÉ INFORMÁCIE </w:t>
      </w:r>
    </w:p>
    <w:p w14:paraId="1A136745" w14:textId="77777777" w:rsidR="00015CBC" w:rsidRPr="00554C4D" w:rsidRDefault="00015CBC">
      <w:pPr>
        <w:pStyle w:val="BodyText"/>
        <w:jc w:val="both"/>
        <w:rPr>
          <w:b/>
          <w:sz w:val="22"/>
        </w:rPr>
      </w:pPr>
    </w:p>
    <w:p w14:paraId="756D9336" w14:textId="77777777" w:rsidR="00015CBC" w:rsidRPr="00554C4D" w:rsidRDefault="00015CBC">
      <w:pPr>
        <w:pStyle w:val="BodyText"/>
        <w:jc w:val="both"/>
        <w:rPr>
          <w:b/>
          <w:sz w:val="22"/>
        </w:rPr>
      </w:pPr>
      <w:r w:rsidRPr="00554C4D">
        <w:rPr>
          <w:b/>
          <w:sz w:val="22"/>
        </w:rPr>
        <w:t xml:space="preserve">6.1 </w:t>
      </w:r>
      <w:r w:rsidR="00C10448" w:rsidRPr="00554C4D">
        <w:rPr>
          <w:b/>
          <w:sz w:val="22"/>
        </w:rPr>
        <w:tab/>
      </w:r>
      <w:r w:rsidRPr="00554C4D">
        <w:rPr>
          <w:b/>
          <w:sz w:val="22"/>
        </w:rPr>
        <w:t>Zoznam pomocných látok</w:t>
      </w:r>
    </w:p>
    <w:p w14:paraId="07B573F5" w14:textId="77777777" w:rsidR="00C10448" w:rsidRPr="00554C4D" w:rsidRDefault="00C10448">
      <w:pPr>
        <w:pStyle w:val="BodyText"/>
        <w:jc w:val="both"/>
        <w:rPr>
          <w:b/>
          <w:sz w:val="22"/>
        </w:rPr>
      </w:pPr>
    </w:p>
    <w:p w14:paraId="572E42DD" w14:textId="77777777" w:rsidR="008F7D63" w:rsidRPr="00554C4D" w:rsidRDefault="00E90E30" w:rsidP="00540148">
      <w:pPr>
        <w:rPr>
          <w:sz w:val="22"/>
          <w:szCs w:val="22"/>
        </w:rPr>
      </w:pPr>
      <w:r w:rsidRPr="00554C4D">
        <w:rPr>
          <w:sz w:val="22"/>
          <w:szCs w:val="22"/>
        </w:rPr>
        <w:t>stearát</w:t>
      </w:r>
      <w:r w:rsidR="0088088D" w:rsidRPr="00554C4D">
        <w:rPr>
          <w:sz w:val="22"/>
          <w:szCs w:val="22"/>
        </w:rPr>
        <w:t xml:space="preserve"> horečnatý</w:t>
      </w:r>
    </w:p>
    <w:p w14:paraId="24C7EF5B" w14:textId="77777777" w:rsidR="008F7D63" w:rsidRPr="00554C4D" w:rsidRDefault="00B54F88" w:rsidP="00540148">
      <w:pPr>
        <w:rPr>
          <w:sz w:val="22"/>
          <w:szCs w:val="22"/>
        </w:rPr>
      </w:pPr>
      <w:r w:rsidRPr="00554C4D">
        <w:rPr>
          <w:sz w:val="22"/>
          <w:szCs w:val="22"/>
        </w:rPr>
        <w:t>s</w:t>
      </w:r>
      <w:r w:rsidR="00225AFB" w:rsidRPr="00554C4D">
        <w:rPr>
          <w:sz w:val="22"/>
          <w:szCs w:val="22"/>
        </w:rPr>
        <w:t xml:space="preserve">odná soľ </w:t>
      </w:r>
      <w:r w:rsidR="002D3A12" w:rsidRPr="00554C4D">
        <w:rPr>
          <w:sz w:val="22"/>
          <w:szCs w:val="22"/>
        </w:rPr>
        <w:t>karboxymetylcelulózy</w:t>
      </w:r>
    </w:p>
    <w:p w14:paraId="25362C15" w14:textId="77777777" w:rsidR="00225AFB" w:rsidRPr="00554C4D" w:rsidRDefault="00B54F88" w:rsidP="00540148">
      <w:pPr>
        <w:rPr>
          <w:sz w:val="22"/>
          <w:szCs w:val="22"/>
        </w:rPr>
      </w:pPr>
      <w:r w:rsidRPr="00554C4D">
        <w:rPr>
          <w:sz w:val="22"/>
          <w:szCs w:val="22"/>
        </w:rPr>
        <w:t>h</w:t>
      </w:r>
      <w:r w:rsidR="00225AFB" w:rsidRPr="00554C4D">
        <w:rPr>
          <w:sz w:val="22"/>
          <w:szCs w:val="22"/>
        </w:rPr>
        <w:t>ypromelóza</w:t>
      </w:r>
    </w:p>
    <w:p w14:paraId="2A45FA0C" w14:textId="77777777" w:rsidR="00C10448" w:rsidRPr="00554C4D" w:rsidRDefault="00C10448" w:rsidP="00FA7901">
      <w:pPr>
        <w:pStyle w:val="BodyText"/>
        <w:rPr>
          <w:sz w:val="22"/>
        </w:rPr>
      </w:pPr>
    </w:p>
    <w:p w14:paraId="59965EB9" w14:textId="77777777" w:rsidR="00015CBC" w:rsidRPr="00554C4D" w:rsidRDefault="00015CBC">
      <w:pPr>
        <w:pStyle w:val="BodyText"/>
        <w:jc w:val="both"/>
        <w:rPr>
          <w:b/>
          <w:sz w:val="22"/>
        </w:rPr>
      </w:pPr>
      <w:r w:rsidRPr="00554C4D">
        <w:rPr>
          <w:b/>
          <w:sz w:val="22"/>
        </w:rPr>
        <w:t xml:space="preserve">6.2 </w:t>
      </w:r>
      <w:r w:rsidR="00C10448" w:rsidRPr="00554C4D">
        <w:rPr>
          <w:b/>
          <w:sz w:val="22"/>
        </w:rPr>
        <w:tab/>
      </w:r>
      <w:r w:rsidRPr="00554C4D">
        <w:rPr>
          <w:b/>
          <w:sz w:val="22"/>
        </w:rPr>
        <w:t>Inkompatibility</w:t>
      </w:r>
    </w:p>
    <w:p w14:paraId="78BCBA2B" w14:textId="77777777" w:rsidR="00015CBC" w:rsidRPr="00554C4D" w:rsidRDefault="00015CBC">
      <w:pPr>
        <w:pStyle w:val="BodyText"/>
        <w:jc w:val="both"/>
        <w:rPr>
          <w:sz w:val="22"/>
        </w:rPr>
      </w:pPr>
    </w:p>
    <w:p w14:paraId="7B3EF117" w14:textId="77777777" w:rsidR="00015CBC" w:rsidRPr="00554C4D" w:rsidRDefault="008F7D63">
      <w:pPr>
        <w:pStyle w:val="BodyText"/>
        <w:jc w:val="both"/>
        <w:rPr>
          <w:sz w:val="22"/>
        </w:rPr>
      </w:pPr>
      <w:r w:rsidRPr="00554C4D">
        <w:rPr>
          <w:sz w:val="22"/>
        </w:rPr>
        <w:t>Neaplikovateľné</w:t>
      </w:r>
      <w:r w:rsidR="00C10448" w:rsidRPr="00554C4D">
        <w:rPr>
          <w:sz w:val="22"/>
        </w:rPr>
        <w:t>.</w:t>
      </w:r>
    </w:p>
    <w:p w14:paraId="38B3E7BB" w14:textId="77777777" w:rsidR="00015CBC" w:rsidRPr="00554C4D" w:rsidRDefault="00015CBC">
      <w:pPr>
        <w:pStyle w:val="BodyText"/>
        <w:jc w:val="both"/>
        <w:rPr>
          <w:sz w:val="22"/>
        </w:rPr>
      </w:pPr>
    </w:p>
    <w:p w14:paraId="68CDCBD2" w14:textId="77777777" w:rsidR="00015CBC" w:rsidRPr="00554C4D" w:rsidRDefault="00015CBC">
      <w:pPr>
        <w:pStyle w:val="BodyText"/>
        <w:jc w:val="both"/>
        <w:rPr>
          <w:b/>
          <w:sz w:val="22"/>
        </w:rPr>
      </w:pPr>
      <w:r w:rsidRPr="00554C4D">
        <w:rPr>
          <w:b/>
          <w:sz w:val="22"/>
        </w:rPr>
        <w:t xml:space="preserve">6.3 </w:t>
      </w:r>
      <w:r w:rsidR="00C10448" w:rsidRPr="00554C4D">
        <w:rPr>
          <w:b/>
          <w:sz w:val="22"/>
        </w:rPr>
        <w:tab/>
      </w:r>
      <w:r w:rsidRPr="00554C4D">
        <w:rPr>
          <w:b/>
          <w:sz w:val="22"/>
        </w:rPr>
        <w:t>Čas použiteľnosti</w:t>
      </w:r>
    </w:p>
    <w:p w14:paraId="3A111DCB" w14:textId="77777777" w:rsidR="00015CBC" w:rsidRPr="00554C4D" w:rsidRDefault="00015CBC">
      <w:pPr>
        <w:pStyle w:val="BodyText"/>
        <w:jc w:val="both"/>
        <w:rPr>
          <w:sz w:val="22"/>
        </w:rPr>
      </w:pPr>
    </w:p>
    <w:p w14:paraId="3DB0BACE" w14:textId="05B15E89" w:rsidR="00015CBC" w:rsidRPr="00554C4D" w:rsidRDefault="00994E1A">
      <w:pPr>
        <w:pStyle w:val="BodyText"/>
        <w:jc w:val="both"/>
        <w:rPr>
          <w:sz w:val="22"/>
        </w:rPr>
      </w:pPr>
      <w:r w:rsidRPr="00554C4D">
        <w:rPr>
          <w:sz w:val="22"/>
        </w:rPr>
        <w:t xml:space="preserve">4 </w:t>
      </w:r>
      <w:r w:rsidR="00015CBC" w:rsidRPr="00554C4D">
        <w:rPr>
          <w:sz w:val="22"/>
        </w:rPr>
        <w:t>roky</w:t>
      </w:r>
    </w:p>
    <w:p w14:paraId="3FFB444E" w14:textId="77777777" w:rsidR="00015CBC" w:rsidRPr="00554C4D" w:rsidRDefault="00015CBC">
      <w:pPr>
        <w:pStyle w:val="BodyText"/>
        <w:jc w:val="both"/>
        <w:rPr>
          <w:b/>
          <w:sz w:val="22"/>
        </w:rPr>
      </w:pPr>
    </w:p>
    <w:p w14:paraId="25784B84" w14:textId="77777777" w:rsidR="00015CBC" w:rsidRPr="00554C4D" w:rsidRDefault="006F46A0">
      <w:pPr>
        <w:pStyle w:val="BodyText"/>
        <w:numPr>
          <w:ilvl w:val="1"/>
          <w:numId w:val="6"/>
        </w:numPr>
        <w:jc w:val="both"/>
        <w:rPr>
          <w:b/>
          <w:sz w:val="22"/>
        </w:rPr>
      </w:pPr>
      <w:r w:rsidRPr="00554C4D">
        <w:rPr>
          <w:b/>
          <w:sz w:val="22"/>
        </w:rPr>
        <w:t xml:space="preserve"> </w:t>
      </w:r>
      <w:r w:rsidR="00971B79" w:rsidRPr="00554C4D">
        <w:rPr>
          <w:b/>
          <w:sz w:val="22"/>
        </w:rPr>
        <w:t>Špeciálne upozornenia na uchovávanie</w:t>
      </w:r>
    </w:p>
    <w:p w14:paraId="12F5BF01" w14:textId="77777777" w:rsidR="00C10448" w:rsidRPr="00554C4D" w:rsidRDefault="00C10448" w:rsidP="00FA7901">
      <w:pPr>
        <w:pStyle w:val="BodyText"/>
        <w:ind w:left="576"/>
        <w:jc w:val="both"/>
        <w:rPr>
          <w:b/>
          <w:sz w:val="22"/>
        </w:rPr>
      </w:pPr>
    </w:p>
    <w:p w14:paraId="78AD37BE" w14:textId="77777777" w:rsidR="00C10448" w:rsidRPr="00554C4D" w:rsidRDefault="00C10448" w:rsidP="00C10448">
      <w:pPr>
        <w:jc w:val="both"/>
        <w:rPr>
          <w:sz w:val="22"/>
          <w:szCs w:val="22"/>
        </w:rPr>
      </w:pPr>
      <w:r w:rsidRPr="00554C4D">
        <w:rPr>
          <w:sz w:val="22"/>
          <w:szCs w:val="22"/>
        </w:rPr>
        <w:t xml:space="preserve">Tento liek nevyžaduje žiadne zvláštne podmienky na uchovávanie. </w:t>
      </w:r>
    </w:p>
    <w:p w14:paraId="28405E93" w14:textId="77777777" w:rsidR="00015CBC" w:rsidRPr="00554C4D" w:rsidRDefault="00015CBC">
      <w:pPr>
        <w:pStyle w:val="BodyText"/>
        <w:jc w:val="both"/>
        <w:rPr>
          <w:sz w:val="22"/>
        </w:rPr>
      </w:pPr>
    </w:p>
    <w:p w14:paraId="4878EC44" w14:textId="0657E8E7" w:rsidR="00015CBC" w:rsidRPr="00554C4D" w:rsidRDefault="00971B79" w:rsidP="00971B79">
      <w:pPr>
        <w:pStyle w:val="BodyText"/>
        <w:jc w:val="both"/>
        <w:rPr>
          <w:b/>
          <w:sz w:val="22"/>
        </w:rPr>
      </w:pPr>
      <w:r w:rsidRPr="00554C4D">
        <w:rPr>
          <w:b/>
          <w:sz w:val="22"/>
        </w:rPr>
        <w:t>6.5</w:t>
      </w:r>
      <w:r w:rsidR="006F46A0" w:rsidRPr="00554C4D">
        <w:rPr>
          <w:b/>
          <w:sz w:val="22"/>
        </w:rPr>
        <w:tab/>
      </w:r>
      <w:r w:rsidRPr="00554C4D">
        <w:rPr>
          <w:b/>
          <w:sz w:val="22"/>
        </w:rPr>
        <w:t>Druh obalu a obsah balenia</w:t>
      </w:r>
    </w:p>
    <w:p w14:paraId="620CD5C0" w14:textId="77777777" w:rsidR="00FA7901" w:rsidRPr="00554C4D" w:rsidRDefault="00FA7901">
      <w:pPr>
        <w:pStyle w:val="BodyText"/>
        <w:jc w:val="both"/>
        <w:rPr>
          <w:sz w:val="22"/>
        </w:rPr>
      </w:pPr>
    </w:p>
    <w:p w14:paraId="217119EB" w14:textId="792F99EA" w:rsidR="00540148" w:rsidRPr="00554C4D" w:rsidRDefault="00540148" w:rsidP="00540148">
      <w:pPr>
        <w:rPr>
          <w:sz w:val="22"/>
          <w:szCs w:val="22"/>
        </w:rPr>
      </w:pPr>
      <w:r w:rsidRPr="00554C4D">
        <w:rPr>
          <w:sz w:val="22"/>
          <w:szCs w:val="22"/>
        </w:rPr>
        <w:t>Glucophage XR je dostupný v  PVC/PVDC/Al blistrových baleniach po 30, 60 tabliet s predĺženým uvoľňovaním.</w:t>
      </w:r>
    </w:p>
    <w:p w14:paraId="0AFC06D2" w14:textId="77777777" w:rsidR="00B54F88" w:rsidRPr="00554C4D" w:rsidRDefault="00B54F88" w:rsidP="00540148">
      <w:pPr>
        <w:rPr>
          <w:sz w:val="22"/>
          <w:szCs w:val="22"/>
        </w:rPr>
      </w:pPr>
    </w:p>
    <w:p w14:paraId="019E4D7B" w14:textId="77777777" w:rsidR="00540148" w:rsidRPr="00554C4D" w:rsidRDefault="00540148" w:rsidP="00540148">
      <w:pPr>
        <w:rPr>
          <w:sz w:val="22"/>
          <w:szCs w:val="22"/>
        </w:rPr>
      </w:pPr>
      <w:r w:rsidRPr="00554C4D">
        <w:rPr>
          <w:sz w:val="22"/>
          <w:szCs w:val="22"/>
        </w:rPr>
        <w:t>Glucophage XR 750 mg  je dostupný v PVC/PVDC/Al blistrových baleniach po 30, 60, 90, 120 a 180 tabliet s predĺženým uvoľňovaním.</w:t>
      </w:r>
    </w:p>
    <w:p w14:paraId="310F1B16" w14:textId="77777777" w:rsidR="00B54F88" w:rsidRPr="00554C4D" w:rsidRDefault="00B54F88" w:rsidP="00540148">
      <w:pPr>
        <w:rPr>
          <w:sz w:val="22"/>
          <w:szCs w:val="22"/>
        </w:rPr>
      </w:pPr>
    </w:p>
    <w:p w14:paraId="2B8EE5B3" w14:textId="0DE9C870" w:rsidR="00540148" w:rsidRPr="00E6668F" w:rsidRDefault="00540148" w:rsidP="00540148">
      <w:pPr>
        <w:rPr>
          <w:sz w:val="22"/>
          <w:szCs w:val="22"/>
        </w:rPr>
      </w:pPr>
      <w:r w:rsidRPr="00554C4D">
        <w:rPr>
          <w:sz w:val="22"/>
          <w:szCs w:val="22"/>
        </w:rPr>
        <w:t>Glucophage XR 1000 mg je dostupný v</w:t>
      </w:r>
      <w:r w:rsidR="00AA3855" w:rsidRPr="00554C4D">
        <w:rPr>
          <w:sz w:val="22"/>
          <w:szCs w:val="22"/>
        </w:rPr>
        <w:t xml:space="preserve"> </w:t>
      </w:r>
      <w:r w:rsidRPr="00554C4D">
        <w:rPr>
          <w:sz w:val="22"/>
          <w:szCs w:val="22"/>
        </w:rPr>
        <w:t xml:space="preserve">PVC/PVDC/Al blistrových baleniach po 14, 20, 28, 30, 50, 56, 60, 84, 90, 100, 112, 120 a 180 tabliet </w:t>
      </w:r>
      <w:r w:rsidRPr="00E6668F">
        <w:rPr>
          <w:sz w:val="22"/>
          <w:szCs w:val="22"/>
        </w:rPr>
        <w:t>s predĺženým uvoľňovaním.</w:t>
      </w:r>
    </w:p>
    <w:p w14:paraId="240EC6AE" w14:textId="77777777" w:rsidR="00540148" w:rsidRPr="00554C4D" w:rsidRDefault="00540148" w:rsidP="00540148">
      <w:pPr>
        <w:rPr>
          <w:sz w:val="22"/>
          <w:szCs w:val="22"/>
        </w:rPr>
      </w:pPr>
    </w:p>
    <w:p w14:paraId="65E8B758" w14:textId="77777777" w:rsidR="00015CBC" w:rsidRPr="00554C4D" w:rsidRDefault="001F1FF6">
      <w:pPr>
        <w:pStyle w:val="BodyText"/>
        <w:jc w:val="both"/>
        <w:rPr>
          <w:sz w:val="22"/>
        </w:rPr>
      </w:pPr>
      <w:r w:rsidRPr="00554C4D">
        <w:rPr>
          <w:sz w:val="22"/>
        </w:rPr>
        <w:t xml:space="preserve">Na trh nemusia byť uvedené </w:t>
      </w:r>
      <w:r w:rsidR="00015CBC" w:rsidRPr="00554C4D">
        <w:rPr>
          <w:sz w:val="22"/>
        </w:rPr>
        <w:t>všetky veľkosti balenia</w:t>
      </w:r>
      <w:r w:rsidRPr="00554C4D">
        <w:rPr>
          <w:sz w:val="22"/>
        </w:rPr>
        <w:t>.</w:t>
      </w:r>
    </w:p>
    <w:p w14:paraId="2BCEA105" w14:textId="77777777" w:rsidR="00015CBC" w:rsidRPr="00554C4D" w:rsidRDefault="00015CBC">
      <w:pPr>
        <w:pStyle w:val="BodyText"/>
        <w:jc w:val="both"/>
        <w:rPr>
          <w:sz w:val="22"/>
        </w:rPr>
      </w:pPr>
    </w:p>
    <w:p w14:paraId="31040A25" w14:textId="77777777" w:rsidR="001F1FF6" w:rsidRPr="00554C4D" w:rsidRDefault="001F1FF6">
      <w:pPr>
        <w:pStyle w:val="BodyText"/>
        <w:jc w:val="both"/>
        <w:rPr>
          <w:sz w:val="22"/>
        </w:rPr>
      </w:pPr>
    </w:p>
    <w:p w14:paraId="0305F24E" w14:textId="77777777" w:rsidR="00015CBC" w:rsidRPr="00554C4D" w:rsidRDefault="00015CBC" w:rsidP="000C5F87">
      <w:pPr>
        <w:pStyle w:val="BodyText"/>
        <w:keepNext/>
        <w:jc w:val="both"/>
        <w:rPr>
          <w:b/>
          <w:sz w:val="22"/>
        </w:rPr>
      </w:pPr>
      <w:r w:rsidRPr="00554C4D">
        <w:rPr>
          <w:b/>
          <w:sz w:val="22"/>
        </w:rPr>
        <w:t>7.</w:t>
      </w:r>
      <w:r w:rsidR="00444173" w:rsidRPr="00554C4D">
        <w:rPr>
          <w:b/>
          <w:sz w:val="22"/>
        </w:rPr>
        <w:tab/>
      </w:r>
      <w:r w:rsidRPr="00554C4D">
        <w:rPr>
          <w:b/>
          <w:sz w:val="22"/>
        </w:rPr>
        <w:t>DRŽITEĽ ROZHODNUTIA O REGISTRÁCII</w:t>
      </w:r>
    </w:p>
    <w:p w14:paraId="162D4B0B" w14:textId="77777777" w:rsidR="009979E1" w:rsidRPr="00554C4D" w:rsidRDefault="009979E1" w:rsidP="000C5F87">
      <w:pPr>
        <w:pStyle w:val="BodyText"/>
        <w:keepNext/>
        <w:jc w:val="both"/>
        <w:rPr>
          <w:sz w:val="22"/>
        </w:rPr>
      </w:pPr>
    </w:p>
    <w:p w14:paraId="62A49B05" w14:textId="77777777" w:rsidR="00012549" w:rsidRPr="00554C4D" w:rsidRDefault="00015CBC" w:rsidP="000C5F87">
      <w:pPr>
        <w:pStyle w:val="BodyText"/>
        <w:keepNext/>
        <w:jc w:val="both"/>
        <w:rPr>
          <w:sz w:val="22"/>
        </w:rPr>
      </w:pPr>
      <w:r w:rsidRPr="00554C4D">
        <w:rPr>
          <w:sz w:val="22"/>
        </w:rPr>
        <w:t>Merck Santé s.a.s.</w:t>
      </w:r>
      <w:r w:rsidR="00D82DAC" w:rsidRPr="00554C4D">
        <w:rPr>
          <w:sz w:val="22"/>
        </w:rPr>
        <w:t xml:space="preserve">, </w:t>
      </w:r>
      <w:r w:rsidR="00D82DAC" w:rsidRPr="00F62A0B">
        <w:rPr>
          <w:sz w:val="22"/>
          <w:szCs w:val="22"/>
        </w:rPr>
        <w:t>37 rue Saint Romain,</w:t>
      </w:r>
      <w:r w:rsidR="00012549" w:rsidRPr="00554C4D">
        <w:rPr>
          <w:sz w:val="22"/>
        </w:rPr>
        <w:t xml:space="preserve"> Lyon, Francúzsko</w:t>
      </w:r>
    </w:p>
    <w:p w14:paraId="5FDBFE3C" w14:textId="77777777" w:rsidR="009979E1" w:rsidRPr="00554C4D" w:rsidRDefault="009979E1">
      <w:pPr>
        <w:pStyle w:val="BodyText"/>
        <w:jc w:val="both"/>
        <w:rPr>
          <w:sz w:val="22"/>
        </w:rPr>
      </w:pPr>
    </w:p>
    <w:p w14:paraId="15B52176" w14:textId="77777777" w:rsidR="00015CBC" w:rsidRPr="00554C4D" w:rsidRDefault="00015CBC">
      <w:pPr>
        <w:pStyle w:val="BodyText"/>
        <w:jc w:val="both"/>
        <w:rPr>
          <w:sz w:val="22"/>
        </w:rPr>
      </w:pPr>
    </w:p>
    <w:p w14:paraId="60D1614A" w14:textId="77777777" w:rsidR="00015CBC" w:rsidRPr="00E6668F" w:rsidRDefault="00015CBC">
      <w:pPr>
        <w:pStyle w:val="BodyText"/>
        <w:jc w:val="both"/>
        <w:rPr>
          <w:b/>
          <w:sz w:val="22"/>
        </w:rPr>
      </w:pPr>
      <w:r w:rsidRPr="00E6668F">
        <w:rPr>
          <w:b/>
          <w:sz w:val="22"/>
        </w:rPr>
        <w:t>8.</w:t>
      </w:r>
      <w:r w:rsidR="00444173" w:rsidRPr="00E6668F">
        <w:rPr>
          <w:b/>
          <w:sz w:val="22"/>
        </w:rPr>
        <w:tab/>
      </w:r>
      <w:r w:rsidRPr="00E6668F">
        <w:rPr>
          <w:b/>
          <w:sz w:val="22"/>
        </w:rPr>
        <w:t>REGISTRAČNÉ ČÍSLO</w:t>
      </w:r>
    </w:p>
    <w:p w14:paraId="5B8E4147" w14:textId="77777777" w:rsidR="00015CBC" w:rsidRPr="00E6668F" w:rsidRDefault="00015CBC">
      <w:pPr>
        <w:pStyle w:val="BodyText"/>
        <w:jc w:val="both"/>
        <w:rPr>
          <w:sz w:val="22"/>
        </w:rPr>
      </w:pPr>
    </w:p>
    <w:p w14:paraId="7B6B221F" w14:textId="77777777" w:rsidR="00015CBC" w:rsidRPr="00554C4D" w:rsidRDefault="00540148">
      <w:pPr>
        <w:pStyle w:val="BodyText"/>
        <w:jc w:val="both"/>
        <w:rPr>
          <w:sz w:val="22"/>
        </w:rPr>
      </w:pPr>
      <w:r w:rsidRPr="00554C4D">
        <w:rPr>
          <w:sz w:val="22"/>
          <w:szCs w:val="22"/>
        </w:rPr>
        <w:t>Glucophage XR</w:t>
      </w:r>
      <w:r w:rsidRPr="00554C4D">
        <w:rPr>
          <w:sz w:val="22"/>
        </w:rPr>
        <w:t xml:space="preserve">: </w:t>
      </w:r>
      <w:r w:rsidR="00015CBC" w:rsidRPr="00554C4D">
        <w:rPr>
          <w:sz w:val="22"/>
        </w:rPr>
        <w:t>18/0290/04-S</w:t>
      </w:r>
    </w:p>
    <w:p w14:paraId="5808FD97" w14:textId="77777777" w:rsidR="00540148" w:rsidRPr="00554C4D" w:rsidRDefault="00540148" w:rsidP="00540148">
      <w:pPr>
        <w:pStyle w:val="BodyText"/>
        <w:jc w:val="both"/>
        <w:rPr>
          <w:sz w:val="22"/>
        </w:rPr>
      </w:pPr>
      <w:r w:rsidRPr="00554C4D">
        <w:rPr>
          <w:sz w:val="22"/>
          <w:szCs w:val="22"/>
        </w:rPr>
        <w:t>Glucophage XR 750 mg</w:t>
      </w:r>
      <w:r w:rsidRPr="00554C4D">
        <w:rPr>
          <w:sz w:val="22"/>
        </w:rPr>
        <w:t>: 18/0515/06-S</w:t>
      </w:r>
    </w:p>
    <w:p w14:paraId="6BF56D48" w14:textId="77777777" w:rsidR="00540148" w:rsidRPr="00554C4D" w:rsidRDefault="00540148" w:rsidP="00540148">
      <w:pPr>
        <w:pStyle w:val="BodyText"/>
        <w:jc w:val="both"/>
        <w:rPr>
          <w:sz w:val="22"/>
        </w:rPr>
      </w:pPr>
      <w:r w:rsidRPr="00554C4D">
        <w:rPr>
          <w:sz w:val="22"/>
          <w:szCs w:val="22"/>
        </w:rPr>
        <w:t>Glucophage XR 1000 mg</w:t>
      </w:r>
      <w:r w:rsidRPr="00554C4D">
        <w:rPr>
          <w:sz w:val="22"/>
        </w:rPr>
        <w:t>: 18/0150/10-S</w:t>
      </w:r>
    </w:p>
    <w:p w14:paraId="416E64C8" w14:textId="77777777" w:rsidR="000D61A6" w:rsidRPr="00554C4D" w:rsidRDefault="000D61A6">
      <w:pPr>
        <w:pStyle w:val="BodyText"/>
        <w:jc w:val="both"/>
        <w:rPr>
          <w:sz w:val="22"/>
        </w:rPr>
      </w:pPr>
    </w:p>
    <w:p w14:paraId="431D2FC9" w14:textId="77777777" w:rsidR="00B9243B" w:rsidRPr="00554C4D" w:rsidRDefault="00B9243B">
      <w:pPr>
        <w:pStyle w:val="BodyText"/>
        <w:jc w:val="both"/>
        <w:rPr>
          <w:b/>
          <w:sz w:val="22"/>
        </w:rPr>
      </w:pPr>
    </w:p>
    <w:p w14:paraId="51BF17C5" w14:textId="77777777" w:rsidR="00015CBC" w:rsidRPr="00554C4D" w:rsidRDefault="000D61A6" w:rsidP="00A97C31">
      <w:pPr>
        <w:pStyle w:val="BodyText"/>
        <w:jc w:val="both"/>
        <w:rPr>
          <w:b/>
          <w:sz w:val="22"/>
        </w:rPr>
      </w:pPr>
      <w:r w:rsidRPr="00554C4D">
        <w:rPr>
          <w:b/>
          <w:sz w:val="22"/>
        </w:rPr>
        <w:t>9.</w:t>
      </w:r>
      <w:r w:rsidR="00444173" w:rsidRPr="00554C4D">
        <w:rPr>
          <w:b/>
          <w:sz w:val="22"/>
        </w:rPr>
        <w:tab/>
      </w:r>
      <w:r w:rsidR="00015CBC" w:rsidRPr="00554C4D">
        <w:rPr>
          <w:b/>
          <w:sz w:val="22"/>
        </w:rPr>
        <w:t xml:space="preserve">DÁTUM </w:t>
      </w:r>
      <w:r w:rsidR="002D3A12" w:rsidRPr="00554C4D">
        <w:rPr>
          <w:b/>
          <w:sz w:val="22"/>
        </w:rPr>
        <w:t xml:space="preserve">PRVEJ </w:t>
      </w:r>
      <w:r w:rsidR="00015CBC" w:rsidRPr="00554C4D">
        <w:rPr>
          <w:b/>
          <w:sz w:val="22"/>
        </w:rPr>
        <w:t>REGISTRÁCIE</w:t>
      </w:r>
      <w:r w:rsidR="00AA7F1D" w:rsidRPr="00554C4D">
        <w:rPr>
          <w:b/>
          <w:sz w:val="22"/>
        </w:rPr>
        <w:t>/PREDĹŽENIE REGISTRÁCIE</w:t>
      </w:r>
    </w:p>
    <w:p w14:paraId="2AFFD408" w14:textId="77777777" w:rsidR="00015CBC" w:rsidRPr="00554C4D" w:rsidRDefault="00015CBC">
      <w:pPr>
        <w:pStyle w:val="BodyText"/>
        <w:jc w:val="both"/>
        <w:rPr>
          <w:sz w:val="22"/>
        </w:rPr>
      </w:pPr>
    </w:p>
    <w:p w14:paraId="33760D3A" w14:textId="77777777" w:rsidR="002D3A12" w:rsidRPr="00554C4D" w:rsidRDefault="00540148" w:rsidP="00540148">
      <w:pPr>
        <w:pStyle w:val="BodyText"/>
        <w:jc w:val="both"/>
        <w:rPr>
          <w:sz w:val="22"/>
        </w:rPr>
      </w:pPr>
      <w:r w:rsidRPr="00554C4D">
        <w:rPr>
          <w:sz w:val="22"/>
          <w:szCs w:val="22"/>
        </w:rPr>
        <w:t>Glucophage XR</w:t>
      </w:r>
    </w:p>
    <w:p w14:paraId="52E62723" w14:textId="77777777" w:rsidR="002D3A12" w:rsidRPr="00554C4D" w:rsidRDefault="002D3A12" w:rsidP="00540148">
      <w:pPr>
        <w:pStyle w:val="BodyText"/>
        <w:jc w:val="both"/>
        <w:rPr>
          <w:sz w:val="22"/>
          <w:szCs w:val="22"/>
        </w:rPr>
      </w:pPr>
      <w:r w:rsidRPr="00F62A0B">
        <w:rPr>
          <w:noProof/>
          <w:sz w:val="22"/>
          <w:szCs w:val="22"/>
        </w:rPr>
        <w:t>Dátum prvej registrácie</w:t>
      </w:r>
      <w:r w:rsidRPr="00554C4D">
        <w:rPr>
          <w:sz w:val="22"/>
          <w:szCs w:val="22"/>
        </w:rPr>
        <w:t>: 13.</w:t>
      </w:r>
      <w:r w:rsidR="00915A81" w:rsidRPr="00554C4D">
        <w:rPr>
          <w:sz w:val="22"/>
          <w:szCs w:val="22"/>
        </w:rPr>
        <w:t xml:space="preserve"> decembra </w:t>
      </w:r>
      <w:r w:rsidRPr="00554C4D">
        <w:rPr>
          <w:sz w:val="22"/>
          <w:szCs w:val="22"/>
        </w:rPr>
        <w:t>2004</w:t>
      </w:r>
    </w:p>
    <w:p w14:paraId="627844FA" w14:textId="77777777" w:rsidR="002D3A12" w:rsidRPr="00E6668F" w:rsidRDefault="002D3A12" w:rsidP="002D3A12">
      <w:pPr>
        <w:rPr>
          <w:sz w:val="22"/>
          <w:szCs w:val="22"/>
        </w:rPr>
      </w:pPr>
      <w:r w:rsidRPr="00E6668F">
        <w:rPr>
          <w:noProof/>
          <w:sz w:val="22"/>
          <w:szCs w:val="22"/>
        </w:rPr>
        <w:t>Dátum posledného predĺženia registrácie</w:t>
      </w:r>
      <w:r w:rsidRPr="00E6668F">
        <w:rPr>
          <w:sz w:val="22"/>
          <w:szCs w:val="22"/>
        </w:rPr>
        <w:t>:</w:t>
      </w:r>
      <w:r w:rsidR="00D82DAC" w:rsidRPr="00E6668F">
        <w:rPr>
          <w:sz w:val="22"/>
          <w:szCs w:val="22"/>
        </w:rPr>
        <w:t xml:space="preserve"> 05.</w:t>
      </w:r>
      <w:r w:rsidR="00915A81" w:rsidRPr="00E6668F">
        <w:rPr>
          <w:sz w:val="22"/>
          <w:szCs w:val="22"/>
        </w:rPr>
        <w:t xml:space="preserve"> mája </w:t>
      </w:r>
      <w:r w:rsidR="00D82DAC" w:rsidRPr="00E6668F">
        <w:rPr>
          <w:sz w:val="22"/>
          <w:szCs w:val="22"/>
        </w:rPr>
        <w:t>2010</w:t>
      </w:r>
    </w:p>
    <w:p w14:paraId="3AFB0DCD" w14:textId="77777777" w:rsidR="002D3A12" w:rsidRPr="00E6668F" w:rsidRDefault="002D3A12" w:rsidP="00540148">
      <w:pPr>
        <w:pStyle w:val="BodyText"/>
        <w:jc w:val="both"/>
        <w:rPr>
          <w:sz w:val="22"/>
        </w:rPr>
      </w:pPr>
    </w:p>
    <w:p w14:paraId="4C4D494A" w14:textId="77777777" w:rsidR="00D82DAC" w:rsidRPr="00554C4D" w:rsidRDefault="00540148" w:rsidP="00444173">
      <w:pPr>
        <w:pStyle w:val="BodyText"/>
        <w:jc w:val="both"/>
        <w:rPr>
          <w:sz w:val="22"/>
          <w:szCs w:val="22"/>
        </w:rPr>
      </w:pPr>
      <w:r w:rsidRPr="00554C4D">
        <w:rPr>
          <w:sz w:val="22"/>
          <w:szCs w:val="22"/>
        </w:rPr>
        <w:t>Glucophage XR 750 mg</w:t>
      </w:r>
    </w:p>
    <w:p w14:paraId="4C01713A" w14:textId="77777777" w:rsidR="00D82DAC" w:rsidRPr="00554C4D" w:rsidRDefault="00D82DAC" w:rsidP="00D82DAC">
      <w:pPr>
        <w:pStyle w:val="BodyText"/>
        <w:jc w:val="both"/>
        <w:rPr>
          <w:sz w:val="22"/>
          <w:szCs w:val="22"/>
        </w:rPr>
      </w:pPr>
      <w:r w:rsidRPr="00F62A0B">
        <w:rPr>
          <w:noProof/>
          <w:sz w:val="22"/>
          <w:szCs w:val="22"/>
        </w:rPr>
        <w:t>Dátum prvej registrácie</w:t>
      </w:r>
      <w:r w:rsidRPr="00554C4D">
        <w:rPr>
          <w:sz w:val="22"/>
          <w:szCs w:val="22"/>
        </w:rPr>
        <w:t>: 20.</w:t>
      </w:r>
      <w:r w:rsidR="00915A81" w:rsidRPr="00554C4D">
        <w:rPr>
          <w:sz w:val="22"/>
          <w:szCs w:val="22"/>
        </w:rPr>
        <w:t xml:space="preserve"> decembra </w:t>
      </w:r>
      <w:r w:rsidRPr="00554C4D">
        <w:rPr>
          <w:sz w:val="22"/>
          <w:szCs w:val="22"/>
        </w:rPr>
        <w:t>2006</w:t>
      </w:r>
    </w:p>
    <w:p w14:paraId="6E6193A3" w14:textId="77777777" w:rsidR="00D82DAC" w:rsidRPr="00E6668F" w:rsidRDefault="00D82DAC" w:rsidP="00D82DAC">
      <w:pPr>
        <w:rPr>
          <w:sz w:val="22"/>
          <w:szCs w:val="22"/>
        </w:rPr>
      </w:pPr>
      <w:r w:rsidRPr="00E6668F">
        <w:rPr>
          <w:noProof/>
          <w:sz w:val="22"/>
          <w:szCs w:val="22"/>
        </w:rPr>
        <w:t>Dátum posledného predĺženia registrácie</w:t>
      </w:r>
      <w:r w:rsidRPr="00E6668F">
        <w:rPr>
          <w:sz w:val="22"/>
          <w:szCs w:val="22"/>
        </w:rPr>
        <w:t>: 05.</w:t>
      </w:r>
      <w:r w:rsidR="00915A81" w:rsidRPr="00E6668F">
        <w:rPr>
          <w:sz w:val="22"/>
          <w:szCs w:val="22"/>
        </w:rPr>
        <w:t xml:space="preserve"> mája </w:t>
      </w:r>
      <w:r w:rsidRPr="00E6668F">
        <w:rPr>
          <w:sz w:val="22"/>
          <w:szCs w:val="22"/>
        </w:rPr>
        <w:t>2010</w:t>
      </w:r>
    </w:p>
    <w:p w14:paraId="3069BEB0" w14:textId="77777777" w:rsidR="00D82DAC" w:rsidRPr="00554C4D" w:rsidRDefault="00D82DAC" w:rsidP="00444173">
      <w:pPr>
        <w:pStyle w:val="BodyText"/>
        <w:jc w:val="both"/>
        <w:rPr>
          <w:sz w:val="22"/>
        </w:rPr>
      </w:pPr>
    </w:p>
    <w:p w14:paraId="63C5441F" w14:textId="77777777" w:rsidR="00D82DAC" w:rsidRPr="00554C4D" w:rsidRDefault="00540148" w:rsidP="00540148">
      <w:pPr>
        <w:pStyle w:val="BodyText"/>
        <w:jc w:val="both"/>
        <w:rPr>
          <w:sz w:val="22"/>
        </w:rPr>
      </w:pPr>
      <w:r w:rsidRPr="00554C4D">
        <w:rPr>
          <w:sz w:val="22"/>
          <w:szCs w:val="22"/>
        </w:rPr>
        <w:t>Glucophage XR 1000 mg</w:t>
      </w:r>
    </w:p>
    <w:p w14:paraId="21D33F77" w14:textId="77777777" w:rsidR="00D82DAC" w:rsidRPr="00554C4D" w:rsidRDefault="00D82DAC" w:rsidP="00D82DAC">
      <w:pPr>
        <w:pStyle w:val="BodyText"/>
        <w:jc w:val="both"/>
        <w:rPr>
          <w:sz w:val="22"/>
        </w:rPr>
      </w:pPr>
      <w:r w:rsidRPr="00F62A0B">
        <w:rPr>
          <w:noProof/>
          <w:sz w:val="22"/>
          <w:szCs w:val="22"/>
        </w:rPr>
        <w:t>Dátum prvej registrácie</w:t>
      </w:r>
      <w:r w:rsidRPr="00554C4D">
        <w:rPr>
          <w:sz w:val="22"/>
          <w:szCs w:val="22"/>
        </w:rPr>
        <w:t xml:space="preserve">: </w:t>
      </w:r>
      <w:r w:rsidRPr="00554C4D">
        <w:rPr>
          <w:sz w:val="22"/>
        </w:rPr>
        <w:t>19.</w:t>
      </w:r>
      <w:r w:rsidR="00915A81" w:rsidRPr="00554C4D">
        <w:rPr>
          <w:sz w:val="22"/>
        </w:rPr>
        <w:t xml:space="preserve"> marca </w:t>
      </w:r>
      <w:r w:rsidRPr="00554C4D">
        <w:rPr>
          <w:sz w:val="22"/>
        </w:rPr>
        <w:t>2010</w:t>
      </w:r>
    </w:p>
    <w:p w14:paraId="403688C7" w14:textId="77777777" w:rsidR="00D82DAC" w:rsidRPr="00E6668F" w:rsidRDefault="00D82DAC" w:rsidP="00D82DAC">
      <w:pPr>
        <w:jc w:val="both"/>
        <w:rPr>
          <w:sz w:val="22"/>
          <w:szCs w:val="22"/>
        </w:rPr>
      </w:pPr>
      <w:r w:rsidRPr="00E6668F">
        <w:rPr>
          <w:noProof/>
          <w:sz w:val="22"/>
          <w:szCs w:val="22"/>
        </w:rPr>
        <w:t>Dátum posledného predĺženia registrácie</w:t>
      </w:r>
      <w:r w:rsidRPr="00E6668F">
        <w:rPr>
          <w:sz w:val="22"/>
          <w:szCs w:val="22"/>
        </w:rPr>
        <w:t>:</w:t>
      </w:r>
      <w:r w:rsidR="005B5837" w:rsidRPr="00E6668F">
        <w:rPr>
          <w:sz w:val="22"/>
          <w:szCs w:val="22"/>
        </w:rPr>
        <w:t xml:space="preserve"> 28.</w:t>
      </w:r>
      <w:r w:rsidR="00915A81" w:rsidRPr="00E6668F">
        <w:rPr>
          <w:sz w:val="22"/>
          <w:szCs w:val="22"/>
        </w:rPr>
        <w:t xml:space="preserve"> mája </w:t>
      </w:r>
      <w:r w:rsidR="005B5837" w:rsidRPr="00E6668F">
        <w:rPr>
          <w:sz w:val="22"/>
          <w:szCs w:val="22"/>
        </w:rPr>
        <w:t>2015</w:t>
      </w:r>
    </w:p>
    <w:p w14:paraId="072A1E40" w14:textId="5CBB3193" w:rsidR="00015CBC" w:rsidRPr="00E6668F" w:rsidRDefault="00015CBC">
      <w:pPr>
        <w:pStyle w:val="BodyText"/>
        <w:jc w:val="both"/>
        <w:rPr>
          <w:b/>
          <w:sz w:val="22"/>
        </w:rPr>
      </w:pPr>
    </w:p>
    <w:p w14:paraId="75D73C90" w14:textId="77777777" w:rsidR="00015CBC" w:rsidRPr="00554C4D" w:rsidRDefault="00015CBC">
      <w:pPr>
        <w:pStyle w:val="BodyText"/>
        <w:jc w:val="both"/>
        <w:rPr>
          <w:b/>
          <w:sz w:val="22"/>
        </w:rPr>
      </w:pPr>
    </w:p>
    <w:p w14:paraId="5D3B4CCF" w14:textId="77777777" w:rsidR="00015CBC" w:rsidRPr="00554C4D" w:rsidRDefault="00444173" w:rsidP="00444173">
      <w:pPr>
        <w:pStyle w:val="BodyText"/>
        <w:jc w:val="both"/>
        <w:rPr>
          <w:b/>
          <w:sz w:val="22"/>
        </w:rPr>
      </w:pPr>
      <w:r w:rsidRPr="00554C4D">
        <w:rPr>
          <w:b/>
          <w:sz w:val="22"/>
        </w:rPr>
        <w:t>10.</w:t>
      </w:r>
      <w:r w:rsidRPr="00554C4D">
        <w:rPr>
          <w:b/>
          <w:sz w:val="22"/>
        </w:rPr>
        <w:tab/>
      </w:r>
      <w:r w:rsidR="00015CBC" w:rsidRPr="00554C4D">
        <w:rPr>
          <w:b/>
          <w:sz w:val="22"/>
        </w:rPr>
        <w:t>DÁTUM REVÍZIE TEXTU</w:t>
      </w:r>
    </w:p>
    <w:p w14:paraId="46FE7BA3" w14:textId="77777777" w:rsidR="00015CBC" w:rsidRPr="00554C4D" w:rsidRDefault="00015CBC">
      <w:pPr>
        <w:pStyle w:val="BodyText"/>
        <w:jc w:val="both"/>
      </w:pPr>
    </w:p>
    <w:p w14:paraId="2BD9FF46" w14:textId="0338104B" w:rsidR="00015CBC" w:rsidRPr="00E6668F" w:rsidRDefault="004734B4">
      <w:pPr>
        <w:pStyle w:val="BodyText"/>
        <w:jc w:val="both"/>
        <w:rPr>
          <w:sz w:val="22"/>
          <w:szCs w:val="22"/>
        </w:rPr>
      </w:pPr>
      <w:r>
        <w:rPr>
          <w:sz w:val="22"/>
          <w:szCs w:val="22"/>
        </w:rPr>
        <w:t>03</w:t>
      </w:r>
      <w:r w:rsidR="00E6668F">
        <w:rPr>
          <w:sz w:val="22"/>
          <w:szCs w:val="22"/>
        </w:rPr>
        <w:t>/2022</w:t>
      </w:r>
    </w:p>
    <w:sectPr w:rsidR="00015CBC" w:rsidRPr="00E6668F" w:rsidSect="00F62A0B">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737" w:footer="73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2D76" w14:textId="77777777" w:rsidR="00411EB0" w:rsidRDefault="00411EB0">
      <w:r>
        <w:separator/>
      </w:r>
    </w:p>
  </w:endnote>
  <w:endnote w:type="continuationSeparator" w:id="0">
    <w:p w14:paraId="0B47C419" w14:textId="77777777" w:rsidR="00411EB0" w:rsidRDefault="0041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92B" w14:textId="77777777" w:rsidR="002A717E" w:rsidRDefault="002A7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20C2E929" w14:textId="77777777" w:rsidR="002A717E" w:rsidRDefault="002A71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6387" w14:textId="77777777" w:rsidR="002A717E" w:rsidRPr="00CF2CFA" w:rsidRDefault="002A717E">
    <w:pPr>
      <w:pStyle w:val="Footer"/>
      <w:ind w:right="360"/>
      <w:jc w:val="center"/>
      <w:rPr>
        <w:sz w:val="18"/>
        <w:szCs w:val="18"/>
      </w:rPr>
    </w:pPr>
    <w:r w:rsidRPr="00CF2CFA">
      <w:rPr>
        <w:rStyle w:val="PageNumber"/>
        <w:sz w:val="18"/>
        <w:szCs w:val="18"/>
      </w:rPr>
      <w:fldChar w:fldCharType="begin"/>
    </w:r>
    <w:r w:rsidRPr="00CF2CFA">
      <w:rPr>
        <w:rStyle w:val="PageNumber"/>
        <w:sz w:val="18"/>
        <w:szCs w:val="18"/>
      </w:rPr>
      <w:instrText xml:space="preserve"> PAGE </w:instrText>
    </w:r>
    <w:r w:rsidRPr="00CF2CFA">
      <w:rPr>
        <w:rStyle w:val="PageNumber"/>
        <w:sz w:val="18"/>
        <w:szCs w:val="18"/>
      </w:rPr>
      <w:fldChar w:fldCharType="separate"/>
    </w:r>
    <w:r w:rsidR="005F55F8">
      <w:rPr>
        <w:rStyle w:val="PageNumber"/>
        <w:noProof/>
        <w:sz w:val="18"/>
        <w:szCs w:val="18"/>
      </w:rPr>
      <w:t>1</w:t>
    </w:r>
    <w:r w:rsidR="005F55F8">
      <w:rPr>
        <w:rStyle w:val="PageNumber"/>
        <w:noProof/>
        <w:sz w:val="18"/>
        <w:szCs w:val="18"/>
      </w:rPr>
      <w:t>0</w:t>
    </w:r>
    <w:r w:rsidRPr="00CF2CFA">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EC9F" w14:textId="77777777" w:rsidR="00AB36ED" w:rsidRDefault="00AB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D8D9" w14:textId="77777777" w:rsidR="00411EB0" w:rsidRDefault="00411EB0">
      <w:r>
        <w:separator/>
      </w:r>
    </w:p>
  </w:footnote>
  <w:footnote w:type="continuationSeparator" w:id="0">
    <w:p w14:paraId="04DE82D1" w14:textId="77777777" w:rsidR="00411EB0" w:rsidRDefault="0041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E9C7" w14:textId="77777777" w:rsidR="00AB36ED" w:rsidRDefault="00AB3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1B8C" w14:textId="77777777" w:rsidR="00902221" w:rsidRPr="004C234E" w:rsidRDefault="00902221" w:rsidP="00902221">
    <w:pPr>
      <w:pStyle w:val="Header"/>
      <w:rPr>
        <w:sz w:val="18"/>
        <w:szCs w:val="18"/>
      </w:rPr>
    </w:pPr>
    <w:bookmarkStart w:id="4" w:name="_Hlk95555917"/>
    <w:r>
      <w:rPr>
        <w:sz w:val="18"/>
        <w:szCs w:val="18"/>
      </w:rPr>
      <w:t xml:space="preserve">Schválený text k rozhodnutiu o zmene, ev. č.: </w:t>
    </w:r>
    <w:r w:rsidRPr="00B747BB">
      <w:rPr>
        <w:sz w:val="18"/>
        <w:szCs w:val="18"/>
      </w:rPr>
      <w:t>2021/01087-ZME</w:t>
    </w:r>
    <w:r>
      <w:rPr>
        <w:sz w:val="18"/>
        <w:szCs w:val="18"/>
      </w:rPr>
      <w:t>, 2021/04378-ZME</w:t>
    </w:r>
  </w:p>
  <w:p w14:paraId="080649A9" w14:textId="54FC6C14" w:rsidR="008E6937" w:rsidRPr="004C234E" w:rsidRDefault="008E6937" w:rsidP="008E6937">
    <w:pPr>
      <w:pStyle w:val="Header"/>
      <w:rPr>
        <w:sz w:val="18"/>
        <w:szCs w:val="18"/>
      </w:rPr>
    </w:pPr>
  </w:p>
  <w:bookmarkEnd w:id="4"/>
  <w:p w14:paraId="2D944456" w14:textId="77777777" w:rsidR="00E90E30" w:rsidRDefault="00E90E30" w:rsidP="001A7E3C">
    <w:pPr>
      <w:pStyle w:val="Header"/>
      <w:tabs>
        <w:tab w:val="clear" w:pos="4153"/>
        <w:tab w:val="clear" w:pos="8306"/>
        <w:tab w:val="left" w:pos="0"/>
      </w:tabs>
    </w:pPr>
  </w:p>
  <w:p w14:paraId="2C0E5F66" w14:textId="77777777" w:rsidR="002A717E" w:rsidRDefault="002A717E" w:rsidP="00234464">
    <w:pPr>
      <w:pStyle w:val="Header"/>
      <w:tabs>
        <w:tab w:val="clear" w:pos="4153"/>
        <w:tab w:val="clear" w:pos="8306"/>
        <w:tab w:val="right" w:pos="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F8A5" w14:textId="77777777" w:rsidR="00AB36ED" w:rsidRDefault="00AB3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725"/>
    <w:multiLevelType w:val="singleLevel"/>
    <w:tmpl w:val="FCEEC42E"/>
    <w:lvl w:ilvl="0">
      <w:start w:val="1"/>
      <w:numFmt w:val="decimal"/>
      <w:lvlText w:val="(%1)"/>
      <w:lvlJc w:val="left"/>
      <w:pPr>
        <w:tabs>
          <w:tab w:val="num" w:pos="780"/>
        </w:tabs>
        <w:ind w:left="780" w:hanging="360"/>
      </w:pPr>
      <w:rPr>
        <w:rFonts w:hint="default"/>
      </w:rPr>
    </w:lvl>
  </w:abstractNum>
  <w:abstractNum w:abstractNumId="1" w15:restartNumberingAfterBreak="0">
    <w:nsid w:val="016A7E6E"/>
    <w:multiLevelType w:val="multilevel"/>
    <w:tmpl w:val="73BA259A"/>
    <w:lvl w:ilvl="0">
      <w:start w:val="1"/>
      <w:numFmt w:val="decimal"/>
      <w:lvlText w:val="%1."/>
      <w:lvlJc w:val="left"/>
      <w:pPr>
        <w:tabs>
          <w:tab w:val="num" w:pos="360"/>
        </w:tabs>
        <w:ind w:left="360" w:hanging="360"/>
      </w:p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pStyle w:val="NoSpacing"/>
      <w:isLgl/>
      <w:lvlText w:val="%1.%2.%3.%4.%5.%6.%7.%8.%9."/>
      <w:lvlJc w:val="left"/>
      <w:pPr>
        <w:tabs>
          <w:tab w:val="num" w:pos="3360"/>
        </w:tabs>
        <w:ind w:left="3360" w:hanging="1800"/>
      </w:pPr>
      <w:rPr>
        <w:rFonts w:hint="default"/>
      </w:rPr>
    </w:lvl>
  </w:abstractNum>
  <w:abstractNum w:abstractNumId="2" w15:restartNumberingAfterBreak="0">
    <w:nsid w:val="03660D69"/>
    <w:multiLevelType w:val="hybridMultilevel"/>
    <w:tmpl w:val="452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3289E"/>
    <w:multiLevelType w:val="multilevel"/>
    <w:tmpl w:val="D93689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20ECD"/>
    <w:multiLevelType w:val="singleLevel"/>
    <w:tmpl w:val="0704975C"/>
    <w:lvl w:ilvl="0">
      <w:numFmt w:val="bullet"/>
      <w:lvlText w:val="-"/>
      <w:lvlJc w:val="left"/>
      <w:pPr>
        <w:tabs>
          <w:tab w:val="num" w:pos="765"/>
        </w:tabs>
        <w:ind w:left="765" w:hanging="360"/>
      </w:pPr>
      <w:rPr>
        <w:rFonts w:ascii="Times New Roman" w:hAnsi="Times New Roman" w:hint="default"/>
      </w:rPr>
    </w:lvl>
  </w:abstractNum>
  <w:abstractNum w:abstractNumId="5" w15:restartNumberingAfterBreak="0">
    <w:nsid w:val="1012261A"/>
    <w:multiLevelType w:val="multilevel"/>
    <w:tmpl w:val="E828F8DA"/>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7854C0"/>
    <w:multiLevelType w:val="hybridMultilevel"/>
    <w:tmpl w:val="FE16171A"/>
    <w:lvl w:ilvl="0" w:tplc="BE7ADCB0">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3526F"/>
    <w:multiLevelType w:val="hybridMultilevel"/>
    <w:tmpl w:val="2FFA0E40"/>
    <w:lvl w:ilvl="0" w:tplc="0B94A648">
      <w:start w:val="1"/>
      <w:numFmt w:val="decimal"/>
      <w:lvlText w:val="%1."/>
      <w:lvlJc w:val="right"/>
      <w:pPr>
        <w:tabs>
          <w:tab w:val="num" w:pos="454"/>
        </w:tabs>
        <w:ind w:left="510" w:hanging="340"/>
      </w:pPr>
      <w:rPr>
        <w:rFonts w:hint="default"/>
      </w:rPr>
    </w:lvl>
    <w:lvl w:ilvl="1" w:tplc="C6CE5286">
      <w:numFmt w:val="none"/>
      <w:lvlText w:val=""/>
      <w:lvlJc w:val="left"/>
      <w:pPr>
        <w:tabs>
          <w:tab w:val="num" w:pos="360"/>
        </w:tabs>
      </w:pPr>
    </w:lvl>
    <w:lvl w:ilvl="2" w:tplc="6862D56E">
      <w:numFmt w:val="none"/>
      <w:lvlText w:val=""/>
      <w:lvlJc w:val="left"/>
      <w:pPr>
        <w:tabs>
          <w:tab w:val="num" w:pos="360"/>
        </w:tabs>
      </w:pPr>
    </w:lvl>
    <w:lvl w:ilvl="3" w:tplc="5D5855DC">
      <w:numFmt w:val="none"/>
      <w:lvlText w:val=""/>
      <w:lvlJc w:val="left"/>
      <w:pPr>
        <w:tabs>
          <w:tab w:val="num" w:pos="360"/>
        </w:tabs>
      </w:pPr>
    </w:lvl>
    <w:lvl w:ilvl="4" w:tplc="505E8872">
      <w:numFmt w:val="none"/>
      <w:lvlText w:val=""/>
      <w:lvlJc w:val="left"/>
      <w:pPr>
        <w:tabs>
          <w:tab w:val="num" w:pos="360"/>
        </w:tabs>
      </w:pPr>
    </w:lvl>
    <w:lvl w:ilvl="5" w:tplc="01AC8B62">
      <w:numFmt w:val="none"/>
      <w:lvlText w:val=""/>
      <w:lvlJc w:val="left"/>
      <w:pPr>
        <w:tabs>
          <w:tab w:val="num" w:pos="360"/>
        </w:tabs>
      </w:pPr>
    </w:lvl>
    <w:lvl w:ilvl="6" w:tplc="B2388790">
      <w:numFmt w:val="none"/>
      <w:lvlText w:val=""/>
      <w:lvlJc w:val="left"/>
      <w:pPr>
        <w:tabs>
          <w:tab w:val="num" w:pos="360"/>
        </w:tabs>
      </w:pPr>
    </w:lvl>
    <w:lvl w:ilvl="7" w:tplc="1E146E06">
      <w:numFmt w:val="none"/>
      <w:lvlText w:val=""/>
      <w:lvlJc w:val="left"/>
      <w:pPr>
        <w:tabs>
          <w:tab w:val="num" w:pos="360"/>
        </w:tabs>
      </w:pPr>
    </w:lvl>
    <w:lvl w:ilvl="8" w:tplc="3A400A2E">
      <w:numFmt w:val="none"/>
      <w:lvlText w:val=""/>
      <w:lvlJc w:val="left"/>
      <w:pPr>
        <w:tabs>
          <w:tab w:val="num" w:pos="360"/>
        </w:tabs>
      </w:pPr>
    </w:lvl>
  </w:abstractNum>
  <w:abstractNum w:abstractNumId="8" w15:restartNumberingAfterBreak="0">
    <w:nsid w:val="151D1C37"/>
    <w:multiLevelType w:val="hybridMultilevel"/>
    <w:tmpl w:val="02605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F01850"/>
    <w:multiLevelType w:val="hybridMultilevel"/>
    <w:tmpl w:val="F882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93EAB"/>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B2B6986"/>
    <w:multiLevelType w:val="singleLevel"/>
    <w:tmpl w:val="06007954"/>
    <w:lvl w:ilvl="0">
      <w:start w:val="9"/>
      <w:numFmt w:val="decimal"/>
      <w:lvlText w:val="%1."/>
      <w:lvlJc w:val="left"/>
      <w:pPr>
        <w:tabs>
          <w:tab w:val="num" w:pos="480"/>
        </w:tabs>
        <w:ind w:left="480" w:hanging="480"/>
      </w:pPr>
      <w:rPr>
        <w:rFonts w:hint="default"/>
      </w:rPr>
    </w:lvl>
  </w:abstractNum>
  <w:abstractNum w:abstractNumId="12" w15:restartNumberingAfterBreak="0">
    <w:nsid w:val="1C7610A4"/>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D9358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A91CBD"/>
    <w:multiLevelType w:val="hybridMultilevel"/>
    <w:tmpl w:val="56B609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9321FE"/>
    <w:multiLevelType w:val="hybridMultilevel"/>
    <w:tmpl w:val="08AE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90F9D"/>
    <w:multiLevelType w:val="hybridMultilevel"/>
    <w:tmpl w:val="6FD6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B141D"/>
    <w:multiLevelType w:val="hybridMultilevel"/>
    <w:tmpl w:val="AD807F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243E75"/>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9C51D8"/>
    <w:multiLevelType w:val="singleLevel"/>
    <w:tmpl w:val="1C3218AC"/>
    <w:lvl w:ilvl="0">
      <w:start w:val="4"/>
      <w:numFmt w:val="bullet"/>
      <w:lvlText w:val="-"/>
      <w:lvlJc w:val="left"/>
      <w:pPr>
        <w:tabs>
          <w:tab w:val="num" w:pos="585"/>
        </w:tabs>
        <w:ind w:left="585" w:hanging="585"/>
      </w:pPr>
      <w:rPr>
        <w:rFonts w:ascii="Times New Roman" w:hAnsi="Times New Roman" w:hint="default"/>
      </w:rPr>
    </w:lvl>
  </w:abstractNum>
  <w:abstractNum w:abstractNumId="20" w15:restartNumberingAfterBreak="0">
    <w:nsid w:val="3ED5315E"/>
    <w:multiLevelType w:val="multilevel"/>
    <w:tmpl w:val="DE22714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735381"/>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3FFF55B6"/>
    <w:multiLevelType w:val="hybridMultilevel"/>
    <w:tmpl w:val="BF0E3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06288"/>
    <w:multiLevelType w:val="hybridMultilevel"/>
    <w:tmpl w:val="9FE8F4E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39441AB"/>
    <w:multiLevelType w:val="hybridMultilevel"/>
    <w:tmpl w:val="A064A07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193B08"/>
    <w:multiLevelType w:val="multilevel"/>
    <w:tmpl w:val="A5309938"/>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8FF18ED"/>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EF543C0"/>
    <w:multiLevelType w:val="hybridMultilevel"/>
    <w:tmpl w:val="1AB6031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52DEA"/>
    <w:multiLevelType w:val="hybridMultilevel"/>
    <w:tmpl w:val="2F3A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5E1A2C"/>
    <w:multiLevelType w:val="multilevel"/>
    <w:tmpl w:val="04090025"/>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30" w15:restartNumberingAfterBreak="0">
    <w:nsid w:val="6A726C81"/>
    <w:multiLevelType w:val="singleLevel"/>
    <w:tmpl w:val="BE7ADCB0"/>
    <w:lvl w:ilvl="0">
      <w:start w:val="4"/>
      <w:numFmt w:val="bullet"/>
      <w:lvlText w:val="-"/>
      <w:lvlJc w:val="left"/>
      <w:pPr>
        <w:tabs>
          <w:tab w:val="num" w:pos="780"/>
        </w:tabs>
        <w:ind w:left="780" w:hanging="36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557CF0"/>
    <w:multiLevelType w:val="singleLevel"/>
    <w:tmpl w:val="BE7ADCB0"/>
    <w:lvl w:ilvl="0">
      <w:start w:val="4"/>
      <w:numFmt w:val="bullet"/>
      <w:lvlText w:val="-"/>
      <w:lvlJc w:val="left"/>
      <w:pPr>
        <w:ind w:left="720" w:hanging="360"/>
      </w:pPr>
      <w:rPr>
        <w:rFonts w:hint="default"/>
      </w:rPr>
    </w:lvl>
  </w:abstractNum>
  <w:abstractNum w:abstractNumId="33" w15:restartNumberingAfterBreak="0">
    <w:nsid w:val="6CBE0BEB"/>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cs="MT Extra" w:hint="default"/>
        <w:i w:val="0"/>
        <w:iCs w:val="0"/>
      </w:rPr>
    </w:lvl>
  </w:abstractNum>
  <w:abstractNum w:abstractNumId="35" w15:restartNumberingAfterBreak="0">
    <w:nsid w:val="6FBF4A49"/>
    <w:multiLevelType w:val="singleLevel"/>
    <w:tmpl w:val="4B100C18"/>
    <w:lvl w:ilvl="0">
      <w:start w:val="4"/>
      <w:numFmt w:val="bullet"/>
      <w:lvlText w:val="-"/>
      <w:lvlJc w:val="left"/>
      <w:pPr>
        <w:tabs>
          <w:tab w:val="num" w:pos="765"/>
        </w:tabs>
        <w:ind w:left="765" w:hanging="360"/>
      </w:pPr>
      <w:rPr>
        <w:rFonts w:ascii="Times New Roman" w:hAnsi="Times New Roman" w:hint="default"/>
      </w:rPr>
    </w:lvl>
  </w:abstractNum>
  <w:abstractNum w:abstractNumId="36" w15:restartNumberingAfterBreak="0">
    <w:nsid w:val="73543B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7948F7"/>
    <w:multiLevelType w:val="singleLevel"/>
    <w:tmpl w:val="BE7ADCB0"/>
    <w:lvl w:ilvl="0">
      <w:start w:val="4"/>
      <w:numFmt w:val="bullet"/>
      <w:lvlText w:val="-"/>
      <w:lvlJc w:val="left"/>
      <w:pPr>
        <w:tabs>
          <w:tab w:val="num" w:pos="780"/>
        </w:tabs>
        <w:ind w:left="780" w:hanging="360"/>
      </w:pPr>
      <w:rPr>
        <w:rFonts w:hint="default"/>
      </w:rPr>
    </w:lvl>
  </w:abstractNum>
  <w:abstractNum w:abstractNumId="38" w15:restartNumberingAfterBreak="0">
    <w:nsid w:val="77584A34"/>
    <w:multiLevelType w:val="hybridMultilevel"/>
    <w:tmpl w:val="5E8C73E0"/>
    <w:lvl w:ilvl="0" w:tplc="EFAAEFF6">
      <w:start w:val="2"/>
      <w:numFmt w:val="bullet"/>
      <w:lvlText w:val="-"/>
      <w:lvlJc w:val="left"/>
      <w:pPr>
        <w:tabs>
          <w:tab w:val="num" w:pos="720"/>
        </w:tabs>
        <w:ind w:left="720" w:hanging="360"/>
      </w:pPr>
      <w:rPr>
        <w:rFonts w:ascii="Arial" w:eastAsia="Times New Roman" w:hAnsi="Arial" w:hint="default"/>
      </w:rPr>
    </w:lvl>
    <w:lvl w:ilvl="1" w:tplc="6B8AFA7E">
      <w:start w:val="1"/>
      <w:numFmt w:val="bullet"/>
      <w:lvlText w:val="o"/>
      <w:lvlJc w:val="left"/>
      <w:pPr>
        <w:tabs>
          <w:tab w:val="num" w:pos="1440"/>
        </w:tabs>
        <w:ind w:left="1440" w:hanging="360"/>
      </w:pPr>
      <w:rPr>
        <w:rFonts w:ascii="Courier New" w:hAnsi="Courier New" w:hint="default"/>
      </w:rPr>
    </w:lvl>
    <w:lvl w:ilvl="2" w:tplc="35F69C4C">
      <w:start w:val="1"/>
      <w:numFmt w:val="bullet"/>
      <w:lvlText w:val=""/>
      <w:lvlJc w:val="left"/>
      <w:pPr>
        <w:tabs>
          <w:tab w:val="num" w:pos="2160"/>
        </w:tabs>
        <w:ind w:left="2160" w:hanging="360"/>
      </w:pPr>
      <w:rPr>
        <w:rFonts w:ascii="Wingdings" w:hAnsi="Wingdings" w:hint="default"/>
      </w:rPr>
    </w:lvl>
    <w:lvl w:ilvl="3" w:tplc="9E4098A0">
      <w:start w:val="1"/>
      <w:numFmt w:val="bullet"/>
      <w:lvlText w:val=""/>
      <w:lvlJc w:val="left"/>
      <w:pPr>
        <w:tabs>
          <w:tab w:val="num" w:pos="2880"/>
        </w:tabs>
        <w:ind w:left="2880" w:hanging="360"/>
      </w:pPr>
      <w:rPr>
        <w:rFonts w:ascii="Symbol" w:hAnsi="Symbol" w:hint="default"/>
      </w:rPr>
    </w:lvl>
    <w:lvl w:ilvl="4" w:tplc="A21E00CA">
      <w:start w:val="1"/>
      <w:numFmt w:val="bullet"/>
      <w:lvlText w:val="o"/>
      <w:lvlJc w:val="left"/>
      <w:pPr>
        <w:tabs>
          <w:tab w:val="num" w:pos="3600"/>
        </w:tabs>
        <w:ind w:left="3600" w:hanging="360"/>
      </w:pPr>
      <w:rPr>
        <w:rFonts w:ascii="Courier New" w:hAnsi="Courier New" w:hint="default"/>
      </w:rPr>
    </w:lvl>
    <w:lvl w:ilvl="5" w:tplc="92B6D084">
      <w:start w:val="1"/>
      <w:numFmt w:val="bullet"/>
      <w:lvlText w:val=""/>
      <w:lvlJc w:val="left"/>
      <w:pPr>
        <w:tabs>
          <w:tab w:val="num" w:pos="4320"/>
        </w:tabs>
        <w:ind w:left="4320" w:hanging="360"/>
      </w:pPr>
      <w:rPr>
        <w:rFonts w:ascii="Wingdings" w:hAnsi="Wingdings" w:hint="default"/>
      </w:rPr>
    </w:lvl>
    <w:lvl w:ilvl="6" w:tplc="E8C2E9CE">
      <w:start w:val="1"/>
      <w:numFmt w:val="bullet"/>
      <w:lvlText w:val=""/>
      <w:lvlJc w:val="left"/>
      <w:pPr>
        <w:tabs>
          <w:tab w:val="num" w:pos="5040"/>
        </w:tabs>
        <w:ind w:left="5040" w:hanging="360"/>
      </w:pPr>
      <w:rPr>
        <w:rFonts w:ascii="Symbol" w:hAnsi="Symbol" w:hint="default"/>
      </w:rPr>
    </w:lvl>
    <w:lvl w:ilvl="7" w:tplc="14149F2C">
      <w:start w:val="1"/>
      <w:numFmt w:val="bullet"/>
      <w:lvlText w:val="o"/>
      <w:lvlJc w:val="left"/>
      <w:pPr>
        <w:tabs>
          <w:tab w:val="num" w:pos="5760"/>
        </w:tabs>
        <w:ind w:left="5760" w:hanging="360"/>
      </w:pPr>
      <w:rPr>
        <w:rFonts w:ascii="Courier New" w:hAnsi="Courier New" w:hint="default"/>
      </w:rPr>
    </w:lvl>
    <w:lvl w:ilvl="8" w:tplc="EF567E32">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2"/>
  </w:num>
  <w:num w:numId="3">
    <w:abstractNumId w:val="37"/>
  </w:num>
  <w:num w:numId="4">
    <w:abstractNumId w:val="30"/>
  </w:num>
  <w:num w:numId="5">
    <w:abstractNumId w:val="0"/>
  </w:num>
  <w:num w:numId="6">
    <w:abstractNumId w:val="26"/>
  </w:num>
  <w:num w:numId="7">
    <w:abstractNumId w:val="11"/>
  </w:num>
  <w:num w:numId="8">
    <w:abstractNumId w:val="13"/>
  </w:num>
  <w:num w:numId="9">
    <w:abstractNumId w:val="36"/>
  </w:num>
  <w:num w:numId="10">
    <w:abstractNumId w:val="19"/>
  </w:num>
  <w:num w:numId="11">
    <w:abstractNumId w:val="35"/>
  </w:num>
  <w:num w:numId="12">
    <w:abstractNumId w:val="21"/>
  </w:num>
  <w:num w:numId="13">
    <w:abstractNumId w:val="4"/>
  </w:num>
  <w:num w:numId="14">
    <w:abstractNumId w:val="3"/>
  </w:num>
  <w:num w:numId="15">
    <w:abstractNumId w:val="34"/>
  </w:num>
  <w:num w:numId="16">
    <w:abstractNumId w:val="20"/>
  </w:num>
  <w:num w:numId="17">
    <w:abstractNumId w:val="25"/>
  </w:num>
  <w:num w:numId="18">
    <w:abstractNumId w:val="5"/>
  </w:num>
  <w:num w:numId="19">
    <w:abstractNumId w:val="18"/>
  </w:num>
  <w:num w:numId="20">
    <w:abstractNumId w:val="12"/>
  </w:num>
  <w:num w:numId="21">
    <w:abstractNumId w:val="10"/>
  </w:num>
  <w:num w:numId="22">
    <w:abstractNumId w:val="33"/>
  </w:num>
  <w:num w:numId="23">
    <w:abstractNumId w:val="22"/>
  </w:num>
  <w:num w:numId="24">
    <w:abstractNumId w:val="38"/>
  </w:num>
  <w:num w:numId="25">
    <w:abstractNumId w:val="31"/>
  </w:num>
  <w:num w:numId="26">
    <w:abstractNumId w:val="7"/>
  </w:num>
  <w:num w:numId="27">
    <w:abstractNumId w:val="28"/>
  </w:num>
  <w:num w:numId="28">
    <w:abstractNumId w:val="27"/>
  </w:num>
  <w:num w:numId="29">
    <w:abstractNumId w:val="6"/>
  </w:num>
  <w:num w:numId="30">
    <w:abstractNumId w:val="15"/>
  </w:num>
  <w:num w:numId="31">
    <w:abstractNumId w:val="2"/>
  </w:num>
  <w:num w:numId="32">
    <w:abstractNumId w:val="16"/>
  </w:num>
  <w:num w:numId="33">
    <w:abstractNumId w:val="9"/>
  </w:num>
  <w:num w:numId="34">
    <w:abstractNumId w:val="24"/>
  </w:num>
  <w:num w:numId="35">
    <w:abstractNumId w:val="29"/>
  </w:num>
  <w:num w:numId="36">
    <w:abstractNumId w:val="8"/>
  </w:num>
  <w:num w:numId="37">
    <w:abstractNumId w:val="17"/>
  </w:num>
  <w:num w:numId="38">
    <w:abstractNumId w:val="1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BC"/>
    <w:rsid w:val="00012549"/>
    <w:rsid w:val="00015CBC"/>
    <w:rsid w:val="0002608F"/>
    <w:rsid w:val="00037D90"/>
    <w:rsid w:val="000542FE"/>
    <w:rsid w:val="00065E60"/>
    <w:rsid w:val="000823E5"/>
    <w:rsid w:val="000850F9"/>
    <w:rsid w:val="00090D90"/>
    <w:rsid w:val="00091D31"/>
    <w:rsid w:val="0009790A"/>
    <w:rsid w:val="000A7D43"/>
    <w:rsid w:val="000B3DF6"/>
    <w:rsid w:val="000C5F87"/>
    <w:rsid w:val="000D0929"/>
    <w:rsid w:val="000D61A6"/>
    <w:rsid w:val="00101E91"/>
    <w:rsid w:val="001207ED"/>
    <w:rsid w:val="00145843"/>
    <w:rsid w:val="001512F3"/>
    <w:rsid w:val="00164E64"/>
    <w:rsid w:val="001754CA"/>
    <w:rsid w:val="00183748"/>
    <w:rsid w:val="001A7E3C"/>
    <w:rsid w:val="001B3EAB"/>
    <w:rsid w:val="001B5C22"/>
    <w:rsid w:val="001C3E4A"/>
    <w:rsid w:val="001D34B5"/>
    <w:rsid w:val="001F1FF6"/>
    <w:rsid w:val="001F5944"/>
    <w:rsid w:val="00204B85"/>
    <w:rsid w:val="00225AFB"/>
    <w:rsid w:val="00234464"/>
    <w:rsid w:val="0025253D"/>
    <w:rsid w:val="002655B7"/>
    <w:rsid w:val="00265FB7"/>
    <w:rsid w:val="00267103"/>
    <w:rsid w:val="0027004F"/>
    <w:rsid w:val="0028114D"/>
    <w:rsid w:val="00287D65"/>
    <w:rsid w:val="002913B8"/>
    <w:rsid w:val="002A717E"/>
    <w:rsid w:val="002D3A12"/>
    <w:rsid w:val="00310DE1"/>
    <w:rsid w:val="0033537A"/>
    <w:rsid w:val="003506D7"/>
    <w:rsid w:val="00363CA2"/>
    <w:rsid w:val="003878A3"/>
    <w:rsid w:val="003906DE"/>
    <w:rsid w:val="003D5289"/>
    <w:rsid w:val="003D6087"/>
    <w:rsid w:val="003E2BCE"/>
    <w:rsid w:val="003E5CE8"/>
    <w:rsid w:val="00402A2B"/>
    <w:rsid w:val="00411EB0"/>
    <w:rsid w:val="00422A3E"/>
    <w:rsid w:val="0042339F"/>
    <w:rsid w:val="00430A7D"/>
    <w:rsid w:val="00444173"/>
    <w:rsid w:val="00453388"/>
    <w:rsid w:val="00463AC4"/>
    <w:rsid w:val="004734B4"/>
    <w:rsid w:val="00473AA4"/>
    <w:rsid w:val="00477BE5"/>
    <w:rsid w:val="00483BF2"/>
    <w:rsid w:val="004900F7"/>
    <w:rsid w:val="004960E0"/>
    <w:rsid w:val="004A06C9"/>
    <w:rsid w:val="004B3E39"/>
    <w:rsid w:val="004C1A77"/>
    <w:rsid w:val="004D76CF"/>
    <w:rsid w:val="004E17A1"/>
    <w:rsid w:val="004E3711"/>
    <w:rsid w:val="00501D2C"/>
    <w:rsid w:val="00503C99"/>
    <w:rsid w:val="00504C44"/>
    <w:rsid w:val="00511398"/>
    <w:rsid w:val="00525343"/>
    <w:rsid w:val="00540148"/>
    <w:rsid w:val="00547CF2"/>
    <w:rsid w:val="00550F91"/>
    <w:rsid w:val="00554C4D"/>
    <w:rsid w:val="00556432"/>
    <w:rsid w:val="005771E3"/>
    <w:rsid w:val="00584272"/>
    <w:rsid w:val="00585331"/>
    <w:rsid w:val="005A3421"/>
    <w:rsid w:val="005B5837"/>
    <w:rsid w:val="005D4C93"/>
    <w:rsid w:val="005D6A71"/>
    <w:rsid w:val="005D6C14"/>
    <w:rsid w:val="005D7C80"/>
    <w:rsid w:val="005F55F8"/>
    <w:rsid w:val="00601895"/>
    <w:rsid w:val="00611AD3"/>
    <w:rsid w:val="00622F39"/>
    <w:rsid w:val="00633FD8"/>
    <w:rsid w:val="00634A5F"/>
    <w:rsid w:val="00657562"/>
    <w:rsid w:val="006800B6"/>
    <w:rsid w:val="006848C3"/>
    <w:rsid w:val="00686BF9"/>
    <w:rsid w:val="006A09AC"/>
    <w:rsid w:val="006A5653"/>
    <w:rsid w:val="006B2615"/>
    <w:rsid w:val="006B55FD"/>
    <w:rsid w:val="006D74DD"/>
    <w:rsid w:val="006E0AEB"/>
    <w:rsid w:val="006E5D75"/>
    <w:rsid w:val="006F0867"/>
    <w:rsid w:val="006F46A0"/>
    <w:rsid w:val="006F798F"/>
    <w:rsid w:val="00706CF5"/>
    <w:rsid w:val="0071446C"/>
    <w:rsid w:val="007239FA"/>
    <w:rsid w:val="00732D43"/>
    <w:rsid w:val="007427E7"/>
    <w:rsid w:val="00765D13"/>
    <w:rsid w:val="00766F7B"/>
    <w:rsid w:val="007707A5"/>
    <w:rsid w:val="00775EA3"/>
    <w:rsid w:val="0078294D"/>
    <w:rsid w:val="00784021"/>
    <w:rsid w:val="00784B42"/>
    <w:rsid w:val="00793F39"/>
    <w:rsid w:val="007965E6"/>
    <w:rsid w:val="007A3528"/>
    <w:rsid w:val="007E78A6"/>
    <w:rsid w:val="008023CB"/>
    <w:rsid w:val="00815F25"/>
    <w:rsid w:val="00840CFE"/>
    <w:rsid w:val="00852BC8"/>
    <w:rsid w:val="00864017"/>
    <w:rsid w:val="008664F5"/>
    <w:rsid w:val="00880008"/>
    <w:rsid w:val="0088088D"/>
    <w:rsid w:val="008A6E31"/>
    <w:rsid w:val="008C2604"/>
    <w:rsid w:val="008C40C0"/>
    <w:rsid w:val="008C60A0"/>
    <w:rsid w:val="008D4119"/>
    <w:rsid w:val="008E0359"/>
    <w:rsid w:val="008E6937"/>
    <w:rsid w:val="008F7D63"/>
    <w:rsid w:val="00901A63"/>
    <w:rsid w:val="00902221"/>
    <w:rsid w:val="00915A81"/>
    <w:rsid w:val="009233E6"/>
    <w:rsid w:val="0092633F"/>
    <w:rsid w:val="00930FA2"/>
    <w:rsid w:val="00933A17"/>
    <w:rsid w:val="00933FFA"/>
    <w:rsid w:val="00947BC9"/>
    <w:rsid w:val="00964CE7"/>
    <w:rsid w:val="00971B79"/>
    <w:rsid w:val="009927D1"/>
    <w:rsid w:val="00994E1A"/>
    <w:rsid w:val="009979E1"/>
    <w:rsid w:val="009B730C"/>
    <w:rsid w:val="009C11EF"/>
    <w:rsid w:val="009C2BD7"/>
    <w:rsid w:val="009E09EC"/>
    <w:rsid w:val="009E64CB"/>
    <w:rsid w:val="009F00AE"/>
    <w:rsid w:val="00A00FD5"/>
    <w:rsid w:val="00A14B61"/>
    <w:rsid w:val="00A15059"/>
    <w:rsid w:val="00A1769A"/>
    <w:rsid w:val="00A25523"/>
    <w:rsid w:val="00A60BB5"/>
    <w:rsid w:val="00A7130F"/>
    <w:rsid w:val="00A723F7"/>
    <w:rsid w:val="00A97C31"/>
    <w:rsid w:val="00AA3855"/>
    <w:rsid w:val="00AA7F1D"/>
    <w:rsid w:val="00AB36ED"/>
    <w:rsid w:val="00AB7FE9"/>
    <w:rsid w:val="00AD78AB"/>
    <w:rsid w:val="00AE0584"/>
    <w:rsid w:val="00AE19EA"/>
    <w:rsid w:val="00AE3736"/>
    <w:rsid w:val="00AE7967"/>
    <w:rsid w:val="00AF16E4"/>
    <w:rsid w:val="00AF2898"/>
    <w:rsid w:val="00B140DA"/>
    <w:rsid w:val="00B410A6"/>
    <w:rsid w:val="00B4221D"/>
    <w:rsid w:val="00B54F88"/>
    <w:rsid w:val="00B56211"/>
    <w:rsid w:val="00B56A10"/>
    <w:rsid w:val="00B65B84"/>
    <w:rsid w:val="00B75679"/>
    <w:rsid w:val="00B75DDE"/>
    <w:rsid w:val="00B9243B"/>
    <w:rsid w:val="00B9351D"/>
    <w:rsid w:val="00BA170D"/>
    <w:rsid w:val="00BA1D1F"/>
    <w:rsid w:val="00BA393C"/>
    <w:rsid w:val="00BB2747"/>
    <w:rsid w:val="00BC299D"/>
    <w:rsid w:val="00BC2C29"/>
    <w:rsid w:val="00BC741E"/>
    <w:rsid w:val="00C10448"/>
    <w:rsid w:val="00C56C16"/>
    <w:rsid w:val="00C67475"/>
    <w:rsid w:val="00C72318"/>
    <w:rsid w:val="00C734E2"/>
    <w:rsid w:val="00C75488"/>
    <w:rsid w:val="00C836F9"/>
    <w:rsid w:val="00CA63B3"/>
    <w:rsid w:val="00CB5DA8"/>
    <w:rsid w:val="00CE4075"/>
    <w:rsid w:val="00CE4660"/>
    <w:rsid w:val="00CF1868"/>
    <w:rsid w:val="00CF2CFA"/>
    <w:rsid w:val="00CF3E90"/>
    <w:rsid w:val="00D03B44"/>
    <w:rsid w:val="00D071F9"/>
    <w:rsid w:val="00D256FD"/>
    <w:rsid w:val="00D31B51"/>
    <w:rsid w:val="00D33D0D"/>
    <w:rsid w:val="00D4724D"/>
    <w:rsid w:val="00D47457"/>
    <w:rsid w:val="00D64855"/>
    <w:rsid w:val="00D729D8"/>
    <w:rsid w:val="00D82DAC"/>
    <w:rsid w:val="00D862B9"/>
    <w:rsid w:val="00D87E61"/>
    <w:rsid w:val="00D94DF5"/>
    <w:rsid w:val="00DA6E7B"/>
    <w:rsid w:val="00DB6E55"/>
    <w:rsid w:val="00DE6D1F"/>
    <w:rsid w:val="00DF19BC"/>
    <w:rsid w:val="00DF19C4"/>
    <w:rsid w:val="00DF5874"/>
    <w:rsid w:val="00E0069D"/>
    <w:rsid w:val="00E0488E"/>
    <w:rsid w:val="00E11AA8"/>
    <w:rsid w:val="00E21D57"/>
    <w:rsid w:val="00E33BD5"/>
    <w:rsid w:val="00E37985"/>
    <w:rsid w:val="00E505F5"/>
    <w:rsid w:val="00E60C3E"/>
    <w:rsid w:val="00E6146D"/>
    <w:rsid w:val="00E625FB"/>
    <w:rsid w:val="00E64AEB"/>
    <w:rsid w:val="00E65792"/>
    <w:rsid w:val="00E6668F"/>
    <w:rsid w:val="00E77774"/>
    <w:rsid w:val="00E77881"/>
    <w:rsid w:val="00E83ACC"/>
    <w:rsid w:val="00E90E30"/>
    <w:rsid w:val="00E92EBB"/>
    <w:rsid w:val="00EB21FA"/>
    <w:rsid w:val="00EC01AF"/>
    <w:rsid w:val="00EC0F77"/>
    <w:rsid w:val="00EE6777"/>
    <w:rsid w:val="00F26C19"/>
    <w:rsid w:val="00F40E8E"/>
    <w:rsid w:val="00F44866"/>
    <w:rsid w:val="00F506CC"/>
    <w:rsid w:val="00F62A0B"/>
    <w:rsid w:val="00F923E1"/>
    <w:rsid w:val="00F9355D"/>
    <w:rsid w:val="00FA1D27"/>
    <w:rsid w:val="00FA2004"/>
    <w:rsid w:val="00FA7901"/>
    <w:rsid w:val="00FC5264"/>
    <w:rsid w:val="00FE2D19"/>
    <w:rsid w:val="00FF0F27"/>
    <w:rsid w:val="00FF46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4EF2424"/>
  <w15:chartTrackingRefBased/>
  <w15:docId w15:val="{FC14FAFB-B5F1-4C8C-9F6B-1F68FA18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ind w:left="360"/>
      <w:outlineLvl w:val="0"/>
    </w:pPr>
    <w:rPr>
      <w:sz w:val="24"/>
      <w:lang w:eastAsia="x-none"/>
    </w:rPr>
  </w:style>
  <w:style w:type="paragraph" w:styleId="Heading2">
    <w:name w:val="heading 2"/>
    <w:basedOn w:val="Normal"/>
    <w:next w:val="Normal"/>
    <w:uiPriority w:val="9"/>
    <w:qFormat/>
    <w:pPr>
      <w:keepNext/>
      <w:outlineLvl w:val="1"/>
    </w:pPr>
    <w:rPr>
      <w:i/>
      <w:sz w:val="24"/>
    </w:rPr>
  </w:style>
  <w:style w:type="paragraph" w:styleId="Heading3">
    <w:name w:val="heading 3"/>
    <w:basedOn w:val="Normal"/>
    <w:next w:val="Normal"/>
    <w:uiPriority w:val="9"/>
    <w:qFormat/>
    <w:pPr>
      <w:keepNext/>
      <w:outlineLvl w:val="2"/>
    </w:pPr>
    <w:rPr>
      <w:sz w:val="24"/>
    </w:rPr>
  </w:style>
  <w:style w:type="paragraph" w:styleId="Heading4">
    <w:name w:val="heading 4"/>
    <w:basedOn w:val="Normal"/>
    <w:next w:val="Normal"/>
    <w:link w:val="Heading4Char"/>
    <w:uiPriority w:val="9"/>
    <w:qFormat/>
    <w:pPr>
      <w:keepNext/>
      <w:outlineLvl w:val="3"/>
    </w:pPr>
    <w:rPr>
      <w:b/>
      <w:sz w:val="24"/>
      <w:lang w:eastAsia="x-none"/>
    </w:rPr>
  </w:style>
  <w:style w:type="paragraph" w:styleId="Heading5">
    <w:name w:val="heading 5"/>
    <w:basedOn w:val="Normal"/>
    <w:next w:val="Normal"/>
    <w:uiPriority w:val="9"/>
    <w:qFormat/>
    <w:pPr>
      <w:keepNext/>
      <w:outlineLvl w:val="4"/>
    </w:pPr>
    <w:rPr>
      <w:b/>
      <w:sz w:val="22"/>
    </w:rPr>
  </w:style>
  <w:style w:type="paragraph" w:styleId="Heading6">
    <w:name w:val="heading 6"/>
    <w:basedOn w:val="Normal"/>
    <w:next w:val="Normal"/>
    <w:link w:val="Heading6Char"/>
    <w:uiPriority w:val="9"/>
    <w:qFormat/>
    <w:rsid w:val="00E64AEB"/>
    <w:pPr>
      <w:tabs>
        <w:tab w:val="num" w:pos="1152"/>
      </w:tabs>
      <w:spacing w:before="240" w:after="60"/>
      <w:ind w:left="1152" w:hanging="1152"/>
      <w:outlineLvl w:val="5"/>
    </w:pPr>
    <w:rPr>
      <w:rFonts w:eastAsia="Batang"/>
      <w:b/>
      <w:bCs/>
      <w:sz w:val="22"/>
      <w:szCs w:val="22"/>
      <w:lang w:eastAsia="x-none"/>
    </w:rPr>
  </w:style>
  <w:style w:type="paragraph" w:styleId="Heading7">
    <w:name w:val="heading 7"/>
    <w:basedOn w:val="Normal"/>
    <w:next w:val="Normal"/>
    <w:link w:val="Heading7Char"/>
    <w:uiPriority w:val="9"/>
    <w:qFormat/>
    <w:rsid w:val="00E64AEB"/>
    <w:pPr>
      <w:tabs>
        <w:tab w:val="num" w:pos="1296"/>
      </w:tabs>
      <w:spacing w:before="240" w:after="60"/>
      <w:ind w:left="1296" w:hanging="1296"/>
      <w:outlineLvl w:val="6"/>
    </w:pPr>
    <w:rPr>
      <w:rFonts w:eastAsia="Batang"/>
      <w:sz w:val="24"/>
      <w:szCs w:val="24"/>
      <w:lang w:eastAsia="x-none"/>
    </w:rPr>
  </w:style>
  <w:style w:type="paragraph" w:styleId="Heading8">
    <w:name w:val="heading 8"/>
    <w:basedOn w:val="Normal"/>
    <w:next w:val="Normal"/>
    <w:link w:val="Heading8Char"/>
    <w:uiPriority w:val="9"/>
    <w:qFormat/>
    <w:rsid w:val="00E64AEB"/>
    <w:pPr>
      <w:tabs>
        <w:tab w:val="num" w:pos="1440"/>
      </w:tabs>
      <w:spacing w:before="240" w:after="60"/>
      <w:ind w:left="1440" w:hanging="1440"/>
      <w:outlineLvl w:val="7"/>
    </w:pPr>
    <w:rPr>
      <w:rFonts w:eastAsia="Batang"/>
      <w:i/>
      <w:iCs/>
      <w:sz w:val="24"/>
      <w:szCs w:val="24"/>
      <w:lang w:eastAsia="x-none"/>
    </w:rPr>
  </w:style>
  <w:style w:type="paragraph" w:styleId="Heading9">
    <w:name w:val="heading 9"/>
    <w:basedOn w:val="Normal"/>
    <w:next w:val="Normal"/>
    <w:link w:val="Heading9Char"/>
    <w:uiPriority w:val="9"/>
    <w:qFormat/>
    <w:rsid w:val="00E64AEB"/>
    <w:pPr>
      <w:tabs>
        <w:tab w:val="num" w:pos="1584"/>
      </w:tabs>
      <w:spacing w:before="240" w:after="60"/>
      <w:ind w:left="1584" w:hanging="1584"/>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semiHidden/>
    <w:pPr>
      <w:ind w:left="360"/>
    </w:pPr>
    <w:rPr>
      <w:sz w:val="24"/>
      <w:lang w:eastAsia="x-none"/>
    </w:rPr>
  </w:style>
  <w:style w:type="paragraph" w:styleId="BodyTextIndent2">
    <w:name w:val="Body Text Indent 2"/>
    <w:basedOn w:val="Normal"/>
    <w:semiHidden/>
    <w:pPr>
      <w:ind w:left="780"/>
    </w:pPr>
    <w:rPr>
      <w:b/>
      <w:sz w:val="24"/>
    </w:rPr>
  </w:style>
  <w:style w:type="paragraph" w:styleId="BodyText">
    <w:name w:val="Body Text"/>
    <w:basedOn w:val="Normal"/>
    <w:semiHidden/>
    <w:rPr>
      <w:sz w:val="2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semiHidden/>
    <w:pPr>
      <w:jc w:val="both"/>
    </w:pPr>
    <w:rPr>
      <w:rFonts w:ascii="Arial" w:hAnsi="Arial"/>
    </w:rPr>
  </w:style>
  <w:style w:type="paragraph" w:styleId="BalloonText">
    <w:name w:val="Balloon Text"/>
    <w:basedOn w:val="Normal"/>
    <w:semiHidden/>
    <w:rPr>
      <w:rFonts w:ascii="Tahoma" w:hAnsi="Tahoma" w:cs="Tahoma"/>
      <w:sz w:val="16"/>
      <w:szCs w:val="16"/>
    </w:rPr>
  </w:style>
  <w:style w:type="paragraph" w:customStyle="1" w:styleId="Textbubliny1">
    <w:name w:val="Text bubliny1"/>
    <w:basedOn w:val="Normal"/>
    <w:semiHidden/>
    <w:rPr>
      <w:rFonts w:ascii="Tahoma" w:hAnsi="Tahoma" w:cs="Tahoma"/>
      <w:sz w:val="16"/>
      <w:szCs w:val="16"/>
    </w:rPr>
  </w:style>
  <w:style w:type="paragraph" w:customStyle="1" w:styleId="SPCnormal">
    <w:name w:val="SPC_normal"/>
    <w:uiPriority w:val="99"/>
    <w:rPr>
      <w:sz w:val="22"/>
      <w:lang w:val="en-GB" w:eastAsia="sv-SE"/>
    </w:rPr>
  </w:style>
  <w:style w:type="character" w:customStyle="1" w:styleId="Heading6Char">
    <w:name w:val="Heading 6 Char"/>
    <w:link w:val="Heading6"/>
    <w:uiPriority w:val="99"/>
    <w:rsid w:val="00E64AEB"/>
    <w:rPr>
      <w:rFonts w:eastAsia="Batang"/>
      <w:b/>
      <w:bCs/>
      <w:sz w:val="22"/>
      <w:szCs w:val="22"/>
      <w:lang w:val="sk-SK"/>
    </w:rPr>
  </w:style>
  <w:style w:type="character" w:customStyle="1" w:styleId="Heading7Char">
    <w:name w:val="Heading 7 Char"/>
    <w:link w:val="Heading7"/>
    <w:uiPriority w:val="99"/>
    <w:rsid w:val="00E64AEB"/>
    <w:rPr>
      <w:rFonts w:eastAsia="Batang"/>
      <w:sz w:val="24"/>
      <w:szCs w:val="24"/>
      <w:lang w:val="sk-SK"/>
    </w:rPr>
  </w:style>
  <w:style w:type="character" w:customStyle="1" w:styleId="Heading8Char">
    <w:name w:val="Heading 8 Char"/>
    <w:link w:val="Heading8"/>
    <w:uiPriority w:val="99"/>
    <w:rsid w:val="00E64AEB"/>
    <w:rPr>
      <w:rFonts w:eastAsia="Batang"/>
      <w:i/>
      <w:iCs/>
      <w:sz w:val="24"/>
      <w:szCs w:val="24"/>
      <w:lang w:val="sk-SK"/>
    </w:rPr>
  </w:style>
  <w:style w:type="character" w:customStyle="1" w:styleId="Heading9Char">
    <w:name w:val="Heading 9 Char"/>
    <w:link w:val="Heading9"/>
    <w:uiPriority w:val="99"/>
    <w:rsid w:val="00E64AEB"/>
    <w:rPr>
      <w:rFonts w:ascii="Arial" w:eastAsia="Batang" w:hAnsi="Arial" w:cs="Arial"/>
      <w:sz w:val="22"/>
      <w:szCs w:val="22"/>
      <w:lang w:val="sk-SK"/>
    </w:rPr>
  </w:style>
  <w:style w:type="character" w:customStyle="1" w:styleId="Heading4Char">
    <w:name w:val="Heading 4 Char"/>
    <w:link w:val="Heading4"/>
    <w:uiPriority w:val="99"/>
    <w:locked/>
    <w:rsid w:val="00463AC4"/>
    <w:rPr>
      <w:b/>
      <w:sz w:val="24"/>
      <w:lang w:val="sk-SK"/>
    </w:rPr>
  </w:style>
  <w:style w:type="character" w:customStyle="1" w:styleId="Heading1Char">
    <w:name w:val="Heading 1 Char"/>
    <w:link w:val="Heading1"/>
    <w:uiPriority w:val="99"/>
    <w:rsid w:val="00511398"/>
    <w:rPr>
      <w:sz w:val="24"/>
      <w:lang w:val="sk-SK"/>
    </w:rPr>
  </w:style>
  <w:style w:type="character" w:customStyle="1" w:styleId="BodyTextIndentChar">
    <w:name w:val="Body Text Indent Char"/>
    <w:link w:val="BodyTextIndent"/>
    <w:semiHidden/>
    <w:rsid w:val="00511398"/>
    <w:rPr>
      <w:sz w:val="24"/>
      <w:lang w:val="sk-SK"/>
    </w:rPr>
  </w:style>
  <w:style w:type="paragraph" w:styleId="NoSpacing">
    <w:name w:val="No Spacing"/>
    <w:uiPriority w:val="1"/>
    <w:qFormat/>
    <w:rsid w:val="005D6C14"/>
    <w:pPr>
      <w:numPr>
        <w:ilvl w:val="8"/>
        <w:numId w:val="1"/>
      </w:numPr>
      <w:tabs>
        <w:tab w:val="num" w:pos="3510"/>
      </w:tabs>
      <w:ind w:left="3510"/>
    </w:pPr>
    <w:rPr>
      <w:lang w:eastAsia="en-US"/>
    </w:rPr>
  </w:style>
  <w:style w:type="character" w:styleId="CommentReference">
    <w:name w:val="annotation reference"/>
    <w:uiPriority w:val="99"/>
    <w:semiHidden/>
    <w:unhideWhenUsed/>
    <w:rsid w:val="005A3421"/>
    <w:rPr>
      <w:sz w:val="16"/>
      <w:szCs w:val="16"/>
    </w:rPr>
  </w:style>
  <w:style w:type="paragraph" w:styleId="CommentText">
    <w:name w:val="annotation text"/>
    <w:basedOn w:val="Normal"/>
    <w:link w:val="CommentTextChar"/>
    <w:uiPriority w:val="99"/>
    <w:semiHidden/>
    <w:unhideWhenUsed/>
    <w:rsid w:val="005A3421"/>
    <w:rPr>
      <w:lang w:val="x-none"/>
    </w:rPr>
  </w:style>
  <w:style w:type="character" w:customStyle="1" w:styleId="CommentTextChar">
    <w:name w:val="Comment Text Char"/>
    <w:link w:val="CommentText"/>
    <w:uiPriority w:val="99"/>
    <w:semiHidden/>
    <w:rsid w:val="005A3421"/>
    <w:rPr>
      <w:lang w:eastAsia="en-US"/>
    </w:rPr>
  </w:style>
  <w:style w:type="paragraph" w:styleId="CommentSubject">
    <w:name w:val="annotation subject"/>
    <w:basedOn w:val="CommentText"/>
    <w:next w:val="CommentText"/>
    <w:link w:val="CommentSubjectChar"/>
    <w:uiPriority w:val="99"/>
    <w:semiHidden/>
    <w:unhideWhenUsed/>
    <w:rsid w:val="005A3421"/>
    <w:rPr>
      <w:b/>
      <w:bCs/>
    </w:rPr>
  </w:style>
  <w:style w:type="character" w:customStyle="1" w:styleId="CommentSubjectChar">
    <w:name w:val="Comment Subject Char"/>
    <w:link w:val="CommentSubject"/>
    <w:uiPriority w:val="99"/>
    <w:semiHidden/>
    <w:rsid w:val="005A3421"/>
    <w:rPr>
      <w:b/>
      <w:bCs/>
      <w:lang w:eastAsia="en-US"/>
    </w:rPr>
  </w:style>
  <w:style w:type="character" w:styleId="Hyperlink">
    <w:name w:val="Hyperlink"/>
    <w:uiPriority w:val="99"/>
    <w:unhideWhenUsed/>
    <w:rsid w:val="006B2615"/>
    <w:rPr>
      <w:color w:val="0563C1"/>
      <w:u w:val="single"/>
    </w:rPr>
  </w:style>
  <w:style w:type="paragraph" w:customStyle="1" w:styleId="CM16">
    <w:name w:val="CM16"/>
    <w:basedOn w:val="Normal"/>
    <w:next w:val="Normal"/>
    <w:uiPriority w:val="99"/>
    <w:rsid w:val="00037D90"/>
    <w:pPr>
      <w:widowControl w:val="0"/>
      <w:autoSpaceDE w:val="0"/>
      <w:autoSpaceDN w:val="0"/>
      <w:adjustRightInd w:val="0"/>
    </w:pPr>
    <w:rPr>
      <w:rFonts w:ascii="QUOWUE+Verdana" w:hAnsi="QUOWUE+Verdana"/>
      <w:sz w:val="24"/>
      <w:szCs w:val="24"/>
      <w:lang w:val="en-US"/>
    </w:rPr>
  </w:style>
  <w:style w:type="paragraph" w:customStyle="1" w:styleId="CM5">
    <w:name w:val="CM5"/>
    <w:basedOn w:val="Normal"/>
    <w:next w:val="Normal"/>
    <w:uiPriority w:val="99"/>
    <w:rsid w:val="00037D90"/>
    <w:pPr>
      <w:widowControl w:val="0"/>
      <w:autoSpaceDE w:val="0"/>
      <w:autoSpaceDN w:val="0"/>
      <w:adjustRightInd w:val="0"/>
      <w:spacing w:line="280" w:lineRule="atLeast"/>
    </w:pPr>
    <w:rPr>
      <w:rFonts w:ascii="QUOWUE+Verdana" w:hAnsi="QUOWUE+Verdana"/>
      <w:sz w:val="24"/>
      <w:szCs w:val="24"/>
      <w:lang w:val="en-US"/>
    </w:rPr>
  </w:style>
  <w:style w:type="paragraph" w:customStyle="1" w:styleId="CM4">
    <w:name w:val="CM4"/>
    <w:basedOn w:val="Normal"/>
    <w:next w:val="Normal"/>
    <w:uiPriority w:val="99"/>
    <w:rsid w:val="00037D90"/>
    <w:pPr>
      <w:widowControl w:val="0"/>
      <w:autoSpaceDE w:val="0"/>
      <w:autoSpaceDN w:val="0"/>
      <w:adjustRightInd w:val="0"/>
      <w:spacing w:line="280" w:lineRule="atLeast"/>
    </w:pPr>
    <w:rPr>
      <w:rFonts w:ascii="QUOWUE+Verdana" w:hAnsi="QUOWUE+Verdana"/>
      <w:sz w:val="24"/>
      <w:szCs w:val="24"/>
      <w:lang w:val="en-US"/>
    </w:rPr>
  </w:style>
  <w:style w:type="paragraph" w:customStyle="1" w:styleId="CM3">
    <w:name w:val="CM3"/>
    <w:basedOn w:val="Normal"/>
    <w:next w:val="Normal"/>
    <w:uiPriority w:val="99"/>
    <w:rsid w:val="00793F39"/>
    <w:pPr>
      <w:widowControl w:val="0"/>
      <w:autoSpaceDE w:val="0"/>
      <w:autoSpaceDN w:val="0"/>
      <w:adjustRightInd w:val="0"/>
      <w:spacing w:line="280" w:lineRule="atLeast"/>
    </w:pPr>
    <w:rPr>
      <w:rFonts w:ascii="QUOWUE+Verdana" w:hAnsi="QUOWUE+Verdana"/>
      <w:sz w:val="24"/>
      <w:szCs w:val="24"/>
      <w:lang w:val="en-US"/>
    </w:rPr>
  </w:style>
  <w:style w:type="paragraph" w:customStyle="1" w:styleId="CM11">
    <w:name w:val="CM11"/>
    <w:basedOn w:val="Normal"/>
    <w:next w:val="Normal"/>
    <w:uiPriority w:val="99"/>
    <w:rsid w:val="006E0AEB"/>
    <w:pPr>
      <w:widowControl w:val="0"/>
      <w:autoSpaceDE w:val="0"/>
      <w:autoSpaceDN w:val="0"/>
      <w:adjustRightInd w:val="0"/>
      <w:spacing w:line="283" w:lineRule="atLeast"/>
    </w:pPr>
    <w:rPr>
      <w:rFonts w:ascii="QUOWUE+Verdana" w:hAnsi="QUOWUE+Verdana"/>
      <w:sz w:val="24"/>
      <w:szCs w:val="24"/>
      <w:lang w:val="en-US"/>
    </w:rPr>
  </w:style>
  <w:style w:type="character" w:customStyle="1" w:styleId="HeaderChar">
    <w:name w:val="Header Char"/>
    <w:link w:val="Header"/>
    <w:uiPriority w:val="99"/>
    <w:rsid w:val="00234464"/>
    <w:rPr>
      <w:lang w:eastAsia="en-US"/>
    </w:rPr>
  </w:style>
  <w:style w:type="paragraph" w:styleId="ListParagraph">
    <w:name w:val="List Paragraph"/>
    <w:basedOn w:val="Normal"/>
    <w:uiPriority w:val="34"/>
    <w:qFormat/>
    <w:rsid w:val="00930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4785">
      <w:bodyDiv w:val="1"/>
      <w:marLeft w:val="0"/>
      <w:marRight w:val="0"/>
      <w:marTop w:val="0"/>
      <w:marBottom w:val="0"/>
      <w:divBdr>
        <w:top w:val="none" w:sz="0" w:space="0" w:color="auto"/>
        <w:left w:val="none" w:sz="0" w:space="0" w:color="auto"/>
        <w:bottom w:val="none" w:sz="0" w:space="0" w:color="auto"/>
        <w:right w:val="none" w:sz="0" w:space="0" w:color="auto"/>
      </w:divBdr>
    </w:div>
    <w:div w:id="229655115">
      <w:bodyDiv w:val="1"/>
      <w:marLeft w:val="0"/>
      <w:marRight w:val="0"/>
      <w:marTop w:val="0"/>
      <w:marBottom w:val="0"/>
      <w:divBdr>
        <w:top w:val="none" w:sz="0" w:space="0" w:color="auto"/>
        <w:left w:val="none" w:sz="0" w:space="0" w:color="auto"/>
        <w:bottom w:val="none" w:sz="0" w:space="0" w:color="auto"/>
        <w:right w:val="none" w:sz="0" w:space="0" w:color="auto"/>
      </w:divBdr>
    </w:div>
    <w:div w:id="263071602">
      <w:bodyDiv w:val="1"/>
      <w:marLeft w:val="0"/>
      <w:marRight w:val="0"/>
      <w:marTop w:val="0"/>
      <w:marBottom w:val="0"/>
      <w:divBdr>
        <w:top w:val="none" w:sz="0" w:space="0" w:color="auto"/>
        <w:left w:val="none" w:sz="0" w:space="0" w:color="auto"/>
        <w:bottom w:val="none" w:sz="0" w:space="0" w:color="auto"/>
        <w:right w:val="none" w:sz="0" w:space="0" w:color="auto"/>
      </w:divBdr>
    </w:div>
    <w:div w:id="624240228">
      <w:bodyDiv w:val="1"/>
      <w:marLeft w:val="0"/>
      <w:marRight w:val="0"/>
      <w:marTop w:val="0"/>
      <w:marBottom w:val="0"/>
      <w:divBdr>
        <w:top w:val="none" w:sz="0" w:space="0" w:color="auto"/>
        <w:left w:val="none" w:sz="0" w:space="0" w:color="auto"/>
        <w:bottom w:val="none" w:sz="0" w:space="0" w:color="auto"/>
        <w:right w:val="none" w:sz="0" w:space="0" w:color="auto"/>
      </w:divBdr>
    </w:div>
    <w:div w:id="6610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665F4-8741-4E07-AE8B-9EF9E619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3268</Words>
  <Characters>20692</Characters>
  <Application>Microsoft Office Word</Application>
  <DocSecurity>0</DocSecurity>
  <Lines>172</Lines>
  <Paragraphs>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CHARAKTERISTICKÝCH VLASTNOSTÍ LIEKU</vt:lpstr>
      <vt:lpstr>SÚHRN CHARAKTERISTICKÝCH VLASTNOSTÍ LIEKU</vt:lpstr>
    </vt:vector>
  </TitlesOfParts>
  <Company>MERCK</Company>
  <LinksUpToDate>false</LinksUpToDate>
  <CharactersWithSpaces>23913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n/a</dc:creator>
  <cp:keywords/>
  <cp:lastModifiedBy>MU</cp:lastModifiedBy>
  <cp:revision>2</cp:revision>
  <cp:lastPrinted>2020-10-19T06:55:00Z</cp:lastPrinted>
  <dcterms:created xsi:type="dcterms:W3CDTF">2022-03-28T12:23:00Z</dcterms:created>
  <dcterms:modified xsi:type="dcterms:W3CDTF">2022-03-28T12:23:00Z</dcterms:modified>
</cp:coreProperties>
</file>