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8DB11" w14:textId="77777777" w:rsidR="005412B9" w:rsidRPr="004441DD" w:rsidRDefault="005412B9" w:rsidP="004441DD">
      <w:pPr>
        <w:jc w:val="center"/>
        <w:rPr>
          <w:b/>
          <w:sz w:val="22"/>
          <w:szCs w:val="22"/>
          <w:lang w:val="sk-SK"/>
        </w:rPr>
      </w:pPr>
      <w:r w:rsidRPr="004441DD">
        <w:rPr>
          <w:b/>
          <w:sz w:val="22"/>
          <w:szCs w:val="22"/>
          <w:lang w:val="sk-SK"/>
        </w:rPr>
        <w:t>SÚHRN CHARAKTERISTICKÝCH VLASTNOSTÍ LIEKU</w:t>
      </w:r>
    </w:p>
    <w:p w14:paraId="316900A1" w14:textId="77777777" w:rsidR="005412B9" w:rsidRPr="004441DD" w:rsidRDefault="005412B9" w:rsidP="004441DD">
      <w:pPr>
        <w:rPr>
          <w:b/>
          <w:sz w:val="22"/>
          <w:szCs w:val="22"/>
          <w:lang w:val="sk-SK"/>
        </w:rPr>
      </w:pPr>
    </w:p>
    <w:p w14:paraId="5B2096A3" w14:textId="77777777" w:rsidR="00CC56D9" w:rsidRPr="004441DD" w:rsidRDefault="00CC56D9" w:rsidP="004441DD">
      <w:pPr>
        <w:rPr>
          <w:b/>
          <w:sz w:val="22"/>
          <w:szCs w:val="22"/>
          <w:lang w:val="sk-SK"/>
        </w:rPr>
      </w:pPr>
    </w:p>
    <w:p w14:paraId="2449F815" w14:textId="77777777" w:rsidR="005412B9" w:rsidRPr="004441DD" w:rsidRDefault="005412B9" w:rsidP="004441DD">
      <w:pPr>
        <w:rPr>
          <w:b/>
          <w:sz w:val="22"/>
          <w:szCs w:val="22"/>
          <w:lang w:val="sk-SK"/>
        </w:rPr>
      </w:pPr>
      <w:r w:rsidRPr="004441DD">
        <w:rPr>
          <w:b/>
          <w:sz w:val="22"/>
          <w:szCs w:val="22"/>
          <w:lang w:val="sk-SK"/>
        </w:rPr>
        <w:t>1.</w:t>
      </w:r>
      <w:r w:rsidRPr="004441DD">
        <w:rPr>
          <w:b/>
          <w:sz w:val="22"/>
          <w:szCs w:val="22"/>
          <w:lang w:val="sk-SK"/>
        </w:rPr>
        <w:tab/>
        <w:t>NÁZOV LIEKU</w:t>
      </w:r>
    </w:p>
    <w:p w14:paraId="44BEFE11" w14:textId="77777777" w:rsidR="005412B9" w:rsidRPr="004441DD" w:rsidRDefault="005412B9" w:rsidP="004441DD">
      <w:pPr>
        <w:rPr>
          <w:b/>
          <w:sz w:val="22"/>
          <w:szCs w:val="22"/>
          <w:lang w:val="sk-SK"/>
        </w:rPr>
      </w:pPr>
    </w:p>
    <w:p w14:paraId="6E25B41B" w14:textId="77777777" w:rsidR="005412B9" w:rsidRPr="004441DD" w:rsidRDefault="005412B9" w:rsidP="004441DD">
      <w:pPr>
        <w:rPr>
          <w:sz w:val="22"/>
          <w:szCs w:val="22"/>
          <w:lang w:val="sk-SK"/>
        </w:rPr>
      </w:pPr>
      <w:r w:rsidRPr="004441DD">
        <w:rPr>
          <w:sz w:val="22"/>
          <w:szCs w:val="22"/>
          <w:lang w:val="sk-SK"/>
        </w:rPr>
        <w:t>G</w:t>
      </w:r>
      <w:r w:rsidR="00A93259" w:rsidRPr="004441DD">
        <w:rPr>
          <w:sz w:val="22"/>
          <w:szCs w:val="22"/>
          <w:lang w:val="sk-SK"/>
        </w:rPr>
        <w:t>lucophage</w:t>
      </w:r>
      <w:r w:rsidRPr="004441DD">
        <w:rPr>
          <w:sz w:val="22"/>
          <w:szCs w:val="22"/>
          <w:lang w:val="sk-SK"/>
        </w:rPr>
        <w:t xml:space="preserve"> 1000 mg </w:t>
      </w:r>
    </w:p>
    <w:p w14:paraId="377B5929" w14:textId="77777777" w:rsidR="005A3198" w:rsidRPr="004441DD" w:rsidRDefault="005A3198" w:rsidP="004441DD">
      <w:pPr>
        <w:rPr>
          <w:sz w:val="22"/>
          <w:szCs w:val="22"/>
          <w:lang w:val="sk-SK"/>
        </w:rPr>
      </w:pPr>
      <w:r w:rsidRPr="004441DD">
        <w:rPr>
          <w:sz w:val="22"/>
          <w:szCs w:val="22"/>
          <w:lang w:val="sk-SK"/>
        </w:rPr>
        <w:t>filmom obalené tablety</w:t>
      </w:r>
    </w:p>
    <w:p w14:paraId="12183C5C" w14:textId="77777777" w:rsidR="005412B9" w:rsidRPr="004441DD" w:rsidRDefault="005412B9" w:rsidP="004441DD">
      <w:pPr>
        <w:rPr>
          <w:b/>
          <w:sz w:val="22"/>
          <w:szCs w:val="22"/>
          <w:lang w:val="sk-SK"/>
        </w:rPr>
      </w:pPr>
    </w:p>
    <w:p w14:paraId="46D04D51" w14:textId="77777777" w:rsidR="005412B9" w:rsidRPr="004441DD" w:rsidRDefault="005412B9" w:rsidP="004441DD">
      <w:pPr>
        <w:rPr>
          <w:b/>
          <w:sz w:val="22"/>
          <w:szCs w:val="22"/>
          <w:lang w:val="sk-SK"/>
        </w:rPr>
      </w:pPr>
    </w:p>
    <w:p w14:paraId="40330999" w14:textId="77777777" w:rsidR="005412B9" w:rsidRPr="004441DD" w:rsidRDefault="005412B9" w:rsidP="004441DD">
      <w:pPr>
        <w:rPr>
          <w:sz w:val="22"/>
          <w:szCs w:val="22"/>
          <w:lang w:val="sk-SK"/>
        </w:rPr>
      </w:pPr>
      <w:r w:rsidRPr="004441DD">
        <w:rPr>
          <w:b/>
          <w:sz w:val="22"/>
          <w:szCs w:val="22"/>
          <w:lang w:val="sk-SK"/>
        </w:rPr>
        <w:t>2.</w:t>
      </w:r>
      <w:r w:rsidRPr="004441DD">
        <w:rPr>
          <w:b/>
          <w:sz w:val="22"/>
          <w:szCs w:val="22"/>
          <w:lang w:val="sk-SK"/>
        </w:rPr>
        <w:tab/>
        <w:t>KVALITATÍVNE A KVANTITATÍVNE ZLOŽENIE</w:t>
      </w:r>
    </w:p>
    <w:p w14:paraId="0103FF03" w14:textId="77777777" w:rsidR="005412B9" w:rsidRPr="004441DD" w:rsidRDefault="005412B9" w:rsidP="004441DD">
      <w:pPr>
        <w:rPr>
          <w:b/>
          <w:sz w:val="22"/>
          <w:szCs w:val="22"/>
          <w:lang w:val="sk-SK"/>
        </w:rPr>
      </w:pPr>
    </w:p>
    <w:p w14:paraId="115AD40F" w14:textId="6D36B18F" w:rsidR="005412B9" w:rsidRPr="004441DD" w:rsidRDefault="005412B9" w:rsidP="004441DD">
      <w:pPr>
        <w:rPr>
          <w:sz w:val="22"/>
          <w:szCs w:val="22"/>
          <w:lang w:val="sk-SK"/>
        </w:rPr>
      </w:pPr>
      <w:r w:rsidRPr="004441DD">
        <w:rPr>
          <w:sz w:val="22"/>
          <w:szCs w:val="22"/>
          <w:lang w:val="sk-SK"/>
        </w:rPr>
        <w:t>Jedna filmom obalená tableta obsahuje 1000 mg metformínium</w:t>
      </w:r>
      <w:r w:rsidR="00571B80" w:rsidRPr="004441DD">
        <w:rPr>
          <w:sz w:val="22"/>
          <w:szCs w:val="22"/>
          <w:lang w:val="sk-SK"/>
        </w:rPr>
        <w:t>-</w:t>
      </w:r>
      <w:r w:rsidRPr="004441DD">
        <w:rPr>
          <w:sz w:val="22"/>
          <w:szCs w:val="22"/>
          <w:lang w:val="sk-SK"/>
        </w:rPr>
        <w:t xml:space="preserve">chloridu, čo </w:t>
      </w:r>
      <w:r w:rsidR="006E6E67" w:rsidRPr="004441DD">
        <w:rPr>
          <w:sz w:val="22"/>
          <w:szCs w:val="22"/>
          <w:lang w:val="sk-SK"/>
        </w:rPr>
        <w:t>z</w:t>
      </w:r>
      <w:r w:rsidRPr="004441DD">
        <w:rPr>
          <w:sz w:val="22"/>
          <w:szCs w:val="22"/>
          <w:lang w:val="sk-SK"/>
        </w:rPr>
        <w:t>odpovedá 780 mg metformínu.</w:t>
      </w:r>
    </w:p>
    <w:p w14:paraId="6485FF3E" w14:textId="77777777" w:rsidR="005412B9" w:rsidRPr="004441DD" w:rsidRDefault="005412B9">
      <w:pPr>
        <w:rPr>
          <w:sz w:val="22"/>
          <w:szCs w:val="22"/>
          <w:lang w:val="sk-SK"/>
        </w:rPr>
      </w:pPr>
    </w:p>
    <w:p w14:paraId="039DD0EB" w14:textId="77777777" w:rsidR="005412B9" w:rsidRPr="004441DD" w:rsidRDefault="005412B9">
      <w:pPr>
        <w:pStyle w:val="Zkladntext"/>
        <w:jc w:val="left"/>
        <w:rPr>
          <w:rFonts w:ascii="Times New Roman" w:hAnsi="Times New Roman" w:cs="Times New Roman"/>
          <w:sz w:val="22"/>
          <w:szCs w:val="22"/>
        </w:rPr>
      </w:pPr>
      <w:r w:rsidRPr="004441DD">
        <w:rPr>
          <w:rFonts w:ascii="Times New Roman" w:hAnsi="Times New Roman" w:cs="Times New Roman"/>
          <w:sz w:val="22"/>
          <w:szCs w:val="22"/>
        </w:rPr>
        <w:t>Úplný zoznam pomocných látok,  pozri časť 6.1.</w:t>
      </w:r>
    </w:p>
    <w:p w14:paraId="58648C01" w14:textId="77777777" w:rsidR="005412B9" w:rsidRPr="004441DD" w:rsidRDefault="005412B9">
      <w:pPr>
        <w:tabs>
          <w:tab w:val="left" w:pos="567"/>
        </w:tabs>
        <w:spacing w:line="260" w:lineRule="exact"/>
        <w:rPr>
          <w:sz w:val="22"/>
          <w:szCs w:val="22"/>
          <w:lang w:val="sk-SK" w:eastAsia="en-US"/>
        </w:rPr>
      </w:pPr>
    </w:p>
    <w:p w14:paraId="245BEAE4" w14:textId="77777777" w:rsidR="005412B9" w:rsidRPr="004441DD" w:rsidRDefault="005412B9">
      <w:pPr>
        <w:tabs>
          <w:tab w:val="left" w:pos="567"/>
        </w:tabs>
        <w:spacing w:line="260" w:lineRule="exact"/>
        <w:rPr>
          <w:sz w:val="22"/>
          <w:szCs w:val="22"/>
          <w:lang w:val="sk-SK" w:eastAsia="en-US"/>
        </w:rPr>
      </w:pPr>
    </w:p>
    <w:p w14:paraId="754EEF36" w14:textId="77777777" w:rsidR="005412B9" w:rsidRPr="004441DD" w:rsidRDefault="005412B9">
      <w:pPr>
        <w:rPr>
          <w:caps/>
          <w:sz w:val="22"/>
          <w:szCs w:val="22"/>
          <w:lang w:val="sk-SK"/>
        </w:rPr>
      </w:pPr>
      <w:r w:rsidRPr="004441DD">
        <w:rPr>
          <w:b/>
          <w:sz w:val="22"/>
          <w:szCs w:val="22"/>
          <w:lang w:val="sk-SK"/>
        </w:rPr>
        <w:t>3.</w:t>
      </w:r>
      <w:r w:rsidRPr="004441DD">
        <w:rPr>
          <w:b/>
          <w:sz w:val="22"/>
          <w:szCs w:val="22"/>
          <w:lang w:val="sk-SK"/>
        </w:rPr>
        <w:tab/>
        <w:t>LIEKOVÁ FORMA</w:t>
      </w:r>
    </w:p>
    <w:p w14:paraId="703BE845" w14:textId="77777777" w:rsidR="005412B9" w:rsidRPr="004441DD" w:rsidRDefault="005412B9">
      <w:pPr>
        <w:tabs>
          <w:tab w:val="left" w:pos="567"/>
        </w:tabs>
        <w:spacing w:line="260" w:lineRule="exact"/>
        <w:rPr>
          <w:sz w:val="22"/>
          <w:szCs w:val="22"/>
          <w:lang w:val="sk-SK" w:eastAsia="en-US"/>
        </w:rPr>
      </w:pPr>
    </w:p>
    <w:p w14:paraId="454A906F" w14:textId="77777777" w:rsidR="005412B9" w:rsidRPr="004441DD" w:rsidRDefault="005412B9">
      <w:pPr>
        <w:rPr>
          <w:sz w:val="22"/>
          <w:szCs w:val="22"/>
          <w:lang w:val="sk-SK"/>
        </w:rPr>
      </w:pPr>
      <w:r w:rsidRPr="004441DD">
        <w:rPr>
          <w:sz w:val="22"/>
          <w:szCs w:val="22"/>
          <w:lang w:val="sk-SK"/>
        </w:rPr>
        <w:t>Filmom obalená tableta.</w:t>
      </w:r>
    </w:p>
    <w:p w14:paraId="5893C56B" w14:textId="77777777" w:rsidR="005412B9" w:rsidRPr="004441DD" w:rsidRDefault="005412B9">
      <w:pPr>
        <w:pStyle w:val="Zkladntext"/>
        <w:jc w:val="left"/>
        <w:rPr>
          <w:rFonts w:ascii="Times New Roman" w:hAnsi="Times New Roman" w:cs="Times New Roman"/>
          <w:sz w:val="22"/>
          <w:szCs w:val="22"/>
        </w:rPr>
      </w:pPr>
      <w:r w:rsidRPr="004441DD">
        <w:rPr>
          <w:rFonts w:ascii="Times New Roman" w:hAnsi="Times New Roman" w:cs="Times New Roman"/>
          <w:sz w:val="22"/>
          <w:szCs w:val="22"/>
        </w:rPr>
        <w:t>Biela, oválna, bikonvexná filmom obalená tableta s deliacou ryhou na oboch stranách s označením „1000“ na jednej strane.</w:t>
      </w:r>
    </w:p>
    <w:p w14:paraId="38098492" w14:textId="77777777" w:rsidR="005412B9" w:rsidRPr="004441DD" w:rsidRDefault="005412B9">
      <w:pPr>
        <w:pStyle w:val="Zkladntext"/>
        <w:jc w:val="left"/>
        <w:rPr>
          <w:rFonts w:ascii="Times New Roman" w:hAnsi="Times New Roman" w:cs="Times New Roman"/>
          <w:sz w:val="22"/>
          <w:szCs w:val="22"/>
        </w:rPr>
      </w:pPr>
      <w:r w:rsidRPr="004441DD">
        <w:rPr>
          <w:rFonts w:ascii="Times New Roman" w:hAnsi="Times New Roman" w:cs="Times New Roman"/>
          <w:sz w:val="22"/>
          <w:szCs w:val="22"/>
        </w:rPr>
        <w:t>Tableta sa môže rozdeliť na rovnaké polovice.</w:t>
      </w:r>
    </w:p>
    <w:p w14:paraId="602FA1B0" w14:textId="77777777" w:rsidR="005412B9" w:rsidRPr="004441DD" w:rsidRDefault="005412B9">
      <w:pPr>
        <w:tabs>
          <w:tab w:val="left" w:pos="567"/>
        </w:tabs>
        <w:spacing w:line="260" w:lineRule="exact"/>
        <w:rPr>
          <w:sz w:val="22"/>
          <w:szCs w:val="22"/>
          <w:lang w:val="sk-SK" w:eastAsia="en-US"/>
        </w:rPr>
      </w:pPr>
    </w:p>
    <w:p w14:paraId="1E5AD62D" w14:textId="77777777" w:rsidR="005412B9" w:rsidRPr="004441DD" w:rsidRDefault="005412B9">
      <w:pPr>
        <w:tabs>
          <w:tab w:val="left" w:pos="567"/>
        </w:tabs>
        <w:spacing w:line="260" w:lineRule="exact"/>
        <w:rPr>
          <w:sz w:val="22"/>
          <w:szCs w:val="22"/>
          <w:lang w:val="sk-SK" w:eastAsia="en-US"/>
        </w:rPr>
      </w:pPr>
    </w:p>
    <w:p w14:paraId="1DD72BC8" w14:textId="77777777" w:rsidR="005412B9" w:rsidRPr="004441DD" w:rsidRDefault="005412B9">
      <w:pPr>
        <w:rPr>
          <w:caps/>
          <w:sz w:val="22"/>
          <w:szCs w:val="22"/>
          <w:lang w:val="sk-SK"/>
        </w:rPr>
      </w:pPr>
      <w:r w:rsidRPr="004441DD">
        <w:rPr>
          <w:b/>
          <w:caps/>
          <w:sz w:val="22"/>
          <w:szCs w:val="22"/>
          <w:lang w:val="sk-SK"/>
        </w:rPr>
        <w:t>4.</w:t>
      </w:r>
      <w:r w:rsidRPr="004441DD">
        <w:rPr>
          <w:b/>
          <w:caps/>
          <w:sz w:val="22"/>
          <w:szCs w:val="22"/>
          <w:lang w:val="sk-SK"/>
        </w:rPr>
        <w:tab/>
      </w:r>
      <w:r w:rsidRPr="004441DD">
        <w:rPr>
          <w:b/>
          <w:sz w:val="22"/>
          <w:szCs w:val="22"/>
          <w:lang w:val="sk-SK"/>
        </w:rPr>
        <w:t>KLINICKÉ</w:t>
      </w:r>
      <w:r w:rsidRPr="004441DD">
        <w:rPr>
          <w:b/>
          <w:caps/>
          <w:sz w:val="22"/>
          <w:szCs w:val="22"/>
          <w:lang w:val="sk-SK"/>
        </w:rPr>
        <w:t xml:space="preserve"> ÚDAJE</w:t>
      </w:r>
    </w:p>
    <w:p w14:paraId="62B74A4E" w14:textId="77777777" w:rsidR="005412B9" w:rsidRPr="004441DD" w:rsidRDefault="005412B9">
      <w:pPr>
        <w:tabs>
          <w:tab w:val="left" w:pos="567"/>
        </w:tabs>
        <w:spacing w:line="260" w:lineRule="exact"/>
        <w:rPr>
          <w:sz w:val="22"/>
          <w:szCs w:val="22"/>
          <w:lang w:val="sk-SK" w:eastAsia="en-US"/>
        </w:rPr>
      </w:pPr>
    </w:p>
    <w:p w14:paraId="2CAA8A73" w14:textId="77777777" w:rsidR="005412B9" w:rsidRPr="004441DD" w:rsidRDefault="005412B9">
      <w:pPr>
        <w:rPr>
          <w:sz w:val="22"/>
          <w:szCs w:val="22"/>
          <w:lang w:val="sk-SK"/>
        </w:rPr>
      </w:pPr>
      <w:r w:rsidRPr="004441DD">
        <w:rPr>
          <w:b/>
          <w:sz w:val="22"/>
          <w:szCs w:val="22"/>
          <w:lang w:val="sk-SK"/>
        </w:rPr>
        <w:t>4.1</w:t>
      </w:r>
      <w:r w:rsidRPr="004441DD">
        <w:rPr>
          <w:b/>
          <w:sz w:val="22"/>
          <w:szCs w:val="22"/>
          <w:lang w:val="sk-SK"/>
        </w:rPr>
        <w:tab/>
        <w:t>Terapeutické indikácie</w:t>
      </w:r>
    </w:p>
    <w:p w14:paraId="258E17C6" w14:textId="77777777" w:rsidR="005412B9" w:rsidRPr="004441DD" w:rsidRDefault="005412B9">
      <w:pPr>
        <w:tabs>
          <w:tab w:val="left" w:pos="567"/>
        </w:tabs>
        <w:spacing w:line="260" w:lineRule="exact"/>
        <w:rPr>
          <w:sz w:val="22"/>
          <w:szCs w:val="22"/>
          <w:lang w:val="sk-SK" w:eastAsia="en-US"/>
        </w:rPr>
      </w:pPr>
    </w:p>
    <w:p w14:paraId="5732D108" w14:textId="77777777" w:rsidR="001A6E77" w:rsidRPr="004441DD" w:rsidRDefault="001A6E77">
      <w:pPr>
        <w:pStyle w:val="Zkladntext"/>
        <w:jc w:val="left"/>
        <w:rPr>
          <w:rFonts w:ascii="Times New Roman" w:hAnsi="Times New Roman" w:cs="Times New Roman"/>
          <w:sz w:val="22"/>
          <w:szCs w:val="22"/>
        </w:rPr>
      </w:pPr>
      <w:r w:rsidRPr="004441DD">
        <w:rPr>
          <w:rFonts w:ascii="Times New Roman" w:hAnsi="Times New Roman" w:cs="Times New Roman"/>
          <w:sz w:val="22"/>
          <w:szCs w:val="22"/>
        </w:rPr>
        <w:t>Liečba diabetes mellitus 2. typu, hlavne u obéznych pacientov, keď diéta a cvičenie nevedú k adekvátnej kontrole glykémie.</w:t>
      </w:r>
    </w:p>
    <w:p w14:paraId="538A1265" w14:textId="77777777" w:rsidR="001A6E77" w:rsidRPr="004441DD" w:rsidRDefault="001A6E77">
      <w:pPr>
        <w:ind w:left="720" w:hanging="720"/>
        <w:rPr>
          <w:sz w:val="22"/>
          <w:szCs w:val="22"/>
          <w:lang w:val="sk-SK"/>
        </w:rPr>
      </w:pPr>
      <w:r w:rsidRPr="004441DD">
        <w:rPr>
          <w:sz w:val="22"/>
          <w:szCs w:val="22"/>
          <w:lang w:val="sk-SK"/>
        </w:rPr>
        <w:sym w:font="Symbol" w:char="F0B7"/>
      </w:r>
      <w:r w:rsidRPr="004441DD">
        <w:rPr>
          <w:sz w:val="22"/>
          <w:szCs w:val="22"/>
          <w:lang w:val="sk-SK"/>
        </w:rPr>
        <w:tab/>
        <w:t>U dospelých sa môže Glucophage použiť ako monoterapia, alebo v kombinácii s inými  perorálnymi antidiabetikami alebo s inzulínom.</w:t>
      </w:r>
    </w:p>
    <w:p w14:paraId="72F09B82" w14:textId="77777777" w:rsidR="001A6E77" w:rsidRPr="004441DD" w:rsidRDefault="001A6E77">
      <w:pPr>
        <w:ind w:left="720" w:hanging="720"/>
        <w:rPr>
          <w:sz w:val="22"/>
          <w:szCs w:val="22"/>
          <w:lang w:val="sk-SK"/>
        </w:rPr>
      </w:pPr>
      <w:r w:rsidRPr="004441DD">
        <w:rPr>
          <w:sz w:val="22"/>
          <w:szCs w:val="22"/>
          <w:lang w:val="sk-SK"/>
        </w:rPr>
        <w:sym w:font="Symbol" w:char="F0B7"/>
      </w:r>
      <w:r w:rsidRPr="004441DD">
        <w:rPr>
          <w:sz w:val="22"/>
          <w:szCs w:val="22"/>
          <w:lang w:val="sk-SK"/>
        </w:rPr>
        <w:tab/>
        <w:t>U detí vo veku viac ako 10 rokov a u dospievajúcich sa môže Glucophage použiť ako monoterapia alebo v kombinácii s inzulínom.</w:t>
      </w:r>
    </w:p>
    <w:p w14:paraId="138ABCDF" w14:textId="77777777" w:rsidR="001A6E77" w:rsidRPr="004441DD" w:rsidRDefault="001A6E77">
      <w:pPr>
        <w:rPr>
          <w:sz w:val="22"/>
          <w:szCs w:val="22"/>
          <w:lang w:val="sk-SK"/>
        </w:rPr>
      </w:pPr>
      <w:r w:rsidRPr="004441DD">
        <w:rPr>
          <w:sz w:val="22"/>
          <w:szCs w:val="22"/>
          <w:lang w:val="sk-SK"/>
        </w:rPr>
        <w:t>Použitie metformínu ako lieku prvej voľby u obéznych dospelých pacientov s diabetom 2.</w:t>
      </w:r>
      <w:r w:rsidR="007C359A" w:rsidRPr="004441DD">
        <w:rPr>
          <w:sz w:val="22"/>
          <w:szCs w:val="22"/>
          <w:lang w:val="sk-SK"/>
        </w:rPr>
        <w:t xml:space="preserve"> </w:t>
      </w:r>
      <w:r w:rsidRPr="004441DD">
        <w:rPr>
          <w:sz w:val="22"/>
          <w:szCs w:val="22"/>
          <w:lang w:val="sk-SK"/>
        </w:rPr>
        <w:t>typu po zlyhaní diéty, znižuje výskyt diabetických komplikácií (pozri časť 5.1).</w:t>
      </w:r>
    </w:p>
    <w:p w14:paraId="4C7C6731" w14:textId="77777777" w:rsidR="005412B9" w:rsidRPr="004441DD" w:rsidRDefault="005412B9">
      <w:pPr>
        <w:rPr>
          <w:sz w:val="22"/>
          <w:szCs w:val="22"/>
          <w:lang w:val="sk-SK"/>
        </w:rPr>
      </w:pPr>
    </w:p>
    <w:p w14:paraId="5B8F94C5" w14:textId="77777777" w:rsidR="005412B9" w:rsidRPr="004441DD" w:rsidRDefault="005412B9">
      <w:pPr>
        <w:keepNext/>
        <w:rPr>
          <w:b/>
          <w:sz w:val="22"/>
          <w:szCs w:val="22"/>
          <w:lang w:val="sk-SK"/>
        </w:rPr>
      </w:pPr>
      <w:r w:rsidRPr="004441DD">
        <w:rPr>
          <w:b/>
          <w:sz w:val="22"/>
          <w:szCs w:val="22"/>
          <w:lang w:val="sk-SK"/>
        </w:rPr>
        <w:t>4.2</w:t>
      </w:r>
      <w:r w:rsidRPr="004441DD">
        <w:rPr>
          <w:b/>
          <w:sz w:val="22"/>
          <w:szCs w:val="22"/>
          <w:lang w:val="sk-SK"/>
        </w:rPr>
        <w:tab/>
        <w:t>Dávkovanie a spôsob podávania</w:t>
      </w:r>
    </w:p>
    <w:p w14:paraId="2E4B3ED5" w14:textId="77777777" w:rsidR="005412B9" w:rsidRPr="004441DD" w:rsidRDefault="005412B9">
      <w:pPr>
        <w:keepNext/>
        <w:rPr>
          <w:sz w:val="22"/>
          <w:szCs w:val="22"/>
          <w:lang w:val="sk-SK"/>
        </w:rPr>
      </w:pPr>
    </w:p>
    <w:p w14:paraId="17B62F1F" w14:textId="77777777" w:rsidR="003F66EC" w:rsidRPr="004441DD" w:rsidRDefault="003F66EC">
      <w:pPr>
        <w:rPr>
          <w:bCs/>
          <w:sz w:val="22"/>
          <w:szCs w:val="22"/>
          <w:u w:val="single"/>
          <w:lang w:val="sk-SK"/>
        </w:rPr>
      </w:pPr>
      <w:r w:rsidRPr="004441DD">
        <w:rPr>
          <w:bCs/>
          <w:sz w:val="22"/>
          <w:szCs w:val="22"/>
          <w:u w:val="single"/>
          <w:lang w:val="sk-SK"/>
        </w:rPr>
        <w:t>Dávkovanie</w:t>
      </w:r>
    </w:p>
    <w:p w14:paraId="433A8583" w14:textId="77777777" w:rsidR="003F66EC" w:rsidRPr="004441DD" w:rsidRDefault="003F66EC">
      <w:pPr>
        <w:rPr>
          <w:bCs/>
          <w:sz w:val="22"/>
          <w:szCs w:val="22"/>
          <w:u w:val="single"/>
          <w:lang w:val="sk-SK"/>
        </w:rPr>
      </w:pPr>
    </w:p>
    <w:p w14:paraId="3720D6D8" w14:textId="77777777" w:rsidR="00C52A3E" w:rsidRPr="004441DD" w:rsidRDefault="00C52A3E">
      <w:pPr>
        <w:rPr>
          <w:rFonts w:cs="QUOWUE+Verdana"/>
          <w:i/>
          <w:iCs/>
          <w:sz w:val="22"/>
          <w:szCs w:val="22"/>
          <w:lang w:val="sk-SK"/>
        </w:rPr>
      </w:pPr>
      <w:r w:rsidRPr="004441DD">
        <w:rPr>
          <w:rFonts w:cs="QUOWUE+Verdana"/>
          <w:i/>
          <w:iCs/>
          <w:sz w:val="22"/>
          <w:szCs w:val="22"/>
          <w:lang w:val="sk-SK"/>
        </w:rPr>
        <w:t>Dospelí s normálnou funkciou obličiek (GFR ≥ 90 ml/min)</w:t>
      </w:r>
    </w:p>
    <w:p w14:paraId="01DEF7A9" w14:textId="77777777" w:rsidR="003F66EC" w:rsidRPr="004441DD" w:rsidRDefault="003F66EC">
      <w:pPr>
        <w:keepNext/>
        <w:rPr>
          <w:i/>
          <w:sz w:val="22"/>
          <w:szCs w:val="22"/>
          <w:u w:val="single"/>
          <w:lang w:val="sk-SK"/>
        </w:rPr>
      </w:pPr>
    </w:p>
    <w:p w14:paraId="61CFC40B" w14:textId="77777777" w:rsidR="001A6E77" w:rsidRPr="004441DD" w:rsidRDefault="001A6E77">
      <w:pPr>
        <w:rPr>
          <w:b/>
          <w:iCs/>
          <w:sz w:val="22"/>
          <w:szCs w:val="22"/>
          <w:lang w:val="sk-SK"/>
        </w:rPr>
      </w:pPr>
      <w:r w:rsidRPr="004441DD">
        <w:rPr>
          <w:b/>
          <w:iCs/>
          <w:sz w:val="22"/>
          <w:szCs w:val="22"/>
          <w:lang w:val="sk-SK"/>
        </w:rPr>
        <w:t>Monoterapia a kombinácia s inými perorálnymi antidiabetikami</w:t>
      </w:r>
    </w:p>
    <w:p w14:paraId="7AA0B5EF" w14:textId="66469E01" w:rsidR="001A6E77" w:rsidRPr="004441DD" w:rsidRDefault="001A6E77">
      <w:pPr>
        <w:rPr>
          <w:sz w:val="22"/>
          <w:szCs w:val="22"/>
          <w:lang w:val="sk-SK"/>
        </w:rPr>
      </w:pPr>
      <w:r w:rsidRPr="004441DD">
        <w:rPr>
          <w:sz w:val="22"/>
          <w:szCs w:val="22"/>
          <w:lang w:val="sk-SK"/>
        </w:rPr>
        <w:t>Zvyčajná počiatočná dávka je 500 mg alebo 850 mg metformínium</w:t>
      </w:r>
      <w:r w:rsidR="00571B80" w:rsidRPr="004441DD">
        <w:rPr>
          <w:sz w:val="22"/>
          <w:szCs w:val="22"/>
          <w:lang w:val="sk-SK"/>
        </w:rPr>
        <w:t>-</w:t>
      </w:r>
      <w:r w:rsidRPr="004441DD">
        <w:rPr>
          <w:sz w:val="22"/>
          <w:szCs w:val="22"/>
          <w:lang w:val="sk-SK"/>
        </w:rPr>
        <w:t>chloridu 2 alebo 3-krát denne, podaná počas jedla alebo po jedle.</w:t>
      </w:r>
    </w:p>
    <w:p w14:paraId="02707DCD" w14:textId="77777777" w:rsidR="001A6E77" w:rsidRPr="004441DD" w:rsidRDefault="001A6E77">
      <w:pPr>
        <w:rPr>
          <w:sz w:val="22"/>
          <w:szCs w:val="22"/>
          <w:lang w:val="sk-SK"/>
        </w:rPr>
      </w:pPr>
      <w:r w:rsidRPr="004441DD">
        <w:rPr>
          <w:sz w:val="22"/>
          <w:szCs w:val="22"/>
          <w:lang w:val="sk-SK"/>
        </w:rPr>
        <w:t xml:space="preserve">Po 10 až 15 dňoch môže byť dávka upravená na základe výsledkov glykémie. Postupné zvyšovanie dávky môže zlepšiť gastrointestinálnu toleranciu. </w:t>
      </w:r>
    </w:p>
    <w:p w14:paraId="3096CB36" w14:textId="3E286B4C" w:rsidR="005412B9" w:rsidRPr="004441DD" w:rsidRDefault="005412B9">
      <w:pPr>
        <w:rPr>
          <w:sz w:val="22"/>
          <w:szCs w:val="22"/>
          <w:lang w:val="sk-SK"/>
        </w:rPr>
      </w:pPr>
      <w:r w:rsidRPr="004441DD">
        <w:rPr>
          <w:sz w:val="22"/>
          <w:szCs w:val="22"/>
          <w:lang w:val="sk-SK"/>
        </w:rPr>
        <w:t>Pacienti, ktorí užívajú vysoké dávky metformínium</w:t>
      </w:r>
      <w:r w:rsidR="00571B80" w:rsidRPr="004441DD">
        <w:rPr>
          <w:sz w:val="22"/>
          <w:szCs w:val="22"/>
          <w:lang w:val="sk-SK"/>
        </w:rPr>
        <w:t>-</w:t>
      </w:r>
      <w:r w:rsidRPr="004441DD">
        <w:rPr>
          <w:sz w:val="22"/>
          <w:szCs w:val="22"/>
          <w:lang w:val="sk-SK"/>
        </w:rPr>
        <w:t>chloridu (2 až 3 g denne), môžu užívať namiesto dvoch filmom obalených tabliet Glucophage 500 mg jednu filmom obalenú tabletu Glucophage 1000 mg.</w:t>
      </w:r>
    </w:p>
    <w:p w14:paraId="23FE90C4" w14:textId="77777777" w:rsidR="004F7A02" w:rsidRPr="004441DD" w:rsidRDefault="004F7A02">
      <w:pPr>
        <w:rPr>
          <w:sz w:val="22"/>
          <w:szCs w:val="22"/>
          <w:lang w:val="sk-SK"/>
        </w:rPr>
      </w:pPr>
      <w:r w:rsidRPr="004441DD">
        <w:rPr>
          <w:sz w:val="22"/>
          <w:szCs w:val="22"/>
          <w:lang w:val="sk-SK"/>
        </w:rPr>
        <w:t>Najvyššia odporúčaná dávka metformínu je 3 g denne, podaná v troch rozdelených dávkach.</w:t>
      </w:r>
    </w:p>
    <w:p w14:paraId="780477E1" w14:textId="3431C096" w:rsidR="005412B9" w:rsidRPr="004441DD" w:rsidRDefault="005412B9">
      <w:pPr>
        <w:pStyle w:val="SPCnormal"/>
        <w:rPr>
          <w:szCs w:val="22"/>
          <w:lang w:val="sk-SK"/>
        </w:rPr>
      </w:pPr>
      <w:r w:rsidRPr="004441DD">
        <w:rPr>
          <w:szCs w:val="22"/>
          <w:lang w:val="sk-SK"/>
        </w:rPr>
        <w:t xml:space="preserve">Ak </w:t>
      </w:r>
      <w:r w:rsidR="00011D7E" w:rsidRPr="004441DD">
        <w:rPr>
          <w:szCs w:val="22"/>
          <w:lang w:val="sk-SK"/>
        </w:rPr>
        <w:t>plánujete prechod</w:t>
      </w:r>
      <w:r w:rsidRPr="004441DD">
        <w:rPr>
          <w:szCs w:val="22"/>
          <w:lang w:val="sk-SK"/>
        </w:rPr>
        <w:t xml:space="preserve"> z iného perorálneho antidiabetik</w:t>
      </w:r>
      <w:r w:rsidR="004F7A02" w:rsidRPr="004441DD">
        <w:rPr>
          <w:szCs w:val="22"/>
          <w:lang w:val="sk-SK"/>
        </w:rPr>
        <w:t>a</w:t>
      </w:r>
      <w:r w:rsidRPr="004441DD">
        <w:rPr>
          <w:szCs w:val="22"/>
          <w:lang w:val="sk-SK"/>
        </w:rPr>
        <w:t xml:space="preserve">: ukončite liečbu </w:t>
      </w:r>
      <w:r w:rsidR="004F7A02" w:rsidRPr="004441DD">
        <w:rPr>
          <w:szCs w:val="22"/>
          <w:lang w:val="sk-SK"/>
        </w:rPr>
        <w:t>pôvodným liekom</w:t>
      </w:r>
      <w:r w:rsidRPr="004441DD">
        <w:rPr>
          <w:szCs w:val="22"/>
          <w:lang w:val="sk-SK"/>
        </w:rPr>
        <w:t xml:space="preserve"> a začnite liečbu metformínom vo vyššie uvedenej dávke.</w:t>
      </w:r>
    </w:p>
    <w:p w14:paraId="5E77FA48" w14:textId="77777777" w:rsidR="005412B9" w:rsidRPr="004441DD" w:rsidRDefault="005412B9">
      <w:pPr>
        <w:rPr>
          <w:sz w:val="22"/>
          <w:szCs w:val="22"/>
          <w:lang w:val="sk-SK"/>
        </w:rPr>
      </w:pPr>
    </w:p>
    <w:p w14:paraId="3BC98CA0" w14:textId="77777777" w:rsidR="005412B9" w:rsidRPr="004441DD" w:rsidRDefault="005412B9">
      <w:pPr>
        <w:keepNext/>
        <w:rPr>
          <w:b/>
          <w:sz w:val="22"/>
          <w:szCs w:val="22"/>
          <w:lang w:val="sk-SK"/>
        </w:rPr>
      </w:pPr>
      <w:r w:rsidRPr="004441DD">
        <w:rPr>
          <w:b/>
          <w:sz w:val="22"/>
          <w:szCs w:val="22"/>
          <w:lang w:val="sk-SK"/>
        </w:rPr>
        <w:lastRenderedPageBreak/>
        <w:t>Kombinácia s inzulínom</w:t>
      </w:r>
    </w:p>
    <w:p w14:paraId="3E24A241" w14:textId="2FA921C5" w:rsidR="006E6E67" w:rsidRPr="004441DD" w:rsidRDefault="006E6E67">
      <w:pPr>
        <w:rPr>
          <w:sz w:val="22"/>
          <w:szCs w:val="22"/>
          <w:lang w:val="sk-SK"/>
        </w:rPr>
      </w:pPr>
      <w:r w:rsidRPr="004441DD">
        <w:rPr>
          <w:sz w:val="22"/>
          <w:szCs w:val="22"/>
          <w:lang w:val="sk-SK"/>
        </w:rPr>
        <w:t>Metformín a inzulín je možné v liečbe kombinovať, aby sa dosiahla lepšia kontrola glykémie. Metformínium</w:t>
      </w:r>
      <w:r w:rsidR="00571B80" w:rsidRPr="004441DD">
        <w:rPr>
          <w:sz w:val="22"/>
          <w:szCs w:val="22"/>
          <w:lang w:val="sk-SK"/>
        </w:rPr>
        <w:t>-</w:t>
      </w:r>
      <w:r w:rsidRPr="004441DD">
        <w:rPr>
          <w:sz w:val="22"/>
          <w:szCs w:val="22"/>
          <w:lang w:val="sk-SK"/>
        </w:rPr>
        <w:t>chlorid sa podáva vo zvyčajnej počiatočnej dávke 500 mg alebo 850 mg 2 alebo 3-krát denne, zatiaľ čo dávkovanie inzulínu sa prispôsobí na základe výsledkov vyšetrení glykémie.</w:t>
      </w:r>
    </w:p>
    <w:p w14:paraId="1E716012" w14:textId="77777777" w:rsidR="006E6E67" w:rsidRPr="004441DD" w:rsidRDefault="006E6E67">
      <w:pPr>
        <w:rPr>
          <w:sz w:val="22"/>
          <w:szCs w:val="22"/>
          <w:lang w:val="sk-SK"/>
        </w:rPr>
      </w:pPr>
    </w:p>
    <w:p w14:paraId="7E7F5ED0" w14:textId="77777777" w:rsidR="006E6E67" w:rsidRPr="004441DD" w:rsidRDefault="006E6E67">
      <w:pPr>
        <w:rPr>
          <w:i/>
          <w:sz w:val="22"/>
          <w:szCs w:val="22"/>
          <w:u w:val="single"/>
          <w:lang w:val="sk-SK"/>
        </w:rPr>
      </w:pPr>
      <w:r w:rsidRPr="004441DD">
        <w:rPr>
          <w:i/>
          <w:sz w:val="22"/>
          <w:szCs w:val="22"/>
          <w:u w:val="single"/>
          <w:lang w:val="sk-SK"/>
        </w:rPr>
        <w:t>Starší pacienti</w:t>
      </w:r>
    </w:p>
    <w:p w14:paraId="77654E51" w14:textId="77777777" w:rsidR="006E6E67" w:rsidRPr="004441DD" w:rsidRDefault="006E6E67">
      <w:pPr>
        <w:rPr>
          <w:sz w:val="22"/>
          <w:szCs w:val="22"/>
          <w:lang w:val="sk-SK"/>
        </w:rPr>
      </w:pPr>
      <w:r w:rsidRPr="004441DD">
        <w:rPr>
          <w:sz w:val="22"/>
          <w:szCs w:val="22"/>
          <w:lang w:val="sk-SK"/>
        </w:rPr>
        <w:t>Vzhľadom na možnosť zníženia funkcie obličiek u starších pacientov je potrebné dávkovanie metformínu prispôsobiť podľa výsledkov vyšetrenia renálnych funkcií. Pravidelné hodnotenie renálnych funkcií je nevyhnutné (pozri časť 4.4).</w:t>
      </w:r>
    </w:p>
    <w:p w14:paraId="047A63E7" w14:textId="77777777" w:rsidR="006E6E67" w:rsidRPr="004441DD" w:rsidRDefault="006E6E67">
      <w:pPr>
        <w:rPr>
          <w:sz w:val="22"/>
          <w:szCs w:val="22"/>
          <w:lang w:val="sk-SK"/>
        </w:rPr>
      </w:pPr>
    </w:p>
    <w:p w14:paraId="66574CBD" w14:textId="77777777" w:rsidR="00C52A3E" w:rsidRPr="004441DD" w:rsidRDefault="00C52A3E">
      <w:pPr>
        <w:pStyle w:val="Zkladntext2"/>
        <w:spacing w:after="0" w:line="240" w:lineRule="auto"/>
        <w:rPr>
          <w:i/>
          <w:sz w:val="22"/>
          <w:szCs w:val="22"/>
        </w:rPr>
      </w:pPr>
      <w:r w:rsidRPr="004441DD">
        <w:rPr>
          <w:i/>
          <w:sz w:val="22"/>
          <w:szCs w:val="22"/>
        </w:rPr>
        <w:t>Porucha funkcie obličiek</w:t>
      </w:r>
    </w:p>
    <w:p w14:paraId="3E27D4DD" w14:textId="77777777" w:rsidR="00C52A3E" w:rsidRPr="004441DD" w:rsidRDefault="00C52A3E">
      <w:pPr>
        <w:pStyle w:val="Zkladntext2"/>
        <w:spacing w:after="0" w:line="240" w:lineRule="auto"/>
        <w:rPr>
          <w:i/>
          <w:sz w:val="22"/>
          <w:szCs w:val="22"/>
        </w:rPr>
      </w:pPr>
    </w:p>
    <w:p w14:paraId="191DF2D6" w14:textId="77777777" w:rsidR="00C52A3E" w:rsidRPr="004441DD" w:rsidRDefault="00C52A3E">
      <w:pPr>
        <w:rPr>
          <w:sz w:val="22"/>
          <w:szCs w:val="22"/>
          <w:lang w:val="sk-SK"/>
        </w:rPr>
      </w:pPr>
      <w:r w:rsidRPr="004441DD">
        <w:rPr>
          <w:sz w:val="22"/>
          <w:szCs w:val="22"/>
          <w:lang w:val="sk-SK"/>
        </w:rPr>
        <w:t xml:space="preserve">Pred začatím liečby metformínom a minimálne raz ročne po jej začatí je potrebné vyhodnotiť GFR. U pacientov so zvýšeným rizikom ďalšej progresie poruchy funkcie obličiek a u starších osôb je potrebné funkciu obličiek hodnotiť častejšie, napr. každé 3-6 mesiacov. </w:t>
      </w:r>
    </w:p>
    <w:p w14:paraId="2CF9B956" w14:textId="77777777" w:rsidR="00C52A3E" w:rsidRPr="004441DD" w:rsidRDefault="00C52A3E">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260"/>
        <w:gridCol w:w="4787"/>
      </w:tblGrid>
      <w:tr w:rsidR="00C52A3E" w:rsidRPr="004441DD" w14:paraId="3D0CF600" w14:textId="77777777" w:rsidTr="00614489">
        <w:trPr>
          <w:trHeight w:val="481"/>
        </w:trPr>
        <w:tc>
          <w:tcPr>
            <w:tcW w:w="1384" w:type="dxa"/>
            <w:shd w:val="clear" w:color="auto" w:fill="auto"/>
          </w:tcPr>
          <w:p w14:paraId="0347D790" w14:textId="77777777" w:rsidR="00C52A3E" w:rsidRPr="004441DD" w:rsidRDefault="00C52A3E">
            <w:pPr>
              <w:rPr>
                <w:sz w:val="22"/>
                <w:szCs w:val="22"/>
                <w:lang w:val="sk-SK"/>
              </w:rPr>
            </w:pPr>
            <w:r w:rsidRPr="004441DD">
              <w:rPr>
                <w:sz w:val="22"/>
                <w:szCs w:val="22"/>
                <w:lang w:val="sk-SK"/>
              </w:rPr>
              <w:t>GFR ml/min</w:t>
            </w:r>
          </w:p>
        </w:tc>
        <w:tc>
          <w:tcPr>
            <w:tcW w:w="3260" w:type="dxa"/>
            <w:shd w:val="clear" w:color="auto" w:fill="auto"/>
          </w:tcPr>
          <w:p w14:paraId="76254F14" w14:textId="77777777" w:rsidR="00C52A3E" w:rsidRPr="004441DD" w:rsidRDefault="00C52A3E">
            <w:pPr>
              <w:rPr>
                <w:sz w:val="22"/>
                <w:szCs w:val="22"/>
                <w:lang w:val="sk-SK"/>
              </w:rPr>
            </w:pPr>
            <w:r w:rsidRPr="004441DD">
              <w:rPr>
                <w:sz w:val="22"/>
                <w:szCs w:val="22"/>
                <w:lang w:val="sk-SK"/>
              </w:rPr>
              <w:t>Celková maximálna denná dávka</w:t>
            </w:r>
          </w:p>
          <w:p w14:paraId="1057B313" w14:textId="77777777" w:rsidR="00C52A3E" w:rsidRPr="004441DD" w:rsidRDefault="00C52A3E">
            <w:pPr>
              <w:rPr>
                <w:sz w:val="22"/>
                <w:szCs w:val="22"/>
                <w:lang w:val="sk-SK"/>
              </w:rPr>
            </w:pPr>
            <w:r w:rsidRPr="004441DD">
              <w:rPr>
                <w:sz w:val="22"/>
                <w:szCs w:val="22"/>
                <w:lang w:val="sk-SK"/>
              </w:rPr>
              <w:t>(rozdelená na 2-3 denné dávky</w:t>
            </w:r>
          </w:p>
          <w:p w14:paraId="0F7D8D3D" w14:textId="77777777" w:rsidR="00C52A3E" w:rsidRPr="004441DD" w:rsidRDefault="00C52A3E">
            <w:pPr>
              <w:rPr>
                <w:sz w:val="22"/>
                <w:szCs w:val="22"/>
                <w:lang w:val="sk-SK"/>
              </w:rPr>
            </w:pPr>
            <w:r w:rsidRPr="004441DD">
              <w:rPr>
                <w:sz w:val="22"/>
                <w:szCs w:val="22"/>
                <w:lang w:val="sk-SK"/>
              </w:rPr>
              <w:t xml:space="preserve"> </w:t>
            </w:r>
          </w:p>
        </w:tc>
        <w:tc>
          <w:tcPr>
            <w:tcW w:w="4787" w:type="dxa"/>
            <w:shd w:val="clear" w:color="auto" w:fill="auto"/>
          </w:tcPr>
          <w:p w14:paraId="5EA00C83" w14:textId="77777777" w:rsidR="00C52A3E" w:rsidRPr="004441DD" w:rsidRDefault="00C52A3E">
            <w:pPr>
              <w:rPr>
                <w:sz w:val="22"/>
                <w:szCs w:val="22"/>
                <w:lang w:val="sk-SK"/>
              </w:rPr>
            </w:pPr>
            <w:r w:rsidRPr="004441DD">
              <w:rPr>
                <w:sz w:val="22"/>
                <w:szCs w:val="22"/>
                <w:lang w:val="sk-SK"/>
              </w:rPr>
              <w:t xml:space="preserve">Ďalšie uváženie </w:t>
            </w:r>
          </w:p>
        </w:tc>
      </w:tr>
      <w:tr w:rsidR="00C52A3E" w:rsidRPr="004441DD" w14:paraId="2794B00E" w14:textId="77777777" w:rsidTr="00614489">
        <w:tc>
          <w:tcPr>
            <w:tcW w:w="1384" w:type="dxa"/>
            <w:shd w:val="clear" w:color="auto" w:fill="auto"/>
          </w:tcPr>
          <w:p w14:paraId="354633DE" w14:textId="77777777" w:rsidR="00C52A3E" w:rsidRPr="004441DD" w:rsidRDefault="00C52A3E" w:rsidP="004441DD">
            <w:pPr>
              <w:rPr>
                <w:sz w:val="22"/>
                <w:szCs w:val="22"/>
                <w:lang w:val="sk-SK"/>
              </w:rPr>
            </w:pPr>
            <w:r w:rsidRPr="004441DD">
              <w:rPr>
                <w:sz w:val="22"/>
                <w:szCs w:val="22"/>
                <w:lang w:val="sk-SK"/>
              </w:rPr>
              <w:t>60-89</w:t>
            </w:r>
          </w:p>
        </w:tc>
        <w:tc>
          <w:tcPr>
            <w:tcW w:w="3260" w:type="dxa"/>
            <w:shd w:val="clear" w:color="auto" w:fill="auto"/>
          </w:tcPr>
          <w:p w14:paraId="6140ABA1" w14:textId="77777777" w:rsidR="00C52A3E" w:rsidRPr="004441DD" w:rsidRDefault="00C52A3E" w:rsidP="004441DD">
            <w:pPr>
              <w:rPr>
                <w:sz w:val="22"/>
                <w:szCs w:val="22"/>
                <w:lang w:val="sk-SK"/>
              </w:rPr>
            </w:pPr>
            <w:r w:rsidRPr="004441DD">
              <w:rPr>
                <w:sz w:val="22"/>
                <w:szCs w:val="22"/>
                <w:lang w:val="sk-SK"/>
              </w:rPr>
              <w:t>3 000 mg</w:t>
            </w:r>
          </w:p>
        </w:tc>
        <w:tc>
          <w:tcPr>
            <w:tcW w:w="4787" w:type="dxa"/>
            <w:shd w:val="clear" w:color="auto" w:fill="auto"/>
          </w:tcPr>
          <w:p w14:paraId="0905337B" w14:textId="77777777" w:rsidR="00C52A3E" w:rsidRPr="004441DD" w:rsidRDefault="00C52A3E">
            <w:pPr>
              <w:rPr>
                <w:sz w:val="22"/>
                <w:szCs w:val="22"/>
                <w:lang w:val="sk-SK"/>
              </w:rPr>
            </w:pPr>
            <w:r w:rsidRPr="004441DD">
              <w:rPr>
                <w:sz w:val="22"/>
                <w:szCs w:val="22"/>
                <w:lang w:val="sk-SK"/>
              </w:rPr>
              <w:t>Je možné zvážiť zníž</w:t>
            </w:r>
            <w:r w:rsidR="00A138AB" w:rsidRPr="004441DD">
              <w:rPr>
                <w:sz w:val="22"/>
                <w:szCs w:val="22"/>
                <w:lang w:val="sk-SK"/>
              </w:rPr>
              <w:t>enie</w:t>
            </w:r>
            <w:r w:rsidRPr="004441DD">
              <w:rPr>
                <w:sz w:val="22"/>
                <w:szCs w:val="22"/>
                <w:lang w:val="sk-SK"/>
              </w:rPr>
              <w:t xml:space="preserve"> dávky vzhľadom na pokles funkcie obličiek.</w:t>
            </w:r>
          </w:p>
        </w:tc>
      </w:tr>
      <w:tr w:rsidR="00C52A3E" w:rsidRPr="004441DD" w14:paraId="15D4B75B" w14:textId="77777777" w:rsidTr="00614489">
        <w:tc>
          <w:tcPr>
            <w:tcW w:w="1384" w:type="dxa"/>
            <w:shd w:val="clear" w:color="auto" w:fill="auto"/>
          </w:tcPr>
          <w:p w14:paraId="0E32CFAC" w14:textId="77777777" w:rsidR="00C52A3E" w:rsidRPr="004441DD" w:rsidRDefault="00C52A3E" w:rsidP="004441DD">
            <w:pPr>
              <w:rPr>
                <w:sz w:val="22"/>
                <w:szCs w:val="22"/>
                <w:lang w:val="sk-SK"/>
              </w:rPr>
            </w:pPr>
            <w:r w:rsidRPr="004441DD">
              <w:rPr>
                <w:sz w:val="22"/>
                <w:szCs w:val="22"/>
                <w:lang w:val="sk-SK"/>
              </w:rPr>
              <w:t>45-59</w:t>
            </w:r>
          </w:p>
        </w:tc>
        <w:tc>
          <w:tcPr>
            <w:tcW w:w="3260" w:type="dxa"/>
            <w:shd w:val="clear" w:color="auto" w:fill="auto"/>
          </w:tcPr>
          <w:p w14:paraId="4E55B101" w14:textId="77777777" w:rsidR="00C52A3E" w:rsidRPr="004441DD" w:rsidRDefault="00C52A3E" w:rsidP="004441DD">
            <w:pPr>
              <w:rPr>
                <w:sz w:val="22"/>
                <w:szCs w:val="22"/>
                <w:lang w:val="sk-SK"/>
              </w:rPr>
            </w:pPr>
            <w:r w:rsidRPr="004441DD">
              <w:rPr>
                <w:sz w:val="22"/>
                <w:szCs w:val="22"/>
                <w:lang w:val="sk-SK"/>
              </w:rPr>
              <w:t>2 000 mg</w:t>
            </w:r>
          </w:p>
        </w:tc>
        <w:tc>
          <w:tcPr>
            <w:tcW w:w="4787" w:type="dxa"/>
            <w:vMerge w:val="restart"/>
            <w:shd w:val="clear" w:color="auto" w:fill="auto"/>
          </w:tcPr>
          <w:p w14:paraId="4874640E" w14:textId="77777777" w:rsidR="00C52A3E" w:rsidRPr="004441DD" w:rsidRDefault="00C52A3E">
            <w:pPr>
              <w:rPr>
                <w:sz w:val="22"/>
                <w:szCs w:val="22"/>
                <w:lang w:val="sk-SK"/>
              </w:rPr>
            </w:pPr>
            <w:r w:rsidRPr="004441DD">
              <w:rPr>
                <w:sz w:val="22"/>
                <w:szCs w:val="22"/>
                <w:lang w:val="sk-SK"/>
              </w:rPr>
              <w:t>Pred zvážením zahájenia liečby metformínom je potrebné posúdiť faktory, ktoré by mohli zvyšovať riziko laktátovej acidózy (pozri časť 4.4).</w:t>
            </w:r>
          </w:p>
          <w:p w14:paraId="342F4E1E" w14:textId="77777777" w:rsidR="00C52A3E" w:rsidRPr="004441DD" w:rsidRDefault="00C52A3E">
            <w:pPr>
              <w:rPr>
                <w:sz w:val="22"/>
                <w:szCs w:val="22"/>
                <w:lang w:val="sk-SK"/>
              </w:rPr>
            </w:pPr>
            <w:r w:rsidRPr="004441DD">
              <w:rPr>
                <w:sz w:val="22"/>
                <w:szCs w:val="22"/>
                <w:lang w:val="sk-SK"/>
              </w:rPr>
              <w:t>Úvodná dávka je nanajvýš polovica z maximálnej dávky.</w:t>
            </w:r>
          </w:p>
        </w:tc>
      </w:tr>
      <w:tr w:rsidR="00C52A3E" w:rsidRPr="004441DD" w14:paraId="6DA5C16E" w14:textId="77777777" w:rsidTr="00614489">
        <w:tc>
          <w:tcPr>
            <w:tcW w:w="1384" w:type="dxa"/>
            <w:shd w:val="clear" w:color="auto" w:fill="auto"/>
          </w:tcPr>
          <w:p w14:paraId="1C8AEB76" w14:textId="77777777" w:rsidR="00C52A3E" w:rsidRPr="004441DD" w:rsidRDefault="00C52A3E" w:rsidP="004441DD">
            <w:pPr>
              <w:rPr>
                <w:sz w:val="22"/>
                <w:szCs w:val="22"/>
                <w:lang w:val="sk-SK"/>
              </w:rPr>
            </w:pPr>
            <w:r w:rsidRPr="004441DD">
              <w:rPr>
                <w:sz w:val="22"/>
                <w:szCs w:val="22"/>
                <w:lang w:val="sk-SK"/>
              </w:rPr>
              <w:t>30-44</w:t>
            </w:r>
          </w:p>
        </w:tc>
        <w:tc>
          <w:tcPr>
            <w:tcW w:w="3260" w:type="dxa"/>
            <w:shd w:val="clear" w:color="auto" w:fill="auto"/>
          </w:tcPr>
          <w:p w14:paraId="1877D9B3" w14:textId="77777777" w:rsidR="00C52A3E" w:rsidRPr="004441DD" w:rsidRDefault="00C52A3E" w:rsidP="004441DD">
            <w:pPr>
              <w:rPr>
                <w:sz w:val="22"/>
                <w:szCs w:val="22"/>
                <w:lang w:val="sk-SK"/>
              </w:rPr>
            </w:pPr>
            <w:r w:rsidRPr="004441DD">
              <w:rPr>
                <w:sz w:val="22"/>
                <w:szCs w:val="22"/>
                <w:lang w:val="sk-SK"/>
              </w:rPr>
              <w:t>1 000 mg</w:t>
            </w:r>
          </w:p>
        </w:tc>
        <w:tc>
          <w:tcPr>
            <w:tcW w:w="4787" w:type="dxa"/>
            <w:vMerge/>
            <w:shd w:val="clear" w:color="auto" w:fill="auto"/>
          </w:tcPr>
          <w:p w14:paraId="48E7549C" w14:textId="77777777" w:rsidR="00C52A3E" w:rsidRPr="004441DD" w:rsidRDefault="00C52A3E">
            <w:pPr>
              <w:rPr>
                <w:sz w:val="22"/>
                <w:szCs w:val="22"/>
                <w:lang w:val="sk-SK"/>
              </w:rPr>
            </w:pPr>
          </w:p>
        </w:tc>
      </w:tr>
      <w:tr w:rsidR="00C52A3E" w:rsidRPr="004441DD" w14:paraId="1EF2C5EE" w14:textId="77777777" w:rsidTr="00614489">
        <w:tc>
          <w:tcPr>
            <w:tcW w:w="1384" w:type="dxa"/>
            <w:shd w:val="clear" w:color="auto" w:fill="auto"/>
          </w:tcPr>
          <w:p w14:paraId="0AFA9439" w14:textId="77777777" w:rsidR="00C52A3E" w:rsidRPr="004441DD" w:rsidRDefault="00C52A3E" w:rsidP="004441DD">
            <w:pPr>
              <w:rPr>
                <w:sz w:val="22"/>
                <w:szCs w:val="22"/>
                <w:lang w:val="sk-SK"/>
              </w:rPr>
            </w:pPr>
            <w:r w:rsidRPr="004441DD">
              <w:rPr>
                <w:sz w:val="22"/>
                <w:szCs w:val="22"/>
                <w:lang w:val="sk-SK"/>
              </w:rPr>
              <w:t>&lt; 30</w:t>
            </w:r>
          </w:p>
        </w:tc>
        <w:tc>
          <w:tcPr>
            <w:tcW w:w="3260" w:type="dxa"/>
            <w:shd w:val="clear" w:color="auto" w:fill="auto"/>
          </w:tcPr>
          <w:p w14:paraId="4A14FA8A" w14:textId="77777777" w:rsidR="00C52A3E" w:rsidRPr="004441DD" w:rsidRDefault="00C52A3E" w:rsidP="004441DD">
            <w:pPr>
              <w:rPr>
                <w:sz w:val="22"/>
                <w:szCs w:val="22"/>
                <w:lang w:val="sk-SK"/>
              </w:rPr>
            </w:pPr>
            <w:r w:rsidRPr="004441DD">
              <w:rPr>
                <w:sz w:val="22"/>
                <w:szCs w:val="22"/>
                <w:lang w:val="sk-SK"/>
              </w:rPr>
              <w:t>-----</w:t>
            </w:r>
          </w:p>
        </w:tc>
        <w:tc>
          <w:tcPr>
            <w:tcW w:w="4787" w:type="dxa"/>
            <w:shd w:val="clear" w:color="auto" w:fill="auto"/>
          </w:tcPr>
          <w:p w14:paraId="21DC63F1" w14:textId="77777777" w:rsidR="00C52A3E" w:rsidRPr="004441DD" w:rsidRDefault="00C52A3E">
            <w:pPr>
              <w:rPr>
                <w:sz w:val="22"/>
                <w:szCs w:val="22"/>
                <w:lang w:val="sk-SK"/>
              </w:rPr>
            </w:pPr>
            <w:r w:rsidRPr="004441DD">
              <w:rPr>
                <w:sz w:val="22"/>
                <w:szCs w:val="22"/>
                <w:lang w:val="sk-SK"/>
              </w:rPr>
              <w:t>Metformín je kontraindikovaný.</w:t>
            </w:r>
          </w:p>
        </w:tc>
      </w:tr>
    </w:tbl>
    <w:p w14:paraId="62A009D6" w14:textId="77777777" w:rsidR="003F66EC" w:rsidRPr="004441DD" w:rsidRDefault="003F66EC" w:rsidP="004441DD">
      <w:pPr>
        <w:rPr>
          <w:sz w:val="22"/>
          <w:szCs w:val="22"/>
          <w:lang w:val="sk-SK"/>
        </w:rPr>
      </w:pPr>
    </w:p>
    <w:p w14:paraId="30A6306F" w14:textId="77777777" w:rsidR="003F66EC" w:rsidRPr="004441DD" w:rsidRDefault="003F66EC" w:rsidP="004441DD">
      <w:pPr>
        <w:rPr>
          <w:i/>
          <w:sz w:val="22"/>
          <w:szCs w:val="22"/>
          <w:lang w:val="sk-SK"/>
        </w:rPr>
      </w:pPr>
      <w:r w:rsidRPr="004441DD">
        <w:rPr>
          <w:i/>
          <w:sz w:val="22"/>
          <w:szCs w:val="22"/>
          <w:lang w:val="sk-SK"/>
        </w:rPr>
        <w:t>Pediatrická populácia</w:t>
      </w:r>
    </w:p>
    <w:p w14:paraId="729CD60E" w14:textId="77777777" w:rsidR="006E6E67" w:rsidRPr="004441DD" w:rsidRDefault="006E6E67">
      <w:pPr>
        <w:rPr>
          <w:b/>
          <w:iCs/>
          <w:sz w:val="22"/>
          <w:szCs w:val="22"/>
          <w:lang w:val="sk-SK"/>
        </w:rPr>
      </w:pPr>
      <w:r w:rsidRPr="004441DD">
        <w:rPr>
          <w:b/>
          <w:iCs/>
          <w:sz w:val="22"/>
          <w:szCs w:val="22"/>
          <w:lang w:val="sk-SK"/>
        </w:rPr>
        <w:t>Monoterapia a kombinácia s inzulínom</w:t>
      </w:r>
    </w:p>
    <w:p w14:paraId="05CCDF16" w14:textId="77777777" w:rsidR="006E6E67" w:rsidRPr="004441DD" w:rsidRDefault="006E6E67">
      <w:pPr>
        <w:ind w:left="720" w:hanging="720"/>
        <w:rPr>
          <w:sz w:val="22"/>
          <w:szCs w:val="22"/>
          <w:lang w:val="sk-SK"/>
        </w:rPr>
      </w:pPr>
      <w:r w:rsidRPr="004441DD">
        <w:rPr>
          <w:sz w:val="22"/>
          <w:szCs w:val="22"/>
          <w:lang w:val="sk-SK"/>
        </w:rPr>
        <w:t>Glucophage sa môže podávať deťom starším ako 10 rokov a dospievajúcim.</w:t>
      </w:r>
    </w:p>
    <w:p w14:paraId="1F96F62F" w14:textId="06815045" w:rsidR="007C359A" w:rsidRPr="004441DD" w:rsidRDefault="006E6E67">
      <w:pPr>
        <w:ind w:left="720" w:hanging="720"/>
        <w:rPr>
          <w:sz w:val="22"/>
          <w:szCs w:val="22"/>
          <w:lang w:val="sk-SK"/>
        </w:rPr>
      </w:pPr>
      <w:r w:rsidRPr="004441DD">
        <w:rPr>
          <w:sz w:val="22"/>
          <w:szCs w:val="22"/>
          <w:lang w:val="sk-SK"/>
        </w:rPr>
        <w:t xml:space="preserve">Zvyčajná počiatočná dávka je 500 </w:t>
      </w:r>
      <w:r w:rsidR="007C359A" w:rsidRPr="004441DD">
        <w:rPr>
          <w:sz w:val="22"/>
          <w:szCs w:val="22"/>
          <w:lang w:val="sk-SK"/>
        </w:rPr>
        <w:t xml:space="preserve">mg </w:t>
      </w:r>
      <w:r w:rsidRPr="004441DD">
        <w:rPr>
          <w:sz w:val="22"/>
          <w:szCs w:val="22"/>
          <w:lang w:val="sk-SK"/>
        </w:rPr>
        <w:t xml:space="preserve">alebo 850 mg </w:t>
      </w:r>
      <w:r w:rsidR="007C359A" w:rsidRPr="004441DD">
        <w:rPr>
          <w:sz w:val="22"/>
          <w:szCs w:val="22"/>
          <w:lang w:val="sk-SK"/>
        </w:rPr>
        <w:t>metformínium</w:t>
      </w:r>
      <w:r w:rsidR="00571B80" w:rsidRPr="004441DD">
        <w:rPr>
          <w:sz w:val="22"/>
          <w:szCs w:val="22"/>
          <w:lang w:val="sk-SK"/>
        </w:rPr>
        <w:t>-</w:t>
      </w:r>
      <w:r w:rsidR="007C359A" w:rsidRPr="004441DD">
        <w:rPr>
          <w:sz w:val="22"/>
          <w:szCs w:val="22"/>
          <w:lang w:val="sk-SK"/>
        </w:rPr>
        <w:t xml:space="preserve">chloridu raz denne, podaná počas </w:t>
      </w:r>
    </w:p>
    <w:p w14:paraId="7D6F1C79" w14:textId="77777777" w:rsidR="006E6E67" w:rsidRPr="004441DD" w:rsidRDefault="006E6E67">
      <w:pPr>
        <w:ind w:left="720" w:hanging="720"/>
        <w:rPr>
          <w:sz w:val="22"/>
          <w:szCs w:val="22"/>
          <w:lang w:val="sk-SK"/>
        </w:rPr>
      </w:pPr>
      <w:r w:rsidRPr="004441DD">
        <w:rPr>
          <w:sz w:val="22"/>
          <w:szCs w:val="22"/>
          <w:lang w:val="sk-SK"/>
        </w:rPr>
        <w:t>alebo po jedle.</w:t>
      </w:r>
    </w:p>
    <w:p w14:paraId="2AA43F07" w14:textId="29F12868" w:rsidR="006E6E67" w:rsidRPr="004441DD" w:rsidRDefault="006E6E67">
      <w:pPr>
        <w:rPr>
          <w:sz w:val="22"/>
          <w:szCs w:val="22"/>
          <w:lang w:val="sk-SK"/>
        </w:rPr>
      </w:pPr>
      <w:r w:rsidRPr="004441DD">
        <w:rPr>
          <w:sz w:val="22"/>
          <w:szCs w:val="22"/>
          <w:lang w:val="sk-SK"/>
        </w:rPr>
        <w:t>Po 10 až 15 dňoch môže byť dávka upravená na základe výsledkov glykémie. Postupné zvyšovanie dávky môže zlepšiť gastrointestinálnu toleranciu. Najvyššia odporúčaná denná dávka metformínium</w:t>
      </w:r>
      <w:r w:rsidR="00571B80" w:rsidRPr="004441DD">
        <w:rPr>
          <w:sz w:val="22"/>
          <w:szCs w:val="22"/>
          <w:lang w:val="sk-SK"/>
        </w:rPr>
        <w:t>-</w:t>
      </w:r>
      <w:r w:rsidRPr="004441DD">
        <w:rPr>
          <w:sz w:val="22"/>
          <w:szCs w:val="22"/>
          <w:lang w:val="sk-SK"/>
        </w:rPr>
        <w:t xml:space="preserve">chloridu je 2 g, </w:t>
      </w:r>
      <w:r w:rsidR="003F66EC" w:rsidRPr="004441DD">
        <w:rPr>
          <w:sz w:val="22"/>
          <w:szCs w:val="22"/>
          <w:lang w:val="sk-SK"/>
        </w:rPr>
        <w:t>rozdelená do </w:t>
      </w:r>
      <w:r w:rsidRPr="004441DD">
        <w:rPr>
          <w:sz w:val="22"/>
          <w:szCs w:val="22"/>
          <w:lang w:val="sk-SK"/>
        </w:rPr>
        <w:t>2 alebo 3 dáv</w:t>
      </w:r>
      <w:r w:rsidR="003F66EC" w:rsidRPr="004441DD">
        <w:rPr>
          <w:sz w:val="22"/>
          <w:szCs w:val="22"/>
          <w:lang w:val="sk-SK"/>
        </w:rPr>
        <w:t>ok.</w:t>
      </w:r>
    </w:p>
    <w:p w14:paraId="7A12A6C3" w14:textId="77777777" w:rsidR="006E6E67" w:rsidRPr="004441DD" w:rsidRDefault="006E6E67">
      <w:pPr>
        <w:rPr>
          <w:sz w:val="22"/>
          <w:szCs w:val="22"/>
          <w:lang w:val="sk-SK"/>
        </w:rPr>
      </w:pPr>
    </w:p>
    <w:p w14:paraId="38948206" w14:textId="77777777" w:rsidR="006E6E67" w:rsidRPr="004441DD" w:rsidRDefault="006E6E67">
      <w:pPr>
        <w:rPr>
          <w:b/>
          <w:bCs/>
          <w:sz w:val="22"/>
          <w:szCs w:val="22"/>
          <w:lang w:val="sk-SK"/>
        </w:rPr>
      </w:pPr>
      <w:r w:rsidRPr="004441DD">
        <w:rPr>
          <w:b/>
          <w:bCs/>
          <w:sz w:val="22"/>
          <w:szCs w:val="22"/>
          <w:lang w:val="sk-SK"/>
        </w:rPr>
        <w:t>4.3</w:t>
      </w:r>
      <w:r w:rsidRPr="004441DD">
        <w:rPr>
          <w:b/>
          <w:bCs/>
          <w:sz w:val="22"/>
          <w:szCs w:val="22"/>
          <w:lang w:val="sk-SK"/>
        </w:rPr>
        <w:tab/>
        <w:t>Kontraindikácie</w:t>
      </w:r>
    </w:p>
    <w:p w14:paraId="344CEB55" w14:textId="77777777" w:rsidR="006E6E67" w:rsidRPr="004441DD" w:rsidRDefault="006E6E67">
      <w:pPr>
        <w:rPr>
          <w:b/>
          <w:bCs/>
          <w:sz w:val="22"/>
          <w:szCs w:val="22"/>
          <w:lang w:val="sk-SK"/>
        </w:rPr>
      </w:pPr>
    </w:p>
    <w:p w14:paraId="05ECFCD7" w14:textId="77777777" w:rsidR="006E6E67" w:rsidRPr="004441DD" w:rsidRDefault="006E6E67">
      <w:pPr>
        <w:numPr>
          <w:ilvl w:val="0"/>
          <w:numId w:val="6"/>
        </w:numPr>
        <w:rPr>
          <w:sz w:val="22"/>
          <w:szCs w:val="22"/>
          <w:lang w:val="sk-SK"/>
        </w:rPr>
      </w:pPr>
      <w:r w:rsidRPr="004441DD">
        <w:rPr>
          <w:sz w:val="22"/>
          <w:szCs w:val="22"/>
          <w:lang w:val="sk-SK"/>
        </w:rPr>
        <w:t>Precitlivenosť na metformín alebo na ktorúkoľvek z pomocných látok</w:t>
      </w:r>
      <w:r w:rsidR="003F66EC" w:rsidRPr="004441DD">
        <w:rPr>
          <w:sz w:val="22"/>
          <w:szCs w:val="22"/>
          <w:lang w:val="sk-SK"/>
        </w:rPr>
        <w:t xml:space="preserve"> uvedených v časti 6.1.</w:t>
      </w:r>
    </w:p>
    <w:p w14:paraId="6FAC793A" w14:textId="77777777" w:rsidR="00C52A3E" w:rsidRPr="004441DD" w:rsidRDefault="00C52A3E">
      <w:pPr>
        <w:numPr>
          <w:ilvl w:val="0"/>
          <w:numId w:val="6"/>
        </w:numPr>
        <w:rPr>
          <w:sz w:val="22"/>
          <w:szCs w:val="22"/>
          <w:lang w:val="sk-SK"/>
        </w:rPr>
      </w:pPr>
      <w:r w:rsidRPr="004441DD">
        <w:rPr>
          <w:sz w:val="22"/>
          <w:szCs w:val="22"/>
          <w:lang w:val="sk-SK"/>
        </w:rPr>
        <w:t>Akýkoľvek typ akútnej metabolickej acidózy (ako napríklad laktátová acidóza, diabetická ketoacidóza).</w:t>
      </w:r>
    </w:p>
    <w:p w14:paraId="46B39DF5" w14:textId="77777777" w:rsidR="00C52A3E" w:rsidRPr="004441DD" w:rsidRDefault="00C52A3E">
      <w:pPr>
        <w:numPr>
          <w:ilvl w:val="0"/>
          <w:numId w:val="6"/>
        </w:numPr>
        <w:rPr>
          <w:sz w:val="22"/>
          <w:szCs w:val="22"/>
          <w:lang w:val="sk-SK"/>
        </w:rPr>
      </w:pPr>
      <w:r w:rsidRPr="004441DD">
        <w:rPr>
          <w:sz w:val="22"/>
          <w:szCs w:val="22"/>
          <w:lang w:val="sk-SK"/>
        </w:rPr>
        <w:t xml:space="preserve">Diabetická pre-kóma. </w:t>
      </w:r>
    </w:p>
    <w:p w14:paraId="73BF8B74" w14:textId="77777777" w:rsidR="00C52A3E" w:rsidRPr="004441DD" w:rsidRDefault="00C52A3E">
      <w:pPr>
        <w:numPr>
          <w:ilvl w:val="0"/>
          <w:numId w:val="6"/>
        </w:numPr>
        <w:rPr>
          <w:sz w:val="22"/>
          <w:szCs w:val="22"/>
          <w:lang w:val="sk-SK"/>
        </w:rPr>
      </w:pPr>
      <w:r w:rsidRPr="004441DD">
        <w:rPr>
          <w:sz w:val="22"/>
          <w:szCs w:val="22"/>
          <w:lang w:val="sk-SK"/>
        </w:rPr>
        <w:t>Závažné zlyhanie obličiek (GFR &lt; 30 ml/min).</w:t>
      </w:r>
    </w:p>
    <w:p w14:paraId="1655DDF9" w14:textId="77777777" w:rsidR="006E6E67" w:rsidRPr="004441DD" w:rsidRDefault="006E6E67">
      <w:pPr>
        <w:numPr>
          <w:ilvl w:val="0"/>
          <w:numId w:val="6"/>
        </w:numPr>
        <w:rPr>
          <w:sz w:val="22"/>
          <w:szCs w:val="22"/>
          <w:lang w:val="sk-SK"/>
        </w:rPr>
      </w:pPr>
      <w:r w:rsidRPr="004441DD">
        <w:rPr>
          <w:sz w:val="22"/>
          <w:szCs w:val="22"/>
          <w:lang w:val="sk-SK"/>
        </w:rPr>
        <w:t xml:space="preserve">Akútne ochorenia, ktoré môžu potenciálne ovplyvniť renálne funkcie ako: dehydratácia, závažná infekcia, šok. </w:t>
      </w:r>
    </w:p>
    <w:p w14:paraId="7731649B" w14:textId="77777777" w:rsidR="006E6E67" w:rsidRPr="004441DD" w:rsidRDefault="003F66EC">
      <w:pPr>
        <w:numPr>
          <w:ilvl w:val="0"/>
          <w:numId w:val="6"/>
        </w:numPr>
        <w:rPr>
          <w:sz w:val="22"/>
          <w:szCs w:val="22"/>
          <w:lang w:val="sk-SK"/>
        </w:rPr>
      </w:pPr>
      <w:r w:rsidRPr="004441DD">
        <w:rPr>
          <w:sz w:val="22"/>
          <w:szCs w:val="22"/>
          <w:lang w:val="sk-SK"/>
        </w:rPr>
        <w:t>O</w:t>
      </w:r>
      <w:r w:rsidR="006E6E67" w:rsidRPr="004441DD">
        <w:rPr>
          <w:sz w:val="22"/>
          <w:szCs w:val="22"/>
          <w:lang w:val="sk-SK"/>
        </w:rPr>
        <w:t>chorenie, ktoré môže spôsobiť tkanivovú hypoxiu</w:t>
      </w:r>
      <w:r w:rsidR="00FF1D64" w:rsidRPr="004441DD">
        <w:rPr>
          <w:sz w:val="22"/>
          <w:szCs w:val="22"/>
          <w:lang w:val="sk-SK"/>
        </w:rPr>
        <w:t xml:space="preserve"> (predovšetkým akútne alebo zhoršujúce sa chronické ochorenie), napr. dekompenzované srdcové zlyhanie, respiračné zlyhanie, nedávny infarkt myokardu, šok.</w:t>
      </w:r>
    </w:p>
    <w:p w14:paraId="3CED95A1" w14:textId="77777777" w:rsidR="006E6E67" w:rsidRPr="004441DD" w:rsidRDefault="006E6E67">
      <w:pPr>
        <w:numPr>
          <w:ilvl w:val="0"/>
          <w:numId w:val="6"/>
        </w:numPr>
        <w:rPr>
          <w:sz w:val="22"/>
          <w:szCs w:val="22"/>
          <w:lang w:val="sk-SK"/>
        </w:rPr>
      </w:pPr>
      <w:r w:rsidRPr="004441DD">
        <w:rPr>
          <w:sz w:val="22"/>
          <w:szCs w:val="22"/>
          <w:lang w:val="sk-SK"/>
        </w:rPr>
        <w:t>Hepatálna insuficiencia, akútna intoxikácia alkoholom, alkoholizmus.</w:t>
      </w:r>
    </w:p>
    <w:p w14:paraId="01921D21" w14:textId="77777777" w:rsidR="001A388D" w:rsidRPr="004441DD" w:rsidRDefault="001A388D">
      <w:pPr>
        <w:ind w:left="720"/>
        <w:rPr>
          <w:sz w:val="22"/>
          <w:szCs w:val="22"/>
          <w:lang w:val="sk-SK"/>
        </w:rPr>
      </w:pPr>
    </w:p>
    <w:p w14:paraId="5D743415" w14:textId="77777777" w:rsidR="006E6E67" w:rsidRPr="004441DD" w:rsidRDefault="006E6E67">
      <w:pPr>
        <w:rPr>
          <w:b/>
          <w:bCs/>
          <w:sz w:val="22"/>
          <w:szCs w:val="22"/>
          <w:lang w:val="sk-SK"/>
        </w:rPr>
      </w:pPr>
      <w:r w:rsidRPr="004441DD">
        <w:rPr>
          <w:b/>
          <w:bCs/>
          <w:sz w:val="22"/>
          <w:szCs w:val="22"/>
          <w:lang w:val="sk-SK"/>
        </w:rPr>
        <w:t>4.4</w:t>
      </w:r>
      <w:r w:rsidRPr="004441DD">
        <w:rPr>
          <w:b/>
          <w:bCs/>
          <w:sz w:val="22"/>
          <w:szCs w:val="22"/>
          <w:lang w:val="sk-SK"/>
        </w:rPr>
        <w:tab/>
        <w:t xml:space="preserve">Osobitné upozornenia a opatrenia </w:t>
      </w:r>
      <w:r w:rsidR="001638C4" w:rsidRPr="004441DD">
        <w:rPr>
          <w:b/>
          <w:bCs/>
          <w:sz w:val="22"/>
          <w:szCs w:val="22"/>
          <w:lang w:val="sk-SK"/>
        </w:rPr>
        <w:t>pri používaní</w:t>
      </w:r>
    </w:p>
    <w:p w14:paraId="4DFEF334" w14:textId="77777777" w:rsidR="00C52A3E" w:rsidRPr="004441DD" w:rsidRDefault="00C52A3E">
      <w:pPr>
        <w:rPr>
          <w:b/>
          <w:bCs/>
          <w:sz w:val="22"/>
          <w:szCs w:val="22"/>
          <w:lang w:val="sk-SK"/>
        </w:rPr>
      </w:pPr>
    </w:p>
    <w:p w14:paraId="48C4F492" w14:textId="77777777" w:rsidR="006E6E67" w:rsidRPr="004441DD" w:rsidRDefault="006E6E67">
      <w:pPr>
        <w:rPr>
          <w:sz w:val="22"/>
          <w:szCs w:val="22"/>
          <w:u w:val="single"/>
          <w:lang w:val="sk-SK"/>
        </w:rPr>
      </w:pPr>
      <w:r w:rsidRPr="004441DD">
        <w:rPr>
          <w:sz w:val="22"/>
          <w:szCs w:val="22"/>
          <w:u w:val="single"/>
          <w:lang w:val="sk-SK"/>
        </w:rPr>
        <w:t>Laktátová acidóza</w:t>
      </w:r>
    </w:p>
    <w:p w14:paraId="46E76758" w14:textId="77777777" w:rsidR="00C52A3E" w:rsidRPr="004441DD" w:rsidRDefault="00C52A3E">
      <w:pPr>
        <w:rPr>
          <w:sz w:val="22"/>
          <w:szCs w:val="22"/>
          <w:u w:val="single"/>
          <w:lang w:val="sk-SK"/>
        </w:rPr>
      </w:pPr>
    </w:p>
    <w:p w14:paraId="367480CC" w14:textId="77777777" w:rsidR="00C52A3E" w:rsidRPr="004441DD" w:rsidRDefault="00C52A3E">
      <w:pPr>
        <w:pStyle w:val="CM16"/>
        <w:rPr>
          <w:rFonts w:ascii="Times New Roman" w:hAnsi="Times New Roman"/>
          <w:sz w:val="22"/>
          <w:szCs w:val="22"/>
          <w:lang w:val="sk-SK"/>
        </w:rPr>
      </w:pPr>
      <w:r w:rsidRPr="004441DD">
        <w:rPr>
          <w:rFonts w:ascii="Times New Roman" w:hAnsi="Times New Roman"/>
          <w:sz w:val="22"/>
          <w:szCs w:val="22"/>
          <w:lang w:val="sk-SK"/>
        </w:rPr>
        <w:t xml:space="preserve">Laktátová acidóza, veľmi zriedkavá, ale závažná metabolická komplikácia, ktorá sa najčastejšie vyskytuje pri akútnom zhoršení funkcie obličiek alebo pri kardiorespiračnom ochorení či sepse. Akumulácia metformínu sa objavuje pri akútnom zhoršení funkcie obličiek a zvyšuje riziko laktátovej acidózy. </w:t>
      </w:r>
    </w:p>
    <w:p w14:paraId="2E7DE62E" w14:textId="77777777" w:rsidR="00C52A3E" w:rsidRPr="004441DD" w:rsidRDefault="00C52A3E">
      <w:pPr>
        <w:pStyle w:val="CM16"/>
        <w:rPr>
          <w:rFonts w:ascii="Times New Roman" w:hAnsi="Times New Roman"/>
          <w:sz w:val="22"/>
          <w:szCs w:val="22"/>
          <w:lang w:val="sk-SK"/>
        </w:rPr>
      </w:pPr>
      <w:r w:rsidRPr="004441DD">
        <w:rPr>
          <w:rFonts w:ascii="Times New Roman" w:hAnsi="Times New Roman"/>
          <w:sz w:val="22"/>
          <w:szCs w:val="22"/>
          <w:lang w:val="sk-SK"/>
        </w:rPr>
        <w:t xml:space="preserve">V prípade dehydratácie (závažná hnačka alebo vracanie, horúčka alebo znížený príjem tekutín) je potrebné dočasne prerušiť podávanie metformínu a odporúča sa kontaktovať zdravotníckeho pracovníka. </w:t>
      </w:r>
    </w:p>
    <w:p w14:paraId="2EF444E9" w14:textId="77777777" w:rsidR="00C52A3E" w:rsidRPr="004441DD" w:rsidRDefault="00C52A3E">
      <w:pPr>
        <w:pStyle w:val="CM16"/>
        <w:rPr>
          <w:rFonts w:ascii="Times New Roman" w:hAnsi="Times New Roman"/>
          <w:sz w:val="22"/>
          <w:szCs w:val="22"/>
          <w:lang w:val="sk-SK"/>
        </w:rPr>
      </w:pPr>
      <w:r w:rsidRPr="004441DD">
        <w:rPr>
          <w:rFonts w:ascii="Times New Roman" w:hAnsi="Times New Roman"/>
          <w:sz w:val="22"/>
          <w:szCs w:val="22"/>
          <w:lang w:val="sk-SK"/>
        </w:rPr>
        <w:t xml:space="preserve">Lieky, ktoré môžu akútne narušiť funkciu obličiek (ako napríklad antihypertenzíva, diuretiká a NSAID) sa majú u pacientov liečených metformínom začať podávať s opatrnosťou. Ďalšie rizikové faktory laktátovej acidózy sú nadmerné požívanie alkoholu, hepatálna insuficiencia, nedostatočne kontrolovaný diabetes mellitus, ketóza, dlhotrvajúce hladovanie a akékoľvek stavy spojené s hypoxiou, ako aj súbežné používanie liekov, ktoré môžu spôsobiť laktátovú acidózu (pozri časti 4.3 a 4.5). </w:t>
      </w:r>
    </w:p>
    <w:p w14:paraId="6C045C15" w14:textId="77777777" w:rsidR="00C52A3E" w:rsidRPr="004441DD" w:rsidRDefault="00C52A3E">
      <w:pPr>
        <w:pStyle w:val="CM5"/>
        <w:spacing w:line="240" w:lineRule="auto"/>
        <w:rPr>
          <w:rFonts w:ascii="Times New Roman" w:hAnsi="Times New Roman"/>
          <w:sz w:val="22"/>
          <w:szCs w:val="22"/>
          <w:lang w:val="sk-SK"/>
        </w:rPr>
      </w:pPr>
      <w:r w:rsidRPr="004441DD">
        <w:rPr>
          <w:rFonts w:ascii="Times New Roman" w:hAnsi="Times New Roman"/>
          <w:sz w:val="22"/>
          <w:szCs w:val="22"/>
          <w:lang w:val="sk-SK"/>
        </w:rPr>
        <w:t xml:space="preserve">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mmol/l) a zvýšená aniónová medzera a pomer laktátu/pyruvátu. </w:t>
      </w:r>
    </w:p>
    <w:p w14:paraId="7E4D8FBB" w14:textId="77777777" w:rsidR="00C52A3E" w:rsidRPr="004441DD" w:rsidRDefault="00C52A3E">
      <w:pPr>
        <w:rPr>
          <w:sz w:val="22"/>
          <w:szCs w:val="22"/>
          <w:lang w:val="sk-SK"/>
        </w:rPr>
      </w:pPr>
    </w:p>
    <w:p w14:paraId="008FEDC0" w14:textId="77777777" w:rsidR="00C52A3E" w:rsidRPr="004441DD" w:rsidRDefault="00C52A3E">
      <w:pPr>
        <w:rPr>
          <w:i/>
          <w:sz w:val="22"/>
          <w:szCs w:val="22"/>
          <w:u w:val="single"/>
          <w:lang w:val="sk-SK"/>
        </w:rPr>
      </w:pPr>
      <w:r w:rsidRPr="004441DD">
        <w:rPr>
          <w:i/>
          <w:sz w:val="22"/>
          <w:szCs w:val="22"/>
          <w:u w:val="single"/>
          <w:lang w:val="sk-SK"/>
        </w:rPr>
        <w:t>Funkcia obličiek</w:t>
      </w:r>
    </w:p>
    <w:p w14:paraId="2CA0991F" w14:textId="77777777" w:rsidR="00C52A3E" w:rsidRPr="004441DD" w:rsidRDefault="00C52A3E">
      <w:pPr>
        <w:pStyle w:val="CM4"/>
        <w:spacing w:line="240" w:lineRule="auto"/>
        <w:rPr>
          <w:rFonts w:ascii="Times New Roman" w:hAnsi="Times New Roman"/>
          <w:sz w:val="22"/>
          <w:szCs w:val="22"/>
          <w:lang w:val="sk-SK"/>
        </w:rPr>
      </w:pPr>
      <w:r w:rsidRPr="004441DD">
        <w:rPr>
          <w:rFonts w:ascii="Times New Roman" w:hAnsi="Times New Roman"/>
          <w:sz w:val="22"/>
          <w:szCs w:val="22"/>
          <w:lang w:val="sk-SK"/>
        </w:rPr>
        <w:t xml:space="preserve">GFR je potrebné vyhodnotiť pred začiatkom liečby a pravidelne po ňom, pozri časť 4.2. Metformín je kontraindikovaný u pacientov s GFR &lt; 30 ml/min a v prípade výskytu stavov, pri ktorých dochádza k zmene funkcie obličiek, je potrebné ho dočasne prestať podávať, pozri časť 4.3. </w:t>
      </w:r>
    </w:p>
    <w:p w14:paraId="281F00D9" w14:textId="77777777" w:rsidR="007F37B9" w:rsidRPr="004441DD" w:rsidRDefault="007F37B9">
      <w:pPr>
        <w:rPr>
          <w:sz w:val="22"/>
          <w:szCs w:val="22"/>
          <w:u w:val="single"/>
          <w:lang w:val="sk-SK"/>
        </w:rPr>
      </w:pPr>
    </w:p>
    <w:p w14:paraId="487047DB" w14:textId="77777777" w:rsidR="007F37B9" w:rsidRPr="004441DD" w:rsidRDefault="007F37B9">
      <w:pPr>
        <w:rPr>
          <w:sz w:val="22"/>
          <w:szCs w:val="22"/>
          <w:u w:val="single"/>
          <w:lang w:val="sk-SK"/>
        </w:rPr>
      </w:pPr>
      <w:r w:rsidRPr="004441DD">
        <w:rPr>
          <w:sz w:val="22"/>
          <w:szCs w:val="22"/>
          <w:u w:val="single"/>
          <w:lang w:val="sk-SK"/>
        </w:rPr>
        <w:t>Srdcové funkcie</w:t>
      </w:r>
    </w:p>
    <w:p w14:paraId="1681758A" w14:textId="77777777" w:rsidR="007F37B9" w:rsidRPr="004441DD" w:rsidRDefault="007F37B9">
      <w:pPr>
        <w:rPr>
          <w:sz w:val="22"/>
          <w:szCs w:val="22"/>
          <w:lang w:val="sk-SK"/>
        </w:rPr>
      </w:pPr>
      <w:r w:rsidRPr="004441DD">
        <w:rPr>
          <w:sz w:val="22"/>
          <w:szCs w:val="22"/>
          <w:lang w:val="sk-SK"/>
        </w:rPr>
        <w:t>U pacientov so srdcovým zlyhaním je väčšie riziko hypoxie a renálnej insuficiencie. Pacienti so stabilným chronickým srdcovým zlyhaním môžu užívať</w:t>
      </w:r>
      <w:r w:rsidR="00026CB6" w:rsidRPr="004441DD">
        <w:rPr>
          <w:sz w:val="22"/>
          <w:szCs w:val="22"/>
          <w:lang w:val="sk-SK"/>
        </w:rPr>
        <w:t xml:space="preserve"> </w:t>
      </w:r>
      <w:r w:rsidRPr="004441DD">
        <w:rPr>
          <w:sz w:val="22"/>
          <w:szCs w:val="22"/>
          <w:lang w:val="sk-SK"/>
        </w:rPr>
        <w:t xml:space="preserve">metformín iba vtedy, ak sa pravidelne monitorujú ich srdcové a renálne funkcie. </w:t>
      </w:r>
    </w:p>
    <w:p w14:paraId="7F86EA2C" w14:textId="77777777" w:rsidR="007F37B9" w:rsidRPr="004441DD" w:rsidRDefault="007F37B9">
      <w:pPr>
        <w:rPr>
          <w:sz w:val="22"/>
          <w:szCs w:val="22"/>
          <w:lang w:val="sk-SK"/>
        </w:rPr>
      </w:pPr>
      <w:r w:rsidRPr="004441DD">
        <w:rPr>
          <w:sz w:val="22"/>
          <w:szCs w:val="22"/>
          <w:lang w:val="sk-SK"/>
        </w:rPr>
        <w:t>U pacientov s akútnym a nestabilným srdcovým zlyhaním je metformím kontraindikovaný  (pozri časť 4.3).</w:t>
      </w:r>
    </w:p>
    <w:p w14:paraId="75D29F47" w14:textId="77777777" w:rsidR="00C52A3E" w:rsidRPr="004441DD" w:rsidRDefault="00C52A3E">
      <w:pPr>
        <w:rPr>
          <w:sz w:val="22"/>
          <w:szCs w:val="22"/>
          <w:lang w:val="sk-SK"/>
        </w:rPr>
      </w:pPr>
    </w:p>
    <w:p w14:paraId="2C356C64" w14:textId="77777777" w:rsidR="00C52A3E" w:rsidRPr="004441DD" w:rsidRDefault="00C52A3E">
      <w:pPr>
        <w:rPr>
          <w:i/>
          <w:sz w:val="22"/>
          <w:szCs w:val="22"/>
          <w:u w:val="single"/>
          <w:lang w:val="sk-SK"/>
        </w:rPr>
      </w:pPr>
      <w:r w:rsidRPr="004441DD">
        <w:rPr>
          <w:i/>
          <w:sz w:val="22"/>
          <w:szCs w:val="22"/>
          <w:u w:val="single"/>
          <w:lang w:val="sk-SK"/>
        </w:rPr>
        <w:t>Podanie jódovej kontrastnej látky</w:t>
      </w:r>
    </w:p>
    <w:p w14:paraId="188C0D13" w14:textId="77777777" w:rsidR="00C52A3E" w:rsidRPr="004441DD" w:rsidRDefault="00C52A3E">
      <w:pPr>
        <w:pStyle w:val="CM3"/>
        <w:spacing w:line="240" w:lineRule="auto"/>
        <w:rPr>
          <w:rFonts w:ascii="Times New Roman" w:hAnsi="Times New Roman"/>
          <w:sz w:val="22"/>
          <w:szCs w:val="22"/>
          <w:lang w:val="sk-SK"/>
        </w:rPr>
      </w:pPr>
      <w:r w:rsidRPr="004441DD">
        <w:rPr>
          <w:rFonts w:ascii="Times New Roman" w:hAnsi="Times New Roman"/>
          <w:sz w:val="22"/>
          <w:szCs w:val="22"/>
          <w:lang w:val="sk-SK"/>
        </w:rPr>
        <w:t xml:space="preserve">Intravaskulárne podávanie jódových kontrastných látok môže viesť k nefropatii vyvolanej kontrastnou látkou, čo spôsobuje akumuláciu metformínu a zvýšené riziko laktátovej acidózy. Pred alebo v čase postupu zobrazovania je potrebné prerušiť podávanie metformínu a v podávaní pokračujte nie skôr ako po uplynutí minimálne 48 hodín, za predpokladu, že funkcia obličiek bola opätovne posúdená a považovaná za stabilnú, pozrite časti 4.2 a 4.5. </w:t>
      </w:r>
    </w:p>
    <w:p w14:paraId="4FDE5616" w14:textId="77777777" w:rsidR="00C52A3E" w:rsidRPr="004441DD" w:rsidRDefault="00C52A3E">
      <w:pPr>
        <w:rPr>
          <w:sz w:val="22"/>
          <w:szCs w:val="22"/>
          <w:lang w:val="sk-SK"/>
        </w:rPr>
      </w:pPr>
    </w:p>
    <w:p w14:paraId="1F996F13" w14:textId="77777777" w:rsidR="00C52A3E" w:rsidRPr="004441DD" w:rsidRDefault="00C52A3E">
      <w:pPr>
        <w:rPr>
          <w:i/>
          <w:sz w:val="22"/>
          <w:szCs w:val="22"/>
          <w:u w:val="single"/>
          <w:lang w:val="sk-SK"/>
        </w:rPr>
      </w:pPr>
      <w:r w:rsidRPr="004441DD">
        <w:rPr>
          <w:i/>
          <w:sz w:val="22"/>
          <w:szCs w:val="22"/>
          <w:u w:val="single"/>
          <w:lang w:val="sk-SK"/>
        </w:rPr>
        <w:t>Chirurgický zákrok</w:t>
      </w:r>
    </w:p>
    <w:p w14:paraId="5C46E0A7" w14:textId="77777777" w:rsidR="00C52A3E" w:rsidRPr="004441DD" w:rsidRDefault="00C52A3E">
      <w:pPr>
        <w:pStyle w:val="CM5"/>
        <w:spacing w:line="240" w:lineRule="auto"/>
        <w:rPr>
          <w:rFonts w:ascii="Times New Roman" w:hAnsi="Times New Roman"/>
          <w:sz w:val="22"/>
          <w:szCs w:val="22"/>
          <w:lang w:val="sk-SK"/>
        </w:rPr>
      </w:pPr>
      <w:r w:rsidRPr="004441DD">
        <w:rPr>
          <w:rFonts w:ascii="Times New Roman" w:hAnsi="Times New Roman"/>
          <w:sz w:val="22"/>
          <w:szCs w:val="22"/>
          <w:lang w:val="sk-SK"/>
        </w:rPr>
        <w:t>Metformín sa musí vysadiť v čase chirurgického zákroku s celkovou, spinálnou alebo epidurálnou anestéziou. Liečba sa nesmie opätovne nasadiť skôr ako 48 hodín po chirurgickom zákroku alebo po obnovení perorálnej výživy a za predpoklad</w:t>
      </w:r>
      <w:r w:rsidR="004C5F2B" w:rsidRPr="004441DD">
        <w:rPr>
          <w:rFonts w:ascii="Times New Roman" w:hAnsi="Times New Roman"/>
          <w:sz w:val="22"/>
          <w:szCs w:val="22"/>
          <w:lang w:val="sk-SK"/>
        </w:rPr>
        <w:t>u</w:t>
      </w:r>
      <w:r w:rsidRPr="004441DD">
        <w:rPr>
          <w:rFonts w:ascii="Times New Roman" w:hAnsi="Times New Roman"/>
          <w:sz w:val="22"/>
          <w:szCs w:val="22"/>
          <w:lang w:val="sk-SK"/>
        </w:rPr>
        <w:t xml:space="preserve">, že došlo k opätovnému vyhodnoteniu funkcie obličiek a pri zistení, že je stabilná. </w:t>
      </w:r>
    </w:p>
    <w:p w14:paraId="26253BB7" w14:textId="77777777" w:rsidR="00C52A3E" w:rsidRPr="004441DD" w:rsidRDefault="00C52A3E">
      <w:pPr>
        <w:rPr>
          <w:lang w:val="sk-SK"/>
        </w:rPr>
      </w:pPr>
    </w:p>
    <w:p w14:paraId="7D70952C" w14:textId="77777777" w:rsidR="007F37B9" w:rsidRPr="004441DD" w:rsidRDefault="007F37B9">
      <w:pPr>
        <w:rPr>
          <w:sz w:val="22"/>
          <w:szCs w:val="22"/>
          <w:u w:val="single"/>
          <w:lang w:val="sk-SK"/>
        </w:rPr>
      </w:pPr>
      <w:r w:rsidRPr="004441DD">
        <w:rPr>
          <w:sz w:val="22"/>
          <w:szCs w:val="22"/>
          <w:u w:val="single"/>
          <w:lang w:val="sk-SK"/>
        </w:rPr>
        <w:t>Pediatrická populácia</w:t>
      </w:r>
      <w:r w:rsidRPr="004441DD" w:rsidDel="007F37B9">
        <w:rPr>
          <w:sz w:val="22"/>
          <w:szCs w:val="22"/>
          <w:u w:val="single"/>
          <w:lang w:val="sk-SK"/>
        </w:rPr>
        <w:t xml:space="preserve"> </w:t>
      </w:r>
    </w:p>
    <w:p w14:paraId="6317B3F1" w14:textId="77777777" w:rsidR="006E6E67" w:rsidRPr="004441DD" w:rsidRDefault="006E6E67">
      <w:pPr>
        <w:rPr>
          <w:sz w:val="22"/>
          <w:szCs w:val="22"/>
          <w:lang w:val="sk-SK"/>
        </w:rPr>
      </w:pPr>
      <w:r w:rsidRPr="004441DD">
        <w:rPr>
          <w:sz w:val="22"/>
          <w:szCs w:val="22"/>
          <w:lang w:val="sk-SK"/>
        </w:rPr>
        <w:t xml:space="preserve">Diagnóza diabetes mellitus 2. typu musí byť potvrdená skôr, ako sa začne liečba metformínom. Počas kontrolovaných klinických štúdií trvajúcich jeden rok sa nezistil žiaden vplyv metformínu na rast a pubertu, ale nie sú k dispozícii žiadne dlhodobé údaje o týchto špecifických ukazovateľoch. Z tohto dôvodu sa u detí liečených metformínom, najmä u predpubertálnych detí, odporúča pozorné sledovanie vplyvu metformínu na tieto parametre. </w:t>
      </w:r>
    </w:p>
    <w:p w14:paraId="1F5F013D" w14:textId="77777777" w:rsidR="00937E1C" w:rsidRPr="004441DD" w:rsidRDefault="00937E1C">
      <w:pPr>
        <w:rPr>
          <w:sz w:val="22"/>
          <w:szCs w:val="22"/>
          <w:lang w:val="sk-SK"/>
        </w:rPr>
      </w:pPr>
    </w:p>
    <w:p w14:paraId="1ABF4F17" w14:textId="77777777" w:rsidR="006E6E67" w:rsidRPr="004441DD" w:rsidRDefault="006E6E67">
      <w:pPr>
        <w:rPr>
          <w:b/>
          <w:iCs/>
          <w:sz w:val="22"/>
          <w:szCs w:val="22"/>
          <w:lang w:val="sk-SK"/>
        </w:rPr>
      </w:pPr>
      <w:r w:rsidRPr="004441DD">
        <w:rPr>
          <w:b/>
          <w:iCs/>
          <w:sz w:val="22"/>
          <w:szCs w:val="22"/>
          <w:lang w:val="sk-SK"/>
        </w:rPr>
        <w:t>Deti vo veku 10 až 12 rokov</w:t>
      </w:r>
    </w:p>
    <w:p w14:paraId="3849D53C" w14:textId="77777777" w:rsidR="006E6E67" w:rsidRPr="004441DD" w:rsidRDefault="006E6E67">
      <w:pPr>
        <w:rPr>
          <w:sz w:val="22"/>
          <w:szCs w:val="22"/>
          <w:lang w:val="sk-SK"/>
        </w:rPr>
      </w:pPr>
      <w:r w:rsidRPr="004441DD">
        <w:rPr>
          <w:sz w:val="22"/>
          <w:szCs w:val="22"/>
          <w:lang w:val="sk-SK"/>
        </w:rPr>
        <w:t xml:space="preserve">Iba 15 detí vo veku 10 až 12 rokov bolo zahrnutých do kontrolovaných klinických štúdií s deťmi </w:t>
      </w:r>
    </w:p>
    <w:p w14:paraId="03863B43" w14:textId="77777777" w:rsidR="006E6E67" w:rsidRPr="004441DD" w:rsidRDefault="006E6E67">
      <w:pPr>
        <w:rPr>
          <w:sz w:val="22"/>
          <w:szCs w:val="22"/>
          <w:lang w:val="sk-SK"/>
        </w:rPr>
      </w:pPr>
      <w:r w:rsidRPr="004441DD">
        <w:rPr>
          <w:sz w:val="22"/>
          <w:szCs w:val="22"/>
          <w:lang w:val="sk-SK"/>
        </w:rPr>
        <w:t xml:space="preserve">a s dospievajúcimi. Špeciálna pozornosť sa má venovať predpisovaniu metformínu deťom od 10 do 12 rokov, hoci účinnosť a bezpečnosť metformínu sa u týchto detí nelíšila od účinnosti a bezpečnosti u starších detí a dospievajúcich. </w:t>
      </w:r>
    </w:p>
    <w:p w14:paraId="4F9C325C" w14:textId="77777777" w:rsidR="006E6E67" w:rsidRPr="004441DD" w:rsidRDefault="006E6E67">
      <w:pPr>
        <w:rPr>
          <w:sz w:val="22"/>
          <w:szCs w:val="22"/>
          <w:lang w:val="sk-SK"/>
        </w:rPr>
      </w:pPr>
    </w:p>
    <w:p w14:paraId="3644D607" w14:textId="77777777" w:rsidR="006E6E67" w:rsidRPr="004441DD" w:rsidRDefault="006E6E67">
      <w:pPr>
        <w:rPr>
          <w:sz w:val="22"/>
          <w:szCs w:val="22"/>
          <w:u w:val="single"/>
          <w:lang w:val="sk-SK"/>
        </w:rPr>
      </w:pPr>
      <w:r w:rsidRPr="004441DD">
        <w:rPr>
          <w:sz w:val="22"/>
          <w:szCs w:val="22"/>
          <w:u w:val="single"/>
          <w:lang w:val="sk-SK"/>
        </w:rPr>
        <w:lastRenderedPageBreak/>
        <w:t>Ďalšie upozornenia</w:t>
      </w:r>
    </w:p>
    <w:p w14:paraId="09D3A5E2" w14:textId="77777777" w:rsidR="006E6E67" w:rsidRPr="004441DD" w:rsidRDefault="006E6E67">
      <w:pPr>
        <w:rPr>
          <w:sz w:val="22"/>
          <w:szCs w:val="22"/>
          <w:lang w:val="sk-SK"/>
        </w:rPr>
      </w:pPr>
      <w:r w:rsidRPr="004441DD">
        <w:rPr>
          <w:sz w:val="22"/>
          <w:szCs w:val="22"/>
          <w:lang w:val="sk-SK"/>
        </w:rPr>
        <w:t>Všetci pacienti by mali pokračovať vo svojej diéte s pravidelným rozdelením príjmu sacharidov počas dňa. Pacienti s nadváhou by mali pokračovať v redukčnej diéte.</w:t>
      </w:r>
    </w:p>
    <w:p w14:paraId="178F92B1" w14:textId="5ED37706" w:rsidR="006E6E67" w:rsidRPr="004441DD" w:rsidRDefault="006E6E67">
      <w:pPr>
        <w:rPr>
          <w:sz w:val="22"/>
          <w:szCs w:val="22"/>
          <w:lang w:val="sk-SK"/>
        </w:rPr>
      </w:pPr>
      <w:r w:rsidRPr="004441DD">
        <w:rPr>
          <w:sz w:val="22"/>
          <w:szCs w:val="22"/>
          <w:lang w:val="sk-SK"/>
        </w:rPr>
        <w:t xml:space="preserve">Zvyčajné laboratórne vyšetrenia na sledovanie diabetu je potrebné vykonávať pravidelne. </w:t>
      </w:r>
    </w:p>
    <w:p w14:paraId="7189FA31" w14:textId="77777777" w:rsidR="00807891" w:rsidRPr="004441DD" w:rsidRDefault="00807891">
      <w:pPr>
        <w:rPr>
          <w:sz w:val="22"/>
          <w:szCs w:val="22"/>
          <w:lang w:val="sk-SK"/>
        </w:rPr>
      </w:pPr>
    </w:p>
    <w:p w14:paraId="68640F80" w14:textId="27295240" w:rsidR="00D87D79" w:rsidRPr="004441DD" w:rsidRDefault="00D87D79">
      <w:pPr>
        <w:rPr>
          <w:sz w:val="22"/>
          <w:szCs w:val="22"/>
          <w:lang w:val="sk-SK"/>
        </w:rPr>
      </w:pPr>
      <w:bookmarkStart w:id="0" w:name="_Hlk98752963"/>
      <w:r w:rsidRPr="004441DD">
        <w:rPr>
          <w:sz w:val="22"/>
          <w:szCs w:val="22"/>
          <w:lang w:val="sk-SK"/>
        </w:rPr>
        <w:t xml:space="preserve">Metformín môže znižovať sérové hladiny vitamínu B12. </w:t>
      </w:r>
    </w:p>
    <w:p w14:paraId="4070643F" w14:textId="77777777" w:rsidR="00D87D79" w:rsidRPr="00C270A9" w:rsidRDefault="00D87D79">
      <w:pPr>
        <w:rPr>
          <w:sz w:val="22"/>
          <w:szCs w:val="22"/>
          <w:lang w:val="sk-SK"/>
        </w:rPr>
      </w:pPr>
      <w:r w:rsidRPr="00C270A9">
        <w:rPr>
          <w:sz w:val="22"/>
          <w:szCs w:val="22"/>
          <w:lang w:val="sk-SK"/>
        </w:rPr>
        <w:t xml:space="preserve">Riziko nízkych hladín vitamínu B12 sa zvyšuje so zvyšujúcou sa dávkou metformínu, dobou liečby a/alebo u pacientov s rizikovými faktormi, kde je známe, že spôsobujú nedostatok vitamínu B12. </w:t>
      </w:r>
    </w:p>
    <w:p w14:paraId="3B5FDCA7" w14:textId="0D55320B" w:rsidR="00D87D79" w:rsidRPr="004441DD" w:rsidRDefault="00D87D79">
      <w:pPr>
        <w:rPr>
          <w:sz w:val="22"/>
          <w:szCs w:val="22"/>
          <w:lang w:val="sk-SK"/>
        </w:rPr>
      </w:pPr>
      <w:r w:rsidRPr="00C270A9">
        <w:rPr>
          <w:sz w:val="22"/>
          <w:szCs w:val="22"/>
          <w:lang w:val="sk-SK"/>
        </w:rPr>
        <w:t>V prípade podozrenia na nedostatok vitamínu B12 (</w:t>
      </w:r>
      <w:r w:rsidR="00E751F8" w:rsidRPr="00C270A9">
        <w:rPr>
          <w:sz w:val="22"/>
          <w:szCs w:val="22"/>
          <w:lang w:val="sk-SK"/>
        </w:rPr>
        <w:t>ako je</w:t>
      </w:r>
      <w:r w:rsidRPr="00C270A9">
        <w:rPr>
          <w:sz w:val="22"/>
          <w:szCs w:val="22"/>
          <w:lang w:val="sk-SK"/>
        </w:rPr>
        <w:t xml:space="preserve"> anémi</w:t>
      </w:r>
      <w:r w:rsidR="00E751F8" w:rsidRPr="00C270A9">
        <w:rPr>
          <w:sz w:val="22"/>
          <w:szCs w:val="22"/>
          <w:lang w:val="sk-SK"/>
        </w:rPr>
        <w:t>a</w:t>
      </w:r>
      <w:r w:rsidRPr="00C270A9">
        <w:rPr>
          <w:sz w:val="22"/>
          <w:szCs w:val="22"/>
          <w:lang w:val="sk-SK"/>
        </w:rPr>
        <w:t xml:space="preserve"> alebo neuropati</w:t>
      </w:r>
      <w:r w:rsidR="00E751F8" w:rsidRPr="00C270A9">
        <w:rPr>
          <w:sz w:val="22"/>
          <w:szCs w:val="22"/>
          <w:lang w:val="sk-SK"/>
        </w:rPr>
        <w:t>a</w:t>
      </w:r>
      <w:r w:rsidRPr="00C270A9">
        <w:rPr>
          <w:sz w:val="22"/>
          <w:szCs w:val="22"/>
          <w:lang w:val="sk-SK"/>
        </w:rPr>
        <w:t xml:space="preserve">) je potrebné sledovať sérové hladiny vitamínu B12. U pacientov s rizikovými faktormi spôsobujúcimi nedostatok vitamínu B12 </w:t>
      </w:r>
      <w:r w:rsidR="00E751F8" w:rsidRPr="00C270A9">
        <w:rPr>
          <w:sz w:val="22"/>
          <w:szCs w:val="22"/>
          <w:lang w:val="sk-SK"/>
        </w:rPr>
        <w:t xml:space="preserve">je </w:t>
      </w:r>
      <w:r w:rsidRPr="00C270A9">
        <w:rPr>
          <w:sz w:val="22"/>
          <w:szCs w:val="22"/>
          <w:lang w:val="sk-SK"/>
        </w:rPr>
        <w:t>nutné pravidelné sledov</w:t>
      </w:r>
      <w:r w:rsidR="00E751F8" w:rsidRPr="00C270A9">
        <w:rPr>
          <w:sz w:val="22"/>
          <w:szCs w:val="22"/>
          <w:lang w:val="sk-SK"/>
        </w:rPr>
        <w:t>anie</w:t>
      </w:r>
      <w:r w:rsidRPr="00C270A9">
        <w:rPr>
          <w:sz w:val="22"/>
          <w:szCs w:val="22"/>
          <w:lang w:val="sk-SK"/>
        </w:rPr>
        <w:t xml:space="preserve"> vitam</w:t>
      </w:r>
      <w:r w:rsidR="00E751F8" w:rsidRPr="00C270A9">
        <w:rPr>
          <w:sz w:val="22"/>
          <w:szCs w:val="22"/>
          <w:lang w:val="sk-SK"/>
        </w:rPr>
        <w:t>í</w:t>
      </w:r>
      <w:r w:rsidRPr="00C270A9">
        <w:rPr>
          <w:sz w:val="22"/>
          <w:szCs w:val="22"/>
          <w:lang w:val="sk-SK"/>
        </w:rPr>
        <w:t>nu B12. L</w:t>
      </w:r>
      <w:r w:rsidR="00E751F8" w:rsidRPr="00C270A9">
        <w:rPr>
          <w:sz w:val="22"/>
          <w:szCs w:val="22"/>
          <w:lang w:val="sk-SK"/>
        </w:rPr>
        <w:t>ie</w:t>
      </w:r>
      <w:r w:rsidRPr="00C270A9">
        <w:rPr>
          <w:sz w:val="22"/>
          <w:szCs w:val="22"/>
          <w:lang w:val="sk-SK"/>
        </w:rPr>
        <w:t>čba metform</w:t>
      </w:r>
      <w:r w:rsidR="00E751F8" w:rsidRPr="00C270A9">
        <w:rPr>
          <w:sz w:val="22"/>
          <w:szCs w:val="22"/>
          <w:lang w:val="sk-SK"/>
        </w:rPr>
        <w:t>í</w:t>
      </w:r>
      <w:r w:rsidRPr="00C270A9">
        <w:rPr>
          <w:sz w:val="22"/>
          <w:szCs w:val="22"/>
          <w:lang w:val="sk-SK"/>
        </w:rPr>
        <w:t>n</w:t>
      </w:r>
      <w:r w:rsidR="00E751F8" w:rsidRPr="00C270A9">
        <w:rPr>
          <w:sz w:val="22"/>
          <w:szCs w:val="22"/>
          <w:lang w:val="sk-SK"/>
        </w:rPr>
        <w:t>o</w:t>
      </w:r>
      <w:r w:rsidRPr="00C270A9">
        <w:rPr>
          <w:sz w:val="22"/>
          <w:szCs w:val="22"/>
          <w:lang w:val="sk-SK"/>
        </w:rPr>
        <w:t xml:space="preserve">m </w:t>
      </w:r>
      <w:r w:rsidR="00E751F8" w:rsidRPr="00C270A9">
        <w:rPr>
          <w:sz w:val="22"/>
          <w:szCs w:val="22"/>
          <w:lang w:val="sk-SK"/>
        </w:rPr>
        <w:t>má</w:t>
      </w:r>
      <w:r w:rsidRPr="00C270A9">
        <w:rPr>
          <w:sz w:val="22"/>
          <w:szCs w:val="22"/>
          <w:lang w:val="sk-SK"/>
        </w:rPr>
        <w:t xml:space="preserve"> pokračova</w:t>
      </w:r>
      <w:r w:rsidR="00E751F8" w:rsidRPr="00C270A9">
        <w:rPr>
          <w:sz w:val="22"/>
          <w:szCs w:val="22"/>
          <w:lang w:val="sk-SK"/>
        </w:rPr>
        <w:t>ť</w:t>
      </w:r>
      <w:r w:rsidRPr="00C270A9">
        <w:rPr>
          <w:sz w:val="22"/>
          <w:szCs w:val="22"/>
          <w:lang w:val="sk-SK"/>
        </w:rPr>
        <w:t xml:space="preserve"> tak dlho, </w:t>
      </w:r>
      <w:r w:rsidR="009625F6" w:rsidRPr="00C270A9">
        <w:rPr>
          <w:sz w:val="22"/>
          <w:szCs w:val="22"/>
          <w:lang w:val="sk-SK"/>
        </w:rPr>
        <w:t>kým</w:t>
      </w:r>
      <w:r w:rsidRPr="00C270A9">
        <w:rPr>
          <w:sz w:val="22"/>
          <w:szCs w:val="22"/>
          <w:lang w:val="sk-SK"/>
        </w:rPr>
        <w:t xml:space="preserve"> je tolerov</w:t>
      </w:r>
      <w:r w:rsidR="00E751F8" w:rsidRPr="00C270A9">
        <w:rPr>
          <w:sz w:val="22"/>
          <w:szCs w:val="22"/>
          <w:lang w:val="sk-SK"/>
        </w:rPr>
        <w:t>a</w:t>
      </w:r>
      <w:r w:rsidRPr="00C270A9">
        <w:rPr>
          <w:sz w:val="22"/>
          <w:szCs w:val="22"/>
          <w:lang w:val="sk-SK"/>
        </w:rPr>
        <w:t>n</w:t>
      </w:r>
      <w:r w:rsidR="00E751F8" w:rsidRPr="00C270A9">
        <w:rPr>
          <w:sz w:val="22"/>
          <w:szCs w:val="22"/>
          <w:lang w:val="sk-SK"/>
        </w:rPr>
        <w:t>á</w:t>
      </w:r>
      <w:r w:rsidRPr="00C270A9">
        <w:rPr>
          <w:sz w:val="22"/>
          <w:szCs w:val="22"/>
          <w:lang w:val="sk-SK"/>
        </w:rPr>
        <w:t xml:space="preserve"> a n</w:t>
      </w:r>
      <w:r w:rsidR="00E751F8" w:rsidRPr="00C270A9">
        <w:rPr>
          <w:sz w:val="22"/>
          <w:szCs w:val="22"/>
          <w:lang w:val="sk-SK"/>
        </w:rPr>
        <w:t>ie je</w:t>
      </w:r>
      <w:r w:rsidRPr="00C270A9">
        <w:rPr>
          <w:sz w:val="22"/>
          <w:szCs w:val="22"/>
          <w:lang w:val="sk-SK"/>
        </w:rPr>
        <w:t xml:space="preserve"> kontraindikov</w:t>
      </w:r>
      <w:r w:rsidR="00E751F8" w:rsidRPr="00C270A9">
        <w:rPr>
          <w:sz w:val="22"/>
          <w:szCs w:val="22"/>
          <w:lang w:val="sk-SK"/>
        </w:rPr>
        <w:t>a</w:t>
      </w:r>
      <w:r w:rsidRPr="00C270A9">
        <w:rPr>
          <w:sz w:val="22"/>
          <w:szCs w:val="22"/>
          <w:lang w:val="sk-SK"/>
        </w:rPr>
        <w:t>n</w:t>
      </w:r>
      <w:r w:rsidR="00E751F8" w:rsidRPr="00C270A9">
        <w:rPr>
          <w:sz w:val="22"/>
          <w:szCs w:val="22"/>
          <w:lang w:val="sk-SK"/>
        </w:rPr>
        <w:t>á</w:t>
      </w:r>
      <w:r w:rsidRPr="00C270A9">
        <w:rPr>
          <w:sz w:val="22"/>
          <w:szCs w:val="22"/>
          <w:lang w:val="sk-SK"/>
        </w:rPr>
        <w:t xml:space="preserve">, a </w:t>
      </w:r>
      <w:r w:rsidR="00E751F8" w:rsidRPr="00C270A9">
        <w:rPr>
          <w:sz w:val="22"/>
          <w:szCs w:val="22"/>
          <w:lang w:val="sk-SK"/>
        </w:rPr>
        <w:t>má</w:t>
      </w:r>
      <w:r w:rsidRPr="00C270A9">
        <w:rPr>
          <w:sz w:val="22"/>
          <w:szCs w:val="22"/>
          <w:lang w:val="sk-SK"/>
        </w:rPr>
        <w:t xml:space="preserve"> b</w:t>
      </w:r>
      <w:r w:rsidR="00E751F8" w:rsidRPr="00C270A9">
        <w:rPr>
          <w:sz w:val="22"/>
          <w:szCs w:val="22"/>
          <w:lang w:val="sk-SK"/>
        </w:rPr>
        <w:t>yť poskytnutá</w:t>
      </w:r>
      <w:r w:rsidRPr="00C270A9">
        <w:rPr>
          <w:sz w:val="22"/>
          <w:szCs w:val="22"/>
          <w:lang w:val="sk-SK"/>
        </w:rPr>
        <w:t xml:space="preserve"> vhodná korekčn</w:t>
      </w:r>
      <w:r w:rsidR="00E751F8" w:rsidRPr="00C270A9">
        <w:rPr>
          <w:sz w:val="22"/>
          <w:szCs w:val="22"/>
          <w:lang w:val="sk-SK"/>
        </w:rPr>
        <w:t>á</w:t>
      </w:r>
      <w:r w:rsidRPr="00C270A9">
        <w:rPr>
          <w:sz w:val="22"/>
          <w:szCs w:val="22"/>
          <w:lang w:val="sk-SK"/>
        </w:rPr>
        <w:t xml:space="preserve"> l</w:t>
      </w:r>
      <w:r w:rsidR="00E751F8" w:rsidRPr="00C270A9">
        <w:rPr>
          <w:sz w:val="22"/>
          <w:szCs w:val="22"/>
          <w:lang w:val="sk-SK"/>
        </w:rPr>
        <w:t>ie</w:t>
      </w:r>
      <w:r w:rsidRPr="00C270A9">
        <w:rPr>
          <w:sz w:val="22"/>
          <w:szCs w:val="22"/>
          <w:lang w:val="sk-SK"/>
        </w:rPr>
        <w:t>čba nedostatku vitam</w:t>
      </w:r>
      <w:r w:rsidR="00E751F8" w:rsidRPr="00C270A9">
        <w:rPr>
          <w:sz w:val="22"/>
          <w:szCs w:val="22"/>
          <w:lang w:val="sk-SK"/>
        </w:rPr>
        <w:t>í</w:t>
      </w:r>
      <w:r w:rsidRPr="00C270A9">
        <w:rPr>
          <w:sz w:val="22"/>
          <w:szCs w:val="22"/>
          <w:lang w:val="sk-SK"/>
        </w:rPr>
        <w:t xml:space="preserve">nu B12 v </w:t>
      </w:r>
      <w:r w:rsidR="00E751F8" w:rsidRPr="00C270A9">
        <w:rPr>
          <w:sz w:val="22"/>
          <w:szCs w:val="22"/>
          <w:lang w:val="sk-SK"/>
        </w:rPr>
        <w:t>súlade</w:t>
      </w:r>
      <w:r w:rsidRPr="00C270A9">
        <w:rPr>
          <w:sz w:val="22"/>
          <w:szCs w:val="22"/>
          <w:lang w:val="sk-SK"/>
        </w:rPr>
        <w:t xml:space="preserve"> s aktuáln</w:t>
      </w:r>
      <w:r w:rsidR="00E751F8" w:rsidRPr="00C270A9">
        <w:rPr>
          <w:sz w:val="22"/>
          <w:szCs w:val="22"/>
          <w:lang w:val="sk-SK"/>
        </w:rPr>
        <w:t>y</w:t>
      </w:r>
      <w:r w:rsidRPr="00C270A9">
        <w:rPr>
          <w:sz w:val="22"/>
          <w:szCs w:val="22"/>
          <w:lang w:val="sk-SK"/>
        </w:rPr>
        <w:t xml:space="preserve">mi klinickými </w:t>
      </w:r>
      <w:r w:rsidR="009625F6" w:rsidRPr="00C270A9">
        <w:rPr>
          <w:sz w:val="22"/>
          <w:szCs w:val="22"/>
          <w:lang w:val="sk-SK"/>
        </w:rPr>
        <w:t>odporúčaniami</w:t>
      </w:r>
      <w:r w:rsidR="00E751F8" w:rsidRPr="00C270A9">
        <w:rPr>
          <w:szCs w:val="22"/>
          <w:lang w:val="sk-SK"/>
        </w:rPr>
        <w:t>.</w:t>
      </w:r>
    </w:p>
    <w:bookmarkEnd w:id="0"/>
    <w:p w14:paraId="40BFE58D" w14:textId="77777777" w:rsidR="00D87D79" w:rsidRPr="004441DD" w:rsidRDefault="00D87D79">
      <w:pPr>
        <w:rPr>
          <w:sz w:val="22"/>
          <w:szCs w:val="22"/>
          <w:lang w:val="sk-SK"/>
        </w:rPr>
      </w:pPr>
    </w:p>
    <w:p w14:paraId="79FB3DA1" w14:textId="77777777" w:rsidR="006E6E67" w:rsidRPr="004441DD" w:rsidRDefault="006E6E67">
      <w:pPr>
        <w:rPr>
          <w:sz w:val="22"/>
          <w:szCs w:val="22"/>
          <w:lang w:val="sk-SK"/>
        </w:rPr>
      </w:pPr>
      <w:r w:rsidRPr="004441DD">
        <w:rPr>
          <w:sz w:val="22"/>
          <w:szCs w:val="22"/>
          <w:lang w:val="sk-SK"/>
        </w:rPr>
        <w:t xml:space="preserve">Metformín samotný nespôsobuje hypoglykémiu, ale opatrnosť sa odporúča pri jeho užívaní v kombinácii s inzulínom alebo inými perorálnymi antidiabetikami (napr. </w:t>
      </w:r>
      <w:r w:rsidR="005738D5" w:rsidRPr="004441DD">
        <w:rPr>
          <w:sz w:val="22"/>
          <w:szCs w:val="22"/>
          <w:lang w:val="sk-SK"/>
        </w:rPr>
        <w:t xml:space="preserve">deriváty </w:t>
      </w:r>
      <w:r w:rsidRPr="004441DD">
        <w:rPr>
          <w:sz w:val="22"/>
          <w:szCs w:val="22"/>
          <w:lang w:val="sk-SK"/>
        </w:rPr>
        <w:t xml:space="preserve">sulfonylurey alebo meglitinidy). </w:t>
      </w:r>
    </w:p>
    <w:p w14:paraId="36784592" w14:textId="77777777" w:rsidR="006E6E67" w:rsidRPr="004441DD" w:rsidRDefault="006E6E67">
      <w:pPr>
        <w:rPr>
          <w:sz w:val="22"/>
          <w:szCs w:val="22"/>
          <w:lang w:val="sk-SK"/>
        </w:rPr>
      </w:pPr>
    </w:p>
    <w:p w14:paraId="3F11C416" w14:textId="77777777" w:rsidR="006E6E67" w:rsidRPr="004441DD" w:rsidRDefault="006E6E67">
      <w:pPr>
        <w:rPr>
          <w:b/>
          <w:bCs/>
          <w:sz w:val="22"/>
          <w:szCs w:val="22"/>
          <w:lang w:val="sk-SK"/>
        </w:rPr>
      </w:pPr>
      <w:r w:rsidRPr="004441DD">
        <w:rPr>
          <w:b/>
          <w:bCs/>
          <w:sz w:val="22"/>
          <w:szCs w:val="22"/>
          <w:lang w:val="sk-SK"/>
        </w:rPr>
        <w:t>4.5</w:t>
      </w:r>
      <w:r w:rsidRPr="004441DD">
        <w:rPr>
          <w:b/>
          <w:bCs/>
          <w:sz w:val="22"/>
          <w:szCs w:val="22"/>
          <w:lang w:val="sk-SK"/>
        </w:rPr>
        <w:tab/>
        <w:t>Liekové a iné interakcie</w:t>
      </w:r>
    </w:p>
    <w:p w14:paraId="279C55DD" w14:textId="77777777" w:rsidR="006E6E67" w:rsidRPr="004441DD" w:rsidRDefault="006E6E67">
      <w:pPr>
        <w:rPr>
          <w:b/>
          <w:bCs/>
          <w:sz w:val="22"/>
          <w:szCs w:val="22"/>
          <w:lang w:val="sk-SK"/>
        </w:rPr>
      </w:pPr>
    </w:p>
    <w:p w14:paraId="3396B8E8" w14:textId="77777777" w:rsidR="00C52A3E" w:rsidRPr="004441DD" w:rsidRDefault="00C52A3E">
      <w:pPr>
        <w:rPr>
          <w:rFonts w:cs="QUOWUE+Verdana"/>
          <w:iCs/>
          <w:sz w:val="22"/>
          <w:szCs w:val="22"/>
          <w:u w:val="single"/>
          <w:lang w:val="sk-SK"/>
        </w:rPr>
      </w:pPr>
      <w:r w:rsidRPr="004441DD">
        <w:rPr>
          <w:rFonts w:cs="QUOWUE+Verdana"/>
          <w:iCs/>
          <w:sz w:val="22"/>
          <w:szCs w:val="22"/>
          <w:u w:val="single"/>
          <w:lang w:val="sk-SK"/>
        </w:rPr>
        <w:t xml:space="preserve">Súbežné používanie, ktoré sa neodporúča </w:t>
      </w:r>
    </w:p>
    <w:p w14:paraId="384069E8" w14:textId="77777777" w:rsidR="00C52A3E" w:rsidRPr="004441DD" w:rsidRDefault="00C52A3E">
      <w:pPr>
        <w:rPr>
          <w:sz w:val="22"/>
          <w:szCs w:val="22"/>
          <w:lang w:val="sk-SK"/>
        </w:rPr>
      </w:pPr>
      <w:r w:rsidRPr="004441DD">
        <w:rPr>
          <w:i/>
          <w:iCs/>
          <w:sz w:val="22"/>
          <w:szCs w:val="22"/>
          <w:lang w:val="sk-SK"/>
        </w:rPr>
        <w:t>Alkohol</w:t>
      </w:r>
      <w:r w:rsidRPr="004441DD">
        <w:rPr>
          <w:sz w:val="22"/>
          <w:szCs w:val="22"/>
          <w:lang w:val="sk-SK"/>
        </w:rPr>
        <w:t xml:space="preserve"> </w:t>
      </w:r>
    </w:p>
    <w:p w14:paraId="1A2BCA04" w14:textId="77777777" w:rsidR="00C52A3E" w:rsidRPr="004441DD" w:rsidRDefault="00C52A3E">
      <w:pPr>
        <w:rPr>
          <w:sz w:val="22"/>
          <w:szCs w:val="22"/>
          <w:lang w:val="sk-SK"/>
        </w:rPr>
      </w:pPr>
      <w:r w:rsidRPr="004441DD">
        <w:rPr>
          <w:sz w:val="22"/>
          <w:szCs w:val="22"/>
          <w:lang w:val="sk-SK"/>
        </w:rPr>
        <w:t xml:space="preserve">Intoxikácia alkoholom je spojená so zvýšeným rizikom laktátovej acidózy najmä v prípadoch hladovania, nedostatočnej výživy alebo poškodenia funkcie pečene. </w:t>
      </w:r>
    </w:p>
    <w:p w14:paraId="1CF1C20A" w14:textId="77777777" w:rsidR="00C52A3E" w:rsidRPr="004441DD" w:rsidRDefault="00C52A3E">
      <w:pPr>
        <w:rPr>
          <w:sz w:val="22"/>
          <w:szCs w:val="22"/>
          <w:lang w:val="sk-SK"/>
        </w:rPr>
      </w:pPr>
    </w:p>
    <w:p w14:paraId="01ADB129" w14:textId="77777777" w:rsidR="00C52A3E" w:rsidRPr="004441DD" w:rsidRDefault="00C52A3E">
      <w:pPr>
        <w:rPr>
          <w:i/>
          <w:iCs/>
          <w:sz w:val="22"/>
          <w:szCs w:val="22"/>
          <w:lang w:val="sk-SK"/>
        </w:rPr>
      </w:pPr>
      <w:r w:rsidRPr="004441DD">
        <w:rPr>
          <w:i/>
          <w:iCs/>
          <w:sz w:val="22"/>
          <w:szCs w:val="22"/>
          <w:lang w:val="sk-SK"/>
        </w:rPr>
        <w:t>Jódové kontrastné látky</w:t>
      </w:r>
    </w:p>
    <w:p w14:paraId="7F7215DB" w14:textId="77777777" w:rsidR="00C52A3E" w:rsidRPr="004441DD" w:rsidRDefault="00C52A3E">
      <w:pPr>
        <w:pStyle w:val="CM11"/>
        <w:rPr>
          <w:rFonts w:ascii="Times New Roman" w:eastAsia="Batang" w:hAnsi="Times New Roman"/>
          <w:sz w:val="22"/>
          <w:szCs w:val="22"/>
          <w:lang w:val="sk-SK"/>
        </w:rPr>
      </w:pPr>
      <w:r w:rsidRPr="004441DD">
        <w:rPr>
          <w:rFonts w:ascii="Times New Roman" w:eastAsia="Batang" w:hAnsi="Times New Roman"/>
          <w:sz w:val="22"/>
          <w:szCs w:val="22"/>
          <w:lang w:val="sk-SK"/>
        </w:rPr>
        <w:t xml:space="preserve">Pred zobrazovacím vyšetrením alebo v čase zobrazovacieho vyšetrenia sa metformín musí vysadiť a nesmie sa opätovne nasadiť, kým neuplynie minimálne 48 hodín potom, za predpokladu, že došlo k opätovnému vyhodnoteniu funkcie obličiek a zistilo sa, že je stabilná, pozri časti 4.2 a 4.4. </w:t>
      </w:r>
    </w:p>
    <w:p w14:paraId="56BD79F5" w14:textId="77777777" w:rsidR="00C52A3E" w:rsidRPr="004441DD" w:rsidRDefault="00C52A3E">
      <w:pPr>
        <w:ind w:firstLine="720"/>
        <w:rPr>
          <w:sz w:val="22"/>
          <w:szCs w:val="22"/>
          <w:lang w:val="sk-SK"/>
        </w:rPr>
      </w:pPr>
    </w:p>
    <w:p w14:paraId="3DFC7F1A" w14:textId="77777777" w:rsidR="00C52A3E" w:rsidRPr="004441DD" w:rsidRDefault="00C52A3E">
      <w:pPr>
        <w:rPr>
          <w:rFonts w:cs="QUOWUE+Verdana"/>
          <w:iCs/>
          <w:sz w:val="22"/>
          <w:szCs w:val="22"/>
          <w:u w:val="single"/>
          <w:lang w:val="sk-SK"/>
        </w:rPr>
      </w:pPr>
      <w:r w:rsidRPr="004441DD">
        <w:rPr>
          <w:rFonts w:cs="QUOWUE+Verdana"/>
          <w:iCs/>
          <w:sz w:val="22"/>
          <w:szCs w:val="22"/>
          <w:u w:val="single"/>
          <w:lang w:val="sk-SK"/>
        </w:rPr>
        <w:t xml:space="preserve">Kombinácia, pri ktorej sa vyžaduje opatrnosť pri používaní </w:t>
      </w:r>
    </w:p>
    <w:p w14:paraId="1AA4CCC8" w14:textId="77777777" w:rsidR="00C52A3E" w:rsidRPr="004441DD" w:rsidRDefault="00C52A3E">
      <w:pPr>
        <w:rPr>
          <w:rFonts w:eastAsia="Batang"/>
          <w:sz w:val="22"/>
          <w:szCs w:val="22"/>
          <w:lang w:val="sk-SK"/>
        </w:rPr>
      </w:pPr>
      <w:r w:rsidRPr="004441DD">
        <w:rPr>
          <w:rFonts w:eastAsia="Batang"/>
          <w:sz w:val="22"/>
          <w:szCs w:val="22"/>
          <w:lang w:val="sk-SK"/>
        </w:rPr>
        <w:t>Niektoré lieky môžu nežiaduco ovplyvňovať funkciu obličiek, čo môže zv</w:t>
      </w:r>
      <w:r w:rsidR="004D6351" w:rsidRPr="004441DD">
        <w:rPr>
          <w:rFonts w:eastAsia="Batang"/>
          <w:sz w:val="22"/>
          <w:szCs w:val="22"/>
          <w:lang w:val="sk-SK"/>
        </w:rPr>
        <w:t>ý</w:t>
      </w:r>
      <w:r w:rsidRPr="004441DD">
        <w:rPr>
          <w:rFonts w:eastAsia="Batang"/>
          <w:sz w:val="22"/>
          <w:szCs w:val="22"/>
          <w:lang w:val="sk-SK"/>
        </w:rPr>
        <w:t>šiť riziko laktátovej acidózy, napr. NSAID vrátane selektívnych inhibítorov cyklooxygenázy II (COX), inhibítorov ACE, antagonistov receptora angiotenzínu II a diuretík, obzvlášť kľ</w:t>
      </w:r>
      <w:r w:rsidR="004D6351" w:rsidRPr="004441DD">
        <w:rPr>
          <w:rFonts w:eastAsia="Batang"/>
          <w:sz w:val="22"/>
          <w:szCs w:val="22"/>
          <w:lang w:val="sk-SK"/>
        </w:rPr>
        <w:t>u</w:t>
      </w:r>
      <w:r w:rsidRPr="004441DD">
        <w:rPr>
          <w:rFonts w:eastAsia="Batang"/>
          <w:sz w:val="22"/>
          <w:szCs w:val="22"/>
          <w:lang w:val="sk-SK"/>
        </w:rPr>
        <w:t>čkových diuretík. Ak sa začína používať alebo používa takýto liek v kombinácii s metformínom, je potrebné dôkladné monitorovanie funkcie obličiek</w:t>
      </w:r>
    </w:p>
    <w:p w14:paraId="3F50E14F" w14:textId="77777777" w:rsidR="006E6E67" w:rsidRPr="004441DD" w:rsidRDefault="006E6E67">
      <w:pPr>
        <w:rPr>
          <w:sz w:val="22"/>
          <w:szCs w:val="22"/>
          <w:lang w:val="sk-SK"/>
        </w:rPr>
      </w:pPr>
    </w:p>
    <w:p w14:paraId="1CE06693" w14:textId="77777777" w:rsidR="006E6E67" w:rsidRPr="004441DD" w:rsidRDefault="006E6E67">
      <w:pPr>
        <w:rPr>
          <w:i/>
          <w:iCs/>
          <w:sz w:val="22"/>
          <w:szCs w:val="22"/>
          <w:lang w:val="sk-SK"/>
        </w:rPr>
      </w:pPr>
      <w:r w:rsidRPr="004441DD">
        <w:rPr>
          <w:i/>
          <w:iCs/>
          <w:sz w:val="22"/>
          <w:szCs w:val="22"/>
          <w:lang w:val="sk-SK"/>
        </w:rPr>
        <w:t xml:space="preserve">Lieky s vnútornou hyperglykemickou aktivitou (napr. glukokortikoidy (podávané systémovo a lokálne), a sympatomimetiká)   </w:t>
      </w:r>
    </w:p>
    <w:p w14:paraId="67CBC4D4" w14:textId="77777777" w:rsidR="006E6E67" w:rsidRPr="004441DD" w:rsidRDefault="006E6E67">
      <w:pPr>
        <w:rPr>
          <w:sz w:val="22"/>
          <w:szCs w:val="22"/>
          <w:lang w:val="sk-SK"/>
        </w:rPr>
      </w:pPr>
      <w:r w:rsidRPr="004441DD">
        <w:rPr>
          <w:sz w:val="22"/>
          <w:szCs w:val="22"/>
          <w:lang w:val="sk-SK"/>
        </w:rPr>
        <w:t xml:space="preserve">Môže byť potrebné vykonávať častejšie glykemické kontroly, najmä na začiatku liečby. Ak je to potrebné, upravte dávkovanie metformínu počas liečby uvedenými liekmi a po jej skončení. </w:t>
      </w:r>
    </w:p>
    <w:p w14:paraId="0F4AF866" w14:textId="77777777" w:rsidR="006E6E67" w:rsidRPr="004441DD" w:rsidRDefault="006E6E67">
      <w:pPr>
        <w:rPr>
          <w:sz w:val="22"/>
          <w:szCs w:val="22"/>
          <w:lang w:val="sk-SK"/>
        </w:rPr>
      </w:pPr>
    </w:p>
    <w:p w14:paraId="5BCB4A20" w14:textId="77777777" w:rsidR="00647D5A" w:rsidRPr="004441DD" w:rsidRDefault="006251D7" w:rsidP="00C270A9">
      <w:pPr>
        <w:pStyle w:val="SPCnormal"/>
        <w:numPr>
          <w:ilvl w:val="0"/>
          <w:numId w:val="8"/>
        </w:numPr>
        <w:rPr>
          <w:lang w:val="sk-SK" w:eastAsia="en-US"/>
        </w:rPr>
      </w:pPr>
      <w:r w:rsidRPr="004441DD">
        <w:rPr>
          <w:i/>
          <w:lang w:val="sk-SK" w:eastAsia="en-US"/>
        </w:rPr>
        <w:t>Transportéry pre organické katióny (OCT)</w:t>
      </w:r>
      <w:r w:rsidRPr="004441DD">
        <w:rPr>
          <w:i/>
          <w:lang w:val="sk-SK" w:eastAsia="en-US"/>
        </w:rPr>
        <w:br/>
      </w:r>
      <w:r w:rsidRPr="004441DD">
        <w:rPr>
          <w:lang w:val="sk-SK" w:eastAsia="en-US"/>
        </w:rPr>
        <w:t>Metformín je substrátom pre oba transportéry OCT1 a OCT2.</w:t>
      </w:r>
      <w:r w:rsidRPr="004441DD">
        <w:rPr>
          <w:lang w:val="sk-SK" w:eastAsia="en-US"/>
        </w:rPr>
        <w:br/>
      </w:r>
      <w:r w:rsidRPr="004441DD">
        <w:rPr>
          <w:lang w:val="sk-SK" w:eastAsia="en-US"/>
        </w:rPr>
        <w:br/>
        <w:t>Súbežné podávanie metformínu s</w:t>
      </w:r>
    </w:p>
    <w:p w14:paraId="6D41D207" w14:textId="7F3CD985" w:rsidR="00647D5A" w:rsidRPr="004441DD" w:rsidRDefault="006251D7" w:rsidP="00C270A9">
      <w:pPr>
        <w:pStyle w:val="SPCnormal"/>
        <w:numPr>
          <w:ilvl w:val="0"/>
          <w:numId w:val="8"/>
        </w:numPr>
        <w:rPr>
          <w:lang w:val="sk-SK" w:eastAsia="en-US"/>
        </w:rPr>
      </w:pPr>
      <w:r w:rsidRPr="004441DD">
        <w:rPr>
          <w:lang w:val="sk-SK" w:eastAsia="en-US"/>
        </w:rPr>
        <w:t>inhibítormi OCT1 (ako je verapamil) môže znížiť účinnosť metformínu.</w:t>
      </w:r>
    </w:p>
    <w:p w14:paraId="4A280C70" w14:textId="12416442" w:rsidR="006251D7" w:rsidRPr="004441DD" w:rsidRDefault="006251D7" w:rsidP="00C270A9">
      <w:pPr>
        <w:pStyle w:val="SPCnormal"/>
        <w:numPr>
          <w:ilvl w:val="0"/>
          <w:numId w:val="8"/>
        </w:numPr>
        <w:rPr>
          <w:lang w:val="sk-SK" w:eastAsia="en-US"/>
        </w:rPr>
      </w:pPr>
      <w:r w:rsidRPr="004441DD">
        <w:rPr>
          <w:lang w:val="sk-SK" w:eastAsia="en-US"/>
        </w:rPr>
        <w:t xml:space="preserve">induktormi OCT1 (ako je rifampicín) môže zvýšiť gastrointestinálnu absorpciu a účinnosť   </w:t>
      </w:r>
    </w:p>
    <w:p w14:paraId="145088B9" w14:textId="71AFF052" w:rsidR="00647D5A" w:rsidRPr="004441DD" w:rsidRDefault="006251D7" w:rsidP="00C270A9">
      <w:pPr>
        <w:pStyle w:val="SPCnormal"/>
        <w:ind w:left="720"/>
        <w:rPr>
          <w:lang w:val="sk-SK" w:eastAsia="en-US"/>
        </w:rPr>
      </w:pPr>
      <w:r w:rsidRPr="004441DD">
        <w:rPr>
          <w:lang w:val="sk-SK" w:eastAsia="en-US"/>
        </w:rPr>
        <w:t>metformínu.</w:t>
      </w:r>
    </w:p>
    <w:p w14:paraId="2E250E95" w14:textId="1C6874D5" w:rsidR="00647D5A" w:rsidRPr="004441DD" w:rsidRDefault="006251D7" w:rsidP="00C270A9">
      <w:pPr>
        <w:pStyle w:val="SPCnormal"/>
        <w:numPr>
          <w:ilvl w:val="0"/>
          <w:numId w:val="8"/>
        </w:numPr>
        <w:rPr>
          <w:lang w:val="sk-SK" w:eastAsia="en-US"/>
        </w:rPr>
      </w:pPr>
      <w:r w:rsidRPr="004441DD">
        <w:rPr>
          <w:lang w:val="sk-SK" w:eastAsia="en-US"/>
        </w:rPr>
        <w:t>inhibítormi OCT2 (ako je cimetidín, dolutegravir, ranolazín, trimetoprim, vandetanib, isavukonazol) môže znížiť renálne vylučovanie metformínu, čo vedie k zvýšenej koncentrácii metformínu v plazme.</w:t>
      </w:r>
    </w:p>
    <w:p w14:paraId="00E60C70" w14:textId="6E56D163" w:rsidR="006251D7" w:rsidRPr="004441DD" w:rsidRDefault="006251D7" w:rsidP="00C270A9">
      <w:pPr>
        <w:pStyle w:val="SPCnormal"/>
        <w:numPr>
          <w:ilvl w:val="0"/>
          <w:numId w:val="8"/>
        </w:numPr>
        <w:rPr>
          <w:lang w:val="sk-SK" w:eastAsia="en-US"/>
        </w:rPr>
      </w:pPr>
      <w:r w:rsidRPr="004441DD">
        <w:rPr>
          <w:lang w:val="sk-SK" w:eastAsia="en-US"/>
        </w:rPr>
        <w:t xml:space="preserve">inhibítormi oboch OCT1 a OCT2 (ako </w:t>
      </w:r>
      <w:r w:rsidR="00A657CB" w:rsidRPr="004441DD">
        <w:rPr>
          <w:lang w:val="sk-SK" w:eastAsia="en-US"/>
        </w:rPr>
        <w:t>k</w:t>
      </w:r>
      <w:r w:rsidRPr="004441DD">
        <w:rPr>
          <w:lang w:val="sk-SK" w:eastAsia="en-US"/>
        </w:rPr>
        <w:t xml:space="preserve">rizotinib, olaparib) môže ovplyvniť účinnosť a renálnu </w:t>
      </w:r>
    </w:p>
    <w:p w14:paraId="35D4475B" w14:textId="13ABC425" w:rsidR="00647D5A" w:rsidRPr="004441DD" w:rsidRDefault="006251D7" w:rsidP="00C270A9">
      <w:pPr>
        <w:pStyle w:val="SPCnormal"/>
        <w:ind w:left="720"/>
        <w:rPr>
          <w:lang w:val="sk-SK" w:eastAsia="en-US"/>
        </w:rPr>
      </w:pPr>
      <w:r w:rsidRPr="004441DD">
        <w:rPr>
          <w:lang w:val="sk-SK" w:eastAsia="en-US"/>
        </w:rPr>
        <w:t>elimináciu metformínu.</w:t>
      </w:r>
    </w:p>
    <w:p w14:paraId="1477CDC0" w14:textId="3F90789D" w:rsidR="006251D7" w:rsidRPr="004441DD" w:rsidRDefault="006251D7" w:rsidP="004441DD">
      <w:pPr>
        <w:pStyle w:val="SPCnormal"/>
        <w:rPr>
          <w:lang w:val="sk-SK" w:eastAsia="en-US"/>
        </w:rPr>
      </w:pPr>
      <w:r w:rsidRPr="004441DD">
        <w:rPr>
          <w:lang w:val="sk-SK" w:eastAsia="en-US"/>
        </w:rPr>
        <w:t xml:space="preserve">Opatrnosť sa preto odporúča, a to najmä u pacientov s poruchou funkcie obličiek, kedy </w:t>
      </w:r>
      <w:r w:rsidR="00A657CB" w:rsidRPr="004441DD">
        <w:rPr>
          <w:lang w:val="sk-SK" w:eastAsia="en-US"/>
        </w:rPr>
        <w:t xml:space="preserve">sa </w:t>
      </w:r>
      <w:r w:rsidRPr="004441DD">
        <w:rPr>
          <w:lang w:val="sk-SK" w:eastAsia="en-US"/>
        </w:rPr>
        <w:t xml:space="preserve">tieto lieky podávajú súbežne s metformínom, pretože koncentrácia metformínu v plazme sa môže zvýšiť. </w:t>
      </w:r>
    </w:p>
    <w:p w14:paraId="531D06E8" w14:textId="77777777" w:rsidR="006251D7" w:rsidRPr="004441DD" w:rsidRDefault="006251D7">
      <w:pPr>
        <w:pStyle w:val="SPCnormal"/>
        <w:rPr>
          <w:lang w:val="sk-SK" w:eastAsia="en-US"/>
        </w:rPr>
      </w:pPr>
      <w:r w:rsidRPr="004441DD">
        <w:rPr>
          <w:lang w:val="sk-SK" w:eastAsia="en-US"/>
        </w:rPr>
        <w:t>Ak je to potrebné, môže sa zvážiť úprava dávky</w:t>
      </w:r>
      <w:r w:rsidR="007175CC" w:rsidRPr="004441DD">
        <w:rPr>
          <w:lang w:val="sk-SK" w:eastAsia="en-US"/>
        </w:rPr>
        <w:t xml:space="preserve"> metformínu</w:t>
      </w:r>
      <w:r w:rsidRPr="004441DD">
        <w:rPr>
          <w:lang w:val="sk-SK" w:eastAsia="en-US"/>
        </w:rPr>
        <w:t>, nakoľko inhibítory</w:t>
      </w:r>
      <w:r w:rsidR="00A657CB" w:rsidRPr="004441DD">
        <w:rPr>
          <w:lang w:val="sk-SK" w:eastAsia="en-US"/>
        </w:rPr>
        <w:t>/induktory</w:t>
      </w:r>
      <w:r w:rsidRPr="004441DD">
        <w:rPr>
          <w:lang w:val="sk-SK" w:eastAsia="en-US"/>
        </w:rPr>
        <w:t xml:space="preserve"> OCT môžu mať vplyv na účinnosť metformínu.</w:t>
      </w:r>
    </w:p>
    <w:p w14:paraId="1B9ED48D" w14:textId="77777777" w:rsidR="006251D7" w:rsidRPr="004441DD" w:rsidRDefault="006251D7">
      <w:pPr>
        <w:rPr>
          <w:sz w:val="22"/>
          <w:szCs w:val="22"/>
          <w:lang w:val="sk-SK"/>
        </w:rPr>
      </w:pPr>
    </w:p>
    <w:p w14:paraId="374CF459" w14:textId="77777777" w:rsidR="006E6E67" w:rsidRPr="004441DD" w:rsidRDefault="006E6E67">
      <w:pPr>
        <w:rPr>
          <w:b/>
          <w:bCs/>
          <w:sz w:val="22"/>
          <w:szCs w:val="22"/>
          <w:lang w:val="sk-SK"/>
        </w:rPr>
      </w:pPr>
      <w:r w:rsidRPr="004441DD">
        <w:rPr>
          <w:b/>
          <w:bCs/>
          <w:sz w:val="22"/>
          <w:szCs w:val="22"/>
          <w:lang w:val="sk-SK"/>
        </w:rPr>
        <w:t>4.6</w:t>
      </w:r>
      <w:r w:rsidRPr="004441DD">
        <w:rPr>
          <w:b/>
          <w:bCs/>
          <w:sz w:val="22"/>
          <w:szCs w:val="22"/>
          <w:lang w:val="sk-SK"/>
        </w:rPr>
        <w:tab/>
        <w:t>Fertilita, gravidita a laktácia</w:t>
      </w:r>
    </w:p>
    <w:p w14:paraId="1E46CCFB" w14:textId="77777777" w:rsidR="006E6E67" w:rsidRPr="004441DD" w:rsidRDefault="006E6E67">
      <w:pPr>
        <w:rPr>
          <w:b/>
          <w:bCs/>
          <w:sz w:val="22"/>
          <w:szCs w:val="22"/>
          <w:lang w:val="sk-SK"/>
        </w:rPr>
      </w:pPr>
    </w:p>
    <w:p w14:paraId="1D327A13" w14:textId="77777777" w:rsidR="006E6E67" w:rsidRPr="004441DD" w:rsidRDefault="006E6E67">
      <w:pPr>
        <w:rPr>
          <w:sz w:val="22"/>
          <w:szCs w:val="22"/>
          <w:u w:val="single"/>
          <w:lang w:val="sk-SK"/>
        </w:rPr>
      </w:pPr>
      <w:r w:rsidRPr="004441DD">
        <w:rPr>
          <w:sz w:val="22"/>
          <w:szCs w:val="22"/>
          <w:u w:val="single"/>
          <w:lang w:val="sk-SK"/>
        </w:rPr>
        <w:t xml:space="preserve">Gravidita </w:t>
      </w:r>
    </w:p>
    <w:p w14:paraId="23323928" w14:textId="241FE19A" w:rsidR="00A51D3D" w:rsidRPr="00C270A9" w:rsidRDefault="00A51D3D">
      <w:pPr>
        <w:rPr>
          <w:sz w:val="22"/>
          <w:szCs w:val="22"/>
          <w:lang w:val="sk-SK"/>
        </w:rPr>
      </w:pPr>
      <w:r w:rsidRPr="00C270A9">
        <w:rPr>
          <w:sz w:val="22"/>
          <w:szCs w:val="22"/>
          <w:lang w:val="sk-SK"/>
        </w:rPr>
        <w:t>Nekontrolovaná hyperglykémia v perikoncepčnej fáze a počas gravidity je spojená so zvýšeným rizikom kongenitálnych abnormalít, potratom, hypertenziou navodenou graviditou, preeklampsiou a perinatálnou mortalitou.</w:t>
      </w:r>
    </w:p>
    <w:p w14:paraId="58C76D86" w14:textId="0F90C975" w:rsidR="00A51D3D" w:rsidRPr="004441DD" w:rsidRDefault="00A51D3D">
      <w:pPr>
        <w:rPr>
          <w:sz w:val="22"/>
          <w:szCs w:val="22"/>
          <w:lang w:val="sk-SK"/>
        </w:rPr>
      </w:pPr>
      <w:r w:rsidRPr="00C270A9">
        <w:rPr>
          <w:sz w:val="22"/>
          <w:szCs w:val="22"/>
          <w:lang w:val="sk-SK"/>
        </w:rPr>
        <w:t>Počas tehotenstva je dôležité udržiavať hladiny glukózy v krvi čo najbližšie k</w:t>
      </w:r>
      <w:r w:rsidR="00CB1259" w:rsidRPr="004441DD">
        <w:rPr>
          <w:sz w:val="22"/>
          <w:szCs w:val="22"/>
          <w:lang w:val="sk-SK"/>
        </w:rPr>
        <w:t> </w:t>
      </w:r>
      <w:r w:rsidRPr="00C270A9">
        <w:rPr>
          <w:sz w:val="22"/>
          <w:szCs w:val="22"/>
          <w:lang w:val="sk-SK"/>
        </w:rPr>
        <w:t>normál</w:t>
      </w:r>
      <w:r w:rsidR="00CB1259" w:rsidRPr="004441DD">
        <w:rPr>
          <w:sz w:val="22"/>
          <w:szCs w:val="22"/>
          <w:lang w:val="sk-SK"/>
        </w:rPr>
        <w:t>nej hladine</w:t>
      </w:r>
      <w:r w:rsidRPr="00C270A9">
        <w:rPr>
          <w:sz w:val="22"/>
          <w:szCs w:val="22"/>
          <w:lang w:val="sk-SK"/>
        </w:rPr>
        <w:t xml:space="preserve">, aby sa znížilo riziko nežiaducich následkov súvisiacich s hyperglykémiou pre matku a jej dieťa. </w:t>
      </w:r>
    </w:p>
    <w:p w14:paraId="10A44625" w14:textId="77777777" w:rsidR="00B8471A" w:rsidRPr="00C270A9" w:rsidRDefault="00B8471A">
      <w:pPr>
        <w:rPr>
          <w:sz w:val="22"/>
          <w:szCs w:val="22"/>
          <w:lang w:val="sk-SK"/>
        </w:rPr>
      </w:pPr>
    </w:p>
    <w:p w14:paraId="75C19E25" w14:textId="77777777" w:rsidR="00A51D3D" w:rsidRPr="004441DD" w:rsidRDefault="00A51D3D">
      <w:pPr>
        <w:rPr>
          <w:sz w:val="22"/>
          <w:szCs w:val="22"/>
          <w:lang w:val="sk-SK"/>
        </w:rPr>
      </w:pPr>
      <w:r w:rsidRPr="00C270A9">
        <w:rPr>
          <w:sz w:val="22"/>
          <w:szCs w:val="22"/>
          <w:lang w:val="sk-SK"/>
        </w:rPr>
        <w:t>Metformín prechádza placentou a dosahuje hladiny, ktoré môžu byť také vysoké ako sú koncentrácie u matky.</w:t>
      </w:r>
    </w:p>
    <w:p w14:paraId="0923AE1F" w14:textId="77777777" w:rsidR="00B8471A" w:rsidRPr="00C270A9" w:rsidRDefault="00B8471A">
      <w:pPr>
        <w:rPr>
          <w:sz w:val="22"/>
          <w:szCs w:val="22"/>
          <w:lang w:val="sk-SK"/>
        </w:rPr>
      </w:pPr>
    </w:p>
    <w:p w14:paraId="78211047" w14:textId="408D3D15" w:rsidR="00A51D3D" w:rsidRPr="004441DD" w:rsidRDefault="00A51D3D" w:rsidP="00C270A9">
      <w:pPr>
        <w:keepNext/>
        <w:keepLines/>
        <w:autoSpaceDE w:val="0"/>
        <w:autoSpaceDN w:val="0"/>
        <w:adjustRightInd w:val="0"/>
        <w:rPr>
          <w:sz w:val="22"/>
          <w:szCs w:val="22"/>
          <w:lang w:val="sk-SK" w:eastAsia="fr-FR"/>
        </w:rPr>
      </w:pPr>
      <w:bookmarkStart w:id="1" w:name="_Hlk60654153"/>
      <w:r w:rsidRPr="00C270A9">
        <w:rPr>
          <w:sz w:val="22"/>
          <w:szCs w:val="22"/>
          <w:lang w:val="sk-SK" w:eastAsia="fr-FR"/>
        </w:rPr>
        <w:t>Veľké množstvo údajov u tehotných žien (viac ako 1 000 výsledkov expozície) z kohortovej štúdie založenej na regist</w:t>
      </w:r>
      <w:r w:rsidR="00B8471A" w:rsidRPr="004441DD">
        <w:rPr>
          <w:sz w:val="22"/>
          <w:szCs w:val="22"/>
          <w:lang w:val="sk-SK" w:eastAsia="fr-FR"/>
        </w:rPr>
        <w:t>ri</w:t>
      </w:r>
      <w:r w:rsidRPr="00C270A9">
        <w:rPr>
          <w:sz w:val="22"/>
          <w:szCs w:val="22"/>
          <w:lang w:val="sk-SK" w:eastAsia="fr-FR"/>
        </w:rPr>
        <w:t xml:space="preserve"> a z publikovaných údajov (metaanalýzy, klinické štúdie a registre) nenaznačuje žiadne zvýšené riziko vrodených abnormalít ani fetálnej/neonatálnej toxicity po expozícii metformínom v perikoncepčnej fáze a/alebo počas tehotenstva.</w:t>
      </w:r>
    </w:p>
    <w:p w14:paraId="3F7DCD11" w14:textId="77777777" w:rsidR="00B8471A" w:rsidRPr="00C270A9" w:rsidRDefault="00B8471A" w:rsidP="00C270A9">
      <w:pPr>
        <w:keepNext/>
        <w:keepLines/>
        <w:autoSpaceDE w:val="0"/>
        <w:autoSpaceDN w:val="0"/>
        <w:adjustRightInd w:val="0"/>
        <w:rPr>
          <w:sz w:val="22"/>
          <w:szCs w:val="22"/>
          <w:lang w:val="sk-SK" w:eastAsia="fr-FR"/>
        </w:rPr>
      </w:pPr>
    </w:p>
    <w:bookmarkEnd w:id="1"/>
    <w:p w14:paraId="4C626398" w14:textId="77777777" w:rsidR="00647D5A" w:rsidRPr="004441DD" w:rsidRDefault="00A51D3D" w:rsidP="004441DD">
      <w:pPr>
        <w:rPr>
          <w:sz w:val="22"/>
          <w:szCs w:val="22"/>
          <w:lang w:val="sk-SK" w:eastAsia="fr-FR"/>
        </w:rPr>
      </w:pPr>
      <w:r w:rsidRPr="00C270A9">
        <w:rPr>
          <w:sz w:val="22"/>
          <w:szCs w:val="22"/>
          <w:lang w:val="sk-SK" w:eastAsia="fr-FR"/>
        </w:rPr>
        <w:t xml:space="preserve">Existujú obmedzené a nepresvedčivé dôkazy o účinku metformínu počas gravidity na dlhodobý výsledok telesnej hmotnosti detí. Zdá sa, že metformín neovplyvňuje motorický a sociálny vývoj do 4 rokov u detí exponovaných počas tehotenstva, hoci údaje o dlhodobých výsledkoch sú obmedzené. </w:t>
      </w:r>
    </w:p>
    <w:p w14:paraId="3B3A3DBE" w14:textId="77777777" w:rsidR="00647D5A" w:rsidRPr="004441DD" w:rsidRDefault="00647D5A" w:rsidP="004441DD">
      <w:pPr>
        <w:rPr>
          <w:sz w:val="22"/>
          <w:szCs w:val="22"/>
          <w:lang w:val="sk-SK" w:eastAsia="fr-FR"/>
        </w:rPr>
      </w:pPr>
    </w:p>
    <w:p w14:paraId="1B5B9F8E" w14:textId="0CADDA3F" w:rsidR="00A51D3D" w:rsidRPr="00C270A9" w:rsidRDefault="00A51D3D">
      <w:pPr>
        <w:rPr>
          <w:sz w:val="22"/>
          <w:szCs w:val="22"/>
          <w:lang w:val="sk-SK" w:eastAsia="fr-FR"/>
        </w:rPr>
      </w:pPr>
      <w:r w:rsidRPr="00C270A9">
        <w:rPr>
          <w:sz w:val="22"/>
          <w:szCs w:val="22"/>
          <w:lang w:val="sk-SK" w:eastAsia="fr-FR"/>
        </w:rPr>
        <w:t>Ak je to klinicky potrebné, môže sa zvážiť použitie metformínu počas gravidity a v perikoncepčnej fáze ako pridanie alebo alternatíva k inzulínu.</w:t>
      </w:r>
    </w:p>
    <w:p w14:paraId="424F99BC" w14:textId="77777777" w:rsidR="00A51D3D" w:rsidRPr="00C270A9" w:rsidRDefault="00A51D3D">
      <w:pPr>
        <w:rPr>
          <w:sz w:val="22"/>
          <w:szCs w:val="22"/>
          <w:lang w:val="sk-SK"/>
        </w:rPr>
      </w:pPr>
    </w:p>
    <w:p w14:paraId="50385196" w14:textId="77777777" w:rsidR="006E6E67" w:rsidRPr="004441DD" w:rsidRDefault="00C52A3E">
      <w:pPr>
        <w:rPr>
          <w:sz w:val="22"/>
          <w:szCs w:val="22"/>
          <w:u w:val="single"/>
          <w:lang w:val="sk-SK"/>
        </w:rPr>
      </w:pPr>
      <w:r w:rsidRPr="004441DD">
        <w:rPr>
          <w:sz w:val="22"/>
          <w:szCs w:val="22"/>
          <w:u w:val="single"/>
          <w:lang w:val="sk-SK"/>
        </w:rPr>
        <w:t>Dojčenie</w:t>
      </w:r>
    </w:p>
    <w:p w14:paraId="1B9EBA4A" w14:textId="77777777" w:rsidR="006E6E67" w:rsidRPr="004441DD" w:rsidRDefault="006E6E67">
      <w:pPr>
        <w:rPr>
          <w:sz w:val="22"/>
          <w:szCs w:val="22"/>
          <w:lang w:val="sk-SK"/>
        </w:rPr>
      </w:pPr>
      <w:r w:rsidRPr="004441DD">
        <w:rPr>
          <w:sz w:val="22"/>
          <w:szCs w:val="22"/>
          <w:lang w:val="sk-SK"/>
        </w:rPr>
        <w:t>Metformín sa  vylučuje do ľudského materského mlieka. Neboli pozorované žiadne nežiaduce účinky u dojčených novorodencov/detí. Keďže je dostupné limitované množstvo údajov, dojčenie počas liečby metformínom sa neodporúča. Pri rozhodovaní či prerušiť dojčenie  je potrebné zohľadniť prínos dojčenia a možné riziko nežiaduceho účinku na dieťa.</w:t>
      </w:r>
    </w:p>
    <w:p w14:paraId="335D77B5" w14:textId="77777777" w:rsidR="006E6E67" w:rsidRPr="004441DD" w:rsidRDefault="006E6E67">
      <w:pPr>
        <w:rPr>
          <w:sz w:val="22"/>
          <w:szCs w:val="22"/>
          <w:u w:val="single"/>
          <w:lang w:val="sk-SK"/>
        </w:rPr>
      </w:pPr>
      <w:r w:rsidRPr="004441DD">
        <w:rPr>
          <w:sz w:val="22"/>
          <w:szCs w:val="22"/>
          <w:u w:val="single"/>
          <w:lang w:val="sk-SK"/>
        </w:rPr>
        <w:t>Fertilita</w:t>
      </w:r>
      <w:r w:rsidR="0038333E" w:rsidRPr="004441DD">
        <w:rPr>
          <w:sz w:val="22"/>
          <w:szCs w:val="22"/>
          <w:u w:val="single"/>
          <w:lang w:val="sk-SK"/>
        </w:rPr>
        <w:t xml:space="preserve"> </w:t>
      </w:r>
    </w:p>
    <w:p w14:paraId="23C637E4" w14:textId="77777777" w:rsidR="006E6E67" w:rsidRPr="004441DD" w:rsidRDefault="006E6E67">
      <w:pPr>
        <w:rPr>
          <w:sz w:val="22"/>
          <w:szCs w:val="22"/>
          <w:lang w:val="sk-SK"/>
        </w:rPr>
      </w:pPr>
      <w:r w:rsidRPr="004441DD">
        <w:rPr>
          <w:sz w:val="22"/>
          <w:szCs w:val="22"/>
          <w:lang w:val="sk-SK"/>
        </w:rPr>
        <w:t xml:space="preserve">Podávanie metformínu potkanom v dávkach vyšších ako 600 mg/kg/deň, ktoré sú približne trikrát vyššie ako je maximálna odporúčaná denná dávka pre ľudí na základe plochy povrchu tela, nemalo žiaden vplyv na fertilitu. </w:t>
      </w:r>
    </w:p>
    <w:p w14:paraId="065AF734" w14:textId="77777777" w:rsidR="006E6E67" w:rsidRPr="004441DD" w:rsidRDefault="006E6E67">
      <w:pPr>
        <w:rPr>
          <w:sz w:val="22"/>
          <w:szCs w:val="22"/>
          <w:lang w:val="sk-SK"/>
        </w:rPr>
      </w:pPr>
    </w:p>
    <w:p w14:paraId="6ACA4368" w14:textId="77777777" w:rsidR="006E6E67" w:rsidRPr="004441DD" w:rsidRDefault="006E6E67">
      <w:pPr>
        <w:rPr>
          <w:b/>
          <w:bCs/>
          <w:sz w:val="22"/>
          <w:szCs w:val="22"/>
          <w:lang w:val="sk-SK"/>
        </w:rPr>
      </w:pPr>
      <w:r w:rsidRPr="004441DD">
        <w:rPr>
          <w:b/>
          <w:bCs/>
          <w:sz w:val="22"/>
          <w:szCs w:val="22"/>
          <w:lang w:val="sk-SK"/>
        </w:rPr>
        <w:t>4.7</w:t>
      </w:r>
      <w:r w:rsidRPr="004441DD">
        <w:rPr>
          <w:b/>
          <w:bCs/>
          <w:sz w:val="22"/>
          <w:szCs w:val="22"/>
          <w:lang w:val="sk-SK"/>
        </w:rPr>
        <w:tab/>
        <w:t>Ovplyvnenie schopnosti viesť vozidlá a obsluhovať stroje</w:t>
      </w:r>
    </w:p>
    <w:p w14:paraId="6C88CB7D" w14:textId="77777777" w:rsidR="006E6E67" w:rsidRPr="004441DD" w:rsidRDefault="006E6E67">
      <w:pPr>
        <w:rPr>
          <w:b/>
          <w:bCs/>
          <w:sz w:val="22"/>
          <w:szCs w:val="22"/>
          <w:lang w:val="sk-SK"/>
        </w:rPr>
      </w:pPr>
    </w:p>
    <w:p w14:paraId="56F36B07" w14:textId="77777777" w:rsidR="006E6E67" w:rsidRPr="004441DD" w:rsidRDefault="006E6E67">
      <w:pPr>
        <w:rPr>
          <w:sz w:val="22"/>
          <w:szCs w:val="22"/>
          <w:lang w:val="sk-SK"/>
        </w:rPr>
      </w:pPr>
      <w:r w:rsidRPr="004441DD">
        <w:rPr>
          <w:sz w:val="22"/>
          <w:szCs w:val="22"/>
          <w:lang w:val="sk-SK"/>
        </w:rPr>
        <w:t xml:space="preserve">Monoterapia metformínom nespôsobuje hypoglykémiu a teda nemá vplyv na schopnosť viesť motorové vozidlá a obsluhovať stroje. Pacientov je však potrebné upozorniť na riziko hypoglykémie pri užívaní metformínu v kombinácii s inými antidiabetickými liekmi (napr. </w:t>
      </w:r>
      <w:r w:rsidR="00695B31" w:rsidRPr="004441DD">
        <w:rPr>
          <w:sz w:val="22"/>
          <w:szCs w:val="22"/>
          <w:lang w:val="sk-SK"/>
        </w:rPr>
        <w:t xml:space="preserve">deriváty </w:t>
      </w:r>
      <w:r w:rsidRPr="004441DD">
        <w:rPr>
          <w:sz w:val="22"/>
          <w:szCs w:val="22"/>
          <w:lang w:val="sk-SK"/>
        </w:rPr>
        <w:t>sulfonylurey, inzulín alebo meglitinidy).</w:t>
      </w:r>
    </w:p>
    <w:p w14:paraId="535DC5AE" w14:textId="77777777" w:rsidR="006E6E67" w:rsidRPr="004441DD" w:rsidRDefault="006E6E67">
      <w:pPr>
        <w:rPr>
          <w:sz w:val="22"/>
          <w:szCs w:val="22"/>
          <w:lang w:val="sk-SK"/>
        </w:rPr>
      </w:pPr>
    </w:p>
    <w:p w14:paraId="4F7591C1" w14:textId="77777777" w:rsidR="006E6E67" w:rsidRPr="004441DD" w:rsidRDefault="006E6E67">
      <w:pPr>
        <w:rPr>
          <w:b/>
          <w:bCs/>
          <w:sz w:val="22"/>
          <w:szCs w:val="22"/>
          <w:lang w:val="sk-SK"/>
        </w:rPr>
      </w:pPr>
      <w:r w:rsidRPr="004441DD">
        <w:rPr>
          <w:b/>
          <w:bCs/>
          <w:sz w:val="22"/>
          <w:szCs w:val="22"/>
          <w:lang w:val="sk-SK"/>
        </w:rPr>
        <w:t>4.8.</w:t>
      </w:r>
      <w:r w:rsidRPr="004441DD">
        <w:rPr>
          <w:b/>
          <w:bCs/>
          <w:sz w:val="22"/>
          <w:szCs w:val="22"/>
          <w:lang w:val="sk-SK"/>
        </w:rPr>
        <w:tab/>
        <w:t>Nežiaduce účinky</w:t>
      </w:r>
    </w:p>
    <w:p w14:paraId="6C658861" w14:textId="77777777" w:rsidR="006E6E67" w:rsidRPr="004441DD" w:rsidRDefault="006E6E67">
      <w:pPr>
        <w:rPr>
          <w:b/>
          <w:bCs/>
          <w:sz w:val="22"/>
          <w:szCs w:val="22"/>
          <w:lang w:val="sk-SK"/>
        </w:rPr>
      </w:pPr>
    </w:p>
    <w:p w14:paraId="0E2DE754" w14:textId="77777777" w:rsidR="006E6E67" w:rsidRPr="004441DD" w:rsidRDefault="006E6E67">
      <w:pPr>
        <w:rPr>
          <w:sz w:val="22"/>
          <w:szCs w:val="22"/>
          <w:lang w:val="sk-SK"/>
        </w:rPr>
      </w:pPr>
      <w:r w:rsidRPr="004441DD">
        <w:rPr>
          <w:sz w:val="22"/>
          <w:szCs w:val="22"/>
          <w:lang w:val="sk-SK"/>
        </w:rPr>
        <w:t>Na začiatku liečby sú najčastejšími nežiaducimi účinkami nauzea, vracanie, hnačka, bolesť brucha a strata chuti do jedla, ktoré vo väčšine prípadov spontánne ustúpia. Na zabránenie ich vzniku sa odporúča užívať metformín v dvoch alebo troch denných dávkach a postupne zvyšovať dávky.</w:t>
      </w:r>
    </w:p>
    <w:p w14:paraId="1454B45C" w14:textId="77777777" w:rsidR="006E6E67" w:rsidRPr="004441DD" w:rsidRDefault="006E6E67">
      <w:pPr>
        <w:rPr>
          <w:sz w:val="22"/>
          <w:szCs w:val="22"/>
          <w:lang w:val="sk-SK"/>
        </w:rPr>
      </w:pPr>
      <w:r w:rsidRPr="004441DD">
        <w:rPr>
          <w:sz w:val="22"/>
          <w:szCs w:val="22"/>
          <w:lang w:val="sk-SK"/>
        </w:rPr>
        <w:t xml:space="preserve">Počas liečby metformínom sa môžu vyskytnúť nasledujúce nežiaduce účinky. </w:t>
      </w:r>
    </w:p>
    <w:p w14:paraId="1097EF70" w14:textId="77777777" w:rsidR="006E6E67" w:rsidRPr="004441DD" w:rsidRDefault="006E6E67">
      <w:pPr>
        <w:rPr>
          <w:sz w:val="22"/>
          <w:szCs w:val="22"/>
          <w:lang w:val="sk-SK"/>
        </w:rPr>
      </w:pPr>
      <w:r w:rsidRPr="004441DD">
        <w:rPr>
          <w:sz w:val="22"/>
          <w:szCs w:val="22"/>
          <w:lang w:val="sk-SK"/>
        </w:rPr>
        <w:t xml:space="preserve">Ich frekvencie sú definované nasledovne: veľmi časté: </w:t>
      </w:r>
      <w:r w:rsidR="00A67521" w:rsidRPr="00C270A9">
        <w:rPr>
          <w:bCs/>
          <w:szCs w:val="22"/>
          <w:lang w:val="sk-SK"/>
        </w:rPr>
        <w:sym w:font="Symbol" w:char="F0B3"/>
      </w:r>
      <w:r w:rsidRPr="004441DD">
        <w:rPr>
          <w:sz w:val="22"/>
          <w:szCs w:val="22"/>
          <w:lang w:val="sk-SK"/>
        </w:rPr>
        <w:t xml:space="preserve">1/10; časté: </w:t>
      </w:r>
      <w:r w:rsidR="00A67521" w:rsidRPr="004441DD">
        <w:rPr>
          <w:szCs w:val="22"/>
          <w:u w:val="single"/>
          <w:lang w:val="sk-SK"/>
        </w:rPr>
        <w:t>&gt;</w:t>
      </w:r>
      <w:r w:rsidRPr="004441DD">
        <w:rPr>
          <w:sz w:val="22"/>
          <w:szCs w:val="22"/>
          <w:lang w:val="sk-SK"/>
        </w:rPr>
        <w:t xml:space="preserve">1/100, </w:t>
      </w:r>
      <w:r w:rsidR="00A67521" w:rsidRPr="004441DD">
        <w:rPr>
          <w:szCs w:val="22"/>
          <w:lang w:val="sk-SK"/>
        </w:rPr>
        <w:t>&lt;</w:t>
      </w:r>
      <w:r w:rsidRPr="004441DD">
        <w:rPr>
          <w:sz w:val="22"/>
          <w:szCs w:val="22"/>
          <w:lang w:val="sk-SK"/>
        </w:rPr>
        <w:t xml:space="preserve">1/10; menej časté </w:t>
      </w:r>
      <w:r w:rsidR="00A67521" w:rsidRPr="004441DD">
        <w:rPr>
          <w:szCs w:val="22"/>
          <w:u w:val="single"/>
          <w:lang w:val="sk-SK"/>
        </w:rPr>
        <w:t>&gt;</w:t>
      </w:r>
      <w:r w:rsidRPr="004441DD">
        <w:rPr>
          <w:sz w:val="22"/>
          <w:szCs w:val="22"/>
          <w:lang w:val="sk-SK"/>
        </w:rPr>
        <w:t>1/1</w:t>
      </w:r>
      <w:r w:rsidR="00D36F8C" w:rsidRPr="004441DD">
        <w:rPr>
          <w:sz w:val="22"/>
          <w:szCs w:val="22"/>
          <w:lang w:val="sk-SK"/>
        </w:rPr>
        <w:t> </w:t>
      </w:r>
      <w:r w:rsidRPr="004441DD">
        <w:rPr>
          <w:sz w:val="22"/>
          <w:szCs w:val="22"/>
          <w:lang w:val="sk-SK"/>
        </w:rPr>
        <w:t xml:space="preserve">000, </w:t>
      </w:r>
      <w:r w:rsidR="00A67521" w:rsidRPr="004441DD">
        <w:rPr>
          <w:szCs w:val="22"/>
          <w:lang w:val="sk-SK"/>
        </w:rPr>
        <w:t>&lt;</w:t>
      </w:r>
      <w:r w:rsidRPr="004441DD">
        <w:rPr>
          <w:sz w:val="22"/>
          <w:szCs w:val="22"/>
          <w:lang w:val="sk-SK"/>
        </w:rPr>
        <w:t>1/100; zriedkavé ≥1/10</w:t>
      </w:r>
      <w:r w:rsidR="00D36F8C" w:rsidRPr="004441DD">
        <w:rPr>
          <w:sz w:val="22"/>
          <w:szCs w:val="22"/>
          <w:lang w:val="sk-SK"/>
        </w:rPr>
        <w:t> </w:t>
      </w:r>
      <w:r w:rsidRPr="004441DD">
        <w:rPr>
          <w:sz w:val="22"/>
          <w:szCs w:val="22"/>
          <w:lang w:val="sk-SK"/>
        </w:rPr>
        <w:t xml:space="preserve">000, </w:t>
      </w:r>
      <w:r w:rsidR="00A67521" w:rsidRPr="004441DD">
        <w:rPr>
          <w:szCs w:val="22"/>
          <w:lang w:val="sk-SK"/>
        </w:rPr>
        <w:t>&lt;</w:t>
      </w:r>
      <w:r w:rsidRPr="004441DD">
        <w:rPr>
          <w:sz w:val="22"/>
          <w:szCs w:val="22"/>
          <w:lang w:val="sk-SK"/>
        </w:rPr>
        <w:t>1/1</w:t>
      </w:r>
      <w:r w:rsidR="00D36F8C" w:rsidRPr="004441DD">
        <w:rPr>
          <w:sz w:val="22"/>
          <w:szCs w:val="22"/>
          <w:lang w:val="sk-SK"/>
        </w:rPr>
        <w:t> </w:t>
      </w:r>
      <w:r w:rsidRPr="004441DD">
        <w:rPr>
          <w:sz w:val="22"/>
          <w:szCs w:val="22"/>
          <w:lang w:val="sk-SK"/>
        </w:rPr>
        <w:t>000; veľmi zriedkavé &lt;1/10 000.</w:t>
      </w:r>
    </w:p>
    <w:p w14:paraId="2FC95023" w14:textId="77777777" w:rsidR="006E6E67" w:rsidRPr="004441DD" w:rsidRDefault="006E6E67">
      <w:pPr>
        <w:rPr>
          <w:sz w:val="22"/>
          <w:szCs w:val="22"/>
          <w:lang w:val="sk-SK"/>
        </w:rPr>
      </w:pPr>
      <w:r w:rsidRPr="004441DD">
        <w:rPr>
          <w:sz w:val="22"/>
          <w:szCs w:val="22"/>
          <w:lang w:val="sk-SK"/>
        </w:rPr>
        <w:t>V rámci jednotlivých skupín frekvencií sú nežiaduce účinky usporiadané v poradí klesajúcej závažnosti.</w:t>
      </w:r>
    </w:p>
    <w:p w14:paraId="59142E3F" w14:textId="77777777" w:rsidR="006E6E67" w:rsidRPr="004441DD" w:rsidRDefault="006E6E67">
      <w:pPr>
        <w:rPr>
          <w:sz w:val="22"/>
          <w:szCs w:val="22"/>
          <w:lang w:val="sk-SK"/>
        </w:rPr>
      </w:pPr>
    </w:p>
    <w:p w14:paraId="763F176D" w14:textId="33FCF94E" w:rsidR="006E6E67" w:rsidRPr="004441DD" w:rsidRDefault="006E6E67">
      <w:pPr>
        <w:rPr>
          <w:sz w:val="22"/>
          <w:szCs w:val="22"/>
          <w:u w:val="single"/>
          <w:lang w:val="sk-SK"/>
        </w:rPr>
      </w:pPr>
      <w:r w:rsidRPr="004441DD">
        <w:rPr>
          <w:sz w:val="22"/>
          <w:szCs w:val="22"/>
          <w:u w:val="single"/>
          <w:lang w:val="sk-SK"/>
        </w:rPr>
        <w:t>Poruchy metabolizmu a</w:t>
      </w:r>
      <w:r w:rsidR="00E751F8" w:rsidRPr="004441DD">
        <w:rPr>
          <w:sz w:val="22"/>
          <w:szCs w:val="22"/>
          <w:u w:val="single"/>
          <w:lang w:val="sk-SK"/>
        </w:rPr>
        <w:t> </w:t>
      </w:r>
      <w:r w:rsidRPr="004441DD">
        <w:rPr>
          <w:sz w:val="22"/>
          <w:szCs w:val="22"/>
          <w:u w:val="single"/>
          <w:lang w:val="sk-SK"/>
        </w:rPr>
        <w:t>výživy</w:t>
      </w:r>
    </w:p>
    <w:p w14:paraId="2D184B80" w14:textId="77777777" w:rsidR="00F77271" w:rsidRPr="004441DD" w:rsidRDefault="00E751F8">
      <w:pPr>
        <w:rPr>
          <w:sz w:val="22"/>
          <w:szCs w:val="22"/>
          <w:lang w:val="sk-SK"/>
        </w:rPr>
      </w:pPr>
      <w:bookmarkStart w:id="2" w:name="_Hlk98752608"/>
      <w:r w:rsidRPr="004441DD">
        <w:rPr>
          <w:i/>
          <w:iCs/>
          <w:sz w:val="22"/>
          <w:szCs w:val="22"/>
          <w:lang w:val="sk-SK"/>
        </w:rPr>
        <w:t>Časté:</w:t>
      </w:r>
      <w:r w:rsidRPr="004441DD">
        <w:rPr>
          <w:sz w:val="22"/>
          <w:szCs w:val="22"/>
          <w:lang w:val="sk-SK"/>
        </w:rPr>
        <w:t xml:space="preserve"> zníženie/nedostatok vitamínu B12</w:t>
      </w:r>
      <w:r w:rsidR="00F77271" w:rsidRPr="004441DD">
        <w:rPr>
          <w:sz w:val="22"/>
          <w:szCs w:val="22"/>
          <w:lang w:val="sk-SK"/>
        </w:rPr>
        <w:t xml:space="preserve"> (pozri časť 4.4).</w:t>
      </w:r>
    </w:p>
    <w:bookmarkEnd w:id="2"/>
    <w:p w14:paraId="6D72AA0E" w14:textId="2F8FBA40" w:rsidR="006E6E67" w:rsidRPr="004441DD" w:rsidRDefault="006E6E67">
      <w:pPr>
        <w:rPr>
          <w:sz w:val="22"/>
          <w:szCs w:val="22"/>
          <w:lang w:val="sk-SK"/>
        </w:rPr>
      </w:pPr>
      <w:r w:rsidRPr="004441DD">
        <w:rPr>
          <w:i/>
          <w:iCs/>
          <w:sz w:val="22"/>
          <w:szCs w:val="22"/>
          <w:lang w:val="sk-SK"/>
        </w:rPr>
        <w:t>Veľmi zriedkavé:</w:t>
      </w:r>
      <w:r w:rsidRPr="004441DD">
        <w:rPr>
          <w:sz w:val="22"/>
          <w:szCs w:val="22"/>
          <w:lang w:val="sk-SK"/>
        </w:rPr>
        <w:t xml:space="preserve"> laktátová acidóza (pozri časť 4.4).</w:t>
      </w:r>
    </w:p>
    <w:p w14:paraId="37E8FBD2" w14:textId="77777777" w:rsidR="00F77271" w:rsidRPr="004441DD" w:rsidRDefault="00F77271">
      <w:pPr>
        <w:rPr>
          <w:sz w:val="22"/>
          <w:szCs w:val="22"/>
          <w:lang w:val="sk-SK"/>
        </w:rPr>
      </w:pPr>
    </w:p>
    <w:p w14:paraId="754023F1" w14:textId="77777777" w:rsidR="006E6E67" w:rsidRPr="004441DD" w:rsidRDefault="006E6E67">
      <w:pPr>
        <w:rPr>
          <w:sz w:val="22"/>
          <w:szCs w:val="22"/>
          <w:u w:val="single"/>
          <w:lang w:val="sk-SK"/>
        </w:rPr>
      </w:pPr>
      <w:r w:rsidRPr="004441DD">
        <w:rPr>
          <w:sz w:val="22"/>
          <w:szCs w:val="22"/>
          <w:u w:val="single"/>
          <w:lang w:val="sk-SK"/>
        </w:rPr>
        <w:t>Poruchy nervového systému</w:t>
      </w:r>
    </w:p>
    <w:p w14:paraId="38AFD0C8" w14:textId="77777777" w:rsidR="006E6E67" w:rsidRPr="004441DD" w:rsidRDefault="006E6E67">
      <w:pPr>
        <w:rPr>
          <w:sz w:val="22"/>
          <w:szCs w:val="22"/>
          <w:lang w:val="sk-SK"/>
        </w:rPr>
      </w:pPr>
      <w:r w:rsidRPr="004441DD">
        <w:rPr>
          <w:i/>
          <w:iCs/>
          <w:sz w:val="22"/>
          <w:szCs w:val="22"/>
          <w:lang w:val="sk-SK"/>
        </w:rPr>
        <w:t>Časté:</w:t>
      </w:r>
      <w:r w:rsidRPr="004441DD">
        <w:rPr>
          <w:sz w:val="22"/>
          <w:szCs w:val="22"/>
          <w:lang w:val="sk-SK"/>
        </w:rPr>
        <w:t xml:space="preserve"> porucha chuti.</w:t>
      </w:r>
    </w:p>
    <w:p w14:paraId="4BE968CA" w14:textId="77777777" w:rsidR="00D36F8C" w:rsidRPr="004441DD" w:rsidRDefault="00D36F8C">
      <w:pPr>
        <w:rPr>
          <w:sz w:val="22"/>
          <w:szCs w:val="22"/>
          <w:lang w:val="sk-SK"/>
        </w:rPr>
      </w:pPr>
    </w:p>
    <w:p w14:paraId="5465E8F2" w14:textId="77777777" w:rsidR="006E6E67" w:rsidRPr="004441DD" w:rsidRDefault="006E6E67">
      <w:pPr>
        <w:pStyle w:val="Nzov"/>
        <w:jc w:val="left"/>
        <w:rPr>
          <w:b w:val="0"/>
          <w:bCs w:val="0"/>
          <w:u w:val="single"/>
          <w:lang w:val="sk-SK"/>
        </w:rPr>
      </w:pPr>
      <w:r w:rsidRPr="004441DD">
        <w:rPr>
          <w:b w:val="0"/>
          <w:bCs w:val="0"/>
          <w:u w:val="single"/>
          <w:lang w:val="sk-SK"/>
        </w:rPr>
        <w:t>Poruchy gastrointestinálneho traktu</w:t>
      </w:r>
    </w:p>
    <w:p w14:paraId="64A66467" w14:textId="77777777" w:rsidR="006E6E67" w:rsidRPr="004441DD" w:rsidRDefault="006E6E67">
      <w:pPr>
        <w:rPr>
          <w:sz w:val="22"/>
          <w:szCs w:val="22"/>
          <w:lang w:val="sk-SK"/>
        </w:rPr>
      </w:pPr>
      <w:r w:rsidRPr="004441DD">
        <w:rPr>
          <w:i/>
          <w:iCs/>
          <w:sz w:val="22"/>
          <w:szCs w:val="22"/>
          <w:lang w:val="sk-SK"/>
        </w:rPr>
        <w:t xml:space="preserve">Veľmi časté: </w:t>
      </w:r>
      <w:r w:rsidRPr="004441DD">
        <w:rPr>
          <w:sz w:val="22"/>
          <w:szCs w:val="22"/>
          <w:lang w:val="sk-SK"/>
        </w:rPr>
        <w:t>gastrointestinálne poruchy ako</w:t>
      </w:r>
      <w:r w:rsidRPr="004441DD">
        <w:rPr>
          <w:i/>
          <w:iCs/>
          <w:sz w:val="22"/>
          <w:szCs w:val="22"/>
          <w:lang w:val="sk-SK"/>
        </w:rPr>
        <w:t xml:space="preserve"> </w:t>
      </w:r>
      <w:r w:rsidRPr="004441DD">
        <w:rPr>
          <w:iCs/>
          <w:sz w:val="22"/>
          <w:szCs w:val="22"/>
          <w:lang w:val="sk-SK"/>
        </w:rPr>
        <w:t>n</w:t>
      </w:r>
      <w:r w:rsidRPr="004441DD">
        <w:rPr>
          <w:sz w:val="22"/>
          <w:szCs w:val="22"/>
          <w:lang w:val="sk-SK"/>
        </w:rPr>
        <w:t xml:space="preserve">auzea, vracanie, hnačka, bolesť brucha a strata chuti do jedla. Tieto nežiaduce účinky sa vyskytujú najčastejšie na začiatku liečby a vo väčšine prípadov sa spontánne upravia. Na zabránenie vzniku týchto ťažkostí sa odporúča užívať metformín v 2 alebo 3 denných dávkach počas jedla alebo po jedle. Postupné zvyšovanie dávky môže tiež zlepšiť gastrointestinálnu znášanlivosť lieku. </w:t>
      </w:r>
    </w:p>
    <w:p w14:paraId="5E66B11D" w14:textId="77777777" w:rsidR="00A97477" w:rsidRPr="004441DD" w:rsidRDefault="00A97477">
      <w:pPr>
        <w:rPr>
          <w:sz w:val="22"/>
          <w:szCs w:val="22"/>
          <w:lang w:val="sk-SK"/>
        </w:rPr>
      </w:pPr>
    </w:p>
    <w:p w14:paraId="24A57C61" w14:textId="77777777" w:rsidR="006E6E67" w:rsidRPr="004441DD" w:rsidRDefault="006E6E67">
      <w:pPr>
        <w:keepNext/>
        <w:rPr>
          <w:sz w:val="22"/>
          <w:szCs w:val="22"/>
          <w:u w:val="single"/>
          <w:lang w:val="sk-SK"/>
        </w:rPr>
      </w:pPr>
      <w:r w:rsidRPr="004441DD">
        <w:rPr>
          <w:sz w:val="22"/>
          <w:szCs w:val="22"/>
          <w:u w:val="single"/>
          <w:lang w:val="sk-SK"/>
        </w:rPr>
        <w:t>Poruchy pečene a žlčových ciest</w:t>
      </w:r>
    </w:p>
    <w:p w14:paraId="7BA15CB7" w14:textId="77777777" w:rsidR="006E6E67" w:rsidRPr="004441DD" w:rsidRDefault="006E6E67">
      <w:pPr>
        <w:keepNext/>
        <w:rPr>
          <w:sz w:val="22"/>
          <w:szCs w:val="22"/>
          <w:lang w:val="sk-SK"/>
        </w:rPr>
      </w:pPr>
      <w:r w:rsidRPr="004441DD">
        <w:rPr>
          <w:i/>
          <w:iCs/>
          <w:sz w:val="22"/>
          <w:szCs w:val="22"/>
          <w:lang w:val="sk-SK"/>
        </w:rPr>
        <w:t>Veľmi zriedkavé:</w:t>
      </w:r>
      <w:r w:rsidRPr="004441DD">
        <w:rPr>
          <w:sz w:val="22"/>
          <w:szCs w:val="22"/>
          <w:lang w:val="sk-SK"/>
        </w:rPr>
        <w:t xml:space="preserve"> izolované hlásenia abnormalít funkcií pečeňových testov alebo hepatitídy, ktoré ustúpili po prerušení liečby metformínom.</w:t>
      </w:r>
    </w:p>
    <w:p w14:paraId="786EE39F" w14:textId="77777777" w:rsidR="006E6E67" w:rsidRPr="004441DD" w:rsidRDefault="006E6E67">
      <w:pPr>
        <w:keepNext/>
        <w:rPr>
          <w:i/>
          <w:iCs/>
          <w:sz w:val="22"/>
          <w:szCs w:val="22"/>
          <w:lang w:val="sk-SK"/>
        </w:rPr>
      </w:pPr>
    </w:p>
    <w:p w14:paraId="511F3070" w14:textId="77777777" w:rsidR="006E6E67" w:rsidRPr="004441DD" w:rsidRDefault="006E6E67">
      <w:pPr>
        <w:rPr>
          <w:sz w:val="22"/>
          <w:szCs w:val="22"/>
          <w:u w:val="single"/>
          <w:lang w:val="sk-SK"/>
        </w:rPr>
      </w:pPr>
      <w:r w:rsidRPr="004441DD">
        <w:rPr>
          <w:sz w:val="22"/>
          <w:szCs w:val="22"/>
          <w:u w:val="single"/>
          <w:lang w:val="sk-SK"/>
        </w:rPr>
        <w:t>Poruchy kože a podkožného tkaniva</w:t>
      </w:r>
    </w:p>
    <w:p w14:paraId="34922542" w14:textId="77777777" w:rsidR="006E6E67" w:rsidRPr="004441DD" w:rsidRDefault="006E6E67">
      <w:pPr>
        <w:rPr>
          <w:sz w:val="22"/>
          <w:szCs w:val="22"/>
          <w:lang w:val="sk-SK"/>
        </w:rPr>
      </w:pPr>
      <w:r w:rsidRPr="004441DD">
        <w:rPr>
          <w:i/>
          <w:iCs/>
          <w:sz w:val="22"/>
          <w:szCs w:val="22"/>
          <w:lang w:val="sk-SK"/>
        </w:rPr>
        <w:t>Veľmi zriedkavé:</w:t>
      </w:r>
      <w:r w:rsidRPr="004441DD">
        <w:rPr>
          <w:sz w:val="22"/>
          <w:szCs w:val="22"/>
          <w:lang w:val="sk-SK"/>
        </w:rPr>
        <w:t xml:space="preserve"> kožné reakcie ako erytém, pruritus, urtikária.</w:t>
      </w:r>
    </w:p>
    <w:p w14:paraId="65AC3662" w14:textId="77777777" w:rsidR="006E6E67" w:rsidRPr="004441DD" w:rsidRDefault="006E6E67">
      <w:pPr>
        <w:rPr>
          <w:sz w:val="22"/>
          <w:szCs w:val="22"/>
          <w:lang w:val="sk-SK"/>
        </w:rPr>
      </w:pPr>
    </w:p>
    <w:p w14:paraId="1AAF2C8A" w14:textId="77777777" w:rsidR="006E6E67" w:rsidRPr="004441DD" w:rsidRDefault="006E6E67">
      <w:pPr>
        <w:rPr>
          <w:b/>
          <w:bCs/>
          <w:sz w:val="22"/>
          <w:szCs w:val="22"/>
          <w:lang w:val="sk-SK"/>
        </w:rPr>
      </w:pPr>
      <w:r w:rsidRPr="004441DD">
        <w:rPr>
          <w:b/>
          <w:bCs/>
          <w:sz w:val="22"/>
          <w:szCs w:val="22"/>
          <w:lang w:val="sk-SK"/>
        </w:rPr>
        <w:t>Pediatrická populácia</w:t>
      </w:r>
    </w:p>
    <w:p w14:paraId="4D4C62EE" w14:textId="77777777" w:rsidR="006E6E67" w:rsidRPr="004441DD" w:rsidRDefault="006E6E67">
      <w:pPr>
        <w:rPr>
          <w:sz w:val="22"/>
          <w:szCs w:val="22"/>
          <w:lang w:val="sk-SK"/>
        </w:rPr>
      </w:pPr>
      <w:r w:rsidRPr="004441DD">
        <w:rPr>
          <w:sz w:val="22"/>
          <w:szCs w:val="22"/>
          <w:lang w:val="sk-SK"/>
        </w:rPr>
        <w:t xml:space="preserve">V publikovaných a postmarketingových údajoch  a v kontrolovaných klinických štúdiách na limitovanej pediatrickej populácii vo veku 10 - 16 rokov, liečenej počas 1 roka sa hlásené nežiaduce účinky povahou a závažnosťou podobali nežiaducim účinkom hláseným u dospelých. </w:t>
      </w:r>
    </w:p>
    <w:p w14:paraId="067C122A" w14:textId="77777777" w:rsidR="007F37B9" w:rsidRPr="004441DD" w:rsidRDefault="007F37B9">
      <w:pPr>
        <w:rPr>
          <w:sz w:val="22"/>
          <w:szCs w:val="22"/>
          <w:lang w:val="sk-SK"/>
        </w:rPr>
      </w:pPr>
    </w:p>
    <w:p w14:paraId="60D19698" w14:textId="77777777" w:rsidR="007F37B9" w:rsidRPr="004441DD" w:rsidRDefault="007F37B9">
      <w:pPr>
        <w:suppressLineNumbers/>
        <w:autoSpaceDE w:val="0"/>
        <w:autoSpaceDN w:val="0"/>
        <w:adjustRightInd w:val="0"/>
        <w:rPr>
          <w:sz w:val="22"/>
          <w:szCs w:val="22"/>
          <w:u w:val="single"/>
          <w:lang w:val="sk-SK" w:eastAsia="sk-SK"/>
        </w:rPr>
      </w:pPr>
      <w:r w:rsidRPr="004441DD">
        <w:rPr>
          <w:sz w:val="22"/>
          <w:szCs w:val="22"/>
          <w:u w:val="single"/>
          <w:lang w:val="sk-SK" w:eastAsia="sk-SK"/>
        </w:rPr>
        <w:t>Hlásenie podozrení na nežiaduce reakcie</w:t>
      </w:r>
    </w:p>
    <w:p w14:paraId="638B2E0B" w14:textId="77777777" w:rsidR="006251D7" w:rsidRPr="004441DD" w:rsidRDefault="007F37B9">
      <w:pPr>
        <w:suppressLineNumbers/>
        <w:autoSpaceDE w:val="0"/>
        <w:autoSpaceDN w:val="0"/>
        <w:adjustRightInd w:val="0"/>
        <w:rPr>
          <w:sz w:val="22"/>
          <w:szCs w:val="22"/>
          <w:lang w:val="sk-SK"/>
        </w:rPr>
      </w:pPr>
      <w:r w:rsidRPr="004441DD">
        <w:rPr>
          <w:sz w:val="22"/>
          <w:szCs w:val="22"/>
          <w:lang w:val="sk-SK"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6251D7" w:rsidRPr="004441DD">
        <w:rPr>
          <w:sz w:val="22"/>
          <w:lang w:val="sk-SK"/>
        </w:rPr>
        <w:t xml:space="preserve">na </w:t>
      </w:r>
      <w:r w:rsidR="006251D7" w:rsidRPr="004441DD">
        <w:rPr>
          <w:sz w:val="22"/>
          <w:highlight w:val="lightGray"/>
          <w:lang w:val="sk-SK"/>
        </w:rPr>
        <w:t xml:space="preserve">národné centrum hlásenia uvedené </w:t>
      </w:r>
      <w:r w:rsidR="006251D7" w:rsidRPr="004441DD">
        <w:rPr>
          <w:sz w:val="22"/>
          <w:szCs w:val="22"/>
          <w:highlight w:val="lightGray"/>
          <w:shd w:val="clear" w:color="auto" w:fill="C0C0C0"/>
          <w:lang w:val="sk-SK"/>
        </w:rPr>
        <w:t>v</w:t>
      </w:r>
      <w:r w:rsidR="006251D7" w:rsidRPr="004441DD">
        <w:rPr>
          <w:sz w:val="22"/>
          <w:szCs w:val="22"/>
          <w:shd w:val="clear" w:color="auto" w:fill="C0C0C0"/>
          <w:lang w:val="sk-SK"/>
        </w:rPr>
        <w:t> </w:t>
      </w:r>
      <w:hyperlink r:id="rId7" w:history="1">
        <w:r w:rsidR="006251D7" w:rsidRPr="004441DD">
          <w:rPr>
            <w:rStyle w:val="Hypertextovprepojenie"/>
            <w:sz w:val="22"/>
            <w:szCs w:val="22"/>
            <w:shd w:val="clear" w:color="auto" w:fill="C0C0C0"/>
            <w:lang w:val="sk-SK"/>
          </w:rPr>
          <w:t>Prílohe V</w:t>
        </w:r>
      </w:hyperlink>
      <w:r w:rsidR="006251D7" w:rsidRPr="004441DD">
        <w:rPr>
          <w:sz w:val="22"/>
          <w:szCs w:val="22"/>
          <w:lang w:val="sk-SK"/>
        </w:rPr>
        <w:t>.</w:t>
      </w:r>
    </w:p>
    <w:p w14:paraId="6D723A41" w14:textId="77777777" w:rsidR="006E6E67" w:rsidRPr="004441DD" w:rsidRDefault="006E6E67">
      <w:pPr>
        <w:suppressLineNumbers/>
        <w:autoSpaceDE w:val="0"/>
        <w:autoSpaceDN w:val="0"/>
        <w:adjustRightInd w:val="0"/>
        <w:rPr>
          <w:sz w:val="22"/>
          <w:szCs w:val="22"/>
          <w:lang w:val="sk-SK"/>
        </w:rPr>
      </w:pPr>
    </w:p>
    <w:p w14:paraId="5231BCC8" w14:textId="77777777" w:rsidR="006E6E67" w:rsidRPr="004441DD" w:rsidRDefault="006E6E67">
      <w:pPr>
        <w:rPr>
          <w:b/>
          <w:bCs/>
          <w:sz w:val="22"/>
          <w:szCs w:val="22"/>
          <w:lang w:val="sk-SK"/>
        </w:rPr>
      </w:pPr>
      <w:r w:rsidRPr="004441DD">
        <w:rPr>
          <w:b/>
          <w:bCs/>
          <w:sz w:val="22"/>
          <w:szCs w:val="22"/>
          <w:lang w:val="sk-SK"/>
        </w:rPr>
        <w:t>4.9</w:t>
      </w:r>
      <w:r w:rsidRPr="004441DD">
        <w:rPr>
          <w:b/>
          <w:bCs/>
          <w:sz w:val="22"/>
          <w:szCs w:val="22"/>
          <w:lang w:val="sk-SK"/>
        </w:rPr>
        <w:tab/>
        <w:t>Predávkovanie</w:t>
      </w:r>
    </w:p>
    <w:p w14:paraId="59243785" w14:textId="77777777" w:rsidR="006E6E67" w:rsidRPr="004441DD" w:rsidRDefault="006E6E67">
      <w:pPr>
        <w:rPr>
          <w:b/>
          <w:bCs/>
          <w:sz w:val="22"/>
          <w:szCs w:val="22"/>
          <w:lang w:val="sk-SK"/>
        </w:rPr>
      </w:pPr>
    </w:p>
    <w:p w14:paraId="5D72D49D" w14:textId="5FFFA3AB" w:rsidR="006E6E67" w:rsidRPr="004441DD" w:rsidRDefault="006E6E67">
      <w:pPr>
        <w:rPr>
          <w:sz w:val="22"/>
          <w:szCs w:val="22"/>
          <w:lang w:val="sk-SK"/>
        </w:rPr>
      </w:pPr>
      <w:r w:rsidRPr="004441DD">
        <w:rPr>
          <w:sz w:val="22"/>
          <w:szCs w:val="22"/>
          <w:lang w:val="sk-SK"/>
        </w:rPr>
        <w:t>Hypoglykémia sa nepozorovala ani pri dávkach do 85 g metformínium</w:t>
      </w:r>
      <w:r w:rsidR="00571B80" w:rsidRPr="004441DD">
        <w:rPr>
          <w:sz w:val="22"/>
          <w:szCs w:val="22"/>
          <w:lang w:val="sk-SK"/>
        </w:rPr>
        <w:t>-</w:t>
      </w:r>
      <w:r w:rsidRPr="004441DD">
        <w:rPr>
          <w:sz w:val="22"/>
          <w:szCs w:val="22"/>
          <w:lang w:val="sk-SK"/>
        </w:rPr>
        <w:t>chloridu, hoci laktátová acidóza sa za takýchto okolností vyskytla. Závažné predávkovanie metformínom alebo súbežné riziká môžu viesť k laktátovej acidóze. Laktátová acidóza je urgentný stav a pacient musí byť hospitalizovaný. Najúčinnejšou metódou odstránenia laktátu a metformínu je hemodialýza.</w:t>
      </w:r>
    </w:p>
    <w:p w14:paraId="19536913" w14:textId="77777777" w:rsidR="006E6E67" w:rsidRPr="004441DD" w:rsidRDefault="006E6E67">
      <w:pPr>
        <w:rPr>
          <w:sz w:val="22"/>
          <w:szCs w:val="22"/>
          <w:lang w:val="sk-SK"/>
        </w:rPr>
      </w:pPr>
    </w:p>
    <w:p w14:paraId="2FF2AFCE" w14:textId="77777777" w:rsidR="006E6E67" w:rsidRPr="004441DD" w:rsidRDefault="006E6E67">
      <w:pPr>
        <w:rPr>
          <w:sz w:val="22"/>
          <w:szCs w:val="22"/>
          <w:lang w:val="sk-SK"/>
        </w:rPr>
      </w:pPr>
    </w:p>
    <w:p w14:paraId="0C4F4AA1" w14:textId="77777777" w:rsidR="006E6E67" w:rsidRPr="004441DD" w:rsidRDefault="006E6E67">
      <w:pPr>
        <w:rPr>
          <w:b/>
          <w:bCs/>
          <w:caps/>
          <w:sz w:val="22"/>
          <w:szCs w:val="22"/>
          <w:lang w:val="sk-SK"/>
        </w:rPr>
      </w:pPr>
      <w:r w:rsidRPr="004441DD">
        <w:rPr>
          <w:b/>
          <w:bCs/>
          <w:caps/>
          <w:sz w:val="22"/>
          <w:szCs w:val="22"/>
          <w:lang w:val="sk-SK"/>
        </w:rPr>
        <w:t>5.</w:t>
      </w:r>
      <w:r w:rsidRPr="004441DD">
        <w:rPr>
          <w:b/>
          <w:bCs/>
          <w:caps/>
          <w:sz w:val="22"/>
          <w:szCs w:val="22"/>
          <w:lang w:val="sk-SK"/>
        </w:rPr>
        <w:tab/>
        <w:t>Farmakologické vlastnosti</w:t>
      </w:r>
    </w:p>
    <w:p w14:paraId="58EEBF54" w14:textId="77777777" w:rsidR="006E6E67" w:rsidRPr="004441DD" w:rsidRDefault="006E6E67">
      <w:pPr>
        <w:rPr>
          <w:b/>
          <w:bCs/>
          <w:caps/>
          <w:sz w:val="22"/>
          <w:szCs w:val="22"/>
          <w:lang w:val="sk-SK"/>
        </w:rPr>
      </w:pPr>
    </w:p>
    <w:p w14:paraId="5A2EE63C" w14:textId="77777777" w:rsidR="006E6E67" w:rsidRPr="004441DD" w:rsidRDefault="006E6E67">
      <w:pPr>
        <w:rPr>
          <w:b/>
          <w:bCs/>
          <w:sz w:val="22"/>
          <w:szCs w:val="22"/>
          <w:lang w:val="sk-SK"/>
        </w:rPr>
      </w:pPr>
      <w:r w:rsidRPr="004441DD">
        <w:rPr>
          <w:b/>
          <w:bCs/>
          <w:sz w:val="22"/>
          <w:szCs w:val="22"/>
          <w:lang w:val="sk-SK"/>
        </w:rPr>
        <w:t>5.1</w:t>
      </w:r>
      <w:r w:rsidRPr="004441DD">
        <w:rPr>
          <w:b/>
          <w:bCs/>
          <w:sz w:val="22"/>
          <w:szCs w:val="22"/>
          <w:lang w:val="sk-SK"/>
        </w:rPr>
        <w:tab/>
        <w:t>Farmakodynamické vlastnosti</w:t>
      </w:r>
    </w:p>
    <w:p w14:paraId="54437B24" w14:textId="77777777" w:rsidR="006E6E67" w:rsidRPr="004441DD" w:rsidRDefault="006E6E67">
      <w:pPr>
        <w:rPr>
          <w:sz w:val="22"/>
          <w:szCs w:val="22"/>
          <w:lang w:val="sk-SK"/>
        </w:rPr>
      </w:pPr>
      <w:r w:rsidRPr="004441DD">
        <w:rPr>
          <w:sz w:val="22"/>
          <w:szCs w:val="22"/>
          <w:lang w:val="sk-SK"/>
        </w:rPr>
        <w:t>Farmakoterapeutická skupina: liečivá znižujúce hladinu glukózy v krvi, biguanidy.</w:t>
      </w:r>
    </w:p>
    <w:p w14:paraId="3BD7EAC5" w14:textId="77777777" w:rsidR="006E6E67" w:rsidRPr="004441DD" w:rsidRDefault="006E6E67">
      <w:pPr>
        <w:rPr>
          <w:sz w:val="22"/>
          <w:szCs w:val="22"/>
          <w:lang w:val="sk-SK"/>
        </w:rPr>
      </w:pPr>
      <w:r w:rsidRPr="004441DD">
        <w:rPr>
          <w:sz w:val="22"/>
          <w:szCs w:val="22"/>
          <w:lang w:val="sk-SK"/>
        </w:rPr>
        <w:t xml:space="preserve">ATC kód: A10BA02 </w:t>
      </w:r>
    </w:p>
    <w:p w14:paraId="65566779" w14:textId="77777777" w:rsidR="006E6E67" w:rsidRPr="004441DD" w:rsidRDefault="006E6E67">
      <w:pPr>
        <w:rPr>
          <w:sz w:val="22"/>
          <w:szCs w:val="22"/>
          <w:lang w:val="sk-SK"/>
        </w:rPr>
      </w:pPr>
    </w:p>
    <w:p w14:paraId="3ECC79FA" w14:textId="77777777" w:rsidR="007F37B9" w:rsidRPr="004441DD" w:rsidRDefault="007F37B9">
      <w:pPr>
        <w:rPr>
          <w:sz w:val="22"/>
          <w:szCs w:val="22"/>
          <w:u w:val="single"/>
          <w:lang w:val="sk-SK"/>
        </w:rPr>
      </w:pPr>
      <w:r w:rsidRPr="004441DD">
        <w:rPr>
          <w:sz w:val="22"/>
          <w:szCs w:val="22"/>
          <w:u w:val="single"/>
          <w:lang w:val="sk-SK"/>
        </w:rPr>
        <w:t>Mechanizmus účinku</w:t>
      </w:r>
    </w:p>
    <w:p w14:paraId="457050AC" w14:textId="77777777" w:rsidR="006E6E67" w:rsidRPr="004441DD" w:rsidRDefault="006E6E67">
      <w:pPr>
        <w:rPr>
          <w:sz w:val="22"/>
          <w:szCs w:val="22"/>
          <w:lang w:val="sk-SK"/>
        </w:rPr>
      </w:pPr>
      <w:r w:rsidRPr="004441DD">
        <w:rPr>
          <w:sz w:val="22"/>
          <w:szCs w:val="22"/>
          <w:lang w:val="sk-SK"/>
        </w:rPr>
        <w:t>Metformín je biguanid s antihyperglykemickými účinkami, znižujúci bazálnu aj postprandiálnu glykémiu. Nestimuluje sekréciu inzulínu, preto nevyvoláva hypoglykémiu.</w:t>
      </w:r>
    </w:p>
    <w:p w14:paraId="00D3C30F" w14:textId="77777777" w:rsidR="006E6E67" w:rsidRPr="004441DD" w:rsidRDefault="006E6E67">
      <w:pPr>
        <w:rPr>
          <w:sz w:val="22"/>
          <w:szCs w:val="22"/>
          <w:lang w:val="sk-SK"/>
        </w:rPr>
      </w:pPr>
      <w:r w:rsidRPr="004441DD">
        <w:rPr>
          <w:sz w:val="22"/>
          <w:szCs w:val="22"/>
          <w:lang w:val="sk-SK"/>
        </w:rPr>
        <w:t>Metformín môže pôsobiť pomocou 3 mechanizmov:</w:t>
      </w:r>
    </w:p>
    <w:p w14:paraId="56EED17E" w14:textId="77777777" w:rsidR="006E6E67" w:rsidRPr="004441DD" w:rsidRDefault="006E6E67">
      <w:pPr>
        <w:numPr>
          <w:ilvl w:val="0"/>
          <w:numId w:val="7"/>
        </w:numPr>
        <w:rPr>
          <w:sz w:val="22"/>
          <w:szCs w:val="22"/>
          <w:lang w:val="sk-SK"/>
        </w:rPr>
      </w:pPr>
      <w:r w:rsidRPr="004441DD">
        <w:rPr>
          <w:sz w:val="22"/>
          <w:szCs w:val="22"/>
          <w:lang w:val="sk-SK"/>
        </w:rPr>
        <w:t>znížením produkcie glukózy v pečeni inhibíciou glukoneogenézy a glykogenolýzy,</w:t>
      </w:r>
    </w:p>
    <w:p w14:paraId="22E7ADB6" w14:textId="77777777" w:rsidR="006E6E67" w:rsidRPr="004441DD" w:rsidRDefault="006E6E67">
      <w:pPr>
        <w:numPr>
          <w:ilvl w:val="0"/>
          <w:numId w:val="7"/>
        </w:numPr>
        <w:rPr>
          <w:sz w:val="22"/>
          <w:szCs w:val="22"/>
          <w:lang w:val="sk-SK"/>
        </w:rPr>
      </w:pPr>
      <w:r w:rsidRPr="004441DD">
        <w:rPr>
          <w:sz w:val="22"/>
          <w:szCs w:val="22"/>
          <w:lang w:val="sk-SK"/>
        </w:rPr>
        <w:t>zvýšením citlivosti na inzulín vo svaloch, zlepšením periférneho vychytávania a utilizácie glukózy,</w:t>
      </w:r>
    </w:p>
    <w:p w14:paraId="2CFFE361" w14:textId="77777777" w:rsidR="006E6E67" w:rsidRPr="004441DD" w:rsidRDefault="006E6E67">
      <w:pPr>
        <w:numPr>
          <w:ilvl w:val="0"/>
          <w:numId w:val="7"/>
        </w:numPr>
        <w:rPr>
          <w:sz w:val="22"/>
          <w:szCs w:val="22"/>
          <w:lang w:val="sk-SK"/>
        </w:rPr>
      </w:pPr>
      <w:r w:rsidRPr="004441DD">
        <w:rPr>
          <w:sz w:val="22"/>
          <w:szCs w:val="22"/>
          <w:lang w:val="sk-SK"/>
        </w:rPr>
        <w:t>spomalením vstrebávania glukózy v  črevách.</w:t>
      </w:r>
    </w:p>
    <w:p w14:paraId="6FC2C5EB" w14:textId="77777777" w:rsidR="007F37B9" w:rsidRPr="004441DD" w:rsidRDefault="007F37B9">
      <w:pPr>
        <w:rPr>
          <w:sz w:val="22"/>
          <w:szCs w:val="22"/>
          <w:lang w:val="sk-SK"/>
        </w:rPr>
      </w:pPr>
    </w:p>
    <w:p w14:paraId="1E2FC5BB" w14:textId="77777777" w:rsidR="006E6E67" w:rsidRPr="004441DD" w:rsidRDefault="006E6E67">
      <w:pPr>
        <w:rPr>
          <w:sz w:val="22"/>
          <w:szCs w:val="22"/>
          <w:lang w:val="sk-SK"/>
        </w:rPr>
      </w:pPr>
      <w:r w:rsidRPr="004441DD">
        <w:rPr>
          <w:sz w:val="22"/>
          <w:szCs w:val="22"/>
          <w:lang w:val="sk-SK"/>
        </w:rPr>
        <w:t>Metformín stimuluje syntézu intracelulárneho glykogénu posôbením na glykogénsyntetázu. Metformín zvyšuje transportnú kapacitu všetkých doteraz známych typov membránových prenášačov glukózy (GLUT</w:t>
      </w:r>
      <w:r w:rsidR="009C7B99" w:rsidRPr="004441DD">
        <w:rPr>
          <w:sz w:val="22"/>
          <w:szCs w:val="22"/>
          <w:lang w:val="sk-SK"/>
        </w:rPr>
        <w:t>s</w:t>
      </w:r>
      <w:r w:rsidRPr="004441DD">
        <w:rPr>
          <w:sz w:val="22"/>
          <w:szCs w:val="22"/>
          <w:lang w:val="sk-SK"/>
        </w:rPr>
        <w:t>).</w:t>
      </w:r>
    </w:p>
    <w:p w14:paraId="29C14611" w14:textId="77777777" w:rsidR="009C25B9" w:rsidRPr="004441DD" w:rsidRDefault="009C25B9">
      <w:pPr>
        <w:rPr>
          <w:sz w:val="22"/>
          <w:szCs w:val="22"/>
          <w:lang w:val="sk-SK"/>
        </w:rPr>
      </w:pPr>
    </w:p>
    <w:p w14:paraId="76A9B750" w14:textId="77777777" w:rsidR="009C25B9" w:rsidRPr="004441DD" w:rsidRDefault="009C25B9">
      <w:pPr>
        <w:rPr>
          <w:sz w:val="22"/>
          <w:szCs w:val="22"/>
          <w:u w:val="single"/>
          <w:lang w:val="sk-SK"/>
        </w:rPr>
      </w:pPr>
      <w:r w:rsidRPr="004441DD">
        <w:rPr>
          <w:sz w:val="22"/>
          <w:szCs w:val="22"/>
          <w:u w:val="single"/>
          <w:lang w:val="sk-SK"/>
        </w:rPr>
        <w:t>Farmakodynamické účinky</w:t>
      </w:r>
    </w:p>
    <w:p w14:paraId="67EA80A8" w14:textId="77777777" w:rsidR="009C25B9" w:rsidRPr="004441DD" w:rsidRDefault="009C25B9">
      <w:pPr>
        <w:rPr>
          <w:sz w:val="22"/>
          <w:szCs w:val="22"/>
          <w:lang w:val="sk-SK"/>
        </w:rPr>
      </w:pPr>
    </w:p>
    <w:p w14:paraId="2A568BF8" w14:textId="77777777" w:rsidR="00ED10C1" w:rsidRPr="004441DD" w:rsidRDefault="00ED10C1">
      <w:pPr>
        <w:numPr>
          <w:ilvl w:val="12"/>
          <w:numId w:val="0"/>
        </w:numPr>
        <w:ind w:right="-2"/>
        <w:outlineLvl w:val="0"/>
        <w:rPr>
          <w:sz w:val="22"/>
          <w:szCs w:val="22"/>
          <w:lang w:val="sk-SK"/>
        </w:rPr>
      </w:pPr>
      <w:r w:rsidRPr="004441DD">
        <w:rPr>
          <w:sz w:val="22"/>
          <w:szCs w:val="22"/>
          <w:lang w:val="sk-SK"/>
        </w:rPr>
        <w:t>V klinických skúšaniach je užívanie metformínu spojené buď s udržiavaním stabilnej váhy alebo ju mierne znižuje.</w:t>
      </w:r>
    </w:p>
    <w:p w14:paraId="554461E3" w14:textId="77777777" w:rsidR="006E6E67" w:rsidRPr="004441DD" w:rsidRDefault="006E6E67">
      <w:pPr>
        <w:rPr>
          <w:sz w:val="22"/>
          <w:szCs w:val="22"/>
          <w:lang w:val="sk-SK"/>
        </w:rPr>
      </w:pPr>
      <w:r w:rsidRPr="004441DD">
        <w:rPr>
          <w:sz w:val="22"/>
          <w:szCs w:val="22"/>
          <w:lang w:val="sk-SK"/>
        </w:rPr>
        <w:t>Nezávisle od účinku na glykémiu má metformín u ľudí priaznivé vplyvy na lipidový metabolizmus. Tento vplyv bol preukázaný pri terapeutických dávkach v kontrolovaných strednodobých alebo dlhodobých klinických skúšaniach: metformín znižuje hladiny celkového cholesterolu, LDL cholesterolu a triacylglycerolov.</w:t>
      </w:r>
    </w:p>
    <w:p w14:paraId="3B6C3588" w14:textId="77777777" w:rsidR="006E6E67" w:rsidRPr="004441DD" w:rsidRDefault="006E6E67">
      <w:pPr>
        <w:rPr>
          <w:sz w:val="22"/>
          <w:szCs w:val="22"/>
          <w:lang w:val="sk-SK"/>
        </w:rPr>
      </w:pPr>
    </w:p>
    <w:p w14:paraId="414E63BE" w14:textId="77777777" w:rsidR="006E6E67" w:rsidRPr="004441DD" w:rsidRDefault="006E6E67">
      <w:pPr>
        <w:rPr>
          <w:sz w:val="22"/>
          <w:szCs w:val="22"/>
          <w:u w:val="single"/>
          <w:lang w:val="sk-SK"/>
        </w:rPr>
      </w:pPr>
      <w:r w:rsidRPr="004441DD">
        <w:rPr>
          <w:sz w:val="22"/>
          <w:szCs w:val="22"/>
          <w:u w:val="single"/>
          <w:lang w:val="sk-SK"/>
        </w:rPr>
        <w:t>Klinická účinnosť</w:t>
      </w:r>
      <w:r w:rsidR="00DE3E7A" w:rsidRPr="004441DD">
        <w:rPr>
          <w:sz w:val="22"/>
          <w:szCs w:val="22"/>
          <w:u w:val="single"/>
          <w:lang w:val="sk-SK"/>
        </w:rPr>
        <w:t xml:space="preserve"> a bezpečnosť</w:t>
      </w:r>
    </w:p>
    <w:p w14:paraId="775558D8" w14:textId="77777777" w:rsidR="006E6E67" w:rsidRPr="004441DD" w:rsidRDefault="006E6E67">
      <w:pPr>
        <w:rPr>
          <w:sz w:val="22"/>
          <w:szCs w:val="22"/>
          <w:lang w:val="sk-SK"/>
        </w:rPr>
      </w:pPr>
      <w:r w:rsidRPr="004441DD">
        <w:rPr>
          <w:sz w:val="22"/>
          <w:szCs w:val="22"/>
          <w:lang w:val="sk-SK"/>
        </w:rPr>
        <w:t>Prospektívna randomizovaná štúdia (UKPDS) potvrdila dlhodobý priaznivý vplyv intenzívnej kontroly glykémie u dospelých pacientov s diabetom 2. typu.</w:t>
      </w:r>
    </w:p>
    <w:p w14:paraId="203E5B18" w14:textId="77777777" w:rsidR="006E6E67" w:rsidRPr="004441DD" w:rsidRDefault="006E6E67">
      <w:pPr>
        <w:rPr>
          <w:sz w:val="22"/>
          <w:szCs w:val="22"/>
          <w:lang w:val="sk-SK"/>
        </w:rPr>
      </w:pPr>
      <w:r w:rsidRPr="004441DD">
        <w:rPr>
          <w:sz w:val="22"/>
          <w:szCs w:val="22"/>
          <w:lang w:val="sk-SK"/>
        </w:rPr>
        <w:t>Analýza výsledkov pacientov  s nadváhou liečených metformínom po zlyhaní diéty dokázala:</w:t>
      </w:r>
    </w:p>
    <w:p w14:paraId="13396EAE" w14:textId="77777777" w:rsidR="006E6E67" w:rsidRPr="004441DD" w:rsidRDefault="006E6E67">
      <w:pPr>
        <w:numPr>
          <w:ilvl w:val="0"/>
          <w:numId w:val="5"/>
        </w:numPr>
        <w:rPr>
          <w:sz w:val="22"/>
          <w:szCs w:val="22"/>
          <w:lang w:val="sk-SK"/>
        </w:rPr>
      </w:pPr>
      <w:r w:rsidRPr="004441DD">
        <w:rPr>
          <w:sz w:val="22"/>
          <w:szCs w:val="22"/>
          <w:lang w:val="sk-SK"/>
        </w:rPr>
        <w:t>významný pokles absolútneho rizika diabetických komplikácií v skupine liečenej metformínom (29,8 prípadov/1</w:t>
      </w:r>
      <w:r w:rsidR="007A6686" w:rsidRPr="004441DD">
        <w:rPr>
          <w:sz w:val="22"/>
          <w:szCs w:val="22"/>
          <w:lang w:val="sk-SK"/>
        </w:rPr>
        <w:t xml:space="preserve"> </w:t>
      </w:r>
      <w:r w:rsidRPr="004441DD">
        <w:rPr>
          <w:sz w:val="22"/>
          <w:szCs w:val="22"/>
          <w:lang w:val="sk-SK"/>
        </w:rPr>
        <w:t>000 pacientorokov) oproti skupine liečenej diétou (43,3 prípadov na 1</w:t>
      </w:r>
      <w:r w:rsidR="007A6686" w:rsidRPr="004441DD">
        <w:rPr>
          <w:sz w:val="22"/>
          <w:szCs w:val="22"/>
          <w:lang w:val="sk-SK"/>
        </w:rPr>
        <w:t xml:space="preserve"> </w:t>
      </w:r>
      <w:r w:rsidRPr="004441DD">
        <w:rPr>
          <w:sz w:val="22"/>
          <w:szCs w:val="22"/>
          <w:lang w:val="sk-SK"/>
        </w:rPr>
        <w:t>000 pacientorokov), p = 0,0023, a oproti skupinám liečených kombináciou sulfonylurey a inzulínom v monoterapii (40,1 prípadov na 1</w:t>
      </w:r>
      <w:r w:rsidR="007A6686" w:rsidRPr="004441DD">
        <w:rPr>
          <w:sz w:val="22"/>
          <w:szCs w:val="22"/>
          <w:lang w:val="sk-SK"/>
        </w:rPr>
        <w:t xml:space="preserve"> </w:t>
      </w:r>
      <w:r w:rsidRPr="004441DD">
        <w:rPr>
          <w:sz w:val="22"/>
          <w:szCs w:val="22"/>
          <w:lang w:val="sk-SK"/>
        </w:rPr>
        <w:t>000 pacientorokov), p = 0,0034;</w:t>
      </w:r>
    </w:p>
    <w:p w14:paraId="1D57BD37" w14:textId="77777777" w:rsidR="006E6E67" w:rsidRPr="004441DD" w:rsidRDefault="006E6E67">
      <w:pPr>
        <w:numPr>
          <w:ilvl w:val="0"/>
          <w:numId w:val="5"/>
        </w:numPr>
        <w:rPr>
          <w:sz w:val="22"/>
          <w:szCs w:val="22"/>
          <w:lang w:val="sk-SK"/>
        </w:rPr>
      </w:pPr>
      <w:r w:rsidRPr="004441DD">
        <w:rPr>
          <w:sz w:val="22"/>
          <w:szCs w:val="22"/>
          <w:lang w:val="sk-SK"/>
        </w:rPr>
        <w:t>významný pokles absolútneho rizika s diabetom súvisiacej mortality: metformín 7,5 prípadov na  1</w:t>
      </w:r>
      <w:r w:rsidR="007A6686" w:rsidRPr="004441DD">
        <w:rPr>
          <w:sz w:val="22"/>
          <w:szCs w:val="22"/>
          <w:lang w:val="sk-SK"/>
        </w:rPr>
        <w:t xml:space="preserve"> </w:t>
      </w:r>
      <w:r w:rsidRPr="004441DD">
        <w:rPr>
          <w:sz w:val="22"/>
          <w:szCs w:val="22"/>
          <w:lang w:val="sk-SK"/>
        </w:rPr>
        <w:t>000 pacientorokov, diéta samotná 12,7 prípadov na 1</w:t>
      </w:r>
      <w:r w:rsidR="007A6686" w:rsidRPr="004441DD">
        <w:rPr>
          <w:sz w:val="22"/>
          <w:szCs w:val="22"/>
          <w:lang w:val="sk-SK"/>
        </w:rPr>
        <w:t xml:space="preserve"> </w:t>
      </w:r>
      <w:r w:rsidRPr="004441DD">
        <w:rPr>
          <w:sz w:val="22"/>
          <w:szCs w:val="22"/>
          <w:lang w:val="sk-SK"/>
        </w:rPr>
        <w:t>000 pacientorokov, p = 0,017;</w:t>
      </w:r>
    </w:p>
    <w:p w14:paraId="4A029CB4" w14:textId="77777777" w:rsidR="006E6E67" w:rsidRPr="004441DD" w:rsidRDefault="006E6E67">
      <w:pPr>
        <w:numPr>
          <w:ilvl w:val="0"/>
          <w:numId w:val="5"/>
        </w:numPr>
        <w:rPr>
          <w:sz w:val="22"/>
          <w:szCs w:val="22"/>
          <w:lang w:val="sk-SK"/>
        </w:rPr>
      </w:pPr>
      <w:r w:rsidRPr="004441DD">
        <w:rPr>
          <w:sz w:val="22"/>
          <w:szCs w:val="22"/>
          <w:lang w:val="sk-SK"/>
        </w:rPr>
        <w:t>významný pokles absolútneho rizika celkovej mortality: metformín 13,5 prípadov na 1</w:t>
      </w:r>
      <w:r w:rsidR="00573A00" w:rsidRPr="004441DD">
        <w:rPr>
          <w:sz w:val="22"/>
          <w:szCs w:val="22"/>
          <w:lang w:val="sk-SK"/>
        </w:rPr>
        <w:t xml:space="preserve"> </w:t>
      </w:r>
      <w:r w:rsidRPr="004441DD">
        <w:rPr>
          <w:sz w:val="22"/>
          <w:szCs w:val="22"/>
          <w:lang w:val="sk-SK"/>
        </w:rPr>
        <w:t>000 pacientorokov, oproti diéte samotnej 20,6 prípadov na 1</w:t>
      </w:r>
      <w:r w:rsidR="007A6686" w:rsidRPr="004441DD">
        <w:rPr>
          <w:sz w:val="22"/>
          <w:szCs w:val="22"/>
          <w:lang w:val="sk-SK"/>
        </w:rPr>
        <w:t xml:space="preserve"> </w:t>
      </w:r>
      <w:r w:rsidRPr="004441DD">
        <w:rPr>
          <w:sz w:val="22"/>
          <w:szCs w:val="22"/>
          <w:lang w:val="sk-SK"/>
        </w:rPr>
        <w:t>000 pacientorokov (p=0,011) a oproti skupinám kombinovanej terapie sulfonylurea a inzulín v monoterapii 18,9 prípadov na 1</w:t>
      </w:r>
      <w:r w:rsidR="00573A00" w:rsidRPr="004441DD">
        <w:rPr>
          <w:sz w:val="22"/>
          <w:szCs w:val="22"/>
          <w:lang w:val="sk-SK"/>
        </w:rPr>
        <w:t xml:space="preserve"> </w:t>
      </w:r>
      <w:r w:rsidRPr="004441DD">
        <w:rPr>
          <w:sz w:val="22"/>
          <w:szCs w:val="22"/>
          <w:lang w:val="sk-SK"/>
        </w:rPr>
        <w:t>000 pacientorokov (p=0,021);</w:t>
      </w:r>
    </w:p>
    <w:p w14:paraId="6142884B" w14:textId="5FB33C04" w:rsidR="006E6E67" w:rsidRPr="004441DD" w:rsidRDefault="006E6E67" w:rsidP="00A866B2">
      <w:pPr>
        <w:ind w:left="720" w:hanging="294"/>
        <w:rPr>
          <w:sz w:val="22"/>
          <w:szCs w:val="22"/>
          <w:lang w:val="sk-SK"/>
        </w:rPr>
      </w:pPr>
      <w:bookmarkStart w:id="3" w:name="_GoBack"/>
      <w:bookmarkEnd w:id="3"/>
      <w:r w:rsidRPr="004441DD">
        <w:rPr>
          <w:sz w:val="22"/>
          <w:szCs w:val="22"/>
          <w:lang w:val="sk-SK"/>
        </w:rPr>
        <w:t>-</w:t>
      </w:r>
      <w:r w:rsidRPr="004441DD">
        <w:rPr>
          <w:sz w:val="22"/>
          <w:szCs w:val="22"/>
          <w:lang w:val="sk-SK"/>
        </w:rPr>
        <w:tab/>
        <w:t>významný pokles absolútneho rizika infarktu myokardu: metformín 11 prípadov na 1</w:t>
      </w:r>
      <w:r w:rsidR="00573A00" w:rsidRPr="004441DD">
        <w:rPr>
          <w:sz w:val="22"/>
          <w:szCs w:val="22"/>
          <w:lang w:val="sk-SK"/>
        </w:rPr>
        <w:t xml:space="preserve"> </w:t>
      </w:r>
      <w:r w:rsidRPr="004441DD">
        <w:rPr>
          <w:sz w:val="22"/>
          <w:szCs w:val="22"/>
          <w:lang w:val="sk-SK"/>
        </w:rPr>
        <w:t>000 pacientorokov, diéta samotná 18 prípadov na 1</w:t>
      </w:r>
      <w:r w:rsidR="007A6686" w:rsidRPr="004441DD">
        <w:rPr>
          <w:sz w:val="22"/>
          <w:szCs w:val="22"/>
          <w:lang w:val="sk-SK"/>
        </w:rPr>
        <w:t xml:space="preserve"> </w:t>
      </w:r>
      <w:r w:rsidRPr="004441DD">
        <w:rPr>
          <w:sz w:val="22"/>
          <w:szCs w:val="22"/>
          <w:lang w:val="sk-SK"/>
        </w:rPr>
        <w:t>000 pacientorokov (p=0,01).</w:t>
      </w:r>
    </w:p>
    <w:p w14:paraId="50739C75" w14:textId="77777777" w:rsidR="006E6E67" w:rsidRPr="004441DD" w:rsidRDefault="006E6E67">
      <w:pPr>
        <w:rPr>
          <w:sz w:val="22"/>
          <w:szCs w:val="22"/>
          <w:lang w:val="sk-SK"/>
        </w:rPr>
      </w:pPr>
    </w:p>
    <w:p w14:paraId="7E460DF7" w14:textId="77777777" w:rsidR="006E6E67" w:rsidRPr="004441DD" w:rsidRDefault="006E6E67">
      <w:pPr>
        <w:rPr>
          <w:sz w:val="22"/>
          <w:szCs w:val="22"/>
          <w:lang w:val="sk-SK"/>
        </w:rPr>
      </w:pPr>
      <w:r w:rsidRPr="004441DD">
        <w:rPr>
          <w:sz w:val="22"/>
          <w:szCs w:val="22"/>
          <w:lang w:val="sk-SK"/>
        </w:rPr>
        <w:t>Prínos klinickej účinnosti metformínu používaného ako liek druhej voľby v kombinácii so sulfonylureou nie je dokázaný.</w:t>
      </w:r>
    </w:p>
    <w:p w14:paraId="6092B849" w14:textId="77777777" w:rsidR="006E6E67" w:rsidRPr="004441DD" w:rsidRDefault="006E6E67">
      <w:pPr>
        <w:rPr>
          <w:sz w:val="22"/>
          <w:szCs w:val="22"/>
          <w:lang w:val="sk-SK"/>
        </w:rPr>
      </w:pPr>
      <w:r w:rsidRPr="004441DD">
        <w:rPr>
          <w:sz w:val="22"/>
          <w:szCs w:val="22"/>
          <w:lang w:val="sk-SK"/>
        </w:rPr>
        <w:t xml:space="preserve">Kombinácia metformínu s inzulínom sa použila u vybraných pacientov s diabetom 1. typu, no klinický prínos tejto kombinácie sa formálne nepotvrdil. </w:t>
      </w:r>
    </w:p>
    <w:p w14:paraId="77B4B696" w14:textId="77777777" w:rsidR="006E6E67" w:rsidRPr="004441DD" w:rsidRDefault="006E6E67">
      <w:pPr>
        <w:rPr>
          <w:sz w:val="22"/>
          <w:szCs w:val="22"/>
          <w:lang w:val="sk-SK"/>
        </w:rPr>
      </w:pPr>
    </w:p>
    <w:p w14:paraId="6ACD922C" w14:textId="77777777" w:rsidR="006E6E67" w:rsidRPr="004441DD" w:rsidRDefault="006E6E67">
      <w:pPr>
        <w:outlineLvl w:val="0"/>
        <w:rPr>
          <w:sz w:val="22"/>
          <w:szCs w:val="22"/>
          <w:u w:val="single"/>
          <w:lang w:val="sk-SK"/>
        </w:rPr>
      </w:pPr>
      <w:r w:rsidRPr="004441DD">
        <w:rPr>
          <w:sz w:val="22"/>
          <w:szCs w:val="22"/>
          <w:u w:val="single"/>
          <w:lang w:val="sk-SK"/>
        </w:rPr>
        <w:t>Pediatrická populácia</w:t>
      </w:r>
    </w:p>
    <w:p w14:paraId="6B6DA196" w14:textId="77777777" w:rsidR="006E6E67" w:rsidRPr="004441DD" w:rsidRDefault="006E6E67">
      <w:pPr>
        <w:rPr>
          <w:sz w:val="22"/>
          <w:szCs w:val="22"/>
          <w:lang w:val="sk-SK"/>
        </w:rPr>
      </w:pPr>
      <w:r w:rsidRPr="004441DD">
        <w:rPr>
          <w:sz w:val="22"/>
          <w:szCs w:val="22"/>
          <w:lang w:val="sk-SK"/>
        </w:rPr>
        <w:t xml:space="preserve">Kontrolované klinické štúdie na limitovanej pediatrickej populácii vo veku 10 – 16 rokov liečenej </w:t>
      </w:r>
    </w:p>
    <w:p w14:paraId="67DCDE37" w14:textId="77777777" w:rsidR="006E6E67" w:rsidRPr="004441DD" w:rsidRDefault="006E6E67">
      <w:pPr>
        <w:rPr>
          <w:sz w:val="22"/>
          <w:szCs w:val="22"/>
          <w:lang w:val="sk-SK"/>
        </w:rPr>
      </w:pPr>
      <w:r w:rsidRPr="004441DD">
        <w:rPr>
          <w:sz w:val="22"/>
          <w:szCs w:val="22"/>
          <w:lang w:val="sk-SK"/>
        </w:rPr>
        <w:t xml:space="preserve">1 rok preukázali v kontrole glykémie podobnú odpoveď, aká bola pozorovaná u dospelých pacientov. </w:t>
      </w:r>
    </w:p>
    <w:p w14:paraId="1F45E562" w14:textId="77777777" w:rsidR="006E6E67" w:rsidRPr="004441DD" w:rsidRDefault="006E6E67">
      <w:pPr>
        <w:rPr>
          <w:sz w:val="22"/>
          <w:szCs w:val="22"/>
          <w:lang w:val="sk-SK"/>
        </w:rPr>
      </w:pPr>
    </w:p>
    <w:p w14:paraId="577DAEAD" w14:textId="77777777" w:rsidR="006E6E67" w:rsidRPr="004441DD" w:rsidRDefault="006E6E67">
      <w:pPr>
        <w:rPr>
          <w:b/>
          <w:bCs/>
          <w:sz w:val="22"/>
          <w:szCs w:val="22"/>
          <w:lang w:val="sk-SK"/>
        </w:rPr>
      </w:pPr>
      <w:r w:rsidRPr="004441DD">
        <w:rPr>
          <w:b/>
          <w:bCs/>
          <w:sz w:val="22"/>
          <w:szCs w:val="22"/>
          <w:lang w:val="sk-SK"/>
        </w:rPr>
        <w:t>5.2</w:t>
      </w:r>
      <w:r w:rsidRPr="004441DD">
        <w:rPr>
          <w:b/>
          <w:bCs/>
          <w:sz w:val="22"/>
          <w:szCs w:val="22"/>
          <w:lang w:val="sk-SK"/>
        </w:rPr>
        <w:tab/>
        <w:t>Farmakokinetické vlastnosti</w:t>
      </w:r>
    </w:p>
    <w:p w14:paraId="0BA30708" w14:textId="77777777" w:rsidR="006E6E67" w:rsidRPr="004441DD" w:rsidRDefault="006E6E67">
      <w:pPr>
        <w:rPr>
          <w:b/>
          <w:bCs/>
          <w:sz w:val="22"/>
          <w:szCs w:val="22"/>
          <w:lang w:val="sk-SK"/>
        </w:rPr>
      </w:pPr>
    </w:p>
    <w:p w14:paraId="08516BC4" w14:textId="77777777" w:rsidR="006E6E67" w:rsidRPr="004441DD" w:rsidRDefault="006E6E67">
      <w:pPr>
        <w:rPr>
          <w:sz w:val="22"/>
          <w:szCs w:val="22"/>
          <w:u w:val="single"/>
          <w:lang w:val="sk-SK"/>
        </w:rPr>
      </w:pPr>
      <w:r w:rsidRPr="004441DD">
        <w:rPr>
          <w:sz w:val="22"/>
          <w:szCs w:val="22"/>
          <w:u w:val="single"/>
          <w:lang w:val="sk-SK"/>
        </w:rPr>
        <w:t>Absorpcia</w:t>
      </w:r>
    </w:p>
    <w:p w14:paraId="369FF7F9" w14:textId="7A5288C8" w:rsidR="006E6E67" w:rsidRPr="004441DD" w:rsidRDefault="006E6E67">
      <w:pPr>
        <w:rPr>
          <w:sz w:val="22"/>
          <w:szCs w:val="22"/>
          <w:lang w:val="sk-SK"/>
        </w:rPr>
      </w:pPr>
      <w:r w:rsidRPr="004441DD">
        <w:rPr>
          <w:sz w:val="22"/>
          <w:szCs w:val="22"/>
          <w:lang w:val="sk-SK"/>
        </w:rPr>
        <w:t>Po perorálnej dávke tablety metformínium</w:t>
      </w:r>
      <w:r w:rsidR="00571B80" w:rsidRPr="004441DD">
        <w:rPr>
          <w:sz w:val="22"/>
          <w:szCs w:val="22"/>
          <w:lang w:val="sk-SK"/>
        </w:rPr>
        <w:t>-</w:t>
      </w:r>
      <w:r w:rsidRPr="004441DD">
        <w:rPr>
          <w:sz w:val="22"/>
          <w:szCs w:val="22"/>
          <w:lang w:val="sk-SK"/>
        </w:rPr>
        <w:t>chloridu sa dosiahne maximálna plazmatická koncentrácia (C</w:t>
      </w:r>
      <w:r w:rsidRPr="004441DD">
        <w:rPr>
          <w:sz w:val="22"/>
          <w:szCs w:val="22"/>
          <w:vertAlign w:val="subscript"/>
          <w:lang w:val="sk-SK"/>
        </w:rPr>
        <w:t>max</w:t>
      </w:r>
      <w:r w:rsidRPr="004441DD">
        <w:rPr>
          <w:sz w:val="22"/>
          <w:szCs w:val="22"/>
          <w:lang w:val="sk-SK"/>
        </w:rPr>
        <w:t xml:space="preserve">) </w:t>
      </w:r>
      <w:r w:rsidR="00D55027" w:rsidRPr="004441DD">
        <w:rPr>
          <w:sz w:val="22"/>
          <w:szCs w:val="22"/>
          <w:lang w:val="sk-SK"/>
        </w:rPr>
        <w:t xml:space="preserve">približne </w:t>
      </w:r>
      <w:r w:rsidRPr="004441DD">
        <w:rPr>
          <w:sz w:val="22"/>
          <w:szCs w:val="22"/>
          <w:lang w:val="sk-SK"/>
        </w:rPr>
        <w:t>za 2,5 hodiny (t</w:t>
      </w:r>
      <w:r w:rsidRPr="004441DD">
        <w:rPr>
          <w:sz w:val="22"/>
          <w:szCs w:val="22"/>
          <w:vertAlign w:val="subscript"/>
          <w:lang w:val="sk-SK"/>
        </w:rPr>
        <w:t>max</w:t>
      </w:r>
      <w:r w:rsidRPr="004441DD">
        <w:rPr>
          <w:sz w:val="22"/>
          <w:szCs w:val="22"/>
          <w:lang w:val="sk-SK"/>
        </w:rPr>
        <w:t>). Absolútna biologická dostupnosť metformínium</w:t>
      </w:r>
      <w:r w:rsidR="00571B80" w:rsidRPr="004441DD">
        <w:rPr>
          <w:sz w:val="22"/>
          <w:szCs w:val="22"/>
          <w:lang w:val="sk-SK"/>
        </w:rPr>
        <w:t>-</w:t>
      </w:r>
      <w:r w:rsidRPr="004441DD">
        <w:rPr>
          <w:sz w:val="22"/>
          <w:szCs w:val="22"/>
          <w:lang w:val="sk-SK"/>
        </w:rPr>
        <w:t>chloridovej tablety 500 mg alebo 850 mg je u zdravých jedincov približne 50</w:t>
      </w:r>
      <w:r w:rsidR="00D55027" w:rsidRPr="004441DD">
        <w:rPr>
          <w:sz w:val="22"/>
          <w:szCs w:val="22"/>
          <w:lang w:val="sk-SK"/>
        </w:rPr>
        <w:t xml:space="preserve"> - </w:t>
      </w:r>
      <w:r w:rsidRPr="004441DD">
        <w:rPr>
          <w:sz w:val="22"/>
          <w:szCs w:val="22"/>
          <w:lang w:val="sk-SK"/>
        </w:rPr>
        <w:t>60 %. Neabsorbovaná frakcia zistená v stolici po perorálnom podaní bola 20 -</w:t>
      </w:r>
      <w:r w:rsidR="00D55027" w:rsidRPr="004441DD">
        <w:rPr>
          <w:sz w:val="22"/>
          <w:szCs w:val="22"/>
          <w:lang w:val="sk-SK"/>
        </w:rPr>
        <w:t xml:space="preserve"> </w:t>
      </w:r>
      <w:r w:rsidRPr="004441DD">
        <w:rPr>
          <w:sz w:val="22"/>
          <w:szCs w:val="22"/>
          <w:lang w:val="sk-SK"/>
        </w:rPr>
        <w:t>30 %.</w:t>
      </w:r>
    </w:p>
    <w:p w14:paraId="31F8E705" w14:textId="77777777" w:rsidR="006E6E67" w:rsidRPr="004441DD" w:rsidRDefault="006E6E67">
      <w:pPr>
        <w:rPr>
          <w:sz w:val="22"/>
          <w:szCs w:val="22"/>
          <w:lang w:val="sk-SK"/>
        </w:rPr>
      </w:pPr>
      <w:r w:rsidRPr="004441DD">
        <w:rPr>
          <w:sz w:val="22"/>
          <w:szCs w:val="22"/>
          <w:lang w:val="sk-SK"/>
        </w:rPr>
        <w:t xml:space="preserve">Absorpcia metformínu je po perorálnom podaní  saturovateľná a neúplná. Predpokladá sa, že farmakokinetika absorpcie metformínu je nelineárna. </w:t>
      </w:r>
    </w:p>
    <w:p w14:paraId="34C3834F" w14:textId="77777777" w:rsidR="006E6E67" w:rsidRPr="004441DD" w:rsidRDefault="006E6E67">
      <w:pPr>
        <w:rPr>
          <w:sz w:val="22"/>
          <w:szCs w:val="22"/>
          <w:lang w:val="sk-SK"/>
        </w:rPr>
      </w:pPr>
      <w:r w:rsidRPr="004441DD">
        <w:rPr>
          <w:sz w:val="22"/>
          <w:szCs w:val="22"/>
          <w:lang w:val="sk-SK"/>
        </w:rPr>
        <w:t>Pri odporúčaných dávkovacích schémach metformínu sa rovnovážna plazmatická koncentrácia dosiahne počas 24 až 48 hodín a je zvyčajne nižšia než 1 mikrogram/ml. V kontrolovaných klinických skúšaniach neprekročili maximálne plazmatické hladiny metformínu (C</w:t>
      </w:r>
      <w:r w:rsidRPr="004441DD">
        <w:rPr>
          <w:sz w:val="22"/>
          <w:szCs w:val="22"/>
          <w:vertAlign w:val="subscript"/>
          <w:lang w:val="sk-SK"/>
        </w:rPr>
        <w:t>max</w:t>
      </w:r>
      <w:r w:rsidRPr="004441DD">
        <w:rPr>
          <w:sz w:val="22"/>
          <w:szCs w:val="22"/>
          <w:lang w:val="sk-SK"/>
        </w:rPr>
        <w:t>) 5 μg/ml, ani pri maximálnych dávkach.</w:t>
      </w:r>
    </w:p>
    <w:p w14:paraId="4B913508" w14:textId="77777777" w:rsidR="006E6E67" w:rsidRPr="004441DD" w:rsidRDefault="006E6E67">
      <w:pPr>
        <w:rPr>
          <w:sz w:val="22"/>
          <w:szCs w:val="22"/>
          <w:lang w:val="sk-SK"/>
        </w:rPr>
      </w:pPr>
      <w:r w:rsidRPr="004441DD">
        <w:rPr>
          <w:sz w:val="22"/>
          <w:szCs w:val="22"/>
          <w:lang w:val="sk-SK"/>
        </w:rPr>
        <w:t xml:space="preserve">Jedlo znižuje rozsah absorpcie metformínu a zároveň ju aj mierne spomaľuje. Po perorálnom podaní 850 mg tablety sa pozorovala o 40 % nižšia maximálna plazmatická koncentrácia, 25 % pokles AUC (plocha pod krivkou) a  predĺženie času potrebného na dosiahnutie maximálnej plazmatickej koncentrácie o 35 minút. Klinický význam týchto nálezov nie je známy. </w:t>
      </w:r>
    </w:p>
    <w:p w14:paraId="1CAC4AC0" w14:textId="77777777" w:rsidR="006E6E67" w:rsidRPr="004441DD" w:rsidRDefault="006E6E67">
      <w:pPr>
        <w:rPr>
          <w:sz w:val="22"/>
          <w:szCs w:val="22"/>
          <w:lang w:val="sk-SK"/>
        </w:rPr>
      </w:pPr>
    </w:p>
    <w:p w14:paraId="18BC6F3C" w14:textId="77777777" w:rsidR="006E6E67" w:rsidRPr="004441DD" w:rsidRDefault="006E6E67">
      <w:pPr>
        <w:rPr>
          <w:sz w:val="22"/>
          <w:szCs w:val="22"/>
          <w:u w:val="single"/>
          <w:lang w:val="sk-SK"/>
        </w:rPr>
      </w:pPr>
      <w:r w:rsidRPr="004441DD">
        <w:rPr>
          <w:sz w:val="22"/>
          <w:szCs w:val="22"/>
          <w:u w:val="single"/>
          <w:lang w:val="sk-SK"/>
        </w:rPr>
        <w:t>Distribúcia</w:t>
      </w:r>
    </w:p>
    <w:p w14:paraId="10040F37" w14:textId="77777777" w:rsidR="006E6E67" w:rsidRPr="004441DD" w:rsidRDefault="006E6E67">
      <w:pPr>
        <w:rPr>
          <w:sz w:val="22"/>
          <w:szCs w:val="22"/>
          <w:lang w:val="sk-SK"/>
        </w:rPr>
      </w:pPr>
      <w:r w:rsidRPr="004441DD">
        <w:rPr>
          <w:sz w:val="22"/>
          <w:szCs w:val="22"/>
          <w:lang w:val="sk-SK"/>
        </w:rPr>
        <w:t>Väzba na plazmatické bielkoviny je zanedbateľná. Metformín prechádza do erytrocytov. Najvyššia hladina v krvi je nižšia než v plazme a maximum sa dosiahne približne v rovnakom čase. Erytrocyty predstavujú s  najväčšou pravdepodobnosťou sekundárny kompartment distribúcie. Priemerný distribučný objem (Vd) sa pohyboval medzi 63 až 276 l.</w:t>
      </w:r>
    </w:p>
    <w:p w14:paraId="06C87039" w14:textId="77777777" w:rsidR="006E6E67" w:rsidRPr="004441DD" w:rsidRDefault="006E6E67">
      <w:pPr>
        <w:rPr>
          <w:sz w:val="22"/>
          <w:szCs w:val="22"/>
          <w:lang w:val="sk-SK"/>
        </w:rPr>
      </w:pPr>
    </w:p>
    <w:p w14:paraId="5285F9DF" w14:textId="77777777" w:rsidR="00DE3E7A" w:rsidRPr="004441DD" w:rsidRDefault="00DE3E7A">
      <w:pPr>
        <w:rPr>
          <w:sz w:val="22"/>
          <w:szCs w:val="22"/>
          <w:u w:val="single"/>
          <w:lang w:val="sk-SK"/>
        </w:rPr>
      </w:pPr>
      <w:r w:rsidRPr="004441DD">
        <w:rPr>
          <w:sz w:val="22"/>
          <w:szCs w:val="22"/>
          <w:u w:val="single"/>
          <w:lang w:val="sk-SK"/>
        </w:rPr>
        <w:t>Biotransformácia</w:t>
      </w:r>
    </w:p>
    <w:p w14:paraId="78CFBE91" w14:textId="77777777" w:rsidR="006E6E67" w:rsidRPr="004441DD" w:rsidRDefault="006E6E67">
      <w:pPr>
        <w:rPr>
          <w:sz w:val="22"/>
          <w:szCs w:val="22"/>
          <w:lang w:val="sk-SK"/>
        </w:rPr>
      </w:pPr>
      <w:r w:rsidRPr="004441DD">
        <w:rPr>
          <w:sz w:val="22"/>
          <w:szCs w:val="22"/>
          <w:lang w:val="sk-SK"/>
        </w:rPr>
        <w:t>Metformín sa vylučuje v nezmenenej forme močom. U ľudí neboli identifikované žiadne metabolity.</w:t>
      </w:r>
    </w:p>
    <w:p w14:paraId="54CEC9B8" w14:textId="77777777" w:rsidR="006E6E67" w:rsidRPr="004441DD" w:rsidRDefault="006E6E67">
      <w:pPr>
        <w:rPr>
          <w:sz w:val="22"/>
          <w:szCs w:val="22"/>
          <w:lang w:val="sk-SK"/>
        </w:rPr>
      </w:pPr>
    </w:p>
    <w:p w14:paraId="1C1D7A3A" w14:textId="77777777" w:rsidR="00DE3E7A" w:rsidRPr="004441DD" w:rsidRDefault="00DE3E7A">
      <w:pPr>
        <w:rPr>
          <w:sz w:val="22"/>
          <w:szCs w:val="22"/>
          <w:u w:val="single"/>
          <w:lang w:val="sk-SK"/>
        </w:rPr>
      </w:pPr>
      <w:r w:rsidRPr="004441DD">
        <w:rPr>
          <w:sz w:val="22"/>
          <w:szCs w:val="22"/>
          <w:u w:val="single"/>
          <w:lang w:val="sk-SK"/>
        </w:rPr>
        <w:t>Eliminácia</w:t>
      </w:r>
    </w:p>
    <w:p w14:paraId="31E6C981" w14:textId="77777777" w:rsidR="006E6E67" w:rsidRPr="004441DD" w:rsidRDefault="006E6E67">
      <w:pPr>
        <w:rPr>
          <w:sz w:val="22"/>
          <w:szCs w:val="22"/>
          <w:lang w:val="sk-SK"/>
        </w:rPr>
      </w:pPr>
      <w:r w:rsidRPr="004441DD">
        <w:rPr>
          <w:sz w:val="22"/>
          <w:szCs w:val="22"/>
          <w:lang w:val="sk-SK"/>
        </w:rPr>
        <w:t xml:space="preserve">Renálny klírens metformínu je &gt; 400 ml/min, čo nasvedčuje, že metformín sa vylučuje glomerulárnou filtráciou a tubulárnou sekréciou. Po perorálnom podaní je zdanlivý terminálny polčas eliminácie približne 6,5 hodiny. Pri poškodení funkcie obličiek je renálny klírens znížený proporcionálne ku  kreatinínu, preto sa polčas eliminácie predĺži, čo vedie k zvýšeným koncentráciám metformín v plazme. </w:t>
      </w:r>
    </w:p>
    <w:p w14:paraId="7DCD29CF" w14:textId="77777777" w:rsidR="00DE3E7A" w:rsidRPr="004441DD" w:rsidRDefault="00DE3E7A">
      <w:pPr>
        <w:rPr>
          <w:sz w:val="22"/>
          <w:szCs w:val="22"/>
          <w:lang w:val="sk-SK"/>
        </w:rPr>
      </w:pPr>
    </w:p>
    <w:p w14:paraId="42C9E322" w14:textId="77777777" w:rsidR="00DE3E7A" w:rsidRPr="004441DD" w:rsidRDefault="00DE3E7A">
      <w:pPr>
        <w:rPr>
          <w:sz w:val="22"/>
          <w:szCs w:val="22"/>
          <w:u w:val="single"/>
          <w:lang w:val="sk-SK"/>
        </w:rPr>
      </w:pPr>
      <w:r w:rsidRPr="004441DD">
        <w:rPr>
          <w:sz w:val="22"/>
          <w:szCs w:val="22"/>
          <w:u w:val="single"/>
          <w:lang w:val="sk-SK"/>
        </w:rPr>
        <w:t>Charakteristiky v špecifických skupinách pacientov</w:t>
      </w:r>
    </w:p>
    <w:p w14:paraId="561B6FC9" w14:textId="77777777" w:rsidR="00DE3E7A" w:rsidRPr="004441DD" w:rsidRDefault="00DE3E7A">
      <w:pPr>
        <w:rPr>
          <w:sz w:val="22"/>
          <w:szCs w:val="22"/>
          <w:u w:val="single"/>
          <w:lang w:val="sk-SK"/>
        </w:rPr>
      </w:pPr>
    </w:p>
    <w:p w14:paraId="759C4317" w14:textId="77777777" w:rsidR="00DE3E7A" w:rsidRPr="004441DD" w:rsidRDefault="00DE3E7A">
      <w:pPr>
        <w:rPr>
          <w:sz w:val="22"/>
          <w:szCs w:val="22"/>
          <w:u w:val="single"/>
          <w:lang w:val="sk-SK"/>
        </w:rPr>
      </w:pPr>
      <w:r w:rsidRPr="004441DD">
        <w:rPr>
          <w:sz w:val="22"/>
          <w:szCs w:val="22"/>
          <w:u w:val="single"/>
          <w:lang w:val="sk-SK"/>
        </w:rPr>
        <w:t>Poškodenie obličiek</w:t>
      </w:r>
    </w:p>
    <w:p w14:paraId="06C6B7BB" w14:textId="77777777" w:rsidR="00DE3E7A" w:rsidRPr="004441DD" w:rsidRDefault="00DE3E7A">
      <w:pPr>
        <w:rPr>
          <w:sz w:val="22"/>
          <w:szCs w:val="22"/>
          <w:lang w:val="sk-SK"/>
        </w:rPr>
      </w:pPr>
      <w:r w:rsidRPr="004441DD">
        <w:rPr>
          <w:sz w:val="22"/>
          <w:szCs w:val="22"/>
          <w:lang w:val="sk-SK"/>
        </w:rPr>
        <w:t>Dostupné údaje týkajúce sa pacientov s miernou renálnou insuficienciou sú nedostatočné a v tejto podskupine sa nedá spoľahlivo určiť systémovú expozíciu metformínu na rozdiel od subjektov s normálnymi renálnymi funkciami. Preto je treba prispôsobiť dávkovanie s prihliadnutím na klinickú účinnosť/znášanlivosť (pozri časť 4.2).</w:t>
      </w:r>
    </w:p>
    <w:p w14:paraId="1083237B" w14:textId="77777777" w:rsidR="00DE3E7A" w:rsidRPr="004441DD" w:rsidRDefault="00DE3E7A">
      <w:pPr>
        <w:rPr>
          <w:sz w:val="22"/>
          <w:szCs w:val="22"/>
          <w:u w:val="single"/>
          <w:lang w:val="sk-SK"/>
        </w:rPr>
      </w:pPr>
    </w:p>
    <w:p w14:paraId="11F4CF0C" w14:textId="77777777" w:rsidR="006E6E67" w:rsidRPr="004441DD" w:rsidRDefault="006E6E67">
      <w:pPr>
        <w:rPr>
          <w:sz w:val="22"/>
          <w:szCs w:val="22"/>
          <w:u w:val="single"/>
          <w:lang w:val="sk-SK"/>
        </w:rPr>
      </w:pPr>
      <w:r w:rsidRPr="004441DD">
        <w:rPr>
          <w:sz w:val="22"/>
          <w:szCs w:val="22"/>
          <w:u w:val="single"/>
          <w:lang w:val="sk-SK"/>
        </w:rPr>
        <w:t>Pediatrická populácia</w:t>
      </w:r>
    </w:p>
    <w:p w14:paraId="77B7BD06" w14:textId="77777777" w:rsidR="006E6E67" w:rsidRPr="004441DD" w:rsidRDefault="006E6E67">
      <w:pPr>
        <w:rPr>
          <w:sz w:val="22"/>
          <w:szCs w:val="22"/>
          <w:lang w:val="sk-SK"/>
        </w:rPr>
      </w:pPr>
      <w:r w:rsidRPr="004441DD">
        <w:rPr>
          <w:sz w:val="22"/>
          <w:szCs w:val="22"/>
          <w:lang w:val="sk-SK"/>
        </w:rPr>
        <w:t>Štúdia s jednorazovou dávkou: Po podaní jednorazových dávok 500 mg metformínu vykazovali pediatrickí pacienti podobný farmakokinetický profil, aký bol pozorovaný u zdravých dospelých pacientov.</w:t>
      </w:r>
    </w:p>
    <w:p w14:paraId="5EDB7BD3" w14:textId="77777777" w:rsidR="006E6E67" w:rsidRPr="004441DD" w:rsidRDefault="006E6E67">
      <w:pPr>
        <w:rPr>
          <w:sz w:val="22"/>
          <w:szCs w:val="22"/>
          <w:lang w:val="sk-SK"/>
        </w:rPr>
      </w:pPr>
      <w:r w:rsidRPr="004441DD">
        <w:rPr>
          <w:sz w:val="22"/>
          <w:szCs w:val="22"/>
          <w:lang w:val="sk-SK"/>
        </w:rPr>
        <w:t>Štúdia s opakovaným podávaním: Údaje sú obmedzené na jednu štúdiu. Po opakovanom podávaní 500 mg dvakrát denne počas 7 dní pediatrickým pacientom bola maximálna plazmatická koncentrácia</w:t>
      </w:r>
    </w:p>
    <w:p w14:paraId="252A362E" w14:textId="77777777" w:rsidR="006E6E67" w:rsidRPr="004441DD" w:rsidRDefault="006E6E67">
      <w:pPr>
        <w:rPr>
          <w:sz w:val="22"/>
          <w:szCs w:val="22"/>
          <w:lang w:val="sk-SK"/>
        </w:rPr>
      </w:pPr>
      <w:r w:rsidRPr="004441DD">
        <w:rPr>
          <w:sz w:val="22"/>
          <w:szCs w:val="22"/>
          <w:lang w:val="sk-SK"/>
        </w:rPr>
        <w:t>(C</w:t>
      </w:r>
      <w:r w:rsidRPr="004441DD">
        <w:rPr>
          <w:sz w:val="22"/>
          <w:szCs w:val="22"/>
          <w:vertAlign w:val="subscript"/>
          <w:lang w:val="sk-SK"/>
        </w:rPr>
        <w:t>max</w:t>
      </w:r>
      <w:r w:rsidRPr="004441DD">
        <w:rPr>
          <w:sz w:val="22"/>
          <w:szCs w:val="22"/>
          <w:lang w:val="sk-SK"/>
        </w:rPr>
        <w:t xml:space="preserve">) znížená o približne 33 % a systémová expozícia (AUC0-t) približne o 40 %, v porovnaní s dospelými, ktorí dostávali 500 mg dvakrát denne počas 14 dní. Keďže dávka bola individuálne titrovaná na základe kontroly glykémie, majú tieto údaje iba obmedzený klinický význam. </w:t>
      </w:r>
    </w:p>
    <w:p w14:paraId="5F6D4519" w14:textId="77777777" w:rsidR="00D10047" w:rsidRPr="004441DD" w:rsidRDefault="00D10047">
      <w:pPr>
        <w:rPr>
          <w:sz w:val="22"/>
          <w:szCs w:val="22"/>
          <w:lang w:val="sk-SK"/>
        </w:rPr>
      </w:pPr>
    </w:p>
    <w:p w14:paraId="7E00A75F" w14:textId="77777777" w:rsidR="006E6E67" w:rsidRPr="004441DD" w:rsidRDefault="006E6E67">
      <w:pPr>
        <w:rPr>
          <w:b/>
          <w:bCs/>
          <w:sz w:val="22"/>
          <w:szCs w:val="22"/>
          <w:lang w:val="sk-SK"/>
        </w:rPr>
      </w:pPr>
      <w:r w:rsidRPr="004441DD">
        <w:rPr>
          <w:b/>
          <w:bCs/>
          <w:sz w:val="22"/>
          <w:szCs w:val="22"/>
          <w:lang w:val="sk-SK"/>
        </w:rPr>
        <w:t>5.3</w:t>
      </w:r>
      <w:r w:rsidRPr="004441DD">
        <w:rPr>
          <w:b/>
          <w:bCs/>
          <w:sz w:val="22"/>
          <w:szCs w:val="22"/>
          <w:lang w:val="sk-SK"/>
        </w:rPr>
        <w:tab/>
        <w:t>Predklinické údaje o bezpečnosti</w:t>
      </w:r>
    </w:p>
    <w:p w14:paraId="7A21D8CD" w14:textId="77777777" w:rsidR="006E6E67" w:rsidRPr="004441DD" w:rsidRDefault="006E6E67">
      <w:pPr>
        <w:rPr>
          <w:b/>
          <w:bCs/>
          <w:sz w:val="22"/>
          <w:szCs w:val="22"/>
          <w:lang w:val="sk-SK"/>
        </w:rPr>
      </w:pPr>
    </w:p>
    <w:p w14:paraId="7F8722E2" w14:textId="77777777" w:rsidR="006E6E67" w:rsidRPr="004441DD" w:rsidRDefault="006E6E67">
      <w:pPr>
        <w:rPr>
          <w:sz w:val="22"/>
          <w:szCs w:val="22"/>
          <w:lang w:val="sk-SK"/>
        </w:rPr>
      </w:pPr>
      <w:r w:rsidRPr="004441DD">
        <w:rPr>
          <w:sz w:val="22"/>
          <w:szCs w:val="22"/>
          <w:lang w:val="sk-SK"/>
        </w:rPr>
        <w:t xml:space="preserve">Predklinické údaje na základe obvyklých </w:t>
      </w:r>
      <w:r w:rsidR="002C41FC" w:rsidRPr="004441DD">
        <w:rPr>
          <w:sz w:val="22"/>
          <w:szCs w:val="22"/>
          <w:lang w:val="sk-SK"/>
        </w:rPr>
        <w:t xml:space="preserve">farmakologických štúdií </w:t>
      </w:r>
      <w:r w:rsidRPr="004441DD">
        <w:rPr>
          <w:sz w:val="22"/>
          <w:szCs w:val="22"/>
          <w:lang w:val="sk-SK"/>
        </w:rPr>
        <w:t xml:space="preserve">bezpečnosti, toxicity po opakovanom </w:t>
      </w:r>
      <w:r w:rsidR="002C41FC" w:rsidRPr="004441DD">
        <w:rPr>
          <w:sz w:val="22"/>
          <w:szCs w:val="22"/>
          <w:lang w:val="sk-SK"/>
        </w:rPr>
        <w:t>podávaní</w:t>
      </w:r>
      <w:r w:rsidRPr="004441DD">
        <w:rPr>
          <w:sz w:val="22"/>
          <w:szCs w:val="22"/>
          <w:lang w:val="sk-SK"/>
        </w:rPr>
        <w:t xml:space="preserve">, genotoxicity, karcinogénneho potenciálu a reprodukčnej toxicity neodhalili žiadne osobitné </w:t>
      </w:r>
      <w:r w:rsidR="002C41FC" w:rsidRPr="004441DD">
        <w:rPr>
          <w:sz w:val="22"/>
          <w:szCs w:val="22"/>
          <w:lang w:val="sk-SK"/>
        </w:rPr>
        <w:t xml:space="preserve">riziko </w:t>
      </w:r>
      <w:r w:rsidRPr="004441DD">
        <w:rPr>
          <w:sz w:val="22"/>
          <w:szCs w:val="22"/>
          <w:lang w:val="sk-SK"/>
        </w:rPr>
        <w:t xml:space="preserve">pre ľudí. </w:t>
      </w:r>
    </w:p>
    <w:p w14:paraId="7E524663" w14:textId="77777777" w:rsidR="005412B9" w:rsidRPr="004441DD" w:rsidRDefault="005412B9">
      <w:pPr>
        <w:outlineLvl w:val="0"/>
        <w:rPr>
          <w:sz w:val="22"/>
          <w:szCs w:val="22"/>
          <w:lang w:val="sk-SK"/>
        </w:rPr>
      </w:pPr>
    </w:p>
    <w:p w14:paraId="356341C5" w14:textId="77777777" w:rsidR="005412B9" w:rsidRPr="004441DD" w:rsidRDefault="005412B9">
      <w:pPr>
        <w:outlineLvl w:val="0"/>
        <w:rPr>
          <w:sz w:val="22"/>
          <w:szCs w:val="22"/>
          <w:lang w:val="sk-SK"/>
        </w:rPr>
      </w:pPr>
    </w:p>
    <w:p w14:paraId="3BDEFB82" w14:textId="77777777" w:rsidR="005412B9" w:rsidRPr="004441DD" w:rsidRDefault="005412B9">
      <w:pPr>
        <w:keepNext/>
        <w:rPr>
          <w:b/>
          <w:sz w:val="22"/>
          <w:szCs w:val="22"/>
          <w:lang w:val="sk-SK"/>
        </w:rPr>
      </w:pPr>
      <w:r w:rsidRPr="004441DD">
        <w:rPr>
          <w:b/>
          <w:sz w:val="22"/>
          <w:szCs w:val="22"/>
          <w:lang w:val="sk-SK"/>
        </w:rPr>
        <w:t>6.</w:t>
      </w:r>
      <w:r w:rsidRPr="004441DD">
        <w:rPr>
          <w:b/>
          <w:sz w:val="22"/>
          <w:szCs w:val="22"/>
          <w:lang w:val="sk-SK"/>
        </w:rPr>
        <w:tab/>
        <w:t>FARMACEUTICKÉ INFORMÁCIE</w:t>
      </w:r>
    </w:p>
    <w:p w14:paraId="74637501" w14:textId="77777777" w:rsidR="005412B9" w:rsidRPr="004441DD" w:rsidRDefault="005412B9">
      <w:pPr>
        <w:keepNext/>
        <w:rPr>
          <w:sz w:val="22"/>
          <w:szCs w:val="22"/>
          <w:lang w:val="sk-SK"/>
        </w:rPr>
      </w:pPr>
    </w:p>
    <w:p w14:paraId="268C8BD8" w14:textId="77777777" w:rsidR="005412B9" w:rsidRPr="004441DD" w:rsidRDefault="005412B9">
      <w:pPr>
        <w:keepNext/>
        <w:rPr>
          <w:b/>
          <w:sz w:val="22"/>
          <w:szCs w:val="22"/>
          <w:lang w:val="sk-SK"/>
        </w:rPr>
      </w:pPr>
      <w:r w:rsidRPr="004441DD">
        <w:rPr>
          <w:b/>
          <w:sz w:val="22"/>
          <w:szCs w:val="22"/>
          <w:lang w:val="sk-SK"/>
        </w:rPr>
        <w:t>6.1</w:t>
      </w:r>
      <w:r w:rsidRPr="004441DD">
        <w:rPr>
          <w:b/>
          <w:sz w:val="22"/>
          <w:szCs w:val="22"/>
          <w:lang w:val="sk-SK"/>
        </w:rPr>
        <w:tab/>
        <w:t>Zoznam pomocných látok</w:t>
      </w:r>
    </w:p>
    <w:p w14:paraId="78DDA745" w14:textId="77777777" w:rsidR="003F189B" w:rsidRPr="004441DD" w:rsidRDefault="003F189B">
      <w:pPr>
        <w:keepNext/>
        <w:rPr>
          <w:sz w:val="22"/>
          <w:szCs w:val="22"/>
          <w:lang w:val="sk-SK"/>
        </w:rPr>
      </w:pPr>
    </w:p>
    <w:p w14:paraId="6A66FF0B" w14:textId="77777777" w:rsidR="005412B9" w:rsidRPr="004441DD" w:rsidRDefault="003F189B">
      <w:pPr>
        <w:keepNext/>
        <w:rPr>
          <w:sz w:val="22"/>
          <w:szCs w:val="22"/>
          <w:u w:val="single"/>
          <w:lang w:val="sk-SK"/>
        </w:rPr>
      </w:pPr>
      <w:r w:rsidRPr="004441DD">
        <w:rPr>
          <w:sz w:val="22"/>
          <w:szCs w:val="22"/>
          <w:u w:val="single"/>
          <w:lang w:val="sk-SK"/>
        </w:rPr>
        <w:t>Jadro tablety</w:t>
      </w:r>
    </w:p>
    <w:p w14:paraId="0C53484E" w14:textId="77777777" w:rsidR="003F189B" w:rsidRPr="004441DD" w:rsidRDefault="004C5F2B">
      <w:pPr>
        <w:pStyle w:val="SPCnormal"/>
        <w:rPr>
          <w:szCs w:val="22"/>
          <w:lang w:val="sk-SK" w:eastAsia="cs-CZ"/>
        </w:rPr>
      </w:pPr>
      <w:r w:rsidRPr="004441DD">
        <w:rPr>
          <w:szCs w:val="22"/>
          <w:lang w:val="sk-SK" w:eastAsia="cs-CZ"/>
        </w:rPr>
        <w:t>p</w:t>
      </w:r>
      <w:r w:rsidR="005412B9" w:rsidRPr="004441DD">
        <w:rPr>
          <w:szCs w:val="22"/>
          <w:lang w:val="sk-SK" w:eastAsia="cs-CZ"/>
        </w:rPr>
        <w:t>ovidón K</w:t>
      </w:r>
      <w:r w:rsidR="003F189B" w:rsidRPr="004441DD">
        <w:rPr>
          <w:szCs w:val="22"/>
          <w:lang w:val="sk-SK" w:eastAsia="cs-CZ"/>
        </w:rPr>
        <w:t> </w:t>
      </w:r>
      <w:r w:rsidR="005412B9" w:rsidRPr="004441DD">
        <w:rPr>
          <w:szCs w:val="22"/>
          <w:lang w:val="sk-SK" w:eastAsia="cs-CZ"/>
        </w:rPr>
        <w:t>30</w:t>
      </w:r>
    </w:p>
    <w:p w14:paraId="72097CC0" w14:textId="2C961CFE" w:rsidR="003F189B" w:rsidRPr="004441DD" w:rsidRDefault="006D4342">
      <w:pPr>
        <w:pStyle w:val="SPCnormal"/>
        <w:rPr>
          <w:szCs w:val="22"/>
          <w:lang w:val="sk-SK" w:eastAsia="cs-CZ"/>
        </w:rPr>
      </w:pPr>
      <w:r w:rsidRPr="004441DD">
        <w:rPr>
          <w:szCs w:val="22"/>
          <w:lang w:val="sk-SK" w:eastAsia="cs-CZ"/>
        </w:rPr>
        <w:t>ste</w:t>
      </w:r>
      <w:r w:rsidR="00CC56D9" w:rsidRPr="004441DD">
        <w:rPr>
          <w:szCs w:val="22"/>
          <w:lang w:val="sk-SK" w:eastAsia="cs-CZ"/>
        </w:rPr>
        <w:t>a</w:t>
      </w:r>
      <w:r w:rsidRPr="004441DD">
        <w:rPr>
          <w:szCs w:val="22"/>
          <w:lang w:val="sk-SK" w:eastAsia="cs-CZ"/>
        </w:rPr>
        <w:t>rát horečnatý</w:t>
      </w:r>
    </w:p>
    <w:p w14:paraId="7103B63A" w14:textId="77777777" w:rsidR="003F189B" w:rsidRPr="004441DD" w:rsidRDefault="003F189B">
      <w:pPr>
        <w:pStyle w:val="SPCnormal"/>
        <w:rPr>
          <w:szCs w:val="22"/>
          <w:lang w:val="sk-SK" w:eastAsia="cs-CZ"/>
        </w:rPr>
      </w:pPr>
    </w:p>
    <w:p w14:paraId="3672BF3D" w14:textId="77777777" w:rsidR="003F189B" w:rsidRPr="004441DD" w:rsidRDefault="003F189B">
      <w:pPr>
        <w:pStyle w:val="SPCnormal"/>
        <w:rPr>
          <w:szCs w:val="22"/>
          <w:u w:val="single"/>
          <w:lang w:val="sk-SK" w:eastAsia="cs-CZ"/>
        </w:rPr>
      </w:pPr>
      <w:r w:rsidRPr="004441DD">
        <w:rPr>
          <w:szCs w:val="22"/>
          <w:u w:val="single"/>
          <w:lang w:val="sk-SK" w:eastAsia="cs-CZ"/>
        </w:rPr>
        <w:t>Obal</w:t>
      </w:r>
    </w:p>
    <w:p w14:paraId="6B1F5DDA" w14:textId="77777777" w:rsidR="003F189B" w:rsidRPr="004441DD" w:rsidRDefault="004C5F2B">
      <w:pPr>
        <w:pStyle w:val="SPCnormal"/>
        <w:rPr>
          <w:szCs w:val="22"/>
          <w:lang w:val="sk-SK" w:eastAsia="cs-CZ"/>
        </w:rPr>
      </w:pPr>
      <w:r w:rsidRPr="004441DD">
        <w:rPr>
          <w:szCs w:val="22"/>
          <w:lang w:val="sk-SK" w:eastAsia="cs-CZ"/>
        </w:rPr>
        <w:t>h</w:t>
      </w:r>
      <w:r w:rsidR="005412B9" w:rsidRPr="004441DD">
        <w:rPr>
          <w:szCs w:val="22"/>
          <w:lang w:val="sk-SK" w:eastAsia="cs-CZ"/>
        </w:rPr>
        <w:t>ypromelóza</w:t>
      </w:r>
    </w:p>
    <w:p w14:paraId="2D60541B" w14:textId="77777777" w:rsidR="003F189B" w:rsidRPr="004441DD" w:rsidRDefault="004C5F2B">
      <w:pPr>
        <w:pStyle w:val="SPCnormal"/>
        <w:rPr>
          <w:szCs w:val="22"/>
          <w:lang w:val="sk-SK" w:eastAsia="cs-CZ"/>
        </w:rPr>
      </w:pPr>
      <w:r w:rsidRPr="004441DD">
        <w:rPr>
          <w:szCs w:val="22"/>
          <w:lang w:val="sk-SK" w:eastAsia="cs-CZ"/>
        </w:rPr>
        <w:t>m</w:t>
      </w:r>
      <w:r w:rsidR="005412B9" w:rsidRPr="004441DD">
        <w:rPr>
          <w:szCs w:val="22"/>
          <w:lang w:val="sk-SK" w:eastAsia="cs-CZ"/>
        </w:rPr>
        <w:t>akrogol 400</w:t>
      </w:r>
    </w:p>
    <w:p w14:paraId="63875677" w14:textId="77777777" w:rsidR="005412B9" w:rsidRPr="004441DD" w:rsidRDefault="004C5F2B">
      <w:pPr>
        <w:pStyle w:val="SPCnormal"/>
        <w:rPr>
          <w:szCs w:val="22"/>
          <w:lang w:val="sk-SK" w:eastAsia="cs-CZ"/>
        </w:rPr>
      </w:pPr>
      <w:r w:rsidRPr="004441DD">
        <w:rPr>
          <w:szCs w:val="22"/>
          <w:lang w:val="sk-SK" w:eastAsia="cs-CZ"/>
        </w:rPr>
        <w:t>m</w:t>
      </w:r>
      <w:r w:rsidR="005412B9" w:rsidRPr="004441DD">
        <w:rPr>
          <w:szCs w:val="22"/>
          <w:lang w:val="sk-SK" w:eastAsia="cs-CZ"/>
        </w:rPr>
        <w:t>akrogol 8000</w:t>
      </w:r>
    </w:p>
    <w:p w14:paraId="5A0CF815" w14:textId="77777777" w:rsidR="005412B9" w:rsidRPr="004441DD" w:rsidRDefault="005412B9">
      <w:pPr>
        <w:keepNext/>
        <w:outlineLvl w:val="0"/>
        <w:rPr>
          <w:sz w:val="22"/>
          <w:szCs w:val="22"/>
          <w:lang w:val="sk-SK"/>
        </w:rPr>
      </w:pPr>
    </w:p>
    <w:p w14:paraId="3E962A33" w14:textId="77777777" w:rsidR="005412B9" w:rsidRPr="004441DD" w:rsidRDefault="005412B9">
      <w:pPr>
        <w:keepNext/>
        <w:rPr>
          <w:sz w:val="22"/>
          <w:szCs w:val="22"/>
          <w:lang w:val="sk-SK"/>
        </w:rPr>
      </w:pPr>
      <w:r w:rsidRPr="004441DD">
        <w:rPr>
          <w:b/>
          <w:sz w:val="22"/>
          <w:szCs w:val="22"/>
          <w:lang w:val="sk-SK"/>
        </w:rPr>
        <w:t>6.2</w:t>
      </w:r>
      <w:r w:rsidRPr="004441DD">
        <w:rPr>
          <w:b/>
          <w:sz w:val="22"/>
          <w:szCs w:val="22"/>
          <w:lang w:val="sk-SK"/>
        </w:rPr>
        <w:tab/>
        <w:t>Inkompatibility</w:t>
      </w:r>
    </w:p>
    <w:p w14:paraId="21DDC7F0" w14:textId="77777777" w:rsidR="005412B9" w:rsidRPr="004441DD" w:rsidRDefault="005412B9">
      <w:pPr>
        <w:keepNext/>
        <w:rPr>
          <w:sz w:val="22"/>
          <w:szCs w:val="22"/>
          <w:lang w:val="sk-SK"/>
        </w:rPr>
      </w:pPr>
    </w:p>
    <w:p w14:paraId="544BFAC2" w14:textId="77777777" w:rsidR="005412B9" w:rsidRPr="004441DD" w:rsidRDefault="005412B9">
      <w:pPr>
        <w:rPr>
          <w:sz w:val="22"/>
          <w:szCs w:val="22"/>
          <w:lang w:val="sk-SK"/>
        </w:rPr>
      </w:pPr>
      <w:r w:rsidRPr="004441DD">
        <w:rPr>
          <w:sz w:val="22"/>
          <w:szCs w:val="22"/>
          <w:lang w:val="sk-SK"/>
        </w:rPr>
        <w:t>Neaplikovateľné.</w:t>
      </w:r>
    </w:p>
    <w:p w14:paraId="01DFC3A4" w14:textId="77777777" w:rsidR="005412B9" w:rsidRPr="004441DD" w:rsidRDefault="005412B9">
      <w:pPr>
        <w:rPr>
          <w:sz w:val="22"/>
          <w:szCs w:val="22"/>
          <w:lang w:val="sk-SK"/>
        </w:rPr>
      </w:pPr>
    </w:p>
    <w:p w14:paraId="006111EB" w14:textId="77777777" w:rsidR="005412B9" w:rsidRPr="004441DD" w:rsidRDefault="005412B9">
      <w:pPr>
        <w:keepNext/>
        <w:rPr>
          <w:sz w:val="22"/>
          <w:szCs w:val="22"/>
          <w:lang w:val="sk-SK"/>
        </w:rPr>
      </w:pPr>
      <w:r w:rsidRPr="004441DD">
        <w:rPr>
          <w:b/>
          <w:sz w:val="22"/>
          <w:szCs w:val="22"/>
          <w:lang w:val="sk-SK"/>
        </w:rPr>
        <w:t>6.3</w:t>
      </w:r>
      <w:r w:rsidRPr="004441DD">
        <w:rPr>
          <w:b/>
          <w:sz w:val="22"/>
          <w:szCs w:val="22"/>
          <w:lang w:val="sk-SK"/>
        </w:rPr>
        <w:tab/>
        <w:t>Čas použiteľnosti</w:t>
      </w:r>
    </w:p>
    <w:p w14:paraId="26F925B6" w14:textId="77777777" w:rsidR="005412B9" w:rsidRPr="004441DD" w:rsidRDefault="005412B9">
      <w:pPr>
        <w:keepNext/>
        <w:rPr>
          <w:sz w:val="22"/>
          <w:szCs w:val="22"/>
          <w:lang w:val="sk-SK"/>
        </w:rPr>
      </w:pPr>
    </w:p>
    <w:p w14:paraId="3F289094" w14:textId="15E2F778" w:rsidR="005412B9" w:rsidRPr="004441DD" w:rsidRDefault="006D4342">
      <w:pPr>
        <w:rPr>
          <w:sz w:val="22"/>
          <w:szCs w:val="22"/>
          <w:lang w:val="sk-SK"/>
        </w:rPr>
      </w:pPr>
      <w:r w:rsidRPr="004441DD">
        <w:rPr>
          <w:sz w:val="22"/>
          <w:szCs w:val="22"/>
          <w:lang w:val="sk-SK"/>
        </w:rPr>
        <w:t xml:space="preserve">4 </w:t>
      </w:r>
      <w:r w:rsidR="005412B9" w:rsidRPr="004441DD">
        <w:rPr>
          <w:sz w:val="22"/>
          <w:szCs w:val="22"/>
          <w:lang w:val="sk-SK"/>
        </w:rPr>
        <w:t>roky</w:t>
      </w:r>
    </w:p>
    <w:p w14:paraId="123F42B4" w14:textId="77777777" w:rsidR="005412B9" w:rsidRPr="004441DD" w:rsidRDefault="005412B9">
      <w:pPr>
        <w:rPr>
          <w:sz w:val="22"/>
          <w:szCs w:val="22"/>
          <w:lang w:val="sk-SK"/>
        </w:rPr>
      </w:pPr>
    </w:p>
    <w:p w14:paraId="1FEEAB11" w14:textId="77777777" w:rsidR="005412B9" w:rsidRPr="004441DD" w:rsidRDefault="005412B9">
      <w:pPr>
        <w:keepNext/>
        <w:rPr>
          <w:sz w:val="22"/>
          <w:szCs w:val="22"/>
          <w:lang w:val="sk-SK"/>
        </w:rPr>
      </w:pPr>
      <w:r w:rsidRPr="004441DD">
        <w:rPr>
          <w:b/>
          <w:sz w:val="22"/>
          <w:szCs w:val="22"/>
          <w:lang w:val="sk-SK"/>
        </w:rPr>
        <w:t>6.4</w:t>
      </w:r>
      <w:r w:rsidRPr="004441DD">
        <w:rPr>
          <w:b/>
          <w:sz w:val="22"/>
          <w:szCs w:val="22"/>
          <w:lang w:val="sk-SK"/>
        </w:rPr>
        <w:tab/>
        <w:t>Špeciálne upozornenia na uchovávanie</w:t>
      </w:r>
    </w:p>
    <w:p w14:paraId="22255D15" w14:textId="77777777" w:rsidR="005412B9" w:rsidRPr="004441DD" w:rsidRDefault="005412B9">
      <w:pPr>
        <w:keepNext/>
        <w:rPr>
          <w:sz w:val="22"/>
          <w:szCs w:val="22"/>
          <w:lang w:val="sk-SK"/>
        </w:rPr>
      </w:pPr>
    </w:p>
    <w:p w14:paraId="0E70A10F" w14:textId="77777777" w:rsidR="005412B9" w:rsidRPr="004441DD" w:rsidRDefault="005412B9">
      <w:pPr>
        <w:rPr>
          <w:sz w:val="22"/>
          <w:szCs w:val="22"/>
          <w:lang w:val="sk-SK"/>
        </w:rPr>
      </w:pPr>
      <w:r w:rsidRPr="004441DD">
        <w:rPr>
          <w:sz w:val="22"/>
          <w:szCs w:val="22"/>
          <w:lang w:val="sk-SK"/>
        </w:rPr>
        <w:t>Tento liek nevyžaduje žiadne zvláštne podmienky na uchovávanie.</w:t>
      </w:r>
    </w:p>
    <w:p w14:paraId="11DF794B" w14:textId="77777777" w:rsidR="005412B9" w:rsidRPr="004441DD" w:rsidRDefault="005412B9">
      <w:pPr>
        <w:rPr>
          <w:sz w:val="22"/>
          <w:szCs w:val="22"/>
          <w:lang w:val="sk-SK"/>
        </w:rPr>
      </w:pPr>
    </w:p>
    <w:p w14:paraId="453CF89B" w14:textId="77777777" w:rsidR="005412B9" w:rsidRPr="004441DD" w:rsidRDefault="005412B9">
      <w:pPr>
        <w:keepNext/>
        <w:rPr>
          <w:sz w:val="22"/>
          <w:szCs w:val="22"/>
          <w:lang w:val="sk-SK"/>
        </w:rPr>
      </w:pPr>
      <w:r w:rsidRPr="004441DD">
        <w:rPr>
          <w:b/>
          <w:sz w:val="22"/>
          <w:szCs w:val="22"/>
          <w:lang w:val="sk-SK"/>
        </w:rPr>
        <w:t>6.5</w:t>
      </w:r>
      <w:r w:rsidRPr="004441DD">
        <w:rPr>
          <w:b/>
          <w:sz w:val="22"/>
          <w:szCs w:val="22"/>
          <w:lang w:val="sk-SK"/>
        </w:rPr>
        <w:tab/>
        <w:t>Druh obalu a obsah balenia</w:t>
      </w:r>
      <w:r w:rsidRPr="004441DD">
        <w:rPr>
          <w:b/>
          <w:color w:val="0000FF"/>
          <w:sz w:val="22"/>
          <w:szCs w:val="22"/>
          <w:lang w:val="sk-SK"/>
        </w:rPr>
        <w:t xml:space="preserve"> </w:t>
      </w:r>
    </w:p>
    <w:p w14:paraId="4F1A1B4A" w14:textId="77777777" w:rsidR="005412B9" w:rsidRPr="004441DD" w:rsidRDefault="005412B9">
      <w:pPr>
        <w:keepNext/>
        <w:rPr>
          <w:sz w:val="22"/>
          <w:szCs w:val="22"/>
          <w:lang w:val="sk-SK"/>
        </w:rPr>
      </w:pPr>
    </w:p>
    <w:p w14:paraId="3795BC93" w14:textId="77777777" w:rsidR="002F7976" w:rsidRPr="004441DD" w:rsidRDefault="002F7976">
      <w:pPr>
        <w:pStyle w:val="SPCnormal"/>
        <w:rPr>
          <w:szCs w:val="22"/>
          <w:lang w:val="sk-SK" w:eastAsia="cs-CZ"/>
        </w:rPr>
      </w:pPr>
      <w:r w:rsidRPr="004441DD">
        <w:rPr>
          <w:szCs w:val="22"/>
          <w:lang w:val="sk-SK" w:eastAsia="cs-CZ"/>
        </w:rPr>
        <w:t>1(x30), 20, 30, 50, 60, 90, 100, 120, 180 alebo 600 tabliet v blistrovom balení (PVC/Al).</w:t>
      </w:r>
    </w:p>
    <w:p w14:paraId="06703350" w14:textId="77777777" w:rsidR="002F7976" w:rsidRPr="004441DD" w:rsidRDefault="002F7976">
      <w:pPr>
        <w:keepNext/>
        <w:rPr>
          <w:sz w:val="22"/>
          <w:szCs w:val="22"/>
          <w:lang w:val="sk-SK"/>
        </w:rPr>
      </w:pPr>
      <w:r w:rsidRPr="004441DD">
        <w:rPr>
          <w:sz w:val="22"/>
          <w:szCs w:val="22"/>
          <w:lang w:val="sk-SK"/>
        </w:rPr>
        <w:t>20, 30, 50, 60, 90, 100, 120, 180 alebo 600 tabliet vo fľaši z plastu (polyetylén) s uzáverom s detskou poistkou (polypropylén).</w:t>
      </w:r>
    </w:p>
    <w:p w14:paraId="196D4AB9" w14:textId="77777777" w:rsidR="005412B9" w:rsidRPr="004441DD" w:rsidRDefault="005412B9">
      <w:pPr>
        <w:rPr>
          <w:sz w:val="22"/>
          <w:szCs w:val="22"/>
          <w:lang w:val="sk-SK"/>
        </w:rPr>
      </w:pPr>
    </w:p>
    <w:p w14:paraId="10D859B3" w14:textId="77777777" w:rsidR="00DE3E7A" w:rsidRPr="004441DD" w:rsidRDefault="00DE3E7A">
      <w:pPr>
        <w:rPr>
          <w:sz w:val="22"/>
          <w:szCs w:val="22"/>
          <w:lang w:val="sk-SK"/>
        </w:rPr>
      </w:pPr>
      <w:r w:rsidRPr="004441DD">
        <w:rPr>
          <w:sz w:val="22"/>
          <w:szCs w:val="22"/>
          <w:lang w:val="sk-SK"/>
        </w:rPr>
        <w:t>Na trh nemusia byť uvedené všetky veľkosti balenia.</w:t>
      </w:r>
    </w:p>
    <w:p w14:paraId="56F5EE3C" w14:textId="77777777" w:rsidR="00DE3E7A" w:rsidRPr="004441DD" w:rsidRDefault="00DE3E7A">
      <w:pPr>
        <w:rPr>
          <w:sz w:val="22"/>
          <w:szCs w:val="22"/>
          <w:lang w:val="sk-SK"/>
        </w:rPr>
      </w:pPr>
    </w:p>
    <w:p w14:paraId="33C15534" w14:textId="77777777" w:rsidR="005412B9" w:rsidRPr="004441DD" w:rsidRDefault="00DE3E7A">
      <w:pPr>
        <w:keepNext/>
        <w:rPr>
          <w:b/>
          <w:sz w:val="22"/>
          <w:szCs w:val="22"/>
          <w:lang w:val="sk-SK"/>
        </w:rPr>
      </w:pPr>
      <w:r w:rsidRPr="004441DD">
        <w:rPr>
          <w:sz w:val="22"/>
          <w:szCs w:val="22"/>
          <w:lang w:val="sk-SK"/>
        </w:rPr>
        <w:t xml:space="preserve"> </w:t>
      </w:r>
      <w:r w:rsidR="005412B9" w:rsidRPr="004441DD">
        <w:rPr>
          <w:b/>
          <w:sz w:val="22"/>
          <w:szCs w:val="22"/>
          <w:lang w:val="sk-SK"/>
        </w:rPr>
        <w:t>6.6</w:t>
      </w:r>
      <w:r w:rsidR="005412B9" w:rsidRPr="004441DD">
        <w:rPr>
          <w:b/>
          <w:sz w:val="22"/>
          <w:szCs w:val="22"/>
          <w:lang w:val="sk-SK"/>
        </w:rPr>
        <w:tab/>
        <w:t xml:space="preserve">Špeciálne opatrenia na likvidáciu </w:t>
      </w:r>
    </w:p>
    <w:p w14:paraId="1AEE8AD4" w14:textId="77777777" w:rsidR="005412B9" w:rsidRPr="004441DD" w:rsidRDefault="005412B9">
      <w:pPr>
        <w:keepNext/>
        <w:rPr>
          <w:b/>
          <w:sz w:val="22"/>
          <w:szCs w:val="22"/>
          <w:lang w:val="sk-SK"/>
        </w:rPr>
      </w:pPr>
    </w:p>
    <w:p w14:paraId="4C509FD0" w14:textId="77777777" w:rsidR="00997D2F" w:rsidRPr="004441DD" w:rsidRDefault="003C5C61">
      <w:pPr>
        <w:rPr>
          <w:sz w:val="22"/>
          <w:szCs w:val="22"/>
          <w:lang w:val="sk-SK"/>
        </w:rPr>
      </w:pPr>
      <w:r w:rsidRPr="004441DD">
        <w:rPr>
          <w:sz w:val="22"/>
          <w:szCs w:val="22"/>
          <w:lang w:val="sk-SK"/>
        </w:rPr>
        <w:t xml:space="preserve">Všetok nepoužitý </w:t>
      </w:r>
      <w:r w:rsidR="005412B9" w:rsidRPr="004441DD">
        <w:rPr>
          <w:sz w:val="22"/>
          <w:szCs w:val="22"/>
          <w:lang w:val="sk-SK"/>
        </w:rPr>
        <w:t xml:space="preserve">liek alebo odpad vzniknutý z lieku má byť </w:t>
      </w:r>
      <w:r w:rsidR="00D10047" w:rsidRPr="004441DD">
        <w:rPr>
          <w:sz w:val="22"/>
          <w:szCs w:val="22"/>
          <w:lang w:val="sk-SK"/>
        </w:rPr>
        <w:t xml:space="preserve">zlikvidovaný v súlade </w:t>
      </w:r>
      <w:r w:rsidR="00997D2F" w:rsidRPr="004441DD">
        <w:rPr>
          <w:sz w:val="22"/>
          <w:szCs w:val="22"/>
          <w:lang w:val="sk-SK"/>
        </w:rPr>
        <w:t>s národnými požiadavkami.</w:t>
      </w:r>
    </w:p>
    <w:p w14:paraId="4C0FBC43" w14:textId="77777777" w:rsidR="005412B9" w:rsidRPr="004441DD" w:rsidRDefault="005412B9">
      <w:pPr>
        <w:rPr>
          <w:sz w:val="22"/>
          <w:szCs w:val="22"/>
          <w:lang w:val="sk-SK"/>
        </w:rPr>
      </w:pPr>
    </w:p>
    <w:p w14:paraId="12B63E0B" w14:textId="77777777" w:rsidR="005412B9" w:rsidRPr="004441DD" w:rsidRDefault="005412B9">
      <w:pPr>
        <w:rPr>
          <w:sz w:val="22"/>
          <w:szCs w:val="22"/>
          <w:lang w:val="sk-SK"/>
        </w:rPr>
      </w:pPr>
    </w:p>
    <w:p w14:paraId="7476EE74" w14:textId="77777777" w:rsidR="005412B9" w:rsidRPr="004441DD" w:rsidRDefault="005412B9">
      <w:pPr>
        <w:rPr>
          <w:b/>
          <w:sz w:val="22"/>
          <w:szCs w:val="22"/>
          <w:lang w:val="sk-SK"/>
        </w:rPr>
      </w:pPr>
      <w:r w:rsidRPr="004441DD">
        <w:rPr>
          <w:b/>
          <w:sz w:val="22"/>
          <w:szCs w:val="22"/>
          <w:lang w:val="sk-SK"/>
        </w:rPr>
        <w:t>7.</w:t>
      </w:r>
      <w:r w:rsidRPr="004441DD">
        <w:rPr>
          <w:b/>
          <w:sz w:val="22"/>
          <w:szCs w:val="22"/>
          <w:lang w:val="sk-SK"/>
        </w:rPr>
        <w:tab/>
        <w:t>DRŽITEĽ ROZHODNUTIA O REGISTRÁCII</w:t>
      </w:r>
    </w:p>
    <w:p w14:paraId="11A6DCC4" w14:textId="77777777" w:rsidR="005412B9" w:rsidRPr="004441DD" w:rsidRDefault="005412B9">
      <w:pPr>
        <w:rPr>
          <w:sz w:val="22"/>
          <w:szCs w:val="22"/>
          <w:lang w:val="sk-SK"/>
        </w:rPr>
      </w:pPr>
    </w:p>
    <w:p w14:paraId="49701229" w14:textId="77777777" w:rsidR="00997D2F" w:rsidRPr="004441DD" w:rsidRDefault="00997D2F">
      <w:pPr>
        <w:pStyle w:val="Zkladntext"/>
        <w:jc w:val="left"/>
        <w:rPr>
          <w:rFonts w:ascii="Times New Roman" w:hAnsi="Times New Roman" w:cs="Times New Roman"/>
          <w:sz w:val="22"/>
          <w:szCs w:val="22"/>
        </w:rPr>
      </w:pPr>
      <w:r w:rsidRPr="004441DD">
        <w:rPr>
          <w:rFonts w:ascii="Times New Roman" w:hAnsi="Times New Roman" w:cs="Times New Roman"/>
          <w:sz w:val="22"/>
          <w:szCs w:val="22"/>
        </w:rPr>
        <w:t xml:space="preserve">Merck Santé s.a.s., </w:t>
      </w:r>
      <w:r w:rsidR="00974E6E" w:rsidRPr="004441DD">
        <w:rPr>
          <w:rFonts w:ascii="Times New Roman" w:hAnsi="Times New Roman" w:cs="Times New Roman"/>
          <w:sz w:val="22"/>
          <w:szCs w:val="22"/>
        </w:rPr>
        <w:t>37 rue Saint Romain,</w:t>
      </w:r>
      <w:r w:rsidR="00974E6E" w:rsidRPr="004441DD">
        <w:rPr>
          <w:sz w:val="22"/>
        </w:rPr>
        <w:t xml:space="preserve"> </w:t>
      </w:r>
      <w:r w:rsidRPr="004441DD">
        <w:rPr>
          <w:rFonts w:ascii="Times New Roman" w:hAnsi="Times New Roman" w:cs="Times New Roman"/>
          <w:sz w:val="22"/>
          <w:szCs w:val="22"/>
        </w:rPr>
        <w:t>Lyon, Francúzsko</w:t>
      </w:r>
    </w:p>
    <w:p w14:paraId="6B758941" w14:textId="77777777" w:rsidR="00997D2F" w:rsidRPr="004441DD" w:rsidRDefault="00997D2F">
      <w:pPr>
        <w:rPr>
          <w:sz w:val="22"/>
          <w:szCs w:val="22"/>
          <w:lang w:val="sk-SK"/>
        </w:rPr>
      </w:pPr>
    </w:p>
    <w:p w14:paraId="171F8511" w14:textId="77777777" w:rsidR="001F77B5" w:rsidRPr="004441DD" w:rsidRDefault="001F77B5">
      <w:pPr>
        <w:rPr>
          <w:sz w:val="22"/>
          <w:szCs w:val="22"/>
          <w:lang w:val="sk-SK"/>
        </w:rPr>
      </w:pPr>
    </w:p>
    <w:p w14:paraId="2F4099CB" w14:textId="77777777" w:rsidR="005412B9" w:rsidRPr="004441DD" w:rsidRDefault="005412B9">
      <w:pPr>
        <w:rPr>
          <w:b/>
          <w:sz w:val="22"/>
          <w:szCs w:val="22"/>
          <w:lang w:val="sk-SK"/>
        </w:rPr>
      </w:pPr>
      <w:r w:rsidRPr="004441DD">
        <w:rPr>
          <w:b/>
          <w:sz w:val="22"/>
          <w:szCs w:val="22"/>
          <w:lang w:val="sk-SK"/>
        </w:rPr>
        <w:t>8.</w:t>
      </w:r>
      <w:r w:rsidRPr="004441DD">
        <w:rPr>
          <w:b/>
          <w:sz w:val="22"/>
          <w:szCs w:val="22"/>
          <w:lang w:val="sk-SK"/>
        </w:rPr>
        <w:tab/>
        <w:t xml:space="preserve">REGISTRAČNÉ ČÍSLO </w:t>
      </w:r>
    </w:p>
    <w:p w14:paraId="5C58D890" w14:textId="77777777" w:rsidR="005412B9" w:rsidRPr="004441DD" w:rsidRDefault="005412B9">
      <w:pPr>
        <w:rPr>
          <w:i/>
          <w:sz w:val="22"/>
          <w:szCs w:val="22"/>
          <w:lang w:val="sk-SK"/>
        </w:rPr>
      </w:pPr>
    </w:p>
    <w:p w14:paraId="5778E1A8" w14:textId="77777777" w:rsidR="005412B9" w:rsidRPr="004441DD" w:rsidRDefault="005412B9">
      <w:pPr>
        <w:rPr>
          <w:sz w:val="22"/>
          <w:szCs w:val="22"/>
          <w:lang w:val="sk-SK"/>
        </w:rPr>
      </w:pPr>
      <w:r w:rsidRPr="004441DD">
        <w:rPr>
          <w:sz w:val="22"/>
          <w:szCs w:val="22"/>
          <w:lang w:val="sk-SK"/>
        </w:rPr>
        <w:t>18/0589/08-S</w:t>
      </w:r>
    </w:p>
    <w:p w14:paraId="5375BF99" w14:textId="77777777" w:rsidR="009C7B99" w:rsidRPr="004441DD" w:rsidRDefault="009C7B99">
      <w:pPr>
        <w:rPr>
          <w:sz w:val="22"/>
          <w:szCs w:val="22"/>
          <w:lang w:val="sk-SK"/>
        </w:rPr>
      </w:pPr>
    </w:p>
    <w:p w14:paraId="67443B0E" w14:textId="77777777" w:rsidR="009C7B99" w:rsidRPr="004441DD" w:rsidRDefault="009C7B99">
      <w:pPr>
        <w:rPr>
          <w:sz w:val="22"/>
          <w:szCs w:val="22"/>
          <w:lang w:val="sk-SK"/>
        </w:rPr>
      </w:pPr>
    </w:p>
    <w:p w14:paraId="3F9A6632" w14:textId="77777777" w:rsidR="005412B9" w:rsidRPr="004441DD" w:rsidRDefault="005412B9">
      <w:pPr>
        <w:rPr>
          <w:b/>
          <w:sz w:val="22"/>
          <w:szCs w:val="22"/>
          <w:lang w:val="sk-SK"/>
        </w:rPr>
      </w:pPr>
      <w:r w:rsidRPr="004441DD">
        <w:rPr>
          <w:b/>
          <w:sz w:val="22"/>
          <w:szCs w:val="22"/>
          <w:lang w:val="sk-SK"/>
        </w:rPr>
        <w:t>9.</w:t>
      </w:r>
      <w:r w:rsidRPr="004441DD">
        <w:rPr>
          <w:b/>
          <w:sz w:val="22"/>
          <w:szCs w:val="22"/>
          <w:lang w:val="sk-SK"/>
        </w:rPr>
        <w:tab/>
        <w:t>DÁTUM PRVEJ REGISTRÁCIE/ PREDĹŽENIA REGISTRÁCIE</w:t>
      </w:r>
    </w:p>
    <w:p w14:paraId="214F6B66" w14:textId="77777777" w:rsidR="005412B9" w:rsidRPr="004441DD" w:rsidRDefault="005412B9">
      <w:pPr>
        <w:rPr>
          <w:sz w:val="22"/>
          <w:szCs w:val="22"/>
          <w:lang w:val="sk-SK"/>
        </w:rPr>
      </w:pPr>
    </w:p>
    <w:p w14:paraId="7ED7FCB8" w14:textId="77777777" w:rsidR="005412B9" w:rsidRPr="004441DD" w:rsidRDefault="00DE3E7A">
      <w:pPr>
        <w:rPr>
          <w:sz w:val="22"/>
          <w:szCs w:val="22"/>
          <w:lang w:val="sk-SK"/>
        </w:rPr>
      </w:pPr>
      <w:r w:rsidRPr="00C270A9">
        <w:rPr>
          <w:sz w:val="22"/>
          <w:szCs w:val="22"/>
          <w:lang w:val="sk-SK"/>
        </w:rPr>
        <w:t>Dátum prvej registrácie</w:t>
      </w:r>
      <w:r w:rsidRPr="004441DD">
        <w:rPr>
          <w:sz w:val="22"/>
          <w:szCs w:val="22"/>
          <w:lang w:val="sk-SK"/>
        </w:rPr>
        <w:t xml:space="preserve">: </w:t>
      </w:r>
      <w:r w:rsidR="005412B9" w:rsidRPr="004441DD">
        <w:rPr>
          <w:sz w:val="22"/>
          <w:szCs w:val="22"/>
          <w:lang w:val="sk-SK"/>
        </w:rPr>
        <w:t>5.</w:t>
      </w:r>
      <w:r w:rsidR="00E5441A" w:rsidRPr="004441DD">
        <w:rPr>
          <w:sz w:val="22"/>
          <w:szCs w:val="22"/>
          <w:lang w:val="sk-SK"/>
        </w:rPr>
        <w:t xml:space="preserve"> novembr</w:t>
      </w:r>
      <w:r w:rsidR="007175CC" w:rsidRPr="004441DD">
        <w:rPr>
          <w:sz w:val="22"/>
          <w:szCs w:val="22"/>
          <w:lang w:val="sk-SK"/>
        </w:rPr>
        <w:t>a</w:t>
      </w:r>
      <w:r w:rsidR="00E5441A" w:rsidRPr="004441DD">
        <w:rPr>
          <w:sz w:val="22"/>
          <w:szCs w:val="22"/>
          <w:lang w:val="sk-SK"/>
        </w:rPr>
        <w:t xml:space="preserve"> </w:t>
      </w:r>
      <w:r w:rsidR="005412B9" w:rsidRPr="004441DD">
        <w:rPr>
          <w:sz w:val="22"/>
          <w:szCs w:val="22"/>
          <w:lang w:val="sk-SK"/>
        </w:rPr>
        <w:t>2008</w:t>
      </w:r>
    </w:p>
    <w:p w14:paraId="3F0728CA" w14:textId="77777777" w:rsidR="00636B1B" w:rsidRPr="004441DD" w:rsidRDefault="00636B1B">
      <w:pPr>
        <w:rPr>
          <w:sz w:val="22"/>
          <w:szCs w:val="22"/>
          <w:lang w:val="sk-SK"/>
        </w:rPr>
      </w:pPr>
      <w:r w:rsidRPr="00C270A9">
        <w:rPr>
          <w:sz w:val="22"/>
          <w:szCs w:val="22"/>
          <w:lang w:val="sk-SK"/>
        </w:rPr>
        <w:t>Dátum posledného predĺženia registrácie</w:t>
      </w:r>
      <w:r w:rsidRPr="004441DD">
        <w:rPr>
          <w:sz w:val="22"/>
          <w:szCs w:val="22"/>
          <w:lang w:val="sk-SK"/>
        </w:rPr>
        <w:t>:</w:t>
      </w:r>
      <w:r w:rsidR="006711F7" w:rsidRPr="004441DD">
        <w:rPr>
          <w:sz w:val="22"/>
          <w:szCs w:val="22"/>
          <w:lang w:val="sk-SK"/>
        </w:rPr>
        <w:t xml:space="preserve"> 20.</w:t>
      </w:r>
      <w:r w:rsidR="00E5441A" w:rsidRPr="004441DD">
        <w:rPr>
          <w:sz w:val="22"/>
          <w:szCs w:val="22"/>
          <w:lang w:val="sk-SK"/>
        </w:rPr>
        <w:t xml:space="preserve"> apríl</w:t>
      </w:r>
      <w:r w:rsidR="007175CC" w:rsidRPr="004441DD">
        <w:rPr>
          <w:sz w:val="22"/>
          <w:szCs w:val="22"/>
          <w:lang w:val="sk-SK"/>
        </w:rPr>
        <w:t>a</w:t>
      </w:r>
      <w:r w:rsidR="00E5441A" w:rsidRPr="004441DD">
        <w:rPr>
          <w:sz w:val="22"/>
          <w:szCs w:val="22"/>
          <w:lang w:val="sk-SK"/>
        </w:rPr>
        <w:t xml:space="preserve"> </w:t>
      </w:r>
      <w:r w:rsidR="006711F7" w:rsidRPr="004441DD">
        <w:rPr>
          <w:sz w:val="22"/>
          <w:szCs w:val="22"/>
          <w:lang w:val="sk-SK"/>
        </w:rPr>
        <w:t>2015</w:t>
      </w:r>
    </w:p>
    <w:p w14:paraId="10B4904C" w14:textId="77777777" w:rsidR="00DE3E7A" w:rsidRPr="004441DD" w:rsidRDefault="00DE3E7A">
      <w:pPr>
        <w:rPr>
          <w:sz w:val="22"/>
          <w:szCs w:val="22"/>
          <w:lang w:val="sk-SK"/>
        </w:rPr>
      </w:pPr>
    </w:p>
    <w:p w14:paraId="7A106EF3" w14:textId="77777777" w:rsidR="005412B9" w:rsidRPr="004441DD" w:rsidRDefault="005412B9">
      <w:pPr>
        <w:rPr>
          <w:sz w:val="22"/>
          <w:szCs w:val="22"/>
          <w:lang w:val="sk-SK"/>
        </w:rPr>
      </w:pPr>
    </w:p>
    <w:p w14:paraId="637D5B15" w14:textId="77777777" w:rsidR="005412B9" w:rsidRPr="004441DD" w:rsidRDefault="005412B9">
      <w:pPr>
        <w:rPr>
          <w:b/>
          <w:sz w:val="22"/>
          <w:szCs w:val="22"/>
          <w:lang w:val="sk-SK"/>
        </w:rPr>
      </w:pPr>
      <w:r w:rsidRPr="004441DD">
        <w:rPr>
          <w:b/>
          <w:sz w:val="22"/>
          <w:szCs w:val="22"/>
          <w:lang w:val="sk-SK"/>
        </w:rPr>
        <w:t>10.</w:t>
      </w:r>
      <w:r w:rsidRPr="004441DD">
        <w:rPr>
          <w:b/>
          <w:sz w:val="22"/>
          <w:szCs w:val="22"/>
          <w:lang w:val="sk-SK"/>
        </w:rPr>
        <w:tab/>
        <w:t>DÁTUM REVÍZIE TEXTU</w:t>
      </w:r>
    </w:p>
    <w:p w14:paraId="5B1C29BE" w14:textId="77777777" w:rsidR="009C7B99" w:rsidRPr="004441DD" w:rsidRDefault="009C7B99">
      <w:pPr>
        <w:rPr>
          <w:b/>
          <w:sz w:val="22"/>
          <w:szCs w:val="22"/>
          <w:lang w:val="sk-SK"/>
        </w:rPr>
      </w:pPr>
    </w:p>
    <w:p w14:paraId="627A3430" w14:textId="0C07CDBB" w:rsidR="005412B9" w:rsidRPr="004441DD" w:rsidRDefault="00647D5A">
      <w:pPr>
        <w:rPr>
          <w:sz w:val="22"/>
          <w:szCs w:val="22"/>
          <w:lang w:val="sk-SK"/>
        </w:rPr>
      </w:pPr>
      <w:r w:rsidRPr="004441DD">
        <w:rPr>
          <w:sz w:val="22"/>
          <w:szCs w:val="22"/>
          <w:lang w:val="sk-SK"/>
        </w:rPr>
        <w:t>03/2022</w:t>
      </w:r>
    </w:p>
    <w:sectPr w:rsidR="005412B9" w:rsidRPr="004441DD" w:rsidSect="00EC46A9">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B2A31" w14:textId="77777777" w:rsidR="00A657CB" w:rsidRDefault="00A657CB">
      <w:r>
        <w:separator/>
      </w:r>
    </w:p>
  </w:endnote>
  <w:endnote w:type="continuationSeparator" w:id="0">
    <w:p w14:paraId="1AB3DC4F" w14:textId="77777777" w:rsidR="00A657CB" w:rsidRDefault="00A6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QUOWUE+Verdana">
    <w:altName w:val="Verdana"/>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C7FC9" w14:textId="77777777" w:rsidR="00A657CB" w:rsidRDefault="00A657C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8</w:t>
    </w:r>
    <w:r>
      <w:rPr>
        <w:rStyle w:val="slostrany"/>
      </w:rPr>
      <w:fldChar w:fldCharType="end"/>
    </w:r>
  </w:p>
  <w:p w14:paraId="491F388E" w14:textId="77777777" w:rsidR="00A657CB" w:rsidRDefault="00A657C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821658"/>
      <w:docPartObj>
        <w:docPartGallery w:val="Page Numbers (Bottom of Page)"/>
        <w:docPartUnique/>
      </w:docPartObj>
    </w:sdtPr>
    <w:sdtEndPr>
      <w:rPr>
        <w:sz w:val="18"/>
        <w:szCs w:val="18"/>
      </w:rPr>
    </w:sdtEndPr>
    <w:sdtContent>
      <w:p w14:paraId="7627BDD6" w14:textId="4A2BC3BA" w:rsidR="00B8471A" w:rsidRPr="00C270A9" w:rsidRDefault="00B8471A">
        <w:pPr>
          <w:pStyle w:val="Pta"/>
          <w:jc w:val="center"/>
          <w:rPr>
            <w:sz w:val="18"/>
            <w:szCs w:val="18"/>
          </w:rPr>
        </w:pPr>
        <w:r w:rsidRPr="00C270A9">
          <w:rPr>
            <w:sz w:val="18"/>
            <w:szCs w:val="18"/>
          </w:rPr>
          <w:fldChar w:fldCharType="begin"/>
        </w:r>
        <w:r w:rsidRPr="00C270A9">
          <w:rPr>
            <w:sz w:val="18"/>
            <w:szCs w:val="18"/>
          </w:rPr>
          <w:instrText>PAGE   \* MERGEFORMAT</w:instrText>
        </w:r>
        <w:r w:rsidRPr="00C270A9">
          <w:rPr>
            <w:sz w:val="18"/>
            <w:szCs w:val="18"/>
          </w:rPr>
          <w:fldChar w:fldCharType="separate"/>
        </w:r>
        <w:r w:rsidR="00A866B2" w:rsidRPr="00A866B2">
          <w:rPr>
            <w:noProof/>
            <w:sz w:val="18"/>
            <w:szCs w:val="18"/>
            <w:lang w:val="sk-SK"/>
          </w:rPr>
          <w:t>6</w:t>
        </w:r>
        <w:r w:rsidRPr="00C270A9">
          <w:rPr>
            <w:sz w:val="18"/>
            <w:szCs w:val="18"/>
          </w:rPr>
          <w:fldChar w:fldCharType="end"/>
        </w:r>
      </w:p>
    </w:sdtContent>
  </w:sdt>
  <w:p w14:paraId="23997857" w14:textId="77777777" w:rsidR="00A657CB" w:rsidRDefault="00A657C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7244" w14:textId="77777777" w:rsidR="00FF19BE" w:rsidRDefault="00FF19B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1114C" w14:textId="77777777" w:rsidR="00A657CB" w:rsidRDefault="00A657CB">
      <w:r>
        <w:separator/>
      </w:r>
    </w:p>
  </w:footnote>
  <w:footnote w:type="continuationSeparator" w:id="0">
    <w:p w14:paraId="03C0A0FC" w14:textId="77777777" w:rsidR="00A657CB" w:rsidRDefault="00A65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F6B8E" w14:textId="77777777" w:rsidR="00FF19BE" w:rsidRDefault="00FF19B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C64F7" w14:textId="2E893176" w:rsidR="00A51D3D" w:rsidRPr="004C234E" w:rsidRDefault="00A51D3D" w:rsidP="00A51D3D">
    <w:pPr>
      <w:pStyle w:val="Hlavika"/>
      <w:rPr>
        <w:sz w:val="18"/>
        <w:szCs w:val="18"/>
      </w:rPr>
    </w:pPr>
    <w:bookmarkStart w:id="4" w:name="_Hlk95555917"/>
    <w:r>
      <w:rPr>
        <w:sz w:val="18"/>
        <w:szCs w:val="18"/>
      </w:rPr>
      <w:t xml:space="preserve">Schválený text k rozhodnutiu o zmene, ev. č.: </w:t>
    </w:r>
    <w:r w:rsidRPr="00B747BB">
      <w:rPr>
        <w:sz w:val="18"/>
        <w:szCs w:val="18"/>
      </w:rPr>
      <w:t>2021/01087-ZME</w:t>
    </w:r>
    <w:r w:rsidR="00D87D79">
      <w:rPr>
        <w:sz w:val="18"/>
        <w:szCs w:val="18"/>
      </w:rPr>
      <w:t>, 2021/04378-ZME</w:t>
    </w:r>
  </w:p>
  <w:bookmarkEnd w:id="4"/>
  <w:p w14:paraId="3D91E69C" w14:textId="0EA89297" w:rsidR="00A657CB" w:rsidRDefault="00A657CB">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87508" w14:textId="77777777" w:rsidR="00FF19BE" w:rsidRDefault="00FF19B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F55B6"/>
    <w:multiLevelType w:val="hybridMultilevel"/>
    <w:tmpl w:val="BF0E3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9441AB"/>
    <w:multiLevelType w:val="hybridMultilevel"/>
    <w:tmpl w:val="7B06F256"/>
    <w:lvl w:ilvl="0" w:tplc="0409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5E1B79"/>
    <w:multiLevelType w:val="hybridMultilevel"/>
    <w:tmpl w:val="B954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74748DC"/>
    <w:multiLevelType w:val="hybridMultilevel"/>
    <w:tmpl w:val="CF162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7731FF"/>
    <w:multiLevelType w:val="hybridMultilevel"/>
    <w:tmpl w:val="76E477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9433E4"/>
    <w:multiLevelType w:val="hybridMultilevel"/>
    <w:tmpl w:val="F9B8B2BA"/>
    <w:lvl w:ilvl="0" w:tplc="FFFFFFFF">
      <w:start w:val="1"/>
      <w:numFmt w:val="bullet"/>
      <w:lvlText w:val=""/>
      <w:lvlJc w:val="left"/>
      <w:pPr>
        <w:tabs>
          <w:tab w:val="num" w:pos="771"/>
        </w:tabs>
        <w:ind w:left="771" w:hanging="360"/>
      </w:pPr>
      <w:rPr>
        <w:rFonts w:ascii="Symbol" w:hAnsi="Symbol" w:hint="default"/>
      </w:rPr>
    </w:lvl>
    <w:lvl w:ilvl="1" w:tplc="FFFFFFFF" w:tentative="1">
      <w:start w:val="1"/>
      <w:numFmt w:val="bullet"/>
      <w:lvlText w:val="o"/>
      <w:lvlJc w:val="left"/>
      <w:pPr>
        <w:tabs>
          <w:tab w:val="num" w:pos="1491"/>
        </w:tabs>
        <w:ind w:left="1491" w:hanging="360"/>
      </w:pPr>
      <w:rPr>
        <w:rFonts w:ascii="Courier New" w:hAnsi="Courier New" w:cs="Courier New" w:hint="default"/>
      </w:rPr>
    </w:lvl>
    <w:lvl w:ilvl="2" w:tplc="FFFFFFFF" w:tentative="1">
      <w:start w:val="1"/>
      <w:numFmt w:val="bullet"/>
      <w:lvlText w:val=""/>
      <w:lvlJc w:val="left"/>
      <w:pPr>
        <w:tabs>
          <w:tab w:val="num" w:pos="2211"/>
        </w:tabs>
        <w:ind w:left="2211" w:hanging="360"/>
      </w:pPr>
      <w:rPr>
        <w:rFonts w:ascii="Wingdings" w:hAnsi="Wingdings" w:hint="default"/>
      </w:rPr>
    </w:lvl>
    <w:lvl w:ilvl="3" w:tplc="FFFFFFFF" w:tentative="1">
      <w:start w:val="1"/>
      <w:numFmt w:val="bullet"/>
      <w:lvlText w:val=""/>
      <w:lvlJc w:val="left"/>
      <w:pPr>
        <w:tabs>
          <w:tab w:val="num" w:pos="2931"/>
        </w:tabs>
        <w:ind w:left="2931" w:hanging="360"/>
      </w:pPr>
      <w:rPr>
        <w:rFonts w:ascii="Symbol" w:hAnsi="Symbol" w:hint="default"/>
      </w:rPr>
    </w:lvl>
    <w:lvl w:ilvl="4" w:tplc="FFFFFFFF" w:tentative="1">
      <w:start w:val="1"/>
      <w:numFmt w:val="bullet"/>
      <w:lvlText w:val="o"/>
      <w:lvlJc w:val="left"/>
      <w:pPr>
        <w:tabs>
          <w:tab w:val="num" w:pos="3651"/>
        </w:tabs>
        <w:ind w:left="3651" w:hanging="360"/>
      </w:pPr>
      <w:rPr>
        <w:rFonts w:ascii="Courier New" w:hAnsi="Courier New" w:cs="Courier New" w:hint="default"/>
      </w:rPr>
    </w:lvl>
    <w:lvl w:ilvl="5" w:tplc="FFFFFFFF" w:tentative="1">
      <w:start w:val="1"/>
      <w:numFmt w:val="bullet"/>
      <w:lvlText w:val=""/>
      <w:lvlJc w:val="left"/>
      <w:pPr>
        <w:tabs>
          <w:tab w:val="num" w:pos="4371"/>
        </w:tabs>
        <w:ind w:left="4371" w:hanging="360"/>
      </w:pPr>
      <w:rPr>
        <w:rFonts w:ascii="Wingdings" w:hAnsi="Wingdings" w:hint="default"/>
      </w:rPr>
    </w:lvl>
    <w:lvl w:ilvl="6" w:tplc="FFFFFFFF" w:tentative="1">
      <w:start w:val="1"/>
      <w:numFmt w:val="bullet"/>
      <w:lvlText w:val=""/>
      <w:lvlJc w:val="left"/>
      <w:pPr>
        <w:tabs>
          <w:tab w:val="num" w:pos="5091"/>
        </w:tabs>
        <w:ind w:left="5091" w:hanging="360"/>
      </w:pPr>
      <w:rPr>
        <w:rFonts w:ascii="Symbol" w:hAnsi="Symbol" w:hint="default"/>
      </w:rPr>
    </w:lvl>
    <w:lvl w:ilvl="7" w:tplc="FFFFFFFF" w:tentative="1">
      <w:start w:val="1"/>
      <w:numFmt w:val="bullet"/>
      <w:lvlText w:val="o"/>
      <w:lvlJc w:val="left"/>
      <w:pPr>
        <w:tabs>
          <w:tab w:val="num" w:pos="5811"/>
        </w:tabs>
        <w:ind w:left="5811" w:hanging="360"/>
      </w:pPr>
      <w:rPr>
        <w:rFonts w:ascii="Courier New" w:hAnsi="Courier New" w:cs="Courier New" w:hint="default"/>
      </w:rPr>
    </w:lvl>
    <w:lvl w:ilvl="8" w:tplc="FFFFFFFF" w:tentative="1">
      <w:start w:val="1"/>
      <w:numFmt w:val="bullet"/>
      <w:lvlText w:val=""/>
      <w:lvlJc w:val="left"/>
      <w:pPr>
        <w:tabs>
          <w:tab w:val="num" w:pos="6531"/>
        </w:tabs>
        <w:ind w:left="6531" w:hanging="360"/>
      </w:pPr>
      <w:rPr>
        <w:rFonts w:ascii="Wingdings" w:hAnsi="Wingdings" w:hint="default"/>
      </w:rPr>
    </w:lvl>
  </w:abstractNum>
  <w:abstractNum w:abstractNumId="6" w15:restartNumberingAfterBreak="0">
    <w:nsid w:val="77584A34"/>
    <w:multiLevelType w:val="hybridMultilevel"/>
    <w:tmpl w:val="5E8C73E0"/>
    <w:lvl w:ilvl="0" w:tplc="1276B5A0">
      <w:start w:val="2"/>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374155"/>
    <w:multiLevelType w:val="hybridMultilevel"/>
    <w:tmpl w:val="78B2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B9"/>
    <w:rsid w:val="00007BDB"/>
    <w:rsid w:val="00011D7E"/>
    <w:rsid w:val="00026293"/>
    <w:rsid w:val="00026CB6"/>
    <w:rsid w:val="0003241C"/>
    <w:rsid w:val="000536DE"/>
    <w:rsid w:val="0005626D"/>
    <w:rsid w:val="00073A1D"/>
    <w:rsid w:val="00095C5D"/>
    <w:rsid w:val="000B62A0"/>
    <w:rsid w:val="0011351E"/>
    <w:rsid w:val="00121827"/>
    <w:rsid w:val="00123CE7"/>
    <w:rsid w:val="001329D2"/>
    <w:rsid w:val="001638C4"/>
    <w:rsid w:val="00187E8F"/>
    <w:rsid w:val="00191BA7"/>
    <w:rsid w:val="001A388D"/>
    <w:rsid w:val="001A4AA6"/>
    <w:rsid w:val="001A6E77"/>
    <w:rsid w:val="001E6544"/>
    <w:rsid w:val="001E7D0C"/>
    <w:rsid w:val="001F77B5"/>
    <w:rsid w:val="002042AC"/>
    <w:rsid w:val="00220D3B"/>
    <w:rsid w:val="002C41FC"/>
    <w:rsid w:val="002E6FBD"/>
    <w:rsid w:val="002F7976"/>
    <w:rsid w:val="00371EAC"/>
    <w:rsid w:val="0038333E"/>
    <w:rsid w:val="003C5C61"/>
    <w:rsid w:val="003C745E"/>
    <w:rsid w:val="003F189B"/>
    <w:rsid w:val="003F66EC"/>
    <w:rsid w:val="00437CA6"/>
    <w:rsid w:val="004441DD"/>
    <w:rsid w:val="004A1D04"/>
    <w:rsid w:val="004C5F2B"/>
    <w:rsid w:val="004D6351"/>
    <w:rsid w:val="004F4EA6"/>
    <w:rsid w:val="004F7A02"/>
    <w:rsid w:val="00533C60"/>
    <w:rsid w:val="0053482B"/>
    <w:rsid w:val="005412B9"/>
    <w:rsid w:val="00571B80"/>
    <w:rsid w:val="005738D5"/>
    <w:rsid w:val="00573A00"/>
    <w:rsid w:val="005830ED"/>
    <w:rsid w:val="005A3198"/>
    <w:rsid w:val="0061332F"/>
    <w:rsid w:val="00614489"/>
    <w:rsid w:val="006251D7"/>
    <w:rsid w:val="00636B1B"/>
    <w:rsid w:val="00647D5A"/>
    <w:rsid w:val="00652367"/>
    <w:rsid w:val="006711F7"/>
    <w:rsid w:val="00695B31"/>
    <w:rsid w:val="00696835"/>
    <w:rsid w:val="00697E2B"/>
    <w:rsid w:val="006A5429"/>
    <w:rsid w:val="006B0ECE"/>
    <w:rsid w:val="006D4342"/>
    <w:rsid w:val="006E6E67"/>
    <w:rsid w:val="00706D1A"/>
    <w:rsid w:val="007175CC"/>
    <w:rsid w:val="00763AC8"/>
    <w:rsid w:val="00766575"/>
    <w:rsid w:val="0078279F"/>
    <w:rsid w:val="007A6686"/>
    <w:rsid w:val="007C1060"/>
    <w:rsid w:val="007C359A"/>
    <w:rsid w:val="007F1CBF"/>
    <w:rsid w:val="007F37B9"/>
    <w:rsid w:val="00807891"/>
    <w:rsid w:val="00843127"/>
    <w:rsid w:val="0089190D"/>
    <w:rsid w:val="008A0BBC"/>
    <w:rsid w:val="008B1607"/>
    <w:rsid w:val="008C1DAA"/>
    <w:rsid w:val="008D107B"/>
    <w:rsid w:val="00903C5A"/>
    <w:rsid w:val="009072FF"/>
    <w:rsid w:val="00926F0B"/>
    <w:rsid w:val="00937E1C"/>
    <w:rsid w:val="009625F6"/>
    <w:rsid w:val="0097233A"/>
    <w:rsid w:val="00974E6E"/>
    <w:rsid w:val="00997D2F"/>
    <w:rsid w:val="009C25B9"/>
    <w:rsid w:val="009C7B99"/>
    <w:rsid w:val="00A138AB"/>
    <w:rsid w:val="00A3083D"/>
    <w:rsid w:val="00A46EAD"/>
    <w:rsid w:val="00A51D3D"/>
    <w:rsid w:val="00A657CB"/>
    <w:rsid w:val="00A67521"/>
    <w:rsid w:val="00A76CC4"/>
    <w:rsid w:val="00A866B2"/>
    <w:rsid w:val="00A93259"/>
    <w:rsid w:val="00A955A5"/>
    <w:rsid w:val="00A97477"/>
    <w:rsid w:val="00AC7A0E"/>
    <w:rsid w:val="00AE3C62"/>
    <w:rsid w:val="00AF064B"/>
    <w:rsid w:val="00B1700F"/>
    <w:rsid w:val="00B46D8C"/>
    <w:rsid w:val="00B718C1"/>
    <w:rsid w:val="00B8373E"/>
    <w:rsid w:val="00B8471A"/>
    <w:rsid w:val="00BD3AA9"/>
    <w:rsid w:val="00C270A9"/>
    <w:rsid w:val="00C51BEA"/>
    <w:rsid w:val="00C52A3E"/>
    <w:rsid w:val="00CB1259"/>
    <w:rsid w:val="00CC56D9"/>
    <w:rsid w:val="00CF2D60"/>
    <w:rsid w:val="00D10047"/>
    <w:rsid w:val="00D3006D"/>
    <w:rsid w:val="00D36F8C"/>
    <w:rsid w:val="00D42616"/>
    <w:rsid w:val="00D55027"/>
    <w:rsid w:val="00D63605"/>
    <w:rsid w:val="00D6743C"/>
    <w:rsid w:val="00D81570"/>
    <w:rsid w:val="00D86EA7"/>
    <w:rsid w:val="00D87D79"/>
    <w:rsid w:val="00D903D6"/>
    <w:rsid w:val="00D95284"/>
    <w:rsid w:val="00DE3E7A"/>
    <w:rsid w:val="00E039AF"/>
    <w:rsid w:val="00E1333E"/>
    <w:rsid w:val="00E40459"/>
    <w:rsid w:val="00E43783"/>
    <w:rsid w:val="00E5441A"/>
    <w:rsid w:val="00E751F8"/>
    <w:rsid w:val="00E90187"/>
    <w:rsid w:val="00EB3AF3"/>
    <w:rsid w:val="00EC46A9"/>
    <w:rsid w:val="00ED10C1"/>
    <w:rsid w:val="00F02A78"/>
    <w:rsid w:val="00F2306E"/>
    <w:rsid w:val="00F46801"/>
    <w:rsid w:val="00F64FC9"/>
    <w:rsid w:val="00F7009F"/>
    <w:rsid w:val="00F771B7"/>
    <w:rsid w:val="00F77271"/>
    <w:rsid w:val="00FC21DC"/>
    <w:rsid w:val="00FD4F3A"/>
    <w:rsid w:val="00FF19BE"/>
    <w:rsid w:val="00FF19CC"/>
    <w:rsid w:val="00FF1D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32888AD"/>
  <w15:docId w15:val="{84569CCC-817F-4181-8BE9-465ED97D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cs-CZ" w:eastAsia="cs-CZ"/>
    </w:rPr>
  </w:style>
  <w:style w:type="paragraph" w:styleId="Nadpis1">
    <w:name w:val="heading 1"/>
    <w:basedOn w:val="Normlny"/>
    <w:next w:val="Normlny"/>
    <w:qFormat/>
    <w:pPr>
      <w:keepNext/>
      <w:spacing w:before="240" w:after="60"/>
      <w:outlineLvl w:val="0"/>
    </w:pPr>
    <w:rPr>
      <w:rFonts w:ascii="Arial" w:hAnsi="Arial" w:cs="Arial"/>
      <w:b/>
      <w:bCs/>
      <w:kern w:val="32"/>
      <w:sz w:val="32"/>
      <w:szCs w:val="32"/>
    </w:rPr>
  </w:style>
  <w:style w:type="paragraph" w:styleId="Nadpis2">
    <w:name w:val="heading 2"/>
    <w:basedOn w:val="Normlny"/>
    <w:next w:val="Normlny"/>
    <w:qFormat/>
    <w:pPr>
      <w:keepNext/>
      <w:jc w:val="both"/>
      <w:outlineLvl w:val="1"/>
    </w:pPr>
    <w:rPr>
      <w:u w:val="single"/>
      <w:lang w:val="sk-SK"/>
    </w:rPr>
  </w:style>
  <w:style w:type="paragraph" w:styleId="Nadpis3">
    <w:name w:val="heading 3"/>
    <w:basedOn w:val="Normlny"/>
    <w:next w:val="Normlny"/>
    <w:qFormat/>
    <w:pPr>
      <w:keepNext/>
      <w:outlineLvl w:val="2"/>
    </w:pPr>
    <w:rPr>
      <w:u w:val="single"/>
      <w:lang w:val="sk-SK"/>
    </w:rPr>
  </w:style>
  <w:style w:type="paragraph" w:styleId="Nadpis4">
    <w:name w:val="heading 4"/>
    <w:basedOn w:val="Normlny"/>
    <w:next w:val="Normlny"/>
    <w:qFormat/>
    <w:pPr>
      <w:keepNext/>
      <w:outlineLvl w:val="3"/>
    </w:pPr>
    <w:rPr>
      <w:b/>
      <w:b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PCnormal">
    <w:name w:val="SPC_normal"/>
    <w:uiPriority w:val="99"/>
    <w:rPr>
      <w:sz w:val="22"/>
      <w:lang w:val="en-GB" w:eastAsia="sv-SE"/>
    </w:rPr>
  </w:style>
  <w:style w:type="paragraph" w:customStyle="1" w:styleId="SPCHeading2">
    <w:name w:val="SPC_Heading2"/>
    <w:basedOn w:val="SPCnormal"/>
    <w:pPr>
      <w:keepNext/>
      <w:ind w:left="567" w:hanging="567"/>
    </w:pPr>
    <w:rPr>
      <w:b/>
      <w:lang w:eastAsia="en-US"/>
    </w:rPr>
  </w:style>
  <w:style w:type="paragraph" w:customStyle="1" w:styleId="Textbubliny1">
    <w:name w:val="Text bubliny1"/>
    <w:basedOn w:val="Normlny"/>
    <w:semiHidden/>
    <w:rPr>
      <w:rFonts w:ascii="Tahoma" w:hAnsi="Tahoma" w:cs="Tahoma"/>
      <w:sz w:val="16"/>
      <w:szCs w:val="16"/>
    </w:rPr>
  </w:style>
  <w:style w:type="paragraph" w:styleId="Zkladntext">
    <w:name w:val="Body Text"/>
    <w:basedOn w:val="Normlny"/>
    <w:semiHidden/>
    <w:pPr>
      <w:jc w:val="both"/>
    </w:pPr>
    <w:rPr>
      <w:rFonts w:ascii="Arial" w:hAnsi="Arial" w:cs="Arial"/>
      <w:sz w:val="20"/>
      <w:szCs w:val="20"/>
      <w:lang w:val="sk-SK" w:eastAsia="en-US"/>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Textbubliny">
    <w:name w:val="Balloon Text"/>
    <w:basedOn w:val="Normlny"/>
    <w:link w:val="TextbublinyChar"/>
    <w:uiPriority w:val="99"/>
    <w:semiHidden/>
    <w:unhideWhenUsed/>
    <w:rsid w:val="005412B9"/>
    <w:rPr>
      <w:rFonts w:ascii="Tahoma" w:hAnsi="Tahoma"/>
      <w:sz w:val="16"/>
      <w:szCs w:val="16"/>
    </w:rPr>
  </w:style>
  <w:style w:type="character" w:customStyle="1" w:styleId="TextbublinyChar">
    <w:name w:val="Text bubliny Char"/>
    <w:link w:val="Textbubliny"/>
    <w:uiPriority w:val="99"/>
    <w:semiHidden/>
    <w:rsid w:val="005412B9"/>
    <w:rPr>
      <w:rFonts w:ascii="Tahoma" w:hAnsi="Tahoma" w:cs="Tahoma"/>
      <w:sz w:val="16"/>
      <w:szCs w:val="16"/>
      <w:lang w:val="cs-CZ" w:eastAsia="cs-CZ"/>
    </w:rPr>
  </w:style>
  <w:style w:type="paragraph" w:styleId="Nzov">
    <w:name w:val="Title"/>
    <w:basedOn w:val="Normlny"/>
    <w:link w:val="NzovChar"/>
    <w:uiPriority w:val="99"/>
    <w:qFormat/>
    <w:rsid w:val="006E6E67"/>
    <w:pPr>
      <w:jc w:val="center"/>
    </w:pPr>
    <w:rPr>
      <w:rFonts w:eastAsia="Batang"/>
      <w:b/>
      <w:bCs/>
      <w:sz w:val="22"/>
      <w:szCs w:val="22"/>
      <w:lang w:val="en-GB" w:eastAsia="x-none"/>
    </w:rPr>
  </w:style>
  <w:style w:type="character" w:customStyle="1" w:styleId="NzovChar">
    <w:name w:val="Názov Char"/>
    <w:link w:val="Nzov"/>
    <w:uiPriority w:val="99"/>
    <w:rsid w:val="006E6E67"/>
    <w:rPr>
      <w:rFonts w:eastAsia="Batang"/>
      <w:b/>
      <w:bCs/>
      <w:sz w:val="22"/>
      <w:szCs w:val="22"/>
      <w:lang w:val="en-GB"/>
    </w:rPr>
  </w:style>
  <w:style w:type="paragraph" w:styleId="Hlavika">
    <w:name w:val="header"/>
    <w:basedOn w:val="Normlny"/>
    <w:link w:val="HlavikaChar"/>
    <w:uiPriority w:val="99"/>
    <w:unhideWhenUsed/>
    <w:rsid w:val="006E6E67"/>
    <w:pPr>
      <w:tabs>
        <w:tab w:val="center" w:pos="4703"/>
        <w:tab w:val="right" w:pos="9406"/>
      </w:tabs>
    </w:pPr>
  </w:style>
  <w:style w:type="character" w:customStyle="1" w:styleId="HlavikaChar">
    <w:name w:val="Hlavička Char"/>
    <w:link w:val="Hlavika"/>
    <w:uiPriority w:val="99"/>
    <w:rsid w:val="006E6E67"/>
    <w:rPr>
      <w:sz w:val="24"/>
      <w:szCs w:val="24"/>
      <w:lang w:val="cs-CZ" w:eastAsia="cs-CZ"/>
    </w:rPr>
  </w:style>
  <w:style w:type="paragraph" w:styleId="Zkladntext2">
    <w:name w:val="Body Text 2"/>
    <w:basedOn w:val="Normlny"/>
    <w:link w:val="Zkladntext2Char"/>
    <w:uiPriority w:val="99"/>
    <w:semiHidden/>
    <w:unhideWhenUsed/>
    <w:rsid w:val="003F66EC"/>
    <w:pPr>
      <w:spacing w:after="120" w:line="480" w:lineRule="auto"/>
    </w:pPr>
    <w:rPr>
      <w:rFonts w:eastAsia="Batang"/>
      <w:lang w:val="sk-SK" w:eastAsia="x-none"/>
    </w:rPr>
  </w:style>
  <w:style w:type="character" w:customStyle="1" w:styleId="Zkladntext2Char">
    <w:name w:val="Základný text 2 Char"/>
    <w:link w:val="Zkladntext2"/>
    <w:uiPriority w:val="99"/>
    <w:semiHidden/>
    <w:rsid w:val="003F66EC"/>
    <w:rPr>
      <w:rFonts w:eastAsia="Batang"/>
      <w:sz w:val="24"/>
      <w:szCs w:val="24"/>
      <w:lang w:val="sk-SK"/>
    </w:rPr>
  </w:style>
  <w:style w:type="character" w:styleId="Odkaznakomentr">
    <w:name w:val="annotation reference"/>
    <w:uiPriority w:val="99"/>
    <w:semiHidden/>
    <w:unhideWhenUsed/>
    <w:rsid w:val="003F189B"/>
    <w:rPr>
      <w:sz w:val="16"/>
      <w:szCs w:val="16"/>
    </w:rPr>
  </w:style>
  <w:style w:type="paragraph" w:styleId="Textkomentra">
    <w:name w:val="annotation text"/>
    <w:basedOn w:val="Normlny"/>
    <w:link w:val="TextkomentraChar"/>
    <w:uiPriority w:val="99"/>
    <w:semiHidden/>
    <w:unhideWhenUsed/>
    <w:rsid w:val="003F189B"/>
    <w:rPr>
      <w:sz w:val="20"/>
      <w:szCs w:val="20"/>
    </w:rPr>
  </w:style>
  <w:style w:type="character" w:customStyle="1" w:styleId="TextkomentraChar">
    <w:name w:val="Text komentára Char"/>
    <w:link w:val="Textkomentra"/>
    <w:uiPriority w:val="99"/>
    <w:semiHidden/>
    <w:rsid w:val="003F189B"/>
    <w:rPr>
      <w:lang w:val="cs-CZ" w:eastAsia="cs-CZ"/>
    </w:rPr>
  </w:style>
  <w:style w:type="paragraph" w:styleId="Predmetkomentra">
    <w:name w:val="annotation subject"/>
    <w:basedOn w:val="Textkomentra"/>
    <w:next w:val="Textkomentra"/>
    <w:link w:val="PredmetkomentraChar"/>
    <w:uiPriority w:val="99"/>
    <w:semiHidden/>
    <w:unhideWhenUsed/>
    <w:rsid w:val="003F189B"/>
    <w:rPr>
      <w:b/>
      <w:bCs/>
    </w:rPr>
  </w:style>
  <w:style w:type="character" w:customStyle="1" w:styleId="PredmetkomentraChar">
    <w:name w:val="Predmet komentára Char"/>
    <w:link w:val="Predmetkomentra"/>
    <w:uiPriority w:val="99"/>
    <w:semiHidden/>
    <w:rsid w:val="003F189B"/>
    <w:rPr>
      <w:b/>
      <w:bCs/>
      <w:lang w:val="cs-CZ" w:eastAsia="cs-CZ"/>
    </w:rPr>
  </w:style>
  <w:style w:type="character" w:styleId="Hypertextovprepojenie">
    <w:name w:val="Hyperlink"/>
    <w:uiPriority w:val="99"/>
    <w:unhideWhenUsed/>
    <w:rsid w:val="006251D7"/>
    <w:rPr>
      <w:color w:val="0563C1"/>
      <w:u w:val="single"/>
    </w:rPr>
  </w:style>
  <w:style w:type="paragraph" w:customStyle="1" w:styleId="CM16">
    <w:name w:val="CM16"/>
    <w:basedOn w:val="Normlny"/>
    <w:next w:val="Normlny"/>
    <w:uiPriority w:val="99"/>
    <w:rsid w:val="00C52A3E"/>
    <w:pPr>
      <w:widowControl w:val="0"/>
      <w:autoSpaceDE w:val="0"/>
      <w:autoSpaceDN w:val="0"/>
      <w:adjustRightInd w:val="0"/>
    </w:pPr>
    <w:rPr>
      <w:rFonts w:ascii="QUOWUE+Verdana" w:hAnsi="QUOWUE+Verdana"/>
      <w:lang w:val="en-US" w:eastAsia="en-US"/>
    </w:rPr>
  </w:style>
  <w:style w:type="paragraph" w:customStyle="1" w:styleId="CM5">
    <w:name w:val="CM5"/>
    <w:basedOn w:val="Normlny"/>
    <w:next w:val="Normlny"/>
    <w:uiPriority w:val="99"/>
    <w:rsid w:val="00C52A3E"/>
    <w:pPr>
      <w:widowControl w:val="0"/>
      <w:autoSpaceDE w:val="0"/>
      <w:autoSpaceDN w:val="0"/>
      <w:adjustRightInd w:val="0"/>
      <w:spacing w:line="280" w:lineRule="atLeast"/>
    </w:pPr>
    <w:rPr>
      <w:rFonts w:ascii="QUOWUE+Verdana" w:hAnsi="QUOWUE+Verdana"/>
      <w:lang w:val="en-US" w:eastAsia="en-US"/>
    </w:rPr>
  </w:style>
  <w:style w:type="paragraph" w:customStyle="1" w:styleId="CM4">
    <w:name w:val="CM4"/>
    <w:basedOn w:val="Normlny"/>
    <w:next w:val="Normlny"/>
    <w:uiPriority w:val="99"/>
    <w:rsid w:val="00C52A3E"/>
    <w:pPr>
      <w:widowControl w:val="0"/>
      <w:autoSpaceDE w:val="0"/>
      <w:autoSpaceDN w:val="0"/>
      <w:adjustRightInd w:val="0"/>
      <w:spacing w:line="280" w:lineRule="atLeast"/>
    </w:pPr>
    <w:rPr>
      <w:rFonts w:ascii="QUOWUE+Verdana" w:hAnsi="QUOWUE+Verdana"/>
      <w:lang w:val="en-US" w:eastAsia="en-US"/>
    </w:rPr>
  </w:style>
  <w:style w:type="paragraph" w:customStyle="1" w:styleId="CM3">
    <w:name w:val="CM3"/>
    <w:basedOn w:val="Normlny"/>
    <w:next w:val="Normlny"/>
    <w:uiPriority w:val="99"/>
    <w:rsid w:val="00C52A3E"/>
    <w:pPr>
      <w:widowControl w:val="0"/>
      <w:autoSpaceDE w:val="0"/>
      <w:autoSpaceDN w:val="0"/>
      <w:adjustRightInd w:val="0"/>
      <w:spacing w:line="280" w:lineRule="atLeast"/>
    </w:pPr>
    <w:rPr>
      <w:rFonts w:ascii="QUOWUE+Verdana" w:hAnsi="QUOWUE+Verdana"/>
      <w:lang w:val="en-US" w:eastAsia="en-US"/>
    </w:rPr>
  </w:style>
  <w:style w:type="paragraph" w:customStyle="1" w:styleId="CM11">
    <w:name w:val="CM11"/>
    <w:basedOn w:val="Normlny"/>
    <w:next w:val="Normlny"/>
    <w:uiPriority w:val="99"/>
    <w:rsid w:val="00C52A3E"/>
    <w:pPr>
      <w:widowControl w:val="0"/>
      <w:autoSpaceDE w:val="0"/>
      <w:autoSpaceDN w:val="0"/>
      <w:adjustRightInd w:val="0"/>
      <w:spacing w:line="283" w:lineRule="atLeast"/>
    </w:pPr>
    <w:rPr>
      <w:rFonts w:ascii="QUOWUE+Verdana" w:hAnsi="QUOWUE+Verdana"/>
      <w:lang w:val="en-US" w:eastAsia="en-US"/>
    </w:rPr>
  </w:style>
  <w:style w:type="character" w:customStyle="1" w:styleId="PtaChar">
    <w:name w:val="Päta Char"/>
    <w:basedOn w:val="Predvolenpsmoodseku"/>
    <w:link w:val="Pta"/>
    <w:uiPriority w:val="99"/>
    <w:rsid w:val="00B8471A"/>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3228</Words>
  <Characters>20939</Characters>
  <Application>Microsoft Office Word</Application>
  <DocSecurity>0</DocSecurity>
  <Lines>174</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SUKL</Company>
  <LinksUpToDate>false</LinksUpToDate>
  <CharactersWithSpaces>24119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Uhnakova</dc:creator>
  <cp:lastModifiedBy>koordinator</cp:lastModifiedBy>
  <cp:revision>3</cp:revision>
  <cp:lastPrinted>2022-03-29T08:34:00Z</cp:lastPrinted>
  <dcterms:created xsi:type="dcterms:W3CDTF">2022-03-28T12:42:00Z</dcterms:created>
  <dcterms:modified xsi:type="dcterms:W3CDTF">2022-03-29T08:34:00Z</dcterms:modified>
</cp:coreProperties>
</file>