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CB8" w:rsidRPr="00D93408" w:rsidRDefault="00334CB8" w:rsidP="00334CB8">
      <w:pPr>
        <w:jc w:val="center"/>
        <w:rPr>
          <w:b/>
          <w:sz w:val="22"/>
        </w:rPr>
      </w:pPr>
      <w:bookmarkStart w:id="0" w:name="_GoBack"/>
      <w:bookmarkEnd w:id="0"/>
      <w:r w:rsidRPr="00D93408">
        <w:rPr>
          <w:b/>
          <w:sz w:val="22"/>
        </w:rPr>
        <w:t>SÚHRN CHARAKTERISTICKÝCH VLASTNOSTÍ LIEKU</w:t>
      </w:r>
    </w:p>
    <w:p w:rsidR="00334CB8" w:rsidRPr="00D93408" w:rsidRDefault="00334CB8" w:rsidP="00334CB8">
      <w:pPr>
        <w:jc w:val="center"/>
        <w:rPr>
          <w:b/>
          <w:sz w:val="22"/>
        </w:rPr>
      </w:pPr>
    </w:p>
    <w:p w:rsidR="00334CB8" w:rsidRPr="00D93408" w:rsidRDefault="00334CB8" w:rsidP="00FB3973">
      <w:pPr>
        <w:autoSpaceDE w:val="0"/>
        <w:autoSpaceDN w:val="0"/>
        <w:adjustRightInd w:val="0"/>
        <w:rPr>
          <w:b/>
          <w:bCs/>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1.</w:t>
      </w:r>
      <w:r w:rsidR="006B71FE" w:rsidRPr="00D93408">
        <w:rPr>
          <w:b/>
          <w:bCs/>
          <w:sz w:val="22"/>
          <w:szCs w:val="22"/>
        </w:rPr>
        <w:tab/>
      </w:r>
      <w:r w:rsidRPr="00D93408">
        <w:rPr>
          <w:b/>
          <w:bCs/>
          <w:sz w:val="22"/>
          <w:szCs w:val="22"/>
        </w:rPr>
        <w:t>NÁZOV LIEKU</w:t>
      </w:r>
    </w:p>
    <w:p w:rsidR="00FB3973" w:rsidRPr="004105BF" w:rsidRDefault="00FB3973" w:rsidP="00FB3973">
      <w:pPr>
        <w:autoSpaceDE w:val="0"/>
        <w:autoSpaceDN w:val="0"/>
        <w:adjustRightInd w:val="0"/>
        <w:rPr>
          <w:sz w:val="22"/>
          <w:szCs w:val="22"/>
        </w:rPr>
      </w:pPr>
    </w:p>
    <w:p w:rsidR="00FB3973" w:rsidRPr="004105BF" w:rsidRDefault="00823918" w:rsidP="00430229">
      <w:pPr>
        <w:autoSpaceDE w:val="0"/>
        <w:autoSpaceDN w:val="0"/>
        <w:adjustRightInd w:val="0"/>
        <w:rPr>
          <w:sz w:val="22"/>
          <w:szCs w:val="22"/>
        </w:rPr>
      </w:pPr>
      <w:r w:rsidRPr="004105BF">
        <w:rPr>
          <w:sz w:val="22"/>
          <w:szCs w:val="22"/>
        </w:rPr>
        <w:t>Eplerenon STADA</w:t>
      </w:r>
      <w:r w:rsidR="00FB3973" w:rsidRPr="004105BF">
        <w:rPr>
          <w:sz w:val="22"/>
          <w:szCs w:val="22"/>
        </w:rPr>
        <w:t xml:space="preserve"> 25 mg filmom </w:t>
      </w:r>
      <w:r w:rsidR="00430229" w:rsidRPr="004105BF">
        <w:rPr>
          <w:sz w:val="22"/>
          <w:szCs w:val="22"/>
        </w:rPr>
        <w:t>obale</w:t>
      </w:r>
      <w:r w:rsidR="00FB3973" w:rsidRPr="004105BF">
        <w:rPr>
          <w:sz w:val="22"/>
          <w:szCs w:val="22"/>
        </w:rPr>
        <w:t xml:space="preserve">né tablety </w:t>
      </w:r>
    </w:p>
    <w:p w:rsidR="00FB3973" w:rsidRPr="004105BF" w:rsidRDefault="00823918" w:rsidP="00430229">
      <w:pPr>
        <w:autoSpaceDE w:val="0"/>
        <w:autoSpaceDN w:val="0"/>
        <w:adjustRightInd w:val="0"/>
        <w:rPr>
          <w:sz w:val="22"/>
          <w:szCs w:val="22"/>
        </w:rPr>
      </w:pPr>
      <w:r w:rsidRPr="004105BF">
        <w:rPr>
          <w:sz w:val="22"/>
          <w:szCs w:val="22"/>
        </w:rPr>
        <w:t>Eplerenon STADA</w:t>
      </w:r>
      <w:r w:rsidR="00FB3973" w:rsidRPr="004105BF">
        <w:rPr>
          <w:sz w:val="22"/>
          <w:szCs w:val="22"/>
        </w:rPr>
        <w:t xml:space="preserve"> 50 mg filmom o</w:t>
      </w:r>
      <w:r w:rsidR="00430229" w:rsidRPr="004105BF">
        <w:rPr>
          <w:sz w:val="22"/>
          <w:szCs w:val="22"/>
        </w:rPr>
        <w:t>bale</w:t>
      </w:r>
      <w:r w:rsidR="00FB3973" w:rsidRPr="004105BF">
        <w:rPr>
          <w:sz w:val="22"/>
          <w:szCs w:val="22"/>
        </w:rPr>
        <w:t xml:space="preserve">né tablety </w:t>
      </w:r>
    </w:p>
    <w:p w:rsidR="00FB3973" w:rsidRPr="004105BF" w:rsidRDefault="00FB3973" w:rsidP="00FB3973">
      <w:pPr>
        <w:autoSpaceDE w:val="0"/>
        <w:autoSpaceDN w:val="0"/>
        <w:adjustRightInd w:val="0"/>
        <w:rPr>
          <w:sz w:val="22"/>
          <w:szCs w:val="22"/>
        </w:rPr>
      </w:pPr>
    </w:p>
    <w:p w:rsidR="00FB3973" w:rsidRPr="004105BF" w:rsidRDefault="00FB3973">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2.</w:t>
      </w:r>
      <w:r w:rsidR="006B71FE" w:rsidRPr="00D93408">
        <w:rPr>
          <w:b/>
          <w:bCs/>
          <w:sz w:val="22"/>
          <w:szCs w:val="22"/>
        </w:rPr>
        <w:tab/>
      </w:r>
      <w:r w:rsidRPr="00D93408">
        <w:rPr>
          <w:b/>
          <w:bCs/>
          <w:sz w:val="22"/>
          <w:szCs w:val="22"/>
        </w:rPr>
        <w:t xml:space="preserve">KVALITATÍVNE A KVANTITATÍVNE ZLOŽENIE </w:t>
      </w:r>
    </w:p>
    <w:p w:rsidR="00FB3973" w:rsidRPr="00D93408" w:rsidRDefault="00FB3973" w:rsidP="00FB3973">
      <w:pPr>
        <w:autoSpaceDE w:val="0"/>
        <w:autoSpaceDN w:val="0"/>
        <w:adjustRightInd w:val="0"/>
        <w:rPr>
          <w:sz w:val="22"/>
          <w:szCs w:val="22"/>
        </w:rPr>
      </w:pPr>
    </w:p>
    <w:p w:rsidR="00FB3973" w:rsidRPr="00D93408" w:rsidRDefault="00FB3973" w:rsidP="00430229">
      <w:pPr>
        <w:autoSpaceDE w:val="0"/>
        <w:autoSpaceDN w:val="0"/>
        <w:adjustRightInd w:val="0"/>
        <w:rPr>
          <w:sz w:val="22"/>
          <w:szCs w:val="22"/>
        </w:rPr>
      </w:pPr>
      <w:r w:rsidRPr="00D93408">
        <w:rPr>
          <w:sz w:val="22"/>
          <w:szCs w:val="22"/>
        </w:rPr>
        <w:t xml:space="preserve">Každá </w:t>
      </w:r>
      <w:r w:rsidR="00430229" w:rsidRPr="00D93408">
        <w:rPr>
          <w:sz w:val="22"/>
          <w:szCs w:val="22"/>
        </w:rPr>
        <w:t>filmom obalen</w:t>
      </w:r>
      <w:r w:rsidRPr="00D93408">
        <w:rPr>
          <w:sz w:val="22"/>
          <w:szCs w:val="22"/>
        </w:rPr>
        <w:t xml:space="preserve">á tableta obsahuje 25 mg </w:t>
      </w:r>
      <w:r w:rsidR="00334CB8" w:rsidRPr="00D93408">
        <w:rPr>
          <w:sz w:val="22"/>
          <w:szCs w:val="22"/>
        </w:rPr>
        <w:t>eplerenónu</w:t>
      </w:r>
      <w:r w:rsidRPr="00D93408">
        <w:rPr>
          <w:sz w:val="22"/>
          <w:szCs w:val="22"/>
        </w:rPr>
        <w:t xml:space="preserve">. </w:t>
      </w:r>
    </w:p>
    <w:p w:rsidR="00FB3973" w:rsidRPr="00D93408" w:rsidRDefault="00FB3973" w:rsidP="00430229">
      <w:pPr>
        <w:autoSpaceDE w:val="0"/>
        <w:autoSpaceDN w:val="0"/>
        <w:adjustRightInd w:val="0"/>
        <w:rPr>
          <w:sz w:val="22"/>
          <w:szCs w:val="22"/>
        </w:rPr>
      </w:pPr>
      <w:r w:rsidRPr="00D93408">
        <w:rPr>
          <w:sz w:val="22"/>
          <w:szCs w:val="22"/>
        </w:rPr>
        <w:t xml:space="preserve">Každá filmom </w:t>
      </w:r>
      <w:r w:rsidR="00430229" w:rsidRPr="00D93408">
        <w:rPr>
          <w:sz w:val="22"/>
          <w:szCs w:val="22"/>
        </w:rPr>
        <w:t>obalen</w:t>
      </w:r>
      <w:r w:rsidRPr="00D93408">
        <w:rPr>
          <w:sz w:val="22"/>
          <w:szCs w:val="22"/>
        </w:rPr>
        <w:t xml:space="preserve">á tableta obsahuje 50 mg </w:t>
      </w:r>
      <w:r w:rsidR="00334CB8" w:rsidRPr="00D93408">
        <w:rPr>
          <w:sz w:val="22"/>
          <w:szCs w:val="22"/>
        </w:rPr>
        <w:t>eplerenónu</w:t>
      </w:r>
      <w:r w:rsidRPr="00D93408">
        <w:rPr>
          <w:sz w:val="22"/>
          <w:szCs w:val="22"/>
        </w:rPr>
        <w:t xml:space="preserve">. </w:t>
      </w:r>
    </w:p>
    <w:p w:rsidR="00FB3973" w:rsidRPr="00D93408" w:rsidRDefault="00FB3973" w:rsidP="00FB3973">
      <w:pPr>
        <w:autoSpaceDE w:val="0"/>
        <w:autoSpaceDN w:val="0"/>
        <w:adjustRightInd w:val="0"/>
        <w:rPr>
          <w:sz w:val="22"/>
          <w:szCs w:val="22"/>
        </w:rPr>
      </w:pPr>
    </w:p>
    <w:p w:rsidR="00FB3973" w:rsidRPr="007477F4" w:rsidRDefault="00FB3973" w:rsidP="00FB3973">
      <w:pPr>
        <w:rPr>
          <w:sz w:val="22"/>
          <w:szCs w:val="22"/>
          <w:u w:val="single"/>
        </w:rPr>
      </w:pPr>
      <w:r w:rsidRPr="007477F4">
        <w:rPr>
          <w:bCs/>
          <w:sz w:val="22"/>
          <w:szCs w:val="22"/>
          <w:u w:val="single"/>
        </w:rPr>
        <w:t>Pomocná látka</w:t>
      </w:r>
      <w:r w:rsidR="00FD048B" w:rsidRPr="007477F4">
        <w:rPr>
          <w:bCs/>
          <w:sz w:val="22"/>
          <w:szCs w:val="22"/>
          <w:u w:val="single"/>
        </w:rPr>
        <w:t xml:space="preserve"> so známym účinkom</w:t>
      </w:r>
      <w:r w:rsidRPr="007477F4">
        <w:rPr>
          <w:bCs/>
          <w:sz w:val="22"/>
          <w:szCs w:val="22"/>
          <w:u w:val="single"/>
        </w:rPr>
        <w:t xml:space="preserve"> </w:t>
      </w:r>
    </w:p>
    <w:p w:rsidR="00FB3973" w:rsidRPr="004105BF" w:rsidRDefault="00823918" w:rsidP="00430229">
      <w:pPr>
        <w:rPr>
          <w:sz w:val="22"/>
          <w:szCs w:val="22"/>
        </w:rPr>
      </w:pPr>
      <w:r w:rsidRPr="004105BF">
        <w:rPr>
          <w:i/>
          <w:sz w:val="22"/>
          <w:szCs w:val="22"/>
        </w:rPr>
        <w:t>Eplerenon STADA</w:t>
      </w:r>
      <w:r w:rsidR="00FB3973" w:rsidRPr="004105BF">
        <w:rPr>
          <w:i/>
          <w:sz w:val="22"/>
          <w:szCs w:val="22"/>
        </w:rPr>
        <w:t xml:space="preserve"> 25 mg filmom </w:t>
      </w:r>
      <w:r w:rsidR="00430229" w:rsidRPr="004105BF">
        <w:rPr>
          <w:i/>
          <w:sz w:val="22"/>
          <w:szCs w:val="22"/>
        </w:rPr>
        <w:t>obale</w:t>
      </w:r>
      <w:r w:rsidR="00FB3973" w:rsidRPr="004105BF">
        <w:rPr>
          <w:i/>
          <w:sz w:val="22"/>
          <w:szCs w:val="22"/>
        </w:rPr>
        <w:t>né tablety:</w:t>
      </w:r>
      <w:r w:rsidR="00FB3973" w:rsidRPr="004105BF">
        <w:rPr>
          <w:sz w:val="22"/>
          <w:szCs w:val="22"/>
        </w:rPr>
        <w:t xml:space="preserve"> Jedna filmom </w:t>
      </w:r>
      <w:r w:rsidR="00430229" w:rsidRPr="004105BF">
        <w:rPr>
          <w:sz w:val="22"/>
          <w:szCs w:val="22"/>
        </w:rPr>
        <w:t>obalen</w:t>
      </w:r>
      <w:r w:rsidR="00FB3973" w:rsidRPr="004105BF">
        <w:rPr>
          <w:sz w:val="22"/>
          <w:szCs w:val="22"/>
        </w:rPr>
        <w:t xml:space="preserve">á tableta obsahuje 35,08 </w:t>
      </w:r>
      <w:r w:rsidR="00217AC9" w:rsidRPr="004105BF">
        <w:rPr>
          <w:sz w:val="22"/>
          <w:szCs w:val="22"/>
        </w:rPr>
        <w:t xml:space="preserve">mg </w:t>
      </w:r>
      <w:r w:rsidR="00FB3973" w:rsidRPr="004105BF">
        <w:rPr>
          <w:sz w:val="22"/>
          <w:szCs w:val="22"/>
        </w:rPr>
        <w:t>laktózy (</w:t>
      </w:r>
      <w:r w:rsidR="00FA1F22" w:rsidRPr="004105BF">
        <w:rPr>
          <w:sz w:val="22"/>
          <w:szCs w:val="22"/>
        </w:rPr>
        <w:t xml:space="preserve">vo forme </w:t>
      </w:r>
      <w:r w:rsidR="00FB3973" w:rsidRPr="004105BF">
        <w:rPr>
          <w:sz w:val="22"/>
          <w:szCs w:val="22"/>
        </w:rPr>
        <w:t>monohydrátu laktózy)</w:t>
      </w:r>
      <w:r w:rsidR="000B4A03">
        <w:rPr>
          <w:sz w:val="22"/>
          <w:szCs w:val="22"/>
        </w:rPr>
        <w:t xml:space="preserve"> (pozri časť 4.4)</w:t>
      </w:r>
      <w:r w:rsidR="00FB3973" w:rsidRPr="004105BF">
        <w:rPr>
          <w:sz w:val="22"/>
          <w:szCs w:val="22"/>
        </w:rPr>
        <w:t>.</w:t>
      </w:r>
    </w:p>
    <w:p w:rsidR="00FB3973" w:rsidRPr="00D93408" w:rsidRDefault="00823918" w:rsidP="00430229">
      <w:pPr>
        <w:pStyle w:val="EMEAEnBodyText"/>
        <w:autoSpaceDE w:val="0"/>
        <w:autoSpaceDN w:val="0"/>
        <w:adjustRightInd w:val="0"/>
        <w:spacing w:before="0" w:after="0"/>
        <w:jc w:val="left"/>
        <w:rPr>
          <w:i/>
          <w:iCs/>
          <w:lang w:val="sk-SK"/>
        </w:rPr>
      </w:pPr>
      <w:r w:rsidRPr="004105BF">
        <w:rPr>
          <w:i/>
          <w:szCs w:val="22"/>
          <w:lang w:val="sk-SK"/>
        </w:rPr>
        <w:t>Eplerenon STADA</w:t>
      </w:r>
      <w:r w:rsidR="00FB3973" w:rsidRPr="004105BF">
        <w:rPr>
          <w:i/>
          <w:szCs w:val="22"/>
          <w:lang w:val="sk-SK"/>
        </w:rPr>
        <w:t xml:space="preserve"> 50 mg filmom </w:t>
      </w:r>
      <w:r w:rsidR="00430229" w:rsidRPr="004105BF">
        <w:rPr>
          <w:i/>
          <w:szCs w:val="22"/>
          <w:lang w:val="sk-SK"/>
        </w:rPr>
        <w:t>obale</w:t>
      </w:r>
      <w:r w:rsidR="00FB3973" w:rsidRPr="004105BF">
        <w:rPr>
          <w:i/>
          <w:szCs w:val="22"/>
          <w:lang w:val="sk-SK"/>
        </w:rPr>
        <w:t>né tablety:</w:t>
      </w:r>
      <w:r w:rsidR="00FB3973" w:rsidRPr="004105BF">
        <w:rPr>
          <w:szCs w:val="22"/>
          <w:lang w:val="sk-SK"/>
        </w:rPr>
        <w:t xml:space="preserve"> Jedna </w:t>
      </w:r>
      <w:r w:rsidR="00430229" w:rsidRPr="00D93408">
        <w:rPr>
          <w:szCs w:val="22"/>
          <w:lang w:val="sk-SK"/>
        </w:rPr>
        <w:t>filmom obale</w:t>
      </w:r>
      <w:r w:rsidR="00FB3973" w:rsidRPr="00D93408">
        <w:rPr>
          <w:szCs w:val="22"/>
          <w:lang w:val="sk-SK"/>
        </w:rPr>
        <w:t xml:space="preserve">ná tableta obsahuje 70,16 </w:t>
      </w:r>
      <w:r w:rsidR="00217AC9" w:rsidRPr="00D93408">
        <w:rPr>
          <w:szCs w:val="22"/>
          <w:lang w:val="sk-SK"/>
        </w:rPr>
        <w:t xml:space="preserve">mg </w:t>
      </w:r>
      <w:r w:rsidR="00FB3973" w:rsidRPr="00D93408">
        <w:rPr>
          <w:szCs w:val="22"/>
          <w:lang w:val="sk-SK"/>
        </w:rPr>
        <w:t>laktózy (v</w:t>
      </w:r>
      <w:r w:rsidR="00FA1F22" w:rsidRPr="00D93408">
        <w:rPr>
          <w:szCs w:val="22"/>
          <w:lang w:val="sk-SK"/>
        </w:rPr>
        <w:t>o</w:t>
      </w:r>
      <w:r w:rsidR="00FB3973" w:rsidRPr="00D93408">
        <w:rPr>
          <w:szCs w:val="22"/>
          <w:lang w:val="sk-SK"/>
        </w:rPr>
        <w:t xml:space="preserve"> </w:t>
      </w:r>
      <w:r w:rsidR="00FA1F22" w:rsidRPr="00D93408">
        <w:rPr>
          <w:szCs w:val="22"/>
          <w:lang w:val="sk-SK"/>
        </w:rPr>
        <w:t xml:space="preserve">forme </w:t>
      </w:r>
      <w:r w:rsidR="00FB3973" w:rsidRPr="00D93408">
        <w:rPr>
          <w:szCs w:val="22"/>
          <w:lang w:val="sk-SK"/>
        </w:rPr>
        <w:t>monohydrátu laktózy)</w:t>
      </w:r>
      <w:r w:rsidR="001F692E">
        <w:rPr>
          <w:szCs w:val="22"/>
          <w:lang w:val="sk-SK"/>
        </w:rPr>
        <w:t xml:space="preserve"> </w:t>
      </w:r>
      <w:r w:rsidR="001F692E" w:rsidRPr="000502DB">
        <w:rPr>
          <w:szCs w:val="22"/>
          <w:lang w:val="sk-SK"/>
        </w:rPr>
        <w:t>(pozri časť 4.4)</w:t>
      </w:r>
      <w:r w:rsidR="00FB3973" w:rsidRPr="00D93408">
        <w:rPr>
          <w:szCs w:val="22"/>
          <w:lang w:val="sk-SK"/>
        </w:rPr>
        <w:t>.</w:t>
      </w:r>
    </w:p>
    <w:p w:rsidR="00FB3973" w:rsidRPr="00D93408" w:rsidRDefault="00FB3973" w:rsidP="00FB3973">
      <w:pPr>
        <w:rPr>
          <w:sz w:val="22"/>
          <w:szCs w:val="22"/>
        </w:rPr>
      </w:pPr>
    </w:p>
    <w:p w:rsidR="00FB3973" w:rsidRPr="004105BF" w:rsidRDefault="00217AC9" w:rsidP="00217AC9">
      <w:pPr>
        <w:rPr>
          <w:sz w:val="22"/>
          <w:szCs w:val="22"/>
        </w:rPr>
      </w:pPr>
      <w:r w:rsidRPr="004105BF">
        <w:rPr>
          <w:sz w:val="22"/>
          <w:szCs w:val="22"/>
        </w:rPr>
        <w:t>Úplný zoznam pomocných látok, pozri časť 6.1</w:t>
      </w:r>
      <w:r w:rsidR="00FB3973" w:rsidRPr="004105BF">
        <w:rPr>
          <w:sz w:val="22"/>
          <w:szCs w:val="22"/>
        </w:rPr>
        <w:t>.</w:t>
      </w:r>
    </w:p>
    <w:p w:rsidR="00FB3973" w:rsidRPr="00D93408" w:rsidRDefault="00FB3973" w:rsidP="00FB3973">
      <w:pPr>
        <w:autoSpaceDE w:val="0"/>
        <w:autoSpaceDN w:val="0"/>
        <w:adjustRightInd w:val="0"/>
        <w:rPr>
          <w:sz w:val="22"/>
          <w:szCs w:val="22"/>
        </w:rPr>
      </w:pPr>
    </w:p>
    <w:p w:rsidR="00FB3973" w:rsidRPr="00D93408" w:rsidRDefault="00FB3973">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3.</w:t>
      </w:r>
      <w:r w:rsidR="006B71FE" w:rsidRPr="00D93408">
        <w:rPr>
          <w:b/>
          <w:bCs/>
          <w:sz w:val="22"/>
          <w:szCs w:val="22"/>
        </w:rPr>
        <w:tab/>
      </w:r>
      <w:r w:rsidRPr="00D93408">
        <w:rPr>
          <w:b/>
          <w:bCs/>
          <w:sz w:val="22"/>
          <w:szCs w:val="22"/>
        </w:rPr>
        <w:t xml:space="preserve">LIEKOVÁ FORMA </w:t>
      </w:r>
    </w:p>
    <w:p w:rsidR="00FB3973" w:rsidRPr="00D93408" w:rsidRDefault="00FB3973" w:rsidP="00FB3973">
      <w:pPr>
        <w:autoSpaceDE w:val="0"/>
        <w:autoSpaceDN w:val="0"/>
        <w:adjustRightInd w:val="0"/>
        <w:rPr>
          <w:sz w:val="22"/>
          <w:szCs w:val="22"/>
        </w:rPr>
      </w:pPr>
    </w:p>
    <w:p w:rsidR="00FB3973" w:rsidRPr="00D93408" w:rsidRDefault="00430229" w:rsidP="00430229">
      <w:pPr>
        <w:autoSpaceDE w:val="0"/>
        <w:autoSpaceDN w:val="0"/>
        <w:adjustRightInd w:val="0"/>
        <w:rPr>
          <w:sz w:val="22"/>
          <w:szCs w:val="22"/>
        </w:rPr>
      </w:pPr>
      <w:r w:rsidRPr="00D93408">
        <w:rPr>
          <w:sz w:val="22"/>
          <w:szCs w:val="22"/>
        </w:rPr>
        <w:t>Filmom obale</w:t>
      </w:r>
      <w:r w:rsidR="00FB3973" w:rsidRPr="00D93408">
        <w:rPr>
          <w:sz w:val="22"/>
          <w:szCs w:val="22"/>
        </w:rPr>
        <w:t xml:space="preserve">ná tableta. </w:t>
      </w:r>
    </w:p>
    <w:p w:rsidR="00FB3973" w:rsidRPr="004105BF" w:rsidRDefault="00FB3973" w:rsidP="00FB3973">
      <w:pPr>
        <w:autoSpaceDE w:val="0"/>
        <w:autoSpaceDN w:val="0"/>
        <w:adjustRightInd w:val="0"/>
        <w:rPr>
          <w:sz w:val="22"/>
          <w:szCs w:val="22"/>
        </w:rPr>
      </w:pPr>
    </w:p>
    <w:p w:rsidR="00FA1F22" w:rsidRPr="004105BF" w:rsidRDefault="00823918" w:rsidP="00FA1F22">
      <w:pPr>
        <w:rPr>
          <w:sz w:val="22"/>
          <w:szCs w:val="22"/>
        </w:rPr>
      </w:pPr>
      <w:r w:rsidRPr="004105BF">
        <w:rPr>
          <w:i/>
          <w:sz w:val="22"/>
          <w:szCs w:val="22"/>
        </w:rPr>
        <w:t>Eplerenon STADA</w:t>
      </w:r>
      <w:r w:rsidR="00FB3973" w:rsidRPr="004105BF">
        <w:rPr>
          <w:i/>
          <w:sz w:val="22"/>
          <w:szCs w:val="22"/>
        </w:rPr>
        <w:t xml:space="preserve"> 25 mg filmom </w:t>
      </w:r>
      <w:r w:rsidR="00430229" w:rsidRPr="004105BF">
        <w:rPr>
          <w:i/>
          <w:sz w:val="22"/>
          <w:szCs w:val="22"/>
        </w:rPr>
        <w:t>obale</w:t>
      </w:r>
      <w:r w:rsidR="00FB3973" w:rsidRPr="004105BF">
        <w:rPr>
          <w:i/>
          <w:sz w:val="22"/>
          <w:szCs w:val="22"/>
        </w:rPr>
        <w:t xml:space="preserve">né tablety: </w:t>
      </w:r>
      <w:r w:rsidR="00FB3973" w:rsidRPr="004105BF">
        <w:rPr>
          <w:sz w:val="22"/>
          <w:szCs w:val="22"/>
        </w:rPr>
        <w:t xml:space="preserve">Biela alebo takmer biela okrúhla bikonvexná filmom </w:t>
      </w:r>
      <w:r w:rsidR="00430229" w:rsidRPr="004105BF">
        <w:rPr>
          <w:sz w:val="22"/>
          <w:szCs w:val="22"/>
        </w:rPr>
        <w:t>obale</w:t>
      </w:r>
      <w:r w:rsidR="00FB3973" w:rsidRPr="004105BF">
        <w:rPr>
          <w:sz w:val="22"/>
          <w:szCs w:val="22"/>
        </w:rPr>
        <w:t>ná tableta</w:t>
      </w:r>
      <w:r w:rsidR="0067468F">
        <w:rPr>
          <w:sz w:val="22"/>
          <w:szCs w:val="22"/>
        </w:rPr>
        <w:t xml:space="preserve"> s priemerom približne 6 mm, n</w:t>
      </w:r>
      <w:r w:rsidR="00FA1F22" w:rsidRPr="004105BF">
        <w:rPr>
          <w:sz w:val="22"/>
          <w:szCs w:val="22"/>
        </w:rPr>
        <w:t>a jednej strane je vyryté „CG3“, druhá strana je hladká.</w:t>
      </w:r>
    </w:p>
    <w:p w:rsidR="00FA1F22" w:rsidRPr="004105BF" w:rsidRDefault="00823918" w:rsidP="00FA1F22">
      <w:pPr>
        <w:rPr>
          <w:sz w:val="22"/>
          <w:szCs w:val="22"/>
        </w:rPr>
      </w:pPr>
      <w:r w:rsidRPr="004105BF">
        <w:rPr>
          <w:i/>
          <w:sz w:val="22"/>
          <w:szCs w:val="22"/>
        </w:rPr>
        <w:t>Eplerenon STADA</w:t>
      </w:r>
      <w:r w:rsidR="00FB3973" w:rsidRPr="004105BF">
        <w:rPr>
          <w:i/>
          <w:sz w:val="22"/>
          <w:szCs w:val="22"/>
        </w:rPr>
        <w:t xml:space="preserve"> 50 mg filmom </w:t>
      </w:r>
      <w:r w:rsidR="00430229" w:rsidRPr="004105BF">
        <w:rPr>
          <w:i/>
          <w:sz w:val="22"/>
          <w:szCs w:val="22"/>
        </w:rPr>
        <w:t>obale</w:t>
      </w:r>
      <w:r w:rsidR="00FB3973" w:rsidRPr="004105BF">
        <w:rPr>
          <w:i/>
          <w:sz w:val="22"/>
          <w:szCs w:val="22"/>
        </w:rPr>
        <w:t>né tablety:</w:t>
      </w:r>
      <w:r w:rsidR="00FB3973" w:rsidRPr="004105BF">
        <w:rPr>
          <w:i/>
          <w:szCs w:val="22"/>
        </w:rPr>
        <w:t xml:space="preserve"> </w:t>
      </w:r>
      <w:r w:rsidR="00FB3973" w:rsidRPr="004105BF">
        <w:rPr>
          <w:sz w:val="22"/>
          <w:szCs w:val="22"/>
        </w:rPr>
        <w:t xml:space="preserve">Biela alebo takmer biela okrúhla bikonvexná filmom </w:t>
      </w:r>
      <w:r w:rsidR="00430229" w:rsidRPr="004105BF">
        <w:rPr>
          <w:sz w:val="22"/>
          <w:szCs w:val="22"/>
        </w:rPr>
        <w:t>obale</w:t>
      </w:r>
      <w:r w:rsidR="00FB3973" w:rsidRPr="004105BF">
        <w:rPr>
          <w:sz w:val="22"/>
          <w:szCs w:val="22"/>
        </w:rPr>
        <w:t>ná tableta</w:t>
      </w:r>
      <w:r w:rsidR="0067468F">
        <w:rPr>
          <w:sz w:val="22"/>
          <w:szCs w:val="22"/>
        </w:rPr>
        <w:t xml:space="preserve"> s priemerom približne 8 mm, n</w:t>
      </w:r>
      <w:r w:rsidR="00FA1F22" w:rsidRPr="004105BF">
        <w:rPr>
          <w:sz w:val="22"/>
          <w:szCs w:val="22"/>
        </w:rPr>
        <w:t>a jednej strane je vyryté „CG4“, druhá strana je hladká.</w:t>
      </w:r>
    </w:p>
    <w:p w:rsidR="00FB3973" w:rsidRPr="004105BF" w:rsidRDefault="00FB3973" w:rsidP="00FB3973">
      <w:pPr>
        <w:autoSpaceDE w:val="0"/>
        <w:autoSpaceDN w:val="0"/>
        <w:adjustRightInd w:val="0"/>
        <w:rPr>
          <w:sz w:val="22"/>
          <w:szCs w:val="22"/>
        </w:rPr>
      </w:pPr>
    </w:p>
    <w:p w:rsidR="00FB3973" w:rsidRPr="004105BF" w:rsidRDefault="00FB3973">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4.</w:t>
      </w:r>
      <w:r w:rsidR="006B71FE" w:rsidRPr="00D93408">
        <w:rPr>
          <w:b/>
          <w:bCs/>
          <w:sz w:val="22"/>
          <w:szCs w:val="22"/>
        </w:rPr>
        <w:tab/>
      </w:r>
      <w:r w:rsidRPr="00D93408">
        <w:rPr>
          <w:b/>
          <w:bCs/>
          <w:sz w:val="22"/>
          <w:szCs w:val="22"/>
        </w:rPr>
        <w:t xml:space="preserve">KLINICKÉ </w:t>
      </w:r>
      <w:r w:rsidR="008B199A" w:rsidRPr="00D93408">
        <w:rPr>
          <w:b/>
          <w:bCs/>
          <w:sz w:val="22"/>
          <w:szCs w:val="22"/>
        </w:rPr>
        <w:t>ÚDAJE</w:t>
      </w:r>
      <w:r w:rsidRPr="00D93408">
        <w:rPr>
          <w:b/>
          <w:bCs/>
          <w:sz w:val="22"/>
          <w:szCs w:val="22"/>
        </w:rPr>
        <w:t xml:space="preserve"> </w:t>
      </w:r>
    </w:p>
    <w:p w:rsidR="00FB3973" w:rsidRPr="00D93408" w:rsidRDefault="00FB3973" w:rsidP="00FB3973">
      <w:pPr>
        <w:autoSpaceDE w:val="0"/>
        <w:autoSpaceDN w:val="0"/>
        <w:adjustRightInd w:val="0"/>
        <w:rPr>
          <w:b/>
          <w:bCs/>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4.1</w:t>
      </w:r>
      <w:r w:rsidR="006B71FE" w:rsidRPr="00D93408">
        <w:rPr>
          <w:b/>
          <w:bCs/>
          <w:sz w:val="22"/>
          <w:szCs w:val="22"/>
        </w:rPr>
        <w:tab/>
      </w:r>
      <w:r w:rsidRPr="00D93408">
        <w:rPr>
          <w:b/>
          <w:bCs/>
          <w:sz w:val="22"/>
          <w:szCs w:val="22"/>
        </w:rPr>
        <w:t xml:space="preserve">Terapeutické indikácie </w:t>
      </w:r>
    </w:p>
    <w:p w:rsidR="00FB3973" w:rsidRDefault="00FB3973" w:rsidP="00FB3973">
      <w:pPr>
        <w:autoSpaceDE w:val="0"/>
        <w:autoSpaceDN w:val="0"/>
        <w:adjustRightInd w:val="0"/>
        <w:rPr>
          <w:sz w:val="22"/>
          <w:szCs w:val="22"/>
        </w:rPr>
      </w:pPr>
    </w:p>
    <w:p w:rsidR="00F63346" w:rsidRPr="00D93408" w:rsidRDefault="00F63346" w:rsidP="00FB3973">
      <w:pPr>
        <w:autoSpaceDE w:val="0"/>
        <w:autoSpaceDN w:val="0"/>
        <w:adjustRightInd w:val="0"/>
        <w:rPr>
          <w:sz w:val="22"/>
          <w:szCs w:val="22"/>
        </w:rPr>
      </w:pPr>
      <w:r>
        <w:rPr>
          <w:sz w:val="22"/>
          <w:szCs w:val="22"/>
        </w:rPr>
        <w:t>Epleren</w:t>
      </w:r>
      <w:r w:rsidR="00A374AB">
        <w:rPr>
          <w:sz w:val="22"/>
          <w:szCs w:val="22"/>
        </w:rPr>
        <w:t>ó</w:t>
      </w:r>
      <w:r>
        <w:rPr>
          <w:sz w:val="22"/>
          <w:szCs w:val="22"/>
        </w:rPr>
        <w:t>n je indikovaný:</w:t>
      </w:r>
    </w:p>
    <w:p w:rsidR="00FB3973" w:rsidRDefault="00FD048B" w:rsidP="00F63346">
      <w:pPr>
        <w:numPr>
          <w:ilvl w:val="0"/>
          <w:numId w:val="24"/>
        </w:numPr>
        <w:autoSpaceDE w:val="0"/>
        <w:autoSpaceDN w:val="0"/>
        <w:adjustRightInd w:val="0"/>
        <w:ind w:left="567" w:hanging="567"/>
        <w:rPr>
          <w:sz w:val="22"/>
          <w:szCs w:val="22"/>
        </w:rPr>
      </w:pPr>
      <w:r w:rsidRPr="00366F86">
        <w:rPr>
          <w:sz w:val="22"/>
          <w:szCs w:val="22"/>
        </w:rPr>
        <w:t xml:space="preserve">ako doplnok </w:t>
      </w:r>
      <w:r w:rsidR="004666AB" w:rsidRPr="00D93408">
        <w:rPr>
          <w:sz w:val="22"/>
          <w:szCs w:val="22"/>
        </w:rPr>
        <w:t xml:space="preserve">štandardnej liečby zahŕňajúcej betablokátory sa </w:t>
      </w:r>
      <w:r w:rsidR="006550B1" w:rsidRPr="00D93408">
        <w:rPr>
          <w:sz w:val="22"/>
          <w:szCs w:val="22"/>
        </w:rPr>
        <w:t xml:space="preserve">eplerenón </w:t>
      </w:r>
      <w:r w:rsidR="004666AB" w:rsidRPr="00D93408">
        <w:rPr>
          <w:sz w:val="22"/>
          <w:szCs w:val="22"/>
        </w:rPr>
        <w:t xml:space="preserve">indikuje na </w:t>
      </w:r>
      <w:r w:rsidR="00E81140" w:rsidRPr="00D93408">
        <w:rPr>
          <w:sz w:val="22"/>
          <w:szCs w:val="22"/>
        </w:rPr>
        <w:t xml:space="preserve">zníženie </w:t>
      </w:r>
      <w:r w:rsidR="004666AB" w:rsidRPr="00D93408">
        <w:rPr>
          <w:sz w:val="22"/>
          <w:szCs w:val="22"/>
        </w:rPr>
        <w:t xml:space="preserve">rizika kardiovaskulárnej </w:t>
      </w:r>
      <w:r w:rsidR="0067468F">
        <w:rPr>
          <w:sz w:val="22"/>
          <w:szCs w:val="22"/>
        </w:rPr>
        <w:t xml:space="preserve">(KV) </w:t>
      </w:r>
      <w:r w:rsidR="004666AB" w:rsidRPr="00D93408">
        <w:rPr>
          <w:sz w:val="22"/>
          <w:szCs w:val="22"/>
        </w:rPr>
        <w:t xml:space="preserve">mortality a morbidity u stabilných pacientov s dysfunkciou ľavej komory (LVEF </w:t>
      </w:r>
      <w:r w:rsidR="004666AB" w:rsidRPr="00D93408">
        <w:rPr>
          <w:rFonts w:eastAsia="SymbolMT"/>
          <w:sz w:val="22"/>
          <w:szCs w:val="22"/>
        </w:rPr>
        <w:t xml:space="preserve">≤ </w:t>
      </w:r>
      <w:r w:rsidR="004666AB" w:rsidRPr="00D93408">
        <w:rPr>
          <w:sz w:val="22"/>
          <w:szCs w:val="22"/>
        </w:rPr>
        <w:t>40 %) a</w:t>
      </w:r>
      <w:r w:rsidR="00E81140" w:rsidRPr="00D93408">
        <w:rPr>
          <w:sz w:val="22"/>
          <w:szCs w:val="22"/>
        </w:rPr>
        <w:t> </w:t>
      </w:r>
      <w:r w:rsidR="004666AB" w:rsidRPr="00D93408">
        <w:rPr>
          <w:sz w:val="22"/>
          <w:szCs w:val="22"/>
        </w:rPr>
        <w:t>klinickým</w:t>
      </w:r>
      <w:r w:rsidR="00E81140" w:rsidRPr="00D93408">
        <w:rPr>
          <w:sz w:val="22"/>
          <w:szCs w:val="22"/>
        </w:rPr>
        <w:t xml:space="preserve"> dôkazom</w:t>
      </w:r>
      <w:r w:rsidR="004666AB" w:rsidRPr="00D93408">
        <w:rPr>
          <w:sz w:val="22"/>
          <w:szCs w:val="22"/>
        </w:rPr>
        <w:t xml:space="preserve"> </w:t>
      </w:r>
      <w:r w:rsidR="00D45B5C">
        <w:rPr>
          <w:sz w:val="22"/>
          <w:szCs w:val="22"/>
        </w:rPr>
        <w:t xml:space="preserve">zlyhávania </w:t>
      </w:r>
      <w:r w:rsidR="004666AB" w:rsidRPr="00D93408">
        <w:rPr>
          <w:sz w:val="22"/>
          <w:szCs w:val="22"/>
        </w:rPr>
        <w:t>srdca po čerstvom infarkte myokardu</w:t>
      </w:r>
      <w:r w:rsidR="000B4A03">
        <w:rPr>
          <w:sz w:val="22"/>
          <w:szCs w:val="22"/>
        </w:rPr>
        <w:t xml:space="preserve"> (IM)</w:t>
      </w:r>
      <w:r w:rsidR="004666AB" w:rsidRPr="00D93408">
        <w:rPr>
          <w:sz w:val="22"/>
          <w:szCs w:val="22"/>
        </w:rPr>
        <w:t xml:space="preserve">. </w:t>
      </w:r>
    </w:p>
    <w:p w:rsidR="00FD048B" w:rsidRDefault="00FD048B" w:rsidP="00FD048B">
      <w:pPr>
        <w:autoSpaceDE w:val="0"/>
        <w:autoSpaceDN w:val="0"/>
        <w:adjustRightInd w:val="0"/>
        <w:ind w:left="567" w:hanging="567"/>
        <w:rPr>
          <w:sz w:val="22"/>
          <w:szCs w:val="22"/>
        </w:rPr>
      </w:pPr>
    </w:p>
    <w:p w:rsidR="00FD048B" w:rsidRPr="00FD048B" w:rsidRDefault="00FD048B" w:rsidP="00F63346">
      <w:pPr>
        <w:numPr>
          <w:ilvl w:val="0"/>
          <w:numId w:val="24"/>
        </w:numPr>
        <w:tabs>
          <w:tab w:val="left" w:pos="567"/>
        </w:tabs>
        <w:overflowPunct w:val="0"/>
        <w:autoSpaceDE w:val="0"/>
        <w:autoSpaceDN w:val="0"/>
        <w:adjustRightInd w:val="0"/>
        <w:ind w:left="567" w:hanging="567"/>
        <w:rPr>
          <w:sz w:val="22"/>
          <w:szCs w:val="22"/>
        </w:rPr>
      </w:pPr>
      <w:r w:rsidRPr="00FD048B">
        <w:rPr>
          <w:sz w:val="22"/>
          <w:szCs w:val="22"/>
        </w:rPr>
        <w:t xml:space="preserve">ako doplnok štandardnej optimálnej liečby na zníženie rizika </w:t>
      </w:r>
      <w:r w:rsidR="00061903">
        <w:rPr>
          <w:sz w:val="22"/>
          <w:szCs w:val="22"/>
        </w:rPr>
        <w:t>K</w:t>
      </w:r>
      <w:r w:rsidR="000B4A03">
        <w:rPr>
          <w:sz w:val="22"/>
          <w:szCs w:val="22"/>
        </w:rPr>
        <w:t xml:space="preserve">V </w:t>
      </w:r>
      <w:r w:rsidRPr="00FD048B">
        <w:rPr>
          <w:sz w:val="22"/>
          <w:szCs w:val="22"/>
        </w:rPr>
        <w:t>mortality a mor</w:t>
      </w:r>
      <w:r w:rsidR="009F6580">
        <w:rPr>
          <w:sz w:val="22"/>
          <w:szCs w:val="22"/>
        </w:rPr>
        <w:t>bidity u dospelých pacientov so</w:t>
      </w:r>
      <w:r w:rsidRPr="00FD048B">
        <w:rPr>
          <w:sz w:val="22"/>
          <w:szCs w:val="22"/>
        </w:rPr>
        <w:t xml:space="preserve"> zlyhávaním</w:t>
      </w:r>
      <w:r w:rsidR="00D45B5C">
        <w:rPr>
          <w:sz w:val="22"/>
          <w:szCs w:val="22"/>
        </w:rPr>
        <w:t xml:space="preserve"> srdca</w:t>
      </w:r>
      <w:r w:rsidRPr="00FD048B">
        <w:rPr>
          <w:sz w:val="22"/>
          <w:szCs w:val="22"/>
        </w:rPr>
        <w:t xml:space="preserve"> </w:t>
      </w:r>
      <w:r w:rsidR="009F6580">
        <w:rPr>
          <w:sz w:val="22"/>
          <w:szCs w:val="22"/>
        </w:rPr>
        <w:t>štádium</w:t>
      </w:r>
      <w:r w:rsidR="00D45B5C">
        <w:rPr>
          <w:sz w:val="22"/>
          <w:szCs w:val="22"/>
        </w:rPr>
        <w:t xml:space="preserve"> </w:t>
      </w:r>
      <w:r w:rsidR="000B4A03">
        <w:rPr>
          <w:sz w:val="22"/>
          <w:szCs w:val="22"/>
        </w:rPr>
        <w:t>New York Heart Association (</w:t>
      </w:r>
      <w:r w:rsidRPr="00FD048B">
        <w:rPr>
          <w:sz w:val="22"/>
          <w:szCs w:val="22"/>
        </w:rPr>
        <w:t>NYHA</w:t>
      </w:r>
      <w:r w:rsidR="000B4A03">
        <w:rPr>
          <w:sz w:val="22"/>
          <w:szCs w:val="22"/>
        </w:rPr>
        <w:t>)</w:t>
      </w:r>
      <w:r w:rsidRPr="00FD048B">
        <w:rPr>
          <w:sz w:val="22"/>
          <w:szCs w:val="22"/>
        </w:rPr>
        <w:t xml:space="preserve"> II (chronickým) a systolickou dysfunkciou ľavej komory (LVEF ≤ 30 %) (pozri časť 5.1).</w:t>
      </w:r>
    </w:p>
    <w:p w:rsidR="00FB3973" w:rsidRPr="00D93408" w:rsidRDefault="00FB3973">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4.2</w:t>
      </w:r>
      <w:r w:rsidR="006B71FE" w:rsidRPr="00D93408">
        <w:rPr>
          <w:b/>
          <w:bCs/>
          <w:sz w:val="22"/>
          <w:szCs w:val="22"/>
        </w:rPr>
        <w:tab/>
      </w:r>
      <w:r w:rsidRPr="00D93408">
        <w:rPr>
          <w:b/>
          <w:bCs/>
          <w:sz w:val="22"/>
          <w:szCs w:val="22"/>
        </w:rPr>
        <w:t xml:space="preserve">Dávkovanie a spôsob podávania </w:t>
      </w:r>
    </w:p>
    <w:p w:rsidR="00FB3973" w:rsidRPr="00D93408" w:rsidRDefault="00FB3973" w:rsidP="00FB3973">
      <w:pPr>
        <w:autoSpaceDE w:val="0"/>
        <w:autoSpaceDN w:val="0"/>
        <w:adjustRightInd w:val="0"/>
        <w:rPr>
          <w:sz w:val="22"/>
          <w:szCs w:val="22"/>
        </w:rPr>
      </w:pPr>
    </w:p>
    <w:p w:rsidR="000B4A03" w:rsidRPr="000502DB" w:rsidRDefault="000B4A03" w:rsidP="00E81140">
      <w:pPr>
        <w:autoSpaceDE w:val="0"/>
        <w:autoSpaceDN w:val="0"/>
        <w:adjustRightInd w:val="0"/>
        <w:rPr>
          <w:sz w:val="22"/>
          <w:szCs w:val="22"/>
          <w:u w:val="single"/>
        </w:rPr>
      </w:pPr>
      <w:r w:rsidRPr="000502DB">
        <w:rPr>
          <w:sz w:val="22"/>
          <w:szCs w:val="22"/>
          <w:u w:val="single"/>
        </w:rPr>
        <w:t>Dávkovanie</w:t>
      </w:r>
    </w:p>
    <w:p w:rsidR="000B4A03" w:rsidRDefault="000B4A03" w:rsidP="00E81140">
      <w:pPr>
        <w:autoSpaceDE w:val="0"/>
        <w:autoSpaceDN w:val="0"/>
        <w:adjustRightInd w:val="0"/>
        <w:rPr>
          <w:sz w:val="22"/>
          <w:szCs w:val="22"/>
        </w:rPr>
      </w:pPr>
    </w:p>
    <w:p w:rsidR="00FB3973" w:rsidRPr="00D93408" w:rsidRDefault="00FB3973" w:rsidP="00E81140">
      <w:pPr>
        <w:autoSpaceDE w:val="0"/>
        <w:autoSpaceDN w:val="0"/>
        <w:adjustRightInd w:val="0"/>
        <w:rPr>
          <w:sz w:val="22"/>
          <w:szCs w:val="22"/>
        </w:rPr>
      </w:pPr>
      <w:r w:rsidRPr="00D93408">
        <w:rPr>
          <w:sz w:val="22"/>
          <w:szCs w:val="22"/>
        </w:rPr>
        <w:t xml:space="preserve">Na individuálnu titráciu dávky sú k dispozícii </w:t>
      </w:r>
      <w:r w:rsidR="00E81140" w:rsidRPr="00D93408">
        <w:rPr>
          <w:sz w:val="22"/>
          <w:szCs w:val="22"/>
        </w:rPr>
        <w:t xml:space="preserve">sily </w:t>
      </w:r>
      <w:r w:rsidRPr="00D93408">
        <w:rPr>
          <w:sz w:val="22"/>
          <w:szCs w:val="22"/>
        </w:rPr>
        <w:t xml:space="preserve">25 mg a 50 mg. </w:t>
      </w:r>
      <w:r w:rsidR="00FD048B" w:rsidRPr="00366F86">
        <w:rPr>
          <w:sz w:val="22"/>
          <w:szCs w:val="22"/>
        </w:rPr>
        <w:t>Maximálny dávkový režim je 50 mg denne.</w:t>
      </w:r>
    </w:p>
    <w:p w:rsidR="00FB3973" w:rsidRPr="00D93408" w:rsidRDefault="00FB3973" w:rsidP="00FB3973">
      <w:pPr>
        <w:autoSpaceDE w:val="0"/>
        <w:autoSpaceDN w:val="0"/>
        <w:adjustRightInd w:val="0"/>
        <w:rPr>
          <w:sz w:val="22"/>
          <w:szCs w:val="22"/>
        </w:rPr>
      </w:pPr>
    </w:p>
    <w:p w:rsidR="00FD048B" w:rsidRDefault="00FD048B" w:rsidP="007477F4">
      <w:pPr>
        <w:tabs>
          <w:tab w:val="left" w:pos="567"/>
        </w:tabs>
        <w:rPr>
          <w:sz w:val="22"/>
          <w:szCs w:val="22"/>
        </w:rPr>
      </w:pPr>
      <w:r w:rsidRPr="00366F86">
        <w:rPr>
          <w:i/>
          <w:sz w:val="22"/>
          <w:szCs w:val="22"/>
        </w:rPr>
        <w:t xml:space="preserve">Pre pacientov so zlyhávaním </w:t>
      </w:r>
      <w:r w:rsidR="00D45B5C">
        <w:rPr>
          <w:i/>
          <w:sz w:val="22"/>
          <w:szCs w:val="22"/>
        </w:rPr>
        <w:t xml:space="preserve">srdca </w:t>
      </w:r>
      <w:r w:rsidRPr="00366F86">
        <w:rPr>
          <w:i/>
          <w:sz w:val="22"/>
          <w:szCs w:val="22"/>
        </w:rPr>
        <w:t>po</w:t>
      </w:r>
      <w:r w:rsidR="000B4A03">
        <w:rPr>
          <w:i/>
          <w:sz w:val="22"/>
          <w:szCs w:val="22"/>
        </w:rPr>
        <w:t xml:space="preserve"> IM</w:t>
      </w:r>
      <w:r w:rsidRPr="00366F86">
        <w:rPr>
          <w:i/>
          <w:sz w:val="22"/>
          <w:szCs w:val="22"/>
        </w:rPr>
        <w:t>:</w:t>
      </w:r>
    </w:p>
    <w:p w:rsidR="00FB3973" w:rsidRDefault="00FB3973" w:rsidP="00E81140">
      <w:pPr>
        <w:autoSpaceDE w:val="0"/>
        <w:autoSpaceDN w:val="0"/>
        <w:adjustRightInd w:val="0"/>
        <w:rPr>
          <w:sz w:val="22"/>
          <w:szCs w:val="22"/>
        </w:rPr>
      </w:pPr>
      <w:r w:rsidRPr="00D93408">
        <w:rPr>
          <w:sz w:val="22"/>
          <w:szCs w:val="22"/>
        </w:rPr>
        <w:lastRenderedPageBreak/>
        <w:t xml:space="preserve">Odporúčaná udržiavacia dávka </w:t>
      </w:r>
      <w:r w:rsidR="006550B1" w:rsidRPr="00D93408">
        <w:rPr>
          <w:sz w:val="22"/>
          <w:szCs w:val="22"/>
        </w:rPr>
        <w:t xml:space="preserve">eplerenónu </w:t>
      </w:r>
      <w:r w:rsidRPr="00D93408">
        <w:rPr>
          <w:sz w:val="22"/>
          <w:szCs w:val="22"/>
        </w:rPr>
        <w:t xml:space="preserve">je 50 mg </w:t>
      </w:r>
      <w:r w:rsidR="00572914" w:rsidRPr="00D93408">
        <w:rPr>
          <w:sz w:val="22"/>
          <w:szCs w:val="22"/>
        </w:rPr>
        <w:t xml:space="preserve">raz denne </w:t>
      </w:r>
      <w:r w:rsidRPr="00D93408">
        <w:rPr>
          <w:sz w:val="22"/>
          <w:szCs w:val="22"/>
        </w:rPr>
        <w:t xml:space="preserve">(OD). Liečba </w:t>
      </w:r>
      <w:r w:rsidR="00E81140" w:rsidRPr="00D93408">
        <w:rPr>
          <w:sz w:val="22"/>
          <w:szCs w:val="22"/>
        </w:rPr>
        <w:t>sa má</w:t>
      </w:r>
      <w:r w:rsidRPr="00D93408">
        <w:rPr>
          <w:sz w:val="22"/>
          <w:szCs w:val="22"/>
        </w:rPr>
        <w:t xml:space="preserve"> začať dávk</w:t>
      </w:r>
      <w:r w:rsidR="00E81140" w:rsidRPr="00D93408">
        <w:rPr>
          <w:sz w:val="22"/>
          <w:szCs w:val="22"/>
        </w:rPr>
        <w:t>ou</w:t>
      </w:r>
      <w:r w:rsidRPr="00D93408">
        <w:rPr>
          <w:sz w:val="22"/>
          <w:szCs w:val="22"/>
        </w:rPr>
        <w:t xml:space="preserve"> 25 mg raz denne s následnou titráciou na cieľovú dávku 50 mg raz denne najlepšie počas 4 týždňov so zvážením sérových hladín draslíka (pozri tabuľku 1). Liečba epleren</w:t>
      </w:r>
      <w:r w:rsidR="0074640B" w:rsidRPr="00D93408">
        <w:rPr>
          <w:sz w:val="22"/>
          <w:szCs w:val="22"/>
        </w:rPr>
        <w:t>ó</w:t>
      </w:r>
      <w:r w:rsidRPr="00D93408">
        <w:rPr>
          <w:sz w:val="22"/>
          <w:szCs w:val="22"/>
        </w:rPr>
        <w:t xml:space="preserve">nom </w:t>
      </w:r>
      <w:r w:rsidR="00E81140" w:rsidRPr="00D93408">
        <w:rPr>
          <w:sz w:val="22"/>
          <w:szCs w:val="22"/>
        </w:rPr>
        <w:t>sa má</w:t>
      </w:r>
      <w:r w:rsidRPr="00D93408">
        <w:rPr>
          <w:sz w:val="22"/>
          <w:szCs w:val="22"/>
        </w:rPr>
        <w:t xml:space="preserve"> zvyčajne začať do 3</w:t>
      </w:r>
      <w:r w:rsidR="00E81140" w:rsidRPr="00D93408">
        <w:rPr>
          <w:sz w:val="22"/>
          <w:szCs w:val="22"/>
        </w:rPr>
        <w:t xml:space="preserve"> – </w:t>
      </w:r>
      <w:r w:rsidRPr="00D93408">
        <w:rPr>
          <w:sz w:val="22"/>
          <w:szCs w:val="22"/>
        </w:rPr>
        <w:t>14 dní po akútnom</w:t>
      </w:r>
      <w:r w:rsidR="000B4A03">
        <w:rPr>
          <w:sz w:val="22"/>
          <w:szCs w:val="22"/>
        </w:rPr>
        <w:t xml:space="preserve"> IM</w:t>
      </w:r>
      <w:r w:rsidRPr="00D93408">
        <w:rPr>
          <w:sz w:val="22"/>
          <w:szCs w:val="22"/>
        </w:rPr>
        <w:t xml:space="preserve">. </w:t>
      </w:r>
    </w:p>
    <w:p w:rsidR="00FD048B" w:rsidRDefault="00FD048B" w:rsidP="00E81140">
      <w:pPr>
        <w:autoSpaceDE w:val="0"/>
        <w:autoSpaceDN w:val="0"/>
        <w:adjustRightInd w:val="0"/>
        <w:rPr>
          <w:sz w:val="22"/>
          <w:szCs w:val="22"/>
        </w:rPr>
      </w:pPr>
    </w:p>
    <w:p w:rsidR="00FD048B" w:rsidRPr="00366F86" w:rsidRDefault="00FD048B" w:rsidP="00FD048B">
      <w:pPr>
        <w:tabs>
          <w:tab w:val="left" w:pos="567"/>
        </w:tabs>
        <w:rPr>
          <w:i/>
          <w:sz w:val="22"/>
          <w:szCs w:val="22"/>
        </w:rPr>
      </w:pPr>
      <w:r w:rsidRPr="00366F86">
        <w:rPr>
          <w:i/>
          <w:sz w:val="22"/>
          <w:szCs w:val="22"/>
        </w:rPr>
        <w:t xml:space="preserve">Pre pacientov so zlyhávaním </w:t>
      </w:r>
      <w:r w:rsidR="009F6580">
        <w:rPr>
          <w:i/>
          <w:sz w:val="22"/>
          <w:szCs w:val="22"/>
        </w:rPr>
        <w:t>srdca</w:t>
      </w:r>
      <w:r w:rsidR="00D45B5C">
        <w:rPr>
          <w:i/>
          <w:sz w:val="22"/>
          <w:szCs w:val="22"/>
        </w:rPr>
        <w:t xml:space="preserve"> </w:t>
      </w:r>
      <w:r w:rsidR="00D45B5C" w:rsidRPr="007477F4">
        <w:rPr>
          <w:i/>
          <w:sz w:val="22"/>
          <w:szCs w:val="22"/>
        </w:rPr>
        <w:t>štádium</w:t>
      </w:r>
      <w:r w:rsidR="00D45B5C">
        <w:rPr>
          <w:sz w:val="22"/>
          <w:szCs w:val="22"/>
        </w:rPr>
        <w:t xml:space="preserve"> </w:t>
      </w:r>
      <w:r w:rsidRPr="00366F86">
        <w:rPr>
          <w:i/>
          <w:sz w:val="22"/>
          <w:szCs w:val="22"/>
        </w:rPr>
        <w:t>NYHA II (chronickým):</w:t>
      </w:r>
    </w:p>
    <w:p w:rsidR="00FD048B" w:rsidRPr="00D93408" w:rsidRDefault="00FD048B" w:rsidP="007477F4">
      <w:pPr>
        <w:tabs>
          <w:tab w:val="left" w:pos="567"/>
        </w:tabs>
        <w:rPr>
          <w:sz w:val="22"/>
          <w:szCs w:val="22"/>
        </w:rPr>
      </w:pPr>
      <w:r w:rsidRPr="00366F86">
        <w:rPr>
          <w:sz w:val="22"/>
          <w:szCs w:val="22"/>
        </w:rPr>
        <w:t xml:space="preserve">Pre pacientov s chronickým zlyhávaním </w:t>
      </w:r>
      <w:r w:rsidR="00D45B5C">
        <w:rPr>
          <w:sz w:val="22"/>
          <w:szCs w:val="22"/>
        </w:rPr>
        <w:t xml:space="preserve">srdca štádium </w:t>
      </w:r>
      <w:r w:rsidRPr="00366F86">
        <w:rPr>
          <w:sz w:val="22"/>
          <w:szCs w:val="22"/>
        </w:rPr>
        <w:t>NYHA II sa má liečba začať dávkou 25 mg jedenkrát denne a titrovať na cieľovú dávku 50 mg jedenkrát denne najlepšie počas 4 týždňov; pri tom je potrebné vziať do úvahy sérovú hladinu draslíka (pozri tabuľku 1 a časť 4.4).</w:t>
      </w:r>
    </w:p>
    <w:p w:rsidR="00FB3973" w:rsidRPr="00D93408" w:rsidRDefault="00FB3973" w:rsidP="00FB3973">
      <w:pPr>
        <w:autoSpaceDE w:val="0"/>
        <w:autoSpaceDN w:val="0"/>
        <w:adjustRightInd w:val="0"/>
        <w:rPr>
          <w:sz w:val="22"/>
          <w:szCs w:val="22"/>
        </w:rPr>
      </w:pPr>
    </w:p>
    <w:p w:rsidR="00FB3973" w:rsidRPr="00D93408" w:rsidRDefault="00FB3973" w:rsidP="00E81140">
      <w:pPr>
        <w:autoSpaceDE w:val="0"/>
        <w:autoSpaceDN w:val="0"/>
        <w:adjustRightInd w:val="0"/>
        <w:rPr>
          <w:sz w:val="22"/>
          <w:szCs w:val="22"/>
        </w:rPr>
      </w:pPr>
      <w:r w:rsidRPr="00D93408">
        <w:rPr>
          <w:sz w:val="22"/>
          <w:szCs w:val="22"/>
        </w:rPr>
        <w:t>Pacientom so sérovou hladinou draslíka &gt; 5,0 mmol/</w:t>
      </w:r>
      <w:r w:rsidR="00E81140" w:rsidRPr="00D93408">
        <w:rPr>
          <w:sz w:val="22"/>
          <w:szCs w:val="22"/>
        </w:rPr>
        <w:t>l</w:t>
      </w:r>
      <w:r w:rsidRPr="00D93408">
        <w:rPr>
          <w:sz w:val="22"/>
          <w:szCs w:val="22"/>
        </w:rPr>
        <w:t xml:space="preserve"> sa </w:t>
      </w:r>
      <w:r w:rsidR="006550B1" w:rsidRPr="00D93408">
        <w:rPr>
          <w:sz w:val="22"/>
          <w:szCs w:val="22"/>
        </w:rPr>
        <w:t xml:space="preserve">eplerenón </w:t>
      </w:r>
      <w:r w:rsidR="00E81140" w:rsidRPr="00D93408">
        <w:rPr>
          <w:sz w:val="22"/>
          <w:szCs w:val="22"/>
        </w:rPr>
        <w:t>nemá</w:t>
      </w:r>
      <w:r w:rsidR="006022F6">
        <w:rPr>
          <w:sz w:val="22"/>
          <w:szCs w:val="22"/>
        </w:rPr>
        <w:t xml:space="preserve"> začať</w:t>
      </w:r>
      <w:r w:rsidR="00E81140" w:rsidRPr="00D93408">
        <w:rPr>
          <w:sz w:val="22"/>
          <w:szCs w:val="22"/>
        </w:rPr>
        <w:t xml:space="preserve"> </w:t>
      </w:r>
      <w:r w:rsidRPr="00D93408">
        <w:rPr>
          <w:sz w:val="22"/>
          <w:szCs w:val="22"/>
        </w:rPr>
        <w:t xml:space="preserve">podávať (pozri časť 4.3). Pred začatím liečby </w:t>
      </w:r>
      <w:r w:rsidR="006550B1" w:rsidRPr="00D93408">
        <w:rPr>
          <w:sz w:val="22"/>
          <w:szCs w:val="22"/>
        </w:rPr>
        <w:t>eplerenónom</w:t>
      </w:r>
      <w:r w:rsidRPr="00D93408">
        <w:rPr>
          <w:sz w:val="22"/>
          <w:szCs w:val="22"/>
        </w:rPr>
        <w:t xml:space="preserve">, </w:t>
      </w:r>
      <w:r w:rsidR="00E81140" w:rsidRPr="00D93408">
        <w:rPr>
          <w:sz w:val="22"/>
          <w:szCs w:val="22"/>
        </w:rPr>
        <w:t>v</w:t>
      </w:r>
      <w:r w:rsidRPr="00D93408">
        <w:rPr>
          <w:sz w:val="22"/>
          <w:szCs w:val="22"/>
        </w:rPr>
        <w:t xml:space="preserve"> prvom týždni a po mesiaci od začiatku liečby</w:t>
      </w:r>
      <w:r w:rsidR="006550B1" w:rsidRPr="00D93408">
        <w:rPr>
          <w:sz w:val="22"/>
          <w:szCs w:val="22"/>
        </w:rPr>
        <w:t>,</w:t>
      </w:r>
      <w:r w:rsidRPr="00D93408">
        <w:rPr>
          <w:sz w:val="22"/>
          <w:szCs w:val="22"/>
        </w:rPr>
        <w:t xml:space="preserve"> alebo úpravy dávky</w:t>
      </w:r>
      <w:r w:rsidR="006550B1" w:rsidRPr="00D93408">
        <w:rPr>
          <w:sz w:val="22"/>
          <w:szCs w:val="22"/>
        </w:rPr>
        <w:t>,</w:t>
      </w:r>
      <w:r w:rsidRPr="00D93408">
        <w:rPr>
          <w:sz w:val="22"/>
          <w:szCs w:val="22"/>
        </w:rPr>
        <w:t xml:space="preserve"> je potrebné vyšetriť hladinu sérového draslíka. Následne je potrebné sérové hladiny draslíka pravidelne </w:t>
      </w:r>
      <w:r w:rsidR="006550B1" w:rsidRPr="00D93408">
        <w:rPr>
          <w:sz w:val="22"/>
          <w:szCs w:val="22"/>
        </w:rPr>
        <w:t xml:space="preserve">sledovať </w:t>
      </w:r>
      <w:r w:rsidR="00E81140" w:rsidRPr="00D93408">
        <w:rPr>
          <w:sz w:val="22"/>
          <w:szCs w:val="22"/>
        </w:rPr>
        <w:t>podľa potreby</w:t>
      </w:r>
      <w:r w:rsidRPr="00D93408">
        <w:rPr>
          <w:sz w:val="22"/>
          <w:szCs w:val="22"/>
        </w:rPr>
        <w:t xml:space="preserve">. </w:t>
      </w:r>
    </w:p>
    <w:p w:rsidR="00FB3973" w:rsidRPr="00D93408" w:rsidRDefault="00FB3973" w:rsidP="00FB3973">
      <w:pPr>
        <w:autoSpaceDE w:val="0"/>
        <w:autoSpaceDN w:val="0"/>
        <w:adjustRightInd w:val="0"/>
        <w:rPr>
          <w:sz w:val="22"/>
          <w:szCs w:val="22"/>
        </w:rPr>
      </w:pPr>
      <w:r w:rsidRPr="00D93408">
        <w:rPr>
          <w:sz w:val="22"/>
          <w:szCs w:val="22"/>
        </w:rPr>
        <w:t xml:space="preserve">Po nasadení liečby je potrebné dávku titrovať podľa sérovej koncentrácie draslíka podľa tabuľky 1. </w:t>
      </w:r>
    </w:p>
    <w:p w:rsidR="0074640B" w:rsidRPr="00D93408" w:rsidRDefault="0074640B" w:rsidP="00FB3973">
      <w:pPr>
        <w:autoSpaceDE w:val="0"/>
        <w:autoSpaceDN w:val="0"/>
        <w:adjustRightInd w:val="0"/>
        <w:rPr>
          <w:sz w:val="22"/>
          <w:szCs w:val="22"/>
        </w:rPr>
      </w:pPr>
    </w:p>
    <w:p w:rsidR="00FB3973" w:rsidRDefault="00FB3973" w:rsidP="00FB3973">
      <w:pPr>
        <w:autoSpaceDE w:val="0"/>
        <w:autoSpaceDN w:val="0"/>
        <w:adjustRightInd w:val="0"/>
        <w:rPr>
          <w:sz w:val="22"/>
          <w:szCs w:val="22"/>
        </w:rPr>
      </w:pPr>
      <w:r w:rsidRPr="00D93408">
        <w:rPr>
          <w:sz w:val="22"/>
          <w:szCs w:val="22"/>
        </w:rPr>
        <w:t>Tabuľka 1: Tabuľka na titráciu dávky po nasadení liečby</w:t>
      </w:r>
    </w:p>
    <w:p w:rsidR="00CF1A2B" w:rsidRPr="00D93408" w:rsidRDefault="00CF1A2B" w:rsidP="00FB3973">
      <w:pPr>
        <w:autoSpaceDE w:val="0"/>
        <w:autoSpaceDN w:val="0"/>
        <w:adjustRightInd w:val="0"/>
        <w:rPr>
          <w:sz w:val="22"/>
          <w:szCs w:val="22"/>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6"/>
        <w:gridCol w:w="2676"/>
        <w:gridCol w:w="2676"/>
      </w:tblGrid>
      <w:tr w:rsidR="00FB3973" w:rsidRPr="00D93408" w:rsidTr="00FB3973">
        <w:tc>
          <w:tcPr>
            <w:tcW w:w="3073" w:type="dxa"/>
          </w:tcPr>
          <w:p w:rsidR="00FB3973" w:rsidRPr="00D93408" w:rsidRDefault="00FB3973" w:rsidP="00FB3973">
            <w:pPr>
              <w:autoSpaceDE w:val="0"/>
              <w:autoSpaceDN w:val="0"/>
              <w:adjustRightInd w:val="0"/>
              <w:rPr>
                <w:sz w:val="22"/>
                <w:szCs w:val="22"/>
              </w:rPr>
            </w:pPr>
            <w:r w:rsidRPr="00D93408">
              <w:rPr>
                <w:b/>
                <w:bCs/>
                <w:sz w:val="22"/>
                <w:szCs w:val="22"/>
              </w:rPr>
              <w:t>Sérová hladina draslíka (mmol/</w:t>
            </w:r>
            <w:r w:rsidR="00E81140" w:rsidRPr="00D93408">
              <w:rPr>
                <w:b/>
                <w:bCs/>
                <w:sz w:val="22"/>
                <w:szCs w:val="22"/>
              </w:rPr>
              <w:t>l</w:t>
            </w:r>
            <w:r w:rsidRPr="00D93408">
              <w:rPr>
                <w:b/>
                <w:bCs/>
                <w:sz w:val="22"/>
                <w:szCs w:val="22"/>
              </w:rPr>
              <w:t>)</w:t>
            </w:r>
          </w:p>
        </w:tc>
        <w:tc>
          <w:tcPr>
            <w:tcW w:w="3181" w:type="dxa"/>
          </w:tcPr>
          <w:p w:rsidR="00FB3973" w:rsidRPr="00D93408" w:rsidRDefault="00FB3973" w:rsidP="00FB3973">
            <w:pPr>
              <w:autoSpaceDE w:val="0"/>
              <w:autoSpaceDN w:val="0"/>
              <w:adjustRightInd w:val="0"/>
              <w:rPr>
                <w:sz w:val="22"/>
                <w:szCs w:val="22"/>
              </w:rPr>
            </w:pPr>
            <w:r w:rsidRPr="00D93408">
              <w:rPr>
                <w:b/>
                <w:bCs/>
                <w:sz w:val="22"/>
                <w:szCs w:val="22"/>
              </w:rPr>
              <w:t>Opatrenie</w:t>
            </w:r>
          </w:p>
        </w:tc>
        <w:tc>
          <w:tcPr>
            <w:tcW w:w="3182" w:type="dxa"/>
          </w:tcPr>
          <w:p w:rsidR="00FB3973" w:rsidRPr="00D93408" w:rsidRDefault="00FB3973" w:rsidP="00FB3973">
            <w:pPr>
              <w:autoSpaceDE w:val="0"/>
              <w:autoSpaceDN w:val="0"/>
              <w:adjustRightInd w:val="0"/>
              <w:rPr>
                <w:sz w:val="22"/>
                <w:szCs w:val="22"/>
              </w:rPr>
            </w:pPr>
            <w:r w:rsidRPr="00D93408">
              <w:rPr>
                <w:b/>
                <w:bCs/>
                <w:sz w:val="22"/>
                <w:szCs w:val="22"/>
              </w:rPr>
              <w:t>Úprava dávky</w:t>
            </w:r>
          </w:p>
        </w:tc>
      </w:tr>
      <w:tr w:rsidR="00FB3973" w:rsidRPr="00D93408" w:rsidTr="00FB3973">
        <w:tc>
          <w:tcPr>
            <w:tcW w:w="3073" w:type="dxa"/>
          </w:tcPr>
          <w:p w:rsidR="00FB3973" w:rsidRPr="00D93408" w:rsidRDefault="00FB3973" w:rsidP="00FB3973">
            <w:pPr>
              <w:autoSpaceDE w:val="0"/>
              <w:autoSpaceDN w:val="0"/>
              <w:adjustRightInd w:val="0"/>
              <w:rPr>
                <w:sz w:val="22"/>
                <w:szCs w:val="22"/>
              </w:rPr>
            </w:pPr>
            <w:r w:rsidRPr="00D93408">
              <w:rPr>
                <w:sz w:val="22"/>
                <w:szCs w:val="22"/>
              </w:rPr>
              <w:t>&lt; 5</w:t>
            </w:r>
            <w:r w:rsidR="00E81140" w:rsidRPr="00D93408">
              <w:rPr>
                <w:sz w:val="22"/>
                <w:szCs w:val="22"/>
              </w:rPr>
              <w:t>,</w:t>
            </w:r>
            <w:r w:rsidRPr="00D93408">
              <w:rPr>
                <w:sz w:val="22"/>
                <w:szCs w:val="22"/>
              </w:rPr>
              <w:t>0</w:t>
            </w:r>
          </w:p>
        </w:tc>
        <w:tc>
          <w:tcPr>
            <w:tcW w:w="3181" w:type="dxa"/>
          </w:tcPr>
          <w:p w:rsidR="00FB3973" w:rsidRPr="00D93408" w:rsidRDefault="00FB3973" w:rsidP="00FB3973">
            <w:pPr>
              <w:autoSpaceDE w:val="0"/>
              <w:autoSpaceDN w:val="0"/>
              <w:adjustRightInd w:val="0"/>
              <w:rPr>
                <w:sz w:val="22"/>
                <w:szCs w:val="22"/>
              </w:rPr>
            </w:pPr>
            <w:r w:rsidRPr="00D93408">
              <w:rPr>
                <w:sz w:val="22"/>
                <w:szCs w:val="22"/>
              </w:rPr>
              <w:t>Zvýšenie</w:t>
            </w:r>
          </w:p>
        </w:tc>
        <w:tc>
          <w:tcPr>
            <w:tcW w:w="3182" w:type="dxa"/>
          </w:tcPr>
          <w:p w:rsidR="00FB3973" w:rsidRPr="00D93408" w:rsidRDefault="00FB3973" w:rsidP="00E81140">
            <w:pPr>
              <w:autoSpaceDE w:val="0"/>
              <w:autoSpaceDN w:val="0"/>
              <w:adjustRightInd w:val="0"/>
              <w:rPr>
                <w:sz w:val="22"/>
                <w:szCs w:val="22"/>
              </w:rPr>
            </w:pPr>
            <w:r w:rsidRPr="00D93408">
              <w:rPr>
                <w:sz w:val="22"/>
                <w:szCs w:val="22"/>
              </w:rPr>
              <w:t xml:space="preserve">25 mg </w:t>
            </w:r>
            <w:r w:rsidR="00E81140" w:rsidRPr="00D93408">
              <w:rPr>
                <w:sz w:val="22"/>
                <w:szCs w:val="22"/>
              </w:rPr>
              <w:t>EOD</w:t>
            </w:r>
            <w:r w:rsidRPr="00D93408">
              <w:rPr>
                <w:sz w:val="22"/>
                <w:szCs w:val="22"/>
              </w:rPr>
              <w:t xml:space="preserve">* na 25 mg raz denne </w:t>
            </w:r>
          </w:p>
          <w:p w:rsidR="00FB3973" w:rsidRPr="00D93408" w:rsidRDefault="00FB3973" w:rsidP="00FB3973">
            <w:pPr>
              <w:autoSpaceDE w:val="0"/>
              <w:autoSpaceDN w:val="0"/>
              <w:adjustRightInd w:val="0"/>
              <w:rPr>
                <w:sz w:val="22"/>
                <w:szCs w:val="22"/>
              </w:rPr>
            </w:pPr>
            <w:r w:rsidRPr="00D93408">
              <w:rPr>
                <w:sz w:val="22"/>
                <w:szCs w:val="22"/>
              </w:rPr>
              <w:t>25 mg raz denne na 50 mg raz denne</w:t>
            </w:r>
          </w:p>
        </w:tc>
      </w:tr>
      <w:tr w:rsidR="00FB3973" w:rsidRPr="00D93408" w:rsidTr="00FB3973">
        <w:tc>
          <w:tcPr>
            <w:tcW w:w="3073" w:type="dxa"/>
          </w:tcPr>
          <w:p w:rsidR="00FB3973" w:rsidRPr="00D93408" w:rsidRDefault="00FB3973" w:rsidP="00E81140">
            <w:pPr>
              <w:autoSpaceDE w:val="0"/>
              <w:autoSpaceDN w:val="0"/>
              <w:adjustRightInd w:val="0"/>
              <w:rPr>
                <w:sz w:val="22"/>
                <w:szCs w:val="22"/>
              </w:rPr>
            </w:pPr>
            <w:r w:rsidRPr="00D93408">
              <w:rPr>
                <w:sz w:val="22"/>
                <w:szCs w:val="22"/>
              </w:rPr>
              <w:t>5</w:t>
            </w:r>
            <w:r w:rsidR="00E81140" w:rsidRPr="00D93408">
              <w:rPr>
                <w:sz w:val="22"/>
                <w:szCs w:val="22"/>
              </w:rPr>
              <w:t>,</w:t>
            </w:r>
            <w:r w:rsidRPr="00D93408">
              <w:rPr>
                <w:sz w:val="22"/>
                <w:szCs w:val="22"/>
              </w:rPr>
              <w:t>0 – 5</w:t>
            </w:r>
            <w:r w:rsidR="00E81140" w:rsidRPr="00D93408">
              <w:rPr>
                <w:sz w:val="22"/>
                <w:szCs w:val="22"/>
              </w:rPr>
              <w:t>,</w:t>
            </w:r>
            <w:r w:rsidRPr="00D93408">
              <w:rPr>
                <w:sz w:val="22"/>
                <w:szCs w:val="22"/>
              </w:rPr>
              <w:t>4</w:t>
            </w:r>
          </w:p>
        </w:tc>
        <w:tc>
          <w:tcPr>
            <w:tcW w:w="3181" w:type="dxa"/>
          </w:tcPr>
          <w:p w:rsidR="00FB3973" w:rsidRPr="00D93408" w:rsidRDefault="00FB3973" w:rsidP="00FB3973">
            <w:pPr>
              <w:autoSpaceDE w:val="0"/>
              <w:autoSpaceDN w:val="0"/>
              <w:adjustRightInd w:val="0"/>
              <w:rPr>
                <w:sz w:val="22"/>
                <w:szCs w:val="22"/>
              </w:rPr>
            </w:pPr>
            <w:r w:rsidRPr="00D93408">
              <w:rPr>
                <w:sz w:val="22"/>
                <w:szCs w:val="22"/>
              </w:rPr>
              <w:t>Udržiavanie</w:t>
            </w:r>
          </w:p>
        </w:tc>
        <w:tc>
          <w:tcPr>
            <w:tcW w:w="3182" w:type="dxa"/>
          </w:tcPr>
          <w:p w:rsidR="00FB3973" w:rsidRPr="00D93408" w:rsidRDefault="00FB3973" w:rsidP="00FB3973">
            <w:pPr>
              <w:autoSpaceDE w:val="0"/>
              <w:autoSpaceDN w:val="0"/>
              <w:adjustRightInd w:val="0"/>
              <w:rPr>
                <w:sz w:val="22"/>
                <w:szCs w:val="22"/>
              </w:rPr>
            </w:pPr>
            <w:r w:rsidRPr="00D93408">
              <w:rPr>
                <w:sz w:val="22"/>
                <w:szCs w:val="22"/>
              </w:rPr>
              <w:t>Bez úpravy dávky</w:t>
            </w:r>
          </w:p>
        </w:tc>
      </w:tr>
      <w:tr w:rsidR="00FB3973" w:rsidRPr="00D93408" w:rsidTr="00FB3973">
        <w:tc>
          <w:tcPr>
            <w:tcW w:w="3073" w:type="dxa"/>
          </w:tcPr>
          <w:p w:rsidR="00FB3973" w:rsidRPr="00D93408" w:rsidRDefault="00FB3973" w:rsidP="00E81140">
            <w:pPr>
              <w:autoSpaceDE w:val="0"/>
              <w:autoSpaceDN w:val="0"/>
              <w:adjustRightInd w:val="0"/>
              <w:rPr>
                <w:sz w:val="22"/>
                <w:szCs w:val="22"/>
              </w:rPr>
            </w:pPr>
            <w:r w:rsidRPr="00D93408">
              <w:rPr>
                <w:sz w:val="22"/>
                <w:szCs w:val="22"/>
              </w:rPr>
              <w:t>5</w:t>
            </w:r>
            <w:r w:rsidR="00E81140" w:rsidRPr="00D93408">
              <w:rPr>
                <w:sz w:val="22"/>
                <w:szCs w:val="22"/>
              </w:rPr>
              <w:t>,</w:t>
            </w:r>
            <w:r w:rsidRPr="00D93408">
              <w:rPr>
                <w:sz w:val="22"/>
                <w:szCs w:val="22"/>
              </w:rPr>
              <w:t>5 – 5</w:t>
            </w:r>
            <w:r w:rsidR="00E81140" w:rsidRPr="00D93408">
              <w:rPr>
                <w:sz w:val="22"/>
                <w:szCs w:val="22"/>
              </w:rPr>
              <w:t>,</w:t>
            </w:r>
            <w:r w:rsidRPr="00D93408">
              <w:rPr>
                <w:sz w:val="22"/>
                <w:szCs w:val="22"/>
              </w:rPr>
              <w:t>9</w:t>
            </w:r>
          </w:p>
        </w:tc>
        <w:tc>
          <w:tcPr>
            <w:tcW w:w="3181" w:type="dxa"/>
          </w:tcPr>
          <w:p w:rsidR="00FB3973" w:rsidRPr="00D93408" w:rsidRDefault="00FB3973" w:rsidP="00FB3973">
            <w:pPr>
              <w:autoSpaceDE w:val="0"/>
              <w:autoSpaceDN w:val="0"/>
              <w:adjustRightInd w:val="0"/>
              <w:rPr>
                <w:sz w:val="22"/>
                <w:szCs w:val="22"/>
              </w:rPr>
            </w:pPr>
            <w:r w:rsidRPr="00D93408">
              <w:rPr>
                <w:sz w:val="22"/>
                <w:szCs w:val="22"/>
              </w:rPr>
              <w:t>Zníženie</w:t>
            </w:r>
          </w:p>
        </w:tc>
        <w:tc>
          <w:tcPr>
            <w:tcW w:w="3182" w:type="dxa"/>
          </w:tcPr>
          <w:p w:rsidR="00FB3973" w:rsidRPr="00D93408" w:rsidRDefault="00FB3973" w:rsidP="00FB3973">
            <w:pPr>
              <w:autoSpaceDE w:val="0"/>
              <w:autoSpaceDN w:val="0"/>
              <w:adjustRightInd w:val="0"/>
              <w:rPr>
                <w:sz w:val="22"/>
                <w:szCs w:val="22"/>
              </w:rPr>
            </w:pPr>
            <w:r w:rsidRPr="00D93408">
              <w:rPr>
                <w:sz w:val="22"/>
                <w:szCs w:val="22"/>
              </w:rPr>
              <w:t xml:space="preserve">50 mg raz denne na 25 mg raz denne </w:t>
            </w:r>
          </w:p>
          <w:p w:rsidR="00FB3973" w:rsidRPr="00D93408" w:rsidRDefault="00FB3973" w:rsidP="00FB3973">
            <w:pPr>
              <w:autoSpaceDE w:val="0"/>
              <w:autoSpaceDN w:val="0"/>
              <w:adjustRightInd w:val="0"/>
              <w:rPr>
                <w:sz w:val="22"/>
                <w:szCs w:val="22"/>
              </w:rPr>
            </w:pPr>
            <w:r w:rsidRPr="00D93408">
              <w:rPr>
                <w:sz w:val="22"/>
                <w:szCs w:val="22"/>
              </w:rPr>
              <w:t xml:space="preserve">50 mg každý deň na 25 mg </w:t>
            </w:r>
            <w:r w:rsidR="00930958" w:rsidRPr="00D93408">
              <w:rPr>
                <w:sz w:val="22"/>
                <w:szCs w:val="22"/>
              </w:rPr>
              <w:t>EOD</w:t>
            </w:r>
            <w:r w:rsidRPr="00D93408">
              <w:rPr>
                <w:sz w:val="22"/>
                <w:szCs w:val="22"/>
              </w:rPr>
              <w:t xml:space="preserve">* </w:t>
            </w:r>
          </w:p>
          <w:p w:rsidR="00FB3973" w:rsidRPr="00D93408" w:rsidRDefault="00FB3973" w:rsidP="00FB3973">
            <w:pPr>
              <w:autoSpaceDE w:val="0"/>
              <w:autoSpaceDN w:val="0"/>
              <w:adjustRightInd w:val="0"/>
              <w:rPr>
                <w:sz w:val="22"/>
                <w:szCs w:val="22"/>
              </w:rPr>
            </w:pPr>
            <w:r w:rsidRPr="00D93408">
              <w:rPr>
                <w:sz w:val="22"/>
                <w:szCs w:val="22"/>
              </w:rPr>
              <w:t xml:space="preserve">25 mg </w:t>
            </w:r>
            <w:r w:rsidR="00930958" w:rsidRPr="00D93408">
              <w:rPr>
                <w:sz w:val="22"/>
                <w:szCs w:val="22"/>
              </w:rPr>
              <w:t>EOD*</w:t>
            </w:r>
            <w:r w:rsidRPr="00D93408">
              <w:rPr>
                <w:sz w:val="22"/>
                <w:szCs w:val="22"/>
              </w:rPr>
              <w:t xml:space="preserve"> až do vysadenia</w:t>
            </w:r>
          </w:p>
        </w:tc>
      </w:tr>
      <w:tr w:rsidR="00FB3973" w:rsidRPr="00D93408" w:rsidTr="00FB3973">
        <w:tc>
          <w:tcPr>
            <w:tcW w:w="3073" w:type="dxa"/>
          </w:tcPr>
          <w:p w:rsidR="00FB3973" w:rsidRPr="00D93408" w:rsidRDefault="00FB3973" w:rsidP="00FB3973">
            <w:pPr>
              <w:autoSpaceDE w:val="0"/>
              <w:autoSpaceDN w:val="0"/>
              <w:adjustRightInd w:val="0"/>
              <w:rPr>
                <w:sz w:val="22"/>
                <w:szCs w:val="22"/>
              </w:rPr>
            </w:pPr>
            <w:r w:rsidRPr="00D93408">
              <w:rPr>
                <w:rFonts w:eastAsia="SymbolMT"/>
                <w:sz w:val="22"/>
                <w:szCs w:val="22"/>
              </w:rPr>
              <w:t xml:space="preserve">≥ </w:t>
            </w:r>
            <w:r w:rsidRPr="00D93408">
              <w:rPr>
                <w:sz w:val="22"/>
                <w:szCs w:val="22"/>
              </w:rPr>
              <w:t>6</w:t>
            </w:r>
            <w:r w:rsidR="00E81140" w:rsidRPr="00D93408">
              <w:rPr>
                <w:sz w:val="22"/>
                <w:szCs w:val="22"/>
              </w:rPr>
              <w:t>,</w:t>
            </w:r>
            <w:r w:rsidRPr="00D93408">
              <w:rPr>
                <w:sz w:val="22"/>
                <w:szCs w:val="22"/>
              </w:rPr>
              <w:t>0</w:t>
            </w:r>
          </w:p>
        </w:tc>
        <w:tc>
          <w:tcPr>
            <w:tcW w:w="3181" w:type="dxa"/>
          </w:tcPr>
          <w:p w:rsidR="00FB3973" w:rsidRPr="00D93408" w:rsidRDefault="00FB3973" w:rsidP="00FB3973">
            <w:pPr>
              <w:autoSpaceDE w:val="0"/>
              <w:autoSpaceDN w:val="0"/>
              <w:adjustRightInd w:val="0"/>
              <w:rPr>
                <w:sz w:val="22"/>
                <w:szCs w:val="22"/>
              </w:rPr>
            </w:pPr>
            <w:r w:rsidRPr="00D93408">
              <w:rPr>
                <w:sz w:val="22"/>
                <w:szCs w:val="22"/>
              </w:rPr>
              <w:t>Vysadenie</w:t>
            </w:r>
          </w:p>
        </w:tc>
        <w:tc>
          <w:tcPr>
            <w:tcW w:w="3182" w:type="dxa"/>
          </w:tcPr>
          <w:p w:rsidR="00FB3973" w:rsidRPr="00D93408" w:rsidRDefault="00E81140" w:rsidP="00FB3973">
            <w:pPr>
              <w:autoSpaceDE w:val="0"/>
              <w:autoSpaceDN w:val="0"/>
              <w:adjustRightInd w:val="0"/>
              <w:rPr>
                <w:sz w:val="22"/>
                <w:szCs w:val="22"/>
              </w:rPr>
            </w:pPr>
            <w:r w:rsidRPr="00D93408">
              <w:rPr>
                <w:sz w:val="22"/>
                <w:szCs w:val="22"/>
              </w:rPr>
              <w:t xml:space="preserve">Nevzťahuje </w:t>
            </w:r>
            <w:r w:rsidR="00FB3973" w:rsidRPr="00D93408">
              <w:rPr>
                <w:sz w:val="22"/>
                <w:szCs w:val="22"/>
              </w:rPr>
              <w:t>sa</w:t>
            </w:r>
          </w:p>
        </w:tc>
      </w:tr>
    </w:tbl>
    <w:p w:rsidR="00FB3973" w:rsidRDefault="00FB3973" w:rsidP="00FB3973">
      <w:pPr>
        <w:autoSpaceDE w:val="0"/>
        <w:autoSpaceDN w:val="0"/>
        <w:adjustRightInd w:val="0"/>
        <w:rPr>
          <w:sz w:val="22"/>
          <w:szCs w:val="22"/>
        </w:rPr>
      </w:pPr>
      <w:r w:rsidRPr="00D93408">
        <w:rPr>
          <w:sz w:val="22"/>
          <w:szCs w:val="22"/>
        </w:rPr>
        <w:t xml:space="preserve">* EOD: Každý druhý deň </w:t>
      </w:r>
    </w:p>
    <w:p w:rsidR="00FB3973" w:rsidRPr="00D93408" w:rsidRDefault="00FB3973" w:rsidP="00FB3973">
      <w:pPr>
        <w:autoSpaceDE w:val="0"/>
        <w:autoSpaceDN w:val="0"/>
        <w:adjustRightInd w:val="0"/>
        <w:rPr>
          <w:sz w:val="22"/>
          <w:szCs w:val="22"/>
        </w:rPr>
      </w:pPr>
    </w:p>
    <w:p w:rsidR="00FB3973" w:rsidRPr="00D93408" w:rsidRDefault="00FB3973" w:rsidP="00FB3973">
      <w:pPr>
        <w:autoSpaceDE w:val="0"/>
        <w:autoSpaceDN w:val="0"/>
        <w:adjustRightInd w:val="0"/>
        <w:rPr>
          <w:sz w:val="22"/>
          <w:szCs w:val="22"/>
        </w:rPr>
      </w:pPr>
      <w:r w:rsidRPr="00D93408">
        <w:rPr>
          <w:sz w:val="22"/>
          <w:szCs w:val="22"/>
        </w:rPr>
        <w:t xml:space="preserve">Po vysadení </w:t>
      </w:r>
      <w:r w:rsidR="006550B1" w:rsidRPr="00D93408">
        <w:rPr>
          <w:sz w:val="22"/>
          <w:szCs w:val="22"/>
        </w:rPr>
        <w:t xml:space="preserve">eplerenónu </w:t>
      </w:r>
      <w:r w:rsidR="00930958" w:rsidRPr="00D93408">
        <w:rPr>
          <w:sz w:val="22"/>
          <w:szCs w:val="22"/>
        </w:rPr>
        <w:t>z dôvodu</w:t>
      </w:r>
      <w:r w:rsidRPr="00D93408">
        <w:rPr>
          <w:sz w:val="22"/>
          <w:szCs w:val="22"/>
        </w:rPr>
        <w:t xml:space="preserve"> </w:t>
      </w:r>
      <w:r w:rsidR="006550B1" w:rsidRPr="00D93408">
        <w:rPr>
          <w:sz w:val="22"/>
          <w:szCs w:val="22"/>
        </w:rPr>
        <w:t xml:space="preserve">hladiny </w:t>
      </w:r>
      <w:r w:rsidRPr="00D93408">
        <w:rPr>
          <w:sz w:val="22"/>
          <w:szCs w:val="22"/>
        </w:rPr>
        <w:t xml:space="preserve">sérového draslíka </w:t>
      </w:r>
      <w:r w:rsidRPr="00D93408">
        <w:rPr>
          <w:rFonts w:eastAsia="SymbolMT"/>
          <w:sz w:val="22"/>
          <w:szCs w:val="22"/>
        </w:rPr>
        <w:t xml:space="preserve">≥ </w:t>
      </w:r>
      <w:r w:rsidRPr="00D93408">
        <w:rPr>
          <w:sz w:val="22"/>
          <w:szCs w:val="22"/>
        </w:rPr>
        <w:t>6,0 mmol/</w:t>
      </w:r>
      <w:r w:rsidR="00930958" w:rsidRPr="00D93408">
        <w:rPr>
          <w:sz w:val="22"/>
          <w:szCs w:val="22"/>
        </w:rPr>
        <w:t>l</w:t>
      </w:r>
      <w:r w:rsidRPr="00D93408">
        <w:rPr>
          <w:sz w:val="22"/>
          <w:szCs w:val="22"/>
        </w:rPr>
        <w:t xml:space="preserve">, je možné </w:t>
      </w:r>
      <w:r w:rsidR="006550B1" w:rsidRPr="00D93408">
        <w:rPr>
          <w:sz w:val="22"/>
          <w:szCs w:val="22"/>
        </w:rPr>
        <w:t xml:space="preserve">eplerenón </w:t>
      </w:r>
      <w:r w:rsidRPr="00D93408">
        <w:rPr>
          <w:sz w:val="22"/>
          <w:szCs w:val="22"/>
        </w:rPr>
        <w:t>znovu nasadiť v dávke 25 mg každý druhý deň</w:t>
      </w:r>
      <w:r w:rsidR="00930958" w:rsidRPr="00D93408">
        <w:rPr>
          <w:sz w:val="22"/>
          <w:szCs w:val="22"/>
        </w:rPr>
        <w:t>,</w:t>
      </w:r>
      <w:r w:rsidRPr="00D93408">
        <w:rPr>
          <w:sz w:val="22"/>
          <w:szCs w:val="22"/>
        </w:rPr>
        <w:t xml:space="preserve"> keď hladina draslíka klesne pod 5,0 mmol/</w:t>
      </w:r>
      <w:r w:rsidR="00930958" w:rsidRPr="00D93408">
        <w:rPr>
          <w:sz w:val="22"/>
          <w:szCs w:val="22"/>
        </w:rPr>
        <w:t>l</w:t>
      </w:r>
      <w:r w:rsidRPr="00D93408">
        <w:rPr>
          <w:sz w:val="22"/>
          <w:szCs w:val="22"/>
        </w:rPr>
        <w:t xml:space="preserve">. </w:t>
      </w:r>
    </w:p>
    <w:p w:rsidR="00FB3973" w:rsidRPr="00D93408" w:rsidRDefault="00FB3973" w:rsidP="00FB3973">
      <w:pPr>
        <w:autoSpaceDE w:val="0"/>
        <w:autoSpaceDN w:val="0"/>
        <w:adjustRightInd w:val="0"/>
        <w:rPr>
          <w:sz w:val="22"/>
          <w:szCs w:val="22"/>
        </w:rPr>
      </w:pPr>
    </w:p>
    <w:p w:rsidR="004105BF" w:rsidRPr="000502DB" w:rsidRDefault="00823918" w:rsidP="00FB3973">
      <w:pPr>
        <w:autoSpaceDE w:val="0"/>
        <w:autoSpaceDN w:val="0"/>
        <w:adjustRightInd w:val="0"/>
        <w:rPr>
          <w:bCs/>
          <w:i/>
          <w:sz w:val="22"/>
          <w:szCs w:val="22"/>
        </w:rPr>
      </w:pPr>
      <w:r w:rsidRPr="000502DB">
        <w:rPr>
          <w:bCs/>
          <w:i/>
          <w:sz w:val="22"/>
          <w:szCs w:val="22"/>
        </w:rPr>
        <w:t xml:space="preserve">Pediatrická populácia </w:t>
      </w:r>
    </w:p>
    <w:p w:rsidR="00EF6209" w:rsidRPr="00366F86" w:rsidRDefault="00EF6209" w:rsidP="00EF6209">
      <w:pPr>
        <w:tabs>
          <w:tab w:val="left" w:pos="567"/>
        </w:tabs>
        <w:rPr>
          <w:sz w:val="22"/>
          <w:szCs w:val="22"/>
        </w:rPr>
      </w:pPr>
      <w:r w:rsidRPr="00366F86">
        <w:rPr>
          <w:sz w:val="22"/>
          <w:szCs w:val="22"/>
        </w:rPr>
        <w:t>Bezpečnosť a účinnosť eplerenónu u detí a dospievajúcich neboli stanovené. V súčasnosti sú dostupné údaje opísané v časti 5.1 a 5.2.</w:t>
      </w:r>
    </w:p>
    <w:p w:rsidR="00FB3973" w:rsidRPr="00D93408" w:rsidRDefault="00FB3973" w:rsidP="00FB3973">
      <w:pPr>
        <w:autoSpaceDE w:val="0"/>
        <w:autoSpaceDN w:val="0"/>
        <w:adjustRightInd w:val="0"/>
        <w:rPr>
          <w:sz w:val="22"/>
          <w:szCs w:val="22"/>
        </w:rPr>
      </w:pPr>
    </w:p>
    <w:p w:rsidR="00FB3973" w:rsidRPr="000502DB" w:rsidRDefault="00FB3973" w:rsidP="00FB3973">
      <w:pPr>
        <w:autoSpaceDE w:val="0"/>
        <w:autoSpaceDN w:val="0"/>
        <w:adjustRightInd w:val="0"/>
        <w:rPr>
          <w:bCs/>
          <w:i/>
          <w:sz w:val="22"/>
          <w:szCs w:val="22"/>
        </w:rPr>
      </w:pPr>
      <w:r w:rsidRPr="000502DB">
        <w:rPr>
          <w:bCs/>
          <w:i/>
          <w:sz w:val="22"/>
          <w:szCs w:val="22"/>
        </w:rPr>
        <w:t>Starš</w:t>
      </w:r>
      <w:r w:rsidR="006022F6" w:rsidRPr="000502DB">
        <w:rPr>
          <w:bCs/>
          <w:i/>
          <w:sz w:val="22"/>
          <w:szCs w:val="22"/>
        </w:rPr>
        <w:t>ie osoby</w:t>
      </w:r>
    </w:p>
    <w:p w:rsidR="00FB3973" w:rsidRPr="00D93408" w:rsidRDefault="00FB3973" w:rsidP="00FB3973">
      <w:pPr>
        <w:autoSpaceDE w:val="0"/>
        <w:autoSpaceDN w:val="0"/>
        <w:adjustRightInd w:val="0"/>
        <w:rPr>
          <w:sz w:val="22"/>
          <w:szCs w:val="22"/>
        </w:rPr>
      </w:pPr>
      <w:r w:rsidRPr="00D93408">
        <w:rPr>
          <w:sz w:val="22"/>
          <w:szCs w:val="22"/>
        </w:rPr>
        <w:t xml:space="preserve">Pri starších </w:t>
      </w:r>
      <w:r w:rsidR="006022F6">
        <w:rPr>
          <w:sz w:val="22"/>
          <w:szCs w:val="22"/>
        </w:rPr>
        <w:t xml:space="preserve">osobách </w:t>
      </w:r>
      <w:r w:rsidRPr="00D93408">
        <w:rPr>
          <w:sz w:val="22"/>
          <w:szCs w:val="22"/>
        </w:rPr>
        <w:t xml:space="preserve">nie je potrebná počiatočná úprava dávky. Vzhľadom na postupné znižovanie renálnej funkcie s vekom je u starších pacientov zvýšené riziko </w:t>
      </w:r>
      <w:r w:rsidR="004666AB" w:rsidRPr="00D93408">
        <w:rPr>
          <w:sz w:val="22"/>
          <w:szCs w:val="22"/>
        </w:rPr>
        <w:t>hyperkaliémie</w:t>
      </w:r>
      <w:r w:rsidRPr="00D93408">
        <w:rPr>
          <w:sz w:val="22"/>
          <w:szCs w:val="22"/>
        </w:rPr>
        <w:t xml:space="preserve">. Toto riziko sa môže ešte zvýšiť v prípade súčasného výskytu ochorenia, ktoré zvyšuje systémovú expozíciu, </w:t>
      </w:r>
      <w:r w:rsidR="00E6068B" w:rsidRPr="00D93408">
        <w:rPr>
          <w:sz w:val="22"/>
          <w:szCs w:val="22"/>
        </w:rPr>
        <w:t>najmä</w:t>
      </w:r>
      <w:r w:rsidRPr="00D93408">
        <w:rPr>
          <w:sz w:val="22"/>
          <w:szCs w:val="22"/>
        </w:rPr>
        <w:t xml:space="preserve"> </w:t>
      </w:r>
      <w:r w:rsidR="006022F6">
        <w:rPr>
          <w:sz w:val="22"/>
          <w:szCs w:val="22"/>
        </w:rPr>
        <w:t>porucha funkcie</w:t>
      </w:r>
      <w:r w:rsidR="006022F6" w:rsidRPr="00D93408">
        <w:rPr>
          <w:sz w:val="22"/>
          <w:szCs w:val="22"/>
        </w:rPr>
        <w:t xml:space="preserve"> </w:t>
      </w:r>
      <w:r w:rsidRPr="00D93408">
        <w:rPr>
          <w:sz w:val="22"/>
          <w:szCs w:val="22"/>
        </w:rPr>
        <w:t xml:space="preserve">pečene ľahkého až stredného stupňa. Odporúča sa pravidelné monitorovanie sérovej hladiny draslíka (pozri časť 4.4). </w:t>
      </w:r>
    </w:p>
    <w:p w:rsidR="00FB3973" w:rsidRPr="00D93408" w:rsidRDefault="00FB3973" w:rsidP="00FB3973">
      <w:pPr>
        <w:autoSpaceDE w:val="0"/>
        <w:autoSpaceDN w:val="0"/>
        <w:adjustRightInd w:val="0"/>
        <w:rPr>
          <w:sz w:val="22"/>
          <w:szCs w:val="22"/>
        </w:rPr>
      </w:pPr>
    </w:p>
    <w:p w:rsidR="00FB3973" w:rsidRPr="000502DB" w:rsidRDefault="006022F6" w:rsidP="00FB3973">
      <w:pPr>
        <w:autoSpaceDE w:val="0"/>
        <w:autoSpaceDN w:val="0"/>
        <w:adjustRightInd w:val="0"/>
        <w:rPr>
          <w:bCs/>
          <w:i/>
          <w:sz w:val="22"/>
          <w:szCs w:val="22"/>
        </w:rPr>
      </w:pPr>
      <w:r w:rsidRPr="000502DB">
        <w:rPr>
          <w:bCs/>
          <w:i/>
          <w:sz w:val="22"/>
          <w:szCs w:val="22"/>
        </w:rPr>
        <w:t xml:space="preserve">Porucha </w:t>
      </w:r>
      <w:r w:rsidR="00FB3973" w:rsidRPr="000502DB">
        <w:rPr>
          <w:bCs/>
          <w:i/>
          <w:sz w:val="22"/>
          <w:szCs w:val="22"/>
        </w:rPr>
        <w:t xml:space="preserve">funkcie obličiek </w:t>
      </w:r>
    </w:p>
    <w:p w:rsidR="00FD048B" w:rsidRPr="00366F86" w:rsidRDefault="00FB3973" w:rsidP="00FD048B">
      <w:pPr>
        <w:tabs>
          <w:tab w:val="left" w:pos="567"/>
        </w:tabs>
        <w:rPr>
          <w:sz w:val="22"/>
          <w:szCs w:val="22"/>
        </w:rPr>
      </w:pPr>
      <w:r w:rsidRPr="00D93408">
        <w:rPr>
          <w:sz w:val="22"/>
          <w:szCs w:val="22"/>
        </w:rPr>
        <w:t>U pacientov s ľahk</w:t>
      </w:r>
      <w:r w:rsidR="006022F6">
        <w:rPr>
          <w:sz w:val="22"/>
          <w:szCs w:val="22"/>
        </w:rPr>
        <w:t>ou</w:t>
      </w:r>
      <w:r w:rsidRPr="00D93408">
        <w:rPr>
          <w:sz w:val="22"/>
          <w:szCs w:val="22"/>
        </w:rPr>
        <w:t xml:space="preserve"> </w:t>
      </w:r>
      <w:r w:rsidR="006022F6">
        <w:rPr>
          <w:sz w:val="22"/>
          <w:szCs w:val="22"/>
        </w:rPr>
        <w:t>poruchou</w:t>
      </w:r>
      <w:r w:rsidR="006022F6" w:rsidRPr="00D93408">
        <w:rPr>
          <w:sz w:val="22"/>
          <w:szCs w:val="22"/>
        </w:rPr>
        <w:t xml:space="preserve"> </w:t>
      </w:r>
      <w:r w:rsidRPr="00D93408">
        <w:rPr>
          <w:sz w:val="22"/>
          <w:szCs w:val="22"/>
        </w:rPr>
        <w:t>funkcie obličiek nie je potrebná úprava počiatočnej dávky. Odporúča sa pravidelné monitorovanie sérovej hladiny draslíka</w:t>
      </w:r>
      <w:r w:rsidR="0067468F">
        <w:rPr>
          <w:sz w:val="22"/>
          <w:szCs w:val="22"/>
        </w:rPr>
        <w:t xml:space="preserve"> s</w:t>
      </w:r>
      <w:r w:rsidR="00FD048B" w:rsidRPr="00366F86">
        <w:rPr>
          <w:sz w:val="22"/>
          <w:szCs w:val="22"/>
        </w:rPr>
        <w:t> úprav</w:t>
      </w:r>
      <w:r w:rsidR="0067468F">
        <w:rPr>
          <w:sz w:val="22"/>
          <w:szCs w:val="22"/>
        </w:rPr>
        <w:t>ou</w:t>
      </w:r>
      <w:r w:rsidR="00FD048B" w:rsidRPr="00366F86">
        <w:rPr>
          <w:sz w:val="22"/>
          <w:szCs w:val="22"/>
        </w:rPr>
        <w:t xml:space="preserve"> dávok podľa tabuľky 1.</w:t>
      </w:r>
    </w:p>
    <w:p w:rsidR="00FD048B" w:rsidRPr="00366F86" w:rsidRDefault="00FD048B" w:rsidP="00FD048B">
      <w:pPr>
        <w:tabs>
          <w:tab w:val="left" w:pos="567"/>
        </w:tabs>
        <w:rPr>
          <w:sz w:val="22"/>
          <w:szCs w:val="22"/>
        </w:rPr>
      </w:pPr>
    </w:p>
    <w:p w:rsidR="00FD048B" w:rsidRPr="00366F86" w:rsidRDefault="00FD048B" w:rsidP="00FD048B">
      <w:pPr>
        <w:tabs>
          <w:tab w:val="left" w:pos="567"/>
        </w:tabs>
        <w:rPr>
          <w:sz w:val="22"/>
          <w:szCs w:val="22"/>
        </w:rPr>
      </w:pPr>
      <w:r w:rsidRPr="00366F86">
        <w:rPr>
          <w:sz w:val="22"/>
          <w:szCs w:val="22"/>
        </w:rPr>
        <w:t>Pacienti so stredne ťažkou poruchou funkcie obličiek (CrCl 30</w:t>
      </w:r>
      <w:r w:rsidRPr="00366F86">
        <w:rPr>
          <w:sz w:val="22"/>
          <w:szCs w:val="22"/>
        </w:rPr>
        <w:noBreakHyphen/>
        <w:t>60 ml/min) majú začať dávkou 25 mg každý druhý deň a dávka sa má upraviť na základe hladiny draslíka (pozri tabuľku 1). Odporúča sa pravidelné sledovanie sérového draslíka (pozri časť 4.4).</w:t>
      </w:r>
    </w:p>
    <w:p w:rsidR="00FD048B" w:rsidRPr="00366F86" w:rsidRDefault="00FD048B" w:rsidP="00FD048B">
      <w:pPr>
        <w:tabs>
          <w:tab w:val="left" w:pos="567"/>
        </w:tabs>
        <w:rPr>
          <w:sz w:val="22"/>
          <w:szCs w:val="22"/>
        </w:rPr>
      </w:pPr>
    </w:p>
    <w:p w:rsidR="00FD048B" w:rsidRPr="00366F86" w:rsidRDefault="00FD048B" w:rsidP="00FD048B">
      <w:pPr>
        <w:tabs>
          <w:tab w:val="left" w:pos="567"/>
        </w:tabs>
        <w:rPr>
          <w:sz w:val="22"/>
          <w:szCs w:val="22"/>
        </w:rPr>
      </w:pPr>
      <w:r w:rsidRPr="00366F86">
        <w:rPr>
          <w:sz w:val="22"/>
          <w:szCs w:val="22"/>
        </w:rPr>
        <w:lastRenderedPageBreak/>
        <w:t>Nie sú k dispozícii žiadne skúsenosti u pacientov s CrCl &lt; 50 ml/min so zlyhávaním</w:t>
      </w:r>
      <w:r w:rsidR="00D45B5C">
        <w:rPr>
          <w:sz w:val="22"/>
          <w:szCs w:val="22"/>
        </w:rPr>
        <w:t xml:space="preserve"> srdca </w:t>
      </w:r>
      <w:r w:rsidRPr="00366F86">
        <w:rPr>
          <w:sz w:val="22"/>
          <w:szCs w:val="22"/>
        </w:rPr>
        <w:t>po IM. Eplerenón sa má u týchto pacientov používať opatrne.</w:t>
      </w:r>
      <w:r w:rsidR="00697B4B">
        <w:rPr>
          <w:sz w:val="22"/>
          <w:szCs w:val="22"/>
        </w:rPr>
        <w:t xml:space="preserve"> </w:t>
      </w:r>
      <w:r w:rsidRPr="00366F86">
        <w:rPr>
          <w:sz w:val="22"/>
          <w:szCs w:val="22"/>
        </w:rPr>
        <w:t>Dávky vyššie ako 25 mg denne sa neskúmali u pacientov s CrCl &lt; 50 ml/min.</w:t>
      </w:r>
    </w:p>
    <w:p w:rsidR="00FD048B" w:rsidRPr="00366F86" w:rsidRDefault="00FD048B" w:rsidP="00FD048B">
      <w:pPr>
        <w:tabs>
          <w:tab w:val="left" w:pos="567"/>
        </w:tabs>
        <w:rPr>
          <w:sz w:val="22"/>
          <w:szCs w:val="22"/>
        </w:rPr>
      </w:pPr>
    </w:p>
    <w:p w:rsidR="00697B4B" w:rsidRDefault="000B4A03" w:rsidP="007477F4">
      <w:pPr>
        <w:tabs>
          <w:tab w:val="left" w:pos="567"/>
        </w:tabs>
        <w:rPr>
          <w:sz w:val="22"/>
          <w:szCs w:val="22"/>
        </w:rPr>
      </w:pPr>
      <w:r>
        <w:rPr>
          <w:sz w:val="22"/>
          <w:szCs w:val="22"/>
        </w:rPr>
        <w:t>Použitie u p</w:t>
      </w:r>
      <w:r w:rsidR="00FD048B" w:rsidRPr="00366F86">
        <w:rPr>
          <w:sz w:val="22"/>
          <w:szCs w:val="22"/>
        </w:rPr>
        <w:t>acient</w:t>
      </w:r>
      <w:r>
        <w:rPr>
          <w:sz w:val="22"/>
          <w:szCs w:val="22"/>
        </w:rPr>
        <w:t>ov</w:t>
      </w:r>
      <w:r w:rsidR="00FD048B" w:rsidRPr="00366F86">
        <w:rPr>
          <w:sz w:val="22"/>
          <w:szCs w:val="22"/>
        </w:rPr>
        <w:t xml:space="preserve"> s ťažkou poruchou funkcie obličiek (CrCl &lt; 30 ml/min) </w:t>
      </w:r>
      <w:r>
        <w:rPr>
          <w:sz w:val="22"/>
          <w:szCs w:val="22"/>
        </w:rPr>
        <w:t>je</w:t>
      </w:r>
      <w:r w:rsidR="00FD048B" w:rsidRPr="00366F86">
        <w:rPr>
          <w:sz w:val="22"/>
          <w:szCs w:val="22"/>
        </w:rPr>
        <w:t xml:space="preserve"> kontraindikovan</w:t>
      </w:r>
      <w:r>
        <w:rPr>
          <w:sz w:val="22"/>
          <w:szCs w:val="22"/>
        </w:rPr>
        <w:t>é</w:t>
      </w:r>
      <w:r w:rsidR="00FD048B" w:rsidRPr="00366F86">
        <w:rPr>
          <w:sz w:val="22"/>
          <w:szCs w:val="22"/>
        </w:rPr>
        <w:t xml:space="preserve"> (pozri časť 4.3). </w:t>
      </w:r>
    </w:p>
    <w:p w:rsidR="009F6580" w:rsidRDefault="009F6580" w:rsidP="007477F4">
      <w:pPr>
        <w:tabs>
          <w:tab w:val="left" w:pos="567"/>
        </w:tabs>
        <w:rPr>
          <w:sz w:val="22"/>
          <w:szCs w:val="22"/>
        </w:rPr>
      </w:pPr>
    </w:p>
    <w:p w:rsidR="00FB3973" w:rsidRPr="00D93408" w:rsidRDefault="00FD048B" w:rsidP="007477F4">
      <w:pPr>
        <w:tabs>
          <w:tab w:val="left" w:pos="567"/>
        </w:tabs>
        <w:rPr>
          <w:sz w:val="22"/>
          <w:szCs w:val="22"/>
        </w:rPr>
      </w:pPr>
      <w:r w:rsidRPr="00366F86">
        <w:rPr>
          <w:sz w:val="22"/>
          <w:szCs w:val="22"/>
        </w:rPr>
        <w:t>Eplerenón nie je dialyzovateľný.</w:t>
      </w:r>
    </w:p>
    <w:p w:rsidR="00FB3973" w:rsidRPr="00D93408" w:rsidRDefault="00FB3973" w:rsidP="00FB3973">
      <w:pPr>
        <w:autoSpaceDE w:val="0"/>
        <w:autoSpaceDN w:val="0"/>
        <w:adjustRightInd w:val="0"/>
        <w:rPr>
          <w:sz w:val="22"/>
          <w:szCs w:val="22"/>
        </w:rPr>
      </w:pPr>
    </w:p>
    <w:p w:rsidR="00FB3973" w:rsidRPr="000502DB" w:rsidRDefault="006022F6" w:rsidP="00FB3973">
      <w:pPr>
        <w:autoSpaceDE w:val="0"/>
        <w:autoSpaceDN w:val="0"/>
        <w:adjustRightInd w:val="0"/>
        <w:rPr>
          <w:bCs/>
          <w:i/>
          <w:sz w:val="22"/>
          <w:szCs w:val="22"/>
        </w:rPr>
      </w:pPr>
      <w:r w:rsidRPr="000502DB">
        <w:rPr>
          <w:bCs/>
          <w:i/>
          <w:sz w:val="22"/>
          <w:szCs w:val="22"/>
        </w:rPr>
        <w:t xml:space="preserve">Porucha </w:t>
      </w:r>
      <w:r w:rsidR="00FB3973" w:rsidRPr="000502DB">
        <w:rPr>
          <w:bCs/>
          <w:i/>
          <w:sz w:val="22"/>
          <w:szCs w:val="22"/>
        </w:rPr>
        <w:t xml:space="preserve">funkcie pečene </w:t>
      </w:r>
    </w:p>
    <w:p w:rsidR="00FB3973" w:rsidRPr="00D93408" w:rsidRDefault="00FB3973" w:rsidP="00FB3973">
      <w:pPr>
        <w:autoSpaceDE w:val="0"/>
        <w:autoSpaceDN w:val="0"/>
        <w:adjustRightInd w:val="0"/>
        <w:rPr>
          <w:sz w:val="22"/>
          <w:szCs w:val="22"/>
        </w:rPr>
      </w:pPr>
      <w:r w:rsidRPr="00D93408">
        <w:rPr>
          <w:sz w:val="22"/>
          <w:szCs w:val="22"/>
        </w:rPr>
        <w:t>U pacientov s ľahk</w:t>
      </w:r>
      <w:r w:rsidR="006022F6">
        <w:rPr>
          <w:sz w:val="22"/>
          <w:szCs w:val="22"/>
        </w:rPr>
        <w:t>ou</w:t>
      </w:r>
      <w:r w:rsidRPr="00D93408">
        <w:rPr>
          <w:sz w:val="22"/>
          <w:szCs w:val="22"/>
        </w:rPr>
        <w:t xml:space="preserve"> až </w:t>
      </w:r>
      <w:r w:rsidR="006022F6" w:rsidRPr="00D93408">
        <w:rPr>
          <w:sz w:val="22"/>
          <w:szCs w:val="22"/>
        </w:rPr>
        <w:t>stredn</w:t>
      </w:r>
      <w:r w:rsidR="006022F6">
        <w:rPr>
          <w:sz w:val="22"/>
          <w:szCs w:val="22"/>
        </w:rPr>
        <w:t>e ťažkou</w:t>
      </w:r>
      <w:r w:rsidR="006022F6" w:rsidRPr="00D93408">
        <w:rPr>
          <w:sz w:val="22"/>
          <w:szCs w:val="22"/>
        </w:rPr>
        <w:t xml:space="preserve"> </w:t>
      </w:r>
      <w:r w:rsidR="006022F6">
        <w:rPr>
          <w:sz w:val="22"/>
          <w:szCs w:val="22"/>
        </w:rPr>
        <w:t>poruchou</w:t>
      </w:r>
      <w:r w:rsidRPr="00D93408">
        <w:rPr>
          <w:sz w:val="22"/>
          <w:szCs w:val="22"/>
        </w:rPr>
        <w:t xml:space="preserve"> funkcie pečene nie je potrebná úprava počiatočnej dávky. Vzhľadom na zvýšenú systémovú expozíciu na </w:t>
      </w:r>
      <w:r w:rsidR="006550B1" w:rsidRPr="00D93408">
        <w:rPr>
          <w:sz w:val="22"/>
          <w:szCs w:val="22"/>
        </w:rPr>
        <w:t xml:space="preserve">eplerenón </w:t>
      </w:r>
      <w:r w:rsidRPr="00D93408">
        <w:rPr>
          <w:sz w:val="22"/>
          <w:szCs w:val="22"/>
        </w:rPr>
        <w:t>u pacientov s ľahk</w:t>
      </w:r>
      <w:r w:rsidR="006022F6">
        <w:rPr>
          <w:sz w:val="22"/>
          <w:szCs w:val="22"/>
        </w:rPr>
        <w:t>ou</w:t>
      </w:r>
      <w:r w:rsidRPr="00D93408">
        <w:rPr>
          <w:sz w:val="22"/>
          <w:szCs w:val="22"/>
        </w:rPr>
        <w:t xml:space="preserve"> až stredn</w:t>
      </w:r>
      <w:r w:rsidR="006022F6">
        <w:rPr>
          <w:sz w:val="22"/>
          <w:szCs w:val="22"/>
        </w:rPr>
        <w:t>e ťažkou</w:t>
      </w:r>
      <w:r w:rsidRPr="00D93408">
        <w:rPr>
          <w:sz w:val="22"/>
          <w:szCs w:val="22"/>
        </w:rPr>
        <w:t xml:space="preserve"> </w:t>
      </w:r>
      <w:r w:rsidR="006022F6">
        <w:rPr>
          <w:sz w:val="22"/>
          <w:szCs w:val="22"/>
        </w:rPr>
        <w:t>poruchou</w:t>
      </w:r>
      <w:r w:rsidRPr="00D93408">
        <w:rPr>
          <w:sz w:val="22"/>
          <w:szCs w:val="22"/>
        </w:rPr>
        <w:t xml:space="preserve"> funkcie pečene, odporúča sa u týchto pacientov časté a pravidelné sledovanie sérovej hladiny draslíka, </w:t>
      </w:r>
      <w:r w:rsidR="00E6068B" w:rsidRPr="00D93408">
        <w:rPr>
          <w:sz w:val="22"/>
          <w:szCs w:val="22"/>
        </w:rPr>
        <w:t>najmä</w:t>
      </w:r>
      <w:r w:rsidRPr="00D93408">
        <w:rPr>
          <w:sz w:val="22"/>
          <w:szCs w:val="22"/>
        </w:rPr>
        <w:t xml:space="preserve"> vo vyššom veku (pozri časť 4.4). </w:t>
      </w:r>
    </w:p>
    <w:p w:rsidR="00FB3973" w:rsidRPr="00D93408" w:rsidRDefault="00FB3973" w:rsidP="00FB3973">
      <w:pPr>
        <w:autoSpaceDE w:val="0"/>
        <w:autoSpaceDN w:val="0"/>
        <w:adjustRightInd w:val="0"/>
        <w:rPr>
          <w:sz w:val="22"/>
          <w:szCs w:val="22"/>
        </w:rPr>
      </w:pPr>
    </w:p>
    <w:p w:rsidR="00FB3973" w:rsidRPr="000502DB" w:rsidRDefault="006550B1" w:rsidP="00FB3973">
      <w:pPr>
        <w:autoSpaceDE w:val="0"/>
        <w:autoSpaceDN w:val="0"/>
        <w:adjustRightInd w:val="0"/>
        <w:rPr>
          <w:bCs/>
          <w:i/>
          <w:sz w:val="22"/>
          <w:szCs w:val="22"/>
        </w:rPr>
      </w:pPr>
      <w:r w:rsidRPr="000502DB">
        <w:rPr>
          <w:bCs/>
          <w:i/>
          <w:sz w:val="22"/>
          <w:szCs w:val="22"/>
        </w:rPr>
        <w:t xml:space="preserve">Súbežná </w:t>
      </w:r>
      <w:r w:rsidR="00FB3973" w:rsidRPr="000502DB">
        <w:rPr>
          <w:bCs/>
          <w:i/>
          <w:sz w:val="22"/>
          <w:szCs w:val="22"/>
        </w:rPr>
        <w:t xml:space="preserve">liečba </w:t>
      </w:r>
    </w:p>
    <w:p w:rsidR="00697B4B" w:rsidRDefault="00FB3973" w:rsidP="00FB3973">
      <w:pPr>
        <w:autoSpaceDE w:val="0"/>
        <w:autoSpaceDN w:val="0"/>
        <w:adjustRightInd w:val="0"/>
        <w:rPr>
          <w:sz w:val="22"/>
          <w:szCs w:val="22"/>
        </w:rPr>
      </w:pPr>
      <w:r w:rsidRPr="00D93408">
        <w:rPr>
          <w:sz w:val="22"/>
          <w:szCs w:val="22"/>
        </w:rPr>
        <w:t xml:space="preserve">V prípade </w:t>
      </w:r>
      <w:r w:rsidR="006550B1" w:rsidRPr="00D93408">
        <w:rPr>
          <w:sz w:val="22"/>
          <w:szCs w:val="22"/>
        </w:rPr>
        <w:t xml:space="preserve">súbežnej </w:t>
      </w:r>
      <w:r w:rsidRPr="00D93408">
        <w:rPr>
          <w:sz w:val="22"/>
          <w:szCs w:val="22"/>
        </w:rPr>
        <w:t xml:space="preserve">liečby pomocou ľahkých až stredných inhibítorov CYP3A4, napr. </w:t>
      </w:r>
      <w:r w:rsidR="006550B1" w:rsidRPr="00D93408">
        <w:rPr>
          <w:sz w:val="22"/>
          <w:szCs w:val="22"/>
        </w:rPr>
        <w:t>amiodarón</w:t>
      </w:r>
      <w:r w:rsidRPr="00D93408">
        <w:rPr>
          <w:sz w:val="22"/>
          <w:szCs w:val="22"/>
        </w:rPr>
        <w:t xml:space="preserve">, diltiazem a verapamil, sa môže začať dávkou 25 mg raz denne. Dávka </w:t>
      </w:r>
      <w:r w:rsidR="00572914" w:rsidRPr="00D93408">
        <w:rPr>
          <w:sz w:val="22"/>
          <w:szCs w:val="22"/>
        </w:rPr>
        <w:t>nemá</w:t>
      </w:r>
      <w:r w:rsidRPr="00D93408">
        <w:rPr>
          <w:sz w:val="22"/>
          <w:szCs w:val="22"/>
        </w:rPr>
        <w:t xml:space="preserve"> prekročiť 25 mg raz denne (pozri časť 4.5). </w:t>
      </w:r>
    </w:p>
    <w:p w:rsidR="00697B4B" w:rsidRDefault="00697B4B" w:rsidP="00FB3973">
      <w:pPr>
        <w:autoSpaceDE w:val="0"/>
        <w:autoSpaceDN w:val="0"/>
        <w:adjustRightInd w:val="0"/>
        <w:rPr>
          <w:sz w:val="22"/>
          <w:szCs w:val="22"/>
        </w:rPr>
      </w:pPr>
    </w:p>
    <w:p w:rsidR="00FB3973" w:rsidRPr="00D93408" w:rsidRDefault="006550B1" w:rsidP="00FB3973">
      <w:pPr>
        <w:autoSpaceDE w:val="0"/>
        <w:autoSpaceDN w:val="0"/>
        <w:adjustRightInd w:val="0"/>
        <w:rPr>
          <w:sz w:val="22"/>
          <w:szCs w:val="22"/>
        </w:rPr>
      </w:pPr>
      <w:r w:rsidRPr="00D93408">
        <w:rPr>
          <w:sz w:val="22"/>
          <w:szCs w:val="22"/>
        </w:rPr>
        <w:t xml:space="preserve">Eplerenón </w:t>
      </w:r>
      <w:r w:rsidR="00FB3973" w:rsidRPr="00D93408">
        <w:rPr>
          <w:sz w:val="22"/>
          <w:szCs w:val="22"/>
        </w:rPr>
        <w:t>sa môže podávať s jedlom, alebo bez jedla (pozri časť 5.2).</w:t>
      </w:r>
    </w:p>
    <w:p w:rsidR="00FB3973" w:rsidRPr="00D93408" w:rsidRDefault="00FB3973">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4.3</w:t>
      </w:r>
      <w:r w:rsidR="006B71FE" w:rsidRPr="00D93408">
        <w:rPr>
          <w:b/>
          <w:bCs/>
          <w:sz w:val="22"/>
          <w:szCs w:val="22"/>
        </w:rPr>
        <w:tab/>
      </w:r>
      <w:r w:rsidRPr="00D93408">
        <w:rPr>
          <w:b/>
          <w:bCs/>
          <w:sz w:val="22"/>
          <w:szCs w:val="22"/>
        </w:rPr>
        <w:t xml:space="preserve">Kontraindikácie </w:t>
      </w:r>
    </w:p>
    <w:p w:rsidR="00FB3973" w:rsidRPr="00D93408" w:rsidRDefault="00FB3973" w:rsidP="00FB3973">
      <w:pPr>
        <w:autoSpaceDE w:val="0"/>
        <w:autoSpaceDN w:val="0"/>
        <w:adjustRightInd w:val="0"/>
        <w:rPr>
          <w:b/>
          <w:bCs/>
          <w:sz w:val="22"/>
          <w:szCs w:val="22"/>
        </w:rPr>
      </w:pPr>
    </w:p>
    <w:p w:rsidR="00FB3973" w:rsidRPr="00D93408" w:rsidRDefault="00FD048B" w:rsidP="00697B4B">
      <w:pPr>
        <w:numPr>
          <w:ilvl w:val="0"/>
          <w:numId w:val="22"/>
        </w:numPr>
        <w:tabs>
          <w:tab w:val="clear" w:pos="360"/>
          <w:tab w:val="left" w:pos="0"/>
        </w:tabs>
        <w:autoSpaceDE w:val="0"/>
        <w:autoSpaceDN w:val="0"/>
        <w:adjustRightInd w:val="0"/>
        <w:ind w:left="567" w:hanging="567"/>
        <w:rPr>
          <w:sz w:val="22"/>
          <w:szCs w:val="22"/>
        </w:rPr>
      </w:pPr>
      <w:r>
        <w:rPr>
          <w:sz w:val="22"/>
          <w:szCs w:val="22"/>
        </w:rPr>
        <w:t xml:space="preserve">Precitlivenosť </w:t>
      </w:r>
      <w:r w:rsidR="00FB3973" w:rsidRPr="00D93408">
        <w:rPr>
          <w:sz w:val="22"/>
          <w:szCs w:val="22"/>
        </w:rPr>
        <w:t>na</w:t>
      </w:r>
      <w:r w:rsidR="000B4A03">
        <w:rPr>
          <w:sz w:val="22"/>
          <w:szCs w:val="22"/>
        </w:rPr>
        <w:t xml:space="preserve"> liečivo</w:t>
      </w:r>
      <w:r w:rsidR="00FB3973" w:rsidRPr="00D93408">
        <w:rPr>
          <w:sz w:val="22"/>
          <w:szCs w:val="22"/>
        </w:rPr>
        <w:t xml:space="preserve">, alebo na </w:t>
      </w:r>
      <w:r w:rsidR="006550B1" w:rsidRPr="00D93408">
        <w:rPr>
          <w:sz w:val="22"/>
          <w:szCs w:val="22"/>
        </w:rPr>
        <w:t xml:space="preserve">ktorúkoľvek </w:t>
      </w:r>
      <w:r w:rsidR="00FB3973" w:rsidRPr="00D93408">
        <w:rPr>
          <w:sz w:val="22"/>
          <w:szCs w:val="22"/>
        </w:rPr>
        <w:t>z pomocných látok (</w:t>
      </w:r>
      <w:r>
        <w:rPr>
          <w:sz w:val="22"/>
          <w:szCs w:val="22"/>
        </w:rPr>
        <w:t xml:space="preserve">uvedených v časti </w:t>
      </w:r>
      <w:r w:rsidR="00FB3973" w:rsidRPr="00D93408">
        <w:rPr>
          <w:sz w:val="22"/>
          <w:szCs w:val="22"/>
        </w:rPr>
        <w:t>6.1).</w:t>
      </w:r>
    </w:p>
    <w:p w:rsidR="00FB3973" w:rsidRPr="00D93408" w:rsidRDefault="00FB3973" w:rsidP="00697B4B">
      <w:pPr>
        <w:numPr>
          <w:ilvl w:val="0"/>
          <w:numId w:val="22"/>
        </w:numPr>
        <w:tabs>
          <w:tab w:val="clear" w:pos="360"/>
          <w:tab w:val="left" w:pos="0"/>
        </w:tabs>
        <w:autoSpaceDE w:val="0"/>
        <w:autoSpaceDN w:val="0"/>
        <w:adjustRightInd w:val="0"/>
        <w:ind w:left="567" w:hanging="567"/>
        <w:rPr>
          <w:rFonts w:eastAsia="SymbolMT"/>
          <w:sz w:val="22"/>
          <w:szCs w:val="22"/>
        </w:rPr>
      </w:pPr>
      <w:r w:rsidRPr="00D93408">
        <w:rPr>
          <w:rFonts w:eastAsia="SymbolMT"/>
          <w:sz w:val="22"/>
          <w:szCs w:val="22"/>
        </w:rPr>
        <w:t>Pacienti s počiatočnou hladinou sérového draslíka &gt; 5,0 mmol/</w:t>
      </w:r>
      <w:r w:rsidR="00E6068B" w:rsidRPr="00D93408">
        <w:rPr>
          <w:rFonts w:eastAsia="SymbolMT"/>
          <w:sz w:val="22"/>
          <w:szCs w:val="22"/>
        </w:rPr>
        <w:t>l</w:t>
      </w:r>
      <w:r w:rsidR="006550B1" w:rsidRPr="00D93408">
        <w:rPr>
          <w:rFonts w:eastAsia="SymbolMT"/>
          <w:sz w:val="22"/>
          <w:szCs w:val="22"/>
        </w:rPr>
        <w:t>.</w:t>
      </w:r>
    </w:p>
    <w:p w:rsidR="00FD048B" w:rsidRPr="00366F86" w:rsidRDefault="00FD048B" w:rsidP="00697B4B">
      <w:pPr>
        <w:numPr>
          <w:ilvl w:val="0"/>
          <w:numId w:val="22"/>
        </w:numPr>
        <w:tabs>
          <w:tab w:val="clear" w:pos="360"/>
          <w:tab w:val="left" w:pos="0"/>
          <w:tab w:val="num" w:pos="567"/>
        </w:tabs>
        <w:overflowPunct w:val="0"/>
        <w:autoSpaceDE w:val="0"/>
        <w:autoSpaceDN w:val="0"/>
        <w:adjustRightInd w:val="0"/>
        <w:ind w:left="567" w:hanging="567"/>
        <w:rPr>
          <w:sz w:val="22"/>
          <w:szCs w:val="22"/>
        </w:rPr>
      </w:pPr>
      <w:r w:rsidRPr="00366F86">
        <w:rPr>
          <w:sz w:val="22"/>
          <w:szCs w:val="22"/>
        </w:rPr>
        <w:t>Pacienti s ťažk</w:t>
      </w:r>
      <w:r w:rsidR="0066310E">
        <w:rPr>
          <w:sz w:val="22"/>
          <w:szCs w:val="22"/>
        </w:rPr>
        <w:t>ou</w:t>
      </w:r>
      <w:r w:rsidRPr="00366F86">
        <w:rPr>
          <w:sz w:val="22"/>
          <w:szCs w:val="22"/>
        </w:rPr>
        <w:t xml:space="preserve"> renáln</w:t>
      </w:r>
      <w:r w:rsidR="0066310E">
        <w:rPr>
          <w:sz w:val="22"/>
          <w:szCs w:val="22"/>
        </w:rPr>
        <w:t>ou</w:t>
      </w:r>
      <w:r w:rsidRPr="00366F86">
        <w:rPr>
          <w:sz w:val="22"/>
          <w:szCs w:val="22"/>
        </w:rPr>
        <w:t xml:space="preserve"> insuficienci</w:t>
      </w:r>
      <w:r w:rsidR="0066310E">
        <w:rPr>
          <w:sz w:val="22"/>
          <w:szCs w:val="22"/>
        </w:rPr>
        <w:t>ou</w:t>
      </w:r>
      <w:r w:rsidRPr="00366F86">
        <w:rPr>
          <w:sz w:val="22"/>
          <w:szCs w:val="22"/>
        </w:rPr>
        <w:t xml:space="preserve"> (eGFR &lt; 30 ml za minútu na 1,73 m</w:t>
      </w:r>
      <w:r w:rsidRPr="00366F86">
        <w:rPr>
          <w:sz w:val="22"/>
          <w:szCs w:val="22"/>
          <w:vertAlign w:val="superscript"/>
        </w:rPr>
        <w:t>2</w:t>
      </w:r>
      <w:r w:rsidRPr="00366F86">
        <w:rPr>
          <w:sz w:val="22"/>
          <w:szCs w:val="22"/>
        </w:rPr>
        <w:t>).</w:t>
      </w:r>
    </w:p>
    <w:p w:rsidR="00FB3973" w:rsidRPr="00D93408" w:rsidRDefault="00FB3973" w:rsidP="00697B4B">
      <w:pPr>
        <w:numPr>
          <w:ilvl w:val="0"/>
          <w:numId w:val="22"/>
        </w:numPr>
        <w:tabs>
          <w:tab w:val="clear" w:pos="360"/>
          <w:tab w:val="left" w:pos="0"/>
        </w:tabs>
        <w:autoSpaceDE w:val="0"/>
        <w:autoSpaceDN w:val="0"/>
        <w:adjustRightInd w:val="0"/>
        <w:ind w:left="567" w:hanging="567"/>
        <w:rPr>
          <w:sz w:val="22"/>
          <w:szCs w:val="22"/>
        </w:rPr>
      </w:pPr>
      <w:r w:rsidRPr="00D93408">
        <w:rPr>
          <w:sz w:val="22"/>
          <w:szCs w:val="22"/>
        </w:rPr>
        <w:t>Pacienti s ťažkou pečeňovou insuficienciou (Child</w:t>
      </w:r>
      <w:r w:rsidR="00E6068B" w:rsidRPr="00D93408">
        <w:rPr>
          <w:sz w:val="22"/>
          <w:szCs w:val="22"/>
        </w:rPr>
        <w:t>ova</w:t>
      </w:r>
      <w:r w:rsidRPr="00D93408">
        <w:rPr>
          <w:sz w:val="22"/>
          <w:szCs w:val="22"/>
        </w:rPr>
        <w:t>-Pugh</w:t>
      </w:r>
      <w:r w:rsidR="00E6068B" w:rsidRPr="00D93408">
        <w:rPr>
          <w:sz w:val="22"/>
          <w:szCs w:val="22"/>
        </w:rPr>
        <w:t>ova</w:t>
      </w:r>
      <w:r w:rsidRPr="00D93408">
        <w:rPr>
          <w:sz w:val="22"/>
          <w:szCs w:val="22"/>
        </w:rPr>
        <w:t xml:space="preserve"> trieda C)</w:t>
      </w:r>
      <w:r w:rsidR="006550B1" w:rsidRPr="00D93408">
        <w:rPr>
          <w:sz w:val="22"/>
          <w:szCs w:val="22"/>
        </w:rPr>
        <w:t>.</w:t>
      </w:r>
      <w:r w:rsidRPr="00D93408">
        <w:rPr>
          <w:sz w:val="22"/>
          <w:szCs w:val="22"/>
        </w:rPr>
        <w:t xml:space="preserve"> </w:t>
      </w:r>
    </w:p>
    <w:p w:rsidR="00FB3973" w:rsidRPr="00D93408" w:rsidRDefault="00FB3973" w:rsidP="00697B4B">
      <w:pPr>
        <w:numPr>
          <w:ilvl w:val="0"/>
          <w:numId w:val="22"/>
        </w:numPr>
        <w:tabs>
          <w:tab w:val="clear" w:pos="360"/>
          <w:tab w:val="left" w:pos="0"/>
        </w:tabs>
        <w:autoSpaceDE w:val="0"/>
        <w:autoSpaceDN w:val="0"/>
        <w:adjustRightInd w:val="0"/>
        <w:ind w:left="567" w:hanging="567"/>
        <w:rPr>
          <w:sz w:val="22"/>
          <w:szCs w:val="22"/>
        </w:rPr>
      </w:pPr>
      <w:r w:rsidRPr="00D93408">
        <w:rPr>
          <w:sz w:val="22"/>
          <w:szCs w:val="22"/>
        </w:rPr>
        <w:t xml:space="preserve">Pacienti, ktorí užívajú draslík šetriace diuretiká alebo silné inhibítory CYP 3A4 (napr. itrakonazol, ketokonazol, ritonavir, nelfinavir, klaritromycín, telitromycín a </w:t>
      </w:r>
      <w:r w:rsidR="0008186C" w:rsidRPr="00D93408">
        <w:rPr>
          <w:sz w:val="22"/>
          <w:szCs w:val="22"/>
        </w:rPr>
        <w:t>nefazodón</w:t>
      </w:r>
      <w:r w:rsidRPr="00D93408">
        <w:rPr>
          <w:sz w:val="22"/>
          <w:szCs w:val="22"/>
        </w:rPr>
        <w:t xml:space="preserve">) (pozri časť 4.5). </w:t>
      </w:r>
    </w:p>
    <w:p w:rsidR="00FD048B" w:rsidRPr="00366F86" w:rsidRDefault="00FD048B" w:rsidP="00697B4B">
      <w:pPr>
        <w:numPr>
          <w:ilvl w:val="0"/>
          <w:numId w:val="22"/>
        </w:numPr>
        <w:tabs>
          <w:tab w:val="clear" w:pos="360"/>
          <w:tab w:val="left" w:pos="0"/>
          <w:tab w:val="num" w:pos="567"/>
        </w:tabs>
        <w:overflowPunct w:val="0"/>
        <w:autoSpaceDE w:val="0"/>
        <w:autoSpaceDN w:val="0"/>
        <w:adjustRightInd w:val="0"/>
        <w:ind w:left="567" w:hanging="567"/>
        <w:rPr>
          <w:sz w:val="22"/>
          <w:szCs w:val="22"/>
        </w:rPr>
      </w:pPr>
      <w:r w:rsidRPr="00366F86">
        <w:rPr>
          <w:sz w:val="22"/>
          <w:szCs w:val="22"/>
        </w:rPr>
        <w:t>Súbežné podanie s kombináciou inhibítora angiotenzín konvertujúceho enzýmu (ACE) a blokátora receptora angiotenzínu (ARB).</w:t>
      </w:r>
    </w:p>
    <w:p w:rsidR="00FB3973" w:rsidRPr="00D93408" w:rsidRDefault="00FB3973">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4.4</w:t>
      </w:r>
      <w:r w:rsidR="006B71FE" w:rsidRPr="00D93408">
        <w:rPr>
          <w:b/>
          <w:bCs/>
          <w:sz w:val="22"/>
          <w:szCs w:val="22"/>
        </w:rPr>
        <w:tab/>
      </w:r>
      <w:r w:rsidRPr="00D93408">
        <w:rPr>
          <w:b/>
          <w:bCs/>
          <w:sz w:val="22"/>
          <w:szCs w:val="22"/>
        </w:rPr>
        <w:t xml:space="preserve">Osobitné upozornenia a opatrenia pri užívaní </w:t>
      </w:r>
    </w:p>
    <w:p w:rsidR="00FB3973" w:rsidRPr="00D93408" w:rsidRDefault="00FB3973" w:rsidP="00FB3973">
      <w:pPr>
        <w:autoSpaceDE w:val="0"/>
        <w:autoSpaceDN w:val="0"/>
        <w:adjustRightInd w:val="0"/>
        <w:rPr>
          <w:i/>
          <w:iCs/>
          <w:sz w:val="22"/>
          <w:szCs w:val="22"/>
        </w:rPr>
      </w:pPr>
    </w:p>
    <w:p w:rsidR="0008186C" w:rsidRPr="00D93408" w:rsidRDefault="0074640B" w:rsidP="00FB3973">
      <w:pPr>
        <w:autoSpaceDE w:val="0"/>
        <w:autoSpaceDN w:val="0"/>
        <w:adjustRightInd w:val="0"/>
        <w:rPr>
          <w:i/>
          <w:iCs/>
          <w:sz w:val="22"/>
          <w:szCs w:val="22"/>
        </w:rPr>
      </w:pPr>
      <w:r w:rsidRPr="00D93408">
        <w:rPr>
          <w:i/>
          <w:iCs/>
          <w:sz w:val="22"/>
          <w:szCs w:val="22"/>
        </w:rPr>
        <w:t>H</w:t>
      </w:r>
      <w:r w:rsidR="00FB3973" w:rsidRPr="00D93408">
        <w:rPr>
          <w:i/>
          <w:iCs/>
          <w:sz w:val="22"/>
          <w:szCs w:val="22"/>
        </w:rPr>
        <w:t xml:space="preserve">yperkaliémia </w:t>
      </w:r>
    </w:p>
    <w:p w:rsidR="00FB3973" w:rsidRDefault="00FB3973" w:rsidP="00FB3973">
      <w:pPr>
        <w:autoSpaceDE w:val="0"/>
        <w:autoSpaceDN w:val="0"/>
        <w:adjustRightInd w:val="0"/>
        <w:rPr>
          <w:sz w:val="22"/>
          <w:szCs w:val="22"/>
        </w:rPr>
      </w:pPr>
      <w:r w:rsidRPr="00D93408">
        <w:rPr>
          <w:sz w:val="22"/>
          <w:szCs w:val="22"/>
        </w:rPr>
        <w:t xml:space="preserve">V súlade s jeho mechanizmom účinku sa pri užívaní </w:t>
      </w:r>
      <w:r w:rsidR="0008186C" w:rsidRPr="00D93408">
        <w:rPr>
          <w:sz w:val="22"/>
          <w:szCs w:val="22"/>
        </w:rPr>
        <w:t xml:space="preserve">eplerenónu </w:t>
      </w:r>
      <w:r w:rsidRPr="00D93408">
        <w:rPr>
          <w:sz w:val="22"/>
          <w:szCs w:val="22"/>
        </w:rPr>
        <w:t xml:space="preserve">môže vyskytnúť hyperkaliémia. Hladina draslíka v sére sa musí sledovať u všetkých pacientov na začiatku liečby a pri zmene dávkovania. Následne sa odporúča pravidelné sledovanie, hlavne u pacientov s rizikom rozvoja hyperkaliémie, ako napríklad </w:t>
      </w:r>
      <w:r w:rsidR="003D2494" w:rsidRPr="00D93408">
        <w:rPr>
          <w:sz w:val="22"/>
          <w:szCs w:val="22"/>
        </w:rPr>
        <w:t xml:space="preserve">u </w:t>
      </w:r>
      <w:r w:rsidRPr="00D93408">
        <w:rPr>
          <w:sz w:val="22"/>
          <w:szCs w:val="22"/>
        </w:rPr>
        <w:t>starší</w:t>
      </w:r>
      <w:r w:rsidR="003D2494" w:rsidRPr="00D93408">
        <w:rPr>
          <w:sz w:val="22"/>
          <w:szCs w:val="22"/>
        </w:rPr>
        <w:t>ch</w:t>
      </w:r>
      <w:r w:rsidRPr="00D93408">
        <w:rPr>
          <w:sz w:val="22"/>
          <w:szCs w:val="22"/>
        </w:rPr>
        <w:t xml:space="preserve"> pacientov</w:t>
      </w:r>
      <w:r w:rsidR="000B4A03">
        <w:rPr>
          <w:sz w:val="22"/>
          <w:szCs w:val="22"/>
        </w:rPr>
        <w:t>, pacientov</w:t>
      </w:r>
      <w:r w:rsidRPr="00D93408">
        <w:rPr>
          <w:sz w:val="22"/>
          <w:szCs w:val="22"/>
        </w:rPr>
        <w:t xml:space="preserve"> s renálnou insuficienciou (pozri časť 4.2) a pacientov s diabetom. Po začatí liečby </w:t>
      </w:r>
      <w:r w:rsidR="0008186C" w:rsidRPr="00D93408">
        <w:rPr>
          <w:sz w:val="22"/>
          <w:szCs w:val="22"/>
        </w:rPr>
        <w:t xml:space="preserve">eplerenónom </w:t>
      </w:r>
      <w:r w:rsidRPr="00D93408">
        <w:rPr>
          <w:sz w:val="22"/>
          <w:szCs w:val="22"/>
        </w:rPr>
        <w:t>sa neodporúča užívanie doplnkov výživy s obsahom draslíka</w:t>
      </w:r>
      <w:r w:rsidR="003D2494" w:rsidRPr="00D93408">
        <w:rPr>
          <w:sz w:val="22"/>
          <w:szCs w:val="22"/>
        </w:rPr>
        <w:t xml:space="preserve"> z dôvodu </w:t>
      </w:r>
      <w:r w:rsidRPr="00D93408">
        <w:rPr>
          <w:sz w:val="22"/>
          <w:szCs w:val="22"/>
        </w:rPr>
        <w:t>zvýšené</w:t>
      </w:r>
      <w:r w:rsidR="003D2494" w:rsidRPr="00D93408">
        <w:rPr>
          <w:sz w:val="22"/>
          <w:szCs w:val="22"/>
        </w:rPr>
        <w:t>ho</w:t>
      </w:r>
      <w:r w:rsidRPr="00D93408">
        <w:rPr>
          <w:sz w:val="22"/>
          <w:szCs w:val="22"/>
        </w:rPr>
        <w:t xml:space="preserve"> rizik</w:t>
      </w:r>
      <w:r w:rsidR="003D2494" w:rsidRPr="00D93408">
        <w:rPr>
          <w:sz w:val="22"/>
          <w:szCs w:val="22"/>
        </w:rPr>
        <w:t>a</w:t>
      </w:r>
      <w:r w:rsidRPr="00D93408">
        <w:rPr>
          <w:sz w:val="22"/>
          <w:szCs w:val="22"/>
        </w:rPr>
        <w:t xml:space="preserve"> hyperkaliémie. B</w:t>
      </w:r>
      <w:smartTag w:uri="urn:schemas-microsoft-com:office:smarttags" w:element="PersonName">
        <w:r w:rsidRPr="00D93408">
          <w:rPr>
            <w:sz w:val="22"/>
            <w:szCs w:val="22"/>
          </w:rPr>
          <w:t>olo</w:t>
        </w:r>
      </w:smartTag>
      <w:r w:rsidRPr="00D93408">
        <w:rPr>
          <w:sz w:val="22"/>
          <w:szCs w:val="22"/>
        </w:rPr>
        <w:t xml:space="preserve"> preukázané, že zníženie dávky </w:t>
      </w:r>
      <w:r w:rsidR="0008186C" w:rsidRPr="00D93408">
        <w:rPr>
          <w:sz w:val="22"/>
          <w:szCs w:val="22"/>
        </w:rPr>
        <w:t xml:space="preserve">eplerenónu </w:t>
      </w:r>
      <w:r w:rsidRPr="00D93408">
        <w:rPr>
          <w:sz w:val="22"/>
          <w:szCs w:val="22"/>
        </w:rPr>
        <w:t xml:space="preserve">znižuje sérovú koncentráciu draslíka. Jedna štúdia preukázala, že pridanie hydrochlorotiazidu </w:t>
      </w:r>
      <w:r w:rsidR="0008186C" w:rsidRPr="00D93408">
        <w:rPr>
          <w:sz w:val="22"/>
          <w:szCs w:val="22"/>
        </w:rPr>
        <w:t xml:space="preserve">k </w:t>
      </w:r>
      <w:r w:rsidRPr="00D93408">
        <w:rPr>
          <w:sz w:val="22"/>
          <w:szCs w:val="22"/>
        </w:rPr>
        <w:t xml:space="preserve">liečby </w:t>
      </w:r>
      <w:r w:rsidR="0008186C" w:rsidRPr="00D93408">
        <w:rPr>
          <w:sz w:val="22"/>
          <w:szCs w:val="22"/>
        </w:rPr>
        <w:t xml:space="preserve">eplerenónom </w:t>
      </w:r>
      <w:r w:rsidRPr="00D93408">
        <w:rPr>
          <w:sz w:val="22"/>
          <w:szCs w:val="22"/>
        </w:rPr>
        <w:t xml:space="preserve">vyvažuje zvýšenie sérovej hladiny draslíka. </w:t>
      </w:r>
    </w:p>
    <w:p w:rsidR="00FD048B" w:rsidRDefault="00FD048B" w:rsidP="00FB3973">
      <w:pPr>
        <w:autoSpaceDE w:val="0"/>
        <w:autoSpaceDN w:val="0"/>
        <w:adjustRightInd w:val="0"/>
        <w:rPr>
          <w:sz w:val="22"/>
          <w:szCs w:val="22"/>
        </w:rPr>
      </w:pPr>
    </w:p>
    <w:p w:rsidR="00FD048B" w:rsidRPr="00D93408" w:rsidRDefault="00FD048B" w:rsidP="00F63346">
      <w:pPr>
        <w:tabs>
          <w:tab w:val="left" w:pos="567"/>
        </w:tabs>
        <w:rPr>
          <w:sz w:val="22"/>
          <w:szCs w:val="22"/>
        </w:rPr>
      </w:pPr>
      <w:r w:rsidRPr="00366F86">
        <w:rPr>
          <w:sz w:val="22"/>
          <w:szCs w:val="22"/>
        </w:rPr>
        <w:t>Riziko hyperkaliémie sa môže zvýšiť pri používaní eplerenónu v kombinácii s</w:t>
      </w:r>
      <w:r w:rsidR="000B4A03">
        <w:rPr>
          <w:sz w:val="22"/>
          <w:szCs w:val="22"/>
        </w:rPr>
        <w:t xml:space="preserve"> ACE </w:t>
      </w:r>
      <w:r w:rsidRPr="00366F86">
        <w:rPr>
          <w:sz w:val="22"/>
          <w:szCs w:val="22"/>
        </w:rPr>
        <w:t xml:space="preserve">inhibítorom a/alebo ARB. Eplerenón sa nemá používať súbežne s kombináciou </w:t>
      </w:r>
      <w:r w:rsidR="000B4A03">
        <w:rPr>
          <w:sz w:val="22"/>
          <w:szCs w:val="22"/>
        </w:rPr>
        <w:t xml:space="preserve">ACE </w:t>
      </w:r>
      <w:r w:rsidRPr="00366F86">
        <w:rPr>
          <w:sz w:val="22"/>
          <w:szCs w:val="22"/>
        </w:rPr>
        <w:t>inhibítora a</w:t>
      </w:r>
      <w:r w:rsidR="000B4A03" w:rsidRPr="00366F86" w:rsidDel="000B4A03">
        <w:rPr>
          <w:sz w:val="22"/>
          <w:szCs w:val="22"/>
        </w:rPr>
        <w:t xml:space="preserve"> </w:t>
      </w:r>
      <w:r w:rsidRPr="00366F86">
        <w:rPr>
          <w:sz w:val="22"/>
          <w:szCs w:val="22"/>
        </w:rPr>
        <w:t>ARB (pozri časti 4.3 a 4.5).</w:t>
      </w:r>
    </w:p>
    <w:p w:rsidR="00FB3973" w:rsidRPr="00D93408" w:rsidRDefault="00FB3973" w:rsidP="00FB3973">
      <w:pPr>
        <w:autoSpaceDE w:val="0"/>
        <w:autoSpaceDN w:val="0"/>
        <w:adjustRightInd w:val="0"/>
        <w:rPr>
          <w:sz w:val="22"/>
          <w:szCs w:val="22"/>
        </w:rPr>
      </w:pPr>
    </w:p>
    <w:p w:rsidR="0008186C" w:rsidRPr="00D93408" w:rsidRDefault="0066310E" w:rsidP="00FB3973">
      <w:pPr>
        <w:autoSpaceDE w:val="0"/>
        <w:autoSpaceDN w:val="0"/>
        <w:adjustRightInd w:val="0"/>
        <w:rPr>
          <w:i/>
          <w:iCs/>
          <w:sz w:val="22"/>
          <w:szCs w:val="22"/>
        </w:rPr>
      </w:pPr>
      <w:r>
        <w:rPr>
          <w:i/>
          <w:iCs/>
          <w:sz w:val="22"/>
          <w:szCs w:val="22"/>
        </w:rPr>
        <w:t>Porucha</w:t>
      </w:r>
      <w:r w:rsidRPr="00D93408">
        <w:rPr>
          <w:i/>
          <w:iCs/>
          <w:sz w:val="22"/>
          <w:szCs w:val="22"/>
        </w:rPr>
        <w:t xml:space="preserve"> </w:t>
      </w:r>
      <w:r w:rsidR="00FB3973" w:rsidRPr="00D93408">
        <w:rPr>
          <w:i/>
          <w:iCs/>
          <w:sz w:val="22"/>
          <w:szCs w:val="22"/>
        </w:rPr>
        <w:t xml:space="preserve">funkcie obličiek </w:t>
      </w:r>
    </w:p>
    <w:p w:rsidR="00FB3973" w:rsidRPr="00D93408" w:rsidRDefault="00FB3973" w:rsidP="00FB3973">
      <w:pPr>
        <w:autoSpaceDE w:val="0"/>
        <w:autoSpaceDN w:val="0"/>
        <w:adjustRightInd w:val="0"/>
        <w:rPr>
          <w:sz w:val="22"/>
          <w:szCs w:val="22"/>
        </w:rPr>
      </w:pPr>
      <w:r w:rsidRPr="00D93408">
        <w:rPr>
          <w:sz w:val="22"/>
          <w:szCs w:val="22"/>
        </w:rPr>
        <w:t xml:space="preserve">U pacientov s </w:t>
      </w:r>
      <w:r w:rsidR="0066310E">
        <w:rPr>
          <w:sz w:val="22"/>
          <w:szCs w:val="22"/>
        </w:rPr>
        <w:t>poruchou</w:t>
      </w:r>
      <w:r w:rsidRPr="00D93408">
        <w:rPr>
          <w:sz w:val="22"/>
          <w:szCs w:val="22"/>
        </w:rPr>
        <w:t xml:space="preserve"> funkciou obličiek</w:t>
      </w:r>
      <w:r w:rsidR="00923C43" w:rsidRPr="00D93408">
        <w:rPr>
          <w:sz w:val="22"/>
          <w:szCs w:val="22"/>
        </w:rPr>
        <w:t xml:space="preserve"> vrátane</w:t>
      </w:r>
      <w:r w:rsidRPr="00D93408">
        <w:rPr>
          <w:sz w:val="22"/>
          <w:szCs w:val="22"/>
        </w:rPr>
        <w:t xml:space="preserve"> pacientov s diabetickou mikroalbuminúriou sa musí koncentrácia draslíka pravidelne sledovať. Riziko hyperkaliémie sa zvyšuje so znižovaním renálnej funkcie. Aj keď údaje zo štúdie </w:t>
      </w:r>
      <w:r w:rsidR="00C56F99">
        <w:rPr>
          <w:sz w:val="22"/>
          <w:szCs w:val="22"/>
        </w:rPr>
        <w:t>„Eplerenone Post-acute Myocardial Infarction Heart failure Effica</w:t>
      </w:r>
      <w:r w:rsidR="00697B4B">
        <w:rPr>
          <w:sz w:val="22"/>
          <w:szCs w:val="22"/>
        </w:rPr>
        <w:t>c</w:t>
      </w:r>
      <w:r w:rsidR="00C56F99">
        <w:rPr>
          <w:sz w:val="22"/>
          <w:szCs w:val="22"/>
        </w:rPr>
        <w:t>y and Survival Study“ (</w:t>
      </w:r>
      <w:r w:rsidRPr="00D93408">
        <w:rPr>
          <w:sz w:val="22"/>
          <w:szCs w:val="22"/>
        </w:rPr>
        <w:t>EPHESUS</w:t>
      </w:r>
      <w:r w:rsidR="00C56F99">
        <w:rPr>
          <w:sz w:val="22"/>
          <w:szCs w:val="22"/>
        </w:rPr>
        <w:t>)</w:t>
      </w:r>
      <w:r w:rsidRPr="00D93408">
        <w:rPr>
          <w:sz w:val="22"/>
          <w:szCs w:val="22"/>
        </w:rPr>
        <w:t xml:space="preserve"> na pacientoch s </w:t>
      </w:r>
      <w:r w:rsidR="00C56F99">
        <w:rPr>
          <w:sz w:val="22"/>
          <w:szCs w:val="22"/>
        </w:rPr>
        <w:t>diabetom</w:t>
      </w:r>
      <w:r w:rsidRPr="00D93408">
        <w:rPr>
          <w:sz w:val="22"/>
          <w:szCs w:val="22"/>
        </w:rPr>
        <w:t xml:space="preserve"> 2.</w:t>
      </w:r>
      <w:r w:rsidR="00923C43" w:rsidRPr="00D93408">
        <w:rPr>
          <w:sz w:val="22"/>
          <w:szCs w:val="22"/>
        </w:rPr>
        <w:t xml:space="preserve"> </w:t>
      </w:r>
      <w:r w:rsidRPr="00D93408">
        <w:rPr>
          <w:sz w:val="22"/>
          <w:szCs w:val="22"/>
        </w:rPr>
        <w:t xml:space="preserve">typu </w:t>
      </w:r>
      <w:r w:rsidR="00C56F99">
        <w:rPr>
          <w:sz w:val="22"/>
          <w:szCs w:val="22"/>
        </w:rPr>
        <w:t xml:space="preserve">a mikroalbuminúriou </w:t>
      </w:r>
      <w:r w:rsidRPr="00D93408">
        <w:rPr>
          <w:sz w:val="22"/>
          <w:szCs w:val="22"/>
        </w:rPr>
        <w:t>sú obmedzené, na tomto malom počte pacientov b</w:t>
      </w:r>
      <w:smartTag w:uri="urn:schemas-microsoft-com:office:smarttags" w:element="PersonName">
        <w:r w:rsidRPr="00D93408">
          <w:rPr>
            <w:sz w:val="22"/>
            <w:szCs w:val="22"/>
          </w:rPr>
          <w:t>olo</w:t>
        </w:r>
      </w:smartTag>
      <w:r w:rsidRPr="00D93408">
        <w:rPr>
          <w:sz w:val="22"/>
          <w:szCs w:val="22"/>
        </w:rPr>
        <w:t xml:space="preserve"> pozorované zvýšenie výskytu hyperkaliémie. Preto </w:t>
      </w:r>
      <w:r w:rsidRPr="00D93408">
        <w:rPr>
          <w:sz w:val="22"/>
          <w:szCs w:val="22"/>
        </w:rPr>
        <w:lastRenderedPageBreak/>
        <w:t xml:space="preserve">sa musia títo pacienti liečiť s vynaložením veľkej opatrnosti. </w:t>
      </w:r>
      <w:r w:rsidR="0008186C" w:rsidRPr="00D93408">
        <w:rPr>
          <w:sz w:val="22"/>
          <w:szCs w:val="22"/>
        </w:rPr>
        <w:t xml:space="preserve">Eplerenón </w:t>
      </w:r>
      <w:r w:rsidRPr="00D93408">
        <w:rPr>
          <w:sz w:val="22"/>
          <w:szCs w:val="22"/>
        </w:rPr>
        <w:t xml:space="preserve">sa nedá eliminovať hemodialýzou. </w:t>
      </w:r>
    </w:p>
    <w:p w:rsidR="00FB3973" w:rsidRPr="00D93408" w:rsidRDefault="00FB3973" w:rsidP="00FB3973">
      <w:pPr>
        <w:autoSpaceDE w:val="0"/>
        <w:autoSpaceDN w:val="0"/>
        <w:adjustRightInd w:val="0"/>
        <w:rPr>
          <w:sz w:val="22"/>
          <w:szCs w:val="22"/>
        </w:rPr>
      </w:pPr>
    </w:p>
    <w:p w:rsidR="0008186C" w:rsidRPr="00D93408" w:rsidRDefault="0066310E" w:rsidP="00FB3973">
      <w:pPr>
        <w:autoSpaceDE w:val="0"/>
        <w:autoSpaceDN w:val="0"/>
        <w:adjustRightInd w:val="0"/>
        <w:rPr>
          <w:i/>
          <w:iCs/>
          <w:sz w:val="22"/>
          <w:szCs w:val="22"/>
        </w:rPr>
      </w:pPr>
      <w:r>
        <w:rPr>
          <w:i/>
          <w:iCs/>
          <w:sz w:val="22"/>
          <w:szCs w:val="22"/>
        </w:rPr>
        <w:t>Porucha</w:t>
      </w:r>
      <w:r w:rsidRPr="00D93408">
        <w:rPr>
          <w:i/>
          <w:iCs/>
          <w:sz w:val="22"/>
          <w:szCs w:val="22"/>
        </w:rPr>
        <w:t xml:space="preserve"> </w:t>
      </w:r>
      <w:r w:rsidR="00FB3973" w:rsidRPr="00D93408">
        <w:rPr>
          <w:i/>
          <w:iCs/>
          <w:sz w:val="22"/>
          <w:szCs w:val="22"/>
        </w:rPr>
        <w:t>funkcie pečene</w:t>
      </w:r>
    </w:p>
    <w:p w:rsidR="0008186C" w:rsidRPr="00D93408" w:rsidRDefault="00FB3973" w:rsidP="00FB3973">
      <w:pPr>
        <w:autoSpaceDE w:val="0"/>
        <w:autoSpaceDN w:val="0"/>
        <w:adjustRightInd w:val="0"/>
        <w:rPr>
          <w:sz w:val="22"/>
          <w:szCs w:val="22"/>
        </w:rPr>
      </w:pPr>
      <w:r w:rsidRPr="00D93408">
        <w:rPr>
          <w:sz w:val="22"/>
          <w:szCs w:val="22"/>
        </w:rPr>
        <w:t>U pacientov s</w:t>
      </w:r>
      <w:r w:rsidR="0066310E">
        <w:rPr>
          <w:sz w:val="22"/>
          <w:szCs w:val="22"/>
        </w:rPr>
        <w:t xml:space="preserve"> ľahkou až </w:t>
      </w:r>
      <w:r w:rsidRPr="00D93408">
        <w:rPr>
          <w:sz w:val="22"/>
          <w:szCs w:val="22"/>
        </w:rPr>
        <w:t>stredn</w:t>
      </w:r>
      <w:r w:rsidR="0066310E">
        <w:rPr>
          <w:sz w:val="22"/>
          <w:szCs w:val="22"/>
        </w:rPr>
        <w:t>e ťažkou poruchou</w:t>
      </w:r>
      <w:r w:rsidRPr="00D93408">
        <w:rPr>
          <w:sz w:val="22"/>
          <w:szCs w:val="22"/>
        </w:rPr>
        <w:t xml:space="preserve"> funkcie pečene (Child</w:t>
      </w:r>
      <w:r w:rsidR="00C048C8" w:rsidRPr="00D93408">
        <w:rPr>
          <w:sz w:val="22"/>
          <w:szCs w:val="22"/>
        </w:rPr>
        <w:t>ova-</w:t>
      </w:r>
      <w:r w:rsidRPr="00D93408">
        <w:rPr>
          <w:sz w:val="22"/>
          <w:szCs w:val="22"/>
        </w:rPr>
        <w:t>Pugh</w:t>
      </w:r>
      <w:r w:rsidR="00C048C8" w:rsidRPr="00D93408">
        <w:rPr>
          <w:sz w:val="22"/>
          <w:szCs w:val="22"/>
        </w:rPr>
        <w:t>ova</w:t>
      </w:r>
      <w:r w:rsidRPr="00D93408">
        <w:rPr>
          <w:sz w:val="22"/>
          <w:szCs w:val="22"/>
        </w:rPr>
        <w:t xml:space="preserve"> trieda A a</w:t>
      </w:r>
      <w:r w:rsidR="004666AB" w:rsidRPr="00D93408">
        <w:rPr>
          <w:sz w:val="22"/>
          <w:szCs w:val="22"/>
        </w:rPr>
        <w:t> </w:t>
      </w:r>
      <w:r w:rsidRPr="00D93408">
        <w:rPr>
          <w:sz w:val="22"/>
          <w:szCs w:val="22"/>
        </w:rPr>
        <w:t>B</w:t>
      </w:r>
      <w:r w:rsidR="004666AB" w:rsidRPr="00D93408">
        <w:rPr>
          <w:sz w:val="22"/>
          <w:szCs w:val="22"/>
        </w:rPr>
        <w:t>)</w:t>
      </w:r>
      <w:r w:rsidRPr="00D93408">
        <w:rPr>
          <w:sz w:val="22"/>
          <w:szCs w:val="22"/>
        </w:rPr>
        <w:t xml:space="preserve"> neb</w:t>
      </w:r>
      <w:smartTag w:uri="urn:schemas-microsoft-com:office:smarttags" w:element="PersonName">
        <w:r w:rsidRPr="00D93408">
          <w:rPr>
            <w:sz w:val="22"/>
            <w:szCs w:val="22"/>
          </w:rPr>
          <w:t>olo</w:t>
        </w:r>
      </w:smartTag>
      <w:r w:rsidRPr="00D93408">
        <w:rPr>
          <w:sz w:val="22"/>
          <w:szCs w:val="22"/>
        </w:rPr>
        <w:t xml:space="preserve"> pozorované zvýšenie sérovej koncentrácie draslíka nad hladinu 5,5 mmol/</w:t>
      </w:r>
      <w:r w:rsidR="00C048C8" w:rsidRPr="00D93408">
        <w:rPr>
          <w:sz w:val="22"/>
          <w:szCs w:val="22"/>
        </w:rPr>
        <w:t>l</w:t>
      </w:r>
      <w:r w:rsidRPr="00D93408">
        <w:rPr>
          <w:sz w:val="22"/>
          <w:szCs w:val="22"/>
        </w:rPr>
        <w:t>. U pacientov s</w:t>
      </w:r>
      <w:r w:rsidR="00697B4B">
        <w:rPr>
          <w:sz w:val="22"/>
          <w:szCs w:val="22"/>
        </w:rPr>
        <w:t> </w:t>
      </w:r>
      <w:r w:rsidRPr="00D93408">
        <w:rPr>
          <w:sz w:val="22"/>
          <w:szCs w:val="22"/>
        </w:rPr>
        <w:t>ľahk</w:t>
      </w:r>
      <w:r w:rsidR="0066310E">
        <w:rPr>
          <w:sz w:val="22"/>
          <w:szCs w:val="22"/>
        </w:rPr>
        <w:t>ou</w:t>
      </w:r>
      <w:r w:rsidRPr="00D93408">
        <w:rPr>
          <w:sz w:val="22"/>
          <w:szCs w:val="22"/>
        </w:rPr>
        <w:t xml:space="preserve"> až stredne ťažk</w:t>
      </w:r>
      <w:r w:rsidR="0066310E">
        <w:rPr>
          <w:sz w:val="22"/>
          <w:szCs w:val="22"/>
        </w:rPr>
        <w:t>ou</w:t>
      </w:r>
      <w:r w:rsidRPr="00D93408">
        <w:rPr>
          <w:sz w:val="22"/>
          <w:szCs w:val="22"/>
        </w:rPr>
        <w:t xml:space="preserve"> </w:t>
      </w:r>
      <w:r w:rsidR="0066310E">
        <w:rPr>
          <w:sz w:val="22"/>
          <w:szCs w:val="22"/>
        </w:rPr>
        <w:t>poruchou</w:t>
      </w:r>
      <w:r w:rsidRPr="00D93408">
        <w:rPr>
          <w:sz w:val="22"/>
          <w:szCs w:val="22"/>
        </w:rPr>
        <w:t xml:space="preserve"> funkcie pečene sa musí sledovať hladina elektrolytov. Užívanie </w:t>
      </w:r>
      <w:r w:rsidR="0008186C" w:rsidRPr="00D93408">
        <w:rPr>
          <w:sz w:val="22"/>
          <w:szCs w:val="22"/>
        </w:rPr>
        <w:t xml:space="preserve">eplerenónu </w:t>
      </w:r>
      <w:r w:rsidRPr="00D93408">
        <w:rPr>
          <w:sz w:val="22"/>
          <w:szCs w:val="22"/>
        </w:rPr>
        <w:t>u pacientov s ťažk</w:t>
      </w:r>
      <w:r w:rsidR="00414DF1">
        <w:rPr>
          <w:sz w:val="22"/>
          <w:szCs w:val="22"/>
        </w:rPr>
        <w:t>ou</w:t>
      </w:r>
      <w:r w:rsidRPr="00D93408">
        <w:rPr>
          <w:sz w:val="22"/>
          <w:szCs w:val="22"/>
        </w:rPr>
        <w:t xml:space="preserve"> </w:t>
      </w:r>
      <w:r w:rsidR="00414DF1">
        <w:rPr>
          <w:sz w:val="22"/>
          <w:szCs w:val="22"/>
        </w:rPr>
        <w:t>poruchou</w:t>
      </w:r>
      <w:r w:rsidRPr="00D93408">
        <w:rPr>
          <w:sz w:val="22"/>
          <w:szCs w:val="22"/>
        </w:rPr>
        <w:t xml:space="preserve"> funkcie pečene neb</w:t>
      </w:r>
      <w:smartTag w:uri="urn:schemas-microsoft-com:office:smarttags" w:element="PersonName">
        <w:r w:rsidRPr="00D93408">
          <w:rPr>
            <w:sz w:val="22"/>
            <w:szCs w:val="22"/>
          </w:rPr>
          <w:t>olo</w:t>
        </w:r>
      </w:smartTag>
      <w:r w:rsidRPr="00D93408">
        <w:rPr>
          <w:sz w:val="22"/>
          <w:szCs w:val="22"/>
        </w:rPr>
        <w:t xml:space="preserve"> podrobené skúmaniu a jeho užívanie je teda kontraindikované (pozri čas</w:t>
      </w:r>
      <w:r w:rsidR="00C56F99">
        <w:rPr>
          <w:sz w:val="22"/>
          <w:szCs w:val="22"/>
        </w:rPr>
        <w:t>ti 4.2 a</w:t>
      </w:r>
      <w:r w:rsidRPr="00D93408">
        <w:rPr>
          <w:sz w:val="22"/>
          <w:szCs w:val="22"/>
        </w:rPr>
        <w:t xml:space="preserve"> 4.3). </w:t>
      </w:r>
    </w:p>
    <w:p w:rsidR="00F66592" w:rsidRPr="00D93408" w:rsidRDefault="00F66592" w:rsidP="00FB3973">
      <w:pPr>
        <w:autoSpaceDE w:val="0"/>
        <w:autoSpaceDN w:val="0"/>
        <w:adjustRightInd w:val="0"/>
        <w:rPr>
          <w:sz w:val="22"/>
          <w:szCs w:val="22"/>
        </w:rPr>
      </w:pPr>
    </w:p>
    <w:p w:rsidR="0008186C" w:rsidRPr="00D93408" w:rsidRDefault="00FB3973" w:rsidP="00FB3973">
      <w:pPr>
        <w:autoSpaceDE w:val="0"/>
        <w:autoSpaceDN w:val="0"/>
        <w:adjustRightInd w:val="0"/>
        <w:rPr>
          <w:i/>
          <w:iCs/>
          <w:sz w:val="22"/>
          <w:szCs w:val="22"/>
        </w:rPr>
      </w:pPr>
      <w:r w:rsidRPr="00D93408">
        <w:rPr>
          <w:i/>
          <w:iCs/>
          <w:sz w:val="22"/>
          <w:szCs w:val="22"/>
        </w:rPr>
        <w:t xml:space="preserve">Aktivátory CYP3A4 </w:t>
      </w:r>
    </w:p>
    <w:p w:rsidR="00FB3973" w:rsidRPr="00D93408" w:rsidRDefault="0008186C" w:rsidP="00FB3973">
      <w:pPr>
        <w:autoSpaceDE w:val="0"/>
        <w:autoSpaceDN w:val="0"/>
        <w:adjustRightInd w:val="0"/>
        <w:rPr>
          <w:sz w:val="22"/>
          <w:szCs w:val="22"/>
        </w:rPr>
      </w:pPr>
      <w:r w:rsidRPr="00D93408">
        <w:rPr>
          <w:sz w:val="22"/>
          <w:szCs w:val="22"/>
        </w:rPr>
        <w:t xml:space="preserve">Súbežné </w:t>
      </w:r>
      <w:r w:rsidR="00FB3973" w:rsidRPr="00D93408">
        <w:rPr>
          <w:sz w:val="22"/>
          <w:szCs w:val="22"/>
        </w:rPr>
        <w:t xml:space="preserve">podávanie </w:t>
      </w:r>
      <w:r w:rsidRPr="00D93408">
        <w:rPr>
          <w:sz w:val="22"/>
          <w:szCs w:val="22"/>
        </w:rPr>
        <w:t xml:space="preserve">eplerenónu </w:t>
      </w:r>
      <w:r w:rsidR="00FB3973" w:rsidRPr="00D93408">
        <w:rPr>
          <w:sz w:val="22"/>
          <w:szCs w:val="22"/>
        </w:rPr>
        <w:t xml:space="preserve">so silnými aktivátormi CYP3A4 sa neodporúča (pozri časť 4.5). </w:t>
      </w:r>
    </w:p>
    <w:p w:rsidR="00FB3973" w:rsidRPr="00D93408" w:rsidRDefault="00FB3973" w:rsidP="00FB3973">
      <w:pPr>
        <w:autoSpaceDE w:val="0"/>
        <w:autoSpaceDN w:val="0"/>
        <w:adjustRightInd w:val="0"/>
        <w:rPr>
          <w:sz w:val="22"/>
          <w:szCs w:val="22"/>
        </w:rPr>
      </w:pPr>
    </w:p>
    <w:p w:rsidR="00FB3973" w:rsidRPr="00D93408" w:rsidRDefault="00FB3973" w:rsidP="00FB3973">
      <w:pPr>
        <w:autoSpaceDE w:val="0"/>
        <w:autoSpaceDN w:val="0"/>
        <w:adjustRightInd w:val="0"/>
        <w:rPr>
          <w:sz w:val="22"/>
          <w:szCs w:val="22"/>
        </w:rPr>
      </w:pPr>
      <w:r w:rsidRPr="00D93408">
        <w:rPr>
          <w:sz w:val="22"/>
        </w:rPr>
        <w:t xml:space="preserve">Počas liečby </w:t>
      </w:r>
      <w:r w:rsidR="0008186C" w:rsidRPr="00D93408">
        <w:rPr>
          <w:sz w:val="22"/>
        </w:rPr>
        <w:t xml:space="preserve">eplerenónom </w:t>
      </w:r>
      <w:r w:rsidRPr="00D93408">
        <w:rPr>
          <w:sz w:val="22"/>
        </w:rPr>
        <w:t xml:space="preserve">sa </w:t>
      </w:r>
      <w:r w:rsidR="00DA356A" w:rsidRPr="00D93408">
        <w:rPr>
          <w:sz w:val="22"/>
        </w:rPr>
        <w:t xml:space="preserve">nemá </w:t>
      </w:r>
      <w:r w:rsidRPr="00D93408">
        <w:rPr>
          <w:sz w:val="22"/>
        </w:rPr>
        <w:t>užívať</w:t>
      </w:r>
      <w:r w:rsidRPr="00D93408">
        <w:t xml:space="preserve"> </w:t>
      </w:r>
      <w:r w:rsidRPr="00D93408">
        <w:rPr>
          <w:i/>
          <w:iCs/>
          <w:sz w:val="22"/>
          <w:szCs w:val="22"/>
        </w:rPr>
        <w:t>lítium, cyklosporín, ta</w:t>
      </w:r>
      <w:r w:rsidR="005360FC" w:rsidRPr="00D93408">
        <w:rPr>
          <w:i/>
          <w:iCs/>
          <w:sz w:val="22"/>
          <w:szCs w:val="22"/>
        </w:rPr>
        <w:t>k</w:t>
      </w:r>
      <w:r w:rsidRPr="00D93408">
        <w:rPr>
          <w:i/>
          <w:iCs/>
          <w:sz w:val="22"/>
          <w:szCs w:val="22"/>
        </w:rPr>
        <w:t>rolimus</w:t>
      </w:r>
      <w:r w:rsidRPr="00D93408">
        <w:rPr>
          <w:sz w:val="22"/>
          <w:szCs w:val="22"/>
        </w:rPr>
        <w:t xml:space="preserve"> (pozri časť 4.5). </w:t>
      </w:r>
    </w:p>
    <w:p w:rsidR="00FB3973" w:rsidRPr="00D93408" w:rsidRDefault="00FB3973" w:rsidP="00FB3973">
      <w:pPr>
        <w:autoSpaceDE w:val="0"/>
        <w:autoSpaceDN w:val="0"/>
        <w:adjustRightInd w:val="0"/>
        <w:rPr>
          <w:sz w:val="22"/>
          <w:szCs w:val="22"/>
        </w:rPr>
      </w:pPr>
    </w:p>
    <w:p w:rsidR="009F6580" w:rsidRPr="00FB1B25" w:rsidRDefault="009F6580" w:rsidP="00FB3973">
      <w:pPr>
        <w:autoSpaceDE w:val="0"/>
        <w:autoSpaceDN w:val="0"/>
        <w:adjustRightInd w:val="0"/>
        <w:rPr>
          <w:iCs/>
          <w:sz w:val="22"/>
          <w:szCs w:val="22"/>
          <w:u w:val="single"/>
        </w:rPr>
      </w:pPr>
      <w:r>
        <w:rPr>
          <w:iCs/>
          <w:sz w:val="22"/>
          <w:szCs w:val="22"/>
          <w:u w:val="single"/>
        </w:rPr>
        <w:t>Pomocné látky</w:t>
      </w:r>
    </w:p>
    <w:p w:rsidR="0008186C" w:rsidRPr="009F6580" w:rsidRDefault="00FB3973" w:rsidP="00FB3973">
      <w:pPr>
        <w:autoSpaceDE w:val="0"/>
        <w:autoSpaceDN w:val="0"/>
        <w:adjustRightInd w:val="0"/>
        <w:rPr>
          <w:i/>
          <w:iCs/>
          <w:sz w:val="22"/>
          <w:szCs w:val="22"/>
        </w:rPr>
      </w:pPr>
      <w:r w:rsidRPr="009F6580">
        <w:rPr>
          <w:i/>
          <w:iCs/>
          <w:sz w:val="22"/>
          <w:szCs w:val="22"/>
        </w:rPr>
        <w:t>Laktóza</w:t>
      </w:r>
    </w:p>
    <w:p w:rsidR="00FB3973" w:rsidRPr="009F6580" w:rsidRDefault="00FB3973" w:rsidP="007477F4">
      <w:pPr>
        <w:autoSpaceDE w:val="0"/>
        <w:autoSpaceDN w:val="0"/>
        <w:adjustRightInd w:val="0"/>
        <w:rPr>
          <w:sz w:val="22"/>
          <w:szCs w:val="22"/>
          <w:lang w:val="pt-PT"/>
        </w:rPr>
      </w:pPr>
      <w:r w:rsidRPr="009F6580">
        <w:rPr>
          <w:sz w:val="22"/>
          <w:szCs w:val="22"/>
        </w:rPr>
        <w:t>Tablety obsahujú laktóz</w:t>
      </w:r>
      <w:r w:rsidR="00FD048B" w:rsidRPr="009F6580">
        <w:rPr>
          <w:sz w:val="22"/>
          <w:szCs w:val="22"/>
        </w:rPr>
        <w:t>u</w:t>
      </w:r>
      <w:r w:rsidR="009F6580" w:rsidRPr="009F6580">
        <w:rPr>
          <w:sz w:val="22"/>
          <w:szCs w:val="22"/>
        </w:rPr>
        <w:t>.</w:t>
      </w:r>
      <w:r w:rsidR="00C56F99" w:rsidRPr="009F6580">
        <w:rPr>
          <w:sz w:val="22"/>
          <w:szCs w:val="22"/>
        </w:rPr>
        <w:t xml:space="preserve"> </w:t>
      </w:r>
    </w:p>
    <w:p w:rsidR="00FD048B" w:rsidRPr="009F6580" w:rsidRDefault="009F6580">
      <w:pPr>
        <w:rPr>
          <w:sz w:val="22"/>
          <w:szCs w:val="22"/>
        </w:rPr>
      </w:pPr>
      <w:r w:rsidRPr="00FB1B25">
        <w:rPr>
          <w:sz w:val="22"/>
          <w:szCs w:val="22"/>
        </w:rPr>
        <w:t>Pacienti so zriedkavými dedičnými problémami galaktózovej intolerancie, celkovým deficitom laktázy alebo glukózo-galaktózovou malabsorpciou nesmú užívať tento liek.</w:t>
      </w:r>
    </w:p>
    <w:p w:rsidR="009F6580" w:rsidRPr="009F6580" w:rsidRDefault="009F6580">
      <w:pPr>
        <w:rPr>
          <w:sz w:val="22"/>
          <w:szCs w:val="22"/>
        </w:rPr>
      </w:pPr>
    </w:p>
    <w:p w:rsidR="009F6580" w:rsidRPr="009F6580" w:rsidRDefault="009F6580">
      <w:pPr>
        <w:rPr>
          <w:i/>
          <w:sz w:val="22"/>
          <w:szCs w:val="22"/>
        </w:rPr>
      </w:pPr>
      <w:r w:rsidRPr="009F6580">
        <w:rPr>
          <w:i/>
          <w:sz w:val="22"/>
          <w:szCs w:val="22"/>
        </w:rPr>
        <w:t>Sodík</w:t>
      </w:r>
    </w:p>
    <w:p w:rsidR="009F6580" w:rsidRPr="00FB1B25" w:rsidRDefault="009F6580" w:rsidP="00FB1B25">
      <w:pPr>
        <w:autoSpaceDE w:val="0"/>
        <w:autoSpaceDN w:val="0"/>
        <w:adjustRightInd w:val="0"/>
        <w:rPr>
          <w:i/>
          <w:sz w:val="22"/>
          <w:szCs w:val="22"/>
        </w:rPr>
      </w:pPr>
      <w:r w:rsidRPr="00FB1B25">
        <w:rPr>
          <w:sz w:val="22"/>
          <w:szCs w:val="22"/>
        </w:rPr>
        <w:t>Tento liek obsahuje menej ako 1 mmol sodíka (23 mg) v</w:t>
      </w:r>
      <w:r w:rsidR="00FD4C85">
        <w:rPr>
          <w:sz w:val="22"/>
          <w:szCs w:val="22"/>
        </w:rPr>
        <w:t xml:space="preserve"> jednej </w:t>
      </w:r>
      <w:r w:rsidRPr="00FB1B25">
        <w:rPr>
          <w:sz w:val="22"/>
          <w:szCs w:val="22"/>
        </w:rPr>
        <w:t>tablete, t.j. v podstate zanedbateľné množstvo sodíka</w:t>
      </w:r>
      <w:r>
        <w:rPr>
          <w:sz w:val="22"/>
          <w:szCs w:val="22"/>
        </w:rPr>
        <w:t>.</w:t>
      </w:r>
    </w:p>
    <w:p w:rsidR="009F6580" w:rsidRPr="00D93408" w:rsidRDefault="009F6580">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4.5</w:t>
      </w:r>
      <w:r w:rsidR="006B71FE" w:rsidRPr="00D93408">
        <w:rPr>
          <w:b/>
          <w:bCs/>
          <w:sz w:val="22"/>
          <w:szCs w:val="22"/>
        </w:rPr>
        <w:tab/>
      </w:r>
      <w:r w:rsidRPr="00D93408">
        <w:rPr>
          <w:b/>
          <w:bCs/>
          <w:sz w:val="22"/>
          <w:szCs w:val="22"/>
        </w:rPr>
        <w:t xml:space="preserve">Liekové a iné interakcie </w:t>
      </w:r>
    </w:p>
    <w:p w:rsidR="00F66592" w:rsidRPr="00D93408" w:rsidRDefault="00F66592" w:rsidP="00FB3973">
      <w:pPr>
        <w:autoSpaceDE w:val="0"/>
        <w:autoSpaceDN w:val="0"/>
        <w:adjustRightInd w:val="0"/>
        <w:rPr>
          <w:b/>
          <w:bCs/>
          <w:sz w:val="22"/>
          <w:szCs w:val="22"/>
        </w:rPr>
      </w:pPr>
    </w:p>
    <w:p w:rsidR="00FB3973" w:rsidRPr="007477F4" w:rsidRDefault="00FB3973" w:rsidP="00FB3973">
      <w:pPr>
        <w:autoSpaceDE w:val="0"/>
        <w:autoSpaceDN w:val="0"/>
        <w:adjustRightInd w:val="0"/>
        <w:rPr>
          <w:bCs/>
          <w:sz w:val="22"/>
          <w:szCs w:val="22"/>
          <w:u w:val="single"/>
        </w:rPr>
      </w:pPr>
      <w:r w:rsidRPr="007477F4">
        <w:rPr>
          <w:bCs/>
          <w:sz w:val="22"/>
          <w:szCs w:val="22"/>
          <w:u w:val="single"/>
        </w:rPr>
        <w:t xml:space="preserve">Farmakodynamické interakcie </w:t>
      </w:r>
    </w:p>
    <w:p w:rsidR="00FB3973" w:rsidRPr="00D93408" w:rsidRDefault="00FB3973" w:rsidP="00FB3973">
      <w:pPr>
        <w:autoSpaceDE w:val="0"/>
        <w:autoSpaceDN w:val="0"/>
        <w:adjustRightInd w:val="0"/>
        <w:rPr>
          <w:b/>
          <w:bCs/>
          <w:sz w:val="22"/>
          <w:szCs w:val="22"/>
        </w:rPr>
      </w:pPr>
    </w:p>
    <w:p w:rsidR="0008186C" w:rsidRPr="00D93408" w:rsidRDefault="00F66592" w:rsidP="00FB3973">
      <w:pPr>
        <w:autoSpaceDE w:val="0"/>
        <w:autoSpaceDN w:val="0"/>
        <w:adjustRightInd w:val="0"/>
        <w:rPr>
          <w:i/>
          <w:iCs/>
          <w:sz w:val="22"/>
          <w:szCs w:val="22"/>
        </w:rPr>
      </w:pPr>
      <w:r w:rsidRPr="00D93408">
        <w:rPr>
          <w:i/>
          <w:iCs/>
          <w:sz w:val="22"/>
          <w:szCs w:val="22"/>
        </w:rPr>
        <w:t>D</w:t>
      </w:r>
      <w:r w:rsidR="00FB3973" w:rsidRPr="00D93408">
        <w:rPr>
          <w:i/>
          <w:iCs/>
          <w:sz w:val="22"/>
          <w:szCs w:val="22"/>
        </w:rPr>
        <w:t xml:space="preserve">raslík šetriace diuretiká a výživové doplnky s obsahom draslíka </w:t>
      </w:r>
    </w:p>
    <w:p w:rsidR="00FB3973" w:rsidRDefault="00FB3973" w:rsidP="00FB3973">
      <w:pPr>
        <w:autoSpaceDE w:val="0"/>
        <w:autoSpaceDN w:val="0"/>
        <w:adjustRightInd w:val="0"/>
        <w:rPr>
          <w:sz w:val="22"/>
          <w:szCs w:val="22"/>
        </w:rPr>
      </w:pPr>
      <w:r w:rsidRPr="00D93408">
        <w:rPr>
          <w:sz w:val="22"/>
          <w:szCs w:val="22"/>
        </w:rPr>
        <w:t xml:space="preserve">Vzhľadom na zvýšené riziko hyperkaliémie sa </w:t>
      </w:r>
      <w:r w:rsidR="0008186C" w:rsidRPr="00D93408">
        <w:rPr>
          <w:sz w:val="22"/>
          <w:szCs w:val="22"/>
        </w:rPr>
        <w:t xml:space="preserve">eplerenón </w:t>
      </w:r>
      <w:r w:rsidRPr="00D93408">
        <w:rPr>
          <w:sz w:val="22"/>
          <w:szCs w:val="22"/>
        </w:rPr>
        <w:t>nesmie podávať paciento</w:t>
      </w:r>
      <w:r w:rsidR="005360FC" w:rsidRPr="00D93408">
        <w:rPr>
          <w:sz w:val="22"/>
          <w:szCs w:val="22"/>
        </w:rPr>
        <w:t>m</w:t>
      </w:r>
      <w:r w:rsidRPr="00D93408">
        <w:rPr>
          <w:sz w:val="22"/>
          <w:szCs w:val="22"/>
        </w:rPr>
        <w:t xml:space="preserve">, ktorí </w:t>
      </w:r>
      <w:r w:rsidR="004666AB" w:rsidRPr="00D93408">
        <w:rPr>
          <w:sz w:val="22"/>
          <w:szCs w:val="22"/>
        </w:rPr>
        <w:t>užíva</w:t>
      </w:r>
      <w:r w:rsidR="00986E24" w:rsidRPr="00D93408">
        <w:rPr>
          <w:sz w:val="22"/>
          <w:szCs w:val="22"/>
        </w:rPr>
        <w:t>jú</w:t>
      </w:r>
      <w:r w:rsidRPr="00D93408">
        <w:rPr>
          <w:sz w:val="22"/>
          <w:szCs w:val="22"/>
        </w:rPr>
        <w:t xml:space="preserve"> </w:t>
      </w:r>
      <w:r w:rsidR="00C56F99">
        <w:rPr>
          <w:sz w:val="22"/>
          <w:szCs w:val="22"/>
        </w:rPr>
        <w:t xml:space="preserve">iné </w:t>
      </w:r>
      <w:r w:rsidRPr="00D93408">
        <w:rPr>
          <w:sz w:val="22"/>
          <w:szCs w:val="22"/>
        </w:rPr>
        <w:t xml:space="preserve">draslík šetriace diuretiká a výživové doplnky s obsahom draslíka (pozri časť 4.3). Draslík šetriace diuretiká môžu </w:t>
      </w:r>
      <w:r w:rsidR="00C56F99">
        <w:rPr>
          <w:sz w:val="22"/>
          <w:szCs w:val="22"/>
        </w:rPr>
        <w:t xml:space="preserve">tiež </w:t>
      </w:r>
      <w:r w:rsidR="00AD3202" w:rsidRPr="00D93408">
        <w:rPr>
          <w:sz w:val="22"/>
          <w:szCs w:val="22"/>
        </w:rPr>
        <w:t>potenciovať</w:t>
      </w:r>
      <w:r w:rsidRPr="00D93408">
        <w:rPr>
          <w:sz w:val="22"/>
          <w:szCs w:val="22"/>
        </w:rPr>
        <w:t xml:space="preserve"> účinok antihypertenzív a iných diuretík. </w:t>
      </w:r>
    </w:p>
    <w:p w:rsidR="00FD048B" w:rsidRDefault="00FD048B" w:rsidP="00FD048B">
      <w:pPr>
        <w:tabs>
          <w:tab w:val="left" w:pos="567"/>
        </w:tabs>
        <w:rPr>
          <w:i/>
          <w:sz w:val="22"/>
          <w:szCs w:val="22"/>
        </w:rPr>
      </w:pPr>
    </w:p>
    <w:p w:rsidR="003C72BE" w:rsidRDefault="00FD048B" w:rsidP="007477F4">
      <w:pPr>
        <w:tabs>
          <w:tab w:val="left" w:pos="567"/>
        </w:tabs>
        <w:rPr>
          <w:sz w:val="22"/>
          <w:szCs w:val="22"/>
        </w:rPr>
      </w:pPr>
      <w:r w:rsidRPr="00366F86">
        <w:rPr>
          <w:i/>
          <w:sz w:val="22"/>
          <w:szCs w:val="22"/>
        </w:rPr>
        <w:t>ACE inhibítory, ARB</w:t>
      </w:r>
      <w:r w:rsidRPr="00366F86">
        <w:rPr>
          <w:sz w:val="22"/>
          <w:szCs w:val="22"/>
        </w:rPr>
        <w:t xml:space="preserve"> </w:t>
      </w:r>
    </w:p>
    <w:p w:rsidR="00FD048B" w:rsidRPr="00D93408" w:rsidRDefault="00FD048B" w:rsidP="007477F4">
      <w:pPr>
        <w:tabs>
          <w:tab w:val="left" w:pos="567"/>
        </w:tabs>
        <w:rPr>
          <w:sz w:val="22"/>
          <w:szCs w:val="22"/>
        </w:rPr>
      </w:pPr>
      <w:r w:rsidRPr="00366F86">
        <w:rPr>
          <w:sz w:val="22"/>
          <w:szCs w:val="22"/>
        </w:rPr>
        <w:t>Pri používaní eplerenónu v kombinácii s</w:t>
      </w:r>
      <w:r w:rsidR="003C72BE">
        <w:rPr>
          <w:sz w:val="22"/>
          <w:szCs w:val="22"/>
        </w:rPr>
        <w:t xml:space="preserve"> ACE </w:t>
      </w:r>
      <w:r w:rsidRPr="00366F86">
        <w:rPr>
          <w:sz w:val="22"/>
          <w:szCs w:val="22"/>
        </w:rPr>
        <w:t xml:space="preserve">a/alebo ARB sa môže zvýšiť riziko hyperkaliémie. Odporúča sa dôkladné sledovanie sérového draslíka a renálnej funkcie, predovšetkým u pacientov vystavených riziku poruchy renálnej funkcie, napr. u starších </w:t>
      </w:r>
      <w:r w:rsidR="00414DF1">
        <w:rPr>
          <w:sz w:val="22"/>
          <w:szCs w:val="22"/>
        </w:rPr>
        <w:t>osôb</w:t>
      </w:r>
      <w:r w:rsidRPr="00366F86">
        <w:rPr>
          <w:sz w:val="22"/>
          <w:szCs w:val="22"/>
        </w:rPr>
        <w:t>. Trojkombinácia</w:t>
      </w:r>
      <w:r w:rsidR="003C72BE">
        <w:rPr>
          <w:sz w:val="22"/>
          <w:szCs w:val="22"/>
        </w:rPr>
        <w:t xml:space="preserve"> ACE</w:t>
      </w:r>
      <w:r w:rsidRPr="00366F86">
        <w:rPr>
          <w:sz w:val="22"/>
          <w:szCs w:val="22"/>
        </w:rPr>
        <w:t xml:space="preserve"> inhibítora a</w:t>
      </w:r>
      <w:r w:rsidR="009F6580">
        <w:rPr>
          <w:sz w:val="22"/>
          <w:szCs w:val="22"/>
        </w:rPr>
        <w:t xml:space="preserve"> </w:t>
      </w:r>
      <w:r w:rsidRPr="00366F86">
        <w:rPr>
          <w:sz w:val="22"/>
          <w:szCs w:val="22"/>
        </w:rPr>
        <w:t>ARB s eplerenónom sa nemá používať (pozri časti 4.3 a 4.4).</w:t>
      </w:r>
    </w:p>
    <w:p w:rsidR="00FB3973" w:rsidRPr="00D93408" w:rsidRDefault="00FB3973" w:rsidP="00FB3973">
      <w:pPr>
        <w:autoSpaceDE w:val="0"/>
        <w:autoSpaceDN w:val="0"/>
        <w:adjustRightInd w:val="0"/>
        <w:rPr>
          <w:sz w:val="22"/>
          <w:szCs w:val="22"/>
        </w:rPr>
      </w:pPr>
    </w:p>
    <w:p w:rsidR="0008186C" w:rsidRPr="00D93408" w:rsidRDefault="00FB3973" w:rsidP="00FB3973">
      <w:pPr>
        <w:autoSpaceDE w:val="0"/>
        <w:autoSpaceDN w:val="0"/>
        <w:adjustRightInd w:val="0"/>
        <w:rPr>
          <w:i/>
          <w:iCs/>
          <w:sz w:val="22"/>
          <w:szCs w:val="22"/>
        </w:rPr>
      </w:pPr>
      <w:r w:rsidRPr="00D93408">
        <w:rPr>
          <w:i/>
          <w:iCs/>
          <w:sz w:val="22"/>
          <w:szCs w:val="22"/>
        </w:rPr>
        <w:t xml:space="preserve">Lítium </w:t>
      </w:r>
    </w:p>
    <w:p w:rsidR="00FB3973" w:rsidRPr="00D93408" w:rsidRDefault="00FB3973" w:rsidP="00FB3973">
      <w:pPr>
        <w:autoSpaceDE w:val="0"/>
        <w:autoSpaceDN w:val="0"/>
        <w:adjustRightInd w:val="0"/>
        <w:rPr>
          <w:sz w:val="22"/>
          <w:szCs w:val="22"/>
        </w:rPr>
      </w:pPr>
      <w:r w:rsidRPr="00D93408">
        <w:rPr>
          <w:sz w:val="22"/>
          <w:szCs w:val="22"/>
        </w:rPr>
        <w:t xml:space="preserve">Štúdie </w:t>
      </w:r>
      <w:r w:rsidR="003C72BE">
        <w:rPr>
          <w:sz w:val="22"/>
          <w:szCs w:val="22"/>
        </w:rPr>
        <w:t xml:space="preserve">liekových </w:t>
      </w:r>
      <w:r w:rsidRPr="00D93408">
        <w:rPr>
          <w:sz w:val="22"/>
          <w:szCs w:val="22"/>
        </w:rPr>
        <w:t xml:space="preserve">interakcií </w:t>
      </w:r>
      <w:r w:rsidR="0008186C" w:rsidRPr="00D93408">
        <w:rPr>
          <w:sz w:val="22"/>
          <w:szCs w:val="22"/>
        </w:rPr>
        <w:t xml:space="preserve">eplerenónu </w:t>
      </w:r>
      <w:r w:rsidRPr="00D93408">
        <w:rPr>
          <w:sz w:val="22"/>
          <w:szCs w:val="22"/>
        </w:rPr>
        <w:t xml:space="preserve">neboli </w:t>
      </w:r>
      <w:r w:rsidRPr="00F07329">
        <w:rPr>
          <w:sz w:val="22"/>
          <w:szCs w:val="22"/>
        </w:rPr>
        <w:t xml:space="preserve">vykonané s lítiom. Avšak u pacientov, ktorí užívali lítium súčasne </w:t>
      </w:r>
      <w:r w:rsidRPr="00414DF1">
        <w:rPr>
          <w:sz w:val="22"/>
          <w:szCs w:val="22"/>
        </w:rPr>
        <w:t>s diuretikami a</w:t>
      </w:r>
      <w:r w:rsidR="003C72BE">
        <w:rPr>
          <w:sz w:val="22"/>
          <w:szCs w:val="22"/>
        </w:rPr>
        <w:t xml:space="preserve"> ACE </w:t>
      </w:r>
      <w:r w:rsidRPr="00BF000D">
        <w:rPr>
          <w:sz w:val="22"/>
          <w:szCs w:val="22"/>
        </w:rPr>
        <w:t>inhibítormi</w:t>
      </w:r>
      <w:r w:rsidR="00F07329" w:rsidRPr="007477F4">
        <w:rPr>
          <w:sz w:val="22"/>
          <w:szCs w:val="22"/>
          <w:shd w:val="clear" w:color="auto" w:fill="FFFFFF"/>
        </w:rPr>
        <w:t xml:space="preserve"> </w:t>
      </w:r>
      <w:r w:rsidR="00986E24" w:rsidRPr="00414DF1">
        <w:rPr>
          <w:sz w:val="22"/>
          <w:szCs w:val="22"/>
        </w:rPr>
        <w:t>sa uvádzajú</w:t>
      </w:r>
      <w:r w:rsidRPr="009361FF">
        <w:rPr>
          <w:sz w:val="22"/>
          <w:szCs w:val="22"/>
        </w:rPr>
        <w:t xml:space="preserve"> prípady toxicity</w:t>
      </w:r>
      <w:r w:rsidRPr="00D93408">
        <w:rPr>
          <w:sz w:val="22"/>
          <w:szCs w:val="22"/>
        </w:rPr>
        <w:t xml:space="preserve"> spojenej s lítiom (pozri časť 4.4). </w:t>
      </w:r>
      <w:r w:rsidR="0008186C" w:rsidRPr="00D93408">
        <w:rPr>
          <w:sz w:val="22"/>
          <w:szCs w:val="22"/>
        </w:rPr>
        <w:t xml:space="preserve">Eplerenón </w:t>
      </w:r>
      <w:r w:rsidRPr="00D93408">
        <w:rPr>
          <w:sz w:val="22"/>
          <w:szCs w:val="22"/>
        </w:rPr>
        <w:t xml:space="preserve">sa nesmie podávať súčasne s lítiom. Ak sa zdá, že takáto kombinácia je potrebná, je potrebné sledovať plazmatickú koncentráciu lítia (pozri časť 4.4). </w:t>
      </w:r>
    </w:p>
    <w:p w:rsidR="00FB3973" w:rsidRPr="00D93408" w:rsidRDefault="00FB3973" w:rsidP="00FB3973">
      <w:pPr>
        <w:autoSpaceDE w:val="0"/>
        <w:autoSpaceDN w:val="0"/>
        <w:adjustRightInd w:val="0"/>
        <w:rPr>
          <w:sz w:val="22"/>
          <w:szCs w:val="22"/>
        </w:rPr>
      </w:pPr>
    </w:p>
    <w:p w:rsidR="0008186C" w:rsidRPr="00D93408" w:rsidRDefault="00FB3973" w:rsidP="00FB3973">
      <w:pPr>
        <w:autoSpaceDE w:val="0"/>
        <w:autoSpaceDN w:val="0"/>
        <w:adjustRightInd w:val="0"/>
        <w:rPr>
          <w:sz w:val="22"/>
          <w:szCs w:val="22"/>
        </w:rPr>
      </w:pPr>
      <w:r w:rsidRPr="00D93408">
        <w:rPr>
          <w:i/>
          <w:iCs/>
          <w:sz w:val="22"/>
          <w:szCs w:val="22"/>
        </w:rPr>
        <w:t>Cyklosporín, ta</w:t>
      </w:r>
      <w:r w:rsidR="00986E24" w:rsidRPr="00D93408">
        <w:rPr>
          <w:i/>
          <w:iCs/>
          <w:sz w:val="22"/>
          <w:szCs w:val="22"/>
        </w:rPr>
        <w:t>k</w:t>
      </w:r>
      <w:r w:rsidRPr="00D93408">
        <w:rPr>
          <w:i/>
          <w:iCs/>
          <w:sz w:val="22"/>
          <w:szCs w:val="22"/>
        </w:rPr>
        <w:t>rolimus</w:t>
      </w:r>
    </w:p>
    <w:p w:rsidR="00FB3973" w:rsidRPr="00D93408" w:rsidRDefault="00FB3973" w:rsidP="00FB3973">
      <w:pPr>
        <w:autoSpaceDE w:val="0"/>
        <w:autoSpaceDN w:val="0"/>
        <w:adjustRightInd w:val="0"/>
        <w:rPr>
          <w:sz w:val="22"/>
          <w:szCs w:val="22"/>
        </w:rPr>
      </w:pPr>
      <w:r w:rsidRPr="00D93408">
        <w:rPr>
          <w:sz w:val="22"/>
          <w:szCs w:val="22"/>
        </w:rPr>
        <w:t>Cyklosporín a ta</w:t>
      </w:r>
      <w:r w:rsidR="00986E24" w:rsidRPr="00D93408">
        <w:rPr>
          <w:sz w:val="22"/>
          <w:szCs w:val="22"/>
        </w:rPr>
        <w:t>k</w:t>
      </w:r>
      <w:r w:rsidRPr="00D93408">
        <w:rPr>
          <w:sz w:val="22"/>
          <w:szCs w:val="22"/>
        </w:rPr>
        <w:t xml:space="preserve">rolimus môžu spôsobiť </w:t>
      </w:r>
      <w:r w:rsidR="00414DF1">
        <w:rPr>
          <w:sz w:val="22"/>
          <w:szCs w:val="22"/>
        </w:rPr>
        <w:t xml:space="preserve">poruchu </w:t>
      </w:r>
      <w:r w:rsidRPr="00D93408">
        <w:rPr>
          <w:sz w:val="22"/>
          <w:szCs w:val="22"/>
        </w:rPr>
        <w:t xml:space="preserve">obličkových funkcií a zvýšenie rizika hyperkaliémie. </w:t>
      </w:r>
      <w:r w:rsidR="0008186C" w:rsidRPr="00D93408">
        <w:rPr>
          <w:sz w:val="22"/>
          <w:szCs w:val="22"/>
        </w:rPr>
        <w:t xml:space="preserve">Eplerenón </w:t>
      </w:r>
      <w:r w:rsidRPr="00D93408">
        <w:rPr>
          <w:sz w:val="22"/>
          <w:szCs w:val="22"/>
        </w:rPr>
        <w:t>sa nesmie používať súčasne s cyklosporínom a</w:t>
      </w:r>
      <w:r w:rsidR="00986E24" w:rsidRPr="00D93408">
        <w:rPr>
          <w:sz w:val="22"/>
          <w:szCs w:val="22"/>
        </w:rPr>
        <w:t>ni</w:t>
      </w:r>
      <w:r w:rsidRPr="00D93408">
        <w:rPr>
          <w:sz w:val="22"/>
          <w:szCs w:val="22"/>
        </w:rPr>
        <w:t xml:space="preserve"> ta</w:t>
      </w:r>
      <w:r w:rsidR="00986E24" w:rsidRPr="00D93408">
        <w:rPr>
          <w:sz w:val="22"/>
          <w:szCs w:val="22"/>
        </w:rPr>
        <w:t>k</w:t>
      </w:r>
      <w:r w:rsidRPr="00D93408">
        <w:rPr>
          <w:sz w:val="22"/>
          <w:szCs w:val="22"/>
        </w:rPr>
        <w:t>rolimom. V prípade potreby sa pri podávaní cyklosporínu a ta</w:t>
      </w:r>
      <w:r w:rsidR="00986E24" w:rsidRPr="00D93408">
        <w:rPr>
          <w:sz w:val="22"/>
          <w:szCs w:val="22"/>
        </w:rPr>
        <w:t>k</w:t>
      </w:r>
      <w:r w:rsidRPr="00D93408">
        <w:rPr>
          <w:sz w:val="22"/>
          <w:szCs w:val="22"/>
        </w:rPr>
        <w:t xml:space="preserve">rolimu pacientom, ktorí užívajú </w:t>
      </w:r>
      <w:r w:rsidR="003868F3" w:rsidRPr="00D93408">
        <w:rPr>
          <w:sz w:val="22"/>
          <w:szCs w:val="22"/>
        </w:rPr>
        <w:t>eplerenón</w:t>
      </w:r>
      <w:r w:rsidR="00986E24" w:rsidRPr="00D93408">
        <w:rPr>
          <w:sz w:val="22"/>
          <w:szCs w:val="22"/>
        </w:rPr>
        <w:t>,</w:t>
      </w:r>
      <w:r w:rsidRPr="00D93408">
        <w:rPr>
          <w:sz w:val="22"/>
          <w:szCs w:val="22"/>
        </w:rPr>
        <w:t xml:space="preserve"> odporúča dôsledné sledovanie sérovej hladiny draslíka a obličkových funkcií (pozri časť 4.4). </w:t>
      </w:r>
    </w:p>
    <w:p w:rsidR="00FB3973" w:rsidRPr="00D93408" w:rsidRDefault="00FB3973" w:rsidP="00FB3973">
      <w:pPr>
        <w:autoSpaceDE w:val="0"/>
        <w:autoSpaceDN w:val="0"/>
        <w:adjustRightInd w:val="0"/>
        <w:rPr>
          <w:sz w:val="22"/>
          <w:szCs w:val="22"/>
        </w:rPr>
      </w:pPr>
    </w:p>
    <w:p w:rsidR="003868F3" w:rsidRPr="00D93408" w:rsidRDefault="00FB3973" w:rsidP="00FB3973">
      <w:pPr>
        <w:autoSpaceDE w:val="0"/>
        <w:autoSpaceDN w:val="0"/>
        <w:adjustRightInd w:val="0"/>
        <w:rPr>
          <w:sz w:val="22"/>
          <w:szCs w:val="22"/>
        </w:rPr>
      </w:pPr>
      <w:r w:rsidRPr="00D93408">
        <w:rPr>
          <w:i/>
          <w:iCs/>
          <w:sz w:val="22"/>
          <w:szCs w:val="22"/>
        </w:rPr>
        <w:t>Nesteroidné antiflogistiká (NSAID)</w:t>
      </w:r>
    </w:p>
    <w:p w:rsidR="00FB3973" w:rsidRDefault="00465D4B" w:rsidP="005F5CB9">
      <w:pPr>
        <w:pStyle w:val="Default"/>
        <w:rPr>
          <w:sz w:val="22"/>
          <w:szCs w:val="22"/>
        </w:rPr>
      </w:pPr>
      <w:r>
        <w:rPr>
          <w:sz w:val="22"/>
          <w:szCs w:val="22"/>
        </w:rPr>
        <w:t xml:space="preserve">U rizikových pacientov (starší, dehydratovaní pacienti, pacienti užívajúci diuretiká, pacienti s poruchou funkcie obličiek) sa môže vyskytnúť akútne zlyhanie obličiek v dôsledku zníženej glomerulárnej filtrácie (inhibícia vazodilatačných prostaglandínov následkom nesteroidových </w:t>
      </w:r>
      <w:r>
        <w:rPr>
          <w:color w:val="auto"/>
          <w:sz w:val="22"/>
          <w:szCs w:val="22"/>
        </w:rPr>
        <w:t xml:space="preserve">antiflogistík). Tieto účinky sú zvyčajne reverzibilné. Taktiež môže dôjsť k zníženiu antihypertenzného </w:t>
      </w:r>
      <w:r>
        <w:rPr>
          <w:color w:val="auto"/>
          <w:sz w:val="22"/>
          <w:szCs w:val="22"/>
        </w:rPr>
        <w:lastRenderedPageBreak/>
        <w:t>účinku. Je potrebná hydratácia pacienta a monitorovanie funkcie obličiek na začiatku liečby a pravidelne počas podávania tejto kombinácie (pozri časti 4.2 a 4.4.).</w:t>
      </w:r>
    </w:p>
    <w:p w:rsidR="00465D4B" w:rsidRPr="00D93408" w:rsidRDefault="00465D4B" w:rsidP="005F5CB9">
      <w:pPr>
        <w:pStyle w:val="Default"/>
        <w:rPr>
          <w:i/>
          <w:iCs/>
          <w:sz w:val="22"/>
          <w:szCs w:val="22"/>
        </w:rPr>
      </w:pPr>
    </w:p>
    <w:p w:rsidR="003868F3" w:rsidRPr="00D93408" w:rsidRDefault="00FB3973" w:rsidP="00FB3973">
      <w:pPr>
        <w:autoSpaceDE w:val="0"/>
        <w:autoSpaceDN w:val="0"/>
        <w:adjustRightInd w:val="0"/>
        <w:rPr>
          <w:sz w:val="22"/>
          <w:szCs w:val="22"/>
        </w:rPr>
      </w:pPr>
      <w:r w:rsidRPr="00D93408">
        <w:rPr>
          <w:i/>
          <w:iCs/>
          <w:sz w:val="22"/>
          <w:szCs w:val="22"/>
        </w:rPr>
        <w:t>Trimetoprim</w:t>
      </w:r>
    </w:p>
    <w:p w:rsidR="00FB3973" w:rsidRPr="00D93408" w:rsidRDefault="00414DF1" w:rsidP="00FB3973">
      <w:pPr>
        <w:autoSpaceDE w:val="0"/>
        <w:autoSpaceDN w:val="0"/>
        <w:adjustRightInd w:val="0"/>
        <w:rPr>
          <w:sz w:val="22"/>
          <w:szCs w:val="22"/>
        </w:rPr>
      </w:pPr>
      <w:r w:rsidRPr="00D93408">
        <w:rPr>
          <w:sz w:val="22"/>
          <w:szCs w:val="22"/>
        </w:rPr>
        <w:t>Sú</w:t>
      </w:r>
      <w:r>
        <w:rPr>
          <w:sz w:val="22"/>
          <w:szCs w:val="22"/>
        </w:rPr>
        <w:t>bežné</w:t>
      </w:r>
      <w:r w:rsidRPr="00D93408">
        <w:rPr>
          <w:sz w:val="22"/>
          <w:szCs w:val="22"/>
        </w:rPr>
        <w:t xml:space="preserve"> </w:t>
      </w:r>
      <w:r w:rsidR="00FB3973" w:rsidRPr="00D93408">
        <w:rPr>
          <w:sz w:val="22"/>
          <w:szCs w:val="22"/>
        </w:rPr>
        <w:t xml:space="preserve">podávanie trimetoprimu a </w:t>
      </w:r>
      <w:r w:rsidR="003868F3" w:rsidRPr="00D93408">
        <w:rPr>
          <w:sz w:val="22"/>
          <w:szCs w:val="22"/>
        </w:rPr>
        <w:t xml:space="preserve">eplerenónu </w:t>
      </w:r>
      <w:r w:rsidR="00FB3973" w:rsidRPr="00D93408">
        <w:rPr>
          <w:sz w:val="22"/>
          <w:szCs w:val="22"/>
        </w:rPr>
        <w:t xml:space="preserve">zvyšuje riziko hyperkaliémie. Monitorovanie sérovej koncentrácie draslíka a obličkových funkcií je potrebné </w:t>
      </w:r>
      <w:r w:rsidR="00986E24" w:rsidRPr="00D93408">
        <w:rPr>
          <w:sz w:val="22"/>
          <w:szCs w:val="22"/>
        </w:rPr>
        <w:t>najmä</w:t>
      </w:r>
      <w:r w:rsidR="00FB3973" w:rsidRPr="00D93408">
        <w:rPr>
          <w:sz w:val="22"/>
          <w:szCs w:val="22"/>
        </w:rPr>
        <w:t xml:space="preserve"> u pacientov s </w:t>
      </w:r>
      <w:r>
        <w:rPr>
          <w:sz w:val="22"/>
          <w:szCs w:val="22"/>
        </w:rPr>
        <w:t>poruchou</w:t>
      </w:r>
      <w:r w:rsidR="00FB3973" w:rsidRPr="00D93408">
        <w:rPr>
          <w:sz w:val="22"/>
          <w:szCs w:val="22"/>
        </w:rPr>
        <w:t xml:space="preserve"> </w:t>
      </w:r>
      <w:r>
        <w:rPr>
          <w:sz w:val="22"/>
          <w:szCs w:val="22"/>
        </w:rPr>
        <w:t xml:space="preserve">funkcie obličiek </w:t>
      </w:r>
      <w:r w:rsidR="00FB3973" w:rsidRPr="00D93408">
        <w:rPr>
          <w:sz w:val="22"/>
          <w:szCs w:val="22"/>
        </w:rPr>
        <w:t xml:space="preserve">a u starších </w:t>
      </w:r>
      <w:r>
        <w:rPr>
          <w:sz w:val="22"/>
          <w:szCs w:val="22"/>
        </w:rPr>
        <w:t>osôb</w:t>
      </w:r>
      <w:r w:rsidR="00FB3973" w:rsidRPr="00D93408">
        <w:rPr>
          <w:sz w:val="22"/>
          <w:szCs w:val="22"/>
        </w:rPr>
        <w:t xml:space="preserve">. </w:t>
      </w:r>
    </w:p>
    <w:p w:rsidR="00FB3973" w:rsidRPr="00D93408" w:rsidRDefault="00FB3973" w:rsidP="00FB3973">
      <w:pPr>
        <w:autoSpaceDE w:val="0"/>
        <w:autoSpaceDN w:val="0"/>
        <w:adjustRightInd w:val="0"/>
        <w:rPr>
          <w:sz w:val="22"/>
          <w:szCs w:val="22"/>
        </w:rPr>
      </w:pPr>
    </w:p>
    <w:p w:rsidR="003868F3" w:rsidRPr="00D93408" w:rsidRDefault="00FB3973" w:rsidP="00FB3973">
      <w:pPr>
        <w:autoSpaceDE w:val="0"/>
        <w:autoSpaceDN w:val="0"/>
        <w:adjustRightInd w:val="0"/>
        <w:rPr>
          <w:sz w:val="22"/>
          <w:szCs w:val="22"/>
        </w:rPr>
      </w:pPr>
      <w:r w:rsidRPr="00D93408">
        <w:rPr>
          <w:i/>
          <w:iCs/>
          <w:sz w:val="22"/>
          <w:szCs w:val="22"/>
        </w:rPr>
        <w:t>Alfa</w:t>
      </w:r>
      <w:r w:rsidRPr="00D93408">
        <w:rPr>
          <w:i/>
          <w:iCs/>
          <w:sz w:val="22"/>
          <w:szCs w:val="22"/>
          <w:vertAlign w:val="subscript"/>
        </w:rPr>
        <w:t>1</w:t>
      </w:r>
      <w:r w:rsidR="00F66592" w:rsidRPr="00D93408">
        <w:rPr>
          <w:i/>
          <w:iCs/>
          <w:sz w:val="22"/>
          <w:szCs w:val="22"/>
        </w:rPr>
        <w:t>-</w:t>
      </w:r>
      <w:r w:rsidRPr="00D93408">
        <w:rPr>
          <w:i/>
          <w:iCs/>
          <w:sz w:val="22"/>
          <w:szCs w:val="22"/>
        </w:rPr>
        <w:t xml:space="preserve"> blokátory (napr. prazosín, alfuzosín)</w:t>
      </w:r>
    </w:p>
    <w:p w:rsidR="00FB3973" w:rsidRPr="00D93408" w:rsidRDefault="00FB3973" w:rsidP="00FB3973">
      <w:pPr>
        <w:autoSpaceDE w:val="0"/>
        <w:autoSpaceDN w:val="0"/>
        <w:adjustRightInd w:val="0"/>
        <w:rPr>
          <w:sz w:val="22"/>
          <w:szCs w:val="22"/>
        </w:rPr>
      </w:pPr>
      <w:r w:rsidRPr="00D93408">
        <w:rPr>
          <w:sz w:val="22"/>
          <w:szCs w:val="22"/>
        </w:rPr>
        <w:t>V prípade kombinácie alfa</w:t>
      </w:r>
      <w:r w:rsidRPr="00D93408">
        <w:rPr>
          <w:sz w:val="22"/>
          <w:szCs w:val="22"/>
          <w:vertAlign w:val="subscript"/>
        </w:rPr>
        <w:t>1</w:t>
      </w:r>
      <w:r w:rsidR="00F66592" w:rsidRPr="00D93408">
        <w:rPr>
          <w:sz w:val="22"/>
          <w:szCs w:val="22"/>
        </w:rPr>
        <w:t>-</w:t>
      </w:r>
      <w:r w:rsidRPr="00D93408">
        <w:rPr>
          <w:sz w:val="22"/>
          <w:szCs w:val="22"/>
        </w:rPr>
        <w:t xml:space="preserve"> blokátorov s epleren</w:t>
      </w:r>
      <w:r w:rsidR="00F66592" w:rsidRPr="00D93408">
        <w:rPr>
          <w:sz w:val="22"/>
          <w:szCs w:val="22"/>
        </w:rPr>
        <w:t>ó</w:t>
      </w:r>
      <w:r w:rsidRPr="00D93408">
        <w:rPr>
          <w:sz w:val="22"/>
          <w:szCs w:val="22"/>
        </w:rPr>
        <w:t>nom vzniká potenciál zvýšeného hypotenzn</w:t>
      </w:r>
      <w:r w:rsidR="00A374AB">
        <w:rPr>
          <w:sz w:val="22"/>
          <w:szCs w:val="22"/>
        </w:rPr>
        <w:t>é</w:t>
      </w:r>
      <w:r w:rsidRPr="00D93408">
        <w:rPr>
          <w:sz w:val="22"/>
          <w:szCs w:val="22"/>
        </w:rPr>
        <w:t>ho účinku alebo posturálnej hypotenzie. Počas súčasného podávania alfa</w:t>
      </w:r>
      <w:r w:rsidRPr="00D93408">
        <w:rPr>
          <w:sz w:val="22"/>
          <w:szCs w:val="22"/>
          <w:vertAlign w:val="subscript"/>
        </w:rPr>
        <w:t>1</w:t>
      </w:r>
      <w:r w:rsidR="003868F3" w:rsidRPr="00D93408">
        <w:rPr>
          <w:sz w:val="22"/>
          <w:szCs w:val="22"/>
        </w:rPr>
        <w:t>-</w:t>
      </w:r>
      <w:r w:rsidRPr="00D93408">
        <w:rPr>
          <w:sz w:val="22"/>
          <w:szCs w:val="22"/>
        </w:rPr>
        <w:t xml:space="preserve"> blokátorov sa odporúča klinické monitorovanie z hľadiska posturálnej hypotenzie. </w:t>
      </w:r>
    </w:p>
    <w:p w:rsidR="00FB3973" w:rsidRPr="00D93408" w:rsidRDefault="00FB3973" w:rsidP="00FB3973">
      <w:pPr>
        <w:autoSpaceDE w:val="0"/>
        <w:autoSpaceDN w:val="0"/>
        <w:adjustRightInd w:val="0"/>
        <w:rPr>
          <w:sz w:val="22"/>
          <w:szCs w:val="22"/>
        </w:rPr>
      </w:pPr>
    </w:p>
    <w:p w:rsidR="003868F3" w:rsidRPr="00D93408" w:rsidRDefault="00FB3973" w:rsidP="00FB3973">
      <w:pPr>
        <w:autoSpaceDE w:val="0"/>
        <w:autoSpaceDN w:val="0"/>
        <w:adjustRightInd w:val="0"/>
        <w:rPr>
          <w:sz w:val="22"/>
          <w:szCs w:val="22"/>
        </w:rPr>
      </w:pPr>
      <w:r w:rsidRPr="00D93408">
        <w:rPr>
          <w:i/>
          <w:iCs/>
          <w:sz w:val="22"/>
          <w:szCs w:val="22"/>
        </w:rPr>
        <w:t xml:space="preserve">Tricyklické antidepresíva, neuroleptiká, amifostín, </w:t>
      </w:r>
      <w:r w:rsidR="003868F3" w:rsidRPr="00D93408">
        <w:rPr>
          <w:i/>
          <w:iCs/>
          <w:sz w:val="22"/>
          <w:szCs w:val="22"/>
        </w:rPr>
        <w:t>baklofén</w:t>
      </w:r>
    </w:p>
    <w:p w:rsidR="00FB3973" w:rsidRPr="00D93408" w:rsidRDefault="00FB3973" w:rsidP="00FB3973">
      <w:pPr>
        <w:autoSpaceDE w:val="0"/>
        <w:autoSpaceDN w:val="0"/>
        <w:adjustRightInd w:val="0"/>
        <w:rPr>
          <w:sz w:val="22"/>
          <w:szCs w:val="22"/>
        </w:rPr>
      </w:pPr>
      <w:r w:rsidRPr="00D93408">
        <w:rPr>
          <w:sz w:val="22"/>
          <w:szCs w:val="22"/>
        </w:rPr>
        <w:t>Sú</w:t>
      </w:r>
      <w:r w:rsidR="00A374AB">
        <w:rPr>
          <w:sz w:val="22"/>
          <w:szCs w:val="22"/>
        </w:rPr>
        <w:t>bež</w:t>
      </w:r>
      <w:r w:rsidRPr="00D93408">
        <w:rPr>
          <w:sz w:val="22"/>
          <w:szCs w:val="22"/>
        </w:rPr>
        <w:t xml:space="preserve">né podávanie týchto liekov s </w:t>
      </w:r>
      <w:r w:rsidR="003868F3" w:rsidRPr="00D93408">
        <w:rPr>
          <w:sz w:val="22"/>
          <w:szCs w:val="22"/>
        </w:rPr>
        <w:t xml:space="preserve">eplerenónom </w:t>
      </w:r>
      <w:r w:rsidRPr="00D93408">
        <w:rPr>
          <w:sz w:val="22"/>
          <w:szCs w:val="22"/>
        </w:rPr>
        <w:t xml:space="preserve">môže </w:t>
      </w:r>
      <w:r w:rsidR="00230984" w:rsidRPr="00D93408">
        <w:rPr>
          <w:sz w:val="22"/>
          <w:szCs w:val="22"/>
        </w:rPr>
        <w:t xml:space="preserve">potenciálne </w:t>
      </w:r>
      <w:r w:rsidRPr="00D93408">
        <w:rPr>
          <w:sz w:val="22"/>
          <w:szCs w:val="22"/>
        </w:rPr>
        <w:t>zvyšovať antihypertenzn</w:t>
      </w:r>
      <w:r w:rsidR="00BF000D">
        <w:rPr>
          <w:sz w:val="22"/>
          <w:szCs w:val="22"/>
        </w:rPr>
        <w:t>é</w:t>
      </w:r>
      <w:r w:rsidRPr="00D93408">
        <w:rPr>
          <w:sz w:val="22"/>
          <w:szCs w:val="22"/>
        </w:rPr>
        <w:t xml:space="preserve"> účinky a riziko posturálnej hypotenzie. </w:t>
      </w:r>
    </w:p>
    <w:p w:rsidR="00FB3973" w:rsidRPr="00D93408" w:rsidRDefault="00FB3973" w:rsidP="00FB3973">
      <w:pPr>
        <w:autoSpaceDE w:val="0"/>
        <w:autoSpaceDN w:val="0"/>
        <w:adjustRightInd w:val="0"/>
        <w:rPr>
          <w:sz w:val="22"/>
          <w:szCs w:val="22"/>
        </w:rPr>
      </w:pPr>
    </w:p>
    <w:p w:rsidR="003868F3" w:rsidRPr="00D93408" w:rsidRDefault="00FB3973" w:rsidP="00FB3973">
      <w:pPr>
        <w:autoSpaceDE w:val="0"/>
        <w:autoSpaceDN w:val="0"/>
        <w:adjustRightInd w:val="0"/>
        <w:rPr>
          <w:sz w:val="22"/>
          <w:szCs w:val="22"/>
        </w:rPr>
      </w:pPr>
      <w:r w:rsidRPr="00D93408">
        <w:rPr>
          <w:i/>
          <w:iCs/>
          <w:sz w:val="22"/>
          <w:szCs w:val="22"/>
        </w:rPr>
        <w:t>Glukokortikoidy, tetra</w:t>
      </w:r>
      <w:r w:rsidR="00BF000D">
        <w:rPr>
          <w:i/>
          <w:iCs/>
          <w:sz w:val="22"/>
          <w:szCs w:val="22"/>
        </w:rPr>
        <w:t>k</w:t>
      </w:r>
      <w:r w:rsidRPr="00D93408">
        <w:rPr>
          <w:i/>
          <w:iCs/>
          <w:sz w:val="22"/>
          <w:szCs w:val="22"/>
        </w:rPr>
        <w:t>o</w:t>
      </w:r>
      <w:r w:rsidR="00BF000D">
        <w:rPr>
          <w:i/>
          <w:iCs/>
          <w:sz w:val="22"/>
          <w:szCs w:val="22"/>
        </w:rPr>
        <w:t>z</w:t>
      </w:r>
      <w:r w:rsidRPr="00D93408">
        <w:rPr>
          <w:i/>
          <w:iCs/>
          <w:sz w:val="22"/>
          <w:szCs w:val="22"/>
        </w:rPr>
        <w:t>a</w:t>
      </w:r>
      <w:r w:rsidR="00BF000D">
        <w:rPr>
          <w:i/>
          <w:iCs/>
          <w:sz w:val="22"/>
          <w:szCs w:val="22"/>
        </w:rPr>
        <w:t>k</w:t>
      </w:r>
      <w:r w:rsidRPr="00D93408">
        <w:rPr>
          <w:i/>
          <w:iCs/>
          <w:sz w:val="22"/>
          <w:szCs w:val="22"/>
        </w:rPr>
        <w:t>tid</w:t>
      </w:r>
    </w:p>
    <w:p w:rsidR="00FB3973" w:rsidRPr="00D93408" w:rsidRDefault="00FB3973" w:rsidP="00FB3973">
      <w:pPr>
        <w:autoSpaceDE w:val="0"/>
        <w:autoSpaceDN w:val="0"/>
        <w:adjustRightInd w:val="0"/>
        <w:rPr>
          <w:sz w:val="22"/>
          <w:szCs w:val="22"/>
        </w:rPr>
      </w:pPr>
      <w:r w:rsidRPr="00D93408">
        <w:rPr>
          <w:sz w:val="22"/>
          <w:szCs w:val="22"/>
        </w:rPr>
        <w:t>Sú</w:t>
      </w:r>
      <w:r w:rsidR="00A374AB">
        <w:rPr>
          <w:sz w:val="22"/>
          <w:szCs w:val="22"/>
        </w:rPr>
        <w:t>bež</w:t>
      </w:r>
      <w:r w:rsidRPr="00D93408">
        <w:rPr>
          <w:sz w:val="22"/>
          <w:szCs w:val="22"/>
        </w:rPr>
        <w:t xml:space="preserve">né podávanie týchto liekov s </w:t>
      </w:r>
      <w:r w:rsidR="003868F3" w:rsidRPr="00D93408">
        <w:rPr>
          <w:sz w:val="22"/>
          <w:szCs w:val="22"/>
        </w:rPr>
        <w:t xml:space="preserve">eplerenónom </w:t>
      </w:r>
      <w:r w:rsidRPr="00D93408">
        <w:rPr>
          <w:sz w:val="22"/>
          <w:szCs w:val="22"/>
        </w:rPr>
        <w:t xml:space="preserve">môže </w:t>
      </w:r>
      <w:r w:rsidR="00230984" w:rsidRPr="00D93408">
        <w:rPr>
          <w:sz w:val="22"/>
          <w:szCs w:val="22"/>
        </w:rPr>
        <w:t xml:space="preserve">potenciálne </w:t>
      </w:r>
      <w:r w:rsidRPr="00D93408">
        <w:rPr>
          <w:sz w:val="22"/>
          <w:szCs w:val="22"/>
        </w:rPr>
        <w:t>znižovať antihypertenzn</w:t>
      </w:r>
      <w:r w:rsidR="00BF000D">
        <w:rPr>
          <w:sz w:val="22"/>
          <w:szCs w:val="22"/>
        </w:rPr>
        <w:t>é</w:t>
      </w:r>
      <w:r w:rsidRPr="00D93408">
        <w:rPr>
          <w:sz w:val="22"/>
          <w:szCs w:val="22"/>
        </w:rPr>
        <w:t xml:space="preserve"> účinky (zadržiavanie sodíka a tekutín). </w:t>
      </w:r>
    </w:p>
    <w:p w:rsidR="00FB3973" w:rsidRPr="00D93408" w:rsidRDefault="00FB3973" w:rsidP="00FB3973">
      <w:pPr>
        <w:autoSpaceDE w:val="0"/>
        <w:autoSpaceDN w:val="0"/>
        <w:adjustRightInd w:val="0"/>
        <w:rPr>
          <w:sz w:val="22"/>
          <w:szCs w:val="22"/>
        </w:rPr>
      </w:pPr>
    </w:p>
    <w:p w:rsidR="00FB3973" w:rsidRPr="007477F4" w:rsidRDefault="00FB3973" w:rsidP="00FB3973">
      <w:pPr>
        <w:autoSpaceDE w:val="0"/>
        <w:autoSpaceDN w:val="0"/>
        <w:adjustRightInd w:val="0"/>
        <w:rPr>
          <w:bCs/>
          <w:sz w:val="22"/>
          <w:szCs w:val="22"/>
          <w:u w:val="single"/>
        </w:rPr>
      </w:pPr>
      <w:r w:rsidRPr="007477F4">
        <w:rPr>
          <w:bCs/>
          <w:sz w:val="22"/>
          <w:szCs w:val="22"/>
          <w:u w:val="single"/>
        </w:rPr>
        <w:t xml:space="preserve">Farmakokinetické interakcie </w:t>
      </w:r>
    </w:p>
    <w:p w:rsidR="00FB3973" w:rsidRPr="00D93408" w:rsidRDefault="00FB3973" w:rsidP="00FB3973">
      <w:pPr>
        <w:autoSpaceDE w:val="0"/>
        <w:autoSpaceDN w:val="0"/>
        <w:adjustRightInd w:val="0"/>
        <w:rPr>
          <w:b/>
          <w:bCs/>
          <w:sz w:val="22"/>
          <w:szCs w:val="22"/>
        </w:rPr>
      </w:pPr>
    </w:p>
    <w:p w:rsidR="00FB3973" w:rsidRPr="00D93408" w:rsidRDefault="00247839" w:rsidP="00FB3973">
      <w:pPr>
        <w:autoSpaceDE w:val="0"/>
        <w:autoSpaceDN w:val="0"/>
        <w:adjustRightInd w:val="0"/>
        <w:rPr>
          <w:sz w:val="22"/>
          <w:szCs w:val="22"/>
        </w:rPr>
      </w:pPr>
      <w:r w:rsidRPr="00D93408">
        <w:rPr>
          <w:sz w:val="22"/>
          <w:szCs w:val="22"/>
        </w:rPr>
        <w:t xml:space="preserve">Štúdie </w:t>
      </w:r>
      <w:r w:rsidRPr="007477F4">
        <w:rPr>
          <w:i/>
          <w:sz w:val="22"/>
          <w:szCs w:val="22"/>
        </w:rPr>
        <w:t>i</w:t>
      </w:r>
      <w:r w:rsidR="00FB3973" w:rsidRPr="007477F4">
        <w:rPr>
          <w:i/>
          <w:sz w:val="22"/>
          <w:szCs w:val="22"/>
        </w:rPr>
        <w:t>n vitro</w:t>
      </w:r>
      <w:r w:rsidR="00FB3973" w:rsidRPr="00D93408">
        <w:rPr>
          <w:sz w:val="22"/>
          <w:szCs w:val="22"/>
        </w:rPr>
        <w:t xml:space="preserve"> naznačujú, že </w:t>
      </w:r>
      <w:r w:rsidR="003868F3" w:rsidRPr="00D93408">
        <w:rPr>
          <w:sz w:val="22"/>
          <w:szCs w:val="22"/>
        </w:rPr>
        <w:t xml:space="preserve">eplerenón </w:t>
      </w:r>
      <w:r w:rsidR="00FB3973" w:rsidRPr="00D93408">
        <w:rPr>
          <w:sz w:val="22"/>
          <w:szCs w:val="22"/>
        </w:rPr>
        <w:t>nie je inhibítorom izoenzýmov CYP1A2, CYP2C19, CYP2C9, CYP2D6, alebo CYP3A4. Epleren</w:t>
      </w:r>
      <w:r w:rsidR="00F66592" w:rsidRPr="00D93408">
        <w:rPr>
          <w:sz w:val="22"/>
          <w:szCs w:val="22"/>
        </w:rPr>
        <w:t>ó</w:t>
      </w:r>
      <w:r w:rsidR="00FB3973" w:rsidRPr="00D93408">
        <w:rPr>
          <w:sz w:val="22"/>
          <w:szCs w:val="22"/>
        </w:rPr>
        <w:t xml:space="preserve">n nie je substrátom ani inhibítorom P-glykoproteínu. </w:t>
      </w:r>
    </w:p>
    <w:p w:rsidR="00FB3973" w:rsidRPr="00D93408" w:rsidRDefault="00FB3973" w:rsidP="00FB3973">
      <w:pPr>
        <w:autoSpaceDE w:val="0"/>
        <w:autoSpaceDN w:val="0"/>
        <w:adjustRightInd w:val="0"/>
        <w:rPr>
          <w:sz w:val="22"/>
          <w:szCs w:val="22"/>
        </w:rPr>
      </w:pPr>
    </w:p>
    <w:p w:rsidR="003868F3" w:rsidRPr="00D93408" w:rsidRDefault="00FB3973" w:rsidP="00FB3973">
      <w:pPr>
        <w:autoSpaceDE w:val="0"/>
        <w:autoSpaceDN w:val="0"/>
        <w:adjustRightInd w:val="0"/>
        <w:rPr>
          <w:i/>
          <w:iCs/>
          <w:sz w:val="22"/>
          <w:szCs w:val="22"/>
        </w:rPr>
      </w:pPr>
      <w:r w:rsidRPr="00D93408">
        <w:rPr>
          <w:i/>
          <w:iCs/>
          <w:sz w:val="22"/>
          <w:szCs w:val="22"/>
        </w:rPr>
        <w:t>Digoxín</w:t>
      </w:r>
    </w:p>
    <w:p w:rsidR="00FB3973" w:rsidRPr="00D93408" w:rsidRDefault="003C72BE" w:rsidP="00FB3973">
      <w:pPr>
        <w:autoSpaceDE w:val="0"/>
        <w:autoSpaceDN w:val="0"/>
        <w:adjustRightInd w:val="0"/>
        <w:rPr>
          <w:sz w:val="22"/>
          <w:szCs w:val="22"/>
        </w:rPr>
      </w:pPr>
      <w:r w:rsidRPr="00366F86">
        <w:rPr>
          <w:sz w:val="22"/>
          <w:szCs w:val="22"/>
        </w:rPr>
        <w:t>Systémová expozícia (AUC) digoxínu sa zvýšila o 16 % (90 % IS: 4 % </w:t>
      </w:r>
      <w:r w:rsidRPr="00366F86">
        <w:rPr>
          <w:sz w:val="22"/>
          <w:szCs w:val="22"/>
        </w:rPr>
        <w:noBreakHyphen/>
        <w:t> 30 %) pri jeho súbežnom podávaní s eplerenónom.</w:t>
      </w:r>
      <w:r w:rsidR="00FB3973" w:rsidRPr="00D93408">
        <w:rPr>
          <w:sz w:val="22"/>
          <w:szCs w:val="22"/>
        </w:rPr>
        <w:t>Pri dávkovaní digoxínu na hornej hranici terapeutického rozmedzia je potrebn</w:t>
      </w:r>
      <w:r w:rsidR="00F66592" w:rsidRPr="00D93408">
        <w:rPr>
          <w:sz w:val="22"/>
          <w:szCs w:val="22"/>
        </w:rPr>
        <w:t>á</w:t>
      </w:r>
      <w:r w:rsidR="00FB3973" w:rsidRPr="00D93408">
        <w:rPr>
          <w:sz w:val="22"/>
          <w:szCs w:val="22"/>
        </w:rPr>
        <w:t xml:space="preserve"> </w:t>
      </w:r>
      <w:r w:rsidR="00F66592" w:rsidRPr="00D93408">
        <w:rPr>
          <w:sz w:val="22"/>
          <w:szCs w:val="22"/>
        </w:rPr>
        <w:t>zvýšená</w:t>
      </w:r>
      <w:r w:rsidR="00FB3973" w:rsidRPr="00D93408">
        <w:rPr>
          <w:sz w:val="22"/>
          <w:szCs w:val="22"/>
        </w:rPr>
        <w:t xml:space="preserve"> opatrnosť. </w:t>
      </w:r>
    </w:p>
    <w:p w:rsidR="004105BF" w:rsidRDefault="004105BF" w:rsidP="00FB3973">
      <w:pPr>
        <w:autoSpaceDE w:val="0"/>
        <w:autoSpaceDN w:val="0"/>
        <w:adjustRightInd w:val="0"/>
        <w:rPr>
          <w:i/>
          <w:iCs/>
          <w:sz w:val="22"/>
          <w:szCs w:val="22"/>
        </w:rPr>
      </w:pPr>
    </w:p>
    <w:p w:rsidR="003868F3" w:rsidRPr="004105BF" w:rsidRDefault="00FB3973" w:rsidP="00FB3973">
      <w:pPr>
        <w:autoSpaceDE w:val="0"/>
        <w:autoSpaceDN w:val="0"/>
        <w:adjustRightInd w:val="0"/>
        <w:rPr>
          <w:sz w:val="22"/>
          <w:szCs w:val="22"/>
        </w:rPr>
      </w:pPr>
      <w:r w:rsidRPr="004105BF">
        <w:rPr>
          <w:i/>
          <w:iCs/>
          <w:sz w:val="22"/>
          <w:szCs w:val="22"/>
        </w:rPr>
        <w:t>Warfarín</w:t>
      </w:r>
    </w:p>
    <w:p w:rsidR="003868F3" w:rsidRPr="00D93408" w:rsidRDefault="00FB3973" w:rsidP="00FB3973">
      <w:pPr>
        <w:autoSpaceDE w:val="0"/>
        <w:autoSpaceDN w:val="0"/>
        <w:adjustRightInd w:val="0"/>
        <w:rPr>
          <w:sz w:val="22"/>
          <w:szCs w:val="22"/>
        </w:rPr>
      </w:pPr>
      <w:r w:rsidRPr="00D93408">
        <w:rPr>
          <w:sz w:val="22"/>
          <w:szCs w:val="22"/>
        </w:rPr>
        <w:t>V prípade warfarínu neboli pozorované žiadne klinicky významné farmakokinetické interakcie. Pri dávkovaní warfarínu na hornej hranici terapeutického rozmedzia je potrebn</w:t>
      </w:r>
      <w:r w:rsidR="00BF000D">
        <w:rPr>
          <w:sz w:val="22"/>
          <w:szCs w:val="22"/>
        </w:rPr>
        <w:t xml:space="preserve">á </w:t>
      </w:r>
      <w:r w:rsidR="00BF000D" w:rsidRPr="00D93408">
        <w:rPr>
          <w:sz w:val="22"/>
          <w:szCs w:val="22"/>
        </w:rPr>
        <w:t>zvýšená</w:t>
      </w:r>
      <w:r w:rsidR="00BF000D" w:rsidRPr="00D93408" w:rsidDel="00BF000D">
        <w:rPr>
          <w:sz w:val="22"/>
          <w:szCs w:val="22"/>
        </w:rPr>
        <w:t xml:space="preserve"> </w:t>
      </w:r>
      <w:r w:rsidRPr="00D93408">
        <w:rPr>
          <w:sz w:val="22"/>
          <w:szCs w:val="22"/>
        </w:rPr>
        <w:t xml:space="preserve">opatrnosť. </w:t>
      </w:r>
    </w:p>
    <w:p w:rsidR="004105BF" w:rsidRDefault="004105BF" w:rsidP="00FB3973">
      <w:pPr>
        <w:autoSpaceDE w:val="0"/>
        <w:autoSpaceDN w:val="0"/>
        <w:adjustRightInd w:val="0"/>
        <w:rPr>
          <w:i/>
          <w:iCs/>
          <w:sz w:val="22"/>
          <w:szCs w:val="22"/>
        </w:rPr>
      </w:pPr>
    </w:p>
    <w:p w:rsidR="003868F3" w:rsidRPr="004105BF" w:rsidRDefault="00FB3973" w:rsidP="00FB3973">
      <w:pPr>
        <w:autoSpaceDE w:val="0"/>
        <w:autoSpaceDN w:val="0"/>
        <w:adjustRightInd w:val="0"/>
        <w:rPr>
          <w:sz w:val="22"/>
          <w:szCs w:val="22"/>
        </w:rPr>
      </w:pPr>
      <w:r w:rsidRPr="004105BF">
        <w:rPr>
          <w:i/>
          <w:iCs/>
          <w:sz w:val="22"/>
          <w:szCs w:val="22"/>
        </w:rPr>
        <w:t>Substráty CYP3A4</w:t>
      </w:r>
      <w:r w:rsidRPr="004105BF">
        <w:rPr>
          <w:sz w:val="22"/>
          <w:szCs w:val="22"/>
        </w:rPr>
        <w:t xml:space="preserve"> </w:t>
      </w:r>
    </w:p>
    <w:p w:rsidR="00F66592" w:rsidRPr="00D93408" w:rsidRDefault="00FB3973" w:rsidP="00FB3973">
      <w:pPr>
        <w:autoSpaceDE w:val="0"/>
        <w:autoSpaceDN w:val="0"/>
        <w:adjustRightInd w:val="0"/>
        <w:rPr>
          <w:sz w:val="22"/>
          <w:szCs w:val="22"/>
        </w:rPr>
      </w:pPr>
      <w:r w:rsidRPr="00D93408">
        <w:rPr>
          <w:sz w:val="22"/>
          <w:szCs w:val="22"/>
        </w:rPr>
        <w:t>Výsledky farmakokinetických štúdií so substrátmi CYP3A4, t.</w:t>
      </w:r>
      <w:r w:rsidR="002210A4" w:rsidRPr="00D93408">
        <w:rPr>
          <w:sz w:val="22"/>
          <w:szCs w:val="22"/>
        </w:rPr>
        <w:t> </w:t>
      </w:r>
      <w:r w:rsidRPr="00D93408">
        <w:rPr>
          <w:sz w:val="22"/>
          <w:szCs w:val="22"/>
        </w:rPr>
        <w:t xml:space="preserve">j. midazolamom a cisapridom, nepreukázali žiadne signifikantné farmakokinetické reakcie pri súčasnom podávaní týchto liekov </w:t>
      </w:r>
    </w:p>
    <w:p w:rsidR="00FB3973" w:rsidRPr="00D93408" w:rsidRDefault="00FB3973" w:rsidP="00FB3973">
      <w:pPr>
        <w:autoSpaceDE w:val="0"/>
        <w:autoSpaceDN w:val="0"/>
        <w:adjustRightInd w:val="0"/>
        <w:rPr>
          <w:sz w:val="22"/>
          <w:szCs w:val="22"/>
        </w:rPr>
      </w:pPr>
      <w:r w:rsidRPr="00D93408">
        <w:rPr>
          <w:sz w:val="22"/>
          <w:szCs w:val="22"/>
        </w:rPr>
        <w:t xml:space="preserve">s </w:t>
      </w:r>
      <w:r w:rsidR="008872B5" w:rsidRPr="00D93408">
        <w:rPr>
          <w:sz w:val="22"/>
          <w:szCs w:val="22"/>
        </w:rPr>
        <w:t>eplerenónom</w:t>
      </w:r>
      <w:r w:rsidRPr="00D93408">
        <w:rPr>
          <w:sz w:val="22"/>
          <w:szCs w:val="22"/>
        </w:rPr>
        <w:t xml:space="preserve">. </w:t>
      </w:r>
    </w:p>
    <w:p w:rsidR="004105BF" w:rsidRDefault="004105BF" w:rsidP="00FB3973">
      <w:pPr>
        <w:autoSpaceDE w:val="0"/>
        <w:autoSpaceDN w:val="0"/>
        <w:adjustRightInd w:val="0"/>
        <w:rPr>
          <w:i/>
          <w:iCs/>
          <w:sz w:val="22"/>
          <w:szCs w:val="22"/>
        </w:rPr>
      </w:pPr>
    </w:p>
    <w:p w:rsidR="008872B5" w:rsidRPr="004105BF" w:rsidRDefault="00F66592" w:rsidP="00FB3973">
      <w:pPr>
        <w:autoSpaceDE w:val="0"/>
        <w:autoSpaceDN w:val="0"/>
        <w:adjustRightInd w:val="0"/>
        <w:rPr>
          <w:sz w:val="22"/>
          <w:szCs w:val="22"/>
        </w:rPr>
      </w:pPr>
      <w:r w:rsidRPr="004105BF">
        <w:rPr>
          <w:i/>
          <w:iCs/>
          <w:sz w:val="22"/>
          <w:szCs w:val="22"/>
        </w:rPr>
        <w:t>I</w:t>
      </w:r>
      <w:r w:rsidR="00FB3973" w:rsidRPr="004105BF">
        <w:rPr>
          <w:i/>
          <w:iCs/>
          <w:sz w:val="22"/>
          <w:szCs w:val="22"/>
        </w:rPr>
        <w:t>nhibítory CYP3A4</w:t>
      </w:r>
    </w:p>
    <w:p w:rsidR="004105BF" w:rsidRDefault="004105BF" w:rsidP="00FB3973">
      <w:pPr>
        <w:autoSpaceDE w:val="0"/>
        <w:autoSpaceDN w:val="0"/>
        <w:adjustRightInd w:val="0"/>
        <w:rPr>
          <w:i/>
          <w:sz w:val="22"/>
          <w:szCs w:val="22"/>
        </w:rPr>
      </w:pPr>
    </w:p>
    <w:p w:rsidR="00FB3973" w:rsidRPr="00D93408" w:rsidRDefault="00FB3973" w:rsidP="00FB1B25">
      <w:pPr>
        <w:numPr>
          <w:ilvl w:val="0"/>
          <w:numId w:val="27"/>
        </w:numPr>
        <w:autoSpaceDE w:val="0"/>
        <w:autoSpaceDN w:val="0"/>
        <w:adjustRightInd w:val="0"/>
        <w:ind w:left="567" w:hanging="567"/>
        <w:rPr>
          <w:sz w:val="22"/>
          <w:szCs w:val="22"/>
        </w:rPr>
      </w:pPr>
      <w:r w:rsidRPr="003C72BE">
        <w:rPr>
          <w:sz w:val="22"/>
          <w:szCs w:val="22"/>
        </w:rPr>
        <w:t>Silné inhibítory CYP3A4</w:t>
      </w:r>
      <w:r w:rsidR="003C72BE">
        <w:rPr>
          <w:sz w:val="22"/>
          <w:szCs w:val="22"/>
        </w:rPr>
        <w:t xml:space="preserve">: </w:t>
      </w:r>
      <w:r w:rsidRPr="00D93408">
        <w:rPr>
          <w:sz w:val="22"/>
          <w:szCs w:val="22"/>
        </w:rPr>
        <w:t xml:space="preserve">Pri </w:t>
      </w:r>
      <w:r w:rsidR="002210A4" w:rsidRPr="00D93408">
        <w:rPr>
          <w:sz w:val="22"/>
          <w:szCs w:val="22"/>
        </w:rPr>
        <w:t xml:space="preserve">súčasnom </w:t>
      </w:r>
      <w:r w:rsidRPr="00D93408">
        <w:rPr>
          <w:sz w:val="22"/>
          <w:szCs w:val="22"/>
        </w:rPr>
        <w:t xml:space="preserve">podávaní </w:t>
      </w:r>
      <w:r w:rsidR="008872B5" w:rsidRPr="00D93408">
        <w:rPr>
          <w:sz w:val="22"/>
          <w:szCs w:val="22"/>
        </w:rPr>
        <w:t xml:space="preserve">eplerenónu </w:t>
      </w:r>
      <w:r w:rsidRPr="00D93408">
        <w:rPr>
          <w:sz w:val="22"/>
          <w:szCs w:val="22"/>
        </w:rPr>
        <w:t>s liekmi, ktoré blokujú enzým CYP3A4 môžu nastať signifikantné farmakokinetické reakcie. Silný inhibítor CYP3A4 (ketokonazol 200 mg 2</w:t>
      </w:r>
      <w:r w:rsidR="007A0DD1">
        <w:rPr>
          <w:sz w:val="22"/>
          <w:szCs w:val="22"/>
        </w:rPr>
        <w:t>-krát</w:t>
      </w:r>
      <w:r w:rsidR="00E4432A" w:rsidRPr="00D93408">
        <w:rPr>
          <w:sz w:val="22"/>
          <w:szCs w:val="22"/>
        </w:rPr>
        <w:t xml:space="preserve"> </w:t>
      </w:r>
      <w:r w:rsidRPr="00D93408">
        <w:rPr>
          <w:sz w:val="22"/>
          <w:szCs w:val="22"/>
        </w:rPr>
        <w:t>denne) spôsobil 441</w:t>
      </w:r>
      <w:r w:rsidR="002210A4" w:rsidRPr="00D93408">
        <w:rPr>
          <w:sz w:val="22"/>
          <w:szCs w:val="22"/>
        </w:rPr>
        <w:t> </w:t>
      </w:r>
      <w:r w:rsidRPr="00D93408">
        <w:rPr>
          <w:sz w:val="22"/>
          <w:szCs w:val="22"/>
        </w:rPr>
        <w:t xml:space="preserve">% nárast hodnoty AUC </w:t>
      </w:r>
      <w:r w:rsidR="008872B5" w:rsidRPr="00D93408">
        <w:rPr>
          <w:sz w:val="22"/>
          <w:szCs w:val="22"/>
        </w:rPr>
        <w:t xml:space="preserve">eplerenónu </w:t>
      </w:r>
      <w:r w:rsidRPr="00D93408">
        <w:rPr>
          <w:sz w:val="22"/>
          <w:szCs w:val="22"/>
        </w:rPr>
        <w:t>(pozri časť 4.3). Súčasné užívanie epleren</w:t>
      </w:r>
      <w:r w:rsidR="00F66592" w:rsidRPr="00D93408">
        <w:rPr>
          <w:sz w:val="22"/>
          <w:szCs w:val="22"/>
        </w:rPr>
        <w:t>ó</w:t>
      </w:r>
      <w:r w:rsidRPr="00D93408">
        <w:rPr>
          <w:sz w:val="22"/>
          <w:szCs w:val="22"/>
        </w:rPr>
        <w:t>nu so silnými inhibítormi CYP3A4</w:t>
      </w:r>
      <w:r w:rsidR="002210A4" w:rsidRPr="00D93408">
        <w:rPr>
          <w:sz w:val="22"/>
          <w:szCs w:val="22"/>
        </w:rPr>
        <w:t>,</w:t>
      </w:r>
      <w:r w:rsidRPr="00D93408">
        <w:rPr>
          <w:sz w:val="22"/>
          <w:szCs w:val="22"/>
        </w:rPr>
        <w:t xml:space="preserve"> ako sú ketokonazol, itrakonazol, ritonavir, nelfinavir, klaritromycín, telitromycín a</w:t>
      </w:r>
      <w:r w:rsidR="002210A4" w:rsidRPr="00D93408">
        <w:rPr>
          <w:sz w:val="22"/>
          <w:szCs w:val="22"/>
        </w:rPr>
        <w:t> </w:t>
      </w:r>
      <w:r w:rsidR="00E4432A" w:rsidRPr="00D93408">
        <w:rPr>
          <w:sz w:val="22"/>
          <w:szCs w:val="22"/>
        </w:rPr>
        <w:t>nefazo</w:t>
      </w:r>
      <w:r w:rsidRPr="00D93408">
        <w:rPr>
          <w:sz w:val="22"/>
          <w:szCs w:val="22"/>
        </w:rPr>
        <w:t>d</w:t>
      </w:r>
      <w:r w:rsidR="00F66592" w:rsidRPr="00D93408">
        <w:rPr>
          <w:sz w:val="22"/>
          <w:szCs w:val="22"/>
        </w:rPr>
        <w:t>ó</w:t>
      </w:r>
      <w:r w:rsidRPr="00D93408">
        <w:rPr>
          <w:sz w:val="22"/>
          <w:szCs w:val="22"/>
        </w:rPr>
        <w:t>n</w:t>
      </w:r>
      <w:r w:rsidR="002210A4" w:rsidRPr="00D93408">
        <w:rPr>
          <w:sz w:val="22"/>
          <w:szCs w:val="22"/>
        </w:rPr>
        <w:t>,</w:t>
      </w:r>
      <w:r w:rsidRPr="00D93408">
        <w:rPr>
          <w:sz w:val="22"/>
          <w:szCs w:val="22"/>
        </w:rPr>
        <w:t xml:space="preserve"> je kontraindikované (pozri časť 4.3). </w:t>
      </w:r>
    </w:p>
    <w:p w:rsidR="004105BF" w:rsidRDefault="004105BF" w:rsidP="009F6580">
      <w:pPr>
        <w:autoSpaceDE w:val="0"/>
        <w:autoSpaceDN w:val="0"/>
        <w:adjustRightInd w:val="0"/>
        <w:ind w:left="567" w:hanging="567"/>
        <w:rPr>
          <w:i/>
          <w:sz w:val="22"/>
          <w:szCs w:val="22"/>
        </w:rPr>
      </w:pPr>
    </w:p>
    <w:p w:rsidR="00FB3973" w:rsidRPr="00D93408" w:rsidRDefault="00FB3973" w:rsidP="00FB1B25">
      <w:pPr>
        <w:numPr>
          <w:ilvl w:val="0"/>
          <w:numId w:val="27"/>
        </w:numPr>
        <w:autoSpaceDE w:val="0"/>
        <w:autoSpaceDN w:val="0"/>
        <w:adjustRightInd w:val="0"/>
        <w:ind w:left="567" w:hanging="567"/>
        <w:rPr>
          <w:sz w:val="22"/>
          <w:szCs w:val="22"/>
        </w:rPr>
      </w:pPr>
      <w:r w:rsidRPr="003C72BE">
        <w:rPr>
          <w:sz w:val="22"/>
          <w:szCs w:val="22"/>
        </w:rPr>
        <w:t>Ľahké až stredné inhibítory CYP3A4</w:t>
      </w:r>
      <w:r w:rsidR="003C72BE" w:rsidRPr="003C72BE">
        <w:rPr>
          <w:sz w:val="22"/>
          <w:szCs w:val="22"/>
        </w:rPr>
        <w:t>:</w:t>
      </w:r>
      <w:r w:rsidR="003C72BE">
        <w:rPr>
          <w:i/>
          <w:sz w:val="22"/>
          <w:szCs w:val="22"/>
        </w:rPr>
        <w:t xml:space="preserve"> </w:t>
      </w:r>
      <w:r w:rsidRPr="00D93408">
        <w:rPr>
          <w:sz w:val="22"/>
          <w:szCs w:val="22"/>
        </w:rPr>
        <w:t>Sú</w:t>
      </w:r>
      <w:r w:rsidR="00F66592" w:rsidRPr="00D93408">
        <w:rPr>
          <w:sz w:val="22"/>
          <w:szCs w:val="22"/>
        </w:rPr>
        <w:t xml:space="preserve">bežné </w:t>
      </w:r>
      <w:r w:rsidRPr="00D93408">
        <w:rPr>
          <w:sz w:val="22"/>
          <w:szCs w:val="22"/>
        </w:rPr>
        <w:t>podávanie s erytromycínom, sa</w:t>
      </w:r>
      <w:r w:rsidR="00D07889">
        <w:rPr>
          <w:sz w:val="22"/>
          <w:szCs w:val="22"/>
        </w:rPr>
        <w:t>ch</w:t>
      </w:r>
      <w:r w:rsidRPr="00D93408">
        <w:rPr>
          <w:sz w:val="22"/>
          <w:szCs w:val="22"/>
        </w:rPr>
        <w:t>inavirom, amiodar</w:t>
      </w:r>
      <w:r w:rsidR="00F66592" w:rsidRPr="00D93408">
        <w:rPr>
          <w:sz w:val="22"/>
          <w:szCs w:val="22"/>
        </w:rPr>
        <w:t>ó</w:t>
      </w:r>
      <w:r w:rsidRPr="00D93408">
        <w:rPr>
          <w:sz w:val="22"/>
          <w:szCs w:val="22"/>
        </w:rPr>
        <w:t>nom, diltiazemom, verapamilom a</w:t>
      </w:r>
      <w:r w:rsidR="003C72BE">
        <w:rPr>
          <w:sz w:val="22"/>
          <w:szCs w:val="22"/>
        </w:rPr>
        <w:t>lebo</w:t>
      </w:r>
      <w:r w:rsidRPr="00D93408">
        <w:rPr>
          <w:sz w:val="22"/>
          <w:szCs w:val="22"/>
        </w:rPr>
        <w:t xml:space="preserve"> flukonaz</w:t>
      </w:r>
      <w:smartTag w:uri="urn:schemas-microsoft-com:office:smarttags" w:element="PersonName">
        <w:r w:rsidRPr="00D93408">
          <w:rPr>
            <w:sz w:val="22"/>
            <w:szCs w:val="22"/>
          </w:rPr>
          <w:t>olo</w:t>
        </w:r>
      </w:smartTag>
      <w:r w:rsidRPr="00D93408">
        <w:rPr>
          <w:sz w:val="22"/>
          <w:szCs w:val="22"/>
        </w:rPr>
        <w:t>m spôsobilo signifikantné farmakokinetické interakcie so zvýšením AUC v rozsahu od 98</w:t>
      </w:r>
      <w:r w:rsidR="002210A4" w:rsidRPr="00D93408">
        <w:rPr>
          <w:sz w:val="22"/>
          <w:szCs w:val="22"/>
        </w:rPr>
        <w:t> </w:t>
      </w:r>
      <w:r w:rsidRPr="00D93408">
        <w:rPr>
          <w:sz w:val="22"/>
          <w:szCs w:val="22"/>
        </w:rPr>
        <w:t>% do 187</w:t>
      </w:r>
      <w:r w:rsidR="002210A4" w:rsidRPr="00D93408">
        <w:rPr>
          <w:sz w:val="22"/>
          <w:szCs w:val="22"/>
        </w:rPr>
        <w:t> </w:t>
      </w:r>
      <w:r w:rsidRPr="00D93408">
        <w:rPr>
          <w:sz w:val="22"/>
          <w:szCs w:val="22"/>
        </w:rPr>
        <w:t xml:space="preserve">%. Dávka </w:t>
      </w:r>
      <w:r w:rsidR="008872B5" w:rsidRPr="00D93408">
        <w:rPr>
          <w:sz w:val="22"/>
          <w:szCs w:val="22"/>
        </w:rPr>
        <w:t xml:space="preserve">eplerenónu </w:t>
      </w:r>
      <w:r w:rsidRPr="00D93408">
        <w:rPr>
          <w:sz w:val="22"/>
          <w:szCs w:val="22"/>
        </w:rPr>
        <w:t>teda pri súčasnom podávaní ľahkých až stredných inhibítorov CYP3A4 nem</w:t>
      </w:r>
      <w:r w:rsidR="00AC0246" w:rsidRPr="00D93408">
        <w:rPr>
          <w:sz w:val="22"/>
          <w:szCs w:val="22"/>
        </w:rPr>
        <w:t>á</w:t>
      </w:r>
      <w:r w:rsidRPr="00D93408">
        <w:rPr>
          <w:sz w:val="22"/>
          <w:szCs w:val="22"/>
        </w:rPr>
        <w:t xml:space="preserve"> prekročiť 25 mg </w:t>
      </w:r>
      <w:r w:rsidR="00FD4C85">
        <w:rPr>
          <w:sz w:val="22"/>
          <w:szCs w:val="22"/>
        </w:rPr>
        <w:t xml:space="preserve">denne </w:t>
      </w:r>
      <w:r w:rsidRPr="00D93408">
        <w:rPr>
          <w:sz w:val="22"/>
          <w:szCs w:val="22"/>
        </w:rPr>
        <w:t xml:space="preserve">(pozri časť 4.2). </w:t>
      </w:r>
    </w:p>
    <w:p w:rsidR="004105BF" w:rsidRDefault="004105BF" w:rsidP="00FB3973">
      <w:pPr>
        <w:autoSpaceDE w:val="0"/>
        <w:autoSpaceDN w:val="0"/>
        <w:adjustRightInd w:val="0"/>
        <w:rPr>
          <w:i/>
          <w:iCs/>
          <w:sz w:val="22"/>
          <w:szCs w:val="22"/>
        </w:rPr>
      </w:pPr>
    </w:p>
    <w:p w:rsidR="008872B5" w:rsidRPr="004105BF" w:rsidRDefault="003C72BE" w:rsidP="00FB3973">
      <w:pPr>
        <w:autoSpaceDE w:val="0"/>
        <w:autoSpaceDN w:val="0"/>
        <w:adjustRightInd w:val="0"/>
        <w:rPr>
          <w:sz w:val="22"/>
          <w:szCs w:val="22"/>
        </w:rPr>
      </w:pPr>
      <w:r>
        <w:rPr>
          <w:i/>
          <w:iCs/>
          <w:sz w:val="22"/>
          <w:szCs w:val="22"/>
        </w:rPr>
        <w:t xml:space="preserve">Induktory </w:t>
      </w:r>
      <w:r w:rsidR="00FB3973" w:rsidRPr="004105BF">
        <w:rPr>
          <w:i/>
          <w:iCs/>
          <w:sz w:val="22"/>
          <w:szCs w:val="22"/>
        </w:rPr>
        <w:t>CYP3A4</w:t>
      </w:r>
    </w:p>
    <w:p w:rsidR="00FB3973" w:rsidRPr="00D93408" w:rsidRDefault="00FB3973" w:rsidP="00FB3973">
      <w:pPr>
        <w:autoSpaceDE w:val="0"/>
        <w:autoSpaceDN w:val="0"/>
        <w:adjustRightInd w:val="0"/>
        <w:rPr>
          <w:sz w:val="22"/>
          <w:szCs w:val="22"/>
        </w:rPr>
      </w:pPr>
      <w:r w:rsidRPr="00D93408">
        <w:rPr>
          <w:sz w:val="22"/>
          <w:szCs w:val="22"/>
        </w:rPr>
        <w:lastRenderedPageBreak/>
        <w:t>Sú</w:t>
      </w:r>
      <w:r w:rsidR="000667B7" w:rsidRPr="00D93408">
        <w:rPr>
          <w:sz w:val="22"/>
          <w:szCs w:val="22"/>
        </w:rPr>
        <w:t>bežné</w:t>
      </w:r>
      <w:r w:rsidRPr="00D93408">
        <w:rPr>
          <w:sz w:val="22"/>
          <w:szCs w:val="22"/>
        </w:rPr>
        <w:t xml:space="preserve"> podávanie ľubovníka </w:t>
      </w:r>
      <w:r w:rsidR="008872B5" w:rsidRPr="00D93408">
        <w:rPr>
          <w:sz w:val="22"/>
          <w:szCs w:val="22"/>
        </w:rPr>
        <w:t xml:space="preserve">bodkovaného </w:t>
      </w:r>
      <w:r w:rsidRPr="00D93408">
        <w:rPr>
          <w:sz w:val="22"/>
          <w:szCs w:val="22"/>
        </w:rPr>
        <w:t xml:space="preserve">(silného aktivátora CYP3A4) s </w:t>
      </w:r>
      <w:r w:rsidR="008872B5" w:rsidRPr="00D93408">
        <w:rPr>
          <w:sz w:val="22"/>
          <w:szCs w:val="22"/>
        </w:rPr>
        <w:t xml:space="preserve">eplerenónom </w:t>
      </w:r>
      <w:r w:rsidRPr="00D93408">
        <w:rPr>
          <w:sz w:val="22"/>
          <w:szCs w:val="22"/>
        </w:rPr>
        <w:t>spôsobilo 30</w:t>
      </w:r>
      <w:r w:rsidR="002210A4" w:rsidRPr="00D93408">
        <w:rPr>
          <w:sz w:val="22"/>
          <w:szCs w:val="22"/>
        </w:rPr>
        <w:t> </w:t>
      </w:r>
      <w:r w:rsidRPr="00D93408">
        <w:rPr>
          <w:sz w:val="22"/>
          <w:szCs w:val="22"/>
        </w:rPr>
        <w:t xml:space="preserve">% zníženie AUC </w:t>
      </w:r>
      <w:r w:rsidR="008872B5" w:rsidRPr="00D93408">
        <w:rPr>
          <w:sz w:val="22"/>
          <w:szCs w:val="22"/>
        </w:rPr>
        <w:t>eplerenónu</w:t>
      </w:r>
      <w:r w:rsidRPr="00D93408">
        <w:rPr>
          <w:sz w:val="22"/>
          <w:szCs w:val="22"/>
        </w:rPr>
        <w:t xml:space="preserve">. Výraznejšie zníženie AUC </w:t>
      </w:r>
      <w:r w:rsidR="008872B5" w:rsidRPr="00D93408">
        <w:rPr>
          <w:sz w:val="22"/>
          <w:szCs w:val="22"/>
        </w:rPr>
        <w:t xml:space="preserve">eplerenónu </w:t>
      </w:r>
      <w:r w:rsidRPr="00D93408">
        <w:rPr>
          <w:sz w:val="22"/>
          <w:szCs w:val="22"/>
        </w:rPr>
        <w:t>môže nastať pri podaní silnejších aktivátorov CYP3A4</w:t>
      </w:r>
      <w:r w:rsidR="002210A4" w:rsidRPr="00D93408">
        <w:rPr>
          <w:sz w:val="22"/>
          <w:szCs w:val="22"/>
        </w:rPr>
        <w:t>,</w:t>
      </w:r>
      <w:r w:rsidRPr="00D93408">
        <w:rPr>
          <w:sz w:val="22"/>
          <w:szCs w:val="22"/>
        </w:rPr>
        <w:t xml:space="preserve"> ako je napríklad rifampicín. Vzhľadom na riziko zníženia účinnosti epleren</w:t>
      </w:r>
      <w:r w:rsidR="000667B7" w:rsidRPr="00D93408">
        <w:rPr>
          <w:sz w:val="22"/>
          <w:szCs w:val="22"/>
        </w:rPr>
        <w:t>ó</w:t>
      </w:r>
      <w:r w:rsidRPr="00D93408">
        <w:rPr>
          <w:sz w:val="22"/>
          <w:szCs w:val="22"/>
        </w:rPr>
        <w:t xml:space="preserve">nu sa neodporúča súčasné užívanie silných aktivátorov CYP3A4 (rifampicín, </w:t>
      </w:r>
      <w:r w:rsidR="008872B5" w:rsidRPr="00D93408">
        <w:rPr>
          <w:sz w:val="22"/>
          <w:szCs w:val="22"/>
        </w:rPr>
        <w:t>karbamazepín</w:t>
      </w:r>
      <w:r w:rsidRPr="00D93408">
        <w:rPr>
          <w:sz w:val="22"/>
          <w:szCs w:val="22"/>
        </w:rPr>
        <w:t>, fenytoín, fenobarbital, ľubovník</w:t>
      </w:r>
      <w:r w:rsidR="008872B5" w:rsidRPr="00D93408">
        <w:rPr>
          <w:sz w:val="22"/>
          <w:szCs w:val="22"/>
        </w:rPr>
        <w:t xml:space="preserve"> bodkovaný</w:t>
      </w:r>
      <w:r w:rsidRPr="00D93408">
        <w:rPr>
          <w:sz w:val="22"/>
          <w:szCs w:val="22"/>
        </w:rPr>
        <w:t>) s</w:t>
      </w:r>
      <w:r w:rsidR="00AC0246" w:rsidRPr="00D93408">
        <w:rPr>
          <w:sz w:val="22"/>
          <w:szCs w:val="22"/>
        </w:rPr>
        <w:t> </w:t>
      </w:r>
      <w:r w:rsidR="008872B5" w:rsidRPr="00D93408">
        <w:rPr>
          <w:sz w:val="22"/>
          <w:szCs w:val="22"/>
        </w:rPr>
        <w:t xml:space="preserve">eplerenónom </w:t>
      </w:r>
      <w:r w:rsidR="00AC0246" w:rsidRPr="00D93408">
        <w:rPr>
          <w:sz w:val="22"/>
          <w:szCs w:val="22"/>
        </w:rPr>
        <w:t>(pozri časť 4.4)</w:t>
      </w:r>
      <w:r w:rsidRPr="00D93408">
        <w:rPr>
          <w:sz w:val="22"/>
          <w:szCs w:val="22"/>
        </w:rPr>
        <w:t xml:space="preserve">. </w:t>
      </w:r>
    </w:p>
    <w:p w:rsidR="004105BF" w:rsidRDefault="004105BF" w:rsidP="00FB3973">
      <w:pPr>
        <w:autoSpaceDE w:val="0"/>
        <w:autoSpaceDN w:val="0"/>
        <w:adjustRightInd w:val="0"/>
        <w:rPr>
          <w:i/>
          <w:iCs/>
          <w:sz w:val="22"/>
          <w:szCs w:val="22"/>
        </w:rPr>
      </w:pPr>
    </w:p>
    <w:p w:rsidR="008872B5" w:rsidRPr="004105BF" w:rsidRDefault="00FB3973" w:rsidP="00FB3973">
      <w:pPr>
        <w:autoSpaceDE w:val="0"/>
        <w:autoSpaceDN w:val="0"/>
        <w:adjustRightInd w:val="0"/>
        <w:rPr>
          <w:sz w:val="22"/>
          <w:szCs w:val="22"/>
        </w:rPr>
      </w:pPr>
      <w:r w:rsidRPr="004105BF">
        <w:rPr>
          <w:i/>
          <w:iCs/>
          <w:sz w:val="22"/>
          <w:szCs w:val="22"/>
        </w:rPr>
        <w:t>Antacidá</w:t>
      </w:r>
    </w:p>
    <w:p w:rsidR="00FB3973" w:rsidRPr="00D93408" w:rsidRDefault="00AC0246" w:rsidP="00FB3973">
      <w:pPr>
        <w:autoSpaceDE w:val="0"/>
        <w:autoSpaceDN w:val="0"/>
        <w:adjustRightInd w:val="0"/>
        <w:rPr>
          <w:sz w:val="22"/>
          <w:szCs w:val="22"/>
        </w:rPr>
      </w:pPr>
      <w:r w:rsidRPr="00D93408">
        <w:rPr>
          <w:sz w:val="22"/>
          <w:szCs w:val="22"/>
        </w:rPr>
        <w:t>N</w:t>
      </w:r>
      <w:r w:rsidR="00FB3973" w:rsidRPr="00D93408">
        <w:rPr>
          <w:sz w:val="22"/>
          <w:szCs w:val="22"/>
        </w:rPr>
        <w:t xml:space="preserve">a základe farmakokinetickej klinickej štúdie sa pri súčasnom podávaní antacíd s </w:t>
      </w:r>
      <w:r w:rsidR="008872B5" w:rsidRPr="00D93408">
        <w:rPr>
          <w:sz w:val="22"/>
          <w:szCs w:val="22"/>
        </w:rPr>
        <w:t xml:space="preserve">eplerenónom </w:t>
      </w:r>
      <w:r w:rsidR="00FB3973" w:rsidRPr="00D93408">
        <w:rPr>
          <w:sz w:val="22"/>
          <w:szCs w:val="22"/>
        </w:rPr>
        <w:t>neočakávajú žiadne signifikantné interakcie.</w:t>
      </w:r>
    </w:p>
    <w:p w:rsidR="00FB3973" w:rsidRPr="00D93408" w:rsidRDefault="00FB3973">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4.6</w:t>
      </w:r>
      <w:r w:rsidR="006B71FE" w:rsidRPr="00D93408">
        <w:rPr>
          <w:b/>
          <w:bCs/>
          <w:sz w:val="22"/>
          <w:szCs w:val="22"/>
        </w:rPr>
        <w:tab/>
      </w:r>
      <w:r w:rsidR="008872B5" w:rsidRPr="00D93408">
        <w:rPr>
          <w:b/>
          <w:bCs/>
          <w:sz w:val="22"/>
          <w:szCs w:val="22"/>
        </w:rPr>
        <w:t>Fertilita, g</w:t>
      </w:r>
      <w:r w:rsidRPr="00D93408">
        <w:rPr>
          <w:b/>
          <w:bCs/>
          <w:sz w:val="22"/>
          <w:szCs w:val="22"/>
        </w:rPr>
        <w:t xml:space="preserve">ravidita a laktácia </w:t>
      </w:r>
    </w:p>
    <w:p w:rsidR="00FB3973" w:rsidRPr="00D93408" w:rsidRDefault="00FB3973" w:rsidP="00FB3973">
      <w:pPr>
        <w:autoSpaceDE w:val="0"/>
        <w:autoSpaceDN w:val="0"/>
        <w:adjustRightInd w:val="0"/>
        <w:rPr>
          <w:b/>
          <w:bCs/>
          <w:sz w:val="22"/>
          <w:szCs w:val="22"/>
        </w:rPr>
      </w:pPr>
    </w:p>
    <w:p w:rsidR="003C72BE" w:rsidRPr="003C72BE" w:rsidRDefault="00FB3973" w:rsidP="00FB3973">
      <w:pPr>
        <w:autoSpaceDE w:val="0"/>
        <w:autoSpaceDN w:val="0"/>
        <w:adjustRightInd w:val="0"/>
        <w:rPr>
          <w:iCs/>
          <w:sz w:val="22"/>
          <w:szCs w:val="22"/>
          <w:u w:val="single"/>
        </w:rPr>
      </w:pPr>
      <w:r w:rsidRPr="003C72BE">
        <w:rPr>
          <w:iCs/>
          <w:sz w:val="22"/>
          <w:szCs w:val="22"/>
          <w:u w:val="single"/>
        </w:rPr>
        <w:t xml:space="preserve">Gravidita </w:t>
      </w:r>
    </w:p>
    <w:p w:rsidR="00FB3973" w:rsidRPr="00D93408" w:rsidRDefault="00FB3973" w:rsidP="00FB3973">
      <w:pPr>
        <w:autoSpaceDE w:val="0"/>
        <w:autoSpaceDN w:val="0"/>
        <w:adjustRightInd w:val="0"/>
        <w:rPr>
          <w:sz w:val="22"/>
          <w:szCs w:val="22"/>
        </w:rPr>
      </w:pPr>
      <w:r w:rsidRPr="00D93408">
        <w:rPr>
          <w:sz w:val="22"/>
          <w:szCs w:val="22"/>
        </w:rPr>
        <w:t xml:space="preserve">O užívaní </w:t>
      </w:r>
      <w:r w:rsidR="008872B5" w:rsidRPr="00D93408">
        <w:rPr>
          <w:sz w:val="22"/>
          <w:szCs w:val="22"/>
        </w:rPr>
        <w:t xml:space="preserve">eplerenónu </w:t>
      </w:r>
      <w:r w:rsidRPr="00D93408">
        <w:rPr>
          <w:sz w:val="22"/>
          <w:szCs w:val="22"/>
        </w:rPr>
        <w:t xml:space="preserve">u gravidných žien nie je </w:t>
      </w:r>
      <w:r w:rsidR="008872B5" w:rsidRPr="00D93408">
        <w:rPr>
          <w:sz w:val="22"/>
          <w:szCs w:val="22"/>
        </w:rPr>
        <w:t xml:space="preserve">dostatok </w:t>
      </w:r>
      <w:r w:rsidRPr="00D93408">
        <w:rPr>
          <w:sz w:val="22"/>
          <w:szCs w:val="22"/>
        </w:rPr>
        <w:t xml:space="preserve">údajov. Štúdie na zvieratách nenaznačili žiadne priame ani nepriame nežiaduce účinky súvisiace s graviditou, embryofetálnym vývojom, pôrodom a postnatálnym vývojom (pozri časť 5.3). Pri predpisovaní </w:t>
      </w:r>
      <w:r w:rsidR="008872B5" w:rsidRPr="00D93408">
        <w:rPr>
          <w:sz w:val="22"/>
          <w:szCs w:val="22"/>
        </w:rPr>
        <w:t xml:space="preserve">eplerenónu </w:t>
      </w:r>
      <w:r w:rsidRPr="00D93408">
        <w:rPr>
          <w:sz w:val="22"/>
          <w:szCs w:val="22"/>
        </w:rPr>
        <w:t xml:space="preserve">gravidným ženám je </w:t>
      </w:r>
      <w:r w:rsidR="008872B5" w:rsidRPr="00D93408">
        <w:rPr>
          <w:sz w:val="22"/>
          <w:szCs w:val="22"/>
        </w:rPr>
        <w:t xml:space="preserve">potrebná zvýšená </w:t>
      </w:r>
      <w:r w:rsidRPr="00D93408">
        <w:rPr>
          <w:sz w:val="22"/>
          <w:szCs w:val="22"/>
        </w:rPr>
        <w:t xml:space="preserve">pozornosť. </w:t>
      </w:r>
    </w:p>
    <w:p w:rsidR="00FB3973" w:rsidRPr="00D93408" w:rsidRDefault="00FB3973" w:rsidP="00FB3973">
      <w:pPr>
        <w:autoSpaceDE w:val="0"/>
        <w:autoSpaceDN w:val="0"/>
        <w:adjustRightInd w:val="0"/>
        <w:rPr>
          <w:sz w:val="22"/>
          <w:szCs w:val="22"/>
        </w:rPr>
      </w:pPr>
    </w:p>
    <w:p w:rsidR="003C72BE" w:rsidRPr="003C72BE" w:rsidRDefault="00D2796C" w:rsidP="00FB3973">
      <w:pPr>
        <w:autoSpaceDE w:val="0"/>
        <w:autoSpaceDN w:val="0"/>
        <w:adjustRightInd w:val="0"/>
        <w:rPr>
          <w:iCs/>
          <w:sz w:val="22"/>
          <w:szCs w:val="22"/>
          <w:u w:val="single"/>
        </w:rPr>
      </w:pPr>
      <w:r w:rsidRPr="003C72BE">
        <w:rPr>
          <w:iCs/>
          <w:sz w:val="22"/>
          <w:szCs w:val="22"/>
          <w:u w:val="single"/>
        </w:rPr>
        <w:t>Dojčenie</w:t>
      </w:r>
      <w:r w:rsidR="00FB3973" w:rsidRPr="003C72BE">
        <w:rPr>
          <w:iCs/>
          <w:sz w:val="22"/>
          <w:szCs w:val="22"/>
          <w:u w:val="single"/>
        </w:rPr>
        <w:t xml:space="preserve"> </w:t>
      </w:r>
    </w:p>
    <w:p w:rsidR="00FB3973" w:rsidRDefault="00FB3973" w:rsidP="00FB3973">
      <w:pPr>
        <w:autoSpaceDE w:val="0"/>
        <w:autoSpaceDN w:val="0"/>
        <w:adjustRightInd w:val="0"/>
        <w:rPr>
          <w:sz w:val="22"/>
          <w:szCs w:val="22"/>
        </w:rPr>
      </w:pPr>
      <w:r w:rsidRPr="00D93408">
        <w:rPr>
          <w:sz w:val="22"/>
          <w:szCs w:val="22"/>
        </w:rPr>
        <w:t xml:space="preserve">Nie je známe, či sa </w:t>
      </w:r>
      <w:r w:rsidR="008872B5" w:rsidRPr="00D93408">
        <w:rPr>
          <w:sz w:val="22"/>
          <w:szCs w:val="22"/>
        </w:rPr>
        <w:t xml:space="preserve">eplerenón </w:t>
      </w:r>
      <w:r w:rsidRPr="00D93408">
        <w:rPr>
          <w:sz w:val="22"/>
          <w:szCs w:val="22"/>
        </w:rPr>
        <w:t xml:space="preserve">po perorálnom podaní vylučuje do ľudského materského mlieka. </w:t>
      </w:r>
      <w:r w:rsidR="00AC0246" w:rsidRPr="00D93408">
        <w:rPr>
          <w:sz w:val="22"/>
          <w:szCs w:val="22"/>
        </w:rPr>
        <w:t>P</w:t>
      </w:r>
      <w:r w:rsidRPr="00D93408">
        <w:rPr>
          <w:sz w:val="22"/>
          <w:szCs w:val="22"/>
        </w:rPr>
        <w:t xml:space="preserve">redklinické údaje </w:t>
      </w:r>
      <w:r w:rsidR="00AC0246" w:rsidRPr="00D93408">
        <w:rPr>
          <w:sz w:val="22"/>
          <w:szCs w:val="22"/>
        </w:rPr>
        <w:t>však</w:t>
      </w:r>
      <w:r w:rsidRPr="00D93408">
        <w:rPr>
          <w:sz w:val="22"/>
          <w:szCs w:val="22"/>
        </w:rPr>
        <w:t xml:space="preserve"> ukazujú, že </w:t>
      </w:r>
      <w:r w:rsidR="008872B5" w:rsidRPr="00D93408">
        <w:rPr>
          <w:sz w:val="22"/>
          <w:szCs w:val="22"/>
        </w:rPr>
        <w:t xml:space="preserve">eplerenón </w:t>
      </w:r>
      <w:r w:rsidRPr="00D93408">
        <w:rPr>
          <w:sz w:val="22"/>
          <w:szCs w:val="22"/>
        </w:rPr>
        <w:t>či jeho metabolity sú prítomné v materskom mlieku potkanov a že mláďatá potkanov vystavené takejto expozícii sa vyvíjajú normálne. Vzhľadom na neznámy potenciál nežiaducich účinkov na dojčené dojčatá je potrebné rozhodnúť, či ukončiť dojčenie alebo prerušiť užívanie lieku, so zvážením dôležitosti lie</w:t>
      </w:r>
      <w:r w:rsidR="00AC0246" w:rsidRPr="00D93408">
        <w:rPr>
          <w:sz w:val="22"/>
          <w:szCs w:val="22"/>
        </w:rPr>
        <w:t>ku</w:t>
      </w:r>
      <w:r w:rsidRPr="00D93408">
        <w:rPr>
          <w:sz w:val="22"/>
          <w:szCs w:val="22"/>
        </w:rPr>
        <w:t xml:space="preserve"> pre matku.</w:t>
      </w:r>
    </w:p>
    <w:p w:rsidR="003C72BE" w:rsidRDefault="003C72BE" w:rsidP="00FB3973">
      <w:pPr>
        <w:autoSpaceDE w:val="0"/>
        <w:autoSpaceDN w:val="0"/>
        <w:adjustRightInd w:val="0"/>
        <w:rPr>
          <w:sz w:val="22"/>
          <w:szCs w:val="22"/>
        </w:rPr>
      </w:pPr>
    </w:p>
    <w:p w:rsidR="003C72BE" w:rsidRPr="003C72BE" w:rsidRDefault="003C72BE" w:rsidP="003C72BE">
      <w:pPr>
        <w:tabs>
          <w:tab w:val="left" w:pos="567"/>
        </w:tabs>
        <w:rPr>
          <w:sz w:val="22"/>
          <w:szCs w:val="22"/>
          <w:u w:val="single"/>
        </w:rPr>
      </w:pPr>
      <w:r w:rsidRPr="003C72BE">
        <w:rPr>
          <w:sz w:val="22"/>
          <w:szCs w:val="22"/>
          <w:u w:val="single"/>
        </w:rPr>
        <w:t>Fertilita</w:t>
      </w:r>
    </w:p>
    <w:p w:rsidR="003C72BE" w:rsidRPr="00D93408" w:rsidRDefault="003C72BE" w:rsidP="003C72BE">
      <w:pPr>
        <w:tabs>
          <w:tab w:val="left" w:pos="567"/>
        </w:tabs>
        <w:rPr>
          <w:sz w:val="22"/>
          <w:szCs w:val="22"/>
        </w:rPr>
      </w:pPr>
      <w:r w:rsidRPr="00366F86">
        <w:rPr>
          <w:sz w:val="22"/>
          <w:szCs w:val="22"/>
        </w:rPr>
        <w:t>Nie sú k dispozícii žiadne údaje o účinkoch na plodnosť u ľudí.</w:t>
      </w:r>
    </w:p>
    <w:p w:rsidR="00FB3973" w:rsidRPr="00D93408" w:rsidRDefault="00FB3973">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4.7</w:t>
      </w:r>
      <w:r w:rsidR="006B71FE" w:rsidRPr="00D93408">
        <w:rPr>
          <w:b/>
          <w:bCs/>
          <w:sz w:val="22"/>
          <w:szCs w:val="22"/>
        </w:rPr>
        <w:tab/>
      </w:r>
      <w:r w:rsidRPr="00D93408">
        <w:rPr>
          <w:b/>
          <w:bCs/>
          <w:sz w:val="22"/>
          <w:szCs w:val="22"/>
        </w:rPr>
        <w:t xml:space="preserve">Ovplyvnenie schopnosti viesť </w:t>
      </w:r>
      <w:r w:rsidR="008872B5" w:rsidRPr="00D93408">
        <w:rPr>
          <w:b/>
          <w:bCs/>
          <w:sz w:val="22"/>
          <w:szCs w:val="22"/>
        </w:rPr>
        <w:t xml:space="preserve">vozidlá </w:t>
      </w:r>
      <w:r w:rsidRPr="00D93408">
        <w:rPr>
          <w:b/>
          <w:bCs/>
          <w:sz w:val="22"/>
          <w:szCs w:val="22"/>
        </w:rPr>
        <w:t>a obsluhovať stroje</w:t>
      </w:r>
    </w:p>
    <w:p w:rsidR="00FB3973" w:rsidRPr="00D93408" w:rsidRDefault="00FB3973" w:rsidP="00FB3973">
      <w:pPr>
        <w:autoSpaceDE w:val="0"/>
        <w:autoSpaceDN w:val="0"/>
        <w:adjustRightInd w:val="0"/>
        <w:rPr>
          <w:b/>
          <w:bCs/>
          <w:sz w:val="22"/>
          <w:szCs w:val="22"/>
        </w:rPr>
      </w:pPr>
    </w:p>
    <w:p w:rsidR="00FB3973" w:rsidRPr="00D93408" w:rsidRDefault="00FB3973" w:rsidP="00FB3973">
      <w:pPr>
        <w:autoSpaceDE w:val="0"/>
        <w:autoSpaceDN w:val="0"/>
        <w:adjustRightInd w:val="0"/>
        <w:rPr>
          <w:sz w:val="22"/>
          <w:szCs w:val="22"/>
        </w:rPr>
      </w:pPr>
      <w:r w:rsidRPr="00D93408">
        <w:rPr>
          <w:sz w:val="22"/>
          <w:szCs w:val="22"/>
        </w:rPr>
        <w:t xml:space="preserve">Neboli zrealizované žiadne štúdie zamerané na účinok </w:t>
      </w:r>
      <w:r w:rsidR="008872B5" w:rsidRPr="00D93408">
        <w:rPr>
          <w:sz w:val="22"/>
          <w:szCs w:val="22"/>
        </w:rPr>
        <w:t xml:space="preserve">eplerenónu </w:t>
      </w:r>
      <w:r w:rsidRPr="00D93408">
        <w:rPr>
          <w:sz w:val="22"/>
          <w:szCs w:val="22"/>
        </w:rPr>
        <w:t>na schopnosť viesť vozidlá, alebo obsluhovať stroje. Epleren</w:t>
      </w:r>
      <w:r w:rsidR="000667B7" w:rsidRPr="00D93408">
        <w:rPr>
          <w:sz w:val="22"/>
          <w:szCs w:val="22"/>
        </w:rPr>
        <w:t>ó</w:t>
      </w:r>
      <w:r w:rsidRPr="00D93408">
        <w:rPr>
          <w:sz w:val="22"/>
          <w:szCs w:val="22"/>
        </w:rPr>
        <w:t xml:space="preserve">n nespôsobuje ospanlivosť ani zníženie kognitívnych funkcií, avšak pri vedení vozidiel alebo obsluhe strojov je potrebné vziať do úvahy, že počas liečby sa môže vyskytnúť závrat. </w:t>
      </w:r>
    </w:p>
    <w:p w:rsidR="00FB3973" w:rsidRPr="00D93408" w:rsidRDefault="00FB3973">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4.8</w:t>
      </w:r>
      <w:r w:rsidR="006B71FE" w:rsidRPr="00D93408">
        <w:rPr>
          <w:b/>
          <w:bCs/>
          <w:sz w:val="22"/>
          <w:szCs w:val="22"/>
        </w:rPr>
        <w:tab/>
      </w:r>
      <w:r w:rsidRPr="00D93408">
        <w:rPr>
          <w:b/>
          <w:bCs/>
          <w:sz w:val="22"/>
          <w:szCs w:val="22"/>
        </w:rPr>
        <w:t>Nežiaduce účinky</w:t>
      </w:r>
    </w:p>
    <w:p w:rsidR="00FB3973" w:rsidRPr="00D93408" w:rsidRDefault="00FB3973" w:rsidP="00FB3973">
      <w:pPr>
        <w:autoSpaceDE w:val="0"/>
        <w:autoSpaceDN w:val="0"/>
        <w:adjustRightInd w:val="0"/>
        <w:rPr>
          <w:b/>
          <w:bCs/>
          <w:sz w:val="22"/>
          <w:szCs w:val="22"/>
        </w:rPr>
      </w:pPr>
    </w:p>
    <w:p w:rsidR="00FB3973" w:rsidRDefault="0064134E" w:rsidP="00FB3973">
      <w:pPr>
        <w:autoSpaceDE w:val="0"/>
        <w:autoSpaceDN w:val="0"/>
        <w:adjustRightInd w:val="0"/>
        <w:rPr>
          <w:sz w:val="22"/>
          <w:szCs w:val="22"/>
        </w:rPr>
      </w:pPr>
      <w:r w:rsidRPr="00366F86">
        <w:rPr>
          <w:sz w:val="22"/>
          <w:szCs w:val="22"/>
        </w:rPr>
        <w:t xml:space="preserve">V dvoch štúdiách EPHESUS a Eplerenone in Mild Patients Hospitalization and Survival Study in Heart Failure [EMPHASIS-HF]) bol celkový výskyt nežiaducich </w:t>
      </w:r>
      <w:r w:rsidR="00CA1E68">
        <w:rPr>
          <w:sz w:val="22"/>
          <w:szCs w:val="22"/>
        </w:rPr>
        <w:t xml:space="preserve">udalostí </w:t>
      </w:r>
      <w:r w:rsidRPr="00366F86">
        <w:rPr>
          <w:sz w:val="22"/>
          <w:szCs w:val="22"/>
        </w:rPr>
        <w:t xml:space="preserve">zaznamenaných pri eplerenóne rovnaký ako pri placebe. </w:t>
      </w:r>
    </w:p>
    <w:p w:rsidR="009F6580" w:rsidRPr="00D93408" w:rsidRDefault="009F6580" w:rsidP="00FB3973">
      <w:pPr>
        <w:autoSpaceDE w:val="0"/>
        <w:autoSpaceDN w:val="0"/>
        <w:adjustRightInd w:val="0"/>
        <w:rPr>
          <w:sz w:val="22"/>
          <w:szCs w:val="22"/>
        </w:rPr>
      </w:pPr>
    </w:p>
    <w:p w:rsidR="00FB3973" w:rsidRPr="009F6580" w:rsidRDefault="0064134E" w:rsidP="00FB3973">
      <w:pPr>
        <w:autoSpaceDE w:val="0"/>
        <w:autoSpaceDN w:val="0"/>
        <w:adjustRightInd w:val="0"/>
        <w:rPr>
          <w:sz w:val="22"/>
          <w:szCs w:val="22"/>
        </w:rPr>
      </w:pPr>
      <w:r w:rsidRPr="00FB1B25">
        <w:rPr>
          <w:iCs/>
          <w:sz w:val="22"/>
          <w:szCs w:val="22"/>
        </w:rPr>
        <w:t xml:space="preserve">Nežiaduce </w:t>
      </w:r>
      <w:r w:rsidR="0087299D" w:rsidRPr="00FB1B25">
        <w:rPr>
          <w:iCs/>
          <w:sz w:val="22"/>
          <w:szCs w:val="22"/>
        </w:rPr>
        <w:t>ú</w:t>
      </w:r>
      <w:r w:rsidRPr="00FB1B25">
        <w:rPr>
          <w:iCs/>
          <w:sz w:val="22"/>
          <w:szCs w:val="22"/>
        </w:rPr>
        <w:t xml:space="preserve">činky uvedené nižšie sú tie, u ktorých sa predpokladá súvis s liečbou a ich výskyt prevyšuje výskyt u placeba alebo sú závažné a signifikantne prevyšujú výskyt u placeba, alebo sa pozorovali počas sledovania po uvedení lieku na trh. </w:t>
      </w:r>
      <w:r w:rsidR="00FB3973" w:rsidRPr="00FB1B25">
        <w:rPr>
          <w:sz w:val="22"/>
          <w:szCs w:val="22"/>
        </w:rPr>
        <w:t xml:space="preserve">Nežiaduce </w:t>
      </w:r>
      <w:r w:rsidR="00AC0246" w:rsidRPr="00FB1B25">
        <w:rPr>
          <w:sz w:val="22"/>
          <w:szCs w:val="22"/>
        </w:rPr>
        <w:t>udalosti</w:t>
      </w:r>
      <w:r w:rsidR="00FB3973" w:rsidRPr="00FB1B25">
        <w:rPr>
          <w:sz w:val="22"/>
          <w:szCs w:val="22"/>
        </w:rPr>
        <w:t xml:space="preserve"> sú uvedené podľa orgánových systémov a absolútnej frekvencie. Definícia frekvencie výskytu: </w:t>
      </w:r>
    </w:p>
    <w:p w:rsidR="00CA1E68" w:rsidRPr="00366F86" w:rsidRDefault="00CA1E68" w:rsidP="00CA1E68">
      <w:pPr>
        <w:pStyle w:val="Paragraph"/>
        <w:spacing w:after="0"/>
        <w:rPr>
          <w:i/>
          <w:iCs/>
          <w:sz w:val="22"/>
          <w:szCs w:val="22"/>
          <w:lang w:val="sk-SK"/>
        </w:rPr>
      </w:pPr>
      <w:r w:rsidRPr="00366F86">
        <w:rPr>
          <w:i/>
          <w:iCs/>
          <w:sz w:val="22"/>
          <w:szCs w:val="22"/>
          <w:lang w:val="sk-SK"/>
        </w:rPr>
        <w:t>Veľmi časté (</w:t>
      </w:r>
      <w:r w:rsidRPr="00366F86">
        <w:rPr>
          <w:rFonts w:ascii="Symbol" w:hAnsi="Symbol" w:cs="Symbol"/>
          <w:i/>
          <w:iCs/>
          <w:sz w:val="22"/>
          <w:szCs w:val="22"/>
          <w:lang w:val="sk-SK"/>
        </w:rPr>
        <w:t></w:t>
      </w:r>
      <w:r w:rsidRPr="00366F86">
        <w:rPr>
          <w:i/>
          <w:iCs/>
          <w:sz w:val="22"/>
          <w:szCs w:val="22"/>
          <w:lang w:val="sk-SK"/>
        </w:rPr>
        <w:t> 1/10)</w:t>
      </w:r>
    </w:p>
    <w:p w:rsidR="00CA1E68" w:rsidRPr="00366F86" w:rsidRDefault="00CA1E68" w:rsidP="00CA1E68">
      <w:pPr>
        <w:jc w:val="both"/>
        <w:rPr>
          <w:i/>
          <w:iCs/>
          <w:sz w:val="22"/>
          <w:szCs w:val="22"/>
        </w:rPr>
      </w:pPr>
      <w:r w:rsidRPr="00366F86">
        <w:rPr>
          <w:i/>
          <w:iCs/>
          <w:sz w:val="22"/>
          <w:szCs w:val="22"/>
        </w:rPr>
        <w:t>Časté (</w:t>
      </w:r>
      <w:r w:rsidRPr="00366F86">
        <w:rPr>
          <w:rFonts w:ascii="Symbol" w:hAnsi="Symbol" w:cs="Symbol"/>
          <w:i/>
          <w:iCs/>
          <w:sz w:val="22"/>
          <w:szCs w:val="22"/>
        </w:rPr>
        <w:t></w:t>
      </w:r>
      <w:r w:rsidRPr="00366F86">
        <w:rPr>
          <w:i/>
          <w:iCs/>
          <w:sz w:val="22"/>
          <w:szCs w:val="22"/>
        </w:rPr>
        <w:t> 1/100 až &lt; 1/10)</w:t>
      </w:r>
    </w:p>
    <w:p w:rsidR="00CA1E68" w:rsidRPr="00366F86" w:rsidRDefault="00CA1E68" w:rsidP="00CA1E68">
      <w:pPr>
        <w:jc w:val="both"/>
        <w:rPr>
          <w:i/>
          <w:iCs/>
          <w:sz w:val="22"/>
          <w:szCs w:val="22"/>
        </w:rPr>
      </w:pPr>
      <w:r w:rsidRPr="00366F86">
        <w:rPr>
          <w:i/>
          <w:iCs/>
          <w:sz w:val="22"/>
          <w:szCs w:val="22"/>
        </w:rPr>
        <w:t>Menej časté (</w:t>
      </w:r>
      <w:r w:rsidRPr="00366F86">
        <w:rPr>
          <w:rFonts w:ascii="Symbol" w:hAnsi="Symbol" w:cs="Symbol"/>
          <w:i/>
          <w:iCs/>
          <w:sz w:val="22"/>
          <w:szCs w:val="22"/>
        </w:rPr>
        <w:t></w:t>
      </w:r>
      <w:r w:rsidRPr="00366F86">
        <w:rPr>
          <w:i/>
          <w:iCs/>
          <w:sz w:val="22"/>
          <w:szCs w:val="22"/>
        </w:rPr>
        <w:t> 1/1 000 až &lt; 1/100)</w:t>
      </w:r>
    </w:p>
    <w:p w:rsidR="00CA1E68" w:rsidRPr="00366F86" w:rsidRDefault="00CA1E68" w:rsidP="00CA1E68">
      <w:pPr>
        <w:jc w:val="both"/>
        <w:rPr>
          <w:i/>
          <w:iCs/>
          <w:sz w:val="22"/>
          <w:szCs w:val="22"/>
        </w:rPr>
      </w:pPr>
      <w:r w:rsidRPr="00366F86">
        <w:rPr>
          <w:i/>
          <w:iCs/>
          <w:sz w:val="22"/>
          <w:szCs w:val="22"/>
        </w:rPr>
        <w:t>Zriedkavé (</w:t>
      </w:r>
      <w:r w:rsidRPr="00366F86">
        <w:rPr>
          <w:rFonts w:ascii="Symbol" w:hAnsi="Symbol" w:cs="Symbol"/>
          <w:i/>
          <w:iCs/>
          <w:sz w:val="22"/>
          <w:szCs w:val="22"/>
        </w:rPr>
        <w:t></w:t>
      </w:r>
      <w:r w:rsidRPr="00366F86">
        <w:rPr>
          <w:i/>
          <w:iCs/>
          <w:sz w:val="22"/>
          <w:szCs w:val="22"/>
        </w:rPr>
        <w:t> 1/10 000 až &lt; 1/1 000)</w:t>
      </w:r>
    </w:p>
    <w:p w:rsidR="00CA1E68" w:rsidRPr="00366F86" w:rsidRDefault="00CA1E68" w:rsidP="00CA1E68">
      <w:pPr>
        <w:jc w:val="both"/>
        <w:rPr>
          <w:i/>
          <w:iCs/>
          <w:sz w:val="22"/>
          <w:szCs w:val="22"/>
        </w:rPr>
      </w:pPr>
      <w:r w:rsidRPr="00366F86">
        <w:rPr>
          <w:i/>
          <w:iCs/>
          <w:sz w:val="22"/>
          <w:szCs w:val="22"/>
        </w:rPr>
        <w:t>Veľmi zriedkavé (&lt; 1/10 000)</w:t>
      </w:r>
    </w:p>
    <w:p w:rsidR="00CA1E68" w:rsidRPr="00366F86" w:rsidRDefault="00CA1E68" w:rsidP="00CA1E68">
      <w:pPr>
        <w:tabs>
          <w:tab w:val="left" w:pos="567"/>
        </w:tabs>
        <w:rPr>
          <w:i/>
          <w:iCs/>
          <w:sz w:val="22"/>
          <w:szCs w:val="22"/>
        </w:rPr>
      </w:pPr>
      <w:r w:rsidRPr="00366F86">
        <w:rPr>
          <w:i/>
          <w:iCs/>
          <w:sz w:val="22"/>
          <w:szCs w:val="22"/>
        </w:rPr>
        <w:t>Neznáme (z dostupných údajov).</w:t>
      </w:r>
    </w:p>
    <w:p w:rsidR="00CA1E68" w:rsidRPr="00366F86" w:rsidRDefault="00CA1E68" w:rsidP="00CA1E68">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4217"/>
      </w:tblGrid>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CA1E68" w:rsidRPr="00366F86" w:rsidRDefault="00CA1E68" w:rsidP="001F692E">
            <w:pPr>
              <w:pStyle w:val="Paragraph"/>
              <w:overflowPunct w:val="0"/>
              <w:autoSpaceDE w:val="0"/>
              <w:autoSpaceDN w:val="0"/>
              <w:adjustRightInd w:val="0"/>
              <w:spacing w:after="0"/>
              <w:textAlignment w:val="baseline"/>
              <w:rPr>
                <w:sz w:val="22"/>
                <w:szCs w:val="22"/>
                <w:lang w:val="sk-SK"/>
              </w:rPr>
            </w:pPr>
            <w:r w:rsidRPr="00366F86">
              <w:rPr>
                <w:rFonts w:ascii="TimesNewRoman,Bold" w:hAnsi="TimesNewRoman,Bold" w:cs="TimesNewRoman,Bold"/>
                <w:b/>
                <w:bCs/>
                <w:sz w:val="22"/>
                <w:szCs w:val="22"/>
                <w:lang w:val="sk-SK"/>
              </w:rPr>
              <w:t>Trieda orgánov</w:t>
            </w:r>
            <w:r>
              <w:rPr>
                <w:rFonts w:ascii="TimesNewRoman,Bold" w:hAnsi="TimesNewRoman,Bold" w:cs="TimesNewRoman,Bold"/>
                <w:b/>
                <w:bCs/>
                <w:sz w:val="22"/>
                <w:szCs w:val="22"/>
                <w:lang w:val="sk-SK"/>
              </w:rPr>
              <w:t>ých systémov</w:t>
            </w:r>
            <w:r w:rsidRPr="00366F86">
              <w:rPr>
                <w:rFonts w:ascii="TimesNewRoman,Bold" w:hAnsi="TimesNewRoman,Bold" w:cs="TimesNewRoman,Bold"/>
                <w:b/>
                <w:bCs/>
                <w:sz w:val="22"/>
                <w:szCs w:val="22"/>
                <w:lang w:val="sk-SK"/>
              </w:rPr>
              <w:t xml:space="preserve"> podľa </w:t>
            </w:r>
            <w:r>
              <w:rPr>
                <w:rFonts w:ascii="TimesNewRoman,Bold" w:hAnsi="TimesNewRoman,Bold" w:cs="TimesNewRoman,Bold"/>
                <w:b/>
                <w:bCs/>
                <w:sz w:val="22"/>
                <w:szCs w:val="22"/>
                <w:lang w:val="sk-SK"/>
              </w:rPr>
              <w:t>databázy</w:t>
            </w:r>
            <w:r w:rsidRPr="00366F86">
              <w:rPr>
                <w:rFonts w:ascii="TimesNewRoman,Bold" w:hAnsi="TimesNewRoman,Bold" w:cs="TimesNewRoman,Bold"/>
                <w:b/>
                <w:bCs/>
                <w:sz w:val="22"/>
                <w:szCs w:val="22"/>
                <w:lang w:val="sk-SK"/>
              </w:rPr>
              <w:t xml:space="preserve"> MedDRA </w:t>
            </w:r>
          </w:p>
        </w:tc>
        <w:tc>
          <w:tcPr>
            <w:tcW w:w="4217"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r w:rsidRPr="00366F86">
              <w:rPr>
                <w:rFonts w:ascii="TimesNewRoman,Bold" w:hAnsi="TimesNewRoman,Bold" w:cs="TimesNewRoman,Bold"/>
                <w:b/>
                <w:bCs/>
                <w:sz w:val="22"/>
                <w:szCs w:val="22"/>
                <w:lang w:val="sk-SK"/>
              </w:rPr>
              <w:t>Nežiaduca reakcia</w:t>
            </w:r>
          </w:p>
        </w:tc>
      </w:tr>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ListNoBullet"/>
              <w:rPr>
                <w:b/>
                <w:bCs/>
                <w:sz w:val="22"/>
                <w:szCs w:val="22"/>
                <w:lang w:val="sk-SK"/>
              </w:rPr>
            </w:pPr>
            <w:r w:rsidRPr="00366F86">
              <w:rPr>
                <w:b/>
                <w:bCs/>
                <w:sz w:val="22"/>
                <w:szCs w:val="22"/>
                <w:lang w:val="sk-SK"/>
              </w:rPr>
              <w:t>Infekcie a nákazy</w:t>
            </w: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r w:rsidRPr="00366F86">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p w:rsidR="00CA1E68" w:rsidRPr="00366F86" w:rsidRDefault="00CA1E68" w:rsidP="001F692E">
            <w:pPr>
              <w:pStyle w:val="Paragraph"/>
              <w:overflowPunct w:val="0"/>
              <w:autoSpaceDE w:val="0"/>
              <w:autoSpaceDN w:val="0"/>
              <w:adjustRightInd w:val="0"/>
              <w:spacing w:after="0"/>
              <w:textAlignment w:val="baseline"/>
              <w:rPr>
                <w:sz w:val="22"/>
                <w:szCs w:val="22"/>
                <w:lang w:val="sk-SK"/>
              </w:rPr>
            </w:pPr>
            <w:r w:rsidRPr="00366F86">
              <w:rPr>
                <w:sz w:val="22"/>
                <w:szCs w:val="22"/>
                <w:lang w:val="sk-SK"/>
              </w:rPr>
              <w:t>pyelonefritída, infekcia</w:t>
            </w:r>
            <w:r>
              <w:rPr>
                <w:sz w:val="22"/>
                <w:szCs w:val="22"/>
                <w:lang w:val="sk-SK"/>
              </w:rPr>
              <w:t xml:space="preserve">, </w:t>
            </w:r>
            <w:r w:rsidRPr="00366F86">
              <w:rPr>
                <w:sz w:val="22"/>
                <w:szCs w:val="22"/>
                <w:lang w:val="sk-SK"/>
              </w:rPr>
              <w:t>faryngitída</w:t>
            </w:r>
          </w:p>
        </w:tc>
      </w:tr>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ListNoBullet"/>
              <w:keepNext/>
              <w:rPr>
                <w:b/>
                <w:bCs/>
                <w:sz w:val="22"/>
                <w:szCs w:val="22"/>
                <w:lang w:val="sk-SK"/>
              </w:rPr>
            </w:pPr>
            <w:r w:rsidRPr="00366F86">
              <w:rPr>
                <w:b/>
                <w:bCs/>
                <w:sz w:val="22"/>
                <w:szCs w:val="22"/>
                <w:lang w:val="sk-SK"/>
              </w:rPr>
              <w:lastRenderedPageBreak/>
              <w:t>Poruchy krvi a lymfatického systému</w:t>
            </w:r>
          </w:p>
          <w:p w:rsidR="00CA1E68" w:rsidRPr="00366F86" w:rsidRDefault="00CA1E68" w:rsidP="00B7371A">
            <w:pPr>
              <w:pStyle w:val="Paragraph"/>
              <w:overflowPunct w:val="0"/>
              <w:autoSpaceDE w:val="0"/>
              <w:autoSpaceDN w:val="0"/>
              <w:adjustRightInd w:val="0"/>
              <w:spacing w:after="0"/>
              <w:textAlignment w:val="baseline"/>
              <w:rPr>
                <w:i/>
                <w:iCs/>
                <w:sz w:val="22"/>
                <w:szCs w:val="22"/>
                <w:lang w:val="sk-SK"/>
              </w:rPr>
            </w:pPr>
            <w:r w:rsidRPr="00366F86">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r w:rsidRPr="00366F86">
              <w:rPr>
                <w:sz w:val="22"/>
                <w:szCs w:val="22"/>
                <w:lang w:val="sk-SK"/>
              </w:rPr>
              <w:t>eozínofília</w:t>
            </w:r>
          </w:p>
        </w:tc>
      </w:tr>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ListNoBullet"/>
              <w:keepNext/>
              <w:rPr>
                <w:b/>
                <w:bCs/>
                <w:sz w:val="22"/>
                <w:szCs w:val="22"/>
                <w:lang w:val="sk-SK"/>
              </w:rPr>
            </w:pPr>
            <w:r w:rsidRPr="00366F86">
              <w:rPr>
                <w:b/>
                <w:bCs/>
                <w:sz w:val="22"/>
                <w:szCs w:val="22"/>
                <w:lang w:val="sk-SK"/>
              </w:rPr>
              <w:t>Poruchy endokrinného systému</w:t>
            </w:r>
          </w:p>
          <w:p w:rsidR="00CA1E68" w:rsidRPr="00366F86" w:rsidRDefault="00CA1E68" w:rsidP="00B7371A">
            <w:pPr>
              <w:pStyle w:val="Paragraph"/>
              <w:overflowPunct w:val="0"/>
              <w:autoSpaceDE w:val="0"/>
              <w:autoSpaceDN w:val="0"/>
              <w:adjustRightInd w:val="0"/>
              <w:spacing w:after="0"/>
              <w:textAlignment w:val="baseline"/>
              <w:rPr>
                <w:i/>
                <w:iCs/>
                <w:sz w:val="22"/>
                <w:szCs w:val="22"/>
                <w:lang w:val="sk-SK"/>
              </w:rPr>
            </w:pPr>
            <w:r w:rsidRPr="00366F86">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r w:rsidRPr="00366F86">
              <w:rPr>
                <w:sz w:val="22"/>
                <w:szCs w:val="22"/>
                <w:lang w:val="sk-SK"/>
              </w:rPr>
              <w:t>hypotyreoidizmus</w:t>
            </w:r>
          </w:p>
        </w:tc>
      </w:tr>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ListNoBullet"/>
              <w:keepNext/>
              <w:rPr>
                <w:b/>
                <w:bCs/>
                <w:sz w:val="22"/>
                <w:szCs w:val="22"/>
                <w:lang w:val="sk-SK"/>
              </w:rPr>
            </w:pPr>
            <w:r w:rsidRPr="00366F86">
              <w:rPr>
                <w:b/>
                <w:bCs/>
                <w:sz w:val="22"/>
                <w:szCs w:val="22"/>
                <w:lang w:val="sk-SK"/>
              </w:rPr>
              <w:t>Poruchy metabolizmu a výživy</w:t>
            </w:r>
          </w:p>
          <w:p w:rsidR="00CA1E68" w:rsidRPr="00366F86" w:rsidRDefault="00CA1E68" w:rsidP="00B7371A">
            <w:pPr>
              <w:pStyle w:val="Paragraph"/>
              <w:overflowPunct w:val="0"/>
              <w:autoSpaceDE w:val="0"/>
              <w:autoSpaceDN w:val="0"/>
              <w:adjustRightInd w:val="0"/>
              <w:spacing w:after="0"/>
              <w:textAlignment w:val="baseline"/>
              <w:rPr>
                <w:i/>
                <w:iCs/>
                <w:sz w:val="22"/>
                <w:szCs w:val="22"/>
                <w:lang w:val="sk-SK"/>
              </w:rPr>
            </w:pPr>
            <w:r w:rsidRPr="00366F86">
              <w:rPr>
                <w:i/>
                <w:iCs/>
                <w:sz w:val="22"/>
                <w:szCs w:val="22"/>
                <w:lang w:val="sk-SK"/>
              </w:rPr>
              <w:t>Časté</w:t>
            </w:r>
          </w:p>
          <w:p w:rsidR="00CA1E68" w:rsidRDefault="00CA1E68" w:rsidP="00B7371A">
            <w:pPr>
              <w:pStyle w:val="Paragraph"/>
              <w:overflowPunct w:val="0"/>
              <w:autoSpaceDE w:val="0"/>
              <w:autoSpaceDN w:val="0"/>
              <w:adjustRightInd w:val="0"/>
              <w:spacing w:after="0"/>
              <w:textAlignment w:val="baseline"/>
              <w:rPr>
                <w:i/>
                <w:iCs/>
                <w:sz w:val="22"/>
                <w:szCs w:val="22"/>
                <w:lang w:val="sk-SK"/>
              </w:rPr>
            </w:pP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r w:rsidRPr="00366F86">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p w:rsidR="00CA1E68" w:rsidRDefault="00CA1E68" w:rsidP="000502DB">
            <w:pPr>
              <w:pStyle w:val="ListNoBullet"/>
              <w:rPr>
                <w:sz w:val="22"/>
                <w:szCs w:val="22"/>
                <w:lang w:val="sk-SK"/>
              </w:rPr>
            </w:pPr>
            <w:r w:rsidRPr="00366F86">
              <w:rPr>
                <w:sz w:val="22"/>
                <w:szCs w:val="22"/>
                <w:lang w:val="sk-SK"/>
              </w:rPr>
              <w:t>hyperkaliémia (pozri časti 4.3 a 4.4)</w:t>
            </w:r>
            <w:r>
              <w:rPr>
                <w:sz w:val="22"/>
                <w:szCs w:val="22"/>
                <w:lang w:val="sk-SK"/>
              </w:rPr>
              <w:t>, hypercholesterolémia</w:t>
            </w:r>
          </w:p>
          <w:p w:rsidR="00CA1E68" w:rsidRPr="00366F86" w:rsidRDefault="00CA1E68" w:rsidP="000502DB">
            <w:pPr>
              <w:pStyle w:val="ListNoBullet"/>
              <w:rPr>
                <w:sz w:val="22"/>
                <w:szCs w:val="22"/>
                <w:lang w:val="sk-SK"/>
              </w:rPr>
            </w:pPr>
            <w:r w:rsidRPr="00366F86">
              <w:rPr>
                <w:sz w:val="22"/>
                <w:szCs w:val="22"/>
                <w:lang w:val="sk-SK"/>
              </w:rPr>
              <w:t>hyponatr</w:t>
            </w:r>
            <w:r>
              <w:rPr>
                <w:sz w:val="22"/>
                <w:szCs w:val="22"/>
                <w:lang w:val="sk-SK"/>
              </w:rPr>
              <w:t>i</w:t>
            </w:r>
            <w:r w:rsidRPr="00366F86">
              <w:rPr>
                <w:sz w:val="22"/>
                <w:szCs w:val="22"/>
                <w:lang w:val="sk-SK"/>
              </w:rPr>
              <w:t>émia, dehydratácia, hypertriglyceridémia</w:t>
            </w:r>
          </w:p>
        </w:tc>
      </w:tr>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b/>
                <w:bCs/>
                <w:sz w:val="22"/>
                <w:szCs w:val="22"/>
                <w:lang w:val="sk-SK"/>
              </w:rPr>
            </w:pPr>
            <w:r w:rsidRPr="00366F86">
              <w:rPr>
                <w:b/>
                <w:bCs/>
                <w:sz w:val="22"/>
                <w:szCs w:val="22"/>
                <w:lang w:val="sk-SK"/>
              </w:rPr>
              <w:t>Psychické poruchy</w:t>
            </w:r>
          </w:p>
          <w:p w:rsidR="00CA1E68" w:rsidRPr="00366F86" w:rsidRDefault="00CA1E68" w:rsidP="00B7371A">
            <w:pPr>
              <w:pStyle w:val="Paragraph"/>
              <w:overflowPunct w:val="0"/>
              <w:autoSpaceDE w:val="0"/>
              <w:autoSpaceDN w:val="0"/>
              <w:adjustRightInd w:val="0"/>
              <w:spacing w:after="0"/>
              <w:textAlignment w:val="baseline"/>
              <w:rPr>
                <w:i/>
                <w:iCs/>
                <w:sz w:val="22"/>
                <w:szCs w:val="22"/>
                <w:lang w:val="sk-SK"/>
              </w:rPr>
            </w:pPr>
            <w:r w:rsidRPr="00366F86">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r w:rsidRPr="00366F86">
              <w:rPr>
                <w:sz w:val="22"/>
                <w:szCs w:val="22"/>
                <w:lang w:val="sk-SK"/>
              </w:rPr>
              <w:t>nespavosť</w:t>
            </w:r>
          </w:p>
        </w:tc>
      </w:tr>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b/>
                <w:bCs/>
                <w:sz w:val="22"/>
                <w:szCs w:val="22"/>
                <w:lang w:val="sk-SK"/>
              </w:rPr>
            </w:pPr>
            <w:r w:rsidRPr="00366F86">
              <w:rPr>
                <w:b/>
                <w:bCs/>
                <w:sz w:val="22"/>
                <w:szCs w:val="22"/>
                <w:lang w:val="sk-SK"/>
              </w:rPr>
              <w:t>Poruchy nervového systému</w:t>
            </w:r>
          </w:p>
          <w:p w:rsidR="00CA1E68" w:rsidRPr="00366F86" w:rsidRDefault="00CA1E68" w:rsidP="00B7371A">
            <w:pPr>
              <w:pStyle w:val="Paragraph"/>
              <w:overflowPunct w:val="0"/>
              <w:autoSpaceDE w:val="0"/>
              <w:autoSpaceDN w:val="0"/>
              <w:adjustRightInd w:val="0"/>
              <w:spacing w:after="0"/>
              <w:textAlignment w:val="baseline"/>
              <w:rPr>
                <w:i/>
                <w:iCs/>
                <w:sz w:val="22"/>
                <w:szCs w:val="22"/>
                <w:lang w:val="sk-SK"/>
              </w:rPr>
            </w:pPr>
            <w:r w:rsidRPr="00366F86">
              <w:rPr>
                <w:i/>
                <w:iCs/>
                <w:sz w:val="22"/>
                <w:szCs w:val="22"/>
                <w:lang w:val="sk-SK"/>
              </w:rPr>
              <w:t>Časté</w:t>
            </w: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r w:rsidRPr="00366F86">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p w:rsidR="00CA1E68" w:rsidRDefault="00CA1E68" w:rsidP="001F692E">
            <w:pPr>
              <w:pStyle w:val="Paragraph"/>
              <w:overflowPunct w:val="0"/>
              <w:autoSpaceDE w:val="0"/>
              <w:autoSpaceDN w:val="0"/>
              <w:adjustRightInd w:val="0"/>
              <w:spacing w:after="0"/>
              <w:textAlignment w:val="baseline"/>
              <w:rPr>
                <w:sz w:val="22"/>
                <w:szCs w:val="22"/>
                <w:lang w:val="sk-SK"/>
              </w:rPr>
            </w:pPr>
            <w:r w:rsidRPr="00366F86">
              <w:rPr>
                <w:sz w:val="22"/>
                <w:szCs w:val="22"/>
                <w:lang w:val="sk-SK"/>
              </w:rPr>
              <w:t>závraty, synkopa</w:t>
            </w:r>
            <w:r>
              <w:rPr>
                <w:sz w:val="22"/>
                <w:szCs w:val="22"/>
                <w:lang w:val="sk-SK"/>
              </w:rPr>
              <w:t xml:space="preserve">, </w:t>
            </w:r>
            <w:r w:rsidRPr="00366F86">
              <w:rPr>
                <w:sz w:val="22"/>
                <w:szCs w:val="22"/>
                <w:lang w:val="sk-SK"/>
              </w:rPr>
              <w:t>bolesť hlavy</w:t>
            </w:r>
          </w:p>
          <w:p w:rsidR="00CA1E68" w:rsidRPr="00366F86" w:rsidRDefault="00CA1E68" w:rsidP="001F692E">
            <w:pPr>
              <w:pStyle w:val="Paragraph"/>
              <w:overflowPunct w:val="0"/>
              <w:autoSpaceDE w:val="0"/>
              <w:autoSpaceDN w:val="0"/>
              <w:adjustRightInd w:val="0"/>
              <w:spacing w:after="0"/>
              <w:textAlignment w:val="baseline"/>
              <w:rPr>
                <w:sz w:val="22"/>
                <w:szCs w:val="22"/>
                <w:lang w:val="sk-SK"/>
              </w:rPr>
            </w:pPr>
            <w:r w:rsidRPr="00366F86">
              <w:rPr>
                <w:sz w:val="22"/>
                <w:szCs w:val="22"/>
                <w:lang w:val="sk-SK"/>
              </w:rPr>
              <w:t>hypestézia</w:t>
            </w:r>
          </w:p>
        </w:tc>
      </w:tr>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b/>
                <w:bCs/>
                <w:sz w:val="22"/>
                <w:szCs w:val="22"/>
                <w:lang w:val="sk-SK"/>
              </w:rPr>
            </w:pPr>
            <w:r w:rsidRPr="00366F86">
              <w:rPr>
                <w:b/>
                <w:bCs/>
                <w:sz w:val="22"/>
                <w:szCs w:val="22"/>
                <w:lang w:val="sk-SK"/>
              </w:rPr>
              <w:t>Poruchy srdca a srdcovej činnosti</w:t>
            </w:r>
          </w:p>
          <w:p w:rsidR="00CA1E68" w:rsidRPr="00366F86" w:rsidRDefault="00CA1E68" w:rsidP="00B7371A">
            <w:pPr>
              <w:pStyle w:val="Paragraph"/>
              <w:overflowPunct w:val="0"/>
              <w:autoSpaceDE w:val="0"/>
              <w:autoSpaceDN w:val="0"/>
              <w:adjustRightInd w:val="0"/>
              <w:spacing w:after="0"/>
              <w:textAlignment w:val="baseline"/>
              <w:rPr>
                <w:i/>
                <w:iCs/>
                <w:sz w:val="22"/>
                <w:szCs w:val="22"/>
                <w:lang w:val="sk-SK"/>
              </w:rPr>
            </w:pPr>
            <w:r w:rsidRPr="00366F86">
              <w:rPr>
                <w:i/>
                <w:iCs/>
                <w:sz w:val="22"/>
                <w:szCs w:val="22"/>
                <w:lang w:val="sk-SK"/>
              </w:rPr>
              <w:t>Časté</w:t>
            </w:r>
          </w:p>
          <w:p w:rsidR="00CA1E68" w:rsidRDefault="00CA1E68" w:rsidP="00B7371A">
            <w:pPr>
              <w:pStyle w:val="Paragraph"/>
              <w:overflowPunct w:val="0"/>
              <w:autoSpaceDE w:val="0"/>
              <w:autoSpaceDN w:val="0"/>
              <w:adjustRightInd w:val="0"/>
              <w:spacing w:after="0"/>
              <w:textAlignment w:val="baseline"/>
              <w:rPr>
                <w:i/>
                <w:iCs/>
                <w:sz w:val="22"/>
                <w:szCs w:val="22"/>
                <w:lang w:val="sk-SK"/>
              </w:rPr>
            </w:pP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r w:rsidRPr="00366F86">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p w:rsidR="00CA1E68" w:rsidRDefault="00CA1E68" w:rsidP="001F692E">
            <w:pPr>
              <w:pStyle w:val="Paragraph"/>
              <w:overflowPunct w:val="0"/>
              <w:autoSpaceDE w:val="0"/>
              <w:autoSpaceDN w:val="0"/>
              <w:adjustRightInd w:val="0"/>
              <w:spacing w:after="0"/>
              <w:textAlignment w:val="baseline"/>
              <w:rPr>
                <w:sz w:val="22"/>
                <w:szCs w:val="22"/>
                <w:lang w:val="sk-SK"/>
              </w:rPr>
            </w:pPr>
            <w:r w:rsidRPr="00366F86">
              <w:rPr>
                <w:sz w:val="22"/>
                <w:szCs w:val="22"/>
                <w:lang w:val="sk-SK"/>
              </w:rPr>
              <w:t>zlyhanie ľavej srdcovej komory, fibrilácia predsiení</w:t>
            </w:r>
          </w:p>
          <w:p w:rsidR="00CA1E68" w:rsidRPr="00366F86" w:rsidRDefault="00CA1E68" w:rsidP="001F692E">
            <w:pPr>
              <w:pStyle w:val="Paragraph"/>
              <w:overflowPunct w:val="0"/>
              <w:autoSpaceDE w:val="0"/>
              <w:autoSpaceDN w:val="0"/>
              <w:adjustRightInd w:val="0"/>
              <w:spacing w:after="0"/>
              <w:textAlignment w:val="baseline"/>
              <w:rPr>
                <w:sz w:val="22"/>
                <w:szCs w:val="22"/>
                <w:lang w:val="sk-SK"/>
              </w:rPr>
            </w:pPr>
            <w:r w:rsidRPr="00366F86">
              <w:rPr>
                <w:sz w:val="22"/>
                <w:szCs w:val="22"/>
                <w:lang w:val="sk-SK"/>
              </w:rPr>
              <w:t>tachykardia</w:t>
            </w:r>
          </w:p>
        </w:tc>
      </w:tr>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b/>
                <w:bCs/>
                <w:sz w:val="22"/>
                <w:szCs w:val="22"/>
                <w:lang w:val="sk-SK"/>
              </w:rPr>
            </w:pPr>
            <w:r w:rsidRPr="00366F86">
              <w:rPr>
                <w:b/>
                <w:bCs/>
                <w:sz w:val="22"/>
                <w:szCs w:val="22"/>
                <w:lang w:val="sk-SK"/>
              </w:rPr>
              <w:t>Poruchy ciev</w:t>
            </w:r>
          </w:p>
          <w:p w:rsidR="00CA1E68" w:rsidRPr="00366F86" w:rsidRDefault="00CA1E68" w:rsidP="00B7371A">
            <w:pPr>
              <w:pStyle w:val="Paragraph"/>
              <w:overflowPunct w:val="0"/>
              <w:autoSpaceDE w:val="0"/>
              <w:autoSpaceDN w:val="0"/>
              <w:adjustRightInd w:val="0"/>
              <w:spacing w:after="0"/>
              <w:textAlignment w:val="baseline"/>
              <w:rPr>
                <w:i/>
                <w:iCs/>
                <w:sz w:val="22"/>
                <w:szCs w:val="22"/>
                <w:lang w:val="sk-SK"/>
              </w:rPr>
            </w:pPr>
            <w:r w:rsidRPr="00366F86">
              <w:rPr>
                <w:i/>
                <w:iCs/>
                <w:sz w:val="22"/>
                <w:szCs w:val="22"/>
                <w:lang w:val="sk-SK"/>
              </w:rPr>
              <w:t>Časté</w:t>
            </w: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r w:rsidRPr="00366F86">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r w:rsidRPr="00366F86">
              <w:rPr>
                <w:sz w:val="22"/>
                <w:szCs w:val="22"/>
                <w:lang w:val="sk-SK"/>
              </w:rPr>
              <w:t>hypotenzia</w:t>
            </w: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r w:rsidRPr="00366F86">
              <w:rPr>
                <w:sz w:val="22"/>
                <w:szCs w:val="22"/>
                <w:lang w:val="sk-SK"/>
              </w:rPr>
              <w:t>arteriálna trombóza končatiny, ortostatická hypotenzia</w:t>
            </w:r>
          </w:p>
        </w:tc>
      </w:tr>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b/>
                <w:bCs/>
                <w:sz w:val="22"/>
                <w:szCs w:val="22"/>
                <w:lang w:val="sk-SK"/>
              </w:rPr>
            </w:pPr>
            <w:r w:rsidRPr="00366F86">
              <w:rPr>
                <w:b/>
                <w:bCs/>
                <w:sz w:val="22"/>
                <w:szCs w:val="22"/>
                <w:lang w:val="sk-SK"/>
              </w:rPr>
              <w:t>Poruchy dýchacej sústavy, hrudníka a mediastína</w:t>
            </w:r>
          </w:p>
          <w:p w:rsidR="00CA1E68" w:rsidRPr="00366F86" w:rsidRDefault="00CA1E68" w:rsidP="00B7371A">
            <w:pPr>
              <w:pStyle w:val="Paragraph"/>
              <w:overflowPunct w:val="0"/>
              <w:autoSpaceDE w:val="0"/>
              <w:autoSpaceDN w:val="0"/>
              <w:adjustRightInd w:val="0"/>
              <w:spacing w:after="0"/>
              <w:textAlignment w:val="baseline"/>
              <w:rPr>
                <w:i/>
                <w:iCs/>
                <w:sz w:val="22"/>
                <w:szCs w:val="22"/>
                <w:lang w:val="sk-SK"/>
              </w:rPr>
            </w:pPr>
            <w:r w:rsidRPr="00366F86">
              <w:rPr>
                <w:i/>
                <w:iCs/>
                <w:sz w:val="22"/>
                <w:szCs w:val="22"/>
                <w:lang w:val="sk-SK"/>
              </w:rPr>
              <w:t>Časté</w:t>
            </w:r>
          </w:p>
        </w:tc>
        <w:tc>
          <w:tcPr>
            <w:tcW w:w="4217"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r w:rsidRPr="00366F86">
              <w:rPr>
                <w:sz w:val="22"/>
                <w:szCs w:val="22"/>
                <w:lang w:val="sk-SK"/>
              </w:rPr>
              <w:t>kašeľ</w:t>
            </w:r>
          </w:p>
        </w:tc>
      </w:tr>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b/>
                <w:bCs/>
                <w:sz w:val="22"/>
                <w:szCs w:val="22"/>
                <w:lang w:val="sk-SK"/>
              </w:rPr>
            </w:pPr>
            <w:r w:rsidRPr="00366F86">
              <w:rPr>
                <w:b/>
                <w:bCs/>
                <w:sz w:val="22"/>
                <w:szCs w:val="22"/>
                <w:lang w:val="sk-SK"/>
              </w:rPr>
              <w:t>Poruchy gastrointestinálneho traktu</w:t>
            </w:r>
          </w:p>
          <w:p w:rsidR="00CA1E68" w:rsidRPr="00366F86" w:rsidRDefault="00CA1E68" w:rsidP="00B7371A">
            <w:pPr>
              <w:pStyle w:val="Paragraph"/>
              <w:overflowPunct w:val="0"/>
              <w:autoSpaceDE w:val="0"/>
              <w:autoSpaceDN w:val="0"/>
              <w:adjustRightInd w:val="0"/>
              <w:spacing w:after="0"/>
              <w:textAlignment w:val="baseline"/>
              <w:rPr>
                <w:i/>
                <w:iCs/>
                <w:sz w:val="22"/>
                <w:szCs w:val="22"/>
                <w:lang w:val="sk-SK"/>
              </w:rPr>
            </w:pPr>
            <w:r w:rsidRPr="00366F86">
              <w:rPr>
                <w:i/>
                <w:iCs/>
                <w:sz w:val="22"/>
                <w:szCs w:val="22"/>
                <w:lang w:val="sk-SK"/>
              </w:rPr>
              <w:t>Časté</w:t>
            </w: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r w:rsidRPr="00366F86">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p w:rsidR="00CA1E68" w:rsidRPr="00366F86" w:rsidRDefault="00CA1E68" w:rsidP="001F692E">
            <w:pPr>
              <w:pStyle w:val="Paragraph"/>
              <w:overflowPunct w:val="0"/>
              <w:autoSpaceDE w:val="0"/>
              <w:autoSpaceDN w:val="0"/>
              <w:adjustRightInd w:val="0"/>
              <w:spacing w:after="0"/>
              <w:textAlignment w:val="baseline"/>
              <w:rPr>
                <w:sz w:val="22"/>
                <w:szCs w:val="22"/>
                <w:lang w:val="sk-SK"/>
              </w:rPr>
            </w:pPr>
            <w:r w:rsidRPr="00366F86">
              <w:rPr>
                <w:sz w:val="22"/>
                <w:szCs w:val="22"/>
                <w:lang w:val="sk-SK"/>
              </w:rPr>
              <w:t>hnačka, nevoľnosť, zápcha</w:t>
            </w:r>
            <w:r>
              <w:rPr>
                <w:sz w:val="22"/>
                <w:szCs w:val="22"/>
                <w:lang w:val="sk-SK"/>
              </w:rPr>
              <w:t xml:space="preserve">, </w:t>
            </w:r>
            <w:r w:rsidRPr="00366F86">
              <w:rPr>
                <w:sz w:val="22"/>
                <w:szCs w:val="22"/>
                <w:lang w:val="sk-SK"/>
              </w:rPr>
              <w:t>vracanie plynatosť</w:t>
            </w:r>
          </w:p>
        </w:tc>
      </w:tr>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5C09DA" w:rsidRPr="00366F86" w:rsidRDefault="005C09DA" w:rsidP="005C09DA">
            <w:pPr>
              <w:pStyle w:val="Paragraph"/>
              <w:spacing w:after="0"/>
              <w:rPr>
                <w:b/>
                <w:bCs/>
                <w:sz w:val="22"/>
                <w:szCs w:val="22"/>
                <w:lang w:val="sk-SK"/>
              </w:rPr>
            </w:pPr>
            <w:r w:rsidRPr="00366F86">
              <w:rPr>
                <w:b/>
                <w:bCs/>
                <w:sz w:val="22"/>
                <w:szCs w:val="22"/>
                <w:lang w:val="sk-SK"/>
              </w:rPr>
              <w:t>Poruchy pečene a žlčových ciest</w:t>
            </w:r>
          </w:p>
          <w:p w:rsidR="005C09DA" w:rsidRDefault="005C09DA" w:rsidP="005C09DA">
            <w:pPr>
              <w:pStyle w:val="ListNoBullet"/>
              <w:rPr>
                <w:b/>
                <w:bCs/>
                <w:sz w:val="22"/>
                <w:szCs w:val="22"/>
                <w:lang w:val="sk-SK"/>
              </w:rPr>
            </w:pPr>
            <w:r w:rsidRPr="00366F86">
              <w:rPr>
                <w:i/>
                <w:iCs/>
                <w:sz w:val="22"/>
                <w:szCs w:val="22"/>
                <w:lang w:val="sk-SK"/>
              </w:rPr>
              <w:t>Menej časté</w:t>
            </w:r>
            <w:r w:rsidRPr="00366F86">
              <w:rPr>
                <w:b/>
                <w:bCs/>
                <w:sz w:val="22"/>
                <w:szCs w:val="22"/>
                <w:lang w:val="sk-SK"/>
              </w:rPr>
              <w:t xml:space="preserve"> </w:t>
            </w:r>
          </w:p>
          <w:p w:rsidR="00CA1E68" w:rsidRPr="00366F86" w:rsidRDefault="00CA1E68" w:rsidP="000502DB">
            <w:pPr>
              <w:pStyle w:val="Paragraph"/>
              <w:overflowPunct w:val="0"/>
              <w:autoSpaceDE w:val="0"/>
              <w:autoSpaceDN w:val="0"/>
              <w:adjustRightInd w:val="0"/>
              <w:spacing w:after="0"/>
              <w:textAlignment w:val="baseline"/>
              <w:rPr>
                <w:sz w:val="22"/>
                <w:szCs w:val="22"/>
                <w:lang w:val="sk-SK"/>
              </w:rPr>
            </w:pPr>
          </w:p>
        </w:tc>
        <w:tc>
          <w:tcPr>
            <w:tcW w:w="4217" w:type="dxa"/>
            <w:tcBorders>
              <w:top w:val="single" w:sz="4" w:space="0" w:color="auto"/>
              <w:left w:val="single" w:sz="4" w:space="0" w:color="auto"/>
              <w:bottom w:val="single" w:sz="4" w:space="0" w:color="auto"/>
              <w:right w:val="single" w:sz="4" w:space="0" w:color="auto"/>
            </w:tcBorders>
          </w:tcPr>
          <w:p w:rsidR="00CA1E68" w:rsidRDefault="00CA1E68" w:rsidP="00B7371A">
            <w:pPr>
              <w:pStyle w:val="Paragraph"/>
              <w:overflowPunct w:val="0"/>
              <w:autoSpaceDE w:val="0"/>
              <w:autoSpaceDN w:val="0"/>
              <w:adjustRightInd w:val="0"/>
              <w:spacing w:after="0"/>
              <w:textAlignment w:val="baseline"/>
              <w:rPr>
                <w:sz w:val="22"/>
                <w:szCs w:val="22"/>
                <w:lang w:val="sk-SK"/>
              </w:rPr>
            </w:pPr>
          </w:p>
          <w:p w:rsidR="005C09DA" w:rsidRPr="00366F86" w:rsidRDefault="005C09DA" w:rsidP="00B7371A">
            <w:pPr>
              <w:pStyle w:val="Paragraph"/>
              <w:overflowPunct w:val="0"/>
              <w:autoSpaceDE w:val="0"/>
              <w:autoSpaceDN w:val="0"/>
              <w:adjustRightInd w:val="0"/>
              <w:spacing w:after="0"/>
              <w:textAlignment w:val="baseline"/>
              <w:rPr>
                <w:sz w:val="22"/>
                <w:szCs w:val="22"/>
                <w:lang w:val="sk-SK"/>
              </w:rPr>
            </w:pPr>
            <w:r w:rsidRPr="00366F86">
              <w:rPr>
                <w:rStyle w:val="Siln"/>
                <w:b w:val="0"/>
                <w:bCs w:val="0"/>
                <w:sz w:val="22"/>
                <w:szCs w:val="22"/>
                <w:lang w:val="sk-SK"/>
              </w:rPr>
              <w:t>cholecystitída</w:t>
            </w:r>
          </w:p>
          <w:p w:rsidR="00CA1E68" w:rsidRPr="00366F86" w:rsidRDefault="00CA1E68" w:rsidP="000502DB">
            <w:pPr>
              <w:pStyle w:val="ListNoBullet"/>
              <w:rPr>
                <w:sz w:val="22"/>
                <w:szCs w:val="22"/>
                <w:lang w:val="sk-SK"/>
              </w:rPr>
            </w:pPr>
          </w:p>
        </w:tc>
      </w:tr>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5C09DA" w:rsidRPr="00366F86" w:rsidRDefault="005C09DA" w:rsidP="005C09DA">
            <w:pPr>
              <w:pStyle w:val="ListNoBullet"/>
              <w:rPr>
                <w:b/>
                <w:bCs/>
                <w:sz w:val="22"/>
                <w:szCs w:val="22"/>
                <w:lang w:val="sk-SK"/>
              </w:rPr>
            </w:pPr>
            <w:r w:rsidRPr="00366F86">
              <w:rPr>
                <w:b/>
                <w:bCs/>
                <w:sz w:val="22"/>
                <w:szCs w:val="22"/>
                <w:lang w:val="sk-SK"/>
              </w:rPr>
              <w:t>Poruchy kože a podkožného tkaniva</w:t>
            </w:r>
          </w:p>
          <w:p w:rsidR="005C09DA" w:rsidRPr="00366F86" w:rsidRDefault="005C09DA" w:rsidP="005C09DA">
            <w:pPr>
              <w:pStyle w:val="Paragraph"/>
              <w:overflowPunct w:val="0"/>
              <w:autoSpaceDE w:val="0"/>
              <w:autoSpaceDN w:val="0"/>
              <w:adjustRightInd w:val="0"/>
              <w:spacing w:after="0"/>
              <w:textAlignment w:val="baseline"/>
              <w:rPr>
                <w:i/>
                <w:iCs/>
                <w:sz w:val="22"/>
                <w:szCs w:val="22"/>
                <w:lang w:val="sk-SK"/>
              </w:rPr>
            </w:pPr>
            <w:r w:rsidRPr="00366F86">
              <w:rPr>
                <w:i/>
                <w:iCs/>
                <w:sz w:val="22"/>
                <w:szCs w:val="22"/>
                <w:lang w:val="sk-SK"/>
              </w:rPr>
              <w:t>Časté</w:t>
            </w:r>
          </w:p>
          <w:p w:rsidR="005C09DA" w:rsidRDefault="005C09DA" w:rsidP="005C09DA">
            <w:pPr>
              <w:pStyle w:val="ListNoBullet"/>
              <w:rPr>
                <w:b/>
                <w:bCs/>
                <w:sz w:val="22"/>
                <w:szCs w:val="22"/>
                <w:lang w:val="sk-SK"/>
              </w:rPr>
            </w:pPr>
            <w:r w:rsidRPr="00366F86">
              <w:rPr>
                <w:i/>
                <w:iCs/>
                <w:sz w:val="22"/>
                <w:szCs w:val="22"/>
                <w:lang w:val="sk-SK"/>
              </w:rPr>
              <w:t>Menej časté</w:t>
            </w:r>
            <w:r w:rsidRPr="00366F86" w:rsidDel="005C09DA">
              <w:rPr>
                <w:b/>
                <w:bCs/>
                <w:sz w:val="22"/>
                <w:szCs w:val="22"/>
                <w:lang w:val="sk-SK"/>
              </w:rPr>
              <w:t xml:space="preserve"> </w:t>
            </w: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tc>
        <w:tc>
          <w:tcPr>
            <w:tcW w:w="4217"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p w:rsidR="005C09DA" w:rsidRDefault="005C09DA" w:rsidP="005C09DA">
            <w:pPr>
              <w:pStyle w:val="ListNoBullet"/>
              <w:rPr>
                <w:sz w:val="22"/>
                <w:szCs w:val="22"/>
                <w:lang w:val="sk-SK"/>
              </w:rPr>
            </w:pPr>
            <w:r w:rsidRPr="00366F86">
              <w:rPr>
                <w:sz w:val="22"/>
                <w:szCs w:val="22"/>
                <w:lang w:val="sk-SK"/>
              </w:rPr>
              <w:t>vyrážka, svrbenie</w:t>
            </w:r>
            <w:r>
              <w:rPr>
                <w:sz w:val="22"/>
                <w:szCs w:val="22"/>
                <w:lang w:val="sk-SK"/>
              </w:rPr>
              <w:t xml:space="preserve">, </w:t>
            </w:r>
          </w:p>
          <w:p w:rsidR="00061903" w:rsidRDefault="005C09DA" w:rsidP="005C09DA">
            <w:pPr>
              <w:pStyle w:val="Paragraph"/>
              <w:overflowPunct w:val="0"/>
              <w:autoSpaceDE w:val="0"/>
              <w:autoSpaceDN w:val="0"/>
              <w:adjustRightInd w:val="0"/>
              <w:spacing w:after="0"/>
              <w:textAlignment w:val="baseline"/>
              <w:rPr>
                <w:sz w:val="22"/>
                <w:szCs w:val="22"/>
                <w:lang w:val="sk-SK"/>
              </w:rPr>
            </w:pPr>
            <w:r w:rsidRPr="00366F86">
              <w:rPr>
                <w:sz w:val="22"/>
                <w:szCs w:val="22"/>
                <w:lang w:val="sk-SK"/>
              </w:rPr>
              <w:t>hyperh</w:t>
            </w:r>
            <w:r>
              <w:rPr>
                <w:sz w:val="22"/>
                <w:szCs w:val="22"/>
                <w:lang w:val="sk-SK"/>
              </w:rPr>
              <w:t>i</w:t>
            </w:r>
            <w:r w:rsidRPr="00366F86">
              <w:rPr>
                <w:sz w:val="22"/>
                <w:szCs w:val="22"/>
                <w:lang w:val="sk-SK"/>
              </w:rPr>
              <w:t>dróza</w:t>
            </w:r>
            <w:r>
              <w:rPr>
                <w:sz w:val="22"/>
                <w:szCs w:val="22"/>
                <w:lang w:val="sk-SK"/>
              </w:rPr>
              <w:t xml:space="preserve">, </w:t>
            </w:r>
            <w:r w:rsidRPr="00366F86">
              <w:rPr>
                <w:sz w:val="22"/>
                <w:szCs w:val="22"/>
                <w:lang w:val="sk-SK"/>
              </w:rPr>
              <w:t>angioedém</w:t>
            </w:r>
          </w:p>
          <w:p w:rsidR="005C09DA" w:rsidRPr="00366F86" w:rsidRDefault="005C09DA" w:rsidP="00B7371A">
            <w:pPr>
              <w:pStyle w:val="Paragraph"/>
              <w:overflowPunct w:val="0"/>
              <w:autoSpaceDE w:val="0"/>
              <w:autoSpaceDN w:val="0"/>
              <w:adjustRightInd w:val="0"/>
              <w:spacing w:after="0"/>
              <w:textAlignment w:val="baseline"/>
              <w:rPr>
                <w:sz w:val="22"/>
                <w:szCs w:val="22"/>
                <w:lang w:val="sk-SK"/>
              </w:rPr>
            </w:pPr>
          </w:p>
        </w:tc>
      </w:tr>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5C09DA" w:rsidRPr="00366F86" w:rsidRDefault="005C09DA" w:rsidP="005C09DA">
            <w:pPr>
              <w:pStyle w:val="ListNoBullet"/>
              <w:rPr>
                <w:b/>
                <w:bCs/>
                <w:sz w:val="22"/>
                <w:szCs w:val="22"/>
                <w:lang w:val="sk-SK"/>
              </w:rPr>
            </w:pPr>
            <w:r w:rsidRPr="00366F86">
              <w:rPr>
                <w:b/>
                <w:bCs/>
                <w:sz w:val="22"/>
                <w:szCs w:val="22"/>
                <w:lang w:val="sk-SK"/>
              </w:rPr>
              <w:t>Poruchy kostrovej a svalovej sústavy a spojivového tkaniva</w:t>
            </w:r>
          </w:p>
          <w:p w:rsidR="005C09DA" w:rsidRPr="00366F86" w:rsidRDefault="005C09DA" w:rsidP="005C09DA">
            <w:pPr>
              <w:pStyle w:val="Paragraph"/>
              <w:overflowPunct w:val="0"/>
              <w:autoSpaceDE w:val="0"/>
              <w:autoSpaceDN w:val="0"/>
              <w:adjustRightInd w:val="0"/>
              <w:spacing w:after="0"/>
              <w:textAlignment w:val="baseline"/>
              <w:rPr>
                <w:i/>
                <w:iCs/>
                <w:sz w:val="22"/>
                <w:szCs w:val="22"/>
                <w:lang w:val="sk-SK"/>
              </w:rPr>
            </w:pPr>
            <w:r w:rsidRPr="00366F86">
              <w:rPr>
                <w:i/>
                <w:iCs/>
                <w:sz w:val="22"/>
                <w:szCs w:val="22"/>
                <w:lang w:val="sk-SK"/>
              </w:rPr>
              <w:t>Časté</w:t>
            </w:r>
          </w:p>
          <w:p w:rsidR="00CA1E68" w:rsidRPr="00366F86" w:rsidRDefault="005C09DA" w:rsidP="00B7371A">
            <w:pPr>
              <w:pStyle w:val="Paragraph"/>
              <w:overflowPunct w:val="0"/>
              <w:autoSpaceDE w:val="0"/>
              <w:autoSpaceDN w:val="0"/>
              <w:adjustRightInd w:val="0"/>
              <w:spacing w:after="0"/>
              <w:textAlignment w:val="baseline"/>
              <w:rPr>
                <w:i/>
                <w:iCs/>
                <w:sz w:val="22"/>
                <w:szCs w:val="22"/>
                <w:lang w:val="sk-SK"/>
              </w:rPr>
            </w:pPr>
            <w:r w:rsidRPr="00366F86">
              <w:rPr>
                <w:i/>
                <w:iCs/>
                <w:sz w:val="22"/>
                <w:szCs w:val="22"/>
                <w:lang w:val="sk-SK"/>
              </w:rPr>
              <w:t>Menej časté</w:t>
            </w:r>
            <w:r w:rsidRPr="00366F86" w:rsidDel="005C09DA">
              <w:rPr>
                <w:b/>
                <w:bCs/>
                <w:sz w:val="22"/>
                <w:szCs w:val="22"/>
                <w:lang w:val="sk-SK"/>
              </w:rPr>
              <w:t xml:space="preserve"> </w:t>
            </w:r>
          </w:p>
        </w:tc>
        <w:tc>
          <w:tcPr>
            <w:tcW w:w="4217" w:type="dxa"/>
            <w:tcBorders>
              <w:top w:val="single" w:sz="4" w:space="0" w:color="auto"/>
              <w:left w:val="single" w:sz="4" w:space="0" w:color="auto"/>
              <w:bottom w:val="single" w:sz="4" w:space="0" w:color="auto"/>
              <w:right w:val="single" w:sz="4" w:space="0" w:color="auto"/>
            </w:tcBorders>
          </w:tcPr>
          <w:p w:rsidR="00CA1E68" w:rsidRDefault="00CA1E68" w:rsidP="00B7371A">
            <w:pPr>
              <w:pStyle w:val="Paragraph"/>
              <w:overflowPunct w:val="0"/>
              <w:autoSpaceDE w:val="0"/>
              <w:autoSpaceDN w:val="0"/>
              <w:adjustRightInd w:val="0"/>
              <w:spacing w:after="0"/>
              <w:textAlignment w:val="baseline"/>
              <w:rPr>
                <w:sz w:val="22"/>
                <w:szCs w:val="22"/>
                <w:lang w:val="sk-SK"/>
              </w:rPr>
            </w:pPr>
          </w:p>
          <w:p w:rsidR="005C09DA" w:rsidRDefault="005C09DA" w:rsidP="005C09DA">
            <w:pPr>
              <w:pStyle w:val="Paragraph"/>
              <w:overflowPunct w:val="0"/>
              <w:autoSpaceDE w:val="0"/>
              <w:autoSpaceDN w:val="0"/>
              <w:adjustRightInd w:val="0"/>
              <w:spacing w:after="0"/>
              <w:textAlignment w:val="baseline"/>
              <w:rPr>
                <w:sz w:val="22"/>
                <w:szCs w:val="22"/>
                <w:lang w:val="sk-SK"/>
              </w:rPr>
            </w:pPr>
            <w:r w:rsidRPr="00366F86">
              <w:rPr>
                <w:sz w:val="22"/>
                <w:szCs w:val="22"/>
                <w:lang w:val="sk-SK"/>
              </w:rPr>
              <w:t xml:space="preserve">svalové kŕče, </w:t>
            </w:r>
            <w:r>
              <w:rPr>
                <w:sz w:val="22"/>
                <w:szCs w:val="22"/>
                <w:lang w:val="sk-SK"/>
              </w:rPr>
              <w:t>bolesti chrbta</w:t>
            </w:r>
          </w:p>
          <w:p w:rsidR="005C09DA" w:rsidRPr="00366F86" w:rsidRDefault="005C09DA" w:rsidP="005C09DA">
            <w:pPr>
              <w:pStyle w:val="Paragraph"/>
              <w:overflowPunct w:val="0"/>
              <w:autoSpaceDE w:val="0"/>
              <w:autoSpaceDN w:val="0"/>
              <w:adjustRightInd w:val="0"/>
              <w:spacing w:after="0"/>
              <w:textAlignment w:val="baseline"/>
              <w:rPr>
                <w:sz w:val="22"/>
                <w:szCs w:val="22"/>
                <w:lang w:val="sk-SK"/>
              </w:rPr>
            </w:pPr>
            <w:r w:rsidRPr="00366F86">
              <w:rPr>
                <w:sz w:val="22"/>
                <w:szCs w:val="22"/>
                <w:lang w:val="sk-SK"/>
              </w:rPr>
              <w:t>bolesti kostrového svalstva</w:t>
            </w: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tc>
      </w:tr>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5C09DA" w:rsidRPr="00366F86" w:rsidRDefault="005C09DA" w:rsidP="005C09DA">
            <w:pPr>
              <w:pStyle w:val="ListNoBullet"/>
              <w:rPr>
                <w:b/>
                <w:bCs/>
                <w:sz w:val="22"/>
                <w:szCs w:val="22"/>
                <w:lang w:val="sk-SK"/>
              </w:rPr>
            </w:pPr>
            <w:r w:rsidRPr="00366F86">
              <w:rPr>
                <w:b/>
                <w:bCs/>
                <w:sz w:val="22"/>
                <w:szCs w:val="22"/>
                <w:lang w:val="sk-SK"/>
              </w:rPr>
              <w:t>Poruchy obličiek a močových ciest</w:t>
            </w:r>
          </w:p>
          <w:p w:rsidR="00CA1E68" w:rsidRPr="00366F86" w:rsidRDefault="005C09DA" w:rsidP="00B7371A">
            <w:pPr>
              <w:pStyle w:val="Paragraph"/>
              <w:spacing w:after="0"/>
              <w:rPr>
                <w:sz w:val="22"/>
                <w:szCs w:val="22"/>
                <w:lang w:val="sk-SK"/>
              </w:rPr>
            </w:pPr>
            <w:r w:rsidRPr="00366F86">
              <w:rPr>
                <w:i/>
                <w:iCs/>
                <w:sz w:val="22"/>
                <w:szCs w:val="22"/>
                <w:lang w:val="sk-SK"/>
              </w:rPr>
              <w:t>Časté</w:t>
            </w:r>
            <w:r w:rsidRPr="00366F86" w:rsidDel="005C09DA">
              <w:rPr>
                <w:b/>
                <w:bCs/>
                <w:sz w:val="22"/>
                <w:szCs w:val="22"/>
                <w:lang w:val="sk-SK"/>
              </w:rPr>
              <w:t xml:space="preserve"> </w:t>
            </w:r>
          </w:p>
        </w:tc>
        <w:tc>
          <w:tcPr>
            <w:tcW w:w="4217" w:type="dxa"/>
            <w:tcBorders>
              <w:top w:val="single" w:sz="4" w:space="0" w:color="auto"/>
              <w:left w:val="single" w:sz="4" w:space="0" w:color="auto"/>
              <w:bottom w:val="single" w:sz="4" w:space="0" w:color="auto"/>
              <w:right w:val="single" w:sz="4" w:space="0" w:color="auto"/>
            </w:tcBorders>
          </w:tcPr>
          <w:p w:rsidR="00CA1E68" w:rsidRDefault="00CA1E68" w:rsidP="00B7371A">
            <w:pPr>
              <w:pStyle w:val="Paragraph"/>
              <w:overflowPunct w:val="0"/>
              <w:autoSpaceDE w:val="0"/>
              <w:autoSpaceDN w:val="0"/>
              <w:adjustRightInd w:val="0"/>
              <w:spacing w:after="0"/>
              <w:textAlignment w:val="baseline"/>
              <w:rPr>
                <w:sz w:val="22"/>
                <w:szCs w:val="22"/>
                <w:lang w:val="sk-SK"/>
              </w:rPr>
            </w:pPr>
          </w:p>
          <w:p w:rsidR="00CA1E68" w:rsidRPr="00366F86" w:rsidRDefault="005C09DA" w:rsidP="00B7371A">
            <w:pPr>
              <w:pStyle w:val="Paragraph"/>
              <w:overflowPunct w:val="0"/>
              <w:autoSpaceDE w:val="0"/>
              <w:autoSpaceDN w:val="0"/>
              <w:adjustRightInd w:val="0"/>
              <w:spacing w:after="0"/>
              <w:textAlignment w:val="baseline"/>
              <w:rPr>
                <w:sz w:val="22"/>
                <w:szCs w:val="22"/>
                <w:lang w:val="sk-SK"/>
              </w:rPr>
            </w:pPr>
            <w:r>
              <w:rPr>
                <w:sz w:val="22"/>
                <w:szCs w:val="22"/>
                <w:lang w:val="sk-SK"/>
              </w:rPr>
              <w:t xml:space="preserve">porucha funkcie </w:t>
            </w:r>
            <w:r w:rsidRPr="00366F86">
              <w:rPr>
                <w:sz w:val="22"/>
                <w:szCs w:val="22"/>
                <w:lang w:val="sk-SK"/>
              </w:rPr>
              <w:t>obličiek (pozri časti 4.4 a 4.5)</w:t>
            </w:r>
          </w:p>
        </w:tc>
      </w:tr>
      <w:tr w:rsidR="00CA1E68" w:rsidRPr="00366F86" w:rsidTr="00B7371A">
        <w:trPr>
          <w:trHeight w:val="525"/>
        </w:trPr>
        <w:tc>
          <w:tcPr>
            <w:tcW w:w="5070"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ListNoBullet"/>
              <w:rPr>
                <w:b/>
                <w:bCs/>
                <w:sz w:val="22"/>
                <w:szCs w:val="22"/>
                <w:lang w:val="sk-SK" w:eastAsia="en-GB"/>
              </w:rPr>
            </w:pPr>
            <w:r w:rsidRPr="00366F86">
              <w:rPr>
                <w:b/>
                <w:bCs/>
                <w:sz w:val="22"/>
                <w:szCs w:val="22"/>
                <w:lang w:val="sk-SK"/>
              </w:rPr>
              <w:t>Poruchy reprodukčného systému a prsníkov</w:t>
            </w: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r w:rsidRPr="00366F86">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r w:rsidRPr="00366F86">
              <w:rPr>
                <w:sz w:val="22"/>
                <w:szCs w:val="22"/>
                <w:lang w:val="sk-SK"/>
              </w:rPr>
              <w:t>gynekomastia</w:t>
            </w:r>
          </w:p>
        </w:tc>
      </w:tr>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ListNoBullet"/>
              <w:keepNext/>
              <w:rPr>
                <w:b/>
                <w:bCs/>
                <w:sz w:val="22"/>
                <w:szCs w:val="22"/>
                <w:lang w:val="sk-SK"/>
              </w:rPr>
            </w:pPr>
            <w:r w:rsidRPr="00366F86">
              <w:rPr>
                <w:b/>
                <w:bCs/>
                <w:sz w:val="22"/>
                <w:szCs w:val="22"/>
                <w:lang w:val="sk-SK"/>
              </w:rPr>
              <w:t>Celkové poruchy a reakcie v mieste podania</w:t>
            </w:r>
          </w:p>
          <w:p w:rsidR="00061903" w:rsidRDefault="00061903" w:rsidP="00B7371A">
            <w:pPr>
              <w:pStyle w:val="Paragraph"/>
              <w:overflowPunct w:val="0"/>
              <w:autoSpaceDE w:val="0"/>
              <w:autoSpaceDN w:val="0"/>
              <w:adjustRightInd w:val="0"/>
              <w:spacing w:after="0"/>
              <w:textAlignment w:val="baseline"/>
              <w:rPr>
                <w:i/>
                <w:iCs/>
                <w:sz w:val="22"/>
                <w:szCs w:val="22"/>
                <w:lang w:val="sk-SK"/>
              </w:rPr>
            </w:pPr>
            <w:r>
              <w:rPr>
                <w:i/>
                <w:iCs/>
                <w:sz w:val="22"/>
                <w:szCs w:val="22"/>
                <w:lang w:val="sk-SK"/>
              </w:rPr>
              <w:t>Časté</w:t>
            </w: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r w:rsidRPr="00366F86">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p w:rsidR="00061903" w:rsidRDefault="00CA1E68" w:rsidP="001F692E">
            <w:pPr>
              <w:pStyle w:val="Paragraph"/>
              <w:overflowPunct w:val="0"/>
              <w:autoSpaceDE w:val="0"/>
              <w:autoSpaceDN w:val="0"/>
              <w:adjustRightInd w:val="0"/>
              <w:spacing w:after="0"/>
              <w:textAlignment w:val="baseline"/>
              <w:rPr>
                <w:sz w:val="22"/>
                <w:szCs w:val="22"/>
                <w:lang w:val="sk-SK"/>
              </w:rPr>
            </w:pPr>
            <w:r w:rsidRPr="00366F86">
              <w:rPr>
                <w:sz w:val="22"/>
                <w:szCs w:val="22"/>
                <w:lang w:val="sk-SK"/>
              </w:rPr>
              <w:t>asténia</w:t>
            </w:r>
          </w:p>
          <w:p w:rsidR="00CA1E68" w:rsidRPr="00366F86" w:rsidRDefault="00061903" w:rsidP="001F692E">
            <w:pPr>
              <w:pStyle w:val="Paragraph"/>
              <w:overflowPunct w:val="0"/>
              <w:autoSpaceDE w:val="0"/>
              <w:autoSpaceDN w:val="0"/>
              <w:adjustRightInd w:val="0"/>
              <w:spacing w:after="0"/>
              <w:textAlignment w:val="baseline"/>
              <w:rPr>
                <w:sz w:val="22"/>
                <w:szCs w:val="22"/>
                <w:lang w:val="sk-SK"/>
              </w:rPr>
            </w:pPr>
            <w:r>
              <w:rPr>
                <w:sz w:val="22"/>
                <w:szCs w:val="22"/>
                <w:lang w:val="sk-SK"/>
              </w:rPr>
              <w:t>pocit ťažoby</w:t>
            </w:r>
          </w:p>
        </w:tc>
      </w:tr>
      <w:tr w:rsidR="00CA1E68" w:rsidRPr="00366F86" w:rsidTr="00B7371A">
        <w:tc>
          <w:tcPr>
            <w:tcW w:w="5070"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ListNoBullet"/>
              <w:keepNext/>
              <w:rPr>
                <w:b/>
                <w:bCs/>
                <w:sz w:val="22"/>
                <w:szCs w:val="22"/>
                <w:lang w:val="sk-SK"/>
              </w:rPr>
            </w:pPr>
            <w:r w:rsidRPr="00366F86">
              <w:rPr>
                <w:b/>
                <w:bCs/>
                <w:sz w:val="22"/>
                <w:szCs w:val="22"/>
                <w:lang w:val="sk-SK"/>
              </w:rPr>
              <w:t>Laboratórne a funkčné vyšetrenia</w:t>
            </w:r>
          </w:p>
          <w:p w:rsidR="00CA1E68" w:rsidRPr="00366F86" w:rsidRDefault="00CA1E68" w:rsidP="00B7371A">
            <w:pPr>
              <w:pStyle w:val="Paragraph"/>
              <w:keepNext/>
              <w:spacing w:after="0"/>
              <w:rPr>
                <w:sz w:val="22"/>
                <w:szCs w:val="22"/>
                <w:lang w:val="sk-SK"/>
              </w:rPr>
            </w:pPr>
            <w:r w:rsidRPr="00366F86">
              <w:rPr>
                <w:i/>
                <w:iCs/>
                <w:sz w:val="22"/>
                <w:szCs w:val="22"/>
                <w:lang w:val="sk-SK"/>
              </w:rPr>
              <w:t>Časté</w:t>
            </w:r>
          </w:p>
          <w:p w:rsidR="00061903" w:rsidRDefault="00061903" w:rsidP="00B7371A">
            <w:pPr>
              <w:pStyle w:val="Paragraph"/>
              <w:spacing w:after="0"/>
              <w:rPr>
                <w:i/>
                <w:iCs/>
                <w:sz w:val="22"/>
                <w:szCs w:val="22"/>
                <w:lang w:val="sk-SK"/>
              </w:rPr>
            </w:pPr>
          </w:p>
          <w:p w:rsidR="00CA1E68" w:rsidRPr="00366F86" w:rsidRDefault="00CA1E68" w:rsidP="00B7371A">
            <w:pPr>
              <w:pStyle w:val="Paragraph"/>
              <w:spacing w:after="0"/>
              <w:rPr>
                <w:sz w:val="22"/>
                <w:szCs w:val="22"/>
                <w:lang w:val="sk-SK"/>
              </w:rPr>
            </w:pPr>
            <w:r w:rsidRPr="00366F86">
              <w:rPr>
                <w:i/>
                <w:iCs/>
                <w:sz w:val="22"/>
                <w:szCs w:val="22"/>
                <w:lang w:val="sk-SK"/>
              </w:rPr>
              <w:t>Menej časté</w:t>
            </w:r>
          </w:p>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tc>
        <w:tc>
          <w:tcPr>
            <w:tcW w:w="4217" w:type="dxa"/>
            <w:tcBorders>
              <w:top w:val="single" w:sz="4" w:space="0" w:color="auto"/>
              <w:left w:val="single" w:sz="4" w:space="0" w:color="auto"/>
              <w:bottom w:val="single" w:sz="4" w:space="0" w:color="auto"/>
              <w:right w:val="single" w:sz="4" w:space="0" w:color="auto"/>
            </w:tcBorders>
          </w:tcPr>
          <w:p w:rsidR="00CA1E68" w:rsidRPr="00366F86" w:rsidRDefault="00CA1E68" w:rsidP="00B7371A">
            <w:pPr>
              <w:pStyle w:val="Paragraph"/>
              <w:overflowPunct w:val="0"/>
              <w:autoSpaceDE w:val="0"/>
              <w:autoSpaceDN w:val="0"/>
              <w:adjustRightInd w:val="0"/>
              <w:spacing w:after="0"/>
              <w:textAlignment w:val="baseline"/>
              <w:rPr>
                <w:sz w:val="22"/>
                <w:szCs w:val="22"/>
                <w:lang w:val="sk-SK"/>
              </w:rPr>
            </w:pPr>
          </w:p>
          <w:p w:rsidR="00061903" w:rsidRDefault="00CA1E68" w:rsidP="001F692E">
            <w:pPr>
              <w:pStyle w:val="Paragraph"/>
              <w:overflowPunct w:val="0"/>
              <w:autoSpaceDE w:val="0"/>
              <w:autoSpaceDN w:val="0"/>
              <w:adjustRightInd w:val="0"/>
              <w:spacing w:after="0"/>
              <w:textAlignment w:val="baseline"/>
              <w:rPr>
                <w:sz w:val="22"/>
                <w:szCs w:val="22"/>
                <w:lang w:val="sk-SK"/>
              </w:rPr>
            </w:pPr>
            <w:r w:rsidRPr="00366F86">
              <w:rPr>
                <w:sz w:val="22"/>
                <w:szCs w:val="22"/>
                <w:lang w:val="sk-SK"/>
              </w:rPr>
              <w:t>zvýšená hladina urey v</w:t>
            </w:r>
            <w:r w:rsidR="00061903">
              <w:rPr>
                <w:sz w:val="22"/>
                <w:szCs w:val="22"/>
                <w:lang w:val="sk-SK"/>
              </w:rPr>
              <w:t> </w:t>
            </w:r>
            <w:r w:rsidRPr="00366F86">
              <w:rPr>
                <w:sz w:val="22"/>
                <w:szCs w:val="22"/>
                <w:lang w:val="sk-SK"/>
              </w:rPr>
              <w:t>krvi</w:t>
            </w:r>
            <w:r w:rsidR="00061903">
              <w:rPr>
                <w:sz w:val="22"/>
                <w:szCs w:val="22"/>
                <w:lang w:val="sk-SK"/>
              </w:rPr>
              <w:t xml:space="preserve">, </w:t>
            </w:r>
            <w:r w:rsidRPr="00366F86">
              <w:rPr>
                <w:sz w:val="22"/>
                <w:szCs w:val="22"/>
                <w:lang w:val="sk-SK"/>
              </w:rPr>
              <w:t>zvýšená hladina kreatinínu v</w:t>
            </w:r>
            <w:r w:rsidR="00061903">
              <w:rPr>
                <w:sz w:val="22"/>
                <w:szCs w:val="22"/>
                <w:lang w:val="sk-SK"/>
              </w:rPr>
              <w:t> </w:t>
            </w:r>
            <w:r w:rsidRPr="00366F86">
              <w:rPr>
                <w:sz w:val="22"/>
                <w:szCs w:val="22"/>
                <w:lang w:val="sk-SK"/>
              </w:rPr>
              <w:t>krvi</w:t>
            </w:r>
          </w:p>
          <w:p w:rsidR="00CA1E68" w:rsidRPr="00366F86" w:rsidRDefault="00CA1E68" w:rsidP="001F692E">
            <w:pPr>
              <w:pStyle w:val="Paragraph"/>
              <w:overflowPunct w:val="0"/>
              <w:autoSpaceDE w:val="0"/>
              <w:autoSpaceDN w:val="0"/>
              <w:adjustRightInd w:val="0"/>
              <w:spacing w:after="0"/>
              <w:textAlignment w:val="baseline"/>
              <w:rPr>
                <w:sz w:val="22"/>
                <w:szCs w:val="22"/>
                <w:lang w:val="sk-SK"/>
              </w:rPr>
            </w:pPr>
            <w:r w:rsidRPr="00366F86">
              <w:rPr>
                <w:sz w:val="22"/>
                <w:szCs w:val="22"/>
                <w:lang w:val="sk-SK"/>
              </w:rPr>
              <w:t>znížený epidermálny receptor rastového faktoru, zvýšená hladina glukózy v krvi</w:t>
            </w:r>
          </w:p>
        </w:tc>
      </w:tr>
    </w:tbl>
    <w:p w:rsidR="00CA1E68" w:rsidRPr="00366F86" w:rsidRDefault="00CA1E68" w:rsidP="00CA1E68">
      <w:pPr>
        <w:tabs>
          <w:tab w:val="left" w:pos="567"/>
        </w:tabs>
        <w:rPr>
          <w:sz w:val="22"/>
          <w:szCs w:val="22"/>
        </w:rPr>
      </w:pPr>
    </w:p>
    <w:p w:rsidR="00FB3973" w:rsidRPr="00295DF7" w:rsidRDefault="00FB3973" w:rsidP="00FB3973">
      <w:pPr>
        <w:autoSpaceDE w:val="0"/>
        <w:autoSpaceDN w:val="0"/>
        <w:adjustRightInd w:val="0"/>
        <w:rPr>
          <w:sz w:val="22"/>
          <w:szCs w:val="22"/>
        </w:rPr>
      </w:pPr>
      <w:r w:rsidRPr="00D93408">
        <w:rPr>
          <w:sz w:val="22"/>
          <w:szCs w:val="22"/>
        </w:rPr>
        <w:t>V štúdii EPHESUS b</w:t>
      </w:r>
      <w:smartTag w:uri="urn:schemas-microsoft-com:office:smarttags" w:element="PersonName">
        <w:r w:rsidRPr="00D93408">
          <w:rPr>
            <w:sz w:val="22"/>
            <w:szCs w:val="22"/>
          </w:rPr>
          <w:t>olo</w:t>
        </w:r>
      </w:smartTag>
      <w:r w:rsidRPr="00D93408">
        <w:rPr>
          <w:sz w:val="22"/>
          <w:szCs w:val="22"/>
        </w:rPr>
        <w:t xml:space="preserve"> numericky viac prípadov cievnej príhody v skupine </w:t>
      </w:r>
      <w:r w:rsidR="00061903">
        <w:rPr>
          <w:sz w:val="22"/>
          <w:szCs w:val="22"/>
        </w:rPr>
        <w:t xml:space="preserve">veľmi starých </w:t>
      </w:r>
      <w:r w:rsidRPr="00D93408">
        <w:rPr>
          <w:sz w:val="22"/>
          <w:szCs w:val="22"/>
        </w:rPr>
        <w:t>pacientov (</w:t>
      </w:r>
      <w:r w:rsidR="00E524CE">
        <w:rPr>
          <w:sz w:val="22"/>
          <w:szCs w:val="22"/>
        </w:rPr>
        <w:t xml:space="preserve">˃ </w:t>
      </w:r>
      <w:r w:rsidRPr="00D93408">
        <w:rPr>
          <w:sz w:val="22"/>
          <w:szCs w:val="22"/>
        </w:rPr>
        <w:t xml:space="preserve">75 rokov). </w:t>
      </w:r>
      <w:r w:rsidR="00EF04F8" w:rsidRPr="00D93408">
        <w:rPr>
          <w:sz w:val="22"/>
          <w:szCs w:val="22"/>
        </w:rPr>
        <w:t>N</w:t>
      </w:r>
      <w:r w:rsidRPr="00D93408">
        <w:rPr>
          <w:sz w:val="22"/>
          <w:szCs w:val="22"/>
        </w:rPr>
        <w:t xml:space="preserve">ezistil sa </w:t>
      </w:r>
      <w:r w:rsidR="00EF04F8" w:rsidRPr="00D93408">
        <w:rPr>
          <w:sz w:val="22"/>
          <w:szCs w:val="22"/>
        </w:rPr>
        <w:t>však</w:t>
      </w:r>
      <w:r w:rsidRPr="00D93408">
        <w:rPr>
          <w:sz w:val="22"/>
          <w:szCs w:val="22"/>
        </w:rPr>
        <w:t xml:space="preserve"> štatisticky signifikantný rozdiel medzi výskytom cievnej príhody v skupinách užívajúcich </w:t>
      </w:r>
      <w:r w:rsidR="00F97051" w:rsidRPr="00D93408">
        <w:rPr>
          <w:sz w:val="22"/>
          <w:szCs w:val="22"/>
        </w:rPr>
        <w:t xml:space="preserve">eplerenón </w:t>
      </w:r>
      <w:r w:rsidRPr="00D93408">
        <w:rPr>
          <w:sz w:val="22"/>
          <w:szCs w:val="22"/>
        </w:rPr>
        <w:t xml:space="preserve">(30) v porovnaní s placebom (22). </w:t>
      </w:r>
      <w:r w:rsidR="00442AE6" w:rsidRPr="00366F86">
        <w:rPr>
          <w:sz w:val="22"/>
          <w:szCs w:val="22"/>
        </w:rPr>
        <w:t xml:space="preserve">V štúdii EMPHASIS-HF bol počet </w:t>
      </w:r>
      <w:r w:rsidR="00442AE6" w:rsidRPr="00366F86">
        <w:rPr>
          <w:sz w:val="22"/>
          <w:szCs w:val="22"/>
        </w:rPr>
        <w:lastRenderedPageBreak/>
        <w:t xml:space="preserve">prípadov </w:t>
      </w:r>
      <w:r w:rsidR="00442AE6" w:rsidRPr="00295DF7">
        <w:rPr>
          <w:sz w:val="22"/>
          <w:szCs w:val="22"/>
        </w:rPr>
        <w:t>mozgovej príhody u </w:t>
      </w:r>
      <w:r w:rsidR="00D07889">
        <w:rPr>
          <w:sz w:val="22"/>
          <w:szCs w:val="22"/>
        </w:rPr>
        <w:t>veľmi starých</w:t>
      </w:r>
      <w:r w:rsidR="00D07889" w:rsidRPr="00295DF7">
        <w:rPr>
          <w:sz w:val="22"/>
          <w:szCs w:val="22"/>
        </w:rPr>
        <w:t xml:space="preserve"> </w:t>
      </w:r>
      <w:r w:rsidR="00442AE6" w:rsidRPr="00295DF7">
        <w:rPr>
          <w:sz w:val="22"/>
          <w:szCs w:val="22"/>
        </w:rPr>
        <w:t>pacientov (vo veku ≥ 75 rokov) 9 v skupine s eplerenónom a 8 v placebovej skupine.</w:t>
      </w:r>
    </w:p>
    <w:p w:rsidR="00442AE6" w:rsidRPr="00295DF7" w:rsidRDefault="00442AE6" w:rsidP="00FB3973">
      <w:pPr>
        <w:autoSpaceDE w:val="0"/>
        <w:autoSpaceDN w:val="0"/>
        <w:adjustRightInd w:val="0"/>
        <w:rPr>
          <w:sz w:val="22"/>
          <w:szCs w:val="22"/>
        </w:rPr>
      </w:pPr>
    </w:p>
    <w:p w:rsidR="00BA3305" w:rsidRDefault="00BA3305" w:rsidP="00BA3305">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u w:val="single"/>
        </w:rPr>
      </w:pPr>
      <w:r>
        <w:rPr>
          <w:sz w:val="22"/>
          <w:u w:val="single"/>
        </w:rPr>
        <w:t>Hlásenie podozrení na nežiaduce reakcie</w:t>
      </w:r>
    </w:p>
    <w:p w:rsidR="00BA3305" w:rsidRDefault="00BA3305" w:rsidP="00BA3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sz w:val="22"/>
        </w:rPr>
      </w:pPr>
      <w:r>
        <w:rPr>
          <w:sz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z w:val="22"/>
          <w:shd w:val="clear" w:color="auto" w:fill="C0C0C0"/>
        </w:rPr>
        <w:t>národné centrum hlásenia uvedené v </w:t>
      </w:r>
      <w:hyperlink r:id="rId7" w:history="1">
        <w:r>
          <w:rPr>
            <w:rStyle w:val="Hypertextovprepojenie"/>
            <w:sz w:val="22"/>
            <w:shd w:val="clear" w:color="auto" w:fill="C0C0C0"/>
          </w:rPr>
          <w:t>Prílohe V</w:t>
        </w:r>
      </w:hyperlink>
      <w:r>
        <w:rPr>
          <w:rStyle w:val="Hypertextovprepojenie"/>
          <w:sz w:val="22"/>
        </w:rPr>
        <w:t>.</w:t>
      </w:r>
    </w:p>
    <w:p w:rsidR="00FB3973" w:rsidRPr="00D93408" w:rsidRDefault="00FB3973">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4.9</w:t>
      </w:r>
      <w:r w:rsidR="006B71FE" w:rsidRPr="00D93408">
        <w:rPr>
          <w:b/>
          <w:bCs/>
          <w:sz w:val="22"/>
          <w:szCs w:val="22"/>
        </w:rPr>
        <w:tab/>
      </w:r>
      <w:r w:rsidRPr="00D93408">
        <w:rPr>
          <w:b/>
          <w:bCs/>
          <w:sz w:val="22"/>
          <w:szCs w:val="22"/>
        </w:rPr>
        <w:t xml:space="preserve">Predávkovanie </w:t>
      </w:r>
    </w:p>
    <w:p w:rsidR="00FB3973" w:rsidRPr="00D93408" w:rsidRDefault="00FB3973" w:rsidP="00FB3973">
      <w:pPr>
        <w:autoSpaceDE w:val="0"/>
        <w:autoSpaceDN w:val="0"/>
        <w:adjustRightInd w:val="0"/>
        <w:rPr>
          <w:b/>
          <w:bCs/>
          <w:sz w:val="22"/>
          <w:szCs w:val="22"/>
        </w:rPr>
      </w:pPr>
    </w:p>
    <w:p w:rsidR="00FB3973" w:rsidRPr="00D93408" w:rsidRDefault="00061903" w:rsidP="00FB3973">
      <w:pPr>
        <w:autoSpaceDE w:val="0"/>
        <w:autoSpaceDN w:val="0"/>
        <w:adjustRightInd w:val="0"/>
        <w:rPr>
          <w:sz w:val="22"/>
          <w:szCs w:val="22"/>
        </w:rPr>
      </w:pPr>
      <w:r w:rsidRPr="00366F86">
        <w:rPr>
          <w:sz w:val="22"/>
          <w:szCs w:val="22"/>
        </w:rPr>
        <w:t xml:space="preserve">Neboli hlásené žiadne prípady nežiaducich </w:t>
      </w:r>
      <w:r>
        <w:rPr>
          <w:sz w:val="22"/>
          <w:szCs w:val="22"/>
        </w:rPr>
        <w:t>udalostí</w:t>
      </w:r>
      <w:r w:rsidRPr="00366F86">
        <w:rPr>
          <w:sz w:val="22"/>
          <w:szCs w:val="22"/>
        </w:rPr>
        <w:t xml:space="preserve"> súvisiacich s predávkovaním eplerenónom u ľudí</w:t>
      </w:r>
      <w:r w:rsidR="00FB3973" w:rsidRPr="00D93408">
        <w:rPr>
          <w:sz w:val="22"/>
          <w:szCs w:val="22"/>
        </w:rPr>
        <w:t xml:space="preserve">. Najpravdepodobnejším príznakom predávkovania u ľudí by bola pravdepodobne hypotenzia, alebo hyperkaliémia. </w:t>
      </w:r>
      <w:r w:rsidR="00F97051" w:rsidRPr="00D93408">
        <w:rPr>
          <w:sz w:val="22"/>
          <w:szCs w:val="22"/>
        </w:rPr>
        <w:t xml:space="preserve">Eplerenón </w:t>
      </w:r>
      <w:r w:rsidR="00FB3973" w:rsidRPr="00D93408">
        <w:rPr>
          <w:sz w:val="22"/>
          <w:szCs w:val="22"/>
        </w:rPr>
        <w:t xml:space="preserve">sa nedá eliminovať hemodialýzou. Ukázalo sa, že </w:t>
      </w:r>
      <w:r w:rsidR="00F97051" w:rsidRPr="00D93408">
        <w:rPr>
          <w:sz w:val="22"/>
          <w:szCs w:val="22"/>
        </w:rPr>
        <w:t xml:space="preserve">eplerenón </w:t>
      </w:r>
      <w:r w:rsidR="00FB3973" w:rsidRPr="00D93408">
        <w:rPr>
          <w:sz w:val="22"/>
          <w:szCs w:val="22"/>
        </w:rPr>
        <w:t xml:space="preserve">sa výrazne viaže na aktívne uhlie. Ak by sa vyskytla symptomatická hypotenzia, je nevyhnutné začať s podpornou liečbou. Ak sa vyvinie hyperkaliémia, je potrebné začať štandardnú liečbu. </w:t>
      </w:r>
    </w:p>
    <w:p w:rsidR="00FB3973" w:rsidRPr="00D93408" w:rsidRDefault="00FB3973" w:rsidP="00FB3973">
      <w:pPr>
        <w:autoSpaceDE w:val="0"/>
        <w:autoSpaceDN w:val="0"/>
        <w:adjustRightInd w:val="0"/>
        <w:rPr>
          <w:sz w:val="22"/>
          <w:szCs w:val="22"/>
        </w:rPr>
      </w:pPr>
    </w:p>
    <w:p w:rsidR="000667B7" w:rsidRPr="00D93408" w:rsidRDefault="000667B7">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5.</w:t>
      </w:r>
      <w:r w:rsidR="006B71FE" w:rsidRPr="00D93408">
        <w:rPr>
          <w:b/>
          <w:bCs/>
          <w:sz w:val="22"/>
          <w:szCs w:val="22"/>
        </w:rPr>
        <w:tab/>
      </w:r>
      <w:r w:rsidRPr="00D93408">
        <w:rPr>
          <w:b/>
          <w:bCs/>
          <w:sz w:val="22"/>
          <w:szCs w:val="22"/>
        </w:rPr>
        <w:t>FARMAKOLOGICKÉ VLASTNOSTI</w:t>
      </w:r>
    </w:p>
    <w:p w:rsidR="00FB3973" w:rsidRPr="00D93408" w:rsidRDefault="00FB3973" w:rsidP="00FB3973">
      <w:pPr>
        <w:autoSpaceDE w:val="0"/>
        <w:autoSpaceDN w:val="0"/>
        <w:adjustRightInd w:val="0"/>
        <w:rPr>
          <w:b/>
          <w:bCs/>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5.1</w:t>
      </w:r>
      <w:r w:rsidR="006B71FE" w:rsidRPr="00D93408">
        <w:rPr>
          <w:b/>
          <w:bCs/>
          <w:sz w:val="22"/>
          <w:szCs w:val="22"/>
        </w:rPr>
        <w:tab/>
      </w:r>
      <w:r w:rsidRPr="00D93408">
        <w:rPr>
          <w:b/>
          <w:bCs/>
          <w:sz w:val="22"/>
          <w:szCs w:val="22"/>
        </w:rPr>
        <w:t xml:space="preserve">Farmakodynamické vlastnosti </w:t>
      </w:r>
    </w:p>
    <w:p w:rsidR="000667B7" w:rsidRPr="00D93408" w:rsidRDefault="000667B7" w:rsidP="00FB3973">
      <w:pPr>
        <w:autoSpaceDE w:val="0"/>
        <w:autoSpaceDN w:val="0"/>
        <w:adjustRightInd w:val="0"/>
        <w:rPr>
          <w:sz w:val="22"/>
          <w:szCs w:val="22"/>
        </w:rPr>
      </w:pPr>
    </w:p>
    <w:p w:rsidR="00FB3973" w:rsidRPr="00D93408" w:rsidRDefault="00FB3973" w:rsidP="00FB3973">
      <w:pPr>
        <w:autoSpaceDE w:val="0"/>
        <w:autoSpaceDN w:val="0"/>
        <w:adjustRightInd w:val="0"/>
        <w:rPr>
          <w:sz w:val="22"/>
          <w:szCs w:val="22"/>
        </w:rPr>
      </w:pPr>
      <w:r w:rsidRPr="00D93408">
        <w:rPr>
          <w:sz w:val="22"/>
          <w:szCs w:val="22"/>
        </w:rPr>
        <w:t xml:space="preserve">Farmakoterapeutická skupina: </w:t>
      </w:r>
      <w:r w:rsidR="00061903">
        <w:rPr>
          <w:sz w:val="22"/>
          <w:szCs w:val="22"/>
        </w:rPr>
        <w:t xml:space="preserve">antagonisty </w:t>
      </w:r>
      <w:r w:rsidRPr="00D93408">
        <w:rPr>
          <w:sz w:val="22"/>
          <w:szCs w:val="22"/>
        </w:rPr>
        <w:t>aldosterónu</w:t>
      </w:r>
      <w:r w:rsidR="00061903">
        <w:rPr>
          <w:sz w:val="22"/>
          <w:szCs w:val="22"/>
        </w:rPr>
        <w:t>,</w:t>
      </w:r>
      <w:r w:rsidR="009F6580">
        <w:rPr>
          <w:sz w:val="22"/>
          <w:szCs w:val="22"/>
        </w:rPr>
        <w:t xml:space="preserve"> </w:t>
      </w:r>
      <w:r w:rsidRPr="00D93408">
        <w:rPr>
          <w:sz w:val="22"/>
          <w:szCs w:val="22"/>
        </w:rPr>
        <w:t xml:space="preserve">ATC kód: C03DA04 </w:t>
      </w:r>
    </w:p>
    <w:p w:rsidR="00FB3973" w:rsidRDefault="00FB3973" w:rsidP="00FB3973">
      <w:pPr>
        <w:autoSpaceDE w:val="0"/>
        <w:autoSpaceDN w:val="0"/>
        <w:adjustRightInd w:val="0"/>
        <w:rPr>
          <w:sz w:val="22"/>
          <w:szCs w:val="22"/>
        </w:rPr>
      </w:pPr>
    </w:p>
    <w:p w:rsidR="00061903" w:rsidRPr="000502DB" w:rsidRDefault="00061903" w:rsidP="00FB3973">
      <w:pPr>
        <w:autoSpaceDE w:val="0"/>
        <w:autoSpaceDN w:val="0"/>
        <w:adjustRightInd w:val="0"/>
        <w:rPr>
          <w:sz w:val="22"/>
          <w:szCs w:val="22"/>
          <w:u w:val="single"/>
        </w:rPr>
      </w:pPr>
      <w:r>
        <w:rPr>
          <w:sz w:val="22"/>
          <w:szCs w:val="22"/>
          <w:u w:val="single"/>
        </w:rPr>
        <w:t>Mechanizmus účinku</w:t>
      </w:r>
    </w:p>
    <w:p w:rsidR="00FB3973" w:rsidRPr="00D93408" w:rsidRDefault="00F97051" w:rsidP="00FB3973">
      <w:pPr>
        <w:autoSpaceDE w:val="0"/>
        <w:autoSpaceDN w:val="0"/>
        <w:adjustRightInd w:val="0"/>
        <w:rPr>
          <w:sz w:val="22"/>
          <w:szCs w:val="22"/>
        </w:rPr>
      </w:pPr>
      <w:r w:rsidRPr="00D93408">
        <w:rPr>
          <w:sz w:val="22"/>
          <w:szCs w:val="22"/>
        </w:rPr>
        <w:t xml:space="preserve">Eplerenón </w:t>
      </w:r>
      <w:r w:rsidR="00FB3973" w:rsidRPr="00D93408">
        <w:rPr>
          <w:sz w:val="22"/>
          <w:szCs w:val="22"/>
        </w:rPr>
        <w:t xml:space="preserve">má relatívnu selektivitu z hľadiska väzby na receptory na rekombinantné ľudské mineralokortikoidy v porovnaní s jeho väzbou na receptory na rekombinantné ľudské glukokortikoidy, progesterón a androgény. </w:t>
      </w:r>
      <w:r w:rsidRPr="00D93408">
        <w:rPr>
          <w:sz w:val="22"/>
          <w:szCs w:val="22"/>
        </w:rPr>
        <w:t xml:space="preserve">Eplerenón </w:t>
      </w:r>
      <w:r w:rsidR="00FB3973" w:rsidRPr="00D93408">
        <w:rPr>
          <w:sz w:val="22"/>
          <w:szCs w:val="22"/>
        </w:rPr>
        <w:t xml:space="preserve">bráni naviazaniu aldosterónu, čo je kľúčový hormón </w:t>
      </w:r>
      <w:r w:rsidR="00220657" w:rsidRPr="00D93408">
        <w:rPr>
          <w:sz w:val="22"/>
          <w:szCs w:val="22"/>
        </w:rPr>
        <w:t xml:space="preserve">systému </w:t>
      </w:r>
      <w:r w:rsidR="00FB3973" w:rsidRPr="00D93408">
        <w:rPr>
          <w:sz w:val="22"/>
          <w:szCs w:val="22"/>
        </w:rPr>
        <w:t xml:space="preserve">renín-angiotenzín-aldosterón (RAAS), ktorý zodpovedá za reguláciu krvného tlaku a patofyziológiu </w:t>
      </w:r>
      <w:r w:rsidR="00061903">
        <w:rPr>
          <w:sz w:val="22"/>
          <w:szCs w:val="22"/>
        </w:rPr>
        <w:t xml:space="preserve">KV </w:t>
      </w:r>
      <w:r w:rsidR="00FB3973" w:rsidRPr="00D93408">
        <w:rPr>
          <w:sz w:val="22"/>
          <w:szCs w:val="22"/>
        </w:rPr>
        <w:t xml:space="preserve">choroby. </w:t>
      </w:r>
    </w:p>
    <w:p w:rsidR="00FB3973" w:rsidRDefault="00FB3973" w:rsidP="00FB3973">
      <w:pPr>
        <w:autoSpaceDE w:val="0"/>
        <w:autoSpaceDN w:val="0"/>
        <w:adjustRightInd w:val="0"/>
        <w:rPr>
          <w:sz w:val="22"/>
          <w:szCs w:val="22"/>
        </w:rPr>
      </w:pPr>
    </w:p>
    <w:p w:rsidR="00F86696" w:rsidRPr="000502DB" w:rsidRDefault="00F86696" w:rsidP="00FB3973">
      <w:pPr>
        <w:autoSpaceDE w:val="0"/>
        <w:autoSpaceDN w:val="0"/>
        <w:adjustRightInd w:val="0"/>
        <w:rPr>
          <w:sz w:val="22"/>
          <w:szCs w:val="22"/>
          <w:u w:val="single"/>
        </w:rPr>
      </w:pPr>
      <w:r>
        <w:rPr>
          <w:sz w:val="22"/>
          <w:szCs w:val="22"/>
          <w:u w:val="single"/>
        </w:rPr>
        <w:t>Farmakodynamické účinky</w:t>
      </w:r>
    </w:p>
    <w:p w:rsidR="00FB3973" w:rsidRPr="00D93408" w:rsidRDefault="00FB3973" w:rsidP="00FB3973">
      <w:pPr>
        <w:autoSpaceDE w:val="0"/>
        <w:autoSpaceDN w:val="0"/>
        <w:adjustRightInd w:val="0"/>
        <w:rPr>
          <w:sz w:val="22"/>
          <w:szCs w:val="22"/>
        </w:rPr>
      </w:pPr>
      <w:r w:rsidRPr="00D93408">
        <w:rPr>
          <w:sz w:val="22"/>
          <w:szCs w:val="22"/>
        </w:rPr>
        <w:t>B</w:t>
      </w:r>
      <w:smartTag w:uri="urn:schemas-microsoft-com:office:smarttags" w:element="PersonName">
        <w:r w:rsidRPr="00D93408">
          <w:rPr>
            <w:sz w:val="22"/>
            <w:szCs w:val="22"/>
          </w:rPr>
          <w:t>olo</w:t>
        </w:r>
      </w:smartTag>
      <w:r w:rsidRPr="00D93408">
        <w:rPr>
          <w:sz w:val="22"/>
          <w:szCs w:val="22"/>
        </w:rPr>
        <w:t xml:space="preserve"> preukázané, že </w:t>
      </w:r>
      <w:r w:rsidR="00F97051" w:rsidRPr="00D93408">
        <w:rPr>
          <w:sz w:val="22"/>
          <w:szCs w:val="22"/>
        </w:rPr>
        <w:t xml:space="preserve">eplerenón </w:t>
      </w:r>
      <w:r w:rsidRPr="00D93408">
        <w:rPr>
          <w:sz w:val="22"/>
          <w:szCs w:val="22"/>
        </w:rPr>
        <w:t xml:space="preserve">spôsobuje trvalé zvýšenie plazmatického renínu a sérového aldosterónu, čo je v súlade s inhibíciou negatívnej regulačnej spätnej väzby aldosterónu na sekréciu renínu. Výsledné zvýšenie aktivity plazmatického renínu a aldosterónu v cirkulácii neprekonáva účinky </w:t>
      </w:r>
      <w:r w:rsidR="00F97051" w:rsidRPr="00D93408">
        <w:rPr>
          <w:sz w:val="22"/>
          <w:szCs w:val="22"/>
        </w:rPr>
        <w:t>eplerenónu</w:t>
      </w:r>
      <w:r w:rsidRPr="00D93408">
        <w:rPr>
          <w:sz w:val="22"/>
          <w:szCs w:val="22"/>
        </w:rPr>
        <w:t xml:space="preserve">. </w:t>
      </w:r>
    </w:p>
    <w:p w:rsidR="00FB3973" w:rsidRPr="00D93408" w:rsidRDefault="00FB3973" w:rsidP="00FB3973">
      <w:pPr>
        <w:autoSpaceDE w:val="0"/>
        <w:autoSpaceDN w:val="0"/>
        <w:adjustRightInd w:val="0"/>
        <w:rPr>
          <w:sz w:val="22"/>
          <w:szCs w:val="22"/>
        </w:rPr>
      </w:pPr>
    </w:p>
    <w:p w:rsidR="00FB3973" w:rsidRPr="00D93408" w:rsidRDefault="00FB3973" w:rsidP="00FB3973">
      <w:pPr>
        <w:autoSpaceDE w:val="0"/>
        <w:autoSpaceDN w:val="0"/>
        <w:adjustRightInd w:val="0"/>
        <w:rPr>
          <w:sz w:val="22"/>
          <w:szCs w:val="22"/>
        </w:rPr>
      </w:pPr>
      <w:r w:rsidRPr="00D93408">
        <w:rPr>
          <w:sz w:val="22"/>
          <w:szCs w:val="22"/>
        </w:rPr>
        <w:t xml:space="preserve">V titračných štúdiách zameraných na chronické zlyhanie srdca (klasifikácia </w:t>
      </w:r>
      <w:r w:rsidR="00D45B5C">
        <w:rPr>
          <w:sz w:val="22"/>
          <w:szCs w:val="22"/>
        </w:rPr>
        <w:t xml:space="preserve">štádium </w:t>
      </w:r>
      <w:r w:rsidR="00EF04F8" w:rsidRPr="00D93408">
        <w:rPr>
          <w:sz w:val="22"/>
          <w:szCs w:val="22"/>
        </w:rPr>
        <w:t xml:space="preserve">NYHA </w:t>
      </w:r>
      <w:r w:rsidRPr="00D93408">
        <w:rPr>
          <w:sz w:val="22"/>
          <w:szCs w:val="22"/>
        </w:rPr>
        <w:t>II</w:t>
      </w:r>
      <w:r w:rsidR="00EF04F8" w:rsidRPr="00D93408">
        <w:rPr>
          <w:sz w:val="22"/>
          <w:szCs w:val="22"/>
        </w:rPr>
        <w:t xml:space="preserve"> – </w:t>
      </w:r>
      <w:r w:rsidRPr="00D93408">
        <w:rPr>
          <w:sz w:val="22"/>
          <w:szCs w:val="22"/>
        </w:rPr>
        <w:t xml:space="preserve">IV) </w:t>
      </w:r>
      <w:r w:rsidR="00EF04F8" w:rsidRPr="00D93408">
        <w:rPr>
          <w:sz w:val="22"/>
          <w:szCs w:val="22"/>
        </w:rPr>
        <w:t>spôsobilo</w:t>
      </w:r>
      <w:r w:rsidRPr="00D93408">
        <w:rPr>
          <w:sz w:val="22"/>
          <w:szCs w:val="22"/>
        </w:rPr>
        <w:t xml:space="preserve"> pridanie </w:t>
      </w:r>
      <w:r w:rsidR="00F97051" w:rsidRPr="00D93408">
        <w:rPr>
          <w:sz w:val="22"/>
          <w:szCs w:val="22"/>
        </w:rPr>
        <w:t xml:space="preserve">eplerenónu </w:t>
      </w:r>
      <w:r w:rsidRPr="00D93408">
        <w:rPr>
          <w:sz w:val="22"/>
          <w:szCs w:val="22"/>
        </w:rPr>
        <w:t xml:space="preserve">k štandardnej liečbe očakávané zvýšenie hladiny aldosterónu úmerné dávke. Podobne aj v časti štúdie EPHESUS zameranej na kardiorenálne účinky liečba </w:t>
      </w:r>
      <w:r w:rsidR="00F97051" w:rsidRPr="00D93408">
        <w:rPr>
          <w:sz w:val="22"/>
          <w:szCs w:val="22"/>
        </w:rPr>
        <w:t xml:space="preserve">eplerenónom </w:t>
      </w:r>
      <w:r w:rsidRPr="00D93408">
        <w:rPr>
          <w:sz w:val="22"/>
          <w:szCs w:val="22"/>
        </w:rPr>
        <w:t xml:space="preserve">viedla k signifikantnému zvýšeniu koncentrácie aldosterónu. Tieto výsledky potvrdzujú blokádu receptora mineralokortikoidov u týchto populácií. </w:t>
      </w:r>
    </w:p>
    <w:p w:rsidR="00FB3973" w:rsidRPr="00D93408" w:rsidRDefault="00FB3973" w:rsidP="00FB3973">
      <w:pPr>
        <w:autoSpaceDE w:val="0"/>
        <w:autoSpaceDN w:val="0"/>
        <w:adjustRightInd w:val="0"/>
        <w:rPr>
          <w:sz w:val="22"/>
          <w:szCs w:val="22"/>
        </w:rPr>
      </w:pPr>
    </w:p>
    <w:p w:rsidR="00FB3973" w:rsidRPr="00D93408" w:rsidRDefault="00F97051" w:rsidP="00FB3973">
      <w:pPr>
        <w:autoSpaceDE w:val="0"/>
        <w:autoSpaceDN w:val="0"/>
        <w:adjustRightInd w:val="0"/>
        <w:rPr>
          <w:sz w:val="22"/>
          <w:szCs w:val="22"/>
        </w:rPr>
      </w:pPr>
      <w:r w:rsidRPr="00D93408">
        <w:rPr>
          <w:sz w:val="22"/>
          <w:szCs w:val="22"/>
        </w:rPr>
        <w:t xml:space="preserve">Eplerenón </w:t>
      </w:r>
      <w:r w:rsidR="00FB3973" w:rsidRPr="00D93408">
        <w:rPr>
          <w:sz w:val="22"/>
          <w:szCs w:val="22"/>
        </w:rPr>
        <w:t xml:space="preserve">bol skúmaný v štúdii EPHESUS. EPHESUS </w:t>
      </w:r>
      <w:r w:rsidR="00F86696">
        <w:rPr>
          <w:sz w:val="22"/>
          <w:szCs w:val="22"/>
        </w:rPr>
        <w:t>bola</w:t>
      </w:r>
      <w:r w:rsidR="00FB3973" w:rsidRPr="00D93408">
        <w:rPr>
          <w:sz w:val="22"/>
          <w:szCs w:val="22"/>
        </w:rPr>
        <w:t xml:space="preserve"> </w:t>
      </w:r>
      <w:r w:rsidR="001C7CFD" w:rsidRPr="00D93408">
        <w:rPr>
          <w:sz w:val="22"/>
          <w:szCs w:val="22"/>
        </w:rPr>
        <w:t>dvojito</w:t>
      </w:r>
      <w:r w:rsidR="00FB3973" w:rsidRPr="00D93408">
        <w:rPr>
          <w:sz w:val="22"/>
          <w:szCs w:val="22"/>
        </w:rPr>
        <w:t xml:space="preserve"> zaslepená, placebom kontr</w:t>
      </w:r>
      <w:smartTag w:uri="urn:schemas-microsoft-com:office:smarttags" w:element="PersonName">
        <w:r w:rsidR="00FB3973" w:rsidRPr="00D93408">
          <w:rPr>
            <w:sz w:val="22"/>
            <w:szCs w:val="22"/>
          </w:rPr>
          <w:t>olo</w:t>
        </w:r>
      </w:smartTag>
      <w:r w:rsidR="00FB3973" w:rsidRPr="00D93408">
        <w:rPr>
          <w:sz w:val="22"/>
          <w:szCs w:val="22"/>
        </w:rPr>
        <w:t xml:space="preserve">vaná štúdia s trvaním 3 roky </w:t>
      </w:r>
      <w:r w:rsidRPr="00D93408">
        <w:rPr>
          <w:sz w:val="22"/>
          <w:szCs w:val="22"/>
        </w:rPr>
        <w:t xml:space="preserve">u </w:t>
      </w:r>
      <w:r w:rsidR="00FB3973" w:rsidRPr="00D93408">
        <w:rPr>
          <w:sz w:val="22"/>
          <w:szCs w:val="22"/>
        </w:rPr>
        <w:t xml:space="preserve">6632 </w:t>
      </w:r>
      <w:r w:rsidRPr="00D93408">
        <w:rPr>
          <w:sz w:val="22"/>
          <w:szCs w:val="22"/>
        </w:rPr>
        <w:t xml:space="preserve">pacientov </w:t>
      </w:r>
      <w:r w:rsidR="00FB3973" w:rsidRPr="00D93408">
        <w:rPr>
          <w:sz w:val="22"/>
          <w:szCs w:val="22"/>
        </w:rPr>
        <w:t>s akútnym</w:t>
      </w:r>
      <w:r w:rsidR="00F86696">
        <w:rPr>
          <w:sz w:val="22"/>
          <w:szCs w:val="22"/>
        </w:rPr>
        <w:t>IM</w:t>
      </w:r>
      <w:r w:rsidR="00FB3973" w:rsidRPr="00D93408">
        <w:rPr>
          <w:sz w:val="22"/>
          <w:szCs w:val="22"/>
        </w:rPr>
        <w:t xml:space="preserve">, ľavokomorovou dysfunkciu (hodnotené na základe ejekčnej frakcie ľavej komory [LVEF] </w:t>
      </w:r>
      <w:r w:rsidR="00FB3973" w:rsidRPr="00D93408">
        <w:rPr>
          <w:rFonts w:eastAsia="SymbolMT"/>
          <w:sz w:val="22"/>
          <w:szCs w:val="22"/>
        </w:rPr>
        <w:t>≤</w:t>
      </w:r>
      <w:r w:rsidR="00FB3973" w:rsidRPr="00D93408">
        <w:rPr>
          <w:sz w:val="22"/>
          <w:szCs w:val="22"/>
        </w:rPr>
        <w:t>40</w:t>
      </w:r>
      <w:r w:rsidR="001C7CFD" w:rsidRPr="00D93408">
        <w:rPr>
          <w:sz w:val="22"/>
          <w:szCs w:val="22"/>
        </w:rPr>
        <w:t> </w:t>
      </w:r>
      <w:r w:rsidR="00FB3973" w:rsidRPr="00D93408">
        <w:rPr>
          <w:sz w:val="22"/>
          <w:szCs w:val="22"/>
        </w:rPr>
        <w:t>%) a</w:t>
      </w:r>
      <w:r w:rsidR="004666AB" w:rsidRPr="00D93408">
        <w:rPr>
          <w:sz w:val="22"/>
          <w:szCs w:val="22"/>
        </w:rPr>
        <w:t> </w:t>
      </w:r>
      <w:r w:rsidR="00FB3973" w:rsidRPr="00D93408">
        <w:rPr>
          <w:sz w:val="22"/>
          <w:szCs w:val="22"/>
        </w:rPr>
        <w:t>klinickými príznakmi srdcového zlyhania. Do 3</w:t>
      </w:r>
      <w:r w:rsidR="001C7CFD" w:rsidRPr="00D93408">
        <w:rPr>
          <w:sz w:val="22"/>
          <w:szCs w:val="22"/>
        </w:rPr>
        <w:t xml:space="preserve"> </w:t>
      </w:r>
      <w:r w:rsidR="00F86696">
        <w:rPr>
          <w:sz w:val="22"/>
          <w:szCs w:val="22"/>
        </w:rPr>
        <w:t>až</w:t>
      </w:r>
      <w:r w:rsidR="001C7CFD" w:rsidRPr="00D93408">
        <w:rPr>
          <w:sz w:val="22"/>
          <w:szCs w:val="22"/>
        </w:rPr>
        <w:t xml:space="preserve"> </w:t>
      </w:r>
      <w:r w:rsidR="00FB3973" w:rsidRPr="00D93408">
        <w:rPr>
          <w:sz w:val="22"/>
          <w:szCs w:val="22"/>
        </w:rPr>
        <w:t xml:space="preserve">14 dní (medián 7 dní) po akútnom infarkte myokardu bol pacientom k štandardnej terapii doplnený </w:t>
      </w:r>
      <w:r w:rsidRPr="00D93408">
        <w:rPr>
          <w:sz w:val="22"/>
          <w:szCs w:val="22"/>
        </w:rPr>
        <w:t xml:space="preserve">eplerenón </w:t>
      </w:r>
      <w:r w:rsidR="00FB3973" w:rsidRPr="00D93408">
        <w:rPr>
          <w:sz w:val="22"/>
          <w:szCs w:val="22"/>
        </w:rPr>
        <w:t>alebo placebo v počiatočnej dávke 25 mg jedenkrát denne a dávka bola postupne titrovaná na cieľovú dávku 50 mg jedenkrát denne počas 4 týždňov za predpokladu, že sérová koncentrácia draslíka bola &lt;5,0 mmol/l. Počas štúdie pacienti dostávali štandardnú liečbu vrátane kyseliny acetylsalicylovej (92</w:t>
      </w:r>
      <w:r w:rsidR="001C7CFD" w:rsidRPr="00D93408">
        <w:rPr>
          <w:sz w:val="22"/>
          <w:szCs w:val="22"/>
        </w:rPr>
        <w:t> </w:t>
      </w:r>
      <w:r w:rsidR="00FB3973" w:rsidRPr="00D93408">
        <w:rPr>
          <w:sz w:val="22"/>
          <w:szCs w:val="22"/>
        </w:rPr>
        <w:t>%), ACE inhibítorov (90</w:t>
      </w:r>
      <w:r w:rsidR="001C7CFD" w:rsidRPr="00D93408">
        <w:rPr>
          <w:sz w:val="22"/>
          <w:szCs w:val="22"/>
        </w:rPr>
        <w:t> </w:t>
      </w:r>
      <w:r w:rsidR="00FB3973" w:rsidRPr="00D93408">
        <w:rPr>
          <w:sz w:val="22"/>
          <w:szCs w:val="22"/>
        </w:rPr>
        <w:t>%), ß-blokátorov (83</w:t>
      </w:r>
      <w:r w:rsidR="001C7CFD" w:rsidRPr="00D93408">
        <w:rPr>
          <w:sz w:val="22"/>
          <w:szCs w:val="22"/>
        </w:rPr>
        <w:t> </w:t>
      </w:r>
      <w:r w:rsidR="00FB3973" w:rsidRPr="00D93408">
        <w:rPr>
          <w:sz w:val="22"/>
          <w:szCs w:val="22"/>
        </w:rPr>
        <w:t>%), nitrátov (72</w:t>
      </w:r>
      <w:r w:rsidR="001C7CFD" w:rsidRPr="00D93408">
        <w:rPr>
          <w:sz w:val="22"/>
          <w:szCs w:val="22"/>
        </w:rPr>
        <w:t> </w:t>
      </w:r>
      <w:r w:rsidR="00FB3973" w:rsidRPr="00D93408">
        <w:rPr>
          <w:sz w:val="22"/>
          <w:szCs w:val="22"/>
        </w:rPr>
        <w:t>%), slučkových diuretík (66</w:t>
      </w:r>
      <w:r w:rsidR="001C7CFD" w:rsidRPr="00D93408">
        <w:rPr>
          <w:sz w:val="22"/>
          <w:szCs w:val="22"/>
        </w:rPr>
        <w:t> </w:t>
      </w:r>
      <w:r w:rsidR="00FB3973" w:rsidRPr="00D93408">
        <w:rPr>
          <w:sz w:val="22"/>
          <w:szCs w:val="22"/>
        </w:rPr>
        <w:t>%) alebo inhibítorov reduktázy HMG CoA (60</w:t>
      </w:r>
      <w:r w:rsidR="001C7CFD" w:rsidRPr="00D93408">
        <w:rPr>
          <w:sz w:val="22"/>
          <w:szCs w:val="22"/>
        </w:rPr>
        <w:t> </w:t>
      </w:r>
      <w:r w:rsidR="00FB3973" w:rsidRPr="00D93408">
        <w:rPr>
          <w:sz w:val="22"/>
          <w:szCs w:val="22"/>
        </w:rPr>
        <w:t xml:space="preserve">%). </w:t>
      </w:r>
    </w:p>
    <w:p w:rsidR="00FB3973" w:rsidRPr="00D93408" w:rsidRDefault="00FB3973" w:rsidP="00FB3973">
      <w:pPr>
        <w:autoSpaceDE w:val="0"/>
        <w:autoSpaceDN w:val="0"/>
        <w:adjustRightInd w:val="0"/>
        <w:rPr>
          <w:sz w:val="22"/>
          <w:szCs w:val="22"/>
        </w:rPr>
      </w:pPr>
    </w:p>
    <w:p w:rsidR="00FB3973" w:rsidRPr="00D93408" w:rsidRDefault="00FB3973" w:rsidP="00FB3973">
      <w:pPr>
        <w:autoSpaceDE w:val="0"/>
        <w:autoSpaceDN w:val="0"/>
        <w:adjustRightInd w:val="0"/>
        <w:rPr>
          <w:sz w:val="22"/>
          <w:szCs w:val="22"/>
        </w:rPr>
      </w:pPr>
      <w:r w:rsidRPr="00D93408">
        <w:rPr>
          <w:sz w:val="22"/>
          <w:szCs w:val="22"/>
        </w:rPr>
        <w:t>V štúdii EPHESUS boli primárnymi endpointami mortalita zo všetkých príčin a kombinovaný endpoint KV smrti,</w:t>
      </w:r>
      <w:r w:rsidR="00C479DC" w:rsidRPr="00D93408">
        <w:rPr>
          <w:sz w:val="22"/>
          <w:szCs w:val="22"/>
        </w:rPr>
        <w:t xml:space="preserve"> </w:t>
      </w:r>
      <w:r w:rsidRPr="00D93408">
        <w:rPr>
          <w:sz w:val="22"/>
          <w:szCs w:val="22"/>
        </w:rPr>
        <w:t>alebo KV hospitalizácie</w:t>
      </w:r>
      <w:r w:rsidR="00A114B8" w:rsidRPr="00D93408">
        <w:rPr>
          <w:sz w:val="22"/>
          <w:szCs w:val="22"/>
        </w:rPr>
        <w:t>;</w:t>
      </w:r>
      <w:r w:rsidRPr="00D93408">
        <w:rPr>
          <w:sz w:val="22"/>
          <w:szCs w:val="22"/>
        </w:rPr>
        <w:t xml:space="preserve"> </w:t>
      </w:r>
      <w:r w:rsidR="00A114B8" w:rsidRPr="00D93408">
        <w:rPr>
          <w:sz w:val="22"/>
          <w:szCs w:val="22"/>
        </w:rPr>
        <w:t>zomrelo (zo všetkých príčin)</w:t>
      </w:r>
      <w:r w:rsidRPr="00D93408">
        <w:rPr>
          <w:sz w:val="22"/>
          <w:szCs w:val="22"/>
        </w:rPr>
        <w:t xml:space="preserve"> 14,4</w:t>
      </w:r>
      <w:r w:rsidR="00A114B8" w:rsidRPr="00D93408">
        <w:rPr>
          <w:sz w:val="22"/>
          <w:szCs w:val="22"/>
        </w:rPr>
        <w:t> </w:t>
      </w:r>
      <w:r w:rsidRPr="00D93408">
        <w:rPr>
          <w:sz w:val="22"/>
          <w:szCs w:val="22"/>
        </w:rPr>
        <w:t xml:space="preserve">% pacientov zaradených do skupiny užívajúcej </w:t>
      </w:r>
      <w:r w:rsidR="00F97051" w:rsidRPr="00D93408">
        <w:rPr>
          <w:sz w:val="22"/>
          <w:szCs w:val="22"/>
        </w:rPr>
        <w:t xml:space="preserve">eplerenón </w:t>
      </w:r>
      <w:r w:rsidRPr="00D93408">
        <w:rPr>
          <w:sz w:val="22"/>
          <w:szCs w:val="22"/>
        </w:rPr>
        <w:t>a 16,7</w:t>
      </w:r>
      <w:r w:rsidR="00A114B8" w:rsidRPr="00D93408">
        <w:rPr>
          <w:sz w:val="22"/>
          <w:szCs w:val="22"/>
        </w:rPr>
        <w:t> </w:t>
      </w:r>
      <w:r w:rsidRPr="00D93408">
        <w:rPr>
          <w:sz w:val="22"/>
          <w:szCs w:val="22"/>
        </w:rPr>
        <w:t>% pacientov zaradených do skupiny užívajúcej placebo, zatiaľ</w:t>
      </w:r>
      <w:r w:rsidR="00A114B8" w:rsidRPr="00D93408">
        <w:rPr>
          <w:sz w:val="22"/>
          <w:szCs w:val="22"/>
        </w:rPr>
        <w:t xml:space="preserve"> </w:t>
      </w:r>
      <w:r w:rsidRPr="00D93408">
        <w:rPr>
          <w:sz w:val="22"/>
          <w:szCs w:val="22"/>
        </w:rPr>
        <w:t>čo 26,7</w:t>
      </w:r>
      <w:r w:rsidR="00A114B8" w:rsidRPr="00D93408">
        <w:rPr>
          <w:sz w:val="22"/>
          <w:szCs w:val="22"/>
        </w:rPr>
        <w:t> </w:t>
      </w:r>
      <w:r w:rsidRPr="00D93408">
        <w:rPr>
          <w:sz w:val="22"/>
          <w:szCs w:val="22"/>
        </w:rPr>
        <w:t xml:space="preserve">% pacientov zaradených do skupiny užívajúcej </w:t>
      </w:r>
      <w:r w:rsidR="00C479DC" w:rsidRPr="00D93408">
        <w:rPr>
          <w:sz w:val="22"/>
          <w:szCs w:val="22"/>
        </w:rPr>
        <w:t xml:space="preserve">eplerenón </w:t>
      </w:r>
      <w:r w:rsidRPr="00D93408">
        <w:rPr>
          <w:sz w:val="22"/>
          <w:szCs w:val="22"/>
        </w:rPr>
        <w:t>a 30,0</w:t>
      </w:r>
      <w:r w:rsidR="00A114B8" w:rsidRPr="00D93408">
        <w:rPr>
          <w:sz w:val="22"/>
          <w:szCs w:val="22"/>
        </w:rPr>
        <w:t> </w:t>
      </w:r>
      <w:r w:rsidRPr="00D93408">
        <w:rPr>
          <w:sz w:val="22"/>
          <w:szCs w:val="22"/>
        </w:rPr>
        <w:t xml:space="preserve">% pacientov zaradených do skupiny užívajúcej placebo splnilo kombinovaný endpoint KV smrti alebo </w:t>
      </w:r>
      <w:r w:rsidRPr="00D93408">
        <w:rPr>
          <w:sz w:val="22"/>
          <w:szCs w:val="22"/>
        </w:rPr>
        <w:lastRenderedPageBreak/>
        <w:t>hospitalizácie. V štúdii EPHESUS teda eplerenon znižoval riziko smrti z akejkoľvek príčiny o</w:t>
      </w:r>
      <w:r w:rsidR="00A114B8" w:rsidRPr="00D93408">
        <w:rPr>
          <w:sz w:val="22"/>
          <w:szCs w:val="22"/>
        </w:rPr>
        <w:t> </w:t>
      </w:r>
      <w:r w:rsidRPr="00D93408">
        <w:rPr>
          <w:sz w:val="22"/>
          <w:szCs w:val="22"/>
        </w:rPr>
        <w:t>15</w:t>
      </w:r>
      <w:r w:rsidR="00A114B8" w:rsidRPr="00D93408">
        <w:rPr>
          <w:sz w:val="22"/>
          <w:szCs w:val="22"/>
        </w:rPr>
        <w:t> </w:t>
      </w:r>
      <w:r w:rsidRPr="00D93408">
        <w:rPr>
          <w:sz w:val="22"/>
          <w:szCs w:val="22"/>
        </w:rPr>
        <w:t>% (RR 0,85</w:t>
      </w:r>
      <w:r w:rsidR="00A114B8" w:rsidRPr="00D93408">
        <w:rPr>
          <w:sz w:val="22"/>
          <w:szCs w:val="22"/>
        </w:rPr>
        <w:t>;</w:t>
      </w:r>
      <w:r w:rsidRPr="00D93408">
        <w:rPr>
          <w:sz w:val="22"/>
          <w:szCs w:val="22"/>
        </w:rPr>
        <w:t xml:space="preserve"> 95</w:t>
      </w:r>
      <w:r w:rsidR="00A114B8" w:rsidRPr="00D93408">
        <w:rPr>
          <w:sz w:val="22"/>
          <w:szCs w:val="22"/>
        </w:rPr>
        <w:t> </w:t>
      </w:r>
      <w:r w:rsidRPr="00D93408">
        <w:rPr>
          <w:sz w:val="22"/>
          <w:szCs w:val="22"/>
        </w:rPr>
        <w:t>% CI, 0,75</w:t>
      </w:r>
      <w:r w:rsidR="00A114B8" w:rsidRPr="00D93408">
        <w:rPr>
          <w:sz w:val="22"/>
          <w:szCs w:val="22"/>
        </w:rPr>
        <w:t xml:space="preserve"> – </w:t>
      </w:r>
      <w:r w:rsidRPr="00D93408">
        <w:rPr>
          <w:sz w:val="22"/>
          <w:szCs w:val="22"/>
        </w:rPr>
        <w:t>0,96</w:t>
      </w:r>
      <w:r w:rsidR="00A114B8" w:rsidRPr="00D93408">
        <w:rPr>
          <w:sz w:val="22"/>
          <w:szCs w:val="22"/>
        </w:rPr>
        <w:t>;</w:t>
      </w:r>
      <w:r w:rsidRPr="00D93408">
        <w:rPr>
          <w:sz w:val="22"/>
          <w:szCs w:val="22"/>
        </w:rPr>
        <w:t xml:space="preserve"> p=0,008) v porovnaní s</w:t>
      </w:r>
      <w:r w:rsidR="00A114B8" w:rsidRPr="00D93408">
        <w:rPr>
          <w:sz w:val="22"/>
          <w:szCs w:val="22"/>
        </w:rPr>
        <w:t> </w:t>
      </w:r>
      <w:r w:rsidRPr="00D93408">
        <w:rPr>
          <w:sz w:val="22"/>
          <w:szCs w:val="22"/>
        </w:rPr>
        <w:t>placebom</w:t>
      </w:r>
      <w:r w:rsidR="00A114B8" w:rsidRPr="00D93408">
        <w:rPr>
          <w:sz w:val="22"/>
          <w:szCs w:val="22"/>
        </w:rPr>
        <w:t>,</w:t>
      </w:r>
      <w:r w:rsidRPr="00D93408">
        <w:rPr>
          <w:sz w:val="22"/>
          <w:szCs w:val="22"/>
        </w:rPr>
        <w:t xml:space="preserve"> a to hlavne vďaka </w:t>
      </w:r>
      <w:r w:rsidR="00A114B8" w:rsidRPr="00D93408">
        <w:rPr>
          <w:sz w:val="22"/>
          <w:szCs w:val="22"/>
        </w:rPr>
        <w:t>zníženiu</w:t>
      </w:r>
      <w:r w:rsidRPr="00D93408">
        <w:rPr>
          <w:sz w:val="22"/>
          <w:szCs w:val="22"/>
        </w:rPr>
        <w:t xml:space="preserve"> KV mortality. Riziko KV smrti alebo KV hospitalizácie </w:t>
      </w:r>
      <w:r w:rsidR="00A114B8" w:rsidRPr="00D93408">
        <w:rPr>
          <w:sz w:val="22"/>
          <w:szCs w:val="22"/>
        </w:rPr>
        <w:t>sa</w:t>
      </w:r>
      <w:r w:rsidRPr="00D93408">
        <w:rPr>
          <w:sz w:val="22"/>
          <w:szCs w:val="22"/>
        </w:rPr>
        <w:t xml:space="preserve"> pri užívaní </w:t>
      </w:r>
      <w:r w:rsidR="00C479DC" w:rsidRPr="00D93408">
        <w:rPr>
          <w:sz w:val="22"/>
          <w:szCs w:val="22"/>
        </w:rPr>
        <w:t xml:space="preserve">eplerenónu </w:t>
      </w:r>
      <w:r w:rsidRPr="00D93408">
        <w:rPr>
          <w:sz w:val="22"/>
          <w:szCs w:val="22"/>
        </w:rPr>
        <w:t>zníž</w:t>
      </w:r>
      <w:r w:rsidR="00A114B8" w:rsidRPr="00D93408">
        <w:rPr>
          <w:sz w:val="22"/>
          <w:szCs w:val="22"/>
        </w:rPr>
        <w:t>ilo</w:t>
      </w:r>
      <w:r w:rsidRPr="00D93408">
        <w:rPr>
          <w:sz w:val="22"/>
          <w:szCs w:val="22"/>
        </w:rPr>
        <w:t xml:space="preserve"> o</w:t>
      </w:r>
      <w:r w:rsidR="00A114B8" w:rsidRPr="00D93408">
        <w:rPr>
          <w:sz w:val="22"/>
          <w:szCs w:val="22"/>
        </w:rPr>
        <w:t> </w:t>
      </w:r>
      <w:r w:rsidRPr="00D93408">
        <w:rPr>
          <w:sz w:val="22"/>
          <w:szCs w:val="22"/>
        </w:rPr>
        <w:t>13</w:t>
      </w:r>
      <w:r w:rsidR="00A114B8" w:rsidRPr="00D93408">
        <w:rPr>
          <w:sz w:val="22"/>
          <w:szCs w:val="22"/>
        </w:rPr>
        <w:t xml:space="preserve"> </w:t>
      </w:r>
      <w:r w:rsidRPr="00D93408">
        <w:rPr>
          <w:sz w:val="22"/>
          <w:szCs w:val="22"/>
        </w:rPr>
        <w:t>% (RR 0,87; 95</w:t>
      </w:r>
      <w:r w:rsidR="00A114B8" w:rsidRPr="00D93408">
        <w:rPr>
          <w:sz w:val="22"/>
          <w:szCs w:val="22"/>
        </w:rPr>
        <w:t> </w:t>
      </w:r>
      <w:r w:rsidRPr="00D93408">
        <w:rPr>
          <w:sz w:val="22"/>
          <w:szCs w:val="22"/>
        </w:rPr>
        <w:t>% CI, 0,79</w:t>
      </w:r>
      <w:r w:rsidR="00A114B8" w:rsidRPr="00D93408">
        <w:rPr>
          <w:sz w:val="22"/>
          <w:szCs w:val="22"/>
        </w:rPr>
        <w:t xml:space="preserve"> </w:t>
      </w:r>
      <w:r w:rsidRPr="00D93408">
        <w:rPr>
          <w:sz w:val="22"/>
          <w:szCs w:val="22"/>
        </w:rPr>
        <w:t>-</w:t>
      </w:r>
      <w:r w:rsidR="00A114B8" w:rsidRPr="00D93408">
        <w:rPr>
          <w:sz w:val="22"/>
          <w:szCs w:val="22"/>
        </w:rPr>
        <w:t xml:space="preserve"> </w:t>
      </w:r>
      <w:r w:rsidRPr="00D93408">
        <w:rPr>
          <w:sz w:val="22"/>
          <w:szCs w:val="22"/>
        </w:rPr>
        <w:t xml:space="preserve">0,95; p=0,002). </w:t>
      </w:r>
      <w:r w:rsidR="00A114B8" w:rsidRPr="00D93408">
        <w:rPr>
          <w:sz w:val="22"/>
          <w:szCs w:val="22"/>
        </w:rPr>
        <w:t>Zníženie</w:t>
      </w:r>
      <w:r w:rsidRPr="00D93408">
        <w:rPr>
          <w:sz w:val="22"/>
          <w:szCs w:val="22"/>
        </w:rPr>
        <w:t xml:space="preserve"> absolútneho rizika </w:t>
      </w:r>
      <w:r w:rsidR="00A114B8" w:rsidRPr="00D93408">
        <w:rPr>
          <w:sz w:val="22"/>
          <w:szCs w:val="22"/>
        </w:rPr>
        <w:t xml:space="preserve">pre </w:t>
      </w:r>
      <w:r w:rsidRPr="00D93408">
        <w:rPr>
          <w:sz w:val="22"/>
          <w:szCs w:val="22"/>
        </w:rPr>
        <w:t>endpointy mortalit</w:t>
      </w:r>
      <w:r w:rsidR="00A114B8" w:rsidRPr="00D93408">
        <w:rPr>
          <w:sz w:val="22"/>
          <w:szCs w:val="22"/>
        </w:rPr>
        <w:t>y</w:t>
      </w:r>
      <w:r w:rsidRPr="00D93408">
        <w:rPr>
          <w:sz w:val="22"/>
          <w:szCs w:val="22"/>
        </w:rPr>
        <w:t xml:space="preserve"> zo všetkých príčin a KV mortalit</w:t>
      </w:r>
      <w:r w:rsidR="00A114B8" w:rsidRPr="00D93408">
        <w:rPr>
          <w:sz w:val="22"/>
          <w:szCs w:val="22"/>
        </w:rPr>
        <w:t>y</w:t>
      </w:r>
      <w:r w:rsidRPr="00D93408">
        <w:rPr>
          <w:sz w:val="22"/>
          <w:szCs w:val="22"/>
        </w:rPr>
        <w:t>/</w:t>
      </w:r>
      <w:r w:rsidR="00AD3202" w:rsidRPr="00D93408">
        <w:rPr>
          <w:sz w:val="22"/>
          <w:szCs w:val="22"/>
        </w:rPr>
        <w:t>hospitalizáciu</w:t>
      </w:r>
      <w:r w:rsidRPr="00D93408">
        <w:rPr>
          <w:sz w:val="22"/>
          <w:szCs w:val="22"/>
        </w:rPr>
        <w:t xml:space="preserve"> bola 2,3</w:t>
      </w:r>
      <w:r w:rsidR="00F86696">
        <w:rPr>
          <w:sz w:val="22"/>
          <w:szCs w:val="22"/>
        </w:rPr>
        <w:t>%,</w:t>
      </w:r>
      <w:r w:rsidRPr="00D93408">
        <w:rPr>
          <w:sz w:val="22"/>
          <w:szCs w:val="22"/>
        </w:rPr>
        <w:t xml:space="preserve"> resp. 3,3</w:t>
      </w:r>
      <w:r w:rsidR="00A114B8" w:rsidRPr="00D93408">
        <w:rPr>
          <w:sz w:val="22"/>
          <w:szCs w:val="22"/>
        </w:rPr>
        <w:t> </w:t>
      </w:r>
      <w:r w:rsidRPr="00D93408">
        <w:rPr>
          <w:sz w:val="22"/>
          <w:szCs w:val="22"/>
        </w:rPr>
        <w:t xml:space="preserve">%. Klinická účinnosť bola primárne preukázaná pri nasadení liečby </w:t>
      </w:r>
      <w:r w:rsidR="00C479DC" w:rsidRPr="00D93408">
        <w:rPr>
          <w:sz w:val="22"/>
          <w:szCs w:val="22"/>
        </w:rPr>
        <w:t xml:space="preserve">eplerenónom </w:t>
      </w:r>
      <w:r w:rsidRPr="00D93408">
        <w:rPr>
          <w:sz w:val="22"/>
          <w:szCs w:val="22"/>
        </w:rPr>
        <w:t>u pacientov vo veku &lt;</w:t>
      </w:r>
      <w:r w:rsidR="00A114B8" w:rsidRPr="00D93408">
        <w:rPr>
          <w:sz w:val="22"/>
          <w:szCs w:val="22"/>
        </w:rPr>
        <w:t xml:space="preserve"> </w:t>
      </w:r>
      <w:r w:rsidRPr="00D93408">
        <w:rPr>
          <w:sz w:val="22"/>
          <w:szCs w:val="22"/>
        </w:rPr>
        <w:t xml:space="preserve">75 rokov. Benefity liečby u pacientov vo veku nad 75 rokov nie sú jasné. Funkčná klasifikácia podľa NYHA sa zlepšila, alebo zostala nezmenená u štatisticky signifikantne väčšieho podielu pacientov, ktorí užívali </w:t>
      </w:r>
      <w:r w:rsidR="00C479DC" w:rsidRPr="00D93408">
        <w:rPr>
          <w:sz w:val="22"/>
          <w:szCs w:val="22"/>
        </w:rPr>
        <w:t xml:space="preserve">eplerenón </w:t>
      </w:r>
      <w:r w:rsidRPr="00D93408">
        <w:rPr>
          <w:sz w:val="22"/>
          <w:szCs w:val="22"/>
        </w:rPr>
        <w:t>v porovnaní s placebom. Incidencia hyperkaliémie bola 3,4</w:t>
      </w:r>
      <w:r w:rsidR="00A114B8" w:rsidRPr="00D93408">
        <w:rPr>
          <w:sz w:val="22"/>
          <w:szCs w:val="22"/>
        </w:rPr>
        <w:t> </w:t>
      </w:r>
      <w:r w:rsidRPr="00D93408">
        <w:rPr>
          <w:sz w:val="22"/>
          <w:szCs w:val="22"/>
        </w:rPr>
        <w:t xml:space="preserve">% v skupine užívajúcej </w:t>
      </w:r>
      <w:r w:rsidR="00C479DC" w:rsidRPr="00D93408">
        <w:rPr>
          <w:sz w:val="22"/>
          <w:szCs w:val="22"/>
        </w:rPr>
        <w:t xml:space="preserve">eplerenón </w:t>
      </w:r>
      <w:r w:rsidRPr="00D93408">
        <w:rPr>
          <w:sz w:val="22"/>
          <w:szCs w:val="22"/>
        </w:rPr>
        <w:t>v porovnaní s 2,0</w:t>
      </w:r>
      <w:r w:rsidR="00A114B8" w:rsidRPr="00D93408">
        <w:rPr>
          <w:sz w:val="22"/>
          <w:szCs w:val="22"/>
        </w:rPr>
        <w:t> </w:t>
      </w:r>
      <w:r w:rsidRPr="00D93408">
        <w:rPr>
          <w:sz w:val="22"/>
          <w:szCs w:val="22"/>
        </w:rPr>
        <w:t xml:space="preserve">% v skupine užívajúcej placebo (p&lt;0,001). Incidencia hypokaliémie bola 0,5 % v skupine užívajúcej </w:t>
      </w:r>
      <w:r w:rsidR="00C479DC" w:rsidRPr="00D93408">
        <w:rPr>
          <w:sz w:val="22"/>
          <w:szCs w:val="22"/>
        </w:rPr>
        <w:t xml:space="preserve">eplerenón </w:t>
      </w:r>
      <w:r w:rsidRPr="00D93408">
        <w:rPr>
          <w:sz w:val="22"/>
          <w:szCs w:val="22"/>
        </w:rPr>
        <w:t xml:space="preserve">v porovnaní s 1,5 % v skupine užívajúcej placebo (p&lt;0,001). </w:t>
      </w:r>
    </w:p>
    <w:p w:rsidR="00FB3973" w:rsidRPr="00D93408" w:rsidRDefault="00FB3973" w:rsidP="00FB3973">
      <w:pPr>
        <w:autoSpaceDE w:val="0"/>
        <w:autoSpaceDN w:val="0"/>
        <w:adjustRightInd w:val="0"/>
        <w:rPr>
          <w:sz w:val="22"/>
          <w:szCs w:val="22"/>
        </w:rPr>
      </w:pPr>
    </w:p>
    <w:p w:rsidR="00FB3973" w:rsidRDefault="00FB3973" w:rsidP="00FB3973">
      <w:pPr>
        <w:autoSpaceDE w:val="0"/>
        <w:autoSpaceDN w:val="0"/>
        <w:adjustRightInd w:val="0"/>
        <w:rPr>
          <w:sz w:val="22"/>
          <w:szCs w:val="22"/>
        </w:rPr>
      </w:pPr>
      <w:r w:rsidRPr="00D93408">
        <w:rPr>
          <w:sz w:val="22"/>
          <w:szCs w:val="22"/>
        </w:rPr>
        <w:t xml:space="preserve">U 147 zdravých jedincov, </w:t>
      </w:r>
      <w:r w:rsidR="00C479DC" w:rsidRPr="00D93408">
        <w:rPr>
          <w:sz w:val="22"/>
          <w:szCs w:val="22"/>
        </w:rPr>
        <w:t xml:space="preserve">ktorí </w:t>
      </w:r>
      <w:r w:rsidRPr="00D93408">
        <w:rPr>
          <w:sz w:val="22"/>
          <w:szCs w:val="22"/>
        </w:rPr>
        <w:t>boli hodnotení počas farmakokinetických štúdií z hľadiska elektrokardiografických zmien neboli zistené žiadne konzisten</w:t>
      </w:r>
      <w:r w:rsidR="004666AB" w:rsidRPr="00D93408">
        <w:rPr>
          <w:sz w:val="22"/>
          <w:szCs w:val="22"/>
        </w:rPr>
        <w:t>t</w:t>
      </w:r>
      <w:r w:rsidRPr="00D93408">
        <w:rPr>
          <w:sz w:val="22"/>
          <w:szCs w:val="22"/>
        </w:rPr>
        <w:t xml:space="preserve">né účinky </w:t>
      </w:r>
      <w:r w:rsidR="00C479DC" w:rsidRPr="00D93408">
        <w:rPr>
          <w:sz w:val="22"/>
          <w:szCs w:val="22"/>
        </w:rPr>
        <w:t xml:space="preserve">eplerenónu </w:t>
      </w:r>
      <w:r w:rsidRPr="00D93408">
        <w:rPr>
          <w:sz w:val="22"/>
          <w:szCs w:val="22"/>
        </w:rPr>
        <w:t xml:space="preserve">na tepovú frekvenciu, trvanie QRS alebo PR alebo QT intervalu. </w:t>
      </w:r>
    </w:p>
    <w:p w:rsidR="00442AE6" w:rsidRDefault="00442AE6" w:rsidP="00FB3973">
      <w:pPr>
        <w:autoSpaceDE w:val="0"/>
        <w:autoSpaceDN w:val="0"/>
        <w:adjustRightInd w:val="0"/>
        <w:rPr>
          <w:sz w:val="22"/>
          <w:szCs w:val="22"/>
        </w:rPr>
      </w:pPr>
    </w:p>
    <w:p w:rsidR="00442AE6" w:rsidRPr="00366F86" w:rsidRDefault="00442AE6" w:rsidP="00442AE6">
      <w:pPr>
        <w:tabs>
          <w:tab w:val="left" w:pos="567"/>
        </w:tabs>
        <w:rPr>
          <w:sz w:val="22"/>
          <w:szCs w:val="22"/>
        </w:rPr>
      </w:pPr>
      <w:r w:rsidRPr="00366F86">
        <w:rPr>
          <w:sz w:val="22"/>
          <w:szCs w:val="22"/>
        </w:rPr>
        <w:t>V štúdii EMPHASIS-HF sa skúmal vplyv eplerenónu po jeho pridaní k štandardnej liečbe na klinické výsledky u pacientov so systolickým srdcovým zlyhávaním a ľahkými symptómami (</w:t>
      </w:r>
      <w:r w:rsidR="009F6580">
        <w:rPr>
          <w:sz w:val="22"/>
          <w:szCs w:val="22"/>
        </w:rPr>
        <w:t xml:space="preserve">štádium </w:t>
      </w:r>
      <w:r w:rsidRPr="00366F86">
        <w:rPr>
          <w:sz w:val="22"/>
          <w:szCs w:val="22"/>
        </w:rPr>
        <w:t>NYHA II).</w:t>
      </w:r>
    </w:p>
    <w:p w:rsidR="00442AE6" w:rsidRPr="00366F86" w:rsidRDefault="00442AE6" w:rsidP="00442AE6">
      <w:pPr>
        <w:tabs>
          <w:tab w:val="left" w:pos="567"/>
        </w:tabs>
        <w:rPr>
          <w:sz w:val="22"/>
          <w:szCs w:val="22"/>
        </w:rPr>
      </w:pPr>
    </w:p>
    <w:p w:rsidR="00442AE6" w:rsidRPr="00366F86" w:rsidRDefault="00442AE6" w:rsidP="00442AE6">
      <w:pPr>
        <w:tabs>
          <w:tab w:val="left" w:pos="567"/>
        </w:tabs>
        <w:rPr>
          <w:sz w:val="22"/>
          <w:szCs w:val="22"/>
        </w:rPr>
      </w:pPr>
      <w:r w:rsidRPr="00366F86">
        <w:rPr>
          <w:sz w:val="22"/>
          <w:szCs w:val="22"/>
        </w:rPr>
        <w:t xml:space="preserve">Pacienti boli zaradení, ak mali minimálne 55 rokov, mali LVEF </w:t>
      </w:r>
      <w:r w:rsidRPr="00366F86">
        <w:rPr>
          <w:sz w:val="22"/>
          <w:szCs w:val="22"/>
        </w:rPr>
        <w:sym w:font="Symbol" w:char="00A3"/>
      </w:r>
      <w:r w:rsidRPr="00366F86">
        <w:rPr>
          <w:sz w:val="22"/>
          <w:szCs w:val="22"/>
        </w:rPr>
        <w:t> 30 % alebo LVEF ≤ 35 % okrem dĺžky QRS &gt; 130 ms a buď boli hospitalizovaní z </w:t>
      </w:r>
      <w:r w:rsidR="00F86696">
        <w:rPr>
          <w:sz w:val="22"/>
          <w:szCs w:val="22"/>
        </w:rPr>
        <w:t>KV</w:t>
      </w:r>
      <w:r w:rsidRPr="00366F86">
        <w:rPr>
          <w:sz w:val="22"/>
          <w:szCs w:val="22"/>
        </w:rPr>
        <w:t xml:space="preserve"> dôvodov 6 mesiacov pred zaradením alebo mali plazmatickú hladinu nátriuretického peptidu typu B (BNP) minimálne 250 pg/ml alebo plazmatickú hladinu N-terminálneho pro-BNP minimálne 500 pg/ml u mužov (750 pg/ml u žien). Eplerenón sa začal podávať v dávke 25 mg jedenkrát denne a bol zvýšený po 4 týždňoch na 50 mg jedenkrát denne, ak sérová hladina draslíka bola &lt; 5,0 mmol/l. Eventuálne, keď bol</w:t>
      </w:r>
      <w:r w:rsidR="00F86696">
        <w:rPr>
          <w:sz w:val="22"/>
          <w:szCs w:val="22"/>
        </w:rPr>
        <w:t>a</w:t>
      </w:r>
      <w:r w:rsidRPr="00366F86">
        <w:rPr>
          <w:sz w:val="22"/>
          <w:szCs w:val="22"/>
        </w:rPr>
        <w:t xml:space="preserve"> </w:t>
      </w:r>
      <w:r w:rsidRPr="001F692E">
        <w:rPr>
          <w:sz w:val="22"/>
          <w:szCs w:val="22"/>
        </w:rPr>
        <w:t>odhadovan</w:t>
      </w:r>
      <w:r w:rsidR="00F86696" w:rsidRPr="001F692E">
        <w:rPr>
          <w:sz w:val="22"/>
          <w:szCs w:val="22"/>
        </w:rPr>
        <w:t>á</w:t>
      </w:r>
      <w:r w:rsidRPr="00D07889">
        <w:rPr>
          <w:sz w:val="22"/>
          <w:szCs w:val="22"/>
        </w:rPr>
        <w:t xml:space="preserve"> </w:t>
      </w:r>
      <w:r w:rsidR="00F86696" w:rsidRPr="00220657">
        <w:rPr>
          <w:sz w:val="22"/>
          <w:szCs w:val="22"/>
        </w:rPr>
        <w:t xml:space="preserve">miera </w:t>
      </w:r>
      <w:r w:rsidR="00F86696" w:rsidRPr="000502DB">
        <w:rPr>
          <w:rStyle w:val="Zvraznenie"/>
          <w:bCs/>
          <w:i w:val="0"/>
          <w:iCs w:val="0"/>
          <w:sz w:val="22"/>
          <w:szCs w:val="22"/>
          <w:shd w:val="clear" w:color="auto" w:fill="FFFFFF"/>
        </w:rPr>
        <w:t>glomerulárnej filtrácie</w:t>
      </w:r>
      <w:r w:rsidR="00F86696" w:rsidRPr="000502DB">
        <w:rPr>
          <w:rStyle w:val="apple-converted-space"/>
          <w:sz w:val="22"/>
          <w:szCs w:val="22"/>
          <w:shd w:val="clear" w:color="auto" w:fill="FFFFFF"/>
        </w:rPr>
        <w:t> (</w:t>
      </w:r>
      <w:r w:rsidRPr="00220657">
        <w:rPr>
          <w:sz w:val="22"/>
          <w:szCs w:val="22"/>
        </w:rPr>
        <w:t>GFR</w:t>
      </w:r>
      <w:r w:rsidR="00F86696" w:rsidRPr="000502DB">
        <w:rPr>
          <w:sz w:val="22"/>
          <w:szCs w:val="22"/>
        </w:rPr>
        <w:t>)</w:t>
      </w:r>
      <w:r w:rsidRPr="000502DB">
        <w:rPr>
          <w:sz w:val="22"/>
          <w:szCs w:val="22"/>
        </w:rPr>
        <w:t xml:space="preserve"> 30</w:t>
      </w:r>
      <w:r w:rsidRPr="000502DB">
        <w:rPr>
          <w:sz w:val="22"/>
          <w:szCs w:val="22"/>
        </w:rPr>
        <w:noBreakHyphen/>
        <w:t>49 ml/min/1,73 m</w:t>
      </w:r>
      <w:r w:rsidRPr="000502DB">
        <w:rPr>
          <w:sz w:val="22"/>
          <w:szCs w:val="22"/>
          <w:vertAlign w:val="superscript"/>
        </w:rPr>
        <w:t>2</w:t>
      </w:r>
      <w:r w:rsidRPr="000502DB">
        <w:rPr>
          <w:sz w:val="22"/>
          <w:szCs w:val="22"/>
        </w:rPr>
        <w:t>, eplerenón sa začal podávať v dávke 25 mg</w:t>
      </w:r>
      <w:r w:rsidRPr="00366F86">
        <w:rPr>
          <w:sz w:val="22"/>
          <w:szCs w:val="22"/>
        </w:rPr>
        <w:t xml:space="preserve"> každý druhý deň a dávka sa zvýšila na 25 mg jedenkrát denne.</w:t>
      </w:r>
    </w:p>
    <w:p w:rsidR="00442AE6" w:rsidRPr="00366F86" w:rsidRDefault="00442AE6" w:rsidP="00442AE6">
      <w:pPr>
        <w:tabs>
          <w:tab w:val="left" w:pos="567"/>
        </w:tabs>
        <w:rPr>
          <w:sz w:val="22"/>
          <w:szCs w:val="22"/>
        </w:rPr>
      </w:pPr>
    </w:p>
    <w:p w:rsidR="00442AE6" w:rsidRPr="00366F86" w:rsidRDefault="00442AE6" w:rsidP="00442AE6">
      <w:pPr>
        <w:tabs>
          <w:tab w:val="left" w:pos="567"/>
        </w:tabs>
        <w:rPr>
          <w:sz w:val="22"/>
          <w:szCs w:val="22"/>
        </w:rPr>
      </w:pPr>
      <w:r w:rsidRPr="00366F86">
        <w:rPr>
          <w:sz w:val="22"/>
          <w:szCs w:val="22"/>
        </w:rPr>
        <w:t>Celkovo bolo randomizovaných (dvojito zaslepených) 2 737 pacientov na liečbu eplerenónom alebo placebom. Východisková liečba zahŕňala diuretiká (85 %), ACE inhibítory (78 %), blokátory receptora angiotenzínu II (19 %), betablokátory (87 %), antitrombotickú liečbu (88 %), hypolipidemiká (63 %) a </w:t>
      </w:r>
      <w:r w:rsidR="00AD6295">
        <w:rPr>
          <w:sz w:val="22"/>
          <w:szCs w:val="22"/>
        </w:rPr>
        <w:t>srdcové</w:t>
      </w:r>
      <w:r w:rsidRPr="00366F86">
        <w:rPr>
          <w:sz w:val="22"/>
          <w:szCs w:val="22"/>
        </w:rPr>
        <w:t xml:space="preserve"> glykozidy (27 %). Priemerný LVEF bol ~26 % a priemerná dĺžka QRS bola ~122 ms. Väčšina pacientov (83,4 %) bola v priebehu 6 mesiacov pred randomizáciou hospitalizovaná z dôvodu KVS príčin, pričom približne 50 % z nich z dôvodu srdcového zlyhávania. Približne 20 % pacientov malo implantovateľné defibrilátory alebo resynchronizačnú liečbu srdca.</w:t>
      </w:r>
    </w:p>
    <w:p w:rsidR="00442AE6" w:rsidRPr="00366F86" w:rsidRDefault="00442AE6" w:rsidP="00442AE6">
      <w:pPr>
        <w:tabs>
          <w:tab w:val="left" w:pos="567"/>
        </w:tabs>
        <w:rPr>
          <w:sz w:val="22"/>
          <w:szCs w:val="22"/>
        </w:rPr>
      </w:pPr>
    </w:p>
    <w:p w:rsidR="00442AE6" w:rsidRPr="00366F86" w:rsidRDefault="00442AE6" w:rsidP="00442AE6">
      <w:pPr>
        <w:tabs>
          <w:tab w:val="left" w:pos="567"/>
        </w:tabs>
        <w:rPr>
          <w:sz w:val="22"/>
          <w:szCs w:val="22"/>
        </w:rPr>
      </w:pPr>
      <w:r w:rsidRPr="00366F86">
        <w:rPr>
          <w:sz w:val="22"/>
          <w:szCs w:val="22"/>
        </w:rPr>
        <w:t>Primárny koncový ukazovateľ, úmrtie z </w:t>
      </w:r>
      <w:r w:rsidR="00F86696">
        <w:rPr>
          <w:sz w:val="22"/>
          <w:szCs w:val="22"/>
        </w:rPr>
        <w:t>KV</w:t>
      </w:r>
      <w:r w:rsidRPr="00366F86">
        <w:rPr>
          <w:sz w:val="22"/>
          <w:szCs w:val="22"/>
        </w:rPr>
        <w:t xml:space="preserve"> príčin alebo hospitalizácia z dôvodu srdcového zlyhávania, sa vyskytoval u 249 pacientov (18,3 %) v skupine s eplerenónom a 356 pacientov (25,9 %) v placebovej skupine (RR 0,63, 95 % IS, 0,54</w:t>
      </w:r>
      <w:r w:rsidRPr="00366F86">
        <w:rPr>
          <w:sz w:val="22"/>
          <w:szCs w:val="22"/>
        </w:rPr>
        <w:noBreakHyphen/>
        <w:t>0,74; p &lt; 0,001). Vplyv eplerenónu na výsledky primárneho koncového ukazovateľa sa zhodovali vo všetkých vopred špecifikovaných podskupinách.</w:t>
      </w:r>
    </w:p>
    <w:p w:rsidR="00442AE6" w:rsidRPr="00366F86" w:rsidRDefault="00442AE6" w:rsidP="00442AE6">
      <w:pPr>
        <w:tabs>
          <w:tab w:val="left" w:pos="567"/>
        </w:tabs>
        <w:rPr>
          <w:sz w:val="22"/>
          <w:szCs w:val="22"/>
        </w:rPr>
      </w:pPr>
    </w:p>
    <w:p w:rsidR="00442AE6" w:rsidRPr="00366F86" w:rsidRDefault="00442AE6" w:rsidP="00442AE6">
      <w:pPr>
        <w:tabs>
          <w:tab w:val="left" w:pos="567"/>
        </w:tabs>
        <w:rPr>
          <w:sz w:val="22"/>
          <w:szCs w:val="22"/>
        </w:rPr>
      </w:pPr>
      <w:r w:rsidRPr="00366F86">
        <w:rPr>
          <w:sz w:val="22"/>
          <w:szCs w:val="22"/>
        </w:rPr>
        <w:t>Sekundárny koncový ukazovateľ, mortalita zo všetkých príčin, nastal u 171 pacientov (12,5 %) v skupine s eplerenónom a u 213 pacientov (15,5 %) v placebovej skupine (RR 0,76, 95 % IS, 0,62</w:t>
      </w:r>
      <w:r w:rsidRPr="00366F86">
        <w:rPr>
          <w:sz w:val="22"/>
          <w:szCs w:val="22"/>
        </w:rPr>
        <w:noBreakHyphen/>
        <w:t>0,93; p = 0,008). Úmrtie z KVS príčin sa zaznamenalo u 147 (10,8 %) pacientov v skupine s eplerenónom a 185 (13,5 %) pacientov v placebovej skupine (RR 0,76, 95 % IS, 0,61</w:t>
      </w:r>
      <w:r w:rsidRPr="00366F86">
        <w:rPr>
          <w:sz w:val="22"/>
          <w:szCs w:val="22"/>
        </w:rPr>
        <w:noBreakHyphen/>
        <w:t>0,94; p = 0,01).</w:t>
      </w:r>
    </w:p>
    <w:p w:rsidR="00442AE6" w:rsidRPr="00366F86" w:rsidRDefault="00442AE6" w:rsidP="00442AE6">
      <w:pPr>
        <w:tabs>
          <w:tab w:val="left" w:pos="567"/>
        </w:tabs>
        <w:rPr>
          <w:sz w:val="22"/>
          <w:szCs w:val="22"/>
        </w:rPr>
      </w:pPr>
    </w:p>
    <w:p w:rsidR="00442AE6" w:rsidRDefault="00442AE6" w:rsidP="007477F4">
      <w:pPr>
        <w:tabs>
          <w:tab w:val="left" w:pos="567"/>
        </w:tabs>
        <w:rPr>
          <w:sz w:val="22"/>
          <w:szCs w:val="22"/>
        </w:rPr>
      </w:pPr>
      <w:r w:rsidRPr="00366F86">
        <w:rPr>
          <w:sz w:val="22"/>
          <w:szCs w:val="22"/>
        </w:rPr>
        <w:t>Počas štúdie sa zaznamenala hyperkaliémia (hladina sérového draslíka &gt; 5,5 mmol/l) u 158 pacientov (11,8 %) v skupine s eplerenónom a 96 pacientov (7,2 %) v placebovej skupine (p &lt; 0,001). Hypokaliémia, definovaná ako hladiny sérového draslíka &lt; 4,0 mmol/l, bola štatisticky nižšia pri eplerenóne v porovnaní s placebom (38,9 % pre eplerenón v porovnaní s 48,4 % pre placebo, p &lt; 0,0001).</w:t>
      </w:r>
    </w:p>
    <w:p w:rsidR="00EF6209" w:rsidRDefault="00EF6209" w:rsidP="007477F4">
      <w:pPr>
        <w:tabs>
          <w:tab w:val="left" w:pos="567"/>
        </w:tabs>
        <w:rPr>
          <w:sz w:val="22"/>
          <w:szCs w:val="22"/>
        </w:rPr>
      </w:pPr>
    </w:p>
    <w:p w:rsidR="00EF6209" w:rsidRPr="00366F86" w:rsidRDefault="00EF6209" w:rsidP="00EF6209">
      <w:pPr>
        <w:tabs>
          <w:tab w:val="left" w:pos="567"/>
        </w:tabs>
        <w:rPr>
          <w:sz w:val="22"/>
          <w:szCs w:val="22"/>
        </w:rPr>
      </w:pPr>
      <w:r w:rsidRPr="000502DB">
        <w:rPr>
          <w:sz w:val="22"/>
          <w:szCs w:val="22"/>
          <w:u w:val="single"/>
        </w:rPr>
        <w:t>Pediatrická populácia</w:t>
      </w:r>
    </w:p>
    <w:p w:rsidR="00EF6209" w:rsidRPr="00366F86" w:rsidRDefault="00EF6209" w:rsidP="00EF6209">
      <w:pPr>
        <w:tabs>
          <w:tab w:val="left" w:pos="567"/>
        </w:tabs>
        <w:rPr>
          <w:sz w:val="22"/>
          <w:szCs w:val="22"/>
        </w:rPr>
      </w:pPr>
      <w:r w:rsidRPr="00366F86">
        <w:rPr>
          <w:sz w:val="22"/>
          <w:szCs w:val="22"/>
        </w:rPr>
        <w:t>Eplerenón sa neskúmal u</w:t>
      </w:r>
      <w:r w:rsidR="00B209AD">
        <w:rPr>
          <w:sz w:val="22"/>
          <w:szCs w:val="22"/>
        </w:rPr>
        <w:t xml:space="preserve"> pediatrických pacientov </w:t>
      </w:r>
      <w:r w:rsidRPr="00366F86">
        <w:rPr>
          <w:sz w:val="22"/>
          <w:szCs w:val="22"/>
        </w:rPr>
        <w:t>so srdcovým zlyhávaním.</w:t>
      </w:r>
    </w:p>
    <w:p w:rsidR="00EF6209" w:rsidRPr="00366F86" w:rsidRDefault="00EF6209" w:rsidP="00EF6209">
      <w:pPr>
        <w:tabs>
          <w:tab w:val="left" w:pos="567"/>
        </w:tabs>
        <w:rPr>
          <w:sz w:val="22"/>
          <w:szCs w:val="22"/>
        </w:rPr>
      </w:pPr>
    </w:p>
    <w:p w:rsidR="00EF6209" w:rsidRPr="00366F86" w:rsidRDefault="00EF6209" w:rsidP="00EF6209">
      <w:pPr>
        <w:tabs>
          <w:tab w:val="left" w:pos="567"/>
        </w:tabs>
        <w:rPr>
          <w:sz w:val="22"/>
          <w:szCs w:val="22"/>
        </w:rPr>
      </w:pPr>
      <w:r w:rsidRPr="00366F86">
        <w:rPr>
          <w:sz w:val="22"/>
          <w:szCs w:val="22"/>
        </w:rPr>
        <w:t xml:space="preserve">V 10-týždňovej štúdii </w:t>
      </w:r>
      <w:r w:rsidR="00BA3305">
        <w:rPr>
          <w:sz w:val="22"/>
          <w:szCs w:val="22"/>
        </w:rPr>
        <w:t xml:space="preserve">s pediatrickými pacientmi </w:t>
      </w:r>
      <w:r w:rsidRPr="00366F86">
        <w:rPr>
          <w:sz w:val="22"/>
          <w:szCs w:val="22"/>
        </w:rPr>
        <w:t>s hypertenziou (vekové rozmedzie od 4 do 1</w:t>
      </w:r>
      <w:r w:rsidR="00BA3305">
        <w:rPr>
          <w:sz w:val="22"/>
          <w:szCs w:val="22"/>
        </w:rPr>
        <w:t>7</w:t>
      </w:r>
      <w:r w:rsidRPr="00366F86">
        <w:rPr>
          <w:sz w:val="22"/>
          <w:szCs w:val="22"/>
        </w:rPr>
        <w:t xml:space="preserve"> rokov, n = 304) eplerenón podávaný v dávkach (od 25 mg do 100 mg denne), ktoré predstavovali podobnú expozíciu ako v prípade dospelých, neznižoval účinne krvný tlak. V tejto štúdii a v štúdii bezpečnosti u detí a dospievajúcich, ktorá trvala 1 rok, vykonávanej </w:t>
      </w:r>
      <w:r>
        <w:rPr>
          <w:sz w:val="22"/>
          <w:szCs w:val="22"/>
        </w:rPr>
        <w:t>u</w:t>
      </w:r>
      <w:r w:rsidRPr="00366F86">
        <w:rPr>
          <w:sz w:val="22"/>
          <w:szCs w:val="22"/>
        </w:rPr>
        <w:t xml:space="preserve"> 149 pacientoch, bol bezpečnostný profil podobný profilu u dospelých. Eplerenón sa neskúmal u pacientov s hypertenziou mladších ako 4 roky, pretože štúdia u starších </w:t>
      </w:r>
      <w:r w:rsidR="00BA3305">
        <w:rPr>
          <w:sz w:val="22"/>
          <w:szCs w:val="22"/>
        </w:rPr>
        <w:t xml:space="preserve">pediatrických pacientov </w:t>
      </w:r>
      <w:r w:rsidRPr="00366F86">
        <w:rPr>
          <w:sz w:val="22"/>
          <w:szCs w:val="22"/>
        </w:rPr>
        <w:t>preukázala nedostatočnú účinnosť (pozri časť 4.2).</w:t>
      </w:r>
    </w:p>
    <w:p w:rsidR="00EF6209" w:rsidRPr="00366F86" w:rsidRDefault="00EF6209" w:rsidP="00EF6209">
      <w:pPr>
        <w:tabs>
          <w:tab w:val="left" w:pos="567"/>
        </w:tabs>
        <w:rPr>
          <w:sz w:val="22"/>
          <w:szCs w:val="22"/>
        </w:rPr>
      </w:pPr>
    </w:p>
    <w:p w:rsidR="00EF6209" w:rsidRPr="00366F86" w:rsidRDefault="00EF6209" w:rsidP="00EF6209">
      <w:pPr>
        <w:tabs>
          <w:tab w:val="left" w:pos="567"/>
        </w:tabs>
        <w:rPr>
          <w:sz w:val="22"/>
          <w:szCs w:val="22"/>
        </w:rPr>
      </w:pPr>
      <w:r w:rsidRPr="00366F86">
        <w:rPr>
          <w:sz w:val="22"/>
          <w:szCs w:val="22"/>
        </w:rPr>
        <w:t>Žiadny (dlhotrvajúci) účinok na hormonálny stav detí a dospievajúcich nebol skúmaný.</w:t>
      </w:r>
    </w:p>
    <w:p w:rsidR="00FB3973" w:rsidRPr="00D93408" w:rsidRDefault="00FB3973" w:rsidP="00FB3973">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5.2</w:t>
      </w:r>
      <w:r w:rsidR="006B71FE" w:rsidRPr="00D93408">
        <w:rPr>
          <w:b/>
          <w:bCs/>
          <w:sz w:val="22"/>
          <w:szCs w:val="22"/>
        </w:rPr>
        <w:tab/>
      </w:r>
      <w:r w:rsidRPr="00D93408">
        <w:rPr>
          <w:b/>
          <w:bCs/>
          <w:sz w:val="22"/>
          <w:szCs w:val="22"/>
        </w:rPr>
        <w:t xml:space="preserve">Farmakokinetické vlastnosti </w:t>
      </w:r>
    </w:p>
    <w:p w:rsidR="00FB3973" w:rsidRPr="00D93408" w:rsidRDefault="00FB3973" w:rsidP="00FB3973">
      <w:pPr>
        <w:autoSpaceDE w:val="0"/>
        <w:autoSpaceDN w:val="0"/>
        <w:adjustRightInd w:val="0"/>
        <w:rPr>
          <w:b/>
          <w:bCs/>
          <w:sz w:val="22"/>
          <w:szCs w:val="22"/>
        </w:rPr>
      </w:pPr>
    </w:p>
    <w:p w:rsidR="00FB3973" w:rsidRPr="00FB1B25" w:rsidRDefault="00FB3973" w:rsidP="00FB3973">
      <w:pPr>
        <w:autoSpaceDE w:val="0"/>
        <w:autoSpaceDN w:val="0"/>
        <w:adjustRightInd w:val="0"/>
        <w:rPr>
          <w:iCs/>
          <w:sz w:val="22"/>
          <w:szCs w:val="22"/>
        </w:rPr>
      </w:pPr>
      <w:r w:rsidRPr="00FB1B25">
        <w:rPr>
          <w:iCs/>
          <w:sz w:val="22"/>
          <w:szCs w:val="22"/>
          <w:u w:val="single"/>
        </w:rPr>
        <w:t>Absorpcia</w:t>
      </w:r>
      <w:r w:rsidRPr="00FB1B25">
        <w:rPr>
          <w:iCs/>
          <w:sz w:val="22"/>
          <w:szCs w:val="22"/>
        </w:rPr>
        <w:t xml:space="preserve"> </w:t>
      </w:r>
    </w:p>
    <w:p w:rsidR="00FB3973" w:rsidRPr="00D93408" w:rsidRDefault="00FB3973" w:rsidP="00FB3973">
      <w:pPr>
        <w:autoSpaceDE w:val="0"/>
        <w:autoSpaceDN w:val="0"/>
        <w:adjustRightInd w:val="0"/>
        <w:rPr>
          <w:sz w:val="22"/>
          <w:szCs w:val="22"/>
        </w:rPr>
      </w:pPr>
      <w:r w:rsidRPr="00D93408">
        <w:rPr>
          <w:sz w:val="22"/>
          <w:szCs w:val="22"/>
        </w:rPr>
        <w:t>Absolútna bi</w:t>
      </w:r>
      <w:smartTag w:uri="urn:schemas-microsoft-com:office:smarttags" w:element="PersonName">
        <w:r w:rsidRPr="00D93408">
          <w:rPr>
            <w:sz w:val="22"/>
            <w:szCs w:val="22"/>
          </w:rPr>
          <w:t>olo</w:t>
        </w:r>
      </w:smartTag>
      <w:r w:rsidRPr="00D93408">
        <w:rPr>
          <w:sz w:val="22"/>
          <w:szCs w:val="22"/>
        </w:rPr>
        <w:t xml:space="preserve">gická dostupnosť </w:t>
      </w:r>
      <w:r w:rsidR="00C479DC" w:rsidRPr="00D93408">
        <w:rPr>
          <w:sz w:val="22"/>
          <w:szCs w:val="22"/>
        </w:rPr>
        <w:t xml:space="preserve">eplerenónu </w:t>
      </w:r>
      <w:r w:rsidRPr="00D93408">
        <w:rPr>
          <w:sz w:val="22"/>
          <w:szCs w:val="22"/>
        </w:rPr>
        <w:t>je</w:t>
      </w:r>
      <w:r w:rsidR="00F86696">
        <w:rPr>
          <w:sz w:val="22"/>
          <w:szCs w:val="22"/>
        </w:rPr>
        <w:t xml:space="preserve"> 69% po podaní 100 mg perorálnej tablety</w:t>
      </w:r>
      <w:r w:rsidRPr="00D93408">
        <w:rPr>
          <w:sz w:val="22"/>
          <w:szCs w:val="22"/>
        </w:rPr>
        <w:t xml:space="preserve">. Maximálna plazmatická koncentrácia sa dosahuje po </w:t>
      </w:r>
      <w:r w:rsidR="000667B7" w:rsidRPr="00D93408">
        <w:rPr>
          <w:sz w:val="22"/>
          <w:szCs w:val="22"/>
        </w:rPr>
        <w:t>približne</w:t>
      </w:r>
      <w:r w:rsidRPr="00D93408">
        <w:rPr>
          <w:sz w:val="22"/>
          <w:szCs w:val="22"/>
        </w:rPr>
        <w:t xml:space="preserve"> </w:t>
      </w:r>
      <w:r w:rsidR="00CD49AD">
        <w:rPr>
          <w:sz w:val="22"/>
          <w:szCs w:val="22"/>
        </w:rPr>
        <w:t xml:space="preserve">1,5 až </w:t>
      </w:r>
      <w:r w:rsidRPr="00D93408">
        <w:rPr>
          <w:sz w:val="22"/>
          <w:szCs w:val="22"/>
        </w:rPr>
        <w:t>2 hodinách. Hodnoty maximálnej plazmatickej koncentrácie (C</w:t>
      </w:r>
      <w:r w:rsidRPr="00D93408">
        <w:rPr>
          <w:sz w:val="22"/>
          <w:szCs w:val="22"/>
          <w:vertAlign w:val="subscript"/>
        </w:rPr>
        <w:t>max</w:t>
      </w:r>
      <w:r w:rsidRPr="00D93408">
        <w:rPr>
          <w:sz w:val="22"/>
          <w:szCs w:val="22"/>
        </w:rPr>
        <w:t xml:space="preserve">) a plochy pod krivkou (AUC) sú priamo úmerné veľkosti dávky v rozsahu od 10 do 100 mg a menej než priamo úmerné pri dávkach nad 100 mg. Rovnovážny stav sa dosahuje po 2 dňoch. Absorpciu neovplyvňuje príjem potravy. </w:t>
      </w:r>
    </w:p>
    <w:p w:rsidR="00F86696" w:rsidRPr="00CD49AD" w:rsidRDefault="00F86696" w:rsidP="00FB3973">
      <w:pPr>
        <w:autoSpaceDE w:val="0"/>
        <w:autoSpaceDN w:val="0"/>
        <w:adjustRightInd w:val="0"/>
        <w:rPr>
          <w:sz w:val="22"/>
          <w:szCs w:val="22"/>
        </w:rPr>
      </w:pPr>
    </w:p>
    <w:p w:rsidR="00F86696" w:rsidRPr="00FB1B25" w:rsidRDefault="00F86696" w:rsidP="00FB3973">
      <w:pPr>
        <w:autoSpaceDE w:val="0"/>
        <w:autoSpaceDN w:val="0"/>
        <w:adjustRightInd w:val="0"/>
        <w:rPr>
          <w:sz w:val="22"/>
          <w:szCs w:val="22"/>
          <w:u w:val="single"/>
        </w:rPr>
      </w:pPr>
      <w:r w:rsidRPr="00FB1B25">
        <w:rPr>
          <w:sz w:val="22"/>
          <w:szCs w:val="22"/>
          <w:u w:val="single"/>
        </w:rPr>
        <w:t>Distribúcia</w:t>
      </w:r>
    </w:p>
    <w:p w:rsidR="00FB3973" w:rsidRPr="00D93408" w:rsidRDefault="00FB3973" w:rsidP="00FB3973">
      <w:pPr>
        <w:autoSpaceDE w:val="0"/>
        <w:autoSpaceDN w:val="0"/>
        <w:adjustRightInd w:val="0"/>
        <w:rPr>
          <w:sz w:val="22"/>
          <w:szCs w:val="22"/>
        </w:rPr>
      </w:pPr>
      <w:r w:rsidRPr="00D93408">
        <w:rPr>
          <w:sz w:val="22"/>
          <w:szCs w:val="22"/>
        </w:rPr>
        <w:t xml:space="preserve">Väzba </w:t>
      </w:r>
      <w:r w:rsidR="00C479DC" w:rsidRPr="00D93408">
        <w:rPr>
          <w:sz w:val="22"/>
          <w:szCs w:val="22"/>
        </w:rPr>
        <w:t xml:space="preserve">eplerenónu </w:t>
      </w:r>
      <w:r w:rsidRPr="00D93408">
        <w:rPr>
          <w:sz w:val="22"/>
          <w:szCs w:val="22"/>
        </w:rPr>
        <w:t>na plazmatické proteíny je cca 50</w:t>
      </w:r>
      <w:r w:rsidR="00A114B8" w:rsidRPr="00D93408">
        <w:rPr>
          <w:sz w:val="22"/>
          <w:szCs w:val="22"/>
        </w:rPr>
        <w:t> </w:t>
      </w:r>
      <w:r w:rsidRPr="00D93408">
        <w:rPr>
          <w:sz w:val="22"/>
          <w:szCs w:val="22"/>
        </w:rPr>
        <w:t>%</w:t>
      </w:r>
      <w:r w:rsidR="00A114B8" w:rsidRPr="00D93408">
        <w:rPr>
          <w:sz w:val="22"/>
          <w:szCs w:val="22"/>
        </w:rPr>
        <w:t>,</w:t>
      </w:r>
      <w:r w:rsidRPr="00D93408">
        <w:rPr>
          <w:sz w:val="22"/>
          <w:szCs w:val="22"/>
        </w:rPr>
        <w:t xml:space="preserve"> a to hlavne na alfa 1-kyslé glykoproteíny. Zdanlivý distribučný objem v rovnovážnom stave sa odhaduje </w:t>
      </w:r>
      <w:r w:rsidR="00CD49AD">
        <w:rPr>
          <w:sz w:val="22"/>
          <w:szCs w:val="22"/>
        </w:rPr>
        <w:t xml:space="preserve">v rozmedzí 42-90 </w:t>
      </w:r>
      <w:r w:rsidR="00A114B8" w:rsidRPr="00D93408">
        <w:rPr>
          <w:sz w:val="22"/>
          <w:szCs w:val="22"/>
        </w:rPr>
        <w:t>l</w:t>
      </w:r>
      <w:r w:rsidRPr="00D93408">
        <w:rPr>
          <w:sz w:val="22"/>
          <w:szCs w:val="22"/>
        </w:rPr>
        <w:t xml:space="preserve">. </w:t>
      </w:r>
      <w:r w:rsidR="00C479DC" w:rsidRPr="00D93408">
        <w:rPr>
          <w:sz w:val="22"/>
          <w:szCs w:val="22"/>
        </w:rPr>
        <w:t xml:space="preserve">Eplerenón </w:t>
      </w:r>
      <w:r w:rsidRPr="00D93408">
        <w:rPr>
          <w:sz w:val="22"/>
          <w:szCs w:val="22"/>
        </w:rPr>
        <w:t xml:space="preserve">sa neviaže prednostne na erytrocyty. </w:t>
      </w:r>
    </w:p>
    <w:p w:rsidR="00FB3973" w:rsidRPr="00D93408" w:rsidRDefault="00FB3973" w:rsidP="00FB3973">
      <w:pPr>
        <w:autoSpaceDE w:val="0"/>
        <w:autoSpaceDN w:val="0"/>
        <w:adjustRightInd w:val="0"/>
        <w:rPr>
          <w:sz w:val="22"/>
          <w:szCs w:val="22"/>
        </w:rPr>
      </w:pPr>
    </w:p>
    <w:p w:rsidR="00AD6295" w:rsidRPr="00FB1B25" w:rsidRDefault="00442AE6" w:rsidP="00FB3973">
      <w:pPr>
        <w:autoSpaceDE w:val="0"/>
        <w:autoSpaceDN w:val="0"/>
        <w:adjustRightInd w:val="0"/>
        <w:rPr>
          <w:iCs/>
          <w:sz w:val="22"/>
          <w:szCs w:val="22"/>
        </w:rPr>
      </w:pPr>
      <w:r w:rsidRPr="00FB1B25">
        <w:rPr>
          <w:iCs/>
          <w:sz w:val="22"/>
          <w:szCs w:val="22"/>
          <w:u w:val="single"/>
        </w:rPr>
        <w:t>Biotransformácia</w:t>
      </w:r>
      <w:r w:rsidRPr="00FB1B25">
        <w:rPr>
          <w:iCs/>
          <w:sz w:val="22"/>
          <w:szCs w:val="22"/>
        </w:rPr>
        <w:t xml:space="preserve"> </w:t>
      </w:r>
    </w:p>
    <w:p w:rsidR="00FB3973" w:rsidRDefault="00FB3973" w:rsidP="00FB3973">
      <w:pPr>
        <w:autoSpaceDE w:val="0"/>
        <w:autoSpaceDN w:val="0"/>
        <w:adjustRightInd w:val="0"/>
        <w:rPr>
          <w:sz w:val="22"/>
          <w:szCs w:val="22"/>
        </w:rPr>
      </w:pPr>
      <w:r w:rsidRPr="00D93408">
        <w:rPr>
          <w:sz w:val="22"/>
          <w:szCs w:val="22"/>
        </w:rPr>
        <w:t xml:space="preserve">Metabolizmus </w:t>
      </w:r>
      <w:r w:rsidR="00C479DC" w:rsidRPr="00D93408">
        <w:rPr>
          <w:sz w:val="22"/>
          <w:szCs w:val="22"/>
        </w:rPr>
        <w:t xml:space="preserve">eplerenónu </w:t>
      </w:r>
      <w:r w:rsidRPr="00D93408">
        <w:rPr>
          <w:sz w:val="22"/>
          <w:szCs w:val="22"/>
        </w:rPr>
        <w:t xml:space="preserve">primárne sprostredkúva CYP3A4. V ľudskej plazme neboli identifikované žiadne aktívne metabolity </w:t>
      </w:r>
      <w:r w:rsidR="00C479DC" w:rsidRPr="00D93408">
        <w:rPr>
          <w:sz w:val="22"/>
          <w:szCs w:val="22"/>
        </w:rPr>
        <w:t>eplerenónu</w:t>
      </w:r>
      <w:r w:rsidRPr="00D93408">
        <w:rPr>
          <w:sz w:val="22"/>
          <w:szCs w:val="22"/>
        </w:rPr>
        <w:t xml:space="preserve">. </w:t>
      </w:r>
    </w:p>
    <w:p w:rsidR="00F86696" w:rsidRDefault="00F86696" w:rsidP="00FB3973">
      <w:pPr>
        <w:autoSpaceDE w:val="0"/>
        <w:autoSpaceDN w:val="0"/>
        <w:adjustRightInd w:val="0"/>
        <w:rPr>
          <w:sz w:val="22"/>
          <w:szCs w:val="22"/>
        </w:rPr>
      </w:pPr>
    </w:p>
    <w:p w:rsidR="00F86696" w:rsidRPr="00FB1B25" w:rsidRDefault="00F86696" w:rsidP="00FB3973">
      <w:pPr>
        <w:autoSpaceDE w:val="0"/>
        <w:autoSpaceDN w:val="0"/>
        <w:adjustRightInd w:val="0"/>
        <w:rPr>
          <w:sz w:val="22"/>
          <w:szCs w:val="22"/>
          <w:u w:val="single"/>
        </w:rPr>
      </w:pPr>
      <w:r w:rsidRPr="00FB1B25">
        <w:rPr>
          <w:sz w:val="22"/>
          <w:szCs w:val="22"/>
          <w:u w:val="single"/>
        </w:rPr>
        <w:t xml:space="preserve">Eliminácia </w:t>
      </w:r>
    </w:p>
    <w:p w:rsidR="00FB3973" w:rsidRPr="00D93408" w:rsidRDefault="00FB3973" w:rsidP="00FB3973">
      <w:pPr>
        <w:autoSpaceDE w:val="0"/>
        <w:autoSpaceDN w:val="0"/>
        <w:adjustRightInd w:val="0"/>
        <w:rPr>
          <w:sz w:val="22"/>
          <w:szCs w:val="22"/>
        </w:rPr>
      </w:pPr>
      <w:r w:rsidRPr="00D93408">
        <w:rPr>
          <w:sz w:val="22"/>
          <w:szCs w:val="22"/>
        </w:rPr>
        <w:t>V moči a v stolici sa v nezmenenej forme vylúči menej ako 5</w:t>
      </w:r>
      <w:r w:rsidR="00A114B8" w:rsidRPr="00D93408">
        <w:rPr>
          <w:sz w:val="22"/>
          <w:szCs w:val="22"/>
        </w:rPr>
        <w:t> </w:t>
      </w:r>
      <w:r w:rsidRPr="00D93408">
        <w:rPr>
          <w:sz w:val="22"/>
          <w:szCs w:val="22"/>
        </w:rPr>
        <w:t xml:space="preserve">% dávky </w:t>
      </w:r>
      <w:r w:rsidR="00C479DC" w:rsidRPr="00D93408">
        <w:rPr>
          <w:sz w:val="22"/>
          <w:szCs w:val="22"/>
        </w:rPr>
        <w:t>eplerenónu</w:t>
      </w:r>
      <w:r w:rsidRPr="00D93408">
        <w:rPr>
          <w:sz w:val="22"/>
          <w:szCs w:val="22"/>
        </w:rPr>
        <w:t>. Po podaní jednej perorálnej dávky lieku značeného rádioaktívnou značkou</w:t>
      </w:r>
      <w:r w:rsidR="00A114B8" w:rsidRPr="00D93408">
        <w:rPr>
          <w:sz w:val="22"/>
          <w:szCs w:val="22"/>
        </w:rPr>
        <w:t xml:space="preserve"> sa</w:t>
      </w:r>
      <w:r w:rsidRPr="00D93408">
        <w:rPr>
          <w:sz w:val="22"/>
          <w:szCs w:val="22"/>
        </w:rPr>
        <w:t xml:space="preserve"> približne 32</w:t>
      </w:r>
      <w:r w:rsidR="00A114B8" w:rsidRPr="00D93408">
        <w:rPr>
          <w:sz w:val="22"/>
          <w:szCs w:val="22"/>
        </w:rPr>
        <w:t> </w:t>
      </w:r>
      <w:r w:rsidRPr="00D93408">
        <w:rPr>
          <w:sz w:val="22"/>
          <w:szCs w:val="22"/>
        </w:rPr>
        <w:t>% dávky vylúč</w:t>
      </w:r>
      <w:r w:rsidR="00A114B8" w:rsidRPr="00D93408">
        <w:rPr>
          <w:sz w:val="22"/>
          <w:szCs w:val="22"/>
        </w:rPr>
        <w:t>ilo</w:t>
      </w:r>
      <w:r w:rsidRPr="00D93408">
        <w:rPr>
          <w:sz w:val="22"/>
          <w:szCs w:val="22"/>
        </w:rPr>
        <w:t xml:space="preserve"> do stolice a </w:t>
      </w:r>
      <w:r w:rsidR="00C479DC" w:rsidRPr="00D93408">
        <w:rPr>
          <w:sz w:val="22"/>
          <w:szCs w:val="22"/>
        </w:rPr>
        <w:t xml:space="preserve">približne </w:t>
      </w:r>
      <w:r w:rsidRPr="00D93408">
        <w:rPr>
          <w:sz w:val="22"/>
          <w:szCs w:val="22"/>
        </w:rPr>
        <w:t>67</w:t>
      </w:r>
      <w:r w:rsidR="00A114B8" w:rsidRPr="00D93408">
        <w:rPr>
          <w:sz w:val="22"/>
          <w:szCs w:val="22"/>
        </w:rPr>
        <w:t> </w:t>
      </w:r>
      <w:r w:rsidRPr="00D93408">
        <w:rPr>
          <w:sz w:val="22"/>
          <w:szCs w:val="22"/>
        </w:rPr>
        <w:t xml:space="preserve">% do moču. Polčas eliminácie </w:t>
      </w:r>
      <w:r w:rsidR="00C479DC" w:rsidRPr="00D93408">
        <w:rPr>
          <w:sz w:val="22"/>
          <w:szCs w:val="22"/>
        </w:rPr>
        <w:t xml:space="preserve">eplerenónu </w:t>
      </w:r>
      <w:r w:rsidRPr="00D93408">
        <w:rPr>
          <w:sz w:val="22"/>
          <w:szCs w:val="22"/>
        </w:rPr>
        <w:t xml:space="preserve">je približne 3 až </w:t>
      </w:r>
      <w:r w:rsidR="00FD4C85">
        <w:rPr>
          <w:sz w:val="22"/>
          <w:szCs w:val="22"/>
        </w:rPr>
        <w:t>6</w:t>
      </w:r>
      <w:r w:rsidRPr="00D93408">
        <w:rPr>
          <w:sz w:val="22"/>
          <w:szCs w:val="22"/>
        </w:rPr>
        <w:t xml:space="preserve"> hodín. Zdanlivý plazmatický klírens je cca 10 </w:t>
      </w:r>
      <w:r w:rsidR="00A114B8" w:rsidRPr="00D93408">
        <w:rPr>
          <w:sz w:val="22"/>
          <w:szCs w:val="22"/>
        </w:rPr>
        <w:t>l</w:t>
      </w:r>
      <w:r w:rsidRPr="00D93408">
        <w:rPr>
          <w:sz w:val="22"/>
          <w:szCs w:val="22"/>
        </w:rPr>
        <w:t xml:space="preserve">/hod. </w:t>
      </w:r>
    </w:p>
    <w:p w:rsidR="00FB3973" w:rsidRPr="00D93408" w:rsidRDefault="00FB3973" w:rsidP="00FB3973">
      <w:pPr>
        <w:autoSpaceDE w:val="0"/>
        <w:autoSpaceDN w:val="0"/>
        <w:adjustRightInd w:val="0"/>
        <w:rPr>
          <w:b/>
          <w:bCs/>
          <w:sz w:val="22"/>
          <w:szCs w:val="22"/>
        </w:rPr>
      </w:pPr>
    </w:p>
    <w:p w:rsidR="00FB3973" w:rsidRPr="00FB1B25" w:rsidRDefault="00FB3973" w:rsidP="00FB3973">
      <w:pPr>
        <w:autoSpaceDE w:val="0"/>
        <w:autoSpaceDN w:val="0"/>
        <w:adjustRightInd w:val="0"/>
        <w:rPr>
          <w:bCs/>
          <w:sz w:val="22"/>
          <w:szCs w:val="22"/>
        </w:rPr>
      </w:pPr>
      <w:r w:rsidRPr="00FB1B25">
        <w:rPr>
          <w:bCs/>
          <w:sz w:val="22"/>
          <w:szCs w:val="22"/>
        </w:rPr>
        <w:t xml:space="preserve">Osobitné </w:t>
      </w:r>
      <w:r w:rsidR="00D912E6" w:rsidRPr="00FB1B25">
        <w:rPr>
          <w:bCs/>
          <w:sz w:val="22"/>
          <w:szCs w:val="22"/>
        </w:rPr>
        <w:t xml:space="preserve">skupiny pacientov </w:t>
      </w:r>
    </w:p>
    <w:p w:rsidR="00D912E6" w:rsidRPr="00D93408" w:rsidRDefault="00D912E6" w:rsidP="00FB3973">
      <w:pPr>
        <w:autoSpaceDE w:val="0"/>
        <w:autoSpaceDN w:val="0"/>
        <w:adjustRightInd w:val="0"/>
        <w:rPr>
          <w:b/>
          <w:bCs/>
          <w:sz w:val="22"/>
          <w:szCs w:val="22"/>
        </w:rPr>
      </w:pPr>
    </w:p>
    <w:p w:rsidR="00113015" w:rsidRPr="00D93408" w:rsidRDefault="00FB3973" w:rsidP="00FB3973">
      <w:pPr>
        <w:autoSpaceDE w:val="0"/>
        <w:autoSpaceDN w:val="0"/>
        <w:adjustRightInd w:val="0"/>
        <w:rPr>
          <w:i/>
          <w:iCs/>
          <w:sz w:val="22"/>
          <w:szCs w:val="22"/>
        </w:rPr>
      </w:pPr>
      <w:r w:rsidRPr="00D93408">
        <w:rPr>
          <w:i/>
          <w:iCs/>
          <w:sz w:val="22"/>
          <w:szCs w:val="22"/>
        </w:rPr>
        <w:t>Vek, pohlavie a</w:t>
      </w:r>
      <w:r w:rsidR="00F86696">
        <w:rPr>
          <w:i/>
          <w:iCs/>
          <w:sz w:val="22"/>
          <w:szCs w:val="22"/>
        </w:rPr>
        <w:t> </w:t>
      </w:r>
      <w:r w:rsidRPr="00D93408">
        <w:rPr>
          <w:i/>
          <w:iCs/>
          <w:sz w:val="22"/>
          <w:szCs w:val="22"/>
        </w:rPr>
        <w:t>rasa</w:t>
      </w:r>
    </w:p>
    <w:p w:rsidR="00FB3973" w:rsidRDefault="00FB3973" w:rsidP="00FB3973">
      <w:pPr>
        <w:autoSpaceDE w:val="0"/>
        <w:autoSpaceDN w:val="0"/>
        <w:adjustRightInd w:val="0"/>
        <w:rPr>
          <w:sz w:val="22"/>
          <w:szCs w:val="22"/>
        </w:rPr>
      </w:pPr>
      <w:r w:rsidRPr="00D93408">
        <w:rPr>
          <w:sz w:val="22"/>
          <w:szCs w:val="22"/>
        </w:rPr>
        <w:t xml:space="preserve">Farmakokinetika </w:t>
      </w:r>
      <w:r w:rsidR="00113015" w:rsidRPr="00D93408">
        <w:rPr>
          <w:sz w:val="22"/>
          <w:szCs w:val="22"/>
        </w:rPr>
        <w:t xml:space="preserve">eplerenónu </w:t>
      </w:r>
      <w:r w:rsidRPr="00D93408">
        <w:rPr>
          <w:sz w:val="22"/>
          <w:szCs w:val="22"/>
        </w:rPr>
        <w:t>v dávkovaní 100 mg raz denne bola sledovaná u starších (≥</w:t>
      </w:r>
      <w:r w:rsidR="00A114B8" w:rsidRPr="00D93408">
        <w:rPr>
          <w:sz w:val="22"/>
          <w:szCs w:val="22"/>
        </w:rPr>
        <w:t xml:space="preserve"> </w:t>
      </w:r>
      <w:r w:rsidRPr="00D93408">
        <w:rPr>
          <w:sz w:val="22"/>
          <w:szCs w:val="22"/>
        </w:rPr>
        <w:t xml:space="preserve">65 rokov), u mužov a žien a u černošskej populácie. </w:t>
      </w:r>
      <w:r w:rsidR="004666AB" w:rsidRPr="00D93408">
        <w:rPr>
          <w:sz w:val="22"/>
          <w:szCs w:val="22"/>
        </w:rPr>
        <w:t>Farmakokinetika</w:t>
      </w:r>
      <w:r w:rsidRPr="00D93408">
        <w:rPr>
          <w:sz w:val="22"/>
          <w:szCs w:val="22"/>
        </w:rPr>
        <w:t xml:space="preserve"> </w:t>
      </w:r>
      <w:r w:rsidR="00113015" w:rsidRPr="00D93408">
        <w:rPr>
          <w:sz w:val="22"/>
          <w:szCs w:val="22"/>
        </w:rPr>
        <w:t xml:space="preserve">eplerenónu </w:t>
      </w:r>
      <w:r w:rsidRPr="00D93408">
        <w:rPr>
          <w:sz w:val="22"/>
          <w:szCs w:val="22"/>
        </w:rPr>
        <w:t>sa signifikantne nelíšila medzi mužmi a ženami. V rovnovážnom stave mali starší pacienti zvýšené hodnoty C</w:t>
      </w:r>
      <w:r w:rsidRPr="00D93408">
        <w:rPr>
          <w:sz w:val="22"/>
          <w:szCs w:val="22"/>
          <w:vertAlign w:val="subscript"/>
        </w:rPr>
        <w:t>max</w:t>
      </w:r>
      <w:r w:rsidRPr="00D93408">
        <w:rPr>
          <w:sz w:val="22"/>
          <w:szCs w:val="22"/>
        </w:rPr>
        <w:t xml:space="preserve"> (22</w:t>
      </w:r>
      <w:r w:rsidR="00A114B8" w:rsidRPr="00D93408">
        <w:rPr>
          <w:sz w:val="22"/>
          <w:szCs w:val="22"/>
        </w:rPr>
        <w:t> </w:t>
      </w:r>
      <w:r w:rsidRPr="00D93408">
        <w:rPr>
          <w:sz w:val="22"/>
          <w:szCs w:val="22"/>
        </w:rPr>
        <w:t>%) a AUC (45</w:t>
      </w:r>
      <w:r w:rsidR="00A114B8" w:rsidRPr="00D93408">
        <w:rPr>
          <w:sz w:val="22"/>
          <w:szCs w:val="22"/>
        </w:rPr>
        <w:t> </w:t>
      </w:r>
      <w:r w:rsidRPr="00D93408">
        <w:rPr>
          <w:sz w:val="22"/>
          <w:szCs w:val="22"/>
        </w:rPr>
        <w:t>%) v porovnaní s mladšími (18 až 45 rokov). V rovnovážnom stave boli hodnoty C</w:t>
      </w:r>
      <w:r w:rsidRPr="00D93408">
        <w:rPr>
          <w:sz w:val="22"/>
          <w:szCs w:val="22"/>
          <w:vertAlign w:val="subscript"/>
        </w:rPr>
        <w:t>max</w:t>
      </w:r>
      <w:r w:rsidRPr="00D93408">
        <w:rPr>
          <w:sz w:val="22"/>
          <w:szCs w:val="22"/>
        </w:rPr>
        <w:t xml:space="preserve"> o</w:t>
      </w:r>
      <w:r w:rsidR="00A114B8" w:rsidRPr="00D93408">
        <w:rPr>
          <w:sz w:val="22"/>
          <w:szCs w:val="22"/>
        </w:rPr>
        <w:t> </w:t>
      </w:r>
      <w:r w:rsidRPr="00D93408">
        <w:rPr>
          <w:sz w:val="22"/>
          <w:szCs w:val="22"/>
        </w:rPr>
        <w:t>19</w:t>
      </w:r>
      <w:r w:rsidR="00A114B8" w:rsidRPr="00D93408">
        <w:rPr>
          <w:sz w:val="22"/>
          <w:szCs w:val="22"/>
        </w:rPr>
        <w:t> </w:t>
      </w:r>
      <w:r w:rsidRPr="00D93408">
        <w:rPr>
          <w:sz w:val="22"/>
          <w:szCs w:val="22"/>
        </w:rPr>
        <w:t>% a AUC o</w:t>
      </w:r>
      <w:r w:rsidR="00A114B8" w:rsidRPr="00D93408">
        <w:rPr>
          <w:sz w:val="22"/>
          <w:szCs w:val="22"/>
        </w:rPr>
        <w:t> </w:t>
      </w:r>
      <w:r w:rsidRPr="00D93408">
        <w:rPr>
          <w:sz w:val="22"/>
          <w:szCs w:val="22"/>
        </w:rPr>
        <w:t>26</w:t>
      </w:r>
      <w:r w:rsidR="00A114B8" w:rsidRPr="00D93408">
        <w:rPr>
          <w:sz w:val="22"/>
          <w:szCs w:val="22"/>
        </w:rPr>
        <w:t> </w:t>
      </w:r>
      <w:r w:rsidRPr="00D93408">
        <w:rPr>
          <w:sz w:val="22"/>
          <w:szCs w:val="22"/>
        </w:rPr>
        <w:t>% nižšie u černošskej populácie (pozri časť 4.2.)</w:t>
      </w:r>
      <w:r w:rsidR="005E1ABC" w:rsidRPr="00D93408">
        <w:rPr>
          <w:sz w:val="22"/>
          <w:szCs w:val="22"/>
        </w:rPr>
        <w:t>.</w:t>
      </w:r>
      <w:r w:rsidRPr="00D93408">
        <w:rPr>
          <w:sz w:val="22"/>
          <w:szCs w:val="22"/>
        </w:rPr>
        <w:t xml:space="preserve"> </w:t>
      </w:r>
    </w:p>
    <w:p w:rsidR="00EF6209" w:rsidRDefault="00EF6209" w:rsidP="00FB3973">
      <w:pPr>
        <w:autoSpaceDE w:val="0"/>
        <w:autoSpaceDN w:val="0"/>
        <w:adjustRightInd w:val="0"/>
        <w:rPr>
          <w:sz w:val="22"/>
          <w:szCs w:val="22"/>
        </w:rPr>
      </w:pPr>
    </w:p>
    <w:p w:rsidR="00AD6295" w:rsidRDefault="00EF6209" w:rsidP="00EF6209">
      <w:pPr>
        <w:tabs>
          <w:tab w:val="left" w:pos="567"/>
        </w:tabs>
        <w:rPr>
          <w:sz w:val="22"/>
          <w:szCs w:val="22"/>
        </w:rPr>
      </w:pPr>
      <w:r>
        <w:rPr>
          <w:i/>
          <w:sz w:val="22"/>
          <w:szCs w:val="22"/>
        </w:rPr>
        <w:t>Pediatrická populácia</w:t>
      </w:r>
    </w:p>
    <w:p w:rsidR="00EF6209" w:rsidRPr="00366F86" w:rsidRDefault="00EF6209" w:rsidP="00EF6209">
      <w:pPr>
        <w:tabs>
          <w:tab w:val="left" w:pos="567"/>
        </w:tabs>
        <w:rPr>
          <w:sz w:val="22"/>
          <w:szCs w:val="22"/>
        </w:rPr>
      </w:pPr>
      <w:r w:rsidRPr="00366F86">
        <w:rPr>
          <w:sz w:val="22"/>
          <w:szCs w:val="22"/>
        </w:rPr>
        <w:t xml:space="preserve">Farmakokinetický model populácie v prípade koncentrácií eplerenónu z dvoch štúdií s 51 </w:t>
      </w:r>
      <w:r w:rsidR="00BA3305">
        <w:rPr>
          <w:sz w:val="22"/>
          <w:szCs w:val="22"/>
        </w:rPr>
        <w:t xml:space="preserve">pediatrickými pacientmi </w:t>
      </w:r>
      <w:r w:rsidRPr="00366F86">
        <w:rPr>
          <w:sz w:val="22"/>
          <w:szCs w:val="22"/>
        </w:rPr>
        <w:t xml:space="preserve">s hypertenziou identifikoval, že hmotnosť pacienta mala štatisticky významný účinok na objem distribuovaného eplerenónu, no nemala účinok na jeho odbúravanie. Očakávalo sa, že objem distribuovaného eplerenónu a vrcholová expozícia u detí a dospievajúcich s vyššou hmotnosťou bude podobný ako v prípade dospelých s podobnou telesnou hmotnosťou. U pacientov s nižšou hmotnosťou </w:t>
      </w:r>
      <w:smartTag w:uri="urn:schemas-microsoft-com:office:smarttags" w:element="metricconverter">
        <w:smartTagPr>
          <w:attr w:name="ProductID" w:val="45 kg"/>
        </w:smartTagPr>
        <w:r w:rsidRPr="00366F86">
          <w:rPr>
            <w:sz w:val="22"/>
            <w:szCs w:val="22"/>
          </w:rPr>
          <w:t>45 kg</w:t>
        </w:r>
      </w:smartTag>
      <w:r w:rsidRPr="00366F86">
        <w:rPr>
          <w:sz w:val="22"/>
          <w:szCs w:val="22"/>
        </w:rPr>
        <w:t xml:space="preserve"> je distribuovaný objem približne o 40 % nižší a očakáva sa, že vrcholová expozícia bude vyššia ako u dospelých. Liečba eplerenónom sa začala dávkou 25 mg jedenkrát denne u detí a dospievajúcich a zvýšila sa na dávku 25 mg dvakrát denne po 2 týždňoch, prípadne na 50 mg dvakrát denne, ak bola klinicky určená. Pri týchto dávkach neboli najvyššie pozorované koncentrácie eplerenónu u detí a dospievajúcich výrazne vyššie ako u dospelých, ktorých liečba sa začala s dávkou 50 mg jedenkrát denne.</w:t>
      </w:r>
    </w:p>
    <w:p w:rsidR="00D912E6" w:rsidRPr="00D93408" w:rsidRDefault="00D912E6" w:rsidP="00FB3973">
      <w:pPr>
        <w:autoSpaceDE w:val="0"/>
        <w:autoSpaceDN w:val="0"/>
        <w:adjustRightInd w:val="0"/>
        <w:rPr>
          <w:sz w:val="22"/>
          <w:szCs w:val="22"/>
        </w:rPr>
      </w:pPr>
    </w:p>
    <w:p w:rsidR="00113015" w:rsidRPr="00D93408" w:rsidRDefault="00FB3973" w:rsidP="00FB3973">
      <w:pPr>
        <w:autoSpaceDE w:val="0"/>
        <w:autoSpaceDN w:val="0"/>
        <w:adjustRightInd w:val="0"/>
        <w:rPr>
          <w:sz w:val="22"/>
          <w:szCs w:val="22"/>
        </w:rPr>
      </w:pPr>
      <w:r w:rsidRPr="00D93408">
        <w:rPr>
          <w:i/>
          <w:iCs/>
          <w:sz w:val="22"/>
          <w:szCs w:val="22"/>
        </w:rPr>
        <w:t>Renálna insuficiencia</w:t>
      </w:r>
    </w:p>
    <w:p w:rsidR="00FB3973" w:rsidRPr="00D93408" w:rsidRDefault="00FB3973" w:rsidP="00FB3973">
      <w:pPr>
        <w:autoSpaceDE w:val="0"/>
        <w:autoSpaceDN w:val="0"/>
        <w:adjustRightInd w:val="0"/>
        <w:rPr>
          <w:sz w:val="22"/>
          <w:szCs w:val="22"/>
        </w:rPr>
      </w:pPr>
      <w:r w:rsidRPr="00D93408">
        <w:rPr>
          <w:sz w:val="22"/>
          <w:szCs w:val="22"/>
        </w:rPr>
        <w:lastRenderedPageBreak/>
        <w:t xml:space="preserve">Farmakokinetika </w:t>
      </w:r>
      <w:r w:rsidR="00113015" w:rsidRPr="00D93408">
        <w:rPr>
          <w:sz w:val="22"/>
          <w:szCs w:val="22"/>
        </w:rPr>
        <w:t xml:space="preserve">eplerenónu </w:t>
      </w:r>
      <w:r w:rsidRPr="00D93408">
        <w:rPr>
          <w:sz w:val="22"/>
          <w:szCs w:val="22"/>
        </w:rPr>
        <w:t>bola skúmaná u pacientov s rôznym stupňom renálnej insuficiencie a u dialyzovaných pacientov. V porovnaní s kontrolami hodnoty AUC a C</w:t>
      </w:r>
      <w:r w:rsidRPr="00D93408">
        <w:rPr>
          <w:sz w:val="22"/>
          <w:szCs w:val="22"/>
          <w:vertAlign w:val="subscript"/>
        </w:rPr>
        <w:t>max</w:t>
      </w:r>
      <w:r w:rsidRPr="00D93408">
        <w:rPr>
          <w:sz w:val="22"/>
          <w:szCs w:val="22"/>
        </w:rPr>
        <w:t xml:space="preserve"> v rovnovážnom stave boli zvýšené o</w:t>
      </w:r>
      <w:r w:rsidR="005E1ABC" w:rsidRPr="00D93408">
        <w:rPr>
          <w:sz w:val="22"/>
          <w:szCs w:val="22"/>
        </w:rPr>
        <w:t> </w:t>
      </w:r>
      <w:r w:rsidRPr="00D93408">
        <w:rPr>
          <w:sz w:val="22"/>
          <w:szCs w:val="22"/>
        </w:rPr>
        <w:t>38</w:t>
      </w:r>
      <w:r w:rsidR="005E1ABC" w:rsidRPr="00D93408">
        <w:rPr>
          <w:sz w:val="22"/>
          <w:szCs w:val="22"/>
        </w:rPr>
        <w:t> </w:t>
      </w:r>
      <w:r w:rsidRPr="00D93408">
        <w:rPr>
          <w:sz w:val="22"/>
          <w:szCs w:val="22"/>
        </w:rPr>
        <w:t>% resp. 24</w:t>
      </w:r>
      <w:r w:rsidR="005E1ABC" w:rsidRPr="00D93408">
        <w:rPr>
          <w:sz w:val="22"/>
          <w:szCs w:val="22"/>
        </w:rPr>
        <w:t> </w:t>
      </w:r>
      <w:r w:rsidRPr="00D93408">
        <w:rPr>
          <w:sz w:val="22"/>
          <w:szCs w:val="22"/>
        </w:rPr>
        <w:t>% u pacientov s ťažkým znížením obličkových funkcií a znížené o</w:t>
      </w:r>
      <w:r w:rsidR="005E1ABC" w:rsidRPr="00D93408">
        <w:rPr>
          <w:sz w:val="22"/>
          <w:szCs w:val="22"/>
        </w:rPr>
        <w:t> </w:t>
      </w:r>
      <w:r w:rsidRPr="00D93408">
        <w:rPr>
          <w:sz w:val="22"/>
          <w:szCs w:val="22"/>
        </w:rPr>
        <w:t>26</w:t>
      </w:r>
      <w:r w:rsidR="005E1ABC" w:rsidRPr="00D93408">
        <w:rPr>
          <w:sz w:val="22"/>
          <w:szCs w:val="22"/>
        </w:rPr>
        <w:t> </w:t>
      </w:r>
      <w:r w:rsidRPr="00D93408">
        <w:rPr>
          <w:sz w:val="22"/>
          <w:szCs w:val="22"/>
        </w:rPr>
        <w:t>% resp. 3</w:t>
      </w:r>
      <w:r w:rsidR="005E1ABC" w:rsidRPr="00D93408">
        <w:rPr>
          <w:sz w:val="22"/>
          <w:szCs w:val="22"/>
        </w:rPr>
        <w:t> </w:t>
      </w:r>
      <w:r w:rsidRPr="00D93408">
        <w:rPr>
          <w:sz w:val="22"/>
          <w:szCs w:val="22"/>
        </w:rPr>
        <w:t>% u dialyzovaných pacientov. Medzi plazmatickým klírens</w:t>
      </w:r>
      <w:r w:rsidR="00113015" w:rsidRPr="00D93408">
        <w:rPr>
          <w:sz w:val="22"/>
          <w:szCs w:val="22"/>
        </w:rPr>
        <w:t>om</w:t>
      </w:r>
      <w:r w:rsidRPr="00D93408">
        <w:rPr>
          <w:sz w:val="22"/>
          <w:szCs w:val="22"/>
        </w:rPr>
        <w:t xml:space="preserve"> </w:t>
      </w:r>
      <w:r w:rsidR="00113015" w:rsidRPr="00D93408">
        <w:rPr>
          <w:sz w:val="22"/>
          <w:szCs w:val="22"/>
        </w:rPr>
        <w:t xml:space="preserve">eplerenónu </w:t>
      </w:r>
      <w:r w:rsidRPr="00D93408">
        <w:rPr>
          <w:sz w:val="22"/>
          <w:szCs w:val="22"/>
        </w:rPr>
        <w:t>a klírens</w:t>
      </w:r>
      <w:r w:rsidR="00113015" w:rsidRPr="00D93408">
        <w:rPr>
          <w:sz w:val="22"/>
          <w:szCs w:val="22"/>
        </w:rPr>
        <w:t>om</w:t>
      </w:r>
      <w:r w:rsidRPr="00D93408">
        <w:rPr>
          <w:sz w:val="22"/>
          <w:szCs w:val="22"/>
        </w:rPr>
        <w:t xml:space="preserve"> kreatinínu nebola pozorovaná žiadna korelácia. </w:t>
      </w:r>
      <w:r w:rsidR="00113015" w:rsidRPr="00D93408">
        <w:rPr>
          <w:sz w:val="22"/>
          <w:szCs w:val="22"/>
        </w:rPr>
        <w:t xml:space="preserve">Eplerenón </w:t>
      </w:r>
      <w:r w:rsidRPr="00D93408">
        <w:rPr>
          <w:sz w:val="22"/>
          <w:szCs w:val="22"/>
        </w:rPr>
        <w:t xml:space="preserve">sa nedá eliminovať hemodialýzou (pozri časť 4.4.). </w:t>
      </w:r>
    </w:p>
    <w:p w:rsidR="00D912E6" w:rsidRPr="00D93408" w:rsidRDefault="00D912E6" w:rsidP="00FB3973">
      <w:pPr>
        <w:autoSpaceDE w:val="0"/>
        <w:autoSpaceDN w:val="0"/>
        <w:adjustRightInd w:val="0"/>
        <w:rPr>
          <w:sz w:val="22"/>
          <w:szCs w:val="22"/>
        </w:rPr>
      </w:pPr>
    </w:p>
    <w:p w:rsidR="00113015" w:rsidRPr="00D93408" w:rsidRDefault="00FB3973" w:rsidP="00FB3973">
      <w:pPr>
        <w:autoSpaceDE w:val="0"/>
        <w:autoSpaceDN w:val="0"/>
        <w:adjustRightInd w:val="0"/>
        <w:rPr>
          <w:i/>
          <w:iCs/>
          <w:sz w:val="22"/>
          <w:szCs w:val="22"/>
        </w:rPr>
      </w:pPr>
      <w:r w:rsidRPr="00D93408">
        <w:rPr>
          <w:i/>
          <w:iCs/>
          <w:sz w:val="22"/>
          <w:szCs w:val="22"/>
        </w:rPr>
        <w:t>Hepatálna insuficiencia</w:t>
      </w:r>
    </w:p>
    <w:p w:rsidR="00FB3973" w:rsidRPr="00D93408" w:rsidRDefault="00FB3973" w:rsidP="00FB3973">
      <w:pPr>
        <w:autoSpaceDE w:val="0"/>
        <w:autoSpaceDN w:val="0"/>
        <w:adjustRightInd w:val="0"/>
        <w:rPr>
          <w:sz w:val="22"/>
          <w:szCs w:val="22"/>
        </w:rPr>
      </w:pPr>
      <w:r w:rsidRPr="00D93408">
        <w:rPr>
          <w:sz w:val="22"/>
          <w:szCs w:val="22"/>
        </w:rPr>
        <w:t xml:space="preserve">Farmakokinetika </w:t>
      </w:r>
      <w:r w:rsidR="00113015" w:rsidRPr="00D93408">
        <w:rPr>
          <w:sz w:val="22"/>
          <w:szCs w:val="22"/>
        </w:rPr>
        <w:t xml:space="preserve">eplerenónu </w:t>
      </w:r>
      <w:r w:rsidRPr="00D93408">
        <w:rPr>
          <w:sz w:val="22"/>
          <w:szCs w:val="22"/>
        </w:rPr>
        <w:t>400 mg bola sledovaná u pacientov so stredne ťažk</w:t>
      </w:r>
      <w:r w:rsidR="00B9149E">
        <w:rPr>
          <w:sz w:val="22"/>
          <w:szCs w:val="22"/>
        </w:rPr>
        <w:t xml:space="preserve">ou </w:t>
      </w:r>
      <w:r w:rsidRPr="00D93408">
        <w:rPr>
          <w:sz w:val="22"/>
          <w:szCs w:val="22"/>
        </w:rPr>
        <w:t>(Child</w:t>
      </w:r>
      <w:r w:rsidR="005E1ABC" w:rsidRPr="00D93408">
        <w:rPr>
          <w:sz w:val="22"/>
          <w:szCs w:val="22"/>
        </w:rPr>
        <w:t>ova</w:t>
      </w:r>
      <w:r w:rsidRPr="00D93408">
        <w:rPr>
          <w:sz w:val="22"/>
          <w:szCs w:val="22"/>
        </w:rPr>
        <w:t>-Pugh</w:t>
      </w:r>
      <w:r w:rsidR="005E1ABC" w:rsidRPr="00D93408">
        <w:rPr>
          <w:sz w:val="22"/>
          <w:szCs w:val="22"/>
        </w:rPr>
        <w:t>ova</w:t>
      </w:r>
      <w:r w:rsidRPr="00D93408">
        <w:rPr>
          <w:sz w:val="22"/>
          <w:szCs w:val="22"/>
        </w:rPr>
        <w:t xml:space="preserve"> trieda B) </w:t>
      </w:r>
      <w:r w:rsidR="00B9149E">
        <w:rPr>
          <w:sz w:val="22"/>
          <w:szCs w:val="22"/>
        </w:rPr>
        <w:t>poruchou funkcie pečene</w:t>
      </w:r>
      <w:r w:rsidRPr="00D93408">
        <w:rPr>
          <w:sz w:val="22"/>
          <w:szCs w:val="22"/>
        </w:rPr>
        <w:t xml:space="preserve"> a porovnávaná so zdravými pacientmi. Hodnoty C</w:t>
      </w:r>
      <w:r w:rsidRPr="00D93408">
        <w:rPr>
          <w:sz w:val="22"/>
          <w:szCs w:val="22"/>
          <w:vertAlign w:val="subscript"/>
        </w:rPr>
        <w:t xml:space="preserve">max </w:t>
      </w:r>
      <w:r w:rsidRPr="00D93408">
        <w:rPr>
          <w:sz w:val="22"/>
          <w:szCs w:val="22"/>
        </w:rPr>
        <w:t xml:space="preserve">a AUC v rovnovážnom stave boli pri </w:t>
      </w:r>
      <w:r w:rsidR="00113015" w:rsidRPr="00D93408">
        <w:rPr>
          <w:sz w:val="22"/>
          <w:szCs w:val="22"/>
        </w:rPr>
        <w:t xml:space="preserve">eplerenóne </w:t>
      </w:r>
      <w:r w:rsidRPr="00D93408">
        <w:rPr>
          <w:sz w:val="22"/>
          <w:szCs w:val="22"/>
        </w:rPr>
        <w:t>zvýšené o 3,6</w:t>
      </w:r>
      <w:r w:rsidR="005E1ABC" w:rsidRPr="00D93408">
        <w:rPr>
          <w:sz w:val="22"/>
          <w:szCs w:val="22"/>
        </w:rPr>
        <w:t> </w:t>
      </w:r>
      <w:r w:rsidRPr="00D93408">
        <w:rPr>
          <w:sz w:val="22"/>
          <w:szCs w:val="22"/>
        </w:rPr>
        <w:t>% resp. 42</w:t>
      </w:r>
      <w:r w:rsidR="005E1ABC" w:rsidRPr="00D93408">
        <w:rPr>
          <w:sz w:val="22"/>
          <w:szCs w:val="22"/>
        </w:rPr>
        <w:t> </w:t>
      </w:r>
      <w:r w:rsidRPr="00D93408">
        <w:rPr>
          <w:sz w:val="22"/>
          <w:szCs w:val="22"/>
        </w:rPr>
        <w:t xml:space="preserve">% (pozri časť 4.2). Keďže užívanie </w:t>
      </w:r>
      <w:r w:rsidR="00113015" w:rsidRPr="00D93408">
        <w:rPr>
          <w:sz w:val="22"/>
          <w:szCs w:val="22"/>
        </w:rPr>
        <w:t xml:space="preserve">eplerenónu </w:t>
      </w:r>
      <w:r w:rsidRPr="00D93408">
        <w:rPr>
          <w:sz w:val="22"/>
          <w:szCs w:val="22"/>
        </w:rPr>
        <w:t>neb</w:t>
      </w:r>
      <w:smartTag w:uri="urn:schemas-microsoft-com:office:smarttags" w:element="PersonName">
        <w:r w:rsidRPr="00D93408">
          <w:rPr>
            <w:sz w:val="22"/>
            <w:szCs w:val="22"/>
          </w:rPr>
          <w:t>olo</w:t>
        </w:r>
      </w:smartTag>
      <w:r w:rsidRPr="00D93408">
        <w:rPr>
          <w:sz w:val="22"/>
          <w:szCs w:val="22"/>
        </w:rPr>
        <w:t xml:space="preserve"> skúšané u pacientov s</w:t>
      </w:r>
      <w:r w:rsidR="00230B9F">
        <w:rPr>
          <w:sz w:val="22"/>
          <w:szCs w:val="22"/>
        </w:rPr>
        <w:t> </w:t>
      </w:r>
      <w:r w:rsidRPr="00D93408">
        <w:rPr>
          <w:sz w:val="22"/>
          <w:szCs w:val="22"/>
        </w:rPr>
        <w:t>ťažk</w:t>
      </w:r>
      <w:r w:rsidR="00230B9F">
        <w:rPr>
          <w:sz w:val="22"/>
          <w:szCs w:val="22"/>
        </w:rPr>
        <w:t>ou poruchou funkcie pečene</w:t>
      </w:r>
      <w:r w:rsidRPr="00D93408">
        <w:rPr>
          <w:sz w:val="22"/>
          <w:szCs w:val="22"/>
        </w:rPr>
        <w:t xml:space="preserve">, </w:t>
      </w:r>
      <w:r w:rsidR="00113015" w:rsidRPr="00D93408">
        <w:rPr>
          <w:sz w:val="22"/>
          <w:szCs w:val="22"/>
        </w:rPr>
        <w:t xml:space="preserve">eplerenón </w:t>
      </w:r>
      <w:r w:rsidRPr="00D93408">
        <w:rPr>
          <w:sz w:val="22"/>
          <w:szCs w:val="22"/>
        </w:rPr>
        <w:t xml:space="preserve">je pre túto skupinu pacientov kontraindikovaný (pozri časť 4.3). </w:t>
      </w:r>
    </w:p>
    <w:p w:rsidR="00D912E6" w:rsidRPr="00D93408" w:rsidRDefault="00D912E6" w:rsidP="00FB3973">
      <w:pPr>
        <w:autoSpaceDE w:val="0"/>
        <w:autoSpaceDN w:val="0"/>
        <w:adjustRightInd w:val="0"/>
        <w:rPr>
          <w:sz w:val="22"/>
          <w:szCs w:val="22"/>
        </w:rPr>
      </w:pPr>
    </w:p>
    <w:p w:rsidR="00113015" w:rsidRPr="00D93408" w:rsidRDefault="00FB3973" w:rsidP="00FB3973">
      <w:pPr>
        <w:autoSpaceDE w:val="0"/>
        <w:autoSpaceDN w:val="0"/>
        <w:adjustRightInd w:val="0"/>
        <w:rPr>
          <w:i/>
          <w:iCs/>
          <w:sz w:val="22"/>
          <w:szCs w:val="22"/>
        </w:rPr>
      </w:pPr>
      <w:r w:rsidRPr="00D93408">
        <w:rPr>
          <w:i/>
          <w:iCs/>
          <w:sz w:val="22"/>
          <w:szCs w:val="22"/>
        </w:rPr>
        <w:t>Zlyh</w:t>
      </w:r>
      <w:r w:rsidR="00D45B5C">
        <w:rPr>
          <w:i/>
          <w:iCs/>
          <w:sz w:val="22"/>
          <w:szCs w:val="22"/>
        </w:rPr>
        <w:t>áv</w:t>
      </w:r>
      <w:r w:rsidRPr="00D93408">
        <w:rPr>
          <w:i/>
          <w:iCs/>
          <w:sz w:val="22"/>
          <w:szCs w:val="22"/>
        </w:rPr>
        <w:t>anie srdca</w:t>
      </w:r>
    </w:p>
    <w:p w:rsidR="00FB3973" w:rsidRPr="00D93408" w:rsidRDefault="00FB3973" w:rsidP="00FB3973">
      <w:pPr>
        <w:autoSpaceDE w:val="0"/>
        <w:autoSpaceDN w:val="0"/>
        <w:adjustRightInd w:val="0"/>
        <w:rPr>
          <w:sz w:val="22"/>
          <w:szCs w:val="22"/>
        </w:rPr>
      </w:pPr>
      <w:r w:rsidRPr="00D93408">
        <w:rPr>
          <w:sz w:val="22"/>
          <w:szCs w:val="22"/>
        </w:rPr>
        <w:t xml:space="preserve">Farmakokinetika 50 mg </w:t>
      </w:r>
      <w:r w:rsidR="00113015" w:rsidRPr="00D93408">
        <w:rPr>
          <w:sz w:val="22"/>
          <w:szCs w:val="22"/>
        </w:rPr>
        <w:t xml:space="preserve">eplerenónu </w:t>
      </w:r>
      <w:r w:rsidRPr="00D93408">
        <w:rPr>
          <w:sz w:val="22"/>
          <w:szCs w:val="22"/>
        </w:rPr>
        <w:t>bola skúmaná u pacientov so zlyh</w:t>
      </w:r>
      <w:r w:rsidR="00D45B5C">
        <w:rPr>
          <w:sz w:val="22"/>
          <w:szCs w:val="22"/>
        </w:rPr>
        <w:t>áv</w:t>
      </w:r>
      <w:r w:rsidRPr="00D93408">
        <w:rPr>
          <w:sz w:val="22"/>
          <w:szCs w:val="22"/>
        </w:rPr>
        <w:t xml:space="preserve">aním srdca (klasifikácia </w:t>
      </w:r>
      <w:r w:rsidR="00D45B5C">
        <w:rPr>
          <w:sz w:val="22"/>
          <w:szCs w:val="22"/>
        </w:rPr>
        <w:t xml:space="preserve">štádium </w:t>
      </w:r>
      <w:r w:rsidR="005E1ABC" w:rsidRPr="00D93408">
        <w:rPr>
          <w:sz w:val="22"/>
          <w:szCs w:val="22"/>
        </w:rPr>
        <w:t xml:space="preserve">NYHA </w:t>
      </w:r>
      <w:r w:rsidRPr="00D93408">
        <w:rPr>
          <w:sz w:val="22"/>
          <w:szCs w:val="22"/>
        </w:rPr>
        <w:t>II</w:t>
      </w:r>
      <w:r w:rsidR="005E1ABC" w:rsidRPr="00D93408">
        <w:rPr>
          <w:sz w:val="22"/>
          <w:szCs w:val="22"/>
        </w:rPr>
        <w:t xml:space="preserve"> – </w:t>
      </w:r>
      <w:r w:rsidRPr="00D93408">
        <w:rPr>
          <w:sz w:val="22"/>
          <w:szCs w:val="22"/>
        </w:rPr>
        <w:t>IV). V porovnaní so zdravými pacientmi zodpovedajúceho veku, hmotnosti a pohlavia boli hodnoty AUC a C</w:t>
      </w:r>
      <w:r w:rsidRPr="00D93408">
        <w:rPr>
          <w:sz w:val="22"/>
          <w:szCs w:val="22"/>
          <w:vertAlign w:val="subscript"/>
        </w:rPr>
        <w:t>max</w:t>
      </w:r>
      <w:r w:rsidRPr="00D93408">
        <w:rPr>
          <w:sz w:val="22"/>
          <w:szCs w:val="22"/>
        </w:rPr>
        <w:t xml:space="preserve"> v rovnovážnom stave u pacientov so zlyh</w:t>
      </w:r>
      <w:r w:rsidR="00D45B5C">
        <w:rPr>
          <w:sz w:val="22"/>
          <w:szCs w:val="22"/>
        </w:rPr>
        <w:t>áv</w:t>
      </w:r>
      <w:r w:rsidRPr="00D93408">
        <w:rPr>
          <w:sz w:val="22"/>
          <w:szCs w:val="22"/>
        </w:rPr>
        <w:t>aním srdca vyššie o</w:t>
      </w:r>
      <w:r w:rsidR="005E1ABC" w:rsidRPr="00D93408">
        <w:rPr>
          <w:sz w:val="22"/>
          <w:szCs w:val="22"/>
        </w:rPr>
        <w:t> </w:t>
      </w:r>
      <w:r w:rsidRPr="00D93408">
        <w:rPr>
          <w:sz w:val="22"/>
          <w:szCs w:val="22"/>
        </w:rPr>
        <w:t>38</w:t>
      </w:r>
      <w:r w:rsidR="005E1ABC" w:rsidRPr="00D93408">
        <w:rPr>
          <w:sz w:val="22"/>
          <w:szCs w:val="22"/>
        </w:rPr>
        <w:t> </w:t>
      </w:r>
      <w:r w:rsidRPr="00D93408">
        <w:rPr>
          <w:sz w:val="22"/>
          <w:szCs w:val="22"/>
        </w:rPr>
        <w:t>% resp. 30</w:t>
      </w:r>
      <w:r w:rsidR="005E1ABC" w:rsidRPr="00D93408">
        <w:rPr>
          <w:sz w:val="22"/>
          <w:szCs w:val="22"/>
        </w:rPr>
        <w:t> </w:t>
      </w:r>
      <w:r w:rsidRPr="00D93408">
        <w:rPr>
          <w:sz w:val="22"/>
          <w:szCs w:val="22"/>
        </w:rPr>
        <w:t xml:space="preserve">%. V súlade s týmito výsledkami populačná farmakokinetická analýza </w:t>
      </w:r>
      <w:r w:rsidR="00113015" w:rsidRPr="00D93408">
        <w:rPr>
          <w:sz w:val="22"/>
          <w:szCs w:val="22"/>
        </w:rPr>
        <w:t xml:space="preserve">eplerenónu </w:t>
      </w:r>
      <w:r w:rsidRPr="00D93408">
        <w:rPr>
          <w:sz w:val="22"/>
          <w:szCs w:val="22"/>
        </w:rPr>
        <w:t>u</w:t>
      </w:r>
      <w:r w:rsidR="00220657">
        <w:rPr>
          <w:sz w:val="22"/>
          <w:szCs w:val="22"/>
        </w:rPr>
        <w:t> </w:t>
      </w:r>
      <w:r w:rsidRPr="00D93408">
        <w:rPr>
          <w:sz w:val="22"/>
          <w:szCs w:val="22"/>
        </w:rPr>
        <w:t xml:space="preserve">podskupiny pacientov zo štúdie EPHESUS naznačuje, že klírens </w:t>
      </w:r>
      <w:r w:rsidR="00113015" w:rsidRPr="00D93408">
        <w:rPr>
          <w:sz w:val="22"/>
          <w:szCs w:val="22"/>
        </w:rPr>
        <w:t xml:space="preserve">eplerenónu </w:t>
      </w:r>
      <w:r w:rsidRPr="00D93408">
        <w:rPr>
          <w:sz w:val="22"/>
          <w:szCs w:val="22"/>
        </w:rPr>
        <w:t>u pacientov so zlyh</w:t>
      </w:r>
      <w:r w:rsidR="00D45B5C">
        <w:rPr>
          <w:sz w:val="22"/>
          <w:szCs w:val="22"/>
        </w:rPr>
        <w:t>áv</w:t>
      </w:r>
      <w:r w:rsidRPr="00D93408">
        <w:rPr>
          <w:sz w:val="22"/>
          <w:szCs w:val="22"/>
        </w:rPr>
        <w:t xml:space="preserve">aním srdca bol podobný ako u zdravých starších pacientov. </w:t>
      </w:r>
    </w:p>
    <w:p w:rsidR="00FB3973" w:rsidRPr="00D93408" w:rsidRDefault="00FB3973">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5.3</w:t>
      </w:r>
      <w:r w:rsidR="006B71FE" w:rsidRPr="00D93408">
        <w:rPr>
          <w:b/>
          <w:bCs/>
          <w:sz w:val="22"/>
          <w:szCs w:val="22"/>
        </w:rPr>
        <w:tab/>
      </w:r>
      <w:r w:rsidRPr="00D93408">
        <w:rPr>
          <w:b/>
          <w:bCs/>
          <w:sz w:val="22"/>
          <w:szCs w:val="22"/>
        </w:rPr>
        <w:t xml:space="preserve">Predklinické údaje o bezpečnosti </w:t>
      </w:r>
    </w:p>
    <w:p w:rsidR="00FB3973" w:rsidRPr="00D93408" w:rsidRDefault="00FB3973" w:rsidP="00FB3973">
      <w:pPr>
        <w:autoSpaceDE w:val="0"/>
        <w:autoSpaceDN w:val="0"/>
        <w:adjustRightInd w:val="0"/>
        <w:rPr>
          <w:b/>
          <w:bCs/>
          <w:sz w:val="22"/>
          <w:szCs w:val="22"/>
        </w:rPr>
      </w:pPr>
    </w:p>
    <w:p w:rsidR="00FB3973" w:rsidRPr="00D93408" w:rsidRDefault="00FB3973" w:rsidP="00FB3973">
      <w:pPr>
        <w:autoSpaceDE w:val="0"/>
        <w:autoSpaceDN w:val="0"/>
        <w:adjustRightInd w:val="0"/>
        <w:rPr>
          <w:sz w:val="22"/>
          <w:szCs w:val="22"/>
        </w:rPr>
      </w:pPr>
      <w:r w:rsidRPr="00D93408">
        <w:rPr>
          <w:sz w:val="22"/>
          <w:szCs w:val="22"/>
        </w:rPr>
        <w:t>Predklinické</w:t>
      </w:r>
      <w:r w:rsidR="006A2BCC">
        <w:rPr>
          <w:sz w:val="22"/>
          <w:szCs w:val="22"/>
        </w:rPr>
        <w:t xml:space="preserve"> farmakologické</w:t>
      </w:r>
      <w:r w:rsidRPr="00D93408">
        <w:rPr>
          <w:sz w:val="22"/>
          <w:szCs w:val="22"/>
        </w:rPr>
        <w:t xml:space="preserve"> štúdie</w:t>
      </w:r>
      <w:r w:rsidR="006A2BCC">
        <w:rPr>
          <w:sz w:val="22"/>
          <w:szCs w:val="22"/>
        </w:rPr>
        <w:t xml:space="preserve"> bezpečnosti</w:t>
      </w:r>
      <w:r w:rsidRPr="00D93408">
        <w:rPr>
          <w:sz w:val="22"/>
          <w:szCs w:val="22"/>
        </w:rPr>
        <w:t>, gen</w:t>
      </w:r>
      <w:r w:rsidR="006A2BCC">
        <w:rPr>
          <w:sz w:val="22"/>
          <w:szCs w:val="22"/>
        </w:rPr>
        <w:t>otoxicity</w:t>
      </w:r>
      <w:r w:rsidRPr="00D93408">
        <w:rPr>
          <w:sz w:val="22"/>
          <w:szCs w:val="22"/>
        </w:rPr>
        <w:t>, karcinogénn</w:t>
      </w:r>
      <w:r w:rsidR="006A2BCC">
        <w:rPr>
          <w:sz w:val="22"/>
          <w:szCs w:val="22"/>
        </w:rPr>
        <w:t>eho</w:t>
      </w:r>
      <w:r w:rsidRPr="00D93408">
        <w:rPr>
          <w:sz w:val="22"/>
          <w:szCs w:val="22"/>
        </w:rPr>
        <w:t xml:space="preserve"> potenciál</w:t>
      </w:r>
      <w:r w:rsidR="006A2BCC">
        <w:rPr>
          <w:sz w:val="22"/>
          <w:szCs w:val="22"/>
        </w:rPr>
        <w:t>u</w:t>
      </w:r>
      <w:r w:rsidRPr="00D93408">
        <w:rPr>
          <w:sz w:val="22"/>
          <w:szCs w:val="22"/>
        </w:rPr>
        <w:t xml:space="preserve"> a</w:t>
      </w:r>
      <w:r w:rsidR="006A2BCC">
        <w:rPr>
          <w:sz w:val="22"/>
          <w:szCs w:val="22"/>
        </w:rPr>
        <w:t xml:space="preserve"> reprodukčnej </w:t>
      </w:r>
      <w:r w:rsidRPr="00D93408">
        <w:rPr>
          <w:sz w:val="22"/>
          <w:szCs w:val="22"/>
        </w:rPr>
        <w:t>toxicit</w:t>
      </w:r>
      <w:r w:rsidR="006A2BCC">
        <w:rPr>
          <w:sz w:val="22"/>
          <w:szCs w:val="22"/>
        </w:rPr>
        <w:t>y</w:t>
      </w:r>
      <w:r w:rsidRPr="00D93408">
        <w:rPr>
          <w:sz w:val="22"/>
          <w:szCs w:val="22"/>
        </w:rPr>
        <w:t xml:space="preserve"> neodhalili žiadne osobitné riziká pre ľudí. V štúdiách </w:t>
      </w:r>
      <w:r w:rsidR="006A2BCC">
        <w:rPr>
          <w:sz w:val="22"/>
          <w:szCs w:val="22"/>
        </w:rPr>
        <w:t xml:space="preserve">toxicity po opakovanom podávaní </w:t>
      </w:r>
      <w:r w:rsidRPr="00D93408">
        <w:rPr>
          <w:sz w:val="22"/>
          <w:szCs w:val="22"/>
        </w:rPr>
        <w:t>sa u potkanov a psov pozorovala atrofia prostaty pri hladinách o niečo vyšších</w:t>
      </w:r>
      <w:r w:rsidR="005E1ABC" w:rsidRPr="00D93408">
        <w:rPr>
          <w:sz w:val="22"/>
          <w:szCs w:val="22"/>
        </w:rPr>
        <w:t>,</w:t>
      </w:r>
      <w:r w:rsidRPr="00D93408">
        <w:rPr>
          <w:sz w:val="22"/>
          <w:szCs w:val="22"/>
        </w:rPr>
        <w:t xml:space="preserve"> než sú hladiny</w:t>
      </w:r>
      <w:r w:rsidR="005E1ABC" w:rsidRPr="00D93408">
        <w:rPr>
          <w:sz w:val="22"/>
          <w:szCs w:val="22"/>
        </w:rPr>
        <w:t xml:space="preserve"> klinickej expozície</w:t>
      </w:r>
      <w:r w:rsidRPr="00D93408">
        <w:rPr>
          <w:sz w:val="22"/>
          <w:szCs w:val="22"/>
        </w:rPr>
        <w:t xml:space="preserve">. Zmeny na prostate nesúviseli s negatívnymi funkčnými následkami. Klinická relevantnosť týchto zistení nie je známa. </w:t>
      </w:r>
    </w:p>
    <w:p w:rsidR="00FB3973" w:rsidRPr="00D93408" w:rsidRDefault="00FB3973" w:rsidP="00FB3973">
      <w:pPr>
        <w:autoSpaceDE w:val="0"/>
        <w:autoSpaceDN w:val="0"/>
        <w:adjustRightInd w:val="0"/>
        <w:rPr>
          <w:sz w:val="22"/>
          <w:szCs w:val="22"/>
        </w:rPr>
      </w:pPr>
    </w:p>
    <w:p w:rsidR="00FB3973" w:rsidRPr="00D93408" w:rsidRDefault="00FB3973" w:rsidP="00FB3973">
      <w:pPr>
        <w:autoSpaceDE w:val="0"/>
        <w:autoSpaceDN w:val="0"/>
        <w:adjustRightInd w:val="0"/>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6.</w:t>
      </w:r>
      <w:r w:rsidR="006B71FE" w:rsidRPr="00D93408">
        <w:rPr>
          <w:b/>
          <w:bCs/>
          <w:sz w:val="22"/>
          <w:szCs w:val="22"/>
        </w:rPr>
        <w:tab/>
      </w:r>
      <w:r w:rsidRPr="00D93408">
        <w:rPr>
          <w:b/>
          <w:bCs/>
          <w:sz w:val="22"/>
          <w:szCs w:val="22"/>
        </w:rPr>
        <w:t xml:space="preserve">FARMACEUTICKÉ INFORMÁCIE </w:t>
      </w:r>
    </w:p>
    <w:p w:rsidR="00FB3973" w:rsidRPr="00D93408" w:rsidRDefault="00FB3973" w:rsidP="00FB3973">
      <w:pPr>
        <w:autoSpaceDE w:val="0"/>
        <w:autoSpaceDN w:val="0"/>
        <w:adjustRightInd w:val="0"/>
        <w:rPr>
          <w:b/>
          <w:bCs/>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6.1</w:t>
      </w:r>
      <w:r w:rsidR="006B71FE" w:rsidRPr="00D93408">
        <w:rPr>
          <w:b/>
          <w:bCs/>
          <w:sz w:val="22"/>
          <w:szCs w:val="22"/>
        </w:rPr>
        <w:tab/>
      </w:r>
      <w:r w:rsidRPr="00D93408">
        <w:rPr>
          <w:b/>
          <w:bCs/>
          <w:sz w:val="22"/>
          <w:szCs w:val="22"/>
        </w:rPr>
        <w:t xml:space="preserve">Zoznam pomocných látok </w:t>
      </w:r>
    </w:p>
    <w:p w:rsidR="00FB3973" w:rsidRPr="00D93408" w:rsidRDefault="00FB3973" w:rsidP="00FB3973">
      <w:pPr>
        <w:autoSpaceDE w:val="0"/>
        <w:autoSpaceDN w:val="0"/>
        <w:adjustRightInd w:val="0"/>
        <w:rPr>
          <w:b/>
          <w:bCs/>
          <w:sz w:val="22"/>
          <w:szCs w:val="22"/>
        </w:rPr>
      </w:pPr>
    </w:p>
    <w:p w:rsidR="00E97226" w:rsidRDefault="00113015" w:rsidP="00113015">
      <w:pPr>
        <w:autoSpaceDE w:val="0"/>
        <w:autoSpaceDN w:val="0"/>
        <w:adjustRightInd w:val="0"/>
        <w:rPr>
          <w:i/>
          <w:iCs/>
          <w:sz w:val="22"/>
          <w:szCs w:val="22"/>
        </w:rPr>
      </w:pPr>
      <w:r w:rsidRPr="00D93408">
        <w:rPr>
          <w:i/>
          <w:iCs/>
          <w:sz w:val="22"/>
          <w:szCs w:val="22"/>
        </w:rPr>
        <w:t xml:space="preserve">Jadro </w:t>
      </w:r>
      <w:r w:rsidR="00FB3973" w:rsidRPr="00D93408">
        <w:rPr>
          <w:i/>
          <w:iCs/>
          <w:sz w:val="22"/>
          <w:szCs w:val="22"/>
        </w:rPr>
        <w:t>tablety:</w:t>
      </w:r>
    </w:p>
    <w:p w:rsidR="00220657" w:rsidRDefault="00CD49AD" w:rsidP="00113015">
      <w:pPr>
        <w:autoSpaceDE w:val="0"/>
        <w:autoSpaceDN w:val="0"/>
        <w:adjustRightInd w:val="0"/>
        <w:rPr>
          <w:sz w:val="22"/>
          <w:szCs w:val="22"/>
        </w:rPr>
      </w:pPr>
      <w:r>
        <w:rPr>
          <w:sz w:val="22"/>
          <w:szCs w:val="22"/>
        </w:rPr>
        <w:t xml:space="preserve">Monohydrát </w:t>
      </w:r>
      <w:r w:rsidR="00D07889">
        <w:rPr>
          <w:sz w:val="22"/>
          <w:szCs w:val="22"/>
        </w:rPr>
        <w:t>l</w:t>
      </w:r>
      <w:r w:rsidR="002E761B">
        <w:rPr>
          <w:sz w:val="22"/>
          <w:szCs w:val="22"/>
        </w:rPr>
        <w:t>aktóz</w:t>
      </w:r>
      <w:r>
        <w:rPr>
          <w:sz w:val="22"/>
          <w:szCs w:val="22"/>
        </w:rPr>
        <w:t>y</w:t>
      </w:r>
    </w:p>
    <w:p w:rsidR="00C27661" w:rsidRDefault="00113015" w:rsidP="00113015">
      <w:pPr>
        <w:autoSpaceDE w:val="0"/>
        <w:autoSpaceDN w:val="0"/>
        <w:adjustRightInd w:val="0"/>
        <w:rPr>
          <w:sz w:val="22"/>
          <w:szCs w:val="22"/>
        </w:rPr>
      </w:pPr>
      <w:r w:rsidRPr="00D93408">
        <w:rPr>
          <w:sz w:val="22"/>
          <w:szCs w:val="22"/>
        </w:rPr>
        <w:t>mikrokryštalická celulóza (</w:t>
      </w:r>
      <w:r w:rsidR="00C27661">
        <w:rPr>
          <w:sz w:val="22"/>
          <w:szCs w:val="22"/>
        </w:rPr>
        <w:t>typ 101</w:t>
      </w:r>
      <w:r w:rsidRPr="00D93408">
        <w:rPr>
          <w:sz w:val="22"/>
          <w:szCs w:val="22"/>
        </w:rPr>
        <w:t>)</w:t>
      </w:r>
    </w:p>
    <w:p w:rsidR="00220657" w:rsidRDefault="00CD49AD" w:rsidP="000502DB">
      <w:pPr>
        <w:autoSpaceDE w:val="0"/>
        <w:autoSpaceDN w:val="0"/>
        <w:adjustRightInd w:val="0"/>
        <w:rPr>
          <w:sz w:val="22"/>
          <w:szCs w:val="22"/>
        </w:rPr>
      </w:pPr>
      <w:r>
        <w:rPr>
          <w:sz w:val="22"/>
          <w:szCs w:val="22"/>
        </w:rPr>
        <w:t xml:space="preserve">sodná soľ </w:t>
      </w:r>
      <w:r w:rsidR="002E761B">
        <w:rPr>
          <w:sz w:val="22"/>
          <w:szCs w:val="22"/>
        </w:rPr>
        <w:t>kroskarmelóz</w:t>
      </w:r>
      <w:r>
        <w:rPr>
          <w:sz w:val="22"/>
          <w:szCs w:val="22"/>
        </w:rPr>
        <w:t>y</w:t>
      </w:r>
      <w:r w:rsidR="00220657">
        <w:rPr>
          <w:sz w:val="22"/>
          <w:szCs w:val="22"/>
        </w:rPr>
        <w:t xml:space="preserve"> </w:t>
      </w:r>
    </w:p>
    <w:p w:rsidR="00C27661" w:rsidRDefault="00113015" w:rsidP="000502DB">
      <w:pPr>
        <w:autoSpaceDE w:val="0"/>
        <w:autoSpaceDN w:val="0"/>
        <w:adjustRightInd w:val="0"/>
        <w:rPr>
          <w:sz w:val="22"/>
          <w:szCs w:val="22"/>
        </w:rPr>
      </w:pPr>
      <w:r w:rsidRPr="00D93408">
        <w:rPr>
          <w:sz w:val="22"/>
          <w:szCs w:val="22"/>
        </w:rPr>
        <w:t>hypromelóza (typ 2910)</w:t>
      </w:r>
    </w:p>
    <w:p w:rsidR="00220657" w:rsidRDefault="00220657" w:rsidP="00220657">
      <w:pPr>
        <w:autoSpaceDE w:val="0"/>
        <w:autoSpaceDN w:val="0"/>
        <w:adjustRightInd w:val="0"/>
        <w:rPr>
          <w:sz w:val="22"/>
          <w:szCs w:val="22"/>
        </w:rPr>
      </w:pPr>
      <w:r w:rsidRPr="00D93408">
        <w:rPr>
          <w:sz w:val="22"/>
          <w:szCs w:val="22"/>
        </w:rPr>
        <w:t>mikrokryštalická celulóza (</w:t>
      </w:r>
      <w:r>
        <w:rPr>
          <w:sz w:val="22"/>
          <w:szCs w:val="22"/>
        </w:rPr>
        <w:t>typ 102</w:t>
      </w:r>
      <w:r w:rsidRPr="00D93408">
        <w:rPr>
          <w:sz w:val="22"/>
          <w:szCs w:val="22"/>
        </w:rPr>
        <w:t>)</w:t>
      </w:r>
    </w:p>
    <w:p w:rsidR="00C27661" w:rsidRDefault="00113015" w:rsidP="00113015">
      <w:pPr>
        <w:autoSpaceDE w:val="0"/>
        <w:autoSpaceDN w:val="0"/>
        <w:adjustRightInd w:val="0"/>
        <w:rPr>
          <w:sz w:val="22"/>
          <w:szCs w:val="22"/>
        </w:rPr>
      </w:pPr>
      <w:r w:rsidRPr="00D93408">
        <w:rPr>
          <w:sz w:val="22"/>
          <w:szCs w:val="22"/>
        </w:rPr>
        <w:t>laurylsíran sodný</w:t>
      </w:r>
    </w:p>
    <w:p w:rsidR="00C27661" w:rsidRDefault="00113015" w:rsidP="00113015">
      <w:pPr>
        <w:autoSpaceDE w:val="0"/>
        <w:autoSpaceDN w:val="0"/>
        <w:adjustRightInd w:val="0"/>
        <w:rPr>
          <w:sz w:val="22"/>
          <w:szCs w:val="22"/>
        </w:rPr>
      </w:pPr>
      <w:r w:rsidRPr="00D93408">
        <w:rPr>
          <w:sz w:val="22"/>
          <w:szCs w:val="22"/>
        </w:rPr>
        <w:t>mastenec</w:t>
      </w:r>
    </w:p>
    <w:p w:rsidR="00C27661" w:rsidRDefault="002E761B" w:rsidP="00113015">
      <w:pPr>
        <w:autoSpaceDE w:val="0"/>
        <w:autoSpaceDN w:val="0"/>
        <w:adjustRightInd w:val="0"/>
        <w:rPr>
          <w:i/>
          <w:iCs/>
          <w:sz w:val="22"/>
          <w:szCs w:val="22"/>
        </w:rPr>
      </w:pPr>
      <w:r>
        <w:rPr>
          <w:sz w:val="22"/>
          <w:szCs w:val="22"/>
        </w:rPr>
        <w:t>stear</w:t>
      </w:r>
      <w:r w:rsidR="00CD49AD">
        <w:rPr>
          <w:sz w:val="22"/>
          <w:szCs w:val="22"/>
        </w:rPr>
        <w:t>át</w:t>
      </w:r>
      <w:r>
        <w:rPr>
          <w:sz w:val="22"/>
          <w:szCs w:val="22"/>
        </w:rPr>
        <w:t xml:space="preserve"> horečnatý</w:t>
      </w:r>
    </w:p>
    <w:p w:rsidR="00220657" w:rsidRDefault="00220657" w:rsidP="00113015">
      <w:pPr>
        <w:autoSpaceDE w:val="0"/>
        <w:autoSpaceDN w:val="0"/>
        <w:adjustRightInd w:val="0"/>
        <w:rPr>
          <w:i/>
          <w:iCs/>
          <w:sz w:val="22"/>
          <w:szCs w:val="22"/>
        </w:rPr>
      </w:pPr>
    </w:p>
    <w:p w:rsidR="00C27661" w:rsidRDefault="00113015" w:rsidP="00113015">
      <w:pPr>
        <w:autoSpaceDE w:val="0"/>
        <w:autoSpaceDN w:val="0"/>
        <w:adjustRightInd w:val="0"/>
        <w:rPr>
          <w:i/>
          <w:iCs/>
          <w:sz w:val="22"/>
          <w:szCs w:val="22"/>
        </w:rPr>
      </w:pPr>
      <w:r w:rsidRPr="00D93408">
        <w:rPr>
          <w:i/>
          <w:iCs/>
          <w:sz w:val="22"/>
          <w:szCs w:val="22"/>
        </w:rPr>
        <w:t xml:space="preserve">Obal tablety: </w:t>
      </w:r>
    </w:p>
    <w:p w:rsidR="00220657" w:rsidRDefault="00CD49AD" w:rsidP="00113015">
      <w:pPr>
        <w:autoSpaceDE w:val="0"/>
        <w:autoSpaceDN w:val="0"/>
        <w:adjustRightInd w:val="0"/>
        <w:rPr>
          <w:sz w:val="22"/>
          <w:szCs w:val="22"/>
        </w:rPr>
      </w:pPr>
      <w:r>
        <w:rPr>
          <w:sz w:val="22"/>
          <w:szCs w:val="22"/>
        </w:rPr>
        <w:t xml:space="preserve">Monohydrát </w:t>
      </w:r>
      <w:r w:rsidR="00D07889">
        <w:rPr>
          <w:sz w:val="22"/>
          <w:szCs w:val="22"/>
        </w:rPr>
        <w:t>l</w:t>
      </w:r>
      <w:r w:rsidR="002E761B">
        <w:rPr>
          <w:sz w:val="22"/>
          <w:szCs w:val="22"/>
        </w:rPr>
        <w:t>aktóz</w:t>
      </w:r>
      <w:r>
        <w:rPr>
          <w:sz w:val="22"/>
          <w:szCs w:val="22"/>
        </w:rPr>
        <w:t>y</w:t>
      </w:r>
      <w:r w:rsidR="002E761B">
        <w:rPr>
          <w:sz w:val="22"/>
          <w:szCs w:val="22"/>
        </w:rPr>
        <w:t xml:space="preserve"> </w:t>
      </w:r>
    </w:p>
    <w:p w:rsidR="00C27661" w:rsidRDefault="00113015" w:rsidP="00113015">
      <w:pPr>
        <w:autoSpaceDE w:val="0"/>
        <w:autoSpaceDN w:val="0"/>
        <w:adjustRightInd w:val="0"/>
        <w:rPr>
          <w:sz w:val="22"/>
          <w:szCs w:val="22"/>
        </w:rPr>
      </w:pPr>
      <w:r w:rsidRPr="00D93408">
        <w:rPr>
          <w:sz w:val="22"/>
          <w:szCs w:val="22"/>
        </w:rPr>
        <w:t>hypromelóza (typ 2910)</w:t>
      </w:r>
    </w:p>
    <w:p w:rsidR="00C27661" w:rsidRDefault="00113015" w:rsidP="00113015">
      <w:pPr>
        <w:autoSpaceDE w:val="0"/>
        <w:autoSpaceDN w:val="0"/>
        <w:adjustRightInd w:val="0"/>
        <w:rPr>
          <w:sz w:val="22"/>
          <w:szCs w:val="22"/>
        </w:rPr>
      </w:pPr>
      <w:r w:rsidRPr="00D93408">
        <w:rPr>
          <w:sz w:val="22"/>
          <w:szCs w:val="22"/>
        </w:rPr>
        <w:t>oxid titaničitý (E171)</w:t>
      </w:r>
    </w:p>
    <w:p w:rsidR="00113015" w:rsidRPr="00D93408" w:rsidRDefault="00113015" w:rsidP="00113015">
      <w:pPr>
        <w:autoSpaceDE w:val="0"/>
        <w:autoSpaceDN w:val="0"/>
        <w:adjustRightInd w:val="0"/>
        <w:rPr>
          <w:i/>
          <w:iCs/>
          <w:sz w:val="22"/>
          <w:szCs w:val="22"/>
        </w:rPr>
      </w:pPr>
      <w:r w:rsidRPr="00D93408">
        <w:rPr>
          <w:sz w:val="22"/>
          <w:szCs w:val="22"/>
        </w:rPr>
        <w:t>makrogol 4000</w:t>
      </w:r>
    </w:p>
    <w:p w:rsidR="00FB3973" w:rsidRPr="00D93408" w:rsidRDefault="00FB3973">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6.2</w:t>
      </w:r>
      <w:r w:rsidR="006B71FE" w:rsidRPr="00D93408">
        <w:rPr>
          <w:b/>
          <w:bCs/>
          <w:sz w:val="22"/>
          <w:szCs w:val="22"/>
        </w:rPr>
        <w:tab/>
      </w:r>
      <w:r w:rsidRPr="00D93408">
        <w:rPr>
          <w:b/>
          <w:bCs/>
          <w:sz w:val="22"/>
          <w:szCs w:val="22"/>
        </w:rPr>
        <w:t xml:space="preserve">Inkompatibility </w:t>
      </w:r>
    </w:p>
    <w:p w:rsidR="00FB3973" w:rsidRPr="00D93408" w:rsidRDefault="00FB3973" w:rsidP="00FB3973">
      <w:pPr>
        <w:autoSpaceDE w:val="0"/>
        <w:autoSpaceDN w:val="0"/>
        <w:adjustRightInd w:val="0"/>
        <w:rPr>
          <w:b/>
          <w:bCs/>
          <w:sz w:val="22"/>
          <w:szCs w:val="22"/>
        </w:rPr>
      </w:pPr>
    </w:p>
    <w:p w:rsidR="00FB3973" w:rsidRPr="00D93408" w:rsidRDefault="00FB3973" w:rsidP="00FB3973">
      <w:pPr>
        <w:autoSpaceDE w:val="0"/>
        <w:autoSpaceDN w:val="0"/>
        <w:adjustRightInd w:val="0"/>
        <w:rPr>
          <w:sz w:val="22"/>
          <w:szCs w:val="22"/>
        </w:rPr>
      </w:pPr>
      <w:r w:rsidRPr="00D93408">
        <w:rPr>
          <w:sz w:val="22"/>
          <w:szCs w:val="22"/>
        </w:rPr>
        <w:t xml:space="preserve">Neaplikovateľné. </w:t>
      </w:r>
    </w:p>
    <w:p w:rsidR="00FB3973" w:rsidRPr="00D93408" w:rsidRDefault="00FB3973">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6.3</w:t>
      </w:r>
      <w:r w:rsidR="006B71FE" w:rsidRPr="00D93408">
        <w:rPr>
          <w:b/>
          <w:bCs/>
          <w:sz w:val="22"/>
          <w:szCs w:val="22"/>
        </w:rPr>
        <w:tab/>
      </w:r>
      <w:r w:rsidRPr="00D93408">
        <w:rPr>
          <w:b/>
          <w:bCs/>
          <w:sz w:val="22"/>
          <w:szCs w:val="22"/>
        </w:rPr>
        <w:t xml:space="preserve">Čas použiteľnosti </w:t>
      </w:r>
    </w:p>
    <w:p w:rsidR="00FB3973" w:rsidRPr="00D93408" w:rsidRDefault="00FB3973" w:rsidP="00FB3973">
      <w:pPr>
        <w:autoSpaceDE w:val="0"/>
        <w:autoSpaceDN w:val="0"/>
        <w:adjustRightInd w:val="0"/>
        <w:rPr>
          <w:b/>
          <w:bCs/>
          <w:sz w:val="22"/>
          <w:szCs w:val="22"/>
        </w:rPr>
      </w:pPr>
    </w:p>
    <w:p w:rsidR="00FB3973" w:rsidRPr="00D93408" w:rsidRDefault="00CF1F41" w:rsidP="00FB3973">
      <w:pPr>
        <w:autoSpaceDE w:val="0"/>
        <w:autoSpaceDN w:val="0"/>
        <w:adjustRightInd w:val="0"/>
        <w:rPr>
          <w:sz w:val="22"/>
          <w:szCs w:val="22"/>
        </w:rPr>
      </w:pPr>
      <w:r w:rsidRPr="00D93408">
        <w:rPr>
          <w:sz w:val="22"/>
          <w:szCs w:val="22"/>
        </w:rPr>
        <w:t>3</w:t>
      </w:r>
      <w:r w:rsidR="00FB3973" w:rsidRPr="00D93408">
        <w:rPr>
          <w:sz w:val="22"/>
          <w:szCs w:val="22"/>
        </w:rPr>
        <w:t xml:space="preserve"> roky</w:t>
      </w:r>
    </w:p>
    <w:p w:rsidR="00FB3973" w:rsidRPr="00D93408" w:rsidRDefault="00FB3973">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6.4</w:t>
      </w:r>
      <w:r w:rsidR="006B71FE" w:rsidRPr="00D93408">
        <w:rPr>
          <w:b/>
          <w:bCs/>
          <w:sz w:val="22"/>
          <w:szCs w:val="22"/>
        </w:rPr>
        <w:tab/>
      </w:r>
      <w:r w:rsidR="008B199A" w:rsidRPr="00D93408">
        <w:rPr>
          <w:b/>
          <w:bCs/>
          <w:sz w:val="22"/>
          <w:szCs w:val="22"/>
        </w:rPr>
        <w:t>Špeciálne</w:t>
      </w:r>
      <w:r w:rsidRPr="00D93408">
        <w:rPr>
          <w:b/>
          <w:bCs/>
          <w:sz w:val="22"/>
          <w:szCs w:val="22"/>
        </w:rPr>
        <w:t xml:space="preserve"> upozornenia na uchovávanie </w:t>
      </w:r>
    </w:p>
    <w:p w:rsidR="00FB3973" w:rsidRPr="00D93408" w:rsidRDefault="00FB3973" w:rsidP="00FB3973">
      <w:pPr>
        <w:autoSpaceDE w:val="0"/>
        <w:autoSpaceDN w:val="0"/>
        <w:adjustRightInd w:val="0"/>
        <w:rPr>
          <w:b/>
          <w:bCs/>
          <w:sz w:val="22"/>
          <w:szCs w:val="22"/>
        </w:rPr>
      </w:pPr>
    </w:p>
    <w:p w:rsidR="00FB3973" w:rsidRPr="00D93408" w:rsidRDefault="00FB3973" w:rsidP="00FB3973">
      <w:pPr>
        <w:autoSpaceDE w:val="0"/>
        <w:autoSpaceDN w:val="0"/>
        <w:adjustRightInd w:val="0"/>
        <w:rPr>
          <w:sz w:val="22"/>
          <w:szCs w:val="22"/>
        </w:rPr>
      </w:pPr>
      <w:r w:rsidRPr="00D93408">
        <w:rPr>
          <w:sz w:val="22"/>
          <w:szCs w:val="22"/>
        </w:rPr>
        <w:t xml:space="preserve">Tento liek </w:t>
      </w:r>
      <w:r w:rsidR="00442AE6">
        <w:rPr>
          <w:sz w:val="22"/>
          <w:szCs w:val="22"/>
        </w:rPr>
        <w:t xml:space="preserve">nevyžaduje </w:t>
      </w:r>
      <w:r w:rsidRPr="00D93408">
        <w:rPr>
          <w:sz w:val="22"/>
          <w:szCs w:val="22"/>
        </w:rPr>
        <w:t xml:space="preserve">žiadne </w:t>
      </w:r>
      <w:r w:rsidR="00D52D24" w:rsidRPr="00D93408">
        <w:rPr>
          <w:sz w:val="22"/>
          <w:szCs w:val="22"/>
        </w:rPr>
        <w:t>zvláštne</w:t>
      </w:r>
      <w:r w:rsidRPr="00D93408">
        <w:rPr>
          <w:sz w:val="22"/>
          <w:szCs w:val="22"/>
        </w:rPr>
        <w:t xml:space="preserve"> podmienky na </w:t>
      </w:r>
      <w:r w:rsidR="00D52D24" w:rsidRPr="00D93408">
        <w:rPr>
          <w:sz w:val="22"/>
          <w:szCs w:val="22"/>
        </w:rPr>
        <w:t>uchovávanie</w:t>
      </w:r>
      <w:r w:rsidRPr="00D93408">
        <w:rPr>
          <w:sz w:val="22"/>
          <w:szCs w:val="22"/>
        </w:rPr>
        <w:t xml:space="preserve">. </w:t>
      </w:r>
    </w:p>
    <w:p w:rsidR="00FB3973" w:rsidRPr="00D93408" w:rsidRDefault="00FB3973" w:rsidP="00FB3973">
      <w:pPr>
        <w:autoSpaceDE w:val="0"/>
        <w:autoSpaceDN w:val="0"/>
        <w:adjustRightInd w:val="0"/>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6.5</w:t>
      </w:r>
      <w:r w:rsidR="006B71FE" w:rsidRPr="00D93408">
        <w:rPr>
          <w:b/>
          <w:bCs/>
          <w:sz w:val="22"/>
          <w:szCs w:val="22"/>
        </w:rPr>
        <w:tab/>
      </w:r>
      <w:r w:rsidRPr="00D93408">
        <w:rPr>
          <w:b/>
          <w:bCs/>
          <w:sz w:val="22"/>
          <w:szCs w:val="22"/>
        </w:rPr>
        <w:t xml:space="preserve">Druh obalu a obsah balenia </w:t>
      </w:r>
    </w:p>
    <w:p w:rsidR="00FB3973" w:rsidRPr="00D93408" w:rsidRDefault="00FB3973" w:rsidP="00FB3973">
      <w:pPr>
        <w:autoSpaceDE w:val="0"/>
        <w:autoSpaceDN w:val="0"/>
        <w:adjustRightInd w:val="0"/>
        <w:rPr>
          <w:b/>
          <w:bCs/>
          <w:sz w:val="22"/>
          <w:szCs w:val="22"/>
        </w:rPr>
      </w:pPr>
    </w:p>
    <w:p w:rsidR="0058689A" w:rsidRPr="00D93408" w:rsidRDefault="00823918" w:rsidP="00430229">
      <w:pPr>
        <w:autoSpaceDE w:val="0"/>
        <w:autoSpaceDN w:val="0"/>
        <w:adjustRightInd w:val="0"/>
        <w:rPr>
          <w:bCs/>
          <w:color w:val="000000"/>
          <w:sz w:val="22"/>
          <w:szCs w:val="22"/>
        </w:rPr>
      </w:pPr>
      <w:r w:rsidRPr="00D93408">
        <w:rPr>
          <w:bCs/>
          <w:color w:val="000000"/>
          <w:sz w:val="22"/>
          <w:szCs w:val="22"/>
        </w:rPr>
        <w:t>Eplerenon STADA</w:t>
      </w:r>
      <w:r w:rsidR="0058689A" w:rsidRPr="00D93408">
        <w:rPr>
          <w:bCs/>
          <w:color w:val="000000"/>
          <w:sz w:val="22"/>
          <w:szCs w:val="22"/>
        </w:rPr>
        <w:t xml:space="preserve"> </w:t>
      </w:r>
      <w:r w:rsidR="0058689A" w:rsidRPr="00D93408">
        <w:rPr>
          <w:sz w:val="22"/>
        </w:rPr>
        <w:t>je dostupný v </w:t>
      </w:r>
      <w:r w:rsidR="0058689A" w:rsidRPr="00D93408">
        <w:rPr>
          <w:bCs/>
          <w:color w:val="000000"/>
          <w:sz w:val="22"/>
          <w:szCs w:val="22"/>
        </w:rPr>
        <w:t>PVC/</w:t>
      </w:r>
      <w:r w:rsidR="00C27661">
        <w:rPr>
          <w:bCs/>
          <w:color w:val="000000"/>
          <w:sz w:val="22"/>
          <w:szCs w:val="22"/>
        </w:rPr>
        <w:t>/hliníkovom</w:t>
      </w:r>
      <w:r w:rsidR="00C27661" w:rsidRPr="00D93408">
        <w:rPr>
          <w:sz w:val="22"/>
        </w:rPr>
        <w:t xml:space="preserve"> </w:t>
      </w:r>
      <w:r w:rsidR="0058689A" w:rsidRPr="00D93408">
        <w:rPr>
          <w:sz w:val="22"/>
        </w:rPr>
        <w:t>blistr</w:t>
      </w:r>
      <w:r w:rsidR="007774F2">
        <w:rPr>
          <w:sz w:val="22"/>
        </w:rPr>
        <w:t>i.</w:t>
      </w:r>
      <w:r w:rsidR="0058689A" w:rsidRPr="00D93408">
        <w:rPr>
          <w:bCs/>
          <w:color w:val="000000"/>
          <w:sz w:val="22"/>
          <w:szCs w:val="22"/>
        </w:rPr>
        <w:t xml:space="preserve"> </w:t>
      </w:r>
    </w:p>
    <w:p w:rsidR="00FB3973" w:rsidRPr="00D93408" w:rsidRDefault="00FB3973" w:rsidP="00FB3973">
      <w:pPr>
        <w:autoSpaceDE w:val="0"/>
        <w:autoSpaceDN w:val="0"/>
        <w:adjustRightInd w:val="0"/>
        <w:ind w:left="540" w:hanging="540"/>
        <w:rPr>
          <w:b/>
          <w:bCs/>
          <w:color w:val="000000"/>
          <w:sz w:val="22"/>
          <w:szCs w:val="22"/>
        </w:rPr>
      </w:pPr>
    </w:p>
    <w:p w:rsidR="00FB3973" w:rsidRPr="00D93408" w:rsidRDefault="00FB3973" w:rsidP="00430229">
      <w:pPr>
        <w:autoSpaceDE w:val="0"/>
        <w:autoSpaceDN w:val="0"/>
        <w:adjustRightInd w:val="0"/>
        <w:rPr>
          <w:bCs/>
          <w:sz w:val="22"/>
          <w:szCs w:val="22"/>
        </w:rPr>
      </w:pPr>
      <w:r w:rsidRPr="00D93408">
        <w:rPr>
          <w:sz w:val="22"/>
          <w:szCs w:val="22"/>
        </w:rPr>
        <w:t xml:space="preserve">Veľkosť balenia: </w:t>
      </w:r>
      <w:r w:rsidR="00823918" w:rsidRPr="00D93408">
        <w:rPr>
          <w:sz w:val="22"/>
          <w:szCs w:val="22"/>
        </w:rPr>
        <w:t xml:space="preserve">10, 20, </w:t>
      </w:r>
      <w:r w:rsidRPr="00D93408">
        <w:rPr>
          <w:sz w:val="22"/>
          <w:szCs w:val="22"/>
        </w:rPr>
        <w:t xml:space="preserve">30, </w:t>
      </w:r>
      <w:r w:rsidR="00823918" w:rsidRPr="00D93408">
        <w:rPr>
          <w:sz w:val="22"/>
          <w:szCs w:val="22"/>
        </w:rPr>
        <w:t xml:space="preserve">50, </w:t>
      </w:r>
      <w:r w:rsidRPr="00D93408">
        <w:rPr>
          <w:sz w:val="22"/>
          <w:szCs w:val="22"/>
        </w:rPr>
        <w:t>90</w:t>
      </w:r>
      <w:r w:rsidR="00823918" w:rsidRPr="00D93408">
        <w:rPr>
          <w:sz w:val="22"/>
          <w:szCs w:val="22"/>
        </w:rPr>
        <w:t>, 100</w:t>
      </w:r>
      <w:r w:rsidRPr="00D93408">
        <w:rPr>
          <w:sz w:val="22"/>
          <w:szCs w:val="22"/>
        </w:rPr>
        <w:t xml:space="preserve"> filmom </w:t>
      </w:r>
      <w:r w:rsidR="00430229" w:rsidRPr="00D93408">
        <w:rPr>
          <w:sz w:val="22"/>
          <w:szCs w:val="22"/>
        </w:rPr>
        <w:t>obale</w:t>
      </w:r>
      <w:r w:rsidRPr="00D93408">
        <w:rPr>
          <w:sz w:val="22"/>
          <w:szCs w:val="22"/>
        </w:rPr>
        <w:t>ných tabliet</w:t>
      </w:r>
      <w:r w:rsidRPr="00D93408">
        <w:rPr>
          <w:bCs/>
          <w:sz w:val="22"/>
          <w:szCs w:val="22"/>
        </w:rPr>
        <w:t>.</w:t>
      </w:r>
    </w:p>
    <w:p w:rsidR="004105BF" w:rsidRPr="00D93408" w:rsidRDefault="004105BF" w:rsidP="00430229">
      <w:pPr>
        <w:autoSpaceDE w:val="0"/>
        <w:autoSpaceDN w:val="0"/>
        <w:adjustRightInd w:val="0"/>
        <w:rPr>
          <w:b/>
          <w:bCs/>
          <w:sz w:val="22"/>
          <w:szCs w:val="22"/>
        </w:rPr>
      </w:pPr>
    </w:p>
    <w:p w:rsidR="004105BF" w:rsidRPr="00D93408" w:rsidRDefault="00823918" w:rsidP="00FB3973">
      <w:pPr>
        <w:autoSpaceDE w:val="0"/>
        <w:autoSpaceDN w:val="0"/>
        <w:adjustRightInd w:val="0"/>
        <w:rPr>
          <w:bCs/>
          <w:sz w:val="22"/>
          <w:szCs w:val="22"/>
        </w:rPr>
      </w:pPr>
      <w:r w:rsidRPr="00D93408">
        <w:rPr>
          <w:bCs/>
          <w:sz w:val="22"/>
          <w:szCs w:val="22"/>
        </w:rPr>
        <w:t>Na trh nemusia byť uvedené všetky veľkosti balenia.</w:t>
      </w:r>
    </w:p>
    <w:p w:rsidR="00FB3973" w:rsidRPr="00D93408" w:rsidRDefault="00FB3973">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6.6</w:t>
      </w:r>
      <w:r w:rsidR="006B71FE" w:rsidRPr="00D93408">
        <w:rPr>
          <w:b/>
          <w:bCs/>
          <w:sz w:val="22"/>
          <w:szCs w:val="22"/>
        </w:rPr>
        <w:tab/>
      </w:r>
      <w:r w:rsidR="0058689A" w:rsidRPr="00D93408">
        <w:rPr>
          <w:b/>
          <w:bCs/>
          <w:sz w:val="22"/>
          <w:szCs w:val="22"/>
        </w:rPr>
        <w:t xml:space="preserve">Špeciálne opatrenia na likvidáciu </w:t>
      </w:r>
    </w:p>
    <w:p w:rsidR="00FB3973" w:rsidRPr="00D93408" w:rsidRDefault="00FB3973" w:rsidP="00FB3973">
      <w:pPr>
        <w:autoSpaceDE w:val="0"/>
        <w:autoSpaceDN w:val="0"/>
        <w:adjustRightInd w:val="0"/>
        <w:rPr>
          <w:b/>
          <w:bCs/>
          <w:sz w:val="22"/>
          <w:szCs w:val="22"/>
        </w:rPr>
      </w:pPr>
    </w:p>
    <w:p w:rsidR="00FB3973" w:rsidRDefault="00340FCB">
      <w:pPr>
        <w:rPr>
          <w:sz w:val="22"/>
          <w:szCs w:val="22"/>
        </w:rPr>
      </w:pPr>
      <w:r>
        <w:rPr>
          <w:sz w:val="22"/>
          <w:szCs w:val="22"/>
        </w:rPr>
        <w:t>Žiadne zvláštne požiadavky.</w:t>
      </w:r>
    </w:p>
    <w:p w:rsidR="00BA3E7E" w:rsidRDefault="00BA3E7E">
      <w:pPr>
        <w:rPr>
          <w:sz w:val="22"/>
          <w:szCs w:val="22"/>
        </w:rPr>
      </w:pPr>
    </w:p>
    <w:p w:rsidR="00220657" w:rsidRPr="00D93408" w:rsidRDefault="00220657">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7.</w:t>
      </w:r>
      <w:r w:rsidR="006B71FE" w:rsidRPr="00D93408">
        <w:rPr>
          <w:b/>
          <w:bCs/>
          <w:sz w:val="22"/>
          <w:szCs w:val="22"/>
        </w:rPr>
        <w:tab/>
      </w:r>
      <w:r w:rsidRPr="00D93408">
        <w:rPr>
          <w:b/>
          <w:bCs/>
          <w:sz w:val="22"/>
          <w:szCs w:val="22"/>
        </w:rPr>
        <w:t xml:space="preserve">DRŽITEĽ ROZHODNUTIA O REGISTRÁCII </w:t>
      </w:r>
    </w:p>
    <w:p w:rsidR="00FB3973" w:rsidRPr="00D93408" w:rsidRDefault="00FB3973" w:rsidP="00FB3973">
      <w:pPr>
        <w:autoSpaceDE w:val="0"/>
        <w:autoSpaceDN w:val="0"/>
        <w:adjustRightInd w:val="0"/>
        <w:rPr>
          <w:b/>
          <w:bCs/>
          <w:sz w:val="22"/>
          <w:szCs w:val="22"/>
        </w:rPr>
      </w:pPr>
    </w:p>
    <w:p w:rsidR="008611C0" w:rsidRPr="00D93408" w:rsidRDefault="008611C0" w:rsidP="008611C0">
      <w:pPr>
        <w:jc w:val="both"/>
        <w:rPr>
          <w:bCs/>
          <w:sz w:val="22"/>
          <w:szCs w:val="22"/>
        </w:rPr>
      </w:pPr>
      <w:r w:rsidRPr="00D93408">
        <w:rPr>
          <w:bCs/>
          <w:sz w:val="22"/>
          <w:szCs w:val="22"/>
        </w:rPr>
        <w:t>STADA Arzneimittel AG</w:t>
      </w:r>
    </w:p>
    <w:p w:rsidR="008611C0" w:rsidRPr="00D93408" w:rsidRDefault="008611C0" w:rsidP="008611C0">
      <w:pPr>
        <w:jc w:val="both"/>
        <w:rPr>
          <w:bCs/>
          <w:sz w:val="22"/>
          <w:szCs w:val="22"/>
        </w:rPr>
      </w:pPr>
      <w:r w:rsidRPr="00D93408">
        <w:rPr>
          <w:bCs/>
          <w:sz w:val="22"/>
          <w:szCs w:val="22"/>
        </w:rPr>
        <w:t>Stadastrasse 2-18</w:t>
      </w:r>
    </w:p>
    <w:p w:rsidR="008611C0" w:rsidRPr="00D93408" w:rsidRDefault="008611C0" w:rsidP="008611C0">
      <w:pPr>
        <w:jc w:val="both"/>
        <w:rPr>
          <w:bCs/>
          <w:sz w:val="22"/>
          <w:szCs w:val="22"/>
        </w:rPr>
      </w:pPr>
      <w:r w:rsidRPr="00D93408">
        <w:rPr>
          <w:bCs/>
          <w:sz w:val="22"/>
          <w:szCs w:val="22"/>
        </w:rPr>
        <w:t xml:space="preserve">61118 Bad Vilbel </w:t>
      </w:r>
    </w:p>
    <w:p w:rsidR="00FB3973" w:rsidRPr="00D93408" w:rsidRDefault="008611C0">
      <w:pPr>
        <w:rPr>
          <w:sz w:val="22"/>
          <w:szCs w:val="22"/>
        </w:rPr>
      </w:pPr>
      <w:r w:rsidRPr="00D93408">
        <w:rPr>
          <w:bCs/>
          <w:sz w:val="22"/>
          <w:szCs w:val="22"/>
        </w:rPr>
        <w:t>Nemecko</w:t>
      </w:r>
    </w:p>
    <w:p w:rsidR="00791F37" w:rsidRDefault="00791F37">
      <w:pPr>
        <w:rPr>
          <w:sz w:val="22"/>
          <w:szCs w:val="22"/>
        </w:rPr>
      </w:pPr>
    </w:p>
    <w:p w:rsidR="00050AF9" w:rsidRPr="00D93408" w:rsidRDefault="00050AF9">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8.</w:t>
      </w:r>
      <w:r w:rsidR="006B71FE" w:rsidRPr="00D93408">
        <w:rPr>
          <w:b/>
          <w:bCs/>
          <w:sz w:val="22"/>
          <w:szCs w:val="22"/>
        </w:rPr>
        <w:tab/>
      </w:r>
      <w:r w:rsidR="00BE7CA1" w:rsidRPr="00D93408">
        <w:rPr>
          <w:b/>
          <w:sz w:val="22"/>
          <w:szCs w:val="22"/>
        </w:rPr>
        <w:t>REGISTRAČNÉ ČÍSL</w:t>
      </w:r>
      <w:r w:rsidR="008611C0" w:rsidRPr="00D93408">
        <w:rPr>
          <w:b/>
          <w:sz w:val="22"/>
          <w:szCs w:val="22"/>
        </w:rPr>
        <w:t>A</w:t>
      </w:r>
    </w:p>
    <w:p w:rsidR="00FB3973" w:rsidRPr="00D93408" w:rsidRDefault="00FB3973" w:rsidP="00FB3973">
      <w:pPr>
        <w:autoSpaceDE w:val="0"/>
        <w:autoSpaceDN w:val="0"/>
        <w:adjustRightInd w:val="0"/>
        <w:rPr>
          <w:b/>
          <w:bCs/>
          <w:sz w:val="22"/>
          <w:szCs w:val="22"/>
        </w:rPr>
      </w:pPr>
    </w:p>
    <w:p w:rsidR="00AD3202" w:rsidRPr="00D93408" w:rsidRDefault="00823918" w:rsidP="00AD3202">
      <w:pPr>
        <w:autoSpaceDE w:val="0"/>
        <w:autoSpaceDN w:val="0"/>
        <w:adjustRightInd w:val="0"/>
        <w:rPr>
          <w:sz w:val="22"/>
          <w:szCs w:val="22"/>
        </w:rPr>
      </w:pPr>
      <w:r w:rsidRPr="00D93408">
        <w:rPr>
          <w:sz w:val="22"/>
          <w:szCs w:val="22"/>
        </w:rPr>
        <w:t>Eplerenon STADA</w:t>
      </w:r>
      <w:r w:rsidR="00AD3202" w:rsidRPr="00D93408">
        <w:rPr>
          <w:sz w:val="22"/>
          <w:szCs w:val="22"/>
        </w:rPr>
        <w:t xml:space="preserve"> 25 mg filmom obalené tablety: </w:t>
      </w:r>
      <w:r w:rsidR="00562619" w:rsidRPr="00D93408">
        <w:rPr>
          <w:sz w:val="22"/>
          <w:szCs w:val="22"/>
        </w:rPr>
        <w:t>50/0361/11-S</w:t>
      </w:r>
    </w:p>
    <w:p w:rsidR="00AD3202" w:rsidRPr="00D93408" w:rsidRDefault="00823918" w:rsidP="00AD3202">
      <w:pPr>
        <w:autoSpaceDE w:val="0"/>
        <w:autoSpaceDN w:val="0"/>
        <w:adjustRightInd w:val="0"/>
        <w:rPr>
          <w:sz w:val="22"/>
          <w:szCs w:val="22"/>
        </w:rPr>
      </w:pPr>
      <w:r w:rsidRPr="00D93408">
        <w:rPr>
          <w:sz w:val="22"/>
          <w:szCs w:val="22"/>
        </w:rPr>
        <w:t>Eplerenon STADA</w:t>
      </w:r>
      <w:r w:rsidR="00AD3202" w:rsidRPr="00D93408">
        <w:rPr>
          <w:sz w:val="22"/>
          <w:szCs w:val="22"/>
        </w:rPr>
        <w:t xml:space="preserve"> 50 mg filmom obalené tablety: </w:t>
      </w:r>
      <w:r w:rsidR="00562619" w:rsidRPr="00D93408">
        <w:rPr>
          <w:sz w:val="22"/>
          <w:szCs w:val="22"/>
        </w:rPr>
        <w:t>50/0362/11-S</w:t>
      </w:r>
    </w:p>
    <w:p w:rsidR="00FB3973" w:rsidRPr="00D93408" w:rsidRDefault="00FB3973">
      <w:pPr>
        <w:rPr>
          <w:sz w:val="22"/>
          <w:szCs w:val="22"/>
        </w:rPr>
      </w:pPr>
    </w:p>
    <w:p w:rsidR="00791F37" w:rsidRPr="00D93408" w:rsidRDefault="00791F37">
      <w:pPr>
        <w:rPr>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9.</w:t>
      </w:r>
      <w:r w:rsidR="006B71FE" w:rsidRPr="00D93408">
        <w:rPr>
          <w:b/>
          <w:bCs/>
          <w:sz w:val="22"/>
          <w:szCs w:val="22"/>
        </w:rPr>
        <w:tab/>
      </w:r>
      <w:r w:rsidRPr="00D93408">
        <w:rPr>
          <w:b/>
          <w:bCs/>
          <w:sz w:val="22"/>
          <w:szCs w:val="22"/>
        </w:rPr>
        <w:t xml:space="preserve">DÁTUM PRVEJ REGISTRÁCIE/PREDĹŽENIE REGISTRÁCIE </w:t>
      </w:r>
    </w:p>
    <w:p w:rsidR="00FB3973" w:rsidRPr="00D93408" w:rsidRDefault="00FB3973" w:rsidP="00FB3973">
      <w:pPr>
        <w:autoSpaceDE w:val="0"/>
        <w:autoSpaceDN w:val="0"/>
        <w:adjustRightInd w:val="0"/>
        <w:rPr>
          <w:b/>
          <w:bCs/>
          <w:sz w:val="22"/>
          <w:szCs w:val="22"/>
        </w:rPr>
      </w:pPr>
    </w:p>
    <w:p w:rsidR="00F63346" w:rsidRDefault="008611C0" w:rsidP="00FB3973">
      <w:pPr>
        <w:autoSpaceDE w:val="0"/>
        <w:autoSpaceDN w:val="0"/>
        <w:adjustRightInd w:val="0"/>
        <w:rPr>
          <w:bCs/>
          <w:sz w:val="22"/>
          <w:szCs w:val="22"/>
        </w:rPr>
      </w:pPr>
      <w:r w:rsidRPr="00D93408">
        <w:rPr>
          <w:bCs/>
          <w:sz w:val="22"/>
          <w:szCs w:val="22"/>
        </w:rPr>
        <w:t>Dátum prvej registrácie: 30.</w:t>
      </w:r>
      <w:r w:rsidR="00823918" w:rsidRPr="00D93408" w:rsidDel="00823918">
        <w:rPr>
          <w:bCs/>
          <w:sz w:val="22"/>
          <w:szCs w:val="22"/>
        </w:rPr>
        <w:t xml:space="preserve"> </w:t>
      </w:r>
      <w:r w:rsidR="00823918" w:rsidRPr="00D93408">
        <w:rPr>
          <w:bCs/>
          <w:sz w:val="22"/>
          <w:szCs w:val="22"/>
        </w:rPr>
        <w:t xml:space="preserve">mája </w:t>
      </w:r>
      <w:r w:rsidRPr="00D93408">
        <w:rPr>
          <w:bCs/>
          <w:sz w:val="22"/>
          <w:szCs w:val="22"/>
        </w:rPr>
        <w:t>2011</w:t>
      </w:r>
    </w:p>
    <w:p w:rsidR="008611C0" w:rsidRPr="00D93408" w:rsidRDefault="00F63346" w:rsidP="00FB3973">
      <w:pPr>
        <w:autoSpaceDE w:val="0"/>
        <w:autoSpaceDN w:val="0"/>
        <w:adjustRightInd w:val="0"/>
        <w:rPr>
          <w:bCs/>
          <w:sz w:val="22"/>
          <w:szCs w:val="22"/>
        </w:rPr>
      </w:pPr>
      <w:r>
        <w:rPr>
          <w:bCs/>
          <w:sz w:val="22"/>
          <w:szCs w:val="22"/>
        </w:rPr>
        <w:t xml:space="preserve">Dátum posledného predĺženia registrácie: </w:t>
      </w:r>
      <w:r w:rsidR="00295DF7">
        <w:rPr>
          <w:bCs/>
          <w:sz w:val="22"/>
          <w:szCs w:val="22"/>
        </w:rPr>
        <w:t>24. mája 2016</w:t>
      </w:r>
    </w:p>
    <w:p w:rsidR="008611C0" w:rsidRPr="00D93408" w:rsidRDefault="008611C0" w:rsidP="00FB3973">
      <w:pPr>
        <w:autoSpaceDE w:val="0"/>
        <w:autoSpaceDN w:val="0"/>
        <w:adjustRightInd w:val="0"/>
        <w:rPr>
          <w:b/>
          <w:bCs/>
          <w:sz w:val="22"/>
          <w:szCs w:val="22"/>
        </w:rPr>
      </w:pPr>
    </w:p>
    <w:p w:rsidR="008611C0" w:rsidRPr="00D93408" w:rsidRDefault="008611C0" w:rsidP="00FB3973">
      <w:pPr>
        <w:autoSpaceDE w:val="0"/>
        <w:autoSpaceDN w:val="0"/>
        <w:adjustRightInd w:val="0"/>
        <w:rPr>
          <w:b/>
          <w:bCs/>
          <w:sz w:val="22"/>
          <w:szCs w:val="22"/>
        </w:rPr>
      </w:pPr>
    </w:p>
    <w:p w:rsidR="00FB3973" w:rsidRPr="00D93408" w:rsidRDefault="00FB3973" w:rsidP="00FB3973">
      <w:pPr>
        <w:autoSpaceDE w:val="0"/>
        <w:autoSpaceDN w:val="0"/>
        <w:adjustRightInd w:val="0"/>
        <w:rPr>
          <w:b/>
          <w:bCs/>
          <w:sz w:val="22"/>
          <w:szCs w:val="22"/>
        </w:rPr>
      </w:pPr>
      <w:r w:rsidRPr="00D93408">
        <w:rPr>
          <w:b/>
          <w:bCs/>
          <w:sz w:val="22"/>
          <w:szCs w:val="22"/>
        </w:rPr>
        <w:t>10.</w:t>
      </w:r>
      <w:r w:rsidR="006B71FE" w:rsidRPr="00D93408">
        <w:rPr>
          <w:b/>
          <w:bCs/>
          <w:sz w:val="22"/>
          <w:szCs w:val="22"/>
        </w:rPr>
        <w:tab/>
      </w:r>
      <w:r w:rsidRPr="00D93408">
        <w:rPr>
          <w:b/>
          <w:bCs/>
          <w:sz w:val="22"/>
          <w:szCs w:val="22"/>
        </w:rPr>
        <w:t>DÁTUM REVÍZIE TEXTU</w:t>
      </w:r>
    </w:p>
    <w:p w:rsidR="00791F37" w:rsidRPr="00D93408" w:rsidRDefault="00791F37" w:rsidP="0058689A">
      <w:pPr>
        <w:autoSpaceDE w:val="0"/>
        <w:autoSpaceDN w:val="0"/>
        <w:adjustRightInd w:val="0"/>
        <w:rPr>
          <w:b/>
          <w:bCs/>
          <w:sz w:val="22"/>
          <w:szCs w:val="22"/>
        </w:rPr>
      </w:pPr>
    </w:p>
    <w:p w:rsidR="00FB3973" w:rsidRPr="00D93408" w:rsidRDefault="00B209AD" w:rsidP="00823918">
      <w:r>
        <w:rPr>
          <w:bCs/>
          <w:sz w:val="22"/>
          <w:szCs w:val="22"/>
        </w:rPr>
        <w:t>12/2022</w:t>
      </w:r>
    </w:p>
    <w:sectPr w:rsidR="00FB3973" w:rsidRPr="00D93408" w:rsidSect="000502DB">
      <w:headerReference w:type="default" r:id="rId8"/>
      <w:footerReference w:type="default" r:id="rId9"/>
      <w:headerReference w:type="first" r:id="rId10"/>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CB5" w:rsidRDefault="006F7CB5">
      <w:r>
        <w:separator/>
      </w:r>
    </w:p>
  </w:endnote>
  <w:endnote w:type="continuationSeparator" w:id="0">
    <w:p w:rsidR="006F7CB5" w:rsidRDefault="006F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MT">
    <w:altName w:val="Arial Unicode MS"/>
    <w:panose1 w:val="00000000000000000000"/>
    <w:charset w:val="EE"/>
    <w:family w:val="auto"/>
    <w:notTrueType/>
    <w:pitch w:val="default"/>
    <w:sig w:usb0="00000005" w:usb1="080F0000" w:usb2="00000010" w:usb3="00000000" w:csb0="00120002" w:csb1="00000000"/>
  </w:font>
  <w:font w:name="TimesNewRoman,Bol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Iskoola Pota">
    <w:altName w:val="Nirmala UI"/>
    <w:charset w:val="00"/>
    <w:family w:val="swiss"/>
    <w:pitch w:val="variable"/>
    <w:sig w:usb0="00000003" w:usb1="00000000" w:usb2="000002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069" w:rsidRPr="00617069" w:rsidRDefault="00617069">
    <w:pPr>
      <w:pStyle w:val="Pta"/>
      <w:jc w:val="center"/>
      <w:rPr>
        <w:sz w:val="18"/>
        <w:szCs w:val="18"/>
      </w:rPr>
    </w:pPr>
    <w:r w:rsidRPr="00617069">
      <w:rPr>
        <w:sz w:val="18"/>
        <w:szCs w:val="18"/>
      </w:rPr>
      <w:fldChar w:fldCharType="begin"/>
    </w:r>
    <w:r w:rsidRPr="00617069">
      <w:rPr>
        <w:sz w:val="18"/>
        <w:szCs w:val="18"/>
      </w:rPr>
      <w:instrText>PAGE   \* MERGEFORMAT</w:instrText>
    </w:r>
    <w:r w:rsidRPr="00617069">
      <w:rPr>
        <w:sz w:val="18"/>
        <w:szCs w:val="18"/>
      </w:rPr>
      <w:fldChar w:fldCharType="separate"/>
    </w:r>
    <w:r w:rsidR="000B4573">
      <w:rPr>
        <w:noProof/>
        <w:sz w:val="18"/>
        <w:szCs w:val="18"/>
      </w:rPr>
      <w:t>9</w:t>
    </w:r>
    <w:r w:rsidRPr="00617069">
      <w:rPr>
        <w:sz w:val="18"/>
        <w:szCs w:val="18"/>
      </w:rPr>
      <w:fldChar w:fldCharType="end"/>
    </w:r>
  </w:p>
  <w:p w:rsidR="0031183D" w:rsidRPr="00304DF4" w:rsidRDefault="0031183D" w:rsidP="00FB3973">
    <w:pPr>
      <w:pStyle w:val="Pta"/>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CB5" w:rsidRDefault="006F7CB5">
      <w:r>
        <w:separator/>
      </w:r>
    </w:p>
  </w:footnote>
  <w:footnote w:type="continuationSeparator" w:id="0">
    <w:p w:rsidR="006F7CB5" w:rsidRDefault="006F7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D4B" w:rsidRDefault="00BA3305" w:rsidP="00F63346">
    <w:pPr>
      <w:pStyle w:val="Hlavika"/>
      <w:rPr>
        <w:sz w:val="18"/>
        <w:szCs w:val="18"/>
      </w:rPr>
    </w:pPr>
    <w:r>
      <w:rPr>
        <w:sz w:val="18"/>
        <w:szCs w:val="18"/>
      </w:rPr>
      <w:t>Príloha č. 1 k notifikácii o zmene, ev. č.: 2022/</w:t>
    </w:r>
    <w:r w:rsidR="00996578">
      <w:rPr>
        <w:sz w:val="18"/>
        <w:szCs w:val="18"/>
      </w:rPr>
      <w:t>05035-Z1B</w:t>
    </w:r>
  </w:p>
  <w:p w:rsidR="00BA3305" w:rsidRPr="007477F4" w:rsidRDefault="00BA3305" w:rsidP="00F63346">
    <w:pPr>
      <w:pStyle w:val="Hlavika"/>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6C" w:rsidRPr="000502DB" w:rsidRDefault="00340FCB">
    <w:pPr>
      <w:pStyle w:val="Hlavika"/>
      <w:rPr>
        <w:sz w:val="18"/>
        <w:szCs w:val="18"/>
      </w:rPr>
    </w:pPr>
    <w:r>
      <w:rPr>
        <w:sz w:val="18"/>
        <w:szCs w:val="18"/>
      </w:rPr>
      <w:t>Príloha č. 1 k notifikácii o zmene, ev. č.: 2016/0</w:t>
    </w:r>
    <w:r w:rsidR="0067468F">
      <w:rPr>
        <w:sz w:val="18"/>
        <w:szCs w:val="18"/>
      </w:rPr>
      <w:t>3790-Z1B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2725"/>
    <w:multiLevelType w:val="hybridMultilevel"/>
    <w:tmpl w:val="C21E80F8"/>
    <w:lvl w:ilvl="0" w:tplc="F654854A">
      <w:start w:val="14"/>
      <w:numFmt w:val="bullet"/>
      <w:lvlText w:val="-"/>
      <w:lvlJc w:val="left"/>
      <w:pPr>
        <w:tabs>
          <w:tab w:val="num" w:pos="720"/>
        </w:tabs>
        <w:ind w:left="720" w:hanging="360"/>
      </w:pPr>
      <w:rPr>
        <w:rFonts w:ascii="Times New Roman" w:eastAsia="Times New Roman" w:hAnsi="Times New Roman" w:cs="Times New Roman" w:hint="default"/>
      </w:rPr>
    </w:lvl>
    <w:lvl w:ilvl="1" w:tplc="D6E8FFCC">
      <w:start w:val="1"/>
      <w:numFmt w:val="decimal"/>
      <w:lvlText w:val="%2."/>
      <w:lvlJc w:val="left"/>
      <w:pPr>
        <w:tabs>
          <w:tab w:val="num" w:pos="1440"/>
        </w:tabs>
        <w:ind w:left="1440" w:hanging="360"/>
      </w:pPr>
    </w:lvl>
    <w:lvl w:ilvl="2" w:tplc="D6F2AA66">
      <w:start w:val="1"/>
      <w:numFmt w:val="decimal"/>
      <w:lvlText w:val="%3."/>
      <w:lvlJc w:val="left"/>
      <w:pPr>
        <w:tabs>
          <w:tab w:val="num" w:pos="2160"/>
        </w:tabs>
        <w:ind w:left="2160" w:hanging="360"/>
      </w:pPr>
    </w:lvl>
    <w:lvl w:ilvl="3" w:tplc="A600E79C">
      <w:start w:val="1"/>
      <w:numFmt w:val="decimal"/>
      <w:lvlText w:val="%4."/>
      <w:lvlJc w:val="left"/>
      <w:pPr>
        <w:tabs>
          <w:tab w:val="num" w:pos="2880"/>
        </w:tabs>
        <w:ind w:left="2880" w:hanging="360"/>
      </w:pPr>
    </w:lvl>
    <w:lvl w:ilvl="4" w:tplc="CCB4AF36">
      <w:start w:val="1"/>
      <w:numFmt w:val="decimal"/>
      <w:lvlText w:val="%5."/>
      <w:lvlJc w:val="left"/>
      <w:pPr>
        <w:tabs>
          <w:tab w:val="num" w:pos="3600"/>
        </w:tabs>
        <w:ind w:left="3600" w:hanging="360"/>
      </w:pPr>
    </w:lvl>
    <w:lvl w:ilvl="5" w:tplc="21D66E8E">
      <w:start w:val="1"/>
      <w:numFmt w:val="decimal"/>
      <w:lvlText w:val="%6."/>
      <w:lvlJc w:val="left"/>
      <w:pPr>
        <w:tabs>
          <w:tab w:val="num" w:pos="4320"/>
        </w:tabs>
        <w:ind w:left="4320" w:hanging="360"/>
      </w:pPr>
    </w:lvl>
    <w:lvl w:ilvl="6" w:tplc="CA42E1D4">
      <w:start w:val="1"/>
      <w:numFmt w:val="decimal"/>
      <w:lvlText w:val="%7."/>
      <w:lvlJc w:val="left"/>
      <w:pPr>
        <w:tabs>
          <w:tab w:val="num" w:pos="5040"/>
        </w:tabs>
        <w:ind w:left="5040" w:hanging="360"/>
      </w:pPr>
    </w:lvl>
    <w:lvl w:ilvl="7" w:tplc="009A5332">
      <w:start w:val="1"/>
      <w:numFmt w:val="decimal"/>
      <w:lvlText w:val="%8."/>
      <w:lvlJc w:val="left"/>
      <w:pPr>
        <w:tabs>
          <w:tab w:val="num" w:pos="5760"/>
        </w:tabs>
        <w:ind w:left="5760" w:hanging="360"/>
      </w:pPr>
    </w:lvl>
    <w:lvl w:ilvl="8" w:tplc="149CFBF0">
      <w:start w:val="1"/>
      <w:numFmt w:val="decimal"/>
      <w:lvlText w:val="%9."/>
      <w:lvlJc w:val="left"/>
      <w:pPr>
        <w:tabs>
          <w:tab w:val="num" w:pos="6480"/>
        </w:tabs>
        <w:ind w:left="6480" w:hanging="360"/>
      </w:pPr>
    </w:lvl>
  </w:abstractNum>
  <w:abstractNum w:abstractNumId="1" w15:restartNumberingAfterBreak="0">
    <w:nsid w:val="06DA0D1D"/>
    <w:multiLevelType w:val="multilevel"/>
    <w:tmpl w:val="888CD16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1560C4"/>
    <w:multiLevelType w:val="hybridMultilevel"/>
    <w:tmpl w:val="4C9A197C"/>
    <w:lvl w:ilvl="0" w:tplc="664E3114">
      <w:start w:val="1"/>
      <w:numFmt w:val="bullet"/>
      <w:lvlText w:val=""/>
      <w:lvlJc w:val="left"/>
      <w:pPr>
        <w:tabs>
          <w:tab w:val="num" w:pos="360"/>
        </w:tabs>
        <w:ind w:left="360" w:hanging="360"/>
      </w:pPr>
      <w:rPr>
        <w:rFonts w:ascii="Symbol" w:hAnsi="Symbol" w:hint="default"/>
      </w:rPr>
    </w:lvl>
    <w:lvl w:ilvl="1" w:tplc="4DECD896" w:tentative="1">
      <w:start w:val="1"/>
      <w:numFmt w:val="bullet"/>
      <w:lvlText w:val="o"/>
      <w:lvlJc w:val="left"/>
      <w:pPr>
        <w:tabs>
          <w:tab w:val="num" w:pos="1080"/>
        </w:tabs>
        <w:ind w:left="1080" w:hanging="360"/>
      </w:pPr>
      <w:rPr>
        <w:rFonts w:ascii="Courier New" w:hAnsi="Courier New" w:cs="Courier New" w:hint="default"/>
      </w:rPr>
    </w:lvl>
    <w:lvl w:ilvl="2" w:tplc="A9B40454" w:tentative="1">
      <w:start w:val="1"/>
      <w:numFmt w:val="bullet"/>
      <w:lvlText w:val=""/>
      <w:lvlJc w:val="left"/>
      <w:pPr>
        <w:tabs>
          <w:tab w:val="num" w:pos="1800"/>
        </w:tabs>
        <w:ind w:left="1800" w:hanging="360"/>
      </w:pPr>
      <w:rPr>
        <w:rFonts w:ascii="Wingdings" w:hAnsi="Wingdings" w:hint="default"/>
      </w:rPr>
    </w:lvl>
    <w:lvl w:ilvl="3" w:tplc="8774FB2E" w:tentative="1">
      <w:start w:val="1"/>
      <w:numFmt w:val="bullet"/>
      <w:lvlText w:val=""/>
      <w:lvlJc w:val="left"/>
      <w:pPr>
        <w:tabs>
          <w:tab w:val="num" w:pos="2520"/>
        </w:tabs>
        <w:ind w:left="2520" w:hanging="360"/>
      </w:pPr>
      <w:rPr>
        <w:rFonts w:ascii="Symbol" w:hAnsi="Symbol" w:hint="default"/>
      </w:rPr>
    </w:lvl>
    <w:lvl w:ilvl="4" w:tplc="B5FC04C2" w:tentative="1">
      <w:start w:val="1"/>
      <w:numFmt w:val="bullet"/>
      <w:lvlText w:val="o"/>
      <w:lvlJc w:val="left"/>
      <w:pPr>
        <w:tabs>
          <w:tab w:val="num" w:pos="3240"/>
        </w:tabs>
        <w:ind w:left="3240" w:hanging="360"/>
      </w:pPr>
      <w:rPr>
        <w:rFonts w:ascii="Courier New" w:hAnsi="Courier New" w:cs="Courier New" w:hint="default"/>
      </w:rPr>
    </w:lvl>
    <w:lvl w:ilvl="5" w:tplc="E7E83982" w:tentative="1">
      <w:start w:val="1"/>
      <w:numFmt w:val="bullet"/>
      <w:lvlText w:val=""/>
      <w:lvlJc w:val="left"/>
      <w:pPr>
        <w:tabs>
          <w:tab w:val="num" w:pos="3960"/>
        </w:tabs>
        <w:ind w:left="3960" w:hanging="360"/>
      </w:pPr>
      <w:rPr>
        <w:rFonts w:ascii="Wingdings" w:hAnsi="Wingdings" w:hint="default"/>
      </w:rPr>
    </w:lvl>
    <w:lvl w:ilvl="6" w:tplc="779E5B94" w:tentative="1">
      <w:start w:val="1"/>
      <w:numFmt w:val="bullet"/>
      <w:lvlText w:val=""/>
      <w:lvlJc w:val="left"/>
      <w:pPr>
        <w:tabs>
          <w:tab w:val="num" w:pos="4680"/>
        </w:tabs>
        <w:ind w:left="4680" w:hanging="360"/>
      </w:pPr>
      <w:rPr>
        <w:rFonts w:ascii="Symbol" w:hAnsi="Symbol" w:hint="default"/>
      </w:rPr>
    </w:lvl>
    <w:lvl w:ilvl="7" w:tplc="B4EE9E56" w:tentative="1">
      <w:start w:val="1"/>
      <w:numFmt w:val="bullet"/>
      <w:lvlText w:val="o"/>
      <w:lvlJc w:val="left"/>
      <w:pPr>
        <w:tabs>
          <w:tab w:val="num" w:pos="5400"/>
        </w:tabs>
        <w:ind w:left="5400" w:hanging="360"/>
      </w:pPr>
      <w:rPr>
        <w:rFonts w:ascii="Courier New" w:hAnsi="Courier New" w:cs="Courier New" w:hint="default"/>
      </w:rPr>
    </w:lvl>
    <w:lvl w:ilvl="8" w:tplc="F8509FE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82400D"/>
    <w:multiLevelType w:val="multilevel"/>
    <w:tmpl w:val="EF2CF5B4"/>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992147"/>
    <w:multiLevelType w:val="multilevel"/>
    <w:tmpl w:val="A5B47180"/>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B3563F4"/>
    <w:multiLevelType w:val="multilevel"/>
    <w:tmpl w:val="B2086E4E"/>
    <w:lvl w:ilvl="0">
      <w:start w:val="6"/>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563CA5"/>
    <w:multiLevelType w:val="hybridMultilevel"/>
    <w:tmpl w:val="71C2A5E4"/>
    <w:lvl w:ilvl="0" w:tplc="F514920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B5E85"/>
    <w:multiLevelType w:val="multilevel"/>
    <w:tmpl w:val="C8DE87F4"/>
    <w:lvl w:ilvl="0">
      <w:start w:val="6"/>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78E21C5"/>
    <w:multiLevelType w:val="multilevel"/>
    <w:tmpl w:val="6B6EE492"/>
    <w:lvl w:ilvl="0">
      <w:start w:val="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33E47F4B"/>
    <w:multiLevelType w:val="hybridMultilevel"/>
    <w:tmpl w:val="84FAE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5EB3679"/>
    <w:multiLevelType w:val="hybridMultilevel"/>
    <w:tmpl w:val="1D2C8BBC"/>
    <w:lvl w:ilvl="0" w:tplc="492EC574">
      <w:start w:val="1"/>
      <w:numFmt w:val="bullet"/>
      <w:lvlText w:val=""/>
      <w:lvlJc w:val="left"/>
      <w:pPr>
        <w:tabs>
          <w:tab w:val="num" w:pos="737"/>
        </w:tabs>
        <w:ind w:left="730" w:hanging="390"/>
      </w:pPr>
      <w:rPr>
        <w:rFonts w:ascii="Symbol" w:hAnsi="Symbol" w:hint="default"/>
      </w:rPr>
    </w:lvl>
    <w:lvl w:ilvl="1" w:tplc="983E107E" w:tentative="1">
      <w:start w:val="1"/>
      <w:numFmt w:val="bullet"/>
      <w:lvlText w:val="o"/>
      <w:lvlJc w:val="left"/>
      <w:pPr>
        <w:tabs>
          <w:tab w:val="num" w:pos="1440"/>
        </w:tabs>
        <w:ind w:left="1440" w:hanging="360"/>
      </w:pPr>
      <w:rPr>
        <w:rFonts w:ascii="Courier New" w:hAnsi="Courier New" w:cs="Courier New" w:hint="default"/>
      </w:rPr>
    </w:lvl>
    <w:lvl w:ilvl="2" w:tplc="1D2C921E" w:tentative="1">
      <w:start w:val="1"/>
      <w:numFmt w:val="bullet"/>
      <w:lvlText w:val=""/>
      <w:lvlJc w:val="left"/>
      <w:pPr>
        <w:tabs>
          <w:tab w:val="num" w:pos="2160"/>
        </w:tabs>
        <w:ind w:left="2160" w:hanging="360"/>
      </w:pPr>
      <w:rPr>
        <w:rFonts w:ascii="Wingdings" w:hAnsi="Wingdings" w:hint="default"/>
      </w:rPr>
    </w:lvl>
    <w:lvl w:ilvl="3" w:tplc="22547D84" w:tentative="1">
      <w:start w:val="1"/>
      <w:numFmt w:val="bullet"/>
      <w:lvlText w:val=""/>
      <w:lvlJc w:val="left"/>
      <w:pPr>
        <w:tabs>
          <w:tab w:val="num" w:pos="2880"/>
        </w:tabs>
        <w:ind w:left="2880" w:hanging="360"/>
      </w:pPr>
      <w:rPr>
        <w:rFonts w:ascii="Symbol" w:hAnsi="Symbol" w:hint="default"/>
      </w:rPr>
    </w:lvl>
    <w:lvl w:ilvl="4" w:tplc="A888EDAC" w:tentative="1">
      <w:start w:val="1"/>
      <w:numFmt w:val="bullet"/>
      <w:lvlText w:val="o"/>
      <w:lvlJc w:val="left"/>
      <w:pPr>
        <w:tabs>
          <w:tab w:val="num" w:pos="3600"/>
        </w:tabs>
        <w:ind w:left="3600" w:hanging="360"/>
      </w:pPr>
      <w:rPr>
        <w:rFonts w:ascii="Courier New" w:hAnsi="Courier New" w:cs="Courier New" w:hint="default"/>
      </w:rPr>
    </w:lvl>
    <w:lvl w:ilvl="5" w:tplc="8B8C0FF0" w:tentative="1">
      <w:start w:val="1"/>
      <w:numFmt w:val="bullet"/>
      <w:lvlText w:val=""/>
      <w:lvlJc w:val="left"/>
      <w:pPr>
        <w:tabs>
          <w:tab w:val="num" w:pos="4320"/>
        </w:tabs>
        <w:ind w:left="4320" w:hanging="360"/>
      </w:pPr>
      <w:rPr>
        <w:rFonts w:ascii="Wingdings" w:hAnsi="Wingdings" w:hint="default"/>
      </w:rPr>
    </w:lvl>
    <w:lvl w:ilvl="6" w:tplc="D236EEF6" w:tentative="1">
      <w:start w:val="1"/>
      <w:numFmt w:val="bullet"/>
      <w:lvlText w:val=""/>
      <w:lvlJc w:val="left"/>
      <w:pPr>
        <w:tabs>
          <w:tab w:val="num" w:pos="5040"/>
        </w:tabs>
        <w:ind w:left="5040" w:hanging="360"/>
      </w:pPr>
      <w:rPr>
        <w:rFonts w:ascii="Symbol" w:hAnsi="Symbol" w:hint="default"/>
      </w:rPr>
    </w:lvl>
    <w:lvl w:ilvl="7" w:tplc="0936D00C" w:tentative="1">
      <w:start w:val="1"/>
      <w:numFmt w:val="bullet"/>
      <w:lvlText w:val="o"/>
      <w:lvlJc w:val="left"/>
      <w:pPr>
        <w:tabs>
          <w:tab w:val="num" w:pos="5760"/>
        </w:tabs>
        <w:ind w:left="5760" w:hanging="360"/>
      </w:pPr>
      <w:rPr>
        <w:rFonts w:ascii="Courier New" w:hAnsi="Courier New" w:cs="Courier New" w:hint="default"/>
      </w:rPr>
    </w:lvl>
    <w:lvl w:ilvl="8" w:tplc="FAB211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B056200"/>
    <w:multiLevelType w:val="hybridMultilevel"/>
    <w:tmpl w:val="AE604246"/>
    <w:lvl w:ilvl="0" w:tplc="B3F8AEA2">
      <w:start w:val="1"/>
      <w:numFmt w:val="bullet"/>
      <w:lvlText w:val=""/>
      <w:lvlJc w:val="left"/>
      <w:pPr>
        <w:tabs>
          <w:tab w:val="num" w:pos="1440"/>
        </w:tabs>
        <w:ind w:left="1440"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3" w15:restartNumberingAfterBreak="0">
    <w:nsid w:val="491B4723"/>
    <w:multiLevelType w:val="hybridMultilevel"/>
    <w:tmpl w:val="EE189D98"/>
    <w:lvl w:ilvl="0" w:tplc="DD3611CE">
      <w:start w:val="7"/>
      <w:numFmt w:val="decimal"/>
      <w:lvlText w:val="%1."/>
      <w:lvlJc w:val="left"/>
      <w:pPr>
        <w:tabs>
          <w:tab w:val="num" w:pos="545"/>
        </w:tabs>
        <w:ind w:left="545" w:hanging="540"/>
      </w:pPr>
      <w:rPr>
        <w:rFonts w:hint="default"/>
      </w:rPr>
    </w:lvl>
    <w:lvl w:ilvl="1" w:tplc="57223C50" w:tentative="1">
      <w:start w:val="1"/>
      <w:numFmt w:val="lowerLetter"/>
      <w:lvlText w:val="%2."/>
      <w:lvlJc w:val="left"/>
      <w:pPr>
        <w:tabs>
          <w:tab w:val="num" w:pos="1085"/>
        </w:tabs>
        <w:ind w:left="1085" w:hanging="360"/>
      </w:pPr>
    </w:lvl>
    <w:lvl w:ilvl="2" w:tplc="2F00830C" w:tentative="1">
      <w:start w:val="1"/>
      <w:numFmt w:val="lowerRoman"/>
      <w:lvlText w:val="%3."/>
      <w:lvlJc w:val="right"/>
      <w:pPr>
        <w:tabs>
          <w:tab w:val="num" w:pos="1805"/>
        </w:tabs>
        <w:ind w:left="1805" w:hanging="180"/>
      </w:pPr>
    </w:lvl>
    <w:lvl w:ilvl="3" w:tplc="FC6A1BDE" w:tentative="1">
      <w:start w:val="1"/>
      <w:numFmt w:val="decimal"/>
      <w:lvlText w:val="%4."/>
      <w:lvlJc w:val="left"/>
      <w:pPr>
        <w:tabs>
          <w:tab w:val="num" w:pos="2525"/>
        </w:tabs>
        <w:ind w:left="2525" w:hanging="360"/>
      </w:pPr>
    </w:lvl>
    <w:lvl w:ilvl="4" w:tplc="6E10E67C" w:tentative="1">
      <w:start w:val="1"/>
      <w:numFmt w:val="lowerLetter"/>
      <w:lvlText w:val="%5."/>
      <w:lvlJc w:val="left"/>
      <w:pPr>
        <w:tabs>
          <w:tab w:val="num" w:pos="3245"/>
        </w:tabs>
        <w:ind w:left="3245" w:hanging="360"/>
      </w:pPr>
    </w:lvl>
    <w:lvl w:ilvl="5" w:tplc="A87AEA74" w:tentative="1">
      <w:start w:val="1"/>
      <w:numFmt w:val="lowerRoman"/>
      <w:lvlText w:val="%6."/>
      <w:lvlJc w:val="right"/>
      <w:pPr>
        <w:tabs>
          <w:tab w:val="num" w:pos="3965"/>
        </w:tabs>
        <w:ind w:left="3965" w:hanging="180"/>
      </w:pPr>
    </w:lvl>
    <w:lvl w:ilvl="6" w:tplc="EF1ED946" w:tentative="1">
      <w:start w:val="1"/>
      <w:numFmt w:val="decimal"/>
      <w:lvlText w:val="%7."/>
      <w:lvlJc w:val="left"/>
      <w:pPr>
        <w:tabs>
          <w:tab w:val="num" w:pos="4685"/>
        </w:tabs>
        <w:ind w:left="4685" w:hanging="360"/>
      </w:pPr>
    </w:lvl>
    <w:lvl w:ilvl="7" w:tplc="E44E422C" w:tentative="1">
      <w:start w:val="1"/>
      <w:numFmt w:val="lowerLetter"/>
      <w:lvlText w:val="%8."/>
      <w:lvlJc w:val="left"/>
      <w:pPr>
        <w:tabs>
          <w:tab w:val="num" w:pos="5405"/>
        </w:tabs>
        <w:ind w:left="5405" w:hanging="360"/>
      </w:pPr>
    </w:lvl>
    <w:lvl w:ilvl="8" w:tplc="F1B8A16C" w:tentative="1">
      <w:start w:val="1"/>
      <w:numFmt w:val="lowerRoman"/>
      <w:lvlText w:val="%9."/>
      <w:lvlJc w:val="right"/>
      <w:pPr>
        <w:tabs>
          <w:tab w:val="num" w:pos="6125"/>
        </w:tabs>
        <w:ind w:left="6125" w:hanging="180"/>
      </w:pPr>
    </w:lvl>
  </w:abstractNum>
  <w:abstractNum w:abstractNumId="14" w15:restartNumberingAfterBreak="0">
    <w:nsid w:val="4E990F80"/>
    <w:multiLevelType w:val="hybridMultilevel"/>
    <w:tmpl w:val="FB1CE518"/>
    <w:lvl w:ilvl="0" w:tplc="A2786B68">
      <w:start w:val="4"/>
      <w:numFmt w:val="bullet"/>
      <w:lvlText w:val="-"/>
      <w:lvlJc w:val="left"/>
      <w:pPr>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 w15:restartNumberingAfterBreak="0">
    <w:nsid w:val="53AB1905"/>
    <w:multiLevelType w:val="hybridMultilevel"/>
    <w:tmpl w:val="D820F760"/>
    <w:lvl w:ilvl="0" w:tplc="C0368882">
      <w:start w:val="4"/>
      <w:numFmt w:val="decimal"/>
      <w:lvlText w:val="%1."/>
      <w:lvlJc w:val="left"/>
      <w:pPr>
        <w:tabs>
          <w:tab w:val="num" w:pos="930"/>
        </w:tabs>
        <w:ind w:left="930" w:hanging="570"/>
      </w:pPr>
      <w:rPr>
        <w:rFonts w:hint="default"/>
      </w:rPr>
    </w:lvl>
    <w:lvl w:ilvl="1" w:tplc="71AA1F3A" w:tentative="1">
      <w:start w:val="1"/>
      <w:numFmt w:val="lowerLetter"/>
      <w:lvlText w:val="%2."/>
      <w:lvlJc w:val="left"/>
      <w:pPr>
        <w:tabs>
          <w:tab w:val="num" w:pos="1440"/>
        </w:tabs>
        <w:ind w:left="1440" w:hanging="360"/>
      </w:pPr>
    </w:lvl>
    <w:lvl w:ilvl="2" w:tplc="69265E8A" w:tentative="1">
      <w:start w:val="1"/>
      <w:numFmt w:val="lowerRoman"/>
      <w:lvlText w:val="%3."/>
      <w:lvlJc w:val="right"/>
      <w:pPr>
        <w:tabs>
          <w:tab w:val="num" w:pos="2160"/>
        </w:tabs>
        <w:ind w:left="2160" w:hanging="180"/>
      </w:pPr>
    </w:lvl>
    <w:lvl w:ilvl="3" w:tplc="32C2915A" w:tentative="1">
      <w:start w:val="1"/>
      <w:numFmt w:val="decimal"/>
      <w:lvlText w:val="%4."/>
      <w:lvlJc w:val="left"/>
      <w:pPr>
        <w:tabs>
          <w:tab w:val="num" w:pos="2880"/>
        </w:tabs>
        <w:ind w:left="2880" w:hanging="360"/>
      </w:pPr>
    </w:lvl>
    <w:lvl w:ilvl="4" w:tplc="A75CDEDE" w:tentative="1">
      <w:start w:val="1"/>
      <w:numFmt w:val="lowerLetter"/>
      <w:lvlText w:val="%5."/>
      <w:lvlJc w:val="left"/>
      <w:pPr>
        <w:tabs>
          <w:tab w:val="num" w:pos="3600"/>
        </w:tabs>
        <w:ind w:left="3600" w:hanging="360"/>
      </w:pPr>
    </w:lvl>
    <w:lvl w:ilvl="5" w:tplc="AC3AD0FE" w:tentative="1">
      <w:start w:val="1"/>
      <w:numFmt w:val="lowerRoman"/>
      <w:lvlText w:val="%6."/>
      <w:lvlJc w:val="right"/>
      <w:pPr>
        <w:tabs>
          <w:tab w:val="num" w:pos="4320"/>
        </w:tabs>
        <w:ind w:left="4320" w:hanging="180"/>
      </w:pPr>
    </w:lvl>
    <w:lvl w:ilvl="6" w:tplc="324C0ECE" w:tentative="1">
      <w:start w:val="1"/>
      <w:numFmt w:val="decimal"/>
      <w:lvlText w:val="%7."/>
      <w:lvlJc w:val="left"/>
      <w:pPr>
        <w:tabs>
          <w:tab w:val="num" w:pos="5040"/>
        </w:tabs>
        <w:ind w:left="5040" w:hanging="360"/>
      </w:pPr>
    </w:lvl>
    <w:lvl w:ilvl="7" w:tplc="3D2C1882" w:tentative="1">
      <w:start w:val="1"/>
      <w:numFmt w:val="lowerLetter"/>
      <w:lvlText w:val="%8."/>
      <w:lvlJc w:val="left"/>
      <w:pPr>
        <w:tabs>
          <w:tab w:val="num" w:pos="5760"/>
        </w:tabs>
        <w:ind w:left="5760" w:hanging="360"/>
      </w:pPr>
    </w:lvl>
    <w:lvl w:ilvl="8" w:tplc="90ACA652" w:tentative="1">
      <w:start w:val="1"/>
      <w:numFmt w:val="lowerRoman"/>
      <w:lvlText w:val="%9."/>
      <w:lvlJc w:val="right"/>
      <w:pPr>
        <w:tabs>
          <w:tab w:val="num" w:pos="6480"/>
        </w:tabs>
        <w:ind w:left="6480" w:hanging="180"/>
      </w:pPr>
    </w:lvl>
  </w:abstractNum>
  <w:abstractNum w:abstractNumId="16" w15:restartNumberingAfterBreak="0">
    <w:nsid w:val="56F37680"/>
    <w:multiLevelType w:val="hybridMultilevel"/>
    <w:tmpl w:val="BBF89254"/>
    <w:lvl w:ilvl="0" w:tplc="7C041564">
      <w:start w:val="14"/>
      <w:numFmt w:val="bullet"/>
      <w:lvlText w:val="-"/>
      <w:lvlJc w:val="left"/>
      <w:pPr>
        <w:tabs>
          <w:tab w:val="num" w:pos="720"/>
        </w:tabs>
        <w:ind w:left="720" w:hanging="360"/>
      </w:pPr>
      <w:rPr>
        <w:rFonts w:ascii="Times New Roman" w:eastAsia="Times New Roman" w:hAnsi="Times New Roman" w:cs="Times New Roman" w:hint="default"/>
      </w:rPr>
    </w:lvl>
    <w:lvl w:ilvl="1" w:tplc="FB88466C">
      <w:start w:val="1"/>
      <w:numFmt w:val="decimal"/>
      <w:lvlText w:val="%2."/>
      <w:lvlJc w:val="left"/>
      <w:pPr>
        <w:tabs>
          <w:tab w:val="num" w:pos="1440"/>
        </w:tabs>
        <w:ind w:left="1440" w:hanging="360"/>
      </w:pPr>
    </w:lvl>
    <w:lvl w:ilvl="2" w:tplc="EC5E815C">
      <w:start w:val="1"/>
      <w:numFmt w:val="decimal"/>
      <w:lvlText w:val="%3."/>
      <w:lvlJc w:val="left"/>
      <w:pPr>
        <w:tabs>
          <w:tab w:val="num" w:pos="2160"/>
        </w:tabs>
        <w:ind w:left="2160" w:hanging="360"/>
      </w:pPr>
    </w:lvl>
    <w:lvl w:ilvl="3" w:tplc="06AC5D3C">
      <w:start w:val="1"/>
      <w:numFmt w:val="decimal"/>
      <w:lvlText w:val="%4."/>
      <w:lvlJc w:val="left"/>
      <w:pPr>
        <w:tabs>
          <w:tab w:val="num" w:pos="2880"/>
        </w:tabs>
        <w:ind w:left="2880" w:hanging="360"/>
      </w:pPr>
    </w:lvl>
    <w:lvl w:ilvl="4" w:tplc="5B288F90">
      <w:start w:val="1"/>
      <w:numFmt w:val="decimal"/>
      <w:lvlText w:val="%5."/>
      <w:lvlJc w:val="left"/>
      <w:pPr>
        <w:tabs>
          <w:tab w:val="num" w:pos="3600"/>
        </w:tabs>
        <w:ind w:left="3600" w:hanging="360"/>
      </w:pPr>
    </w:lvl>
    <w:lvl w:ilvl="5" w:tplc="0BC2832E">
      <w:start w:val="1"/>
      <w:numFmt w:val="decimal"/>
      <w:lvlText w:val="%6."/>
      <w:lvlJc w:val="left"/>
      <w:pPr>
        <w:tabs>
          <w:tab w:val="num" w:pos="4320"/>
        </w:tabs>
        <w:ind w:left="4320" w:hanging="360"/>
      </w:pPr>
    </w:lvl>
    <w:lvl w:ilvl="6" w:tplc="FDD4769A">
      <w:start w:val="1"/>
      <w:numFmt w:val="decimal"/>
      <w:lvlText w:val="%7."/>
      <w:lvlJc w:val="left"/>
      <w:pPr>
        <w:tabs>
          <w:tab w:val="num" w:pos="5040"/>
        </w:tabs>
        <w:ind w:left="5040" w:hanging="360"/>
      </w:pPr>
    </w:lvl>
    <w:lvl w:ilvl="7" w:tplc="7EFAA27E">
      <w:start w:val="1"/>
      <w:numFmt w:val="decimal"/>
      <w:lvlText w:val="%8."/>
      <w:lvlJc w:val="left"/>
      <w:pPr>
        <w:tabs>
          <w:tab w:val="num" w:pos="5760"/>
        </w:tabs>
        <w:ind w:left="5760" w:hanging="360"/>
      </w:pPr>
    </w:lvl>
    <w:lvl w:ilvl="8" w:tplc="365E192A">
      <w:start w:val="1"/>
      <w:numFmt w:val="decimal"/>
      <w:lvlText w:val="%9."/>
      <w:lvlJc w:val="left"/>
      <w:pPr>
        <w:tabs>
          <w:tab w:val="num" w:pos="6480"/>
        </w:tabs>
        <w:ind w:left="6480" w:hanging="360"/>
      </w:pPr>
    </w:lvl>
  </w:abstractNum>
  <w:abstractNum w:abstractNumId="17" w15:restartNumberingAfterBreak="0">
    <w:nsid w:val="5F254730"/>
    <w:multiLevelType w:val="hybridMultilevel"/>
    <w:tmpl w:val="771E4DDE"/>
    <w:lvl w:ilvl="0" w:tplc="0A68A8A2">
      <w:start w:val="1"/>
      <w:numFmt w:val="bullet"/>
      <w:lvlText w:val="-"/>
      <w:lvlJc w:val="left"/>
      <w:pPr>
        <w:tabs>
          <w:tab w:val="num" w:pos="284"/>
        </w:tabs>
        <w:ind w:left="0" w:firstLine="0"/>
      </w:pPr>
      <w:rPr>
        <w:rFonts w:ascii="Times New Roman" w:hAnsi="Times New Roman" w:cs="Times New Roman" w:hint="default"/>
        <w:color w:val="auto"/>
      </w:rPr>
    </w:lvl>
    <w:lvl w:ilvl="1" w:tplc="E4D67984" w:tentative="1">
      <w:start w:val="1"/>
      <w:numFmt w:val="bullet"/>
      <w:lvlText w:val="o"/>
      <w:lvlJc w:val="left"/>
      <w:pPr>
        <w:tabs>
          <w:tab w:val="num" w:pos="1440"/>
        </w:tabs>
        <w:ind w:left="1440" w:hanging="360"/>
      </w:pPr>
      <w:rPr>
        <w:rFonts w:ascii="Courier New" w:hAnsi="Courier New" w:cs="Courier New" w:hint="default"/>
      </w:rPr>
    </w:lvl>
    <w:lvl w:ilvl="2" w:tplc="52306E14" w:tentative="1">
      <w:start w:val="1"/>
      <w:numFmt w:val="bullet"/>
      <w:lvlText w:val=""/>
      <w:lvlJc w:val="left"/>
      <w:pPr>
        <w:tabs>
          <w:tab w:val="num" w:pos="2160"/>
        </w:tabs>
        <w:ind w:left="2160" w:hanging="360"/>
      </w:pPr>
      <w:rPr>
        <w:rFonts w:ascii="Wingdings" w:hAnsi="Wingdings" w:hint="default"/>
      </w:rPr>
    </w:lvl>
    <w:lvl w:ilvl="3" w:tplc="8F8EA9F0" w:tentative="1">
      <w:start w:val="1"/>
      <w:numFmt w:val="bullet"/>
      <w:lvlText w:val=""/>
      <w:lvlJc w:val="left"/>
      <w:pPr>
        <w:tabs>
          <w:tab w:val="num" w:pos="2880"/>
        </w:tabs>
        <w:ind w:left="2880" w:hanging="360"/>
      </w:pPr>
      <w:rPr>
        <w:rFonts w:ascii="Symbol" w:hAnsi="Symbol" w:hint="default"/>
      </w:rPr>
    </w:lvl>
    <w:lvl w:ilvl="4" w:tplc="FE862718" w:tentative="1">
      <w:start w:val="1"/>
      <w:numFmt w:val="bullet"/>
      <w:lvlText w:val="o"/>
      <w:lvlJc w:val="left"/>
      <w:pPr>
        <w:tabs>
          <w:tab w:val="num" w:pos="3600"/>
        </w:tabs>
        <w:ind w:left="3600" w:hanging="360"/>
      </w:pPr>
      <w:rPr>
        <w:rFonts w:ascii="Courier New" w:hAnsi="Courier New" w:cs="Courier New" w:hint="default"/>
      </w:rPr>
    </w:lvl>
    <w:lvl w:ilvl="5" w:tplc="1040CA1A" w:tentative="1">
      <w:start w:val="1"/>
      <w:numFmt w:val="bullet"/>
      <w:lvlText w:val=""/>
      <w:lvlJc w:val="left"/>
      <w:pPr>
        <w:tabs>
          <w:tab w:val="num" w:pos="4320"/>
        </w:tabs>
        <w:ind w:left="4320" w:hanging="360"/>
      </w:pPr>
      <w:rPr>
        <w:rFonts w:ascii="Wingdings" w:hAnsi="Wingdings" w:hint="default"/>
      </w:rPr>
    </w:lvl>
    <w:lvl w:ilvl="6" w:tplc="CC103BE4" w:tentative="1">
      <w:start w:val="1"/>
      <w:numFmt w:val="bullet"/>
      <w:lvlText w:val=""/>
      <w:lvlJc w:val="left"/>
      <w:pPr>
        <w:tabs>
          <w:tab w:val="num" w:pos="5040"/>
        </w:tabs>
        <w:ind w:left="5040" w:hanging="360"/>
      </w:pPr>
      <w:rPr>
        <w:rFonts w:ascii="Symbol" w:hAnsi="Symbol" w:hint="default"/>
      </w:rPr>
    </w:lvl>
    <w:lvl w:ilvl="7" w:tplc="14488E00" w:tentative="1">
      <w:start w:val="1"/>
      <w:numFmt w:val="bullet"/>
      <w:lvlText w:val="o"/>
      <w:lvlJc w:val="left"/>
      <w:pPr>
        <w:tabs>
          <w:tab w:val="num" w:pos="5760"/>
        </w:tabs>
        <w:ind w:left="5760" w:hanging="360"/>
      </w:pPr>
      <w:rPr>
        <w:rFonts w:ascii="Courier New" w:hAnsi="Courier New" w:cs="Courier New" w:hint="default"/>
      </w:rPr>
    </w:lvl>
    <w:lvl w:ilvl="8" w:tplc="3CF25B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F61147"/>
    <w:multiLevelType w:val="hybridMultilevel"/>
    <w:tmpl w:val="CD0CE8F0"/>
    <w:lvl w:ilvl="0" w:tplc="640EED00">
      <w:start w:val="10"/>
      <w:numFmt w:val="decimal"/>
      <w:lvlText w:val="%1."/>
      <w:lvlJc w:val="left"/>
      <w:pPr>
        <w:tabs>
          <w:tab w:val="num" w:pos="545"/>
        </w:tabs>
        <w:ind w:left="545" w:hanging="540"/>
      </w:pPr>
      <w:rPr>
        <w:rFonts w:hint="default"/>
      </w:rPr>
    </w:lvl>
    <w:lvl w:ilvl="1" w:tplc="CBFC3CF6" w:tentative="1">
      <w:start w:val="1"/>
      <w:numFmt w:val="lowerLetter"/>
      <w:lvlText w:val="%2."/>
      <w:lvlJc w:val="left"/>
      <w:pPr>
        <w:tabs>
          <w:tab w:val="num" w:pos="1085"/>
        </w:tabs>
        <w:ind w:left="1085" w:hanging="360"/>
      </w:pPr>
    </w:lvl>
    <w:lvl w:ilvl="2" w:tplc="20CC89B2" w:tentative="1">
      <w:start w:val="1"/>
      <w:numFmt w:val="lowerRoman"/>
      <w:lvlText w:val="%3."/>
      <w:lvlJc w:val="right"/>
      <w:pPr>
        <w:tabs>
          <w:tab w:val="num" w:pos="1805"/>
        </w:tabs>
        <w:ind w:left="1805" w:hanging="180"/>
      </w:pPr>
    </w:lvl>
    <w:lvl w:ilvl="3" w:tplc="17E65368" w:tentative="1">
      <w:start w:val="1"/>
      <w:numFmt w:val="decimal"/>
      <w:lvlText w:val="%4."/>
      <w:lvlJc w:val="left"/>
      <w:pPr>
        <w:tabs>
          <w:tab w:val="num" w:pos="2525"/>
        </w:tabs>
        <w:ind w:left="2525" w:hanging="360"/>
      </w:pPr>
    </w:lvl>
    <w:lvl w:ilvl="4" w:tplc="33BE8904" w:tentative="1">
      <w:start w:val="1"/>
      <w:numFmt w:val="lowerLetter"/>
      <w:lvlText w:val="%5."/>
      <w:lvlJc w:val="left"/>
      <w:pPr>
        <w:tabs>
          <w:tab w:val="num" w:pos="3245"/>
        </w:tabs>
        <w:ind w:left="3245" w:hanging="360"/>
      </w:pPr>
    </w:lvl>
    <w:lvl w:ilvl="5" w:tplc="00BA31FE" w:tentative="1">
      <w:start w:val="1"/>
      <w:numFmt w:val="lowerRoman"/>
      <w:lvlText w:val="%6."/>
      <w:lvlJc w:val="right"/>
      <w:pPr>
        <w:tabs>
          <w:tab w:val="num" w:pos="3965"/>
        </w:tabs>
        <w:ind w:left="3965" w:hanging="180"/>
      </w:pPr>
    </w:lvl>
    <w:lvl w:ilvl="6" w:tplc="3766B904" w:tentative="1">
      <w:start w:val="1"/>
      <w:numFmt w:val="decimal"/>
      <w:lvlText w:val="%7."/>
      <w:lvlJc w:val="left"/>
      <w:pPr>
        <w:tabs>
          <w:tab w:val="num" w:pos="4685"/>
        </w:tabs>
        <w:ind w:left="4685" w:hanging="360"/>
      </w:pPr>
    </w:lvl>
    <w:lvl w:ilvl="7" w:tplc="564AE6D2" w:tentative="1">
      <w:start w:val="1"/>
      <w:numFmt w:val="lowerLetter"/>
      <w:lvlText w:val="%8."/>
      <w:lvlJc w:val="left"/>
      <w:pPr>
        <w:tabs>
          <w:tab w:val="num" w:pos="5405"/>
        </w:tabs>
        <w:ind w:left="5405" w:hanging="360"/>
      </w:pPr>
    </w:lvl>
    <w:lvl w:ilvl="8" w:tplc="97367EA0" w:tentative="1">
      <w:start w:val="1"/>
      <w:numFmt w:val="lowerRoman"/>
      <w:lvlText w:val="%9."/>
      <w:lvlJc w:val="right"/>
      <w:pPr>
        <w:tabs>
          <w:tab w:val="num" w:pos="6125"/>
        </w:tabs>
        <w:ind w:left="6125" w:hanging="180"/>
      </w:p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6BBE1F5C"/>
    <w:multiLevelType w:val="multilevel"/>
    <w:tmpl w:val="664E3F84"/>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E882F41"/>
    <w:multiLevelType w:val="multilevel"/>
    <w:tmpl w:val="0562C4F8"/>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5A320D"/>
    <w:multiLevelType w:val="multilevel"/>
    <w:tmpl w:val="8E0E202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A203E3"/>
    <w:multiLevelType w:val="multilevel"/>
    <w:tmpl w:val="9CF00EAC"/>
    <w:lvl w:ilvl="0">
      <w:start w:val="6"/>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957443B"/>
    <w:multiLevelType w:val="multilevel"/>
    <w:tmpl w:val="78FCFB1A"/>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0"/>
  </w:num>
  <w:num w:numId="11">
    <w:abstractNumId w:val="24"/>
  </w:num>
  <w:num w:numId="12">
    <w:abstractNumId w:val="21"/>
  </w:num>
  <w:num w:numId="13">
    <w:abstractNumId w:val="22"/>
  </w:num>
  <w:num w:numId="14">
    <w:abstractNumId w:val="3"/>
  </w:num>
  <w:num w:numId="15">
    <w:abstractNumId w:val="7"/>
  </w:num>
  <w:num w:numId="16">
    <w:abstractNumId w:val="1"/>
  </w:num>
  <w:num w:numId="17">
    <w:abstractNumId w:val="5"/>
  </w:num>
  <w:num w:numId="18">
    <w:abstractNumId w:val="13"/>
  </w:num>
  <w:num w:numId="19">
    <w:abstractNumId w:val="18"/>
  </w:num>
  <w:num w:numId="20">
    <w:abstractNumId w:val="17"/>
  </w:num>
  <w:num w:numId="21">
    <w:abstractNumId w:val="0"/>
  </w:num>
  <w:num w:numId="22">
    <w:abstractNumId w:val="2"/>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C15"/>
    <w:rsid w:val="00015F54"/>
    <w:rsid w:val="00041EDE"/>
    <w:rsid w:val="000502DB"/>
    <w:rsid w:val="00050AF9"/>
    <w:rsid w:val="0006002D"/>
    <w:rsid w:val="00061903"/>
    <w:rsid w:val="000667B7"/>
    <w:rsid w:val="0008186C"/>
    <w:rsid w:val="000818EA"/>
    <w:rsid w:val="0009139E"/>
    <w:rsid w:val="000B4573"/>
    <w:rsid w:val="000B4A03"/>
    <w:rsid w:val="000E5132"/>
    <w:rsid w:val="000F06BD"/>
    <w:rsid w:val="0011077B"/>
    <w:rsid w:val="00113015"/>
    <w:rsid w:val="00151655"/>
    <w:rsid w:val="00182BF8"/>
    <w:rsid w:val="0019398D"/>
    <w:rsid w:val="001C7CFD"/>
    <w:rsid w:val="001F692E"/>
    <w:rsid w:val="00206E25"/>
    <w:rsid w:val="00217AC9"/>
    <w:rsid w:val="00220657"/>
    <w:rsid w:val="002210A4"/>
    <w:rsid w:val="00222D7E"/>
    <w:rsid w:val="00223B17"/>
    <w:rsid w:val="00230984"/>
    <w:rsid w:val="00230B9F"/>
    <w:rsid w:val="00247839"/>
    <w:rsid w:val="00250A09"/>
    <w:rsid w:val="00255F01"/>
    <w:rsid w:val="00281047"/>
    <w:rsid w:val="002924A9"/>
    <w:rsid w:val="00295DF7"/>
    <w:rsid w:val="002A1491"/>
    <w:rsid w:val="002A3C03"/>
    <w:rsid w:val="002B7F0D"/>
    <w:rsid w:val="002D327C"/>
    <w:rsid w:val="002E761B"/>
    <w:rsid w:val="00304DF4"/>
    <w:rsid w:val="0031183D"/>
    <w:rsid w:val="00334CB8"/>
    <w:rsid w:val="00340FCB"/>
    <w:rsid w:val="00345096"/>
    <w:rsid w:val="00352B6F"/>
    <w:rsid w:val="003868F3"/>
    <w:rsid w:val="00396A53"/>
    <w:rsid w:val="003A70AD"/>
    <w:rsid w:val="003C72BE"/>
    <w:rsid w:val="003D2494"/>
    <w:rsid w:val="003E0075"/>
    <w:rsid w:val="004105BF"/>
    <w:rsid w:val="00414DF1"/>
    <w:rsid w:val="00415B90"/>
    <w:rsid w:val="00430229"/>
    <w:rsid w:val="004407CB"/>
    <w:rsid w:val="00442AE6"/>
    <w:rsid w:val="00443218"/>
    <w:rsid w:val="00465D4B"/>
    <w:rsid w:val="004666AB"/>
    <w:rsid w:val="00466B5F"/>
    <w:rsid w:val="004772F4"/>
    <w:rsid w:val="004A0866"/>
    <w:rsid w:val="004A153D"/>
    <w:rsid w:val="004A20E0"/>
    <w:rsid w:val="004C067A"/>
    <w:rsid w:val="004F484D"/>
    <w:rsid w:val="00503021"/>
    <w:rsid w:val="005360FC"/>
    <w:rsid w:val="00562619"/>
    <w:rsid w:val="00572914"/>
    <w:rsid w:val="00577BCA"/>
    <w:rsid w:val="005806A4"/>
    <w:rsid w:val="0058689A"/>
    <w:rsid w:val="00596446"/>
    <w:rsid w:val="005B631B"/>
    <w:rsid w:val="005C09DA"/>
    <w:rsid w:val="005E1ABC"/>
    <w:rsid w:val="005F5CB9"/>
    <w:rsid w:val="005F6F37"/>
    <w:rsid w:val="00601088"/>
    <w:rsid w:val="006022F6"/>
    <w:rsid w:val="00617069"/>
    <w:rsid w:val="00635EB5"/>
    <w:rsid w:val="0064134E"/>
    <w:rsid w:val="00643896"/>
    <w:rsid w:val="00646AF6"/>
    <w:rsid w:val="006550B1"/>
    <w:rsid w:val="0066310E"/>
    <w:rsid w:val="00673EB4"/>
    <w:rsid w:val="0067468F"/>
    <w:rsid w:val="0067492B"/>
    <w:rsid w:val="00676A1D"/>
    <w:rsid w:val="00685F3C"/>
    <w:rsid w:val="0069370F"/>
    <w:rsid w:val="00695963"/>
    <w:rsid w:val="00697B4B"/>
    <w:rsid w:val="006A2BCC"/>
    <w:rsid w:val="006B71FE"/>
    <w:rsid w:val="006D2948"/>
    <w:rsid w:val="006D2F13"/>
    <w:rsid w:val="006F7CB5"/>
    <w:rsid w:val="00701E6E"/>
    <w:rsid w:val="00702B59"/>
    <w:rsid w:val="007322AB"/>
    <w:rsid w:val="0074640B"/>
    <w:rsid w:val="007477F4"/>
    <w:rsid w:val="00776B13"/>
    <w:rsid w:val="007774F2"/>
    <w:rsid w:val="00791F37"/>
    <w:rsid w:val="0079595D"/>
    <w:rsid w:val="007A0DD1"/>
    <w:rsid w:val="007D6C34"/>
    <w:rsid w:val="007F2701"/>
    <w:rsid w:val="00801165"/>
    <w:rsid w:val="00823918"/>
    <w:rsid w:val="008611C0"/>
    <w:rsid w:val="0087299D"/>
    <w:rsid w:val="00886FDE"/>
    <w:rsid w:val="008872B5"/>
    <w:rsid w:val="008A7C4D"/>
    <w:rsid w:val="008B199A"/>
    <w:rsid w:val="008E565D"/>
    <w:rsid w:val="00916C65"/>
    <w:rsid w:val="00923C43"/>
    <w:rsid w:val="00930958"/>
    <w:rsid w:val="009361FF"/>
    <w:rsid w:val="00986E24"/>
    <w:rsid w:val="009960E5"/>
    <w:rsid w:val="00996578"/>
    <w:rsid w:val="009D0AE7"/>
    <w:rsid w:val="009F6580"/>
    <w:rsid w:val="00A114B8"/>
    <w:rsid w:val="00A25598"/>
    <w:rsid w:val="00A374AB"/>
    <w:rsid w:val="00A506BD"/>
    <w:rsid w:val="00A67473"/>
    <w:rsid w:val="00AC0246"/>
    <w:rsid w:val="00AD234C"/>
    <w:rsid w:val="00AD3202"/>
    <w:rsid w:val="00AD6295"/>
    <w:rsid w:val="00AF1E5A"/>
    <w:rsid w:val="00AF706B"/>
    <w:rsid w:val="00B12C15"/>
    <w:rsid w:val="00B209AD"/>
    <w:rsid w:val="00B70CF1"/>
    <w:rsid w:val="00B7371A"/>
    <w:rsid w:val="00B75D85"/>
    <w:rsid w:val="00B828C5"/>
    <w:rsid w:val="00B9149E"/>
    <w:rsid w:val="00BA3305"/>
    <w:rsid w:val="00BA3E7E"/>
    <w:rsid w:val="00BE7CA1"/>
    <w:rsid w:val="00BF000D"/>
    <w:rsid w:val="00BF6747"/>
    <w:rsid w:val="00C048C8"/>
    <w:rsid w:val="00C054C7"/>
    <w:rsid w:val="00C27661"/>
    <w:rsid w:val="00C479DC"/>
    <w:rsid w:val="00C56F99"/>
    <w:rsid w:val="00C57C4F"/>
    <w:rsid w:val="00C63E88"/>
    <w:rsid w:val="00C700F8"/>
    <w:rsid w:val="00CA1E68"/>
    <w:rsid w:val="00CA3D35"/>
    <w:rsid w:val="00CD49AD"/>
    <w:rsid w:val="00CE6BEB"/>
    <w:rsid w:val="00CF1A2B"/>
    <w:rsid w:val="00CF1F41"/>
    <w:rsid w:val="00D07889"/>
    <w:rsid w:val="00D13954"/>
    <w:rsid w:val="00D20DD3"/>
    <w:rsid w:val="00D2796C"/>
    <w:rsid w:val="00D44FE1"/>
    <w:rsid w:val="00D45B5C"/>
    <w:rsid w:val="00D52D24"/>
    <w:rsid w:val="00D8032A"/>
    <w:rsid w:val="00D912E6"/>
    <w:rsid w:val="00D93408"/>
    <w:rsid w:val="00D95E85"/>
    <w:rsid w:val="00DA356A"/>
    <w:rsid w:val="00E4432A"/>
    <w:rsid w:val="00E524CE"/>
    <w:rsid w:val="00E6068B"/>
    <w:rsid w:val="00E756C6"/>
    <w:rsid w:val="00E81140"/>
    <w:rsid w:val="00E835C5"/>
    <w:rsid w:val="00E8398E"/>
    <w:rsid w:val="00E97226"/>
    <w:rsid w:val="00EE7774"/>
    <w:rsid w:val="00EF04F8"/>
    <w:rsid w:val="00EF6209"/>
    <w:rsid w:val="00F07329"/>
    <w:rsid w:val="00F076A9"/>
    <w:rsid w:val="00F30A56"/>
    <w:rsid w:val="00F63346"/>
    <w:rsid w:val="00F66592"/>
    <w:rsid w:val="00F86696"/>
    <w:rsid w:val="00F9621B"/>
    <w:rsid w:val="00F97051"/>
    <w:rsid w:val="00FA1F22"/>
    <w:rsid w:val="00FB1B25"/>
    <w:rsid w:val="00FB3973"/>
    <w:rsid w:val="00FD048B"/>
    <w:rsid w:val="00FD15E5"/>
    <w:rsid w:val="00FD4C85"/>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6145"/>
    <o:shapelayout v:ext="edit">
      <o:idmap v:ext="edit" data="1"/>
    </o:shapelayout>
  </w:shapeDefaults>
  <w:decimalSymbol w:val=","/>
  <w:listSeparator w:val=";"/>
  <w15:docId w15:val="{3931F201-7F3F-4F21-AE24-26EC251E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eastAsia="hu-H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B12C15"/>
    <w:pPr>
      <w:tabs>
        <w:tab w:val="center" w:pos="4536"/>
        <w:tab w:val="right" w:pos="9072"/>
      </w:tabs>
    </w:pPr>
  </w:style>
  <w:style w:type="paragraph" w:styleId="Pta">
    <w:name w:val="footer"/>
    <w:basedOn w:val="Normlny"/>
    <w:link w:val="PtaChar"/>
    <w:uiPriority w:val="99"/>
    <w:rsid w:val="00B12C15"/>
    <w:pPr>
      <w:tabs>
        <w:tab w:val="center" w:pos="4536"/>
        <w:tab w:val="right" w:pos="9072"/>
      </w:tabs>
    </w:pPr>
    <w:rPr>
      <w:lang w:val="x-none"/>
    </w:rPr>
  </w:style>
  <w:style w:type="character" w:styleId="slostrany">
    <w:name w:val="page number"/>
    <w:basedOn w:val="Predvolenpsmoodseku"/>
    <w:rsid w:val="00B12C15"/>
  </w:style>
  <w:style w:type="table" w:styleId="Mriekatabuky">
    <w:name w:val="Table Grid"/>
    <w:basedOn w:val="Normlnatabuka"/>
    <w:rsid w:val="009E5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rsid w:val="001D2258"/>
    <w:pPr>
      <w:spacing w:after="120" w:line="480" w:lineRule="auto"/>
    </w:pPr>
    <w:rPr>
      <w:kern w:val="16"/>
      <w:szCs w:val="20"/>
      <w:lang w:val="en-US"/>
    </w:rPr>
  </w:style>
  <w:style w:type="paragraph" w:customStyle="1" w:styleId="EMEAEnBodyText">
    <w:name w:val="EMEA En Body Text"/>
    <w:basedOn w:val="Normlny"/>
    <w:rsid w:val="00154AE8"/>
    <w:pPr>
      <w:spacing w:before="120" w:after="120"/>
      <w:jc w:val="both"/>
    </w:pPr>
    <w:rPr>
      <w:sz w:val="22"/>
      <w:szCs w:val="20"/>
      <w:lang w:val="en-US" w:eastAsia="en-US"/>
    </w:rPr>
  </w:style>
  <w:style w:type="paragraph" w:styleId="Textbubliny">
    <w:name w:val="Balloon Text"/>
    <w:basedOn w:val="Normlny"/>
    <w:link w:val="TextbublinyChar"/>
    <w:rsid w:val="00AC6E94"/>
    <w:rPr>
      <w:rFonts w:ascii="Tahoma" w:hAnsi="Tahoma"/>
      <w:sz w:val="16"/>
      <w:szCs w:val="16"/>
      <w:lang w:val="x-none" w:eastAsia="x-none"/>
    </w:rPr>
  </w:style>
  <w:style w:type="character" w:customStyle="1" w:styleId="TextbublinyChar">
    <w:name w:val="Text bubliny Char"/>
    <w:link w:val="Textbubliny"/>
    <w:rsid w:val="00AC6E94"/>
    <w:rPr>
      <w:rFonts w:ascii="Tahoma" w:hAnsi="Tahoma" w:cs="Tahoma"/>
      <w:sz w:val="16"/>
      <w:szCs w:val="16"/>
    </w:rPr>
  </w:style>
  <w:style w:type="character" w:customStyle="1" w:styleId="PtaChar">
    <w:name w:val="Päta Char"/>
    <w:link w:val="Pta"/>
    <w:uiPriority w:val="99"/>
    <w:rsid w:val="00617069"/>
    <w:rPr>
      <w:sz w:val="24"/>
      <w:szCs w:val="24"/>
      <w:lang w:eastAsia="hu-HU"/>
    </w:rPr>
  </w:style>
  <w:style w:type="character" w:styleId="Odkaznakomentr">
    <w:name w:val="annotation reference"/>
    <w:semiHidden/>
    <w:rsid w:val="00CF1F41"/>
    <w:rPr>
      <w:sz w:val="16"/>
      <w:szCs w:val="16"/>
    </w:rPr>
  </w:style>
  <w:style w:type="paragraph" w:styleId="Textkomentra">
    <w:name w:val="annotation text"/>
    <w:basedOn w:val="Normlny"/>
    <w:semiHidden/>
    <w:rsid w:val="00CF1F41"/>
    <w:rPr>
      <w:sz w:val="20"/>
      <w:szCs w:val="20"/>
    </w:rPr>
  </w:style>
  <w:style w:type="paragraph" w:styleId="Predmetkomentra">
    <w:name w:val="annotation subject"/>
    <w:basedOn w:val="Textkomentra"/>
    <w:next w:val="Textkomentra"/>
    <w:semiHidden/>
    <w:rsid w:val="00CF1F41"/>
    <w:rPr>
      <w:b/>
      <w:bCs/>
    </w:rPr>
  </w:style>
  <w:style w:type="character" w:styleId="Zvraznenie">
    <w:name w:val="Emphasis"/>
    <w:uiPriority w:val="20"/>
    <w:qFormat/>
    <w:rsid w:val="00F07329"/>
    <w:rPr>
      <w:i/>
      <w:iCs/>
    </w:rPr>
  </w:style>
  <w:style w:type="character" w:customStyle="1" w:styleId="apple-converted-space">
    <w:name w:val="apple-converted-space"/>
    <w:basedOn w:val="Predvolenpsmoodseku"/>
    <w:rsid w:val="00F07329"/>
  </w:style>
  <w:style w:type="paragraph" w:styleId="Revzia">
    <w:name w:val="Revision"/>
    <w:hidden/>
    <w:uiPriority w:val="99"/>
    <w:semiHidden/>
    <w:rsid w:val="00F07329"/>
    <w:rPr>
      <w:sz w:val="24"/>
      <w:szCs w:val="24"/>
      <w:lang w:eastAsia="hu-HU"/>
    </w:rPr>
  </w:style>
  <w:style w:type="paragraph" w:customStyle="1" w:styleId="Paragraph">
    <w:name w:val="Paragraph"/>
    <w:rsid w:val="0064134E"/>
    <w:pPr>
      <w:spacing w:after="240"/>
    </w:pPr>
    <w:rPr>
      <w:sz w:val="24"/>
      <w:szCs w:val="24"/>
      <w:lang w:val="en-US" w:eastAsia="en-US"/>
    </w:rPr>
  </w:style>
  <w:style w:type="character" w:customStyle="1" w:styleId="ListNoBulletChar">
    <w:name w:val="List No Bullet Char"/>
    <w:link w:val="ListNoBullet"/>
    <w:locked/>
    <w:rsid w:val="0064134E"/>
    <w:rPr>
      <w:sz w:val="24"/>
      <w:szCs w:val="24"/>
      <w:lang w:val="en-US" w:eastAsia="en-US" w:bidi="ar-SA"/>
    </w:rPr>
  </w:style>
  <w:style w:type="paragraph" w:customStyle="1" w:styleId="ListNoBullet">
    <w:name w:val="List No Bullet"/>
    <w:link w:val="ListNoBulletChar"/>
    <w:rsid w:val="0064134E"/>
    <w:rPr>
      <w:sz w:val="24"/>
      <w:szCs w:val="24"/>
      <w:lang w:val="en-US" w:eastAsia="en-US"/>
    </w:rPr>
  </w:style>
  <w:style w:type="character" w:styleId="Siln">
    <w:name w:val="Strong"/>
    <w:qFormat/>
    <w:rsid w:val="00442AE6"/>
    <w:rPr>
      <w:b/>
      <w:bCs/>
    </w:rPr>
  </w:style>
  <w:style w:type="character" w:customStyle="1" w:styleId="HlavikaChar">
    <w:name w:val="Hlavička Char"/>
    <w:link w:val="Hlavika"/>
    <w:uiPriority w:val="99"/>
    <w:rsid w:val="00D2796C"/>
    <w:rPr>
      <w:sz w:val="24"/>
      <w:szCs w:val="24"/>
      <w:lang w:eastAsia="hu-HU"/>
    </w:rPr>
  </w:style>
  <w:style w:type="character" w:styleId="Hypertextovprepojenie">
    <w:name w:val="Hyperlink"/>
    <w:rsid w:val="007477F4"/>
    <w:rPr>
      <w:color w:val="0000FF"/>
      <w:u w:val="single"/>
    </w:rPr>
  </w:style>
  <w:style w:type="character" w:customStyle="1" w:styleId="TextChar1">
    <w:name w:val="Text Char1"/>
    <w:link w:val="Text"/>
    <w:locked/>
    <w:rsid w:val="000502DB"/>
    <w:rPr>
      <w:rFonts w:ascii="SimSun" w:hAnsi="SimSun"/>
      <w:color w:val="000000"/>
    </w:rPr>
  </w:style>
  <w:style w:type="paragraph" w:customStyle="1" w:styleId="Text">
    <w:name w:val="Text"/>
    <w:basedOn w:val="Normlny"/>
    <w:link w:val="TextChar1"/>
    <w:rsid w:val="000502DB"/>
    <w:pPr>
      <w:spacing w:after="240" w:line="276" w:lineRule="auto"/>
      <w:ind w:left="1134"/>
      <w:jc w:val="both"/>
    </w:pPr>
    <w:rPr>
      <w:rFonts w:ascii="SimSun" w:hAnsi="SimSun"/>
      <w:color w:val="000000"/>
      <w:sz w:val="20"/>
      <w:szCs w:val="20"/>
      <w:lang w:eastAsia="sk-SK"/>
    </w:rPr>
  </w:style>
  <w:style w:type="paragraph" w:customStyle="1" w:styleId="Default">
    <w:name w:val="Default"/>
    <w:rsid w:val="00465D4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4876</Words>
  <Characters>27795</Characters>
  <Application>Microsoft Office Word</Application>
  <DocSecurity>0</DocSecurity>
  <Lines>231</Lines>
  <Paragraphs>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Stada AG</Company>
  <LinksUpToDate>false</LinksUpToDate>
  <CharactersWithSpaces>32606</CharactersWithSpaces>
  <SharedDoc>false</SharedDoc>
  <HLinks>
    <vt:vector size="18" baseType="variant">
      <vt:variant>
        <vt:i4>3145768</vt:i4>
      </vt:variant>
      <vt:variant>
        <vt:i4>6</vt:i4>
      </vt:variant>
      <vt:variant>
        <vt:i4>0</vt:i4>
      </vt:variant>
      <vt:variant>
        <vt:i4>5</vt:i4>
      </vt:variant>
      <vt:variant>
        <vt:lpwstr>https://portal.sukl.sk/eskadra/</vt:lpwstr>
      </vt:variant>
      <vt:variant>
        <vt:lpwstr/>
      </vt:variant>
      <vt:variant>
        <vt:i4>7733306</vt:i4>
      </vt:variant>
      <vt:variant>
        <vt:i4>3</vt:i4>
      </vt:variant>
      <vt:variant>
        <vt:i4>0</vt:i4>
      </vt:variant>
      <vt:variant>
        <vt:i4>5</vt:i4>
      </vt:variant>
      <vt:variant>
        <vt:lpwstr>http://www.sukl.sk/</vt:lpwstr>
      </vt:variant>
      <vt:variant>
        <vt:lpwstr/>
      </vt:variant>
      <vt:variant>
        <vt:i4>5898285</vt:i4>
      </vt:variant>
      <vt:variant>
        <vt:i4>0</vt:i4>
      </vt:variant>
      <vt:variant>
        <vt:i4>0</vt:i4>
      </vt:variant>
      <vt:variant>
        <vt:i4>5</vt:i4>
      </vt:variant>
      <vt:variant>
        <vt:lpwstr>mailto:neziaduce.ucinky@sukl.sk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regpharm</dc:creator>
  <cp:lastModifiedBy>SK reviewer</cp:lastModifiedBy>
  <cp:revision>2</cp:revision>
  <cp:lastPrinted>2018-06-20T10:15:00Z</cp:lastPrinted>
  <dcterms:created xsi:type="dcterms:W3CDTF">2022-12-05T15:27:00Z</dcterms:created>
  <dcterms:modified xsi:type="dcterms:W3CDTF">2022-12-05T15:27:00Z</dcterms:modified>
</cp:coreProperties>
</file>