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717B" w14:textId="77777777" w:rsidR="00A65229" w:rsidRPr="00465E86" w:rsidRDefault="0079024C" w:rsidP="00E10A86">
      <w:pPr>
        <w:spacing w:after="0" w:line="360" w:lineRule="auto"/>
        <w:jc w:val="center"/>
        <w:rPr>
          <w:rFonts w:ascii="Times New Roman" w:hAnsi="Times New Roman"/>
          <w:b/>
          <w:lang w:val="pl-PL"/>
        </w:rPr>
      </w:pPr>
      <w:r w:rsidRPr="00465E86">
        <w:rPr>
          <w:rFonts w:ascii="Times New Roman" w:hAnsi="Times New Roman"/>
          <w:b/>
          <w:lang w:val="pl-PL"/>
        </w:rPr>
        <w:t>SÚHRN CHARAKTERISTICKÝCH VLASTNOSTÍ LIEKU</w:t>
      </w:r>
    </w:p>
    <w:p w14:paraId="3A1E5D8A" w14:textId="77777777" w:rsidR="0079024C" w:rsidRPr="00E070C5" w:rsidRDefault="0079024C" w:rsidP="00E10A86">
      <w:pPr>
        <w:spacing w:after="0" w:line="360" w:lineRule="auto"/>
        <w:rPr>
          <w:rFonts w:ascii="Times New Roman" w:hAnsi="Times New Roman"/>
          <w:b/>
        </w:rPr>
      </w:pPr>
    </w:p>
    <w:p w14:paraId="39F75984" w14:textId="77777777" w:rsidR="00D23158" w:rsidRPr="00E070C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E070C5">
        <w:rPr>
          <w:rFonts w:ascii="Times New Roman" w:hAnsi="Times New Roman"/>
          <w:b/>
          <w:bCs/>
        </w:rPr>
        <w:t xml:space="preserve">1. </w:t>
      </w:r>
      <w:r w:rsidRPr="00E070C5">
        <w:rPr>
          <w:rFonts w:ascii="Times New Roman" w:hAnsi="Times New Roman"/>
          <w:b/>
          <w:bCs/>
        </w:rPr>
        <w:tab/>
        <w:t>NÁZOV LIEKU</w:t>
      </w:r>
    </w:p>
    <w:p w14:paraId="6131E362" w14:textId="77777777" w:rsidR="008F2C83" w:rsidRPr="00E070C5" w:rsidRDefault="008F2C83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1ED1CEA" w14:textId="77777777" w:rsidR="00D23158" w:rsidRPr="00E070C5" w:rsidRDefault="00DF1B22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  <w:bCs/>
        </w:rPr>
        <w:t>Z</w:t>
      </w:r>
      <w:r w:rsidR="008E0654" w:rsidRPr="00E070C5">
        <w:rPr>
          <w:rFonts w:ascii="Times New Roman" w:hAnsi="Times New Roman"/>
          <w:bCs/>
        </w:rPr>
        <w:t>AVEDOS</w:t>
      </w:r>
      <w:r w:rsidR="00DB5D5E" w:rsidRPr="00E070C5">
        <w:rPr>
          <w:rFonts w:ascii="Times New Roman" w:hAnsi="Times New Roman"/>
          <w:bCs/>
        </w:rPr>
        <w:t xml:space="preserve"> </w:t>
      </w:r>
      <w:r w:rsidR="0027286B" w:rsidRPr="00E070C5">
        <w:rPr>
          <w:rFonts w:ascii="Times New Roman" w:hAnsi="Times New Roman"/>
          <w:bCs/>
        </w:rPr>
        <w:t xml:space="preserve">1 mg/ml </w:t>
      </w:r>
      <w:r w:rsidR="00D23158" w:rsidRPr="00E070C5">
        <w:rPr>
          <w:rFonts w:ascii="Times New Roman" w:hAnsi="Times New Roman"/>
          <w:bCs/>
        </w:rPr>
        <w:t>injekčný roztok</w:t>
      </w:r>
    </w:p>
    <w:p w14:paraId="107B0F95" w14:textId="77777777" w:rsidR="00D23158" w:rsidRPr="00E070C5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11810C" w14:textId="77777777" w:rsidR="00420D4F" w:rsidRPr="00E070C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9092DC" w14:textId="77777777" w:rsidR="00420D4F" w:rsidRPr="00E070C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E070C5">
        <w:rPr>
          <w:rFonts w:ascii="Times New Roman" w:hAnsi="Times New Roman"/>
          <w:b/>
          <w:bCs/>
        </w:rPr>
        <w:t xml:space="preserve">2. </w:t>
      </w:r>
      <w:r w:rsidRPr="00E070C5">
        <w:rPr>
          <w:rFonts w:ascii="Times New Roman" w:hAnsi="Times New Roman"/>
          <w:b/>
          <w:bCs/>
        </w:rPr>
        <w:tab/>
        <w:t>KVALITATÍVNE A KVANTITATÍVNE ZLOŽENIE</w:t>
      </w:r>
    </w:p>
    <w:p w14:paraId="135ED22C" w14:textId="77777777" w:rsidR="00D23158" w:rsidRPr="00E070C5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Cs/>
        </w:rPr>
      </w:pPr>
    </w:p>
    <w:p w14:paraId="37B1AA11" w14:textId="77777777" w:rsidR="00D23158" w:rsidRPr="00E070C5" w:rsidRDefault="0027286B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 xml:space="preserve">1 ml injekčného roztoku obsahuje 1 </w:t>
      </w:r>
      <w:r w:rsidRPr="006B3987">
        <w:rPr>
          <w:rFonts w:ascii="Times New Roman" w:hAnsi="Times New Roman"/>
        </w:rPr>
        <w:t xml:space="preserve">mg </w:t>
      </w:r>
      <w:r w:rsidRPr="006B3987">
        <w:rPr>
          <w:rFonts w:ascii="Times New Roman" w:hAnsi="Times New Roman"/>
          <w:bCs/>
        </w:rPr>
        <w:t>idarubic</w:t>
      </w:r>
      <w:r w:rsidR="003F05F9" w:rsidRPr="006B3987">
        <w:rPr>
          <w:rFonts w:ascii="Times New Roman" w:hAnsi="Times New Roman"/>
          <w:bCs/>
        </w:rPr>
        <w:t>ínium</w:t>
      </w:r>
      <w:r w:rsidR="00931FA5" w:rsidRPr="006D6615">
        <w:rPr>
          <w:rFonts w:ascii="Times New Roman" w:hAnsi="Times New Roman"/>
          <w:bCs/>
        </w:rPr>
        <w:t>-</w:t>
      </w:r>
      <w:r w:rsidRPr="006B3987">
        <w:rPr>
          <w:rFonts w:ascii="Times New Roman" w:hAnsi="Times New Roman"/>
          <w:bCs/>
        </w:rPr>
        <w:t>chloridu</w:t>
      </w:r>
      <w:r w:rsidRPr="006B3987">
        <w:rPr>
          <w:rFonts w:ascii="Times New Roman" w:hAnsi="Times New Roman"/>
        </w:rPr>
        <w:t>.</w:t>
      </w:r>
    </w:p>
    <w:p w14:paraId="35D61DFA" w14:textId="77777777" w:rsidR="00420D4F" w:rsidRPr="00E070C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48C474" w14:textId="77777777" w:rsidR="00B354E5" w:rsidRPr="00E070C5" w:rsidRDefault="00B354E5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Úplný zoznam pomocných látok, pozri časť 6.1.</w:t>
      </w:r>
    </w:p>
    <w:p w14:paraId="6CA57EAA" w14:textId="77777777" w:rsidR="00B354E5" w:rsidRPr="00E070C5" w:rsidRDefault="00B354E5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F92896" w14:textId="77777777" w:rsidR="0027286B" w:rsidRPr="00E070C5" w:rsidRDefault="0027286B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96BA77" w14:textId="77777777" w:rsidR="00420D4F" w:rsidRPr="00E070C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  <w:b/>
        </w:rPr>
        <w:t xml:space="preserve">3. </w:t>
      </w:r>
      <w:r w:rsidRPr="00E070C5">
        <w:rPr>
          <w:rFonts w:ascii="Times New Roman" w:hAnsi="Times New Roman"/>
          <w:b/>
        </w:rPr>
        <w:tab/>
        <w:t>LIEKOVÁ FORMA</w:t>
      </w:r>
    </w:p>
    <w:p w14:paraId="397C3502" w14:textId="77777777" w:rsidR="00D23158" w:rsidRPr="00E070C5" w:rsidRDefault="00D23158" w:rsidP="00E10A86">
      <w:pPr>
        <w:pStyle w:val="Nadpis5"/>
        <w:spacing w:after="0" w:line="240" w:lineRule="auto"/>
        <w:jc w:val="left"/>
        <w:rPr>
          <w:rFonts w:ascii="Times New Roman" w:hAnsi="Times New Roman" w:cs="Times New Roman"/>
          <w:sz w:val="22"/>
        </w:rPr>
      </w:pPr>
    </w:p>
    <w:p w14:paraId="6D0A5608" w14:textId="77777777" w:rsidR="00D23158" w:rsidRPr="006D6615" w:rsidRDefault="00440488" w:rsidP="00E10A86">
      <w:pPr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I</w:t>
      </w:r>
      <w:r w:rsidR="00420D4F" w:rsidRPr="00E070C5">
        <w:rPr>
          <w:rFonts w:ascii="Times New Roman" w:hAnsi="Times New Roman"/>
        </w:rPr>
        <w:t>njekčný roztok</w:t>
      </w:r>
      <w:r w:rsidR="00D23158" w:rsidRPr="00E070C5">
        <w:rPr>
          <w:rFonts w:ascii="Times New Roman" w:hAnsi="Times New Roman"/>
        </w:rPr>
        <w:t>.</w:t>
      </w:r>
    </w:p>
    <w:p w14:paraId="4093559C" w14:textId="77777777" w:rsidR="00420D4F" w:rsidRPr="00465E86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F48204E" w14:textId="6E3008FB" w:rsidR="00B354E5" w:rsidRPr="00E070C5" w:rsidRDefault="00B354E5" w:rsidP="00B354E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Číry, oranžovo-červený vodný roztok bez konzervačných látok.</w:t>
      </w:r>
    </w:p>
    <w:p w14:paraId="3D0C39FC" w14:textId="77777777" w:rsidR="00B354E5" w:rsidRPr="00E070C5" w:rsidRDefault="00B354E5" w:rsidP="00B354E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Optimálne pH sa pohybuje v rozmedzí 3,0 až 5,0.</w:t>
      </w:r>
    </w:p>
    <w:p w14:paraId="191956E2" w14:textId="77777777" w:rsidR="00440488" w:rsidRPr="00931FA5" w:rsidRDefault="00440488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26E9E0" w14:textId="77777777" w:rsidR="00B354E5" w:rsidRPr="00931FA5" w:rsidRDefault="00B354E5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E7250A" w14:textId="77777777" w:rsidR="00420D4F" w:rsidRPr="001876FA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876FA">
        <w:rPr>
          <w:rFonts w:ascii="Times New Roman" w:hAnsi="Times New Roman"/>
          <w:b/>
        </w:rPr>
        <w:t>4.</w:t>
      </w:r>
      <w:r w:rsidRPr="001876FA">
        <w:rPr>
          <w:rFonts w:ascii="Times New Roman" w:hAnsi="Times New Roman"/>
        </w:rPr>
        <w:t xml:space="preserve"> </w:t>
      </w:r>
      <w:r w:rsidRPr="001876FA">
        <w:rPr>
          <w:rFonts w:ascii="Times New Roman" w:hAnsi="Times New Roman"/>
        </w:rPr>
        <w:tab/>
      </w:r>
      <w:r w:rsidRPr="001876FA">
        <w:rPr>
          <w:rFonts w:ascii="Times New Roman" w:hAnsi="Times New Roman"/>
          <w:b/>
        </w:rPr>
        <w:t>KLINICKÉ ÚDAJE</w:t>
      </w:r>
    </w:p>
    <w:p w14:paraId="6D84FBC6" w14:textId="77777777" w:rsidR="00D23158" w:rsidRPr="00A0786D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1BBC09C" w14:textId="77777777" w:rsidR="00420D4F" w:rsidRPr="003A0C52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3A0C52">
        <w:rPr>
          <w:rFonts w:ascii="Times New Roman" w:hAnsi="Times New Roman"/>
          <w:b/>
        </w:rPr>
        <w:t>4.1</w:t>
      </w:r>
      <w:r w:rsidRPr="003A0C52">
        <w:rPr>
          <w:rFonts w:ascii="Times New Roman" w:hAnsi="Times New Roman"/>
          <w:b/>
        </w:rPr>
        <w:tab/>
        <w:t>Terapeutické indikácie</w:t>
      </w:r>
    </w:p>
    <w:p w14:paraId="3AD8E6E1" w14:textId="77777777" w:rsidR="00D23158" w:rsidRPr="006B3987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2E1E2725" w14:textId="77777777" w:rsidR="00D23158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u w:val="single"/>
        </w:rPr>
      </w:pPr>
      <w:r w:rsidRPr="006D6615">
        <w:rPr>
          <w:rFonts w:ascii="Times New Roman" w:hAnsi="Times New Roman"/>
          <w:bCs/>
          <w:u w:val="single"/>
        </w:rPr>
        <w:t>Dospelí</w:t>
      </w:r>
    </w:p>
    <w:p w14:paraId="55D09560" w14:textId="77777777" w:rsidR="006B3987" w:rsidRDefault="006B3987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</w:rPr>
      </w:pPr>
    </w:p>
    <w:p w14:paraId="3DFF6309" w14:textId="77777777" w:rsidR="00420D4F" w:rsidRPr="00465E86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  <w:bCs/>
          <w:i/>
        </w:rPr>
        <w:t>Akútna myeloblastová leukémia (AML)</w:t>
      </w:r>
      <w:r w:rsidRPr="00465E86">
        <w:rPr>
          <w:rFonts w:ascii="Times New Roman" w:hAnsi="Times New Roman"/>
          <w:bCs/>
        </w:rPr>
        <w:t xml:space="preserve"> </w:t>
      </w:r>
    </w:p>
    <w:p w14:paraId="09871DF9" w14:textId="77777777" w:rsidR="00172003" w:rsidRPr="00E070C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Indukcia remisie:</w:t>
      </w:r>
    </w:p>
    <w:p w14:paraId="1F959ACC" w14:textId="77777777" w:rsidR="00420D4F" w:rsidRPr="00E070C5" w:rsidRDefault="002E6DFF" w:rsidP="00E10A86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070C5">
        <w:rPr>
          <w:rFonts w:ascii="Times New Roman" w:hAnsi="Times New Roman"/>
        </w:rPr>
        <w:t>v prvej línii liečby AML</w:t>
      </w:r>
      <w:r w:rsidR="00D23158" w:rsidRPr="00E070C5">
        <w:rPr>
          <w:rFonts w:ascii="Times New Roman" w:hAnsi="Times New Roman"/>
        </w:rPr>
        <w:t>,</w:t>
      </w:r>
    </w:p>
    <w:p w14:paraId="49604692" w14:textId="77777777" w:rsidR="00420D4F" w:rsidRPr="00931FA5" w:rsidRDefault="002E6DFF" w:rsidP="00E10A86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31FA5">
        <w:rPr>
          <w:rFonts w:ascii="Times New Roman" w:hAnsi="Times New Roman"/>
        </w:rPr>
        <w:t>u pacientov s relapsom AML</w:t>
      </w:r>
      <w:r w:rsidR="00D23158" w:rsidRPr="00931FA5">
        <w:rPr>
          <w:rFonts w:ascii="Times New Roman" w:hAnsi="Times New Roman"/>
        </w:rPr>
        <w:t>,</w:t>
      </w:r>
    </w:p>
    <w:p w14:paraId="0D802D4D" w14:textId="77777777" w:rsidR="00420D4F" w:rsidRPr="00A0786D" w:rsidRDefault="00906649" w:rsidP="00E10A86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876FA">
        <w:rPr>
          <w:rFonts w:ascii="Times New Roman" w:hAnsi="Times New Roman"/>
        </w:rPr>
        <w:t>pri</w:t>
      </w:r>
      <w:r w:rsidR="002E6DFF" w:rsidRPr="001876FA">
        <w:rPr>
          <w:rFonts w:ascii="Times New Roman" w:hAnsi="Times New Roman"/>
        </w:rPr>
        <w:t xml:space="preserve"> AML nereagujúcej na predchádzajúcu </w:t>
      </w:r>
      <w:r w:rsidRPr="001876FA">
        <w:rPr>
          <w:rFonts w:ascii="Times New Roman" w:hAnsi="Times New Roman"/>
        </w:rPr>
        <w:t>liečbu</w:t>
      </w:r>
      <w:r w:rsidR="00D23158" w:rsidRPr="001876FA">
        <w:rPr>
          <w:rFonts w:ascii="Times New Roman" w:hAnsi="Times New Roman"/>
        </w:rPr>
        <w:t>.</w:t>
      </w:r>
    </w:p>
    <w:p w14:paraId="0956A9C9" w14:textId="77777777" w:rsidR="00420D4F" w:rsidRPr="003A0C52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BC2A15" w14:textId="77777777" w:rsidR="00D23158" w:rsidRPr="00465E86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  <w:bCs/>
          <w:i/>
        </w:rPr>
        <w:t>Akútna lymfoblastová leukémia (ALL)</w:t>
      </w:r>
      <w:r w:rsidRPr="00465E86">
        <w:rPr>
          <w:rFonts w:ascii="Times New Roman" w:hAnsi="Times New Roman"/>
          <w:bCs/>
        </w:rPr>
        <w:t xml:space="preserve"> </w:t>
      </w:r>
    </w:p>
    <w:p w14:paraId="39A74BF5" w14:textId="77777777" w:rsidR="00420D4F" w:rsidRPr="00E070C5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L</w:t>
      </w:r>
      <w:r w:rsidR="00CF74AC" w:rsidRPr="00E070C5">
        <w:rPr>
          <w:rFonts w:ascii="Times New Roman" w:hAnsi="Times New Roman"/>
        </w:rPr>
        <w:t>iečba v druhej línii</w:t>
      </w:r>
      <w:r w:rsidR="002E6DFF" w:rsidRPr="00E070C5">
        <w:rPr>
          <w:rFonts w:ascii="Times New Roman" w:hAnsi="Times New Roman"/>
        </w:rPr>
        <w:t>.</w:t>
      </w:r>
    </w:p>
    <w:p w14:paraId="6219D829" w14:textId="77777777" w:rsidR="00D23158" w:rsidRPr="00E070C5" w:rsidRDefault="00D23158" w:rsidP="00E10A86">
      <w:pPr>
        <w:spacing w:after="0" w:line="240" w:lineRule="auto"/>
        <w:rPr>
          <w:rFonts w:ascii="Times New Roman" w:hAnsi="Times New Roman"/>
        </w:rPr>
      </w:pPr>
    </w:p>
    <w:p w14:paraId="148674CA" w14:textId="77777777" w:rsidR="00D23158" w:rsidRPr="006D6615" w:rsidRDefault="002E6DFF" w:rsidP="00E10A86">
      <w:pPr>
        <w:spacing w:after="0" w:line="240" w:lineRule="auto"/>
        <w:rPr>
          <w:rFonts w:ascii="Times New Roman" w:hAnsi="Times New Roman"/>
          <w:bCs/>
          <w:u w:val="single"/>
        </w:rPr>
      </w:pPr>
      <w:r w:rsidRPr="006D6615">
        <w:rPr>
          <w:rFonts w:ascii="Times New Roman" w:hAnsi="Times New Roman"/>
          <w:bCs/>
          <w:u w:val="single"/>
        </w:rPr>
        <w:t>Deti</w:t>
      </w:r>
    </w:p>
    <w:p w14:paraId="053B1F56" w14:textId="77777777" w:rsidR="006B3987" w:rsidRDefault="006B3987" w:rsidP="00E10A86">
      <w:pPr>
        <w:spacing w:after="0" w:line="240" w:lineRule="auto"/>
        <w:rPr>
          <w:rFonts w:ascii="Times New Roman" w:hAnsi="Times New Roman"/>
          <w:bCs/>
          <w:i/>
        </w:rPr>
      </w:pPr>
    </w:p>
    <w:p w14:paraId="482DD153" w14:textId="77777777" w:rsidR="008F2C83" w:rsidRPr="006D6615" w:rsidRDefault="002E6DFF" w:rsidP="00E10A86">
      <w:pPr>
        <w:spacing w:after="0" w:line="240" w:lineRule="auto"/>
        <w:rPr>
          <w:rFonts w:ascii="Times New Roman" w:hAnsi="Times New Roman"/>
          <w:bCs/>
          <w:i/>
        </w:rPr>
      </w:pPr>
      <w:r w:rsidRPr="006D6615">
        <w:rPr>
          <w:rFonts w:ascii="Times New Roman" w:hAnsi="Times New Roman"/>
          <w:bCs/>
          <w:i/>
        </w:rPr>
        <w:t>Akútna myeloblastová leukémia (AML)</w:t>
      </w:r>
    </w:p>
    <w:p w14:paraId="20C44801" w14:textId="77777777" w:rsidR="008F2C83" w:rsidRPr="00E070C5" w:rsidRDefault="002E6DFF" w:rsidP="00E10A86">
      <w:pPr>
        <w:spacing w:after="0" w:line="240" w:lineRule="auto"/>
        <w:rPr>
          <w:rFonts w:ascii="Times New Roman" w:hAnsi="Times New Roman"/>
          <w:bCs/>
        </w:rPr>
      </w:pPr>
      <w:r w:rsidRPr="00465E86">
        <w:rPr>
          <w:rFonts w:ascii="Times New Roman" w:hAnsi="Times New Roman"/>
        </w:rPr>
        <w:t xml:space="preserve">V kombinácii s cytarabínom ako prvá línia liečby na </w:t>
      </w:r>
      <w:r w:rsidRPr="00465E86">
        <w:rPr>
          <w:rFonts w:ascii="Times New Roman" w:hAnsi="Times New Roman"/>
          <w:bCs/>
        </w:rPr>
        <w:t>indukciu remisie</w:t>
      </w:r>
    </w:p>
    <w:p w14:paraId="250B0297" w14:textId="77777777" w:rsidR="00D23158" w:rsidRPr="00E070C5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</w:rPr>
      </w:pPr>
    </w:p>
    <w:p w14:paraId="326F257C" w14:textId="77777777" w:rsidR="006B3987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</w:rPr>
      </w:pPr>
      <w:r w:rsidRPr="006D6615">
        <w:rPr>
          <w:rFonts w:ascii="Times New Roman" w:hAnsi="Times New Roman"/>
          <w:bCs/>
          <w:i/>
        </w:rPr>
        <w:t>Akútna lymfoblastová leukémia (ALL)</w:t>
      </w:r>
    </w:p>
    <w:p w14:paraId="6CFDDC96" w14:textId="77777777" w:rsidR="008F2C83" w:rsidRPr="00E070C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5E86">
        <w:rPr>
          <w:rFonts w:ascii="Times New Roman" w:hAnsi="Times New Roman"/>
        </w:rPr>
        <w:t>Liečba v d</w:t>
      </w:r>
      <w:r w:rsidR="00422972" w:rsidRPr="00465E86">
        <w:rPr>
          <w:rFonts w:ascii="Times New Roman" w:hAnsi="Times New Roman"/>
        </w:rPr>
        <w:t>r</w:t>
      </w:r>
      <w:r w:rsidRPr="00465E86">
        <w:rPr>
          <w:rFonts w:ascii="Times New Roman" w:hAnsi="Times New Roman"/>
        </w:rPr>
        <w:t>uhej línii</w:t>
      </w:r>
    </w:p>
    <w:p w14:paraId="62045ED3" w14:textId="77777777" w:rsidR="00D23158" w:rsidRPr="00E070C5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B6BA10" w14:textId="77777777" w:rsidR="008F2C83" w:rsidRPr="001876FA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31FA5">
        <w:rPr>
          <w:rFonts w:ascii="Times New Roman" w:hAnsi="Times New Roman"/>
        </w:rPr>
        <w:t>Idarubicín</w:t>
      </w:r>
      <w:r w:rsidR="00F10DCF" w:rsidRPr="00931FA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931FA5">
        <w:rPr>
          <w:rFonts w:ascii="Times New Roman" w:hAnsi="Times New Roman"/>
        </w:rPr>
        <w:t>chlorid</w:t>
      </w:r>
      <w:r w:rsidRPr="00931FA5">
        <w:rPr>
          <w:rFonts w:ascii="Times New Roman" w:hAnsi="Times New Roman"/>
        </w:rPr>
        <w:t xml:space="preserve"> sa bežne používa v kombinovaných chemoterapeutických režimoch spolu s inými cytotoxickými látkami. (pozri časť 4.2).</w:t>
      </w:r>
    </w:p>
    <w:p w14:paraId="690CE9DA" w14:textId="77777777" w:rsidR="008F2C83" w:rsidRPr="00A0786D" w:rsidRDefault="008F2C83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F743B92" w14:textId="77777777" w:rsidR="00420D4F" w:rsidRPr="003A0C52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3A0C52">
        <w:rPr>
          <w:rFonts w:ascii="Times New Roman" w:hAnsi="Times New Roman"/>
          <w:b/>
          <w:bCs/>
        </w:rPr>
        <w:t>4.2</w:t>
      </w:r>
      <w:r w:rsidRPr="003A0C52">
        <w:rPr>
          <w:rFonts w:ascii="Times New Roman" w:hAnsi="Times New Roman"/>
          <w:b/>
          <w:bCs/>
        </w:rPr>
        <w:tab/>
        <w:t>Dávkovanie a spôsob podávania</w:t>
      </w:r>
    </w:p>
    <w:p w14:paraId="191E0EAF" w14:textId="77777777" w:rsidR="00D23158" w:rsidRPr="006B3987" w:rsidRDefault="00D23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</w:p>
    <w:p w14:paraId="3125FD5B" w14:textId="77777777" w:rsidR="00385CC4" w:rsidRPr="004935D2" w:rsidRDefault="00385CC4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4935D2">
        <w:rPr>
          <w:rFonts w:ascii="Times New Roman" w:hAnsi="Times New Roman"/>
          <w:bCs/>
        </w:rPr>
        <w:t>Len na intravenózne podanie.</w:t>
      </w:r>
    </w:p>
    <w:p w14:paraId="1975653A" w14:textId="77777777" w:rsidR="00385CC4" w:rsidRPr="004935D2" w:rsidRDefault="00385CC4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B91B64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</w:rPr>
        <w:t xml:space="preserve">Dávka sa zvyčajne vypočíta na základe celkovej </w:t>
      </w:r>
      <w:r w:rsidR="00385CC4" w:rsidRPr="004935D2">
        <w:rPr>
          <w:rFonts w:ascii="Times New Roman" w:hAnsi="Times New Roman"/>
        </w:rPr>
        <w:t xml:space="preserve">plochy </w:t>
      </w:r>
      <w:r w:rsidRPr="004935D2">
        <w:rPr>
          <w:rFonts w:ascii="Times New Roman" w:hAnsi="Times New Roman"/>
        </w:rPr>
        <w:t>povrchu tela (mg/m</w:t>
      </w:r>
      <w:r w:rsidRPr="00E37901">
        <w:rPr>
          <w:rFonts w:ascii="Times New Roman" w:hAnsi="Times New Roman"/>
          <w:vertAlign w:val="superscript"/>
        </w:rPr>
        <w:t>2</w:t>
      </w:r>
      <w:r w:rsidRPr="00E37901">
        <w:rPr>
          <w:rFonts w:ascii="Times New Roman" w:hAnsi="Times New Roman"/>
        </w:rPr>
        <w:t>).</w:t>
      </w:r>
    </w:p>
    <w:p w14:paraId="235CA372" w14:textId="77777777" w:rsidR="009C0AFB" w:rsidRPr="006D6615" w:rsidRDefault="009C0AFB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</w:p>
    <w:p w14:paraId="33F71745" w14:textId="77777777" w:rsidR="009C0AFB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lastRenderedPageBreak/>
        <w:t>Dávkovanie</w:t>
      </w:r>
    </w:p>
    <w:p w14:paraId="29447727" w14:textId="77777777" w:rsidR="006B3987" w:rsidRDefault="006B3987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i/>
          <w:iCs/>
          <w:u w:val="single"/>
        </w:rPr>
      </w:pPr>
    </w:p>
    <w:p w14:paraId="429BD8C7" w14:textId="77777777" w:rsidR="00420D4F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i/>
          <w:iCs/>
        </w:rPr>
      </w:pPr>
      <w:r w:rsidRPr="006D6615">
        <w:rPr>
          <w:rFonts w:ascii="Times New Roman" w:hAnsi="Times New Roman"/>
          <w:i/>
          <w:iCs/>
        </w:rPr>
        <w:t xml:space="preserve">Akútna </w:t>
      </w:r>
      <w:r w:rsidR="003C33F1" w:rsidRPr="006D6615">
        <w:rPr>
          <w:rFonts w:ascii="Times New Roman" w:hAnsi="Times New Roman"/>
          <w:i/>
          <w:iCs/>
        </w:rPr>
        <w:t>myeloblastová</w:t>
      </w:r>
      <w:r w:rsidRPr="006D6615">
        <w:rPr>
          <w:rFonts w:ascii="Times New Roman" w:hAnsi="Times New Roman"/>
          <w:i/>
          <w:iCs/>
        </w:rPr>
        <w:t xml:space="preserve"> leukémia (AML)</w:t>
      </w:r>
    </w:p>
    <w:p w14:paraId="6FD81A50" w14:textId="77777777" w:rsidR="00385CC4" w:rsidRPr="00E070C5" w:rsidRDefault="00385CC4" w:rsidP="00385CC4">
      <w:pPr>
        <w:numPr>
          <w:ilvl w:val="0"/>
          <w:numId w:val="12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070C5">
        <w:rPr>
          <w:rFonts w:ascii="Times New Roman" w:hAnsi="Times New Roman"/>
          <w:iCs/>
        </w:rPr>
        <w:t>Dospelí:</w:t>
      </w:r>
    </w:p>
    <w:p w14:paraId="50766EF7" w14:textId="77777777" w:rsidR="00385CC4" w:rsidRPr="00E070C5" w:rsidRDefault="00385CC4" w:rsidP="00385CC4">
      <w:pPr>
        <w:spacing w:after="0" w:line="240" w:lineRule="auto"/>
        <w:ind w:left="567"/>
        <w:rPr>
          <w:rFonts w:ascii="Times New Roman" w:hAnsi="Times New Roman"/>
        </w:rPr>
      </w:pPr>
      <w:r w:rsidRPr="00E070C5">
        <w:rPr>
          <w:rFonts w:ascii="Times New Roman" w:hAnsi="Times New Roman"/>
        </w:rPr>
        <w:t>12 mg/m</w:t>
      </w:r>
      <w:r w:rsidRPr="00E070C5">
        <w:rPr>
          <w:rFonts w:ascii="Times New Roman" w:hAnsi="Times New Roman"/>
          <w:vertAlign w:val="superscript"/>
        </w:rPr>
        <w:t>2</w:t>
      </w:r>
      <w:r w:rsidRPr="00E070C5">
        <w:rPr>
          <w:rFonts w:ascii="Times New Roman" w:hAnsi="Times New Roman"/>
        </w:rPr>
        <w:t>/deň i.v. počas 3 dní v kombinácii s cytarabínom</w:t>
      </w:r>
    </w:p>
    <w:p w14:paraId="6A8BD5F7" w14:textId="77777777" w:rsidR="00385CC4" w:rsidRPr="00931FA5" w:rsidRDefault="00385CC4" w:rsidP="00385CC4">
      <w:pPr>
        <w:spacing w:after="0" w:line="240" w:lineRule="auto"/>
        <w:ind w:left="567"/>
        <w:rPr>
          <w:rFonts w:ascii="Times New Roman" w:hAnsi="Times New Roman"/>
        </w:rPr>
      </w:pPr>
      <w:r w:rsidRPr="00931FA5">
        <w:rPr>
          <w:rFonts w:ascii="Times New Roman" w:hAnsi="Times New Roman"/>
        </w:rPr>
        <w:t xml:space="preserve">alebo </w:t>
      </w:r>
    </w:p>
    <w:p w14:paraId="119C5593" w14:textId="77777777" w:rsidR="00385CC4" w:rsidRPr="00A0786D" w:rsidRDefault="00385CC4" w:rsidP="00385CC4">
      <w:pPr>
        <w:tabs>
          <w:tab w:val="left" w:pos="851"/>
        </w:tabs>
        <w:spacing w:after="80" w:line="240" w:lineRule="auto"/>
        <w:ind w:left="567"/>
        <w:rPr>
          <w:rFonts w:ascii="Times New Roman" w:hAnsi="Times New Roman"/>
        </w:rPr>
      </w:pPr>
      <w:r w:rsidRPr="001876FA">
        <w:rPr>
          <w:rFonts w:ascii="Times New Roman" w:hAnsi="Times New Roman"/>
        </w:rPr>
        <w:t>8 mg/m</w:t>
      </w:r>
      <w:r w:rsidRPr="001876FA">
        <w:rPr>
          <w:rFonts w:ascii="Times New Roman" w:hAnsi="Times New Roman"/>
          <w:vertAlign w:val="superscript"/>
        </w:rPr>
        <w:t>2</w:t>
      </w:r>
      <w:r w:rsidRPr="00A0786D">
        <w:rPr>
          <w:rFonts w:ascii="Times New Roman" w:hAnsi="Times New Roman"/>
        </w:rPr>
        <w:t>/deň i.v. počas 5 dní v monoterapii alebo v kombinovanej liečbe.</w:t>
      </w:r>
    </w:p>
    <w:p w14:paraId="358BB102" w14:textId="77777777" w:rsidR="006B3987" w:rsidRDefault="00385CC4" w:rsidP="00385CC4">
      <w:pPr>
        <w:numPr>
          <w:ilvl w:val="0"/>
          <w:numId w:val="12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3A0C52">
        <w:rPr>
          <w:rFonts w:ascii="Times New Roman" w:hAnsi="Times New Roman"/>
        </w:rPr>
        <w:t>Deti:</w:t>
      </w:r>
    </w:p>
    <w:p w14:paraId="4B1273F1" w14:textId="77777777" w:rsidR="00385CC4" w:rsidRPr="004935D2" w:rsidRDefault="00385CC4" w:rsidP="006D6615">
      <w:pPr>
        <w:spacing w:after="0" w:line="240" w:lineRule="auto"/>
        <w:ind w:left="567"/>
        <w:rPr>
          <w:rFonts w:ascii="Times New Roman" w:hAnsi="Times New Roman"/>
        </w:rPr>
      </w:pPr>
      <w:r w:rsidRPr="006B3987">
        <w:rPr>
          <w:rFonts w:ascii="Times New Roman" w:hAnsi="Times New Roman"/>
        </w:rPr>
        <w:t>10 – 12 mg/m</w:t>
      </w:r>
      <w:r w:rsidRPr="006B3987">
        <w:rPr>
          <w:rFonts w:ascii="Times New Roman" w:hAnsi="Times New Roman"/>
          <w:vertAlign w:val="superscript"/>
        </w:rPr>
        <w:t>2</w:t>
      </w:r>
      <w:r w:rsidRPr="006B3987">
        <w:rPr>
          <w:rFonts w:ascii="Times New Roman" w:hAnsi="Times New Roman"/>
        </w:rPr>
        <w:t>/deň</w:t>
      </w:r>
      <w:r w:rsidRPr="006B3987">
        <w:rPr>
          <w:rFonts w:ascii="Times New Roman" w:hAnsi="Times New Roman"/>
          <w:vertAlign w:val="superscript"/>
        </w:rPr>
        <w:t xml:space="preserve">  </w:t>
      </w:r>
      <w:r w:rsidRPr="006B3987">
        <w:rPr>
          <w:rFonts w:ascii="Times New Roman" w:hAnsi="Times New Roman"/>
        </w:rPr>
        <w:t>i.v. počas 3 dní v kombinácii s cytarabínom.</w:t>
      </w:r>
    </w:p>
    <w:p w14:paraId="1DF6B2B4" w14:textId="77777777" w:rsidR="008C09A3" w:rsidRPr="004935D2" w:rsidRDefault="008C09A3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C32682D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  <w:bCs/>
          <w:i/>
        </w:rPr>
        <w:t>Akútna l</w:t>
      </w:r>
      <w:r w:rsidRPr="006D6615">
        <w:rPr>
          <w:rFonts w:ascii="Times New Roman" w:hAnsi="Times New Roman"/>
          <w:i/>
          <w:iCs/>
        </w:rPr>
        <w:t>ymfoblastová</w:t>
      </w:r>
      <w:r w:rsidRPr="006D6615">
        <w:rPr>
          <w:rFonts w:ascii="Times New Roman" w:hAnsi="Times New Roman"/>
          <w:bCs/>
          <w:i/>
        </w:rPr>
        <w:t xml:space="preserve"> leukémia (ALL)</w:t>
      </w:r>
    </w:p>
    <w:p w14:paraId="54D35672" w14:textId="77777777" w:rsidR="00385CC4" w:rsidRPr="00E070C5" w:rsidRDefault="00385CC4" w:rsidP="00385CC4">
      <w:pPr>
        <w:numPr>
          <w:ilvl w:val="0"/>
          <w:numId w:val="12"/>
        </w:numPr>
        <w:tabs>
          <w:tab w:val="clear" w:pos="927"/>
          <w:tab w:val="num" w:pos="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E070C5">
        <w:rPr>
          <w:rFonts w:ascii="Times New Roman" w:hAnsi="Times New Roman"/>
          <w:bCs/>
        </w:rPr>
        <w:t>Dospelí:</w:t>
      </w:r>
    </w:p>
    <w:p w14:paraId="4AA833EC" w14:textId="77777777" w:rsidR="00385CC4" w:rsidRPr="00E070C5" w:rsidRDefault="00385CC4" w:rsidP="00385CC4">
      <w:pPr>
        <w:spacing w:after="80" w:line="240" w:lineRule="auto"/>
        <w:ind w:left="567"/>
        <w:rPr>
          <w:rFonts w:ascii="Times New Roman" w:hAnsi="Times New Roman"/>
        </w:rPr>
      </w:pPr>
      <w:r w:rsidRPr="00E070C5">
        <w:rPr>
          <w:rFonts w:ascii="Times New Roman" w:hAnsi="Times New Roman"/>
        </w:rPr>
        <w:t>v monoterapii sa odporúča dávka 12 mg/m</w:t>
      </w:r>
      <w:r w:rsidRPr="00E070C5">
        <w:rPr>
          <w:rFonts w:ascii="Times New Roman" w:hAnsi="Times New Roman"/>
          <w:vertAlign w:val="superscript"/>
        </w:rPr>
        <w:t>2</w:t>
      </w:r>
      <w:r w:rsidRPr="00E070C5">
        <w:rPr>
          <w:rFonts w:ascii="Times New Roman" w:hAnsi="Times New Roman"/>
        </w:rPr>
        <w:t>/deň i.v. počas 3 dní.</w:t>
      </w:r>
    </w:p>
    <w:p w14:paraId="31DCBCC7" w14:textId="77777777" w:rsidR="006B3987" w:rsidRPr="006D6615" w:rsidRDefault="00385CC4" w:rsidP="00385CC4">
      <w:pPr>
        <w:numPr>
          <w:ilvl w:val="0"/>
          <w:numId w:val="12"/>
        </w:numPr>
        <w:tabs>
          <w:tab w:val="clear" w:pos="927"/>
          <w:tab w:val="num" w:pos="567"/>
        </w:tabs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931FA5">
        <w:rPr>
          <w:rFonts w:ascii="Times New Roman" w:hAnsi="Times New Roman"/>
        </w:rPr>
        <w:t>Deti:</w:t>
      </w:r>
    </w:p>
    <w:p w14:paraId="7C42E22D" w14:textId="77777777" w:rsidR="00385CC4" w:rsidRPr="00A0786D" w:rsidRDefault="00385CC4" w:rsidP="006D6615">
      <w:pPr>
        <w:spacing w:after="0" w:line="240" w:lineRule="auto"/>
        <w:ind w:left="567"/>
        <w:rPr>
          <w:rFonts w:ascii="Times New Roman" w:hAnsi="Times New Roman"/>
          <w:b/>
          <w:bCs/>
        </w:rPr>
      </w:pPr>
      <w:r w:rsidRPr="00931FA5">
        <w:rPr>
          <w:rFonts w:ascii="Times New Roman" w:hAnsi="Times New Roman"/>
        </w:rPr>
        <w:t xml:space="preserve">v monoterapii sa odporúča dávka </w:t>
      </w:r>
      <w:r w:rsidRPr="001876FA">
        <w:rPr>
          <w:rFonts w:ascii="Times New Roman" w:hAnsi="Times New Roman"/>
        </w:rPr>
        <w:t>10 mg/m</w:t>
      </w:r>
      <w:r w:rsidRPr="001876FA">
        <w:rPr>
          <w:rFonts w:ascii="Times New Roman" w:hAnsi="Times New Roman"/>
          <w:vertAlign w:val="superscript"/>
        </w:rPr>
        <w:t>2</w:t>
      </w:r>
      <w:r w:rsidRPr="00A0786D">
        <w:rPr>
          <w:rFonts w:ascii="Times New Roman" w:hAnsi="Times New Roman"/>
        </w:rPr>
        <w:t>/deň i.v. počas 3 dní.</w:t>
      </w:r>
    </w:p>
    <w:p w14:paraId="2CEBC7EB" w14:textId="77777777" w:rsidR="00385CC4" w:rsidRPr="003A0C52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</w:p>
    <w:p w14:paraId="6C6147AD" w14:textId="77777777" w:rsidR="00385CC4" w:rsidRPr="006B3987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B3987">
        <w:rPr>
          <w:rFonts w:ascii="Times New Roman" w:hAnsi="Times New Roman"/>
          <w:bCs/>
        </w:rPr>
        <w:t>POZNÁMKA:</w:t>
      </w:r>
      <w:r w:rsidRPr="006B3987">
        <w:rPr>
          <w:rFonts w:ascii="Times New Roman" w:hAnsi="Times New Roman"/>
        </w:rPr>
        <w:t xml:space="preserve"> Uvedené pokyny sú všeobecné. Presné dávkovanie pozri v jednotlivých protokoloch.</w:t>
      </w:r>
    </w:p>
    <w:p w14:paraId="6B07B8B9" w14:textId="77777777" w:rsidR="00385CC4" w:rsidRPr="004935D2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467B3C" w14:textId="77777777" w:rsidR="00385CC4" w:rsidRPr="00E37901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</w:rPr>
        <w:t>Pri všetkých schémach dávkovania je potrebné zohľadniť hematologický stav pacienta a dávky iných cytotoxických látok podávan</w:t>
      </w:r>
      <w:r w:rsidRPr="00E37901">
        <w:rPr>
          <w:rFonts w:ascii="Times New Roman" w:hAnsi="Times New Roman"/>
        </w:rPr>
        <w:t>ých v kombinácii.</w:t>
      </w:r>
    </w:p>
    <w:p w14:paraId="04F2612D" w14:textId="77777777" w:rsidR="008C09A3" w:rsidRPr="00E37901" w:rsidRDefault="008C09A3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6186AD8C" w14:textId="77777777" w:rsidR="00BC4467" w:rsidRPr="006D6615" w:rsidRDefault="00582080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t>Úprava dávky</w:t>
      </w:r>
    </w:p>
    <w:p w14:paraId="06BCC887" w14:textId="77777777" w:rsidR="009C0AFB" w:rsidRPr="006D6615" w:rsidRDefault="009C0AFB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13658F67" w14:textId="77777777" w:rsidR="00385CC4" w:rsidRPr="006D6615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6D6615">
        <w:rPr>
          <w:rFonts w:ascii="Times New Roman" w:hAnsi="Times New Roman"/>
          <w:i/>
        </w:rPr>
        <w:t>Porucha funkcie pečene a/alebo obličiek</w:t>
      </w:r>
    </w:p>
    <w:p w14:paraId="3A3B2A46" w14:textId="77777777" w:rsidR="00385CC4" w:rsidRPr="006D6615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AD1A0B1" w14:textId="77777777" w:rsidR="00385CC4" w:rsidRPr="006D6615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6D6615">
        <w:rPr>
          <w:rFonts w:ascii="Times New Roman" w:hAnsi="Times New Roman"/>
        </w:rPr>
        <w:t>Hoci z obmedzeného množstva dostupných údajov od pacientov s poruchou funkcie pečene a/alebo obličiek nie je možné stanoviť špecifické odporúčania pre úpravu dávky, má sa zvážiť zníženie dávkovania u pacientov, ktorí majú hladinu sérového bilirubínu 20,52 – 34,2 µmol/l (1,2 – 2 mg/dl) alebo hladinu sérového kreatinínu 100 – 175 µmol/l (1,13 – 1,98 mg/dl) (pozri časť 4.4).</w:t>
      </w:r>
    </w:p>
    <w:p w14:paraId="270E50F0" w14:textId="77777777" w:rsidR="007E736C" w:rsidRPr="006D6615" w:rsidRDefault="007E736C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B43C839" w14:textId="77777777" w:rsidR="00420D4F" w:rsidRPr="00E37901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Idarubicín</w:t>
      </w:r>
      <w:r w:rsidR="00F10DCF" w:rsidRPr="006D661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</w:t>
      </w:r>
      <w:r w:rsidRPr="006B3987">
        <w:rPr>
          <w:rFonts w:ascii="Times New Roman" w:hAnsi="Times New Roman"/>
        </w:rPr>
        <w:t xml:space="preserve"> sa nemá podávať pacientom so </w:t>
      </w:r>
      <w:r w:rsidR="009C0AFB" w:rsidRPr="004935D2">
        <w:rPr>
          <w:rFonts w:ascii="Times New Roman" w:hAnsi="Times New Roman"/>
        </w:rPr>
        <w:t>závažnou poruchou funkcie</w:t>
      </w:r>
      <w:r w:rsidRPr="004935D2">
        <w:rPr>
          <w:rFonts w:ascii="Times New Roman" w:hAnsi="Times New Roman"/>
        </w:rPr>
        <w:t xml:space="preserve"> pečene alebo obličiek (pozri časť 4.3).</w:t>
      </w:r>
    </w:p>
    <w:p w14:paraId="22652606" w14:textId="77777777" w:rsidR="008C09A3" w:rsidRPr="00E37901" w:rsidRDefault="008C09A3" w:rsidP="00E10A86">
      <w:pPr>
        <w:tabs>
          <w:tab w:val="left" w:pos="567"/>
        </w:tabs>
        <w:spacing w:after="0" w:line="240" w:lineRule="auto"/>
        <w:rPr>
          <w:rStyle w:val="hps"/>
          <w:rFonts w:ascii="Times New Roman" w:hAnsi="Times New Roman"/>
          <w:u w:val="single"/>
        </w:rPr>
      </w:pPr>
    </w:p>
    <w:p w14:paraId="1D707CA3" w14:textId="77777777" w:rsidR="00B9190F" w:rsidRPr="006D6615" w:rsidRDefault="002E6DFF" w:rsidP="00385CC4">
      <w:pPr>
        <w:tabs>
          <w:tab w:val="left" w:pos="567"/>
        </w:tabs>
        <w:spacing w:after="0" w:line="240" w:lineRule="auto"/>
        <w:rPr>
          <w:rStyle w:val="hps"/>
          <w:rFonts w:ascii="Times New Roman" w:hAnsi="Times New Roman"/>
          <w:u w:val="single"/>
        </w:rPr>
      </w:pPr>
      <w:r w:rsidRPr="00E37901">
        <w:rPr>
          <w:rStyle w:val="hps"/>
          <w:rFonts w:ascii="Times New Roman" w:hAnsi="Times New Roman"/>
          <w:u w:val="single"/>
        </w:rPr>
        <w:t>Spôsob podávania</w:t>
      </w:r>
    </w:p>
    <w:p w14:paraId="7F6A457D" w14:textId="77777777" w:rsidR="00385CC4" w:rsidRPr="006D6615" w:rsidRDefault="00385CC4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F8C92B" w14:textId="77777777" w:rsidR="00385CC4" w:rsidRPr="006D6615" w:rsidRDefault="006B3987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Intravenózne použitie. </w:t>
      </w:r>
      <w:r w:rsidR="00385CC4" w:rsidRPr="006B3987">
        <w:rPr>
          <w:rFonts w:ascii="Times New Roman" w:hAnsi="Times New Roman"/>
        </w:rPr>
        <w:t>Pri intravenóznom podávaní idarubicín</w:t>
      </w:r>
      <w:r w:rsidR="00F10DCF" w:rsidRPr="006B3987">
        <w:rPr>
          <w:rFonts w:ascii="Times New Roman" w:hAnsi="Times New Roman"/>
        </w:rPr>
        <w:t>ium</w:t>
      </w:r>
      <w:r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chloridu</w:t>
      </w:r>
      <w:r w:rsidR="00385CC4" w:rsidRPr="006B3987">
        <w:rPr>
          <w:rFonts w:ascii="Times New Roman" w:hAnsi="Times New Roman"/>
        </w:rPr>
        <w:t xml:space="preserve"> sa vyžaduje opatrnosť. </w:t>
      </w:r>
      <w:r w:rsidR="00CC5D34" w:rsidRPr="004935D2">
        <w:rPr>
          <w:rFonts w:ascii="Times New Roman" w:hAnsi="Times New Roman"/>
        </w:rPr>
        <w:t>R</w:t>
      </w:r>
      <w:r w:rsidR="00385CC4" w:rsidRPr="004935D2">
        <w:rPr>
          <w:rFonts w:ascii="Times New Roman" w:hAnsi="Times New Roman"/>
        </w:rPr>
        <w:t>oztok sa má podávať do</w:t>
      </w:r>
      <w:r w:rsidR="00F10DCF" w:rsidRPr="004935D2">
        <w:rPr>
          <w:rFonts w:ascii="Times New Roman" w:hAnsi="Times New Roman"/>
        </w:rPr>
        <w:t> </w:t>
      </w:r>
      <w:r w:rsidR="00385CC4" w:rsidRPr="004935D2">
        <w:rPr>
          <w:rFonts w:ascii="Times New Roman" w:hAnsi="Times New Roman"/>
        </w:rPr>
        <w:t>infúznej súpravy s voľne tečúcou intravenóznou infúziou fyziologického roztok</w:t>
      </w:r>
      <w:r w:rsidR="00385CC4" w:rsidRPr="00E37901">
        <w:rPr>
          <w:rFonts w:ascii="Times New Roman" w:hAnsi="Times New Roman"/>
        </w:rPr>
        <w:t xml:space="preserve">u (0,9 % roztok chloridu sodného) počas 5 až 10 minút – predtým je však nevyhnutné skontrolovať, či je ihla v žile dobre zavedená. Uvedená technika znižuje riziko trombózy a extravazácie, ktoré môže viesť k závažnej celulitíde, tvorbe pľuzgierov a nekróze tkanív. </w:t>
      </w:r>
      <w:r w:rsidR="00385CC4" w:rsidRPr="006D6615">
        <w:rPr>
          <w:rFonts w:ascii="Times New Roman" w:hAnsi="Times New Roman"/>
        </w:rPr>
        <w:t xml:space="preserve">Ak sa injekcia podáva do malých žíl alebo sa opakovane podáva do tej istej žily, môže to spôsobiť venóznu sklerózu. </w:t>
      </w:r>
    </w:p>
    <w:p w14:paraId="254A3ABC" w14:textId="77777777" w:rsidR="00420D4F" w:rsidRPr="006D6615" w:rsidRDefault="00420D4F" w:rsidP="00385CC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BBF60C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Priame injekčné podávanie ako bolus sa neodporúča pre možné riziko </w:t>
      </w:r>
      <w:r w:rsidR="00385CC4" w:rsidRPr="006D6615">
        <w:rPr>
          <w:rFonts w:ascii="Times New Roman" w:hAnsi="Times New Roman"/>
        </w:rPr>
        <w:t>extravazácie</w:t>
      </w:r>
      <w:r w:rsidRPr="006D6615">
        <w:rPr>
          <w:rFonts w:ascii="Times New Roman" w:hAnsi="Times New Roman"/>
        </w:rPr>
        <w:t>, ku</w:t>
      </w:r>
      <w:r w:rsidR="00385CC4" w:rsidRPr="006D6615">
        <w:rPr>
          <w:rFonts w:ascii="Times New Roman" w:hAnsi="Times New Roman"/>
        </w:rPr>
        <w:t> </w:t>
      </w:r>
      <w:r w:rsidRPr="006D6615">
        <w:rPr>
          <w:rFonts w:ascii="Times New Roman" w:hAnsi="Times New Roman"/>
        </w:rPr>
        <w:t>kto</w:t>
      </w:r>
      <w:r w:rsidR="00385CC4" w:rsidRPr="006D6615">
        <w:rPr>
          <w:rFonts w:ascii="Times New Roman" w:hAnsi="Times New Roman"/>
        </w:rPr>
        <w:t>rej</w:t>
      </w:r>
      <w:r w:rsidRPr="006D6615">
        <w:rPr>
          <w:rFonts w:ascii="Times New Roman" w:hAnsi="Times New Roman"/>
        </w:rPr>
        <w:t xml:space="preserve"> môže dôjsť aj pri dostatočnom návrate krvi do ihly pri aspirácii.</w:t>
      </w:r>
    </w:p>
    <w:p w14:paraId="64DAE33A" w14:textId="77777777" w:rsidR="006E3C75" w:rsidRPr="006D6615" w:rsidRDefault="006E3C75" w:rsidP="00E10A86">
      <w:pPr>
        <w:tabs>
          <w:tab w:val="left" w:pos="567"/>
        </w:tabs>
        <w:spacing w:after="0" w:line="240" w:lineRule="auto"/>
        <w:rPr>
          <w:rStyle w:val="hps"/>
          <w:rFonts w:ascii="Times New Roman" w:hAnsi="Times New Roman"/>
          <w:highlight w:val="yellow"/>
        </w:rPr>
      </w:pPr>
    </w:p>
    <w:p w14:paraId="3C4C231A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4.3</w:t>
      </w:r>
      <w:r w:rsidRPr="006D6615">
        <w:rPr>
          <w:rFonts w:ascii="Times New Roman" w:hAnsi="Times New Roman"/>
          <w:b/>
        </w:rPr>
        <w:tab/>
        <w:t>Kontraindikácie</w:t>
      </w:r>
    </w:p>
    <w:p w14:paraId="4FEB8006" w14:textId="77777777" w:rsidR="009C0AFB" w:rsidRPr="006D6615" w:rsidRDefault="009C0AFB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9B4F62" w14:textId="77777777" w:rsidR="00385CC4" w:rsidRPr="006D6615" w:rsidRDefault="00385CC4" w:rsidP="003E4C7C">
      <w:pPr>
        <w:numPr>
          <w:ilvl w:val="0"/>
          <w:numId w:val="7"/>
        </w:numPr>
        <w:tabs>
          <w:tab w:val="clear" w:pos="1440"/>
          <w:tab w:val="left" w:pos="567"/>
          <w:tab w:val="left" w:pos="993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Precitlivenosť na liečivo, iné antracyklíny alebo antracéndióny alebo na ktorúkoľvek z pomocných látok</w:t>
      </w:r>
      <w:r w:rsidRPr="006D6615">
        <w:rPr>
          <w:rFonts w:ascii="Times New Roman" w:eastAsia="TimesNewRoman" w:hAnsi="Times New Roman"/>
        </w:rPr>
        <w:t xml:space="preserve"> uvedených v časti 6.1.</w:t>
      </w:r>
    </w:p>
    <w:p w14:paraId="194116FB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Závažná </w:t>
      </w:r>
      <w:r w:rsidR="009C0AFB" w:rsidRPr="006D6615">
        <w:rPr>
          <w:rFonts w:ascii="Times New Roman" w:hAnsi="Times New Roman"/>
        </w:rPr>
        <w:t>porucha funkcie</w:t>
      </w:r>
      <w:r w:rsidR="002E6DFF" w:rsidRPr="006D6615">
        <w:rPr>
          <w:rFonts w:ascii="Times New Roman" w:hAnsi="Times New Roman"/>
        </w:rPr>
        <w:t xml:space="preserve"> pečene</w:t>
      </w:r>
      <w:r w:rsidRPr="006D6615">
        <w:rPr>
          <w:rFonts w:ascii="Times New Roman" w:hAnsi="Times New Roman"/>
        </w:rPr>
        <w:t>.</w:t>
      </w:r>
    </w:p>
    <w:p w14:paraId="711B4D62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Z</w:t>
      </w:r>
      <w:r w:rsidR="009C0AFB" w:rsidRPr="006D6615">
        <w:rPr>
          <w:rFonts w:ascii="Times New Roman" w:hAnsi="Times New Roman"/>
        </w:rPr>
        <w:t>ávažná porucha funkcie</w:t>
      </w:r>
      <w:r w:rsidR="002E6DFF" w:rsidRPr="006D6615">
        <w:rPr>
          <w:rFonts w:ascii="Times New Roman" w:hAnsi="Times New Roman"/>
        </w:rPr>
        <w:t xml:space="preserve"> obličiek</w:t>
      </w:r>
      <w:r w:rsidRPr="006D6615">
        <w:rPr>
          <w:rFonts w:ascii="Times New Roman" w:hAnsi="Times New Roman"/>
        </w:rPr>
        <w:t>.</w:t>
      </w:r>
    </w:p>
    <w:p w14:paraId="3F749D44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Z</w:t>
      </w:r>
      <w:r w:rsidR="002E6DFF" w:rsidRPr="006D6615">
        <w:rPr>
          <w:rFonts w:ascii="Times New Roman" w:hAnsi="Times New Roman"/>
        </w:rPr>
        <w:t>ávažn</w:t>
      </w:r>
      <w:r w:rsidR="009B7D20" w:rsidRPr="006D6615">
        <w:rPr>
          <w:rFonts w:ascii="Times New Roman" w:hAnsi="Times New Roman"/>
        </w:rPr>
        <w:t>á kardiomyopatia</w:t>
      </w:r>
      <w:r w:rsidRPr="006D6615">
        <w:rPr>
          <w:rFonts w:ascii="Times New Roman" w:hAnsi="Times New Roman"/>
        </w:rPr>
        <w:t>.</w:t>
      </w:r>
    </w:p>
    <w:p w14:paraId="77C20C7F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N</w:t>
      </w:r>
      <w:r w:rsidR="002E6DFF" w:rsidRPr="006D6615">
        <w:rPr>
          <w:rFonts w:ascii="Times New Roman" w:hAnsi="Times New Roman"/>
        </w:rPr>
        <w:t>edávno prekonaný infarkt myokardu</w:t>
      </w:r>
      <w:r w:rsidRPr="006D6615">
        <w:rPr>
          <w:rFonts w:ascii="Times New Roman" w:hAnsi="Times New Roman"/>
        </w:rPr>
        <w:t>.</w:t>
      </w:r>
    </w:p>
    <w:p w14:paraId="6A665953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Z</w:t>
      </w:r>
      <w:r w:rsidR="002E6DFF" w:rsidRPr="006D6615">
        <w:rPr>
          <w:rFonts w:ascii="Times New Roman" w:hAnsi="Times New Roman"/>
        </w:rPr>
        <w:t>ávažné srdcové arytmie</w:t>
      </w:r>
      <w:r w:rsidRPr="006D6615">
        <w:rPr>
          <w:rFonts w:ascii="Times New Roman" w:hAnsi="Times New Roman"/>
        </w:rPr>
        <w:t>.</w:t>
      </w:r>
    </w:p>
    <w:p w14:paraId="737DA249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</w:t>
      </w:r>
      <w:r w:rsidR="002E6DFF" w:rsidRPr="006D6615">
        <w:rPr>
          <w:rFonts w:ascii="Times New Roman" w:hAnsi="Times New Roman"/>
        </w:rPr>
        <w:t>retrvávajúca myelosupresia</w:t>
      </w:r>
      <w:r w:rsidRPr="006D6615">
        <w:rPr>
          <w:rFonts w:ascii="Times New Roman" w:hAnsi="Times New Roman"/>
        </w:rPr>
        <w:t>.</w:t>
      </w:r>
    </w:p>
    <w:p w14:paraId="35C7C242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autoSpaceDE w:val="0"/>
        <w:spacing w:after="0" w:line="240" w:lineRule="auto"/>
        <w:ind w:left="567" w:hanging="567"/>
        <w:rPr>
          <w:rFonts w:ascii="Times New Roman" w:hAnsi="Times New Roman"/>
        </w:rPr>
      </w:pPr>
      <w:r w:rsidRPr="006D6615">
        <w:rPr>
          <w:rFonts w:ascii="Times New Roman" w:hAnsi="Times New Roman"/>
        </w:rPr>
        <w:lastRenderedPageBreak/>
        <w:t>P</w:t>
      </w:r>
      <w:r w:rsidR="002E6DFF" w:rsidRPr="006D6615">
        <w:rPr>
          <w:rFonts w:ascii="Times New Roman" w:hAnsi="Times New Roman"/>
        </w:rPr>
        <w:t>redchádzajúca liečba s maximálnymi kumulatívnymi dávkami idarubicín</w:t>
      </w:r>
      <w:r w:rsidR="00F10DCF" w:rsidRPr="006D661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chloridu</w:t>
      </w:r>
      <w:r w:rsidR="002E6DFF" w:rsidRPr="006B3987">
        <w:rPr>
          <w:rFonts w:ascii="Times New Roman" w:hAnsi="Times New Roman"/>
        </w:rPr>
        <w:t xml:space="preserve"> a/alebo iný</w:t>
      </w:r>
      <w:r w:rsidR="00385CC4" w:rsidRPr="004935D2">
        <w:rPr>
          <w:rFonts w:ascii="Times New Roman" w:hAnsi="Times New Roman"/>
        </w:rPr>
        <w:t>ch</w:t>
      </w:r>
      <w:r w:rsidR="002E6DFF" w:rsidRPr="004935D2">
        <w:rPr>
          <w:rFonts w:ascii="Times New Roman" w:hAnsi="Times New Roman"/>
        </w:rPr>
        <w:t xml:space="preserve"> antracyklín</w:t>
      </w:r>
      <w:r w:rsidR="00385CC4" w:rsidRPr="004935D2">
        <w:rPr>
          <w:rFonts w:ascii="Times New Roman" w:hAnsi="Times New Roman"/>
        </w:rPr>
        <w:t>ov</w:t>
      </w:r>
      <w:r w:rsidR="002E6DFF" w:rsidRPr="004935D2">
        <w:rPr>
          <w:rFonts w:ascii="Times New Roman" w:hAnsi="Times New Roman"/>
        </w:rPr>
        <w:t xml:space="preserve"> a antracéndión</w:t>
      </w:r>
      <w:r w:rsidR="00385CC4" w:rsidRPr="004935D2">
        <w:rPr>
          <w:rFonts w:ascii="Times New Roman" w:hAnsi="Times New Roman"/>
        </w:rPr>
        <w:t>o</w:t>
      </w:r>
      <w:r w:rsidR="00385CC4" w:rsidRPr="00E37901">
        <w:rPr>
          <w:rFonts w:ascii="Times New Roman" w:hAnsi="Times New Roman"/>
        </w:rPr>
        <w:t>v</w:t>
      </w:r>
      <w:r w:rsidR="002E6DFF" w:rsidRPr="00E37901">
        <w:rPr>
          <w:rFonts w:ascii="Times New Roman" w:hAnsi="Times New Roman"/>
        </w:rPr>
        <w:t xml:space="preserve"> (pozri časť 4.4)</w:t>
      </w:r>
      <w:r w:rsidRPr="00E37901">
        <w:rPr>
          <w:rFonts w:ascii="Times New Roman" w:hAnsi="Times New Roman"/>
        </w:rPr>
        <w:t>.</w:t>
      </w:r>
    </w:p>
    <w:p w14:paraId="4B741BA4" w14:textId="77777777" w:rsidR="00E77558" w:rsidRPr="006D6615" w:rsidRDefault="005F6685" w:rsidP="00E10A86">
      <w:pPr>
        <w:numPr>
          <w:ilvl w:val="0"/>
          <w:numId w:val="7"/>
        </w:numPr>
        <w:tabs>
          <w:tab w:val="left" w:pos="567"/>
          <w:tab w:val="left" w:pos="987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</w:t>
      </w:r>
      <w:r w:rsidR="002E6DFF" w:rsidRPr="006D6615">
        <w:rPr>
          <w:rFonts w:ascii="Times New Roman" w:hAnsi="Times New Roman"/>
        </w:rPr>
        <w:t xml:space="preserve">očas liečby </w:t>
      </w:r>
      <w:r w:rsidR="002E6DFF" w:rsidRPr="006D6615">
        <w:rPr>
          <w:rStyle w:val="hps"/>
          <w:rFonts w:ascii="Times New Roman" w:hAnsi="Times New Roman"/>
        </w:rPr>
        <w:t xml:space="preserve">je potrebné ukončiť </w:t>
      </w:r>
      <w:r w:rsidR="002E6DFF" w:rsidRPr="006D6615">
        <w:rPr>
          <w:rFonts w:ascii="Times New Roman" w:hAnsi="Times New Roman"/>
        </w:rPr>
        <w:t>dojčenie (pozri časť 4.6)</w:t>
      </w:r>
      <w:r w:rsidRPr="006D6615">
        <w:rPr>
          <w:rFonts w:ascii="Times New Roman" w:hAnsi="Times New Roman"/>
        </w:rPr>
        <w:t>.</w:t>
      </w:r>
    </w:p>
    <w:p w14:paraId="40554F39" w14:textId="77777777" w:rsidR="00210233" w:rsidRPr="006D6615" w:rsidRDefault="00210233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3CD2616" w14:textId="77777777" w:rsidR="008C09A3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</w:rPr>
        <w:t>4.4</w:t>
      </w:r>
      <w:r w:rsidRPr="006D6615">
        <w:rPr>
          <w:rFonts w:ascii="Times New Roman" w:hAnsi="Times New Roman"/>
          <w:b/>
        </w:rPr>
        <w:tab/>
      </w:r>
      <w:r w:rsidRPr="006D6615">
        <w:rPr>
          <w:rFonts w:ascii="Times New Roman" w:hAnsi="Times New Roman"/>
          <w:b/>
          <w:bCs/>
        </w:rPr>
        <w:t xml:space="preserve">Osobitné </w:t>
      </w:r>
      <w:r w:rsidRPr="006D6615">
        <w:rPr>
          <w:rFonts w:ascii="Times New Roman" w:hAnsi="Times New Roman"/>
          <w:b/>
        </w:rPr>
        <w:t xml:space="preserve">upozornenia </w:t>
      </w:r>
      <w:r w:rsidRPr="006D6615">
        <w:rPr>
          <w:rFonts w:ascii="Times New Roman" w:hAnsi="Times New Roman"/>
          <w:b/>
          <w:bCs/>
        </w:rPr>
        <w:t>a opatrenia pri používaní</w:t>
      </w:r>
    </w:p>
    <w:p w14:paraId="103ACE72" w14:textId="77777777" w:rsidR="005F6685" w:rsidRPr="006D6615" w:rsidRDefault="005F6685" w:rsidP="00E10A86">
      <w:pPr>
        <w:spacing w:after="0" w:line="240" w:lineRule="auto"/>
        <w:rPr>
          <w:rFonts w:ascii="Times New Roman" w:hAnsi="Times New Roman"/>
          <w:position w:val="6"/>
          <w:u w:val="single"/>
        </w:rPr>
      </w:pPr>
    </w:p>
    <w:p w14:paraId="3B0EA496" w14:textId="77777777" w:rsidR="002E6DFF" w:rsidRPr="006D6615" w:rsidRDefault="002E6DFF" w:rsidP="00E10A86">
      <w:pPr>
        <w:spacing w:after="0" w:line="240" w:lineRule="auto"/>
        <w:rPr>
          <w:rFonts w:ascii="Times New Roman" w:hAnsi="Times New Roman"/>
          <w:position w:val="6"/>
          <w:u w:val="single"/>
        </w:rPr>
      </w:pPr>
      <w:r w:rsidRPr="006D6615">
        <w:rPr>
          <w:rFonts w:ascii="Times New Roman" w:hAnsi="Times New Roman"/>
          <w:position w:val="6"/>
          <w:u w:val="single"/>
        </w:rPr>
        <w:t>Všeobecne</w:t>
      </w:r>
    </w:p>
    <w:p w14:paraId="3BCCD8AC" w14:textId="77777777" w:rsidR="005F6685" w:rsidRPr="006D6615" w:rsidRDefault="005F6685" w:rsidP="00E10A86">
      <w:pPr>
        <w:spacing w:after="0" w:line="240" w:lineRule="auto"/>
        <w:rPr>
          <w:rFonts w:ascii="Times New Roman" w:hAnsi="Times New Roman"/>
        </w:rPr>
      </w:pPr>
    </w:p>
    <w:p w14:paraId="3CA11195" w14:textId="77777777" w:rsidR="00385CC4" w:rsidRPr="006D6615" w:rsidRDefault="00385CC4" w:rsidP="00385CC4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Idarubicín sa má podávať len pod dohľadom lekára, ktorý má skúsenosti s používaním cytotoxickej chemoterapie. Týmto sa zabezpečí okamžitá a účinná liečba v prípade závažných komplikácií ochorenia a/alebo jeho liečby (krvácanie, závažné život ohrozujúce infekcie).</w:t>
      </w:r>
    </w:p>
    <w:p w14:paraId="0A2C4578" w14:textId="77777777" w:rsidR="00385CC4" w:rsidRPr="004935D2" w:rsidRDefault="00385CC4" w:rsidP="00385CC4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Pred začatím liečby idarubicín</w:t>
      </w:r>
      <w:r w:rsidR="00F10DCF" w:rsidRPr="006D661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chloridom</w:t>
      </w:r>
      <w:r w:rsidRPr="006B3987">
        <w:rPr>
          <w:rFonts w:ascii="Times New Roman" w:hAnsi="Times New Roman"/>
        </w:rPr>
        <w:t xml:space="preserve"> sa pacienti musia zotaviť z akútnych prejavov toxicity predošlej cytotoxickej liečby (stomatit</w:t>
      </w:r>
      <w:r w:rsidRPr="004935D2">
        <w:rPr>
          <w:rFonts w:ascii="Times New Roman" w:hAnsi="Times New Roman"/>
        </w:rPr>
        <w:t>ída, neutropénia, trombocytopénia a generalizované infekcie).</w:t>
      </w:r>
    </w:p>
    <w:p w14:paraId="5F71B2E1" w14:textId="77777777" w:rsidR="005F6685" w:rsidRPr="004935D2" w:rsidRDefault="005F6685" w:rsidP="00E10A86">
      <w:pPr>
        <w:spacing w:after="0" w:line="240" w:lineRule="auto"/>
        <w:rPr>
          <w:rFonts w:ascii="Times New Roman" w:hAnsi="Times New Roman"/>
          <w:i/>
          <w:u w:val="single"/>
        </w:rPr>
      </w:pPr>
    </w:p>
    <w:p w14:paraId="27E85AF9" w14:textId="77777777" w:rsidR="005F6685" w:rsidRPr="00E37901" w:rsidRDefault="002E6DFF" w:rsidP="00E10A86">
      <w:pPr>
        <w:spacing w:after="0" w:line="240" w:lineRule="auto"/>
        <w:rPr>
          <w:rFonts w:ascii="Times New Roman" w:hAnsi="Times New Roman"/>
          <w:u w:val="single"/>
        </w:rPr>
      </w:pPr>
      <w:r w:rsidRPr="00E37901">
        <w:rPr>
          <w:rFonts w:ascii="Times New Roman" w:hAnsi="Times New Roman"/>
          <w:u w:val="single"/>
        </w:rPr>
        <w:t>Funkcia srdca</w:t>
      </w:r>
    </w:p>
    <w:p w14:paraId="17F6D841" w14:textId="77777777" w:rsidR="00FE06A0" w:rsidRPr="006D6615" w:rsidRDefault="00FE06A0" w:rsidP="00E10A86">
      <w:pPr>
        <w:spacing w:after="0" w:line="240" w:lineRule="auto"/>
        <w:rPr>
          <w:rFonts w:ascii="Times New Roman" w:hAnsi="Times New Roman"/>
        </w:rPr>
      </w:pPr>
    </w:p>
    <w:p w14:paraId="73D2E843" w14:textId="77777777" w:rsidR="00E77558" w:rsidRPr="006D6615" w:rsidRDefault="00385CC4" w:rsidP="00E10A86">
      <w:pPr>
        <w:spacing w:after="0" w:line="240" w:lineRule="auto"/>
        <w:rPr>
          <w:rFonts w:ascii="Times New Roman" w:hAnsi="Times New Roman"/>
          <w:i/>
          <w:iCs/>
        </w:rPr>
      </w:pPr>
      <w:r w:rsidRPr="006D6615">
        <w:rPr>
          <w:rFonts w:ascii="Times New Roman" w:hAnsi="Times New Roman"/>
        </w:rPr>
        <w:t>Rizikom liečby antracyklínmi je kardiotoxicita, ktorá sa môže prejaviť včasnými (t. j. akútnymi) alebo oneskorenými (t. j. chronickými) prejavmi.</w:t>
      </w:r>
    </w:p>
    <w:p w14:paraId="7D254A72" w14:textId="77777777" w:rsidR="008C09A3" w:rsidRPr="006D6615" w:rsidRDefault="008C09A3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  <w:u w:val="single"/>
        </w:rPr>
      </w:pPr>
    </w:p>
    <w:p w14:paraId="1AA5FE36" w14:textId="77777777" w:rsidR="005F6685" w:rsidRPr="006D6615" w:rsidRDefault="002E6DFF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6D6615">
        <w:rPr>
          <w:rFonts w:ascii="Times New Roman" w:hAnsi="Times New Roman"/>
          <w:iCs/>
          <w:u w:val="single"/>
        </w:rPr>
        <w:t>Včasné (t.j. akútne) prejavy kardiotoxicity</w:t>
      </w:r>
    </w:p>
    <w:p w14:paraId="6D162EC3" w14:textId="77777777" w:rsidR="00FE06A0" w:rsidRPr="006D6615" w:rsidRDefault="00FE06A0" w:rsidP="00E10A86">
      <w:pPr>
        <w:tabs>
          <w:tab w:val="left" w:pos="0"/>
        </w:tabs>
        <w:spacing w:after="0" w:line="240" w:lineRule="auto"/>
        <w:rPr>
          <w:rFonts w:ascii="Times New Roman" w:eastAsia="TimesNewRoman" w:hAnsi="Times New Roman"/>
        </w:rPr>
      </w:pPr>
    </w:p>
    <w:p w14:paraId="070CE42E" w14:textId="77777777" w:rsidR="00E77558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iCs/>
        </w:rPr>
        <w:t xml:space="preserve">Prejavmi </w:t>
      </w:r>
      <w:r w:rsidRPr="006D6615">
        <w:rPr>
          <w:rFonts w:ascii="Times New Roman" w:hAnsi="Times New Roman"/>
        </w:rPr>
        <w:t>včasnej kardiotoxicity idarubicínu sú najmä sínusová tachykardia a/alebo abnormality na elektrokardiograme (EKG) ako nešpecifické zmeny ST-segmentu a T-vlny. Hlásené boli tiež tachyarytmie vrátane komorových extrasystol a komorovej tachykardie, bradykardia, ako aj atrio-ventrikulárne a ramienkové blokády. Podľa týchto prejavov sa zvyčajne nedá predvídať rozvoj oneskorenej kardiotoxicity, zriedka sú klinicky významné a zvyčajne nie sú dôvodom pre prerušenie liečby idarubicínom.</w:t>
      </w:r>
    </w:p>
    <w:p w14:paraId="149A7D93" w14:textId="77777777" w:rsidR="008C09A3" w:rsidRPr="006D6615" w:rsidRDefault="008C09A3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  <w:u w:val="single"/>
        </w:rPr>
      </w:pPr>
    </w:p>
    <w:p w14:paraId="05D0211C" w14:textId="77777777" w:rsidR="005F6685" w:rsidRPr="006D6615" w:rsidRDefault="002E6DFF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6D6615">
        <w:rPr>
          <w:rFonts w:ascii="Times New Roman" w:hAnsi="Times New Roman"/>
          <w:iCs/>
          <w:u w:val="single"/>
        </w:rPr>
        <w:t>Oneskorené (t.j. chronické) prejavy kardiotoxicity</w:t>
      </w:r>
    </w:p>
    <w:p w14:paraId="1C92E533" w14:textId="77777777" w:rsidR="00FE06A0" w:rsidRPr="006D6615" w:rsidRDefault="00FE06A0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u w:val="single"/>
        </w:rPr>
      </w:pPr>
    </w:p>
    <w:p w14:paraId="4A6F8794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Oneskorená kardiotoxicita sa zvyčajne rozvinie neskôr počas liečby alebo v priebehu 2 – 3 mesiacov po ukončení liečby; boli však hlásené aj neskoršie prípady – niekoľko mesiacov až rokov po ukončení liečby. Oneskorená kardiomyopatia sa prejavuje znížením ejekčnej frakcie ľavej komory (left ventricular ejection fraction, LVEF) a/alebo prejavmi a príznakmi kongestívneho zlyhávania srdca, ako napr. dýchavica, pľúcny edém, posturálny edém, kardiomegália, hepatomegália, oligúria, ascites, pleurálny výpotok a galopový rytmus. Boli hlásené aj subakútne prejavy ako perikarditída/myokarditída. Najzávažnejšou formou antracyklínmi indukovanej kardiomyopatie je život ohrozujúce kongestívne zlyhávanie srdca, ktoré predstavuje toxicitu limitujúcu kumulatívnu dávku lieku.</w:t>
      </w:r>
    </w:p>
    <w:p w14:paraId="33B11F7E" w14:textId="77777777" w:rsidR="00630F2E" w:rsidRPr="006D6615" w:rsidRDefault="00630F2E" w:rsidP="00630F2E">
      <w:pPr>
        <w:autoSpaceDE w:val="0"/>
        <w:spacing w:after="0" w:line="240" w:lineRule="auto"/>
        <w:rPr>
          <w:rFonts w:ascii="Times New Roman" w:hAnsi="Times New Roman"/>
        </w:rPr>
      </w:pPr>
    </w:p>
    <w:p w14:paraId="2D11FFBD" w14:textId="77777777" w:rsidR="00630F2E" w:rsidRPr="004935D2" w:rsidRDefault="00630F2E" w:rsidP="00630F2E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Limity kumulatívnej dávky pre i.v. alebo perorálnu formu idarubicín</w:t>
      </w:r>
      <w:r w:rsidR="00F10DCF" w:rsidRPr="006D661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chloridu</w:t>
      </w:r>
      <w:r w:rsidRPr="006B3987">
        <w:rPr>
          <w:rFonts w:ascii="Times New Roman" w:hAnsi="Times New Roman"/>
        </w:rPr>
        <w:t xml:space="preserve"> sa nestanovili. Kardiomyopatia súvisiaca s idarubicínom bola však hlásená u 5 % pacientov, ktorí dostali intravenózne kumulat</w:t>
      </w:r>
      <w:r w:rsidRPr="004935D2">
        <w:rPr>
          <w:rFonts w:ascii="Times New Roman" w:hAnsi="Times New Roman"/>
        </w:rPr>
        <w:t>ívne dávky od 150 do 290 mg/m</w:t>
      </w:r>
      <w:r w:rsidRPr="004935D2">
        <w:rPr>
          <w:rFonts w:ascii="Times New Roman" w:hAnsi="Times New Roman"/>
          <w:vertAlign w:val="superscript"/>
        </w:rPr>
        <w:t>2</w:t>
      </w:r>
      <w:r w:rsidRPr="004935D2">
        <w:rPr>
          <w:rFonts w:ascii="Times New Roman" w:hAnsi="Times New Roman"/>
        </w:rPr>
        <w:t>. Dostupné údaje o pacientoch liečených perorálnou formou idarubicín</w:t>
      </w:r>
      <w:r w:rsidR="00F10DCF" w:rsidRPr="004935D2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chloridu</w:t>
      </w:r>
      <w:r w:rsidRPr="006B3987">
        <w:rPr>
          <w:rFonts w:ascii="Times New Roman" w:hAnsi="Times New Roman"/>
        </w:rPr>
        <w:t>, s celkovou kumulatívnou dávkou až do 400 mg/m</w:t>
      </w:r>
      <w:r w:rsidRPr="004935D2">
        <w:rPr>
          <w:rFonts w:ascii="Times New Roman" w:hAnsi="Times New Roman"/>
          <w:vertAlign w:val="superscript"/>
        </w:rPr>
        <w:t>2</w:t>
      </w:r>
      <w:r w:rsidRPr="004935D2">
        <w:rPr>
          <w:rFonts w:ascii="Times New Roman" w:hAnsi="Times New Roman"/>
        </w:rPr>
        <w:t>, naznačujú nízku pravdepodobnosť kardiotoxicity.</w:t>
      </w:r>
    </w:p>
    <w:p w14:paraId="268CBCC5" w14:textId="77777777" w:rsidR="00630F2E" w:rsidRPr="00E37901" w:rsidRDefault="00630F2E" w:rsidP="00630F2E">
      <w:pPr>
        <w:autoSpaceDE w:val="0"/>
        <w:spacing w:after="0" w:line="240" w:lineRule="auto"/>
        <w:rPr>
          <w:rFonts w:ascii="Times New Roman" w:eastAsia="MS Mincho" w:hAnsi="Times New Roman"/>
        </w:rPr>
      </w:pPr>
    </w:p>
    <w:p w14:paraId="00329382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E37901">
        <w:rPr>
          <w:rFonts w:ascii="Times New Roman" w:hAnsi="Times New Roman"/>
        </w:rPr>
        <w:t>Pred začiatkom liečby idarubicínom je potrebné u pacientov vyšetriť funkciu s</w:t>
      </w:r>
      <w:r w:rsidRPr="006D6615">
        <w:rPr>
          <w:rFonts w:ascii="Times New Roman" w:hAnsi="Times New Roman"/>
        </w:rPr>
        <w:t>rdca a počas liečby ju monitorovať, aby sa minimalizovalo riziko závažnej neliečiteľnej poruchy funkcie srdca. Toto riziko sa môže znížiť pravidelným monitorovaním LVEF počas liečby a okamžitým prerušením podávania idarubicínu pri prvých prejavoch zhoršenej funkcie. Vhodnými kvantitatívnymi metódami na opakované vyšetrenie funkcie srdca (t. j. hodnotenie LVEF) je rádionuklidová ventrikulografia (MUGA scan) alebo echokardiografia (ECHO). U pacientov s rizikovými faktormi zvýšenej kardiotoxicity sa odporúča základné kardiologické vyšetrenie pozostávajúce z EKG a buď ECHO alebo MUGA. Je potrebné opakovane vyšetriť LVEF pomocou MUGA alebo ECHO, najmä pri vyšších kumulatívnych dávkach antracyklínu. Počas celého sledovania sa má používať rovnaká vyšetrovacia metóda.</w:t>
      </w:r>
    </w:p>
    <w:p w14:paraId="2F518FB6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6702F668" w14:textId="77777777" w:rsidR="006A70E0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eastAsia="MS Mincho" w:hAnsi="Times New Roman"/>
        </w:rPr>
        <w:t xml:space="preserve">Rizikovými faktormi </w:t>
      </w:r>
      <w:r w:rsidRPr="006D6615">
        <w:rPr>
          <w:rFonts w:ascii="Times New Roman" w:hAnsi="Times New Roman"/>
        </w:rPr>
        <w:t xml:space="preserve">kardiotoxicity sú aktívne alebo latentné kardiovaskulárne ochorenie, predchádzajúca alebo súbežná rádioterapia v oblasti mediastína, resp. perikardiálnej oblasti, predchádzajúca liečba inými antracyklínmi alebo antracéndiónmi a súbežné používanie liekov, ktoré sú schopné potláčať kontraktilitu srdca alebo súbežné používanie kardiotoxických liečiv (napr. trastuzumab). Antracyklíny vrátane idarubicínu sa nemajú podávať v kombinácii s inými kardiotoxickými látkami, pokiaľ sa u pacienta dôsledne nesleduje funkcia srdca (pozri časť 4.5). Pacienti liečení antracyklínmi po skončení liečby inými kardiotoxickými látkami, predovšetkým liečivami s dlhým polčasom, ako napríklad trastuzumab, môžu byť tiež vystavení zvýšenému riziku rozvoja kardiotoxicity. Hlásený biologický polčas trastuzumabu je </w:t>
      </w:r>
      <w:r w:rsidR="00CD6779" w:rsidRPr="006D6615">
        <w:rPr>
          <w:rFonts w:ascii="Times New Roman" w:hAnsi="Times New Roman"/>
        </w:rPr>
        <w:t xml:space="preserve">variabilný. </w:t>
      </w:r>
      <w:r w:rsidR="006A70E0" w:rsidRPr="006D6615">
        <w:rPr>
          <w:rFonts w:ascii="Times New Roman" w:hAnsi="Times New Roman"/>
        </w:rPr>
        <w:t>Liečivo</w:t>
      </w:r>
      <w:r w:rsidR="00CD6779" w:rsidRPr="006D6615">
        <w:rPr>
          <w:rFonts w:ascii="Times New Roman" w:hAnsi="Times New Roman"/>
        </w:rPr>
        <w:t xml:space="preserve"> </w:t>
      </w:r>
      <w:r w:rsidRPr="006D6615">
        <w:rPr>
          <w:rFonts w:ascii="Times New Roman" w:hAnsi="Times New Roman"/>
        </w:rPr>
        <w:t xml:space="preserve">môže pretrvávať v obehu </w:t>
      </w:r>
      <w:r w:rsidR="00CD6779" w:rsidRPr="006D6615">
        <w:rPr>
          <w:rFonts w:ascii="Times New Roman" w:hAnsi="Times New Roman"/>
        </w:rPr>
        <w:t>po dobu 7 mesiacov</w:t>
      </w:r>
      <w:r w:rsidRPr="006D6615">
        <w:rPr>
          <w:rFonts w:ascii="Times New Roman" w:hAnsi="Times New Roman"/>
        </w:rPr>
        <w:t xml:space="preserve">. Preto sa majú lekári, ak je to možné, vyhýbať liečbe </w:t>
      </w:r>
      <w:r w:rsidR="006A70E0" w:rsidRPr="006D6615">
        <w:rPr>
          <w:rFonts w:ascii="Times New Roman" w:hAnsi="Times New Roman"/>
        </w:rPr>
        <w:t xml:space="preserve">na báze </w:t>
      </w:r>
      <w:r w:rsidRPr="006D6615">
        <w:rPr>
          <w:rFonts w:ascii="Times New Roman" w:hAnsi="Times New Roman"/>
        </w:rPr>
        <w:t>antracyklín</w:t>
      </w:r>
      <w:r w:rsidR="006A70E0" w:rsidRPr="006D6615">
        <w:rPr>
          <w:rFonts w:ascii="Times New Roman" w:hAnsi="Times New Roman"/>
        </w:rPr>
        <w:t>ov</w:t>
      </w:r>
      <w:r w:rsidRPr="006D6615">
        <w:rPr>
          <w:rFonts w:ascii="Times New Roman" w:hAnsi="Times New Roman"/>
        </w:rPr>
        <w:t xml:space="preserve"> </w:t>
      </w:r>
      <w:r w:rsidR="00CD6779" w:rsidRPr="006D6615">
        <w:rPr>
          <w:rFonts w:ascii="Times New Roman" w:hAnsi="Times New Roman"/>
        </w:rPr>
        <w:t>po dobu 7 mesiacov</w:t>
      </w:r>
      <w:r w:rsidRPr="006D6615">
        <w:rPr>
          <w:rFonts w:ascii="Times New Roman" w:hAnsi="Times New Roman"/>
        </w:rPr>
        <w:t xml:space="preserve"> </w:t>
      </w:r>
      <w:r w:rsidR="00CD6779" w:rsidRPr="006D6615">
        <w:rPr>
          <w:rFonts w:ascii="Times New Roman" w:hAnsi="Times New Roman"/>
        </w:rPr>
        <w:t>od</w:t>
      </w:r>
      <w:r w:rsidRPr="006D6615">
        <w:rPr>
          <w:rFonts w:ascii="Times New Roman" w:hAnsi="Times New Roman"/>
        </w:rPr>
        <w:t> </w:t>
      </w:r>
      <w:r w:rsidR="00CD6779" w:rsidRPr="006D6615">
        <w:rPr>
          <w:rFonts w:ascii="Times New Roman" w:hAnsi="Times New Roman"/>
        </w:rPr>
        <w:t>u</w:t>
      </w:r>
      <w:r w:rsidRPr="006D6615">
        <w:rPr>
          <w:rFonts w:ascii="Times New Roman" w:hAnsi="Times New Roman"/>
        </w:rPr>
        <w:t>končen</w:t>
      </w:r>
      <w:r w:rsidR="00CD6779" w:rsidRPr="006D6615">
        <w:rPr>
          <w:rFonts w:ascii="Times New Roman" w:hAnsi="Times New Roman"/>
        </w:rPr>
        <w:t>ia</w:t>
      </w:r>
      <w:r w:rsidRPr="006D6615">
        <w:rPr>
          <w:rFonts w:ascii="Times New Roman" w:hAnsi="Times New Roman"/>
        </w:rPr>
        <w:t xml:space="preserve"> liečby trastuzumabom. </w:t>
      </w:r>
      <w:r w:rsidR="006A70E0" w:rsidRPr="006D6615">
        <w:rPr>
          <w:rFonts w:ascii="Times New Roman" w:hAnsi="Times New Roman"/>
        </w:rPr>
        <w:t>Ak to nie je možné, u pacienta sa má starostlivo monitorovať funkcia srdca.</w:t>
      </w:r>
    </w:p>
    <w:p w14:paraId="77B3F255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4D649F10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U pacientov, ktorí dostávajú vysoké kumulatívne dávky a u pacientov s rizikovými faktormi sa musí funkcia srdca monitorovať obzvlášť dôkladne. Kardiotoxicita idarubicínu sa však môže vyskytnúť aj pri nižších kumulatívnych dávkach, bez ohľadu na prítomnosť kardiálnych rizikových faktorov.</w:t>
      </w:r>
    </w:p>
    <w:p w14:paraId="28371024" w14:textId="77777777" w:rsidR="00845C42" w:rsidRPr="006D6615" w:rsidRDefault="00845C42" w:rsidP="00630F2E">
      <w:pPr>
        <w:tabs>
          <w:tab w:val="left" w:pos="0"/>
        </w:tabs>
        <w:spacing w:after="0" w:line="240" w:lineRule="auto"/>
        <w:rPr>
          <w:rFonts w:ascii="Times New Roman" w:eastAsia="MS Mincho" w:hAnsi="Times New Roman"/>
        </w:rPr>
      </w:pPr>
    </w:p>
    <w:p w14:paraId="6372FB0F" w14:textId="77777777" w:rsidR="00630F2E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t>Pediatrická populácia</w:t>
      </w:r>
    </w:p>
    <w:p w14:paraId="4D166150" w14:textId="77777777" w:rsidR="00630F2E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6EA0255B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Zdá sa, že deti a dojčatá sú náchylnejšie na kardiotoxicitu indukovanú antracyklínmi, preto je u nich potrebné dlhodobo a pravidelne sledovať funkciu srdca.</w:t>
      </w:r>
    </w:p>
    <w:p w14:paraId="10C61876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AA518D9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Je pravdepodobné, že toxicita idarubicínu a ostatných antracyklínov alebo antracéndiónov je aditívna.</w:t>
      </w:r>
    </w:p>
    <w:p w14:paraId="4AB6F63A" w14:textId="77777777" w:rsidR="00E77558" w:rsidRPr="006D6615" w:rsidRDefault="00E77558" w:rsidP="00E10A86">
      <w:pPr>
        <w:tabs>
          <w:tab w:val="left" w:pos="0"/>
        </w:tabs>
        <w:spacing w:after="0" w:line="240" w:lineRule="auto"/>
        <w:rPr>
          <w:rFonts w:ascii="Times New Roman" w:eastAsia="MS Mincho" w:hAnsi="Times New Roman"/>
        </w:rPr>
      </w:pPr>
    </w:p>
    <w:p w14:paraId="6810EE27" w14:textId="77777777" w:rsidR="005F6685" w:rsidRPr="006D6615" w:rsidRDefault="002E6DFF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6D6615">
        <w:rPr>
          <w:rFonts w:ascii="Times New Roman" w:hAnsi="Times New Roman"/>
          <w:bCs/>
          <w:iCs/>
          <w:u w:val="single"/>
        </w:rPr>
        <w:t>Hematologická toxicita</w:t>
      </w:r>
    </w:p>
    <w:p w14:paraId="6C8D3B43" w14:textId="77777777" w:rsidR="00FE06A0" w:rsidRPr="006D6615" w:rsidRDefault="00FE06A0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0127652A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Idarubicín je silné myelosupresívum. Závažná myelosupresia sa objavuje u všetkých pacientov pri terapeutických dávkach tohto lieku. </w:t>
      </w:r>
    </w:p>
    <w:p w14:paraId="5F60BE6B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D75F7A0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Pred každým cyklom liečby idarubicínom a počas neho je potrebné vyšetriť hematologické parametre vrátane diferenciálneho počtu bielych krviniek (white blood cells, WBC).</w:t>
      </w:r>
    </w:p>
    <w:p w14:paraId="51A97184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6C74BE3A" w14:textId="77777777" w:rsidR="002E6DFF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Hlavným prejavom hematotoxicity idarubicínu je reverzibilná, od dávky závislá leukopénia a/alebo granulocytopénia (neutropénia), ktorá je aj najčastejšou akútnou toxicitou limitujúcou dávku tohto lieku. Leukopénia a neutropénia sú zvyčajne závažného stupňa; môže sa objaviť aj trombocytopénia a anémia. Počet neutrofilov a trombocytov dosiahne zvyčajne minimum (nadir) medzi 10. a 14. dňom po podaní lieku; zvyčajne sa však počet buniek vráti k normálnym hodnotám počas tretieho týždňa. Počas fázy závažnej myelosupresie sa zaznamenali úmrtia z dôvodu infekcií a/alebo hemorágií. Medzi klinické následky závažnej myelosupresie patrí horúčka, infekcie, sepsa/septikémia, septický šok, hemorágia, tkanivová hypoxia alebo smrť. Ak sa vyskytne febrilná neutropénia, odporúča sa liečba i.v. antibiotikom.</w:t>
      </w:r>
    </w:p>
    <w:p w14:paraId="55B298C7" w14:textId="77777777" w:rsidR="00A724B1" w:rsidRPr="006D6615" w:rsidRDefault="00A724B1" w:rsidP="00E10A86">
      <w:pPr>
        <w:autoSpaceDE w:val="0"/>
        <w:spacing w:after="0" w:line="240" w:lineRule="auto"/>
        <w:rPr>
          <w:rFonts w:ascii="Times New Roman" w:eastAsia="MS Mincho" w:hAnsi="Times New Roman"/>
        </w:rPr>
      </w:pPr>
    </w:p>
    <w:p w14:paraId="3F9BDEBD" w14:textId="77777777" w:rsidR="005F6685" w:rsidRPr="006D6615" w:rsidRDefault="002E6DFF" w:rsidP="00E10A86">
      <w:pPr>
        <w:keepNext/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eastAsia="MS Mincho" w:hAnsi="Times New Roman"/>
          <w:u w:val="single"/>
        </w:rPr>
        <w:t>Sekundárna leuk</w:t>
      </w:r>
      <w:r w:rsidRPr="006D6615">
        <w:rPr>
          <w:rFonts w:ascii="Times New Roman" w:hAnsi="Times New Roman"/>
          <w:u w:val="single"/>
        </w:rPr>
        <w:t>émia</w:t>
      </w:r>
    </w:p>
    <w:p w14:paraId="59BCC755" w14:textId="77777777" w:rsidR="00FE06A0" w:rsidRPr="006D6615" w:rsidRDefault="00FE06A0" w:rsidP="00E10A86">
      <w:pPr>
        <w:keepNext/>
        <w:autoSpaceDE w:val="0"/>
        <w:spacing w:after="0" w:line="240" w:lineRule="auto"/>
        <w:rPr>
          <w:rFonts w:ascii="Times New Roman" w:hAnsi="Times New Roman"/>
        </w:rPr>
      </w:pPr>
    </w:p>
    <w:p w14:paraId="3A37FD71" w14:textId="77777777" w:rsidR="008C09A3" w:rsidRPr="006D6615" w:rsidRDefault="00630F2E" w:rsidP="00E10A86">
      <w:pPr>
        <w:keepNext/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U pacientov liečených antracyklínmi, vrátane idarubicínu, bola hlásená sekundárna leukémia s preleukemickou fázou alebo bez nej. Sekundárna leukémia sa vyskytuje častejšie pri kombinácii s cytostatikami poškodzujúcimi DNA, u pacientov, ktorí sa predtým intenzívne liečili cytotoxickými liekmi, alebo ak sa dávky antracyklínov zvyšovali. Tieto leukémie môžu mať obdobie latencie </w:t>
      </w:r>
      <w:r w:rsidRPr="006D6615">
        <w:rPr>
          <w:rFonts w:ascii="Times New Roman" w:hAnsi="Times New Roman"/>
        </w:rPr>
        <w:br/>
        <w:t>1 – 3 roky.</w:t>
      </w:r>
    </w:p>
    <w:p w14:paraId="1102B1AB" w14:textId="77777777" w:rsidR="00E77558" w:rsidRPr="006D6615" w:rsidRDefault="00E77558" w:rsidP="00E10A86">
      <w:pPr>
        <w:autoSpaceDE w:val="0"/>
        <w:spacing w:after="0" w:line="240" w:lineRule="auto"/>
        <w:rPr>
          <w:rFonts w:ascii="Times New Roman" w:eastAsia="MS Mincho" w:hAnsi="Times New Roman"/>
        </w:rPr>
      </w:pPr>
    </w:p>
    <w:p w14:paraId="2F66A9E4" w14:textId="77777777" w:rsidR="005F6685" w:rsidRPr="006D6615" w:rsidRDefault="002E6DFF" w:rsidP="006D6615">
      <w:pPr>
        <w:keepNext/>
        <w:autoSpaceDE w:val="0"/>
        <w:spacing w:after="0" w:line="240" w:lineRule="auto"/>
        <w:rPr>
          <w:rFonts w:ascii="Times New Roman" w:eastAsia="MS Mincho" w:hAnsi="Times New Roman"/>
          <w:u w:val="single"/>
        </w:rPr>
      </w:pPr>
      <w:r w:rsidRPr="006D6615">
        <w:rPr>
          <w:rFonts w:ascii="Times New Roman" w:eastAsia="MS Mincho" w:hAnsi="Times New Roman"/>
          <w:u w:val="single"/>
        </w:rPr>
        <w:t>Gastrointestinálny trakt</w:t>
      </w:r>
    </w:p>
    <w:p w14:paraId="10904F38" w14:textId="77777777" w:rsidR="00FE06A0" w:rsidRPr="006D6615" w:rsidRDefault="00FE06A0" w:rsidP="006D6615">
      <w:pPr>
        <w:keepNext/>
        <w:autoSpaceDE w:val="0"/>
        <w:spacing w:after="0" w:line="240" w:lineRule="auto"/>
        <w:rPr>
          <w:rFonts w:ascii="Times New Roman" w:eastAsia="MS Mincho" w:hAnsi="Times New Roman"/>
        </w:rPr>
      </w:pPr>
    </w:p>
    <w:p w14:paraId="0B3BE473" w14:textId="77777777" w:rsidR="00630F2E" w:rsidRPr="006D6615" w:rsidRDefault="00630F2E" w:rsidP="00630F2E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eastAsia="MS Mincho" w:hAnsi="Times New Roman"/>
        </w:rPr>
        <w:t xml:space="preserve">Idarubicín je emetogénny. Mukozitída (najmä stomatitída, menej často ezofagitída) sa zvyčajne objaví krátko po podaní lieku, a ak je závažná, </w:t>
      </w:r>
      <w:r w:rsidRPr="006D6615">
        <w:rPr>
          <w:rFonts w:ascii="Times New Roman" w:hAnsi="Times New Roman"/>
        </w:rPr>
        <w:t>môže počas niekoľkých dní progredovať do slizničných ulcerácií. U väčšiny pacientov sa tento nežiaduci účinok upraví do tretieho týždňa liečby.</w:t>
      </w:r>
    </w:p>
    <w:p w14:paraId="13B7BFBC" w14:textId="77777777" w:rsidR="00630F2E" w:rsidRPr="006D6615" w:rsidRDefault="00630F2E" w:rsidP="00630F2E">
      <w:pPr>
        <w:autoSpaceDE w:val="0"/>
        <w:spacing w:after="0" w:line="240" w:lineRule="auto"/>
        <w:rPr>
          <w:rFonts w:ascii="Times New Roman" w:hAnsi="Times New Roman"/>
        </w:rPr>
      </w:pPr>
    </w:p>
    <w:p w14:paraId="0B434C5E" w14:textId="77777777" w:rsidR="00630F2E" w:rsidRPr="006D6615" w:rsidRDefault="00630F2E" w:rsidP="00630F2E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Občas sa pozorovali aj závažné gastrointestinálne stavy (napr. perforácia alebo krvácanie) u pacientov liečených perorálnym idarubicínom, ktorí mali akútnu leukémiu alebo iné ochorenia v anamnéze, alebo ktorí sa liečili liekmi, o ktorých je známe, že môžu spôsobovať gastrointestinálne komplikácie. U pacientov s aktívnym gastrointestinálnym ochorením alebo zvýšeným rizikom krvácania a/alebo perforácie musí lekár zvážiť pomer prínosu a rizika liečby perorálnym idarubicínom.</w:t>
      </w:r>
    </w:p>
    <w:p w14:paraId="2FD5670D" w14:textId="77777777" w:rsidR="00E77558" w:rsidRPr="006D6615" w:rsidRDefault="00E77558" w:rsidP="00630F2E">
      <w:pPr>
        <w:autoSpaceDE w:val="0"/>
        <w:spacing w:after="0" w:line="240" w:lineRule="auto"/>
        <w:rPr>
          <w:rFonts w:ascii="Times New Roman" w:eastAsia="MS Mincho" w:hAnsi="Times New Roman"/>
        </w:rPr>
      </w:pPr>
    </w:p>
    <w:p w14:paraId="28DF1A57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hAnsi="Times New Roman"/>
          <w:bCs/>
          <w:iCs/>
          <w:u w:val="single"/>
        </w:rPr>
        <w:t>Funkcia pečene a/alebo obličiek</w:t>
      </w:r>
    </w:p>
    <w:p w14:paraId="1202536D" w14:textId="77777777" w:rsidR="00FE06A0" w:rsidRPr="006D6615" w:rsidRDefault="00FE06A0" w:rsidP="00630F2E">
      <w:pPr>
        <w:tabs>
          <w:tab w:val="left" w:pos="0"/>
        </w:tabs>
        <w:spacing w:after="0" w:line="240" w:lineRule="auto"/>
        <w:rPr>
          <w:rFonts w:ascii="Times New Roman" w:eastAsia="TimesNewRoman" w:hAnsi="Times New Roman"/>
        </w:rPr>
      </w:pPr>
    </w:p>
    <w:p w14:paraId="7E472B93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Porucha funkcie pečene a/alebo obličiek môže ovplyvniť dostupnosť idarubicínu, preto sa má funkcia pečene a obličiek vyšetriť pred liečbou a sledovať aj počas liečby; použiť sa majú bežné klinické laboratórne testy (stanovenie hladín sérového bilirubínu a sérového kreatinínu ako indikátorov). Vo viacerých klinických skúšaniach fázy III bola liečba kontraindikovaná, ak sérové hladiny bilirubínu a/alebo kreatinínu presiahli 34,2 </w:t>
      </w:r>
      <w:r w:rsidRPr="006D6615">
        <w:rPr>
          <w:rFonts w:ascii="Times New Roman" w:hAnsi="Times New Roman"/>
          <w:color w:val="222222"/>
          <w:lang w:eastAsia="sk-SK"/>
        </w:rPr>
        <w:t>µm</w:t>
      </w:r>
      <w:r w:rsidRPr="006D6615">
        <w:rPr>
          <w:rFonts w:ascii="Times New Roman" w:hAnsi="Times New Roman"/>
        </w:rPr>
        <w:t xml:space="preserve">ol/l (2 mg/dl) resp. 175 </w:t>
      </w:r>
      <w:r w:rsidRPr="006D6615">
        <w:rPr>
          <w:rFonts w:ascii="Times New Roman" w:hAnsi="Times New Roman"/>
          <w:color w:val="222222"/>
          <w:lang w:eastAsia="sk-SK"/>
        </w:rPr>
        <w:t>µm</w:t>
      </w:r>
      <w:r w:rsidRPr="006D6615">
        <w:rPr>
          <w:rFonts w:ascii="Times New Roman" w:hAnsi="Times New Roman"/>
        </w:rPr>
        <w:t>ol/l (1,98 mg/dl). Pri ostatných antracyklínoch sa zvyčajne dávka zníži na 50 %, ak sú hladiny sérového bilirubínu v rozmedzí od 20,52 do 34,2 </w:t>
      </w:r>
      <w:r w:rsidRPr="006D6615">
        <w:rPr>
          <w:rFonts w:ascii="Times New Roman" w:hAnsi="Times New Roman"/>
          <w:color w:val="222222"/>
          <w:lang w:eastAsia="sk-SK"/>
        </w:rPr>
        <w:t>µm</w:t>
      </w:r>
      <w:r w:rsidRPr="006D6615">
        <w:rPr>
          <w:rFonts w:ascii="Times New Roman" w:hAnsi="Times New Roman"/>
        </w:rPr>
        <w:t>ol/l (1,2 do 2 mg/dl) a/alebo hladiny sérového kreatinínu v rozmedzí od 100 do 175 µmol/l (od 1,13 do 1,98 mg/dl) (pozri časť 4.2).</w:t>
      </w:r>
    </w:p>
    <w:p w14:paraId="0B5FA256" w14:textId="77777777" w:rsidR="00E77558" w:rsidRPr="006D6615" w:rsidRDefault="00E77558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6EE38180" w14:textId="77777777" w:rsidR="005F6685" w:rsidRPr="006D6615" w:rsidRDefault="002E6DFF" w:rsidP="00E10A86">
      <w:pPr>
        <w:tabs>
          <w:tab w:val="left" w:pos="0"/>
        </w:tabs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hAnsi="Times New Roman"/>
          <w:u w:val="single"/>
        </w:rPr>
        <w:t>Reakcie v mieste podania injekcie</w:t>
      </w:r>
    </w:p>
    <w:p w14:paraId="28EBF78C" w14:textId="77777777" w:rsidR="00FE06A0" w:rsidRPr="006D6615" w:rsidRDefault="00FE06A0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7F848CFF" w14:textId="77777777" w:rsidR="00E77558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Podanie do malej cievy alebo opakované podanie do tej istej žily môžu spôsobiť flebosklerózu. Dodržiavanie odporúčaní pre spôsob podávania minimalizuje riziko vzniku flebitídy/tromboflebitídy v mieste podania injekcie</w:t>
      </w:r>
      <w:r w:rsidR="002E6DFF" w:rsidRPr="006D6615">
        <w:rPr>
          <w:rFonts w:ascii="Times New Roman" w:hAnsi="Times New Roman"/>
        </w:rPr>
        <w:t>.</w:t>
      </w:r>
    </w:p>
    <w:p w14:paraId="1B221C5C" w14:textId="77777777" w:rsidR="00E77558" w:rsidRPr="006D6615" w:rsidRDefault="00E77558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06A6A382" w14:textId="77777777" w:rsidR="005F6685" w:rsidRPr="006D6615" w:rsidRDefault="002E6DFF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t>Extravazácia</w:t>
      </w:r>
    </w:p>
    <w:p w14:paraId="41DB5A8A" w14:textId="77777777" w:rsidR="00FE06A0" w:rsidRPr="006D6615" w:rsidRDefault="00FE06A0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72D2F56" w14:textId="77777777" w:rsidR="002E6DFF" w:rsidRPr="006D6615" w:rsidRDefault="00630F2E" w:rsidP="00E10A86">
      <w:pPr>
        <w:tabs>
          <w:tab w:val="left" w:pos="0"/>
        </w:tabs>
        <w:spacing w:after="0" w:line="240" w:lineRule="auto"/>
        <w:rPr>
          <w:rFonts w:ascii="Times New Roman" w:eastAsia="MS Mincho" w:hAnsi="Times New Roman"/>
        </w:rPr>
      </w:pPr>
      <w:r w:rsidRPr="006D6615">
        <w:rPr>
          <w:rFonts w:ascii="Times New Roman" w:hAnsi="Times New Roman"/>
        </w:rPr>
        <w:t xml:space="preserve">Extravazácia idarubicínu počas intravenóznej injekcie môže spôsobiť lokálnu bolestivosť, závažné tkanivové lézie (tvorbu pľuzgierov, závažnú celulitídu) a nekrózu. Ak sa počas intravenózneho podávania idarubicínu objavia prejavy a príznaky extravazácie, infúzia sa musí okamžite zastaviť. </w:t>
      </w:r>
      <w:r w:rsidRPr="006D6615">
        <w:rPr>
          <w:rFonts w:ascii="Times New Roman" w:eastAsia="MS Mincho" w:hAnsi="Times New Roman"/>
        </w:rPr>
        <w:t>V prípade extravazácie sa môže použiť dexrazoxán na prevenciu alebo zníženie poškodenia tkaniva</w:t>
      </w:r>
      <w:r w:rsidR="00B97FC9" w:rsidRPr="006D6615">
        <w:rPr>
          <w:rFonts w:ascii="Times New Roman" w:eastAsia="MS Mincho" w:hAnsi="Times New Roman"/>
        </w:rPr>
        <w:t>.</w:t>
      </w:r>
    </w:p>
    <w:p w14:paraId="3B7DA97E" w14:textId="77777777" w:rsidR="008C09A3" w:rsidRPr="006D6615" w:rsidRDefault="008C09A3" w:rsidP="00E10A86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5EDC29E7" w14:textId="77777777" w:rsidR="005F6685" w:rsidRPr="006D6615" w:rsidRDefault="002E6DFF" w:rsidP="00E10A86">
      <w:pPr>
        <w:autoSpaceDE w:val="0"/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eastAsia="MS Mincho" w:hAnsi="Times New Roman"/>
          <w:u w:val="single"/>
        </w:rPr>
        <w:t>Syndróm z rozpadu nádoru</w:t>
      </w:r>
    </w:p>
    <w:p w14:paraId="3F4068AC" w14:textId="77777777" w:rsidR="00FE06A0" w:rsidRPr="006D6615" w:rsidRDefault="00FE06A0" w:rsidP="00E10A86">
      <w:pPr>
        <w:autoSpaceDE w:val="0"/>
        <w:spacing w:after="0" w:line="240" w:lineRule="auto"/>
        <w:rPr>
          <w:rFonts w:ascii="Times New Roman" w:hAnsi="Times New Roman"/>
        </w:rPr>
      </w:pPr>
    </w:p>
    <w:p w14:paraId="24FC5B96" w14:textId="77777777" w:rsidR="00E77558" w:rsidRPr="006D6615" w:rsidRDefault="00630F2E" w:rsidP="00E10A86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Idarubicín môže spôsobiť hyperurikémiu v dôsledku rozsiahleho katabolizmu purínov, ktorý sprevádza rýchly rozpad nádorových buniek indukovaný liekom (syndróm z rozpadu nádoru, tumor lysis syndrome). Po začatí liečby je potrebné vyhodnotiť sérové hladiny kyseliny močovej, draslíka, fosforečnanu vápenatého a kreatinínu. Možné komplikácie syndrómu z rozpadu nádoru možno minimalizovať hydratáciou, alkalizáciou moču a profylaktickým podávaním alopurinolu ako prevencie hyperurikémie</w:t>
      </w:r>
      <w:r w:rsidR="00B97FC9" w:rsidRPr="006D6615">
        <w:rPr>
          <w:rFonts w:ascii="Times New Roman" w:hAnsi="Times New Roman"/>
        </w:rPr>
        <w:t>.</w:t>
      </w:r>
    </w:p>
    <w:p w14:paraId="00525FD0" w14:textId="77777777" w:rsidR="008C09A3" w:rsidRPr="006D6615" w:rsidRDefault="008C09A3" w:rsidP="00E10A86">
      <w:pPr>
        <w:autoSpaceDE w:val="0"/>
        <w:spacing w:after="0" w:line="240" w:lineRule="auto"/>
        <w:rPr>
          <w:rFonts w:ascii="Times New Roman" w:hAnsi="Times New Roman"/>
        </w:rPr>
      </w:pPr>
    </w:p>
    <w:p w14:paraId="73326BA0" w14:textId="77777777" w:rsidR="00630F2E" w:rsidRPr="006D6615" w:rsidRDefault="00630F2E" w:rsidP="00630F2E">
      <w:pPr>
        <w:autoSpaceDE w:val="0"/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eastAsia="MS Mincho" w:hAnsi="Times New Roman"/>
          <w:u w:val="single"/>
        </w:rPr>
        <w:t>Imunosupresívne účinky/zvýšen</w:t>
      </w:r>
      <w:r w:rsidRPr="006D6615">
        <w:rPr>
          <w:rFonts w:ascii="Times New Roman" w:hAnsi="Times New Roman"/>
          <w:u w:val="single"/>
        </w:rPr>
        <w:t>á náchylnosť na infekcie</w:t>
      </w:r>
    </w:p>
    <w:p w14:paraId="7057DAC0" w14:textId="77777777" w:rsidR="00FE06A0" w:rsidRPr="006D6615" w:rsidRDefault="00FE06A0" w:rsidP="00E10A86">
      <w:pPr>
        <w:autoSpaceDE w:val="0"/>
        <w:spacing w:after="0" w:line="240" w:lineRule="auto"/>
        <w:rPr>
          <w:rFonts w:ascii="Times New Roman" w:hAnsi="Times New Roman"/>
        </w:rPr>
      </w:pPr>
    </w:p>
    <w:p w14:paraId="756FE91D" w14:textId="77777777" w:rsidR="00630F2E" w:rsidRPr="006D6615" w:rsidRDefault="00630F2E" w:rsidP="00E10A86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Podanie živých alebo živých atenuovaných </w:t>
      </w:r>
      <w:r w:rsidR="00582080" w:rsidRPr="006D6615">
        <w:rPr>
          <w:rFonts w:ascii="Times New Roman" w:hAnsi="Times New Roman"/>
        </w:rPr>
        <w:t xml:space="preserve">očkovacích látok </w:t>
      </w:r>
      <w:r w:rsidRPr="006D6615">
        <w:rPr>
          <w:rFonts w:ascii="Times New Roman" w:hAnsi="Times New Roman"/>
        </w:rPr>
        <w:t xml:space="preserve">pacientom, ktorí majú imunitný systém oslabený chemoterapiou vrátane idarubicínu, môže spôsobiť závažné až smrteľné infekcie. U pacientov liečených idarubicínom je potrebné vyhnúť sa očkovaniu živými </w:t>
      </w:r>
      <w:r w:rsidR="00582080" w:rsidRPr="006D6615">
        <w:rPr>
          <w:rFonts w:ascii="Times New Roman" w:hAnsi="Times New Roman"/>
        </w:rPr>
        <w:t>očkovacími látkami</w:t>
      </w:r>
      <w:r w:rsidRPr="006D6615">
        <w:rPr>
          <w:rFonts w:ascii="Times New Roman" w:hAnsi="Times New Roman"/>
        </w:rPr>
        <w:t xml:space="preserve">. Neživé alebo inaktivované </w:t>
      </w:r>
      <w:r w:rsidR="00582080" w:rsidRPr="006D6615">
        <w:rPr>
          <w:rFonts w:ascii="Times New Roman" w:hAnsi="Times New Roman"/>
        </w:rPr>
        <w:t xml:space="preserve">očkovacie látky </w:t>
      </w:r>
      <w:r w:rsidRPr="006D6615">
        <w:rPr>
          <w:rFonts w:ascii="Times New Roman" w:hAnsi="Times New Roman"/>
        </w:rPr>
        <w:t xml:space="preserve">sa môžu podať, ale odpoveď na tieto </w:t>
      </w:r>
      <w:r w:rsidR="00582080" w:rsidRPr="006D6615">
        <w:rPr>
          <w:rFonts w:ascii="Times New Roman" w:hAnsi="Times New Roman"/>
        </w:rPr>
        <w:t xml:space="preserve">očkovacie látky </w:t>
      </w:r>
      <w:r w:rsidRPr="006D6615">
        <w:rPr>
          <w:rFonts w:ascii="Times New Roman" w:hAnsi="Times New Roman"/>
        </w:rPr>
        <w:t>môže byť oslabená</w:t>
      </w:r>
      <w:r w:rsidR="00B97FC9" w:rsidRPr="006D6615">
        <w:rPr>
          <w:rFonts w:ascii="Times New Roman" w:hAnsi="Times New Roman"/>
        </w:rPr>
        <w:t>.</w:t>
      </w:r>
    </w:p>
    <w:p w14:paraId="614EF6FE" w14:textId="77777777" w:rsidR="00E77558" w:rsidRPr="006D6615" w:rsidRDefault="00E77558" w:rsidP="00E10A86">
      <w:pPr>
        <w:autoSpaceDE w:val="0"/>
        <w:spacing w:after="0" w:line="240" w:lineRule="auto"/>
        <w:rPr>
          <w:rFonts w:ascii="Times New Roman" w:eastAsia="MS Mincho" w:hAnsi="Times New Roman"/>
        </w:rPr>
      </w:pPr>
    </w:p>
    <w:p w14:paraId="2D66590C" w14:textId="77777777" w:rsidR="005F6685" w:rsidRPr="006D6615" w:rsidRDefault="002E6DFF" w:rsidP="006D6615">
      <w:pPr>
        <w:keepNext/>
        <w:autoSpaceDE w:val="0"/>
        <w:spacing w:after="0" w:line="240" w:lineRule="auto"/>
        <w:rPr>
          <w:rFonts w:ascii="Times New Roman" w:eastAsia="MS Mincho" w:hAnsi="Times New Roman"/>
          <w:u w:val="single"/>
        </w:rPr>
      </w:pPr>
      <w:r w:rsidRPr="006D6615">
        <w:rPr>
          <w:rFonts w:ascii="Times New Roman" w:eastAsia="MS Mincho" w:hAnsi="Times New Roman"/>
          <w:u w:val="single"/>
        </w:rPr>
        <w:t>Reprodukčný systém</w:t>
      </w:r>
    </w:p>
    <w:p w14:paraId="4A72F4FB" w14:textId="77777777" w:rsidR="00FE06A0" w:rsidRPr="006D6615" w:rsidRDefault="00FE06A0" w:rsidP="006D6615">
      <w:pPr>
        <w:keepNext/>
        <w:autoSpaceDE w:val="0"/>
        <w:spacing w:after="0" w:line="240" w:lineRule="auto"/>
        <w:rPr>
          <w:rFonts w:ascii="Times New Roman" w:eastAsia="MS Mincho" w:hAnsi="Times New Roman"/>
        </w:rPr>
      </w:pPr>
    </w:p>
    <w:p w14:paraId="372D0FEF" w14:textId="77777777" w:rsidR="00FE06A0" w:rsidRPr="006D6615" w:rsidRDefault="00FE06A0" w:rsidP="00E10A86">
      <w:pPr>
        <w:autoSpaceDE w:val="0"/>
        <w:spacing w:after="0" w:line="240" w:lineRule="auto"/>
        <w:rPr>
          <w:rFonts w:ascii="Times New Roman" w:hAnsi="Times New Roman"/>
        </w:rPr>
      </w:pPr>
      <w:bookmarkStart w:id="0" w:name="_Hlk88230030"/>
      <w:r w:rsidRPr="006D6615">
        <w:rPr>
          <w:rFonts w:ascii="Times New Roman" w:eastAsia="MS Mincho" w:hAnsi="Times New Roman"/>
        </w:rPr>
        <w:t>Idarubicín môže spôsobiť genotoxici</w:t>
      </w:r>
      <w:r w:rsidR="00E85695" w:rsidRPr="006D6615">
        <w:rPr>
          <w:rFonts w:ascii="Times New Roman" w:eastAsia="MS Mincho" w:hAnsi="Times New Roman"/>
        </w:rPr>
        <w:t>t</w:t>
      </w:r>
      <w:r w:rsidRPr="006D6615">
        <w:rPr>
          <w:rFonts w:ascii="Times New Roman" w:eastAsia="MS Mincho" w:hAnsi="Times New Roman"/>
        </w:rPr>
        <w:t xml:space="preserve">u. Pacientom mužského aj ženského pohlavia </w:t>
      </w:r>
      <w:r w:rsidR="00630F2E" w:rsidRPr="006D6615">
        <w:rPr>
          <w:rFonts w:ascii="Times New Roman" w:eastAsia="MS Mincho" w:hAnsi="Times New Roman"/>
        </w:rPr>
        <w:t>liečen</w:t>
      </w:r>
      <w:r w:rsidRPr="006D6615">
        <w:rPr>
          <w:rFonts w:ascii="Times New Roman" w:eastAsia="MS Mincho" w:hAnsi="Times New Roman"/>
        </w:rPr>
        <w:t>ým</w:t>
      </w:r>
      <w:r w:rsidR="00630F2E" w:rsidRPr="006D6615">
        <w:rPr>
          <w:rFonts w:ascii="Times New Roman" w:eastAsia="MS Mincho" w:hAnsi="Times New Roman"/>
        </w:rPr>
        <w:t xml:space="preserve"> idarubicínium</w:t>
      </w:r>
      <w:r w:rsidR="006B3987">
        <w:rPr>
          <w:rFonts w:ascii="Times New Roman" w:eastAsia="MS Mincho" w:hAnsi="Times New Roman"/>
        </w:rPr>
        <w:t>-</w:t>
      </w:r>
      <w:r w:rsidR="00630F2E" w:rsidRPr="006B3987">
        <w:rPr>
          <w:rFonts w:ascii="Times New Roman" w:eastAsia="MS Mincho" w:hAnsi="Times New Roman"/>
        </w:rPr>
        <w:t>chloridom</w:t>
      </w:r>
      <w:r w:rsidRPr="006B3987">
        <w:rPr>
          <w:rFonts w:ascii="Times New Roman" w:eastAsia="MS Mincho" w:hAnsi="Times New Roman"/>
        </w:rPr>
        <w:t>,</w:t>
      </w:r>
      <w:r w:rsidR="00630F2E" w:rsidRPr="004935D2">
        <w:rPr>
          <w:rFonts w:ascii="Times New Roman" w:eastAsia="MS Mincho" w:hAnsi="Times New Roman"/>
        </w:rPr>
        <w:t xml:space="preserve"> sa </w:t>
      </w:r>
      <w:r w:rsidR="00AA7E27" w:rsidRPr="004935D2">
        <w:rPr>
          <w:rFonts w:ascii="Times New Roman" w:eastAsia="MS Mincho" w:hAnsi="Times New Roman"/>
        </w:rPr>
        <w:t>odporúča</w:t>
      </w:r>
      <w:r w:rsidR="00AA7E27" w:rsidRPr="004935D2">
        <w:rPr>
          <w:rFonts w:ascii="Times New Roman" w:hAnsi="Times New Roman"/>
        </w:rPr>
        <w:t xml:space="preserve"> používať účinné metódy antikoncepcie </w:t>
      </w:r>
      <w:r w:rsidRPr="004935D2">
        <w:rPr>
          <w:rFonts w:ascii="Times New Roman" w:hAnsi="Times New Roman"/>
        </w:rPr>
        <w:t>počas liečby a určitý ča</w:t>
      </w:r>
      <w:r w:rsidR="00AA7E27" w:rsidRPr="004935D2">
        <w:rPr>
          <w:rFonts w:ascii="Times New Roman" w:hAnsi="Times New Roman"/>
        </w:rPr>
        <w:t>s</w:t>
      </w:r>
      <w:r w:rsidRPr="004935D2">
        <w:rPr>
          <w:rFonts w:ascii="Times New Roman" w:hAnsi="Times New Roman"/>
        </w:rPr>
        <w:t xml:space="preserve"> po </w:t>
      </w:r>
      <w:r w:rsidR="00582080" w:rsidRPr="004935D2">
        <w:rPr>
          <w:rFonts w:ascii="Times New Roman" w:hAnsi="Times New Roman"/>
        </w:rPr>
        <w:t xml:space="preserve">ukončení </w:t>
      </w:r>
      <w:r w:rsidRPr="004935D2">
        <w:rPr>
          <w:rFonts w:ascii="Times New Roman" w:hAnsi="Times New Roman"/>
        </w:rPr>
        <w:t>liečb</w:t>
      </w:r>
      <w:r w:rsidR="00582080" w:rsidRPr="004935D2">
        <w:rPr>
          <w:rFonts w:ascii="Times New Roman" w:hAnsi="Times New Roman"/>
        </w:rPr>
        <w:t>y</w:t>
      </w:r>
      <w:r w:rsidRPr="006D6615">
        <w:rPr>
          <w:rFonts w:ascii="Times New Roman" w:hAnsi="Times New Roman"/>
        </w:rPr>
        <w:t>.</w:t>
      </w:r>
    </w:p>
    <w:p w14:paraId="56C919FE" w14:textId="77777777" w:rsidR="008C09A3" w:rsidRPr="00465E86" w:rsidRDefault="00FE06A0" w:rsidP="00E10A86">
      <w:pPr>
        <w:autoSpaceDE w:val="0"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Mužom liečeným </w:t>
      </w:r>
      <w:r w:rsidR="006379E2" w:rsidRPr="006D6615">
        <w:rPr>
          <w:rFonts w:ascii="Times New Roman" w:hAnsi="Times New Roman"/>
        </w:rPr>
        <w:t>idarubicínium</w:t>
      </w:r>
      <w:r w:rsidR="006B3987">
        <w:rPr>
          <w:rFonts w:ascii="Times New Roman" w:hAnsi="Times New Roman"/>
        </w:rPr>
        <w:t>-</w:t>
      </w:r>
      <w:r w:rsidR="006379E2" w:rsidRPr="006B3987">
        <w:rPr>
          <w:rFonts w:ascii="Times New Roman" w:hAnsi="Times New Roman"/>
        </w:rPr>
        <w:t xml:space="preserve">chloridom sa odporúča, </w:t>
      </w:r>
      <w:r w:rsidR="00630F2E" w:rsidRPr="004935D2">
        <w:rPr>
          <w:rFonts w:ascii="Times New Roman" w:hAnsi="Times New Roman"/>
        </w:rPr>
        <w:t>ak je to potrebné a možné, poradiť sa o</w:t>
      </w:r>
      <w:r w:rsidR="00582080" w:rsidRPr="004935D2">
        <w:rPr>
          <w:rFonts w:ascii="Times New Roman" w:hAnsi="Times New Roman"/>
        </w:rPr>
        <w:t> </w:t>
      </w:r>
      <w:r w:rsidR="00630F2E" w:rsidRPr="004935D2">
        <w:rPr>
          <w:rFonts w:ascii="Times New Roman" w:hAnsi="Times New Roman"/>
        </w:rPr>
        <w:t>uchovaní spermií vzhľadom na možnosť ireverzibilnej neplodnosti spôsobenej liečbou (pozri časť 4.</w:t>
      </w:r>
      <w:r w:rsidR="00630F2E" w:rsidRPr="006B3987">
        <w:rPr>
          <w:rFonts w:ascii="Times New Roman" w:hAnsi="Times New Roman"/>
        </w:rPr>
        <w:t>6).</w:t>
      </w:r>
      <w:r w:rsidR="006379E2" w:rsidRPr="006B3987">
        <w:rPr>
          <w:rFonts w:ascii="Times New Roman" w:hAnsi="Times New Roman"/>
        </w:rPr>
        <w:t xml:space="preserve"> Pacientom, ktorí </w:t>
      </w:r>
      <w:r w:rsidR="00EE202B" w:rsidRPr="006B3987">
        <w:rPr>
          <w:rFonts w:ascii="Times New Roman" w:hAnsi="Times New Roman"/>
        </w:rPr>
        <w:t>po uko</w:t>
      </w:r>
      <w:r w:rsidR="007A1B1B" w:rsidRPr="006B3987">
        <w:rPr>
          <w:rFonts w:ascii="Times New Roman" w:hAnsi="Times New Roman"/>
        </w:rPr>
        <w:t>n</w:t>
      </w:r>
      <w:r w:rsidR="00EE202B" w:rsidRPr="006B3987">
        <w:rPr>
          <w:rFonts w:ascii="Times New Roman" w:hAnsi="Times New Roman"/>
        </w:rPr>
        <w:t xml:space="preserve">čení liečby </w:t>
      </w:r>
      <w:r w:rsidR="00582080" w:rsidRPr="006B3987">
        <w:rPr>
          <w:rFonts w:ascii="Times New Roman" w:hAnsi="Times New Roman"/>
        </w:rPr>
        <w:t xml:space="preserve">plánujú </w:t>
      </w:r>
      <w:r w:rsidR="006379E2" w:rsidRPr="004935D2">
        <w:rPr>
          <w:rFonts w:ascii="Times New Roman" w:hAnsi="Times New Roman"/>
        </w:rPr>
        <w:t xml:space="preserve">mať deti, sa má </w:t>
      </w:r>
      <w:r w:rsidR="00EE202B" w:rsidRPr="004935D2">
        <w:rPr>
          <w:rFonts w:ascii="Times New Roman" w:hAnsi="Times New Roman"/>
        </w:rPr>
        <w:t>pred začiatkom</w:t>
      </w:r>
      <w:r w:rsidR="006379E2" w:rsidRPr="004935D2">
        <w:rPr>
          <w:rFonts w:ascii="Times New Roman" w:hAnsi="Times New Roman"/>
        </w:rPr>
        <w:t xml:space="preserve"> </w:t>
      </w:r>
      <w:r w:rsidR="00EE202B" w:rsidRPr="004935D2">
        <w:rPr>
          <w:rFonts w:ascii="Times New Roman" w:hAnsi="Times New Roman"/>
        </w:rPr>
        <w:t xml:space="preserve">liečby </w:t>
      </w:r>
      <w:r w:rsidR="006379E2" w:rsidRPr="004935D2">
        <w:rPr>
          <w:rFonts w:ascii="Times New Roman" w:hAnsi="Times New Roman"/>
        </w:rPr>
        <w:t>odporučiť konzultácia s vhodným špecialistom.</w:t>
      </w:r>
    </w:p>
    <w:bookmarkEnd w:id="0"/>
    <w:p w14:paraId="7BF6FAC3" w14:textId="77777777" w:rsidR="00E64919" w:rsidRPr="006D6615" w:rsidRDefault="00E64919" w:rsidP="00E10A86">
      <w:pPr>
        <w:autoSpaceDE w:val="0"/>
        <w:spacing w:after="0" w:line="240" w:lineRule="auto"/>
        <w:rPr>
          <w:rFonts w:ascii="Times New Roman" w:hAnsi="Times New Roman"/>
          <w:iCs/>
        </w:rPr>
      </w:pPr>
    </w:p>
    <w:p w14:paraId="4CFF14B5" w14:textId="77777777" w:rsidR="005F6685" w:rsidRPr="00465E86" w:rsidRDefault="002E6DFF" w:rsidP="00E10A86">
      <w:pPr>
        <w:tabs>
          <w:tab w:val="left" w:pos="567"/>
        </w:tabs>
        <w:autoSpaceDE w:val="0"/>
        <w:spacing w:after="0" w:line="240" w:lineRule="auto"/>
        <w:rPr>
          <w:rFonts w:ascii="Times New Roman" w:eastAsia="TimesNewRoman" w:hAnsi="Times New Roman"/>
        </w:rPr>
      </w:pPr>
      <w:r w:rsidRPr="00465E86">
        <w:rPr>
          <w:rFonts w:ascii="Times New Roman" w:hAnsi="Times New Roman"/>
          <w:u w:val="single"/>
        </w:rPr>
        <w:t>Iné</w:t>
      </w:r>
    </w:p>
    <w:p w14:paraId="70CA45FB" w14:textId="77777777" w:rsidR="00EE202B" w:rsidRPr="00E070C5" w:rsidRDefault="00EE202B" w:rsidP="00630F2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</w:p>
    <w:p w14:paraId="1AEBB369" w14:textId="77777777" w:rsidR="00630F2E" w:rsidRPr="00E070C5" w:rsidRDefault="00630F2E" w:rsidP="00630F2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 xml:space="preserve">Tak ako aj pri iných cytotoxických liečivách, aj pri použití idarubicínu bola hlásená </w:t>
      </w:r>
      <w:r w:rsidRPr="00E070C5">
        <w:rPr>
          <w:rFonts w:ascii="Times New Roman" w:hAnsi="Times New Roman"/>
          <w:bCs/>
        </w:rPr>
        <w:t xml:space="preserve">tromboflebitída a trombembólia, vrátane </w:t>
      </w:r>
      <w:r w:rsidRPr="00E070C5">
        <w:rPr>
          <w:rFonts w:ascii="Times New Roman" w:hAnsi="Times New Roman"/>
        </w:rPr>
        <w:t>pľúcnej embólie.</w:t>
      </w:r>
    </w:p>
    <w:p w14:paraId="5F4E751F" w14:textId="77777777" w:rsidR="00630F2E" w:rsidRPr="00931FA5" w:rsidRDefault="00630F2E" w:rsidP="00630F2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</w:p>
    <w:p w14:paraId="5FF00605" w14:textId="77777777" w:rsidR="00630F2E" w:rsidRPr="001876FA" w:rsidRDefault="00630F2E" w:rsidP="00630F2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  <w:r w:rsidRPr="001876FA">
        <w:rPr>
          <w:rFonts w:ascii="Times New Roman" w:hAnsi="Times New Roman"/>
        </w:rPr>
        <w:t>Tento liek môže spôsobiť červené sfarbenie moču 1 – 2 dni po podaní a pacientov treba o tom informovať.</w:t>
      </w:r>
    </w:p>
    <w:p w14:paraId="1623CCE7" w14:textId="77777777" w:rsidR="006F3901" w:rsidRPr="00A0786D" w:rsidRDefault="006F3901" w:rsidP="00630F2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</w:p>
    <w:p w14:paraId="767880A6" w14:textId="77777777" w:rsidR="00420D4F" w:rsidRPr="003A0C52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0C52">
        <w:rPr>
          <w:rFonts w:ascii="Times New Roman" w:hAnsi="Times New Roman"/>
          <w:b/>
        </w:rPr>
        <w:t>4.5</w:t>
      </w:r>
      <w:r w:rsidRPr="003A0C52">
        <w:rPr>
          <w:rFonts w:ascii="Times New Roman" w:hAnsi="Times New Roman"/>
          <w:b/>
        </w:rPr>
        <w:tab/>
        <w:t>Liekové a iné interakcie</w:t>
      </w:r>
    </w:p>
    <w:p w14:paraId="07EC4C21" w14:textId="77777777" w:rsidR="006B218F" w:rsidRPr="003A0C52" w:rsidRDefault="006B218F" w:rsidP="00E10A86">
      <w:pPr>
        <w:keepNext/>
        <w:spacing w:after="0" w:line="240" w:lineRule="auto"/>
        <w:rPr>
          <w:rFonts w:ascii="Times New Roman" w:hAnsi="Times New Roman"/>
          <w:caps/>
        </w:rPr>
      </w:pPr>
    </w:p>
    <w:p w14:paraId="0F315027" w14:textId="77777777" w:rsidR="00630F2E" w:rsidRPr="006B3987" w:rsidRDefault="00630F2E" w:rsidP="00630F2E">
      <w:pPr>
        <w:keepNext/>
        <w:spacing w:after="0" w:line="240" w:lineRule="auto"/>
        <w:rPr>
          <w:rFonts w:ascii="Times New Roman" w:hAnsi="Times New Roman"/>
        </w:rPr>
      </w:pPr>
      <w:r w:rsidRPr="006B3987">
        <w:rPr>
          <w:rFonts w:ascii="Times New Roman" w:hAnsi="Times New Roman"/>
        </w:rPr>
        <w:t>Idarubicín je silné myelosupresívum a v kombinovaných chemoterapeutických režimoch, ktoré zahŕňajú látky s podobným účinkom, možno očakávať aditívny myelosupresívny účinok (pozri časť 4.4).</w:t>
      </w:r>
    </w:p>
    <w:p w14:paraId="71DCAA8D" w14:textId="77777777" w:rsidR="00630F2E" w:rsidRPr="004935D2" w:rsidRDefault="00630F2E" w:rsidP="00630F2E">
      <w:pPr>
        <w:keepNext/>
        <w:spacing w:after="0" w:line="240" w:lineRule="auto"/>
        <w:rPr>
          <w:rFonts w:ascii="Times New Roman" w:hAnsi="Times New Roman"/>
        </w:rPr>
      </w:pPr>
    </w:p>
    <w:p w14:paraId="3987E0E1" w14:textId="77777777" w:rsidR="00630F2E" w:rsidRPr="00E37901" w:rsidRDefault="00630F2E" w:rsidP="00630F2E">
      <w:pPr>
        <w:spacing w:after="0" w:line="240" w:lineRule="auto"/>
        <w:rPr>
          <w:rFonts w:ascii="Times New Roman" w:hAnsi="Times New Roman"/>
          <w:position w:val="6"/>
        </w:rPr>
      </w:pPr>
      <w:r w:rsidRPr="004935D2">
        <w:rPr>
          <w:rFonts w:ascii="Times New Roman" w:hAnsi="Times New Roman"/>
          <w:position w:val="6"/>
        </w:rPr>
        <w:t>Použitie idarubicínu v kombinácii s inými potenciálne kardiotoxickými liekmi, ako aj súbežné použitie iných látok ovplyvňujúcic</w:t>
      </w:r>
      <w:r w:rsidRPr="00E37901">
        <w:rPr>
          <w:rFonts w:ascii="Times New Roman" w:hAnsi="Times New Roman"/>
          <w:position w:val="6"/>
        </w:rPr>
        <w:t>h srdce (napr. blokátorov kalciových kanálov) vyžaduje monitorovanie funkcie srdca počas liečby.</w:t>
      </w:r>
    </w:p>
    <w:p w14:paraId="2CCAE2BE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b/>
        </w:rPr>
      </w:pPr>
    </w:p>
    <w:p w14:paraId="7E69660A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Zmeny funkcie pečene alebo obličiek navodené inou súbežnou liečbou môžu ovplyvňovať metabolizmus, farmakokinetiku, terapeutickú účinnosť a/alebo toxicitu idarubicínu (pozri časť 4.4).</w:t>
      </w:r>
    </w:p>
    <w:p w14:paraId="2C7C97BA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42D58B6B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position w:val="6"/>
        </w:rPr>
      </w:pPr>
      <w:r w:rsidRPr="006D6615">
        <w:rPr>
          <w:rFonts w:ascii="Times New Roman" w:hAnsi="Times New Roman"/>
          <w:position w:val="6"/>
        </w:rPr>
        <w:t>Aditívny myelosupresívny účinok sa môže objaviť aj pri rádioterapii podávanej súbežne alebo v priebehu 2 až 3 týždňov pred liečbou idarubicínom.</w:t>
      </w:r>
    </w:p>
    <w:p w14:paraId="15526157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position w:val="6"/>
        </w:rPr>
      </w:pPr>
    </w:p>
    <w:p w14:paraId="146CF570" w14:textId="77777777" w:rsidR="00630F2E" w:rsidRPr="006D6615" w:rsidRDefault="00630F2E" w:rsidP="00630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</w:rPr>
      </w:pPr>
      <w:r w:rsidRPr="006D6615">
        <w:rPr>
          <w:rFonts w:ascii="Times New Roman" w:hAnsi="Times New Roman"/>
          <w:position w:val="6"/>
        </w:rPr>
        <w:t xml:space="preserve">Súbežné použitie živých atenuovaných </w:t>
      </w:r>
      <w:r w:rsidR="00582080" w:rsidRPr="006D6615">
        <w:rPr>
          <w:rFonts w:ascii="Times New Roman" w:hAnsi="Times New Roman"/>
          <w:position w:val="6"/>
        </w:rPr>
        <w:t xml:space="preserve">očkovacích látok </w:t>
      </w:r>
      <w:r w:rsidRPr="006D6615">
        <w:rPr>
          <w:rFonts w:ascii="Times New Roman" w:hAnsi="Times New Roman"/>
          <w:position w:val="6"/>
        </w:rPr>
        <w:t xml:space="preserve">(napr. proti žltej zimnici) sa neodporúča z dôvodu rizika možného smrteľného systémového ochorenia. Riziko je vyššie u osôb, ktoré majú imunitný systém oslabený v dôsledku základného ochorenia. Ak je to možné, má sa použiť inaktivovaná </w:t>
      </w:r>
      <w:r w:rsidR="00582080" w:rsidRPr="006D6615">
        <w:rPr>
          <w:rFonts w:ascii="Times New Roman" w:hAnsi="Times New Roman"/>
          <w:position w:val="6"/>
        </w:rPr>
        <w:t>očkovacia látka</w:t>
      </w:r>
      <w:r w:rsidRPr="006D6615">
        <w:rPr>
          <w:rFonts w:ascii="Times New Roman" w:hAnsi="Times New Roman"/>
          <w:position w:val="6"/>
        </w:rPr>
        <w:t>.</w:t>
      </w:r>
    </w:p>
    <w:p w14:paraId="33109152" w14:textId="77777777" w:rsidR="00630F2E" w:rsidRPr="006D6615" w:rsidRDefault="00630F2E" w:rsidP="00630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</w:rPr>
      </w:pPr>
    </w:p>
    <w:p w14:paraId="1DA3C325" w14:textId="77777777" w:rsidR="00630F2E" w:rsidRPr="006D6615" w:rsidRDefault="00630F2E" w:rsidP="00630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lang w:val="de-DE"/>
        </w:rPr>
      </w:pPr>
      <w:r w:rsidRPr="006D6615">
        <w:rPr>
          <w:rFonts w:ascii="Times New Roman" w:hAnsi="Times New Roman"/>
          <w:position w:val="6"/>
          <w:lang w:val="de-DE"/>
        </w:rPr>
        <w:t>Pri kombinácii perorálnych antikoagulancií a protinádorovej chemoterapie sa odporúča častejšie monitorovať INR (international normalised ratio), pretože sa nedá vylúčiť riziko interakcie.</w:t>
      </w:r>
    </w:p>
    <w:p w14:paraId="2E821971" w14:textId="77777777" w:rsidR="00630F2E" w:rsidRPr="006D6615" w:rsidRDefault="00630F2E" w:rsidP="00630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</w:rPr>
      </w:pPr>
    </w:p>
    <w:p w14:paraId="5016C3F7" w14:textId="77777777" w:rsidR="00265CD9" w:rsidRPr="006D6615" w:rsidRDefault="00630F2E" w:rsidP="00E10A86">
      <w:pPr>
        <w:pStyle w:val="Zkladntext3"/>
        <w:spacing w:after="0" w:line="240" w:lineRule="auto"/>
        <w:jc w:val="left"/>
        <w:rPr>
          <w:rFonts w:ascii="Times New Roman" w:hAnsi="Times New Roman" w:cs="Times New Roman"/>
          <w:position w:val="6"/>
          <w:sz w:val="22"/>
          <w:lang w:val="de-DE"/>
        </w:rPr>
      </w:pPr>
      <w:r w:rsidRPr="006D6615">
        <w:rPr>
          <w:rFonts w:ascii="Times New Roman" w:hAnsi="Times New Roman" w:cs="Times New Roman"/>
          <w:position w:val="6"/>
          <w:sz w:val="22"/>
          <w:lang w:val="de-DE"/>
        </w:rPr>
        <w:t>Cyklosporín A: Súbežné podávanie cyklosporínu A ako jediného chemosenzibilizátora u pacientov s akútnou leukémiou významne zvýšilo AUC idarubicínu (1,78-násobne) a idarubicinolu (2,46-násobne). Klinický význam tejto interakcie nie je známy. U niektorých pacientov môže byť nutná úprava dávkovania</w:t>
      </w:r>
    </w:p>
    <w:p w14:paraId="1468B240" w14:textId="77777777" w:rsidR="00420D4F" w:rsidRPr="006D6615" w:rsidRDefault="00420D4F" w:rsidP="00E10A86">
      <w:pPr>
        <w:pStyle w:val="Zkladntext3"/>
        <w:spacing w:after="0" w:line="240" w:lineRule="auto"/>
        <w:jc w:val="left"/>
        <w:rPr>
          <w:rFonts w:ascii="Times New Roman" w:hAnsi="Times New Roman" w:cs="Times New Roman"/>
          <w:sz w:val="22"/>
        </w:rPr>
      </w:pPr>
    </w:p>
    <w:p w14:paraId="0F8AFAB9" w14:textId="77777777" w:rsidR="00420D4F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</w:rPr>
        <w:t>4.6</w:t>
      </w:r>
      <w:r w:rsidRPr="006D6615">
        <w:rPr>
          <w:rFonts w:ascii="Times New Roman" w:hAnsi="Times New Roman"/>
          <w:b/>
        </w:rPr>
        <w:tab/>
        <w:t>Fertilita, gravidita a laktácia</w:t>
      </w:r>
    </w:p>
    <w:p w14:paraId="61C14AE5" w14:textId="77777777" w:rsidR="006B218F" w:rsidRPr="006D6615" w:rsidRDefault="006B218F" w:rsidP="006D6615">
      <w:pPr>
        <w:keepNext/>
        <w:spacing w:after="0" w:line="240" w:lineRule="auto"/>
        <w:rPr>
          <w:rFonts w:ascii="Times New Roman" w:hAnsi="Times New Roman"/>
          <w:bCs/>
          <w:iCs/>
          <w:spacing w:val="-3"/>
        </w:rPr>
      </w:pPr>
    </w:p>
    <w:p w14:paraId="4F631C2A" w14:textId="77777777" w:rsidR="006B218F" w:rsidRPr="00E070C5" w:rsidRDefault="002E6DFF" w:rsidP="00E10A86">
      <w:pPr>
        <w:spacing w:after="0" w:line="240" w:lineRule="auto"/>
        <w:rPr>
          <w:rFonts w:ascii="Times New Roman" w:hAnsi="Times New Roman"/>
          <w:spacing w:val="-3"/>
          <w:u w:val="single"/>
        </w:rPr>
      </w:pPr>
      <w:r w:rsidRPr="00465E86">
        <w:rPr>
          <w:rFonts w:ascii="Times New Roman" w:hAnsi="Times New Roman"/>
          <w:spacing w:val="-3"/>
          <w:u w:val="single"/>
        </w:rPr>
        <w:t>Gravidita</w:t>
      </w:r>
    </w:p>
    <w:p w14:paraId="283C6375" w14:textId="77777777" w:rsidR="00630F2E" w:rsidRPr="00E070C5" w:rsidRDefault="00C10FB4" w:rsidP="00630F2E">
      <w:pPr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  <w:spacing w:val="-3"/>
        </w:rPr>
        <w:t>K dispozícii je limit</w:t>
      </w:r>
      <w:r w:rsidR="000A3813" w:rsidRPr="00E070C5">
        <w:rPr>
          <w:rFonts w:ascii="Times New Roman" w:hAnsi="Times New Roman"/>
          <w:spacing w:val="-3"/>
        </w:rPr>
        <w:t>o</w:t>
      </w:r>
      <w:r w:rsidRPr="00E070C5">
        <w:rPr>
          <w:rFonts w:ascii="Times New Roman" w:hAnsi="Times New Roman"/>
          <w:spacing w:val="-3"/>
        </w:rPr>
        <w:t xml:space="preserve">vané množstvo údajov o použití idarubicínu u gravidných žien. Štúdie na zvieratách </w:t>
      </w:r>
      <w:r w:rsidRPr="00931FA5">
        <w:rPr>
          <w:rFonts w:ascii="Times New Roman" w:hAnsi="Times New Roman"/>
          <w:spacing w:val="-3"/>
        </w:rPr>
        <w:t>preukázali re</w:t>
      </w:r>
      <w:r w:rsidR="000A3813" w:rsidRPr="00931FA5">
        <w:rPr>
          <w:rFonts w:ascii="Times New Roman" w:hAnsi="Times New Roman"/>
          <w:spacing w:val="-3"/>
        </w:rPr>
        <w:t>p</w:t>
      </w:r>
      <w:r w:rsidRPr="001876FA">
        <w:rPr>
          <w:rFonts w:ascii="Times New Roman" w:hAnsi="Times New Roman"/>
          <w:spacing w:val="-3"/>
        </w:rPr>
        <w:t>rodukčnú toxicitu (pozri časť 5.3)</w:t>
      </w:r>
      <w:r w:rsidRPr="00A0786D">
        <w:rPr>
          <w:rFonts w:ascii="Times New Roman" w:hAnsi="Times New Roman"/>
          <w:spacing w:val="-3"/>
        </w:rPr>
        <w:t xml:space="preserve">. </w:t>
      </w:r>
      <w:r w:rsidR="00630F2E" w:rsidRPr="00931FA5">
        <w:rPr>
          <w:rFonts w:ascii="Times New Roman" w:hAnsi="Times New Roman"/>
        </w:rPr>
        <w:t xml:space="preserve">Idarubicín sa </w:t>
      </w:r>
      <w:r w:rsidRPr="001876FA">
        <w:rPr>
          <w:rFonts w:ascii="Times New Roman" w:hAnsi="Times New Roman"/>
        </w:rPr>
        <w:t xml:space="preserve">nemá </w:t>
      </w:r>
      <w:r w:rsidRPr="00A0786D">
        <w:rPr>
          <w:rFonts w:ascii="Times New Roman" w:hAnsi="Times New Roman"/>
        </w:rPr>
        <w:t xml:space="preserve">používať </w:t>
      </w:r>
      <w:r w:rsidR="00630F2E" w:rsidRPr="003A0C52">
        <w:rPr>
          <w:rFonts w:ascii="Times New Roman" w:hAnsi="Times New Roman"/>
        </w:rPr>
        <w:t>počas tehotenstva</w:t>
      </w:r>
      <w:r w:rsidRPr="003A0C52">
        <w:rPr>
          <w:rFonts w:ascii="Times New Roman" w:hAnsi="Times New Roman"/>
        </w:rPr>
        <w:t xml:space="preserve">, </w:t>
      </w:r>
      <w:r w:rsidR="00911FB4" w:rsidRPr="006D6615">
        <w:rPr>
          <w:rFonts w:ascii="Times New Roman" w:hAnsi="Times New Roman"/>
        </w:rPr>
        <w:t>s</w:t>
      </w:r>
      <w:r w:rsidR="000A3813" w:rsidRPr="00465E86">
        <w:rPr>
          <w:rFonts w:ascii="Times New Roman" w:hAnsi="Times New Roman"/>
        </w:rPr>
        <w:t> </w:t>
      </w:r>
      <w:r w:rsidR="00911FB4" w:rsidRPr="006D6615">
        <w:rPr>
          <w:rFonts w:ascii="Times New Roman" w:hAnsi="Times New Roman"/>
        </w:rPr>
        <w:t>výnimkou</w:t>
      </w:r>
      <w:r w:rsidR="000A3813" w:rsidRPr="00465E86">
        <w:rPr>
          <w:rFonts w:ascii="Times New Roman" w:hAnsi="Times New Roman"/>
        </w:rPr>
        <w:t>,</w:t>
      </w:r>
      <w:r w:rsidR="00911FB4" w:rsidRPr="006D6615">
        <w:rPr>
          <w:rFonts w:ascii="Times New Roman" w:hAnsi="Times New Roman"/>
        </w:rPr>
        <w:t xml:space="preserve"> keď </w:t>
      </w:r>
      <w:r w:rsidR="00630F2E" w:rsidRPr="00465E86">
        <w:rPr>
          <w:rFonts w:ascii="Times New Roman" w:hAnsi="Times New Roman"/>
        </w:rPr>
        <w:t>potenciálny prínos</w:t>
      </w:r>
      <w:r w:rsidR="001A1F7F" w:rsidRPr="00E070C5">
        <w:rPr>
          <w:rFonts w:ascii="Times New Roman" w:hAnsi="Times New Roman"/>
        </w:rPr>
        <w:t xml:space="preserve"> odôvodnene </w:t>
      </w:r>
      <w:r w:rsidR="00630F2E" w:rsidRPr="00E070C5">
        <w:rPr>
          <w:rFonts w:ascii="Times New Roman" w:hAnsi="Times New Roman"/>
        </w:rPr>
        <w:t>prevyšuje potenciálne riziko pre plod. Pacientky majú byť poučené o potenciálnom riziku pre plod.</w:t>
      </w:r>
    </w:p>
    <w:p w14:paraId="2FC03E12" w14:textId="77777777" w:rsidR="00630F2E" w:rsidRPr="00931FA5" w:rsidRDefault="00630F2E" w:rsidP="00630F2E">
      <w:pPr>
        <w:spacing w:after="0" w:line="240" w:lineRule="auto"/>
        <w:rPr>
          <w:rFonts w:ascii="Times New Roman" w:hAnsi="Times New Roman"/>
        </w:rPr>
      </w:pPr>
    </w:p>
    <w:p w14:paraId="7D1A05B6" w14:textId="77777777" w:rsidR="00804AD9" w:rsidRPr="006D6615" w:rsidRDefault="00804AD9" w:rsidP="006D6615">
      <w:pPr>
        <w:keepNext/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t>Ženy v</w:t>
      </w:r>
      <w:r w:rsidRPr="00465E86">
        <w:rPr>
          <w:rFonts w:ascii="Times New Roman" w:hAnsi="Times New Roman"/>
          <w:u w:val="single"/>
        </w:rPr>
        <w:t>o</w:t>
      </w:r>
      <w:r w:rsidRPr="006D6615">
        <w:rPr>
          <w:rFonts w:ascii="Times New Roman" w:hAnsi="Times New Roman"/>
          <w:u w:val="single"/>
        </w:rPr>
        <w:t> </w:t>
      </w:r>
      <w:r w:rsidRPr="00465E86">
        <w:rPr>
          <w:rFonts w:ascii="Times New Roman" w:hAnsi="Times New Roman"/>
          <w:u w:val="single"/>
        </w:rPr>
        <w:t xml:space="preserve">fertilnom </w:t>
      </w:r>
      <w:r w:rsidRPr="006D6615">
        <w:rPr>
          <w:rFonts w:ascii="Times New Roman" w:hAnsi="Times New Roman"/>
          <w:u w:val="single"/>
        </w:rPr>
        <w:t>veku/antikoncepcia u</w:t>
      </w:r>
      <w:r w:rsidR="00AA7E27" w:rsidRPr="00465E86">
        <w:rPr>
          <w:rFonts w:ascii="Times New Roman" w:hAnsi="Times New Roman"/>
          <w:u w:val="single"/>
        </w:rPr>
        <w:t> </w:t>
      </w:r>
      <w:r w:rsidRPr="006D6615">
        <w:rPr>
          <w:rFonts w:ascii="Times New Roman" w:hAnsi="Times New Roman"/>
          <w:u w:val="single"/>
        </w:rPr>
        <w:t>mužov</w:t>
      </w:r>
      <w:r w:rsidR="00AA7E27" w:rsidRPr="00465E86">
        <w:rPr>
          <w:rFonts w:ascii="Times New Roman" w:hAnsi="Times New Roman"/>
          <w:u w:val="single"/>
        </w:rPr>
        <w:t xml:space="preserve"> a žien</w:t>
      </w:r>
    </w:p>
    <w:p w14:paraId="6A5A1AC4" w14:textId="77777777" w:rsidR="001E2B27" w:rsidRDefault="001E2B27" w:rsidP="00E10A86">
      <w:pPr>
        <w:spacing w:after="0" w:line="240" w:lineRule="auto"/>
        <w:rPr>
          <w:rFonts w:ascii="Times New Roman" w:hAnsi="Times New Roman"/>
        </w:rPr>
      </w:pPr>
      <w:r w:rsidRPr="00465E86">
        <w:rPr>
          <w:rFonts w:ascii="Times New Roman" w:hAnsi="Times New Roman"/>
        </w:rPr>
        <w:t>Ž</w:t>
      </w:r>
      <w:r w:rsidRPr="00465E86">
        <w:rPr>
          <w:rFonts w:ascii="Times New Roman" w:eastAsia="MS Mincho" w:hAnsi="Times New Roman"/>
        </w:rPr>
        <w:t>eny vo fertilnom veku majú byť pou</w:t>
      </w:r>
      <w:r w:rsidRPr="00E070C5">
        <w:rPr>
          <w:rFonts w:ascii="Times New Roman" w:eastAsia="MS Mincho" w:hAnsi="Times New Roman"/>
        </w:rPr>
        <w:t xml:space="preserve">čené, aby počas liečby neotehotneli </w:t>
      </w:r>
      <w:r w:rsidRPr="00E070C5">
        <w:rPr>
          <w:rFonts w:ascii="Times New Roman" w:hAnsi="Times New Roman"/>
        </w:rPr>
        <w:t>a aby používali účinnú antikoncepciu počas liečby idarubicínom a ešte najmenej 6,5 mesiaca po poslednej dávke. Muž</w:t>
      </w:r>
      <w:r w:rsidR="00911FB4" w:rsidRPr="00931FA5">
        <w:rPr>
          <w:rFonts w:ascii="Times New Roman" w:hAnsi="Times New Roman"/>
        </w:rPr>
        <w:t>om</w:t>
      </w:r>
      <w:r w:rsidRPr="00931FA5">
        <w:rPr>
          <w:rFonts w:ascii="Times New Roman" w:hAnsi="Times New Roman"/>
        </w:rPr>
        <w:t>, ktorí majú partnerky vo fertilnom veku</w:t>
      </w:r>
      <w:r w:rsidR="00911FB4" w:rsidRPr="001876FA">
        <w:rPr>
          <w:rFonts w:ascii="Times New Roman" w:hAnsi="Times New Roman"/>
        </w:rPr>
        <w:t>,</w:t>
      </w:r>
      <w:r w:rsidRPr="00A0786D">
        <w:rPr>
          <w:rFonts w:ascii="Times New Roman" w:hAnsi="Times New Roman"/>
        </w:rPr>
        <w:t xml:space="preserve"> </w:t>
      </w:r>
      <w:r w:rsidR="00911FB4" w:rsidRPr="00A0786D">
        <w:rPr>
          <w:rFonts w:ascii="Times New Roman" w:hAnsi="Times New Roman"/>
        </w:rPr>
        <w:t>sa má odporučiť</w:t>
      </w:r>
      <w:r w:rsidR="000A3813" w:rsidRPr="003A0C52">
        <w:rPr>
          <w:rFonts w:ascii="Times New Roman" w:hAnsi="Times New Roman"/>
        </w:rPr>
        <w:t xml:space="preserve"> </w:t>
      </w:r>
      <w:r w:rsidRPr="003A0C52">
        <w:rPr>
          <w:rFonts w:ascii="Times New Roman" w:hAnsi="Times New Roman"/>
        </w:rPr>
        <w:t>použ</w:t>
      </w:r>
      <w:r w:rsidR="000A3813" w:rsidRPr="003A0C52">
        <w:rPr>
          <w:rFonts w:ascii="Times New Roman" w:hAnsi="Times New Roman"/>
        </w:rPr>
        <w:t>í</w:t>
      </w:r>
      <w:r w:rsidR="00911FB4" w:rsidRPr="003A0C52">
        <w:rPr>
          <w:rFonts w:ascii="Times New Roman" w:hAnsi="Times New Roman"/>
        </w:rPr>
        <w:t xml:space="preserve">vanie účinnej antikoncepcie počas liečby idarubicínom a ešte </w:t>
      </w:r>
      <w:r w:rsidR="0055670A" w:rsidRPr="003A0C52">
        <w:rPr>
          <w:rFonts w:ascii="Times New Roman" w:hAnsi="Times New Roman"/>
        </w:rPr>
        <w:t>najmenej</w:t>
      </w:r>
      <w:r w:rsidR="00911FB4" w:rsidRPr="003A0C52">
        <w:rPr>
          <w:rFonts w:ascii="Times New Roman" w:hAnsi="Times New Roman"/>
        </w:rPr>
        <w:t xml:space="preserve"> 3,5 mesiaca po poslednej dávke (pozri časť 4.4).</w:t>
      </w:r>
    </w:p>
    <w:p w14:paraId="1DC1B097" w14:textId="77777777" w:rsidR="006B3987" w:rsidRPr="006B3987" w:rsidRDefault="006B3987" w:rsidP="00E10A86">
      <w:pPr>
        <w:spacing w:after="0" w:line="240" w:lineRule="auto"/>
        <w:rPr>
          <w:rFonts w:ascii="Times New Roman" w:hAnsi="Times New Roman"/>
        </w:rPr>
      </w:pPr>
    </w:p>
    <w:p w14:paraId="2AA04D19" w14:textId="77777777" w:rsidR="00804AD9" w:rsidRPr="00E070C5" w:rsidRDefault="002E6DFF" w:rsidP="00E10A86">
      <w:pPr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E070C5">
        <w:rPr>
          <w:rFonts w:ascii="Times New Roman" w:hAnsi="Times New Roman"/>
          <w:bCs/>
          <w:iCs/>
          <w:u w:val="single"/>
        </w:rPr>
        <w:t>Dojčenie</w:t>
      </w:r>
    </w:p>
    <w:p w14:paraId="62BA936B" w14:textId="77777777" w:rsidR="00804AD9" w:rsidRPr="006B3987" w:rsidRDefault="002E6DFF" w:rsidP="00E10A86">
      <w:pPr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Nie je známe</w:t>
      </w:r>
      <w:r w:rsidR="0055670A" w:rsidRPr="00E070C5">
        <w:rPr>
          <w:rFonts w:ascii="Times New Roman" w:hAnsi="Times New Roman"/>
        </w:rPr>
        <w:t>,</w:t>
      </w:r>
      <w:r w:rsidRPr="00E070C5">
        <w:rPr>
          <w:rFonts w:ascii="Times New Roman" w:hAnsi="Times New Roman"/>
        </w:rPr>
        <w:t xml:space="preserve"> či sa idarubicín alebo jeho metabolity vylučujú do materského mlieka.</w:t>
      </w:r>
      <w:r w:rsidR="00804AD9" w:rsidRPr="00E070C5">
        <w:rPr>
          <w:rFonts w:ascii="Times New Roman" w:hAnsi="Times New Roman"/>
        </w:rPr>
        <w:t xml:space="preserve"> Keďže</w:t>
      </w:r>
      <w:r w:rsidR="007C7B2F" w:rsidRPr="00931FA5">
        <w:rPr>
          <w:rFonts w:ascii="Times New Roman" w:hAnsi="Times New Roman"/>
        </w:rPr>
        <w:t xml:space="preserve"> sa</w:t>
      </w:r>
      <w:r w:rsidR="00804AD9" w:rsidRPr="00931FA5">
        <w:rPr>
          <w:rFonts w:ascii="Times New Roman" w:hAnsi="Times New Roman"/>
        </w:rPr>
        <w:t xml:space="preserve"> iné antracyklíny</w:t>
      </w:r>
      <w:r w:rsidR="00804AD9" w:rsidRPr="001876FA">
        <w:rPr>
          <w:rFonts w:ascii="Times New Roman" w:hAnsi="Times New Roman"/>
        </w:rPr>
        <w:t xml:space="preserve"> </w:t>
      </w:r>
      <w:r w:rsidR="007C7B2F" w:rsidRPr="00A0786D">
        <w:rPr>
          <w:rFonts w:ascii="Times New Roman" w:hAnsi="Times New Roman"/>
        </w:rPr>
        <w:t xml:space="preserve">do materského mlieka </w:t>
      </w:r>
      <w:r w:rsidR="00804AD9" w:rsidRPr="00A0786D">
        <w:rPr>
          <w:rFonts w:ascii="Times New Roman" w:hAnsi="Times New Roman"/>
        </w:rPr>
        <w:t>vylučujú a</w:t>
      </w:r>
      <w:r w:rsidR="00065BEE" w:rsidRPr="00A0786D">
        <w:rPr>
          <w:rFonts w:ascii="Times New Roman" w:hAnsi="Times New Roman"/>
        </w:rPr>
        <w:t xml:space="preserve"> tiež </w:t>
      </w:r>
      <w:r w:rsidR="00804AD9" w:rsidRPr="003A0C52">
        <w:rPr>
          <w:rFonts w:ascii="Times New Roman" w:hAnsi="Times New Roman"/>
        </w:rPr>
        <w:t>vzhľadom na potenciál závažných nežiaducich reakcií vyvolaných idar</w:t>
      </w:r>
      <w:r w:rsidR="00894BFF" w:rsidRPr="003A0C52">
        <w:rPr>
          <w:rFonts w:ascii="Times New Roman" w:hAnsi="Times New Roman"/>
        </w:rPr>
        <w:t>u</w:t>
      </w:r>
      <w:r w:rsidR="00804AD9" w:rsidRPr="003A0C52">
        <w:rPr>
          <w:rFonts w:ascii="Times New Roman" w:hAnsi="Times New Roman"/>
        </w:rPr>
        <w:t>bicínom u dojčených detí</w:t>
      </w:r>
      <w:r w:rsidR="00804AD9" w:rsidRPr="006B3987">
        <w:rPr>
          <w:rFonts w:ascii="Times New Roman" w:hAnsi="Times New Roman"/>
        </w:rPr>
        <w:t>, sa má ženám odporučiť nedojčiť počas liečby idarubicínom a najmenej 14 dní po poslednej dávke.</w:t>
      </w:r>
    </w:p>
    <w:p w14:paraId="2AB659D2" w14:textId="77777777" w:rsidR="00804AD9" w:rsidRPr="006B3987" w:rsidRDefault="00804AD9" w:rsidP="00E10A86">
      <w:pPr>
        <w:spacing w:after="0" w:line="240" w:lineRule="auto"/>
        <w:rPr>
          <w:rFonts w:ascii="Times New Roman" w:hAnsi="Times New Roman"/>
        </w:rPr>
      </w:pPr>
    </w:p>
    <w:p w14:paraId="30A0A0FC" w14:textId="77777777" w:rsidR="00804AD9" w:rsidRPr="006D6615" w:rsidRDefault="00804AD9" w:rsidP="00E10A86">
      <w:pPr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u w:val="single"/>
        </w:rPr>
        <w:t>Fertilita</w:t>
      </w:r>
    </w:p>
    <w:p w14:paraId="1D4CB944" w14:textId="77777777" w:rsidR="00804AD9" w:rsidRPr="001876FA" w:rsidRDefault="00804AD9" w:rsidP="00E10A86">
      <w:pPr>
        <w:spacing w:after="0" w:line="240" w:lineRule="auto"/>
        <w:rPr>
          <w:rFonts w:ascii="Times New Roman" w:hAnsi="Times New Roman"/>
        </w:rPr>
      </w:pPr>
      <w:r w:rsidRPr="00465E86">
        <w:rPr>
          <w:rFonts w:ascii="Times New Roman" w:hAnsi="Times New Roman"/>
          <w:spacing w:val="-3"/>
        </w:rPr>
        <w:t xml:space="preserve">Idarubicín môže spôsobiť poškodenie chromozómov v ľudských spermiách. Z tohto </w:t>
      </w:r>
      <w:r w:rsidRPr="006B3987">
        <w:rPr>
          <w:rFonts w:ascii="Times New Roman" w:hAnsi="Times New Roman"/>
          <w:spacing w:val="-3"/>
        </w:rPr>
        <w:t>dôvodu m</w:t>
      </w:r>
      <w:r w:rsidR="00E070C5" w:rsidRPr="006D6615">
        <w:rPr>
          <w:rFonts w:ascii="Times New Roman" w:hAnsi="Times New Roman"/>
          <w:spacing w:val="-3"/>
        </w:rPr>
        <w:t>ajú</w:t>
      </w:r>
      <w:r w:rsidRPr="00465E86">
        <w:rPr>
          <w:rFonts w:ascii="Times New Roman" w:hAnsi="Times New Roman"/>
          <w:spacing w:val="-3"/>
        </w:rPr>
        <w:t xml:space="preserve"> muži, ktorí sa liečia idarubicínom, </w:t>
      </w:r>
      <w:r w:rsidRPr="00E070C5">
        <w:rPr>
          <w:rFonts w:ascii="Times New Roman" w:hAnsi="Times New Roman"/>
        </w:rPr>
        <w:t>používať účinné metódy antikoncepcie počas liečby a</w:t>
      </w:r>
      <w:r w:rsidR="00911FB4" w:rsidRPr="00E070C5">
        <w:rPr>
          <w:rFonts w:ascii="Times New Roman" w:hAnsi="Times New Roman"/>
        </w:rPr>
        <w:t xml:space="preserve"> ešte </w:t>
      </w:r>
      <w:r w:rsidRPr="00E070C5">
        <w:rPr>
          <w:rFonts w:ascii="Times New Roman" w:hAnsi="Times New Roman"/>
        </w:rPr>
        <w:t>najmenej 3,5 mesiaca po poslednej dávke (pozri časť 4.4).</w:t>
      </w:r>
      <w:r w:rsidR="00911FB4" w:rsidRPr="00E070C5">
        <w:rPr>
          <w:rFonts w:ascii="Times New Roman" w:hAnsi="Times New Roman"/>
        </w:rPr>
        <w:t xml:space="preserve"> Muži aj ženy </w:t>
      </w:r>
      <w:r w:rsidR="00906026" w:rsidRPr="00E070C5">
        <w:rPr>
          <w:rFonts w:ascii="Times New Roman" w:hAnsi="Times New Roman"/>
        </w:rPr>
        <w:t xml:space="preserve">sa </w:t>
      </w:r>
      <w:r w:rsidR="00911FB4" w:rsidRPr="00E070C5">
        <w:rPr>
          <w:rFonts w:ascii="Times New Roman" w:hAnsi="Times New Roman"/>
        </w:rPr>
        <w:t xml:space="preserve">majú pred liečbou poradiť </w:t>
      </w:r>
      <w:r w:rsidR="00906026" w:rsidRPr="00E070C5">
        <w:rPr>
          <w:rFonts w:ascii="Times New Roman" w:hAnsi="Times New Roman"/>
        </w:rPr>
        <w:t xml:space="preserve">o možnostiach </w:t>
      </w:r>
      <w:r w:rsidR="007C7B2F" w:rsidRPr="00931FA5">
        <w:rPr>
          <w:rFonts w:ascii="Times New Roman" w:hAnsi="Times New Roman"/>
        </w:rPr>
        <w:t>za</w:t>
      </w:r>
      <w:r w:rsidR="00906026" w:rsidRPr="00931FA5">
        <w:rPr>
          <w:rFonts w:ascii="Times New Roman" w:hAnsi="Times New Roman"/>
        </w:rPr>
        <w:t>chovania fertility.</w:t>
      </w:r>
    </w:p>
    <w:p w14:paraId="236C37C0" w14:textId="77777777" w:rsidR="00804AD9" w:rsidRPr="00A0786D" w:rsidRDefault="00804AD9" w:rsidP="00E10A86">
      <w:pPr>
        <w:spacing w:after="0" w:line="240" w:lineRule="auto"/>
        <w:rPr>
          <w:rFonts w:ascii="Times New Roman" w:hAnsi="Times New Roman"/>
        </w:rPr>
      </w:pPr>
    </w:p>
    <w:p w14:paraId="09A3969F" w14:textId="77777777" w:rsidR="00420D4F" w:rsidRPr="003A0C52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0C52">
        <w:rPr>
          <w:rFonts w:ascii="Times New Roman" w:hAnsi="Times New Roman"/>
          <w:b/>
        </w:rPr>
        <w:t>4.7</w:t>
      </w:r>
      <w:r w:rsidRPr="003A0C52">
        <w:rPr>
          <w:rFonts w:ascii="Times New Roman" w:hAnsi="Times New Roman"/>
          <w:b/>
        </w:rPr>
        <w:tab/>
        <w:t>Ovplyvnenie schopnosti viesť vozidlá a obsluhovať stroje</w:t>
      </w:r>
    </w:p>
    <w:p w14:paraId="63D60B61" w14:textId="77777777" w:rsidR="006B218F" w:rsidRPr="003A0C52" w:rsidRDefault="006B218F" w:rsidP="00E10A86">
      <w:pPr>
        <w:spacing w:after="0" w:line="240" w:lineRule="auto"/>
        <w:rPr>
          <w:rFonts w:ascii="Times New Roman" w:hAnsi="Times New Roman"/>
        </w:rPr>
      </w:pPr>
    </w:p>
    <w:p w14:paraId="257F7C3B" w14:textId="77777777" w:rsidR="00630F2E" w:rsidRPr="006B3987" w:rsidRDefault="00630F2E" w:rsidP="00E10A86">
      <w:pPr>
        <w:pStyle w:val="Nadpis8"/>
        <w:spacing w:before="0" w:after="0" w:line="240" w:lineRule="auto"/>
        <w:rPr>
          <w:rFonts w:ascii="Times New Roman" w:hAnsi="Times New Roman"/>
          <w:i w:val="0"/>
        </w:rPr>
      </w:pPr>
      <w:r w:rsidRPr="006B3987">
        <w:rPr>
          <w:rFonts w:ascii="Times New Roman" w:hAnsi="Times New Roman"/>
          <w:i w:val="0"/>
        </w:rPr>
        <w:t>Účinok idarubicínu na schopnosť viesť vozidlá a obsluhovať stroje sa systematicky nehodnotil.</w:t>
      </w:r>
    </w:p>
    <w:p w14:paraId="26CD9DCE" w14:textId="77777777" w:rsidR="00420D4F" w:rsidRPr="006B3987" w:rsidRDefault="00420D4F" w:rsidP="00E10A86">
      <w:pPr>
        <w:pStyle w:val="Nadpis8"/>
        <w:spacing w:before="0" w:after="0" w:line="240" w:lineRule="auto"/>
        <w:rPr>
          <w:rFonts w:ascii="Times New Roman" w:hAnsi="Times New Roman"/>
          <w:lang w:val="pl-PL"/>
        </w:rPr>
      </w:pPr>
    </w:p>
    <w:p w14:paraId="392BAE6B" w14:textId="77777777" w:rsidR="00420D4F" w:rsidRPr="006B3987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B3987">
        <w:rPr>
          <w:rFonts w:ascii="Times New Roman" w:hAnsi="Times New Roman"/>
          <w:b/>
        </w:rPr>
        <w:t>4.8</w:t>
      </w:r>
      <w:r w:rsidRPr="006B3987">
        <w:rPr>
          <w:rFonts w:ascii="Times New Roman" w:hAnsi="Times New Roman"/>
          <w:b/>
        </w:rPr>
        <w:tab/>
        <w:t>Nežiaduce účinky</w:t>
      </w:r>
    </w:p>
    <w:p w14:paraId="5BCF1CC1" w14:textId="77777777" w:rsidR="006B218F" w:rsidRPr="004935D2" w:rsidRDefault="006B218F" w:rsidP="00E10A86">
      <w:pPr>
        <w:spacing w:after="0" w:line="240" w:lineRule="auto"/>
        <w:rPr>
          <w:rFonts w:ascii="Times New Roman" w:hAnsi="Times New Roman"/>
          <w:bCs/>
        </w:rPr>
      </w:pPr>
    </w:p>
    <w:p w14:paraId="338F08CE" w14:textId="77777777" w:rsidR="00630F2E" w:rsidRPr="00E37901" w:rsidRDefault="00630F2E" w:rsidP="00630F2E">
      <w:pPr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  <w:bCs/>
        </w:rPr>
        <w:t>Nasledujúce nežiaduce účinky boli pozorované a hlásené počas liečby idarubicínom s nasledujúcou frekvenciou</w:t>
      </w:r>
      <w:r w:rsidRPr="00E37901">
        <w:rPr>
          <w:rFonts w:ascii="Times New Roman" w:hAnsi="Times New Roman"/>
        </w:rPr>
        <w:t>:</w:t>
      </w:r>
    </w:p>
    <w:p w14:paraId="1151A7DF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</w:rPr>
      </w:pPr>
      <w:r w:rsidRPr="00E37901">
        <w:rPr>
          <w:rFonts w:ascii="Times New Roman" w:hAnsi="Times New Roman"/>
        </w:rPr>
        <w:t>veľmi časté (</w:t>
      </w:r>
      <w:r w:rsidRPr="006D6615">
        <w:rPr>
          <w:rFonts w:ascii="Times New Roman" w:hAnsi="Times New Roman"/>
          <w:iCs/>
        </w:rPr>
        <w:t>≥ </w:t>
      </w:r>
      <w:r w:rsidRPr="006D6615">
        <w:rPr>
          <w:rFonts w:ascii="Times New Roman" w:hAnsi="Times New Roman"/>
        </w:rPr>
        <w:t>1/10), časté (</w:t>
      </w:r>
      <w:r w:rsidRPr="006D6615">
        <w:rPr>
          <w:rFonts w:ascii="Times New Roman" w:hAnsi="Times New Roman"/>
          <w:iCs/>
        </w:rPr>
        <w:t>≥ </w:t>
      </w:r>
      <w:r w:rsidRPr="006D6615">
        <w:rPr>
          <w:rFonts w:ascii="Times New Roman" w:hAnsi="Times New Roman"/>
        </w:rPr>
        <w:t>1/100 až &lt; 1/10), menej časté (</w:t>
      </w:r>
      <w:r w:rsidRPr="006D6615">
        <w:rPr>
          <w:rFonts w:ascii="Times New Roman" w:hAnsi="Times New Roman"/>
          <w:iCs/>
        </w:rPr>
        <w:t>≥ </w:t>
      </w:r>
      <w:r w:rsidRPr="006D6615">
        <w:rPr>
          <w:rFonts w:ascii="Times New Roman" w:hAnsi="Times New Roman"/>
        </w:rPr>
        <w:t>1/1 000 až &lt; 1/100), zriedkavé (</w:t>
      </w:r>
      <w:r w:rsidRPr="006D6615">
        <w:rPr>
          <w:rFonts w:ascii="Times New Roman" w:hAnsi="Times New Roman"/>
          <w:iCs/>
        </w:rPr>
        <w:t>≥ </w:t>
      </w:r>
      <w:r w:rsidRPr="006D6615">
        <w:rPr>
          <w:rFonts w:ascii="Times New Roman" w:hAnsi="Times New Roman"/>
        </w:rPr>
        <w:t>1/10 000 až &lt; 1/1 000), veľmi zriedkavé (&lt; 1/10 000), neznáme (z dostupných údajov).</w:t>
      </w:r>
    </w:p>
    <w:p w14:paraId="04A1D21C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46"/>
        <w:gridCol w:w="4201"/>
      </w:tblGrid>
      <w:tr w:rsidR="00630F2E" w:rsidRPr="006D6615" w14:paraId="39819A72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2335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caps w:val="0"/>
              </w:rPr>
              <w:t>Infekcie a nákazy</w:t>
            </w:r>
          </w:p>
        </w:tc>
      </w:tr>
      <w:tr w:rsidR="00630F2E" w:rsidRPr="006D6615" w14:paraId="2D0157F8" w14:textId="77777777" w:rsidTr="00D85A02">
        <w:trPr>
          <w:trHeight w:val="232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A5C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82F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infekcie</w:t>
            </w:r>
          </w:p>
        </w:tc>
      </w:tr>
      <w:tr w:rsidR="00630F2E" w:rsidRPr="006D6615" w14:paraId="7AFC2EC9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738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2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sepsa, septikémia</w:t>
            </w:r>
          </w:p>
        </w:tc>
      </w:tr>
      <w:tr w:rsidR="00630F2E" w:rsidRPr="006D6615" w14:paraId="6E8991E3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962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caps w:val="0"/>
              </w:rPr>
              <w:t xml:space="preserve">Benígne a malígne nádory </w:t>
            </w:r>
            <w:r w:rsidRPr="006D6615">
              <w:rPr>
                <w:rFonts w:ascii="Times New Roman" w:hAnsi="Times New Roman"/>
                <w:iCs/>
                <w:caps w:val="0"/>
              </w:rPr>
              <w:t>vrátane nešpecifikovaných novotvarov (cysty a polypy)</w:t>
            </w:r>
          </w:p>
        </w:tc>
      </w:tr>
      <w:tr w:rsidR="00630F2E" w:rsidRPr="006D6615" w14:paraId="40FEB522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0C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4D790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sekundárna leukémia (akútna myeloblastová leukémia a myelodysplastický syndróm)</w:t>
            </w:r>
          </w:p>
        </w:tc>
      </w:tr>
      <w:tr w:rsidR="00630F2E" w:rsidRPr="006D6615" w14:paraId="3B83950E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314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  <w:bCs/>
                <w:lang w:val="pl-PL"/>
              </w:rPr>
              <w:t>Poruchy krvi a lymfatického systému</w:t>
            </w:r>
          </w:p>
        </w:tc>
      </w:tr>
      <w:tr w:rsidR="00630F2E" w:rsidRPr="006D6615" w14:paraId="24F8AAEE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C2B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E8B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trombocytopénia, závažná leukopénia a neutropénia, anémia</w:t>
            </w:r>
          </w:p>
        </w:tc>
      </w:tr>
      <w:tr w:rsidR="00630F2E" w:rsidRPr="006D6615" w14:paraId="6C893332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D88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neznáme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8C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pancytopénia</w:t>
            </w:r>
          </w:p>
        </w:tc>
      </w:tr>
      <w:tr w:rsidR="00630F2E" w:rsidRPr="006D6615" w14:paraId="0A1CAA48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B40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</w:rPr>
              <w:t>Poruchy imunitného systému</w:t>
            </w:r>
          </w:p>
        </w:tc>
      </w:tr>
      <w:tr w:rsidR="00630F2E" w:rsidRPr="006D6615" w14:paraId="2D4DEFA1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271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zriedkavé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B10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anafylaxia</w:t>
            </w:r>
          </w:p>
        </w:tc>
      </w:tr>
      <w:tr w:rsidR="00630F2E" w:rsidRPr="006D6615" w14:paraId="5C629992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CA9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caps w:val="0"/>
              </w:rPr>
              <w:t>Poruchy endokrinného systému</w:t>
            </w:r>
          </w:p>
        </w:tc>
      </w:tr>
      <w:tr w:rsidR="00630F2E" w:rsidRPr="006D6615" w14:paraId="5377EF65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F7F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D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anorexia</w:t>
            </w:r>
          </w:p>
        </w:tc>
      </w:tr>
      <w:tr w:rsidR="00630F2E" w:rsidRPr="006D6615" w14:paraId="1B316ED3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890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21C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dehydratácia</w:t>
            </w:r>
          </w:p>
        </w:tc>
      </w:tr>
      <w:tr w:rsidR="00630F2E" w:rsidRPr="006D6615" w14:paraId="7CE645CC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666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caps w:val="0"/>
              </w:rPr>
              <w:t>Poruchy metabolizmu a výživy</w:t>
            </w:r>
          </w:p>
        </w:tc>
      </w:tr>
      <w:tr w:rsidR="00630F2E" w:rsidRPr="006D6615" w14:paraId="3DCC6084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C8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93E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hyperurikémia</w:t>
            </w:r>
          </w:p>
        </w:tc>
      </w:tr>
      <w:tr w:rsidR="00630F2E" w:rsidRPr="006D6615" w14:paraId="733F2112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E7E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neznáme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01B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syndróm z rozpadu nádoru</w:t>
            </w:r>
          </w:p>
        </w:tc>
      </w:tr>
      <w:tr w:rsidR="00630F2E" w:rsidRPr="006D6615" w14:paraId="7700EE30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3A4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bCs/>
                <w:caps w:val="0"/>
              </w:rPr>
              <w:t>Poruchy nervového systému</w:t>
            </w:r>
          </w:p>
        </w:tc>
      </w:tr>
      <w:tr w:rsidR="00630F2E" w:rsidRPr="006D6615" w14:paraId="55E77F42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20D" w14:textId="77777777" w:rsidR="00630F2E" w:rsidRPr="006D6615" w:rsidRDefault="00630F2E" w:rsidP="00D85A0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D6615">
              <w:rPr>
                <w:rFonts w:ascii="Times New Roman" w:hAnsi="Times New Roman"/>
              </w:rPr>
              <w:t xml:space="preserve">zriedkavé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E6D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krvácanie do mozgu</w:t>
            </w:r>
          </w:p>
        </w:tc>
      </w:tr>
      <w:tr w:rsidR="00630F2E" w:rsidRPr="006D6615" w14:paraId="6F22222C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1A4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bCs/>
                <w:caps w:val="0"/>
              </w:rPr>
              <w:t>Poruchy srdca a srdcovej činnosti</w:t>
            </w:r>
          </w:p>
        </w:tc>
      </w:tr>
      <w:tr w:rsidR="00630F2E" w:rsidRPr="006D6615" w14:paraId="42623163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AC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9EA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kongestívne zlyhávanie srdca, bradykardia, sínusová tachykardia, tachyarytmia, asymptomatické zníženie ejekčnej frakci</w:t>
            </w:r>
            <w:r w:rsidR="00522AAE" w:rsidRPr="006D6615">
              <w:rPr>
                <w:rFonts w:ascii="Times New Roman" w:hAnsi="Times New Roman"/>
                <w:b w:val="0"/>
                <w:caps w:val="0"/>
              </w:rPr>
              <w:t>e ľavej komory, kardiomyopatie</w:t>
            </w:r>
            <w:r w:rsidR="00522AAE" w:rsidRPr="006D6615">
              <w:rPr>
                <w:rFonts w:ascii="Times New Roman" w:hAnsi="Times New Roman"/>
                <w:b w:val="0"/>
                <w:caps w:val="0"/>
                <w:vertAlign w:val="superscript"/>
              </w:rPr>
              <w:t>b</w:t>
            </w:r>
          </w:p>
        </w:tc>
      </w:tr>
      <w:tr w:rsidR="00630F2E" w:rsidRPr="006D6615" w14:paraId="334C8BB5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27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E5B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infar</w:t>
            </w:r>
            <w:r w:rsidR="00522AAE" w:rsidRPr="006D6615">
              <w:rPr>
                <w:rFonts w:ascii="Times New Roman" w:hAnsi="Times New Roman"/>
                <w:b w:val="0"/>
                <w:caps w:val="0"/>
              </w:rPr>
              <w:t>kt myokardu, abnormality na EKG</w:t>
            </w:r>
            <w:r w:rsidR="00522AAE" w:rsidRPr="006D6615">
              <w:rPr>
                <w:rFonts w:ascii="Times New Roman" w:hAnsi="Times New Roman"/>
                <w:b w:val="0"/>
                <w:caps w:val="0"/>
                <w:vertAlign w:val="superscript"/>
              </w:rPr>
              <w:t>a</w:t>
            </w:r>
          </w:p>
        </w:tc>
      </w:tr>
      <w:tr w:rsidR="00630F2E" w:rsidRPr="006D6615" w14:paraId="4863B6A0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FA5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zriedkavé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BF4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perikarditída, myokarditída, atrioventrikulárne a ramienkové blokády</w:t>
            </w:r>
          </w:p>
        </w:tc>
      </w:tr>
      <w:tr w:rsidR="00630F2E" w:rsidRPr="006D6615" w14:paraId="2F1BC4EB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30C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</w:rPr>
              <w:t>Poruchy ciev</w:t>
            </w:r>
          </w:p>
        </w:tc>
      </w:tr>
      <w:tr w:rsidR="00630F2E" w:rsidRPr="006D6615" w14:paraId="16450A7C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1E1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BA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hemorágie, lokálna flebitída, tromboflebitída</w:t>
            </w:r>
          </w:p>
        </w:tc>
      </w:tr>
      <w:tr w:rsidR="00630F2E" w:rsidRPr="006D6615" w14:paraId="441A4236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15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C9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šok</w:t>
            </w:r>
          </w:p>
        </w:tc>
      </w:tr>
      <w:tr w:rsidR="00630F2E" w:rsidRPr="006D6615" w14:paraId="7A2C93BF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28A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zriedkavé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891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trombembólia, sčervenanie</w:t>
            </w:r>
          </w:p>
        </w:tc>
      </w:tr>
      <w:tr w:rsidR="00630F2E" w:rsidRPr="006D6615" w14:paraId="26B67F62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4C2" w14:textId="77777777" w:rsidR="00630F2E" w:rsidRPr="006D6615" w:rsidRDefault="00630F2E" w:rsidP="00D85A02">
            <w:pPr>
              <w:pStyle w:val="Nzov"/>
              <w:snapToGrid w:val="0"/>
              <w:spacing w:before="240" w:after="0" w:line="240" w:lineRule="auto"/>
              <w:jc w:val="left"/>
              <w:rPr>
                <w:rFonts w:ascii="Times New Roman" w:hAnsi="Times New Roman"/>
                <w:caps w:val="0"/>
              </w:rPr>
            </w:pPr>
            <w:r w:rsidRPr="006D6615">
              <w:rPr>
                <w:rFonts w:ascii="Times New Roman" w:hAnsi="Times New Roman"/>
                <w:bCs/>
                <w:caps w:val="0"/>
              </w:rPr>
              <w:t>Poruchy gastrointestinálneho traktu</w:t>
            </w:r>
          </w:p>
        </w:tc>
      </w:tr>
      <w:tr w:rsidR="00630F2E" w:rsidRPr="006D6615" w14:paraId="0DE1875C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253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E2E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 xml:space="preserve">nauzea, vracanie, mukozitída/stomatitída, hnačka, abdominálna bolesť alebo pocity pálenia </w:t>
            </w:r>
          </w:p>
        </w:tc>
      </w:tr>
      <w:tr w:rsidR="00630F2E" w:rsidRPr="006D6615" w14:paraId="03392109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69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AE2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gastrointestinálne krvácanie, bolesť brucha</w:t>
            </w:r>
          </w:p>
        </w:tc>
      </w:tr>
      <w:tr w:rsidR="00630F2E" w:rsidRPr="006D6615" w14:paraId="5CEFFD99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AD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FCC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ezofagitída, kolitída</w:t>
            </w:r>
            <w:r w:rsidR="00522AAE" w:rsidRPr="006D6615">
              <w:rPr>
                <w:rFonts w:ascii="Times New Roman" w:hAnsi="Times New Roman"/>
                <w:b w:val="0"/>
                <w:bCs/>
                <w:caps w:val="0"/>
                <w:vertAlign w:val="superscript"/>
              </w:rPr>
              <w:t>c</w:t>
            </w:r>
          </w:p>
        </w:tc>
      </w:tr>
      <w:tr w:rsidR="00630F2E" w:rsidRPr="006D6615" w14:paraId="70F66AC5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446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zriedkavé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EA3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žalúdočné erózie alebo ulcerácie</w:t>
            </w:r>
          </w:p>
        </w:tc>
      </w:tr>
      <w:tr w:rsidR="00630F2E" w:rsidRPr="006D6615" w14:paraId="7A0525B1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350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</w:rPr>
              <w:t>Poruchy pečene a žlčových ciest</w:t>
            </w:r>
          </w:p>
        </w:tc>
      </w:tr>
      <w:tr w:rsidR="00630F2E" w:rsidRPr="006D6615" w14:paraId="080E9DF2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B24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70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zvýšenie hladiny pečeňových enzýmov a bilirubínu</w:t>
            </w:r>
          </w:p>
        </w:tc>
      </w:tr>
      <w:tr w:rsidR="00630F2E" w:rsidRPr="006D6615" w14:paraId="0034168A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B72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</w:rPr>
              <w:t>Poruchy kože a podkožného tkaniva</w:t>
            </w:r>
          </w:p>
        </w:tc>
      </w:tr>
      <w:tr w:rsidR="00630F2E" w:rsidRPr="006D6615" w14:paraId="36B3645F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29A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02B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alopécia</w:t>
            </w:r>
          </w:p>
        </w:tc>
      </w:tr>
      <w:tr w:rsidR="00630F2E" w:rsidRPr="006D6615" w14:paraId="6F6D0D81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901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2B1" w14:textId="77777777" w:rsidR="00630F2E" w:rsidRPr="006D6615" w:rsidRDefault="00630F2E" w:rsidP="00522AAE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vyrážka, svrbenie, precitlivenosť v oblasti ožiarenej kože</w:t>
            </w:r>
            <w:r w:rsidR="00522AAE" w:rsidRPr="006D6615">
              <w:rPr>
                <w:rFonts w:ascii="Times New Roman" w:hAnsi="Times New Roman"/>
                <w:b w:val="0"/>
                <w:caps w:val="0"/>
                <w:vertAlign w:val="superscript"/>
              </w:rPr>
              <w:t>d</w:t>
            </w:r>
          </w:p>
        </w:tc>
      </w:tr>
      <w:tr w:rsidR="00630F2E" w:rsidRPr="006D6615" w14:paraId="48E317C5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BC8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menej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37A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urtikária, hyperpigmentácia kože a nechtov, celulitída</w:t>
            </w:r>
            <w:r w:rsidR="00522AAE" w:rsidRPr="006D6615">
              <w:rPr>
                <w:rFonts w:ascii="Times New Roman" w:hAnsi="Times New Roman"/>
                <w:b w:val="0"/>
                <w:caps w:val="0"/>
                <w:vertAlign w:val="superscript"/>
              </w:rPr>
              <w:t>e</w:t>
            </w:r>
            <w:r w:rsidRPr="006D6615">
              <w:rPr>
                <w:rFonts w:ascii="Times New Roman" w:hAnsi="Times New Roman"/>
                <w:b w:val="0"/>
                <w:caps w:val="0"/>
              </w:rPr>
              <w:t>, tkanivová nekróza</w:t>
            </w:r>
          </w:p>
        </w:tc>
      </w:tr>
      <w:tr w:rsidR="00630F2E" w:rsidRPr="006D6615" w14:paraId="7A3D5CB8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27F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zriedkavé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B7C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akrálny erytém</w:t>
            </w:r>
          </w:p>
        </w:tc>
      </w:tr>
      <w:tr w:rsidR="00630F2E" w:rsidRPr="006D6615" w14:paraId="01582130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588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neznáme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174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lokálna reakcia</w:t>
            </w:r>
          </w:p>
        </w:tc>
      </w:tr>
      <w:tr w:rsidR="00630F2E" w:rsidRPr="006D6615" w14:paraId="1FB183A3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D16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</w:rPr>
              <w:t>Poruchy obličiek a močových ciest</w:t>
            </w:r>
          </w:p>
        </w:tc>
      </w:tr>
      <w:tr w:rsidR="00630F2E" w:rsidRPr="006D6615" w14:paraId="104D826A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D7F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8F4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červené sfarbenie moču 1 − 2 dni po podaní liečiva</w:t>
            </w:r>
          </w:p>
        </w:tc>
      </w:tr>
      <w:tr w:rsidR="00630F2E" w:rsidRPr="006D6615" w14:paraId="36C9E53F" w14:textId="77777777" w:rsidTr="00D85A02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1B6" w14:textId="77777777" w:rsidR="00630F2E" w:rsidRPr="006D6615" w:rsidRDefault="00630F2E" w:rsidP="00D85A02">
            <w:pPr>
              <w:pStyle w:val="Hlavika"/>
              <w:snapToGrid w:val="0"/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6D6615">
              <w:rPr>
                <w:rFonts w:ascii="Times New Roman" w:hAnsi="Times New Roman"/>
                <w:b/>
                <w:bCs/>
              </w:rPr>
              <w:t>Celkové poruchy a reakcie v mieste podania</w:t>
            </w:r>
          </w:p>
        </w:tc>
      </w:tr>
      <w:tr w:rsidR="00630F2E" w:rsidRPr="006D6615" w14:paraId="182FD8FF" w14:textId="77777777" w:rsidTr="00D85A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937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veľmi časté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030" w14:textId="77777777" w:rsidR="00630F2E" w:rsidRPr="006D6615" w:rsidRDefault="00630F2E" w:rsidP="00D85A02">
            <w:pPr>
              <w:pStyle w:val="Nzov"/>
              <w:snapToGrid w:val="0"/>
              <w:spacing w:after="0" w:line="240" w:lineRule="auto"/>
              <w:jc w:val="left"/>
              <w:rPr>
                <w:rFonts w:ascii="Times New Roman" w:hAnsi="Times New Roman"/>
                <w:b w:val="0"/>
                <w:caps w:val="0"/>
              </w:rPr>
            </w:pPr>
            <w:r w:rsidRPr="006D6615">
              <w:rPr>
                <w:rFonts w:ascii="Times New Roman" w:hAnsi="Times New Roman"/>
                <w:b w:val="0"/>
                <w:caps w:val="0"/>
              </w:rPr>
              <w:t>horúčka, bolesť hlavy, zimnica</w:t>
            </w:r>
          </w:p>
        </w:tc>
      </w:tr>
    </w:tbl>
    <w:p w14:paraId="7EA47404" w14:textId="77777777" w:rsidR="00630F2E" w:rsidRPr="006D6615" w:rsidRDefault="00630F2E" w:rsidP="00630F2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03C54D" w14:textId="77777777" w:rsidR="00630F2E" w:rsidRPr="006D6615" w:rsidRDefault="00522AAE" w:rsidP="00630F2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a</w:t>
      </w:r>
      <w:r w:rsidR="00630F2E" w:rsidRPr="006D6615">
        <w:rPr>
          <w:rFonts w:ascii="Times New Roman" w:hAnsi="Times New Roman"/>
        </w:rPr>
        <w:t xml:space="preserve"> </w:t>
      </w:r>
      <w:r w:rsidR="00630F2E" w:rsidRPr="006D6615">
        <w:rPr>
          <w:rFonts w:ascii="Times New Roman" w:hAnsi="Times New Roman"/>
        </w:rPr>
        <w:tab/>
        <w:t>Nešpecifické</w:t>
      </w:r>
      <w:r w:rsidRPr="006D6615">
        <w:rPr>
          <w:rFonts w:ascii="Times New Roman" w:hAnsi="Times New Roman"/>
        </w:rPr>
        <w:t xml:space="preserve"> zmeny v ST-segmente.</w:t>
      </w:r>
      <w:r w:rsidRPr="006D6615">
        <w:rPr>
          <w:rFonts w:ascii="Times New Roman" w:hAnsi="Times New Roman"/>
        </w:rPr>
        <w:br/>
        <w:t>b</w:t>
      </w:r>
      <w:r w:rsidR="00630F2E" w:rsidRPr="006D6615">
        <w:rPr>
          <w:rFonts w:ascii="Times New Roman" w:hAnsi="Times New Roman"/>
        </w:rPr>
        <w:t xml:space="preserve"> </w:t>
      </w:r>
      <w:r w:rsidR="00630F2E" w:rsidRPr="006D6615">
        <w:rPr>
          <w:rFonts w:ascii="Times New Roman" w:hAnsi="Times New Roman"/>
        </w:rPr>
        <w:tab/>
        <w:t>Súvisiace prejavy a príznaky, pozri časť 4.4.</w:t>
      </w:r>
      <w:r w:rsidR="00630F2E" w:rsidRPr="006D6615">
        <w:rPr>
          <w:rFonts w:ascii="Times New Roman" w:hAnsi="Times New Roman"/>
        </w:rPr>
        <w:br/>
      </w:r>
      <w:r w:rsidRPr="006D6615">
        <w:rPr>
          <w:rFonts w:ascii="Times New Roman" w:hAnsi="Times New Roman"/>
        </w:rPr>
        <w:t>c</w:t>
      </w:r>
      <w:r w:rsidR="00630F2E" w:rsidRPr="006D6615">
        <w:rPr>
          <w:rFonts w:ascii="Times New Roman" w:hAnsi="Times New Roman"/>
        </w:rPr>
        <w:t xml:space="preserve"> </w:t>
      </w:r>
      <w:r w:rsidR="00630F2E" w:rsidRPr="006D6615">
        <w:rPr>
          <w:rFonts w:ascii="Times New Roman" w:hAnsi="Times New Roman"/>
        </w:rPr>
        <w:tab/>
        <w:t>Zahŕňa závažnú enterokolitídu/neutropenickú enterokolitídu s perforáciou.</w:t>
      </w:r>
      <w:r w:rsidR="00630F2E" w:rsidRPr="006D6615">
        <w:rPr>
          <w:rFonts w:ascii="Times New Roman" w:hAnsi="Times New Roman"/>
        </w:rPr>
        <w:br/>
      </w:r>
      <w:r w:rsidRPr="006D6615">
        <w:rPr>
          <w:rFonts w:ascii="Times New Roman" w:hAnsi="Times New Roman"/>
          <w:bCs/>
        </w:rPr>
        <w:t>d</w:t>
      </w:r>
      <w:r w:rsidR="00630F2E" w:rsidRPr="006D6615">
        <w:rPr>
          <w:rFonts w:ascii="Times New Roman" w:hAnsi="Times New Roman"/>
          <w:bCs/>
        </w:rPr>
        <w:t xml:space="preserve"> </w:t>
      </w:r>
      <w:r w:rsidR="00630F2E" w:rsidRPr="006D6615">
        <w:rPr>
          <w:rFonts w:ascii="Times New Roman" w:hAnsi="Times New Roman"/>
          <w:bCs/>
        </w:rPr>
        <w:tab/>
        <w:t>Reakcia z ožarovania „radiation recall“</w:t>
      </w:r>
      <w:r w:rsidR="00630F2E" w:rsidRPr="006D6615">
        <w:rPr>
          <w:rFonts w:ascii="Times New Roman" w:hAnsi="Times New Roman"/>
        </w:rPr>
        <w:t xml:space="preserve">. </w:t>
      </w:r>
      <w:r w:rsidR="00630F2E" w:rsidRPr="006D6615">
        <w:rPr>
          <w:rFonts w:ascii="Times New Roman" w:hAnsi="Times New Roman"/>
        </w:rPr>
        <w:br/>
      </w:r>
      <w:r w:rsidRPr="006D6615">
        <w:rPr>
          <w:rFonts w:ascii="Times New Roman" w:hAnsi="Times New Roman"/>
        </w:rPr>
        <w:t>e</w:t>
      </w:r>
      <w:r w:rsidR="00630F2E" w:rsidRPr="006D6615">
        <w:rPr>
          <w:rFonts w:ascii="Times New Roman" w:hAnsi="Times New Roman"/>
        </w:rPr>
        <w:t xml:space="preserve"> </w:t>
      </w:r>
      <w:r w:rsidR="00630F2E" w:rsidRPr="006D6615">
        <w:rPr>
          <w:rFonts w:ascii="Times New Roman" w:hAnsi="Times New Roman"/>
        </w:rPr>
        <w:tab/>
        <w:t>Tento účinok môže byť závažný.</w:t>
      </w:r>
    </w:p>
    <w:p w14:paraId="59B4DA96" w14:textId="77777777" w:rsidR="008C09A3" w:rsidRPr="006D6615" w:rsidRDefault="008C09A3" w:rsidP="00E10A86">
      <w:pPr>
        <w:tabs>
          <w:tab w:val="left" w:pos="1275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0A328E81" w14:textId="77777777" w:rsidR="00630F2E" w:rsidRPr="006D6615" w:rsidRDefault="00630F2E" w:rsidP="00630F2E">
      <w:pPr>
        <w:tabs>
          <w:tab w:val="left" w:pos="1275"/>
        </w:tabs>
        <w:spacing w:after="0" w:line="240" w:lineRule="auto"/>
        <w:rPr>
          <w:rFonts w:ascii="Times New Roman" w:hAnsi="Times New Roman"/>
          <w:color w:val="000000"/>
        </w:rPr>
      </w:pPr>
      <w:r w:rsidRPr="006D6615">
        <w:rPr>
          <w:rFonts w:ascii="Times New Roman" w:hAnsi="Times New Roman"/>
          <w:u w:val="single"/>
          <w:lang w:eastAsia="ar-SA"/>
        </w:rPr>
        <w:t>Popis vybraných nežiaducich reakcií</w:t>
      </w:r>
    </w:p>
    <w:p w14:paraId="50918E74" w14:textId="77777777" w:rsidR="00630F2E" w:rsidRPr="006D6615" w:rsidRDefault="00630F2E" w:rsidP="00630F2E">
      <w:pPr>
        <w:tabs>
          <w:tab w:val="left" w:pos="1275"/>
        </w:tabs>
        <w:spacing w:after="0" w:line="240" w:lineRule="auto"/>
        <w:rPr>
          <w:rFonts w:ascii="Times New Roman" w:hAnsi="Times New Roman"/>
          <w:color w:val="000000"/>
        </w:rPr>
      </w:pPr>
    </w:p>
    <w:p w14:paraId="7B12DCB1" w14:textId="77777777" w:rsidR="00630F2E" w:rsidRPr="006D6615" w:rsidRDefault="00630F2E" w:rsidP="00630F2E">
      <w:pPr>
        <w:pStyle w:val="Nadpis"/>
        <w:tabs>
          <w:tab w:val="left" w:pos="1275"/>
        </w:tabs>
        <w:snapToGrid w:val="0"/>
        <w:spacing w:before="0" w:after="0" w:line="240" w:lineRule="auto"/>
        <w:rPr>
          <w:rFonts w:ascii="Times New Roman" w:hAnsi="Times New Roman" w:cs="Times New Roman"/>
          <w:bCs/>
          <w:i/>
          <w:sz w:val="22"/>
          <w:szCs w:val="22"/>
        </w:rPr>
      </w:pPr>
      <w:r w:rsidRPr="006D6615">
        <w:rPr>
          <w:rFonts w:ascii="Times New Roman" w:hAnsi="Times New Roman" w:cs="Times New Roman"/>
          <w:bCs/>
          <w:i/>
          <w:sz w:val="22"/>
          <w:szCs w:val="22"/>
        </w:rPr>
        <w:t>Hematopoetický systém</w:t>
      </w:r>
    </w:p>
    <w:p w14:paraId="1DA9695D" w14:textId="77777777" w:rsidR="00630F2E" w:rsidRPr="006D6615" w:rsidRDefault="00630F2E" w:rsidP="00630F2E">
      <w:pPr>
        <w:pStyle w:val="Zkladntext"/>
        <w:spacing w:after="0" w:line="240" w:lineRule="auto"/>
        <w:rPr>
          <w:rFonts w:ascii="Times New Roman" w:hAnsi="Times New Roman"/>
          <w:lang w:eastAsia="ar-SA"/>
        </w:rPr>
      </w:pPr>
    </w:p>
    <w:p w14:paraId="073BE064" w14:textId="77777777" w:rsidR="00630F2E" w:rsidRPr="006D6615" w:rsidRDefault="00630F2E" w:rsidP="00630F2E">
      <w:pPr>
        <w:tabs>
          <w:tab w:val="left" w:pos="1275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Výrazná myelosupresia je najzávažnejšou nežiaducou reakciou liečby idarubicínom. Je ale nevyhnutná pre eradikáciu leukemických buniek (pozri časť 4.4).</w:t>
      </w:r>
    </w:p>
    <w:p w14:paraId="1F1C1A5F" w14:textId="77777777" w:rsidR="00630F2E" w:rsidRPr="006D6615" w:rsidRDefault="00630F2E" w:rsidP="00630F2E">
      <w:pPr>
        <w:tabs>
          <w:tab w:val="left" w:pos="1275"/>
        </w:tabs>
        <w:spacing w:after="0" w:line="240" w:lineRule="auto"/>
        <w:rPr>
          <w:rFonts w:ascii="Times New Roman" w:hAnsi="Times New Roman"/>
          <w:u w:val="single"/>
        </w:rPr>
      </w:pPr>
    </w:p>
    <w:p w14:paraId="142C7147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  <w:i/>
        </w:rPr>
      </w:pPr>
      <w:r w:rsidRPr="006D6615">
        <w:rPr>
          <w:rFonts w:ascii="Times New Roman" w:hAnsi="Times New Roman"/>
          <w:i/>
        </w:rPr>
        <w:t xml:space="preserve">Kardiotoxicita </w:t>
      </w:r>
    </w:p>
    <w:p w14:paraId="08025E34" w14:textId="77777777" w:rsidR="00B9190F" w:rsidRPr="006D6615" w:rsidRDefault="00B9190F" w:rsidP="00630F2E">
      <w:pPr>
        <w:tabs>
          <w:tab w:val="left" w:pos="0"/>
        </w:tabs>
        <w:spacing w:after="0" w:line="240" w:lineRule="auto"/>
        <w:rPr>
          <w:rStyle w:val="hps"/>
          <w:rFonts w:ascii="Times New Roman" w:hAnsi="Times New Roman"/>
          <w:color w:val="333333"/>
        </w:rPr>
      </w:pPr>
    </w:p>
    <w:p w14:paraId="5DE4A736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color w:val="333333"/>
        </w:rPr>
        <w:t>Ž</w:t>
      </w:r>
      <w:r w:rsidRPr="006D6615">
        <w:rPr>
          <w:rFonts w:ascii="Times New Roman" w:hAnsi="Times New Roman"/>
        </w:rPr>
        <w:t>ivot ohrozujúce kongestívne srdcové zlyhanie je</w:t>
      </w:r>
      <w:r w:rsidRPr="006D6615">
        <w:rPr>
          <w:rFonts w:ascii="Times New Roman" w:hAnsi="Times New Roman"/>
          <w:color w:val="333333"/>
        </w:rPr>
        <w:t xml:space="preserve"> n</w:t>
      </w:r>
      <w:r w:rsidRPr="006D6615">
        <w:rPr>
          <w:rFonts w:ascii="Times New Roman" w:hAnsi="Times New Roman"/>
        </w:rPr>
        <w:t>ajzávažnejšou formou antracyklínmi indukovanej kardiomyopatie</w:t>
      </w:r>
      <w:r w:rsidRPr="006D6615">
        <w:rPr>
          <w:rFonts w:ascii="Times New Roman" w:hAnsi="Times New Roman"/>
          <w:color w:val="333333"/>
        </w:rPr>
        <w:t xml:space="preserve"> a </w:t>
      </w:r>
      <w:r w:rsidRPr="006D6615">
        <w:rPr>
          <w:rFonts w:ascii="Times New Roman" w:hAnsi="Times New Roman"/>
        </w:rPr>
        <w:t>predstavuje toxicitu limitujúcu kumulatívnu dávku lieku (pozri časť 4.4).</w:t>
      </w:r>
    </w:p>
    <w:p w14:paraId="27EFB6E8" w14:textId="77777777" w:rsidR="00630F2E" w:rsidRPr="006D6615" w:rsidRDefault="00630F2E" w:rsidP="00630F2E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3248B886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i/>
        </w:rPr>
      </w:pPr>
      <w:r w:rsidRPr="006D6615">
        <w:rPr>
          <w:rFonts w:ascii="Times New Roman" w:hAnsi="Times New Roman"/>
          <w:i/>
        </w:rPr>
        <w:t>Gastrointestinálny trakt</w:t>
      </w:r>
    </w:p>
    <w:p w14:paraId="2ADBC925" w14:textId="77777777" w:rsidR="00B9190F" w:rsidRPr="006D6615" w:rsidRDefault="00B9190F" w:rsidP="00630F2E">
      <w:pPr>
        <w:spacing w:after="0" w:line="240" w:lineRule="auto"/>
        <w:rPr>
          <w:rFonts w:ascii="Times New Roman" w:hAnsi="Times New Roman"/>
          <w:i/>
          <w:u w:val="single"/>
        </w:rPr>
      </w:pPr>
    </w:p>
    <w:p w14:paraId="4CC04976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Stomatitída a v závažných prípadoch ulcerácia mukózy, dehydratácia spôsobená závažným vracaním a hnačkou; riziko perforácie hrubého čreva atď.</w:t>
      </w:r>
    </w:p>
    <w:p w14:paraId="07CF167A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u w:val="single"/>
        </w:rPr>
      </w:pPr>
    </w:p>
    <w:p w14:paraId="2E9DFB4C" w14:textId="77777777" w:rsidR="00630F2E" w:rsidRPr="006D6615" w:rsidRDefault="00630F2E" w:rsidP="00630F2E">
      <w:pPr>
        <w:keepNext/>
        <w:spacing w:after="0" w:line="240" w:lineRule="auto"/>
        <w:rPr>
          <w:rFonts w:ascii="Times New Roman" w:hAnsi="Times New Roman"/>
          <w:i/>
        </w:rPr>
      </w:pPr>
      <w:r w:rsidRPr="006D6615">
        <w:rPr>
          <w:rFonts w:ascii="Times New Roman" w:hAnsi="Times New Roman"/>
          <w:i/>
        </w:rPr>
        <w:t>Miesto podania</w:t>
      </w:r>
    </w:p>
    <w:p w14:paraId="7DBE5631" w14:textId="77777777" w:rsidR="00B9190F" w:rsidRPr="006D6615" w:rsidRDefault="00B9190F" w:rsidP="00630F2E">
      <w:pPr>
        <w:keepNext/>
        <w:spacing w:after="0" w:line="240" w:lineRule="auto"/>
        <w:rPr>
          <w:rFonts w:ascii="Times New Roman" w:hAnsi="Times New Roman"/>
          <w:i/>
          <w:u w:val="single"/>
        </w:rPr>
      </w:pPr>
    </w:p>
    <w:p w14:paraId="09FD8FDD" w14:textId="77777777" w:rsidR="00630F2E" w:rsidRPr="006D6615" w:rsidRDefault="00630F2E" w:rsidP="00630F2E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Flebitída a tromboflebitída a preventívne opatrenia uvedené v časti 4.2; neúmyselné paravenózne infiltrácie môžu spôsobiť bolesť, závažnú celulitídu a tkanivovú nekrózu.</w:t>
      </w:r>
    </w:p>
    <w:p w14:paraId="5F84C0B7" w14:textId="77777777" w:rsidR="00630F2E" w:rsidRPr="006D6615" w:rsidRDefault="00630F2E" w:rsidP="00630F2E">
      <w:pPr>
        <w:keepNext/>
        <w:spacing w:after="0" w:line="240" w:lineRule="auto"/>
        <w:rPr>
          <w:rFonts w:ascii="Times New Roman" w:hAnsi="Times New Roman"/>
        </w:rPr>
      </w:pPr>
    </w:p>
    <w:p w14:paraId="02E20580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  <w:i/>
        </w:rPr>
      </w:pPr>
      <w:r w:rsidRPr="006D6615">
        <w:rPr>
          <w:rFonts w:ascii="Times New Roman" w:hAnsi="Times New Roman"/>
          <w:i/>
        </w:rPr>
        <w:t xml:space="preserve">Ostatné nežiaduce reakcie: hyperurikémia </w:t>
      </w:r>
    </w:p>
    <w:p w14:paraId="33F9AAE2" w14:textId="77777777" w:rsidR="00B9190F" w:rsidRPr="006D6615" w:rsidRDefault="00B9190F" w:rsidP="00630F2E">
      <w:pPr>
        <w:spacing w:after="0" w:line="240" w:lineRule="auto"/>
        <w:rPr>
          <w:rFonts w:ascii="Times New Roman" w:hAnsi="Times New Roman"/>
          <w:i/>
          <w:u w:val="single"/>
        </w:rPr>
      </w:pPr>
    </w:p>
    <w:p w14:paraId="0C1D8077" w14:textId="77777777" w:rsidR="00630F2E" w:rsidRPr="006D6615" w:rsidRDefault="00630F2E" w:rsidP="00630F2E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Predchádzanie príznakom pomocou hydratácie, alkalizácie moču a prevencie pomocou alopurinolu môže minimalizovať možné komplikácie pri syndróme rozpadu nádoru.</w:t>
      </w:r>
    </w:p>
    <w:p w14:paraId="62D60FF9" w14:textId="77777777" w:rsidR="0006651C" w:rsidRPr="006D6615" w:rsidRDefault="0006651C" w:rsidP="00E10A86">
      <w:pPr>
        <w:spacing w:after="0" w:line="240" w:lineRule="auto"/>
        <w:rPr>
          <w:rFonts w:ascii="Times New Roman" w:hAnsi="Times New Roman"/>
        </w:rPr>
      </w:pPr>
    </w:p>
    <w:p w14:paraId="492FACE2" w14:textId="77777777" w:rsidR="007C7B2F" w:rsidRPr="00465E86" w:rsidRDefault="002E6DFF" w:rsidP="00E10A86">
      <w:pPr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6D6615">
        <w:rPr>
          <w:rFonts w:ascii="Times New Roman" w:hAnsi="Times New Roman"/>
          <w:bCs/>
          <w:iCs/>
          <w:u w:val="single"/>
        </w:rPr>
        <w:t>Pediatrická populácia</w:t>
      </w:r>
    </w:p>
    <w:p w14:paraId="45082362" w14:textId="77777777" w:rsidR="007C7B2F" w:rsidRPr="00E070C5" w:rsidRDefault="007C7B2F" w:rsidP="00E10A86">
      <w:pPr>
        <w:spacing w:after="0" w:line="240" w:lineRule="auto"/>
        <w:rPr>
          <w:rFonts w:ascii="Times New Roman" w:hAnsi="Times New Roman"/>
        </w:rPr>
      </w:pPr>
    </w:p>
    <w:p w14:paraId="644232CD" w14:textId="77777777" w:rsidR="0006651C" w:rsidRPr="00E070C5" w:rsidRDefault="002E6DFF" w:rsidP="00E10A86">
      <w:pPr>
        <w:spacing w:after="0" w:line="240" w:lineRule="auto"/>
        <w:rPr>
          <w:rFonts w:ascii="Times New Roman" w:hAnsi="Times New Roman"/>
        </w:rPr>
      </w:pPr>
      <w:r w:rsidRPr="00E070C5">
        <w:rPr>
          <w:rFonts w:ascii="Times New Roman" w:hAnsi="Times New Roman"/>
        </w:rPr>
        <w:t>Nežiaduce účinky sú u detí podobné ako u dospelých s výnimkou vyššej náchylnosti detí na</w:t>
      </w:r>
      <w:r w:rsidR="00630F2E" w:rsidRPr="00E070C5">
        <w:rPr>
          <w:rFonts w:ascii="Times New Roman" w:hAnsi="Times New Roman"/>
        </w:rPr>
        <w:t> </w:t>
      </w:r>
      <w:r w:rsidRPr="00E070C5">
        <w:rPr>
          <w:rFonts w:ascii="Times New Roman" w:hAnsi="Times New Roman"/>
        </w:rPr>
        <w:t>kardiotoxicitu indukovanú antracyklínom.</w:t>
      </w:r>
    </w:p>
    <w:p w14:paraId="5AA3D842" w14:textId="77777777" w:rsidR="008C09A3" w:rsidRPr="00931FA5" w:rsidRDefault="008C09A3" w:rsidP="00E10A86">
      <w:pPr>
        <w:spacing w:after="0" w:line="240" w:lineRule="auto"/>
        <w:rPr>
          <w:rFonts w:ascii="Times New Roman" w:hAnsi="Times New Roman"/>
        </w:rPr>
      </w:pPr>
    </w:p>
    <w:p w14:paraId="5AAC4A7F" w14:textId="77777777" w:rsidR="000C6BE1" w:rsidRPr="001876FA" w:rsidRDefault="000C6BE1" w:rsidP="00E10A86">
      <w:pPr>
        <w:tabs>
          <w:tab w:val="left" w:pos="0"/>
        </w:tabs>
        <w:spacing w:after="0" w:line="240" w:lineRule="auto"/>
        <w:rPr>
          <w:rFonts w:ascii="Times New Roman" w:hAnsi="Times New Roman"/>
          <w:u w:val="single"/>
        </w:rPr>
      </w:pPr>
      <w:r w:rsidRPr="001876FA">
        <w:rPr>
          <w:rFonts w:ascii="Times New Roman" w:hAnsi="Times New Roman"/>
          <w:u w:val="single"/>
        </w:rPr>
        <w:t>Hlásenie podozrení na nežiaduce reakcie</w:t>
      </w:r>
    </w:p>
    <w:p w14:paraId="1EB2C0E8" w14:textId="77777777" w:rsidR="0006651C" w:rsidRPr="006B3987" w:rsidRDefault="000C6BE1" w:rsidP="00E10A86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A0786D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</w:t>
      </w:r>
      <w:r w:rsidRPr="003A0C52">
        <w:rPr>
          <w:rFonts w:ascii="Times New Roman" w:hAnsi="Times New Roman"/>
        </w:rPr>
        <w:t xml:space="preserve">li akékoľvek podozrenia na nežiaduce reakcie </w:t>
      </w:r>
      <w:r w:rsidR="00630F2E" w:rsidRPr="003A0C52">
        <w:rPr>
          <w:rFonts w:ascii="Times New Roman" w:hAnsi="Times New Roman"/>
          <w:noProof/>
        </w:rPr>
        <w:t xml:space="preserve">na </w:t>
      </w:r>
      <w:r w:rsidRPr="003A0C52">
        <w:rPr>
          <w:rFonts w:ascii="Times New Roman" w:hAnsi="Times New Roman"/>
          <w:noProof/>
          <w:highlight w:val="lightGray"/>
        </w:rPr>
        <w:t xml:space="preserve">národné </w:t>
      </w:r>
      <w:r w:rsidR="00630F2E" w:rsidRPr="003A0C52">
        <w:rPr>
          <w:rFonts w:ascii="Times New Roman" w:hAnsi="Times New Roman"/>
          <w:noProof/>
          <w:highlight w:val="lightGray"/>
        </w:rPr>
        <w:t>centrum</w:t>
      </w:r>
      <w:r w:rsidRPr="003A0C52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10" w:history="1">
        <w:r w:rsidRPr="006B3987">
          <w:rPr>
            <w:rStyle w:val="Hypertextovprepojenie"/>
            <w:rFonts w:ascii="Times New Roman" w:hAnsi="Times New Roman"/>
            <w:noProof/>
            <w:highlight w:val="lightGray"/>
          </w:rPr>
          <w:t>P</w:t>
        </w:r>
        <w:r w:rsidRPr="006B3987">
          <w:rPr>
            <w:rStyle w:val="Hypertextovprepojenie"/>
            <w:rFonts w:ascii="Times New Roman" w:hAnsi="Times New Roman"/>
            <w:highlight w:val="lightGray"/>
            <w:lang w:val="en-GB"/>
          </w:rPr>
          <w:t xml:space="preserve">rílohe </w:t>
        </w:r>
        <w:r w:rsidRPr="006B3987">
          <w:rPr>
            <w:rStyle w:val="Hypertextovprepojenie"/>
            <w:rFonts w:ascii="Times New Roman" w:hAnsi="Times New Roman"/>
            <w:noProof/>
            <w:highlight w:val="lightGray"/>
          </w:rPr>
          <w:t>V</w:t>
        </w:r>
      </w:hyperlink>
      <w:r w:rsidRPr="006B3987">
        <w:rPr>
          <w:rFonts w:ascii="Times New Roman" w:hAnsi="Times New Roman"/>
          <w:noProof/>
        </w:rPr>
        <w:t>.</w:t>
      </w:r>
    </w:p>
    <w:p w14:paraId="4A9F44CB" w14:textId="77777777" w:rsidR="00420D4F" w:rsidRPr="006B3987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B1F08A5" w14:textId="77777777" w:rsidR="00420D4F" w:rsidRPr="004935D2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  <w:b/>
        </w:rPr>
        <w:t>4.9</w:t>
      </w:r>
      <w:r w:rsidRPr="004935D2">
        <w:rPr>
          <w:rFonts w:ascii="Times New Roman" w:hAnsi="Times New Roman"/>
          <w:b/>
        </w:rPr>
        <w:tab/>
        <w:t>Predávkovanie</w:t>
      </w:r>
    </w:p>
    <w:p w14:paraId="509B872B" w14:textId="77777777" w:rsidR="000C6BE1" w:rsidRPr="004935D2" w:rsidRDefault="000C6BE1" w:rsidP="00E10A86">
      <w:pPr>
        <w:pStyle w:val="Zkladntext3"/>
        <w:spacing w:after="0" w:line="240" w:lineRule="auto"/>
        <w:jc w:val="left"/>
        <w:rPr>
          <w:rFonts w:ascii="Times New Roman" w:hAnsi="Times New Roman" w:cs="Times New Roman"/>
          <w:sz w:val="22"/>
        </w:rPr>
      </w:pPr>
    </w:p>
    <w:p w14:paraId="799D65AB" w14:textId="77777777" w:rsidR="00A64E59" w:rsidRPr="00E37901" w:rsidRDefault="00A64E59" w:rsidP="00A64E59">
      <w:pPr>
        <w:pStyle w:val="Zkladntext3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37901">
        <w:rPr>
          <w:rFonts w:ascii="Times New Roman" w:hAnsi="Times New Roman" w:cs="Times New Roman"/>
          <w:sz w:val="22"/>
        </w:rPr>
        <w:t>Veľmi vysoké dávky idarubicínu môžu spôsobiť v priebehu 24 hodín akútnu kardiotoxicitu a v priebehu jedného až dvoch týždňov závažnú myelosupresiu. Niekoľko mesiacov po predávkovaní antracyklínmi bolo pozorované oneskorené zlyhávanie srdca.</w:t>
      </w:r>
    </w:p>
    <w:p w14:paraId="2652444A" w14:textId="77777777" w:rsidR="00A64E59" w:rsidRPr="006D6615" w:rsidRDefault="00A64E59" w:rsidP="00A64E59">
      <w:pPr>
        <w:pStyle w:val="Zkladntext3"/>
        <w:spacing w:after="0" w:line="240" w:lineRule="auto"/>
        <w:jc w:val="left"/>
        <w:rPr>
          <w:rFonts w:ascii="Times New Roman" w:hAnsi="Times New Roman" w:cs="Times New Roman"/>
          <w:position w:val="6"/>
          <w:sz w:val="22"/>
        </w:rPr>
      </w:pPr>
    </w:p>
    <w:p w14:paraId="3D128567" w14:textId="77777777" w:rsidR="00A64E59" w:rsidRPr="006D6615" w:rsidRDefault="00A64E59" w:rsidP="00A64E59">
      <w:pPr>
        <w:pStyle w:val="Zkladntext3"/>
        <w:spacing w:after="0" w:line="240" w:lineRule="auto"/>
        <w:jc w:val="left"/>
        <w:rPr>
          <w:rFonts w:ascii="Times New Roman" w:hAnsi="Times New Roman" w:cs="Times New Roman"/>
          <w:b/>
          <w:sz w:val="22"/>
        </w:rPr>
      </w:pPr>
      <w:r w:rsidRPr="006D6615">
        <w:rPr>
          <w:rFonts w:ascii="Times New Roman" w:hAnsi="Times New Roman" w:cs="Times New Roman"/>
          <w:position w:val="6"/>
          <w:sz w:val="22"/>
        </w:rPr>
        <w:t>Pacientov liečených perorálnym idarubicínom je nutné pozorovať z dôvodu možného gastrointestinálneho krvácania a závažného poškodenia sliznice.</w:t>
      </w:r>
    </w:p>
    <w:p w14:paraId="0A9494F1" w14:textId="77777777" w:rsidR="008C09A3" w:rsidRPr="006D6615" w:rsidRDefault="008C09A3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12290D6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61B0675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 xml:space="preserve">5. </w:t>
      </w:r>
      <w:r w:rsidRPr="006D6615">
        <w:rPr>
          <w:rFonts w:ascii="Times New Roman" w:hAnsi="Times New Roman"/>
          <w:b/>
        </w:rPr>
        <w:tab/>
        <w:t>FARMAKOLOGICKÉ VLASTNOSTI</w:t>
      </w:r>
    </w:p>
    <w:p w14:paraId="75D3907E" w14:textId="77777777" w:rsidR="000C6BE1" w:rsidRPr="006D6615" w:rsidRDefault="000C6BE1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05B1CE2" w14:textId="77777777" w:rsidR="00420D4F" w:rsidRPr="006D6615" w:rsidRDefault="000C6BE1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6D6615">
        <w:rPr>
          <w:rFonts w:ascii="Times New Roman" w:hAnsi="Times New Roman"/>
          <w:bCs/>
          <w:iCs/>
        </w:rPr>
        <w:t>Farmakoterapeutická skupina</w:t>
      </w:r>
      <w:r w:rsidRPr="006D6615">
        <w:rPr>
          <w:rFonts w:ascii="Times New Roman" w:hAnsi="Times New Roman"/>
        </w:rPr>
        <w:t xml:space="preserve">: cytostatiká, antracyklíny a podobné liečivá, ATC kód: </w:t>
      </w:r>
      <w:r w:rsidRPr="006D6615">
        <w:rPr>
          <w:rFonts w:ascii="Times New Roman" w:hAnsi="Times New Roman"/>
          <w:bCs/>
        </w:rPr>
        <w:t>L01DB06.</w:t>
      </w:r>
    </w:p>
    <w:p w14:paraId="526FE9EF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A6E5BE1" w14:textId="77777777" w:rsidR="008C09A3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5.1</w:t>
      </w:r>
      <w:r w:rsidRPr="006D6615">
        <w:rPr>
          <w:rFonts w:ascii="Times New Roman" w:hAnsi="Times New Roman"/>
          <w:b/>
        </w:rPr>
        <w:tab/>
        <w:t xml:space="preserve">Farmakodynamické vlastnosti </w:t>
      </w:r>
    </w:p>
    <w:p w14:paraId="66C78959" w14:textId="77777777" w:rsidR="0006651C" w:rsidRPr="006D6615" w:rsidRDefault="0006651C" w:rsidP="00E10A86">
      <w:pPr>
        <w:keepNext/>
        <w:tabs>
          <w:tab w:val="left" w:pos="567"/>
        </w:tabs>
        <w:spacing w:after="0" w:line="240" w:lineRule="auto"/>
        <w:rPr>
          <w:rFonts w:ascii="Times New Roman" w:eastAsia="TimesNewRoman" w:hAnsi="Times New Roman"/>
          <w:u w:val="single"/>
        </w:rPr>
      </w:pPr>
    </w:p>
    <w:p w14:paraId="0FED0788" w14:textId="77777777" w:rsidR="00B9190F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eastAsia="TimesNewRoman" w:hAnsi="Times New Roman"/>
          <w:u w:val="single"/>
        </w:rPr>
      </w:pPr>
      <w:r w:rsidRPr="006D6615">
        <w:rPr>
          <w:rFonts w:ascii="Times New Roman" w:eastAsia="TimesNewRoman" w:hAnsi="Times New Roman"/>
          <w:u w:val="single"/>
        </w:rPr>
        <w:t>Mechanizmus účinku</w:t>
      </w:r>
    </w:p>
    <w:p w14:paraId="1346AAF9" w14:textId="77777777" w:rsidR="000C6BE1" w:rsidRPr="006D6615" w:rsidRDefault="000C6BE1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19DFA3" w14:textId="77777777" w:rsidR="00A64E59" w:rsidRPr="006D6615" w:rsidRDefault="00A64E59" w:rsidP="00A64E5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  <w:bCs/>
        </w:rPr>
        <w:t>Idarubicín</w:t>
      </w:r>
      <w:r w:rsidR="008F10B4" w:rsidRPr="006D6615">
        <w:rPr>
          <w:rFonts w:ascii="Times New Roman" w:hAnsi="Times New Roman"/>
          <w:bCs/>
        </w:rPr>
        <w:t>,</w:t>
      </w:r>
      <w:r w:rsidRPr="006D6615">
        <w:rPr>
          <w:rFonts w:ascii="Times New Roman" w:hAnsi="Times New Roman"/>
          <w:bCs/>
        </w:rPr>
        <w:t xml:space="preserve"> analóg daunorubicínu, je interkalačná látka viažuca sa na DNA, ktorá má inhibičný efekt na syntézu nukleovej kyseliny a interaguje s enzýmom topoizomeráza II. Neprítomnosť metoxyskupiny na pozícii 4 v štruktúre antracyklínu, dáva zlúčenine vysokú lipofilitu, ktorej následkom je zvýšená miera vychytávania bunkami, v porovnaní s doxorubicínom a daunorubicínom.</w:t>
      </w:r>
    </w:p>
    <w:p w14:paraId="10A52724" w14:textId="77777777" w:rsidR="008C09A3" w:rsidRPr="006D6615" w:rsidRDefault="008C09A3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2ADB4906" w14:textId="77777777" w:rsidR="007C7B2F" w:rsidRPr="006D6615" w:rsidRDefault="002E6DFF" w:rsidP="006D6615">
      <w:pPr>
        <w:keepNext/>
        <w:tabs>
          <w:tab w:val="left" w:pos="567"/>
        </w:tabs>
        <w:spacing w:after="0" w:line="240" w:lineRule="auto"/>
        <w:rPr>
          <w:rFonts w:ascii="Times New Roman" w:eastAsia="TimesNewRoman" w:hAnsi="Times New Roman"/>
          <w:u w:val="single"/>
        </w:rPr>
      </w:pPr>
      <w:r w:rsidRPr="006D6615">
        <w:rPr>
          <w:rFonts w:ascii="Times New Roman" w:eastAsia="TimesNewRoman" w:hAnsi="Times New Roman"/>
          <w:u w:val="single"/>
        </w:rPr>
        <w:t>Farmakodynamické účinky</w:t>
      </w:r>
    </w:p>
    <w:p w14:paraId="398D46D1" w14:textId="77777777" w:rsidR="000C6BE1" w:rsidRPr="006D6615" w:rsidRDefault="000C6BE1" w:rsidP="006D6615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7BE29F62" w14:textId="77777777" w:rsidR="00BB4D61" w:rsidRPr="006D6615" w:rsidRDefault="002E6DFF" w:rsidP="00E10A86">
      <w:pPr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  <w:bCs/>
        </w:rPr>
        <w:t xml:space="preserve">Idarubicín preukázal vyššiu potenciu </w:t>
      </w:r>
      <w:r w:rsidR="00D85C95" w:rsidRPr="006D6615">
        <w:rPr>
          <w:rFonts w:ascii="Times New Roman" w:hAnsi="Times New Roman"/>
          <w:bCs/>
        </w:rPr>
        <w:t>v porovnaní s</w:t>
      </w:r>
      <w:r w:rsidRPr="006D6615">
        <w:rPr>
          <w:rFonts w:ascii="Times New Roman" w:hAnsi="Times New Roman"/>
          <w:bCs/>
        </w:rPr>
        <w:t xml:space="preserve"> daunorubicín</w:t>
      </w:r>
      <w:r w:rsidR="00D85C95" w:rsidRPr="006D6615">
        <w:rPr>
          <w:rFonts w:ascii="Times New Roman" w:hAnsi="Times New Roman"/>
          <w:bCs/>
        </w:rPr>
        <w:t>om</w:t>
      </w:r>
      <w:r w:rsidRPr="006D6615">
        <w:rPr>
          <w:rFonts w:ascii="Times New Roman" w:hAnsi="Times New Roman"/>
          <w:bCs/>
        </w:rPr>
        <w:t xml:space="preserve">, aj to, že je účinným </w:t>
      </w:r>
      <w:r w:rsidR="00D85C95" w:rsidRPr="006D6615">
        <w:rPr>
          <w:rFonts w:ascii="Times New Roman" w:hAnsi="Times New Roman"/>
          <w:bCs/>
        </w:rPr>
        <w:t>liekom</w:t>
      </w:r>
      <w:r w:rsidRPr="006D6615">
        <w:rPr>
          <w:rFonts w:ascii="Times New Roman" w:hAnsi="Times New Roman"/>
          <w:bCs/>
        </w:rPr>
        <w:t xml:space="preserve"> proti leukémii a lymfómom u myší pri oboch, i.v. aj perorálnej forme podania. </w:t>
      </w:r>
      <w:r w:rsidRPr="006D6615">
        <w:rPr>
          <w:rFonts w:ascii="Times New Roman" w:hAnsi="Times New Roman"/>
          <w:bCs/>
          <w:i/>
          <w:iCs/>
        </w:rPr>
        <w:t>In vitro</w:t>
      </w:r>
      <w:r w:rsidRPr="006D6615">
        <w:rPr>
          <w:rFonts w:ascii="Times New Roman" w:hAnsi="Times New Roman"/>
          <w:bCs/>
        </w:rPr>
        <w:t xml:space="preserve"> štúdie s humánnymi aj myšími antracyklín-rezistentnými bunkami preukázali nižší stupeň skríženej rezistencie pre idarubicín v porovnaní s doxorubicínom a daunorubicínom. Štúdie</w:t>
      </w:r>
      <w:r w:rsidR="00D85C95" w:rsidRPr="006D6615">
        <w:rPr>
          <w:rFonts w:ascii="Times New Roman" w:hAnsi="Times New Roman"/>
          <w:bCs/>
        </w:rPr>
        <w:t xml:space="preserve"> na</w:t>
      </w:r>
      <w:r w:rsidR="00A64E59" w:rsidRPr="006D6615">
        <w:rPr>
          <w:rFonts w:ascii="Times New Roman" w:hAnsi="Times New Roman"/>
          <w:bCs/>
        </w:rPr>
        <w:t> </w:t>
      </w:r>
      <w:r w:rsidR="00D85C95" w:rsidRPr="006D6615">
        <w:rPr>
          <w:rFonts w:ascii="Times New Roman" w:hAnsi="Times New Roman"/>
          <w:bCs/>
        </w:rPr>
        <w:t xml:space="preserve">zvieratách </w:t>
      </w:r>
      <w:r w:rsidRPr="006D6615">
        <w:rPr>
          <w:rFonts w:ascii="Times New Roman" w:hAnsi="Times New Roman"/>
          <w:bCs/>
        </w:rPr>
        <w:t xml:space="preserve">zamerané na kardiotoxicitu ukázali, že idarubicín má lepší terapeutický index ako daunorubicín a doxorubicín. Hlavný metabolit idarubicinol preukázal aj </w:t>
      </w:r>
      <w:r w:rsidRPr="006D6615">
        <w:rPr>
          <w:rFonts w:ascii="Times New Roman" w:hAnsi="Times New Roman"/>
          <w:bCs/>
          <w:i/>
          <w:iCs/>
        </w:rPr>
        <w:t>in vitro,</w:t>
      </w:r>
      <w:r w:rsidRPr="006D6615">
        <w:rPr>
          <w:rFonts w:ascii="Times New Roman" w:hAnsi="Times New Roman"/>
          <w:bCs/>
        </w:rPr>
        <w:t xml:space="preserve"> aj </w:t>
      </w:r>
      <w:r w:rsidRPr="006D6615">
        <w:rPr>
          <w:rFonts w:ascii="Times New Roman" w:hAnsi="Times New Roman"/>
          <w:bCs/>
          <w:i/>
          <w:iCs/>
        </w:rPr>
        <w:t>in vivo</w:t>
      </w:r>
      <w:r w:rsidRPr="006D6615">
        <w:rPr>
          <w:rFonts w:ascii="Times New Roman" w:hAnsi="Times New Roman"/>
          <w:bCs/>
        </w:rPr>
        <w:t xml:space="preserve">, protinádorovú aktivitu v experimentálnych modeloch. U potkanov je podaný idarubicinol v rovnakých dávkach ako materský liek zreteľne menej kardiotoxický ako idarubicín. </w:t>
      </w:r>
    </w:p>
    <w:p w14:paraId="40095C2D" w14:textId="77777777" w:rsidR="00420D4F" w:rsidRPr="006D6615" w:rsidRDefault="00420D4F" w:rsidP="00E10A86">
      <w:pPr>
        <w:spacing w:after="0" w:line="240" w:lineRule="auto"/>
        <w:rPr>
          <w:rFonts w:ascii="Times New Roman" w:hAnsi="Times New Roman"/>
        </w:rPr>
      </w:pPr>
    </w:p>
    <w:p w14:paraId="422201A4" w14:textId="77777777" w:rsidR="000C6BE1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5.2</w:t>
      </w:r>
      <w:r w:rsidRPr="006D6615">
        <w:rPr>
          <w:rFonts w:ascii="Times New Roman" w:hAnsi="Times New Roman"/>
          <w:b/>
        </w:rPr>
        <w:tab/>
        <w:t>Farmakokinetické vlastnosti</w:t>
      </w:r>
    </w:p>
    <w:p w14:paraId="2DA5BB82" w14:textId="77777777" w:rsidR="000D075B" w:rsidRPr="006D6615" w:rsidRDefault="000D075B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iCs/>
          <w:u w:val="single"/>
        </w:rPr>
      </w:pPr>
    </w:p>
    <w:p w14:paraId="4A173647" w14:textId="77777777" w:rsidR="00685D61" w:rsidRPr="006D6615" w:rsidRDefault="00685D61" w:rsidP="00E10A86">
      <w:pPr>
        <w:spacing w:after="0" w:line="240" w:lineRule="auto"/>
        <w:rPr>
          <w:rFonts w:ascii="Times New Roman" w:hAnsi="Times New Roman"/>
          <w:iCs/>
          <w:u w:val="single"/>
        </w:rPr>
      </w:pPr>
      <w:r w:rsidRPr="006D6615">
        <w:rPr>
          <w:rFonts w:ascii="Times New Roman" w:hAnsi="Times New Roman"/>
          <w:iCs/>
          <w:u w:val="single"/>
        </w:rPr>
        <w:t>Intravenózne podanie</w:t>
      </w:r>
    </w:p>
    <w:p w14:paraId="778A29A4" w14:textId="77777777" w:rsidR="00685D61" w:rsidRPr="006D6615" w:rsidRDefault="00685D61" w:rsidP="00E10A86">
      <w:pPr>
        <w:spacing w:after="0" w:line="240" w:lineRule="auto"/>
        <w:rPr>
          <w:rFonts w:ascii="Times New Roman" w:hAnsi="Times New Roman"/>
          <w:iCs/>
        </w:rPr>
      </w:pPr>
    </w:p>
    <w:p w14:paraId="0A6C6F58" w14:textId="77777777" w:rsidR="000D075B" w:rsidRPr="006D6615" w:rsidRDefault="002E6DFF" w:rsidP="00E10A86">
      <w:pPr>
        <w:spacing w:after="0" w:line="240" w:lineRule="auto"/>
        <w:rPr>
          <w:rFonts w:ascii="Times New Roman" w:hAnsi="Times New Roman"/>
          <w:iCs/>
        </w:rPr>
      </w:pPr>
      <w:r w:rsidRPr="006D6615">
        <w:rPr>
          <w:rFonts w:ascii="Times New Roman" w:hAnsi="Times New Roman"/>
          <w:iCs/>
        </w:rPr>
        <w:t>Po intravenóznom podaní pacientom s normálnou funkciou pečene a obličiek, sa idarubicín eliminuje zo systémovej cirkulácie s </w:t>
      </w:r>
      <w:r w:rsidR="008B0706" w:rsidRPr="006D6615">
        <w:rPr>
          <w:rFonts w:ascii="Times New Roman" w:hAnsi="Times New Roman"/>
          <w:iCs/>
        </w:rPr>
        <w:t>terminálnym</w:t>
      </w:r>
      <w:r w:rsidRPr="006D6615">
        <w:rPr>
          <w:rFonts w:ascii="Times New Roman" w:hAnsi="Times New Roman"/>
          <w:iCs/>
        </w:rPr>
        <w:t xml:space="preserve"> plazmatickým polčasom v rozmedzí 11 </w:t>
      </w:r>
      <w:r w:rsidR="00A64E59" w:rsidRPr="006D6615">
        <w:rPr>
          <w:rFonts w:ascii="Times New Roman" w:hAnsi="Times New Roman"/>
          <w:iCs/>
        </w:rPr>
        <w:t>– </w:t>
      </w:r>
      <w:r w:rsidRPr="006D6615">
        <w:rPr>
          <w:rFonts w:ascii="Times New Roman" w:hAnsi="Times New Roman"/>
          <w:iCs/>
        </w:rPr>
        <w:t xml:space="preserve">25 hodín, </w:t>
      </w:r>
      <w:r w:rsidR="00D85C95" w:rsidRPr="006D6615">
        <w:rPr>
          <w:rFonts w:ascii="Times New Roman" w:hAnsi="Times New Roman"/>
          <w:iCs/>
        </w:rPr>
        <w:t xml:space="preserve">a je </w:t>
      </w:r>
      <w:r w:rsidRPr="006D6615">
        <w:rPr>
          <w:rFonts w:ascii="Times New Roman" w:hAnsi="Times New Roman"/>
          <w:iCs/>
        </w:rPr>
        <w:t>vo výraznej miere metabolizovaný na aktívny metabolit, idarubicinol, ktorý sa vylučuje pomalšie s plazmatickým polčasom v rozmedzí 41 – 69 hodín. Liek sa vylučuje prevažne vo forme idarubicinolu biliárnou exkréciou</w:t>
      </w:r>
      <w:r w:rsidR="00A64E59" w:rsidRPr="006D6615">
        <w:rPr>
          <w:rFonts w:ascii="Times New Roman" w:hAnsi="Times New Roman"/>
          <w:iCs/>
        </w:rPr>
        <w:t xml:space="preserve"> a obličkami</w:t>
      </w:r>
      <w:r w:rsidRPr="006D6615">
        <w:rPr>
          <w:rFonts w:ascii="Times New Roman" w:hAnsi="Times New Roman"/>
          <w:iCs/>
        </w:rPr>
        <w:t xml:space="preserve">. </w:t>
      </w:r>
    </w:p>
    <w:p w14:paraId="7CF832B2" w14:textId="77777777" w:rsidR="00960504" w:rsidRPr="006D6615" w:rsidRDefault="00960504" w:rsidP="00E10A86">
      <w:pPr>
        <w:spacing w:after="0" w:line="240" w:lineRule="auto"/>
        <w:rPr>
          <w:rFonts w:ascii="Times New Roman" w:hAnsi="Times New Roman"/>
          <w:iCs/>
        </w:rPr>
      </w:pPr>
    </w:p>
    <w:p w14:paraId="58BDCB8D" w14:textId="77777777" w:rsidR="00A64E59" w:rsidRPr="006D6615" w:rsidRDefault="00A64E59" w:rsidP="00A64E59">
      <w:pPr>
        <w:spacing w:after="0" w:line="240" w:lineRule="auto"/>
        <w:rPr>
          <w:rFonts w:ascii="Times New Roman" w:hAnsi="Times New Roman"/>
          <w:iCs/>
        </w:rPr>
      </w:pPr>
      <w:r w:rsidRPr="006D6615">
        <w:rPr>
          <w:rFonts w:ascii="Times New Roman" w:hAnsi="Times New Roman"/>
          <w:iCs/>
        </w:rPr>
        <w:t>Štúdie zamerané na vnútrobunkovú (jadrové krvné bunky a bunky kostnej drene) koncentráciu lieku u pacientov s leukémiou preukázali, že maximálna vnútrobunková koncentrácia idarubicínu sa dosiahne behom pár minút po injekčnom podaní. Koncentrácie idarubicínu a idarubicinolu v jadrových krvných bunkách a bunkách kostnej drene sú viac ako 100-krát vyššie ako plazmatické koncentrácie. Miery vylučovania idarubicínu z plazmy a buniek boli takmer porovnateľné s terminálnym polčasom okolo 15 hodín. Terminálny polčas idarubicinolu v bunkách bol okolo 72 hodín.</w:t>
      </w:r>
    </w:p>
    <w:p w14:paraId="0436C7DA" w14:textId="77777777" w:rsidR="00960504" w:rsidRPr="006D6615" w:rsidRDefault="00960504" w:rsidP="00E10A8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449DB1B0" w14:textId="77777777" w:rsidR="00960504" w:rsidRPr="006D6615" w:rsidRDefault="00960504" w:rsidP="009605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  <w:r w:rsidRPr="006D6615">
        <w:rPr>
          <w:rFonts w:ascii="Times New Roman" w:hAnsi="Times New Roman"/>
          <w:iCs/>
          <w:u w:val="single"/>
        </w:rPr>
        <w:t>Osobitné skupiny pacientov</w:t>
      </w:r>
    </w:p>
    <w:p w14:paraId="70B68F51" w14:textId="77777777" w:rsidR="000D075B" w:rsidRPr="006D6615" w:rsidRDefault="000D075B" w:rsidP="00E10A86">
      <w:pPr>
        <w:spacing w:after="0" w:line="240" w:lineRule="auto"/>
        <w:rPr>
          <w:rFonts w:ascii="Times New Roman" w:hAnsi="Times New Roman"/>
          <w:iCs/>
        </w:rPr>
      </w:pPr>
    </w:p>
    <w:p w14:paraId="26A50339" w14:textId="77777777" w:rsidR="00A64E59" w:rsidRPr="006D6615" w:rsidRDefault="00A64E59" w:rsidP="00A64E59">
      <w:pPr>
        <w:spacing w:after="0" w:line="240" w:lineRule="auto"/>
        <w:rPr>
          <w:rFonts w:ascii="Times New Roman" w:hAnsi="Times New Roman"/>
          <w:i/>
          <w:iCs/>
        </w:rPr>
      </w:pPr>
      <w:r w:rsidRPr="006D6615">
        <w:rPr>
          <w:rFonts w:ascii="Times New Roman" w:hAnsi="Times New Roman"/>
          <w:i/>
          <w:iCs/>
        </w:rPr>
        <w:t>Porucha funkcie pečene a/alebo obličiek</w:t>
      </w:r>
    </w:p>
    <w:p w14:paraId="237971A8" w14:textId="77777777" w:rsidR="00A64E59" w:rsidRPr="006D6615" w:rsidRDefault="00A64E59" w:rsidP="00A64E59">
      <w:pPr>
        <w:spacing w:after="0" w:line="240" w:lineRule="auto"/>
        <w:rPr>
          <w:rFonts w:ascii="Times New Roman" w:hAnsi="Times New Roman"/>
          <w:iCs/>
        </w:rPr>
      </w:pPr>
    </w:p>
    <w:p w14:paraId="050A0C9B" w14:textId="77777777" w:rsidR="00A64E59" w:rsidRPr="006D6615" w:rsidRDefault="00A64E59" w:rsidP="00A64E59">
      <w:pPr>
        <w:spacing w:after="0" w:line="240" w:lineRule="auto"/>
        <w:rPr>
          <w:rFonts w:ascii="Times New Roman" w:hAnsi="Times New Roman"/>
          <w:iCs/>
        </w:rPr>
      </w:pPr>
      <w:r w:rsidRPr="006D6615">
        <w:rPr>
          <w:rFonts w:ascii="Times New Roman" w:hAnsi="Times New Roman"/>
          <w:iCs/>
        </w:rPr>
        <w:t>Farmakokinetika idarubicínu u pacientov s poruchou funkcie pečene a/alebo obličiek nebola dostatočne vyhodnotená. Predpokladá sa, že u pacientov so stredne závažnou až závažnou poruchou funkcie pečene môže byť metabolizmus idarubicínu narušený, čo môže viesť k vyšším systémovým hladinám lieku. Účinok idarubicínu môže byť tiež ovplyvnený poruchou funkcie obličiek. Vzhľadom na to je potrebné zvážiť zníženie dávky u pacientov s poruchou funkcie pečene a/alebo obličiek (pozri časť 4.2 a 4.4) a podávanie idarubicínu je kontraindikované u pacientov so závažným zlyhávaním pečene a/alebo obličiek (pozri časť 4.3).</w:t>
      </w:r>
    </w:p>
    <w:p w14:paraId="6D92503A" w14:textId="77777777" w:rsidR="00685D61" w:rsidRPr="006D6615" w:rsidRDefault="00685D61" w:rsidP="00E10A86">
      <w:pPr>
        <w:spacing w:after="0" w:line="240" w:lineRule="auto"/>
        <w:rPr>
          <w:rFonts w:ascii="Times New Roman" w:hAnsi="Times New Roman"/>
          <w:iCs/>
        </w:rPr>
      </w:pPr>
    </w:p>
    <w:p w14:paraId="211CAA92" w14:textId="77777777" w:rsidR="00685D61" w:rsidRPr="006D6615" w:rsidRDefault="00685D61" w:rsidP="00685D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</w:rPr>
      </w:pPr>
      <w:r w:rsidRPr="006D6615">
        <w:rPr>
          <w:rFonts w:ascii="Times New Roman" w:eastAsia="TimesNewRoman" w:hAnsi="Times New Roman"/>
          <w:i/>
        </w:rPr>
        <w:t>Pediatrická populácia</w:t>
      </w:r>
    </w:p>
    <w:p w14:paraId="63C87349" w14:textId="77777777" w:rsidR="007C7B2F" w:rsidRPr="006D6615" w:rsidRDefault="007C7B2F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1BFBA5F7" w14:textId="77777777" w:rsidR="00A64E59" w:rsidRPr="004935D2" w:rsidRDefault="00A64E59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eastAsia="TimesNewRoman" w:hAnsi="Times New Roman"/>
        </w:rPr>
        <w:t>Pri farmakokinetických meraniach u 7 pediatrických pacientov liečených intravenóznym idarubicín</w:t>
      </w:r>
      <w:r w:rsidR="00F10DCF" w:rsidRPr="006D6615">
        <w:rPr>
          <w:rFonts w:ascii="Times New Roman" w:eastAsia="TimesNewRoman" w:hAnsi="Times New Roman"/>
        </w:rPr>
        <w:t>ium</w:t>
      </w:r>
      <w:r w:rsidR="006B3987">
        <w:rPr>
          <w:rFonts w:ascii="Times New Roman" w:eastAsia="TimesNewRoman" w:hAnsi="Times New Roman"/>
        </w:rPr>
        <w:t>-</w:t>
      </w:r>
      <w:r w:rsidR="00F10DCF" w:rsidRPr="006B3987">
        <w:rPr>
          <w:rFonts w:ascii="Times New Roman" w:eastAsia="TimesNewRoman" w:hAnsi="Times New Roman"/>
        </w:rPr>
        <w:t>chloridom</w:t>
      </w:r>
      <w:r w:rsidRPr="006B3987">
        <w:rPr>
          <w:rFonts w:ascii="Times New Roman" w:eastAsia="TimesNewRoman" w:hAnsi="Times New Roman"/>
        </w:rPr>
        <w:t xml:space="preserve"> v dávkach od 15 do 40 mg/m</w:t>
      </w:r>
      <w:r w:rsidRPr="004935D2">
        <w:rPr>
          <w:rFonts w:ascii="Times New Roman" w:eastAsia="TimesNewRoman" w:hAnsi="Times New Roman"/>
          <w:vertAlign w:val="superscript"/>
        </w:rPr>
        <w:t>2</w:t>
      </w:r>
      <w:r w:rsidRPr="004935D2">
        <w:rPr>
          <w:rFonts w:ascii="Times New Roman" w:eastAsia="TimesNewRoman" w:hAnsi="Times New Roman"/>
        </w:rPr>
        <w:t xml:space="preserve"> počas 3 dní liečby sa zistil medián polčasu idarubicínu 8,5 hodín (rozmedzie: 3,6 – 26,4 hodín). Aktívny metabolit idarubicinol, nakumulovaný počas 3 dní liečby, vykázal medián polčasu 43,7 hodín (rozmedzie: 27,8 – 131 hodín). </w:t>
      </w:r>
    </w:p>
    <w:p w14:paraId="201AC488" w14:textId="77777777" w:rsidR="00A64E59" w:rsidRPr="006D6615" w:rsidRDefault="00A64E59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E37901">
        <w:rPr>
          <w:rFonts w:ascii="Times New Roman" w:eastAsia="TimesNewRoman" w:hAnsi="Times New Roman"/>
        </w:rPr>
        <w:t>V samostatnej štúdii sa pri farmakokinetických meraniach u 15 pediatrických pacientov liečených perorálnym idarubicín</w:t>
      </w:r>
      <w:r w:rsidR="00F10DCF" w:rsidRPr="00E37901">
        <w:rPr>
          <w:rFonts w:ascii="Times New Roman" w:eastAsia="TimesNewRoman" w:hAnsi="Times New Roman"/>
        </w:rPr>
        <w:t>ium</w:t>
      </w:r>
      <w:r w:rsidR="006B3987">
        <w:rPr>
          <w:rFonts w:ascii="Times New Roman" w:eastAsia="TimesNewRoman" w:hAnsi="Times New Roman"/>
        </w:rPr>
        <w:t>-</w:t>
      </w:r>
      <w:r w:rsidR="00F10DCF" w:rsidRPr="006B3987">
        <w:rPr>
          <w:rFonts w:ascii="Times New Roman" w:eastAsia="TimesNewRoman" w:hAnsi="Times New Roman"/>
        </w:rPr>
        <w:t>chloridom</w:t>
      </w:r>
      <w:r w:rsidRPr="006B3987">
        <w:rPr>
          <w:rFonts w:ascii="Times New Roman" w:eastAsia="TimesNewRoman" w:hAnsi="Times New Roman"/>
        </w:rPr>
        <w:t xml:space="preserve"> v dá</w:t>
      </w:r>
      <w:r w:rsidRPr="004935D2">
        <w:rPr>
          <w:rFonts w:ascii="Times New Roman" w:eastAsia="TimesNewRoman" w:hAnsi="Times New Roman"/>
        </w:rPr>
        <w:t>vkach od 30 do 50 mg/m</w:t>
      </w:r>
      <w:r w:rsidRPr="004935D2">
        <w:rPr>
          <w:rFonts w:ascii="Times New Roman" w:eastAsia="TimesNewRoman" w:hAnsi="Times New Roman"/>
          <w:vertAlign w:val="superscript"/>
        </w:rPr>
        <w:t>2</w:t>
      </w:r>
      <w:r w:rsidRPr="004935D2">
        <w:rPr>
          <w:rFonts w:ascii="Times New Roman" w:eastAsia="TimesNewRoman" w:hAnsi="Times New Roman"/>
        </w:rPr>
        <w:t xml:space="preserve"> počas 3 dní liečby zistila maximálna koncentrácia idarubicínu v krvnej plazme 10,6 ng/ml (rozmedzie: 2,7 – 16,7 ng/ml pri dávke 40 mg/m</w:t>
      </w:r>
      <w:r w:rsidRPr="00E37901">
        <w:rPr>
          <w:rFonts w:ascii="Times New Roman" w:eastAsia="TimesNewRoman" w:hAnsi="Times New Roman"/>
          <w:vertAlign w:val="superscript"/>
        </w:rPr>
        <w:t>2</w:t>
      </w:r>
      <w:r w:rsidRPr="00E37901">
        <w:rPr>
          <w:rFonts w:ascii="Times New Roman" w:eastAsia="TimesNewRoman" w:hAnsi="Times New Roman"/>
        </w:rPr>
        <w:t xml:space="preserve">). Medián terminálneho polčasu idarubicínu bol 9,2 hodín (rozmedzie: 6,4 – 25,5 hodín). V priebehu 3 dní liečby sa pozorovala významná kumulácia idarubicinolu. Pozorovaná hodnota terminálneho </w:t>
      </w:r>
      <w:r w:rsidRPr="006D6615">
        <w:rPr>
          <w:rFonts w:ascii="Times New Roman" w:eastAsia="TimesNewRoman" w:hAnsi="Times New Roman"/>
        </w:rPr>
        <w:t>polčasu idarubicínu po intravenóznom podaní bola u pediatrických pacientov porovnateľná s hodnotou po perorálnom podaní.</w:t>
      </w:r>
    </w:p>
    <w:p w14:paraId="3DF25A0B" w14:textId="77777777" w:rsidR="00A64E59" w:rsidRPr="006D6615" w:rsidRDefault="00A64E59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eastAsia="TimesNewRoman" w:hAnsi="Times New Roman"/>
        </w:rPr>
        <w:t>Pretože hodnota C</w:t>
      </w:r>
      <w:r w:rsidRPr="006D6615">
        <w:rPr>
          <w:rFonts w:ascii="Times New Roman" w:eastAsia="TimesNewRoman" w:hAnsi="Times New Roman"/>
          <w:vertAlign w:val="subscript"/>
        </w:rPr>
        <w:t>max</w:t>
      </w:r>
      <w:r w:rsidRPr="006D6615">
        <w:rPr>
          <w:rFonts w:ascii="Times New Roman" w:eastAsia="TimesNewRoman" w:hAnsi="Times New Roman"/>
        </w:rPr>
        <w:t xml:space="preserve"> idarubicínu po perorálnom podaní je u detí a dospelých podobná, kinetika absorpcie sa medzi dospelými a deťmi pravdepodobne nelíši.</w:t>
      </w:r>
    </w:p>
    <w:p w14:paraId="15751A29" w14:textId="77777777" w:rsidR="00A64E59" w:rsidRPr="006D6615" w:rsidRDefault="00A64E59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48795948" w14:textId="77777777" w:rsidR="00A64E59" w:rsidRPr="006D6615" w:rsidRDefault="00A64E59" w:rsidP="00A64E5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6D6615">
        <w:rPr>
          <w:rFonts w:ascii="Times New Roman" w:eastAsia="TimesNewRoman" w:hAnsi="Times New Roman"/>
        </w:rPr>
        <w:t xml:space="preserve">Po perorálnom a intravenóznom podaní sa hodnoty polčasu eliminácie idarubicínu u detí a dospelých líšia. </w:t>
      </w:r>
    </w:p>
    <w:p w14:paraId="7262F672" w14:textId="77777777" w:rsidR="00A64E59" w:rsidRPr="006D6615" w:rsidRDefault="00A64E59" w:rsidP="00A64E59">
      <w:pPr>
        <w:spacing w:after="0" w:line="240" w:lineRule="auto"/>
        <w:rPr>
          <w:rFonts w:ascii="Times New Roman" w:hAnsi="Times New Roman"/>
          <w:iCs/>
        </w:rPr>
      </w:pPr>
      <w:r w:rsidRPr="006D6615">
        <w:rPr>
          <w:rFonts w:ascii="Times New Roman" w:eastAsia="TimesNewRoman" w:hAnsi="Times New Roman"/>
        </w:rPr>
        <w:t>Hodnoty celkového telesného klírensu idarubicínu 30 – 107,9 l/h/m</w:t>
      </w:r>
      <w:r w:rsidRPr="006D6615">
        <w:rPr>
          <w:rFonts w:ascii="Times New Roman" w:eastAsia="TimesNewRoman" w:hAnsi="Times New Roman"/>
          <w:vertAlign w:val="superscript"/>
        </w:rPr>
        <w:t>2</w:t>
      </w:r>
      <w:r w:rsidRPr="006D6615">
        <w:rPr>
          <w:rFonts w:ascii="Times New Roman" w:eastAsia="TimesNewRoman" w:hAnsi="Times New Roman"/>
        </w:rPr>
        <w:t xml:space="preserve"> zistené u dospelých pacientov sú vyššie než hodnoty 18 – 33 l/h/m</w:t>
      </w:r>
      <w:r w:rsidRPr="006D6615">
        <w:rPr>
          <w:rFonts w:ascii="Times New Roman" w:eastAsia="TimesNewRoman" w:hAnsi="Times New Roman"/>
          <w:vertAlign w:val="superscript"/>
        </w:rPr>
        <w:t>2</w:t>
      </w:r>
      <w:r w:rsidRPr="006D6615">
        <w:rPr>
          <w:rFonts w:ascii="Times New Roman" w:eastAsia="TimesNewRoman" w:hAnsi="Times New Roman"/>
        </w:rPr>
        <w:t xml:space="preserve"> zistené u pediatrickej populácie. Aj keď má idarubicín veľmi veľký distribučný objem u dospelých aj u detí a predpokladá sa, že veľká časť lieku sa viaže na tkanivo, kratší polčas eliminácie a nižšia hodnota celkového telesného klírensu sa nedajú uspokojivo vysvetliť menším zdanlivým objemom distribúcie u detí v porovnaní s dospelými.</w:t>
      </w:r>
    </w:p>
    <w:p w14:paraId="599564B4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3453FCE" w14:textId="77777777" w:rsidR="00420D4F" w:rsidRPr="006D6615" w:rsidRDefault="002E6DFF" w:rsidP="00E10A86">
      <w:pPr>
        <w:keepNext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Predklinické údaje o bezpečnosti</w:t>
      </w:r>
    </w:p>
    <w:p w14:paraId="22ADA9B0" w14:textId="77777777" w:rsidR="00960504" w:rsidRPr="006D6615" w:rsidRDefault="00960504" w:rsidP="00E10A86">
      <w:pPr>
        <w:keepNext/>
        <w:spacing w:after="0" w:line="240" w:lineRule="auto"/>
        <w:rPr>
          <w:rFonts w:ascii="Times New Roman" w:hAnsi="Times New Roman"/>
        </w:rPr>
      </w:pPr>
    </w:p>
    <w:p w14:paraId="7B539555" w14:textId="77777777" w:rsidR="000D075B" w:rsidRPr="006D6615" w:rsidRDefault="002E6DFF" w:rsidP="00E10A86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Idarubicín bol genotoxický vo väčšine </w:t>
      </w:r>
      <w:r w:rsidRPr="006D6615">
        <w:rPr>
          <w:rFonts w:ascii="Times New Roman" w:hAnsi="Times New Roman"/>
          <w:i/>
          <w:iCs/>
        </w:rPr>
        <w:t>in vitro</w:t>
      </w:r>
      <w:r w:rsidRPr="006D6615">
        <w:rPr>
          <w:rFonts w:ascii="Times New Roman" w:hAnsi="Times New Roman"/>
        </w:rPr>
        <w:t xml:space="preserve">, alebo </w:t>
      </w:r>
      <w:r w:rsidRPr="006D6615">
        <w:rPr>
          <w:rFonts w:ascii="Times New Roman" w:hAnsi="Times New Roman"/>
          <w:i/>
          <w:iCs/>
        </w:rPr>
        <w:t>in vivo</w:t>
      </w:r>
      <w:r w:rsidRPr="006D6615">
        <w:rPr>
          <w:rFonts w:ascii="Times New Roman" w:hAnsi="Times New Roman"/>
        </w:rPr>
        <w:t xml:space="preserve"> vykonaných testov. Intravenózny idarubicín bol karcinogénny, toxický pre reprodukčné orgány, a embryotoxický a teratogénny u potkanov. Žiadne pozoruhodné učinky na samice potkanov alebo ich potomstvo, ktorým bol podaný idarubicín intravenózne v dávke až do 0,2 mg/kg/deň, počas peri- a postnatálneho obdobia, neboli pozorované. Nie je známe, či sa účinná látka vylučuje do materského mlieka. Intravenózne podávaný idarubicín, tak ako aj iné antracyklíny a cytotoxické liečivá, boli pre</w:t>
      </w:r>
      <w:r w:rsidR="00A64E59" w:rsidRPr="006D6615">
        <w:rPr>
          <w:rFonts w:ascii="Times New Roman" w:hAnsi="Times New Roman"/>
        </w:rPr>
        <w:t> </w:t>
      </w:r>
      <w:r w:rsidRPr="006D6615">
        <w:rPr>
          <w:rFonts w:ascii="Times New Roman" w:hAnsi="Times New Roman"/>
        </w:rPr>
        <w:t xml:space="preserve">potkanov karcinogénne. Štúdia zameraná na lokálnu bezpečnosť u psov odhalila, že extravazácia lieku spôsobuje tkanivovú nekrózu. </w:t>
      </w:r>
    </w:p>
    <w:p w14:paraId="5094DA42" w14:textId="77777777" w:rsidR="00A8477A" w:rsidRPr="006D6615" w:rsidRDefault="00A8477A" w:rsidP="00E10A86">
      <w:pPr>
        <w:spacing w:after="0" w:line="240" w:lineRule="auto"/>
        <w:rPr>
          <w:rFonts w:ascii="Times New Roman" w:hAnsi="Times New Roman"/>
        </w:rPr>
      </w:pPr>
    </w:p>
    <w:p w14:paraId="798603E5" w14:textId="77777777" w:rsidR="000D075B" w:rsidRPr="006D6615" w:rsidRDefault="002E6DFF" w:rsidP="00E10A86">
      <w:pPr>
        <w:spacing w:after="0" w:line="240" w:lineRule="auto"/>
        <w:rPr>
          <w:rFonts w:ascii="Times New Roman" w:hAnsi="Times New Roman"/>
          <w:bCs/>
        </w:rPr>
      </w:pPr>
      <w:r w:rsidRPr="006D6615">
        <w:rPr>
          <w:rFonts w:ascii="Times New Roman" w:hAnsi="Times New Roman"/>
        </w:rPr>
        <w:t>LD</w:t>
      </w:r>
      <w:r w:rsidRPr="006D6615">
        <w:rPr>
          <w:rFonts w:ascii="Times New Roman" w:hAnsi="Times New Roman"/>
          <w:vertAlign w:val="subscript"/>
        </w:rPr>
        <w:t>50</w:t>
      </w:r>
      <w:r w:rsidRPr="006D6615">
        <w:rPr>
          <w:rFonts w:ascii="Times New Roman" w:hAnsi="Times New Roman"/>
        </w:rPr>
        <w:t xml:space="preserve"> (priemerné hodnoty) intravenózneho idarubicín</w:t>
      </w:r>
      <w:r w:rsidR="00F10DCF" w:rsidRPr="006D6615">
        <w:rPr>
          <w:rFonts w:ascii="Times New Roman" w:hAnsi="Times New Roman"/>
        </w:rPr>
        <w:t>ium</w:t>
      </w:r>
      <w:r w:rsidR="006B3987">
        <w:rPr>
          <w:rFonts w:ascii="Times New Roman" w:hAnsi="Times New Roman"/>
        </w:rPr>
        <w:t>-</w:t>
      </w:r>
      <w:r w:rsidR="00F10DCF" w:rsidRPr="006B3987">
        <w:rPr>
          <w:rFonts w:ascii="Times New Roman" w:hAnsi="Times New Roman"/>
        </w:rPr>
        <w:t>chloridu</w:t>
      </w:r>
      <w:r w:rsidRPr="006B3987">
        <w:rPr>
          <w:rFonts w:ascii="Times New Roman" w:hAnsi="Times New Roman"/>
        </w:rPr>
        <w:t xml:space="preserve"> bola 4,4 mg/kg pre myši, 2,9 mg/kg pre</w:t>
      </w:r>
      <w:r w:rsidR="00A64E59" w:rsidRPr="004935D2">
        <w:rPr>
          <w:rFonts w:ascii="Times New Roman" w:hAnsi="Times New Roman"/>
        </w:rPr>
        <w:t> </w:t>
      </w:r>
      <w:r w:rsidRPr="004935D2">
        <w:rPr>
          <w:rFonts w:ascii="Times New Roman" w:hAnsi="Times New Roman"/>
        </w:rPr>
        <w:t xml:space="preserve">potkanov, a okolo 1,0 mg/kg pre psov. Hlavným cieľom po </w:t>
      </w:r>
      <w:r w:rsidR="00B2519F" w:rsidRPr="004935D2">
        <w:rPr>
          <w:rFonts w:ascii="Times New Roman" w:hAnsi="Times New Roman"/>
        </w:rPr>
        <w:t xml:space="preserve">jednotlivej </w:t>
      </w:r>
      <w:r w:rsidRPr="00E37901">
        <w:rPr>
          <w:rFonts w:ascii="Times New Roman" w:hAnsi="Times New Roman"/>
        </w:rPr>
        <w:t xml:space="preserve">dávke bol </w:t>
      </w:r>
      <w:r w:rsidRPr="00E37901">
        <w:rPr>
          <w:rFonts w:ascii="Times New Roman" w:hAnsi="Times New Roman"/>
          <w:bCs/>
        </w:rPr>
        <w:t>hemo</w:t>
      </w:r>
      <w:r w:rsidR="00B2519F" w:rsidRPr="006D6615">
        <w:rPr>
          <w:rFonts w:ascii="Times New Roman" w:hAnsi="Times New Roman"/>
          <w:bCs/>
        </w:rPr>
        <w:t>-lymfo</w:t>
      </w:r>
      <w:r w:rsidRPr="006D6615">
        <w:rPr>
          <w:rFonts w:ascii="Times New Roman" w:hAnsi="Times New Roman"/>
          <w:bCs/>
        </w:rPr>
        <w:t xml:space="preserve">poetický systém a najmä u psov gastrointestinálny trakt. </w:t>
      </w:r>
    </w:p>
    <w:p w14:paraId="255053F1" w14:textId="77777777" w:rsidR="00A8477A" w:rsidRPr="006D6615" w:rsidRDefault="00A8477A" w:rsidP="00E10A86">
      <w:pPr>
        <w:spacing w:after="0" w:line="240" w:lineRule="auto"/>
        <w:rPr>
          <w:rFonts w:ascii="Times New Roman" w:hAnsi="Times New Roman"/>
        </w:rPr>
      </w:pPr>
    </w:p>
    <w:p w14:paraId="15B0FFD2" w14:textId="77777777" w:rsidR="000D075B" w:rsidRPr="006D6615" w:rsidRDefault="002E6DFF" w:rsidP="00E10A86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Toxické účinky po opakovanom podávaní intravenózneho idarubicínu sa zistili u potkanov a psov. Hlavným terčom intravenózneho idarubicínu u týchto zvieracích druhov boli hemo-lymfopoetický systém, gastrointestinálny trakt, obličky, pečeň a </w:t>
      </w:r>
      <w:r w:rsidR="00167E8A" w:rsidRPr="006D6615">
        <w:rPr>
          <w:rFonts w:ascii="Times New Roman" w:hAnsi="Times New Roman"/>
        </w:rPr>
        <w:t xml:space="preserve">samčie </w:t>
      </w:r>
      <w:r w:rsidRPr="006D6615">
        <w:rPr>
          <w:rFonts w:ascii="Times New Roman" w:hAnsi="Times New Roman"/>
        </w:rPr>
        <w:t>a </w:t>
      </w:r>
      <w:r w:rsidR="00167E8A" w:rsidRPr="006D6615">
        <w:rPr>
          <w:rFonts w:ascii="Times New Roman" w:hAnsi="Times New Roman"/>
        </w:rPr>
        <w:t xml:space="preserve">samičie </w:t>
      </w:r>
      <w:r w:rsidRPr="006D6615">
        <w:rPr>
          <w:rFonts w:ascii="Times New Roman" w:hAnsi="Times New Roman"/>
        </w:rPr>
        <w:t>reprodukčné orgány.</w:t>
      </w:r>
    </w:p>
    <w:p w14:paraId="4252E8C4" w14:textId="77777777" w:rsidR="00A8477A" w:rsidRPr="006D6615" w:rsidRDefault="00A8477A" w:rsidP="00E10A86">
      <w:pPr>
        <w:pStyle w:val="Obsahtabuky"/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1B87A01" w14:textId="77777777" w:rsidR="00420D4F" w:rsidRPr="006D6615" w:rsidRDefault="002E6DFF" w:rsidP="00E10A86">
      <w:pPr>
        <w:pStyle w:val="Obsahtabuky"/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  <w:r w:rsidRPr="006D6615">
        <w:rPr>
          <w:rFonts w:ascii="Times New Roman" w:hAnsi="Times New Roman"/>
          <w:sz w:val="22"/>
          <w:szCs w:val="22"/>
        </w:rPr>
        <w:t xml:space="preserve">Vo vzťahu k srdcu, subakútne a kardiotoxicitu sledujúce štúdie naznačili, že intravenózny idarubicín bol málo až mierne kardiotoxický iba v letálnych dávkach, kým doxorubicín a daunorubicín zapríčinili jednoznačne </w:t>
      </w:r>
      <w:r w:rsidR="00A64E59" w:rsidRPr="006D6615">
        <w:rPr>
          <w:rFonts w:ascii="Times New Roman" w:hAnsi="Times New Roman"/>
          <w:sz w:val="22"/>
          <w:szCs w:val="22"/>
        </w:rPr>
        <w:t>poruchu funkcie myokardu pri neletálnych dávkach</w:t>
      </w:r>
      <w:r w:rsidR="00A64E59" w:rsidRPr="006D6615" w:rsidDel="00A64E59">
        <w:rPr>
          <w:rFonts w:ascii="Times New Roman" w:hAnsi="Times New Roman"/>
          <w:sz w:val="22"/>
          <w:szCs w:val="22"/>
        </w:rPr>
        <w:t xml:space="preserve"> </w:t>
      </w:r>
    </w:p>
    <w:p w14:paraId="1D2D20D4" w14:textId="77777777" w:rsidR="008C09A3" w:rsidRPr="006D6615" w:rsidRDefault="008C09A3" w:rsidP="00E10A86">
      <w:pPr>
        <w:pStyle w:val="Obsahtabuky"/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67511BCA" w14:textId="77777777" w:rsidR="003D701B" w:rsidRPr="006D6615" w:rsidRDefault="003D701B" w:rsidP="00E10A86">
      <w:pPr>
        <w:pStyle w:val="Obsahtabuky"/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2DA3FCC2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  <w:bCs/>
        </w:rPr>
        <w:t xml:space="preserve">6. </w:t>
      </w:r>
      <w:r w:rsidRPr="006D6615">
        <w:rPr>
          <w:rFonts w:ascii="Times New Roman" w:hAnsi="Times New Roman"/>
          <w:b/>
          <w:bCs/>
        </w:rPr>
        <w:tab/>
        <w:t>FARMACEUTICKÉ INFORMÁCIE</w:t>
      </w:r>
    </w:p>
    <w:p w14:paraId="0724794B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D4DEB6B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6.1</w:t>
      </w:r>
      <w:r w:rsidRPr="006D6615">
        <w:rPr>
          <w:rFonts w:ascii="Times New Roman" w:hAnsi="Times New Roman"/>
          <w:b/>
        </w:rPr>
        <w:tab/>
        <w:t>Zoznam pomocných látok</w:t>
      </w:r>
    </w:p>
    <w:p w14:paraId="514D320D" w14:textId="77777777" w:rsidR="00A8477A" w:rsidRPr="006D6615" w:rsidRDefault="00A8477A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985EFD2" w14:textId="77777777" w:rsidR="00E16750" w:rsidRPr="006D6615" w:rsidRDefault="00A64E59" w:rsidP="00E10A86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g</w:t>
      </w:r>
      <w:r w:rsidR="00E16750" w:rsidRPr="006D6615">
        <w:rPr>
          <w:rFonts w:ascii="Times New Roman" w:hAnsi="Times New Roman"/>
        </w:rPr>
        <w:t>lycerol</w:t>
      </w:r>
    </w:p>
    <w:p w14:paraId="424E0FA0" w14:textId="77777777" w:rsidR="00E16750" w:rsidRPr="006D6615" w:rsidRDefault="00A64E59" w:rsidP="00E10A86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v</w:t>
      </w:r>
      <w:r w:rsidR="00E16750" w:rsidRPr="006D6615">
        <w:rPr>
          <w:rFonts w:ascii="Times New Roman" w:hAnsi="Times New Roman"/>
        </w:rPr>
        <w:t>oda na injekci</w:t>
      </w:r>
      <w:r w:rsidRPr="006D6615">
        <w:rPr>
          <w:rFonts w:ascii="Times New Roman" w:hAnsi="Times New Roman"/>
        </w:rPr>
        <w:t>e</w:t>
      </w:r>
    </w:p>
    <w:p w14:paraId="47BA39C7" w14:textId="77777777" w:rsidR="00420D4F" w:rsidRPr="006D6615" w:rsidRDefault="00A64E59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k</w:t>
      </w:r>
      <w:r w:rsidR="00E16750" w:rsidRPr="006D6615">
        <w:rPr>
          <w:rFonts w:ascii="Times New Roman" w:hAnsi="Times New Roman"/>
        </w:rPr>
        <w:t>yselina chlorovodíková (na úpravu pH)</w:t>
      </w:r>
    </w:p>
    <w:p w14:paraId="4E475A2A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5AD30E" w14:textId="77777777" w:rsidR="00420D4F" w:rsidRPr="006D6615" w:rsidRDefault="002E6DFF" w:rsidP="00E10A86">
      <w:pPr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  <w:bCs/>
        </w:rPr>
        <w:t>6.2</w:t>
      </w:r>
      <w:r w:rsidRPr="006D6615">
        <w:rPr>
          <w:rFonts w:ascii="Times New Roman" w:hAnsi="Times New Roman"/>
          <w:b/>
          <w:bCs/>
        </w:rPr>
        <w:tab/>
        <w:t>Inkompatibility</w:t>
      </w:r>
    </w:p>
    <w:p w14:paraId="115F72BE" w14:textId="77777777" w:rsidR="00A8477A" w:rsidRPr="006D6615" w:rsidRDefault="00A8477A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C18E69" w14:textId="77777777" w:rsidR="00420D4F" w:rsidRPr="006D6615" w:rsidRDefault="00A64E59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</w:rPr>
        <w:t>ZAVEDOS sa nesmie miešať s heparínom, pretože by mohlo dôjsť k precipitácii</w:t>
      </w:r>
      <w:r w:rsidR="002E6DFF" w:rsidRPr="006D6615">
        <w:rPr>
          <w:rFonts w:ascii="Times New Roman" w:hAnsi="Times New Roman"/>
        </w:rPr>
        <w:t xml:space="preserve">. </w:t>
      </w:r>
      <w:r w:rsidR="00DF1B22" w:rsidRPr="006D6615">
        <w:rPr>
          <w:rFonts w:ascii="Times New Roman" w:hAnsi="Times New Roman"/>
        </w:rPr>
        <w:t>Z</w:t>
      </w:r>
      <w:r w:rsidR="003D701B" w:rsidRPr="006D6615">
        <w:rPr>
          <w:rFonts w:ascii="Times New Roman" w:hAnsi="Times New Roman"/>
        </w:rPr>
        <w:t>AVEDOS</w:t>
      </w:r>
      <w:r w:rsidR="002E6DFF" w:rsidRPr="006D6615">
        <w:rPr>
          <w:rFonts w:ascii="Times New Roman" w:hAnsi="Times New Roman"/>
        </w:rPr>
        <w:t xml:space="preserve"> </w:t>
      </w:r>
      <w:r w:rsidR="00DF1B22" w:rsidRPr="006D6615">
        <w:rPr>
          <w:rFonts w:ascii="Times New Roman" w:hAnsi="Times New Roman"/>
        </w:rPr>
        <w:t xml:space="preserve">sa </w:t>
      </w:r>
      <w:r w:rsidR="002E6DFF" w:rsidRPr="006D6615">
        <w:rPr>
          <w:rFonts w:ascii="Times New Roman" w:hAnsi="Times New Roman"/>
        </w:rPr>
        <w:t>nemá miešať</w:t>
      </w:r>
      <w:r w:rsidR="002E6DFF" w:rsidRPr="006D6615">
        <w:rPr>
          <w:rFonts w:ascii="Times New Roman" w:hAnsi="Times New Roman"/>
          <w:vertAlign w:val="superscript"/>
        </w:rPr>
        <w:t xml:space="preserve"> </w:t>
      </w:r>
      <w:r w:rsidR="003E4C7C" w:rsidRPr="006D6615">
        <w:rPr>
          <w:rFonts w:ascii="Times New Roman" w:hAnsi="Times New Roman"/>
        </w:rPr>
        <w:t xml:space="preserve">ani </w:t>
      </w:r>
      <w:r w:rsidR="002E6DFF" w:rsidRPr="006D6615">
        <w:rPr>
          <w:rFonts w:ascii="Times New Roman" w:hAnsi="Times New Roman"/>
        </w:rPr>
        <w:t>s inými liekmi.</w:t>
      </w:r>
    </w:p>
    <w:p w14:paraId="3D810C24" w14:textId="77777777" w:rsidR="00A64E59" w:rsidRPr="006D6615" w:rsidRDefault="00A64E59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Musí sa zamedziť dlhšie trvajúcemu kontaktu s roztokmi s alkalickým pH, pretože by mohlo dôjsť k degradáciu lieku.</w:t>
      </w:r>
    </w:p>
    <w:p w14:paraId="1ABB8B2F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27D75634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6D6615">
        <w:rPr>
          <w:rFonts w:ascii="Times New Roman" w:hAnsi="Times New Roman"/>
          <w:b/>
        </w:rPr>
        <w:t>6.3</w:t>
      </w:r>
      <w:r w:rsidRPr="006D6615">
        <w:rPr>
          <w:rFonts w:ascii="Times New Roman" w:hAnsi="Times New Roman"/>
          <w:b/>
        </w:rPr>
        <w:tab/>
        <w:t>Čas použiteľnosti</w:t>
      </w:r>
    </w:p>
    <w:p w14:paraId="0B12D15A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u w:val="single"/>
        </w:rPr>
      </w:pPr>
    </w:p>
    <w:p w14:paraId="6BF60F9B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Cs/>
        </w:rPr>
        <w:t>3 roky</w:t>
      </w:r>
    </w:p>
    <w:p w14:paraId="59C1AA10" w14:textId="77777777" w:rsidR="00C97158" w:rsidRPr="006D6615" w:rsidRDefault="00C97158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A61248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>6.4</w:t>
      </w:r>
      <w:r w:rsidRPr="006D6615">
        <w:rPr>
          <w:rFonts w:ascii="Times New Roman" w:hAnsi="Times New Roman"/>
          <w:b/>
        </w:rPr>
        <w:tab/>
        <w:t>Špeciálne upozornenia na uchovávanie</w:t>
      </w:r>
    </w:p>
    <w:p w14:paraId="7F1858A0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40CF7B8" w14:textId="77777777" w:rsidR="00E16750" w:rsidRPr="006B3987" w:rsidRDefault="00E16750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Uchovávajte v chladničke pri teplote 2 − 8 </w:t>
      </w:r>
      <w:r w:rsidRPr="006B3987">
        <w:rPr>
          <w:rFonts w:ascii="Times New Roman" w:hAnsi="Times New Roman"/>
        </w:rPr>
        <w:sym w:font="Symbol" w:char="F0B0"/>
      </w:r>
      <w:r w:rsidRPr="006B3987">
        <w:rPr>
          <w:rFonts w:ascii="Times New Roman" w:hAnsi="Times New Roman"/>
        </w:rPr>
        <w:t>C.</w:t>
      </w:r>
    </w:p>
    <w:p w14:paraId="608848F3" w14:textId="77777777" w:rsidR="005F75C9" w:rsidRPr="006B3987" w:rsidRDefault="00E16750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B3987">
        <w:rPr>
          <w:rFonts w:ascii="Times New Roman" w:hAnsi="Times New Roman"/>
        </w:rPr>
        <w:t>Uchovávajte vo vonkajšom obale na ochranu pred svetlom.</w:t>
      </w:r>
    </w:p>
    <w:p w14:paraId="67637CD3" w14:textId="77777777" w:rsidR="007C7B2F" w:rsidRPr="004935D2" w:rsidRDefault="007C7B2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B88FBA" w14:textId="77777777" w:rsidR="00420D4F" w:rsidRPr="004935D2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935D2">
        <w:rPr>
          <w:rFonts w:ascii="Times New Roman" w:hAnsi="Times New Roman"/>
          <w:b/>
        </w:rPr>
        <w:t>6.5</w:t>
      </w:r>
      <w:r w:rsidRPr="004935D2">
        <w:rPr>
          <w:rFonts w:ascii="Times New Roman" w:hAnsi="Times New Roman"/>
          <w:b/>
        </w:rPr>
        <w:tab/>
        <w:t>Druh obalu a obsah balenia</w:t>
      </w:r>
    </w:p>
    <w:p w14:paraId="396ED40C" w14:textId="77777777" w:rsidR="00E16750" w:rsidRPr="00E37901" w:rsidRDefault="00E16750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BC9A567" w14:textId="10413AFE" w:rsidR="00E16750" w:rsidRPr="006D6615" w:rsidRDefault="00132BDD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7901">
        <w:rPr>
          <w:rFonts w:ascii="Times New Roman" w:hAnsi="Times New Roman"/>
        </w:rPr>
        <w:t xml:space="preserve">5 ml </w:t>
      </w:r>
      <w:r w:rsidR="00DF1B22" w:rsidRPr="006D6615">
        <w:rPr>
          <w:rFonts w:ascii="Times New Roman" w:hAnsi="Times New Roman"/>
        </w:rPr>
        <w:t>injekčného roztoku v</w:t>
      </w:r>
      <w:r w:rsidRPr="006D6615">
        <w:rPr>
          <w:rFonts w:ascii="Times New Roman" w:hAnsi="Times New Roman"/>
        </w:rPr>
        <w:t xml:space="preserve"> </w:t>
      </w:r>
      <w:r w:rsidR="0016172D">
        <w:rPr>
          <w:rFonts w:ascii="Times New Roman" w:hAnsi="Times New Roman"/>
        </w:rPr>
        <w:t xml:space="preserve">injekčnej </w:t>
      </w:r>
      <w:r w:rsidRPr="006D6615">
        <w:rPr>
          <w:rFonts w:ascii="Times New Roman" w:hAnsi="Times New Roman"/>
        </w:rPr>
        <w:t>liekovk</w:t>
      </w:r>
      <w:r w:rsidR="00DF1B22" w:rsidRPr="006D6615">
        <w:rPr>
          <w:rFonts w:ascii="Times New Roman" w:hAnsi="Times New Roman"/>
        </w:rPr>
        <w:t>e</w:t>
      </w:r>
      <w:r w:rsidR="00567F41">
        <w:rPr>
          <w:rFonts w:ascii="Times New Roman" w:hAnsi="Times New Roman"/>
        </w:rPr>
        <w:t xml:space="preserve"> zo skla typu I,</w:t>
      </w:r>
      <w:r w:rsidRPr="006D6615">
        <w:rPr>
          <w:rFonts w:ascii="Times New Roman" w:hAnsi="Times New Roman"/>
        </w:rPr>
        <w:t xml:space="preserve"> uzavret</w:t>
      </w:r>
      <w:r w:rsidR="00DF1B22" w:rsidRPr="006D6615">
        <w:rPr>
          <w:rFonts w:ascii="Times New Roman" w:hAnsi="Times New Roman"/>
        </w:rPr>
        <w:t>ej</w:t>
      </w:r>
      <w:r w:rsidRPr="006D6615">
        <w:rPr>
          <w:rFonts w:ascii="Times New Roman" w:hAnsi="Times New Roman"/>
        </w:rPr>
        <w:t xml:space="preserve"> silikonizovanou gumovou zátkou z</w:t>
      </w:r>
      <w:r w:rsidR="0016172D">
        <w:rPr>
          <w:rFonts w:ascii="Times New Roman" w:hAnsi="Times New Roman"/>
        </w:rPr>
        <w:t> </w:t>
      </w:r>
      <w:r w:rsidRPr="006D6615">
        <w:rPr>
          <w:rFonts w:ascii="Times New Roman" w:hAnsi="Times New Roman"/>
        </w:rPr>
        <w:t>halobutylu</w:t>
      </w:r>
      <w:r w:rsidR="002A558B" w:rsidRPr="006D6615">
        <w:rPr>
          <w:rFonts w:ascii="Times New Roman" w:hAnsi="Times New Roman"/>
        </w:rPr>
        <w:t xml:space="preserve"> </w:t>
      </w:r>
      <w:r w:rsidRPr="006D6615">
        <w:rPr>
          <w:rFonts w:ascii="Times New Roman" w:hAnsi="Times New Roman"/>
        </w:rPr>
        <w:t>a</w:t>
      </w:r>
      <w:r w:rsidR="0016172D">
        <w:rPr>
          <w:rFonts w:ascii="Times New Roman" w:hAnsi="Times New Roman"/>
        </w:rPr>
        <w:t> </w:t>
      </w:r>
      <w:r w:rsidRPr="006D6615">
        <w:rPr>
          <w:rFonts w:ascii="Times New Roman" w:hAnsi="Times New Roman"/>
        </w:rPr>
        <w:t>utesnen</w:t>
      </w:r>
      <w:r w:rsidR="00DF1B22" w:rsidRPr="006D6615">
        <w:rPr>
          <w:rFonts w:ascii="Times New Roman" w:hAnsi="Times New Roman"/>
        </w:rPr>
        <w:t>ej</w:t>
      </w:r>
      <w:r w:rsidRPr="006D6615">
        <w:rPr>
          <w:rFonts w:ascii="Times New Roman" w:hAnsi="Times New Roman"/>
        </w:rPr>
        <w:t xml:space="preserve"> hliníkovým ochranným </w:t>
      </w:r>
      <w:r w:rsidR="002A558B" w:rsidRPr="006D6615">
        <w:rPr>
          <w:rFonts w:ascii="Times New Roman" w:hAnsi="Times New Roman"/>
        </w:rPr>
        <w:t>krytom</w:t>
      </w:r>
      <w:r w:rsidRPr="006D6615">
        <w:rPr>
          <w:rFonts w:ascii="Times New Roman" w:hAnsi="Times New Roman"/>
        </w:rPr>
        <w:t xml:space="preserve"> (alebo viečkom) s</w:t>
      </w:r>
      <w:r w:rsidR="0016172D">
        <w:rPr>
          <w:rFonts w:ascii="Times New Roman" w:hAnsi="Times New Roman"/>
        </w:rPr>
        <w:t> </w:t>
      </w:r>
      <w:r w:rsidRPr="006D6615">
        <w:rPr>
          <w:rFonts w:ascii="Times New Roman" w:hAnsi="Times New Roman"/>
        </w:rPr>
        <w:t xml:space="preserve">nepriehľadným, farebným, plastovým </w:t>
      </w:r>
      <w:r w:rsidR="002A558B" w:rsidRPr="006D6615">
        <w:rPr>
          <w:rFonts w:ascii="Times New Roman" w:hAnsi="Times New Roman"/>
        </w:rPr>
        <w:t>vyklápacím</w:t>
      </w:r>
      <w:r w:rsidR="00567F41">
        <w:rPr>
          <w:rFonts w:ascii="Times New Roman" w:hAnsi="Times New Roman"/>
        </w:rPr>
        <w:t xml:space="preserve"> (flip-off)</w:t>
      </w:r>
      <w:r w:rsidR="002A558B" w:rsidRPr="006D6615">
        <w:rPr>
          <w:rFonts w:ascii="Times New Roman" w:hAnsi="Times New Roman"/>
        </w:rPr>
        <w:t xml:space="preserve"> uzáverom</w:t>
      </w:r>
      <w:r w:rsidR="0016172D">
        <w:rPr>
          <w:rFonts w:ascii="Times New Roman" w:hAnsi="Times New Roman"/>
        </w:rPr>
        <w:t xml:space="preserve">, obalená čírym plastovým </w:t>
      </w:r>
      <w:r w:rsidR="002A48E6">
        <w:rPr>
          <w:rFonts w:ascii="Times New Roman" w:hAnsi="Times New Roman"/>
        </w:rPr>
        <w:t xml:space="preserve">ochranným </w:t>
      </w:r>
      <w:r w:rsidR="0016172D">
        <w:rPr>
          <w:rFonts w:ascii="Times New Roman" w:hAnsi="Times New Roman"/>
        </w:rPr>
        <w:t>puzdrom</w:t>
      </w:r>
      <w:r w:rsidR="002A558B" w:rsidRPr="006D6615">
        <w:rPr>
          <w:rFonts w:ascii="Times New Roman" w:hAnsi="Times New Roman"/>
        </w:rPr>
        <w:t>.</w:t>
      </w:r>
    </w:p>
    <w:p w14:paraId="31DB407A" w14:textId="77777777" w:rsidR="00DF1B22" w:rsidRPr="006D6615" w:rsidRDefault="00DF1B22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455D10" w14:textId="3863C39A" w:rsidR="00DF1B22" w:rsidRPr="006D6615" w:rsidRDefault="00DF1B22" w:rsidP="00DF1B22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10 ml injekčného roztoku v </w:t>
      </w:r>
      <w:r w:rsidR="00BF179E">
        <w:rPr>
          <w:rFonts w:ascii="Times New Roman" w:hAnsi="Times New Roman"/>
        </w:rPr>
        <w:t>injekčnej</w:t>
      </w:r>
      <w:r w:rsidRPr="006D6615">
        <w:rPr>
          <w:rFonts w:ascii="Times New Roman" w:hAnsi="Times New Roman"/>
        </w:rPr>
        <w:t xml:space="preserve"> liekovke </w:t>
      </w:r>
      <w:r w:rsidR="00BF179E">
        <w:rPr>
          <w:rFonts w:ascii="Times New Roman" w:hAnsi="Times New Roman"/>
        </w:rPr>
        <w:t>zo skla typu I,</w:t>
      </w:r>
      <w:r w:rsidR="00BF179E" w:rsidRPr="006D6615">
        <w:rPr>
          <w:rFonts w:ascii="Times New Roman" w:hAnsi="Times New Roman"/>
        </w:rPr>
        <w:t xml:space="preserve"> </w:t>
      </w:r>
      <w:r w:rsidRPr="006D6615">
        <w:rPr>
          <w:rFonts w:ascii="Times New Roman" w:hAnsi="Times New Roman"/>
        </w:rPr>
        <w:t xml:space="preserve">uzavretej silikonizovanou gumovou zátkou z halobutylu a utesnenej hliníkovým ochranným krytom (alebo viečkom) s nepriehľadným, farebným, plastovým vyklápacím </w:t>
      </w:r>
      <w:r w:rsidR="00BF179E">
        <w:rPr>
          <w:rFonts w:ascii="Times New Roman" w:hAnsi="Times New Roman"/>
        </w:rPr>
        <w:t xml:space="preserve">(flip-off) </w:t>
      </w:r>
      <w:r w:rsidRPr="006D6615">
        <w:rPr>
          <w:rFonts w:ascii="Times New Roman" w:hAnsi="Times New Roman"/>
        </w:rPr>
        <w:t>uzáverom</w:t>
      </w:r>
      <w:r w:rsidR="00BF179E">
        <w:rPr>
          <w:rFonts w:ascii="Times New Roman" w:hAnsi="Times New Roman"/>
        </w:rPr>
        <w:t>,</w:t>
      </w:r>
      <w:r w:rsidR="00BF179E" w:rsidRPr="00BF179E">
        <w:rPr>
          <w:rFonts w:ascii="Times New Roman" w:hAnsi="Times New Roman"/>
        </w:rPr>
        <w:t xml:space="preserve"> </w:t>
      </w:r>
      <w:r w:rsidR="00BF179E">
        <w:rPr>
          <w:rFonts w:ascii="Times New Roman" w:hAnsi="Times New Roman"/>
        </w:rPr>
        <w:t xml:space="preserve">obalená čírym plastovým </w:t>
      </w:r>
      <w:r w:rsidR="002A48E6">
        <w:rPr>
          <w:rFonts w:ascii="Times New Roman" w:hAnsi="Times New Roman"/>
        </w:rPr>
        <w:t xml:space="preserve">ochranným </w:t>
      </w:r>
      <w:r w:rsidR="00BF179E">
        <w:rPr>
          <w:rFonts w:ascii="Times New Roman" w:hAnsi="Times New Roman"/>
        </w:rPr>
        <w:t>puzdrom</w:t>
      </w:r>
      <w:r w:rsidRPr="006D6615">
        <w:rPr>
          <w:rFonts w:ascii="Times New Roman" w:hAnsi="Times New Roman"/>
        </w:rPr>
        <w:t>.</w:t>
      </w:r>
    </w:p>
    <w:p w14:paraId="5710195C" w14:textId="77777777" w:rsidR="00DF1B22" w:rsidRPr="006D6615" w:rsidRDefault="00DF1B22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A9C381" w14:textId="0053B6C8" w:rsidR="00DF1B22" w:rsidRPr="006D6615" w:rsidRDefault="00DF1B22" w:rsidP="00DF1B22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20 ml injekčného roztoku v </w:t>
      </w:r>
      <w:r w:rsidR="00BF179E">
        <w:rPr>
          <w:rFonts w:ascii="Times New Roman" w:hAnsi="Times New Roman"/>
        </w:rPr>
        <w:t>injekčnej</w:t>
      </w:r>
      <w:r w:rsidRPr="006D6615">
        <w:rPr>
          <w:rFonts w:ascii="Times New Roman" w:hAnsi="Times New Roman"/>
        </w:rPr>
        <w:t xml:space="preserve"> liekovke </w:t>
      </w:r>
      <w:r w:rsidR="00BF179E">
        <w:rPr>
          <w:rFonts w:ascii="Times New Roman" w:hAnsi="Times New Roman"/>
        </w:rPr>
        <w:t>zo skla typu I,</w:t>
      </w:r>
      <w:r w:rsidR="00BF179E" w:rsidRPr="006D6615">
        <w:rPr>
          <w:rFonts w:ascii="Times New Roman" w:hAnsi="Times New Roman"/>
        </w:rPr>
        <w:t xml:space="preserve"> </w:t>
      </w:r>
      <w:r w:rsidRPr="006D6615">
        <w:rPr>
          <w:rFonts w:ascii="Times New Roman" w:hAnsi="Times New Roman"/>
        </w:rPr>
        <w:t xml:space="preserve">uzavretej silikonizovanou gumovou zátkou z halobutylu a utesnenej hliníkovým ochranným krytom (alebo viečkom) s nepriehľadným, farebným, plastovým vyklápacím </w:t>
      </w:r>
      <w:r w:rsidR="00BF179E">
        <w:rPr>
          <w:rFonts w:ascii="Times New Roman" w:hAnsi="Times New Roman"/>
        </w:rPr>
        <w:t xml:space="preserve">(flip-off) </w:t>
      </w:r>
      <w:r w:rsidRPr="006D6615">
        <w:rPr>
          <w:rFonts w:ascii="Times New Roman" w:hAnsi="Times New Roman"/>
        </w:rPr>
        <w:t>uzáverom</w:t>
      </w:r>
      <w:r w:rsidR="00BF179E">
        <w:rPr>
          <w:rFonts w:ascii="Times New Roman" w:hAnsi="Times New Roman"/>
        </w:rPr>
        <w:t>,</w:t>
      </w:r>
      <w:r w:rsidR="00BF179E" w:rsidRPr="00BF179E">
        <w:rPr>
          <w:rFonts w:ascii="Times New Roman" w:hAnsi="Times New Roman"/>
        </w:rPr>
        <w:t xml:space="preserve"> </w:t>
      </w:r>
      <w:bookmarkStart w:id="1" w:name="_Hlk132379768"/>
      <w:r w:rsidR="00BF179E">
        <w:rPr>
          <w:rFonts w:ascii="Times New Roman" w:hAnsi="Times New Roman"/>
        </w:rPr>
        <w:t xml:space="preserve">obalená čírym plastovým </w:t>
      </w:r>
      <w:r w:rsidR="002A48E6">
        <w:rPr>
          <w:rFonts w:ascii="Times New Roman" w:hAnsi="Times New Roman"/>
        </w:rPr>
        <w:t xml:space="preserve">ochranným </w:t>
      </w:r>
      <w:r w:rsidR="00BF179E">
        <w:rPr>
          <w:rFonts w:ascii="Times New Roman" w:hAnsi="Times New Roman"/>
        </w:rPr>
        <w:t>puzdrom</w:t>
      </w:r>
      <w:bookmarkEnd w:id="1"/>
      <w:r w:rsidRPr="006D6615">
        <w:rPr>
          <w:rFonts w:ascii="Times New Roman" w:hAnsi="Times New Roman"/>
        </w:rPr>
        <w:t>.</w:t>
      </w:r>
    </w:p>
    <w:p w14:paraId="4EBDE09D" w14:textId="77777777" w:rsidR="00132BDD" w:rsidRPr="006D6615" w:rsidRDefault="00132BDD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5EBC14" w14:textId="77777777" w:rsidR="00420D4F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6D6615">
        <w:rPr>
          <w:rFonts w:ascii="Times New Roman" w:hAnsi="Times New Roman"/>
          <w:bCs/>
          <w:iCs/>
          <w:u w:val="single"/>
        </w:rPr>
        <w:t>Veľkosť balenia:</w:t>
      </w:r>
    </w:p>
    <w:p w14:paraId="7E622B52" w14:textId="77777777" w:rsidR="0027286B" w:rsidRPr="006B3987" w:rsidRDefault="0027286B" w:rsidP="00E10A86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 xml:space="preserve">Jedna 5 ml injekčná liekovka obsahuje 5 mg </w:t>
      </w:r>
      <w:r w:rsidRPr="006D6615">
        <w:rPr>
          <w:rFonts w:ascii="Times New Roman" w:hAnsi="Times New Roman"/>
          <w:bCs/>
        </w:rPr>
        <w:t>idarubic</w:t>
      </w:r>
      <w:r w:rsidR="00A64E59" w:rsidRPr="006D6615">
        <w:rPr>
          <w:rFonts w:ascii="Times New Roman" w:hAnsi="Times New Roman"/>
          <w:bCs/>
        </w:rPr>
        <w:t>í</w:t>
      </w:r>
      <w:r w:rsidRPr="006D6615">
        <w:rPr>
          <w:rFonts w:ascii="Times New Roman" w:hAnsi="Times New Roman"/>
          <w:bCs/>
        </w:rPr>
        <w:t>ni</w:t>
      </w:r>
      <w:r w:rsidR="00A64E59" w:rsidRPr="006D6615">
        <w:rPr>
          <w:rFonts w:ascii="Times New Roman" w:hAnsi="Times New Roman"/>
          <w:bCs/>
        </w:rPr>
        <w:t>um</w:t>
      </w:r>
      <w:r w:rsidR="006B3987">
        <w:rPr>
          <w:rFonts w:ascii="Times New Roman" w:hAnsi="Times New Roman"/>
          <w:bCs/>
        </w:rPr>
        <w:t>-</w:t>
      </w:r>
      <w:r w:rsidRPr="006B3987">
        <w:rPr>
          <w:rFonts w:ascii="Times New Roman" w:hAnsi="Times New Roman"/>
          <w:bCs/>
        </w:rPr>
        <w:t>chloridu</w:t>
      </w:r>
      <w:r w:rsidRPr="006B3987">
        <w:rPr>
          <w:rFonts w:ascii="Times New Roman" w:hAnsi="Times New Roman"/>
        </w:rPr>
        <w:t>.</w:t>
      </w:r>
    </w:p>
    <w:p w14:paraId="1724E3C0" w14:textId="77777777" w:rsidR="0027286B" w:rsidRPr="006B3987" w:rsidRDefault="0027286B" w:rsidP="00E10A86">
      <w:pPr>
        <w:keepNext/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</w:rPr>
        <w:t xml:space="preserve">Jedna 10 ml injekčná liekovka obsahuje 10 mg </w:t>
      </w:r>
      <w:r w:rsidRPr="004935D2">
        <w:rPr>
          <w:rFonts w:ascii="Times New Roman" w:hAnsi="Times New Roman"/>
          <w:bCs/>
        </w:rPr>
        <w:t>idarubic</w:t>
      </w:r>
      <w:r w:rsidR="00A64E59" w:rsidRPr="004935D2">
        <w:rPr>
          <w:rFonts w:ascii="Times New Roman" w:hAnsi="Times New Roman"/>
          <w:bCs/>
        </w:rPr>
        <w:t>í</w:t>
      </w:r>
      <w:r w:rsidRPr="004935D2">
        <w:rPr>
          <w:rFonts w:ascii="Times New Roman" w:hAnsi="Times New Roman"/>
          <w:bCs/>
        </w:rPr>
        <w:t>ni</w:t>
      </w:r>
      <w:r w:rsidR="00A64E59" w:rsidRPr="00E37901">
        <w:rPr>
          <w:rFonts w:ascii="Times New Roman" w:hAnsi="Times New Roman"/>
          <w:bCs/>
        </w:rPr>
        <w:t>um</w:t>
      </w:r>
      <w:r w:rsidR="006B3987">
        <w:rPr>
          <w:rFonts w:ascii="Times New Roman" w:hAnsi="Times New Roman"/>
          <w:bCs/>
        </w:rPr>
        <w:t>-</w:t>
      </w:r>
      <w:r w:rsidRPr="006B3987">
        <w:rPr>
          <w:rFonts w:ascii="Times New Roman" w:hAnsi="Times New Roman"/>
          <w:bCs/>
        </w:rPr>
        <w:t>chloridu</w:t>
      </w:r>
      <w:r w:rsidRPr="006B3987">
        <w:rPr>
          <w:rFonts w:ascii="Times New Roman" w:hAnsi="Times New Roman"/>
        </w:rPr>
        <w:t>.</w:t>
      </w:r>
    </w:p>
    <w:p w14:paraId="7D41F312" w14:textId="77777777" w:rsidR="00B84A76" w:rsidRPr="004935D2" w:rsidRDefault="0027286B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935D2">
        <w:rPr>
          <w:rFonts w:ascii="Times New Roman" w:hAnsi="Times New Roman"/>
        </w:rPr>
        <w:t xml:space="preserve">Jedna 20 ml injekčná liekovka obsahuje 20 mg </w:t>
      </w:r>
      <w:r w:rsidRPr="004935D2">
        <w:rPr>
          <w:rFonts w:ascii="Times New Roman" w:hAnsi="Times New Roman"/>
          <w:bCs/>
        </w:rPr>
        <w:t>idarubic</w:t>
      </w:r>
      <w:r w:rsidR="00A64E59" w:rsidRPr="004935D2">
        <w:rPr>
          <w:rFonts w:ascii="Times New Roman" w:hAnsi="Times New Roman"/>
          <w:bCs/>
        </w:rPr>
        <w:t>í</w:t>
      </w:r>
      <w:r w:rsidRPr="004935D2">
        <w:rPr>
          <w:rFonts w:ascii="Times New Roman" w:hAnsi="Times New Roman"/>
          <w:bCs/>
        </w:rPr>
        <w:t>ni</w:t>
      </w:r>
      <w:r w:rsidR="00A64E59" w:rsidRPr="004935D2">
        <w:rPr>
          <w:rFonts w:ascii="Times New Roman" w:hAnsi="Times New Roman"/>
          <w:bCs/>
        </w:rPr>
        <w:t>um</w:t>
      </w:r>
      <w:r w:rsidR="006B3987">
        <w:rPr>
          <w:rFonts w:ascii="Times New Roman" w:hAnsi="Times New Roman"/>
          <w:bCs/>
        </w:rPr>
        <w:t>-</w:t>
      </w:r>
      <w:r w:rsidRPr="006B3987">
        <w:rPr>
          <w:rFonts w:ascii="Times New Roman" w:hAnsi="Times New Roman"/>
          <w:bCs/>
        </w:rPr>
        <w:t>chloridu</w:t>
      </w:r>
      <w:r w:rsidRPr="006B3987">
        <w:rPr>
          <w:rFonts w:ascii="Times New Roman" w:hAnsi="Times New Roman"/>
        </w:rPr>
        <w:t>.</w:t>
      </w:r>
    </w:p>
    <w:p w14:paraId="6616EDD3" w14:textId="77777777" w:rsidR="00420D4F" w:rsidRPr="004935D2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8AEB443" w14:textId="77777777" w:rsidR="00B65BFC" w:rsidRPr="00E37901" w:rsidRDefault="00B65BFC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bookmarkStart w:id="2" w:name="_Hlk36627562"/>
      <w:r w:rsidRPr="00E37901">
        <w:rPr>
          <w:rFonts w:ascii="Times New Roman" w:hAnsi="Times New Roman"/>
          <w:bCs/>
        </w:rPr>
        <w:t>Na trh nemusia byť uvedené všetky veľkosti balenia.</w:t>
      </w:r>
    </w:p>
    <w:bookmarkEnd w:id="2"/>
    <w:p w14:paraId="01462471" w14:textId="77777777" w:rsidR="00B65BFC" w:rsidRPr="00E37901" w:rsidRDefault="00B65BFC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AF0BC11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6D6615">
        <w:rPr>
          <w:rFonts w:ascii="Times New Roman" w:hAnsi="Times New Roman"/>
          <w:b/>
        </w:rPr>
        <w:t>6.6</w:t>
      </w:r>
      <w:r w:rsidRPr="006D6615">
        <w:rPr>
          <w:rFonts w:ascii="Times New Roman" w:hAnsi="Times New Roman"/>
          <w:b/>
        </w:rPr>
        <w:tab/>
      </w:r>
      <w:r w:rsidRPr="006D6615">
        <w:rPr>
          <w:rFonts w:ascii="Times New Roman" w:hAnsi="Times New Roman"/>
          <w:b/>
          <w:bCs/>
          <w:noProof/>
        </w:rPr>
        <w:t>Špeciálne opatrenia na likvidáciu</w:t>
      </w:r>
      <w:r w:rsidRPr="006D6615">
        <w:rPr>
          <w:rFonts w:ascii="Times New Roman" w:hAnsi="Times New Roman"/>
          <w:b/>
        </w:rPr>
        <w:t xml:space="preserve"> </w:t>
      </w:r>
      <w:r w:rsidRPr="006D6615">
        <w:rPr>
          <w:rFonts w:ascii="Times New Roman" w:hAnsi="Times New Roman"/>
          <w:b/>
          <w:bCs/>
          <w:noProof/>
        </w:rPr>
        <w:t>a iné zaobchádzanie s liekom</w:t>
      </w:r>
    </w:p>
    <w:p w14:paraId="006BE126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A92F51" w14:textId="77777777" w:rsidR="005F75C9" w:rsidRPr="006D6615" w:rsidRDefault="00A64E59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</w:rPr>
      </w:pPr>
      <w:r w:rsidRPr="006D6615">
        <w:rPr>
          <w:rFonts w:ascii="Times New Roman" w:hAnsi="Times New Roman"/>
        </w:rPr>
        <w:t>Pri zavádzaní ihly do injekčnej liekovky sa má postupovať obzvlášť opatrne.</w:t>
      </w:r>
      <w:r w:rsidR="002E6DFF" w:rsidRPr="006D6615">
        <w:rPr>
          <w:rFonts w:ascii="Times New Roman" w:hAnsi="Times New Roman"/>
        </w:rPr>
        <w:t xml:space="preserve"> </w:t>
      </w:r>
    </w:p>
    <w:p w14:paraId="06891F55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83A3D8" w14:textId="77777777" w:rsidR="007D2A31" w:rsidRPr="00465E86" w:rsidRDefault="00A64E59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u w:val="single"/>
        </w:rPr>
      </w:pPr>
      <w:r w:rsidRPr="006D6615">
        <w:rPr>
          <w:rFonts w:ascii="Times New Roman" w:hAnsi="Times New Roman"/>
          <w:bCs/>
          <w:u w:val="single"/>
        </w:rPr>
        <w:t xml:space="preserve">Intravenózne </w:t>
      </w:r>
      <w:r w:rsidR="002E6DFF" w:rsidRPr="006D6615">
        <w:rPr>
          <w:rFonts w:ascii="Times New Roman" w:hAnsi="Times New Roman"/>
          <w:bCs/>
          <w:u w:val="single"/>
        </w:rPr>
        <w:t>podávanie</w:t>
      </w:r>
    </w:p>
    <w:p w14:paraId="36317680" w14:textId="77777777" w:rsidR="007D2A31" w:rsidRPr="00E070C5" w:rsidRDefault="007D2A31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</w:rPr>
      </w:pPr>
    </w:p>
    <w:p w14:paraId="229BEEF5" w14:textId="77777777" w:rsidR="00420D4F" w:rsidRPr="00E070C5" w:rsidRDefault="001807D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5E86">
        <w:rPr>
          <w:rFonts w:ascii="Times New Roman" w:hAnsi="Times New Roman"/>
          <w:bCs/>
          <w:iCs/>
        </w:rPr>
        <w:t>R</w:t>
      </w:r>
      <w:r w:rsidR="00A64E59" w:rsidRPr="00E070C5">
        <w:rPr>
          <w:rFonts w:ascii="Times New Roman" w:hAnsi="Times New Roman"/>
          <w:bCs/>
          <w:iCs/>
        </w:rPr>
        <w:t>oztok</w:t>
      </w:r>
      <w:r w:rsidR="00A64E59" w:rsidRPr="00E070C5">
        <w:rPr>
          <w:rFonts w:ascii="Times New Roman" w:hAnsi="Times New Roman"/>
        </w:rPr>
        <w:t xml:space="preserve"> sa musí podávať </w:t>
      </w:r>
      <w:r w:rsidR="00A64E59" w:rsidRPr="00E070C5">
        <w:rPr>
          <w:rFonts w:ascii="Times New Roman" w:hAnsi="Times New Roman"/>
          <w:bCs/>
        </w:rPr>
        <w:t>výlučne intravenózne</w:t>
      </w:r>
      <w:r w:rsidR="00A64E59" w:rsidRPr="00E070C5">
        <w:rPr>
          <w:rFonts w:ascii="Times New Roman" w:hAnsi="Times New Roman"/>
        </w:rPr>
        <w:t xml:space="preserve"> a pomaly (počas 5 až 10 minút) do infúznej súpravy s voľne tečúcim infúznym fyziologickým roztokom (0,9 % roztok chloridu sodného) – najpr však treba skontrolovať, či je ihla v žile dobre zavedená. Uvedená technika znižuje riziko trombózy a </w:t>
      </w:r>
      <w:r w:rsidR="00A64E59" w:rsidRPr="00E070C5">
        <w:rPr>
          <w:rStyle w:val="hps"/>
          <w:rFonts w:ascii="Times New Roman" w:hAnsi="Times New Roman"/>
        </w:rPr>
        <w:t>extravazácie</w:t>
      </w:r>
      <w:r w:rsidR="00A64E59" w:rsidRPr="00E070C5">
        <w:rPr>
          <w:rFonts w:ascii="Times New Roman" w:hAnsi="Times New Roman"/>
        </w:rPr>
        <w:t>, ktoré by mohlo viesť k závažnej celulitíde a nekróze. Podávanie do žily malého priemeru alebo opakované podávanie do rovnakej žily môže spôsobiť sklerózu žily</w:t>
      </w:r>
      <w:r w:rsidR="00D40262" w:rsidRPr="00E070C5">
        <w:rPr>
          <w:rFonts w:ascii="Times New Roman" w:hAnsi="Times New Roman"/>
        </w:rPr>
        <w:t>.</w:t>
      </w:r>
    </w:p>
    <w:p w14:paraId="532AFA67" w14:textId="77777777" w:rsidR="00420D4F" w:rsidRPr="00931FA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D5339C" w14:textId="77777777" w:rsidR="00A64E59" w:rsidRPr="00A0786D" w:rsidRDefault="00A64E59" w:rsidP="00A64E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Cs/>
          <w:iCs/>
          <w:u w:val="single"/>
        </w:rPr>
      </w:pPr>
      <w:r w:rsidRPr="001876FA">
        <w:rPr>
          <w:rFonts w:ascii="Times New Roman" w:hAnsi="Times New Roman"/>
          <w:bCs/>
          <w:iCs/>
          <w:u w:val="single"/>
        </w:rPr>
        <w:t>Musia sa dodržiavať nasledujúce bezpečnostné opatrenia, ktoré vyplývajú z toxickej pova</w:t>
      </w:r>
      <w:r w:rsidRPr="00A0786D">
        <w:rPr>
          <w:rFonts w:ascii="Times New Roman" w:hAnsi="Times New Roman"/>
          <w:bCs/>
          <w:iCs/>
          <w:u w:val="single"/>
        </w:rPr>
        <w:t>hy liečiva a sú platné pre zaobchádzanie so všetkými cytotoxickými látkami:</w:t>
      </w:r>
    </w:p>
    <w:p w14:paraId="3829BA9E" w14:textId="77777777" w:rsidR="00A64E59" w:rsidRPr="003A0C52" w:rsidRDefault="00A64E59" w:rsidP="00A64E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Cs/>
          <w:iCs/>
          <w:u w:val="single"/>
        </w:rPr>
      </w:pPr>
    </w:p>
    <w:p w14:paraId="33E91C29" w14:textId="77777777" w:rsidR="00A64E59" w:rsidRPr="003A0C52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3A0C52">
        <w:rPr>
          <w:rFonts w:ascii="Times New Roman" w:hAnsi="Times New Roman"/>
        </w:rPr>
        <w:t>Personál musí byť poučený o správnej technike zaobchádzania s liekom.</w:t>
      </w:r>
    </w:p>
    <w:p w14:paraId="10EA25CB" w14:textId="77777777" w:rsidR="00A64E59" w:rsidRPr="006B3987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B3987">
        <w:rPr>
          <w:rFonts w:ascii="Times New Roman" w:hAnsi="Times New Roman"/>
        </w:rPr>
        <w:t>Tehotné ženy nesmú pracovať s týmto liekom.</w:t>
      </w:r>
    </w:p>
    <w:p w14:paraId="01B88882" w14:textId="77777777" w:rsidR="00A64E59" w:rsidRPr="006B3987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B3987">
        <w:rPr>
          <w:rFonts w:ascii="Times New Roman" w:hAnsi="Times New Roman"/>
        </w:rPr>
        <w:t>Personál, ktorý zaobchádza s týmto liekom, musí používať ochranné pomôcky ako ochranné okuliare, plášte, jednorazové rukavice a masky.</w:t>
      </w:r>
    </w:p>
    <w:p w14:paraId="1F5999B4" w14:textId="77777777" w:rsidR="003E4C7C" w:rsidRPr="004935D2" w:rsidRDefault="003E4C7C" w:rsidP="006A44E9">
      <w:pPr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935D2">
        <w:rPr>
          <w:rFonts w:ascii="Times New Roman" w:hAnsi="Times New Roman"/>
        </w:rPr>
        <w:t>Všetky pomôcky použité pri podávaní lieku alebo čistení, vrátane rukavíc, sa musia umiestniť do odpadových vriec pre vysoko nebezpečný odpad určených na spálenie pri vysokej teplote.</w:t>
      </w:r>
    </w:p>
    <w:p w14:paraId="4B6A43E4" w14:textId="77777777" w:rsidR="00A64E59" w:rsidRPr="00E37901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7901">
        <w:rPr>
          <w:rFonts w:ascii="Times New Roman" w:hAnsi="Times New Roman"/>
        </w:rPr>
        <w:t>V prípade vyliatia alebo vytečenia lieku sa musí na vyčistenie použiť roztok chlórnanu sodného (1 % voľného chlóru) a potom umyť vodou.</w:t>
      </w:r>
    </w:p>
    <w:p w14:paraId="46BB66D5" w14:textId="77777777" w:rsidR="00A64E59" w:rsidRPr="00E37901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7901">
        <w:rPr>
          <w:rFonts w:ascii="Times New Roman" w:hAnsi="Times New Roman"/>
        </w:rPr>
        <w:t>Všetky materiály použité na čistenie sa musia zlikvidovať podľa pokynov uvedených vyššie.</w:t>
      </w:r>
    </w:p>
    <w:p w14:paraId="1E64CD87" w14:textId="77777777" w:rsidR="00A64E59" w:rsidRPr="006D6615" w:rsidRDefault="00A64E59" w:rsidP="00A64E5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D6615">
        <w:rPr>
          <w:rFonts w:ascii="Times New Roman" w:hAnsi="Times New Roman"/>
        </w:rPr>
        <w:t>Ak sa liek dostane do kontaktu s kožou alebo očami, musí sa postihnuté miesto ihneď opláchnuť veľkým množstvom vody, mydlom a vodou alebo roztokom hydrogenuhličitanu sodného a je nevyhnutné vyhľadať lekára. Pri prehltnutí alebo vdýchnutí lieku sa musí okamžite vyhľadať lekárska pomoc.</w:t>
      </w:r>
    </w:p>
    <w:p w14:paraId="1C2D66D9" w14:textId="77777777" w:rsidR="00A64E59" w:rsidRPr="006D6615" w:rsidRDefault="00A64E59" w:rsidP="00A64E59">
      <w:pPr>
        <w:numPr>
          <w:ilvl w:val="1"/>
          <w:numId w:val="4"/>
        </w:numPr>
        <w:tabs>
          <w:tab w:val="left" w:pos="567"/>
          <w:tab w:val="left" w:pos="993"/>
          <w:tab w:val="left" w:pos="3969"/>
        </w:tabs>
        <w:spacing w:after="0" w:line="240" w:lineRule="auto"/>
        <w:ind w:hanging="1440"/>
        <w:rPr>
          <w:rFonts w:ascii="Times New Roman" w:hAnsi="Times New Roman"/>
          <w:noProof/>
        </w:rPr>
      </w:pPr>
      <w:r w:rsidRPr="006D6615">
        <w:rPr>
          <w:rFonts w:ascii="Times New Roman" w:hAnsi="Times New Roman"/>
          <w:noProof/>
        </w:rPr>
        <w:t>Po vyzlečení rukavíc si vždy umyte ruky.</w:t>
      </w:r>
    </w:p>
    <w:p w14:paraId="14CF4C28" w14:textId="77777777" w:rsidR="00AF547D" w:rsidRPr="006D6615" w:rsidRDefault="00A64E59" w:rsidP="003E4C7C">
      <w:pPr>
        <w:numPr>
          <w:ilvl w:val="0"/>
          <w:numId w:val="4"/>
        </w:numPr>
        <w:tabs>
          <w:tab w:val="clear" w:pos="720"/>
          <w:tab w:val="num" w:pos="567"/>
          <w:tab w:val="left" w:pos="993"/>
          <w:tab w:val="left" w:pos="3969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D6615">
        <w:rPr>
          <w:rFonts w:ascii="Times New Roman" w:eastAsia="TimesNewRoman" w:hAnsi="Times New Roman"/>
        </w:rPr>
        <w:t xml:space="preserve">Všetok nepoužitý liek alebo odpad vzniknutý z lieku </w:t>
      </w:r>
      <w:r w:rsidR="007C7B2F" w:rsidRPr="006D6615">
        <w:rPr>
          <w:rFonts w:ascii="Times New Roman" w:eastAsia="TimesNewRoman" w:hAnsi="Times New Roman"/>
        </w:rPr>
        <w:t>sa má zlikvidovať v súlade s národnými požiadavkami.</w:t>
      </w:r>
    </w:p>
    <w:p w14:paraId="6FA94C48" w14:textId="77777777" w:rsidR="008C09A3" w:rsidRPr="006D6615" w:rsidRDefault="008C09A3" w:rsidP="00E10A86">
      <w:pPr>
        <w:tabs>
          <w:tab w:val="left" w:pos="567"/>
          <w:tab w:val="left" w:pos="993"/>
          <w:tab w:val="left" w:pos="3969"/>
        </w:tabs>
        <w:spacing w:after="0" w:line="240" w:lineRule="auto"/>
        <w:rPr>
          <w:rFonts w:ascii="Times New Roman" w:hAnsi="Times New Roman"/>
          <w:noProof/>
        </w:rPr>
      </w:pPr>
    </w:p>
    <w:p w14:paraId="4CE0575F" w14:textId="77777777" w:rsidR="00420D4F" w:rsidRPr="006D6615" w:rsidRDefault="002E6DFF" w:rsidP="00E10A8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D6615">
        <w:rPr>
          <w:rFonts w:ascii="Times New Roman" w:hAnsi="Times New Roman"/>
          <w:b/>
        </w:rPr>
        <w:t xml:space="preserve">7. </w:t>
      </w:r>
      <w:r w:rsidRPr="006D6615">
        <w:rPr>
          <w:rFonts w:ascii="Times New Roman" w:hAnsi="Times New Roman"/>
          <w:b/>
        </w:rPr>
        <w:tab/>
        <w:t>DRŽITEĽ ROZHODNUTIA O REGISTRÁCII</w:t>
      </w:r>
    </w:p>
    <w:p w14:paraId="5584C308" w14:textId="77777777" w:rsidR="00960504" w:rsidRPr="006D6615" w:rsidRDefault="00960504" w:rsidP="00E10A86">
      <w:pPr>
        <w:keepNext/>
        <w:spacing w:after="0" w:line="240" w:lineRule="auto"/>
        <w:rPr>
          <w:rFonts w:ascii="Times New Roman" w:hAnsi="Times New Roman"/>
          <w:bCs/>
        </w:rPr>
      </w:pPr>
    </w:p>
    <w:p w14:paraId="613AFCD8" w14:textId="77777777" w:rsidR="000407E1" w:rsidRPr="006D6615" w:rsidRDefault="000407E1" w:rsidP="003E4C7C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Pfizer Europe MA EEIG</w:t>
      </w:r>
    </w:p>
    <w:p w14:paraId="2F02DCBC" w14:textId="77777777" w:rsidR="000407E1" w:rsidRPr="006D6615" w:rsidRDefault="000407E1" w:rsidP="003E4C7C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Boulevard de la Plaine 17</w:t>
      </w:r>
    </w:p>
    <w:p w14:paraId="1BDAF237" w14:textId="77777777" w:rsidR="000407E1" w:rsidRPr="006D6615" w:rsidRDefault="000407E1" w:rsidP="003E4C7C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1050 Bruxelles</w:t>
      </w:r>
    </w:p>
    <w:p w14:paraId="398ADA42" w14:textId="77777777" w:rsidR="000407E1" w:rsidRPr="006D6615" w:rsidRDefault="000407E1" w:rsidP="003E4C7C">
      <w:pPr>
        <w:keepNext/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Belgicko</w:t>
      </w:r>
    </w:p>
    <w:p w14:paraId="1EE3EB3F" w14:textId="77777777" w:rsidR="008C09A3" w:rsidRPr="006D6615" w:rsidRDefault="008C09A3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C49E7D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00E9A5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6D6615">
        <w:rPr>
          <w:rFonts w:ascii="Times New Roman" w:hAnsi="Times New Roman"/>
          <w:b/>
        </w:rPr>
        <w:t xml:space="preserve">8. </w:t>
      </w:r>
      <w:r w:rsidRPr="006D6615">
        <w:rPr>
          <w:rFonts w:ascii="Times New Roman" w:hAnsi="Times New Roman"/>
          <w:b/>
        </w:rPr>
        <w:tab/>
        <w:t>REGISTRAČNÉ ČÍSL</w:t>
      </w:r>
      <w:r w:rsidR="00D40262" w:rsidRPr="006D6615">
        <w:rPr>
          <w:rFonts w:ascii="Times New Roman" w:hAnsi="Times New Roman"/>
          <w:b/>
        </w:rPr>
        <w:t>O</w:t>
      </w:r>
    </w:p>
    <w:p w14:paraId="30101651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434DDD1" w14:textId="77777777" w:rsidR="00420D4F" w:rsidRPr="006D6615" w:rsidRDefault="003E4C7C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</w:rPr>
        <w:t>44/0206/18-S</w:t>
      </w:r>
    </w:p>
    <w:p w14:paraId="2B2E8434" w14:textId="77777777" w:rsidR="00420D4F" w:rsidRPr="006D6615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2927A4F" w14:textId="77777777" w:rsidR="00693353" w:rsidRPr="006D6615" w:rsidRDefault="00693353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3" w:name="_GoBack"/>
      <w:bookmarkEnd w:id="3"/>
    </w:p>
    <w:p w14:paraId="386B041D" w14:textId="77777777" w:rsidR="00420D4F" w:rsidRPr="006D6615" w:rsidRDefault="002E6DFF" w:rsidP="00DE479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</w:rPr>
        <w:t xml:space="preserve">9. </w:t>
      </w:r>
      <w:r w:rsidRPr="006D6615">
        <w:rPr>
          <w:rFonts w:ascii="Times New Roman" w:hAnsi="Times New Roman"/>
          <w:b/>
        </w:rPr>
        <w:tab/>
        <w:t>DÁTUM PRVEJ REGISTRÁCIE/PREDĹŽENIA REGISTRÁCIE</w:t>
      </w:r>
    </w:p>
    <w:p w14:paraId="7C899716" w14:textId="77777777" w:rsidR="00960504" w:rsidRPr="006D6615" w:rsidRDefault="00960504" w:rsidP="00DE4796">
      <w:pPr>
        <w:keepNext/>
        <w:spacing w:after="0" w:line="240" w:lineRule="auto"/>
        <w:rPr>
          <w:rFonts w:ascii="Times New Roman" w:hAnsi="Times New Roman"/>
          <w:bCs/>
          <w:u w:val="single"/>
        </w:rPr>
      </w:pPr>
    </w:p>
    <w:p w14:paraId="45761CEE" w14:textId="77777777" w:rsidR="00420D4F" w:rsidRPr="00C730DD" w:rsidRDefault="002E6DFF" w:rsidP="00E10A86">
      <w:pPr>
        <w:spacing w:after="0" w:line="240" w:lineRule="auto"/>
        <w:rPr>
          <w:rFonts w:ascii="Times New Roman" w:hAnsi="Times New Roman" w:cs="Times New Roman"/>
        </w:rPr>
      </w:pPr>
      <w:r w:rsidRPr="00716B47">
        <w:rPr>
          <w:rFonts w:ascii="Times New Roman" w:hAnsi="Times New Roman" w:cs="Times New Roman"/>
          <w:bCs/>
        </w:rPr>
        <w:t xml:space="preserve">Dátum </w:t>
      </w:r>
      <w:r w:rsidR="006B68C9" w:rsidRPr="00C730DD">
        <w:rPr>
          <w:rFonts w:ascii="Times New Roman" w:hAnsi="Times New Roman" w:cs="Times New Roman"/>
          <w:bCs/>
        </w:rPr>
        <w:t xml:space="preserve">prvej </w:t>
      </w:r>
      <w:r w:rsidRPr="00C730DD">
        <w:rPr>
          <w:rFonts w:ascii="Times New Roman" w:hAnsi="Times New Roman" w:cs="Times New Roman"/>
          <w:bCs/>
        </w:rPr>
        <w:t xml:space="preserve">registrácie: </w:t>
      </w:r>
      <w:r w:rsidR="00F10DCF" w:rsidRPr="00C730DD">
        <w:rPr>
          <w:rFonts w:ascii="Times New Roman" w:hAnsi="Times New Roman" w:cs="Times New Roman"/>
          <w:bCs/>
        </w:rPr>
        <w:t>22. júna 2018</w:t>
      </w:r>
    </w:p>
    <w:p w14:paraId="5F40ACB4" w14:textId="48EBA643" w:rsidR="00420D4F" w:rsidRPr="00DE4796" w:rsidRDefault="00CD38A1" w:rsidP="00E10A8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DE4796">
        <w:rPr>
          <w:rFonts w:ascii="Times New Roman" w:hAnsi="Times New Roman" w:cs="Times New Roman"/>
          <w:bCs/>
        </w:rPr>
        <w:t xml:space="preserve">Dátum </w:t>
      </w:r>
      <w:r w:rsidR="00716B47" w:rsidRPr="00DE4796">
        <w:rPr>
          <w:rFonts w:ascii="Times New Roman" w:hAnsi="Times New Roman" w:cs="Times New Roman"/>
        </w:rPr>
        <w:t>posledného</w:t>
      </w:r>
      <w:r w:rsidR="00716B47" w:rsidRPr="00716B47">
        <w:rPr>
          <w:rFonts w:ascii="Times New Roman" w:hAnsi="Times New Roman" w:cs="Times New Roman"/>
          <w:bCs/>
        </w:rPr>
        <w:t xml:space="preserve"> </w:t>
      </w:r>
      <w:r w:rsidRPr="00DE4796">
        <w:rPr>
          <w:rFonts w:ascii="Times New Roman" w:hAnsi="Times New Roman" w:cs="Times New Roman"/>
          <w:bCs/>
        </w:rPr>
        <w:t xml:space="preserve">predĺženia registrácie: </w:t>
      </w:r>
      <w:r w:rsidR="008E29C6" w:rsidRPr="00716B47">
        <w:rPr>
          <w:rFonts w:ascii="Times New Roman" w:hAnsi="Times New Roman" w:cs="Times New Roman"/>
          <w:bCs/>
        </w:rPr>
        <w:t xml:space="preserve">15. mája </w:t>
      </w:r>
      <w:r w:rsidR="008E29C6" w:rsidRPr="00C730DD">
        <w:rPr>
          <w:rFonts w:ascii="Times New Roman" w:hAnsi="Times New Roman" w:cs="Times New Roman"/>
          <w:bCs/>
        </w:rPr>
        <w:t>2023</w:t>
      </w:r>
    </w:p>
    <w:p w14:paraId="4F2E51DA" w14:textId="288E512E" w:rsidR="00420D4F" w:rsidRDefault="00420D4F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6CD0F26" w14:textId="77777777" w:rsidR="00CD38A1" w:rsidRPr="006D6615" w:rsidRDefault="00CD38A1" w:rsidP="00E10A8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F06F794" w14:textId="77777777" w:rsidR="00420D4F" w:rsidRPr="006D6615" w:rsidRDefault="002E6DFF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D6615">
        <w:rPr>
          <w:rFonts w:ascii="Times New Roman" w:hAnsi="Times New Roman"/>
          <w:b/>
          <w:bCs/>
        </w:rPr>
        <w:t xml:space="preserve">10. </w:t>
      </w:r>
      <w:r w:rsidRPr="006D6615">
        <w:rPr>
          <w:rFonts w:ascii="Times New Roman" w:hAnsi="Times New Roman"/>
          <w:b/>
          <w:bCs/>
        </w:rPr>
        <w:tab/>
        <w:t>DÁTUM REVÍZIE TEXTU</w:t>
      </w:r>
    </w:p>
    <w:p w14:paraId="0954CB60" w14:textId="77777777" w:rsidR="00960504" w:rsidRPr="006D6615" w:rsidRDefault="00960504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E12CC7" w14:textId="68FC9645" w:rsidR="00D40262" w:rsidRPr="00A0786D" w:rsidRDefault="00300484" w:rsidP="00E10A8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12/2023</w:t>
      </w:r>
    </w:p>
    <w:sectPr w:rsidR="00D40262" w:rsidRPr="00A0786D" w:rsidSect="00465E8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B5FE" w14:textId="77777777" w:rsidR="00AD51EF" w:rsidRDefault="00AD51EF">
      <w:r>
        <w:separator/>
      </w:r>
    </w:p>
  </w:endnote>
  <w:endnote w:type="continuationSeparator" w:id="0">
    <w:p w14:paraId="6F388B88" w14:textId="77777777" w:rsidR="00AD51EF" w:rsidRDefault="00A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606E" w14:textId="77777777" w:rsidR="00E10A86" w:rsidRPr="006D6615" w:rsidRDefault="007A1B1B" w:rsidP="006D6615">
    <w:pPr>
      <w:pStyle w:val="Pta"/>
      <w:jc w:val="center"/>
      <w:rPr>
        <w:rFonts w:ascii="Times New Roman" w:hAnsi="Times New Roman"/>
        <w:sz w:val="18"/>
        <w:szCs w:val="18"/>
      </w:rPr>
    </w:pPr>
    <w:r w:rsidRPr="006D6615">
      <w:rPr>
        <w:rFonts w:ascii="Times New Roman" w:hAnsi="Times New Roman"/>
        <w:sz w:val="18"/>
        <w:szCs w:val="18"/>
      </w:rPr>
      <w:fldChar w:fldCharType="begin"/>
    </w:r>
    <w:r w:rsidRPr="006D6615">
      <w:rPr>
        <w:rFonts w:ascii="Times New Roman" w:hAnsi="Times New Roman"/>
        <w:sz w:val="18"/>
        <w:szCs w:val="18"/>
      </w:rPr>
      <w:instrText>PAGE   \* MERGEFORMAT</w:instrText>
    </w:r>
    <w:r w:rsidRPr="006D6615">
      <w:rPr>
        <w:rFonts w:ascii="Times New Roman" w:hAnsi="Times New Roman"/>
        <w:sz w:val="18"/>
        <w:szCs w:val="18"/>
      </w:rPr>
      <w:fldChar w:fldCharType="separate"/>
    </w:r>
    <w:r w:rsidR="00DE4796">
      <w:rPr>
        <w:rFonts w:ascii="Times New Roman" w:hAnsi="Times New Roman"/>
        <w:noProof/>
        <w:sz w:val="18"/>
        <w:szCs w:val="18"/>
      </w:rPr>
      <w:t>13</w:t>
    </w:r>
    <w:r w:rsidRPr="006D6615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06B8C" w14:textId="77777777" w:rsidR="00E10A86" w:rsidRPr="00E10A86" w:rsidRDefault="00E10A8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</w:rPr>
    </w:pPr>
    <w:r w:rsidRPr="00E10A86">
      <w:rPr>
        <w:rStyle w:val="slostrany"/>
        <w:rFonts w:ascii="Times New Roman" w:hAnsi="Times New Roman"/>
        <w:sz w:val="18"/>
      </w:rPr>
      <w:fldChar w:fldCharType="begin"/>
    </w:r>
    <w:r w:rsidRPr="00E10A86">
      <w:rPr>
        <w:rStyle w:val="slostrany"/>
        <w:rFonts w:ascii="Times New Roman" w:hAnsi="Times New Roman"/>
        <w:sz w:val="18"/>
      </w:rPr>
      <w:instrText xml:space="preserve">PAGE  </w:instrText>
    </w:r>
    <w:r w:rsidRPr="00E10A86">
      <w:rPr>
        <w:rStyle w:val="slostrany"/>
        <w:rFonts w:ascii="Times New Roman" w:hAnsi="Times New Roman"/>
        <w:sz w:val="18"/>
      </w:rPr>
      <w:fldChar w:fldCharType="separate"/>
    </w:r>
    <w:r w:rsidR="00CC5D34">
      <w:rPr>
        <w:rStyle w:val="slostrany"/>
        <w:rFonts w:ascii="Times New Roman" w:hAnsi="Times New Roman"/>
        <w:noProof/>
        <w:sz w:val="18"/>
      </w:rPr>
      <w:t>1</w:t>
    </w:r>
    <w:r w:rsidRPr="00E10A86">
      <w:rPr>
        <w:rStyle w:val="slostrany"/>
        <w:rFonts w:ascii="Times New Roman" w:hAnsi="Times New Roman"/>
        <w:sz w:val="18"/>
      </w:rPr>
      <w:fldChar w:fldCharType="end"/>
    </w:r>
  </w:p>
  <w:p w14:paraId="323A93A1" w14:textId="77777777" w:rsidR="00E10A86" w:rsidRDefault="00E10A86">
    <w:pPr>
      <w:pStyle w:val="Pta"/>
      <w:jc w:val="right"/>
    </w:pPr>
    <w:r w:rsidRPr="00373FFE" w:rsidDel="009B6494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5FA6B" w14:textId="77777777" w:rsidR="00AD51EF" w:rsidRDefault="00AD51EF">
      <w:r>
        <w:separator/>
      </w:r>
    </w:p>
  </w:footnote>
  <w:footnote w:type="continuationSeparator" w:id="0">
    <w:p w14:paraId="523ACB74" w14:textId="77777777" w:rsidR="00AD51EF" w:rsidRDefault="00AD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B9798" w14:textId="18278644" w:rsidR="00CC5D34" w:rsidRDefault="00CD6779" w:rsidP="00DE4796">
    <w:pPr>
      <w:pStyle w:val="Hlavika"/>
      <w:spacing w:after="0"/>
      <w:jc w:val="both"/>
      <w:rPr>
        <w:rFonts w:ascii="Times New Roman" w:hAnsi="Times New Roman"/>
        <w:bCs/>
        <w:sz w:val="18"/>
        <w:szCs w:val="18"/>
      </w:rPr>
    </w:pPr>
    <w:bookmarkStart w:id="4" w:name="_Hlk88232670"/>
    <w:r w:rsidRPr="00705F5A">
      <w:rPr>
        <w:rFonts w:ascii="Times New Roman" w:hAnsi="Times New Roman"/>
        <w:bCs/>
        <w:sz w:val="18"/>
        <w:szCs w:val="18"/>
      </w:rPr>
      <w:t xml:space="preserve">Schválený text k rozhodnutiu o zmene, ev. č.: </w:t>
    </w:r>
    <w:bookmarkEnd w:id="4"/>
    <w:r w:rsidR="00BF179E">
      <w:rPr>
        <w:rFonts w:ascii="Times New Roman" w:hAnsi="Times New Roman"/>
        <w:bCs/>
        <w:sz w:val="18"/>
        <w:szCs w:val="18"/>
      </w:rPr>
      <w:t>2023/</w:t>
    </w:r>
    <w:r w:rsidR="003C4D85" w:rsidRPr="003C4D85">
      <w:rPr>
        <w:rFonts w:ascii="Times New Roman" w:hAnsi="Times New Roman"/>
        <w:bCs/>
        <w:sz w:val="18"/>
        <w:szCs w:val="18"/>
      </w:rPr>
      <w:t>02588-ZME</w:t>
    </w:r>
  </w:p>
  <w:p w14:paraId="7776296A" w14:textId="77777777" w:rsidR="003C4D85" w:rsidRPr="00705F5A" w:rsidRDefault="003C4D85" w:rsidP="00DE4796">
    <w:pPr>
      <w:pStyle w:val="Hlavika"/>
      <w:spacing w:after="0"/>
      <w:jc w:val="both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5D88A" w14:textId="77777777" w:rsidR="00E10A86" w:rsidRDefault="00E10A86" w:rsidP="00E10A8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17D0C">
      <w:rPr>
        <w:rFonts w:ascii="Times New Roman" w:hAnsi="Times New Roman"/>
        <w:sz w:val="18"/>
        <w:szCs w:val="18"/>
      </w:rPr>
      <w:t xml:space="preserve">Schválený text k rozhodnutiu </w:t>
    </w:r>
    <w:r>
      <w:rPr>
        <w:rFonts w:ascii="Times New Roman" w:hAnsi="Times New Roman"/>
        <w:sz w:val="18"/>
        <w:szCs w:val="18"/>
      </w:rPr>
      <w:t xml:space="preserve">o registrácii, ev. č.: </w:t>
    </w:r>
    <w:r w:rsidRPr="00E10A86">
      <w:rPr>
        <w:rFonts w:ascii="Times New Roman" w:hAnsi="Times New Roman"/>
        <w:sz w:val="18"/>
        <w:szCs w:val="18"/>
      </w:rPr>
      <w:t>2016/00913-REG</w:t>
    </w:r>
    <w:r w:rsidRPr="00E10A86" w:rsidDel="00E10A86">
      <w:rPr>
        <w:rFonts w:ascii="Times New Roman" w:hAnsi="Times New Roman"/>
        <w:sz w:val="18"/>
        <w:szCs w:val="18"/>
      </w:rPr>
      <w:t xml:space="preserve"> </w:t>
    </w:r>
  </w:p>
  <w:p w14:paraId="1720F436" w14:textId="77777777" w:rsidR="00E10A86" w:rsidRDefault="00E10A86">
    <w:pPr>
      <w:pStyle w:val="Hlavik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0133"/>
    <w:multiLevelType w:val="hybridMultilevel"/>
    <w:tmpl w:val="702E2D6C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lang w:val="sk-SK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FEE"/>
    <w:multiLevelType w:val="hybridMultilevel"/>
    <w:tmpl w:val="DE060CD4"/>
    <w:lvl w:ilvl="0" w:tplc="5E845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lang w:val="sk-SK"/>
      </w:rPr>
    </w:lvl>
    <w:lvl w:ilvl="1" w:tplc="5E845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sk-SK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B70"/>
    <w:multiLevelType w:val="hybridMultilevel"/>
    <w:tmpl w:val="11D22D0A"/>
    <w:lvl w:ilvl="0" w:tplc="666E12B0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Courier New" w:hAnsi="Courier New" w:hint="default"/>
        <w:lang w:val="sk-SK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09ED"/>
    <w:multiLevelType w:val="hybridMultilevel"/>
    <w:tmpl w:val="FBCC6A1C"/>
    <w:lvl w:ilvl="0" w:tplc="30A0DF8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0EE1B88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Palatino Linotype" w:hAnsi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03749C"/>
    <w:multiLevelType w:val="multilevel"/>
    <w:tmpl w:val="9F2ABD8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BF263D5"/>
    <w:multiLevelType w:val="hybridMultilevel"/>
    <w:tmpl w:val="82883FE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55A4A"/>
    <w:multiLevelType w:val="multilevel"/>
    <w:tmpl w:val="26CE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B7276"/>
    <w:multiLevelType w:val="hybridMultilevel"/>
    <w:tmpl w:val="CC7ADE3C"/>
    <w:lvl w:ilvl="0" w:tplc="5E845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sk-SK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A45"/>
    <w:multiLevelType w:val="hybridMultilevel"/>
    <w:tmpl w:val="8B14E0BC"/>
    <w:lvl w:ilvl="0" w:tplc="5E845C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lang w:val="sk-SK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D5420"/>
    <w:multiLevelType w:val="singleLevel"/>
    <w:tmpl w:val="30A0DF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C93633"/>
    <w:multiLevelType w:val="hybridMultilevel"/>
    <w:tmpl w:val="ADC01452"/>
    <w:lvl w:ilvl="0" w:tplc="5E845C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lang w:val="sk-SK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70F52"/>
    <w:multiLevelType w:val="multilevel"/>
    <w:tmpl w:val="F98C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14BA8"/>
    <w:multiLevelType w:val="hybridMultilevel"/>
    <w:tmpl w:val="7CE04052"/>
    <w:lvl w:ilvl="0" w:tplc="7ED42A3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B5"/>
    <w:rsid w:val="00016370"/>
    <w:rsid w:val="00022F26"/>
    <w:rsid w:val="00025889"/>
    <w:rsid w:val="00025B8E"/>
    <w:rsid w:val="00030DBE"/>
    <w:rsid w:val="00031ED5"/>
    <w:rsid w:val="000331EC"/>
    <w:rsid w:val="000358B0"/>
    <w:rsid w:val="000407E1"/>
    <w:rsid w:val="00047597"/>
    <w:rsid w:val="00065BEE"/>
    <w:rsid w:val="0006651C"/>
    <w:rsid w:val="000666C8"/>
    <w:rsid w:val="00071A41"/>
    <w:rsid w:val="00074307"/>
    <w:rsid w:val="000759AD"/>
    <w:rsid w:val="00093FFF"/>
    <w:rsid w:val="00094C66"/>
    <w:rsid w:val="000A3813"/>
    <w:rsid w:val="000A5903"/>
    <w:rsid w:val="000B40A2"/>
    <w:rsid w:val="000B4F05"/>
    <w:rsid w:val="000B5878"/>
    <w:rsid w:val="000C1E14"/>
    <w:rsid w:val="000C6998"/>
    <w:rsid w:val="000C6BE1"/>
    <w:rsid w:val="000D075B"/>
    <w:rsid w:val="000E6ABB"/>
    <w:rsid w:val="00102F3A"/>
    <w:rsid w:val="001058E4"/>
    <w:rsid w:val="0011704E"/>
    <w:rsid w:val="0011780D"/>
    <w:rsid w:val="00121587"/>
    <w:rsid w:val="001247DA"/>
    <w:rsid w:val="00130FDC"/>
    <w:rsid w:val="00132BDD"/>
    <w:rsid w:val="001347C8"/>
    <w:rsid w:val="001500A7"/>
    <w:rsid w:val="00151984"/>
    <w:rsid w:val="00155902"/>
    <w:rsid w:val="00155D8B"/>
    <w:rsid w:val="00156AE0"/>
    <w:rsid w:val="0016172D"/>
    <w:rsid w:val="00162C65"/>
    <w:rsid w:val="001631C1"/>
    <w:rsid w:val="00165673"/>
    <w:rsid w:val="00167E8A"/>
    <w:rsid w:val="0017059E"/>
    <w:rsid w:val="00172003"/>
    <w:rsid w:val="001807DF"/>
    <w:rsid w:val="001817C7"/>
    <w:rsid w:val="00185AD7"/>
    <w:rsid w:val="00185E74"/>
    <w:rsid w:val="00186ACE"/>
    <w:rsid w:val="001876FA"/>
    <w:rsid w:val="00197A6A"/>
    <w:rsid w:val="001A1F7F"/>
    <w:rsid w:val="001A24F6"/>
    <w:rsid w:val="001A3416"/>
    <w:rsid w:val="001A56DD"/>
    <w:rsid w:val="001A5951"/>
    <w:rsid w:val="001B1808"/>
    <w:rsid w:val="001C112B"/>
    <w:rsid w:val="001C4A37"/>
    <w:rsid w:val="001C5DB1"/>
    <w:rsid w:val="001D18E4"/>
    <w:rsid w:val="001D7097"/>
    <w:rsid w:val="001E2B27"/>
    <w:rsid w:val="001E5F11"/>
    <w:rsid w:val="001E7E95"/>
    <w:rsid w:val="001F1485"/>
    <w:rsid w:val="001F32A0"/>
    <w:rsid w:val="002070FD"/>
    <w:rsid w:val="00210233"/>
    <w:rsid w:val="00216BC6"/>
    <w:rsid w:val="00225073"/>
    <w:rsid w:val="002368CD"/>
    <w:rsid w:val="00252FC3"/>
    <w:rsid w:val="002574AE"/>
    <w:rsid w:val="00265CD9"/>
    <w:rsid w:val="002669E3"/>
    <w:rsid w:val="00266D90"/>
    <w:rsid w:val="002679A0"/>
    <w:rsid w:val="0027286B"/>
    <w:rsid w:val="0027567C"/>
    <w:rsid w:val="00276C80"/>
    <w:rsid w:val="002803D9"/>
    <w:rsid w:val="00295F3B"/>
    <w:rsid w:val="002A48E6"/>
    <w:rsid w:val="002A558B"/>
    <w:rsid w:val="002B1B15"/>
    <w:rsid w:val="002D7B11"/>
    <w:rsid w:val="002E6DFF"/>
    <w:rsid w:val="00300484"/>
    <w:rsid w:val="00310EDE"/>
    <w:rsid w:val="0032627F"/>
    <w:rsid w:val="00327D88"/>
    <w:rsid w:val="0034031E"/>
    <w:rsid w:val="00352690"/>
    <w:rsid w:val="00353D10"/>
    <w:rsid w:val="00355553"/>
    <w:rsid w:val="00373FFE"/>
    <w:rsid w:val="00385CC4"/>
    <w:rsid w:val="00391236"/>
    <w:rsid w:val="00391AA2"/>
    <w:rsid w:val="003A0C52"/>
    <w:rsid w:val="003A2B5B"/>
    <w:rsid w:val="003A4D66"/>
    <w:rsid w:val="003B2DD9"/>
    <w:rsid w:val="003B36E9"/>
    <w:rsid w:val="003B4363"/>
    <w:rsid w:val="003B6F28"/>
    <w:rsid w:val="003C0211"/>
    <w:rsid w:val="003C33F1"/>
    <w:rsid w:val="003C4D85"/>
    <w:rsid w:val="003D2FC4"/>
    <w:rsid w:val="003D701B"/>
    <w:rsid w:val="003E04DE"/>
    <w:rsid w:val="003E4C7C"/>
    <w:rsid w:val="003E5927"/>
    <w:rsid w:val="003E618E"/>
    <w:rsid w:val="003F05F9"/>
    <w:rsid w:val="00407742"/>
    <w:rsid w:val="00420D4F"/>
    <w:rsid w:val="00422972"/>
    <w:rsid w:val="00422A01"/>
    <w:rsid w:val="00422F08"/>
    <w:rsid w:val="00423B3B"/>
    <w:rsid w:val="00423FB5"/>
    <w:rsid w:val="0043359B"/>
    <w:rsid w:val="00433ACB"/>
    <w:rsid w:val="00434C43"/>
    <w:rsid w:val="00440488"/>
    <w:rsid w:val="00441DA9"/>
    <w:rsid w:val="00452A09"/>
    <w:rsid w:val="00457702"/>
    <w:rsid w:val="00460878"/>
    <w:rsid w:val="004645FC"/>
    <w:rsid w:val="0046488E"/>
    <w:rsid w:val="00465510"/>
    <w:rsid w:val="00465E86"/>
    <w:rsid w:val="0047305A"/>
    <w:rsid w:val="00475E57"/>
    <w:rsid w:val="004775E1"/>
    <w:rsid w:val="00486610"/>
    <w:rsid w:val="004935D2"/>
    <w:rsid w:val="004962EC"/>
    <w:rsid w:val="004A14D1"/>
    <w:rsid w:val="004B347E"/>
    <w:rsid w:val="004B57FB"/>
    <w:rsid w:val="004C6FF4"/>
    <w:rsid w:val="004D79D6"/>
    <w:rsid w:val="004F4CC4"/>
    <w:rsid w:val="00517D91"/>
    <w:rsid w:val="00522AAE"/>
    <w:rsid w:val="00524104"/>
    <w:rsid w:val="00530183"/>
    <w:rsid w:val="00536143"/>
    <w:rsid w:val="00536577"/>
    <w:rsid w:val="00536F5E"/>
    <w:rsid w:val="005450FD"/>
    <w:rsid w:val="00551811"/>
    <w:rsid w:val="0055670A"/>
    <w:rsid w:val="005606B7"/>
    <w:rsid w:val="00562426"/>
    <w:rsid w:val="00567F41"/>
    <w:rsid w:val="00576378"/>
    <w:rsid w:val="00577122"/>
    <w:rsid w:val="00582080"/>
    <w:rsid w:val="0058312B"/>
    <w:rsid w:val="00586366"/>
    <w:rsid w:val="00591CE6"/>
    <w:rsid w:val="005940B9"/>
    <w:rsid w:val="005A0C64"/>
    <w:rsid w:val="005A2124"/>
    <w:rsid w:val="005A2BEA"/>
    <w:rsid w:val="005A4B64"/>
    <w:rsid w:val="005A62D6"/>
    <w:rsid w:val="005B03C3"/>
    <w:rsid w:val="005B10A8"/>
    <w:rsid w:val="005B6E43"/>
    <w:rsid w:val="005C6A6F"/>
    <w:rsid w:val="005C7097"/>
    <w:rsid w:val="005D619A"/>
    <w:rsid w:val="005E1C34"/>
    <w:rsid w:val="005E7AF7"/>
    <w:rsid w:val="005F45FD"/>
    <w:rsid w:val="005F50F8"/>
    <w:rsid w:val="005F6685"/>
    <w:rsid w:val="005F701C"/>
    <w:rsid w:val="005F75C9"/>
    <w:rsid w:val="00600461"/>
    <w:rsid w:val="00615533"/>
    <w:rsid w:val="00616E28"/>
    <w:rsid w:val="0061714C"/>
    <w:rsid w:val="00621B7D"/>
    <w:rsid w:val="00626A13"/>
    <w:rsid w:val="0062747D"/>
    <w:rsid w:val="00630F2E"/>
    <w:rsid w:val="006379E2"/>
    <w:rsid w:val="0064048D"/>
    <w:rsid w:val="0064130B"/>
    <w:rsid w:val="006428A3"/>
    <w:rsid w:val="00642AE6"/>
    <w:rsid w:val="00662B0F"/>
    <w:rsid w:val="00667C15"/>
    <w:rsid w:val="00681E71"/>
    <w:rsid w:val="00685D61"/>
    <w:rsid w:val="00687DAD"/>
    <w:rsid w:val="00692209"/>
    <w:rsid w:val="00693353"/>
    <w:rsid w:val="00696454"/>
    <w:rsid w:val="00696753"/>
    <w:rsid w:val="00696854"/>
    <w:rsid w:val="006A3212"/>
    <w:rsid w:val="006A3AA5"/>
    <w:rsid w:val="006A44E9"/>
    <w:rsid w:val="006A70E0"/>
    <w:rsid w:val="006B218F"/>
    <w:rsid w:val="006B3686"/>
    <w:rsid w:val="006B391A"/>
    <w:rsid w:val="006B3987"/>
    <w:rsid w:val="006B68C9"/>
    <w:rsid w:val="006C2E82"/>
    <w:rsid w:val="006D2041"/>
    <w:rsid w:val="006D6615"/>
    <w:rsid w:val="006E3340"/>
    <w:rsid w:val="006E3C75"/>
    <w:rsid w:val="006F3471"/>
    <w:rsid w:val="006F3901"/>
    <w:rsid w:val="00700D76"/>
    <w:rsid w:val="00704B2A"/>
    <w:rsid w:val="00705F5A"/>
    <w:rsid w:val="00707DD4"/>
    <w:rsid w:val="007113A9"/>
    <w:rsid w:val="00711A9B"/>
    <w:rsid w:val="0071354A"/>
    <w:rsid w:val="007144FB"/>
    <w:rsid w:val="00716832"/>
    <w:rsid w:val="00716B47"/>
    <w:rsid w:val="007247BF"/>
    <w:rsid w:val="0072624C"/>
    <w:rsid w:val="00740996"/>
    <w:rsid w:val="00740C86"/>
    <w:rsid w:val="00741B08"/>
    <w:rsid w:val="00744D99"/>
    <w:rsid w:val="007450A2"/>
    <w:rsid w:val="00755DC2"/>
    <w:rsid w:val="00757DA0"/>
    <w:rsid w:val="00764C8B"/>
    <w:rsid w:val="007672BD"/>
    <w:rsid w:val="007675E0"/>
    <w:rsid w:val="00774EAF"/>
    <w:rsid w:val="0077690B"/>
    <w:rsid w:val="00782244"/>
    <w:rsid w:val="007826FF"/>
    <w:rsid w:val="007833C7"/>
    <w:rsid w:val="00785459"/>
    <w:rsid w:val="0079024C"/>
    <w:rsid w:val="00791DB9"/>
    <w:rsid w:val="007931F1"/>
    <w:rsid w:val="007951BE"/>
    <w:rsid w:val="0079591D"/>
    <w:rsid w:val="00797775"/>
    <w:rsid w:val="007A0DD0"/>
    <w:rsid w:val="007A1B1B"/>
    <w:rsid w:val="007B30FF"/>
    <w:rsid w:val="007B4D1F"/>
    <w:rsid w:val="007C590F"/>
    <w:rsid w:val="007C608E"/>
    <w:rsid w:val="007C73F2"/>
    <w:rsid w:val="007C7B2F"/>
    <w:rsid w:val="007D2A31"/>
    <w:rsid w:val="007D5BBA"/>
    <w:rsid w:val="007E2CFF"/>
    <w:rsid w:val="007E736C"/>
    <w:rsid w:val="007F2554"/>
    <w:rsid w:val="00803E68"/>
    <w:rsid w:val="00804AD9"/>
    <w:rsid w:val="00804E54"/>
    <w:rsid w:val="00815C49"/>
    <w:rsid w:val="008163E4"/>
    <w:rsid w:val="008166AD"/>
    <w:rsid w:val="00820DED"/>
    <w:rsid w:val="00830E29"/>
    <w:rsid w:val="00831BFA"/>
    <w:rsid w:val="00834A05"/>
    <w:rsid w:val="00841AEB"/>
    <w:rsid w:val="008451D5"/>
    <w:rsid w:val="00845C42"/>
    <w:rsid w:val="00863264"/>
    <w:rsid w:val="008732FC"/>
    <w:rsid w:val="008736F4"/>
    <w:rsid w:val="00880447"/>
    <w:rsid w:val="00894BFF"/>
    <w:rsid w:val="00897804"/>
    <w:rsid w:val="008A26FE"/>
    <w:rsid w:val="008A6378"/>
    <w:rsid w:val="008B0706"/>
    <w:rsid w:val="008B0BC5"/>
    <w:rsid w:val="008B27C6"/>
    <w:rsid w:val="008B2EC9"/>
    <w:rsid w:val="008C09A3"/>
    <w:rsid w:val="008C1358"/>
    <w:rsid w:val="008C1B08"/>
    <w:rsid w:val="008C2A4D"/>
    <w:rsid w:val="008C4BE0"/>
    <w:rsid w:val="008D2F3E"/>
    <w:rsid w:val="008E0654"/>
    <w:rsid w:val="008E29C6"/>
    <w:rsid w:val="008E3F14"/>
    <w:rsid w:val="008E564A"/>
    <w:rsid w:val="008E6796"/>
    <w:rsid w:val="008F10B4"/>
    <w:rsid w:val="008F1CFD"/>
    <w:rsid w:val="008F2C83"/>
    <w:rsid w:val="008F7901"/>
    <w:rsid w:val="00906026"/>
    <w:rsid w:val="00906649"/>
    <w:rsid w:val="00911FB4"/>
    <w:rsid w:val="00913B0E"/>
    <w:rsid w:val="00913FA9"/>
    <w:rsid w:val="00931FA5"/>
    <w:rsid w:val="009340D3"/>
    <w:rsid w:val="00940800"/>
    <w:rsid w:val="00957DC1"/>
    <w:rsid w:val="00960504"/>
    <w:rsid w:val="00962C30"/>
    <w:rsid w:val="0096632E"/>
    <w:rsid w:val="00971DF6"/>
    <w:rsid w:val="0097499F"/>
    <w:rsid w:val="00975E78"/>
    <w:rsid w:val="00977228"/>
    <w:rsid w:val="00981761"/>
    <w:rsid w:val="00981B4E"/>
    <w:rsid w:val="00990C3B"/>
    <w:rsid w:val="00992CA5"/>
    <w:rsid w:val="00994EE6"/>
    <w:rsid w:val="009956D7"/>
    <w:rsid w:val="0099662B"/>
    <w:rsid w:val="009A102D"/>
    <w:rsid w:val="009A121A"/>
    <w:rsid w:val="009A5365"/>
    <w:rsid w:val="009B0B44"/>
    <w:rsid w:val="009B1157"/>
    <w:rsid w:val="009B3092"/>
    <w:rsid w:val="009B5525"/>
    <w:rsid w:val="009B6494"/>
    <w:rsid w:val="009B7D20"/>
    <w:rsid w:val="009C0AFB"/>
    <w:rsid w:val="009C36AA"/>
    <w:rsid w:val="009C7B80"/>
    <w:rsid w:val="009D2180"/>
    <w:rsid w:val="009E4509"/>
    <w:rsid w:val="009E555B"/>
    <w:rsid w:val="009F13D3"/>
    <w:rsid w:val="009F34E6"/>
    <w:rsid w:val="009F38C6"/>
    <w:rsid w:val="009F7374"/>
    <w:rsid w:val="00A037B8"/>
    <w:rsid w:val="00A0786D"/>
    <w:rsid w:val="00A160A2"/>
    <w:rsid w:val="00A23D3B"/>
    <w:rsid w:val="00A26615"/>
    <w:rsid w:val="00A32871"/>
    <w:rsid w:val="00A522A7"/>
    <w:rsid w:val="00A552E7"/>
    <w:rsid w:val="00A6052B"/>
    <w:rsid w:val="00A609B2"/>
    <w:rsid w:val="00A62E62"/>
    <w:rsid w:val="00A63F51"/>
    <w:rsid w:val="00A64E59"/>
    <w:rsid w:val="00A65229"/>
    <w:rsid w:val="00A724B1"/>
    <w:rsid w:val="00A76C0E"/>
    <w:rsid w:val="00A8477A"/>
    <w:rsid w:val="00A85716"/>
    <w:rsid w:val="00A87B67"/>
    <w:rsid w:val="00A903AA"/>
    <w:rsid w:val="00A9623D"/>
    <w:rsid w:val="00A96C5C"/>
    <w:rsid w:val="00AA7906"/>
    <w:rsid w:val="00AA7E27"/>
    <w:rsid w:val="00AC2376"/>
    <w:rsid w:val="00AC71AC"/>
    <w:rsid w:val="00AD51EF"/>
    <w:rsid w:val="00AE175D"/>
    <w:rsid w:val="00AF547D"/>
    <w:rsid w:val="00AF756C"/>
    <w:rsid w:val="00B0304D"/>
    <w:rsid w:val="00B231D3"/>
    <w:rsid w:val="00B2519F"/>
    <w:rsid w:val="00B25838"/>
    <w:rsid w:val="00B32F20"/>
    <w:rsid w:val="00B354E5"/>
    <w:rsid w:val="00B3673F"/>
    <w:rsid w:val="00B44200"/>
    <w:rsid w:val="00B618EB"/>
    <w:rsid w:val="00B65BFC"/>
    <w:rsid w:val="00B65D2E"/>
    <w:rsid w:val="00B6712B"/>
    <w:rsid w:val="00B734BB"/>
    <w:rsid w:val="00B7426C"/>
    <w:rsid w:val="00B74868"/>
    <w:rsid w:val="00B7765E"/>
    <w:rsid w:val="00B84A76"/>
    <w:rsid w:val="00B9190F"/>
    <w:rsid w:val="00B95273"/>
    <w:rsid w:val="00B97FC9"/>
    <w:rsid w:val="00BA2533"/>
    <w:rsid w:val="00BA6D01"/>
    <w:rsid w:val="00BB4D61"/>
    <w:rsid w:val="00BC4467"/>
    <w:rsid w:val="00BD368A"/>
    <w:rsid w:val="00BD394C"/>
    <w:rsid w:val="00BD68A4"/>
    <w:rsid w:val="00BE4C92"/>
    <w:rsid w:val="00BF179E"/>
    <w:rsid w:val="00BF39FD"/>
    <w:rsid w:val="00BF595D"/>
    <w:rsid w:val="00C05CB3"/>
    <w:rsid w:val="00C060AC"/>
    <w:rsid w:val="00C10FB4"/>
    <w:rsid w:val="00C17324"/>
    <w:rsid w:val="00C20C47"/>
    <w:rsid w:val="00C30645"/>
    <w:rsid w:val="00C323FC"/>
    <w:rsid w:val="00C3282D"/>
    <w:rsid w:val="00C34203"/>
    <w:rsid w:val="00C34C6B"/>
    <w:rsid w:val="00C35E06"/>
    <w:rsid w:val="00C362AD"/>
    <w:rsid w:val="00C4211A"/>
    <w:rsid w:val="00C4446D"/>
    <w:rsid w:val="00C447CC"/>
    <w:rsid w:val="00C47E93"/>
    <w:rsid w:val="00C51FDE"/>
    <w:rsid w:val="00C52F18"/>
    <w:rsid w:val="00C54869"/>
    <w:rsid w:val="00C57AFD"/>
    <w:rsid w:val="00C63121"/>
    <w:rsid w:val="00C639C1"/>
    <w:rsid w:val="00C659B4"/>
    <w:rsid w:val="00C665C4"/>
    <w:rsid w:val="00C730DD"/>
    <w:rsid w:val="00C7570D"/>
    <w:rsid w:val="00C77757"/>
    <w:rsid w:val="00C83942"/>
    <w:rsid w:val="00C97158"/>
    <w:rsid w:val="00CA3687"/>
    <w:rsid w:val="00CA7C8E"/>
    <w:rsid w:val="00CB1A88"/>
    <w:rsid w:val="00CB61B0"/>
    <w:rsid w:val="00CB74D1"/>
    <w:rsid w:val="00CC1801"/>
    <w:rsid w:val="00CC295E"/>
    <w:rsid w:val="00CC4954"/>
    <w:rsid w:val="00CC5D34"/>
    <w:rsid w:val="00CC7F8A"/>
    <w:rsid w:val="00CD38A1"/>
    <w:rsid w:val="00CD4C29"/>
    <w:rsid w:val="00CD6779"/>
    <w:rsid w:val="00CD6C0A"/>
    <w:rsid w:val="00CD7EF5"/>
    <w:rsid w:val="00CE2C79"/>
    <w:rsid w:val="00CE300F"/>
    <w:rsid w:val="00CE3899"/>
    <w:rsid w:val="00CE7068"/>
    <w:rsid w:val="00CF5E2F"/>
    <w:rsid w:val="00CF74AC"/>
    <w:rsid w:val="00D0083B"/>
    <w:rsid w:val="00D10456"/>
    <w:rsid w:val="00D139E6"/>
    <w:rsid w:val="00D208C0"/>
    <w:rsid w:val="00D23158"/>
    <w:rsid w:val="00D245C4"/>
    <w:rsid w:val="00D34AD0"/>
    <w:rsid w:val="00D35352"/>
    <w:rsid w:val="00D40262"/>
    <w:rsid w:val="00D430A6"/>
    <w:rsid w:val="00D44151"/>
    <w:rsid w:val="00D4450F"/>
    <w:rsid w:val="00D504AB"/>
    <w:rsid w:val="00D60CD3"/>
    <w:rsid w:val="00D61147"/>
    <w:rsid w:val="00D61C1D"/>
    <w:rsid w:val="00D636FB"/>
    <w:rsid w:val="00D63D6B"/>
    <w:rsid w:val="00D66434"/>
    <w:rsid w:val="00D67D40"/>
    <w:rsid w:val="00D75379"/>
    <w:rsid w:val="00D81BB2"/>
    <w:rsid w:val="00D85A02"/>
    <w:rsid w:val="00D85C95"/>
    <w:rsid w:val="00D96E80"/>
    <w:rsid w:val="00DA616D"/>
    <w:rsid w:val="00DB273F"/>
    <w:rsid w:val="00DB5D5E"/>
    <w:rsid w:val="00DB66BF"/>
    <w:rsid w:val="00DB6787"/>
    <w:rsid w:val="00DC4010"/>
    <w:rsid w:val="00DD0B80"/>
    <w:rsid w:val="00DD1BF0"/>
    <w:rsid w:val="00DE311A"/>
    <w:rsid w:val="00DE4796"/>
    <w:rsid w:val="00DF1195"/>
    <w:rsid w:val="00DF1AB4"/>
    <w:rsid w:val="00DF1B22"/>
    <w:rsid w:val="00DF212A"/>
    <w:rsid w:val="00DF2E58"/>
    <w:rsid w:val="00E032CE"/>
    <w:rsid w:val="00E054ED"/>
    <w:rsid w:val="00E05FF6"/>
    <w:rsid w:val="00E070C5"/>
    <w:rsid w:val="00E1013C"/>
    <w:rsid w:val="00E10A86"/>
    <w:rsid w:val="00E15041"/>
    <w:rsid w:val="00E16750"/>
    <w:rsid w:val="00E301F7"/>
    <w:rsid w:val="00E32C9E"/>
    <w:rsid w:val="00E35F18"/>
    <w:rsid w:val="00E37901"/>
    <w:rsid w:val="00E43A03"/>
    <w:rsid w:val="00E50D99"/>
    <w:rsid w:val="00E537E6"/>
    <w:rsid w:val="00E53C74"/>
    <w:rsid w:val="00E565D6"/>
    <w:rsid w:val="00E615C6"/>
    <w:rsid w:val="00E64919"/>
    <w:rsid w:val="00E7032F"/>
    <w:rsid w:val="00E74211"/>
    <w:rsid w:val="00E74DC7"/>
    <w:rsid w:val="00E755FF"/>
    <w:rsid w:val="00E77558"/>
    <w:rsid w:val="00E84444"/>
    <w:rsid w:val="00E85695"/>
    <w:rsid w:val="00EA06D0"/>
    <w:rsid w:val="00EA6FE5"/>
    <w:rsid w:val="00EB0375"/>
    <w:rsid w:val="00EB4E0B"/>
    <w:rsid w:val="00EB6012"/>
    <w:rsid w:val="00EB65ED"/>
    <w:rsid w:val="00EC06A6"/>
    <w:rsid w:val="00EC59B2"/>
    <w:rsid w:val="00ED1212"/>
    <w:rsid w:val="00ED3CD6"/>
    <w:rsid w:val="00EE0715"/>
    <w:rsid w:val="00EE202B"/>
    <w:rsid w:val="00EE7606"/>
    <w:rsid w:val="00EF0EA3"/>
    <w:rsid w:val="00EF11CE"/>
    <w:rsid w:val="00EF1DA5"/>
    <w:rsid w:val="00EF70F2"/>
    <w:rsid w:val="00F00B1A"/>
    <w:rsid w:val="00F0768B"/>
    <w:rsid w:val="00F10DCF"/>
    <w:rsid w:val="00F1178B"/>
    <w:rsid w:val="00F15137"/>
    <w:rsid w:val="00F1671A"/>
    <w:rsid w:val="00F24782"/>
    <w:rsid w:val="00F53648"/>
    <w:rsid w:val="00F826D3"/>
    <w:rsid w:val="00F84463"/>
    <w:rsid w:val="00F86095"/>
    <w:rsid w:val="00F9098D"/>
    <w:rsid w:val="00F91AC5"/>
    <w:rsid w:val="00FA6C24"/>
    <w:rsid w:val="00FB6913"/>
    <w:rsid w:val="00FB7962"/>
    <w:rsid w:val="00FC092C"/>
    <w:rsid w:val="00FC12E7"/>
    <w:rsid w:val="00FC410F"/>
    <w:rsid w:val="00FD5401"/>
    <w:rsid w:val="00FD7730"/>
    <w:rsid w:val="00FE042A"/>
    <w:rsid w:val="00FE06A0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385F6E8"/>
  <w15:chartTrackingRefBased/>
  <w15:docId w15:val="{9E79FEE8-0337-4C01-A97C-66EFCEAC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479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k-SK"/>
    </w:rPr>
  </w:style>
  <w:style w:type="paragraph" w:styleId="Nadpis1">
    <w:name w:val="heading 1"/>
    <w:basedOn w:val="Normlny"/>
    <w:next w:val="Normlny"/>
    <w:qFormat/>
    <w:rsid w:val="000666C8"/>
    <w:pPr>
      <w:keepNext/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0666C8"/>
    <w:pPr>
      <w:keepNext/>
      <w:keepLines/>
      <w:spacing w:before="240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qFormat/>
    <w:rsid w:val="000666C8"/>
    <w:pPr>
      <w:keepNext/>
      <w:keepLines/>
      <w:outlineLvl w:val="2"/>
    </w:pPr>
    <w:rPr>
      <w:rFonts w:ascii="Arial" w:hAnsi="Arial"/>
      <w:b/>
      <w:i/>
      <w:sz w:val="28"/>
    </w:rPr>
  </w:style>
  <w:style w:type="paragraph" w:styleId="Nadpis4">
    <w:name w:val="heading 4"/>
    <w:basedOn w:val="Normlny"/>
    <w:next w:val="Normlny"/>
    <w:qFormat/>
    <w:rsid w:val="000666C8"/>
    <w:pPr>
      <w:keepNext/>
      <w:tabs>
        <w:tab w:val="left" w:pos="567"/>
      </w:tabs>
      <w:outlineLvl w:val="3"/>
    </w:pPr>
    <w:rPr>
      <w:rFonts w:ascii="Arial" w:hAnsi="Arial" w:cs="Arial"/>
      <w:b/>
      <w:sz w:val="20"/>
    </w:rPr>
  </w:style>
  <w:style w:type="paragraph" w:styleId="Nadpis5">
    <w:name w:val="heading 5"/>
    <w:basedOn w:val="Normlny"/>
    <w:next w:val="Normlny"/>
    <w:qFormat/>
    <w:rsid w:val="000666C8"/>
    <w:pPr>
      <w:keepNext/>
      <w:tabs>
        <w:tab w:val="left" w:pos="567"/>
      </w:tabs>
      <w:jc w:val="both"/>
      <w:outlineLvl w:val="4"/>
    </w:pPr>
    <w:rPr>
      <w:rFonts w:ascii="Arial" w:hAnsi="Arial" w:cs="Arial"/>
      <w:b/>
      <w:bCs/>
      <w:sz w:val="20"/>
    </w:rPr>
  </w:style>
  <w:style w:type="paragraph" w:styleId="Nadpis6">
    <w:name w:val="heading 6"/>
    <w:basedOn w:val="Normlny"/>
    <w:next w:val="Normlny"/>
    <w:qFormat/>
    <w:rsid w:val="000666C8"/>
    <w:pPr>
      <w:keepNext/>
      <w:tabs>
        <w:tab w:val="left" w:pos="567"/>
      </w:tabs>
      <w:jc w:val="both"/>
      <w:outlineLvl w:val="5"/>
    </w:pPr>
    <w:rPr>
      <w:rFonts w:ascii="Arial" w:hAnsi="Arial" w:cs="Arial"/>
      <w:b/>
      <w:bCs/>
      <w:i/>
      <w:iCs/>
      <w:position w:val="6"/>
      <w:sz w:val="20"/>
    </w:rPr>
  </w:style>
  <w:style w:type="paragraph" w:styleId="Nadpis8">
    <w:name w:val="heading 8"/>
    <w:basedOn w:val="Normlny"/>
    <w:next w:val="Normlny"/>
    <w:qFormat/>
    <w:rsid w:val="00681E71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  <w:rsid w:val="00DE4796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DE4796"/>
  </w:style>
  <w:style w:type="paragraph" w:styleId="Obsah3">
    <w:name w:val="toc 3"/>
    <w:basedOn w:val="Normlny"/>
    <w:next w:val="Normlny"/>
    <w:semiHidden/>
    <w:rsid w:val="000666C8"/>
    <w:pPr>
      <w:tabs>
        <w:tab w:val="right" w:pos="9073"/>
      </w:tabs>
      <w:ind w:left="2268" w:right="851" w:hanging="851"/>
    </w:pPr>
  </w:style>
  <w:style w:type="paragraph" w:styleId="Obsah2">
    <w:name w:val="toc 2"/>
    <w:basedOn w:val="Normlny"/>
    <w:next w:val="Normlny"/>
    <w:semiHidden/>
    <w:rsid w:val="000666C8"/>
    <w:pPr>
      <w:tabs>
        <w:tab w:val="left" w:pos="8646"/>
        <w:tab w:val="right" w:pos="9072"/>
      </w:tabs>
      <w:ind w:left="709" w:right="850"/>
    </w:pPr>
  </w:style>
  <w:style w:type="paragraph" w:styleId="Obsah1">
    <w:name w:val="toc 1"/>
    <w:basedOn w:val="Normlny"/>
    <w:next w:val="Normlny"/>
    <w:semiHidden/>
    <w:rsid w:val="000666C8"/>
    <w:pPr>
      <w:tabs>
        <w:tab w:val="left" w:pos="8646"/>
        <w:tab w:val="right" w:pos="9072"/>
      </w:tabs>
      <w:ind w:right="850"/>
    </w:pPr>
  </w:style>
  <w:style w:type="paragraph" w:styleId="Normlnysozarkami">
    <w:name w:val="Normal Indent"/>
    <w:basedOn w:val="Normlny"/>
    <w:rsid w:val="000666C8"/>
    <w:pPr>
      <w:ind w:firstLine="567"/>
    </w:pPr>
  </w:style>
  <w:style w:type="paragraph" w:customStyle="1" w:styleId="Normal1li">
    <w:name w:val="Normal 1li"/>
    <w:basedOn w:val="Normlny"/>
    <w:rsid w:val="000666C8"/>
    <w:pPr>
      <w:spacing w:before="240"/>
    </w:pPr>
  </w:style>
  <w:style w:type="paragraph" w:customStyle="1" w:styleId="NormalBold">
    <w:name w:val="Normal Bold"/>
    <w:basedOn w:val="Normlny"/>
    <w:rsid w:val="000666C8"/>
    <w:rPr>
      <w:b/>
    </w:rPr>
  </w:style>
  <w:style w:type="paragraph" w:customStyle="1" w:styleId="Bold1">
    <w:name w:val="Bold 1"/>
    <w:basedOn w:val="Nadpis1"/>
    <w:next w:val="Normlny"/>
    <w:rsid w:val="000666C8"/>
    <w:pPr>
      <w:outlineLvl w:val="9"/>
    </w:pPr>
  </w:style>
  <w:style w:type="paragraph" w:styleId="Zkladntext">
    <w:name w:val="Body Text"/>
    <w:basedOn w:val="Normlny"/>
    <w:rsid w:val="000666C8"/>
  </w:style>
  <w:style w:type="paragraph" w:styleId="Hlavika">
    <w:name w:val="header"/>
    <w:basedOn w:val="Normlny"/>
    <w:link w:val="HlavikaChar"/>
    <w:uiPriority w:val="99"/>
    <w:rsid w:val="000666C8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0666C8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0666C8"/>
  </w:style>
  <w:style w:type="paragraph" w:styleId="Zkladntext2">
    <w:name w:val="Body Text 2"/>
    <w:basedOn w:val="Normlny"/>
    <w:rsid w:val="000666C8"/>
    <w:pPr>
      <w:jc w:val="both"/>
    </w:pPr>
  </w:style>
  <w:style w:type="paragraph" w:styleId="Zkladntext3">
    <w:name w:val="Body Text 3"/>
    <w:basedOn w:val="Normlny"/>
    <w:rsid w:val="000666C8"/>
    <w:pPr>
      <w:tabs>
        <w:tab w:val="left" w:pos="567"/>
      </w:tabs>
      <w:jc w:val="both"/>
    </w:pPr>
    <w:rPr>
      <w:rFonts w:ascii="Arial" w:hAnsi="Arial" w:cs="Arial"/>
      <w:sz w:val="20"/>
    </w:rPr>
  </w:style>
  <w:style w:type="paragraph" w:styleId="Nzov">
    <w:name w:val="Title"/>
    <w:basedOn w:val="Normlny"/>
    <w:link w:val="NzovChar"/>
    <w:uiPriority w:val="99"/>
    <w:qFormat/>
    <w:rsid w:val="00681E71"/>
    <w:pPr>
      <w:tabs>
        <w:tab w:val="left" w:pos="567"/>
        <w:tab w:val="left" w:pos="1275"/>
      </w:tabs>
      <w:spacing w:line="240" w:lineRule="atLeast"/>
      <w:jc w:val="center"/>
    </w:pPr>
    <w:rPr>
      <w:b/>
      <w:caps/>
      <w:lang w:eastAsia="de-DE"/>
    </w:rPr>
  </w:style>
  <w:style w:type="paragraph" w:customStyle="1" w:styleId="Nadpis">
    <w:name w:val="Nadpis"/>
    <w:basedOn w:val="Normlny"/>
    <w:next w:val="Zkladntext"/>
    <w:rsid w:val="00681E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Obsahtabuky">
    <w:name w:val="Obsah tabuľky"/>
    <w:basedOn w:val="Normlny"/>
    <w:rsid w:val="000D075B"/>
    <w:pPr>
      <w:suppressLineNumbers/>
      <w:suppressAutoHyphens/>
    </w:pPr>
    <w:rPr>
      <w:sz w:val="20"/>
      <w:szCs w:val="20"/>
      <w:lang w:eastAsia="ar-SA"/>
    </w:rPr>
  </w:style>
  <w:style w:type="paragraph" w:styleId="truktradokumentu">
    <w:name w:val="Document Map"/>
    <w:basedOn w:val="Normlny"/>
    <w:semiHidden/>
    <w:rsid w:val="00D611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ps">
    <w:name w:val="hps"/>
    <w:basedOn w:val="Predvolenpsmoodseku"/>
    <w:rsid w:val="00BC4467"/>
  </w:style>
  <w:style w:type="character" w:styleId="Hypertextovprepojenie">
    <w:name w:val="Hyperlink"/>
    <w:rsid w:val="0006651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C659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C659B4"/>
    <w:rPr>
      <w:rFonts w:ascii="Tahoma" w:eastAsia="Calibri" w:hAnsi="Tahoma" w:cs="Tahoma"/>
      <w:sz w:val="16"/>
      <w:szCs w:val="16"/>
      <w:lang w:eastAsia="en-US"/>
    </w:rPr>
  </w:style>
  <w:style w:type="character" w:styleId="Odkaznakomentr">
    <w:name w:val="annotation reference"/>
    <w:rsid w:val="009D21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D2180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9D2180"/>
    <w:rPr>
      <w:rFonts w:ascii="Calibri" w:eastAsia="Calibri" w:hAnsi="Calibri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D2180"/>
    <w:rPr>
      <w:b/>
      <w:bCs/>
    </w:rPr>
  </w:style>
  <w:style w:type="character" w:customStyle="1" w:styleId="PredmetkomentraChar">
    <w:name w:val="Predmet komentára Char"/>
    <w:link w:val="Predmetkomentra"/>
    <w:rsid w:val="009D2180"/>
    <w:rPr>
      <w:rFonts w:ascii="Calibri" w:eastAsia="Calibri" w:hAnsi="Calibri" w:cs="Times New Roman"/>
      <w:b/>
      <w:bCs/>
      <w:lang w:eastAsia="en-US"/>
    </w:rPr>
  </w:style>
  <w:style w:type="character" w:customStyle="1" w:styleId="NzovChar">
    <w:name w:val="Názov Char"/>
    <w:link w:val="Nzov"/>
    <w:uiPriority w:val="99"/>
    <w:locked/>
    <w:rsid w:val="00E565D6"/>
    <w:rPr>
      <w:rFonts w:ascii="Calibri" w:eastAsia="Calibri" w:hAnsi="Calibri" w:cs="Times New Roman"/>
      <w:b/>
      <w:caps/>
      <w:sz w:val="22"/>
      <w:szCs w:val="22"/>
      <w:lang w:val="en-US" w:eastAsia="de-DE"/>
    </w:rPr>
  </w:style>
  <w:style w:type="paragraph" w:styleId="Revzia">
    <w:name w:val="Revision"/>
    <w:hidden/>
    <w:uiPriority w:val="99"/>
    <w:semiHidden/>
    <w:rsid w:val="00B7765E"/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630F2E"/>
    <w:rPr>
      <w:rFonts w:ascii="Calibri" w:eastAsia="Calibri" w:hAnsi="Calibri"/>
      <w:sz w:val="22"/>
      <w:szCs w:val="22"/>
      <w:lang w:val="sk-SK"/>
    </w:rPr>
  </w:style>
  <w:style w:type="character" w:customStyle="1" w:styleId="PtaChar">
    <w:name w:val="Päta Char"/>
    <w:link w:val="Pta"/>
    <w:uiPriority w:val="99"/>
    <w:rsid w:val="007A1B1B"/>
    <w:rPr>
      <w:rFonts w:ascii="Calibri" w:eastAsia="Calibri" w:hAnsi="Calibri"/>
      <w:sz w:val="22"/>
      <w:szCs w:val="22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60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A609B2"/>
    <w:rPr>
      <w:rFonts w:ascii="Courier New" w:hAnsi="Courier New" w:cs="Courier New"/>
    </w:rPr>
  </w:style>
  <w:style w:type="character" w:customStyle="1" w:styleId="y2iqfc">
    <w:name w:val="y2iqfc"/>
    <w:rsid w:val="00A6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4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61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34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2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37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9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3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5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49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7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429FBEF236E448E807D8398B459AC" ma:contentTypeVersion="2" ma:contentTypeDescription="Create a new document." ma:contentTypeScope="" ma:versionID="85b1ea870d40f10ff783b9809160221d">
  <xsd:schema xmlns:xsd="http://www.w3.org/2001/XMLSchema" xmlns:p="http://schemas.microsoft.com/office/2006/metadata/properties" targetNamespace="http://schemas.microsoft.com/office/2006/metadata/properties" ma:root="true" ma:fieldsID="1113e868c5a72b38c7d6ca8ce36638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BD878-9E88-4432-B720-72F3DCF7226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68DDFB-00FB-4633-BBF1-10449AC2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D15CA4-6C53-477E-A72F-306390EB6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4216</Words>
  <Characters>27790</Characters>
  <Application>Microsoft Office Word</Application>
  <DocSecurity>0</DocSecurity>
  <Lines>231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31943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Zuzkáčová, Ľubomíra</cp:lastModifiedBy>
  <cp:revision>2</cp:revision>
  <cp:lastPrinted>2014-05-05T10:19:00Z</cp:lastPrinted>
  <dcterms:created xsi:type="dcterms:W3CDTF">2023-12-13T12:54:00Z</dcterms:created>
  <dcterms:modified xsi:type="dcterms:W3CDTF">2023-12-13T12:54:00Z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2023-04-14T13:44:20Z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c5281cfc-3ebd-4a0f-877e-807310071cfd</vt:lpwstr>
  </property>
  <property fmtid="{D5CDD505-2E9C-101B-9397-08002B2CF9AE}" pid="8" name="MSIP_Label_4791b42f-c435-42ca-9531-75a3f42aae3d_ContentBits">
    <vt:lpwstr>0</vt:lpwstr>
  </property>
</Properties>
</file>