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96FCE" w14:textId="77777777" w:rsidR="008A27CD" w:rsidRPr="00956FD0" w:rsidRDefault="00103D98" w:rsidP="003B4A5E">
      <w:pPr>
        <w:jc w:val="center"/>
        <w:outlineLvl w:val="0"/>
        <w:rPr>
          <w:b/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SÚHRN CHARAKTERISTICKÝCH VLASTNOSTÍ LIEKU</w:t>
      </w:r>
    </w:p>
    <w:p w14:paraId="5592EA2E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002ED755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20078B95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1.</w:t>
      </w:r>
      <w:r w:rsidRPr="00956FD0">
        <w:rPr>
          <w:b/>
          <w:sz w:val="22"/>
          <w:szCs w:val="20"/>
          <w:lang w:val="sk-SK"/>
        </w:rPr>
        <w:tab/>
        <w:t>NÁZOV LIEKU</w:t>
      </w:r>
    </w:p>
    <w:p w14:paraId="5C829358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185B7262" w14:textId="77777777" w:rsidR="008A27CD" w:rsidRPr="00956FD0" w:rsidRDefault="008A27CD" w:rsidP="00455F29">
      <w:pPr>
        <w:pStyle w:val="Hlavika"/>
        <w:tabs>
          <w:tab w:val="clear" w:pos="4536"/>
          <w:tab w:val="clear" w:pos="9072"/>
        </w:tabs>
        <w:rPr>
          <w:bCs/>
          <w:sz w:val="22"/>
          <w:szCs w:val="20"/>
          <w:lang w:val="sk-SK"/>
        </w:rPr>
      </w:pPr>
      <w:proofErr w:type="spellStart"/>
      <w:r w:rsidRPr="00956FD0">
        <w:rPr>
          <w:bCs/>
          <w:sz w:val="22"/>
          <w:szCs w:val="20"/>
          <w:lang w:val="sk-SK"/>
        </w:rPr>
        <w:t>Stadamet</w:t>
      </w:r>
      <w:proofErr w:type="spellEnd"/>
    </w:p>
    <w:p w14:paraId="073FE429" w14:textId="77777777" w:rsidR="008A27CD" w:rsidRPr="00956FD0" w:rsidRDefault="006C2790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1000 mg filmom obalené tablety</w:t>
      </w:r>
    </w:p>
    <w:p w14:paraId="3920A21B" w14:textId="77777777" w:rsidR="006C2790" w:rsidRPr="00956FD0" w:rsidRDefault="006C2790" w:rsidP="00455F29">
      <w:pPr>
        <w:rPr>
          <w:sz w:val="22"/>
          <w:szCs w:val="20"/>
          <w:lang w:val="sk-SK"/>
        </w:rPr>
      </w:pPr>
    </w:p>
    <w:p w14:paraId="33F7BBE7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41F05B71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2.</w:t>
      </w:r>
      <w:r w:rsidRPr="00956FD0">
        <w:rPr>
          <w:b/>
          <w:sz w:val="22"/>
          <w:szCs w:val="20"/>
          <w:lang w:val="sk-SK"/>
        </w:rPr>
        <w:tab/>
        <w:t>KVALITATÍVNE A KVANTITATÍVNE ZLOŽENIE</w:t>
      </w:r>
    </w:p>
    <w:p w14:paraId="3CF0E5AD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00A7FFB5" w14:textId="013978D1" w:rsidR="008A27CD" w:rsidRPr="00956FD0" w:rsidRDefault="005C1E20" w:rsidP="00455F29">
      <w:pPr>
        <w:rPr>
          <w:sz w:val="22"/>
          <w:szCs w:val="20"/>
          <w:lang w:val="sk-SK"/>
        </w:rPr>
      </w:pPr>
      <w:r>
        <w:rPr>
          <w:sz w:val="22"/>
          <w:szCs w:val="20"/>
          <w:lang w:val="sk-SK"/>
        </w:rPr>
        <w:t xml:space="preserve">Jedna </w:t>
      </w:r>
      <w:r w:rsidR="008A27CD" w:rsidRPr="00956FD0">
        <w:rPr>
          <w:sz w:val="22"/>
          <w:szCs w:val="20"/>
          <w:lang w:val="sk-SK"/>
        </w:rPr>
        <w:t xml:space="preserve">filmom obalená tableta obsahuje 1000 mg </w:t>
      </w:r>
      <w:proofErr w:type="spellStart"/>
      <w:r w:rsidR="008A27CD" w:rsidRPr="00956FD0">
        <w:rPr>
          <w:sz w:val="22"/>
          <w:szCs w:val="20"/>
          <w:lang w:val="sk-SK"/>
        </w:rPr>
        <w:t>metformínium</w:t>
      </w:r>
      <w:proofErr w:type="spellEnd"/>
      <w:r w:rsidR="003D14DC">
        <w:rPr>
          <w:sz w:val="22"/>
          <w:szCs w:val="20"/>
          <w:lang w:val="sk-SK"/>
        </w:rPr>
        <w:t>-</w:t>
      </w:r>
      <w:r w:rsidR="008A27CD" w:rsidRPr="00956FD0">
        <w:rPr>
          <w:sz w:val="22"/>
          <w:szCs w:val="20"/>
          <w:lang w:val="sk-SK"/>
        </w:rPr>
        <w:t>chloridu</w:t>
      </w:r>
      <w:r w:rsidR="00172ABC">
        <w:rPr>
          <w:sz w:val="22"/>
          <w:szCs w:val="20"/>
          <w:lang w:val="sk-SK"/>
        </w:rPr>
        <w:t xml:space="preserve">, čo zodpovedá </w:t>
      </w:r>
      <w:r w:rsidR="00172ABC" w:rsidRPr="00956FD0">
        <w:rPr>
          <w:sz w:val="22"/>
          <w:szCs w:val="20"/>
          <w:lang w:val="sk-SK"/>
        </w:rPr>
        <w:t xml:space="preserve">780 mg </w:t>
      </w:r>
      <w:proofErr w:type="spellStart"/>
      <w:r w:rsidR="00172ABC" w:rsidRPr="00956FD0">
        <w:rPr>
          <w:sz w:val="22"/>
          <w:szCs w:val="20"/>
          <w:lang w:val="sk-SK"/>
        </w:rPr>
        <w:t>metformínu</w:t>
      </w:r>
      <w:proofErr w:type="spellEnd"/>
      <w:r w:rsidR="008A27CD" w:rsidRPr="00956FD0">
        <w:rPr>
          <w:sz w:val="22"/>
          <w:szCs w:val="20"/>
          <w:lang w:val="sk-SK"/>
        </w:rPr>
        <w:t>.</w:t>
      </w:r>
    </w:p>
    <w:p w14:paraId="48097EC5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2F51385D" w14:textId="77777777" w:rsidR="008A27CD" w:rsidRPr="00956FD0" w:rsidRDefault="00455F29" w:rsidP="00455F29">
      <w:pPr>
        <w:outlineLvl w:val="0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Úplný zoznam pomocných látok</w:t>
      </w:r>
      <w:r w:rsidR="008A27CD" w:rsidRPr="00956FD0">
        <w:rPr>
          <w:sz w:val="22"/>
          <w:szCs w:val="20"/>
          <w:lang w:val="sk-SK"/>
        </w:rPr>
        <w:t>, pozri časť 6.1.</w:t>
      </w:r>
    </w:p>
    <w:p w14:paraId="59EC2332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530F2615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0734C335" w14:textId="77777777" w:rsidR="008A27CD" w:rsidRPr="00956FD0" w:rsidRDefault="008A27CD" w:rsidP="00455F29">
      <w:pPr>
        <w:rPr>
          <w:caps/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3.</w:t>
      </w:r>
      <w:r w:rsidRPr="00956FD0">
        <w:rPr>
          <w:b/>
          <w:sz w:val="22"/>
          <w:szCs w:val="20"/>
          <w:lang w:val="sk-SK"/>
        </w:rPr>
        <w:tab/>
        <w:t>LIEKOVÁ FORMA</w:t>
      </w:r>
    </w:p>
    <w:p w14:paraId="0E3177FD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1AD4CD13" w14:textId="77777777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Filmom obalená tableta</w:t>
      </w:r>
    </w:p>
    <w:p w14:paraId="70CC132A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Biela podlhovastá filmom obalená tableta s deliacimi ryhami na oboch stranách (deliteľná forma)</w:t>
      </w:r>
      <w:r w:rsidR="00455F29" w:rsidRPr="00956FD0">
        <w:rPr>
          <w:sz w:val="22"/>
          <w:szCs w:val="20"/>
          <w:lang w:val="sk-SK"/>
        </w:rPr>
        <w:t>.</w:t>
      </w:r>
    </w:p>
    <w:p w14:paraId="6008141D" w14:textId="77777777" w:rsidR="00455F29" w:rsidRPr="00956FD0" w:rsidRDefault="00455F29" w:rsidP="00455F29">
      <w:pPr>
        <w:rPr>
          <w:sz w:val="22"/>
          <w:szCs w:val="20"/>
          <w:lang w:val="sk-SK"/>
        </w:rPr>
      </w:pPr>
    </w:p>
    <w:p w14:paraId="30F87F11" w14:textId="77777777" w:rsidR="00455F29" w:rsidRPr="00956FD0" w:rsidRDefault="00455F29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Tableta sa môže rozdeliť na rovnaké dávky.</w:t>
      </w:r>
    </w:p>
    <w:p w14:paraId="482F838B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61D65990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7736E2FE" w14:textId="77777777" w:rsidR="008A27CD" w:rsidRPr="00956FD0" w:rsidRDefault="008A27CD" w:rsidP="00455F29">
      <w:pPr>
        <w:rPr>
          <w:caps/>
          <w:sz w:val="22"/>
          <w:szCs w:val="20"/>
          <w:lang w:val="sk-SK"/>
        </w:rPr>
      </w:pPr>
      <w:r w:rsidRPr="00956FD0">
        <w:rPr>
          <w:b/>
          <w:caps/>
          <w:sz w:val="22"/>
          <w:szCs w:val="20"/>
          <w:lang w:val="sk-SK"/>
        </w:rPr>
        <w:t>4.</w:t>
      </w:r>
      <w:r w:rsidRPr="00956FD0">
        <w:rPr>
          <w:b/>
          <w:caps/>
          <w:sz w:val="22"/>
          <w:szCs w:val="20"/>
          <w:lang w:val="sk-SK"/>
        </w:rPr>
        <w:tab/>
        <w:t>KLINICKÉ ÚDAJE</w:t>
      </w:r>
    </w:p>
    <w:p w14:paraId="0FAF29E1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4DE65D1A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4.1</w:t>
      </w:r>
      <w:r w:rsidRPr="00956FD0">
        <w:rPr>
          <w:b/>
          <w:sz w:val="22"/>
          <w:szCs w:val="20"/>
          <w:lang w:val="sk-SK"/>
        </w:rPr>
        <w:tab/>
        <w:t>Terapeutické indikácie</w:t>
      </w:r>
    </w:p>
    <w:p w14:paraId="198E8969" w14:textId="77777777" w:rsidR="00455F29" w:rsidRPr="00956FD0" w:rsidRDefault="00455F29" w:rsidP="00455F29">
      <w:pPr>
        <w:rPr>
          <w:sz w:val="22"/>
          <w:szCs w:val="20"/>
          <w:lang w:val="sk-SK"/>
        </w:rPr>
      </w:pPr>
    </w:p>
    <w:p w14:paraId="0C3A4841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Liečba diabetu mellitu</w:t>
      </w:r>
      <w:r w:rsidR="00455F29" w:rsidRPr="00956FD0">
        <w:rPr>
          <w:sz w:val="22"/>
          <w:szCs w:val="20"/>
          <w:lang w:val="sk-SK"/>
        </w:rPr>
        <w:t>s</w:t>
      </w:r>
      <w:r w:rsidRPr="00956FD0">
        <w:rPr>
          <w:sz w:val="22"/>
          <w:szCs w:val="20"/>
          <w:lang w:val="sk-SK"/>
        </w:rPr>
        <w:t xml:space="preserve"> 2. typu u dospelých, predovšetkým u pacientov s obezitou, ak úprava diéty a samotné cvičenie nevedie k dostatočnej kompenzácii diabetu. </w:t>
      </w:r>
    </w:p>
    <w:p w14:paraId="32F2A78D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2212A012" w14:textId="77777777" w:rsidR="008A27CD" w:rsidRPr="00956FD0" w:rsidRDefault="008A27CD" w:rsidP="005C1E20">
      <w:pPr>
        <w:pStyle w:val="Hlavika"/>
        <w:numPr>
          <w:ilvl w:val="0"/>
          <w:numId w:val="5"/>
        </w:numPr>
        <w:tabs>
          <w:tab w:val="clear" w:pos="720"/>
          <w:tab w:val="clear" w:pos="4536"/>
          <w:tab w:val="clear" w:pos="9072"/>
          <w:tab w:val="num" w:pos="567"/>
        </w:tabs>
        <w:ind w:left="567" w:hanging="567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U dospelých možno </w:t>
      </w:r>
      <w:proofErr w:type="spellStart"/>
      <w:r w:rsidRPr="00956FD0">
        <w:rPr>
          <w:bCs/>
          <w:sz w:val="22"/>
          <w:szCs w:val="20"/>
          <w:lang w:val="sk-SK"/>
        </w:rPr>
        <w:t>Stadamet</w:t>
      </w:r>
      <w:proofErr w:type="spellEnd"/>
      <w:r w:rsidRPr="00956FD0">
        <w:rPr>
          <w:bCs/>
          <w:sz w:val="22"/>
          <w:szCs w:val="20"/>
          <w:lang w:val="sk-SK"/>
        </w:rPr>
        <w:t xml:space="preserve"> použiť </w:t>
      </w:r>
      <w:r w:rsidRPr="00956FD0">
        <w:rPr>
          <w:sz w:val="22"/>
          <w:szCs w:val="20"/>
          <w:lang w:val="sk-SK"/>
        </w:rPr>
        <w:t xml:space="preserve">ako </w:t>
      </w:r>
      <w:proofErr w:type="spellStart"/>
      <w:r w:rsidRPr="00956FD0">
        <w:rPr>
          <w:sz w:val="22"/>
          <w:szCs w:val="20"/>
          <w:lang w:val="sk-SK"/>
        </w:rPr>
        <w:t>monoterapiu</w:t>
      </w:r>
      <w:proofErr w:type="spellEnd"/>
      <w:r w:rsidRPr="00956FD0">
        <w:rPr>
          <w:sz w:val="22"/>
          <w:szCs w:val="20"/>
          <w:lang w:val="sk-SK"/>
        </w:rPr>
        <w:t xml:space="preserve"> alebo v kombinácii s inými perorálnymi </w:t>
      </w:r>
      <w:proofErr w:type="spellStart"/>
      <w:r w:rsidRPr="00956FD0">
        <w:rPr>
          <w:sz w:val="22"/>
          <w:szCs w:val="20"/>
          <w:lang w:val="sk-SK"/>
        </w:rPr>
        <w:t>antidiabetikami</w:t>
      </w:r>
      <w:proofErr w:type="spellEnd"/>
      <w:r w:rsidRPr="00956FD0">
        <w:rPr>
          <w:sz w:val="22"/>
          <w:szCs w:val="20"/>
          <w:lang w:val="sk-SK"/>
        </w:rPr>
        <w:t xml:space="preserve"> alebo s inzulínom.</w:t>
      </w:r>
    </w:p>
    <w:p w14:paraId="3F938FD5" w14:textId="77777777" w:rsidR="008A27CD" w:rsidRPr="00956FD0" w:rsidRDefault="008A27CD" w:rsidP="005C1E20">
      <w:pPr>
        <w:pStyle w:val="Hlavika"/>
        <w:tabs>
          <w:tab w:val="clear" w:pos="4536"/>
          <w:tab w:val="clear" w:pos="9072"/>
          <w:tab w:val="num" w:pos="567"/>
        </w:tabs>
        <w:ind w:left="567" w:hanging="567"/>
        <w:rPr>
          <w:sz w:val="22"/>
          <w:szCs w:val="20"/>
          <w:lang w:val="sk-SK"/>
        </w:rPr>
      </w:pPr>
    </w:p>
    <w:p w14:paraId="1B01A830" w14:textId="77777777" w:rsidR="008A27CD" w:rsidRPr="00956FD0" w:rsidRDefault="008A27CD" w:rsidP="005C1E20">
      <w:pPr>
        <w:pStyle w:val="Hlavika"/>
        <w:numPr>
          <w:ilvl w:val="0"/>
          <w:numId w:val="5"/>
        </w:numPr>
        <w:tabs>
          <w:tab w:val="clear" w:pos="720"/>
          <w:tab w:val="clear" w:pos="4536"/>
          <w:tab w:val="clear" w:pos="9072"/>
          <w:tab w:val="num" w:pos="567"/>
        </w:tabs>
        <w:ind w:left="567" w:hanging="567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U detí od 10 rokov a dospievajúcich možno </w:t>
      </w:r>
      <w:proofErr w:type="spellStart"/>
      <w:r w:rsidRPr="00956FD0">
        <w:rPr>
          <w:bCs/>
          <w:sz w:val="22"/>
          <w:szCs w:val="20"/>
          <w:lang w:val="sk-SK"/>
        </w:rPr>
        <w:t>Stadamet</w:t>
      </w:r>
      <w:proofErr w:type="spellEnd"/>
      <w:r w:rsidRPr="00956FD0">
        <w:rPr>
          <w:bCs/>
          <w:sz w:val="22"/>
          <w:szCs w:val="20"/>
          <w:lang w:val="sk-SK"/>
        </w:rPr>
        <w:t xml:space="preserve"> použiť </w:t>
      </w:r>
      <w:r w:rsidRPr="00956FD0">
        <w:rPr>
          <w:sz w:val="22"/>
          <w:szCs w:val="20"/>
          <w:lang w:val="sk-SK"/>
        </w:rPr>
        <w:t xml:space="preserve">ako </w:t>
      </w:r>
      <w:proofErr w:type="spellStart"/>
      <w:r w:rsidRPr="00956FD0">
        <w:rPr>
          <w:sz w:val="22"/>
          <w:szCs w:val="20"/>
          <w:lang w:val="sk-SK"/>
        </w:rPr>
        <w:t>monoterapiu</w:t>
      </w:r>
      <w:proofErr w:type="spellEnd"/>
      <w:r w:rsidRPr="00956FD0">
        <w:rPr>
          <w:sz w:val="22"/>
          <w:szCs w:val="20"/>
          <w:lang w:val="sk-SK"/>
        </w:rPr>
        <w:t xml:space="preserve"> alebo v kombinácii s inzulínom.</w:t>
      </w:r>
    </w:p>
    <w:p w14:paraId="299DE9B1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2A1B043E" w14:textId="14DCA426" w:rsidR="008A27CD" w:rsidRPr="00956FD0" w:rsidRDefault="008A27CD" w:rsidP="00625F44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U dospelých pacientov s obezitou s diabetom 2. typu liečených </w:t>
      </w:r>
      <w:proofErr w:type="spellStart"/>
      <w:r w:rsidRPr="00956FD0">
        <w:rPr>
          <w:sz w:val="22"/>
          <w:szCs w:val="20"/>
          <w:lang w:val="sk-SK"/>
        </w:rPr>
        <w:t>metformínom</w:t>
      </w:r>
      <w:proofErr w:type="spellEnd"/>
      <w:r w:rsidRPr="00956FD0">
        <w:rPr>
          <w:sz w:val="22"/>
          <w:szCs w:val="20"/>
          <w:lang w:val="sk-SK"/>
        </w:rPr>
        <w:t xml:space="preserve"> ako liekom prvej voľby po zlyhaní diéty sa potvrdilo zníženie diabetických komplikácií (pozri </w:t>
      </w:r>
      <w:r w:rsidR="00455F29" w:rsidRPr="00956FD0">
        <w:rPr>
          <w:sz w:val="22"/>
          <w:szCs w:val="20"/>
          <w:lang w:val="sk-SK"/>
        </w:rPr>
        <w:t xml:space="preserve">časť </w:t>
      </w:r>
      <w:r w:rsidRPr="00956FD0">
        <w:rPr>
          <w:sz w:val="22"/>
          <w:szCs w:val="20"/>
          <w:lang w:val="sk-SK"/>
        </w:rPr>
        <w:t>5.1).</w:t>
      </w:r>
    </w:p>
    <w:p w14:paraId="697E894D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36663374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4.2</w:t>
      </w:r>
      <w:r w:rsidRPr="00956FD0">
        <w:rPr>
          <w:b/>
          <w:sz w:val="22"/>
          <w:szCs w:val="20"/>
          <w:lang w:val="sk-SK"/>
        </w:rPr>
        <w:tab/>
        <w:t>Dávkovanie a spôsob podávania</w:t>
      </w:r>
    </w:p>
    <w:p w14:paraId="09D0B2E0" w14:textId="77777777" w:rsidR="00455F29" w:rsidRPr="00956FD0" w:rsidRDefault="00455F29" w:rsidP="00455F29">
      <w:pPr>
        <w:rPr>
          <w:b/>
          <w:i/>
          <w:sz w:val="22"/>
          <w:szCs w:val="20"/>
          <w:lang w:val="sk-SK"/>
        </w:rPr>
      </w:pPr>
    </w:p>
    <w:p w14:paraId="266AE4AA" w14:textId="77777777" w:rsidR="005C1E20" w:rsidRPr="00F25E58" w:rsidRDefault="005C1E20" w:rsidP="00455F29">
      <w:pPr>
        <w:rPr>
          <w:bCs/>
          <w:sz w:val="22"/>
          <w:szCs w:val="20"/>
          <w:u w:val="single"/>
          <w:lang w:val="sk-SK"/>
        </w:rPr>
      </w:pPr>
      <w:r>
        <w:rPr>
          <w:bCs/>
          <w:sz w:val="22"/>
          <w:szCs w:val="20"/>
          <w:u w:val="single"/>
          <w:lang w:val="sk-SK"/>
        </w:rPr>
        <w:t>Dávkovanie</w:t>
      </w:r>
    </w:p>
    <w:p w14:paraId="6DD30474" w14:textId="77777777" w:rsidR="005C1E20" w:rsidRDefault="005C1E20" w:rsidP="00455F29">
      <w:pPr>
        <w:rPr>
          <w:b/>
          <w:sz w:val="22"/>
          <w:szCs w:val="20"/>
          <w:lang w:val="sk-SK"/>
        </w:rPr>
      </w:pPr>
    </w:p>
    <w:p w14:paraId="535EC6E8" w14:textId="77777777" w:rsidR="008A27CD" w:rsidRPr="00956FD0" w:rsidRDefault="008A27CD" w:rsidP="00455F29">
      <w:pPr>
        <w:rPr>
          <w:b/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Dospelí</w:t>
      </w:r>
      <w:r w:rsidR="002341CC" w:rsidRPr="00956FD0">
        <w:rPr>
          <w:b/>
          <w:sz w:val="22"/>
          <w:szCs w:val="20"/>
          <w:lang w:val="sk-SK"/>
        </w:rPr>
        <w:t xml:space="preserve"> s normálnou funkciou obličiek (GFR </w:t>
      </w:r>
      <w:r w:rsidR="002341CC" w:rsidRPr="00956FD0">
        <w:rPr>
          <w:b/>
          <w:sz w:val="22"/>
          <w:szCs w:val="20"/>
          <w:u w:val="single"/>
          <w:lang w:val="sk-SK"/>
        </w:rPr>
        <w:t>&gt;</w:t>
      </w:r>
      <w:r w:rsidR="002341CC" w:rsidRPr="00956FD0">
        <w:rPr>
          <w:b/>
          <w:sz w:val="22"/>
          <w:szCs w:val="20"/>
          <w:lang w:val="sk-SK"/>
        </w:rPr>
        <w:t xml:space="preserve"> 90 ml/min)</w:t>
      </w:r>
    </w:p>
    <w:p w14:paraId="76019A5B" w14:textId="77777777" w:rsidR="00455F29" w:rsidRPr="00956FD0" w:rsidRDefault="00455F29" w:rsidP="00455F29">
      <w:pPr>
        <w:rPr>
          <w:i/>
          <w:sz w:val="22"/>
          <w:szCs w:val="20"/>
          <w:lang w:val="sk-SK"/>
        </w:rPr>
      </w:pPr>
    </w:p>
    <w:p w14:paraId="368B7A5D" w14:textId="77777777" w:rsidR="008A27CD" w:rsidRPr="00956FD0" w:rsidRDefault="008A27CD" w:rsidP="00455F29">
      <w:pPr>
        <w:rPr>
          <w:i/>
          <w:sz w:val="22"/>
          <w:szCs w:val="20"/>
          <w:lang w:val="sk-SK"/>
        </w:rPr>
      </w:pPr>
      <w:proofErr w:type="spellStart"/>
      <w:r w:rsidRPr="00956FD0">
        <w:rPr>
          <w:i/>
          <w:sz w:val="22"/>
          <w:szCs w:val="20"/>
          <w:lang w:val="sk-SK"/>
        </w:rPr>
        <w:t>Monoterapia</w:t>
      </w:r>
      <w:proofErr w:type="spellEnd"/>
      <w:r w:rsidRPr="00956FD0">
        <w:rPr>
          <w:i/>
          <w:sz w:val="22"/>
          <w:szCs w:val="20"/>
          <w:lang w:val="sk-SK"/>
        </w:rPr>
        <w:t xml:space="preserve"> a kombinácia s inými perorálnymi </w:t>
      </w:r>
      <w:proofErr w:type="spellStart"/>
      <w:r w:rsidRPr="00956FD0">
        <w:rPr>
          <w:i/>
          <w:sz w:val="22"/>
          <w:szCs w:val="20"/>
          <w:lang w:val="sk-SK"/>
        </w:rPr>
        <w:t>antidiabetikami</w:t>
      </w:r>
      <w:proofErr w:type="spellEnd"/>
    </w:p>
    <w:p w14:paraId="1FE20B71" w14:textId="77777777" w:rsidR="00455F29" w:rsidRPr="00956FD0" w:rsidRDefault="00455F29" w:rsidP="00455F29">
      <w:pPr>
        <w:pStyle w:val="Hlavika"/>
        <w:tabs>
          <w:tab w:val="clear" w:pos="4536"/>
          <w:tab w:val="clear" w:pos="9072"/>
        </w:tabs>
        <w:rPr>
          <w:sz w:val="22"/>
          <w:szCs w:val="20"/>
          <w:lang w:val="sk-SK"/>
        </w:rPr>
      </w:pPr>
    </w:p>
    <w:p w14:paraId="3DDDB6BB" w14:textId="53E7351F" w:rsidR="008A27CD" w:rsidRPr="00956FD0" w:rsidRDefault="008A27CD" w:rsidP="00455F29">
      <w:pPr>
        <w:pStyle w:val="Hlavika"/>
        <w:tabs>
          <w:tab w:val="clear" w:pos="4536"/>
          <w:tab w:val="clear" w:pos="9072"/>
        </w:tabs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Zvyčajná začiatočná dávka je 500 mg </w:t>
      </w:r>
      <w:r w:rsidR="005C1E20">
        <w:rPr>
          <w:sz w:val="22"/>
          <w:szCs w:val="20"/>
          <w:lang w:val="sk-SK"/>
        </w:rPr>
        <w:t xml:space="preserve">alebo </w:t>
      </w:r>
      <w:r w:rsidRPr="00956FD0">
        <w:rPr>
          <w:sz w:val="22"/>
          <w:szCs w:val="20"/>
          <w:lang w:val="sk-SK"/>
        </w:rPr>
        <w:t xml:space="preserve">850 mg </w:t>
      </w:r>
      <w:proofErr w:type="spellStart"/>
      <w:r w:rsidRPr="00956FD0">
        <w:rPr>
          <w:sz w:val="22"/>
          <w:szCs w:val="20"/>
          <w:lang w:val="sk-SK"/>
        </w:rPr>
        <w:t>metformínium</w:t>
      </w:r>
      <w:proofErr w:type="spellEnd"/>
      <w:r w:rsidR="003D14DC">
        <w:rPr>
          <w:sz w:val="22"/>
          <w:szCs w:val="20"/>
          <w:lang w:val="sk-SK"/>
        </w:rPr>
        <w:t>-</w:t>
      </w:r>
      <w:r w:rsidRPr="00956FD0">
        <w:rPr>
          <w:sz w:val="22"/>
          <w:szCs w:val="20"/>
          <w:lang w:val="sk-SK"/>
        </w:rPr>
        <w:t>chloridu 2 alebo 3-krát denne, podávaných počas alebo po jedle.</w:t>
      </w:r>
    </w:p>
    <w:p w14:paraId="7DB8051D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17A919EE" w14:textId="537440A6" w:rsidR="008A27CD" w:rsidRPr="005C1E20" w:rsidRDefault="008A27CD" w:rsidP="00F25E58">
      <w:pPr>
        <w:adjustRightInd w:val="0"/>
        <w:rPr>
          <w:sz w:val="22"/>
          <w:szCs w:val="20"/>
          <w:lang w:val="sk-SK"/>
        </w:rPr>
      </w:pPr>
      <w:r w:rsidRPr="005C1E20">
        <w:rPr>
          <w:sz w:val="22"/>
          <w:szCs w:val="20"/>
          <w:lang w:val="sk-SK"/>
        </w:rPr>
        <w:t>Po 10 až 15 dňoch sa má dávka upraviť na základe meraní glukózy v krvi. Pomalé zvyšovanie dávky môže zlepšiť gastrointestinálnu znášanlivosť.</w:t>
      </w:r>
      <w:r w:rsidR="005C1E20" w:rsidRPr="005C1E20">
        <w:rPr>
          <w:sz w:val="22"/>
          <w:szCs w:val="20"/>
          <w:lang w:val="sk-SK"/>
        </w:rPr>
        <w:t xml:space="preserve"> </w:t>
      </w:r>
      <w:r w:rsidR="00E42BC9">
        <w:rPr>
          <w:sz w:val="22"/>
          <w:szCs w:val="20"/>
          <w:lang w:val="sk-SK"/>
        </w:rPr>
        <w:t>U p</w:t>
      </w:r>
      <w:r w:rsidR="005C1E20" w:rsidRPr="00F25E58">
        <w:rPr>
          <w:rFonts w:eastAsia="TimesNewRomanPSMT"/>
          <w:sz w:val="22"/>
          <w:szCs w:val="22"/>
          <w:lang w:val="sk-SK" w:eastAsia="sk-SK" w:bidi="si-LK"/>
        </w:rPr>
        <w:t>acient</w:t>
      </w:r>
      <w:r w:rsidR="00E42BC9">
        <w:rPr>
          <w:rFonts w:eastAsia="TimesNewRomanPSMT"/>
          <w:sz w:val="22"/>
          <w:szCs w:val="22"/>
          <w:lang w:val="sk-SK" w:eastAsia="sk-SK" w:bidi="si-LK"/>
        </w:rPr>
        <w:t>ov</w:t>
      </w:r>
      <w:r w:rsidR="005C1E20" w:rsidRPr="00F25E58">
        <w:rPr>
          <w:rFonts w:eastAsia="TimesNewRomanPSMT"/>
          <w:sz w:val="22"/>
          <w:szCs w:val="22"/>
          <w:lang w:val="sk-SK" w:eastAsia="sk-SK" w:bidi="si-LK"/>
        </w:rPr>
        <w:t xml:space="preserve">, </w:t>
      </w:r>
      <w:r w:rsidR="00E42BC9">
        <w:rPr>
          <w:rFonts w:eastAsia="TimesNewRomanPSMT"/>
          <w:sz w:val="22"/>
          <w:szCs w:val="22"/>
          <w:lang w:val="sk-SK" w:eastAsia="sk-SK" w:bidi="si-LK"/>
        </w:rPr>
        <w:t xml:space="preserve">ktorí užívajú vysoké dávky </w:t>
      </w:r>
      <w:proofErr w:type="spellStart"/>
      <w:r w:rsidR="00E42BC9">
        <w:rPr>
          <w:rFonts w:eastAsia="TimesNewRomanPSMT"/>
          <w:sz w:val="22"/>
          <w:szCs w:val="22"/>
          <w:lang w:val="sk-SK" w:eastAsia="sk-SK" w:bidi="si-LK"/>
        </w:rPr>
        <w:t>metformínu</w:t>
      </w:r>
      <w:proofErr w:type="spellEnd"/>
      <w:r w:rsidR="005C1E20" w:rsidRPr="00F25E58">
        <w:rPr>
          <w:rFonts w:eastAsia="TimesNewRomanPSMT"/>
          <w:sz w:val="22"/>
          <w:szCs w:val="22"/>
          <w:lang w:val="sk-SK" w:eastAsia="sk-SK" w:bidi="si-LK"/>
        </w:rPr>
        <w:t xml:space="preserve"> (2 a</w:t>
      </w:r>
      <w:r w:rsidR="00503568">
        <w:rPr>
          <w:rFonts w:eastAsia="TimesNewRomanPSMT"/>
          <w:sz w:val="22"/>
          <w:szCs w:val="22"/>
          <w:lang w:val="sk-SK" w:eastAsia="sk-SK" w:bidi="si-LK"/>
        </w:rPr>
        <w:t>ž 3 gramy denne)</w:t>
      </w:r>
      <w:r w:rsidR="005C1E20" w:rsidRPr="00F25E58">
        <w:rPr>
          <w:rFonts w:eastAsia="TimesNewRomanPSMT"/>
          <w:sz w:val="22"/>
          <w:szCs w:val="22"/>
          <w:lang w:val="sk-SK" w:eastAsia="sk-SK" w:bidi="si-LK"/>
        </w:rPr>
        <w:t xml:space="preserve"> </w:t>
      </w:r>
      <w:r w:rsidR="00E42BC9">
        <w:rPr>
          <w:rFonts w:eastAsia="TimesNewRomanPSMT"/>
          <w:sz w:val="22"/>
          <w:szCs w:val="22"/>
          <w:lang w:val="sk-SK" w:eastAsia="sk-SK" w:bidi="si-LK"/>
        </w:rPr>
        <w:t xml:space="preserve">je možné nahradiť dve filmom obalené tablety </w:t>
      </w:r>
      <w:proofErr w:type="spellStart"/>
      <w:r w:rsidR="00E42BC9">
        <w:rPr>
          <w:rFonts w:eastAsia="TimesNewRomanPSMT"/>
          <w:sz w:val="22"/>
          <w:szCs w:val="22"/>
          <w:lang w:val="sk-SK" w:eastAsia="sk-SK" w:bidi="si-LK"/>
        </w:rPr>
        <w:t>Stadamet</w:t>
      </w:r>
      <w:proofErr w:type="spellEnd"/>
      <w:r w:rsidR="00E42BC9">
        <w:rPr>
          <w:rFonts w:eastAsia="TimesNewRomanPSMT"/>
          <w:sz w:val="22"/>
          <w:szCs w:val="22"/>
          <w:lang w:val="sk-SK" w:eastAsia="sk-SK" w:bidi="si-LK"/>
        </w:rPr>
        <w:t xml:space="preserve"> 500 mg jednou filmom obalenou tabletou </w:t>
      </w:r>
      <w:proofErr w:type="spellStart"/>
      <w:r w:rsidR="00E42BC9">
        <w:rPr>
          <w:rFonts w:eastAsia="TimesNewRomanPSMT"/>
          <w:sz w:val="22"/>
          <w:szCs w:val="22"/>
          <w:lang w:val="sk-SK" w:eastAsia="sk-SK" w:bidi="si-LK"/>
        </w:rPr>
        <w:t>Stadamet</w:t>
      </w:r>
      <w:proofErr w:type="spellEnd"/>
      <w:r w:rsidR="00E42BC9">
        <w:rPr>
          <w:rFonts w:eastAsia="TimesNewRomanPSMT"/>
          <w:sz w:val="22"/>
          <w:szCs w:val="22"/>
          <w:lang w:val="sk-SK" w:eastAsia="sk-SK" w:bidi="si-LK"/>
        </w:rPr>
        <w:t xml:space="preserve"> 1000 mg.</w:t>
      </w:r>
    </w:p>
    <w:p w14:paraId="4D54849F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3E709457" w14:textId="77777777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Maximálna odporúčaná denná dávka </w:t>
      </w:r>
      <w:proofErr w:type="spellStart"/>
      <w:r w:rsidRPr="00956FD0">
        <w:rPr>
          <w:sz w:val="22"/>
          <w:szCs w:val="20"/>
          <w:lang w:val="sk-SK"/>
        </w:rPr>
        <w:t>metformínium</w:t>
      </w:r>
      <w:proofErr w:type="spellEnd"/>
      <w:r w:rsidR="003D14DC">
        <w:rPr>
          <w:sz w:val="22"/>
          <w:szCs w:val="20"/>
          <w:lang w:val="sk-SK"/>
        </w:rPr>
        <w:t>-</w:t>
      </w:r>
      <w:r w:rsidRPr="00956FD0">
        <w:rPr>
          <w:sz w:val="22"/>
          <w:szCs w:val="20"/>
          <w:lang w:val="sk-SK"/>
        </w:rPr>
        <w:t>chloridu sú 3 g denne</w:t>
      </w:r>
      <w:r w:rsidR="00455F29" w:rsidRPr="00956FD0">
        <w:rPr>
          <w:sz w:val="22"/>
          <w:szCs w:val="22"/>
          <w:lang w:val="sk-SK"/>
        </w:rPr>
        <w:t>, rozdelené do troch dávok</w:t>
      </w:r>
      <w:r w:rsidRPr="00956FD0">
        <w:rPr>
          <w:sz w:val="22"/>
          <w:szCs w:val="20"/>
          <w:lang w:val="sk-SK"/>
        </w:rPr>
        <w:t>.</w:t>
      </w:r>
    </w:p>
    <w:p w14:paraId="7FF79981" w14:textId="77777777" w:rsidR="008A27CD" w:rsidRPr="00956FD0" w:rsidRDefault="00455F29" w:rsidP="00455F29">
      <w:pPr>
        <w:tabs>
          <w:tab w:val="left" w:pos="2266"/>
        </w:tabs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ab/>
      </w:r>
    </w:p>
    <w:p w14:paraId="58C8EA24" w14:textId="2DE10C21" w:rsidR="008A27CD" w:rsidRPr="00956FD0" w:rsidRDefault="008A27CD" w:rsidP="00625F44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Ak je indikovaný prechod z iného perorálneho </w:t>
      </w:r>
      <w:proofErr w:type="spellStart"/>
      <w:r w:rsidRPr="00956FD0">
        <w:rPr>
          <w:sz w:val="22"/>
          <w:szCs w:val="20"/>
          <w:lang w:val="sk-SK"/>
        </w:rPr>
        <w:t>antidiabetika</w:t>
      </w:r>
      <w:proofErr w:type="spellEnd"/>
      <w:r w:rsidRPr="00956FD0">
        <w:rPr>
          <w:sz w:val="22"/>
          <w:szCs w:val="20"/>
          <w:lang w:val="sk-SK"/>
        </w:rPr>
        <w:t xml:space="preserve">: vysaďte iný liek a nasaďte </w:t>
      </w:r>
      <w:proofErr w:type="spellStart"/>
      <w:r w:rsidRPr="00956FD0">
        <w:rPr>
          <w:sz w:val="22"/>
          <w:szCs w:val="20"/>
          <w:lang w:val="sk-SK"/>
        </w:rPr>
        <w:t>metformín</w:t>
      </w:r>
      <w:proofErr w:type="spellEnd"/>
      <w:r w:rsidRPr="00956FD0">
        <w:rPr>
          <w:sz w:val="22"/>
          <w:szCs w:val="20"/>
          <w:lang w:val="sk-SK"/>
        </w:rPr>
        <w:t xml:space="preserve"> s vyššie uvedenou dávkou.</w:t>
      </w:r>
    </w:p>
    <w:p w14:paraId="2ECB3FB8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46584B1D" w14:textId="77777777" w:rsidR="008A27CD" w:rsidRPr="00956FD0" w:rsidRDefault="008A27CD" w:rsidP="00455F29">
      <w:pPr>
        <w:outlineLvl w:val="0"/>
        <w:rPr>
          <w:i/>
          <w:sz w:val="22"/>
          <w:szCs w:val="20"/>
          <w:lang w:val="sk-SK"/>
        </w:rPr>
      </w:pPr>
      <w:r w:rsidRPr="00956FD0">
        <w:rPr>
          <w:i/>
          <w:sz w:val="22"/>
          <w:szCs w:val="20"/>
          <w:lang w:val="sk-SK"/>
        </w:rPr>
        <w:t>Kombinácia s inzulínom</w:t>
      </w:r>
    </w:p>
    <w:p w14:paraId="44466623" w14:textId="585B6EE1" w:rsidR="008A27CD" w:rsidRPr="00956FD0" w:rsidRDefault="008A27CD" w:rsidP="00455F29">
      <w:pPr>
        <w:rPr>
          <w:sz w:val="22"/>
          <w:szCs w:val="20"/>
          <w:lang w:val="sk-SK"/>
        </w:rPr>
      </w:pPr>
      <w:proofErr w:type="spellStart"/>
      <w:r w:rsidRPr="00956FD0">
        <w:rPr>
          <w:sz w:val="22"/>
          <w:szCs w:val="20"/>
          <w:lang w:val="sk-SK"/>
        </w:rPr>
        <w:t>Metformín</w:t>
      </w:r>
      <w:proofErr w:type="spellEnd"/>
      <w:r w:rsidRPr="00956FD0">
        <w:rPr>
          <w:sz w:val="22"/>
          <w:szCs w:val="20"/>
          <w:lang w:val="sk-SK"/>
        </w:rPr>
        <w:t xml:space="preserve"> a inzulín možno používať v kombinovanej liečbe na dosiahnutie lepšej kontroly glukózy v krvi. </w:t>
      </w:r>
      <w:proofErr w:type="spellStart"/>
      <w:r w:rsidRPr="00956FD0">
        <w:rPr>
          <w:sz w:val="22"/>
          <w:szCs w:val="20"/>
          <w:lang w:val="sk-SK"/>
        </w:rPr>
        <w:t>Metformín</w:t>
      </w:r>
      <w:r w:rsidR="00455F29" w:rsidRPr="00956FD0">
        <w:rPr>
          <w:sz w:val="22"/>
          <w:szCs w:val="20"/>
          <w:lang w:val="sk-SK"/>
        </w:rPr>
        <w:t>ium</w:t>
      </w:r>
      <w:proofErr w:type="spellEnd"/>
      <w:r w:rsidR="003D14DC">
        <w:rPr>
          <w:sz w:val="22"/>
          <w:szCs w:val="20"/>
          <w:lang w:val="sk-SK"/>
        </w:rPr>
        <w:t>-</w:t>
      </w:r>
      <w:r w:rsidR="00455F29" w:rsidRPr="00956FD0">
        <w:rPr>
          <w:sz w:val="22"/>
          <w:szCs w:val="20"/>
          <w:lang w:val="sk-SK"/>
        </w:rPr>
        <w:t>chlorid</w:t>
      </w:r>
      <w:r w:rsidRPr="00956FD0">
        <w:rPr>
          <w:sz w:val="22"/>
          <w:szCs w:val="20"/>
          <w:lang w:val="sk-SK"/>
        </w:rPr>
        <w:t xml:space="preserve"> sa podáva vo zvyčajnej začiatočnej dávke 500 mg </w:t>
      </w:r>
      <w:r w:rsidR="005C1E20">
        <w:rPr>
          <w:sz w:val="22"/>
          <w:szCs w:val="20"/>
          <w:lang w:val="sk-SK"/>
        </w:rPr>
        <w:t>alebo</w:t>
      </w:r>
      <w:r w:rsidRPr="00956FD0">
        <w:rPr>
          <w:sz w:val="22"/>
          <w:szCs w:val="20"/>
          <w:lang w:val="sk-SK"/>
        </w:rPr>
        <w:t xml:space="preserve"> 850 mg </w:t>
      </w:r>
      <w:r w:rsidR="005C1E20">
        <w:rPr>
          <w:sz w:val="22"/>
          <w:szCs w:val="20"/>
          <w:lang w:val="sk-SK"/>
        </w:rPr>
        <w:t xml:space="preserve">2 alebo 3-krát </w:t>
      </w:r>
      <w:r w:rsidRPr="00956FD0">
        <w:rPr>
          <w:sz w:val="22"/>
          <w:szCs w:val="20"/>
          <w:lang w:val="sk-SK"/>
        </w:rPr>
        <w:t>denne, zatiaľ čo sa dávkovanie inzulínu upraví na základe meraní glukózy v krvi.</w:t>
      </w:r>
    </w:p>
    <w:p w14:paraId="5BC914F2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4C3565A6" w14:textId="77777777" w:rsidR="008A27CD" w:rsidRPr="00956FD0" w:rsidRDefault="008A27CD" w:rsidP="00455F29">
      <w:pPr>
        <w:outlineLvl w:val="0"/>
        <w:rPr>
          <w:b/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 xml:space="preserve">Starší pacienti </w:t>
      </w:r>
    </w:p>
    <w:p w14:paraId="37897410" w14:textId="570EA4E0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V dôsledku potenciálneho zníženia funkcie obličiek u starších pacientov sa má dávkovanie </w:t>
      </w:r>
      <w:proofErr w:type="spellStart"/>
      <w:r w:rsidRPr="00956FD0">
        <w:rPr>
          <w:sz w:val="22"/>
          <w:szCs w:val="20"/>
          <w:lang w:val="sk-SK"/>
        </w:rPr>
        <w:t>metformínu</w:t>
      </w:r>
      <w:proofErr w:type="spellEnd"/>
      <w:r w:rsidRPr="00956FD0">
        <w:rPr>
          <w:sz w:val="22"/>
          <w:szCs w:val="20"/>
          <w:lang w:val="sk-SK"/>
        </w:rPr>
        <w:t xml:space="preserve"> upraviť na základe funkcie obličiek. Z tohto dôvodu je potrebná pravidelná kontrola funkcie obličiek (pozri časť 4.4 ).</w:t>
      </w:r>
    </w:p>
    <w:p w14:paraId="2F364CBA" w14:textId="77777777" w:rsidR="002341CC" w:rsidRPr="00956FD0" w:rsidRDefault="002341CC" w:rsidP="002341CC">
      <w:pPr>
        <w:adjustRightInd w:val="0"/>
        <w:rPr>
          <w:rFonts w:eastAsia="Verdana,Italic"/>
          <w:b/>
          <w:iCs/>
          <w:sz w:val="22"/>
          <w:szCs w:val="22"/>
          <w:lang w:val="sk-SK"/>
        </w:rPr>
      </w:pPr>
    </w:p>
    <w:p w14:paraId="512A36EA" w14:textId="77777777" w:rsidR="002341CC" w:rsidRPr="00956FD0" w:rsidRDefault="002341CC" w:rsidP="002341CC">
      <w:pPr>
        <w:adjustRightInd w:val="0"/>
        <w:rPr>
          <w:rFonts w:eastAsia="Verdana,Italic"/>
          <w:b/>
          <w:iCs/>
          <w:sz w:val="22"/>
          <w:szCs w:val="22"/>
          <w:lang w:val="sk-SK"/>
        </w:rPr>
      </w:pPr>
      <w:r w:rsidRPr="00956FD0">
        <w:rPr>
          <w:rFonts w:eastAsia="Verdana,Italic"/>
          <w:b/>
          <w:iCs/>
          <w:sz w:val="22"/>
          <w:szCs w:val="22"/>
          <w:lang w:val="sk-SK"/>
        </w:rPr>
        <w:t>Porucha funkcie obličiek</w:t>
      </w:r>
    </w:p>
    <w:p w14:paraId="5B898373" w14:textId="77777777" w:rsidR="002341CC" w:rsidRPr="00956FD0" w:rsidRDefault="002341CC" w:rsidP="002341CC">
      <w:pPr>
        <w:adjustRightInd w:val="0"/>
        <w:rPr>
          <w:rFonts w:eastAsia="Verdana,Italic"/>
          <w:i/>
          <w:iCs/>
          <w:sz w:val="22"/>
          <w:szCs w:val="22"/>
          <w:lang w:val="sk-SK"/>
        </w:rPr>
      </w:pPr>
    </w:p>
    <w:p w14:paraId="4584C7D1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Pred začatím liečby </w:t>
      </w:r>
      <w:proofErr w:type="spellStart"/>
      <w:r w:rsidRPr="00956FD0">
        <w:rPr>
          <w:sz w:val="22"/>
          <w:szCs w:val="22"/>
          <w:lang w:val="sk-SK"/>
        </w:rPr>
        <w:t>metformínom</w:t>
      </w:r>
      <w:proofErr w:type="spellEnd"/>
      <w:r w:rsidRPr="00956FD0">
        <w:rPr>
          <w:sz w:val="22"/>
          <w:szCs w:val="22"/>
          <w:lang w:val="sk-SK"/>
        </w:rPr>
        <w:t xml:space="preserve"> a minimálne raz ročne po jej začatí je potrebné vyhodnotiť GFR. U</w:t>
      </w:r>
    </w:p>
    <w:p w14:paraId="11F26C21" w14:textId="77777777" w:rsidR="002341CC" w:rsidRPr="00956FD0" w:rsidRDefault="002341CC" w:rsidP="002341CC">
      <w:pPr>
        <w:adjustRightInd w:val="0"/>
        <w:rPr>
          <w:lang w:val="sk-SK"/>
        </w:rPr>
      </w:pPr>
      <w:r w:rsidRPr="00956FD0">
        <w:rPr>
          <w:sz w:val="22"/>
          <w:szCs w:val="22"/>
          <w:lang w:val="sk-SK"/>
        </w:rPr>
        <w:t>pacientov so zvýšeným rizikom ďalšej progresie poruchy funkcie obličiek a u starších osôb je potrebné</w:t>
      </w:r>
      <w:r w:rsidRPr="00956FD0">
        <w:rPr>
          <w:lang w:val="sk-SK"/>
        </w:rPr>
        <w:t xml:space="preserve"> </w:t>
      </w:r>
      <w:r w:rsidRPr="00956FD0">
        <w:rPr>
          <w:sz w:val="22"/>
          <w:szCs w:val="22"/>
          <w:lang w:val="sk-SK"/>
        </w:rPr>
        <w:t>funkciu obličiek hodnotiť častejšie, napr. každ</w:t>
      </w:r>
      <w:r w:rsidRPr="00956FD0">
        <w:rPr>
          <w:lang w:val="sk-SK"/>
        </w:rPr>
        <w:t>ých</w:t>
      </w:r>
      <w:r w:rsidRPr="00956FD0">
        <w:rPr>
          <w:sz w:val="22"/>
          <w:szCs w:val="22"/>
          <w:lang w:val="sk-SK"/>
        </w:rPr>
        <w:t xml:space="preserve"> 3-6 mesiacov.</w:t>
      </w:r>
    </w:p>
    <w:p w14:paraId="1C2AE13E" w14:textId="77777777" w:rsidR="002341CC" w:rsidRPr="00956FD0" w:rsidRDefault="002341CC" w:rsidP="002341CC">
      <w:pPr>
        <w:adjustRightInd w:val="0"/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3969"/>
      </w:tblGrid>
      <w:tr w:rsidR="002341CC" w:rsidRPr="00956FD0" w14:paraId="4E595E66" w14:textId="77777777" w:rsidTr="000071D9">
        <w:tc>
          <w:tcPr>
            <w:tcW w:w="1809" w:type="dxa"/>
            <w:shd w:val="clear" w:color="auto" w:fill="auto"/>
          </w:tcPr>
          <w:p w14:paraId="340FC44B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GFR ml/min</w:t>
            </w:r>
          </w:p>
        </w:tc>
        <w:tc>
          <w:tcPr>
            <w:tcW w:w="3261" w:type="dxa"/>
            <w:shd w:val="clear" w:color="auto" w:fill="auto"/>
          </w:tcPr>
          <w:p w14:paraId="5BEA30A2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Celková maximálna denná dávka</w:t>
            </w:r>
          </w:p>
          <w:p w14:paraId="4258AA51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(rozdelená na 2-3 denné dávky)</w:t>
            </w:r>
          </w:p>
          <w:p w14:paraId="5E8ABBBE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shd w:val="clear" w:color="auto" w:fill="auto"/>
          </w:tcPr>
          <w:p w14:paraId="0B514B75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Ďalšie uváženie</w:t>
            </w:r>
          </w:p>
          <w:p w14:paraId="48C87C67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</w:p>
        </w:tc>
      </w:tr>
      <w:tr w:rsidR="002341CC" w:rsidRPr="00956FD0" w14:paraId="2A771A9A" w14:textId="77777777" w:rsidTr="000071D9">
        <w:tc>
          <w:tcPr>
            <w:tcW w:w="1809" w:type="dxa"/>
            <w:shd w:val="clear" w:color="auto" w:fill="auto"/>
          </w:tcPr>
          <w:p w14:paraId="558746DF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60-89</w:t>
            </w:r>
          </w:p>
        </w:tc>
        <w:tc>
          <w:tcPr>
            <w:tcW w:w="3261" w:type="dxa"/>
            <w:shd w:val="clear" w:color="auto" w:fill="auto"/>
          </w:tcPr>
          <w:p w14:paraId="41B6AE5B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3 000 mg</w:t>
            </w:r>
          </w:p>
        </w:tc>
        <w:tc>
          <w:tcPr>
            <w:tcW w:w="3969" w:type="dxa"/>
            <w:shd w:val="clear" w:color="auto" w:fill="auto"/>
          </w:tcPr>
          <w:p w14:paraId="184BAEA1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Je možné zvážiť zníženie dávky vzhľadom na pokles funkcie obličiek.</w:t>
            </w:r>
          </w:p>
        </w:tc>
      </w:tr>
      <w:tr w:rsidR="002341CC" w:rsidRPr="00956FD0" w14:paraId="3A77CD01" w14:textId="77777777" w:rsidTr="000071D9">
        <w:tc>
          <w:tcPr>
            <w:tcW w:w="1809" w:type="dxa"/>
            <w:shd w:val="clear" w:color="auto" w:fill="auto"/>
          </w:tcPr>
          <w:p w14:paraId="36443DB1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45-59</w:t>
            </w:r>
          </w:p>
        </w:tc>
        <w:tc>
          <w:tcPr>
            <w:tcW w:w="3261" w:type="dxa"/>
            <w:shd w:val="clear" w:color="auto" w:fill="auto"/>
          </w:tcPr>
          <w:p w14:paraId="72FF8E88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2 000 mg</w:t>
            </w:r>
          </w:p>
          <w:p w14:paraId="510BF270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</w:p>
          <w:p w14:paraId="5260966B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5E7757A4" w14:textId="77777777" w:rsidR="00455C76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 xml:space="preserve">Pred zvážením začatia liečby </w:t>
            </w:r>
            <w:proofErr w:type="spellStart"/>
            <w:r w:rsidRPr="00956FD0">
              <w:rPr>
                <w:rFonts w:eastAsia="Calibri"/>
                <w:sz w:val="22"/>
                <w:szCs w:val="22"/>
                <w:lang w:val="sk-SK"/>
              </w:rPr>
              <w:t>metformínom</w:t>
            </w:r>
            <w:proofErr w:type="spellEnd"/>
            <w:r w:rsidRPr="00956FD0">
              <w:rPr>
                <w:rFonts w:eastAsia="Calibri"/>
                <w:sz w:val="22"/>
                <w:szCs w:val="22"/>
                <w:lang w:val="sk-SK"/>
              </w:rPr>
              <w:t xml:space="preserve"> je potrebné posúdiť faktory, ktoré by mohli zvyšovať riziko </w:t>
            </w:r>
            <w:proofErr w:type="spellStart"/>
            <w:r w:rsidRPr="00956FD0">
              <w:rPr>
                <w:rFonts w:eastAsia="Calibri"/>
                <w:sz w:val="22"/>
                <w:szCs w:val="22"/>
                <w:lang w:val="sk-SK"/>
              </w:rPr>
              <w:t>laktátovej</w:t>
            </w:r>
            <w:proofErr w:type="spellEnd"/>
            <w:r w:rsidRPr="00956FD0">
              <w:rPr>
                <w:rFonts w:eastAsia="Calibri"/>
                <w:sz w:val="22"/>
                <w:szCs w:val="22"/>
                <w:lang w:val="sk-SK"/>
              </w:rPr>
              <w:t xml:space="preserve"> acidózy (pozri časť 4.4).</w:t>
            </w:r>
          </w:p>
          <w:p w14:paraId="236A2771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Úvodná dávka je nanajvýš polovica z maximálnej dávky.</w:t>
            </w:r>
          </w:p>
        </w:tc>
      </w:tr>
      <w:tr w:rsidR="002341CC" w:rsidRPr="00956FD0" w14:paraId="772A8AA3" w14:textId="77777777" w:rsidTr="000071D9">
        <w:tc>
          <w:tcPr>
            <w:tcW w:w="1809" w:type="dxa"/>
            <w:shd w:val="clear" w:color="auto" w:fill="auto"/>
          </w:tcPr>
          <w:p w14:paraId="2100669F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30-44</w:t>
            </w:r>
          </w:p>
        </w:tc>
        <w:tc>
          <w:tcPr>
            <w:tcW w:w="3261" w:type="dxa"/>
            <w:shd w:val="clear" w:color="auto" w:fill="auto"/>
          </w:tcPr>
          <w:p w14:paraId="276DB1A3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1 000 mg</w:t>
            </w:r>
          </w:p>
          <w:p w14:paraId="364485D2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DCE8754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</w:p>
        </w:tc>
      </w:tr>
      <w:tr w:rsidR="002341CC" w:rsidRPr="00956FD0" w14:paraId="5C42FA82" w14:textId="77777777" w:rsidTr="000071D9">
        <w:tc>
          <w:tcPr>
            <w:tcW w:w="1809" w:type="dxa"/>
            <w:shd w:val="clear" w:color="auto" w:fill="auto"/>
          </w:tcPr>
          <w:p w14:paraId="3615896C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>&lt; 30</w:t>
            </w:r>
          </w:p>
        </w:tc>
        <w:tc>
          <w:tcPr>
            <w:tcW w:w="3261" w:type="dxa"/>
            <w:shd w:val="clear" w:color="auto" w:fill="auto"/>
          </w:tcPr>
          <w:p w14:paraId="7345D7F6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r w:rsidRPr="00956FD0">
              <w:rPr>
                <w:rFonts w:eastAsia="Calibri"/>
                <w:sz w:val="22"/>
                <w:szCs w:val="22"/>
                <w:lang w:val="sk-SK"/>
              </w:rPr>
              <w:t xml:space="preserve">- </w:t>
            </w:r>
          </w:p>
        </w:tc>
        <w:tc>
          <w:tcPr>
            <w:tcW w:w="3969" w:type="dxa"/>
            <w:shd w:val="clear" w:color="auto" w:fill="auto"/>
          </w:tcPr>
          <w:p w14:paraId="597AEF81" w14:textId="77777777" w:rsidR="002341CC" w:rsidRPr="00956FD0" w:rsidRDefault="002341CC" w:rsidP="000071D9">
            <w:pPr>
              <w:adjustRightInd w:val="0"/>
              <w:rPr>
                <w:rFonts w:eastAsia="Calibri"/>
                <w:sz w:val="22"/>
                <w:szCs w:val="22"/>
                <w:lang w:val="sk-SK"/>
              </w:rPr>
            </w:pPr>
            <w:proofErr w:type="spellStart"/>
            <w:r w:rsidRPr="00956FD0">
              <w:rPr>
                <w:rFonts w:eastAsia="Calibri"/>
                <w:sz w:val="22"/>
                <w:szCs w:val="22"/>
                <w:lang w:val="sk-SK"/>
              </w:rPr>
              <w:t>Metformín</w:t>
            </w:r>
            <w:proofErr w:type="spellEnd"/>
            <w:r w:rsidRPr="00956FD0">
              <w:rPr>
                <w:rFonts w:eastAsia="Calibri"/>
                <w:sz w:val="22"/>
                <w:szCs w:val="22"/>
                <w:lang w:val="sk-SK"/>
              </w:rPr>
              <w:t xml:space="preserve"> je kontraindikovaný.</w:t>
            </w:r>
          </w:p>
        </w:tc>
      </w:tr>
    </w:tbl>
    <w:p w14:paraId="1091347B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2D9711B3" w14:textId="77777777" w:rsidR="008A27CD" w:rsidRPr="00956FD0" w:rsidRDefault="00BF1144" w:rsidP="00455F29">
      <w:pPr>
        <w:jc w:val="both"/>
        <w:outlineLvl w:val="0"/>
        <w:rPr>
          <w:b/>
          <w:bCs/>
          <w:iCs/>
          <w:sz w:val="22"/>
          <w:szCs w:val="20"/>
          <w:lang w:val="sk-SK"/>
        </w:rPr>
      </w:pPr>
      <w:r w:rsidRPr="00956FD0">
        <w:rPr>
          <w:b/>
          <w:bCs/>
          <w:iCs/>
          <w:sz w:val="22"/>
          <w:szCs w:val="20"/>
          <w:lang w:val="sk-SK"/>
        </w:rPr>
        <w:t>Pediatrická populácia</w:t>
      </w:r>
    </w:p>
    <w:p w14:paraId="178ED0A7" w14:textId="77777777" w:rsidR="008A27CD" w:rsidRPr="00956FD0" w:rsidRDefault="008A27CD" w:rsidP="00455F29">
      <w:pPr>
        <w:outlineLvl w:val="0"/>
        <w:rPr>
          <w:b/>
          <w:bCs/>
          <w:iCs/>
          <w:sz w:val="22"/>
          <w:szCs w:val="20"/>
          <w:lang w:val="sk-SK"/>
        </w:rPr>
      </w:pPr>
    </w:p>
    <w:p w14:paraId="5CE75B3A" w14:textId="77777777" w:rsidR="008A27CD" w:rsidRPr="00956FD0" w:rsidRDefault="008A27CD" w:rsidP="00455F29">
      <w:pPr>
        <w:rPr>
          <w:i/>
          <w:sz w:val="22"/>
          <w:szCs w:val="20"/>
          <w:lang w:val="sk-SK"/>
        </w:rPr>
      </w:pPr>
      <w:proofErr w:type="spellStart"/>
      <w:r w:rsidRPr="00956FD0">
        <w:rPr>
          <w:i/>
          <w:sz w:val="22"/>
          <w:szCs w:val="20"/>
          <w:lang w:val="sk-SK"/>
        </w:rPr>
        <w:t>Monoterapia</w:t>
      </w:r>
      <w:proofErr w:type="spellEnd"/>
      <w:r w:rsidRPr="00956FD0">
        <w:rPr>
          <w:i/>
          <w:sz w:val="22"/>
          <w:szCs w:val="20"/>
          <w:lang w:val="sk-SK"/>
        </w:rPr>
        <w:t xml:space="preserve"> a kombinácia s inzulínom </w:t>
      </w:r>
    </w:p>
    <w:p w14:paraId="32A3A1A1" w14:textId="77777777" w:rsidR="00455F29" w:rsidRPr="00956FD0" w:rsidRDefault="00455F29" w:rsidP="00455F29">
      <w:pPr>
        <w:pStyle w:val="Hlavika"/>
        <w:tabs>
          <w:tab w:val="clear" w:pos="4536"/>
          <w:tab w:val="clear" w:pos="9072"/>
        </w:tabs>
        <w:rPr>
          <w:bCs/>
          <w:sz w:val="22"/>
          <w:szCs w:val="20"/>
          <w:lang w:val="sk-SK"/>
        </w:rPr>
      </w:pPr>
    </w:p>
    <w:p w14:paraId="4A7C63FF" w14:textId="77777777" w:rsidR="008A27CD" w:rsidRPr="00956FD0" w:rsidRDefault="008A27CD" w:rsidP="00455F29">
      <w:pPr>
        <w:pStyle w:val="Hlavika"/>
        <w:tabs>
          <w:tab w:val="clear" w:pos="4536"/>
          <w:tab w:val="clear" w:pos="9072"/>
        </w:tabs>
        <w:rPr>
          <w:sz w:val="22"/>
          <w:szCs w:val="20"/>
          <w:lang w:val="sk-SK"/>
        </w:rPr>
      </w:pPr>
      <w:proofErr w:type="spellStart"/>
      <w:r w:rsidRPr="00956FD0">
        <w:rPr>
          <w:bCs/>
          <w:sz w:val="22"/>
          <w:szCs w:val="20"/>
          <w:lang w:val="sk-SK"/>
        </w:rPr>
        <w:t>Stadamet</w:t>
      </w:r>
      <w:proofErr w:type="spellEnd"/>
      <w:r w:rsidRPr="00956FD0">
        <w:rPr>
          <w:bCs/>
          <w:sz w:val="22"/>
          <w:szCs w:val="20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>možno</w:t>
      </w:r>
      <w:r w:rsidRPr="00956FD0">
        <w:rPr>
          <w:bCs/>
          <w:sz w:val="22"/>
          <w:szCs w:val="20"/>
          <w:lang w:val="sk-SK"/>
        </w:rPr>
        <w:t xml:space="preserve"> použiť</w:t>
      </w:r>
      <w:r w:rsidRPr="00956FD0">
        <w:rPr>
          <w:sz w:val="22"/>
          <w:szCs w:val="20"/>
          <w:lang w:val="sk-SK"/>
        </w:rPr>
        <w:t xml:space="preserve"> u detí od 10 rokov a dospievajúcich. </w:t>
      </w:r>
    </w:p>
    <w:p w14:paraId="2115048E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3E5C8A09" w14:textId="3CDCB765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Zvyčajná začiatočná dávka je 500 mg</w:t>
      </w:r>
      <w:r w:rsidR="003D14DC">
        <w:rPr>
          <w:sz w:val="22"/>
          <w:szCs w:val="20"/>
          <w:lang w:val="sk-SK"/>
        </w:rPr>
        <w:t xml:space="preserve"> </w:t>
      </w:r>
      <w:r w:rsidR="005C1E20">
        <w:rPr>
          <w:sz w:val="22"/>
          <w:szCs w:val="20"/>
          <w:lang w:val="sk-SK"/>
        </w:rPr>
        <w:t>alebo</w:t>
      </w:r>
      <w:r w:rsidRPr="00956FD0">
        <w:rPr>
          <w:sz w:val="22"/>
          <w:szCs w:val="20"/>
          <w:lang w:val="sk-SK"/>
        </w:rPr>
        <w:t xml:space="preserve"> 850 mg </w:t>
      </w:r>
      <w:proofErr w:type="spellStart"/>
      <w:r w:rsidRPr="00956FD0">
        <w:rPr>
          <w:sz w:val="22"/>
          <w:szCs w:val="20"/>
          <w:lang w:val="sk-SK"/>
        </w:rPr>
        <w:t>metformínium</w:t>
      </w:r>
      <w:proofErr w:type="spellEnd"/>
      <w:r w:rsidR="003D14DC">
        <w:rPr>
          <w:sz w:val="22"/>
          <w:szCs w:val="20"/>
          <w:lang w:val="sk-SK"/>
        </w:rPr>
        <w:t>-</w:t>
      </w:r>
      <w:r w:rsidRPr="00956FD0">
        <w:rPr>
          <w:sz w:val="22"/>
          <w:szCs w:val="20"/>
          <w:lang w:val="sk-SK"/>
        </w:rPr>
        <w:t>chloridu jedenkrát denne, podávaných počas jedla alebo po jedle.</w:t>
      </w:r>
    </w:p>
    <w:p w14:paraId="7F285BEC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4A5B7913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Po 10 až 15 dňoch sa má dávka upraviť na základe meraní glukózy v krvi. Pomalé zvyšovanie dávky môže zlepšiť gastrointestinálnu znášanlivosť. Maximálna odporúčaná dávka </w:t>
      </w:r>
      <w:proofErr w:type="spellStart"/>
      <w:r w:rsidRPr="00956FD0">
        <w:rPr>
          <w:sz w:val="22"/>
          <w:szCs w:val="20"/>
          <w:lang w:val="sk-SK"/>
        </w:rPr>
        <w:t>metformínium</w:t>
      </w:r>
      <w:proofErr w:type="spellEnd"/>
      <w:r w:rsidR="003D14DC">
        <w:rPr>
          <w:sz w:val="22"/>
          <w:szCs w:val="20"/>
          <w:lang w:val="sk-SK"/>
        </w:rPr>
        <w:t>-</w:t>
      </w:r>
      <w:r w:rsidRPr="00956FD0">
        <w:rPr>
          <w:sz w:val="22"/>
          <w:szCs w:val="20"/>
          <w:lang w:val="sk-SK"/>
        </w:rPr>
        <w:t>chloridu sú 2 g denne, rozdelené do 2 alebo 3 dávok.</w:t>
      </w:r>
    </w:p>
    <w:p w14:paraId="3240AFFC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45730707" w14:textId="5E79CC57" w:rsidR="005C1E20" w:rsidRPr="00F25E58" w:rsidRDefault="005C1E20" w:rsidP="00F25E58">
      <w:pPr>
        <w:rPr>
          <w:b/>
          <w:lang w:val="sk-SK"/>
        </w:rPr>
      </w:pPr>
      <w:r>
        <w:rPr>
          <w:sz w:val="22"/>
          <w:szCs w:val="20"/>
          <w:u w:val="single"/>
          <w:lang w:val="sk-SK"/>
        </w:rPr>
        <w:t>Spôsob podávania</w:t>
      </w:r>
    </w:p>
    <w:p w14:paraId="68E168B0" w14:textId="77777777" w:rsidR="008A27CD" w:rsidRPr="00956FD0" w:rsidRDefault="008A27CD" w:rsidP="00455F29">
      <w:pPr>
        <w:pStyle w:val="Zkladntext"/>
        <w:jc w:val="left"/>
        <w:rPr>
          <w:rFonts w:ascii="Times New Roman" w:hAnsi="Times New Roman" w:cs="Times New Roman"/>
          <w:sz w:val="22"/>
          <w:szCs w:val="20"/>
          <w:lang w:val="sk-SK"/>
        </w:rPr>
      </w:pPr>
      <w:r w:rsidRPr="00956FD0">
        <w:rPr>
          <w:rFonts w:ascii="Times New Roman" w:hAnsi="Times New Roman" w:cs="Times New Roman"/>
          <w:sz w:val="22"/>
          <w:szCs w:val="20"/>
          <w:lang w:val="sk-SK"/>
        </w:rPr>
        <w:t xml:space="preserve">Vzhľadom na deliteľnú formu tabliet možno filmom obalené tablety alternatívne deliť, podobne ako iné tablety, oboma rukami alebo ich položiť </w:t>
      </w:r>
      <w:r w:rsidR="00455F29" w:rsidRPr="00956FD0">
        <w:rPr>
          <w:rFonts w:ascii="Times New Roman" w:hAnsi="Times New Roman" w:cs="Times New Roman"/>
          <w:sz w:val="22"/>
          <w:szCs w:val="20"/>
          <w:lang w:val="sk-SK"/>
        </w:rPr>
        <w:t xml:space="preserve">menšou </w:t>
      </w:r>
      <w:r w:rsidRPr="00956FD0">
        <w:rPr>
          <w:rFonts w:ascii="Times New Roman" w:hAnsi="Times New Roman" w:cs="Times New Roman"/>
          <w:sz w:val="22"/>
          <w:szCs w:val="20"/>
          <w:lang w:val="sk-SK"/>
        </w:rPr>
        <w:t>ryhou (zárezom) nadol na pevný, rovný povrch a </w:t>
      </w:r>
      <w:r w:rsidR="00455F29" w:rsidRPr="00956FD0">
        <w:rPr>
          <w:rFonts w:ascii="Times New Roman" w:hAnsi="Times New Roman" w:cs="Times New Roman"/>
          <w:sz w:val="22"/>
          <w:szCs w:val="20"/>
          <w:lang w:val="sk-SK"/>
        </w:rPr>
        <w:t xml:space="preserve">súčasne </w:t>
      </w:r>
      <w:r w:rsidRPr="00956FD0">
        <w:rPr>
          <w:rFonts w:ascii="Times New Roman" w:hAnsi="Times New Roman" w:cs="Times New Roman"/>
          <w:sz w:val="22"/>
          <w:szCs w:val="20"/>
          <w:lang w:val="sk-SK"/>
        </w:rPr>
        <w:t xml:space="preserve">pritlačiť </w:t>
      </w:r>
      <w:r w:rsidR="00455F29" w:rsidRPr="00956FD0">
        <w:rPr>
          <w:rFonts w:ascii="Times New Roman" w:hAnsi="Times New Roman" w:cs="Times New Roman"/>
          <w:sz w:val="22"/>
          <w:szCs w:val="20"/>
          <w:lang w:val="sk-SK"/>
        </w:rPr>
        <w:t xml:space="preserve">oboma </w:t>
      </w:r>
      <w:r w:rsidRPr="00956FD0">
        <w:rPr>
          <w:rFonts w:ascii="Times New Roman" w:hAnsi="Times New Roman" w:cs="Times New Roman"/>
          <w:sz w:val="22"/>
          <w:szCs w:val="20"/>
          <w:lang w:val="sk-SK"/>
        </w:rPr>
        <w:t>palc</w:t>
      </w:r>
      <w:r w:rsidR="00455F29" w:rsidRPr="00956FD0">
        <w:rPr>
          <w:rFonts w:ascii="Times New Roman" w:hAnsi="Times New Roman" w:cs="Times New Roman"/>
          <w:sz w:val="22"/>
          <w:szCs w:val="20"/>
          <w:lang w:val="sk-SK"/>
        </w:rPr>
        <w:t>a</w:t>
      </w:r>
      <w:r w:rsidRPr="00956FD0">
        <w:rPr>
          <w:rFonts w:ascii="Times New Roman" w:hAnsi="Times New Roman" w:cs="Times New Roman"/>
          <w:sz w:val="22"/>
          <w:szCs w:val="20"/>
          <w:lang w:val="sk-SK"/>
        </w:rPr>
        <w:t>m</w:t>
      </w:r>
      <w:r w:rsidR="00455F29" w:rsidRPr="00956FD0">
        <w:rPr>
          <w:rFonts w:ascii="Times New Roman" w:hAnsi="Times New Roman" w:cs="Times New Roman"/>
          <w:sz w:val="22"/>
          <w:szCs w:val="20"/>
          <w:lang w:val="sk-SK"/>
        </w:rPr>
        <w:t>i na pravú i ľavú stranu deliacej ryhy</w:t>
      </w:r>
      <w:r w:rsidRPr="00956FD0">
        <w:rPr>
          <w:rFonts w:ascii="Times New Roman" w:hAnsi="Times New Roman" w:cs="Times New Roman"/>
          <w:sz w:val="22"/>
          <w:szCs w:val="20"/>
          <w:lang w:val="sk-SK"/>
        </w:rPr>
        <w:t>.</w:t>
      </w:r>
    </w:p>
    <w:p w14:paraId="2A7A1D47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29C1F181" w14:textId="77777777" w:rsidR="008A27CD" w:rsidRPr="00956FD0" w:rsidRDefault="008A27CD" w:rsidP="00455F29">
      <w:pPr>
        <w:rPr>
          <w:b/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4.3</w:t>
      </w:r>
      <w:r w:rsidRPr="00956FD0">
        <w:rPr>
          <w:b/>
          <w:sz w:val="22"/>
          <w:szCs w:val="20"/>
          <w:lang w:val="sk-SK"/>
        </w:rPr>
        <w:tab/>
        <w:t xml:space="preserve">Kontraindikácie </w:t>
      </w:r>
    </w:p>
    <w:p w14:paraId="105AAAFF" w14:textId="77777777" w:rsidR="00455F29" w:rsidRPr="00956FD0" w:rsidRDefault="00455F29" w:rsidP="00455F29">
      <w:pPr>
        <w:rPr>
          <w:sz w:val="22"/>
          <w:szCs w:val="20"/>
          <w:lang w:val="sk-SK"/>
        </w:rPr>
      </w:pPr>
    </w:p>
    <w:p w14:paraId="015EB6E8" w14:textId="77777777" w:rsidR="008A27CD" w:rsidRPr="00956FD0" w:rsidRDefault="008A27CD" w:rsidP="004C425E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lastRenderedPageBreak/>
        <w:t xml:space="preserve">Precitlivenosť na </w:t>
      </w:r>
      <w:proofErr w:type="spellStart"/>
      <w:r w:rsidRPr="00956FD0">
        <w:rPr>
          <w:sz w:val="22"/>
          <w:szCs w:val="20"/>
          <w:lang w:val="sk-SK"/>
        </w:rPr>
        <w:t>metformínium</w:t>
      </w:r>
      <w:proofErr w:type="spellEnd"/>
      <w:r w:rsidR="003D14DC">
        <w:rPr>
          <w:sz w:val="22"/>
          <w:szCs w:val="20"/>
          <w:lang w:val="sk-SK"/>
        </w:rPr>
        <w:t>-</w:t>
      </w:r>
      <w:r w:rsidRPr="00956FD0">
        <w:rPr>
          <w:sz w:val="22"/>
          <w:szCs w:val="20"/>
          <w:lang w:val="sk-SK"/>
        </w:rPr>
        <w:t xml:space="preserve">chlorid lebo na </w:t>
      </w:r>
      <w:r w:rsidR="004C425E" w:rsidRPr="00956FD0">
        <w:rPr>
          <w:sz w:val="22"/>
          <w:szCs w:val="20"/>
          <w:lang w:val="sk-SK"/>
        </w:rPr>
        <w:t xml:space="preserve">ktorúkoľvek </w:t>
      </w:r>
      <w:r w:rsidRPr="00956FD0">
        <w:rPr>
          <w:sz w:val="22"/>
          <w:szCs w:val="20"/>
          <w:lang w:val="sk-SK"/>
        </w:rPr>
        <w:t>z pomocných látok</w:t>
      </w:r>
      <w:r w:rsidR="004C425E" w:rsidRPr="00956FD0">
        <w:rPr>
          <w:sz w:val="22"/>
          <w:szCs w:val="20"/>
          <w:lang w:val="sk-SK"/>
        </w:rPr>
        <w:t xml:space="preserve"> uvedených v časti 6.1</w:t>
      </w:r>
      <w:r w:rsidRPr="00956FD0">
        <w:rPr>
          <w:sz w:val="22"/>
          <w:szCs w:val="20"/>
          <w:lang w:val="sk-SK"/>
        </w:rPr>
        <w:t>.</w:t>
      </w:r>
    </w:p>
    <w:p w14:paraId="299B9396" w14:textId="77777777" w:rsidR="002341CC" w:rsidRPr="00956FD0" w:rsidRDefault="002341CC" w:rsidP="002341C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956FD0">
        <w:rPr>
          <w:rFonts w:ascii="Times New Roman" w:hAnsi="Times New Roman"/>
        </w:rPr>
        <w:t xml:space="preserve">Akýkoľvek typ akútnej metabolickej acidózy (ako napríklad </w:t>
      </w:r>
      <w:proofErr w:type="spellStart"/>
      <w:r w:rsidRPr="00956FD0">
        <w:rPr>
          <w:rFonts w:ascii="Times New Roman" w:hAnsi="Times New Roman"/>
        </w:rPr>
        <w:t>laktátová</w:t>
      </w:r>
      <w:proofErr w:type="spellEnd"/>
      <w:r w:rsidRPr="00956FD0">
        <w:rPr>
          <w:rFonts w:ascii="Times New Roman" w:hAnsi="Times New Roman"/>
        </w:rPr>
        <w:t xml:space="preserve"> acidóza, diabetická</w:t>
      </w:r>
    </w:p>
    <w:p w14:paraId="5079A8E6" w14:textId="77777777" w:rsidR="002341CC" w:rsidRPr="00956FD0" w:rsidRDefault="002341CC" w:rsidP="002341CC">
      <w:pPr>
        <w:tabs>
          <w:tab w:val="left" w:pos="567"/>
        </w:tabs>
        <w:adjustRightInd w:val="0"/>
        <w:ind w:left="567"/>
        <w:rPr>
          <w:sz w:val="22"/>
          <w:szCs w:val="22"/>
          <w:lang w:val="sk-SK"/>
        </w:rPr>
      </w:pPr>
      <w:proofErr w:type="spellStart"/>
      <w:r w:rsidRPr="00956FD0">
        <w:rPr>
          <w:sz w:val="22"/>
          <w:szCs w:val="22"/>
          <w:lang w:val="sk-SK"/>
        </w:rPr>
        <w:t>ketoacidóza</w:t>
      </w:r>
      <w:proofErr w:type="spellEnd"/>
      <w:r w:rsidRPr="00956FD0">
        <w:rPr>
          <w:sz w:val="22"/>
          <w:szCs w:val="22"/>
          <w:lang w:val="sk-SK"/>
        </w:rPr>
        <w:t>).</w:t>
      </w:r>
    </w:p>
    <w:p w14:paraId="665168DD" w14:textId="77777777" w:rsidR="008A27CD" w:rsidRPr="00956FD0" w:rsidRDefault="008A27CD" w:rsidP="004C425E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Diabetická </w:t>
      </w:r>
      <w:proofErr w:type="spellStart"/>
      <w:r w:rsidRPr="00956FD0">
        <w:rPr>
          <w:sz w:val="22"/>
          <w:szCs w:val="20"/>
          <w:lang w:val="sk-SK"/>
        </w:rPr>
        <w:t>prekóma</w:t>
      </w:r>
      <w:proofErr w:type="spellEnd"/>
      <w:r w:rsidRPr="00956FD0">
        <w:rPr>
          <w:sz w:val="22"/>
          <w:szCs w:val="20"/>
          <w:lang w:val="sk-SK"/>
        </w:rPr>
        <w:t>.</w:t>
      </w:r>
    </w:p>
    <w:p w14:paraId="5C30DE9E" w14:textId="77777777" w:rsidR="008A27CD" w:rsidRPr="00956FD0" w:rsidRDefault="002341CC" w:rsidP="004C425E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Závažné z</w:t>
      </w:r>
      <w:r w:rsidR="008A27CD" w:rsidRPr="00956FD0">
        <w:rPr>
          <w:sz w:val="22"/>
          <w:szCs w:val="20"/>
          <w:lang w:val="sk-SK"/>
        </w:rPr>
        <w:t xml:space="preserve">lyhanie funkcie obličiek </w:t>
      </w:r>
      <w:r w:rsidRPr="00956FD0">
        <w:rPr>
          <w:sz w:val="22"/>
          <w:szCs w:val="22"/>
          <w:lang w:val="sk-SK"/>
        </w:rPr>
        <w:t>(GFR &lt; 30 ml/min)</w:t>
      </w:r>
      <w:r w:rsidR="008A27CD" w:rsidRPr="00956FD0">
        <w:rPr>
          <w:sz w:val="22"/>
          <w:szCs w:val="20"/>
          <w:lang w:val="sk-SK"/>
        </w:rPr>
        <w:t>.</w:t>
      </w:r>
    </w:p>
    <w:p w14:paraId="59D948A9" w14:textId="77777777" w:rsidR="008A27CD" w:rsidRPr="00956FD0" w:rsidRDefault="008A27CD" w:rsidP="004C425E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Akútne stavy s možnou zmenou funkcie obličiek, ako je </w:t>
      </w:r>
      <w:proofErr w:type="spellStart"/>
      <w:r w:rsidRPr="00956FD0">
        <w:rPr>
          <w:sz w:val="22"/>
          <w:szCs w:val="20"/>
          <w:lang w:val="sk-SK"/>
        </w:rPr>
        <w:t>dehydrácia</w:t>
      </w:r>
      <w:proofErr w:type="spellEnd"/>
      <w:r w:rsidRPr="00956FD0">
        <w:rPr>
          <w:sz w:val="22"/>
          <w:szCs w:val="20"/>
          <w:lang w:val="sk-SK"/>
        </w:rPr>
        <w:t>, závažná infekcia, šok.</w:t>
      </w:r>
    </w:p>
    <w:p w14:paraId="7FC55F7F" w14:textId="192C81D0" w:rsidR="008A27CD" w:rsidRPr="00AE6937" w:rsidRDefault="005C1E20" w:rsidP="004C425E">
      <w:pPr>
        <w:numPr>
          <w:ilvl w:val="0"/>
          <w:numId w:val="6"/>
        </w:numPr>
        <w:tabs>
          <w:tab w:val="left" w:pos="567"/>
        </w:tabs>
        <w:autoSpaceDE/>
        <w:autoSpaceDN/>
        <w:ind w:left="567" w:hanging="567"/>
        <w:rPr>
          <w:sz w:val="22"/>
          <w:szCs w:val="20"/>
          <w:lang w:val="sk-SK"/>
        </w:rPr>
      </w:pPr>
      <w:r w:rsidRPr="00AE6937">
        <w:rPr>
          <w:sz w:val="22"/>
          <w:szCs w:val="20"/>
          <w:lang w:val="sk-SK"/>
        </w:rPr>
        <w:t>O</w:t>
      </w:r>
      <w:r w:rsidR="008A27CD" w:rsidRPr="00AE6937">
        <w:rPr>
          <w:sz w:val="22"/>
          <w:szCs w:val="20"/>
          <w:lang w:val="sk-SK"/>
        </w:rPr>
        <w:t>choreni</w:t>
      </w:r>
      <w:r w:rsidR="004C425E" w:rsidRPr="00AE6937">
        <w:rPr>
          <w:sz w:val="22"/>
          <w:szCs w:val="20"/>
          <w:lang w:val="sk-SK"/>
        </w:rPr>
        <w:t>e</w:t>
      </w:r>
      <w:r w:rsidR="008A27CD" w:rsidRPr="00AE6937">
        <w:rPr>
          <w:sz w:val="22"/>
          <w:szCs w:val="20"/>
          <w:lang w:val="sk-SK"/>
        </w:rPr>
        <w:t>, ktoré môž</w:t>
      </w:r>
      <w:r w:rsidR="004C425E" w:rsidRPr="00AE6937">
        <w:rPr>
          <w:sz w:val="22"/>
          <w:szCs w:val="20"/>
          <w:lang w:val="sk-SK"/>
        </w:rPr>
        <w:t>e</w:t>
      </w:r>
      <w:r w:rsidR="008A27CD" w:rsidRPr="00AE6937">
        <w:rPr>
          <w:sz w:val="22"/>
          <w:szCs w:val="20"/>
          <w:lang w:val="sk-SK"/>
        </w:rPr>
        <w:t xml:space="preserve"> vyvolať </w:t>
      </w:r>
      <w:proofErr w:type="spellStart"/>
      <w:r w:rsidR="008A27CD" w:rsidRPr="00AE6937">
        <w:rPr>
          <w:sz w:val="22"/>
          <w:szCs w:val="20"/>
          <w:lang w:val="sk-SK"/>
        </w:rPr>
        <w:t>hypoxiu</w:t>
      </w:r>
      <w:proofErr w:type="spellEnd"/>
      <w:r w:rsidR="008A27CD" w:rsidRPr="00AE6937">
        <w:rPr>
          <w:sz w:val="22"/>
          <w:szCs w:val="20"/>
          <w:lang w:val="sk-SK"/>
        </w:rPr>
        <w:t xml:space="preserve"> tkaniva</w:t>
      </w:r>
      <w:r w:rsidR="00AE6937" w:rsidRPr="00AE6937">
        <w:rPr>
          <w:sz w:val="22"/>
          <w:szCs w:val="20"/>
          <w:lang w:val="sk-SK"/>
        </w:rPr>
        <w:t xml:space="preserve"> </w:t>
      </w:r>
      <w:r w:rsidR="00AE6937" w:rsidRPr="00AE6937">
        <w:rPr>
          <w:sz w:val="22"/>
          <w:szCs w:val="22"/>
          <w:lang w:val="sk-SK"/>
        </w:rPr>
        <w:t>(predovšetkým akútne alebo zhoršujúce sa chronické ochorenie)</w:t>
      </w:r>
      <w:r w:rsidR="008A27CD" w:rsidRPr="00AE6937">
        <w:rPr>
          <w:sz w:val="22"/>
          <w:szCs w:val="20"/>
          <w:lang w:val="sk-SK"/>
        </w:rPr>
        <w:t xml:space="preserve">, ako je </w:t>
      </w:r>
      <w:r w:rsidR="00AE6937" w:rsidRPr="00AE6937">
        <w:rPr>
          <w:sz w:val="22"/>
          <w:szCs w:val="22"/>
          <w:lang w:val="sk-SK"/>
        </w:rPr>
        <w:t xml:space="preserve">dekompenzované srdcové zlyhanie, </w:t>
      </w:r>
      <w:r w:rsidR="008A27CD" w:rsidRPr="00AE6937">
        <w:rPr>
          <w:sz w:val="22"/>
          <w:szCs w:val="20"/>
          <w:lang w:val="sk-SK"/>
        </w:rPr>
        <w:t>pľúcne zlyhanie, nedávny infarkt myokardu, šok.</w:t>
      </w:r>
    </w:p>
    <w:p w14:paraId="51ED7EC0" w14:textId="77777777" w:rsidR="008A27CD" w:rsidRPr="00956FD0" w:rsidRDefault="004C425E" w:rsidP="004C425E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Hepatálna </w:t>
      </w:r>
      <w:proofErr w:type="spellStart"/>
      <w:r w:rsidRPr="00956FD0">
        <w:rPr>
          <w:sz w:val="22"/>
          <w:szCs w:val="20"/>
          <w:lang w:val="sk-SK"/>
        </w:rPr>
        <w:t>insuficiencia</w:t>
      </w:r>
      <w:proofErr w:type="spellEnd"/>
      <w:r w:rsidR="008A27CD" w:rsidRPr="00956FD0">
        <w:rPr>
          <w:sz w:val="22"/>
          <w:szCs w:val="20"/>
          <w:lang w:val="sk-SK"/>
        </w:rPr>
        <w:t>, akútna otrava alkoholom, alkoholizmus.</w:t>
      </w:r>
    </w:p>
    <w:p w14:paraId="1F247015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53EC916C" w14:textId="77777777" w:rsidR="008A27CD" w:rsidRDefault="008A27CD" w:rsidP="00455F29">
      <w:pPr>
        <w:rPr>
          <w:b/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4.4</w:t>
      </w:r>
      <w:r w:rsidRPr="00956FD0">
        <w:rPr>
          <w:b/>
          <w:sz w:val="22"/>
          <w:szCs w:val="20"/>
          <w:lang w:val="sk-SK"/>
        </w:rPr>
        <w:tab/>
        <w:t>Osobitné upozornenia a opatrenia pri používaní</w:t>
      </w:r>
    </w:p>
    <w:p w14:paraId="387C105E" w14:textId="77777777" w:rsidR="00485AD3" w:rsidRDefault="00485AD3" w:rsidP="00455F29">
      <w:pPr>
        <w:rPr>
          <w:b/>
          <w:sz w:val="22"/>
          <w:szCs w:val="20"/>
          <w:lang w:val="sk-SK"/>
        </w:rPr>
      </w:pPr>
    </w:p>
    <w:p w14:paraId="741CD382" w14:textId="77777777" w:rsidR="00485AD3" w:rsidRPr="00D903D6" w:rsidRDefault="00485AD3" w:rsidP="00485AD3">
      <w:pPr>
        <w:rPr>
          <w:sz w:val="22"/>
          <w:szCs w:val="22"/>
          <w:u w:val="single"/>
          <w:lang w:val="sk-SK"/>
        </w:rPr>
      </w:pPr>
      <w:proofErr w:type="spellStart"/>
      <w:r w:rsidRPr="00D903D6">
        <w:rPr>
          <w:sz w:val="22"/>
          <w:szCs w:val="22"/>
          <w:u w:val="single"/>
          <w:lang w:val="sk-SK"/>
        </w:rPr>
        <w:t>Laktátová</w:t>
      </w:r>
      <w:proofErr w:type="spellEnd"/>
      <w:r w:rsidRPr="00D903D6">
        <w:rPr>
          <w:sz w:val="22"/>
          <w:szCs w:val="22"/>
          <w:u w:val="single"/>
          <w:lang w:val="sk-SK"/>
        </w:rPr>
        <w:t xml:space="preserve"> acidóza</w:t>
      </w:r>
    </w:p>
    <w:p w14:paraId="10EB1BB0" w14:textId="77777777" w:rsidR="00485AD3" w:rsidRPr="00D903D6" w:rsidRDefault="00485AD3" w:rsidP="00485AD3">
      <w:pPr>
        <w:rPr>
          <w:sz w:val="22"/>
          <w:szCs w:val="22"/>
          <w:u w:val="single"/>
          <w:lang w:val="sk-SK"/>
        </w:rPr>
      </w:pPr>
    </w:p>
    <w:p w14:paraId="2691F359" w14:textId="77777777" w:rsidR="00485AD3" w:rsidRPr="00D903D6" w:rsidRDefault="00485AD3" w:rsidP="00485AD3">
      <w:pPr>
        <w:pStyle w:val="CM16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Laktátová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acidóza, veľmi zriedkavá, ale závažná metabolická komplikácia, ktorá sa najčastejšie vyskytuje pri akútnom zhoršení funkcie obličiek alebo pri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kardiorespiračnom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ochorení či sepse. Akumulácia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metformínu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sa objavuje pri akútnom zhoršení funkcie obličiek a zvyšuje riziko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laktátovej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acidózy. </w:t>
      </w:r>
    </w:p>
    <w:p w14:paraId="483170F4" w14:textId="77777777" w:rsidR="00485AD3" w:rsidRPr="00D903D6" w:rsidRDefault="00485AD3" w:rsidP="00485AD3">
      <w:pPr>
        <w:pStyle w:val="CM16"/>
        <w:rPr>
          <w:rFonts w:ascii="Times New Roman" w:hAnsi="Times New Roman"/>
          <w:sz w:val="22"/>
          <w:szCs w:val="22"/>
          <w:lang w:val="sk-SK"/>
        </w:rPr>
      </w:pPr>
      <w:r w:rsidRPr="00D903D6">
        <w:rPr>
          <w:rFonts w:ascii="Times New Roman" w:hAnsi="Times New Roman"/>
          <w:sz w:val="22"/>
          <w:szCs w:val="22"/>
          <w:lang w:val="sk-SK"/>
        </w:rPr>
        <w:t xml:space="preserve">V prípade dehydratácie (závažná hnačka alebo vracanie, horúčka alebo znížený príjem tekutín) je potrebné dočasne prerušiť podávanie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metformínu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a odporúča sa kontaktovať zdravotníckeho pracovníka. </w:t>
      </w:r>
    </w:p>
    <w:p w14:paraId="2BC70F64" w14:textId="77777777" w:rsidR="00485AD3" w:rsidRPr="00D903D6" w:rsidRDefault="00485AD3" w:rsidP="00485AD3">
      <w:pPr>
        <w:pStyle w:val="CM16"/>
        <w:rPr>
          <w:rFonts w:ascii="Times New Roman" w:hAnsi="Times New Roman"/>
          <w:sz w:val="22"/>
          <w:szCs w:val="22"/>
          <w:lang w:val="sk-SK"/>
        </w:rPr>
      </w:pPr>
      <w:r w:rsidRPr="00D903D6">
        <w:rPr>
          <w:rFonts w:ascii="Times New Roman" w:hAnsi="Times New Roman"/>
          <w:sz w:val="22"/>
          <w:szCs w:val="22"/>
          <w:lang w:val="sk-SK"/>
        </w:rPr>
        <w:t xml:space="preserve">Lieky, ktoré môžu akútne narušiť funkciu obličiek (ako napríklad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antihypertenzíva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, diuretiká a NSAID) sa majú u pacientov liečených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metformínom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začať podávať s opatrnosťou. Ďalšie rizikové faktory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laktátovej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acidózy sú nadmerné požívanie alkoholu, hepatálna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insuficiencia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, nedostatočne kontrolovaný diabetes mellitus,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ketóza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, dlhotrvajúce hladovanie a akékoľvek stavy spojené s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hypoxiou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, ako aj súbežné používanie liekov, ktoré môžu spôsobiť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laktátovú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acidózu (pozri časti 4.3 a 4.5). </w:t>
      </w:r>
    </w:p>
    <w:p w14:paraId="0EA64580" w14:textId="77777777" w:rsidR="00485AD3" w:rsidRPr="00D903D6" w:rsidRDefault="00485AD3" w:rsidP="00485AD3">
      <w:pPr>
        <w:pStyle w:val="CM5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D903D6">
        <w:rPr>
          <w:rFonts w:ascii="Times New Roman" w:hAnsi="Times New Roman"/>
          <w:sz w:val="22"/>
          <w:szCs w:val="22"/>
          <w:lang w:val="sk-SK"/>
        </w:rPr>
        <w:t xml:space="preserve">Pacienti a/alebo ošetrovatelia musia byť informovaní o riziku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laktátovej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acidózy.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Laktátová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acidóza je charakterizovaná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acidotickým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dyspnoe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, bolesťou brucha, svalovými kŕčmi, asténiou a hypotermiou, po ktorých nasleduje kóma. V prípade podozrenia na výskyt príznakov musí pacient prestať užívať 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metformín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 a vyhľadať okamžité lekárske ošetrenie. Diagnostickými laboratórnymi nálezmi sú znížená hodnota pH krvi (&lt; 7,35), zvýšené plazmatické hladiny laktátu (&gt;5 mmol/l) a zvýšená aniónová medzera a pomer laktátu/</w:t>
      </w:r>
      <w:proofErr w:type="spellStart"/>
      <w:r w:rsidRPr="00D903D6">
        <w:rPr>
          <w:rFonts w:ascii="Times New Roman" w:hAnsi="Times New Roman"/>
          <w:sz w:val="22"/>
          <w:szCs w:val="22"/>
          <w:lang w:val="sk-SK"/>
        </w:rPr>
        <w:t>pyruvátu</w:t>
      </w:r>
      <w:proofErr w:type="spellEnd"/>
      <w:r w:rsidRPr="00D903D6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1B64BDDC" w14:textId="77777777" w:rsidR="004C425E" w:rsidRPr="00956FD0" w:rsidRDefault="004C425E" w:rsidP="00194170">
      <w:pPr>
        <w:rPr>
          <w:sz w:val="22"/>
          <w:szCs w:val="20"/>
          <w:lang w:val="sk-SK"/>
        </w:rPr>
      </w:pPr>
    </w:p>
    <w:p w14:paraId="02D466FC" w14:textId="14742574" w:rsidR="008A27CD" w:rsidRPr="00956FD0" w:rsidRDefault="008A27CD" w:rsidP="00455F29">
      <w:pPr>
        <w:outlineLvl w:val="0"/>
        <w:rPr>
          <w:sz w:val="22"/>
          <w:szCs w:val="20"/>
          <w:u w:val="single"/>
          <w:lang w:val="sk-SK"/>
        </w:rPr>
      </w:pPr>
      <w:r w:rsidRPr="00956FD0">
        <w:rPr>
          <w:sz w:val="22"/>
          <w:szCs w:val="20"/>
          <w:u w:val="single"/>
          <w:lang w:val="sk-SK"/>
        </w:rPr>
        <w:t>Funkcia obličiek</w:t>
      </w:r>
    </w:p>
    <w:p w14:paraId="1B2AB3D9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GFR je potrebné vyhodnotiť pred začiatkom liečby a pravidelne po ňom, pozri časť 4.2. </w:t>
      </w:r>
      <w:proofErr w:type="spellStart"/>
      <w:r w:rsidRPr="00956FD0">
        <w:rPr>
          <w:sz w:val="22"/>
          <w:szCs w:val="22"/>
          <w:lang w:val="sk-SK"/>
        </w:rPr>
        <w:t>Metformín</w:t>
      </w:r>
      <w:proofErr w:type="spellEnd"/>
      <w:r w:rsidRPr="00956FD0">
        <w:rPr>
          <w:sz w:val="22"/>
          <w:szCs w:val="22"/>
          <w:lang w:val="sk-SK"/>
        </w:rPr>
        <w:t xml:space="preserve"> je</w:t>
      </w:r>
    </w:p>
    <w:p w14:paraId="50425AE1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>kontraindikovaný u pacientov s GFR &lt; 30 ml/min a v prípade výskytu stavov, pri ktorých dochádza k</w:t>
      </w:r>
    </w:p>
    <w:p w14:paraId="1CA55BC8" w14:textId="77777777" w:rsidR="002341CC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>zmene funkcie obličiek, je potrebné ho dočasne prestať podávať, pozri časť 4.3.</w:t>
      </w:r>
    </w:p>
    <w:p w14:paraId="0EBECCAB" w14:textId="77777777" w:rsidR="00AE6937" w:rsidRDefault="00AE6937" w:rsidP="002341CC">
      <w:pPr>
        <w:adjustRightInd w:val="0"/>
        <w:rPr>
          <w:sz w:val="22"/>
          <w:szCs w:val="22"/>
          <w:lang w:val="sk-SK"/>
        </w:rPr>
      </w:pPr>
    </w:p>
    <w:p w14:paraId="48BE7AC3" w14:textId="77777777" w:rsidR="00AE6937" w:rsidRPr="00757A94" w:rsidRDefault="00AE6937" w:rsidP="00AE6937">
      <w:pPr>
        <w:rPr>
          <w:sz w:val="22"/>
          <w:szCs w:val="22"/>
          <w:u w:val="single"/>
          <w:lang w:val="sk-SK"/>
        </w:rPr>
      </w:pPr>
      <w:r w:rsidRPr="00757A94">
        <w:rPr>
          <w:sz w:val="22"/>
          <w:szCs w:val="22"/>
          <w:u w:val="single"/>
          <w:lang w:val="sk-SK"/>
        </w:rPr>
        <w:t>Funkcie srdca</w:t>
      </w:r>
    </w:p>
    <w:p w14:paraId="4E785EFC" w14:textId="77777777" w:rsidR="00AE6937" w:rsidRPr="00757A94" w:rsidRDefault="00AE6937" w:rsidP="00AE6937">
      <w:pPr>
        <w:rPr>
          <w:sz w:val="22"/>
          <w:szCs w:val="22"/>
          <w:lang w:val="sk-SK"/>
        </w:rPr>
      </w:pPr>
      <w:r w:rsidRPr="00757A94">
        <w:rPr>
          <w:sz w:val="22"/>
          <w:szCs w:val="22"/>
          <w:lang w:val="sk-SK"/>
        </w:rPr>
        <w:t>U pacientov so srdcovým zlyh</w:t>
      </w:r>
      <w:r>
        <w:rPr>
          <w:sz w:val="22"/>
          <w:szCs w:val="22"/>
          <w:lang w:val="sk-SK"/>
        </w:rPr>
        <w:t>áv</w:t>
      </w:r>
      <w:r w:rsidRPr="00757A94">
        <w:rPr>
          <w:sz w:val="22"/>
          <w:szCs w:val="22"/>
          <w:lang w:val="sk-SK"/>
        </w:rPr>
        <w:t xml:space="preserve">aním je väčšie riziko </w:t>
      </w:r>
      <w:proofErr w:type="spellStart"/>
      <w:r w:rsidRPr="00757A94">
        <w:rPr>
          <w:sz w:val="22"/>
          <w:szCs w:val="22"/>
          <w:lang w:val="sk-SK"/>
        </w:rPr>
        <w:t>hypoxie</w:t>
      </w:r>
      <w:proofErr w:type="spellEnd"/>
      <w:r w:rsidRPr="00757A94">
        <w:rPr>
          <w:sz w:val="22"/>
          <w:szCs w:val="22"/>
          <w:lang w:val="sk-SK"/>
        </w:rPr>
        <w:t xml:space="preserve"> a </w:t>
      </w:r>
      <w:proofErr w:type="spellStart"/>
      <w:r w:rsidRPr="00757A94">
        <w:rPr>
          <w:sz w:val="22"/>
          <w:szCs w:val="22"/>
          <w:lang w:val="sk-SK"/>
        </w:rPr>
        <w:t>renálnej</w:t>
      </w:r>
      <w:proofErr w:type="spellEnd"/>
      <w:r w:rsidRPr="00757A94">
        <w:rPr>
          <w:sz w:val="22"/>
          <w:szCs w:val="22"/>
          <w:lang w:val="sk-SK"/>
        </w:rPr>
        <w:t xml:space="preserve"> </w:t>
      </w:r>
      <w:proofErr w:type="spellStart"/>
      <w:r w:rsidRPr="00757A94">
        <w:rPr>
          <w:sz w:val="22"/>
          <w:szCs w:val="22"/>
          <w:lang w:val="sk-SK"/>
        </w:rPr>
        <w:t>insuficiencie</w:t>
      </w:r>
      <w:proofErr w:type="spellEnd"/>
      <w:r w:rsidRPr="00757A94">
        <w:rPr>
          <w:sz w:val="22"/>
          <w:szCs w:val="22"/>
          <w:lang w:val="sk-SK"/>
        </w:rPr>
        <w:t>. Pacienti so stabilným chronickým srdcovým zlyh</w:t>
      </w:r>
      <w:r>
        <w:rPr>
          <w:sz w:val="22"/>
          <w:szCs w:val="22"/>
          <w:lang w:val="sk-SK"/>
        </w:rPr>
        <w:t>áv</w:t>
      </w:r>
      <w:r w:rsidRPr="00757A94">
        <w:rPr>
          <w:sz w:val="22"/>
          <w:szCs w:val="22"/>
          <w:lang w:val="sk-SK"/>
        </w:rPr>
        <w:t xml:space="preserve">aním môžu užívať </w:t>
      </w:r>
      <w:proofErr w:type="spellStart"/>
      <w:r w:rsidRPr="00757A94">
        <w:rPr>
          <w:sz w:val="22"/>
          <w:szCs w:val="22"/>
          <w:lang w:val="sk-SK"/>
        </w:rPr>
        <w:t>metformín</w:t>
      </w:r>
      <w:proofErr w:type="spellEnd"/>
      <w:r w:rsidRPr="00757A94">
        <w:rPr>
          <w:sz w:val="22"/>
          <w:szCs w:val="22"/>
          <w:lang w:val="sk-SK"/>
        </w:rPr>
        <w:t xml:space="preserve"> iba vtedy, ak sa pravidelne monitorujú ich srdcové a </w:t>
      </w:r>
      <w:proofErr w:type="spellStart"/>
      <w:r w:rsidRPr="00757A94">
        <w:rPr>
          <w:sz w:val="22"/>
          <w:szCs w:val="22"/>
          <w:lang w:val="sk-SK"/>
        </w:rPr>
        <w:t>renálne</w:t>
      </w:r>
      <w:proofErr w:type="spellEnd"/>
      <w:r w:rsidRPr="00757A94">
        <w:rPr>
          <w:sz w:val="22"/>
          <w:szCs w:val="22"/>
          <w:lang w:val="sk-SK"/>
        </w:rPr>
        <w:t xml:space="preserve"> funkcie. </w:t>
      </w:r>
    </w:p>
    <w:p w14:paraId="7AE0C2B5" w14:textId="77777777" w:rsidR="00AE6937" w:rsidRPr="00757A94" w:rsidRDefault="00AE6937" w:rsidP="00AE6937">
      <w:pPr>
        <w:rPr>
          <w:sz w:val="22"/>
          <w:szCs w:val="22"/>
          <w:lang w:val="sk-SK"/>
        </w:rPr>
      </w:pPr>
    </w:p>
    <w:p w14:paraId="1B9A9FCE" w14:textId="77777777" w:rsidR="00AE6937" w:rsidRPr="00956FD0" w:rsidRDefault="00AE6937" w:rsidP="00F25E58">
      <w:pPr>
        <w:rPr>
          <w:sz w:val="22"/>
          <w:szCs w:val="22"/>
          <w:lang w:val="sk-SK"/>
        </w:rPr>
      </w:pPr>
      <w:r w:rsidRPr="00757A94">
        <w:rPr>
          <w:sz w:val="22"/>
          <w:szCs w:val="22"/>
          <w:lang w:val="sk-SK"/>
        </w:rPr>
        <w:t>U pacientov s akútnym a nestabilným srdcovým zlyh</w:t>
      </w:r>
      <w:r>
        <w:rPr>
          <w:sz w:val="22"/>
          <w:szCs w:val="22"/>
          <w:lang w:val="sk-SK"/>
        </w:rPr>
        <w:t>áv</w:t>
      </w:r>
      <w:r w:rsidRPr="00757A94">
        <w:rPr>
          <w:sz w:val="22"/>
          <w:szCs w:val="22"/>
          <w:lang w:val="sk-SK"/>
        </w:rPr>
        <w:t xml:space="preserve">aním je </w:t>
      </w:r>
      <w:proofErr w:type="spellStart"/>
      <w:r w:rsidRPr="00757A94">
        <w:rPr>
          <w:sz w:val="22"/>
          <w:szCs w:val="22"/>
          <w:lang w:val="sk-SK"/>
        </w:rPr>
        <w:t>metformím</w:t>
      </w:r>
      <w:proofErr w:type="spellEnd"/>
      <w:r w:rsidRPr="00757A94">
        <w:rPr>
          <w:sz w:val="22"/>
          <w:szCs w:val="22"/>
          <w:lang w:val="sk-SK"/>
        </w:rPr>
        <w:t xml:space="preserve"> kontraindikovaný (pozri časť 4.3).</w:t>
      </w:r>
    </w:p>
    <w:p w14:paraId="15F153AB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66237294" w14:textId="46CD971A" w:rsidR="008A27CD" w:rsidRPr="00956FD0" w:rsidRDefault="008A27CD" w:rsidP="00455F29">
      <w:pPr>
        <w:outlineLvl w:val="0"/>
        <w:rPr>
          <w:sz w:val="22"/>
          <w:szCs w:val="20"/>
          <w:u w:val="single"/>
          <w:lang w:val="sk-SK"/>
        </w:rPr>
      </w:pPr>
      <w:r w:rsidRPr="00956FD0">
        <w:rPr>
          <w:sz w:val="22"/>
          <w:szCs w:val="20"/>
          <w:u w:val="single"/>
          <w:lang w:val="sk-SK"/>
        </w:rPr>
        <w:t>Podávanie jódových kontrastných látok</w:t>
      </w:r>
    </w:p>
    <w:p w14:paraId="78EF7F17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proofErr w:type="spellStart"/>
      <w:r w:rsidRPr="00956FD0">
        <w:rPr>
          <w:sz w:val="22"/>
          <w:szCs w:val="22"/>
          <w:lang w:val="sk-SK"/>
        </w:rPr>
        <w:t>Intravaskulárne</w:t>
      </w:r>
      <w:proofErr w:type="spellEnd"/>
      <w:r w:rsidRPr="00956FD0">
        <w:rPr>
          <w:sz w:val="22"/>
          <w:szCs w:val="22"/>
          <w:lang w:val="sk-SK"/>
        </w:rPr>
        <w:t xml:space="preserve"> podávanie jódových kontrastných látok môže viesť k </w:t>
      </w:r>
      <w:proofErr w:type="spellStart"/>
      <w:r w:rsidRPr="00956FD0">
        <w:rPr>
          <w:sz w:val="22"/>
          <w:szCs w:val="22"/>
          <w:lang w:val="sk-SK"/>
        </w:rPr>
        <w:t>nefropatii</w:t>
      </w:r>
      <w:proofErr w:type="spellEnd"/>
      <w:r w:rsidRPr="00956FD0">
        <w:rPr>
          <w:sz w:val="22"/>
          <w:szCs w:val="22"/>
          <w:lang w:val="sk-SK"/>
        </w:rPr>
        <w:t xml:space="preserve"> vyvolanej kontrastnou</w:t>
      </w:r>
    </w:p>
    <w:p w14:paraId="16EB81B4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látkou, čo spôsobuje akumuláciu </w:t>
      </w:r>
      <w:proofErr w:type="spellStart"/>
      <w:r w:rsidRPr="00956FD0">
        <w:rPr>
          <w:sz w:val="22"/>
          <w:szCs w:val="22"/>
          <w:lang w:val="sk-SK"/>
        </w:rPr>
        <w:t>metformínu</w:t>
      </w:r>
      <w:proofErr w:type="spellEnd"/>
      <w:r w:rsidRPr="00956FD0">
        <w:rPr>
          <w:sz w:val="22"/>
          <w:szCs w:val="22"/>
          <w:lang w:val="sk-SK"/>
        </w:rPr>
        <w:t xml:space="preserve"> a zvýšené riziko </w:t>
      </w:r>
      <w:proofErr w:type="spellStart"/>
      <w:r w:rsidRPr="00956FD0">
        <w:rPr>
          <w:sz w:val="22"/>
          <w:szCs w:val="22"/>
          <w:lang w:val="sk-SK"/>
        </w:rPr>
        <w:t>laktátovej</w:t>
      </w:r>
      <w:proofErr w:type="spellEnd"/>
      <w:r w:rsidRPr="00956FD0">
        <w:rPr>
          <w:sz w:val="22"/>
          <w:szCs w:val="22"/>
          <w:lang w:val="sk-SK"/>
        </w:rPr>
        <w:t xml:space="preserve"> acidózy. Pred alebo v čase</w:t>
      </w:r>
    </w:p>
    <w:p w14:paraId="63DBA30A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postupu zobrazovania je potrebné prerušiť podávanie </w:t>
      </w:r>
      <w:proofErr w:type="spellStart"/>
      <w:r w:rsidRPr="00956FD0">
        <w:rPr>
          <w:sz w:val="22"/>
          <w:szCs w:val="22"/>
          <w:lang w:val="sk-SK"/>
        </w:rPr>
        <w:t>metformínu</w:t>
      </w:r>
      <w:proofErr w:type="spellEnd"/>
      <w:r w:rsidRPr="00956FD0">
        <w:rPr>
          <w:sz w:val="22"/>
          <w:szCs w:val="22"/>
          <w:lang w:val="sk-SK"/>
        </w:rPr>
        <w:t xml:space="preserve"> a v podávaní pokračujte nie skôr ako</w:t>
      </w:r>
    </w:p>
    <w:p w14:paraId="7C0AAFDD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>po uplynutí minimálne 48 hodín, za predpokladu, že funkcia obličiek bola opätovne posúdená a</w:t>
      </w:r>
    </w:p>
    <w:p w14:paraId="4109AD71" w14:textId="77777777" w:rsidR="008A27CD" w:rsidRPr="00956FD0" w:rsidRDefault="002341CC" w:rsidP="002341CC">
      <w:pPr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>považovaná za stabilnú, pozri časti 4.2 a 4.5.</w:t>
      </w:r>
    </w:p>
    <w:p w14:paraId="2B4FA124" w14:textId="77777777" w:rsidR="002341CC" w:rsidRPr="00956FD0" w:rsidRDefault="002341CC" w:rsidP="002341CC">
      <w:pPr>
        <w:rPr>
          <w:sz w:val="22"/>
          <w:szCs w:val="20"/>
          <w:lang w:val="sk-SK"/>
        </w:rPr>
      </w:pPr>
    </w:p>
    <w:p w14:paraId="28E5BACC" w14:textId="582A909E" w:rsidR="008A27CD" w:rsidRPr="00956FD0" w:rsidRDefault="008A27CD" w:rsidP="00455F29">
      <w:pPr>
        <w:outlineLvl w:val="0"/>
        <w:rPr>
          <w:sz w:val="22"/>
          <w:szCs w:val="20"/>
          <w:u w:val="single"/>
          <w:lang w:val="sk-SK"/>
        </w:rPr>
      </w:pPr>
      <w:r w:rsidRPr="00956FD0">
        <w:rPr>
          <w:sz w:val="22"/>
          <w:szCs w:val="20"/>
          <w:u w:val="single"/>
          <w:lang w:val="sk-SK"/>
        </w:rPr>
        <w:lastRenderedPageBreak/>
        <w:t>Chirurgick</w:t>
      </w:r>
      <w:r w:rsidR="006740D0" w:rsidRPr="00956FD0">
        <w:rPr>
          <w:sz w:val="22"/>
          <w:szCs w:val="20"/>
          <w:u w:val="single"/>
          <w:lang w:val="sk-SK"/>
        </w:rPr>
        <w:t>ý výkon</w:t>
      </w:r>
    </w:p>
    <w:p w14:paraId="103BD9FC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proofErr w:type="spellStart"/>
      <w:r w:rsidRPr="00956FD0">
        <w:rPr>
          <w:sz w:val="22"/>
          <w:szCs w:val="22"/>
          <w:lang w:val="sk-SK"/>
        </w:rPr>
        <w:t>Metformín</w:t>
      </w:r>
      <w:proofErr w:type="spellEnd"/>
      <w:r w:rsidRPr="00956FD0">
        <w:rPr>
          <w:sz w:val="22"/>
          <w:szCs w:val="22"/>
          <w:lang w:val="sk-SK"/>
        </w:rPr>
        <w:t xml:space="preserve"> sa musí vysadiť v čase chirurgického zákroku s celkovou, spinálnou alebo </w:t>
      </w:r>
      <w:proofErr w:type="spellStart"/>
      <w:r w:rsidRPr="00956FD0">
        <w:rPr>
          <w:sz w:val="22"/>
          <w:szCs w:val="22"/>
          <w:lang w:val="sk-SK"/>
        </w:rPr>
        <w:t>epidurálnou</w:t>
      </w:r>
      <w:proofErr w:type="spellEnd"/>
    </w:p>
    <w:p w14:paraId="63266306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>anestéziou. Liečba sa nesmie opätovne nasadiť skôr ako 48 hodín po chirurgickom zákroku alebo po</w:t>
      </w:r>
    </w:p>
    <w:p w14:paraId="52B1CC26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>obnovení perorálnej výživy a za predpoklad</w:t>
      </w:r>
      <w:r w:rsidR="00455C76" w:rsidRPr="00956FD0">
        <w:rPr>
          <w:sz w:val="22"/>
          <w:szCs w:val="22"/>
          <w:lang w:val="sk-SK"/>
        </w:rPr>
        <w:t>u</w:t>
      </w:r>
      <w:r w:rsidRPr="00956FD0">
        <w:rPr>
          <w:sz w:val="22"/>
          <w:szCs w:val="22"/>
          <w:lang w:val="sk-SK"/>
        </w:rPr>
        <w:t>, že došlo k opätovnému vyhodnoteniu funkcie obličiek a</w:t>
      </w:r>
    </w:p>
    <w:p w14:paraId="09F1A806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>pri zistení, že je stabilná.</w:t>
      </w:r>
    </w:p>
    <w:p w14:paraId="16C795F8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01D10FE2" w14:textId="73FAE4DF" w:rsidR="006740D0" w:rsidRPr="00F25E58" w:rsidRDefault="00F4424C" w:rsidP="006740D0">
      <w:pPr>
        <w:rPr>
          <w:bCs/>
          <w:iCs/>
          <w:sz w:val="22"/>
          <w:szCs w:val="22"/>
          <w:u w:val="single"/>
          <w:lang w:val="sk-SK"/>
        </w:rPr>
      </w:pPr>
      <w:r w:rsidRPr="00F25E58">
        <w:rPr>
          <w:bCs/>
          <w:iCs/>
          <w:sz w:val="22"/>
          <w:szCs w:val="22"/>
          <w:u w:val="single"/>
          <w:lang w:val="sk-SK"/>
        </w:rPr>
        <w:t>Pediatrická populácia</w:t>
      </w:r>
    </w:p>
    <w:p w14:paraId="4C5AFAD6" w14:textId="77777777" w:rsidR="006740D0" w:rsidRPr="00956FD0" w:rsidRDefault="006740D0" w:rsidP="006740D0">
      <w:pPr>
        <w:rPr>
          <w:i/>
          <w:sz w:val="22"/>
          <w:szCs w:val="22"/>
          <w:lang w:val="sk-SK"/>
        </w:rPr>
      </w:pPr>
    </w:p>
    <w:p w14:paraId="5955C440" w14:textId="7B2B394B" w:rsidR="006740D0" w:rsidRPr="00956FD0" w:rsidRDefault="006740D0" w:rsidP="006740D0">
      <w:pPr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Diagnóza diabetes mellitus 2. typu musí byť potvrdená skôr, ako sa začne liečba </w:t>
      </w:r>
      <w:proofErr w:type="spellStart"/>
      <w:r w:rsidRPr="00956FD0">
        <w:rPr>
          <w:sz w:val="22"/>
          <w:szCs w:val="22"/>
          <w:lang w:val="sk-SK"/>
        </w:rPr>
        <w:t>metformínom</w:t>
      </w:r>
      <w:proofErr w:type="spellEnd"/>
      <w:r w:rsidRPr="00956FD0">
        <w:rPr>
          <w:sz w:val="22"/>
          <w:szCs w:val="22"/>
          <w:lang w:val="sk-SK"/>
        </w:rPr>
        <w:t xml:space="preserve">. </w:t>
      </w:r>
    </w:p>
    <w:p w14:paraId="4A56BA4B" w14:textId="77777777" w:rsidR="006740D0" w:rsidRPr="00956FD0" w:rsidRDefault="006740D0" w:rsidP="006740D0">
      <w:pPr>
        <w:rPr>
          <w:sz w:val="22"/>
          <w:szCs w:val="22"/>
          <w:lang w:val="sk-SK"/>
        </w:rPr>
      </w:pPr>
    </w:p>
    <w:p w14:paraId="7C35B06D" w14:textId="2DC31CC5" w:rsidR="006740D0" w:rsidRPr="00956FD0" w:rsidRDefault="006740D0" w:rsidP="006740D0">
      <w:pPr>
        <w:pStyle w:val="SPCnormal"/>
        <w:rPr>
          <w:szCs w:val="22"/>
          <w:lang w:val="sk-SK" w:eastAsia="cs-CZ"/>
        </w:rPr>
      </w:pPr>
      <w:r w:rsidRPr="00956FD0">
        <w:rPr>
          <w:szCs w:val="22"/>
          <w:lang w:val="sk-SK" w:eastAsia="cs-CZ"/>
        </w:rPr>
        <w:t xml:space="preserve">Počas kontrolovaných klinických štúdií trvajúcich jeden rok sa nezistil žiaden vplyv </w:t>
      </w:r>
      <w:proofErr w:type="spellStart"/>
      <w:r w:rsidRPr="00956FD0">
        <w:rPr>
          <w:szCs w:val="22"/>
          <w:lang w:val="sk-SK" w:eastAsia="cs-CZ"/>
        </w:rPr>
        <w:t>metformínu</w:t>
      </w:r>
      <w:proofErr w:type="spellEnd"/>
      <w:r w:rsidRPr="00956FD0">
        <w:rPr>
          <w:szCs w:val="22"/>
          <w:lang w:val="sk-SK" w:eastAsia="cs-CZ"/>
        </w:rPr>
        <w:t xml:space="preserve"> na rast a pubertu, ale nie sú k dispozícii žiadne dlhodobé údaje o týchto špecifických ukazovateľoch. Z tohto dôvodu sa u detí liečených </w:t>
      </w:r>
      <w:proofErr w:type="spellStart"/>
      <w:r w:rsidRPr="00956FD0">
        <w:rPr>
          <w:szCs w:val="22"/>
          <w:lang w:val="sk-SK" w:eastAsia="cs-CZ"/>
        </w:rPr>
        <w:t>metformínom</w:t>
      </w:r>
      <w:proofErr w:type="spellEnd"/>
      <w:r w:rsidRPr="00956FD0">
        <w:rPr>
          <w:szCs w:val="22"/>
          <w:lang w:val="sk-SK" w:eastAsia="cs-CZ"/>
        </w:rPr>
        <w:t xml:space="preserve">, najmä u predpubertálnych detí, odporúča pozorné sledovanie vplyvu </w:t>
      </w:r>
      <w:proofErr w:type="spellStart"/>
      <w:r w:rsidRPr="00956FD0">
        <w:rPr>
          <w:szCs w:val="22"/>
          <w:lang w:val="sk-SK" w:eastAsia="cs-CZ"/>
        </w:rPr>
        <w:t>metformínu</w:t>
      </w:r>
      <w:proofErr w:type="spellEnd"/>
      <w:r w:rsidRPr="00956FD0">
        <w:rPr>
          <w:szCs w:val="22"/>
          <w:lang w:val="sk-SK" w:eastAsia="cs-CZ"/>
        </w:rPr>
        <w:t xml:space="preserve"> na tieto parametre.</w:t>
      </w:r>
    </w:p>
    <w:p w14:paraId="32BE35FE" w14:textId="77777777" w:rsidR="006740D0" w:rsidRPr="00956FD0" w:rsidRDefault="006740D0" w:rsidP="006740D0">
      <w:pPr>
        <w:rPr>
          <w:sz w:val="22"/>
          <w:szCs w:val="22"/>
          <w:u w:val="single"/>
          <w:lang w:val="sk-SK"/>
        </w:rPr>
      </w:pPr>
    </w:p>
    <w:p w14:paraId="462A166F" w14:textId="31338F87" w:rsidR="006740D0" w:rsidRPr="00956FD0" w:rsidRDefault="006740D0" w:rsidP="006740D0">
      <w:pPr>
        <w:rPr>
          <w:bCs/>
          <w:i/>
          <w:sz w:val="22"/>
          <w:szCs w:val="22"/>
          <w:lang w:val="sk-SK"/>
        </w:rPr>
      </w:pPr>
      <w:r w:rsidRPr="00956FD0">
        <w:rPr>
          <w:bCs/>
          <w:i/>
          <w:sz w:val="22"/>
          <w:szCs w:val="22"/>
          <w:lang w:val="sk-SK"/>
        </w:rPr>
        <w:t>Deti vo veku 10 až 12 rokov</w:t>
      </w:r>
    </w:p>
    <w:p w14:paraId="57AB6CE6" w14:textId="77777777" w:rsidR="006740D0" w:rsidRPr="00956FD0" w:rsidRDefault="006740D0" w:rsidP="006740D0">
      <w:pPr>
        <w:rPr>
          <w:sz w:val="22"/>
          <w:szCs w:val="22"/>
          <w:lang w:val="sk-SK"/>
        </w:rPr>
      </w:pPr>
    </w:p>
    <w:p w14:paraId="667DA5D1" w14:textId="2215FF58" w:rsidR="006740D0" w:rsidRPr="00956FD0" w:rsidRDefault="006740D0" w:rsidP="006740D0">
      <w:pPr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Iba 15 detí vo veku 10 až 12 rokov bolo zahrnutých do kontrolovaných klinických štúdií s deťmi a dospievajúcimi. Špeciálna pozornosť sa má venovať predpisovaniu deťom vo veku od 10 do 12 rokov, hoci účinnosť a bezpečnosť </w:t>
      </w:r>
      <w:proofErr w:type="spellStart"/>
      <w:r w:rsidRPr="00956FD0">
        <w:rPr>
          <w:sz w:val="22"/>
          <w:szCs w:val="22"/>
          <w:lang w:val="sk-SK"/>
        </w:rPr>
        <w:t>metformínu</w:t>
      </w:r>
      <w:proofErr w:type="spellEnd"/>
      <w:r w:rsidRPr="00956FD0">
        <w:rPr>
          <w:sz w:val="22"/>
          <w:szCs w:val="22"/>
          <w:lang w:val="sk-SK"/>
        </w:rPr>
        <w:t xml:space="preserve"> sa u týchto detí nelíšila od účinnosti a bezpečnosti u starších detí a dospievajúcich.</w:t>
      </w:r>
    </w:p>
    <w:p w14:paraId="7D4F4333" w14:textId="77777777" w:rsidR="006740D0" w:rsidRPr="00956FD0" w:rsidRDefault="006740D0" w:rsidP="006740D0">
      <w:pPr>
        <w:rPr>
          <w:sz w:val="22"/>
          <w:szCs w:val="22"/>
          <w:lang w:val="sk-SK"/>
        </w:rPr>
      </w:pPr>
    </w:p>
    <w:p w14:paraId="64D1FA87" w14:textId="40F18984" w:rsidR="006740D0" w:rsidRPr="00956FD0" w:rsidRDefault="006740D0" w:rsidP="006740D0">
      <w:pPr>
        <w:rPr>
          <w:bCs/>
          <w:sz w:val="22"/>
          <w:szCs w:val="22"/>
          <w:u w:val="single"/>
          <w:lang w:val="sk-SK"/>
        </w:rPr>
      </w:pPr>
      <w:r w:rsidRPr="00956FD0">
        <w:rPr>
          <w:bCs/>
          <w:sz w:val="22"/>
          <w:szCs w:val="22"/>
          <w:u w:val="single"/>
          <w:lang w:val="sk-SK"/>
        </w:rPr>
        <w:t>Ďalšie upozornenia</w:t>
      </w:r>
    </w:p>
    <w:p w14:paraId="668508BF" w14:textId="77777777" w:rsidR="006740D0" w:rsidRPr="00956FD0" w:rsidRDefault="006740D0" w:rsidP="006740D0">
      <w:pPr>
        <w:autoSpaceDE/>
        <w:autoSpaceDN/>
        <w:rPr>
          <w:bCs/>
          <w:sz w:val="22"/>
          <w:szCs w:val="22"/>
          <w:lang w:val="sk-SK"/>
        </w:rPr>
      </w:pPr>
    </w:p>
    <w:p w14:paraId="18AD8352" w14:textId="77777777" w:rsidR="006740D0" w:rsidRPr="00956FD0" w:rsidRDefault="006740D0" w:rsidP="00625F44">
      <w:pPr>
        <w:tabs>
          <w:tab w:val="left" w:pos="0"/>
        </w:tabs>
        <w:autoSpaceDE/>
        <w:autoSpaceDN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Všetci pacienti majú naďalej pokračovať v diéte s rovnomerne rozloženým prísunom sacharidov počas dňa. Pacienti s nadváhou majú pokračovať v redukčnej diéte. </w:t>
      </w:r>
    </w:p>
    <w:p w14:paraId="5393A4E6" w14:textId="77777777" w:rsidR="006740D0" w:rsidRPr="00956FD0" w:rsidRDefault="006740D0" w:rsidP="006740D0">
      <w:pPr>
        <w:tabs>
          <w:tab w:val="left" w:pos="0"/>
        </w:tabs>
        <w:autoSpaceDE/>
        <w:autoSpaceDN/>
        <w:rPr>
          <w:sz w:val="22"/>
          <w:szCs w:val="22"/>
          <w:lang w:val="sk-SK"/>
        </w:rPr>
      </w:pPr>
    </w:p>
    <w:p w14:paraId="6229E9AA" w14:textId="560E3BE6" w:rsidR="006740D0" w:rsidRDefault="006740D0" w:rsidP="006740D0">
      <w:pPr>
        <w:tabs>
          <w:tab w:val="left" w:pos="0"/>
        </w:tabs>
        <w:autoSpaceDE/>
        <w:autoSpaceDN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Zvyčajné laboratórne </w:t>
      </w:r>
      <w:r w:rsidR="00206507">
        <w:rPr>
          <w:sz w:val="22"/>
          <w:szCs w:val="22"/>
          <w:lang w:val="sk-SK"/>
        </w:rPr>
        <w:t>vyšetrenia</w:t>
      </w:r>
      <w:r w:rsidRPr="00956FD0">
        <w:rPr>
          <w:sz w:val="22"/>
          <w:szCs w:val="22"/>
          <w:lang w:val="sk-SK"/>
        </w:rPr>
        <w:t xml:space="preserve"> na sledovanie cukrovky sa majú vykonávať pravidelne.</w:t>
      </w:r>
    </w:p>
    <w:p w14:paraId="1E82EFB7" w14:textId="77777777" w:rsidR="00AB2E12" w:rsidRDefault="00AB2E12" w:rsidP="006740D0">
      <w:pPr>
        <w:tabs>
          <w:tab w:val="left" w:pos="0"/>
        </w:tabs>
        <w:autoSpaceDE/>
        <w:autoSpaceDN/>
        <w:rPr>
          <w:sz w:val="22"/>
          <w:szCs w:val="22"/>
          <w:lang w:val="sk-SK"/>
        </w:rPr>
      </w:pPr>
    </w:p>
    <w:p w14:paraId="10791299" w14:textId="77777777" w:rsidR="00206507" w:rsidRPr="00F25E58" w:rsidRDefault="00206507" w:rsidP="00206507">
      <w:pPr>
        <w:rPr>
          <w:sz w:val="22"/>
          <w:szCs w:val="22"/>
          <w:lang w:val="sk-SK"/>
        </w:rPr>
      </w:pPr>
      <w:proofErr w:type="spellStart"/>
      <w:r w:rsidRPr="00F25E58">
        <w:rPr>
          <w:sz w:val="22"/>
          <w:szCs w:val="22"/>
          <w:lang w:val="sk-SK"/>
        </w:rPr>
        <w:t>Metformín</w:t>
      </w:r>
      <w:proofErr w:type="spellEnd"/>
      <w:r w:rsidRPr="00F25E58">
        <w:rPr>
          <w:sz w:val="22"/>
          <w:szCs w:val="22"/>
          <w:lang w:val="sk-SK"/>
        </w:rPr>
        <w:t xml:space="preserve"> môže znižovať sérové hladiny vitamínu B</w:t>
      </w:r>
      <w:r w:rsidRPr="00F25E58">
        <w:rPr>
          <w:sz w:val="22"/>
          <w:szCs w:val="22"/>
          <w:vertAlign w:val="subscript"/>
          <w:lang w:val="sk-SK"/>
        </w:rPr>
        <w:t>12</w:t>
      </w:r>
      <w:r w:rsidRPr="00F25E58">
        <w:rPr>
          <w:sz w:val="22"/>
          <w:szCs w:val="22"/>
          <w:lang w:val="sk-SK"/>
        </w:rPr>
        <w:t>. Riziko nízkych hladín vitamínu B</w:t>
      </w:r>
      <w:r w:rsidRPr="00F25E58">
        <w:rPr>
          <w:sz w:val="22"/>
          <w:szCs w:val="22"/>
          <w:vertAlign w:val="subscript"/>
          <w:lang w:val="sk-SK"/>
        </w:rPr>
        <w:t>12</w:t>
      </w:r>
      <w:r w:rsidRPr="00F25E58">
        <w:rPr>
          <w:sz w:val="22"/>
          <w:szCs w:val="22"/>
          <w:lang w:val="sk-SK"/>
        </w:rPr>
        <w:t xml:space="preserve"> sa zvyšuje so zvyšujúcou sa dávkou </w:t>
      </w:r>
      <w:proofErr w:type="spellStart"/>
      <w:r w:rsidRPr="00F25E58">
        <w:rPr>
          <w:sz w:val="22"/>
          <w:szCs w:val="22"/>
          <w:lang w:val="sk-SK"/>
        </w:rPr>
        <w:t>metformínu</w:t>
      </w:r>
      <w:proofErr w:type="spellEnd"/>
      <w:r w:rsidRPr="00F25E58">
        <w:rPr>
          <w:sz w:val="22"/>
          <w:szCs w:val="22"/>
          <w:lang w:val="sk-SK"/>
        </w:rPr>
        <w:t>, dobou liečby a/alebo u pacientov s rizikovými faktormi, kde je známe, že spôsobujú nedostatok vitamínu B</w:t>
      </w:r>
      <w:r w:rsidRPr="00F25E58">
        <w:rPr>
          <w:sz w:val="22"/>
          <w:szCs w:val="22"/>
          <w:vertAlign w:val="subscript"/>
          <w:lang w:val="sk-SK"/>
        </w:rPr>
        <w:t>12</w:t>
      </w:r>
      <w:r w:rsidRPr="00F25E58">
        <w:rPr>
          <w:sz w:val="22"/>
          <w:szCs w:val="22"/>
          <w:lang w:val="sk-SK"/>
        </w:rPr>
        <w:t>. V prípade podozrenia na nedostatok vitamínu B</w:t>
      </w:r>
      <w:r w:rsidRPr="00F25E58">
        <w:rPr>
          <w:sz w:val="22"/>
          <w:szCs w:val="22"/>
          <w:vertAlign w:val="subscript"/>
          <w:lang w:val="sk-SK"/>
        </w:rPr>
        <w:t>12</w:t>
      </w:r>
      <w:r w:rsidRPr="00F25E58">
        <w:rPr>
          <w:sz w:val="22"/>
          <w:szCs w:val="22"/>
          <w:lang w:val="sk-SK"/>
        </w:rPr>
        <w:t xml:space="preserve"> (ako je anémia alebo </w:t>
      </w:r>
      <w:proofErr w:type="spellStart"/>
      <w:r w:rsidRPr="00F25E58">
        <w:rPr>
          <w:sz w:val="22"/>
          <w:szCs w:val="22"/>
          <w:lang w:val="sk-SK"/>
        </w:rPr>
        <w:t>neuropatia</w:t>
      </w:r>
      <w:proofErr w:type="spellEnd"/>
      <w:r w:rsidRPr="00F25E58">
        <w:rPr>
          <w:sz w:val="22"/>
          <w:szCs w:val="22"/>
          <w:lang w:val="sk-SK"/>
        </w:rPr>
        <w:t>) je potrebné sledovať sérové hladiny vitamínu B</w:t>
      </w:r>
      <w:r w:rsidRPr="00F25E58">
        <w:rPr>
          <w:sz w:val="22"/>
          <w:szCs w:val="22"/>
          <w:vertAlign w:val="subscript"/>
          <w:lang w:val="sk-SK"/>
        </w:rPr>
        <w:t>12</w:t>
      </w:r>
      <w:r w:rsidRPr="00F25E58">
        <w:rPr>
          <w:sz w:val="22"/>
          <w:szCs w:val="22"/>
          <w:lang w:val="sk-SK"/>
        </w:rPr>
        <w:t>. U pacientov s rizikovými faktormi spôsobujúcimi nedostatok vitamínu B</w:t>
      </w:r>
      <w:r w:rsidRPr="00F25E58">
        <w:rPr>
          <w:sz w:val="22"/>
          <w:szCs w:val="22"/>
          <w:vertAlign w:val="subscript"/>
          <w:lang w:val="sk-SK"/>
        </w:rPr>
        <w:t>12</w:t>
      </w:r>
      <w:r w:rsidRPr="00F25E58">
        <w:rPr>
          <w:sz w:val="22"/>
          <w:szCs w:val="22"/>
          <w:lang w:val="sk-SK"/>
        </w:rPr>
        <w:t xml:space="preserve"> je nutné pravidelné sledovanie vitamínu B</w:t>
      </w:r>
      <w:r w:rsidRPr="00F25E58">
        <w:rPr>
          <w:sz w:val="22"/>
          <w:szCs w:val="22"/>
          <w:vertAlign w:val="subscript"/>
          <w:lang w:val="sk-SK"/>
        </w:rPr>
        <w:t>12</w:t>
      </w:r>
      <w:r w:rsidRPr="00F25E58">
        <w:rPr>
          <w:sz w:val="22"/>
          <w:szCs w:val="22"/>
          <w:lang w:val="sk-SK"/>
        </w:rPr>
        <w:t xml:space="preserve">. Liečba </w:t>
      </w:r>
      <w:proofErr w:type="spellStart"/>
      <w:r w:rsidRPr="00F25E58">
        <w:rPr>
          <w:sz w:val="22"/>
          <w:szCs w:val="22"/>
          <w:lang w:val="sk-SK"/>
        </w:rPr>
        <w:t>metformínom</w:t>
      </w:r>
      <w:proofErr w:type="spellEnd"/>
      <w:r w:rsidRPr="00F25E58">
        <w:rPr>
          <w:sz w:val="22"/>
          <w:szCs w:val="22"/>
          <w:lang w:val="sk-SK"/>
        </w:rPr>
        <w:t xml:space="preserve"> má pokračovať tak dlho, kým je tolerovaná a nie je kontraindikovaná, a má byť poskytnutá vhodná korekčná liečba nedostatku vitamínu B</w:t>
      </w:r>
      <w:r w:rsidRPr="00F25E58">
        <w:rPr>
          <w:sz w:val="22"/>
          <w:szCs w:val="22"/>
          <w:vertAlign w:val="subscript"/>
          <w:lang w:val="sk-SK"/>
        </w:rPr>
        <w:t>12</w:t>
      </w:r>
      <w:r w:rsidRPr="00F25E58">
        <w:rPr>
          <w:sz w:val="22"/>
          <w:szCs w:val="22"/>
          <w:lang w:val="sk-SK"/>
        </w:rPr>
        <w:t xml:space="preserve"> v súlade s aktuálnymi klinickými odporúčaniami.</w:t>
      </w:r>
    </w:p>
    <w:p w14:paraId="7CF5FDFD" w14:textId="77777777" w:rsidR="006740D0" w:rsidRPr="00206507" w:rsidRDefault="006740D0" w:rsidP="006740D0">
      <w:pPr>
        <w:tabs>
          <w:tab w:val="left" w:pos="0"/>
        </w:tabs>
        <w:autoSpaceDE/>
        <w:autoSpaceDN/>
        <w:rPr>
          <w:sz w:val="22"/>
          <w:szCs w:val="22"/>
          <w:lang w:val="sk-SK"/>
        </w:rPr>
      </w:pPr>
    </w:p>
    <w:p w14:paraId="041DCDF2" w14:textId="77777777" w:rsidR="006740D0" w:rsidRPr="00956FD0" w:rsidRDefault="006740D0" w:rsidP="00625F44">
      <w:pPr>
        <w:tabs>
          <w:tab w:val="left" w:pos="0"/>
        </w:tabs>
        <w:autoSpaceDE/>
        <w:autoSpaceDN/>
        <w:rPr>
          <w:sz w:val="22"/>
          <w:szCs w:val="22"/>
          <w:lang w:val="sk-SK"/>
        </w:rPr>
      </w:pPr>
      <w:proofErr w:type="spellStart"/>
      <w:r w:rsidRPr="00206507">
        <w:rPr>
          <w:sz w:val="22"/>
          <w:szCs w:val="22"/>
          <w:lang w:val="sk-SK"/>
        </w:rPr>
        <w:t>Metformín</w:t>
      </w:r>
      <w:proofErr w:type="spellEnd"/>
      <w:r w:rsidRPr="00206507">
        <w:rPr>
          <w:sz w:val="22"/>
          <w:szCs w:val="22"/>
          <w:lang w:val="sk-SK"/>
        </w:rPr>
        <w:t xml:space="preserve"> samotný</w:t>
      </w:r>
      <w:r w:rsidRPr="00956FD0">
        <w:rPr>
          <w:sz w:val="22"/>
          <w:szCs w:val="22"/>
          <w:lang w:val="sk-SK"/>
        </w:rPr>
        <w:t xml:space="preserve"> nespôsobuje hypoglykémiu, ale opatrnosť sa odporúča pri jeho používaní v kombinácii s inzulínom alebo inými perorálnymi </w:t>
      </w:r>
      <w:proofErr w:type="spellStart"/>
      <w:r w:rsidRPr="00956FD0">
        <w:rPr>
          <w:sz w:val="22"/>
          <w:szCs w:val="22"/>
          <w:lang w:val="sk-SK"/>
        </w:rPr>
        <w:t>antidiabetikami</w:t>
      </w:r>
      <w:proofErr w:type="spellEnd"/>
      <w:r w:rsidRPr="00956FD0">
        <w:rPr>
          <w:sz w:val="22"/>
          <w:szCs w:val="22"/>
          <w:lang w:val="sk-SK"/>
        </w:rPr>
        <w:t xml:space="preserve"> (napr. deriváty </w:t>
      </w:r>
      <w:proofErr w:type="spellStart"/>
      <w:r w:rsidRPr="00956FD0">
        <w:rPr>
          <w:sz w:val="22"/>
          <w:szCs w:val="22"/>
          <w:lang w:val="sk-SK"/>
        </w:rPr>
        <w:t>sulfonylurey</w:t>
      </w:r>
      <w:proofErr w:type="spellEnd"/>
      <w:r w:rsidRPr="00956FD0">
        <w:rPr>
          <w:sz w:val="22"/>
          <w:szCs w:val="22"/>
          <w:lang w:val="sk-SK"/>
        </w:rPr>
        <w:t xml:space="preserve"> alebo </w:t>
      </w:r>
      <w:proofErr w:type="spellStart"/>
      <w:r w:rsidRPr="00956FD0">
        <w:rPr>
          <w:sz w:val="22"/>
          <w:szCs w:val="22"/>
          <w:lang w:val="sk-SK"/>
        </w:rPr>
        <w:t>meglitinidy</w:t>
      </w:r>
      <w:proofErr w:type="spellEnd"/>
      <w:r w:rsidRPr="00956FD0">
        <w:rPr>
          <w:sz w:val="22"/>
          <w:szCs w:val="22"/>
          <w:lang w:val="sk-SK"/>
        </w:rPr>
        <w:t>).</w:t>
      </w:r>
    </w:p>
    <w:p w14:paraId="06727A49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70C9ECED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4.5</w:t>
      </w:r>
      <w:r w:rsidRPr="00956FD0">
        <w:rPr>
          <w:b/>
          <w:sz w:val="22"/>
          <w:szCs w:val="20"/>
          <w:lang w:val="sk-SK"/>
        </w:rPr>
        <w:tab/>
        <w:t>Liekové a iné interakcie</w:t>
      </w:r>
    </w:p>
    <w:p w14:paraId="0D9338F6" w14:textId="77777777" w:rsidR="006740D0" w:rsidRPr="00956FD0" w:rsidRDefault="006740D0" w:rsidP="00455F29">
      <w:pPr>
        <w:rPr>
          <w:sz w:val="22"/>
          <w:szCs w:val="20"/>
          <w:u w:val="single"/>
          <w:lang w:val="sk-SK"/>
        </w:rPr>
      </w:pPr>
    </w:p>
    <w:p w14:paraId="63FCE864" w14:textId="77777777" w:rsidR="008A27CD" w:rsidRDefault="002341CC" w:rsidP="00455F29">
      <w:pPr>
        <w:rPr>
          <w:sz w:val="22"/>
          <w:szCs w:val="20"/>
          <w:u w:val="single"/>
          <w:lang w:val="sk-SK"/>
        </w:rPr>
      </w:pPr>
      <w:r w:rsidRPr="00956FD0">
        <w:rPr>
          <w:sz w:val="22"/>
          <w:szCs w:val="20"/>
          <w:u w:val="single"/>
          <w:lang w:val="sk-SK"/>
        </w:rPr>
        <w:t>Súbežné použitie, ktoré sa neodporúča:</w:t>
      </w:r>
    </w:p>
    <w:p w14:paraId="786C38EA" w14:textId="77777777" w:rsidR="00AE6937" w:rsidRPr="00956FD0" w:rsidRDefault="00AE6937" w:rsidP="00455F29">
      <w:pPr>
        <w:rPr>
          <w:sz w:val="22"/>
          <w:szCs w:val="20"/>
          <w:lang w:val="sk-SK"/>
        </w:rPr>
      </w:pPr>
    </w:p>
    <w:p w14:paraId="6AD05B1F" w14:textId="77777777" w:rsidR="008A27CD" w:rsidRPr="00956FD0" w:rsidRDefault="008A27CD" w:rsidP="00455F29">
      <w:pPr>
        <w:rPr>
          <w:i/>
          <w:sz w:val="22"/>
          <w:szCs w:val="20"/>
          <w:lang w:val="sk-SK"/>
        </w:rPr>
      </w:pPr>
      <w:r w:rsidRPr="00956FD0">
        <w:rPr>
          <w:i/>
          <w:sz w:val="22"/>
          <w:szCs w:val="20"/>
          <w:lang w:val="sk-SK"/>
        </w:rPr>
        <w:t>Alkohol</w:t>
      </w:r>
    </w:p>
    <w:p w14:paraId="5644A6AD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Intoxikácia alkoholom je spojená so zvýšeným rizikom </w:t>
      </w:r>
      <w:proofErr w:type="spellStart"/>
      <w:r w:rsidRPr="00956FD0">
        <w:rPr>
          <w:sz w:val="22"/>
          <w:szCs w:val="22"/>
          <w:lang w:val="sk-SK"/>
        </w:rPr>
        <w:t>laktátovej</w:t>
      </w:r>
      <w:proofErr w:type="spellEnd"/>
      <w:r w:rsidRPr="00956FD0">
        <w:rPr>
          <w:sz w:val="22"/>
          <w:szCs w:val="22"/>
          <w:lang w:val="sk-SK"/>
        </w:rPr>
        <w:t xml:space="preserve"> acidózy najmä v prípadoch</w:t>
      </w:r>
    </w:p>
    <w:p w14:paraId="22BB22C6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>hladovania, nedostatočnej výživy alebo po</w:t>
      </w:r>
      <w:r w:rsidR="00455C76" w:rsidRPr="00956FD0">
        <w:rPr>
          <w:sz w:val="22"/>
          <w:szCs w:val="22"/>
          <w:lang w:val="sk-SK"/>
        </w:rPr>
        <w:t>ruchy</w:t>
      </w:r>
      <w:r w:rsidRPr="00956FD0">
        <w:rPr>
          <w:sz w:val="22"/>
          <w:szCs w:val="22"/>
          <w:lang w:val="sk-SK"/>
        </w:rPr>
        <w:t xml:space="preserve"> funkcie pečene.</w:t>
      </w:r>
    </w:p>
    <w:p w14:paraId="0031DD4D" w14:textId="77777777" w:rsidR="008A27CD" w:rsidRPr="00956FD0" w:rsidRDefault="008A27CD" w:rsidP="00455F29">
      <w:pPr>
        <w:rPr>
          <w:sz w:val="22"/>
          <w:szCs w:val="20"/>
          <w:u w:val="single"/>
          <w:lang w:val="sk-SK"/>
        </w:rPr>
      </w:pPr>
    </w:p>
    <w:p w14:paraId="14037E82" w14:textId="7B1CC423" w:rsidR="008A27CD" w:rsidRPr="00956FD0" w:rsidRDefault="008A27CD" w:rsidP="00455F29">
      <w:pPr>
        <w:rPr>
          <w:i/>
          <w:sz w:val="22"/>
          <w:szCs w:val="20"/>
          <w:lang w:val="sk-SK"/>
        </w:rPr>
      </w:pPr>
      <w:r w:rsidRPr="00956FD0">
        <w:rPr>
          <w:i/>
          <w:sz w:val="22"/>
          <w:szCs w:val="20"/>
          <w:lang w:val="sk-SK"/>
        </w:rPr>
        <w:t>Jódové kontrastné látky</w:t>
      </w:r>
    </w:p>
    <w:p w14:paraId="65190928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Pred zobrazovacím vyšetrením alebo v čase zobrazovacieho vyšetrenia sa </w:t>
      </w:r>
      <w:proofErr w:type="spellStart"/>
      <w:r w:rsidRPr="00956FD0">
        <w:rPr>
          <w:sz w:val="22"/>
          <w:szCs w:val="22"/>
          <w:lang w:val="sk-SK"/>
        </w:rPr>
        <w:t>metformín</w:t>
      </w:r>
      <w:proofErr w:type="spellEnd"/>
      <w:r w:rsidRPr="00956FD0">
        <w:rPr>
          <w:sz w:val="22"/>
          <w:szCs w:val="22"/>
          <w:lang w:val="sk-SK"/>
        </w:rPr>
        <w:t xml:space="preserve"> musí vysadiť a</w:t>
      </w:r>
    </w:p>
    <w:p w14:paraId="0C813A21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>nesmie sa opätovne nasadiť, kým neuplynie minimálne 48 hodín potom, za predpokladu, že došlo k</w:t>
      </w:r>
    </w:p>
    <w:p w14:paraId="549FAD93" w14:textId="77777777" w:rsidR="002341CC" w:rsidRPr="00956FD0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>opätovnému vyhodnoteniu funkcie obličiek a zistilo sa, že je stabilná, pozri časti 4.2 a 4.4.</w:t>
      </w:r>
    </w:p>
    <w:p w14:paraId="0CD2B2FA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0A28DABE" w14:textId="77777777" w:rsidR="008A27CD" w:rsidRDefault="008A27CD" w:rsidP="00455F29">
      <w:pPr>
        <w:rPr>
          <w:iCs/>
          <w:sz w:val="22"/>
          <w:szCs w:val="20"/>
          <w:u w:val="single"/>
          <w:lang w:val="sk-SK"/>
        </w:rPr>
      </w:pPr>
      <w:r w:rsidRPr="00F25E58">
        <w:rPr>
          <w:iCs/>
          <w:sz w:val="22"/>
          <w:szCs w:val="20"/>
          <w:u w:val="single"/>
          <w:lang w:val="sk-SK"/>
        </w:rPr>
        <w:t>Kombináci</w:t>
      </w:r>
      <w:r w:rsidR="00D00D4F" w:rsidRPr="00F25E58">
        <w:rPr>
          <w:iCs/>
          <w:sz w:val="22"/>
          <w:szCs w:val="20"/>
          <w:u w:val="single"/>
          <w:lang w:val="sk-SK"/>
        </w:rPr>
        <w:t>e</w:t>
      </w:r>
      <w:r w:rsidRPr="00F25E58">
        <w:rPr>
          <w:iCs/>
          <w:sz w:val="22"/>
          <w:szCs w:val="20"/>
          <w:u w:val="single"/>
          <w:lang w:val="sk-SK"/>
        </w:rPr>
        <w:t>, ktor</w:t>
      </w:r>
      <w:r w:rsidR="00D00D4F" w:rsidRPr="00F25E58">
        <w:rPr>
          <w:iCs/>
          <w:sz w:val="22"/>
          <w:szCs w:val="20"/>
          <w:u w:val="single"/>
          <w:lang w:val="sk-SK"/>
        </w:rPr>
        <w:t>é</w:t>
      </w:r>
      <w:r w:rsidRPr="00F25E58">
        <w:rPr>
          <w:iCs/>
          <w:sz w:val="22"/>
          <w:szCs w:val="20"/>
          <w:u w:val="single"/>
          <w:lang w:val="sk-SK"/>
        </w:rPr>
        <w:t xml:space="preserve"> si vyžaduj</w:t>
      </w:r>
      <w:r w:rsidR="00D00D4F" w:rsidRPr="00F25E58">
        <w:rPr>
          <w:iCs/>
          <w:sz w:val="22"/>
          <w:szCs w:val="20"/>
          <w:u w:val="single"/>
          <w:lang w:val="sk-SK"/>
        </w:rPr>
        <w:t>ú</w:t>
      </w:r>
      <w:r w:rsidRPr="00F25E58">
        <w:rPr>
          <w:iCs/>
          <w:sz w:val="22"/>
          <w:szCs w:val="20"/>
          <w:u w:val="single"/>
          <w:lang w:val="sk-SK"/>
        </w:rPr>
        <w:t xml:space="preserve"> preventívne opatrenia </w:t>
      </w:r>
      <w:r w:rsidR="00455C76" w:rsidRPr="00F25E58">
        <w:rPr>
          <w:iCs/>
          <w:sz w:val="22"/>
          <w:szCs w:val="20"/>
          <w:u w:val="single"/>
          <w:lang w:val="sk-SK"/>
        </w:rPr>
        <w:t>pri</w:t>
      </w:r>
      <w:r w:rsidRPr="00F25E58">
        <w:rPr>
          <w:iCs/>
          <w:sz w:val="22"/>
          <w:szCs w:val="20"/>
          <w:u w:val="single"/>
          <w:lang w:val="sk-SK"/>
        </w:rPr>
        <w:t xml:space="preserve"> použ</w:t>
      </w:r>
      <w:r w:rsidR="00455C76" w:rsidRPr="00F25E58">
        <w:rPr>
          <w:iCs/>
          <w:sz w:val="22"/>
          <w:szCs w:val="20"/>
          <w:u w:val="single"/>
          <w:lang w:val="sk-SK"/>
        </w:rPr>
        <w:t>ívaní</w:t>
      </w:r>
    </w:p>
    <w:p w14:paraId="5C5C6E28" w14:textId="77777777" w:rsidR="00AE6937" w:rsidRPr="00F25E58" w:rsidRDefault="00AE6937" w:rsidP="00455F29">
      <w:pPr>
        <w:rPr>
          <w:i/>
          <w:iCs/>
          <w:sz w:val="22"/>
          <w:szCs w:val="20"/>
          <w:lang w:val="sk-SK"/>
        </w:rPr>
      </w:pPr>
    </w:p>
    <w:p w14:paraId="60FAEB24" w14:textId="77777777" w:rsidR="00AE6937" w:rsidRDefault="00AE6937" w:rsidP="00455F29">
      <w:pPr>
        <w:rPr>
          <w:i/>
          <w:iCs/>
          <w:sz w:val="22"/>
          <w:szCs w:val="22"/>
          <w:lang w:val="sk-SK"/>
        </w:rPr>
      </w:pPr>
      <w:r w:rsidRPr="00F25E58">
        <w:rPr>
          <w:i/>
          <w:iCs/>
          <w:sz w:val="22"/>
          <w:szCs w:val="20"/>
          <w:lang w:val="sk-SK"/>
        </w:rPr>
        <w:t xml:space="preserve">Lieky, ktoré môžu </w:t>
      </w:r>
      <w:r w:rsidRPr="00F25E58">
        <w:rPr>
          <w:i/>
          <w:iCs/>
          <w:sz w:val="22"/>
          <w:szCs w:val="22"/>
          <w:lang w:val="sk-SK"/>
        </w:rPr>
        <w:t>nežiaduco ovplyvňovať funkciu obličiek</w:t>
      </w:r>
    </w:p>
    <w:p w14:paraId="151BB286" w14:textId="77777777" w:rsidR="00AE6937" w:rsidRPr="00503568" w:rsidRDefault="00AE6937" w:rsidP="00455F29">
      <w:pPr>
        <w:rPr>
          <w:i/>
          <w:iCs/>
          <w:sz w:val="22"/>
          <w:szCs w:val="20"/>
          <w:lang w:val="sk-SK"/>
        </w:rPr>
      </w:pPr>
    </w:p>
    <w:p w14:paraId="629C8E7A" w14:textId="77777777" w:rsidR="002341CC" w:rsidRDefault="002341CC" w:rsidP="002341CC">
      <w:pPr>
        <w:adjustRightInd w:val="0"/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Niektoré lieky môžu nežiaduco ovplyvňovať funkciu obličiek, čo môže </w:t>
      </w:r>
      <w:proofErr w:type="spellStart"/>
      <w:r w:rsidRPr="00956FD0">
        <w:rPr>
          <w:sz w:val="22"/>
          <w:szCs w:val="22"/>
          <w:lang w:val="sk-SK"/>
        </w:rPr>
        <w:t>zvyšiť</w:t>
      </w:r>
      <w:proofErr w:type="spellEnd"/>
      <w:r w:rsidRPr="00956FD0">
        <w:rPr>
          <w:sz w:val="22"/>
          <w:szCs w:val="22"/>
          <w:lang w:val="sk-SK"/>
        </w:rPr>
        <w:t xml:space="preserve"> riziko </w:t>
      </w:r>
      <w:proofErr w:type="spellStart"/>
      <w:r w:rsidRPr="00956FD0">
        <w:rPr>
          <w:sz w:val="22"/>
          <w:szCs w:val="22"/>
          <w:lang w:val="sk-SK"/>
        </w:rPr>
        <w:t>laktátovej</w:t>
      </w:r>
      <w:proofErr w:type="spellEnd"/>
      <w:r w:rsidRPr="00956FD0">
        <w:rPr>
          <w:sz w:val="22"/>
          <w:szCs w:val="22"/>
          <w:lang w:val="sk-SK"/>
        </w:rPr>
        <w:t xml:space="preserve"> acidózy,</w:t>
      </w:r>
      <w:r w:rsidRPr="00956FD0">
        <w:rPr>
          <w:lang w:val="sk-SK"/>
        </w:rPr>
        <w:t xml:space="preserve"> </w:t>
      </w:r>
      <w:r w:rsidRPr="00956FD0">
        <w:rPr>
          <w:sz w:val="22"/>
          <w:szCs w:val="22"/>
          <w:lang w:val="sk-SK"/>
        </w:rPr>
        <w:t xml:space="preserve">napr. NSAID vrátane selektívnych inhibítorov </w:t>
      </w:r>
      <w:proofErr w:type="spellStart"/>
      <w:r w:rsidRPr="00956FD0">
        <w:rPr>
          <w:sz w:val="22"/>
          <w:szCs w:val="22"/>
          <w:lang w:val="sk-SK"/>
        </w:rPr>
        <w:t>cyklooxygenázy</w:t>
      </w:r>
      <w:proofErr w:type="spellEnd"/>
      <w:r w:rsidRPr="00956FD0">
        <w:rPr>
          <w:sz w:val="22"/>
          <w:szCs w:val="22"/>
          <w:lang w:val="sk-SK"/>
        </w:rPr>
        <w:t xml:space="preserve"> II (COX), inhibítorov ACE, antagonistov</w:t>
      </w:r>
      <w:r w:rsidRPr="00956FD0">
        <w:rPr>
          <w:lang w:val="sk-SK"/>
        </w:rPr>
        <w:t xml:space="preserve"> </w:t>
      </w:r>
      <w:r w:rsidRPr="00956FD0">
        <w:rPr>
          <w:sz w:val="22"/>
          <w:szCs w:val="22"/>
          <w:lang w:val="sk-SK"/>
        </w:rPr>
        <w:t xml:space="preserve">receptora </w:t>
      </w:r>
      <w:proofErr w:type="spellStart"/>
      <w:r w:rsidRPr="00956FD0">
        <w:rPr>
          <w:sz w:val="22"/>
          <w:szCs w:val="22"/>
          <w:lang w:val="sk-SK"/>
        </w:rPr>
        <w:t>angiotenzínu</w:t>
      </w:r>
      <w:proofErr w:type="spellEnd"/>
      <w:r w:rsidRPr="00956FD0">
        <w:rPr>
          <w:sz w:val="22"/>
          <w:szCs w:val="22"/>
          <w:lang w:val="sk-SK"/>
        </w:rPr>
        <w:t xml:space="preserve"> II a diuretík, obzvlášť slučkových diuretík. Ak sa začína používať alebo používa</w:t>
      </w:r>
      <w:r w:rsidRPr="00956FD0">
        <w:rPr>
          <w:lang w:val="sk-SK"/>
        </w:rPr>
        <w:t xml:space="preserve"> </w:t>
      </w:r>
      <w:r w:rsidRPr="00956FD0">
        <w:rPr>
          <w:sz w:val="22"/>
          <w:szCs w:val="22"/>
          <w:lang w:val="sk-SK"/>
        </w:rPr>
        <w:t xml:space="preserve">takýto liek v kombinácii s </w:t>
      </w:r>
      <w:proofErr w:type="spellStart"/>
      <w:r w:rsidRPr="00956FD0">
        <w:rPr>
          <w:sz w:val="22"/>
          <w:szCs w:val="22"/>
          <w:lang w:val="sk-SK"/>
        </w:rPr>
        <w:t>metformínom</w:t>
      </w:r>
      <w:proofErr w:type="spellEnd"/>
      <w:r w:rsidRPr="00956FD0">
        <w:rPr>
          <w:sz w:val="22"/>
          <w:szCs w:val="22"/>
          <w:lang w:val="sk-SK"/>
        </w:rPr>
        <w:t>, je potrebné dôkladné monitorovanie funkcie obličiek.</w:t>
      </w:r>
    </w:p>
    <w:p w14:paraId="2B12C952" w14:textId="77777777" w:rsidR="00AE6937" w:rsidRDefault="00AE6937" w:rsidP="002341CC">
      <w:pPr>
        <w:adjustRightInd w:val="0"/>
        <w:rPr>
          <w:sz w:val="22"/>
          <w:szCs w:val="22"/>
          <w:lang w:val="sk-SK"/>
        </w:rPr>
      </w:pPr>
    </w:p>
    <w:p w14:paraId="0AC210F4" w14:textId="77777777" w:rsidR="00AE6937" w:rsidRPr="00757A94" w:rsidRDefault="00AE6937" w:rsidP="00AE6937">
      <w:pPr>
        <w:rPr>
          <w:i/>
          <w:sz w:val="22"/>
          <w:szCs w:val="22"/>
          <w:lang w:val="sk-SK"/>
        </w:rPr>
      </w:pPr>
      <w:r w:rsidRPr="00757A94">
        <w:rPr>
          <w:i/>
          <w:sz w:val="22"/>
          <w:szCs w:val="22"/>
          <w:lang w:val="sk-SK"/>
        </w:rPr>
        <w:t xml:space="preserve">Lieky s vnútornou hyperglykemickou aktivitou (napr. glukokortikoidy (podávané systémovo </w:t>
      </w:r>
    </w:p>
    <w:p w14:paraId="52112307" w14:textId="77777777" w:rsidR="00AE6937" w:rsidRPr="00757A94" w:rsidRDefault="00AE6937" w:rsidP="00AE6937">
      <w:pPr>
        <w:rPr>
          <w:b/>
          <w:i/>
          <w:sz w:val="22"/>
          <w:szCs w:val="22"/>
          <w:lang w:val="sk-SK"/>
        </w:rPr>
      </w:pPr>
      <w:r w:rsidRPr="00757A94">
        <w:rPr>
          <w:i/>
          <w:sz w:val="22"/>
          <w:szCs w:val="22"/>
          <w:lang w:val="sk-SK"/>
        </w:rPr>
        <w:t>a lokálne) a </w:t>
      </w:r>
      <w:proofErr w:type="spellStart"/>
      <w:r w:rsidRPr="00757A94">
        <w:rPr>
          <w:i/>
          <w:sz w:val="22"/>
          <w:szCs w:val="22"/>
          <w:lang w:val="sk-SK"/>
        </w:rPr>
        <w:t>sympatomimetiká</w:t>
      </w:r>
      <w:proofErr w:type="spellEnd"/>
      <w:r w:rsidRPr="00757A94">
        <w:rPr>
          <w:i/>
          <w:sz w:val="22"/>
          <w:szCs w:val="22"/>
          <w:lang w:val="sk-SK"/>
        </w:rPr>
        <w:t>)</w:t>
      </w:r>
    </w:p>
    <w:p w14:paraId="76799AD5" w14:textId="77777777" w:rsidR="00AE6937" w:rsidRPr="00757A94" w:rsidRDefault="00AE6937" w:rsidP="00AE6937">
      <w:pPr>
        <w:rPr>
          <w:sz w:val="22"/>
          <w:szCs w:val="22"/>
          <w:lang w:val="sk-SK"/>
        </w:rPr>
      </w:pPr>
    </w:p>
    <w:p w14:paraId="3235CEAC" w14:textId="77777777" w:rsidR="00AE6937" w:rsidRPr="00757A94" w:rsidRDefault="00AE6937" w:rsidP="00AE6937">
      <w:pPr>
        <w:rPr>
          <w:sz w:val="22"/>
          <w:szCs w:val="22"/>
          <w:lang w:val="sk-SK"/>
        </w:rPr>
      </w:pPr>
      <w:r w:rsidRPr="00757A94">
        <w:rPr>
          <w:sz w:val="22"/>
          <w:szCs w:val="22"/>
          <w:lang w:val="sk-SK"/>
        </w:rPr>
        <w:t xml:space="preserve">Môže byť potrebné vykonávať častejšie glykemické kontroly, najmä na začiatku liečby. Ak je to potrebné, upravte dávkovanie </w:t>
      </w:r>
      <w:proofErr w:type="spellStart"/>
      <w:r w:rsidRPr="00757A94">
        <w:rPr>
          <w:sz w:val="22"/>
          <w:szCs w:val="22"/>
          <w:lang w:val="sk-SK"/>
        </w:rPr>
        <w:t>metformínu</w:t>
      </w:r>
      <w:proofErr w:type="spellEnd"/>
      <w:r w:rsidRPr="00757A94">
        <w:rPr>
          <w:sz w:val="22"/>
          <w:szCs w:val="22"/>
          <w:lang w:val="sk-SK"/>
        </w:rPr>
        <w:t xml:space="preserve"> počas liečby a po jej skončení. </w:t>
      </w:r>
    </w:p>
    <w:p w14:paraId="55466889" w14:textId="77777777" w:rsidR="00AE6937" w:rsidRPr="00757A94" w:rsidRDefault="00AE6937" w:rsidP="00AE6937">
      <w:pPr>
        <w:pStyle w:val="SPCnormal"/>
        <w:rPr>
          <w:szCs w:val="22"/>
          <w:lang w:val="sk-SK" w:eastAsia="en-US"/>
        </w:rPr>
      </w:pPr>
    </w:p>
    <w:p w14:paraId="092537A0" w14:textId="77777777" w:rsidR="00AE6937" w:rsidRDefault="00AE6937" w:rsidP="00AE6937">
      <w:pPr>
        <w:pStyle w:val="SPCnormal"/>
        <w:rPr>
          <w:i/>
          <w:szCs w:val="22"/>
          <w:lang w:val="sk-SK" w:eastAsia="en-US"/>
        </w:rPr>
      </w:pPr>
      <w:r w:rsidRPr="00757A94">
        <w:rPr>
          <w:i/>
          <w:szCs w:val="22"/>
          <w:lang w:val="sk-SK" w:eastAsia="en-US"/>
        </w:rPr>
        <w:t xml:space="preserve">Transportéry pre organické katióny (OCT, </w:t>
      </w:r>
      <w:proofErr w:type="spellStart"/>
      <w:r w:rsidRPr="00757A94">
        <w:rPr>
          <w:i/>
          <w:szCs w:val="22"/>
          <w:lang w:val="sk-SK" w:eastAsia="en-US"/>
        </w:rPr>
        <w:t>organic</w:t>
      </w:r>
      <w:proofErr w:type="spellEnd"/>
      <w:r w:rsidRPr="00757A94">
        <w:rPr>
          <w:i/>
          <w:szCs w:val="22"/>
          <w:lang w:val="sk-SK" w:eastAsia="en-US"/>
        </w:rPr>
        <w:t xml:space="preserve"> </w:t>
      </w:r>
      <w:proofErr w:type="spellStart"/>
      <w:r w:rsidRPr="00757A94">
        <w:rPr>
          <w:i/>
          <w:szCs w:val="22"/>
          <w:lang w:val="sk-SK" w:eastAsia="en-US"/>
        </w:rPr>
        <w:t>cation</w:t>
      </w:r>
      <w:proofErr w:type="spellEnd"/>
      <w:r w:rsidRPr="00757A94">
        <w:rPr>
          <w:i/>
          <w:szCs w:val="22"/>
          <w:lang w:val="sk-SK" w:eastAsia="en-US"/>
        </w:rPr>
        <w:t xml:space="preserve"> </w:t>
      </w:r>
      <w:proofErr w:type="spellStart"/>
      <w:r w:rsidRPr="00757A94">
        <w:rPr>
          <w:i/>
          <w:szCs w:val="22"/>
          <w:lang w:val="sk-SK" w:eastAsia="en-US"/>
        </w:rPr>
        <w:t>transporters</w:t>
      </w:r>
      <w:proofErr w:type="spellEnd"/>
      <w:r w:rsidRPr="00757A94">
        <w:rPr>
          <w:i/>
          <w:szCs w:val="22"/>
          <w:lang w:val="sk-SK" w:eastAsia="en-US"/>
        </w:rPr>
        <w:t>)</w:t>
      </w:r>
    </w:p>
    <w:p w14:paraId="73D39F28" w14:textId="77777777" w:rsidR="00AE6937" w:rsidRPr="00757A94" w:rsidRDefault="00AE6937" w:rsidP="00AE6937">
      <w:pPr>
        <w:pStyle w:val="SPCnormal"/>
        <w:rPr>
          <w:i/>
          <w:szCs w:val="22"/>
          <w:lang w:val="sk-SK" w:eastAsia="en-US"/>
        </w:rPr>
      </w:pPr>
    </w:p>
    <w:p w14:paraId="188DBDEA" w14:textId="77777777" w:rsidR="00AE6937" w:rsidRPr="00757A94" w:rsidRDefault="00AE6937" w:rsidP="00AE6937">
      <w:pPr>
        <w:pStyle w:val="SPCnormal"/>
        <w:rPr>
          <w:szCs w:val="22"/>
          <w:lang w:val="sk-SK" w:eastAsia="en-US"/>
        </w:rPr>
      </w:pPr>
      <w:proofErr w:type="spellStart"/>
      <w:r w:rsidRPr="00757A94">
        <w:rPr>
          <w:szCs w:val="22"/>
          <w:lang w:val="sk-SK" w:eastAsia="en-US"/>
        </w:rPr>
        <w:t>Metformín</w:t>
      </w:r>
      <w:proofErr w:type="spellEnd"/>
      <w:r w:rsidRPr="00757A94">
        <w:rPr>
          <w:szCs w:val="22"/>
          <w:lang w:val="sk-SK" w:eastAsia="en-US"/>
        </w:rPr>
        <w:t xml:space="preserve"> je substrátom pre oba transportéry OCT1 a OCT2.</w:t>
      </w:r>
    </w:p>
    <w:p w14:paraId="10BB8191" w14:textId="77777777" w:rsidR="00AE6937" w:rsidRPr="00757A94" w:rsidRDefault="00AE6937" w:rsidP="00AE6937">
      <w:pPr>
        <w:pStyle w:val="SPCnormal"/>
        <w:rPr>
          <w:szCs w:val="22"/>
          <w:lang w:val="sk-SK" w:eastAsia="en-US"/>
        </w:rPr>
      </w:pPr>
    </w:p>
    <w:p w14:paraId="04665D10" w14:textId="77777777" w:rsidR="00AE6937" w:rsidRPr="00757A94" w:rsidRDefault="00AE6937" w:rsidP="00AE6937">
      <w:pPr>
        <w:pStyle w:val="SPCnormal"/>
        <w:rPr>
          <w:szCs w:val="22"/>
          <w:lang w:val="sk-SK" w:eastAsia="en-US"/>
        </w:rPr>
      </w:pPr>
      <w:r w:rsidRPr="00757A94">
        <w:rPr>
          <w:szCs w:val="22"/>
          <w:lang w:val="sk-SK" w:eastAsia="en-US"/>
        </w:rPr>
        <w:t xml:space="preserve">Súbežné podávanie </w:t>
      </w:r>
      <w:proofErr w:type="spellStart"/>
      <w:r w:rsidRPr="00757A94">
        <w:rPr>
          <w:szCs w:val="22"/>
          <w:lang w:val="sk-SK" w:eastAsia="en-US"/>
        </w:rPr>
        <w:t>metformínu</w:t>
      </w:r>
      <w:proofErr w:type="spellEnd"/>
      <w:r w:rsidRPr="00757A94">
        <w:rPr>
          <w:szCs w:val="22"/>
          <w:lang w:val="sk-SK" w:eastAsia="en-US"/>
        </w:rPr>
        <w:t xml:space="preserve"> s</w:t>
      </w:r>
    </w:p>
    <w:p w14:paraId="660CE9EE" w14:textId="77777777" w:rsidR="00AE6937" w:rsidRPr="00757A94" w:rsidRDefault="00AE6937" w:rsidP="00AE6937">
      <w:pPr>
        <w:pStyle w:val="SPCnormal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Cs w:val="22"/>
          <w:lang w:val="sk-SK" w:eastAsia="en-US"/>
        </w:rPr>
      </w:pPr>
      <w:r w:rsidRPr="00757A94">
        <w:rPr>
          <w:szCs w:val="22"/>
          <w:lang w:val="sk-SK" w:eastAsia="en-US"/>
        </w:rPr>
        <w:t xml:space="preserve">inhibítormi OCT1 (ako je </w:t>
      </w:r>
      <w:proofErr w:type="spellStart"/>
      <w:r w:rsidRPr="00757A94">
        <w:rPr>
          <w:szCs w:val="22"/>
          <w:lang w:val="sk-SK" w:eastAsia="en-US"/>
        </w:rPr>
        <w:t>verapamil</w:t>
      </w:r>
      <w:proofErr w:type="spellEnd"/>
      <w:r w:rsidRPr="00757A94">
        <w:rPr>
          <w:szCs w:val="22"/>
          <w:lang w:val="sk-SK" w:eastAsia="en-US"/>
        </w:rPr>
        <w:t xml:space="preserve">) môže znížiť účinnosť </w:t>
      </w:r>
      <w:proofErr w:type="spellStart"/>
      <w:r w:rsidRPr="00757A94">
        <w:rPr>
          <w:szCs w:val="22"/>
          <w:lang w:val="sk-SK" w:eastAsia="en-US"/>
        </w:rPr>
        <w:t>metformínu</w:t>
      </w:r>
      <w:proofErr w:type="spellEnd"/>
      <w:r w:rsidRPr="00757A94">
        <w:rPr>
          <w:szCs w:val="22"/>
          <w:lang w:val="sk-SK" w:eastAsia="en-US"/>
        </w:rPr>
        <w:t>.</w:t>
      </w:r>
    </w:p>
    <w:p w14:paraId="1877355E" w14:textId="77777777" w:rsidR="00AE6937" w:rsidRPr="00757A94" w:rsidRDefault="00AE6937" w:rsidP="00AE6937">
      <w:pPr>
        <w:pStyle w:val="SPCnormal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Cs w:val="22"/>
          <w:lang w:val="sk-SK" w:eastAsia="en-US"/>
        </w:rPr>
      </w:pPr>
      <w:r w:rsidRPr="00757A94">
        <w:rPr>
          <w:szCs w:val="22"/>
          <w:lang w:val="sk-SK" w:eastAsia="en-US"/>
        </w:rPr>
        <w:t xml:space="preserve">induktormi OCT1 (ako je </w:t>
      </w:r>
      <w:proofErr w:type="spellStart"/>
      <w:r w:rsidRPr="00757A94">
        <w:rPr>
          <w:szCs w:val="22"/>
          <w:lang w:val="sk-SK" w:eastAsia="en-US"/>
        </w:rPr>
        <w:t>rifampicín</w:t>
      </w:r>
      <w:proofErr w:type="spellEnd"/>
      <w:r w:rsidRPr="00757A94">
        <w:rPr>
          <w:szCs w:val="22"/>
          <w:lang w:val="sk-SK" w:eastAsia="en-US"/>
        </w:rPr>
        <w:t xml:space="preserve">) môže zvýšiť gastrointestinálnu absorpciu a účinnosť </w:t>
      </w:r>
      <w:proofErr w:type="spellStart"/>
      <w:r w:rsidRPr="00757A94">
        <w:rPr>
          <w:szCs w:val="22"/>
          <w:lang w:val="sk-SK" w:eastAsia="en-US"/>
        </w:rPr>
        <w:t>metformínu</w:t>
      </w:r>
      <w:proofErr w:type="spellEnd"/>
      <w:r w:rsidRPr="00757A94">
        <w:rPr>
          <w:szCs w:val="22"/>
          <w:lang w:val="sk-SK" w:eastAsia="en-US"/>
        </w:rPr>
        <w:t>.</w:t>
      </w:r>
    </w:p>
    <w:p w14:paraId="30470BD3" w14:textId="77777777" w:rsidR="00AE6937" w:rsidRPr="00757A94" w:rsidRDefault="00AE6937" w:rsidP="00AE6937">
      <w:pPr>
        <w:pStyle w:val="SPCnormal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Cs w:val="22"/>
          <w:lang w:val="sk-SK" w:eastAsia="en-US"/>
        </w:rPr>
      </w:pPr>
      <w:r w:rsidRPr="00757A94">
        <w:rPr>
          <w:szCs w:val="22"/>
          <w:lang w:val="sk-SK" w:eastAsia="en-US"/>
        </w:rPr>
        <w:t xml:space="preserve">inhibítormi OCT2 (ako je </w:t>
      </w:r>
      <w:proofErr w:type="spellStart"/>
      <w:r w:rsidRPr="00757A94">
        <w:rPr>
          <w:szCs w:val="22"/>
          <w:lang w:val="sk-SK" w:eastAsia="en-US"/>
        </w:rPr>
        <w:t>cimetidín</w:t>
      </w:r>
      <w:proofErr w:type="spellEnd"/>
      <w:r w:rsidRPr="00757A94">
        <w:rPr>
          <w:szCs w:val="22"/>
          <w:lang w:val="sk-SK" w:eastAsia="en-US"/>
        </w:rPr>
        <w:t xml:space="preserve">, </w:t>
      </w:r>
      <w:proofErr w:type="spellStart"/>
      <w:r w:rsidRPr="00757A94">
        <w:rPr>
          <w:szCs w:val="22"/>
          <w:lang w:val="sk-SK" w:eastAsia="en-US"/>
        </w:rPr>
        <w:t>dolutegravir</w:t>
      </w:r>
      <w:proofErr w:type="spellEnd"/>
      <w:r w:rsidRPr="00757A94">
        <w:rPr>
          <w:szCs w:val="22"/>
          <w:lang w:val="sk-SK" w:eastAsia="en-US"/>
        </w:rPr>
        <w:t xml:space="preserve">, </w:t>
      </w:r>
      <w:proofErr w:type="spellStart"/>
      <w:r w:rsidRPr="00757A94">
        <w:rPr>
          <w:szCs w:val="22"/>
          <w:lang w:val="sk-SK" w:eastAsia="en-US"/>
        </w:rPr>
        <w:t>ranolazín</w:t>
      </w:r>
      <w:proofErr w:type="spellEnd"/>
      <w:r w:rsidRPr="00757A94">
        <w:rPr>
          <w:szCs w:val="22"/>
          <w:lang w:val="sk-SK" w:eastAsia="en-US"/>
        </w:rPr>
        <w:t xml:space="preserve">, </w:t>
      </w:r>
      <w:proofErr w:type="spellStart"/>
      <w:r w:rsidRPr="00757A94">
        <w:rPr>
          <w:szCs w:val="22"/>
          <w:lang w:val="sk-SK" w:eastAsia="en-US"/>
        </w:rPr>
        <w:t>trimetoprim</w:t>
      </w:r>
      <w:proofErr w:type="spellEnd"/>
      <w:r w:rsidRPr="00757A94">
        <w:rPr>
          <w:szCs w:val="22"/>
          <w:lang w:val="sk-SK" w:eastAsia="en-US"/>
        </w:rPr>
        <w:t xml:space="preserve">, </w:t>
      </w:r>
      <w:proofErr w:type="spellStart"/>
      <w:r w:rsidRPr="00757A94">
        <w:rPr>
          <w:szCs w:val="22"/>
          <w:lang w:val="sk-SK" w:eastAsia="en-US"/>
        </w:rPr>
        <w:t>vandetanib</w:t>
      </w:r>
      <w:proofErr w:type="spellEnd"/>
      <w:r w:rsidRPr="00757A94">
        <w:rPr>
          <w:szCs w:val="22"/>
          <w:lang w:val="sk-SK" w:eastAsia="en-US"/>
        </w:rPr>
        <w:t xml:space="preserve">, </w:t>
      </w:r>
      <w:proofErr w:type="spellStart"/>
      <w:r w:rsidRPr="00757A94">
        <w:rPr>
          <w:szCs w:val="22"/>
          <w:lang w:val="sk-SK" w:eastAsia="en-US"/>
        </w:rPr>
        <w:t>isavukonazol</w:t>
      </w:r>
      <w:proofErr w:type="spellEnd"/>
      <w:r w:rsidRPr="00757A94">
        <w:rPr>
          <w:szCs w:val="22"/>
          <w:lang w:val="sk-SK" w:eastAsia="en-US"/>
        </w:rPr>
        <w:t xml:space="preserve">), môže znížiť </w:t>
      </w:r>
      <w:proofErr w:type="spellStart"/>
      <w:r w:rsidRPr="00757A94">
        <w:rPr>
          <w:szCs w:val="22"/>
          <w:lang w:val="sk-SK" w:eastAsia="en-US"/>
        </w:rPr>
        <w:t>renálne</w:t>
      </w:r>
      <w:proofErr w:type="spellEnd"/>
      <w:r w:rsidRPr="00757A94">
        <w:rPr>
          <w:szCs w:val="22"/>
          <w:lang w:val="sk-SK" w:eastAsia="en-US"/>
        </w:rPr>
        <w:t xml:space="preserve"> vylučovanie </w:t>
      </w:r>
      <w:proofErr w:type="spellStart"/>
      <w:r w:rsidRPr="00757A94">
        <w:rPr>
          <w:szCs w:val="22"/>
          <w:lang w:val="sk-SK" w:eastAsia="en-US"/>
        </w:rPr>
        <w:t>metformínu</w:t>
      </w:r>
      <w:proofErr w:type="spellEnd"/>
      <w:r w:rsidRPr="00757A94">
        <w:rPr>
          <w:szCs w:val="22"/>
          <w:lang w:val="sk-SK" w:eastAsia="en-US"/>
        </w:rPr>
        <w:t xml:space="preserve">, čo vedie k zvýšenej koncentrácii </w:t>
      </w:r>
      <w:proofErr w:type="spellStart"/>
      <w:r w:rsidRPr="00757A94">
        <w:rPr>
          <w:szCs w:val="22"/>
          <w:lang w:val="sk-SK" w:eastAsia="en-US"/>
        </w:rPr>
        <w:t>metformínu</w:t>
      </w:r>
      <w:proofErr w:type="spellEnd"/>
      <w:r w:rsidRPr="00757A94">
        <w:rPr>
          <w:szCs w:val="22"/>
          <w:lang w:val="sk-SK" w:eastAsia="en-US"/>
        </w:rPr>
        <w:t xml:space="preserve"> v plazme.</w:t>
      </w:r>
    </w:p>
    <w:p w14:paraId="309D6BBB" w14:textId="77777777" w:rsidR="00AE6937" w:rsidRPr="00757A94" w:rsidRDefault="00AE6937" w:rsidP="00AE6937">
      <w:pPr>
        <w:pStyle w:val="SPCnormal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Cs w:val="22"/>
          <w:lang w:val="sk-SK" w:eastAsia="en-US"/>
        </w:rPr>
      </w:pPr>
      <w:r w:rsidRPr="00757A94">
        <w:rPr>
          <w:szCs w:val="22"/>
          <w:lang w:val="sk-SK" w:eastAsia="en-US"/>
        </w:rPr>
        <w:t xml:space="preserve">inhibítormi oboch OCT1 a OCT2 (ako </w:t>
      </w:r>
      <w:proofErr w:type="spellStart"/>
      <w:r w:rsidRPr="00757A94">
        <w:rPr>
          <w:szCs w:val="22"/>
          <w:lang w:val="sk-SK" w:eastAsia="en-US"/>
        </w:rPr>
        <w:t>krizotinib</w:t>
      </w:r>
      <w:proofErr w:type="spellEnd"/>
      <w:r w:rsidRPr="00757A94">
        <w:rPr>
          <w:szCs w:val="22"/>
          <w:lang w:val="sk-SK" w:eastAsia="en-US"/>
        </w:rPr>
        <w:t xml:space="preserve">, </w:t>
      </w:r>
      <w:proofErr w:type="spellStart"/>
      <w:r w:rsidRPr="00757A94">
        <w:rPr>
          <w:szCs w:val="22"/>
          <w:lang w:val="sk-SK" w:eastAsia="en-US"/>
        </w:rPr>
        <w:t>olaparib</w:t>
      </w:r>
      <w:proofErr w:type="spellEnd"/>
      <w:r w:rsidRPr="00757A94">
        <w:rPr>
          <w:szCs w:val="22"/>
          <w:lang w:val="sk-SK" w:eastAsia="en-US"/>
        </w:rPr>
        <w:t xml:space="preserve">) môže ovplyvniť účinnosť a </w:t>
      </w:r>
      <w:proofErr w:type="spellStart"/>
      <w:r w:rsidRPr="00757A94">
        <w:rPr>
          <w:szCs w:val="22"/>
          <w:lang w:val="sk-SK" w:eastAsia="en-US"/>
        </w:rPr>
        <w:t>renálnu</w:t>
      </w:r>
      <w:proofErr w:type="spellEnd"/>
      <w:r w:rsidRPr="00757A94">
        <w:rPr>
          <w:szCs w:val="22"/>
          <w:lang w:val="sk-SK" w:eastAsia="en-US"/>
        </w:rPr>
        <w:t xml:space="preserve"> elimináciu </w:t>
      </w:r>
      <w:proofErr w:type="spellStart"/>
      <w:r w:rsidRPr="00757A94">
        <w:rPr>
          <w:szCs w:val="22"/>
          <w:lang w:val="sk-SK" w:eastAsia="en-US"/>
        </w:rPr>
        <w:t>metformínu</w:t>
      </w:r>
      <w:proofErr w:type="spellEnd"/>
      <w:r w:rsidRPr="00757A94">
        <w:rPr>
          <w:szCs w:val="22"/>
          <w:lang w:val="sk-SK" w:eastAsia="en-US"/>
        </w:rPr>
        <w:t>.</w:t>
      </w:r>
    </w:p>
    <w:p w14:paraId="223AA2C0" w14:textId="77777777" w:rsidR="00AE6937" w:rsidRPr="00956FD0" w:rsidRDefault="00AE6937" w:rsidP="00F25E58">
      <w:pPr>
        <w:pStyle w:val="SPCnormal"/>
        <w:rPr>
          <w:szCs w:val="22"/>
          <w:lang w:val="sk-SK"/>
        </w:rPr>
      </w:pPr>
      <w:r w:rsidRPr="00757A94">
        <w:rPr>
          <w:szCs w:val="22"/>
          <w:lang w:val="sk-SK" w:eastAsia="en-US"/>
        </w:rPr>
        <w:t xml:space="preserve">Opatrnosť sa preto odporúča, a to najmä u pacientov s poruchou funkcie obličiek, keď sa tieto lieky podávajú súbežne s </w:t>
      </w:r>
      <w:proofErr w:type="spellStart"/>
      <w:r w:rsidRPr="00757A94">
        <w:rPr>
          <w:szCs w:val="22"/>
          <w:lang w:val="sk-SK" w:eastAsia="en-US"/>
        </w:rPr>
        <w:t>metformínom</w:t>
      </w:r>
      <w:proofErr w:type="spellEnd"/>
      <w:r w:rsidRPr="00757A94">
        <w:rPr>
          <w:szCs w:val="22"/>
          <w:lang w:val="sk-SK" w:eastAsia="en-US"/>
        </w:rPr>
        <w:t xml:space="preserve">, pretože koncentrácia </w:t>
      </w:r>
      <w:proofErr w:type="spellStart"/>
      <w:r w:rsidRPr="00757A94">
        <w:rPr>
          <w:szCs w:val="22"/>
          <w:lang w:val="sk-SK" w:eastAsia="en-US"/>
        </w:rPr>
        <w:t>metformínu</w:t>
      </w:r>
      <w:proofErr w:type="spellEnd"/>
      <w:r w:rsidRPr="00757A94">
        <w:rPr>
          <w:szCs w:val="22"/>
          <w:lang w:val="sk-SK" w:eastAsia="en-US"/>
        </w:rPr>
        <w:t xml:space="preserve"> v plazme sa môže zvýšiť. Ak je to potrebné, môže sa zvážiť úprava dávky </w:t>
      </w:r>
      <w:proofErr w:type="spellStart"/>
      <w:r w:rsidRPr="00757A94">
        <w:rPr>
          <w:szCs w:val="22"/>
          <w:lang w:val="sk-SK" w:eastAsia="en-US"/>
        </w:rPr>
        <w:t>metformínu</w:t>
      </w:r>
      <w:proofErr w:type="spellEnd"/>
      <w:r w:rsidRPr="00757A94">
        <w:rPr>
          <w:szCs w:val="22"/>
          <w:lang w:val="sk-SK" w:eastAsia="en-US"/>
        </w:rPr>
        <w:t xml:space="preserve">, nakoľko inhibítory/induktory OCT môžu mať vplyv na účinnosť </w:t>
      </w:r>
      <w:proofErr w:type="spellStart"/>
      <w:r w:rsidRPr="00757A94">
        <w:rPr>
          <w:szCs w:val="22"/>
          <w:lang w:val="sk-SK" w:eastAsia="en-US"/>
        </w:rPr>
        <w:t>metformínu</w:t>
      </w:r>
      <w:proofErr w:type="spellEnd"/>
      <w:r w:rsidRPr="00757A94">
        <w:rPr>
          <w:szCs w:val="22"/>
          <w:lang w:val="sk-SK" w:eastAsia="en-US"/>
        </w:rPr>
        <w:t>.</w:t>
      </w:r>
    </w:p>
    <w:p w14:paraId="3E8273F8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2DA7D13A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4.6</w:t>
      </w:r>
      <w:r w:rsidRPr="00956FD0">
        <w:rPr>
          <w:b/>
          <w:sz w:val="22"/>
          <w:szCs w:val="20"/>
          <w:lang w:val="sk-SK"/>
        </w:rPr>
        <w:tab/>
      </w:r>
      <w:proofErr w:type="spellStart"/>
      <w:r w:rsidR="00D00D4F" w:rsidRPr="00956FD0">
        <w:rPr>
          <w:b/>
          <w:sz w:val="22"/>
          <w:szCs w:val="20"/>
          <w:lang w:val="sk-SK"/>
        </w:rPr>
        <w:t>Fertilita</w:t>
      </w:r>
      <w:proofErr w:type="spellEnd"/>
      <w:r w:rsidR="00D00D4F" w:rsidRPr="00956FD0">
        <w:rPr>
          <w:b/>
          <w:sz w:val="22"/>
          <w:szCs w:val="20"/>
          <w:lang w:val="sk-SK"/>
        </w:rPr>
        <w:t>, g</w:t>
      </w:r>
      <w:r w:rsidRPr="00956FD0">
        <w:rPr>
          <w:b/>
          <w:sz w:val="22"/>
          <w:szCs w:val="20"/>
          <w:lang w:val="sk-SK"/>
        </w:rPr>
        <w:t>ravidita a laktácia</w:t>
      </w:r>
    </w:p>
    <w:p w14:paraId="1A1279A3" w14:textId="77777777" w:rsidR="00D00D4F" w:rsidRPr="00956FD0" w:rsidRDefault="00D00D4F" w:rsidP="00455F29">
      <w:pPr>
        <w:rPr>
          <w:i/>
          <w:sz w:val="22"/>
          <w:szCs w:val="20"/>
          <w:lang w:val="sk-SK"/>
        </w:rPr>
      </w:pPr>
    </w:p>
    <w:p w14:paraId="51D11457" w14:textId="77777777" w:rsidR="002465DC" w:rsidRPr="00956FD0" w:rsidRDefault="00D00D4F" w:rsidP="00455F29">
      <w:pPr>
        <w:rPr>
          <w:sz w:val="22"/>
          <w:szCs w:val="20"/>
          <w:u w:val="single"/>
          <w:lang w:val="sk-SK"/>
        </w:rPr>
      </w:pPr>
      <w:r w:rsidRPr="00956FD0">
        <w:rPr>
          <w:sz w:val="22"/>
          <w:szCs w:val="20"/>
          <w:u w:val="single"/>
          <w:lang w:val="sk-SK"/>
        </w:rPr>
        <w:t>Gravidita</w:t>
      </w:r>
      <w:r w:rsidR="003B4A5E" w:rsidRPr="00956FD0">
        <w:rPr>
          <w:sz w:val="22"/>
          <w:szCs w:val="20"/>
          <w:u w:val="single"/>
          <w:lang w:val="sk-SK"/>
        </w:rPr>
        <w:t xml:space="preserve"> </w:t>
      </w:r>
    </w:p>
    <w:p w14:paraId="345D73C0" w14:textId="77777777" w:rsidR="00AE6937" w:rsidRPr="00757A94" w:rsidRDefault="00AE6937" w:rsidP="00F25E58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Nekontrolovaná hyperglykémia v </w:t>
      </w: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perikoncepčnej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fáze a počas gravidity je spojená so zvýšeným rizikom vrodených abnormalít, stratou tehotenstva, graviditou vyvolanou hypertenziou, </w:t>
      </w: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preeklampsiou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perinatálnou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mortalitou. Počas tehotenstva je dôležité udržiavať hladiny glukózy v krvi čo najbližšie k normálu, aby sa znížilo riziko nežiaducich následkov súvisiacich s hyperglykémiou pre matku a jej dieťa.</w:t>
      </w:r>
    </w:p>
    <w:p w14:paraId="002E6B50" w14:textId="77777777" w:rsidR="00AE6937" w:rsidRPr="00757A94" w:rsidRDefault="00AE6937" w:rsidP="00F25E58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FD79862" w14:textId="77777777" w:rsidR="00AE6937" w:rsidRPr="00757A94" w:rsidRDefault="00AE6937" w:rsidP="00AE6937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Metformín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prechádza placentou s hladinami, ktoré môžu byť také vysoké ako koncentrácie u matky.</w:t>
      </w:r>
    </w:p>
    <w:p w14:paraId="5CFDA38B" w14:textId="77777777" w:rsidR="00AE6937" w:rsidRPr="00757A94" w:rsidRDefault="00AE6937" w:rsidP="00AE6937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</w:p>
    <w:p w14:paraId="0977FFB2" w14:textId="77777777" w:rsidR="00AE6937" w:rsidRPr="00757A94" w:rsidRDefault="00AE6937" w:rsidP="00F25E58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Veľké množstvo údajov o tehotných ženách (viac ako 1 000 exponovaných výsledkov) z </w:t>
      </w: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kohortovej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štúdie založenej na registroch a publikovaných údajov (metaanalýzy, klinické štúdie a registre) nenaznačuje žiadne zvýšené riziko vrodených abnormalít ani fetálnej/</w:t>
      </w: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neonatálnej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toxicity po expozície </w:t>
      </w: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metformínu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v </w:t>
      </w: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perikoncepčnej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fáze a/alebo počas tehotenstva.</w:t>
      </w:r>
    </w:p>
    <w:p w14:paraId="5B990071" w14:textId="77777777" w:rsidR="00AE6937" w:rsidRPr="00757A94" w:rsidRDefault="00AE6937" w:rsidP="00F25E58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7B2D269" w14:textId="77777777" w:rsidR="00AE6937" w:rsidRPr="00757A94" w:rsidRDefault="00AE6937" w:rsidP="00F25E58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Existujú obmedzené a nepresvedčivé dôkazy o účinku </w:t>
      </w: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metformínu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na dlhodobý výsledok telesnej hmotnosti detí vystavených </w:t>
      </w:r>
      <w:r w:rsidRPr="00757A94">
        <w:rPr>
          <w:rFonts w:ascii="Times New Roman" w:hAnsi="Times New Roman" w:cs="Times New Roman"/>
          <w:i/>
          <w:sz w:val="22"/>
          <w:szCs w:val="22"/>
          <w:lang w:val="sk-SK"/>
        </w:rPr>
        <w:t xml:space="preserve">in </w:t>
      </w:r>
      <w:proofErr w:type="spellStart"/>
      <w:r w:rsidRPr="00757A94">
        <w:rPr>
          <w:rFonts w:ascii="Times New Roman" w:hAnsi="Times New Roman" w:cs="Times New Roman"/>
          <w:i/>
          <w:sz w:val="22"/>
          <w:szCs w:val="22"/>
          <w:lang w:val="sk-SK"/>
        </w:rPr>
        <w:t>utero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. Zdá sa, že </w:t>
      </w: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metformín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neovplyvňuje motorický a sociálny vývoj do veku 4 rokov u detí exponovaných počas tehotenstva, hoci údaje o dlhodobých výsledkoch sú obmedzené.</w:t>
      </w:r>
    </w:p>
    <w:p w14:paraId="423EB413" w14:textId="77777777" w:rsidR="00AE6937" w:rsidRPr="00757A94" w:rsidRDefault="00AE6937" w:rsidP="00F25E58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A8F2400" w14:textId="77777777" w:rsidR="00AE6937" w:rsidRPr="00757A94" w:rsidRDefault="00AE6937" w:rsidP="00F25E58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Ak je to klinicky potrebné, môže sa zvážiť použitie </w:t>
      </w: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metformínu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počas gravidity a v </w:t>
      </w:r>
      <w:proofErr w:type="spellStart"/>
      <w:r w:rsidRPr="00757A94">
        <w:rPr>
          <w:rFonts w:ascii="Times New Roman" w:hAnsi="Times New Roman" w:cs="Times New Roman"/>
          <w:sz w:val="22"/>
          <w:szCs w:val="22"/>
          <w:lang w:val="sk-SK"/>
        </w:rPr>
        <w:t>perikoncepčnej</w:t>
      </w:r>
      <w:proofErr w:type="spellEnd"/>
      <w:r w:rsidRPr="00757A94">
        <w:rPr>
          <w:rFonts w:ascii="Times New Roman" w:hAnsi="Times New Roman" w:cs="Times New Roman"/>
          <w:sz w:val="22"/>
          <w:szCs w:val="22"/>
          <w:lang w:val="sk-SK"/>
        </w:rPr>
        <w:t xml:space="preserve"> fáze ako prídavok alebo alternatíva k inzulínu.</w:t>
      </w:r>
    </w:p>
    <w:p w14:paraId="606511CE" w14:textId="77777777" w:rsidR="00D00D4F" w:rsidRPr="00956FD0" w:rsidRDefault="00D00D4F" w:rsidP="00503568">
      <w:pPr>
        <w:rPr>
          <w:sz w:val="22"/>
          <w:szCs w:val="22"/>
          <w:lang w:val="sk-SK"/>
        </w:rPr>
      </w:pPr>
    </w:p>
    <w:p w14:paraId="2068E4C7" w14:textId="77777777" w:rsidR="00D00D4F" w:rsidRPr="00956FD0" w:rsidRDefault="00D00D4F" w:rsidP="00503568">
      <w:pPr>
        <w:rPr>
          <w:sz w:val="22"/>
          <w:szCs w:val="22"/>
          <w:u w:val="single"/>
          <w:lang w:val="sk-SK"/>
        </w:rPr>
      </w:pPr>
      <w:r w:rsidRPr="00956FD0">
        <w:rPr>
          <w:sz w:val="22"/>
          <w:szCs w:val="22"/>
          <w:u w:val="single"/>
          <w:lang w:val="sk-SK"/>
        </w:rPr>
        <w:t>Dojčenie</w:t>
      </w:r>
    </w:p>
    <w:p w14:paraId="731D7112" w14:textId="5F70F8F0" w:rsidR="00D00D4F" w:rsidRPr="00956FD0" w:rsidRDefault="00D00D4F" w:rsidP="00D00D4F">
      <w:pPr>
        <w:rPr>
          <w:sz w:val="22"/>
          <w:szCs w:val="22"/>
          <w:lang w:val="sk-SK"/>
        </w:rPr>
      </w:pPr>
      <w:proofErr w:type="spellStart"/>
      <w:r w:rsidRPr="00956FD0">
        <w:rPr>
          <w:sz w:val="22"/>
          <w:szCs w:val="22"/>
          <w:lang w:val="sk-SK"/>
        </w:rPr>
        <w:t>Metformínsa</w:t>
      </w:r>
      <w:proofErr w:type="spellEnd"/>
      <w:r w:rsidRPr="00956FD0">
        <w:rPr>
          <w:sz w:val="22"/>
          <w:szCs w:val="22"/>
          <w:lang w:val="sk-SK"/>
        </w:rPr>
        <w:t xml:space="preserve"> vylučuje do ľudského materského mlieka. U dojčených novorodencov/dojčiat sa nepozorovali žiadne nežiaduce účinky. </w:t>
      </w:r>
      <w:r w:rsidR="001C52A9" w:rsidRPr="00956FD0">
        <w:rPr>
          <w:sz w:val="22"/>
          <w:szCs w:val="22"/>
          <w:lang w:val="sk-SK"/>
        </w:rPr>
        <w:t>Keďže však</w:t>
      </w:r>
      <w:r w:rsidRPr="00956FD0">
        <w:rPr>
          <w:sz w:val="22"/>
          <w:szCs w:val="22"/>
          <w:lang w:val="sk-SK"/>
        </w:rPr>
        <w:t xml:space="preserve"> sú k dispozícii len obmedzené údaje, počas liečby </w:t>
      </w:r>
      <w:proofErr w:type="spellStart"/>
      <w:r w:rsidRPr="00956FD0">
        <w:rPr>
          <w:sz w:val="22"/>
          <w:szCs w:val="22"/>
          <w:lang w:val="sk-SK"/>
        </w:rPr>
        <w:t>metformínom</w:t>
      </w:r>
      <w:proofErr w:type="spellEnd"/>
      <w:r w:rsidRPr="00956FD0">
        <w:rPr>
          <w:sz w:val="22"/>
          <w:szCs w:val="22"/>
          <w:lang w:val="sk-SK"/>
        </w:rPr>
        <w:t xml:space="preserve"> sa neodporúča dojčiť. Pri rozhodnutí, či prerušiť dojčenie, je potrebné zohľadniť pr</w:t>
      </w:r>
      <w:r w:rsidR="001C52A9" w:rsidRPr="00956FD0">
        <w:rPr>
          <w:sz w:val="22"/>
          <w:szCs w:val="22"/>
          <w:lang w:val="sk-SK"/>
        </w:rPr>
        <w:t>ínos</w:t>
      </w:r>
      <w:r w:rsidRPr="00956FD0">
        <w:rPr>
          <w:sz w:val="22"/>
          <w:szCs w:val="22"/>
          <w:lang w:val="sk-SK"/>
        </w:rPr>
        <w:t xml:space="preserve"> dojčenia a možné riziko nežiaducich účinkov pre dieťa.</w:t>
      </w:r>
    </w:p>
    <w:p w14:paraId="4B87A404" w14:textId="77777777" w:rsidR="00D00D4F" w:rsidRPr="00956FD0" w:rsidRDefault="00D00D4F" w:rsidP="00D00D4F">
      <w:pPr>
        <w:rPr>
          <w:sz w:val="22"/>
          <w:szCs w:val="22"/>
          <w:lang w:val="sk-SK"/>
        </w:rPr>
      </w:pPr>
    </w:p>
    <w:p w14:paraId="2DAC1D9F" w14:textId="77777777" w:rsidR="00D00D4F" w:rsidRPr="00956FD0" w:rsidRDefault="00D00D4F" w:rsidP="00D00D4F">
      <w:pPr>
        <w:rPr>
          <w:sz w:val="22"/>
          <w:szCs w:val="22"/>
          <w:u w:val="single"/>
          <w:lang w:val="sk-SK"/>
        </w:rPr>
      </w:pPr>
      <w:proofErr w:type="spellStart"/>
      <w:r w:rsidRPr="00956FD0">
        <w:rPr>
          <w:sz w:val="22"/>
          <w:szCs w:val="22"/>
          <w:u w:val="single"/>
          <w:lang w:val="sk-SK"/>
        </w:rPr>
        <w:t>Fertilita</w:t>
      </w:r>
      <w:proofErr w:type="spellEnd"/>
    </w:p>
    <w:p w14:paraId="3EF93361" w14:textId="77777777" w:rsidR="00D00D4F" w:rsidRPr="00956FD0" w:rsidRDefault="00D00D4F" w:rsidP="00D00D4F">
      <w:pPr>
        <w:rPr>
          <w:sz w:val="22"/>
          <w:szCs w:val="22"/>
          <w:lang w:val="sk-SK"/>
        </w:rPr>
      </w:pPr>
      <w:proofErr w:type="spellStart"/>
      <w:r w:rsidRPr="00956FD0">
        <w:rPr>
          <w:sz w:val="22"/>
          <w:szCs w:val="22"/>
          <w:lang w:val="sk-SK"/>
        </w:rPr>
        <w:t>Metformín</w:t>
      </w:r>
      <w:proofErr w:type="spellEnd"/>
      <w:r w:rsidRPr="00956FD0">
        <w:rPr>
          <w:sz w:val="22"/>
          <w:szCs w:val="22"/>
          <w:lang w:val="sk-SK"/>
        </w:rPr>
        <w:t xml:space="preserve"> nemal vplyv na </w:t>
      </w:r>
      <w:proofErr w:type="spellStart"/>
      <w:r w:rsidRPr="00956FD0">
        <w:rPr>
          <w:sz w:val="22"/>
          <w:szCs w:val="22"/>
          <w:lang w:val="sk-SK"/>
        </w:rPr>
        <w:t>fertilitu</w:t>
      </w:r>
      <w:proofErr w:type="spellEnd"/>
      <w:r w:rsidRPr="00956FD0">
        <w:rPr>
          <w:sz w:val="22"/>
          <w:szCs w:val="22"/>
          <w:lang w:val="sk-SK"/>
        </w:rPr>
        <w:t xml:space="preserve"> u samcov a samíc potkanov, aj keď bol podávaný v dávkach až do výšky 600 mg/kg/deň, čo predstavuje, na základe porovnania plochy tela, približne trojnásobok maximálnej odporúčanej dávky u ľudí.</w:t>
      </w:r>
    </w:p>
    <w:p w14:paraId="7934E92D" w14:textId="77777777" w:rsidR="008A27CD" w:rsidRPr="00956FD0" w:rsidRDefault="008A27CD" w:rsidP="00455F29">
      <w:pPr>
        <w:pStyle w:val="Zkladntext"/>
        <w:jc w:val="left"/>
        <w:rPr>
          <w:rFonts w:ascii="Times New Roman" w:hAnsi="Times New Roman" w:cs="Times New Roman"/>
          <w:sz w:val="22"/>
          <w:lang w:val="sk-SK"/>
        </w:rPr>
      </w:pPr>
    </w:p>
    <w:p w14:paraId="7DE2547C" w14:textId="0C0AF16C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4.7.</w:t>
      </w:r>
      <w:r w:rsidRPr="00956FD0">
        <w:rPr>
          <w:b/>
          <w:sz w:val="22"/>
          <w:szCs w:val="20"/>
          <w:lang w:val="sk-SK"/>
        </w:rPr>
        <w:tab/>
        <w:t>Ovplyvnenie schopnosti viesť vozidlá a obsluhovať stroje</w:t>
      </w:r>
    </w:p>
    <w:p w14:paraId="6ED02409" w14:textId="77777777" w:rsidR="001C52A9" w:rsidRPr="00956FD0" w:rsidRDefault="001C52A9" w:rsidP="00455F29">
      <w:pPr>
        <w:pStyle w:val="Zkladntext2"/>
        <w:jc w:val="left"/>
        <w:rPr>
          <w:rFonts w:ascii="Times New Roman" w:hAnsi="Times New Roman" w:cs="Times New Roman"/>
          <w:sz w:val="22"/>
        </w:rPr>
      </w:pPr>
    </w:p>
    <w:p w14:paraId="42036B60" w14:textId="1ADC74BC" w:rsidR="00873994" w:rsidRPr="00956FD0" w:rsidRDefault="008A27CD" w:rsidP="00455F29">
      <w:pPr>
        <w:pStyle w:val="Zkladntext2"/>
        <w:jc w:val="left"/>
        <w:rPr>
          <w:rFonts w:ascii="Times New Roman" w:hAnsi="Times New Roman" w:cs="Times New Roman"/>
          <w:sz w:val="22"/>
        </w:rPr>
      </w:pPr>
      <w:proofErr w:type="spellStart"/>
      <w:r w:rsidRPr="00956FD0">
        <w:rPr>
          <w:rFonts w:ascii="Times New Roman" w:hAnsi="Times New Roman" w:cs="Times New Roman"/>
          <w:sz w:val="22"/>
        </w:rPr>
        <w:t>Monoterapia</w:t>
      </w:r>
      <w:proofErr w:type="spellEnd"/>
      <w:r w:rsidRPr="00956FD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56FD0">
        <w:rPr>
          <w:rFonts w:ascii="Times New Roman" w:hAnsi="Times New Roman" w:cs="Times New Roman"/>
          <w:sz w:val="22"/>
        </w:rPr>
        <w:t>metformínom</w:t>
      </w:r>
      <w:proofErr w:type="spellEnd"/>
      <w:r w:rsidRPr="00956FD0">
        <w:rPr>
          <w:rFonts w:ascii="Times New Roman" w:hAnsi="Times New Roman" w:cs="Times New Roman"/>
          <w:sz w:val="22"/>
        </w:rPr>
        <w:t xml:space="preserve"> nespôsobuje hypoglykémiu, a preto nemá žiadny vplyv na schopnosť viesť vozidlá a obsluhovať stroje. </w:t>
      </w:r>
    </w:p>
    <w:p w14:paraId="183B1054" w14:textId="77777777" w:rsidR="00873994" w:rsidRPr="00956FD0" w:rsidRDefault="00873994" w:rsidP="00455F29">
      <w:pPr>
        <w:pStyle w:val="Zkladntext2"/>
        <w:jc w:val="left"/>
        <w:rPr>
          <w:rFonts w:ascii="Times New Roman" w:hAnsi="Times New Roman" w:cs="Times New Roman"/>
          <w:sz w:val="22"/>
        </w:rPr>
      </w:pPr>
    </w:p>
    <w:p w14:paraId="2CEE20D0" w14:textId="6E995772" w:rsidR="008A27CD" w:rsidRPr="00956FD0" w:rsidRDefault="008A27CD" w:rsidP="00455F29">
      <w:pPr>
        <w:pStyle w:val="Zkladntext2"/>
        <w:jc w:val="left"/>
        <w:rPr>
          <w:rFonts w:ascii="Times New Roman" w:hAnsi="Times New Roman" w:cs="Times New Roman"/>
          <w:sz w:val="22"/>
        </w:rPr>
      </w:pPr>
      <w:r w:rsidRPr="00956FD0">
        <w:rPr>
          <w:rFonts w:ascii="Times New Roman" w:hAnsi="Times New Roman" w:cs="Times New Roman"/>
          <w:sz w:val="22"/>
        </w:rPr>
        <w:t xml:space="preserve">Pacientov však treba upozorniť na riziko hypoglykémie, ak sa </w:t>
      </w:r>
      <w:proofErr w:type="spellStart"/>
      <w:r w:rsidRPr="00956FD0">
        <w:rPr>
          <w:rFonts w:ascii="Times New Roman" w:hAnsi="Times New Roman" w:cs="Times New Roman"/>
          <w:sz w:val="22"/>
        </w:rPr>
        <w:t>metformín</w:t>
      </w:r>
      <w:proofErr w:type="spellEnd"/>
      <w:r w:rsidRPr="00956FD0">
        <w:rPr>
          <w:rFonts w:ascii="Times New Roman" w:hAnsi="Times New Roman" w:cs="Times New Roman"/>
          <w:sz w:val="22"/>
        </w:rPr>
        <w:t xml:space="preserve"> používa v kombinácii s inými </w:t>
      </w:r>
      <w:proofErr w:type="spellStart"/>
      <w:r w:rsidRPr="00956FD0">
        <w:rPr>
          <w:rFonts w:ascii="Times New Roman" w:hAnsi="Times New Roman" w:cs="Times New Roman"/>
          <w:sz w:val="22"/>
        </w:rPr>
        <w:t>antidiabetikami</w:t>
      </w:r>
      <w:proofErr w:type="spellEnd"/>
      <w:r w:rsidRPr="00956FD0">
        <w:rPr>
          <w:rFonts w:ascii="Times New Roman" w:hAnsi="Times New Roman" w:cs="Times New Roman"/>
          <w:sz w:val="22"/>
        </w:rPr>
        <w:t xml:space="preserve"> (</w:t>
      </w:r>
      <w:r w:rsidR="00F07C39">
        <w:rPr>
          <w:rFonts w:ascii="Times New Roman" w:hAnsi="Times New Roman" w:cs="Times New Roman"/>
          <w:sz w:val="22"/>
        </w:rPr>
        <w:t xml:space="preserve">napr. </w:t>
      </w:r>
      <w:r w:rsidR="00503568">
        <w:rPr>
          <w:rFonts w:ascii="Times New Roman" w:hAnsi="Times New Roman" w:cs="Times New Roman"/>
          <w:sz w:val="22"/>
        </w:rPr>
        <w:t xml:space="preserve">deriváty </w:t>
      </w:r>
      <w:proofErr w:type="spellStart"/>
      <w:r w:rsidRPr="00956FD0">
        <w:rPr>
          <w:rFonts w:ascii="Times New Roman" w:hAnsi="Times New Roman" w:cs="Times New Roman"/>
          <w:sz w:val="22"/>
        </w:rPr>
        <w:t>sulfonylmočovin</w:t>
      </w:r>
      <w:r w:rsidR="00503568">
        <w:rPr>
          <w:rFonts w:ascii="Times New Roman" w:hAnsi="Times New Roman" w:cs="Times New Roman"/>
          <w:sz w:val="22"/>
        </w:rPr>
        <w:t>y</w:t>
      </w:r>
      <w:proofErr w:type="spellEnd"/>
      <w:r w:rsidRPr="00956FD0">
        <w:rPr>
          <w:rFonts w:ascii="Times New Roman" w:hAnsi="Times New Roman" w:cs="Times New Roman"/>
          <w:sz w:val="22"/>
        </w:rPr>
        <w:t>, inzulín,</w:t>
      </w:r>
      <w:r w:rsidR="001C52A9" w:rsidRPr="00956FD0">
        <w:rPr>
          <w:rFonts w:ascii="Times New Roman" w:hAnsi="Times New Roman" w:cs="Times New Roman"/>
          <w:sz w:val="22"/>
        </w:rPr>
        <w:t xml:space="preserve"> alebo </w:t>
      </w:r>
      <w:proofErr w:type="spellStart"/>
      <w:r w:rsidR="001C52A9" w:rsidRPr="00956FD0">
        <w:rPr>
          <w:rFonts w:ascii="Times New Roman" w:hAnsi="Times New Roman" w:cs="Times New Roman"/>
          <w:sz w:val="22"/>
          <w:szCs w:val="22"/>
        </w:rPr>
        <w:t>meglitinidy</w:t>
      </w:r>
      <w:proofErr w:type="spellEnd"/>
      <w:r w:rsidRPr="00956FD0">
        <w:rPr>
          <w:rFonts w:ascii="Times New Roman" w:hAnsi="Times New Roman" w:cs="Times New Roman"/>
          <w:sz w:val="22"/>
        </w:rPr>
        <w:t>).</w:t>
      </w:r>
    </w:p>
    <w:p w14:paraId="466D8B2D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73811F5A" w14:textId="0BBC97BE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4.8.</w:t>
      </w:r>
      <w:r w:rsidRPr="00956FD0">
        <w:rPr>
          <w:b/>
          <w:sz w:val="22"/>
          <w:szCs w:val="20"/>
          <w:lang w:val="sk-SK"/>
        </w:rPr>
        <w:tab/>
        <w:t>Nežiaduce účinky</w:t>
      </w:r>
    </w:p>
    <w:p w14:paraId="3B9CB003" w14:textId="77777777" w:rsidR="001C52A9" w:rsidRPr="00956FD0" w:rsidRDefault="001C52A9" w:rsidP="00455F29">
      <w:pPr>
        <w:rPr>
          <w:sz w:val="22"/>
          <w:szCs w:val="20"/>
          <w:lang w:val="sk-SK"/>
        </w:rPr>
      </w:pPr>
    </w:p>
    <w:p w14:paraId="051947B9" w14:textId="77777777" w:rsidR="009B2133" w:rsidRPr="00956FD0" w:rsidRDefault="009B2133" w:rsidP="00455F29">
      <w:pPr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Na začiatku liečby </w:t>
      </w:r>
      <w:proofErr w:type="spellStart"/>
      <w:r w:rsidR="00DF3AB4">
        <w:rPr>
          <w:sz w:val="22"/>
          <w:szCs w:val="22"/>
          <w:lang w:val="sk-SK"/>
        </w:rPr>
        <w:t>metformínom</w:t>
      </w:r>
      <w:proofErr w:type="spellEnd"/>
      <w:r w:rsidR="00DF3AB4">
        <w:rPr>
          <w:sz w:val="22"/>
          <w:szCs w:val="22"/>
          <w:lang w:val="sk-SK"/>
        </w:rPr>
        <w:t xml:space="preserve"> </w:t>
      </w:r>
      <w:r w:rsidRPr="00956FD0">
        <w:rPr>
          <w:sz w:val="22"/>
          <w:szCs w:val="22"/>
          <w:lang w:val="sk-SK"/>
        </w:rPr>
        <w:t xml:space="preserve">sú najčastejšie nežiaduce reakcie nauzea, vracanie, hnačka, bolesť brucha a strata chuti do jedla, ktoré vo väčšine prípadov spontánne vymiznú. Na ich prevenciu sa odporúča užívať </w:t>
      </w:r>
      <w:proofErr w:type="spellStart"/>
      <w:r w:rsidRPr="00956FD0">
        <w:rPr>
          <w:sz w:val="22"/>
          <w:szCs w:val="22"/>
          <w:lang w:val="sk-SK"/>
        </w:rPr>
        <w:t>metformín</w:t>
      </w:r>
      <w:proofErr w:type="spellEnd"/>
      <w:r w:rsidRPr="00956FD0">
        <w:rPr>
          <w:sz w:val="22"/>
          <w:szCs w:val="22"/>
          <w:lang w:val="sk-SK"/>
        </w:rPr>
        <w:t xml:space="preserve"> v 2 až 3 denných dávkach a zvyšovanie dávky má byť postupné. </w:t>
      </w:r>
    </w:p>
    <w:p w14:paraId="35E13583" w14:textId="77777777" w:rsidR="009B2133" w:rsidRPr="00956FD0" w:rsidRDefault="009B2133" w:rsidP="00455F29">
      <w:pPr>
        <w:rPr>
          <w:sz w:val="22"/>
          <w:szCs w:val="20"/>
          <w:lang w:val="sk-SK"/>
        </w:rPr>
      </w:pPr>
    </w:p>
    <w:p w14:paraId="1BCEAA00" w14:textId="1C608543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Pri liečbe </w:t>
      </w:r>
      <w:proofErr w:type="spellStart"/>
      <w:r w:rsidR="009B2133" w:rsidRPr="00956FD0">
        <w:rPr>
          <w:sz w:val="22"/>
          <w:szCs w:val="20"/>
          <w:lang w:val="sk-SK"/>
        </w:rPr>
        <w:t>metformín</w:t>
      </w:r>
      <w:r w:rsidR="00CB78C5">
        <w:rPr>
          <w:sz w:val="22"/>
          <w:szCs w:val="20"/>
          <w:lang w:val="sk-SK"/>
        </w:rPr>
        <w:t>on</w:t>
      </w:r>
      <w:proofErr w:type="spellEnd"/>
      <w:r w:rsidR="009B2133" w:rsidRPr="00956FD0">
        <w:rPr>
          <w:sz w:val="22"/>
          <w:szCs w:val="20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 xml:space="preserve">sa môžu objaviť nasledovné nežiaduce účinky. </w:t>
      </w:r>
    </w:p>
    <w:p w14:paraId="625C7972" w14:textId="77777777" w:rsidR="008A27CD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Frekvencie sú definované nasledovne: veľmi časté </w:t>
      </w:r>
      <w:r w:rsidRPr="00956FD0">
        <w:rPr>
          <w:sz w:val="22"/>
          <w:szCs w:val="20"/>
          <w:u w:val="single"/>
          <w:lang w:val="sk-SK"/>
        </w:rPr>
        <w:t>&gt;</w:t>
      </w:r>
      <w:r w:rsidR="00DF3AB4">
        <w:rPr>
          <w:sz w:val="22"/>
          <w:szCs w:val="20"/>
          <w:u w:val="single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 xml:space="preserve">1/10; časté </w:t>
      </w:r>
      <w:r w:rsidRPr="00956FD0">
        <w:rPr>
          <w:sz w:val="22"/>
          <w:szCs w:val="20"/>
          <w:u w:val="single"/>
          <w:lang w:val="sk-SK"/>
        </w:rPr>
        <w:t>&gt;</w:t>
      </w:r>
      <w:r w:rsidR="00DF3AB4">
        <w:rPr>
          <w:sz w:val="22"/>
          <w:szCs w:val="20"/>
          <w:u w:val="single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>1/100</w:t>
      </w:r>
      <w:r w:rsidR="009B2133" w:rsidRPr="00956FD0">
        <w:rPr>
          <w:sz w:val="22"/>
          <w:szCs w:val="20"/>
          <w:lang w:val="sk-SK"/>
        </w:rPr>
        <w:t xml:space="preserve"> až</w:t>
      </w:r>
      <w:r w:rsidRPr="00956FD0">
        <w:rPr>
          <w:sz w:val="22"/>
          <w:szCs w:val="20"/>
          <w:lang w:val="sk-SK"/>
        </w:rPr>
        <w:t xml:space="preserve"> &lt;1/10; menej časté </w:t>
      </w:r>
      <w:r w:rsidRPr="00956FD0">
        <w:rPr>
          <w:sz w:val="22"/>
          <w:szCs w:val="20"/>
          <w:u w:val="single"/>
          <w:lang w:val="sk-SK"/>
        </w:rPr>
        <w:t>&gt;</w:t>
      </w:r>
      <w:r w:rsidR="00DF3AB4">
        <w:rPr>
          <w:sz w:val="22"/>
          <w:szCs w:val="20"/>
          <w:u w:val="single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>1/1 000</w:t>
      </w:r>
      <w:r w:rsidR="009B2133" w:rsidRPr="00956FD0">
        <w:rPr>
          <w:sz w:val="22"/>
          <w:szCs w:val="20"/>
          <w:lang w:val="sk-SK"/>
        </w:rPr>
        <w:t xml:space="preserve"> až</w:t>
      </w:r>
      <w:r w:rsidRPr="00956FD0">
        <w:rPr>
          <w:sz w:val="22"/>
          <w:szCs w:val="20"/>
          <w:lang w:val="sk-SK"/>
        </w:rPr>
        <w:t xml:space="preserve"> &lt;</w:t>
      </w:r>
      <w:r w:rsidR="00DF3AB4">
        <w:rPr>
          <w:sz w:val="22"/>
          <w:szCs w:val="20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 xml:space="preserve">1/100; zriedkavé </w:t>
      </w:r>
      <w:r w:rsidRPr="00956FD0">
        <w:rPr>
          <w:sz w:val="22"/>
          <w:szCs w:val="20"/>
          <w:u w:val="single"/>
          <w:lang w:val="sk-SK"/>
        </w:rPr>
        <w:t>&gt;</w:t>
      </w:r>
      <w:r w:rsidR="00DF3AB4">
        <w:rPr>
          <w:sz w:val="22"/>
          <w:szCs w:val="20"/>
          <w:u w:val="single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>1/10 000</w:t>
      </w:r>
      <w:r w:rsidR="009B2133" w:rsidRPr="00956FD0">
        <w:rPr>
          <w:sz w:val="22"/>
          <w:szCs w:val="20"/>
          <w:lang w:val="sk-SK"/>
        </w:rPr>
        <w:t xml:space="preserve"> až</w:t>
      </w:r>
      <w:r w:rsidRPr="00956FD0">
        <w:rPr>
          <w:sz w:val="22"/>
          <w:szCs w:val="20"/>
          <w:lang w:val="sk-SK"/>
        </w:rPr>
        <w:t xml:space="preserve"> &lt;</w:t>
      </w:r>
      <w:r w:rsidR="00DF3AB4">
        <w:rPr>
          <w:sz w:val="22"/>
          <w:szCs w:val="20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>1/1 000; veľmi zriedkavé &lt;</w:t>
      </w:r>
      <w:r w:rsidR="00DF3AB4">
        <w:rPr>
          <w:sz w:val="22"/>
          <w:szCs w:val="20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>1/10 000</w:t>
      </w:r>
      <w:r w:rsidR="009B2133" w:rsidRPr="00956FD0">
        <w:rPr>
          <w:sz w:val="22"/>
          <w:szCs w:val="20"/>
          <w:lang w:val="sk-SK"/>
        </w:rPr>
        <w:t>, neznáme (z dostupných údajov)</w:t>
      </w:r>
      <w:r w:rsidR="00DF3AB4">
        <w:rPr>
          <w:sz w:val="22"/>
          <w:szCs w:val="20"/>
          <w:lang w:val="sk-SK"/>
        </w:rPr>
        <w:t>.</w:t>
      </w:r>
    </w:p>
    <w:p w14:paraId="387A3170" w14:textId="77777777" w:rsidR="00FC4D1F" w:rsidRDefault="00FC4D1F" w:rsidP="00DF3AB4">
      <w:pPr>
        <w:rPr>
          <w:sz w:val="22"/>
          <w:szCs w:val="22"/>
          <w:lang w:val="sk-SK"/>
        </w:rPr>
      </w:pPr>
    </w:p>
    <w:p w14:paraId="10ABF424" w14:textId="1463171B" w:rsidR="00DF3AB4" w:rsidRPr="00757A94" w:rsidRDefault="00DF3AB4" w:rsidP="00DF3AB4">
      <w:pPr>
        <w:rPr>
          <w:sz w:val="22"/>
          <w:szCs w:val="22"/>
          <w:lang w:val="sk-SK"/>
        </w:rPr>
      </w:pPr>
      <w:r w:rsidRPr="00757A94">
        <w:rPr>
          <w:sz w:val="22"/>
          <w:szCs w:val="22"/>
          <w:lang w:val="sk-SK"/>
        </w:rPr>
        <w:t xml:space="preserve">V rámci jednotlivých skupín frekvencií sú nežiaduce účinky usporiadané v poradí klesajúcej </w:t>
      </w:r>
    </w:p>
    <w:p w14:paraId="2FC1C7DF" w14:textId="77777777" w:rsidR="00DF3AB4" w:rsidRPr="00956FD0" w:rsidRDefault="00DF3AB4" w:rsidP="00F25E58">
      <w:pPr>
        <w:ind w:left="1942" w:hanging="1942"/>
        <w:rPr>
          <w:sz w:val="22"/>
          <w:szCs w:val="20"/>
          <w:lang w:val="sk-SK"/>
        </w:rPr>
      </w:pPr>
      <w:r w:rsidRPr="00757A94">
        <w:rPr>
          <w:sz w:val="22"/>
          <w:szCs w:val="22"/>
          <w:lang w:val="sk-SK"/>
        </w:rPr>
        <w:t>závažnosti.</w:t>
      </w:r>
    </w:p>
    <w:p w14:paraId="381D71BB" w14:textId="77777777" w:rsidR="008A27CD" w:rsidRPr="00956FD0" w:rsidRDefault="008A27CD" w:rsidP="00455F29">
      <w:pPr>
        <w:rPr>
          <w:sz w:val="22"/>
          <w:szCs w:val="20"/>
          <w:u w:val="single"/>
          <w:lang w:val="sk-SK"/>
        </w:rPr>
      </w:pPr>
    </w:p>
    <w:p w14:paraId="5CA0E3DB" w14:textId="77777777" w:rsidR="008A27CD" w:rsidRDefault="008A27CD" w:rsidP="00455F29">
      <w:pPr>
        <w:rPr>
          <w:sz w:val="22"/>
          <w:szCs w:val="20"/>
          <w:u w:val="single"/>
          <w:lang w:val="sk-SK"/>
        </w:rPr>
      </w:pPr>
      <w:r w:rsidRPr="00956FD0">
        <w:rPr>
          <w:sz w:val="22"/>
          <w:u w:val="single"/>
          <w:lang w:val="sk-SK"/>
        </w:rPr>
        <w:t>Poruchy metabolizmu a výživy</w:t>
      </w:r>
      <w:r w:rsidR="009B2133" w:rsidRPr="00956FD0">
        <w:rPr>
          <w:sz w:val="22"/>
          <w:szCs w:val="20"/>
          <w:u w:val="single"/>
          <w:lang w:val="sk-SK"/>
        </w:rPr>
        <w:t>:</w:t>
      </w:r>
    </w:p>
    <w:p w14:paraId="5A851D01" w14:textId="77777777" w:rsidR="00A355F1" w:rsidRDefault="00A355F1" w:rsidP="00455F29">
      <w:pPr>
        <w:rPr>
          <w:sz w:val="22"/>
          <w:szCs w:val="20"/>
          <w:u w:val="single"/>
          <w:lang w:val="sk-SK"/>
        </w:rPr>
      </w:pPr>
    </w:p>
    <w:p w14:paraId="68FA9F64" w14:textId="7F2535E1" w:rsidR="00A355F1" w:rsidRDefault="00A355F1" w:rsidP="00455F29">
      <w:pPr>
        <w:rPr>
          <w:sz w:val="22"/>
          <w:szCs w:val="20"/>
          <w:u w:val="single"/>
          <w:lang w:val="sk-SK"/>
        </w:rPr>
      </w:pPr>
      <w:r w:rsidRPr="00F25E58">
        <w:rPr>
          <w:i/>
          <w:iCs/>
          <w:sz w:val="22"/>
          <w:szCs w:val="20"/>
          <w:u w:val="single"/>
          <w:lang w:val="sk-SK"/>
        </w:rPr>
        <w:t>Časté:</w:t>
      </w:r>
      <w:r>
        <w:rPr>
          <w:sz w:val="22"/>
          <w:szCs w:val="20"/>
          <w:u w:val="single"/>
          <w:lang w:val="sk-SK"/>
        </w:rPr>
        <w:t xml:space="preserve"> P</w:t>
      </w:r>
      <w:r w:rsidRPr="00A355F1">
        <w:rPr>
          <w:sz w:val="22"/>
          <w:szCs w:val="20"/>
          <w:u w:val="single"/>
          <w:lang w:val="sk-SK"/>
        </w:rPr>
        <w:t>okles/nedostatok vitamínu B12</w:t>
      </w:r>
      <w:r>
        <w:rPr>
          <w:sz w:val="22"/>
          <w:szCs w:val="20"/>
          <w:u w:val="single"/>
          <w:lang w:val="sk-SK"/>
        </w:rPr>
        <w:t xml:space="preserve"> (pozri časť 4.4)</w:t>
      </w:r>
    </w:p>
    <w:p w14:paraId="1AAD316B" w14:textId="77777777" w:rsidR="00A355F1" w:rsidRPr="00956FD0" w:rsidRDefault="00A355F1" w:rsidP="00455F29">
      <w:pPr>
        <w:rPr>
          <w:sz w:val="22"/>
          <w:szCs w:val="20"/>
          <w:u w:val="single"/>
          <w:lang w:val="sk-SK"/>
        </w:rPr>
      </w:pPr>
    </w:p>
    <w:p w14:paraId="235228FE" w14:textId="77777777" w:rsidR="009B2133" w:rsidRPr="00956FD0" w:rsidRDefault="008A27CD" w:rsidP="009B2133">
      <w:pPr>
        <w:rPr>
          <w:sz w:val="22"/>
          <w:szCs w:val="20"/>
          <w:lang w:val="sk-SK"/>
        </w:rPr>
      </w:pPr>
      <w:r w:rsidRPr="00956FD0">
        <w:rPr>
          <w:i/>
          <w:sz w:val="22"/>
          <w:szCs w:val="20"/>
          <w:lang w:val="sk-SK"/>
        </w:rPr>
        <w:t>Veľmi zriedkavé:</w:t>
      </w:r>
      <w:r w:rsidR="009B2133" w:rsidRPr="00956FD0">
        <w:rPr>
          <w:sz w:val="22"/>
          <w:szCs w:val="22"/>
          <w:lang w:val="sk-SK"/>
        </w:rPr>
        <w:t xml:space="preserve"> </w:t>
      </w:r>
      <w:proofErr w:type="spellStart"/>
      <w:r w:rsidR="009B2133" w:rsidRPr="00956FD0">
        <w:rPr>
          <w:sz w:val="22"/>
          <w:szCs w:val="22"/>
          <w:lang w:val="sk-SK"/>
        </w:rPr>
        <w:t>Laktátová</w:t>
      </w:r>
      <w:proofErr w:type="spellEnd"/>
      <w:r w:rsidR="009B2133" w:rsidRPr="00956FD0">
        <w:rPr>
          <w:sz w:val="22"/>
          <w:szCs w:val="22"/>
          <w:lang w:val="sk-SK"/>
        </w:rPr>
        <w:t xml:space="preserve"> acidóza (pozri časť 4.4).</w:t>
      </w:r>
    </w:p>
    <w:p w14:paraId="21FB6959" w14:textId="77777777" w:rsidR="009B2133" w:rsidRPr="00956FD0" w:rsidRDefault="009B2133" w:rsidP="00455F29">
      <w:pPr>
        <w:rPr>
          <w:i/>
          <w:sz w:val="22"/>
          <w:szCs w:val="20"/>
          <w:lang w:val="sk-SK"/>
        </w:rPr>
      </w:pPr>
    </w:p>
    <w:p w14:paraId="75F5296F" w14:textId="403ECFE9" w:rsidR="002465DC" w:rsidRPr="00956FD0" w:rsidRDefault="002465DC" w:rsidP="00455F29">
      <w:pPr>
        <w:rPr>
          <w:sz w:val="22"/>
          <w:u w:val="single"/>
          <w:lang w:val="sk-SK"/>
        </w:rPr>
      </w:pPr>
    </w:p>
    <w:p w14:paraId="59437671" w14:textId="77777777" w:rsidR="008A27CD" w:rsidRPr="00956FD0" w:rsidRDefault="008A27CD" w:rsidP="00455F29">
      <w:pPr>
        <w:rPr>
          <w:sz w:val="22"/>
          <w:szCs w:val="20"/>
          <w:u w:val="single"/>
          <w:lang w:val="sk-SK"/>
        </w:rPr>
      </w:pPr>
      <w:r w:rsidRPr="00956FD0">
        <w:rPr>
          <w:sz w:val="22"/>
          <w:u w:val="single"/>
          <w:lang w:val="sk-SK"/>
        </w:rPr>
        <w:t>Poruchy nervového systému</w:t>
      </w:r>
      <w:r w:rsidR="009B2133" w:rsidRPr="00956FD0">
        <w:rPr>
          <w:sz w:val="22"/>
          <w:u w:val="single"/>
          <w:lang w:val="sk-SK"/>
        </w:rPr>
        <w:t>:</w:t>
      </w:r>
    </w:p>
    <w:p w14:paraId="0C23B548" w14:textId="77777777" w:rsidR="009B2133" w:rsidRPr="00956FD0" w:rsidRDefault="008A27CD" w:rsidP="009B2133">
      <w:pPr>
        <w:rPr>
          <w:sz w:val="22"/>
          <w:szCs w:val="20"/>
          <w:lang w:val="sk-SK"/>
        </w:rPr>
      </w:pPr>
      <w:r w:rsidRPr="00956FD0">
        <w:rPr>
          <w:i/>
          <w:sz w:val="22"/>
          <w:szCs w:val="20"/>
          <w:lang w:val="sk-SK"/>
        </w:rPr>
        <w:t>Časté:</w:t>
      </w:r>
      <w:r w:rsidR="009B2133" w:rsidRPr="00956FD0">
        <w:rPr>
          <w:sz w:val="22"/>
          <w:szCs w:val="20"/>
          <w:lang w:val="sk-SK"/>
        </w:rPr>
        <w:t xml:space="preserve"> Poruchy chuti. </w:t>
      </w:r>
    </w:p>
    <w:p w14:paraId="50EE31AB" w14:textId="77777777" w:rsidR="008A27CD" w:rsidRPr="00956FD0" w:rsidRDefault="008A27CD" w:rsidP="00455F29">
      <w:pPr>
        <w:rPr>
          <w:i/>
          <w:sz w:val="22"/>
          <w:szCs w:val="20"/>
          <w:lang w:val="sk-SK"/>
        </w:rPr>
      </w:pPr>
    </w:p>
    <w:p w14:paraId="5CF454E5" w14:textId="77777777" w:rsidR="002465DC" w:rsidRPr="00956FD0" w:rsidRDefault="009B2133" w:rsidP="00455F29">
      <w:pPr>
        <w:rPr>
          <w:sz w:val="22"/>
          <w:szCs w:val="20"/>
          <w:u w:val="single"/>
          <w:lang w:val="sk-SK"/>
        </w:rPr>
      </w:pPr>
      <w:r w:rsidRPr="00956FD0">
        <w:rPr>
          <w:sz w:val="22"/>
          <w:szCs w:val="20"/>
          <w:u w:val="single"/>
          <w:lang w:val="sk-SK"/>
        </w:rPr>
        <w:t xml:space="preserve">Poruchy gastrointestinálneho traktu: </w:t>
      </w:r>
    </w:p>
    <w:p w14:paraId="2469C4FD" w14:textId="0443A4A3" w:rsidR="009B2133" w:rsidRPr="00956FD0" w:rsidRDefault="008A27CD" w:rsidP="009B2133">
      <w:pPr>
        <w:rPr>
          <w:sz w:val="22"/>
          <w:szCs w:val="20"/>
          <w:lang w:val="sk-SK"/>
        </w:rPr>
      </w:pPr>
      <w:r w:rsidRPr="00956FD0">
        <w:rPr>
          <w:i/>
          <w:sz w:val="22"/>
          <w:szCs w:val="20"/>
          <w:lang w:val="sk-SK"/>
        </w:rPr>
        <w:t xml:space="preserve">Veľmi časté: </w:t>
      </w:r>
      <w:r w:rsidR="009B2133" w:rsidRPr="00956FD0">
        <w:rPr>
          <w:sz w:val="22"/>
          <w:szCs w:val="22"/>
          <w:lang w:val="sk-SK"/>
        </w:rPr>
        <w:t xml:space="preserve">Poruchy gastrointestinálneho traktu ako nauzea, vracanie, hnačka, abdominálna bolesť a strata chuti do jedla. Tieto nežiaduce účinky sa najčastejšie vyskytujú na začiatku liečby a vo väčšine prípadov spontánne odznejú. </w:t>
      </w:r>
      <w:r w:rsidR="00DF3AB4" w:rsidRPr="00F25E58">
        <w:rPr>
          <w:rFonts w:eastAsia="TimesNewRomanPSMT"/>
          <w:sz w:val="22"/>
          <w:szCs w:val="22"/>
          <w:lang w:val="sk-SK" w:eastAsia="sk-SK" w:bidi="si-LK"/>
        </w:rPr>
        <w:t>Na zabr</w:t>
      </w:r>
      <w:r w:rsidR="00607BEB">
        <w:rPr>
          <w:rFonts w:eastAsia="TimesNewRomanPSMT"/>
          <w:sz w:val="22"/>
          <w:szCs w:val="22"/>
          <w:lang w:val="sk-SK" w:eastAsia="sk-SK" w:bidi="si-LK"/>
        </w:rPr>
        <w:t>áneni</w:t>
      </w:r>
      <w:r w:rsidR="001E0859">
        <w:rPr>
          <w:rFonts w:eastAsia="TimesNewRomanPSMT"/>
          <w:sz w:val="22"/>
          <w:szCs w:val="22"/>
          <w:lang w:val="sk-SK" w:eastAsia="sk-SK" w:bidi="si-LK"/>
        </w:rPr>
        <w:t>u</w:t>
      </w:r>
      <w:r w:rsidR="00607BEB">
        <w:rPr>
          <w:rFonts w:eastAsia="TimesNewRomanPSMT"/>
          <w:sz w:val="22"/>
          <w:szCs w:val="22"/>
          <w:lang w:val="sk-SK" w:eastAsia="sk-SK" w:bidi="si-LK"/>
        </w:rPr>
        <w:t xml:space="preserve"> vzniku týchto ťažkostí sa odporúča užívať </w:t>
      </w:r>
      <w:proofErr w:type="spellStart"/>
      <w:r w:rsidR="00607BEB">
        <w:rPr>
          <w:rFonts w:eastAsia="TimesNewRomanPSMT"/>
          <w:sz w:val="22"/>
          <w:szCs w:val="22"/>
          <w:lang w:val="sk-SK" w:eastAsia="sk-SK" w:bidi="si-LK"/>
        </w:rPr>
        <w:t>metformín</w:t>
      </w:r>
      <w:proofErr w:type="spellEnd"/>
      <w:r w:rsidR="00607BEB">
        <w:rPr>
          <w:rFonts w:eastAsia="TimesNewRomanPSMT"/>
          <w:sz w:val="22"/>
          <w:szCs w:val="22"/>
          <w:lang w:val="sk-SK" w:eastAsia="sk-SK" w:bidi="si-LK"/>
        </w:rPr>
        <w:t xml:space="preserve"> v 2 alebo 3 denných dávkach počas jedla alebo po jedle. </w:t>
      </w:r>
      <w:r w:rsidR="009B2133" w:rsidRPr="00956FD0">
        <w:rPr>
          <w:sz w:val="22"/>
          <w:szCs w:val="22"/>
          <w:lang w:val="sk-SK"/>
        </w:rPr>
        <w:t>Pomalé zvyšovanie dávky môže tiež zlepšiť gastrointestinálnu toleranciu.</w:t>
      </w:r>
    </w:p>
    <w:p w14:paraId="08B6D1B0" w14:textId="77777777" w:rsidR="002465DC" w:rsidRPr="00956FD0" w:rsidRDefault="002465DC" w:rsidP="009B2133">
      <w:pPr>
        <w:rPr>
          <w:sz w:val="22"/>
          <w:u w:val="single"/>
          <w:lang w:val="sk-SK"/>
        </w:rPr>
      </w:pPr>
    </w:p>
    <w:p w14:paraId="6897141E" w14:textId="77777777" w:rsidR="009B2133" w:rsidRPr="00956FD0" w:rsidRDefault="009B2133" w:rsidP="009B2133">
      <w:pPr>
        <w:rPr>
          <w:sz w:val="22"/>
          <w:szCs w:val="20"/>
          <w:u w:val="single"/>
          <w:lang w:val="sk-SK"/>
        </w:rPr>
      </w:pPr>
      <w:r w:rsidRPr="00956FD0">
        <w:rPr>
          <w:sz w:val="22"/>
          <w:u w:val="single"/>
          <w:lang w:val="sk-SK"/>
        </w:rPr>
        <w:t>Poruchy pečene a žlčových ciest:</w:t>
      </w:r>
    </w:p>
    <w:p w14:paraId="06EBB22C" w14:textId="77777777" w:rsidR="00FB1394" w:rsidRPr="00956FD0" w:rsidRDefault="009B2133" w:rsidP="00FB1394">
      <w:pPr>
        <w:rPr>
          <w:sz w:val="22"/>
          <w:szCs w:val="20"/>
          <w:lang w:val="sk-SK"/>
        </w:rPr>
      </w:pPr>
      <w:r w:rsidRPr="00956FD0">
        <w:rPr>
          <w:i/>
          <w:sz w:val="22"/>
          <w:szCs w:val="20"/>
          <w:lang w:val="sk-SK"/>
        </w:rPr>
        <w:t>Veľmi zriedkavé:</w:t>
      </w:r>
      <w:r w:rsidR="00FB1394" w:rsidRPr="00956FD0">
        <w:rPr>
          <w:sz w:val="22"/>
          <w:szCs w:val="22"/>
          <w:lang w:val="sk-SK"/>
        </w:rPr>
        <w:t xml:space="preserve"> Jednotlivé hlásenia funkčných abnormalít pečene alebo hepatitídy, ktoré odzneli po prerušení užívania </w:t>
      </w:r>
      <w:proofErr w:type="spellStart"/>
      <w:r w:rsidR="00FB1394" w:rsidRPr="00956FD0">
        <w:rPr>
          <w:sz w:val="22"/>
          <w:szCs w:val="22"/>
          <w:lang w:val="sk-SK"/>
        </w:rPr>
        <w:t>metformínu</w:t>
      </w:r>
      <w:proofErr w:type="spellEnd"/>
      <w:r w:rsidR="00FB1394" w:rsidRPr="00956FD0">
        <w:rPr>
          <w:sz w:val="22"/>
          <w:szCs w:val="22"/>
          <w:lang w:val="sk-SK"/>
        </w:rPr>
        <w:t>.</w:t>
      </w:r>
    </w:p>
    <w:p w14:paraId="1B1EEB59" w14:textId="77777777" w:rsidR="008A27CD" w:rsidRPr="00956FD0" w:rsidRDefault="008A27CD" w:rsidP="00455F29">
      <w:pPr>
        <w:rPr>
          <w:i/>
          <w:sz w:val="22"/>
          <w:szCs w:val="20"/>
          <w:lang w:val="sk-SK"/>
        </w:rPr>
      </w:pPr>
    </w:p>
    <w:p w14:paraId="0C377300" w14:textId="77777777" w:rsidR="008A27CD" w:rsidRPr="00956FD0" w:rsidRDefault="008A27CD" w:rsidP="00455F29">
      <w:pPr>
        <w:outlineLvl w:val="0"/>
        <w:rPr>
          <w:sz w:val="22"/>
          <w:szCs w:val="20"/>
          <w:u w:val="single"/>
          <w:lang w:val="sk-SK"/>
        </w:rPr>
      </w:pPr>
      <w:r w:rsidRPr="00956FD0">
        <w:rPr>
          <w:sz w:val="22"/>
          <w:szCs w:val="20"/>
          <w:u w:val="single"/>
          <w:lang w:val="sk-SK"/>
        </w:rPr>
        <w:t>Poruchy kože a podkožného tkaniva</w:t>
      </w:r>
      <w:r w:rsidR="00FB1394" w:rsidRPr="00956FD0">
        <w:rPr>
          <w:sz w:val="22"/>
          <w:szCs w:val="20"/>
          <w:u w:val="single"/>
          <w:lang w:val="sk-SK"/>
        </w:rPr>
        <w:t>:</w:t>
      </w:r>
    </w:p>
    <w:p w14:paraId="46438D48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i/>
          <w:sz w:val="22"/>
          <w:szCs w:val="20"/>
          <w:lang w:val="sk-SK"/>
        </w:rPr>
        <w:lastRenderedPageBreak/>
        <w:t>Veľmi zriedkavé:</w:t>
      </w:r>
      <w:r w:rsidR="00FB1394" w:rsidRPr="00956FD0">
        <w:rPr>
          <w:i/>
          <w:sz w:val="22"/>
          <w:szCs w:val="20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 xml:space="preserve">Kožné reakcie ako je </w:t>
      </w:r>
      <w:proofErr w:type="spellStart"/>
      <w:r w:rsidRPr="00956FD0">
        <w:rPr>
          <w:sz w:val="22"/>
          <w:szCs w:val="20"/>
          <w:lang w:val="sk-SK"/>
        </w:rPr>
        <w:t>erytém</w:t>
      </w:r>
      <w:proofErr w:type="spellEnd"/>
      <w:r w:rsidRPr="00956FD0">
        <w:rPr>
          <w:sz w:val="22"/>
          <w:szCs w:val="20"/>
          <w:lang w:val="sk-SK"/>
        </w:rPr>
        <w:t>, svrbenie</w:t>
      </w:r>
      <w:r w:rsidR="00FB1394" w:rsidRPr="00956FD0">
        <w:rPr>
          <w:sz w:val="22"/>
          <w:szCs w:val="20"/>
          <w:lang w:val="sk-SK"/>
        </w:rPr>
        <w:t>,</w:t>
      </w:r>
      <w:r w:rsidRPr="00956FD0">
        <w:rPr>
          <w:sz w:val="22"/>
          <w:szCs w:val="20"/>
          <w:lang w:val="sk-SK"/>
        </w:rPr>
        <w:t xml:space="preserve"> žihľavka.</w:t>
      </w:r>
    </w:p>
    <w:p w14:paraId="288FEB88" w14:textId="77777777" w:rsidR="002465DC" w:rsidRPr="00956FD0" w:rsidRDefault="002465DC" w:rsidP="00455F29">
      <w:pPr>
        <w:rPr>
          <w:sz w:val="22"/>
          <w:szCs w:val="20"/>
          <w:lang w:val="sk-SK"/>
        </w:rPr>
      </w:pPr>
    </w:p>
    <w:p w14:paraId="344B9B38" w14:textId="77777777" w:rsidR="002465DC" w:rsidRPr="00DF3AB4" w:rsidRDefault="00FB1394" w:rsidP="00455F29">
      <w:pPr>
        <w:rPr>
          <w:sz w:val="22"/>
          <w:szCs w:val="20"/>
          <w:u w:val="single"/>
          <w:lang w:val="sk-SK"/>
        </w:rPr>
      </w:pPr>
      <w:r w:rsidRPr="00F25E58">
        <w:rPr>
          <w:sz w:val="22"/>
          <w:u w:val="single"/>
          <w:lang w:val="sk-SK"/>
        </w:rPr>
        <w:t xml:space="preserve">Pediatrická populácia </w:t>
      </w:r>
    </w:p>
    <w:p w14:paraId="538E92E0" w14:textId="320FB717" w:rsidR="008A27CD" w:rsidRPr="00956FD0" w:rsidRDefault="008A27CD" w:rsidP="00455F29">
      <w:pPr>
        <w:pStyle w:val="Zkladntext2"/>
        <w:jc w:val="left"/>
        <w:rPr>
          <w:rFonts w:ascii="Times New Roman" w:hAnsi="Times New Roman" w:cs="Times New Roman"/>
          <w:sz w:val="22"/>
        </w:rPr>
      </w:pPr>
      <w:r w:rsidRPr="00956FD0">
        <w:rPr>
          <w:rFonts w:ascii="Times New Roman" w:hAnsi="Times New Roman" w:cs="Times New Roman"/>
          <w:sz w:val="22"/>
        </w:rPr>
        <w:t xml:space="preserve">V publikovaných a </w:t>
      </w:r>
      <w:proofErr w:type="spellStart"/>
      <w:r w:rsidRPr="00956FD0">
        <w:rPr>
          <w:rFonts w:ascii="Times New Roman" w:hAnsi="Times New Roman" w:cs="Times New Roman"/>
          <w:sz w:val="22"/>
        </w:rPr>
        <w:t>postmarketingových</w:t>
      </w:r>
      <w:proofErr w:type="spellEnd"/>
      <w:r w:rsidRPr="00956FD0">
        <w:rPr>
          <w:rFonts w:ascii="Times New Roman" w:hAnsi="Times New Roman" w:cs="Times New Roman"/>
          <w:sz w:val="22"/>
        </w:rPr>
        <w:t xml:space="preserve"> údajoch a v kontrolovaných klinických štúdiách s limitovanou detskou populáciou vo veku 10</w:t>
      </w:r>
      <w:r w:rsidR="00FB1394" w:rsidRPr="00956FD0">
        <w:rPr>
          <w:rFonts w:ascii="Times New Roman" w:hAnsi="Times New Roman" w:cs="Times New Roman"/>
          <w:sz w:val="22"/>
        </w:rPr>
        <w:t xml:space="preserve"> </w:t>
      </w:r>
      <w:r w:rsidR="00DF3AB4">
        <w:rPr>
          <w:rFonts w:ascii="Times New Roman" w:hAnsi="Times New Roman" w:cs="Times New Roman"/>
          <w:sz w:val="22"/>
        </w:rPr>
        <w:t>-</w:t>
      </w:r>
      <w:r w:rsidR="00FB1394" w:rsidRPr="00956FD0">
        <w:rPr>
          <w:rFonts w:ascii="Times New Roman" w:hAnsi="Times New Roman" w:cs="Times New Roman"/>
          <w:sz w:val="22"/>
        </w:rPr>
        <w:t xml:space="preserve"> </w:t>
      </w:r>
      <w:r w:rsidRPr="00956FD0">
        <w:rPr>
          <w:rFonts w:ascii="Times New Roman" w:hAnsi="Times New Roman" w:cs="Times New Roman"/>
          <w:sz w:val="22"/>
        </w:rPr>
        <w:t>16 rokov liečenou počas 1 roka boli zaznamenan</w:t>
      </w:r>
      <w:r w:rsidR="00FB1394" w:rsidRPr="00956FD0">
        <w:rPr>
          <w:rFonts w:ascii="Times New Roman" w:hAnsi="Times New Roman" w:cs="Times New Roman"/>
          <w:sz w:val="22"/>
        </w:rPr>
        <w:t>á</w:t>
      </w:r>
      <w:r w:rsidRPr="00956FD0">
        <w:rPr>
          <w:rFonts w:ascii="Times New Roman" w:hAnsi="Times New Roman" w:cs="Times New Roman"/>
          <w:sz w:val="22"/>
        </w:rPr>
        <w:t xml:space="preserve"> nežiaduc</w:t>
      </w:r>
      <w:r w:rsidR="00FB1394" w:rsidRPr="00956FD0">
        <w:rPr>
          <w:rFonts w:ascii="Times New Roman" w:hAnsi="Times New Roman" w:cs="Times New Roman"/>
          <w:sz w:val="22"/>
        </w:rPr>
        <w:t>a</w:t>
      </w:r>
      <w:r w:rsidRPr="00956FD0">
        <w:rPr>
          <w:rFonts w:ascii="Times New Roman" w:hAnsi="Times New Roman" w:cs="Times New Roman"/>
          <w:sz w:val="22"/>
        </w:rPr>
        <w:t xml:space="preserve"> udalos</w:t>
      </w:r>
      <w:r w:rsidR="00FB1394" w:rsidRPr="00956FD0">
        <w:rPr>
          <w:rFonts w:ascii="Times New Roman" w:hAnsi="Times New Roman" w:cs="Times New Roman"/>
          <w:sz w:val="22"/>
        </w:rPr>
        <w:t>ť</w:t>
      </w:r>
      <w:r w:rsidRPr="00956FD0">
        <w:rPr>
          <w:rFonts w:ascii="Times New Roman" w:hAnsi="Times New Roman" w:cs="Times New Roman"/>
          <w:sz w:val="22"/>
        </w:rPr>
        <w:t xml:space="preserve"> podobn</w:t>
      </w:r>
      <w:r w:rsidR="00FB1394" w:rsidRPr="00956FD0">
        <w:rPr>
          <w:rFonts w:ascii="Times New Roman" w:hAnsi="Times New Roman" w:cs="Times New Roman"/>
          <w:sz w:val="22"/>
        </w:rPr>
        <w:t>á</w:t>
      </w:r>
      <w:r w:rsidRPr="00956FD0">
        <w:rPr>
          <w:rFonts w:ascii="Times New Roman" w:hAnsi="Times New Roman" w:cs="Times New Roman"/>
          <w:sz w:val="22"/>
        </w:rPr>
        <w:t xml:space="preserve"> charakterom i závažnosťou tým, ktoré sa zaznamenali u dospelých. </w:t>
      </w:r>
    </w:p>
    <w:p w14:paraId="1FA58BEB" w14:textId="77777777" w:rsidR="00103D98" w:rsidRPr="00956FD0" w:rsidRDefault="00103D98" w:rsidP="00455F29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</w:p>
    <w:p w14:paraId="2CF58978" w14:textId="77777777" w:rsidR="00103D98" w:rsidRPr="00956FD0" w:rsidRDefault="00103D98" w:rsidP="00455F29">
      <w:pPr>
        <w:suppressLineNumbers/>
        <w:adjustRightInd w:val="0"/>
        <w:rPr>
          <w:sz w:val="22"/>
          <w:szCs w:val="22"/>
          <w:u w:val="single"/>
          <w:lang w:val="sk-SK"/>
        </w:rPr>
      </w:pPr>
      <w:r w:rsidRPr="00956FD0">
        <w:rPr>
          <w:sz w:val="22"/>
          <w:szCs w:val="22"/>
          <w:u w:val="single"/>
          <w:lang w:val="sk-SK"/>
        </w:rPr>
        <w:t>Hlásenie podozrení na nežiaduce reakcie</w:t>
      </w:r>
    </w:p>
    <w:p w14:paraId="2F3116BA" w14:textId="77777777" w:rsidR="008E5DC0" w:rsidRPr="00F25E58" w:rsidRDefault="00956FD0" w:rsidP="008E5DC0">
      <w:pPr>
        <w:suppressLineNumbers/>
        <w:adjustRightInd w:val="0"/>
        <w:rPr>
          <w:noProof/>
          <w:sz w:val="22"/>
          <w:szCs w:val="20"/>
        </w:rPr>
      </w:pPr>
      <w:r w:rsidRPr="00956FD0">
        <w:rPr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="008E5DC0" w:rsidRPr="00B56B87">
        <w:rPr>
          <w:noProof/>
          <w:szCs w:val="22"/>
        </w:rPr>
        <w:t xml:space="preserve">na </w:t>
      </w:r>
      <w:r w:rsidR="008E5DC0" w:rsidRPr="00F25E58">
        <w:rPr>
          <w:noProof/>
          <w:sz w:val="22"/>
          <w:szCs w:val="20"/>
          <w:highlight w:val="lightGray"/>
        </w:rPr>
        <w:t>národné centrum hlásenia uvedené v </w:t>
      </w:r>
      <w:hyperlink r:id="rId8" w:history="1">
        <w:r w:rsidR="008E5DC0" w:rsidRPr="00F25E58">
          <w:rPr>
            <w:rStyle w:val="Hypertextovprepojenie"/>
            <w:noProof/>
            <w:sz w:val="22"/>
            <w:szCs w:val="20"/>
            <w:highlight w:val="lightGray"/>
          </w:rPr>
          <w:t>Prílohe V</w:t>
        </w:r>
      </w:hyperlink>
      <w:r w:rsidR="008E5DC0" w:rsidRPr="00F25E58">
        <w:rPr>
          <w:noProof/>
          <w:sz w:val="22"/>
          <w:szCs w:val="20"/>
        </w:rPr>
        <w:t>.</w:t>
      </w:r>
      <w:r w:rsidR="008E5DC0" w:rsidRPr="00F25E58">
        <w:rPr>
          <w:color w:val="008000"/>
          <w:sz w:val="22"/>
          <w:szCs w:val="22"/>
        </w:rPr>
        <w:t>*</w:t>
      </w:r>
    </w:p>
    <w:p w14:paraId="4B510A68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7F090D92" w14:textId="29292E62" w:rsidR="008A27CD" w:rsidRPr="00956FD0" w:rsidRDefault="008A27CD" w:rsidP="00455F29">
      <w:pPr>
        <w:outlineLvl w:val="0"/>
        <w:rPr>
          <w:b/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4.9.</w:t>
      </w:r>
      <w:r w:rsidRPr="00956FD0">
        <w:rPr>
          <w:b/>
          <w:sz w:val="22"/>
          <w:szCs w:val="20"/>
          <w:lang w:val="sk-SK"/>
        </w:rPr>
        <w:tab/>
        <w:t>Predávkovanie</w:t>
      </w:r>
    </w:p>
    <w:p w14:paraId="195A996B" w14:textId="77777777" w:rsidR="00956FD0" w:rsidRPr="00956FD0" w:rsidRDefault="00956FD0" w:rsidP="00455F29">
      <w:pPr>
        <w:rPr>
          <w:sz w:val="22"/>
          <w:szCs w:val="20"/>
          <w:lang w:val="sk-SK"/>
        </w:rPr>
      </w:pPr>
    </w:p>
    <w:p w14:paraId="43BC6F9E" w14:textId="1041D775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Pri dávkach </w:t>
      </w:r>
      <w:proofErr w:type="spellStart"/>
      <w:r w:rsidRPr="00956FD0">
        <w:rPr>
          <w:sz w:val="22"/>
          <w:szCs w:val="20"/>
          <w:lang w:val="sk-SK"/>
        </w:rPr>
        <w:t>metformínu</w:t>
      </w:r>
      <w:proofErr w:type="spellEnd"/>
      <w:r w:rsidRPr="00956FD0">
        <w:rPr>
          <w:sz w:val="22"/>
          <w:szCs w:val="20"/>
          <w:lang w:val="sk-SK"/>
        </w:rPr>
        <w:t xml:space="preserve"> až do 85 g sa nepozorovala hypoglykémia, hoci sa v týchto situáciách objavila </w:t>
      </w:r>
      <w:proofErr w:type="spellStart"/>
      <w:r w:rsidRPr="00956FD0">
        <w:rPr>
          <w:sz w:val="22"/>
          <w:szCs w:val="20"/>
          <w:lang w:val="sk-SK"/>
        </w:rPr>
        <w:t>laktátová</w:t>
      </w:r>
      <w:proofErr w:type="spellEnd"/>
      <w:r w:rsidRPr="00956FD0">
        <w:rPr>
          <w:sz w:val="22"/>
          <w:szCs w:val="20"/>
          <w:lang w:val="sk-SK"/>
        </w:rPr>
        <w:t xml:space="preserve"> acidóza. Vysoké predávkovanie </w:t>
      </w:r>
      <w:proofErr w:type="spellStart"/>
      <w:r w:rsidRPr="00956FD0">
        <w:rPr>
          <w:sz w:val="22"/>
          <w:szCs w:val="20"/>
          <w:lang w:val="sk-SK"/>
        </w:rPr>
        <w:t>metformínom</w:t>
      </w:r>
      <w:proofErr w:type="spellEnd"/>
      <w:r w:rsidRPr="00956FD0">
        <w:rPr>
          <w:sz w:val="22"/>
          <w:szCs w:val="20"/>
          <w:lang w:val="sk-SK"/>
        </w:rPr>
        <w:t xml:space="preserve"> alebo sprievodné riziká môžu viesť k </w:t>
      </w:r>
      <w:proofErr w:type="spellStart"/>
      <w:r w:rsidRPr="00956FD0">
        <w:rPr>
          <w:sz w:val="22"/>
          <w:szCs w:val="20"/>
          <w:lang w:val="sk-SK"/>
        </w:rPr>
        <w:t>laktátovej</w:t>
      </w:r>
      <w:proofErr w:type="spellEnd"/>
      <w:r w:rsidRPr="00956FD0">
        <w:rPr>
          <w:sz w:val="22"/>
          <w:szCs w:val="20"/>
          <w:lang w:val="sk-SK"/>
        </w:rPr>
        <w:t xml:space="preserve"> acidóze. </w:t>
      </w:r>
      <w:proofErr w:type="spellStart"/>
      <w:r w:rsidRPr="00956FD0">
        <w:rPr>
          <w:sz w:val="22"/>
          <w:szCs w:val="20"/>
          <w:lang w:val="sk-SK"/>
        </w:rPr>
        <w:t>Laktátová</w:t>
      </w:r>
      <w:proofErr w:type="spellEnd"/>
      <w:r w:rsidRPr="00956FD0">
        <w:rPr>
          <w:sz w:val="22"/>
          <w:szCs w:val="20"/>
          <w:lang w:val="sk-SK"/>
        </w:rPr>
        <w:t xml:space="preserve"> acidóza je náhly stav, ktorý sa musí sa liečiť v nemocnici. Najúčinnejšia metóda na odstránenie laktátu a </w:t>
      </w:r>
      <w:proofErr w:type="spellStart"/>
      <w:r w:rsidRPr="00956FD0">
        <w:rPr>
          <w:sz w:val="22"/>
          <w:szCs w:val="20"/>
          <w:lang w:val="sk-SK"/>
        </w:rPr>
        <w:t>metformínu</w:t>
      </w:r>
      <w:proofErr w:type="spellEnd"/>
      <w:r w:rsidRPr="00956FD0">
        <w:rPr>
          <w:sz w:val="22"/>
          <w:szCs w:val="20"/>
          <w:lang w:val="sk-SK"/>
        </w:rPr>
        <w:t xml:space="preserve"> je hemodialýza.</w:t>
      </w:r>
    </w:p>
    <w:p w14:paraId="2F12E0C2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02453C96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3531EC42" w14:textId="48F35555" w:rsidR="008A27CD" w:rsidRPr="00956FD0" w:rsidRDefault="008A27CD" w:rsidP="00455F29">
      <w:pPr>
        <w:outlineLvl w:val="0"/>
        <w:rPr>
          <w:caps/>
          <w:sz w:val="22"/>
          <w:szCs w:val="20"/>
          <w:lang w:val="sk-SK"/>
        </w:rPr>
      </w:pPr>
      <w:r w:rsidRPr="00956FD0">
        <w:rPr>
          <w:b/>
          <w:caps/>
          <w:sz w:val="22"/>
          <w:szCs w:val="20"/>
          <w:lang w:val="sk-SK"/>
        </w:rPr>
        <w:t>5.</w:t>
      </w:r>
      <w:r w:rsidRPr="00956FD0">
        <w:rPr>
          <w:b/>
          <w:caps/>
          <w:sz w:val="22"/>
          <w:szCs w:val="20"/>
          <w:lang w:val="sk-SK"/>
        </w:rPr>
        <w:tab/>
        <w:t>Farmakologické vlastnosti</w:t>
      </w:r>
    </w:p>
    <w:p w14:paraId="5741686F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03504D9C" w14:textId="3A1D6FB4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5.1</w:t>
      </w:r>
      <w:r w:rsidRPr="00956FD0">
        <w:rPr>
          <w:b/>
          <w:sz w:val="22"/>
          <w:szCs w:val="20"/>
          <w:lang w:val="sk-SK"/>
        </w:rPr>
        <w:tab/>
      </w:r>
      <w:proofErr w:type="spellStart"/>
      <w:r w:rsidRPr="00956FD0">
        <w:rPr>
          <w:b/>
          <w:sz w:val="22"/>
          <w:szCs w:val="20"/>
          <w:lang w:val="sk-SK"/>
        </w:rPr>
        <w:t>Farmakodynamické</w:t>
      </w:r>
      <w:proofErr w:type="spellEnd"/>
      <w:r w:rsidRPr="00956FD0">
        <w:rPr>
          <w:b/>
          <w:sz w:val="22"/>
          <w:szCs w:val="20"/>
          <w:lang w:val="sk-SK"/>
        </w:rPr>
        <w:t xml:space="preserve"> vlastnosti</w:t>
      </w:r>
    </w:p>
    <w:p w14:paraId="3ABE00A3" w14:textId="77777777" w:rsidR="009D490D" w:rsidRPr="00956FD0" w:rsidRDefault="009D490D" w:rsidP="00455F29">
      <w:pPr>
        <w:rPr>
          <w:sz w:val="22"/>
          <w:szCs w:val="20"/>
          <w:lang w:val="sk-SK"/>
        </w:rPr>
      </w:pPr>
    </w:p>
    <w:p w14:paraId="262B3214" w14:textId="77777777" w:rsidR="008A27CD" w:rsidRPr="00956FD0" w:rsidRDefault="008B38B2" w:rsidP="00455F29">
      <w:pPr>
        <w:rPr>
          <w:sz w:val="22"/>
          <w:szCs w:val="20"/>
          <w:lang w:val="sk-SK"/>
        </w:rPr>
      </w:pPr>
      <w:proofErr w:type="spellStart"/>
      <w:r w:rsidRPr="00956FD0">
        <w:rPr>
          <w:sz w:val="22"/>
          <w:szCs w:val="20"/>
          <w:lang w:val="sk-SK"/>
        </w:rPr>
        <w:t>Farmakoterapeutická</w:t>
      </w:r>
      <w:proofErr w:type="spellEnd"/>
      <w:r w:rsidRPr="00956FD0">
        <w:rPr>
          <w:sz w:val="22"/>
          <w:szCs w:val="20"/>
          <w:lang w:val="sk-SK"/>
        </w:rPr>
        <w:t xml:space="preserve"> skupina: </w:t>
      </w:r>
      <w:proofErr w:type="spellStart"/>
      <w:r w:rsidR="00D8536D" w:rsidRPr="00956FD0">
        <w:rPr>
          <w:sz w:val="22"/>
          <w:szCs w:val="20"/>
          <w:lang w:val="sk-SK"/>
        </w:rPr>
        <w:t>A</w:t>
      </w:r>
      <w:r w:rsidR="008A27CD" w:rsidRPr="00956FD0">
        <w:rPr>
          <w:sz w:val="22"/>
          <w:szCs w:val="20"/>
          <w:lang w:val="sk-SK"/>
        </w:rPr>
        <w:t>ntidiabetiká</w:t>
      </w:r>
      <w:proofErr w:type="spellEnd"/>
      <w:r w:rsidR="008A27CD" w:rsidRPr="00956FD0">
        <w:rPr>
          <w:sz w:val="22"/>
          <w:szCs w:val="20"/>
          <w:lang w:val="sk-SK"/>
        </w:rPr>
        <w:t xml:space="preserve">, </w:t>
      </w:r>
      <w:proofErr w:type="spellStart"/>
      <w:r w:rsidR="008A27CD" w:rsidRPr="00956FD0">
        <w:rPr>
          <w:sz w:val="22"/>
          <w:szCs w:val="20"/>
          <w:lang w:val="sk-SK"/>
        </w:rPr>
        <w:t>biguanidy</w:t>
      </w:r>
      <w:proofErr w:type="spellEnd"/>
      <w:r w:rsidR="008A27CD" w:rsidRPr="00956FD0">
        <w:rPr>
          <w:sz w:val="22"/>
          <w:szCs w:val="20"/>
          <w:lang w:val="sk-SK"/>
        </w:rPr>
        <w:t xml:space="preserve">. </w:t>
      </w:r>
    </w:p>
    <w:p w14:paraId="622CF0F8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ATC kód: A10BA02</w:t>
      </w:r>
    </w:p>
    <w:p w14:paraId="712553C6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23ECE808" w14:textId="77777777" w:rsidR="00DF3AB4" w:rsidRPr="00757A94" w:rsidRDefault="00DF3AB4" w:rsidP="00DF3AB4">
      <w:pPr>
        <w:rPr>
          <w:sz w:val="22"/>
          <w:szCs w:val="20"/>
          <w:lang w:val="sk-SK"/>
        </w:rPr>
      </w:pPr>
    </w:p>
    <w:p w14:paraId="528E3A85" w14:textId="77777777" w:rsidR="00DF3AB4" w:rsidRPr="00757A94" w:rsidRDefault="00DF3AB4" w:rsidP="00DF3AB4">
      <w:pPr>
        <w:rPr>
          <w:sz w:val="22"/>
          <w:szCs w:val="22"/>
          <w:u w:val="single"/>
          <w:lang w:val="sk-SK"/>
        </w:rPr>
      </w:pPr>
      <w:r w:rsidRPr="00757A94">
        <w:rPr>
          <w:sz w:val="22"/>
          <w:szCs w:val="22"/>
          <w:u w:val="single"/>
          <w:lang w:val="sk-SK"/>
        </w:rPr>
        <w:t>Mechanizmus účinku</w:t>
      </w:r>
    </w:p>
    <w:p w14:paraId="3567E253" w14:textId="77777777" w:rsidR="00DF3AB4" w:rsidRDefault="00DF3AB4" w:rsidP="00DF3AB4">
      <w:pPr>
        <w:rPr>
          <w:sz w:val="22"/>
          <w:szCs w:val="20"/>
          <w:lang w:val="sk-SK"/>
        </w:rPr>
      </w:pPr>
    </w:p>
    <w:p w14:paraId="6D62541B" w14:textId="77777777" w:rsidR="00F0138B" w:rsidRPr="00F0138B" w:rsidRDefault="00F0138B" w:rsidP="00F0138B">
      <w:pPr>
        <w:rPr>
          <w:sz w:val="22"/>
          <w:szCs w:val="20"/>
          <w:lang w:val="sk-SK"/>
        </w:rPr>
      </w:pPr>
      <w:proofErr w:type="spellStart"/>
      <w:r w:rsidRPr="00F0138B">
        <w:rPr>
          <w:sz w:val="22"/>
          <w:szCs w:val="20"/>
          <w:lang w:val="sk-SK"/>
        </w:rPr>
        <w:t>Metformín</w:t>
      </w:r>
      <w:proofErr w:type="spellEnd"/>
      <w:r w:rsidRPr="00F0138B">
        <w:rPr>
          <w:sz w:val="22"/>
          <w:szCs w:val="20"/>
          <w:lang w:val="sk-SK"/>
        </w:rPr>
        <w:t xml:space="preserve"> je </w:t>
      </w:r>
      <w:proofErr w:type="spellStart"/>
      <w:r w:rsidRPr="00F0138B">
        <w:rPr>
          <w:sz w:val="22"/>
          <w:szCs w:val="20"/>
          <w:lang w:val="sk-SK"/>
        </w:rPr>
        <w:t>biguanid</w:t>
      </w:r>
      <w:proofErr w:type="spellEnd"/>
      <w:r w:rsidRPr="00F0138B">
        <w:rPr>
          <w:sz w:val="22"/>
          <w:szCs w:val="20"/>
          <w:lang w:val="sk-SK"/>
        </w:rPr>
        <w:t xml:space="preserve"> s </w:t>
      </w:r>
      <w:proofErr w:type="spellStart"/>
      <w:r w:rsidRPr="00F0138B">
        <w:rPr>
          <w:sz w:val="22"/>
          <w:szCs w:val="20"/>
          <w:lang w:val="sk-SK"/>
        </w:rPr>
        <w:t>antihyperglykemickými</w:t>
      </w:r>
      <w:proofErr w:type="spellEnd"/>
      <w:r w:rsidRPr="00F0138B">
        <w:rPr>
          <w:sz w:val="22"/>
          <w:szCs w:val="20"/>
          <w:lang w:val="sk-SK"/>
        </w:rPr>
        <w:t xml:space="preserve"> účinkami na bazálnu aj </w:t>
      </w:r>
      <w:proofErr w:type="spellStart"/>
      <w:r w:rsidRPr="00F0138B">
        <w:rPr>
          <w:sz w:val="22"/>
          <w:szCs w:val="20"/>
          <w:lang w:val="sk-SK"/>
        </w:rPr>
        <w:t>postprandiálnu</w:t>
      </w:r>
      <w:proofErr w:type="spellEnd"/>
      <w:r w:rsidRPr="00F0138B">
        <w:rPr>
          <w:sz w:val="22"/>
          <w:szCs w:val="20"/>
          <w:lang w:val="sk-SK"/>
        </w:rPr>
        <w:t xml:space="preserve"> hyperglykémiu. Nestimuluje sekréciu inzulínu, a preto nespôsobuje hypoglykémiu. </w:t>
      </w:r>
      <w:proofErr w:type="spellStart"/>
      <w:r w:rsidRPr="00F0138B">
        <w:rPr>
          <w:sz w:val="22"/>
          <w:szCs w:val="20"/>
          <w:lang w:val="sk-SK"/>
        </w:rPr>
        <w:t>Metformín</w:t>
      </w:r>
      <w:proofErr w:type="spellEnd"/>
      <w:r w:rsidRPr="00F0138B">
        <w:rPr>
          <w:sz w:val="22"/>
          <w:szCs w:val="20"/>
          <w:lang w:val="sk-SK"/>
        </w:rPr>
        <w:t xml:space="preserve"> znižuje bazálnu </w:t>
      </w:r>
      <w:proofErr w:type="spellStart"/>
      <w:r w:rsidRPr="00F0138B">
        <w:rPr>
          <w:sz w:val="22"/>
          <w:szCs w:val="20"/>
          <w:lang w:val="sk-SK"/>
        </w:rPr>
        <w:t>hyperinzulinémiu</w:t>
      </w:r>
      <w:proofErr w:type="spellEnd"/>
      <w:r w:rsidRPr="00F0138B">
        <w:rPr>
          <w:sz w:val="22"/>
          <w:szCs w:val="20"/>
          <w:lang w:val="sk-SK"/>
        </w:rPr>
        <w:t xml:space="preserve"> a v kombinácii s inzulínom znižuje potrebu inzulínu.</w:t>
      </w:r>
    </w:p>
    <w:p w14:paraId="7041745C" w14:textId="77777777" w:rsidR="00F0138B" w:rsidRPr="00F0138B" w:rsidRDefault="00F0138B" w:rsidP="00F0138B">
      <w:pPr>
        <w:rPr>
          <w:sz w:val="22"/>
          <w:szCs w:val="20"/>
          <w:lang w:val="sk-SK"/>
        </w:rPr>
      </w:pPr>
    </w:p>
    <w:p w14:paraId="1A19E4A3" w14:textId="77777777" w:rsidR="00F0138B" w:rsidRPr="00F0138B" w:rsidRDefault="00F0138B" w:rsidP="00F0138B">
      <w:pPr>
        <w:rPr>
          <w:sz w:val="22"/>
          <w:szCs w:val="20"/>
          <w:lang w:val="sk-SK"/>
        </w:rPr>
      </w:pPr>
      <w:proofErr w:type="spellStart"/>
      <w:r w:rsidRPr="00F0138B">
        <w:rPr>
          <w:sz w:val="22"/>
          <w:szCs w:val="20"/>
          <w:lang w:val="sk-SK"/>
        </w:rPr>
        <w:t>Metformín</w:t>
      </w:r>
      <w:proofErr w:type="spellEnd"/>
      <w:r w:rsidRPr="00F0138B">
        <w:rPr>
          <w:sz w:val="22"/>
          <w:szCs w:val="20"/>
          <w:lang w:val="sk-SK"/>
        </w:rPr>
        <w:t xml:space="preserve"> uplatňuje svoj </w:t>
      </w:r>
      <w:proofErr w:type="spellStart"/>
      <w:r w:rsidRPr="00F0138B">
        <w:rPr>
          <w:sz w:val="22"/>
          <w:szCs w:val="20"/>
          <w:lang w:val="sk-SK"/>
        </w:rPr>
        <w:t>antihyperglykemický</w:t>
      </w:r>
      <w:proofErr w:type="spellEnd"/>
      <w:r w:rsidRPr="00F0138B">
        <w:rPr>
          <w:sz w:val="22"/>
          <w:szCs w:val="20"/>
          <w:lang w:val="sk-SK"/>
        </w:rPr>
        <w:t xml:space="preserve"> účinok prostredníctvom viacerých mechanizmov:</w:t>
      </w:r>
    </w:p>
    <w:p w14:paraId="6E64F463" w14:textId="77777777" w:rsidR="00F0138B" w:rsidRPr="00F0138B" w:rsidRDefault="00F0138B" w:rsidP="00F0138B">
      <w:pPr>
        <w:rPr>
          <w:sz w:val="22"/>
          <w:szCs w:val="20"/>
          <w:lang w:val="sk-SK"/>
        </w:rPr>
      </w:pPr>
      <w:proofErr w:type="spellStart"/>
      <w:r w:rsidRPr="00F0138B">
        <w:rPr>
          <w:sz w:val="22"/>
          <w:szCs w:val="20"/>
          <w:lang w:val="sk-SK"/>
        </w:rPr>
        <w:t>Metformín</w:t>
      </w:r>
      <w:proofErr w:type="spellEnd"/>
      <w:r w:rsidRPr="00F0138B">
        <w:rPr>
          <w:sz w:val="22"/>
          <w:szCs w:val="20"/>
          <w:lang w:val="sk-SK"/>
        </w:rPr>
        <w:t xml:space="preserve"> znižuje produkciu glukózy v pečeni.</w:t>
      </w:r>
    </w:p>
    <w:p w14:paraId="32007C7E" w14:textId="77777777" w:rsidR="00F0138B" w:rsidRPr="00F0138B" w:rsidRDefault="00F0138B" w:rsidP="00F0138B">
      <w:pPr>
        <w:rPr>
          <w:sz w:val="22"/>
          <w:szCs w:val="20"/>
          <w:lang w:val="sk-SK"/>
        </w:rPr>
      </w:pPr>
      <w:proofErr w:type="spellStart"/>
      <w:r w:rsidRPr="00F0138B">
        <w:rPr>
          <w:sz w:val="22"/>
          <w:szCs w:val="20"/>
          <w:lang w:val="sk-SK"/>
        </w:rPr>
        <w:t>Metformín</w:t>
      </w:r>
      <w:proofErr w:type="spellEnd"/>
      <w:r w:rsidRPr="00F0138B">
        <w:rPr>
          <w:sz w:val="22"/>
          <w:szCs w:val="20"/>
          <w:lang w:val="sk-SK"/>
        </w:rPr>
        <w:t xml:space="preserve"> uľahčuje periférne vychytávanie a využitie glukózy, čiastočne zvýšením účinku inzulínu. </w:t>
      </w:r>
      <w:proofErr w:type="spellStart"/>
      <w:r w:rsidRPr="00F0138B">
        <w:rPr>
          <w:sz w:val="22"/>
          <w:szCs w:val="20"/>
          <w:lang w:val="sk-SK"/>
        </w:rPr>
        <w:t>Metformínium</w:t>
      </w:r>
      <w:proofErr w:type="spellEnd"/>
      <w:r w:rsidR="003D14DC">
        <w:rPr>
          <w:sz w:val="22"/>
          <w:szCs w:val="20"/>
          <w:lang w:val="sk-SK"/>
        </w:rPr>
        <w:t>-</w:t>
      </w:r>
      <w:r w:rsidRPr="00F0138B">
        <w:rPr>
          <w:sz w:val="22"/>
          <w:szCs w:val="20"/>
          <w:lang w:val="sk-SK"/>
        </w:rPr>
        <w:t xml:space="preserve">chlorid mení </w:t>
      </w:r>
      <w:r>
        <w:rPr>
          <w:sz w:val="22"/>
          <w:szCs w:val="20"/>
          <w:lang w:val="sk-SK"/>
        </w:rPr>
        <w:t>premenu</w:t>
      </w:r>
      <w:r w:rsidRPr="00F0138B">
        <w:rPr>
          <w:sz w:val="22"/>
          <w:szCs w:val="20"/>
          <w:lang w:val="sk-SK"/>
        </w:rPr>
        <w:t xml:space="preserve"> glukózy v čreve: Zvyšuje sa príjem z obehu a znižuje sa absorpcia z potravy. Ďalšie mechanizmy pripisované črevu zahŕňajú zvýšenie uvoľňovania </w:t>
      </w:r>
      <w:proofErr w:type="spellStart"/>
      <w:r w:rsidRPr="00F0138B">
        <w:rPr>
          <w:sz w:val="22"/>
          <w:szCs w:val="20"/>
          <w:lang w:val="sk-SK"/>
        </w:rPr>
        <w:t>glukagónu</w:t>
      </w:r>
      <w:proofErr w:type="spellEnd"/>
      <w:r w:rsidRPr="00F0138B">
        <w:rPr>
          <w:sz w:val="22"/>
          <w:szCs w:val="20"/>
          <w:lang w:val="sk-SK"/>
        </w:rPr>
        <w:t xml:space="preserve"> podobného peptidu 1 (GLP-1) a zníženie </w:t>
      </w:r>
      <w:proofErr w:type="spellStart"/>
      <w:r w:rsidRPr="00F0138B">
        <w:rPr>
          <w:sz w:val="22"/>
          <w:szCs w:val="20"/>
          <w:lang w:val="sk-SK"/>
        </w:rPr>
        <w:t>resorpcie</w:t>
      </w:r>
      <w:proofErr w:type="spellEnd"/>
      <w:r w:rsidRPr="00F0138B">
        <w:rPr>
          <w:sz w:val="22"/>
          <w:szCs w:val="20"/>
          <w:lang w:val="sk-SK"/>
        </w:rPr>
        <w:t xml:space="preserve"> žlčových kyselín. </w:t>
      </w:r>
      <w:proofErr w:type="spellStart"/>
      <w:r w:rsidRPr="00F0138B">
        <w:rPr>
          <w:sz w:val="22"/>
          <w:szCs w:val="20"/>
          <w:lang w:val="sk-SK"/>
        </w:rPr>
        <w:t>Metformín</w:t>
      </w:r>
      <w:proofErr w:type="spellEnd"/>
      <w:r w:rsidRPr="00F0138B">
        <w:rPr>
          <w:sz w:val="22"/>
          <w:szCs w:val="20"/>
          <w:lang w:val="sk-SK"/>
        </w:rPr>
        <w:t xml:space="preserve"> mení črevný </w:t>
      </w:r>
      <w:proofErr w:type="spellStart"/>
      <w:r w:rsidRPr="00F0138B">
        <w:rPr>
          <w:sz w:val="22"/>
          <w:szCs w:val="20"/>
          <w:lang w:val="sk-SK"/>
        </w:rPr>
        <w:t>mikrobióm</w:t>
      </w:r>
      <w:proofErr w:type="spellEnd"/>
      <w:r w:rsidRPr="00F0138B">
        <w:rPr>
          <w:sz w:val="22"/>
          <w:szCs w:val="20"/>
          <w:lang w:val="sk-SK"/>
        </w:rPr>
        <w:t>.</w:t>
      </w:r>
    </w:p>
    <w:p w14:paraId="57B4B16F" w14:textId="77777777" w:rsidR="00F0138B" w:rsidRPr="00F0138B" w:rsidRDefault="00F0138B" w:rsidP="00F0138B">
      <w:pPr>
        <w:rPr>
          <w:sz w:val="22"/>
          <w:szCs w:val="20"/>
          <w:lang w:val="sk-SK"/>
        </w:rPr>
      </w:pPr>
    </w:p>
    <w:p w14:paraId="4A07C9FD" w14:textId="77777777" w:rsidR="00F0138B" w:rsidRPr="00F0138B" w:rsidRDefault="00F0138B" w:rsidP="00F0138B">
      <w:pPr>
        <w:rPr>
          <w:sz w:val="22"/>
          <w:szCs w:val="20"/>
          <w:lang w:val="sk-SK"/>
        </w:rPr>
      </w:pPr>
      <w:proofErr w:type="spellStart"/>
      <w:r w:rsidRPr="00F0138B">
        <w:rPr>
          <w:sz w:val="22"/>
          <w:szCs w:val="20"/>
          <w:lang w:val="sk-SK"/>
        </w:rPr>
        <w:t>Metformín</w:t>
      </w:r>
      <w:proofErr w:type="spellEnd"/>
      <w:r w:rsidRPr="00F0138B">
        <w:rPr>
          <w:sz w:val="22"/>
          <w:szCs w:val="20"/>
          <w:lang w:val="sk-SK"/>
        </w:rPr>
        <w:t xml:space="preserve"> môže zlepšiť </w:t>
      </w:r>
      <w:proofErr w:type="spellStart"/>
      <w:r w:rsidRPr="00F0138B">
        <w:rPr>
          <w:sz w:val="22"/>
          <w:szCs w:val="20"/>
          <w:lang w:val="sk-SK"/>
        </w:rPr>
        <w:t>lipidový</w:t>
      </w:r>
      <w:proofErr w:type="spellEnd"/>
      <w:r w:rsidRPr="00F0138B">
        <w:rPr>
          <w:sz w:val="22"/>
          <w:szCs w:val="20"/>
          <w:lang w:val="sk-SK"/>
        </w:rPr>
        <w:t xml:space="preserve"> profil u </w:t>
      </w:r>
      <w:proofErr w:type="spellStart"/>
      <w:r w:rsidRPr="00F0138B">
        <w:rPr>
          <w:sz w:val="22"/>
          <w:szCs w:val="20"/>
          <w:lang w:val="sk-SK"/>
        </w:rPr>
        <w:t>hyperlipidemických</w:t>
      </w:r>
      <w:proofErr w:type="spellEnd"/>
      <w:r w:rsidRPr="00F0138B">
        <w:rPr>
          <w:sz w:val="22"/>
          <w:szCs w:val="20"/>
          <w:lang w:val="sk-SK"/>
        </w:rPr>
        <w:t xml:space="preserve"> jedincov.</w:t>
      </w:r>
    </w:p>
    <w:p w14:paraId="27DCC082" w14:textId="77777777" w:rsidR="00F0138B" w:rsidRPr="00F0138B" w:rsidRDefault="00F0138B" w:rsidP="00F0138B">
      <w:pPr>
        <w:rPr>
          <w:sz w:val="22"/>
          <w:szCs w:val="20"/>
          <w:lang w:val="sk-SK"/>
        </w:rPr>
      </w:pPr>
    </w:p>
    <w:p w14:paraId="5AD20DA5" w14:textId="77777777" w:rsidR="00F0138B" w:rsidRPr="00F0138B" w:rsidRDefault="00F0138B" w:rsidP="00F0138B">
      <w:pPr>
        <w:rPr>
          <w:sz w:val="22"/>
          <w:szCs w:val="20"/>
          <w:lang w:val="sk-SK"/>
        </w:rPr>
      </w:pPr>
      <w:r w:rsidRPr="00F0138B">
        <w:rPr>
          <w:sz w:val="22"/>
          <w:szCs w:val="20"/>
          <w:lang w:val="sk-SK"/>
        </w:rPr>
        <w:t xml:space="preserve">V klinických štúdiách bolo použitie </w:t>
      </w:r>
      <w:proofErr w:type="spellStart"/>
      <w:r w:rsidRPr="00F0138B">
        <w:rPr>
          <w:sz w:val="22"/>
          <w:szCs w:val="20"/>
          <w:lang w:val="sk-SK"/>
        </w:rPr>
        <w:t>metformínu</w:t>
      </w:r>
      <w:proofErr w:type="spellEnd"/>
      <w:r w:rsidRPr="00F0138B">
        <w:rPr>
          <w:sz w:val="22"/>
          <w:szCs w:val="20"/>
          <w:lang w:val="sk-SK"/>
        </w:rPr>
        <w:t xml:space="preserve"> spojené buď so stabilnou telesnou hmotnosťou, alebo s miernym úbytkom hmotnosti.</w:t>
      </w:r>
    </w:p>
    <w:p w14:paraId="47626BA7" w14:textId="77777777" w:rsidR="00F0138B" w:rsidRPr="00F0138B" w:rsidRDefault="00F0138B" w:rsidP="00F0138B">
      <w:pPr>
        <w:rPr>
          <w:sz w:val="22"/>
          <w:szCs w:val="20"/>
          <w:lang w:val="sk-SK"/>
        </w:rPr>
      </w:pPr>
    </w:p>
    <w:p w14:paraId="25C8B10C" w14:textId="77777777" w:rsidR="008A27CD" w:rsidRDefault="00F0138B" w:rsidP="00F0138B">
      <w:pPr>
        <w:rPr>
          <w:sz w:val="22"/>
          <w:szCs w:val="20"/>
          <w:lang w:val="sk-SK"/>
        </w:rPr>
      </w:pPr>
      <w:proofErr w:type="spellStart"/>
      <w:r w:rsidRPr="00F0138B">
        <w:rPr>
          <w:sz w:val="22"/>
          <w:szCs w:val="20"/>
          <w:lang w:val="sk-SK"/>
        </w:rPr>
        <w:t>Metformín</w:t>
      </w:r>
      <w:proofErr w:type="spellEnd"/>
      <w:r w:rsidRPr="00F0138B">
        <w:rPr>
          <w:sz w:val="22"/>
          <w:szCs w:val="20"/>
          <w:lang w:val="sk-SK"/>
        </w:rPr>
        <w:t xml:space="preserve"> je </w:t>
      </w:r>
      <w:proofErr w:type="spellStart"/>
      <w:r w:rsidRPr="00F0138B">
        <w:rPr>
          <w:sz w:val="22"/>
          <w:szCs w:val="20"/>
          <w:lang w:val="sk-SK"/>
        </w:rPr>
        <w:t>aktivátor</w:t>
      </w:r>
      <w:proofErr w:type="spellEnd"/>
      <w:r w:rsidRPr="00F0138B">
        <w:rPr>
          <w:sz w:val="22"/>
          <w:szCs w:val="20"/>
          <w:lang w:val="sk-SK"/>
        </w:rPr>
        <w:t xml:space="preserve"> </w:t>
      </w:r>
      <w:proofErr w:type="spellStart"/>
      <w:r w:rsidRPr="00F0138B">
        <w:rPr>
          <w:sz w:val="22"/>
          <w:szCs w:val="20"/>
          <w:lang w:val="sk-SK"/>
        </w:rPr>
        <w:t>adenozínmonofosfát-proteínkinázy</w:t>
      </w:r>
      <w:proofErr w:type="spellEnd"/>
      <w:r w:rsidRPr="00F0138B">
        <w:rPr>
          <w:sz w:val="22"/>
          <w:szCs w:val="20"/>
          <w:lang w:val="sk-SK"/>
        </w:rPr>
        <w:t xml:space="preserve"> (AMPK) a zvyšuje transportnú kapacitu všetkých typov membránových transportérov glukózy (GLUT)</w:t>
      </w:r>
      <w:r>
        <w:rPr>
          <w:sz w:val="22"/>
          <w:szCs w:val="20"/>
          <w:lang w:val="sk-SK"/>
        </w:rPr>
        <w:t>.</w:t>
      </w:r>
    </w:p>
    <w:p w14:paraId="1F3CE8DC" w14:textId="77777777" w:rsidR="00F0138B" w:rsidRPr="00956FD0" w:rsidRDefault="00F0138B" w:rsidP="00F0138B">
      <w:pPr>
        <w:rPr>
          <w:sz w:val="22"/>
          <w:szCs w:val="20"/>
          <w:lang w:val="sk-SK"/>
        </w:rPr>
      </w:pPr>
    </w:p>
    <w:p w14:paraId="7EBE0F0B" w14:textId="77777777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sz w:val="22"/>
          <w:szCs w:val="20"/>
          <w:u w:val="single"/>
          <w:lang w:val="sk-SK"/>
        </w:rPr>
        <w:t>Klinická účinnosť:</w:t>
      </w:r>
    </w:p>
    <w:p w14:paraId="5C541201" w14:textId="77777777" w:rsidR="008A27CD" w:rsidRPr="00956FD0" w:rsidRDefault="008A27CD" w:rsidP="00455F29">
      <w:pPr>
        <w:pStyle w:val="Zkladntext"/>
        <w:jc w:val="left"/>
        <w:rPr>
          <w:rFonts w:ascii="Times New Roman" w:hAnsi="Times New Roman" w:cs="Times New Roman"/>
          <w:sz w:val="22"/>
          <w:lang w:val="sk-SK"/>
        </w:rPr>
      </w:pP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Prospektívna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randomizovaná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 štúdia (UKPDS) potvrdila dlhodobý prínos pri kontrole glukózy v krvi </w:t>
      </w:r>
      <w:r w:rsidR="00FB1394" w:rsidRPr="00956FD0">
        <w:rPr>
          <w:rFonts w:ascii="Times New Roman" w:hAnsi="Times New Roman" w:cs="Times New Roman"/>
          <w:sz w:val="22"/>
          <w:lang w:val="sk-SK"/>
        </w:rPr>
        <w:t xml:space="preserve">dospelých pacientov </w:t>
      </w:r>
      <w:r w:rsidRPr="00956FD0">
        <w:rPr>
          <w:rFonts w:ascii="Times New Roman" w:hAnsi="Times New Roman" w:cs="Times New Roman"/>
          <w:sz w:val="22"/>
          <w:lang w:val="sk-SK"/>
        </w:rPr>
        <w:t>pri diabete 2. typu.</w:t>
      </w:r>
    </w:p>
    <w:p w14:paraId="204397B1" w14:textId="77777777" w:rsidR="008A27CD" w:rsidRPr="00956FD0" w:rsidRDefault="008A27CD" w:rsidP="00455F29">
      <w:pPr>
        <w:pStyle w:val="Zkladntext"/>
        <w:jc w:val="left"/>
        <w:rPr>
          <w:rFonts w:ascii="Times New Roman" w:hAnsi="Times New Roman" w:cs="Times New Roman"/>
          <w:sz w:val="22"/>
          <w:lang w:val="sk-SK"/>
        </w:rPr>
      </w:pPr>
    </w:p>
    <w:p w14:paraId="5C1F2748" w14:textId="52AA0859" w:rsidR="008A27CD" w:rsidRDefault="008A27CD" w:rsidP="00455F29">
      <w:pPr>
        <w:pStyle w:val="Zkladntext"/>
        <w:jc w:val="left"/>
        <w:rPr>
          <w:rFonts w:ascii="Times New Roman" w:hAnsi="Times New Roman" w:cs="Times New Roman"/>
          <w:sz w:val="22"/>
          <w:lang w:val="sk-SK"/>
        </w:rPr>
      </w:pPr>
      <w:r w:rsidRPr="00956FD0">
        <w:rPr>
          <w:rFonts w:ascii="Times New Roman" w:hAnsi="Times New Roman" w:cs="Times New Roman"/>
          <w:sz w:val="22"/>
          <w:lang w:val="sk-SK"/>
        </w:rPr>
        <w:t xml:space="preserve">Analýza výsledkov u obéznych pacientov liečených </w:t>
      </w: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metformínom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 po zlyhaní samotnej diéty ukázala:</w:t>
      </w:r>
    </w:p>
    <w:p w14:paraId="3232E806" w14:textId="77777777" w:rsidR="00F0138B" w:rsidRPr="00956FD0" w:rsidRDefault="00F0138B" w:rsidP="00455F29">
      <w:pPr>
        <w:pStyle w:val="Zkladntext"/>
        <w:jc w:val="left"/>
        <w:rPr>
          <w:rFonts w:ascii="Times New Roman" w:hAnsi="Times New Roman" w:cs="Times New Roman"/>
          <w:sz w:val="22"/>
          <w:lang w:val="sk-SK"/>
        </w:rPr>
      </w:pPr>
    </w:p>
    <w:p w14:paraId="65FBF31D" w14:textId="600F2B20" w:rsidR="008A27CD" w:rsidRPr="00956FD0" w:rsidRDefault="008A27CD" w:rsidP="00455F29">
      <w:pPr>
        <w:pStyle w:val="Zarkazkladnhotextu"/>
        <w:numPr>
          <w:ilvl w:val="0"/>
          <w:numId w:val="3"/>
        </w:numPr>
        <w:jc w:val="left"/>
        <w:rPr>
          <w:rFonts w:ascii="Times New Roman" w:hAnsi="Times New Roman" w:cs="Times New Roman"/>
          <w:sz w:val="22"/>
          <w:lang w:val="sk-SK"/>
        </w:rPr>
      </w:pPr>
      <w:r w:rsidRPr="00956FD0">
        <w:rPr>
          <w:rFonts w:ascii="Times New Roman" w:hAnsi="Times New Roman" w:cs="Times New Roman"/>
          <w:sz w:val="22"/>
          <w:lang w:val="sk-SK"/>
        </w:rPr>
        <w:lastRenderedPageBreak/>
        <w:t>významné zníženie absolútneho rizika akejkoľvek komplikácie súvisiacej s diabetom v skupine s </w:t>
      </w: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metformínom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 (29,8 udalostí/1000 </w:t>
      </w: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pacientských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 rokov) oproti samotnej diéte (43,3 udalostí/1000 </w:t>
      </w: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pacientských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 rokov), p = 0,0023 a oproti zlúčeným skupinám so </w:t>
      </w: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sulfonylmočovinou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 a inzulínom v </w:t>
      </w: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monoterapii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 (40,1 udalostí/1000 </w:t>
      </w: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pacientských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 rokov), p = 0,0034;</w:t>
      </w:r>
    </w:p>
    <w:p w14:paraId="0DAA7D93" w14:textId="40F660F0" w:rsidR="008A27CD" w:rsidRPr="00956FD0" w:rsidRDefault="008A27CD" w:rsidP="00455F29">
      <w:pPr>
        <w:numPr>
          <w:ilvl w:val="0"/>
          <w:numId w:val="3"/>
        </w:numPr>
        <w:tabs>
          <w:tab w:val="left" w:pos="426"/>
        </w:tabs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významné zníženie absolútneho rizika mortality </w:t>
      </w:r>
      <w:r w:rsidRPr="00956FD0">
        <w:rPr>
          <w:sz w:val="22"/>
          <w:lang w:val="sk-SK"/>
        </w:rPr>
        <w:t>súvisiacej s diabetom</w:t>
      </w:r>
      <w:r w:rsidRPr="00956FD0">
        <w:rPr>
          <w:sz w:val="22"/>
          <w:szCs w:val="20"/>
          <w:lang w:val="sk-SK"/>
        </w:rPr>
        <w:t xml:space="preserve">: </w:t>
      </w:r>
      <w:proofErr w:type="spellStart"/>
      <w:r w:rsidRPr="00956FD0">
        <w:rPr>
          <w:sz w:val="22"/>
          <w:szCs w:val="20"/>
          <w:lang w:val="sk-SK"/>
        </w:rPr>
        <w:t>metformín</w:t>
      </w:r>
      <w:proofErr w:type="spellEnd"/>
      <w:r w:rsidRPr="00956FD0">
        <w:rPr>
          <w:sz w:val="22"/>
          <w:szCs w:val="20"/>
          <w:lang w:val="sk-SK"/>
        </w:rPr>
        <w:t xml:space="preserve"> 7,5 udalostí/1000 </w:t>
      </w:r>
      <w:proofErr w:type="spellStart"/>
      <w:r w:rsidRPr="00956FD0">
        <w:rPr>
          <w:sz w:val="22"/>
          <w:lang w:val="sk-SK"/>
        </w:rPr>
        <w:t>pacientských</w:t>
      </w:r>
      <w:proofErr w:type="spellEnd"/>
      <w:r w:rsidRPr="00956FD0">
        <w:rPr>
          <w:sz w:val="22"/>
          <w:lang w:val="sk-SK"/>
        </w:rPr>
        <w:t xml:space="preserve"> rokov</w:t>
      </w:r>
      <w:r w:rsidR="00FB1394" w:rsidRPr="00956FD0">
        <w:rPr>
          <w:sz w:val="22"/>
          <w:lang w:val="sk-SK"/>
        </w:rPr>
        <w:t>,</w:t>
      </w:r>
      <w:r w:rsidRPr="00956FD0">
        <w:rPr>
          <w:sz w:val="22"/>
          <w:szCs w:val="20"/>
          <w:lang w:val="sk-SK"/>
        </w:rPr>
        <w:t xml:space="preserve"> samotn</w:t>
      </w:r>
      <w:r w:rsidR="00FB1394" w:rsidRPr="00956FD0">
        <w:rPr>
          <w:sz w:val="22"/>
          <w:szCs w:val="20"/>
          <w:lang w:val="sk-SK"/>
        </w:rPr>
        <w:t>á</w:t>
      </w:r>
      <w:r w:rsidRPr="00956FD0">
        <w:rPr>
          <w:sz w:val="22"/>
          <w:szCs w:val="20"/>
          <w:lang w:val="sk-SK"/>
        </w:rPr>
        <w:t xml:space="preserve"> diét</w:t>
      </w:r>
      <w:r w:rsidR="00FB1394" w:rsidRPr="00956FD0">
        <w:rPr>
          <w:sz w:val="22"/>
          <w:szCs w:val="20"/>
          <w:lang w:val="sk-SK"/>
        </w:rPr>
        <w:t>a</w:t>
      </w:r>
      <w:r w:rsidRPr="00956FD0">
        <w:rPr>
          <w:sz w:val="22"/>
          <w:szCs w:val="20"/>
          <w:lang w:val="sk-SK"/>
        </w:rPr>
        <w:t xml:space="preserve"> 12,7 udalostí/1000 </w:t>
      </w:r>
      <w:proofErr w:type="spellStart"/>
      <w:r w:rsidRPr="00956FD0">
        <w:rPr>
          <w:sz w:val="22"/>
          <w:lang w:val="sk-SK"/>
        </w:rPr>
        <w:t>pacientských</w:t>
      </w:r>
      <w:proofErr w:type="spellEnd"/>
      <w:r w:rsidRPr="00956FD0">
        <w:rPr>
          <w:sz w:val="22"/>
          <w:lang w:val="sk-SK"/>
        </w:rPr>
        <w:t xml:space="preserve"> rokov</w:t>
      </w:r>
      <w:r w:rsidRPr="00956FD0">
        <w:rPr>
          <w:sz w:val="22"/>
          <w:szCs w:val="20"/>
          <w:lang w:val="sk-SK"/>
        </w:rPr>
        <w:t>, p = 0,017;</w:t>
      </w:r>
    </w:p>
    <w:p w14:paraId="60A0224E" w14:textId="46F1A9C2" w:rsidR="008A27CD" w:rsidRPr="00956FD0" w:rsidRDefault="008A27CD" w:rsidP="00455F29">
      <w:pPr>
        <w:numPr>
          <w:ilvl w:val="0"/>
          <w:numId w:val="3"/>
        </w:numPr>
        <w:tabs>
          <w:tab w:val="left" w:pos="426"/>
        </w:tabs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významné zníženie absolútneho rizika celkovej mortality: </w:t>
      </w:r>
      <w:proofErr w:type="spellStart"/>
      <w:r w:rsidRPr="00956FD0">
        <w:rPr>
          <w:sz w:val="22"/>
          <w:szCs w:val="20"/>
          <w:lang w:val="sk-SK"/>
        </w:rPr>
        <w:t>metformín</w:t>
      </w:r>
      <w:proofErr w:type="spellEnd"/>
      <w:r w:rsidRPr="00956FD0">
        <w:rPr>
          <w:sz w:val="22"/>
          <w:szCs w:val="20"/>
          <w:lang w:val="sk-SK"/>
        </w:rPr>
        <w:t xml:space="preserve"> 13,5 udalostí/1000 </w:t>
      </w:r>
      <w:proofErr w:type="spellStart"/>
      <w:r w:rsidRPr="00956FD0">
        <w:rPr>
          <w:sz w:val="22"/>
          <w:lang w:val="sk-SK"/>
        </w:rPr>
        <w:t>pacientských</w:t>
      </w:r>
      <w:proofErr w:type="spellEnd"/>
      <w:r w:rsidRPr="00956FD0">
        <w:rPr>
          <w:sz w:val="22"/>
          <w:lang w:val="sk-SK"/>
        </w:rPr>
        <w:t xml:space="preserve"> rokov</w:t>
      </w:r>
      <w:r w:rsidRPr="00956FD0">
        <w:rPr>
          <w:sz w:val="22"/>
          <w:szCs w:val="20"/>
          <w:lang w:val="sk-SK"/>
        </w:rPr>
        <w:t xml:space="preserve"> oproti samotnej diéte 20,6 udalostí/1000 </w:t>
      </w:r>
      <w:proofErr w:type="spellStart"/>
      <w:r w:rsidRPr="00956FD0">
        <w:rPr>
          <w:sz w:val="22"/>
          <w:lang w:val="sk-SK"/>
        </w:rPr>
        <w:t>pacientských</w:t>
      </w:r>
      <w:proofErr w:type="spellEnd"/>
      <w:r w:rsidRPr="00956FD0">
        <w:rPr>
          <w:sz w:val="22"/>
          <w:lang w:val="sk-SK"/>
        </w:rPr>
        <w:t xml:space="preserve"> rokov</w:t>
      </w:r>
      <w:r w:rsidRPr="00956FD0">
        <w:rPr>
          <w:sz w:val="22"/>
          <w:szCs w:val="20"/>
          <w:lang w:val="sk-SK"/>
        </w:rPr>
        <w:t xml:space="preserve"> (p = 0,011) a oproti </w:t>
      </w:r>
      <w:r w:rsidRPr="00956FD0">
        <w:rPr>
          <w:sz w:val="22"/>
          <w:lang w:val="sk-SK"/>
        </w:rPr>
        <w:t>zlúčeným skupinám so </w:t>
      </w:r>
      <w:proofErr w:type="spellStart"/>
      <w:r w:rsidRPr="00956FD0">
        <w:rPr>
          <w:sz w:val="22"/>
          <w:lang w:val="sk-SK"/>
        </w:rPr>
        <w:t>sulfonylmočovinou</w:t>
      </w:r>
      <w:proofErr w:type="spellEnd"/>
      <w:r w:rsidRPr="00956FD0">
        <w:rPr>
          <w:sz w:val="22"/>
          <w:lang w:val="sk-SK"/>
        </w:rPr>
        <w:t xml:space="preserve"> a inzulínom v </w:t>
      </w:r>
      <w:proofErr w:type="spellStart"/>
      <w:r w:rsidRPr="00956FD0">
        <w:rPr>
          <w:sz w:val="22"/>
          <w:lang w:val="sk-SK"/>
        </w:rPr>
        <w:t>monoterapii</w:t>
      </w:r>
      <w:proofErr w:type="spellEnd"/>
      <w:r w:rsidRPr="00956FD0">
        <w:rPr>
          <w:sz w:val="22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>18,9 udalostí/1000 </w:t>
      </w:r>
      <w:proofErr w:type="spellStart"/>
      <w:r w:rsidRPr="00956FD0">
        <w:rPr>
          <w:sz w:val="22"/>
          <w:lang w:val="sk-SK"/>
        </w:rPr>
        <w:t>pacientských</w:t>
      </w:r>
      <w:proofErr w:type="spellEnd"/>
      <w:r w:rsidRPr="00956FD0">
        <w:rPr>
          <w:sz w:val="22"/>
          <w:lang w:val="sk-SK"/>
        </w:rPr>
        <w:t xml:space="preserve"> rokov</w:t>
      </w:r>
      <w:r w:rsidRPr="00956FD0">
        <w:rPr>
          <w:sz w:val="22"/>
          <w:szCs w:val="20"/>
          <w:lang w:val="sk-SK"/>
        </w:rPr>
        <w:t xml:space="preserve"> (p=0,021);</w:t>
      </w:r>
    </w:p>
    <w:p w14:paraId="7A50E31F" w14:textId="400A57C2" w:rsidR="008A27CD" w:rsidRPr="00956FD0" w:rsidRDefault="008A27CD" w:rsidP="00455F29">
      <w:pPr>
        <w:numPr>
          <w:ilvl w:val="0"/>
          <w:numId w:val="3"/>
        </w:numPr>
        <w:tabs>
          <w:tab w:val="left" w:pos="426"/>
        </w:tabs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významné zníženie absolútneho rizika infarktu myokardu: </w:t>
      </w:r>
      <w:proofErr w:type="spellStart"/>
      <w:r w:rsidRPr="00956FD0">
        <w:rPr>
          <w:sz w:val="22"/>
          <w:szCs w:val="20"/>
          <w:lang w:val="sk-SK"/>
        </w:rPr>
        <w:t>metformín</w:t>
      </w:r>
      <w:proofErr w:type="spellEnd"/>
      <w:r w:rsidRPr="00956FD0">
        <w:rPr>
          <w:sz w:val="22"/>
          <w:szCs w:val="20"/>
          <w:lang w:val="sk-SK"/>
        </w:rPr>
        <w:t xml:space="preserve"> 11 udalostí/1000 </w:t>
      </w:r>
      <w:proofErr w:type="spellStart"/>
      <w:r w:rsidRPr="00956FD0">
        <w:rPr>
          <w:sz w:val="22"/>
          <w:lang w:val="sk-SK"/>
        </w:rPr>
        <w:t>pacientských</w:t>
      </w:r>
      <w:proofErr w:type="spellEnd"/>
      <w:r w:rsidRPr="00956FD0">
        <w:rPr>
          <w:sz w:val="22"/>
          <w:lang w:val="sk-SK"/>
        </w:rPr>
        <w:t xml:space="preserve"> rokov</w:t>
      </w:r>
      <w:r w:rsidRPr="00956FD0">
        <w:rPr>
          <w:sz w:val="22"/>
          <w:szCs w:val="20"/>
          <w:lang w:val="sk-SK"/>
        </w:rPr>
        <w:t>, samotná diéta 18 udalostí/1000 </w:t>
      </w:r>
      <w:proofErr w:type="spellStart"/>
      <w:r w:rsidRPr="00956FD0">
        <w:rPr>
          <w:sz w:val="22"/>
          <w:lang w:val="sk-SK"/>
        </w:rPr>
        <w:t>pacientských</w:t>
      </w:r>
      <w:proofErr w:type="spellEnd"/>
      <w:r w:rsidRPr="00956FD0">
        <w:rPr>
          <w:sz w:val="22"/>
          <w:lang w:val="sk-SK"/>
        </w:rPr>
        <w:t xml:space="preserve"> rokov</w:t>
      </w:r>
      <w:r w:rsidRPr="00956FD0">
        <w:rPr>
          <w:sz w:val="22"/>
          <w:szCs w:val="20"/>
          <w:lang w:val="sk-SK"/>
        </w:rPr>
        <w:t xml:space="preserve"> (p = 0,01).</w:t>
      </w:r>
    </w:p>
    <w:p w14:paraId="0C2625D5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2E8622BD" w14:textId="67D596F9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Prínos z hľadiska klinických ukazovateľov </w:t>
      </w:r>
      <w:proofErr w:type="spellStart"/>
      <w:r w:rsidRPr="00956FD0">
        <w:rPr>
          <w:sz w:val="22"/>
          <w:szCs w:val="20"/>
          <w:lang w:val="sk-SK"/>
        </w:rPr>
        <w:t>metformínu</w:t>
      </w:r>
      <w:proofErr w:type="spellEnd"/>
      <w:r w:rsidRPr="00956FD0">
        <w:rPr>
          <w:sz w:val="22"/>
          <w:szCs w:val="20"/>
          <w:lang w:val="sk-SK"/>
        </w:rPr>
        <w:t xml:space="preserve">, použitého ako liek druhej voľby v kombinácii so </w:t>
      </w:r>
      <w:proofErr w:type="spellStart"/>
      <w:r w:rsidRPr="00956FD0">
        <w:rPr>
          <w:sz w:val="22"/>
          <w:szCs w:val="20"/>
          <w:lang w:val="sk-SK"/>
        </w:rPr>
        <w:t>sulfonylmočovinou</w:t>
      </w:r>
      <w:proofErr w:type="spellEnd"/>
      <w:r w:rsidRPr="00956FD0">
        <w:rPr>
          <w:sz w:val="22"/>
          <w:szCs w:val="20"/>
          <w:lang w:val="sk-SK"/>
        </w:rPr>
        <w:t xml:space="preserve">, nebol dosiaľ dokázaný. </w:t>
      </w:r>
    </w:p>
    <w:p w14:paraId="6AEF75A3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7F80EB44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Pri diabete 1. typu sa použila kombinácia </w:t>
      </w:r>
      <w:proofErr w:type="spellStart"/>
      <w:r w:rsidRPr="00956FD0">
        <w:rPr>
          <w:sz w:val="22"/>
          <w:szCs w:val="20"/>
          <w:lang w:val="sk-SK"/>
        </w:rPr>
        <w:t>metformín</w:t>
      </w:r>
      <w:r w:rsidR="00FB1394" w:rsidRPr="00956FD0">
        <w:rPr>
          <w:sz w:val="22"/>
          <w:szCs w:val="20"/>
          <w:lang w:val="sk-SK"/>
        </w:rPr>
        <w:t>ium</w:t>
      </w:r>
      <w:proofErr w:type="spellEnd"/>
      <w:r w:rsidR="003D14DC">
        <w:rPr>
          <w:sz w:val="22"/>
          <w:szCs w:val="20"/>
          <w:lang w:val="sk-SK"/>
        </w:rPr>
        <w:t>-</w:t>
      </w:r>
      <w:r w:rsidR="00FB1394" w:rsidRPr="00956FD0">
        <w:rPr>
          <w:sz w:val="22"/>
          <w:szCs w:val="20"/>
          <w:lang w:val="sk-SK"/>
        </w:rPr>
        <w:t>chlorid</w:t>
      </w:r>
      <w:r w:rsidRPr="00956FD0">
        <w:rPr>
          <w:sz w:val="22"/>
          <w:szCs w:val="20"/>
          <w:lang w:val="sk-SK"/>
        </w:rPr>
        <w:t>u a inzulínu u vybraných pacientov, avšak klinický prínos tejto kombinácie nebol stanovený.</w:t>
      </w:r>
    </w:p>
    <w:p w14:paraId="0FCE960E" w14:textId="77777777" w:rsidR="002465DC" w:rsidRPr="00956FD0" w:rsidRDefault="002465DC" w:rsidP="00625F44">
      <w:pPr>
        <w:pStyle w:val="Zkladntext"/>
        <w:jc w:val="left"/>
        <w:rPr>
          <w:sz w:val="22"/>
          <w:szCs w:val="20"/>
          <w:u w:val="single"/>
          <w:lang w:val="sk-SK"/>
        </w:rPr>
      </w:pPr>
    </w:p>
    <w:p w14:paraId="035F3E6D" w14:textId="77777777" w:rsidR="00FB1394" w:rsidRPr="00956FD0" w:rsidRDefault="00FB1394" w:rsidP="00625F44">
      <w:pPr>
        <w:pStyle w:val="Zkladntext"/>
        <w:jc w:val="left"/>
        <w:rPr>
          <w:rFonts w:ascii="Times New Roman" w:hAnsi="Times New Roman" w:cs="Times New Roman"/>
          <w:sz w:val="22"/>
          <w:szCs w:val="20"/>
          <w:u w:val="single"/>
          <w:lang w:val="sk-SK"/>
        </w:rPr>
      </w:pPr>
      <w:r w:rsidRPr="00956FD0">
        <w:rPr>
          <w:rFonts w:ascii="Times New Roman" w:hAnsi="Times New Roman" w:cs="Times New Roman"/>
          <w:sz w:val="22"/>
          <w:szCs w:val="20"/>
          <w:u w:val="single"/>
          <w:lang w:val="sk-SK"/>
        </w:rPr>
        <w:t>Pediatrická populácia</w:t>
      </w:r>
    </w:p>
    <w:p w14:paraId="77EA9CEF" w14:textId="77777777" w:rsidR="00FB1394" w:rsidRPr="00956FD0" w:rsidRDefault="00FB1394" w:rsidP="00455F29">
      <w:pPr>
        <w:rPr>
          <w:sz w:val="22"/>
          <w:szCs w:val="20"/>
          <w:lang w:val="sk-SK"/>
        </w:rPr>
      </w:pPr>
    </w:p>
    <w:p w14:paraId="7E9365A5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Kontrolované klinické štúdie s limitovanou detskou populáciou vo veku 10-16 rokov liečenou počas 1 roka ukázali podobnú odpoveď pri kompenzácii diabetu, ako sa pozorovala u dospelých.</w:t>
      </w:r>
    </w:p>
    <w:p w14:paraId="77AF6FA3" w14:textId="77777777" w:rsidR="008A27CD" w:rsidRPr="00956FD0" w:rsidRDefault="008A27CD" w:rsidP="00455F29">
      <w:pPr>
        <w:outlineLvl w:val="0"/>
        <w:rPr>
          <w:b/>
          <w:sz w:val="22"/>
          <w:szCs w:val="20"/>
          <w:lang w:val="sk-SK"/>
        </w:rPr>
      </w:pPr>
    </w:p>
    <w:p w14:paraId="205AB46E" w14:textId="080DC512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5.2.</w:t>
      </w:r>
      <w:r w:rsidRPr="00956FD0">
        <w:rPr>
          <w:b/>
          <w:sz w:val="22"/>
          <w:szCs w:val="20"/>
          <w:lang w:val="sk-SK"/>
        </w:rPr>
        <w:tab/>
      </w:r>
      <w:proofErr w:type="spellStart"/>
      <w:r w:rsidRPr="00956FD0">
        <w:rPr>
          <w:b/>
          <w:sz w:val="22"/>
          <w:szCs w:val="20"/>
          <w:lang w:val="sk-SK"/>
        </w:rPr>
        <w:t>Farmakokinetické</w:t>
      </w:r>
      <w:proofErr w:type="spellEnd"/>
      <w:r w:rsidRPr="00956FD0">
        <w:rPr>
          <w:b/>
          <w:sz w:val="22"/>
          <w:szCs w:val="20"/>
          <w:lang w:val="sk-SK"/>
        </w:rPr>
        <w:t xml:space="preserve"> vlastnosti</w:t>
      </w:r>
    </w:p>
    <w:p w14:paraId="52C8AF4F" w14:textId="77777777" w:rsidR="00FB1394" w:rsidRPr="00956FD0" w:rsidRDefault="00FB1394" w:rsidP="00455F29">
      <w:pPr>
        <w:outlineLvl w:val="0"/>
        <w:rPr>
          <w:sz w:val="22"/>
          <w:szCs w:val="20"/>
          <w:u w:val="single"/>
          <w:lang w:val="sk-SK"/>
        </w:rPr>
      </w:pPr>
    </w:p>
    <w:p w14:paraId="77FA513F" w14:textId="77777777" w:rsidR="008A27CD" w:rsidRPr="00956FD0" w:rsidRDefault="008A27CD" w:rsidP="00455F29">
      <w:pPr>
        <w:outlineLvl w:val="0"/>
        <w:rPr>
          <w:sz w:val="22"/>
          <w:szCs w:val="20"/>
          <w:u w:val="single"/>
          <w:lang w:val="sk-SK"/>
        </w:rPr>
      </w:pPr>
      <w:r w:rsidRPr="00956FD0">
        <w:rPr>
          <w:sz w:val="22"/>
          <w:szCs w:val="20"/>
          <w:u w:val="single"/>
          <w:lang w:val="sk-SK"/>
        </w:rPr>
        <w:t>Absorpcia</w:t>
      </w:r>
    </w:p>
    <w:p w14:paraId="590BDF23" w14:textId="77777777" w:rsidR="008A27CD" w:rsidRPr="00956FD0" w:rsidRDefault="003B4A5E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2"/>
          <w:lang w:val="sk-SK"/>
        </w:rPr>
        <w:t xml:space="preserve">Po perorálnej dávke </w:t>
      </w:r>
      <w:r w:rsidR="00F0138B">
        <w:rPr>
          <w:sz w:val="22"/>
          <w:szCs w:val="22"/>
          <w:lang w:val="sk-SK"/>
        </w:rPr>
        <w:t xml:space="preserve">tablety </w:t>
      </w:r>
      <w:proofErr w:type="spellStart"/>
      <w:r w:rsidRPr="00956FD0">
        <w:rPr>
          <w:sz w:val="22"/>
          <w:szCs w:val="22"/>
          <w:lang w:val="sk-SK"/>
        </w:rPr>
        <w:t>metformín</w:t>
      </w:r>
      <w:r w:rsidR="00F0138B">
        <w:rPr>
          <w:sz w:val="22"/>
          <w:szCs w:val="22"/>
          <w:lang w:val="sk-SK"/>
        </w:rPr>
        <w:t>i</w:t>
      </w:r>
      <w:r w:rsidRPr="00956FD0">
        <w:rPr>
          <w:sz w:val="22"/>
          <w:szCs w:val="22"/>
          <w:lang w:val="sk-SK"/>
        </w:rPr>
        <w:t>u</w:t>
      </w:r>
      <w:r w:rsidR="00F0138B">
        <w:rPr>
          <w:sz w:val="22"/>
          <w:szCs w:val="22"/>
          <w:lang w:val="sk-SK"/>
        </w:rPr>
        <w:t>m</w:t>
      </w:r>
      <w:proofErr w:type="spellEnd"/>
      <w:r w:rsidR="003D14DC">
        <w:rPr>
          <w:sz w:val="22"/>
          <w:szCs w:val="22"/>
          <w:lang w:val="sk-SK"/>
        </w:rPr>
        <w:t>-</w:t>
      </w:r>
      <w:r w:rsidR="00F0138B">
        <w:rPr>
          <w:sz w:val="22"/>
          <w:szCs w:val="22"/>
          <w:lang w:val="sk-SK"/>
        </w:rPr>
        <w:t>chloridu</w:t>
      </w:r>
      <w:r w:rsidRPr="00956FD0">
        <w:rPr>
          <w:sz w:val="22"/>
          <w:szCs w:val="22"/>
          <w:lang w:val="sk-SK"/>
        </w:rPr>
        <w:t xml:space="preserve"> sa dosiahne maximálna plazmatická koncentrácia (</w:t>
      </w:r>
      <w:proofErr w:type="spellStart"/>
      <w:r w:rsidRPr="00956FD0">
        <w:rPr>
          <w:sz w:val="22"/>
          <w:szCs w:val="22"/>
          <w:lang w:val="sk-SK"/>
        </w:rPr>
        <w:t>C</w:t>
      </w:r>
      <w:r w:rsidRPr="00956FD0">
        <w:rPr>
          <w:sz w:val="22"/>
          <w:szCs w:val="22"/>
          <w:vertAlign w:val="subscript"/>
          <w:lang w:val="sk-SK"/>
        </w:rPr>
        <w:t>max</w:t>
      </w:r>
      <w:proofErr w:type="spellEnd"/>
      <w:r w:rsidRPr="00956FD0">
        <w:rPr>
          <w:sz w:val="22"/>
          <w:szCs w:val="22"/>
          <w:lang w:val="sk-SK"/>
        </w:rPr>
        <w:t>) za približne 2,5 hodiny (</w:t>
      </w:r>
      <w:proofErr w:type="spellStart"/>
      <w:r w:rsidRPr="00956FD0">
        <w:rPr>
          <w:sz w:val="22"/>
          <w:szCs w:val="22"/>
          <w:lang w:val="sk-SK"/>
        </w:rPr>
        <w:t>t</w:t>
      </w:r>
      <w:r w:rsidRPr="00956FD0">
        <w:rPr>
          <w:sz w:val="22"/>
          <w:szCs w:val="22"/>
          <w:vertAlign w:val="subscript"/>
          <w:lang w:val="sk-SK"/>
        </w:rPr>
        <w:t>max</w:t>
      </w:r>
      <w:proofErr w:type="spellEnd"/>
      <w:r w:rsidRPr="00956FD0">
        <w:rPr>
          <w:sz w:val="22"/>
          <w:szCs w:val="22"/>
          <w:lang w:val="sk-SK"/>
        </w:rPr>
        <w:t>).</w:t>
      </w:r>
      <w:r w:rsidR="008A27CD" w:rsidRPr="00956FD0">
        <w:rPr>
          <w:sz w:val="22"/>
          <w:szCs w:val="20"/>
          <w:lang w:val="sk-SK"/>
        </w:rPr>
        <w:t xml:space="preserve"> Absolútna biologická dostupnosť 500 mg alebo 850 mg filmom obalenej tablety </w:t>
      </w:r>
      <w:proofErr w:type="spellStart"/>
      <w:r w:rsidR="008A27CD" w:rsidRPr="00956FD0">
        <w:rPr>
          <w:sz w:val="22"/>
          <w:szCs w:val="20"/>
          <w:lang w:val="sk-SK"/>
        </w:rPr>
        <w:t>metformínium</w:t>
      </w:r>
      <w:proofErr w:type="spellEnd"/>
      <w:r w:rsidR="003D14DC">
        <w:rPr>
          <w:sz w:val="22"/>
          <w:szCs w:val="20"/>
          <w:lang w:val="sk-SK"/>
        </w:rPr>
        <w:t>-</w:t>
      </w:r>
      <w:r w:rsidR="008A27CD" w:rsidRPr="00956FD0">
        <w:rPr>
          <w:sz w:val="22"/>
          <w:szCs w:val="20"/>
          <w:lang w:val="sk-SK"/>
        </w:rPr>
        <w:t>chloridu je približne 50 - 60 % u zdravých jedincov. Po perorálnej dávke bola extrahovaná neabsorbovaná frakcia v stolici 20 - 30 %.</w:t>
      </w:r>
    </w:p>
    <w:p w14:paraId="377C284B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31229246" w14:textId="134E0BA0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Po perorálnom podaní je absorpcia </w:t>
      </w:r>
      <w:proofErr w:type="spellStart"/>
      <w:r w:rsidRPr="00956FD0">
        <w:rPr>
          <w:sz w:val="22"/>
          <w:szCs w:val="20"/>
          <w:lang w:val="sk-SK"/>
        </w:rPr>
        <w:t>metformínu</w:t>
      </w:r>
      <w:proofErr w:type="spellEnd"/>
      <w:r w:rsidRPr="00956FD0">
        <w:rPr>
          <w:sz w:val="22"/>
          <w:szCs w:val="20"/>
          <w:lang w:val="sk-SK"/>
        </w:rPr>
        <w:t xml:space="preserve"> </w:t>
      </w:r>
      <w:proofErr w:type="spellStart"/>
      <w:r w:rsidRPr="00956FD0">
        <w:rPr>
          <w:sz w:val="22"/>
          <w:szCs w:val="20"/>
          <w:lang w:val="sk-SK"/>
        </w:rPr>
        <w:t>saturovateľná</w:t>
      </w:r>
      <w:proofErr w:type="spellEnd"/>
      <w:r w:rsidRPr="00956FD0">
        <w:rPr>
          <w:sz w:val="22"/>
          <w:szCs w:val="20"/>
          <w:lang w:val="sk-SK"/>
        </w:rPr>
        <w:t xml:space="preserve"> a neúplná. Predpokladá sa, že </w:t>
      </w:r>
      <w:proofErr w:type="spellStart"/>
      <w:r w:rsidRPr="00956FD0">
        <w:rPr>
          <w:sz w:val="22"/>
          <w:szCs w:val="20"/>
          <w:lang w:val="sk-SK"/>
        </w:rPr>
        <w:t>farmakokinetika</w:t>
      </w:r>
      <w:proofErr w:type="spellEnd"/>
      <w:r w:rsidRPr="00956FD0">
        <w:rPr>
          <w:sz w:val="22"/>
          <w:szCs w:val="20"/>
          <w:lang w:val="sk-SK"/>
        </w:rPr>
        <w:t xml:space="preserve"> absorpcie </w:t>
      </w:r>
      <w:proofErr w:type="spellStart"/>
      <w:r w:rsidRPr="00956FD0">
        <w:rPr>
          <w:sz w:val="22"/>
          <w:szCs w:val="20"/>
          <w:lang w:val="sk-SK"/>
        </w:rPr>
        <w:t>metformínu</w:t>
      </w:r>
      <w:proofErr w:type="spellEnd"/>
      <w:r w:rsidRPr="00956FD0">
        <w:rPr>
          <w:sz w:val="22"/>
          <w:szCs w:val="20"/>
          <w:lang w:val="sk-SK"/>
        </w:rPr>
        <w:t xml:space="preserve"> nie je lineárna.</w:t>
      </w:r>
    </w:p>
    <w:p w14:paraId="165256C8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6FD7F7D7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Pri odporúčaných dávkach a zvyčajných dávkovacích schémach sa rovnovážne koncentrácie v plazme dosiahnu v priebehu 24 až 48 hodín a spravidla sú nižšie ako 1 µg/ml. </w:t>
      </w:r>
    </w:p>
    <w:p w14:paraId="4B4BF45B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3BEA2DA3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V kontrolovaných klinických štúdiách neprekročili maximálne hladiny </w:t>
      </w:r>
      <w:proofErr w:type="spellStart"/>
      <w:r w:rsidRPr="00956FD0">
        <w:rPr>
          <w:sz w:val="22"/>
          <w:szCs w:val="20"/>
          <w:lang w:val="sk-SK"/>
        </w:rPr>
        <w:t>metformínu</w:t>
      </w:r>
      <w:proofErr w:type="spellEnd"/>
      <w:r w:rsidRPr="00956FD0">
        <w:rPr>
          <w:sz w:val="22"/>
          <w:szCs w:val="20"/>
          <w:lang w:val="sk-SK"/>
        </w:rPr>
        <w:t xml:space="preserve"> v plazme (</w:t>
      </w:r>
      <w:proofErr w:type="spellStart"/>
      <w:r w:rsidRPr="00956FD0">
        <w:rPr>
          <w:sz w:val="22"/>
          <w:szCs w:val="20"/>
          <w:lang w:val="sk-SK"/>
        </w:rPr>
        <w:t>C</w:t>
      </w:r>
      <w:r w:rsidRPr="00956FD0">
        <w:rPr>
          <w:sz w:val="22"/>
          <w:szCs w:val="20"/>
          <w:vertAlign w:val="subscript"/>
          <w:lang w:val="sk-SK"/>
        </w:rPr>
        <w:t>max</w:t>
      </w:r>
      <w:proofErr w:type="spellEnd"/>
      <w:r w:rsidRPr="00956FD0">
        <w:rPr>
          <w:sz w:val="22"/>
          <w:szCs w:val="20"/>
          <w:lang w:val="sk-SK"/>
        </w:rPr>
        <w:t>) 4 µg/ml, dokonca ani pri maximálnych dávkach.</w:t>
      </w:r>
    </w:p>
    <w:p w14:paraId="21E5933E" w14:textId="77777777" w:rsidR="003B4A5E" w:rsidRPr="00956FD0" w:rsidRDefault="003B4A5E" w:rsidP="00455F29">
      <w:pPr>
        <w:rPr>
          <w:sz w:val="22"/>
          <w:szCs w:val="20"/>
          <w:lang w:val="sk-SK"/>
        </w:rPr>
      </w:pPr>
    </w:p>
    <w:p w14:paraId="7F4E80DE" w14:textId="630932F2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Potraviny znižujú rozsah a mierne spomaľujú absorpciu </w:t>
      </w:r>
      <w:proofErr w:type="spellStart"/>
      <w:r w:rsidRPr="00956FD0">
        <w:rPr>
          <w:sz w:val="22"/>
          <w:szCs w:val="20"/>
          <w:lang w:val="sk-SK"/>
        </w:rPr>
        <w:t>metformínu</w:t>
      </w:r>
      <w:proofErr w:type="spellEnd"/>
      <w:r w:rsidRPr="00956FD0">
        <w:rPr>
          <w:sz w:val="22"/>
          <w:szCs w:val="20"/>
          <w:lang w:val="sk-SK"/>
        </w:rPr>
        <w:t xml:space="preserve">. Po podaní </w:t>
      </w:r>
      <w:r w:rsidR="00F0138B">
        <w:rPr>
          <w:sz w:val="22"/>
          <w:szCs w:val="20"/>
          <w:lang w:val="sk-SK"/>
        </w:rPr>
        <w:t xml:space="preserve">perorálnej </w:t>
      </w:r>
      <w:r w:rsidRPr="00956FD0">
        <w:rPr>
          <w:sz w:val="22"/>
          <w:szCs w:val="20"/>
          <w:lang w:val="sk-SK"/>
        </w:rPr>
        <w:t xml:space="preserve">dávky </w:t>
      </w:r>
      <w:r w:rsidR="00F0138B">
        <w:rPr>
          <w:sz w:val="22"/>
          <w:szCs w:val="20"/>
          <w:lang w:val="sk-SK"/>
        </w:rPr>
        <w:t xml:space="preserve">tablety </w:t>
      </w:r>
      <w:r w:rsidRPr="00956FD0">
        <w:rPr>
          <w:sz w:val="22"/>
          <w:szCs w:val="20"/>
          <w:lang w:val="sk-SK"/>
        </w:rPr>
        <w:t xml:space="preserve">850 mg sa pozorovalo 40 % zníženie maximálnej plazmatickej koncentrácie, 25 % zníženie AUC (plocha pod krivkou) a 35-minútové predĺženie času nástupu maximálnej plazmatickej koncentrácie. Klinický </w:t>
      </w:r>
      <w:r w:rsidR="00F0138B">
        <w:rPr>
          <w:sz w:val="22"/>
          <w:szCs w:val="20"/>
          <w:lang w:val="sk-SK"/>
        </w:rPr>
        <w:t xml:space="preserve">prínos </w:t>
      </w:r>
      <w:r w:rsidRPr="00956FD0">
        <w:rPr>
          <w:sz w:val="22"/>
          <w:szCs w:val="20"/>
          <w:lang w:val="sk-SK"/>
        </w:rPr>
        <w:t>týchto nálezov nie je známy.</w:t>
      </w:r>
    </w:p>
    <w:p w14:paraId="01B2D291" w14:textId="77777777" w:rsidR="008A27CD" w:rsidRPr="00956FD0" w:rsidRDefault="008A27CD" w:rsidP="00455F29">
      <w:pPr>
        <w:rPr>
          <w:sz w:val="22"/>
          <w:szCs w:val="20"/>
          <w:u w:val="single"/>
          <w:lang w:val="sk-SK"/>
        </w:rPr>
      </w:pPr>
    </w:p>
    <w:p w14:paraId="4444B95A" w14:textId="77777777" w:rsidR="008A27CD" w:rsidRPr="00956FD0" w:rsidRDefault="008A27CD" w:rsidP="00455F29">
      <w:pPr>
        <w:outlineLvl w:val="0"/>
        <w:rPr>
          <w:sz w:val="22"/>
          <w:szCs w:val="20"/>
          <w:u w:val="single"/>
          <w:lang w:val="sk-SK"/>
        </w:rPr>
      </w:pPr>
      <w:r w:rsidRPr="00956FD0">
        <w:rPr>
          <w:sz w:val="22"/>
          <w:szCs w:val="20"/>
          <w:u w:val="single"/>
          <w:lang w:val="sk-SK"/>
        </w:rPr>
        <w:t>Distribúcia</w:t>
      </w:r>
    </w:p>
    <w:p w14:paraId="1B877FC7" w14:textId="2C827321" w:rsidR="008A27CD" w:rsidRPr="00956FD0" w:rsidRDefault="008A27CD" w:rsidP="00455F29">
      <w:pPr>
        <w:pStyle w:val="Zkladntext"/>
        <w:jc w:val="left"/>
        <w:rPr>
          <w:rFonts w:ascii="Times New Roman" w:hAnsi="Times New Roman" w:cs="Times New Roman"/>
          <w:sz w:val="22"/>
          <w:lang w:val="sk-SK"/>
        </w:rPr>
      </w:pPr>
      <w:r w:rsidRPr="00956FD0">
        <w:rPr>
          <w:rFonts w:ascii="Times New Roman" w:hAnsi="Times New Roman" w:cs="Times New Roman"/>
          <w:sz w:val="22"/>
          <w:lang w:val="sk-SK"/>
        </w:rPr>
        <w:t xml:space="preserve">Väzba na plazmatické bielkoviny je zanedbateľná. </w:t>
      </w: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Metformín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 prechádza do erytrocytov. Maximálna hladina v krvi je nižšia ako maximálna hladina v plazme a objavuje sa približne v rovnakom čase. Červené krvinky pravdepodobne predstavujú sekundárny distribučný </w:t>
      </w: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kompartment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. Stredný distribučný objem </w:t>
      </w:r>
      <w:proofErr w:type="spellStart"/>
      <w:r w:rsidRPr="00956FD0">
        <w:rPr>
          <w:rFonts w:ascii="Times New Roman" w:hAnsi="Times New Roman" w:cs="Times New Roman"/>
          <w:sz w:val="22"/>
          <w:lang w:val="sk-SK"/>
        </w:rPr>
        <w:t>V</w:t>
      </w:r>
      <w:r w:rsidRPr="00956FD0">
        <w:rPr>
          <w:rFonts w:ascii="Times New Roman" w:hAnsi="Times New Roman" w:cs="Times New Roman"/>
          <w:sz w:val="22"/>
          <w:vertAlign w:val="subscript"/>
          <w:lang w:val="sk-SK"/>
        </w:rPr>
        <w:t>d</w:t>
      </w:r>
      <w:proofErr w:type="spellEnd"/>
      <w:r w:rsidRPr="00956FD0">
        <w:rPr>
          <w:rFonts w:ascii="Times New Roman" w:hAnsi="Times New Roman" w:cs="Times New Roman"/>
          <w:sz w:val="22"/>
          <w:lang w:val="sk-SK"/>
        </w:rPr>
        <w:t xml:space="preserve"> sa pohybuje medzi 63 a 276 l.</w:t>
      </w:r>
    </w:p>
    <w:p w14:paraId="383DA3C0" w14:textId="77777777" w:rsidR="008A27CD" w:rsidRPr="00956FD0" w:rsidRDefault="008A27CD" w:rsidP="00455F29">
      <w:pPr>
        <w:pStyle w:val="Zkladntext"/>
        <w:jc w:val="left"/>
        <w:rPr>
          <w:rFonts w:ascii="Times New Roman" w:hAnsi="Times New Roman" w:cs="Times New Roman"/>
          <w:sz w:val="22"/>
          <w:lang w:val="sk-SK"/>
        </w:rPr>
      </w:pPr>
    </w:p>
    <w:p w14:paraId="2FBFC7E8" w14:textId="77777777" w:rsidR="002465DC" w:rsidRPr="00956FD0" w:rsidRDefault="002465DC" w:rsidP="00455F29">
      <w:pPr>
        <w:rPr>
          <w:sz w:val="22"/>
          <w:szCs w:val="20"/>
          <w:u w:val="single"/>
          <w:lang w:val="sk-SK"/>
        </w:rPr>
      </w:pPr>
      <w:proofErr w:type="spellStart"/>
      <w:r w:rsidRPr="00956FD0">
        <w:rPr>
          <w:sz w:val="22"/>
          <w:szCs w:val="20"/>
          <w:u w:val="single"/>
          <w:lang w:val="sk-SK"/>
        </w:rPr>
        <w:t>Biotransformácia</w:t>
      </w:r>
      <w:proofErr w:type="spellEnd"/>
    </w:p>
    <w:p w14:paraId="6B64C9DF" w14:textId="22F3425F" w:rsidR="008A27CD" w:rsidRPr="00956FD0" w:rsidRDefault="008A27CD" w:rsidP="00455F29">
      <w:pPr>
        <w:rPr>
          <w:sz w:val="22"/>
          <w:lang w:val="sk-SK"/>
        </w:rPr>
      </w:pPr>
      <w:proofErr w:type="spellStart"/>
      <w:r w:rsidRPr="00956FD0">
        <w:rPr>
          <w:sz w:val="22"/>
          <w:lang w:val="sk-SK"/>
        </w:rPr>
        <w:lastRenderedPageBreak/>
        <w:t>Metformín</w:t>
      </w:r>
      <w:proofErr w:type="spellEnd"/>
      <w:r w:rsidRPr="00956FD0">
        <w:rPr>
          <w:sz w:val="22"/>
          <w:lang w:val="sk-SK"/>
        </w:rPr>
        <w:t xml:space="preserve"> sa vylučuje nezmenený v moči. U ľudí neboli identifikované žiadne metabolity.</w:t>
      </w:r>
    </w:p>
    <w:p w14:paraId="14A171DE" w14:textId="77777777" w:rsidR="008A27CD" w:rsidRPr="00956FD0" w:rsidRDefault="008A27CD" w:rsidP="00455F29">
      <w:pPr>
        <w:rPr>
          <w:sz w:val="22"/>
          <w:szCs w:val="20"/>
          <w:u w:val="single"/>
          <w:lang w:val="sk-SK"/>
        </w:rPr>
      </w:pPr>
    </w:p>
    <w:p w14:paraId="1099FCE3" w14:textId="77777777" w:rsidR="002465DC" w:rsidRPr="00956FD0" w:rsidRDefault="003B4A5E" w:rsidP="00455F29">
      <w:pPr>
        <w:rPr>
          <w:sz w:val="22"/>
          <w:szCs w:val="20"/>
          <w:u w:val="single"/>
          <w:lang w:val="sk-SK"/>
        </w:rPr>
      </w:pPr>
      <w:r w:rsidRPr="00956FD0">
        <w:rPr>
          <w:sz w:val="22"/>
          <w:szCs w:val="20"/>
          <w:u w:val="single"/>
          <w:lang w:val="sk-SK"/>
        </w:rPr>
        <w:t>Eliminácia</w:t>
      </w:r>
    </w:p>
    <w:p w14:paraId="7E873C85" w14:textId="3C64A71B" w:rsidR="003B4A5E" w:rsidRDefault="008A27CD" w:rsidP="00455F29">
      <w:pPr>
        <w:rPr>
          <w:sz w:val="22"/>
          <w:szCs w:val="20"/>
          <w:lang w:val="sk-SK"/>
        </w:rPr>
      </w:pPr>
      <w:proofErr w:type="spellStart"/>
      <w:r w:rsidRPr="00956FD0">
        <w:rPr>
          <w:sz w:val="22"/>
          <w:szCs w:val="20"/>
          <w:lang w:val="sk-SK"/>
        </w:rPr>
        <w:t>Renálny</w:t>
      </w:r>
      <w:proofErr w:type="spellEnd"/>
      <w:r w:rsidRPr="00956FD0">
        <w:rPr>
          <w:sz w:val="22"/>
          <w:szCs w:val="20"/>
          <w:lang w:val="sk-SK"/>
        </w:rPr>
        <w:t xml:space="preserve"> </w:t>
      </w:r>
      <w:proofErr w:type="spellStart"/>
      <w:r w:rsidRPr="00956FD0">
        <w:rPr>
          <w:sz w:val="22"/>
          <w:szCs w:val="20"/>
          <w:lang w:val="sk-SK"/>
        </w:rPr>
        <w:t>klírens</w:t>
      </w:r>
      <w:proofErr w:type="spellEnd"/>
      <w:r w:rsidRPr="00956FD0">
        <w:rPr>
          <w:sz w:val="22"/>
          <w:szCs w:val="20"/>
          <w:lang w:val="sk-SK"/>
        </w:rPr>
        <w:t xml:space="preserve"> </w:t>
      </w:r>
      <w:proofErr w:type="spellStart"/>
      <w:r w:rsidRPr="00956FD0">
        <w:rPr>
          <w:sz w:val="22"/>
          <w:szCs w:val="20"/>
          <w:lang w:val="sk-SK"/>
        </w:rPr>
        <w:t>metformínu</w:t>
      </w:r>
      <w:proofErr w:type="spellEnd"/>
      <w:r w:rsidRPr="00956FD0">
        <w:rPr>
          <w:sz w:val="22"/>
          <w:szCs w:val="20"/>
          <w:lang w:val="sk-SK"/>
        </w:rPr>
        <w:t xml:space="preserve"> je &gt;</w:t>
      </w:r>
      <w:r w:rsidR="00586ADF">
        <w:rPr>
          <w:sz w:val="22"/>
          <w:szCs w:val="20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 xml:space="preserve">400 ml/min, čo naznačuje, že </w:t>
      </w:r>
      <w:proofErr w:type="spellStart"/>
      <w:r w:rsidRPr="00956FD0">
        <w:rPr>
          <w:sz w:val="22"/>
          <w:szCs w:val="20"/>
          <w:lang w:val="sk-SK"/>
        </w:rPr>
        <w:t>metformín</w:t>
      </w:r>
      <w:proofErr w:type="spellEnd"/>
      <w:r w:rsidRPr="00956FD0">
        <w:rPr>
          <w:sz w:val="22"/>
          <w:szCs w:val="20"/>
          <w:lang w:val="sk-SK"/>
        </w:rPr>
        <w:t xml:space="preserve"> sa vylučuje </w:t>
      </w:r>
      <w:proofErr w:type="spellStart"/>
      <w:r w:rsidRPr="00956FD0">
        <w:rPr>
          <w:sz w:val="22"/>
          <w:szCs w:val="20"/>
          <w:lang w:val="sk-SK"/>
        </w:rPr>
        <w:t>glomerulárnou</w:t>
      </w:r>
      <w:proofErr w:type="spellEnd"/>
      <w:r w:rsidRPr="00956FD0">
        <w:rPr>
          <w:sz w:val="22"/>
          <w:szCs w:val="20"/>
          <w:lang w:val="sk-SK"/>
        </w:rPr>
        <w:t xml:space="preserve"> filtráciou a </w:t>
      </w:r>
      <w:proofErr w:type="spellStart"/>
      <w:r w:rsidRPr="00956FD0">
        <w:rPr>
          <w:sz w:val="22"/>
          <w:szCs w:val="20"/>
          <w:lang w:val="sk-SK"/>
        </w:rPr>
        <w:t>tubulárnou</w:t>
      </w:r>
      <w:proofErr w:type="spellEnd"/>
      <w:r w:rsidRPr="00956FD0">
        <w:rPr>
          <w:sz w:val="22"/>
          <w:szCs w:val="20"/>
          <w:lang w:val="sk-SK"/>
        </w:rPr>
        <w:t xml:space="preserve"> sekréciou. Po perorálnej dávke je </w:t>
      </w:r>
      <w:r w:rsidR="003B4A5E" w:rsidRPr="00956FD0">
        <w:rPr>
          <w:sz w:val="22"/>
          <w:szCs w:val="22"/>
          <w:lang w:val="sk-SK"/>
        </w:rPr>
        <w:t xml:space="preserve">zdanlivý </w:t>
      </w:r>
      <w:r w:rsidRPr="00956FD0">
        <w:rPr>
          <w:sz w:val="22"/>
          <w:szCs w:val="20"/>
          <w:lang w:val="sk-SK"/>
        </w:rPr>
        <w:t xml:space="preserve">konečný eliminačný polčas približne 6,5 hodiny. </w:t>
      </w:r>
    </w:p>
    <w:p w14:paraId="2529B307" w14:textId="77777777" w:rsidR="00586ADF" w:rsidRPr="00956FD0" w:rsidRDefault="00586ADF" w:rsidP="00455F29">
      <w:pPr>
        <w:rPr>
          <w:sz w:val="22"/>
          <w:szCs w:val="20"/>
          <w:lang w:val="sk-SK"/>
        </w:rPr>
      </w:pPr>
    </w:p>
    <w:p w14:paraId="4BC5DEFF" w14:textId="44992D7D" w:rsidR="008A27CD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Pri porušenej funkcii obličiek je </w:t>
      </w:r>
      <w:proofErr w:type="spellStart"/>
      <w:r w:rsidRPr="00956FD0">
        <w:rPr>
          <w:sz w:val="22"/>
          <w:szCs w:val="20"/>
          <w:lang w:val="sk-SK"/>
        </w:rPr>
        <w:t>renálny</w:t>
      </w:r>
      <w:proofErr w:type="spellEnd"/>
      <w:r w:rsidRPr="00956FD0">
        <w:rPr>
          <w:sz w:val="22"/>
          <w:szCs w:val="20"/>
          <w:lang w:val="sk-SK"/>
        </w:rPr>
        <w:t xml:space="preserve"> </w:t>
      </w:r>
      <w:proofErr w:type="spellStart"/>
      <w:r w:rsidRPr="00956FD0">
        <w:rPr>
          <w:sz w:val="22"/>
          <w:szCs w:val="20"/>
          <w:lang w:val="sk-SK"/>
        </w:rPr>
        <w:t>klírens</w:t>
      </w:r>
      <w:proofErr w:type="spellEnd"/>
      <w:r w:rsidRPr="00956FD0">
        <w:rPr>
          <w:sz w:val="22"/>
          <w:szCs w:val="20"/>
          <w:lang w:val="sk-SK"/>
        </w:rPr>
        <w:t xml:space="preserve"> znížený úmerne ku kreatinínu, a teda zdanlivý polčas eliminácie sa predlžuje, čo vedie k zvýšeným </w:t>
      </w:r>
      <w:r w:rsidR="00586ADF">
        <w:rPr>
          <w:sz w:val="22"/>
          <w:szCs w:val="20"/>
          <w:lang w:val="sk-SK"/>
        </w:rPr>
        <w:t xml:space="preserve">hladinám </w:t>
      </w:r>
      <w:proofErr w:type="spellStart"/>
      <w:r w:rsidRPr="00956FD0">
        <w:rPr>
          <w:sz w:val="22"/>
          <w:szCs w:val="20"/>
          <w:lang w:val="sk-SK"/>
        </w:rPr>
        <w:t>metformínu</w:t>
      </w:r>
      <w:proofErr w:type="spellEnd"/>
      <w:r w:rsidRPr="00956FD0">
        <w:rPr>
          <w:sz w:val="22"/>
          <w:szCs w:val="20"/>
          <w:lang w:val="sk-SK"/>
        </w:rPr>
        <w:t xml:space="preserve"> v plazme.</w:t>
      </w:r>
    </w:p>
    <w:p w14:paraId="0108B31C" w14:textId="77777777" w:rsidR="00586ADF" w:rsidRPr="00956FD0" w:rsidRDefault="00586ADF" w:rsidP="00455F29">
      <w:pPr>
        <w:rPr>
          <w:sz w:val="22"/>
          <w:szCs w:val="20"/>
          <w:lang w:val="sk-SK"/>
        </w:rPr>
      </w:pPr>
    </w:p>
    <w:p w14:paraId="45CBDDD0" w14:textId="77777777" w:rsidR="00586ADF" w:rsidRDefault="00586ADF" w:rsidP="00586ADF">
      <w:pPr>
        <w:rPr>
          <w:sz w:val="22"/>
          <w:szCs w:val="22"/>
          <w:u w:val="single"/>
          <w:lang w:val="sk-SK"/>
        </w:rPr>
      </w:pPr>
      <w:r w:rsidRPr="00757A94">
        <w:rPr>
          <w:sz w:val="22"/>
          <w:szCs w:val="22"/>
          <w:u w:val="single"/>
          <w:lang w:val="sk-SK"/>
        </w:rPr>
        <w:t>Charakteristiky v špecifických skupinách pacientov</w:t>
      </w:r>
    </w:p>
    <w:p w14:paraId="39094796" w14:textId="77777777" w:rsidR="00586ADF" w:rsidRPr="00757A94" w:rsidRDefault="00586ADF" w:rsidP="00586ADF">
      <w:pPr>
        <w:rPr>
          <w:sz w:val="22"/>
          <w:szCs w:val="22"/>
          <w:u w:val="single"/>
          <w:lang w:val="sk-SK"/>
        </w:rPr>
      </w:pPr>
    </w:p>
    <w:p w14:paraId="340C0E53" w14:textId="77777777" w:rsidR="00586ADF" w:rsidRDefault="00586ADF" w:rsidP="00586ADF">
      <w:pPr>
        <w:rPr>
          <w:iCs/>
          <w:sz w:val="22"/>
          <w:szCs w:val="22"/>
          <w:u w:val="single"/>
          <w:lang w:val="sk-SK"/>
        </w:rPr>
      </w:pPr>
      <w:r w:rsidRPr="00F25E58">
        <w:rPr>
          <w:iCs/>
          <w:sz w:val="22"/>
          <w:szCs w:val="22"/>
          <w:u w:val="single"/>
          <w:lang w:val="sk-SK"/>
        </w:rPr>
        <w:t>Porucha funkcie obličiek</w:t>
      </w:r>
    </w:p>
    <w:p w14:paraId="4D8E4EE8" w14:textId="77777777" w:rsidR="00586ADF" w:rsidRPr="00F25E58" w:rsidRDefault="00586ADF" w:rsidP="00586ADF">
      <w:pPr>
        <w:rPr>
          <w:iCs/>
          <w:sz w:val="22"/>
          <w:szCs w:val="22"/>
          <w:u w:val="single"/>
          <w:lang w:val="sk-SK"/>
        </w:rPr>
      </w:pPr>
    </w:p>
    <w:p w14:paraId="6776026E" w14:textId="77777777" w:rsidR="00586ADF" w:rsidRPr="00757A94" w:rsidRDefault="00586ADF" w:rsidP="00586ADF">
      <w:pPr>
        <w:rPr>
          <w:sz w:val="22"/>
          <w:szCs w:val="22"/>
          <w:lang w:val="sk-SK"/>
        </w:rPr>
      </w:pPr>
      <w:r w:rsidRPr="00757A94">
        <w:rPr>
          <w:sz w:val="22"/>
          <w:szCs w:val="22"/>
          <w:lang w:val="sk-SK"/>
        </w:rPr>
        <w:t xml:space="preserve">Dostupné údaje týkajúce sa pacientov s miernou </w:t>
      </w:r>
      <w:proofErr w:type="spellStart"/>
      <w:r w:rsidRPr="00757A94">
        <w:rPr>
          <w:sz w:val="22"/>
          <w:szCs w:val="22"/>
          <w:lang w:val="sk-SK"/>
        </w:rPr>
        <w:t>renálnou</w:t>
      </w:r>
      <w:proofErr w:type="spellEnd"/>
      <w:r w:rsidRPr="00757A94">
        <w:rPr>
          <w:sz w:val="22"/>
          <w:szCs w:val="22"/>
          <w:lang w:val="sk-SK"/>
        </w:rPr>
        <w:t xml:space="preserve"> </w:t>
      </w:r>
      <w:proofErr w:type="spellStart"/>
      <w:r w:rsidRPr="00757A94">
        <w:rPr>
          <w:sz w:val="22"/>
          <w:szCs w:val="22"/>
          <w:lang w:val="sk-SK"/>
        </w:rPr>
        <w:t>insuficienciou</w:t>
      </w:r>
      <w:proofErr w:type="spellEnd"/>
      <w:r w:rsidRPr="00757A94">
        <w:rPr>
          <w:sz w:val="22"/>
          <w:szCs w:val="22"/>
          <w:lang w:val="sk-SK"/>
        </w:rPr>
        <w:t xml:space="preserve"> sú nedostatočné a v tejto podskupine sa nedá spoľahlivo určiť systémovú expozíciu </w:t>
      </w:r>
      <w:proofErr w:type="spellStart"/>
      <w:r w:rsidRPr="00757A94">
        <w:rPr>
          <w:sz w:val="22"/>
          <w:szCs w:val="22"/>
          <w:lang w:val="sk-SK"/>
        </w:rPr>
        <w:t>metformínu</w:t>
      </w:r>
      <w:proofErr w:type="spellEnd"/>
      <w:r w:rsidRPr="00757A94">
        <w:rPr>
          <w:sz w:val="22"/>
          <w:szCs w:val="22"/>
          <w:lang w:val="sk-SK"/>
        </w:rPr>
        <w:t xml:space="preserve"> na rozdiel od subjektov s normálnymi </w:t>
      </w:r>
      <w:proofErr w:type="spellStart"/>
      <w:r w:rsidRPr="00757A94">
        <w:rPr>
          <w:sz w:val="22"/>
          <w:szCs w:val="22"/>
          <w:lang w:val="sk-SK"/>
        </w:rPr>
        <w:t>renálnymi</w:t>
      </w:r>
      <w:proofErr w:type="spellEnd"/>
      <w:r w:rsidRPr="00757A94">
        <w:rPr>
          <w:sz w:val="22"/>
          <w:szCs w:val="22"/>
          <w:lang w:val="sk-SK"/>
        </w:rPr>
        <w:t xml:space="preserve"> funkciami. Preto je treba prispôsobiť dávkovanie s prihliadnutím na klinickú účinnosť/znášanlivosť (pozri časť 4.2).</w:t>
      </w:r>
    </w:p>
    <w:p w14:paraId="3548223C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2B561D55" w14:textId="77777777" w:rsidR="008A27CD" w:rsidRPr="00956FD0" w:rsidRDefault="002465DC" w:rsidP="00455F29">
      <w:pPr>
        <w:outlineLvl w:val="0"/>
        <w:rPr>
          <w:bCs/>
          <w:sz w:val="22"/>
          <w:szCs w:val="20"/>
          <w:u w:val="single"/>
          <w:lang w:val="sk-SK"/>
        </w:rPr>
      </w:pPr>
      <w:r w:rsidRPr="00956FD0">
        <w:rPr>
          <w:bCs/>
          <w:sz w:val="22"/>
          <w:szCs w:val="20"/>
          <w:u w:val="single"/>
          <w:lang w:val="sk-SK"/>
        </w:rPr>
        <w:t>Pediatrická populácia</w:t>
      </w:r>
    </w:p>
    <w:p w14:paraId="21B00EF0" w14:textId="77777777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bCs/>
          <w:sz w:val="22"/>
          <w:szCs w:val="20"/>
          <w:lang w:val="sk-SK"/>
        </w:rPr>
        <w:t xml:space="preserve">Štúdia jednorazového podania: Po jednorazových dávkach 500 mg </w:t>
      </w:r>
      <w:proofErr w:type="spellStart"/>
      <w:r w:rsidRPr="00956FD0">
        <w:rPr>
          <w:sz w:val="22"/>
          <w:szCs w:val="20"/>
          <w:lang w:val="sk-SK"/>
        </w:rPr>
        <w:t>metformínium</w:t>
      </w:r>
      <w:proofErr w:type="spellEnd"/>
      <w:r w:rsidR="003D14DC">
        <w:rPr>
          <w:sz w:val="22"/>
          <w:szCs w:val="20"/>
          <w:lang w:val="sk-SK"/>
        </w:rPr>
        <w:t>-</w:t>
      </w:r>
      <w:r w:rsidRPr="00956FD0">
        <w:rPr>
          <w:sz w:val="22"/>
          <w:szCs w:val="20"/>
          <w:lang w:val="sk-SK"/>
        </w:rPr>
        <w:t xml:space="preserve">chloridu sa u detských pacientov ukázal podobný </w:t>
      </w:r>
      <w:proofErr w:type="spellStart"/>
      <w:r w:rsidRPr="00956FD0">
        <w:rPr>
          <w:sz w:val="22"/>
          <w:szCs w:val="20"/>
          <w:lang w:val="sk-SK"/>
        </w:rPr>
        <w:t>farmakokinetický</w:t>
      </w:r>
      <w:proofErr w:type="spellEnd"/>
      <w:r w:rsidRPr="00956FD0">
        <w:rPr>
          <w:sz w:val="22"/>
          <w:szCs w:val="20"/>
          <w:lang w:val="sk-SK"/>
        </w:rPr>
        <w:t xml:space="preserve"> profil, ako sa pozoroval u zdravých dospelých. </w:t>
      </w:r>
    </w:p>
    <w:p w14:paraId="7A39C47B" w14:textId="77777777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</w:p>
    <w:p w14:paraId="1533A4D6" w14:textId="77777777" w:rsidR="008A27CD" w:rsidRPr="00956FD0" w:rsidRDefault="008A27CD" w:rsidP="00455F29">
      <w:pPr>
        <w:outlineLvl w:val="0"/>
        <w:rPr>
          <w:bCs/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Štúdia viacnásobného podávania: Údaje sú obmedzené na jednu štúdiu. Po opakovaných dávkach 500 mg dvakrát denne počas 7 dní sa u detských pacientov znížila maximálna plazmatická koncentrácia (</w:t>
      </w:r>
      <w:proofErr w:type="spellStart"/>
      <w:r w:rsidRPr="00956FD0">
        <w:rPr>
          <w:sz w:val="22"/>
          <w:szCs w:val="20"/>
          <w:lang w:val="sk-SK"/>
        </w:rPr>
        <w:t>C</w:t>
      </w:r>
      <w:r w:rsidRPr="00956FD0">
        <w:rPr>
          <w:sz w:val="22"/>
          <w:szCs w:val="20"/>
          <w:vertAlign w:val="subscript"/>
          <w:lang w:val="sk-SK"/>
        </w:rPr>
        <w:t>max</w:t>
      </w:r>
      <w:proofErr w:type="spellEnd"/>
      <w:r w:rsidRPr="00956FD0">
        <w:rPr>
          <w:sz w:val="22"/>
          <w:szCs w:val="20"/>
          <w:lang w:val="sk-SK"/>
        </w:rPr>
        <w:t>) a systémová expozícia (AUC</w:t>
      </w:r>
      <w:r w:rsidRPr="00956FD0">
        <w:rPr>
          <w:sz w:val="22"/>
          <w:szCs w:val="20"/>
          <w:vertAlign w:val="subscript"/>
          <w:lang w:val="sk-SK"/>
        </w:rPr>
        <w:t>0-t</w:t>
      </w:r>
      <w:r w:rsidRPr="00956FD0">
        <w:rPr>
          <w:sz w:val="22"/>
          <w:szCs w:val="20"/>
          <w:lang w:val="sk-SK"/>
        </w:rPr>
        <w:t xml:space="preserve">) približne o 33%, resp. 40% v porovnaní s dospelými diabetikmi, ktorí dostávali opakované dávky 500 mg dvakrát denne počas 14 dní. Keďže dávka je individuálne </w:t>
      </w:r>
      <w:proofErr w:type="spellStart"/>
      <w:r w:rsidRPr="00956FD0">
        <w:rPr>
          <w:sz w:val="22"/>
          <w:szCs w:val="20"/>
          <w:lang w:val="sk-SK"/>
        </w:rPr>
        <w:t>titrovaná</w:t>
      </w:r>
      <w:proofErr w:type="spellEnd"/>
      <w:r w:rsidRPr="00956FD0">
        <w:rPr>
          <w:sz w:val="22"/>
          <w:szCs w:val="20"/>
          <w:lang w:val="sk-SK"/>
        </w:rPr>
        <w:t xml:space="preserve"> na kompenzáciu diabetu, má to iba obmedzený klinický význam.</w:t>
      </w:r>
    </w:p>
    <w:p w14:paraId="79476CD9" w14:textId="77777777" w:rsidR="008A27CD" w:rsidRPr="00956FD0" w:rsidRDefault="008A27CD" w:rsidP="00455F29">
      <w:pPr>
        <w:outlineLvl w:val="0"/>
        <w:rPr>
          <w:b/>
          <w:sz w:val="22"/>
          <w:szCs w:val="20"/>
          <w:lang w:val="sk-SK"/>
        </w:rPr>
      </w:pPr>
    </w:p>
    <w:p w14:paraId="4427A922" w14:textId="4372DD04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5.3.</w:t>
      </w:r>
      <w:r w:rsidRPr="00956FD0">
        <w:rPr>
          <w:b/>
          <w:sz w:val="22"/>
          <w:szCs w:val="20"/>
          <w:lang w:val="sk-SK"/>
        </w:rPr>
        <w:tab/>
        <w:t>Predklinické údaje o bezpečnosti</w:t>
      </w:r>
    </w:p>
    <w:p w14:paraId="40905132" w14:textId="77777777" w:rsidR="003B4A5E" w:rsidRPr="00956FD0" w:rsidRDefault="003B4A5E" w:rsidP="00455F29">
      <w:pPr>
        <w:rPr>
          <w:sz w:val="22"/>
          <w:szCs w:val="22"/>
          <w:lang w:val="sk-SK"/>
        </w:rPr>
      </w:pPr>
    </w:p>
    <w:p w14:paraId="7B87CED1" w14:textId="77777777" w:rsidR="008A27CD" w:rsidRPr="00956FD0" w:rsidRDefault="008A27CD" w:rsidP="00455F29">
      <w:pPr>
        <w:rPr>
          <w:sz w:val="22"/>
          <w:szCs w:val="22"/>
          <w:lang w:val="sk-SK"/>
        </w:rPr>
      </w:pPr>
      <w:r w:rsidRPr="00956FD0">
        <w:rPr>
          <w:sz w:val="22"/>
          <w:szCs w:val="22"/>
          <w:lang w:val="sk-SK"/>
        </w:rPr>
        <w:t xml:space="preserve">Predklinické údaje na základe obvyklých štúdií farmakologickej bezpečnosti, toxicity po opakovanom podaní, </w:t>
      </w:r>
      <w:proofErr w:type="spellStart"/>
      <w:r w:rsidRPr="00956FD0">
        <w:rPr>
          <w:sz w:val="22"/>
          <w:szCs w:val="22"/>
          <w:lang w:val="sk-SK"/>
        </w:rPr>
        <w:t>genotoxicity</w:t>
      </w:r>
      <w:proofErr w:type="spellEnd"/>
      <w:r w:rsidRPr="00956FD0">
        <w:rPr>
          <w:sz w:val="22"/>
          <w:szCs w:val="22"/>
          <w:lang w:val="sk-SK"/>
        </w:rPr>
        <w:t>, karcinogénneho potenciálu a reprodukčnej toxicity neodhalili žiadne osobitné riziko pre ľudí.</w:t>
      </w:r>
    </w:p>
    <w:p w14:paraId="24161818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7EA72768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6D9FC70D" w14:textId="77777777" w:rsidR="008A27CD" w:rsidRPr="00956FD0" w:rsidRDefault="008A27CD" w:rsidP="00455F29">
      <w:pPr>
        <w:outlineLvl w:val="0"/>
        <w:rPr>
          <w:caps/>
          <w:sz w:val="22"/>
          <w:szCs w:val="20"/>
          <w:lang w:val="sk-SK"/>
        </w:rPr>
      </w:pPr>
      <w:r w:rsidRPr="00956FD0">
        <w:rPr>
          <w:b/>
          <w:caps/>
          <w:sz w:val="22"/>
          <w:szCs w:val="20"/>
          <w:lang w:val="sk-SK"/>
        </w:rPr>
        <w:t xml:space="preserve">6. </w:t>
      </w:r>
      <w:r w:rsidRPr="00956FD0">
        <w:rPr>
          <w:b/>
          <w:caps/>
          <w:sz w:val="22"/>
          <w:szCs w:val="20"/>
          <w:lang w:val="sk-SK"/>
        </w:rPr>
        <w:tab/>
        <w:t>Farmaceutické informácie</w:t>
      </w:r>
    </w:p>
    <w:p w14:paraId="25A42ABF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26089FF4" w14:textId="2895BCAB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6.1.</w:t>
      </w:r>
      <w:r w:rsidRPr="00956FD0">
        <w:rPr>
          <w:b/>
          <w:sz w:val="22"/>
          <w:szCs w:val="20"/>
          <w:lang w:val="sk-SK"/>
        </w:rPr>
        <w:tab/>
        <w:t>Zoznam pomocných látok</w:t>
      </w:r>
    </w:p>
    <w:p w14:paraId="33ED20D1" w14:textId="77777777" w:rsidR="003B4A5E" w:rsidRPr="00956FD0" w:rsidRDefault="003B4A5E" w:rsidP="00455F29">
      <w:pPr>
        <w:rPr>
          <w:sz w:val="22"/>
          <w:szCs w:val="20"/>
          <w:lang w:val="sk-SK"/>
        </w:rPr>
      </w:pPr>
    </w:p>
    <w:p w14:paraId="2B10CF37" w14:textId="77777777" w:rsidR="008A27CD" w:rsidRPr="00956FD0" w:rsidRDefault="00666C19" w:rsidP="00455F29">
      <w:pPr>
        <w:rPr>
          <w:sz w:val="22"/>
          <w:szCs w:val="20"/>
          <w:lang w:val="sk-SK"/>
        </w:rPr>
      </w:pPr>
      <w:proofErr w:type="spellStart"/>
      <w:r w:rsidRPr="00956FD0">
        <w:rPr>
          <w:sz w:val="22"/>
          <w:szCs w:val="20"/>
          <w:lang w:val="sk-SK"/>
        </w:rPr>
        <w:t>h</w:t>
      </w:r>
      <w:r w:rsidR="008A27CD" w:rsidRPr="00956FD0">
        <w:rPr>
          <w:sz w:val="22"/>
          <w:szCs w:val="20"/>
          <w:lang w:val="sk-SK"/>
        </w:rPr>
        <w:t>ypromelóza</w:t>
      </w:r>
      <w:proofErr w:type="spellEnd"/>
    </w:p>
    <w:p w14:paraId="3EEA29ED" w14:textId="77777777" w:rsidR="008A27CD" w:rsidRPr="00956FD0" w:rsidRDefault="003B4A5E" w:rsidP="00455F29">
      <w:pPr>
        <w:rPr>
          <w:sz w:val="22"/>
          <w:szCs w:val="20"/>
          <w:lang w:val="sk-SK"/>
        </w:rPr>
      </w:pPr>
      <w:proofErr w:type="spellStart"/>
      <w:r w:rsidRPr="00956FD0">
        <w:rPr>
          <w:sz w:val="22"/>
          <w:szCs w:val="20"/>
          <w:lang w:val="sk-SK"/>
        </w:rPr>
        <w:t>makrogol</w:t>
      </w:r>
      <w:proofErr w:type="spellEnd"/>
      <w:r w:rsidRPr="00956FD0">
        <w:rPr>
          <w:sz w:val="22"/>
          <w:szCs w:val="20"/>
          <w:lang w:val="sk-SK"/>
        </w:rPr>
        <w:t xml:space="preserve"> 6000</w:t>
      </w:r>
    </w:p>
    <w:p w14:paraId="385744BC" w14:textId="1373BA46" w:rsidR="008A27CD" w:rsidRPr="00956FD0" w:rsidRDefault="00873994" w:rsidP="00455F29">
      <w:pPr>
        <w:rPr>
          <w:sz w:val="22"/>
          <w:szCs w:val="20"/>
          <w:lang w:val="sk-SK"/>
        </w:rPr>
      </w:pPr>
      <w:proofErr w:type="spellStart"/>
      <w:r w:rsidRPr="00956FD0">
        <w:rPr>
          <w:sz w:val="22"/>
          <w:szCs w:val="20"/>
          <w:lang w:val="sk-SK"/>
        </w:rPr>
        <w:t>stear</w:t>
      </w:r>
      <w:r w:rsidR="00586ADF">
        <w:rPr>
          <w:sz w:val="22"/>
          <w:szCs w:val="20"/>
          <w:lang w:val="sk-SK"/>
        </w:rPr>
        <w:t>át</w:t>
      </w:r>
      <w:proofErr w:type="spellEnd"/>
      <w:r w:rsidRPr="00956FD0">
        <w:rPr>
          <w:sz w:val="22"/>
          <w:szCs w:val="20"/>
          <w:lang w:val="sk-SK"/>
        </w:rPr>
        <w:t xml:space="preserve"> </w:t>
      </w:r>
      <w:proofErr w:type="spellStart"/>
      <w:r w:rsidRPr="00956FD0">
        <w:rPr>
          <w:sz w:val="22"/>
          <w:szCs w:val="20"/>
          <w:lang w:val="sk-SK"/>
        </w:rPr>
        <w:t>horečnatý</w:t>
      </w:r>
      <w:proofErr w:type="spellEnd"/>
      <w:r w:rsidR="003B4A5E" w:rsidRPr="00956FD0">
        <w:rPr>
          <w:sz w:val="22"/>
          <w:szCs w:val="20"/>
          <w:lang w:val="sk-SK"/>
        </w:rPr>
        <w:t xml:space="preserve"> </w:t>
      </w:r>
    </w:p>
    <w:p w14:paraId="06F4BFC2" w14:textId="77777777" w:rsidR="008A27CD" w:rsidRPr="00956FD0" w:rsidRDefault="003B4A5E" w:rsidP="00455F29">
      <w:pPr>
        <w:rPr>
          <w:sz w:val="22"/>
          <w:szCs w:val="20"/>
          <w:lang w:val="sk-SK"/>
        </w:rPr>
      </w:pPr>
      <w:proofErr w:type="spellStart"/>
      <w:r w:rsidRPr="00956FD0">
        <w:rPr>
          <w:sz w:val="22"/>
          <w:szCs w:val="20"/>
          <w:lang w:val="sk-SK"/>
        </w:rPr>
        <w:t>povidón</w:t>
      </w:r>
      <w:proofErr w:type="spellEnd"/>
      <w:r w:rsidRPr="00956FD0">
        <w:rPr>
          <w:sz w:val="22"/>
          <w:szCs w:val="20"/>
          <w:lang w:val="sk-SK"/>
        </w:rPr>
        <w:t xml:space="preserve"> </w:t>
      </w:r>
      <w:r w:rsidR="002465DC" w:rsidRPr="00956FD0">
        <w:rPr>
          <w:sz w:val="22"/>
          <w:szCs w:val="20"/>
          <w:lang w:val="sk-SK"/>
        </w:rPr>
        <w:t>K</w:t>
      </w:r>
      <w:r w:rsidRPr="00956FD0">
        <w:rPr>
          <w:sz w:val="22"/>
          <w:szCs w:val="20"/>
          <w:lang w:val="sk-SK"/>
        </w:rPr>
        <w:t>25</w:t>
      </w:r>
    </w:p>
    <w:p w14:paraId="766D38AF" w14:textId="77777777" w:rsidR="008A27CD" w:rsidRPr="00956FD0" w:rsidRDefault="003B4A5E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oxid </w:t>
      </w:r>
      <w:proofErr w:type="spellStart"/>
      <w:r w:rsidRPr="00956FD0">
        <w:rPr>
          <w:sz w:val="22"/>
          <w:szCs w:val="20"/>
          <w:lang w:val="sk-SK"/>
        </w:rPr>
        <w:t>titaničitý</w:t>
      </w:r>
      <w:proofErr w:type="spellEnd"/>
      <w:r w:rsidRPr="00956FD0">
        <w:rPr>
          <w:sz w:val="22"/>
          <w:szCs w:val="20"/>
          <w:lang w:val="sk-SK"/>
        </w:rPr>
        <w:t xml:space="preserve"> (E171)</w:t>
      </w:r>
    </w:p>
    <w:p w14:paraId="57248F27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3094B57E" w14:textId="77777777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6.2.</w:t>
      </w:r>
      <w:r w:rsidRPr="00956FD0">
        <w:rPr>
          <w:b/>
          <w:sz w:val="22"/>
          <w:szCs w:val="20"/>
          <w:lang w:val="sk-SK"/>
        </w:rPr>
        <w:tab/>
        <w:t>Inkompatibility</w:t>
      </w:r>
    </w:p>
    <w:p w14:paraId="540372F2" w14:textId="77777777" w:rsidR="003B4A5E" w:rsidRPr="00956FD0" w:rsidRDefault="003B4A5E" w:rsidP="00455F29">
      <w:pPr>
        <w:rPr>
          <w:sz w:val="22"/>
          <w:szCs w:val="20"/>
          <w:lang w:val="sk-SK"/>
        </w:rPr>
      </w:pPr>
    </w:p>
    <w:p w14:paraId="235D9564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Neaplikovateľné</w:t>
      </w:r>
    </w:p>
    <w:p w14:paraId="5838F13F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1B8BE883" w14:textId="77777777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6.3.</w:t>
      </w:r>
      <w:r w:rsidRPr="00956FD0">
        <w:rPr>
          <w:b/>
          <w:sz w:val="22"/>
          <w:szCs w:val="20"/>
          <w:lang w:val="sk-SK"/>
        </w:rPr>
        <w:tab/>
        <w:t>Čas použiteľnosti</w:t>
      </w:r>
    </w:p>
    <w:p w14:paraId="6163AF45" w14:textId="77777777" w:rsidR="003B4A5E" w:rsidRPr="00956FD0" w:rsidRDefault="003B4A5E" w:rsidP="00455F29">
      <w:pPr>
        <w:widowControl w:val="0"/>
        <w:outlineLvl w:val="0"/>
        <w:rPr>
          <w:sz w:val="22"/>
          <w:szCs w:val="20"/>
          <w:lang w:val="sk-SK"/>
        </w:rPr>
      </w:pPr>
    </w:p>
    <w:p w14:paraId="4847E76C" w14:textId="77777777" w:rsidR="008A27CD" w:rsidRPr="00956FD0" w:rsidRDefault="008A27CD" w:rsidP="00455F29">
      <w:pPr>
        <w:widowControl w:val="0"/>
        <w:outlineLvl w:val="0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3 roky</w:t>
      </w:r>
    </w:p>
    <w:p w14:paraId="0985EFA8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7247B634" w14:textId="59BDD436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6.4.</w:t>
      </w:r>
      <w:r w:rsidRPr="00956FD0">
        <w:rPr>
          <w:b/>
          <w:sz w:val="22"/>
          <w:szCs w:val="20"/>
          <w:lang w:val="sk-SK"/>
        </w:rPr>
        <w:tab/>
        <w:t>Špeciálne upozornenia na uchovávanie</w:t>
      </w:r>
    </w:p>
    <w:p w14:paraId="4425CF3E" w14:textId="77777777" w:rsidR="003B4A5E" w:rsidRPr="00956FD0" w:rsidRDefault="003B4A5E" w:rsidP="00455F29">
      <w:pPr>
        <w:rPr>
          <w:sz w:val="22"/>
          <w:szCs w:val="20"/>
          <w:lang w:val="sk-SK"/>
        </w:rPr>
      </w:pPr>
    </w:p>
    <w:p w14:paraId="798C5C28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Tento liek nevyžaduje žiadne zvláštne podmienky na uchovávanie.</w:t>
      </w:r>
    </w:p>
    <w:p w14:paraId="18B8542F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7282470B" w14:textId="77777777" w:rsidR="008A27CD" w:rsidRPr="00956FD0" w:rsidRDefault="008A27CD" w:rsidP="00455F29">
      <w:pPr>
        <w:outlineLvl w:val="0"/>
        <w:rPr>
          <w:sz w:val="22"/>
          <w:szCs w:val="20"/>
          <w:lang w:val="sk-SK"/>
        </w:rPr>
      </w:pPr>
      <w:r w:rsidRPr="00956FD0">
        <w:rPr>
          <w:b/>
          <w:sz w:val="22"/>
          <w:szCs w:val="20"/>
          <w:lang w:val="sk-SK"/>
        </w:rPr>
        <w:t>6.5.</w:t>
      </w:r>
      <w:r w:rsidRPr="00956FD0">
        <w:rPr>
          <w:b/>
          <w:sz w:val="22"/>
          <w:szCs w:val="20"/>
          <w:lang w:val="sk-SK"/>
        </w:rPr>
        <w:tab/>
        <w:t>Druh obalu a obsah balenia</w:t>
      </w:r>
    </w:p>
    <w:p w14:paraId="0AEC6523" w14:textId="77777777" w:rsidR="003B4A5E" w:rsidRPr="00956FD0" w:rsidRDefault="003B4A5E" w:rsidP="00455F29">
      <w:pPr>
        <w:widowControl w:val="0"/>
        <w:outlineLvl w:val="0"/>
        <w:rPr>
          <w:sz w:val="22"/>
          <w:szCs w:val="20"/>
          <w:lang w:val="sk-SK"/>
        </w:rPr>
      </w:pPr>
    </w:p>
    <w:p w14:paraId="29F0B82C" w14:textId="77777777" w:rsidR="008A27CD" w:rsidRPr="00956FD0" w:rsidRDefault="008A27CD" w:rsidP="00455F29">
      <w:pPr>
        <w:widowControl w:val="0"/>
        <w:outlineLvl w:val="0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Balenia po 15, 20, 30, 50, 60, 90, 100, </w:t>
      </w:r>
      <w:r w:rsidR="008B38B2" w:rsidRPr="00956FD0">
        <w:rPr>
          <w:sz w:val="22"/>
          <w:szCs w:val="20"/>
          <w:lang w:val="sk-SK"/>
        </w:rPr>
        <w:t xml:space="preserve">118, </w:t>
      </w:r>
      <w:r w:rsidRPr="00956FD0">
        <w:rPr>
          <w:sz w:val="22"/>
          <w:szCs w:val="20"/>
          <w:lang w:val="sk-SK"/>
        </w:rPr>
        <w:t xml:space="preserve">120 150, </w:t>
      </w:r>
      <w:r w:rsidR="008B38B2" w:rsidRPr="00956FD0">
        <w:rPr>
          <w:sz w:val="22"/>
          <w:szCs w:val="20"/>
          <w:lang w:val="sk-SK"/>
        </w:rPr>
        <w:t xml:space="preserve">180, </w:t>
      </w:r>
      <w:r w:rsidRPr="00956FD0">
        <w:rPr>
          <w:sz w:val="22"/>
          <w:szCs w:val="20"/>
          <w:lang w:val="sk-SK"/>
        </w:rPr>
        <w:t>200, 600 filmom obalených tabliet v </w:t>
      </w:r>
      <w:proofErr w:type="spellStart"/>
      <w:r w:rsidRPr="00956FD0">
        <w:rPr>
          <w:sz w:val="22"/>
          <w:szCs w:val="20"/>
          <w:lang w:val="sk-SK"/>
        </w:rPr>
        <w:t>blistrových</w:t>
      </w:r>
      <w:proofErr w:type="spellEnd"/>
      <w:r w:rsidRPr="00956FD0">
        <w:rPr>
          <w:sz w:val="22"/>
          <w:szCs w:val="20"/>
          <w:lang w:val="sk-SK"/>
        </w:rPr>
        <w:t xml:space="preserve"> baleniach</w:t>
      </w:r>
      <w:r w:rsidR="003B4A5E" w:rsidRPr="00956FD0">
        <w:rPr>
          <w:sz w:val="22"/>
          <w:szCs w:val="20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>(PVC-hliník alebo PVC/PVDC-hliník).</w:t>
      </w:r>
    </w:p>
    <w:p w14:paraId="12D63C44" w14:textId="77777777" w:rsidR="008A27CD" w:rsidRPr="00956FD0" w:rsidRDefault="008A27CD" w:rsidP="00455F29">
      <w:pPr>
        <w:widowControl w:val="0"/>
        <w:outlineLvl w:val="0"/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 </w:t>
      </w:r>
    </w:p>
    <w:p w14:paraId="3FD2ACBC" w14:textId="77777777" w:rsidR="008A27CD" w:rsidRPr="00956FD0" w:rsidRDefault="00D8536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Na trh nemusia byť uvedené všetky veľkosti balenia.</w:t>
      </w:r>
    </w:p>
    <w:p w14:paraId="10396C56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05FDD006" w14:textId="77777777" w:rsidR="002465DC" w:rsidRPr="00956FD0" w:rsidRDefault="002465DC" w:rsidP="00455F29">
      <w:pPr>
        <w:rPr>
          <w:sz w:val="22"/>
          <w:szCs w:val="20"/>
          <w:lang w:val="sk-SK"/>
        </w:rPr>
      </w:pPr>
    </w:p>
    <w:p w14:paraId="7522332B" w14:textId="77777777" w:rsidR="008A27CD" w:rsidRPr="00956FD0" w:rsidRDefault="008A27CD" w:rsidP="00455F29">
      <w:pPr>
        <w:outlineLvl w:val="0"/>
        <w:rPr>
          <w:caps/>
          <w:sz w:val="22"/>
          <w:szCs w:val="20"/>
          <w:lang w:val="sk-SK"/>
        </w:rPr>
      </w:pPr>
      <w:r w:rsidRPr="00956FD0">
        <w:rPr>
          <w:b/>
          <w:caps/>
          <w:sz w:val="22"/>
          <w:szCs w:val="20"/>
          <w:lang w:val="sk-SK"/>
        </w:rPr>
        <w:t>7.</w:t>
      </w:r>
      <w:r w:rsidRPr="00956FD0">
        <w:rPr>
          <w:b/>
          <w:caps/>
          <w:sz w:val="22"/>
          <w:szCs w:val="20"/>
          <w:lang w:val="sk-SK"/>
        </w:rPr>
        <w:tab/>
        <w:t>Držiteľ rozhodnutia o registrácii</w:t>
      </w:r>
    </w:p>
    <w:p w14:paraId="3C11F347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17AED1F9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STADA </w:t>
      </w:r>
      <w:proofErr w:type="spellStart"/>
      <w:r w:rsidRPr="00956FD0">
        <w:rPr>
          <w:sz w:val="22"/>
          <w:szCs w:val="20"/>
          <w:lang w:val="sk-SK"/>
        </w:rPr>
        <w:t>Arzneimittel</w:t>
      </w:r>
      <w:proofErr w:type="spellEnd"/>
      <w:r w:rsidRPr="00956FD0">
        <w:rPr>
          <w:sz w:val="22"/>
          <w:szCs w:val="20"/>
          <w:lang w:val="sk-SK"/>
        </w:rPr>
        <w:t xml:space="preserve"> AG</w:t>
      </w:r>
    </w:p>
    <w:p w14:paraId="28B9F581" w14:textId="77777777" w:rsidR="008A27CD" w:rsidRPr="00956FD0" w:rsidRDefault="008A27CD" w:rsidP="00455F29">
      <w:pPr>
        <w:rPr>
          <w:sz w:val="22"/>
          <w:szCs w:val="20"/>
          <w:lang w:val="sk-SK"/>
        </w:rPr>
      </w:pPr>
      <w:proofErr w:type="spellStart"/>
      <w:r w:rsidRPr="00956FD0">
        <w:rPr>
          <w:sz w:val="22"/>
          <w:szCs w:val="20"/>
          <w:lang w:val="sk-SK"/>
        </w:rPr>
        <w:t>Stadastrasse</w:t>
      </w:r>
      <w:proofErr w:type="spellEnd"/>
      <w:r w:rsidRPr="00956FD0">
        <w:rPr>
          <w:sz w:val="22"/>
          <w:szCs w:val="20"/>
          <w:lang w:val="sk-SK"/>
        </w:rPr>
        <w:t xml:space="preserve"> 2-18</w:t>
      </w:r>
    </w:p>
    <w:p w14:paraId="010C2A9D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 xml:space="preserve">61118 </w:t>
      </w:r>
      <w:proofErr w:type="spellStart"/>
      <w:r w:rsidRPr="00956FD0">
        <w:rPr>
          <w:sz w:val="22"/>
          <w:szCs w:val="20"/>
          <w:lang w:val="sk-SK"/>
        </w:rPr>
        <w:t>Bad</w:t>
      </w:r>
      <w:proofErr w:type="spellEnd"/>
      <w:r w:rsidRPr="00956FD0">
        <w:rPr>
          <w:sz w:val="22"/>
          <w:szCs w:val="20"/>
          <w:lang w:val="sk-SK"/>
        </w:rPr>
        <w:t xml:space="preserve"> </w:t>
      </w:r>
      <w:proofErr w:type="spellStart"/>
      <w:r w:rsidRPr="00956FD0">
        <w:rPr>
          <w:sz w:val="22"/>
          <w:szCs w:val="20"/>
          <w:lang w:val="sk-SK"/>
        </w:rPr>
        <w:t>Vilbel</w:t>
      </w:r>
      <w:proofErr w:type="spellEnd"/>
    </w:p>
    <w:p w14:paraId="4ACB66DB" w14:textId="77777777" w:rsidR="008A27CD" w:rsidRPr="00956FD0" w:rsidRDefault="008A27CD" w:rsidP="00455F29">
      <w:pPr>
        <w:rPr>
          <w:sz w:val="22"/>
          <w:szCs w:val="20"/>
          <w:lang w:val="sk-SK"/>
        </w:rPr>
      </w:pPr>
      <w:r w:rsidRPr="00956FD0">
        <w:rPr>
          <w:sz w:val="22"/>
          <w:szCs w:val="20"/>
          <w:lang w:val="sk-SK"/>
        </w:rPr>
        <w:t>Nemecko</w:t>
      </w:r>
    </w:p>
    <w:p w14:paraId="7835C4A3" w14:textId="77777777" w:rsidR="002465DC" w:rsidRPr="00956FD0" w:rsidRDefault="002465DC" w:rsidP="003B4A5E">
      <w:pPr>
        <w:tabs>
          <w:tab w:val="left" w:pos="5647"/>
        </w:tabs>
        <w:rPr>
          <w:sz w:val="22"/>
          <w:szCs w:val="20"/>
          <w:lang w:val="sk-SK"/>
        </w:rPr>
      </w:pPr>
    </w:p>
    <w:p w14:paraId="41C587CB" w14:textId="77777777" w:rsidR="008A27CD" w:rsidRPr="00956FD0" w:rsidRDefault="008A27CD" w:rsidP="003B4A5E">
      <w:pPr>
        <w:tabs>
          <w:tab w:val="left" w:pos="5647"/>
        </w:tabs>
        <w:rPr>
          <w:sz w:val="22"/>
          <w:szCs w:val="20"/>
          <w:lang w:val="sk-SK"/>
        </w:rPr>
      </w:pPr>
    </w:p>
    <w:p w14:paraId="51F743D9" w14:textId="77777777" w:rsidR="008A27CD" w:rsidRPr="00956FD0" w:rsidRDefault="008A27CD" w:rsidP="00455F29">
      <w:pPr>
        <w:outlineLvl w:val="0"/>
        <w:rPr>
          <w:b/>
          <w:caps/>
          <w:sz w:val="22"/>
          <w:szCs w:val="20"/>
          <w:lang w:val="sk-SK"/>
        </w:rPr>
      </w:pPr>
      <w:r w:rsidRPr="00956FD0">
        <w:rPr>
          <w:b/>
          <w:caps/>
          <w:sz w:val="22"/>
          <w:szCs w:val="20"/>
          <w:lang w:val="sk-SK"/>
        </w:rPr>
        <w:t>8.</w:t>
      </w:r>
      <w:r w:rsidRPr="00956FD0">
        <w:rPr>
          <w:b/>
          <w:caps/>
          <w:sz w:val="22"/>
          <w:szCs w:val="20"/>
          <w:lang w:val="sk-SK"/>
        </w:rPr>
        <w:tab/>
      </w:r>
      <w:r w:rsidRPr="00956FD0">
        <w:rPr>
          <w:b/>
          <w:sz w:val="22"/>
          <w:szCs w:val="22"/>
          <w:lang w:val="sk-SK"/>
        </w:rPr>
        <w:t>REGISTRAČNÉ ČÍSLO</w:t>
      </w:r>
    </w:p>
    <w:p w14:paraId="15F2B227" w14:textId="77777777" w:rsidR="008A27CD" w:rsidRPr="00956FD0" w:rsidRDefault="008A27CD" w:rsidP="00455F29">
      <w:pPr>
        <w:rPr>
          <w:b/>
          <w:caps/>
          <w:sz w:val="22"/>
          <w:szCs w:val="20"/>
          <w:lang w:val="sk-SK"/>
        </w:rPr>
      </w:pPr>
    </w:p>
    <w:p w14:paraId="1AA93F3D" w14:textId="77777777" w:rsidR="008A27CD" w:rsidRPr="00956FD0" w:rsidRDefault="006F60A9" w:rsidP="00455F29">
      <w:pPr>
        <w:rPr>
          <w:caps/>
          <w:sz w:val="22"/>
          <w:szCs w:val="20"/>
          <w:lang w:val="sk-SK"/>
        </w:rPr>
      </w:pPr>
      <w:r w:rsidRPr="00956FD0">
        <w:rPr>
          <w:caps/>
          <w:sz w:val="22"/>
          <w:szCs w:val="20"/>
          <w:lang w:val="sk-SK"/>
        </w:rPr>
        <w:t>18/0427/05-S</w:t>
      </w:r>
    </w:p>
    <w:p w14:paraId="69EBBC0F" w14:textId="77777777" w:rsidR="006F60A9" w:rsidRPr="00956FD0" w:rsidRDefault="006F60A9" w:rsidP="00455F29">
      <w:pPr>
        <w:rPr>
          <w:caps/>
          <w:sz w:val="22"/>
          <w:szCs w:val="20"/>
          <w:lang w:val="sk-SK"/>
        </w:rPr>
      </w:pPr>
    </w:p>
    <w:p w14:paraId="139A6E6F" w14:textId="77777777" w:rsidR="008A27CD" w:rsidRPr="00956FD0" w:rsidRDefault="008A27CD" w:rsidP="00455F29">
      <w:pPr>
        <w:rPr>
          <w:caps/>
          <w:sz w:val="22"/>
          <w:szCs w:val="20"/>
          <w:lang w:val="sk-SK"/>
        </w:rPr>
      </w:pPr>
    </w:p>
    <w:p w14:paraId="268B49C7" w14:textId="77777777" w:rsidR="008A27CD" w:rsidRPr="00956FD0" w:rsidRDefault="008A27CD" w:rsidP="00455F29">
      <w:pPr>
        <w:outlineLvl w:val="0"/>
        <w:rPr>
          <w:b/>
          <w:caps/>
          <w:sz w:val="22"/>
          <w:szCs w:val="20"/>
          <w:lang w:val="sk-SK"/>
        </w:rPr>
      </w:pPr>
      <w:r w:rsidRPr="00956FD0">
        <w:rPr>
          <w:b/>
          <w:caps/>
          <w:sz w:val="22"/>
          <w:szCs w:val="20"/>
          <w:lang w:val="sk-SK"/>
        </w:rPr>
        <w:t>9.</w:t>
      </w:r>
      <w:r w:rsidRPr="00956FD0">
        <w:rPr>
          <w:b/>
          <w:caps/>
          <w:sz w:val="22"/>
          <w:szCs w:val="20"/>
          <w:lang w:val="sk-SK"/>
        </w:rPr>
        <w:tab/>
        <w:t>Dátum prvej registrácie/predĺženia registrácie</w:t>
      </w:r>
    </w:p>
    <w:p w14:paraId="489A2CA3" w14:textId="77777777" w:rsidR="008A27CD" w:rsidRPr="00956FD0" w:rsidRDefault="008A27CD" w:rsidP="00455F29">
      <w:pPr>
        <w:rPr>
          <w:caps/>
          <w:sz w:val="22"/>
          <w:szCs w:val="20"/>
          <w:lang w:val="sk-SK"/>
        </w:rPr>
      </w:pPr>
    </w:p>
    <w:p w14:paraId="5DAF3EC8" w14:textId="77777777" w:rsidR="008A27CD" w:rsidRPr="00956FD0" w:rsidRDefault="00D8536D" w:rsidP="00455F29">
      <w:pPr>
        <w:rPr>
          <w:caps/>
          <w:sz w:val="22"/>
          <w:szCs w:val="20"/>
          <w:lang w:val="sk-SK"/>
        </w:rPr>
      </w:pPr>
      <w:r w:rsidRPr="00956FD0">
        <w:rPr>
          <w:caps/>
          <w:sz w:val="22"/>
          <w:szCs w:val="20"/>
          <w:lang w:val="sk-SK"/>
        </w:rPr>
        <w:t>D</w:t>
      </w:r>
      <w:r w:rsidRPr="00956FD0">
        <w:rPr>
          <w:sz w:val="22"/>
          <w:szCs w:val="20"/>
          <w:lang w:val="sk-SK"/>
        </w:rPr>
        <w:t>átum prvej registrácie</w:t>
      </w:r>
      <w:r w:rsidRPr="00956FD0">
        <w:rPr>
          <w:caps/>
          <w:sz w:val="22"/>
          <w:szCs w:val="20"/>
          <w:lang w:val="sk-SK"/>
        </w:rPr>
        <w:t xml:space="preserve">: </w:t>
      </w:r>
      <w:r w:rsidR="006F60A9" w:rsidRPr="00956FD0">
        <w:rPr>
          <w:caps/>
          <w:sz w:val="22"/>
          <w:szCs w:val="20"/>
          <w:lang w:val="sk-SK"/>
        </w:rPr>
        <w:t>29.</w:t>
      </w:r>
      <w:r w:rsidRPr="00956FD0" w:rsidDel="00D8536D">
        <w:rPr>
          <w:caps/>
          <w:sz w:val="22"/>
          <w:szCs w:val="20"/>
          <w:lang w:val="sk-SK"/>
        </w:rPr>
        <w:t xml:space="preserve"> </w:t>
      </w:r>
      <w:r w:rsidRPr="00956FD0">
        <w:rPr>
          <w:sz w:val="22"/>
          <w:szCs w:val="20"/>
          <w:lang w:val="sk-SK"/>
        </w:rPr>
        <w:t>novembra</w:t>
      </w:r>
      <w:r w:rsidRPr="00956FD0">
        <w:rPr>
          <w:caps/>
          <w:sz w:val="22"/>
          <w:szCs w:val="20"/>
          <w:lang w:val="sk-SK"/>
        </w:rPr>
        <w:t xml:space="preserve"> </w:t>
      </w:r>
      <w:r w:rsidR="006F60A9" w:rsidRPr="00956FD0">
        <w:rPr>
          <w:caps/>
          <w:sz w:val="22"/>
          <w:szCs w:val="20"/>
          <w:lang w:val="sk-SK"/>
        </w:rPr>
        <w:t>2005</w:t>
      </w:r>
    </w:p>
    <w:p w14:paraId="27086922" w14:textId="77777777" w:rsidR="003B4A5E" w:rsidRPr="00956FD0" w:rsidRDefault="003B4A5E" w:rsidP="003B4A5E">
      <w:pPr>
        <w:rPr>
          <w:caps/>
          <w:sz w:val="22"/>
          <w:szCs w:val="20"/>
          <w:lang w:val="sk-SK"/>
        </w:rPr>
      </w:pPr>
      <w:r w:rsidRPr="00956FD0">
        <w:rPr>
          <w:caps/>
          <w:sz w:val="22"/>
          <w:szCs w:val="20"/>
          <w:lang w:val="sk-SK"/>
        </w:rPr>
        <w:t>D</w:t>
      </w:r>
      <w:r w:rsidRPr="00956FD0">
        <w:rPr>
          <w:sz w:val="22"/>
          <w:szCs w:val="20"/>
          <w:lang w:val="sk-SK"/>
        </w:rPr>
        <w:t>átum posledného predĺženia registrácie:</w:t>
      </w:r>
      <w:r w:rsidR="00403A2F" w:rsidRPr="00956FD0">
        <w:rPr>
          <w:sz w:val="22"/>
          <w:szCs w:val="20"/>
          <w:lang w:val="sk-SK"/>
        </w:rPr>
        <w:t xml:space="preserve"> 27. apríla 2017</w:t>
      </w:r>
    </w:p>
    <w:p w14:paraId="08B5F51A" w14:textId="77777777" w:rsidR="006F60A9" w:rsidRPr="00956FD0" w:rsidRDefault="006F60A9" w:rsidP="00455F29">
      <w:pPr>
        <w:rPr>
          <w:caps/>
          <w:sz w:val="22"/>
          <w:szCs w:val="20"/>
          <w:lang w:val="sk-SK"/>
        </w:rPr>
      </w:pPr>
    </w:p>
    <w:p w14:paraId="47889F51" w14:textId="77777777" w:rsidR="008A27CD" w:rsidRPr="00956FD0" w:rsidRDefault="008A27CD" w:rsidP="00455F29">
      <w:pPr>
        <w:rPr>
          <w:caps/>
          <w:sz w:val="22"/>
          <w:szCs w:val="20"/>
          <w:lang w:val="sk-SK"/>
        </w:rPr>
      </w:pPr>
    </w:p>
    <w:p w14:paraId="5F54BB18" w14:textId="77777777" w:rsidR="008A27CD" w:rsidRPr="00956FD0" w:rsidRDefault="008A27CD" w:rsidP="00455F29">
      <w:pPr>
        <w:outlineLvl w:val="0"/>
        <w:rPr>
          <w:caps/>
          <w:sz w:val="22"/>
          <w:szCs w:val="20"/>
          <w:lang w:val="sk-SK"/>
        </w:rPr>
      </w:pPr>
      <w:r w:rsidRPr="00956FD0">
        <w:rPr>
          <w:b/>
          <w:caps/>
          <w:sz w:val="22"/>
          <w:szCs w:val="20"/>
          <w:lang w:val="sk-SK"/>
        </w:rPr>
        <w:t>10.</w:t>
      </w:r>
      <w:r w:rsidRPr="00956FD0">
        <w:rPr>
          <w:b/>
          <w:caps/>
          <w:sz w:val="22"/>
          <w:szCs w:val="20"/>
          <w:lang w:val="sk-SK"/>
        </w:rPr>
        <w:tab/>
        <w:t>Dátum revízie textu</w:t>
      </w:r>
    </w:p>
    <w:p w14:paraId="509A6B4C" w14:textId="77777777" w:rsidR="008A27CD" w:rsidRPr="00956FD0" w:rsidRDefault="008A27CD" w:rsidP="00455F29">
      <w:pPr>
        <w:rPr>
          <w:sz w:val="22"/>
          <w:szCs w:val="20"/>
          <w:lang w:val="sk-SK"/>
        </w:rPr>
      </w:pPr>
    </w:p>
    <w:p w14:paraId="4F132BCF" w14:textId="49CE1C57" w:rsidR="008A27CD" w:rsidRPr="00956FD0" w:rsidRDefault="008E5DC0" w:rsidP="00455F29">
      <w:pPr>
        <w:rPr>
          <w:sz w:val="22"/>
          <w:szCs w:val="20"/>
          <w:lang w:val="sk-SK"/>
        </w:rPr>
      </w:pPr>
      <w:r>
        <w:rPr>
          <w:sz w:val="22"/>
          <w:lang w:val="sk-SK"/>
        </w:rPr>
        <w:t>02/2024</w:t>
      </w:r>
    </w:p>
    <w:sectPr w:rsidR="008A27CD" w:rsidRPr="00956FD0" w:rsidSect="00194170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B1F23" w14:textId="77777777" w:rsidR="00EB7FB4" w:rsidRDefault="00EB7FB4">
      <w:r>
        <w:separator/>
      </w:r>
    </w:p>
  </w:endnote>
  <w:endnote w:type="continuationSeparator" w:id="0">
    <w:p w14:paraId="1C6FB54E" w14:textId="77777777" w:rsidR="00EB7FB4" w:rsidRDefault="00EB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UOWUE+Verdana">
    <w:altName w:val="Verdan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0FA6" w14:textId="77777777" w:rsidR="008D12AD" w:rsidRPr="00194170" w:rsidRDefault="008D12AD">
    <w:pPr>
      <w:pStyle w:val="Pta"/>
      <w:jc w:val="center"/>
      <w:rPr>
        <w:sz w:val="18"/>
        <w:szCs w:val="18"/>
      </w:rPr>
    </w:pPr>
    <w:r w:rsidRPr="00194170">
      <w:rPr>
        <w:sz w:val="18"/>
        <w:szCs w:val="18"/>
      </w:rPr>
      <w:fldChar w:fldCharType="begin"/>
    </w:r>
    <w:r w:rsidRPr="00194170">
      <w:rPr>
        <w:sz w:val="18"/>
        <w:szCs w:val="18"/>
      </w:rPr>
      <w:instrText>PAGE   \* MERGEFORMAT</w:instrText>
    </w:r>
    <w:r w:rsidRPr="00194170">
      <w:rPr>
        <w:sz w:val="18"/>
        <w:szCs w:val="18"/>
      </w:rPr>
      <w:fldChar w:fldCharType="separate"/>
    </w:r>
    <w:r w:rsidR="00E42BC9" w:rsidRPr="00E42BC9">
      <w:rPr>
        <w:noProof/>
        <w:sz w:val="18"/>
        <w:szCs w:val="18"/>
        <w:lang w:val="sk-SK"/>
      </w:rPr>
      <w:t>11</w:t>
    </w:r>
    <w:r w:rsidRPr="00194170">
      <w:rPr>
        <w:sz w:val="18"/>
        <w:szCs w:val="18"/>
      </w:rPr>
      <w:fldChar w:fldCharType="end"/>
    </w:r>
  </w:p>
  <w:p w14:paraId="063E2548" w14:textId="77777777" w:rsidR="008A27CD" w:rsidRDefault="008A27CD" w:rsidP="003B4A5E">
    <w:pPr>
      <w:pStyle w:val="Pta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695C1" w14:textId="77777777" w:rsidR="00EB7FB4" w:rsidRDefault="00EB7FB4">
      <w:r>
        <w:separator/>
      </w:r>
    </w:p>
  </w:footnote>
  <w:footnote w:type="continuationSeparator" w:id="0">
    <w:p w14:paraId="3E0D443B" w14:textId="77777777" w:rsidR="00EB7FB4" w:rsidRDefault="00EB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A704" w14:textId="66F3056B" w:rsidR="005C1E20" w:rsidRPr="00A3715D" w:rsidRDefault="005C1E20" w:rsidP="005C1E20">
    <w:pPr>
      <w:tabs>
        <w:tab w:val="center" w:pos="4535"/>
      </w:tabs>
      <w:outlineLvl w:val="0"/>
      <w:rPr>
        <w:sz w:val="18"/>
        <w:szCs w:val="18"/>
        <w:lang w:val="sk-SK"/>
      </w:rPr>
    </w:pPr>
    <w:r w:rsidRPr="00A3715D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A3715D">
      <w:rPr>
        <w:sz w:val="18"/>
        <w:szCs w:val="18"/>
        <w:lang w:val="sk-SK"/>
      </w:rPr>
      <w:t xml:space="preserve"> k notifikácii o zmene, ev. č.: </w:t>
    </w:r>
    <w:r w:rsidR="00503568" w:rsidRPr="00503568">
      <w:rPr>
        <w:sz w:val="18"/>
        <w:szCs w:val="18"/>
        <w:lang w:val="sk-SK"/>
      </w:rPr>
      <w:t>2023/01359-Z1B</w:t>
    </w:r>
  </w:p>
  <w:p w14:paraId="1A71F8AE" w14:textId="77777777" w:rsidR="00403A2F" w:rsidRPr="00194170" w:rsidRDefault="00403A2F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3E167" w14:textId="77777777" w:rsidR="002341CC" w:rsidRPr="00A3715D" w:rsidRDefault="002341CC" w:rsidP="002341CC">
    <w:pPr>
      <w:tabs>
        <w:tab w:val="center" w:pos="4535"/>
      </w:tabs>
      <w:outlineLvl w:val="0"/>
      <w:rPr>
        <w:sz w:val="18"/>
        <w:szCs w:val="18"/>
        <w:lang w:val="sk-SK"/>
      </w:rPr>
    </w:pPr>
    <w:r w:rsidRPr="00A3715D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A3715D">
      <w:rPr>
        <w:sz w:val="18"/>
        <w:szCs w:val="18"/>
        <w:lang w:val="sk-SK"/>
      </w:rPr>
      <w:t xml:space="preserve"> k notifikácii o zmene, ev. č.: 201</w:t>
    </w:r>
    <w:r>
      <w:rPr>
        <w:sz w:val="18"/>
        <w:szCs w:val="18"/>
        <w:lang w:val="sk-SK"/>
      </w:rPr>
      <w:t>7</w:t>
    </w:r>
    <w:r w:rsidRPr="00A3715D">
      <w:rPr>
        <w:sz w:val="18"/>
        <w:szCs w:val="18"/>
        <w:lang w:val="sk-SK"/>
      </w:rPr>
      <w:t>/0</w:t>
    </w:r>
    <w:r>
      <w:rPr>
        <w:sz w:val="18"/>
        <w:szCs w:val="18"/>
        <w:lang w:val="sk-SK"/>
      </w:rPr>
      <w:t>0374-Z1B</w:t>
    </w:r>
  </w:p>
  <w:p w14:paraId="1FDB2009" w14:textId="77777777" w:rsidR="006C2790" w:rsidRPr="00194170" w:rsidRDefault="006C2790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A4312"/>
    <w:multiLevelType w:val="hybridMultilevel"/>
    <w:tmpl w:val="975E65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1850"/>
    <w:multiLevelType w:val="hybridMultilevel"/>
    <w:tmpl w:val="F882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F6601"/>
    <w:multiLevelType w:val="hybridMultilevel"/>
    <w:tmpl w:val="EE9465CC"/>
    <w:lvl w:ilvl="0" w:tplc="33CC78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B46E2"/>
    <w:multiLevelType w:val="hybridMultilevel"/>
    <w:tmpl w:val="2DD46A86"/>
    <w:lvl w:ilvl="0" w:tplc="FFFFFFFF">
      <w:start w:val="1"/>
      <w:numFmt w:val="bullet"/>
      <w:lvlText w:val="−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A7743FA"/>
    <w:multiLevelType w:val="hybridMultilevel"/>
    <w:tmpl w:val="110673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BBE"/>
    <w:multiLevelType w:val="hybridMultilevel"/>
    <w:tmpl w:val="1494C2A4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A617F8"/>
    <w:multiLevelType w:val="hybridMultilevel"/>
    <w:tmpl w:val="79589FE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66C812E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6551BD"/>
    <w:multiLevelType w:val="hybridMultilevel"/>
    <w:tmpl w:val="03427CE0"/>
    <w:lvl w:ilvl="0" w:tplc="FFFFFFFF">
      <w:start w:val="1"/>
      <w:numFmt w:val="bullet"/>
      <w:lvlText w:val="−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39441AB"/>
    <w:multiLevelType w:val="hybridMultilevel"/>
    <w:tmpl w:val="5FBE54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94A7F"/>
    <w:multiLevelType w:val="hybridMultilevel"/>
    <w:tmpl w:val="127C9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909D0"/>
    <w:multiLevelType w:val="hybridMultilevel"/>
    <w:tmpl w:val="5032E3B8"/>
    <w:lvl w:ilvl="0" w:tplc="FFFFFFFF">
      <w:start w:val="1"/>
      <w:numFmt w:val="bullet"/>
      <w:lvlText w:val="−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151068822">
    <w:abstractNumId w:val="3"/>
  </w:num>
  <w:num w:numId="2" w16cid:durableId="1839226497">
    <w:abstractNumId w:val="10"/>
  </w:num>
  <w:num w:numId="3" w16cid:durableId="2140143825">
    <w:abstractNumId w:val="7"/>
  </w:num>
  <w:num w:numId="4" w16cid:durableId="950622204">
    <w:abstractNumId w:val="5"/>
  </w:num>
  <w:num w:numId="5" w16cid:durableId="645549817">
    <w:abstractNumId w:val="0"/>
  </w:num>
  <w:num w:numId="6" w16cid:durableId="288828178">
    <w:abstractNumId w:val="9"/>
  </w:num>
  <w:num w:numId="7" w16cid:durableId="328367771">
    <w:abstractNumId w:val="4"/>
  </w:num>
  <w:num w:numId="8" w16cid:durableId="1874533742">
    <w:abstractNumId w:val="2"/>
  </w:num>
  <w:num w:numId="9" w16cid:durableId="112677571">
    <w:abstractNumId w:val="6"/>
  </w:num>
  <w:num w:numId="10" w16cid:durableId="1247765882">
    <w:abstractNumId w:val="8"/>
  </w:num>
  <w:num w:numId="11" w16cid:durableId="104918753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A9"/>
    <w:rsid w:val="000071D9"/>
    <w:rsid w:val="00103D98"/>
    <w:rsid w:val="001125C7"/>
    <w:rsid w:val="00172ABC"/>
    <w:rsid w:val="00173EA0"/>
    <w:rsid w:val="00194170"/>
    <w:rsid w:val="001C52A9"/>
    <w:rsid w:val="001E0859"/>
    <w:rsid w:val="0020456B"/>
    <w:rsid w:val="00206507"/>
    <w:rsid w:val="002341CC"/>
    <w:rsid w:val="0023652F"/>
    <w:rsid w:val="002465DC"/>
    <w:rsid w:val="0025019A"/>
    <w:rsid w:val="002E2C87"/>
    <w:rsid w:val="00364470"/>
    <w:rsid w:val="003856D0"/>
    <w:rsid w:val="003B4A5E"/>
    <w:rsid w:val="003D14DC"/>
    <w:rsid w:val="00403A2F"/>
    <w:rsid w:val="00432F45"/>
    <w:rsid w:val="00444EBF"/>
    <w:rsid w:val="00455C76"/>
    <w:rsid w:val="00455F29"/>
    <w:rsid w:val="00485AD3"/>
    <w:rsid w:val="004C425E"/>
    <w:rsid w:val="004D7874"/>
    <w:rsid w:val="00503568"/>
    <w:rsid w:val="0057164A"/>
    <w:rsid w:val="00586ADF"/>
    <w:rsid w:val="00590A9B"/>
    <w:rsid w:val="005C1802"/>
    <w:rsid w:val="005C1E20"/>
    <w:rsid w:val="005C5006"/>
    <w:rsid w:val="00607BEB"/>
    <w:rsid w:val="00625F44"/>
    <w:rsid w:val="00653397"/>
    <w:rsid w:val="00666C19"/>
    <w:rsid w:val="006740D0"/>
    <w:rsid w:val="006C2790"/>
    <w:rsid w:val="006F60A9"/>
    <w:rsid w:val="00871281"/>
    <w:rsid w:val="00873994"/>
    <w:rsid w:val="008A27CD"/>
    <w:rsid w:val="008B38B2"/>
    <w:rsid w:val="008D12AD"/>
    <w:rsid w:val="008E5DC0"/>
    <w:rsid w:val="00956FD0"/>
    <w:rsid w:val="009A20A1"/>
    <w:rsid w:val="009B2133"/>
    <w:rsid w:val="009D490D"/>
    <w:rsid w:val="00A355F1"/>
    <w:rsid w:val="00A87225"/>
    <w:rsid w:val="00AB2E12"/>
    <w:rsid w:val="00AE6937"/>
    <w:rsid w:val="00AF68D8"/>
    <w:rsid w:val="00B76FD6"/>
    <w:rsid w:val="00BF1144"/>
    <w:rsid w:val="00BF71EE"/>
    <w:rsid w:val="00C33CB7"/>
    <w:rsid w:val="00CB247F"/>
    <w:rsid w:val="00CB78C5"/>
    <w:rsid w:val="00D00D4F"/>
    <w:rsid w:val="00D40AB0"/>
    <w:rsid w:val="00D8536D"/>
    <w:rsid w:val="00DF3AB4"/>
    <w:rsid w:val="00E42BC9"/>
    <w:rsid w:val="00E54BB3"/>
    <w:rsid w:val="00E815A7"/>
    <w:rsid w:val="00EB7FB4"/>
    <w:rsid w:val="00EE0BD9"/>
    <w:rsid w:val="00F0138B"/>
    <w:rsid w:val="00F07C39"/>
    <w:rsid w:val="00F25E58"/>
    <w:rsid w:val="00F31D29"/>
    <w:rsid w:val="00F4424C"/>
    <w:rsid w:val="00F523C5"/>
    <w:rsid w:val="00FB1394"/>
    <w:rsid w:val="00FB7DB4"/>
    <w:rsid w:val="00FC3295"/>
    <w:rsid w:val="00FC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0A5F84"/>
  <w15:docId w15:val="{ABA482C4-5D73-4A2C-AB8A-54F3F8C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</w:pPr>
    <w:rPr>
      <w:sz w:val="24"/>
      <w:szCs w:val="24"/>
      <w:lang w:val="de-DE" w:eastAsia="de-DE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DStandard"/>
    <w:next w:val="DStandard"/>
    <w:qFormat/>
    <w:pPr>
      <w:keepNext/>
      <w:spacing w:before="240" w:after="60"/>
      <w:outlineLvl w:val="2"/>
    </w:pPr>
    <w:rPr>
      <w:b/>
      <w:sz w:val="20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Standard">
    <w:name w:val="!DStandard"/>
    <w:rPr>
      <w:sz w:val="24"/>
      <w:lang w:val="de-DE" w:eastAsia="de-DE"/>
    </w:rPr>
  </w:style>
  <w:style w:type="paragraph" w:customStyle="1" w:styleId="Dberschrift1">
    <w:name w:val="!DÜberschrift 1"/>
    <w:basedOn w:val="DStandard"/>
    <w:next w:val="DStandard"/>
    <w:pPr>
      <w:keepNext/>
      <w:spacing w:before="240" w:after="60"/>
      <w:outlineLvl w:val="0"/>
    </w:pPr>
    <w:rPr>
      <w:b/>
      <w:kern w:val="32"/>
      <w:sz w:val="32"/>
    </w:rPr>
  </w:style>
  <w:style w:type="paragraph" w:customStyle="1" w:styleId="Dberschrift2">
    <w:name w:val="!DÜberschrift 2"/>
    <w:basedOn w:val="DStandard"/>
    <w:next w:val="DStandard"/>
    <w:pPr>
      <w:keepNext/>
      <w:spacing w:before="240" w:after="60"/>
      <w:outlineLvl w:val="1"/>
    </w:pPr>
    <w:rPr>
      <w:b/>
      <w:sz w:val="28"/>
    </w:rPr>
  </w:style>
  <w:style w:type="paragraph" w:customStyle="1" w:styleId="Dberschrift3">
    <w:name w:val="!DÜberschrift 3"/>
    <w:basedOn w:val="DStandard"/>
    <w:next w:val="DStandard"/>
    <w:pPr>
      <w:keepNext/>
      <w:spacing w:before="240" w:after="60"/>
      <w:outlineLvl w:val="2"/>
    </w:pPr>
    <w:rPr>
      <w:b/>
    </w:rPr>
  </w:style>
  <w:style w:type="paragraph" w:customStyle="1" w:styleId="Dberschrift4">
    <w:name w:val="!DÜberschrift 4"/>
    <w:basedOn w:val="DStandard"/>
    <w:next w:val="DStandard"/>
    <w:pPr>
      <w:keepNext/>
      <w:spacing w:before="240" w:after="60"/>
      <w:outlineLvl w:val="3"/>
    </w:pPr>
    <w:rPr>
      <w:b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customStyle="1" w:styleId="DTab1">
    <w:name w:val="!DTab 1"/>
    <w:basedOn w:val="DStandard"/>
    <w:rPr>
      <w:sz w:val="22"/>
    </w:rPr>
  </w:style>
  <w:style w:type="paragraph" w:customStyle="1" w:styleId="DTab2">
    <w:name w:val="!DTab 2"/>
    <w:basedOn w:val="DStandard"/>
    <w:rPr>
      <w:sz w:val="1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DTitel3">
    <w:name w:val="!DTitel3"/>
    <w:basedOn w:val="Normlny"/>
    <w:next w:val="Normlny"/>
    <w:pPr>
      <w:autoSpaceDE/>
      <w:autoSpaceDN/>
      <w:spacing w:before="60" w:after="60" w:line="360" w:lineRule="auto"/>
      <w:ind w:left="2835" w:hanging="2268"/>
      <w:outlineLvl w:val="2"/>
    </w:pPr>
    <w:rPr>
      <w:b/>
      <w:sz w:val="32"/>
      <w:szCs w:val="20"/>
      <w:lang w:val="en-GB"/>
    </w:rPr>
  </w:style>
  <w:style w:type="paragraph" w:customStyle="1" w:styleId="DKopf-Fuzeile">
    <w:name w:val="!DKopf-Fußzeile"/>
    <w:basedOn w:val="DStandard"/>
    <w:pPr>
      <w:tabs>
        <w:tab w:val="right" w:pos="2268"/>
        <w:tab w:val="left" w:pos="3402"/>
        <w:tab w:val="left" w:pos="4536"/>
        <w:tab w:val="right" w:pos="5670"/>
        <w:tab w:val="left" w:pos="6804"/>
        <w:tab w:val="left" w:pos="7938"/>
        <w:tab w:val="right" w:pos="9497"/>
      </w:tabs>
      <w:spacing w:before="60" w:after="60"/>
    </w:pPr>
    <w:rPr>
      <w:sz w:val="20"/>
    </w:rPr>
  </w:style>
  <w:style w:type="paragraph" w:customStyle="1" w:styleId="DTitel1">
    <w:name w:val="!DTitel1"/>
    <w:basedOn w:val="DTitel3"/>
    <w:next w:val="Normlny"/>
    <w:pPr>
      <w:spacing w:before="2000" w:after="2000"/>
      <w:outlineLvl w:val="0"/>
    </w:pPr>
    <w:rPr>
      <w:sz w:val="72"/>
    </w:rPr>
  </w:style>
  <w:style w:type="paragraph" w:customStyle="1" w:styleId="DTitel2">
    <w:name w:val="!DTitel2"/>
    <w:basedOn w:val="DTitel3"/>
    <w:next w:val="DTitel3"/>
    <w:pPr>
      <w:outlineLvl w:val="1"/>
    </w:pPr>
    <w:rPr>
      <w:sz w:val="52"/>
    </w:rPr>
  </w:style>
  <w:style w:type="paragraph" w:customStyle="1" w:styleId="DSeitenKopf">
    <w:name w:val="!DSeitenKopf"/>
    <w:basedOn w:val="DStandard"/>
    <w:next w:val="Dberschrift1"/>
    <w:pPr>
      <w:tabs>
        <w:tab w:val="left" w:pos="567"/>
      </w:tabs>
      <w:spacing w:before="120" w:line="360" w:lineRule="auto"/>
    </w:pPr>
    <w:rPr>
      <w:b/>
      <w:bCs/>
      <w:kern w:val="28"/>
      <w:sz w:val="36"/>
      <w:lang w:val="en-GB"/>
    </w:rPr>
  </w:style>
  <w:style w:type="paragraph" w:customStyle="1" w:styleId="knZulassung01">
    <w:name w:val="knZulassung01"/>
    <w:basedOn w:val="Normlny"/>
    <w:pPr>
      <w:tabs>
        <w:tab w:val="left" w:pos="567"/>
      </w:tabs>
      <w:autoSpaceDE/>
      <w:autoSpaceDN/>
      <w:ind w:left="1843" w:right="284" w:hanging="1843"/>
    </w:pPr>
    <w:rPr>
      <w:rFonts w:ascii="Courier" w:hAnsi="Courier"/>
      <w:szCs w:val="20"/>
    </w:rPr>
  </w:style>
  <w:style w:type="paragraph" w:customStyle="1" w:styleId="knZulassung02">
    <w:name w:val="knZulassung02"/>
    <w:basedOn w:val="Normlny"/>
    <w:pPr>
      <w:ind w:left="1843" w:right="284"/>
    </w:pPr>
    <w:rPr>
      <w:rFonts w:ascii="Courier" w:hAnsi="Courier"/>
    </w:rPr>
  </w:style>
  <w:style w:type="paragraph" w:customStyle="1" w:styleId="KNBrief">
    <w:name w:val="KNBrief"/>
    <w:basedOn w:val="Normlny"/>
    <w:pPr>
      <w:autoSpaceDE/>
      <w:autoSpaceDN/>
      <w:ind w:left="567" w:right="284"/>
    </w:pPr>
    <w:rPr>
      <w:rFonts w:ascii="Courier" w:hAnsi="Courier"/>
      <w:szCs w:val="20"/>
    </w:rPr>
  </w:style>
  <w:style w:type="paragraph" w:customStyle="1" w:styleId="Tabelle">
    <w:name w:val="Tabelle"/>
    <w:next w:val="Normlny"/>
    <w:rPr>
      <w:rFonts w:ascii="Arial" w:hAnsi="Arial"/>
      <w:noProof/>
      <w:lang w:val="de-DE" w:eastAsia="de-DE"/>
    </w:rPr>
  </w:style>
  <w:style w:type="paragraph" w:customStyle="1" w:styleId="KNTabellenFormat">
    <w:name w:val="KNTabellenFormat"/>
    <w:basedOn w:val="KNBrief"/>
    <w:pPr>
      <w:ind w:left="0" w:right="0"/>
    </w:pPr>
  </w:style>
  <w:style w:type="paragraph" w:styleId="Zkladntext">
    <w:name w:val="Body Text"/>
    <w:basedOn w:val="Normlny"/>
    <w:semiHidden/>
    <w:pPr>
      <w:autoSpaceDE/>
      <w:autoSpaceDN/>
      <w:jc w:val="both"/>
    </w:pPr>
    <w:rPr>
      <w:rFonts w:ascii="Arial" w:hAnsi="Arial" w:cs="Arial"/>
      <w:lang w:val="en-GB"/>
    </w:rPr>
  </w:style>
  <w:style w:type="paragraph" w:styleId="Zarkazkladnhotextu">
    <w:name w:val="Body Text Indent"/>
    <w:basedOn w:val="Normlny"/>
    <w:semiHidden/>
    <w:pPr>
      <w:tabs>
        <w:tab w:val="left" w:pos="426"/>
      </w:tabs>
      <w:ind w:left="420" w:hanging="420"/>
      <w:jc w:val="both"/>
    </w:pPr>
    <w:rPr>
      <w:rFonts w:ascii="Arial" w:hAnsi="Arial" w:cs="Arial"/>
      <w:szCs w:val="20"/>
    </w:rPr>
  </w:style>
  <w:style w:type="paragraph" w:styleId="Zarkazkladnhotextu2">
    <w:name w:val="Body Text Indent 2"/>
    <w:basedOn w:val="Normlny"/>
    <w:semiHidden/>
    <w:pPr>
      <w:spacing w:after="120" w:line="480" w:lineRule="auto"/>
      <w:ind w:left="283"/>
    </w:pPr>
  </w:style>
  <w:style w:type="paragraph" w:styleId="Nzov">
    <w:name w:val="Title"/>
    <w:basedOn w:val="Normlny"/>
    <w:qFormat/>
    <w:pPr>
      <w:autoSpaceDE/>
      <w:autoSpaceDN/>
      <w:jc w:val="center"/>
    </w:pPr>
    <w:rPr>
      <w:b/>
      <w:sz w:val="22"/>
      <w:szCs w:val="20"/>
      <w:lang w:val="en-GB" w:eastAsia="en-US"/>
    </w:rPr>
  </w:style>
  <w:style w:type="paragraph" w:styleId="Zkladntext2">
    <w:name w:val="Body Text 2"/>
    <w:basedOn w:val="Normlny"/>
    <w:semiHidden/>
    <w:pPr>
      <w:jc w:val="both"/>
    </w:pPr>
    <w:rPr>
      <w:rFonts w:ascii="Arial" w:hAnsi="Arial" w:cs="Arial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7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2790"/>
    <w:rPr>
      <w:rFonts w:ascii="Tahoma" w:hAnsi="Tahoma" w:cs="Tahoma"/>
      <w:sz w:val="16"/>
      <w:szCs w:val="16"/>
      <w:lang w:val="de-DE" w:eastAsia="de-DE"/>
    </w:rPr>
  </w:style>
  <w:style w:type="character" w:customStyle="1" w:styleId="HlavikaChar">
    <w:name w:val="Hlavička Char"/>
    <w:link w:val="Hlavika"/>
    <w:uiPriority w:val="99"/>
    <w:rsid w:val="006C2790"/>
    <w:rPr>
      <w:sz w:val="24"/>
      <w:szCs w:val="24"/>
      <w:lang w:val="de-DE" w:eastAsia="de-DE"/>
    </w:rPr>
  </w:style>
  <w:style w:type="paragraph" w:customStyle="1" w:styleId="SPCnormal">
    <w:name w:val="SPC_normal"/>
    <w:uiPriority w:val="99"/>
    <w:rsid w:val="006740D0"/>
    <w:rPr>
      <w:sz w:val="22"/>
      <w:lang w:val="en-GB" w:eastAsia="sv-SE"/>
    </w:rPr>
  </w:style>
  <w:style w:type="character" w:customStyle="1" w:styleId="PtaChar">
    <w:name w:val="Päta Char"/>
    <w:link w:val="Pta"/>
    <w:uiPriority w:val="99"/>
    <w:rsid w:val="003B4A5E"/>
    <w:rPr>
      <w:sz w:val="24"/>
      <w:szCs w:val="24"/>
      <w:lang w:val="de-DE" w:eastAsia="de-DE"/>
    </w:rPr>
  </w:style>
  <w:style w:type="character" w:styleId="Hypertextovprepojenie">
    <w:name w:val="Hyperlink"/>
    <w:rsid w:val="008B38B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341C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styleId="Odkaznakomentr">
    <w:name w:val="annotation reference"/>
    <w:uiPriority w:val="99"/>
    <w:semiHidden/>
    <w:unhideWhenUsed/>
    <w:rsid w:val="001941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417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194170"/>
    <w:rPr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417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94170"/>
    <w:rPr>
      <w:b/>
      <w:bCs/>
      <w:lang w:val="de-DE" w:eastAsia="de-DE"/>
    </w:rPr>
  </w:style>
  <w:style w:type="character" w:customStyle="1" w:styleId="TextChar1">
    <w:name w:val="Text Char1"/>
    <w:link w:val="Text"/>
    <w:locked/>
    <w:rsid w:val="00956FD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56FD0"/>
    <w:pPr>
      <w:autoSpaceDE/>
      <w:autoSpaceDN/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503568"/>
    <w:rPr>
      <w:sz w:val="24"/>
      <w:szCs w:val="24"/>
      <w:lang w:val="de-DE" w:eastAsia="de-DE"/>
    </w:rPr>
  </w:style>
  <w:style w:type="paragraph" w:customStyle="1" w:styleId="CM16">
    <w:name w:val="CM16"/>
    <w:basedOn w:val="Normlny"/>
    <w:next w:val="Normlny"/>
    <w:uiPriority w:val="99"/>
    <w:rsid w:val="00485AD3"/>
    <w:pPr>
      <w:widowControl w:val="0"/>
      <w:adjustRightInd w:val="0"/>
    </w:pPr>
    <w:rPr>
      <w:rFonts w:ascii="QUOWUE+Verdana" w:hAnsi="QUOWUE+Verdana"/>
      <w:lang w:val="en-US" w:eastAsia="en-US"/>
    </w:rPr>
  </w:style>
  <w:style w:type="paragraph" w:customStyle="1" w:styleId="CM5">
    <w:name w:val="CM5"/>
    <w:basedOn w:val="Normlny"/>
    <w:next w:val="Normlny"/>
    <w:uiPriority w:val="99"/>
    <w:rsid w:val="00485AD3"/>
    <w:pPr>
      <w:widowControl w:val="0"/>
      <w:adjustRightInd w:val="0"/>
      <w:spacing w:line="280" w:lineRule="atLeast"/>
    </w:pPr>
    <w:rPr>
      <w:rFonts w:ascii="QUOWUE+Verdana" w:hAnsi="QUOWUE+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1E0B-942B-409F-93EA-BF9B6570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3256</Words>
  <Characters>21065</Characters>
  <Application>Microsoft Office Word</Application>
  <DocSecurity>0</DocSecurity>
  <Lines>175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Stamm CTD</vt:lpstr>
      <vt:lpstr>Stamm CTD</vt:lpstr>
    </vt:vector>
  </TitlesOfParts>
  <Company>IIP</Company>
  <LinksUpToDate>false</LinksUpToDate>
  <CharactersWithSpaces>24273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 CTD</dc:title>
  <dc:creator>R-Pharmaservices</dc:creator>
  <cp:lastModifiedBy>Zuzana Molnárová</cp:lastModifiedBy>
  <cp:revision>7</cp:revision>
  <cp:lastPrinted>2024-02-19T15:42:00Z</cp:lastPrinted>
  <dcterms:created xsi:type="dcterms:W3CDTF">2024-02-02T14:23:00Z</dcterms:created>
  <dcterms:modified xsi:type="dcterms:W3CDTF">2024-02-19T15:42:00Z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R">
    <vt:lpwstr>          </vt:lpwstr>
  </property>
  <property fmtid="{D5CDD505-2E9C-101B-9397-08002B2CF9AE}" pid="3" name="ZVorgang">
    <vt:lpwstr>          </vt:lpwstr>
  </property>
  <property fmtid="{D5CDD505-2E9C-101B-9397-08002B2CF9AE}" pid="4" name="CTDindex">
    <vt:lpwstr>1.3.1  </vt:lpwstr>
  </property>
  <property fmtid="{D5CDD505-2E9C-101B-9397-08002B2CF9AE}" pid="5" name="CTDname">
    <vt:lpwstr>Summary of Product Characteristics</vt:lpwstr>
  </property>
  <property fmtid="{D5CDD505-2E9C-101B-9397-08002B2CF9AE}" pid="6" name="ProjektName">
    <vt:lpwstr>Metformin hydrochloride film coated tablets</vt:lpwstr>
  </property>
  <property fmtid="{D5CDD505-2E9C-101B-9397-08002B2CF9AE}" pid="7" name="Stärke">
    <vt:lpwstr>1000 mg</vt:lpwstr>
  </property>
  <property fmtid="{D5CDD505-2E9C-101B-9397-08002B2CF9AE}" pid="8" name="DossierVersion">
    <vt:lpwstr>108.5-d</vt:lpwstr>
  </property>
  <property fmtid="{D5CDD505-2E9C-101B-9397-08002B2CF9AE}" pid="9" name="Datum">
    <vt:lpwstr>    </vt:lpwstr>
  </property>
  <property fmtid="{D5CDD505-2E9C-101B-9397-08002B2CF9AE}" pid="10" name="linkprev">
    <vt:lpwstr>0</vt:lpwstr>
  </property>
  <property fmtid="{D5CDD505-2E9C-101B-9397-08002B2CF9AE}" pid="11" name="BezeichnungArzneimittel">
    <vt:lpwstr>Metformin STADA 1000 mg Filmtabletten</vt:lpwstr>
  </property>
  <property fmtid="{D5CDD505-2E9C-101B-9397-08002B2CF9AE}" pid="12" name="Wirkstoff">
    <vt:lpwstr>Metformin hydrochloride</vt:lpwstr>
  </property>
  <property fmtid="{D5CDD505-2E9C-101B-9397-08002B2CF9AE}" pid="13" name="PUName">
    <vt:lpwstr>STADA Medical GmbH</vt:lpwstr>
  </property>
  <property fmtid="{D5CDD505-2E9C-101B-9397-08002B2CF9AE}" pid="14" name="PUStrasse">
    <vt:lpwstr>Stadastrasse 2-18</vt:lpwstr>
  </property>
  <property fmtid="{D5CDD505-2E9C-101B-9397-08002B2CF9AE}" pid="15" name="PUOrt">
    <vt:lpwstr>61118 Bad Vilbel</vt:lpwstr>
  </property>
  <property fmtid="{D5CDD505-2E9C-101B-9397-08002B2CF9AE}" pid="16" name="PUTel">
    <vt:lpwstr>++49 6101 603 </vt:lpwstr>
  </property>
  <property fmtid="{D5CDD505-2E9C-101B-9397-08002B2CF9AE}" pid="17" name="PUFax">
    <vt:lpwstr>++49 6101 603 151</vt:lpwstr>
  </property>
  <property fmtid="{D5CDD505-2E9C-101B-9397-08002B2CF9AE}" pid="18" name="PUEmail">
    <vt:lpwstr>info@stada.de</vt:lpwstr>
  </property>
  <property fmtid="{D5CDD505-2E9C-101B-9397-08002B2CF9AE}" pid="19" name="BezeichnungAMGruppe">
    <vt:lpwstr>Metformin</vt:lpwstr>
  </property>
  <property fmtid="{D5CDD505-2E9C-101B-9397-08002B2CF9AE}" pid="20" name="Zulnurnr">
    <vt:lpwstr>          </vt:lpwstr>
  </property>
  <property fmtid="{D5CDD505-2E9C-101B-9397-08002B2CF9AE}" pid="21" name="pag 1">
    <vt:lpwstr>01</vt:lpwstr>
  </property>
  <property fmtid="{D5CDD505-2E9C-101B-9397-08002B2CF9AE}" pid="22" name="pag 2">
    <vt:lpwstr>02</vt:lpwstr>
  </property>
  <property fmtid="{D5CDD505-2E9C-101B-9397-08002B2CF9AE}" pid="23" name="pag 3">
    <vt:lpwstr>03</vt:lpwstr>
  </property>
  <property fmtid="{D5CDD505-2E9C-101B-9397-08002B2CF9AE}" pid="24" name="pag 4">
    <vt:lpwstr>04</vt:lpwstr>
  </property>
  <property fmtid="{D5CDD505-2E9C-101B-9397-08002B2CF9AE}" pid="25" name="pag 5">
    <vt:lpwstr>05</vt:lpwstr>
  </property>
  <property fmtid="{D5CDD505-2E9C-101B-9397-08002B2CF9AE}" pid="26" name="pag 6">
    <vt:lpwstr>06</vt:lpwstr>
  </property>
  <property fmtid="{D5CDD505-2E9C-101B-9397-08002B2CF9AE}" pid="27" name="pag 7">
    <vt:lpwstr>07</vt:lpwstr>
  </property>
  <property fmtid="{D5CDD505-2E9C-101B-9397-08002B2CF9AE}" pid="28" name="pag 8">
    <vt:lpwstr>08</vt:lpwstr>
  </property>
</Properties>
</file>