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FC69" w14:textId="77777777" w:rsidR="00944F0D" w:rsidRPr="00024FA5" w:rsidRDefault="00944F0D" w:rsidP="00DA27A1">
      <w:pPr>
        <w:tabs>
          <w:tab w:val="left" w:pos="567"/>
        </w:tabs>
        <w:ind w:left="360"/>
        <w:jc w:val="center"/>
        <w:rPr>
          <w:b/>
          <w:sz w:val="22"/>
          <w:szCs w:val="22"/>
        </w:rPr>
      </w:pPr>
      <w:r w:rsidRPr="00024FA5">
        <w:rPr>
          <w:b/>
          <w:sz w:val="22"/>
          <w:szCs w:val="22"/>
        </w:rPr>
        <w:t>SÚHRN CHARAKTERISTICKÝCH VLASTNOSTÍ LIEKU</w:t>
      </w:r>
    </w:p>
    <w:p w14:paraId="535E334B" w14:textId="77777777" w:rsidR="000F2E71" w:rsidRPr="001A6993" w:rsidRDefault="000F2E71" w:rsidP="001A6993">
      <w:pPr>
        <w:tabs>
          <w:tab w:val="left" w:pos="567"/>
        </w:tabs>
        <w:rPr>
          <w:bCs/>
          <w:sz w:val="22"/>
          <w:szCs w:val="22"/>
        </w:rPr>
      </w:pPr>
    </w:p>
    <w:p w14:paraId="5FE2947E" w14:textId="77777777" w:rsidR="000F2E71" w:rsidRPr="001A6993" w:rsidRDefault="000F2E71" w:rsidP="001A6993">
      <w:pPr>
        <w:tabs>
          <w:tab w:val="left" w:pos="567"/>
        </w:tabs>
        <w:rPr>
          <w:bCs/>
          <w:sz w:val="22"/>
          <w:szCs w:val="22"/>
        </w:rPr>
      </w:pPr>
    </w:p>
    <w:p w14:paraId="12679439" w14:textId="77777777" w:rsidR="000F2E71" w:rsidRPr="00024FA5" w:rsidRDefault="001A70CE" w:rsidP="008A1CFF">
      <w:pPr>
        <w:numPr>
          <w:ilvl w:val="0"/>
          <w:numId w:val="39"/>
        </w:numPr>
        <w:tabs>
          <w:tab w:val="left" w:pos="567"/>
        </w:tabs>
        <w:ind w:left="567" w:hanging="567"/>
        <w:rPr>
          <w:b/>
          <w:sz w:val="22"/>
          <w:szCs w:val="22"/>
        </w:rPr>
      </w:pPr>
      <w:r w:rsidRPr="00024FA5">
        <w:rPr>
          <w:b/>
          <w:sz w:val="22"/>
          <w:szCs w:val="22"/>
        </w:rPr>
        <w:t>NÁZOV LIEKU</w:t>
      </w:r>
    </w:p>
    <w:p w14:paraId="2AADF825" w14:textId="77777777" w:rsidR="000F2E71" w:rsidRPr="001A6993" w:rsidRDefault="000F2E71" w:rsidP="008A1CFF">
      <w:pPr>
        <w:tabs>
          <w:tab w:val="left" w:pos="567"/>
        </w:tabs>
        <w:rPr>
          <w:bCs/>
          <w:sz w:val="22"/>
          <w:szCs w:val="22"/>
        </w:rPr>
      </w:pPr>
    </w:p>
    <w:p w14:paraId="6F156813" w14:textId="77777777" w:rsidR="000F2E71" w:rsidRPr="00702B5E" w:rsidRDefault="001A70CE" w:rsidP="008A1CFF">
      <w:pPr>
        <w:pStyle w:val="Nadpis1"/>
        <w:tabs>
          <w:tab w:val="left" w:pos="567"/>
        </w:tabs>
        <w:rPr>
          <w:sz w:val="22"/>
          <w:szCs w:val="22"/>
        </w:rPr>
      </w:pPr>
      <w:r w:rsidRPr="00504E3F">
        <w:rPr>
          <w:sz w:val="22"/>
          <w:szCs w:val="22"/>
        </w:rPr>
        <w:t>SOLU-MEDROL</w:t>
      </w:r>
      <w:r w:rsidR="00654060" w:rsidRPr="007B2B59">
        <w:rPr>
          <w:sz w:val="22"/>
          <w:szCs w:val="22"/>
        </w:rPr>
        <w:t> </w:t>
      </w:r>
      <w:r w:rsidRPr="00F939CE">
        <w:rPr>
          <w:sz w:val="22"/>
          <w:szCs w:val="22"/>
        </w:rPr>
        <w:t>40</w:t>
      </w:r>
      <w:r w:rsidR="00654060" w:rsidRPr="00F939CE">
        <w:rPr>
          <w:sz w:val="22"/>
          <w:szCs w:val="22"/>
        </w:rPr>
        <w:t> </w:t>
      </w:r>
      <w:r w:rsidRPr="00F939CE">
        <w:rPr>
          <w:sz w:val="22"/>
          <w:szCs w:val="22"/>
        </w:rPr>
        <w:t>mg</w:t>
      </w:r>
    </w:p>
    <w:p w14:paraId="2346896E" w14:textId="77777777" w:rsidR="000F2E71" w:rsidRPr="00F939CE" w:rsidRDefault="001A70CE" w:rsidP="008A1CFF">
      <w:pPr>
        <w:pStyle w:val="Nadpis1"/>
        <w:tabs>
          <w:tab w:val="left" w:pos="567"/>
        </w:tabs>
        <w:rPr>
          <w:sz w:val="22"/>
          <w:szCs w:val="22"/>
        </w:rPr>
      </w:pPr>
      <w:r w:rsidRPr="00702B5E">
        <w:rPr>
          <w:sz w:val="22"/>
          <w:szCs w:val="22"/>
        </w:rPr>
        <w:t>SOLU-MEDROL</w:t>
      </w:r>
      <w:r w:rsidR="00654060" w:rsidRPr="007B2B59">
        <w:rPr>
          <w:sz w:val="22"/>
          <w:szCs w:val="22"/>
        </w:rPr>
        <w:t> </w:t>
      </w:r>
      <w:r w:rsidRPr="00F939CE">
        <w:rPr>
          <w:sz w:val="22"/>
          <w:szCs w:val="22"/>
        </w:rPr>
        <w:t>125</w:t>
      </w:r>
      <w:r w:rsidR="00654060" w:rsidRPr="00F939CE">
        <w:rPr>
          <w:sz w:val="22"/>
          <w:szCs w:val="22"/>
        </w:rPr>
        <w:t> </w:t>
      </w:r>
      <w:r w:rsidRPr="00F939CE">
        <w:rPr>
          <w:sz w:val="22"/>
          <w:szCs w:val="22"/>
        </w:rPr>
        <w:t>mg</w:t>
      </w:r>
    </w:p>
    <w:p w14:paraId="6413036C" w14:textId="77777777" w:rsidR="000F2E71" w:rsidRPr="001F5982" w:rsidRDefault="001A70CE" w:rsidP="008A1CFF">
      <w:pPr>
        <w:pStyle w:val="Nadpis1"/>
        <w:tabs>
          <w:tab w:val="left" w:pos="567"/>
        </w:tabs>
        <w:rPr>
          <w:sz w:val="22"/>
          <w:szCs w:val="22"/>
        </w:rPr>
      </w:pPr>
      <w:r w:rsidRPr="001F5982">
        <w:rPr>
          <w:sz w:val="22"/>
          <w:szCs w:val="22"/>
        </w:rPr>
        <w:t>SOLU-MEDROL</w:t>
      </w:r>
      <w:r w:rsidR="00654060" w:rsidRPr="007B2B59">
        <w:rPr>
          <w:sz w:val="22"/>
          <w:szCs w:val="22"/>
        </w:rPr>
        <w:t> </w:t>
      </w:r>
      <w:r w:rsidRPr="00F939CE">
        <w:rPr>
          <w:sz w:val="22"/>
          <w:szCs w:val="22"/>
        </w:rPr>
        <w:t>250</w:t>
      </w:r>
      <w:r w:rsidR="00654060" w:rsidRPr="00F939CE">
        <w:rPr>
          <w:sz w:val="22"/>
          <w:szCs w:val="22"/>
        </w:rPr>
        <w:t> </w:t>
      </w:r>
      <w:r w:rsidRPr="00F939CE">
        <w:rPr>
          <w:sz w:val="22"/>
          <w:szCs w:val="22"/>
        </w:rPr>
        <w:t>mg</w:t>
      </w:r>
    </w:p>
    <w:p w14:paraId="4877247E" w14:textId="77777777" w:rsidR="000F2E71" w:rsidRPr="00F939CE" w:rsidRDefault="001A70CE" w:rsidP="008A1CFF">
      <w:pPr>
        <w:pStyle w:val="Nadpis1"/>
        <w:tabs>
          <w:tab w:val="left" w:pos="567"/>
        </w:tabs>
        <w:rPr>
          <w:sz w:val="22"/>
          <w:szCs w:val="22"/>
        </w:rPr>
      </w:pPr>
      <w:r w:rsidRPr="001F5982">
        <w:rPr>
          <w:sz w:val="22"/>
          <w:szCs w:val="22"/>
        </w:rPr>
        <w:t>SOLU-MEDROL</w:t>
      </w:r>
      <w:r w:rsidR="00654060" w:rsidRPr="007B2B59">
        <w:rPr>
          <w:sz w:val="22"/>
          <w:szCs w:val="22"/>
        </w:rPr>
        <w:t> </w:t>
      </w:r>
      <w:r w:rsidRPr="00F939CE">
        <w:rPr>
          <w:sz w:val="22"/>
          <w:szCs w:val="22"/>
        </w:rPr>
        <w:t>500</w:t>
      </w:r>
      <w:r w:rsidR="00654060" w:rsidRPr="00F939CE">
        <w:rPr>
          <w:sz w:val="22"/>
          <w:szCs w:val="22"/>
        </w:rPr>
        <w:t> </w:t>
      </w:r>
      <w:r w:rsidRPr="00F939CE">
        <w:rPr>
          <w:sz w:val="22"/>
          <w:szCs w:val="22"/>
        </w:rPr>
        <w:t>mg</w:t>
      </w:r>
    </w:p>
    <w:p w14:paraId="1DBFE2F2" w14:textId="77777777" w:rsidR="000F2E71" w:rsidRPr="00F939CE" w:rsidRDefault="001A70CE" w:rsidP="008A1CFF">
      <w:pPr>
        <w:pStyle w:val="Nadpis1"/>
        <w:tabs>
          <w:tab w:val="left" w:pos="567"/>
        </w:tabs>
        <w:rPr>
          <w:sz w:val="22"/>
          <w:szCs w:val="22"/>
        </w:rPr>
      </w:pPr>
      <w:r w:rsidRPr="001F5982">
        <w:rPr>
          <w:sz w:val="22"/>
          <w:szCs w:val="22"/>
        </w:rPr>
        <w:t>SOLU-MEDROL</w:t>
      </w:r>
      <w:r w:rsidR="00654060" w:rsidRPr="007B2B59">
        <w:rPr>
          <w:sz w:val="22"/>
          <w:szCs w:val="22"/>
        </w:rPr>
        <w:t> </w:t>
      </w:r>
      <w:r w:rsidR="0030663B" w:rsidRPr="00F939CE">
        <w:rPr>
          <w:sz w:val="22"/>
          <w:szCs w:val="22"/>
        </w:rPr>
        <w:t>1 </w:t>
      </w:r>
      <w:r w:rsidRPr="00F939CE">
        <w:rPr>
          <w:sz w:val="22"/>
          <w:szCs w:val="22"/>
        </w:rPr>
        <w:t>g</w:t>
      </w:r>
    </w:p>
    <w:p w14:paraId="65722A57" w14:textId="77777777" w:rsidR="00281582" w:rsidRPr="00024FA5" w:rsidRDefault="00281582" w:rsidP="008A1CFF"/>
    <w:p w14:paraId="67CF2FEF" w14:textId="77777777" w:rsidR="001A70CE" w:rsidRPr="00024FA5" w:rsidRDefault="00A31535" w:rsidP="006E5190">
      <w:pPr>
        <w:tabs>
          <w:tab w:val="left" w:pos="567"/>
        </w:tabs>
        <w:rPr>
          <w:sz w:val="22"/>
          <w:szCs w:val="22"/>
        </w:rPr>
      </w:pPr>
      <w:r w:rsidRPr="00024FA5">
        <w:rPr>
          <w:sz w:val="22"/>
          <w:szCs w:val="22"/>
        </w:rPr>
        <w:t>p</w:t>
      </w:r>
      <w:r w:rsidR="00C920C4" w:rsidRPr="00024FA5">
        <w:rPr>
          <w:sz w:val="22"/>
          <w:szCs w:val="22"/>
        </w:rPr>
        <w:t>rášok a rozpúšťadlo na injekčný roztok</w:t>
      </w:r>
    </w:p>
    <w:p w14:paraId="126EC5FC" w14:textId="77777777" w:rsidR="000F2E71" w:rsidRPr="00024FA5" w:rsidRDefault="000F2E71" w:rsidP="008A1CFF">
      <w:pPr>
        <w:tabs>
          <w:tab w:val="left" w:pos="567"/>
        </w:tabs>
        <w:rPr>
          <w:sz w:val="22"/>
          <w:szCs w:val="22"/>
        </w:rPr>
      </w:pPr>
    </w:p>
    <w:p w14:paraId="3EAE0613" w14:textId="77777777" w:rsidR="000F2E71" w:rsidRPr="00024FA5" w:rsidRDefault="000F2E71" w:rsidP="008A1CFF">
      <w:pPr>
        <w:tabs>
          <w:tab w:val="left" w:pos="567"/>
        </w:tabs>
        <w:rPr>
          <w:sz w:val="22"/>
          <w:szCs w:val="22"/>
        </w:rPr>
      </w:pPr>
    </w:p>
    <w:p w14:paraId="352BE337" w14:textId="302D1C38" w:rsidR="000F2E71" w:rsidRPr="00024FA5" w:rsidRDefault="0092328B" w:rsidP="008A1CFF">
      <w:pPr>
        <w:tabs>
          <w:tab w:val="left" w:pos="567"/>
        </w:tabs>
        <w:rPr>
          <w:b/>
          <w:sz w:val="22"/>
          <w:szCs w:val="22"/>
        </w:rPr>
      </w:pPr>
      <w:r w:rsidRPr="00024FA5">
        <w:rPr>
          <w:b/>
          <w:sz w:val="22"/>
          <w:szCs w:val="22"/>
        </w:rPr>
        <w:t>2.</w:t>
      </w:r>
      <w:r w:rsidRPr="00024FA5">
        <w:rPr>
          <w:b/>
          <w:sz w:val="22"/>
          <w:szCs w:val="22"/>
        </w:rPr>
        <w:tab/>
      </w:r>
      <w:r w:rsidR="001A70CE" w:rsidRPr="00024FA5">
        <w:rPr>
          <w:b/>
          <w:sz w:val="22"/>
          <w:szCs w:val="22"/>
        </w:rPr>
        <w:t>KVALITATÍVNE A KVANTITATÍVNE ZLOŽENIE</w:t>
      </w:r>
    </w:p>
    <w:p w14:paraId="6FB8866D" w14:textId="77777777" w:rsidR="000F2E71" w:rsidRPr="00024FA5" w:rsidRDefault="000F2E71" w:rsidP="008A1CFF">
      <w:pPr>
        <w:tabs>
          <w:tab w:val="left" w:pos="567"/>
        </w:tabs>
        <w:rPr>
          <w:sz w:val="22"/>
          <w:szCs w:val="22"/>
        </w:rPr>
      </w:pPr>
    </w:p>
    <w:p w14:paraId="1509EE73" w14:textId="77777777" w:rsidR="005103C7" w:rsidRPr="00024FA5" w:rsidRDefault="005103C7" w:rsidP="008A1CFF">
      <w:pPr>
        <w:pStyle w:val="Nadpis1"/>
        <w:rPr>
          <w:sz w:val="22"/>
          <w:szCs w:val="22"/>
        </w:rPr>
      </w:pPr>
      <w:r w:rsidRPr="00024FA5">
        <w:rPr>
          <w:sz w:val="22"/>
          <w:szCs w:val="22"/>
        </w:rPr>
        <w:t>SOLU-MEDROL</w:t>
      </w:r>
      <w:r w:rsidRPr="00024FA5">
        <w:rPr>
          <w:sz w:val="22"/>
          <w:szCs w:val="22"/>
          <w:vertAlign w:val="superscript"/>
        </w:rPr>
        <w:t> </w:t>
      </w:r>
      <w:r w:rsidRPr="00024FA5">
        <w:rPr>
          <w:sz w:val="22"/>
          <w:szCs w:val="22"/>
        </w:rPr>
        <w:t>40 mg:</w:t>
      </w:r>
    </w:p>
    <w:p w14:paraId="390D6627" w14:textId="77777777" w:rsidR="005103C7" w:rsidRPr="00024FA5" w:rsidRDefault="005103C7" w:rsidP="008A1CFF">
      <w:pPr>
        <w:pStyle w:val="Nadpis1"/>
        <w:rPr>
          <w:sz w:val="22"/>
          <w:szCs w:val="22"/>
        </w:rPr>
      </w:pPr>
      <w:r w:rsidRPr="00024FA5">
        <w:rPr>
          <w:sz w:val="22"/>
          <w:szCs w:val="22"/>
        </w:rPr>
        <w:t xml:space="preserve">Jedna </w:t>
      </w:r>
      <w:r w:rsidR="008027FE" w:rsidRPr="00024FA5">
        <w:rPr>
          <w:sz w:val="22"/>
          <w:szCs w:val="22"/>
        </w:rPr>
        <w:t xml:space="preserve">dvojkomorová </w:t>
      </w:r>
      <w:r w:rsidRPr="00024FA5">
        <w:rPr>
          <w:sz w:val="22"/>
          <w:szCs w:val="22"/>
        </w:rPr>
        <w:t xml:space="preserve">injekčná liekovka </w:t>
      </w:r>
      <w:proofErr w:type="spellStart"/>
      <w:r w:rsidRPr="00024FA5">
        <w:rPr>
          <w:sz w:val="22"/>
          <w:szCs w:val="22"/>
        </w:rPr>
        <w:t>Act</w:t>
      </w:r>
      <w:proofErr w:type="spellEnd"/>
      <w:r w:rsidRPr="00024FA5">
        <w:rPr>
          <w:sz w:val="22"/>
          <w:szCs w:val="22"/>
        </w:rPr>
        <w:t>-O-Vial</w:t>
      </w:r>
      <w:r w:rsidRPr="00024FA5" w:rsidDel="005103C7">
        <w:rPr>
          <w:sz w:val="22"/>
          <w:szCs w:val="22"/>
        </w:rPr>
        <w:t xml:space="preserve"> </w:t>
      </w:r>
      <w:r w:rsidRPr="00024FA5">
        <w:rPr>
          <w:sz w:val="22"/>
          <w:szCs w:val="22"/>
        </w:rPr>
        <w:t xml:space="preserve">obsahuje 40 mg </w:t>
      </w:r>
      <w:proofErr w:type="spellStart"/>
      <w:r w:rsidRPr="00024FA5">
        <w:rPr>
          <w:sz w:val="22"/>
          <w:szCs w:val="22"/>
        </w:rPr>
        <w:t>metylprednizolónu</w:t>
      </w:r>
      <w:proofErr w:type="spellEnd"/>
      <w:r w:rsidRPr="00024FA5">
        <w:rPr>
          <w:sz w:val="22"/>
          <w:szCs w:val="22"/>
        </w:rPr>
        <w:t xml:space="preserve"> (vo forme </w:t>
      </w:r>
      <w:r w:rsidR="0028027C" w:rsidRPr="00024FA5">
        <w:rPr>
          <w:sz w:val="22"/>
          <w:szCs w:val="22"/>
        </w:rPr>
        <w:t xml:space="preserve">sodnej soli </w:t>
      </w:r>
      <w:proofErr w:type="spellStart"/>
      <w:r w:rsidRPr="00024FA5">
        <w:rPr>
          <w:sz w:val="22"/>
          <w:szCs w:val="22"/>
        </w:rPr>
        <w:t>metylprednizolón</w:t>
      </w:r>
      <w:r w:rsidR="009867F9">
        <w:rPr>
          <w:sz w:val="22"/>
          <w:szCs w:val="22"/>
        </w:rPr>
        <w:t>-</w:t>
      </w:r>
      <w:r w:rsidRPr="00024FA5">
        <w:rPr>
          <w:sz w:val="22"/>
          <w:szCs w:val="22"/>
        </w:rPr>
        <w:t>sukcinátu</w:t>
      </w:r>
      <w:proofErr w:type="spellEnd"/>
      <w:r w:rsidRPr="00024FA5">
        <w:rPr>
          <w:sz w:val="22"/>
          <w:szCs w:val="22"/>
        </w:rPr>
        <w:t>)</w:t>
      </w:r>
      <w:r w:rsidR="00E14E47" w:rsidRPr="00024FA5">
        <w:rPr>
          <w:sz w:val="22"/>
          <w:szCs w:val="22"/>
        </w:rPr>
        <w:t xml:space="preserve"> a 1 ml rozpúšťadla</w:t>
      </w:r>
      <w:r w:rsidRPr="00024FA5">
        <w:rPr>
          <w:sz w:val="22"/>
          <w:szCs w:val="22"/>
        </w:rPr>
        <w:t>.</w:t>
      </w:r>
      <w:r w:rsidR="00E14E47" w:rsidRPr="00024FA5">
        <w:rPr>
          <w:sz w:val="22"/>
          <w:szCs w:val="22"/>
        </w:rPr>
        <w:t xml:space="preserve"> </w:t>
      </w:r>
      <w:r w:rsidR="00E14E47" w:rsidRPr="004745EA">
        <w:rPr>
          <w:sz w:val="22"/>
          <w:szCs w:val="22"/>
        </w:rPr>
        <w:t>Po rekonštitúcii vznikne roztok s koncentráciou 40 mg/ml.</w:t>
      </w:r>
    </w:p>
    <w:p w14:paraId="5214BEBC" w14:textId="77777777" w:rsidR="00722B8D" w:rsidRPr="00024FA5" w:rsidRDefault="00722B8D" w:rsidP="005103C7">
      <w:pPr>
        <w:pStyle w:val="Nadpis1"/>
        <w:tabs>
          <w:tab w:val="left" w:pos="567"/>
        </w:tabs>
        <w:rPr>
          <w:sz w:val="22"/>
          <w:szCs w:val="22"/>
        </w:rPr>
      </w:pPr>
    </w:p>
    <w:p w14:paraId="00E6009A" w14:textId="77777777" w:rsidR="005103C7" w:rsidRPr="00024FA5" w:rsidRDefault="005103C7" w:rsidP="005103C7">
      <w:pPr>
        <w:pStyle w:val="Nadpis1"/>
        <w:tabs>
          <w:tab w:val="left" w:pos="567"/>
        </w:tabs>
        <w:rPr>
          <w:sz w:val="22"/>
          <w:szCs w:val="22"/>
        </w:rPr>
      </w:pPr>
      <w:r w:rsidRPr="00024FA5">
        <w:rPr>
          <w:sz w:val="22"/>
          <w:szCs w:val="22"/>
        </w:rPr>
        <w:t>SOLU-MEDROL</w:t>
      </w:r>
      <w:r w:rsidRPr="00024FA5">
        <w:rPr>
          <w:sz w:val="22"/>
          <w:szCs w:val="22"/>
          <w:vertAlign w:val="superscript"/>
        </w:rPr>
        <w:t> </w:t>
      </w:r>
      <w:r w:rsidRPr="00024FA5">
        <w:rPr>
          <w:sz w:val="22"/>
          <w:szCs w:val="22"/>
        </w:rPr>
        <w:t>125 mg:</w:t>
      </w:r>
    </w:p>
    <w:p w14:paraId="12B1C04E" w14:textId="77777777" w:rsidR="005103C7" w:rsidRPr="00024FA5" w:rsidRDefault="005103C7" w:rsidP="008A1CFF">
      <w:pPr>
        <w:rPr>
          <w:sz w:val="22"/>
          <w:szCs w:val="22"/>
        </w:rPr>
      </w:pPr>
      <w:r w:rsidRPr="00823B0F">
        <w:rPr>
          <w:sz w:val="22"/>
          <w:szCs w:val="22"/>
        </w:rPr>
        <w:t xml:space="preserve">Jedna </w:t>
      </w:r>
      <w:r w:rsidR="008027FE" w:rsidRPr="00823B0F">
        <w:rPr>
          <w:sz w:val="22"/>
          <w:szCs w:val="22"/>
        </w:rPr>
        <w:t xml:space="preserve">dvojkomorová </w:t>
      </w:r>
      <w:r w:rsidRPr="00823B0F">
        <w:rPr>
          <w:sz w:val="22"/>
          <w:szCs w:val="22"/>
        </w:rPr>
        <w:t xml:space="preserve">injekčná liekovka </w:t>
      </w:r>
      <w:proofErr w:type="spellStart"/>
      <w:r w:rsidRPr="00823B0F">
        <w:rPr>
          <w:sz w:val="22"/>
          <w:szCs w:val="22"/>
        </w:rPr>
        <w:t>Act</w:t>
      </w:r>
      <w:proofErr w:type="spellEnd"/>
      <w:r w:rsidRPr="00823B0F">
        <w:rPr>
          <w:sz w:val="22"/>
          <w:szCs w:val="22"/>
        </w:rPr>
        <w:t>-O-Vial</w:t>
      </w:r>
      <w:r w:rsidRPr="00823B0F" w:rsidDel="005103C7">
        <w:rPr>
          <w:sz w:val="22"/>
          <w:szCs w:val="22"/>
        </w:rPr>
        <w:t xml:space="preserve"> </w:t>
      </w:r>
      <w:r w:rsidRPr="00823B0F">
        <w:rPr>
          <w:sz w:val="22"/>
          <w:szCs w:val="22"/>
        </w:rPr>
        <w:t xml:space="preserve">obsahuje 125 mg </w:t>
      </w:r>
      <w:proofErr w:type="spellStart"/>
      <w:r w:rsidRPr="00823B0F">
        <w:rPr>
          <w:sz w:val="22"/>
          <w:szCs w:val="22"/>
        </w:rPr>
        <w:t>metylprednizolónu</w:t>
      </w:r>
      <w:proofErr w:type="spellEnd"/>
      <w:r w:rsidRPr="00823B0F">
        <w:rPr>
          <w:sz w:val="22"/>
          <w:szCs w:val="22"/>
        </w:rPr>
        <w:t xml:space="preserve"> </w:t>
      </w:r>
      <w:r w:rsidR="00722B8D" w:rsidRPr="00823B0F">
        <w:rPr>
          <w:sz w:val="22"/>
          <w:szCs w:val="22"/>
        </w:rPr>
        <w:t xml:space="preserve">(vo forme </w:t>
      </w:r>
      <w:r w:rsidR="0028027C" w:rsidRPr="00823B0F">
        <w:rPr>
          <w:sz w:val="22"/>
          <w:szCs w:val="22"/>
        </w:rPr>
        <w:t xml:space="preserve">sodnej soli </w:t>
      </w:r>
      <w:proofErr w:type="spellStart"/>
      <w:r w:rsidR="00E14E47" w:rsidRPr="00823B0F">
        <w:rPr>
          <w:sz w:val="22"/>
          <w:szCs w:val="22"/>
        </w:rPr>
        <w:t>metylprednizolón</w:t>
      </w:r>
      <w:r w:rsidR="006E22E7" w:rsidRPr="00823B0F">
        <w:rPr>
          <w:sz w:val="22"/>
          <w:szCs w:val="22"/>
        </w:rPr>
        <w:t>-</w:t>
      </w:r>
      <w:r w:rsidR="00E14E47" w:rsidRPr="004745EA">
        <w:rPr>
          <w:sz w:val="22"/>
          <w:szCs w:val="22"/>
        </w:rPr>
        <w:t>sukcinátu</w:t>
      </w:r>
      <w:proofErr w:type="spellEnd"/>
      <w:r w:rsidR="00E14E47" w:rsidRPr="004745EA">
        <w:rPr>
          <w:sz w:val="22"/>
          <w:szCs w:val="22"/>
        </w:rPr>
        <w:t>) a 2 ml rozpúšťadla. Po rekonštitúcii vznikne roztok s koncentráciou 62,5 mg/ml.</w:t>
      </w:r>
    </w:p>
    <w:p w14:paraId="482B3831" w14:textId="77777777" w:rsidR="00722B8D" w:rsidRPr="00024FA5" w:rsidRDefault="00722B8D" w:rsidP="00722B8D">
      <w:pPr>
        <w:pStyle w:val="Nadpis1"/>
        <w:tabs>
          <w:tab w:val="left" w:pos="567"/>
        </w:tabs>
        <w:rPr>
          <w:sz w:val="22"/>
          <w:szCs w:val="22"/>
        </w:rPr>
      </w:pPr>
    </w:p>
    <w:p w14:paraId="3D179C8F" w14:textId="77777777" w:rsidR="00722B8D" w:rsidRPr="00024FA5" w:rsidRDefault="00722B8D" w:rsidP="00722B8D">
      <w:pPr>
        <w:pStyle w:val="Nadpis1"/>
        <w:tabs>
          <w:tab w:val="left" w:pos="567"/>
        </w:tabs>
        <w:rPr>
          <w:sz w:val="22"/>
          <w:szCs w:val="22"/>
        </w:rPr>
      </w:pPr>
      <w:r w:rsidRPr="00024FA5">
        <w:rPr>
          <w:sz w:val="22"/>
          <w:szCs w:val="22"/>
        </w:rPr>
        <w:t>SOLU-MEDROL</w:t>
      </w:r>
      <w:r w:rsidRPr="00024FA5">
        <w:rPr>
          <w:sz w:val="22"/>
          <w:szCs w:val="22"/>
          <w:vertAlign w:val="superscript"/>
        </w:rPr>
        <w:t> </w:t>
      </w:r>
      <w:r w:rsidRPr="00024FA5">
        <w:rPr>
          <w:sz w:val="22"/>
          <w:szCs w:val="22"/>
        </w:rPr>
        <w:t>250 mg:</w:t>
      </w:r>
    </w:p>
    <w:p w14:paraId="4DDDF98F" w14:textId="77777777" w:rsidR="00722B8D" w:rsidRPr="00024FA5" w:rsidRDefault="00722B8D" w:rsidP="00722B8D">
      <w:pPr>
        <w:rPr>
          <w:sz w:val="22"/>
          <w:szCs w:val="22"/>
        </w:rPr>
      </w:pPr>
      <w:r w:rsidRPr="00823B0F">
        <w:rPr>
          <w:sz w:val="22"/>
          <w:szCs w:val="22"/>
        </w:rPr>
        <w:t xml:space="preserve">Jedna </w:t>
      </w:r>
      <w:r w:rsidR="008027FE" w:rsidRPr="00823B0F">
        <w:rPr>
          <w:sz w:val="22"/>
          <w:szCs w:val="22"/>
        </w:rPr>
        <w:t xml:space="preserve">dvojkomorová </w:t>
      </w:r>
      <w:r w:rsidRPr="00823B0F">
        <w:rPr>
          <w:sz w:val="22"/>
          <w:szCs w:val="22"/>
        </w:rPr>
        <w:t xml:space="preserve">injekčná liekovka </w:t>
      </w:r>
      <w:proofErr w:type="spellStart"/>
      <w:r w:rsidRPr="00823B0F">
        <w:rPr>
          <w:sz w:val="22"/>
          <w:szCs w:val="22"/>
        </w:rPr>
        <w:t>Act</w:t>
      </w:r>
      <w:proofErr w:type="spellEnd"/>
      <w:r w:rsidRPr="00823B0F">
        <w:rPr>
          <w:sz w:val="22"/>
          <w:szCs w:val="22"/>
        </w:rPr>
        <w:t>-O-Vial</w:t>
      </w:r>
      <w:r w:rsidRPr="00823B0F" w:rsidDel="005103C7">
        <w:rPr>
          <w:sz w:val="22"/>
          <w:szCs w:val="22"/>
        </w:rPr>
        <w:t xml:space="preserve"> </w:t>
      </w:r>
      <w:r w:rsidRPr="00823B0F">
        <w:rPr>
          <w:sz w:val="22"/>
          <w:szCs w:val="22"/>
        </w:rPr>
        <w:t xml:space="preserve">obsahuje 250 mg </w:t>
      </w:r>
      <w:proofErr w:type="spellStart"/>
      <w:r w:rsidRPr="00823B0F">
        <w:rPr>
          <w:sz w:val="22"/>
          <w:szCs w:val="22"/>
        </w:rPr>
        <w:t>metylprednizolónu</w:t>
      </w:r>
      <w:proofErr w:type="spellEnd"/>
      <w:r w:rsidRPr="00823B0F">
        <w:rPr>
          <w:sz w:val="22"/>
          <w:szCs w:val="22"/>
        </w:rPr>
        <w:t xml:space="preserve"> (vo forme </w:t>
      </w:r>
      <w:r w:rsidR="0028027C" w:rsidRPr="00823B0F">
        <w:rPr>
          <w:sz w:val="22"/>
          <w:szCs w:val="22"/>
        </w:rPr>
        <w:t xml:space="preserve">sodnej soli </w:t>
      </w:r>
      <w:proofErr w:type="spellStart"/>
      <w:r w:rsidRPr="00823B0F">
        <w:rPr>
          <w:sz w:val="22"/>
          <w:szCs w:val="22"/>
        </w:rPr>
        <w:t>metylprednizolón</w:t>
      </w:r>
      <w:r w:rsidR="006E22E7" w:rsidRPr="00823B0F">
        <w:rPr>
          <w:sz w:val="22"/>
          <w:szCs w:val="22"/>
        </w:rPr>
        <w:t>-</w:t>
      </w:r>
      <w:r w:rsidRPr="004745EA">
        <w:rPr>
          <w:sz w:val="22"/>
          <w:szCs w:val="22"/>
        </w:rPr>
        <w:t>sukcinátu</w:t>
      </w:r>
      <w:proofErr w:type="spellEnd"/>
      <w:r w:rsidRPr="004745EA">
        <w:rPr>
          <w:sz w:val="22"/>
          <w:szCs w:val="22"/>
        </w:rPr>
        <w:t>)</w:t>
      </w:r>
      <w:r w:rsidR="00E14E47" w:rsidRPr="004745EA">
        <w:rPr>
          <w:sz w:val="22"/>
          <w:szCs w:val="22"/>
        </w:rPr>
        <w:t xml:space="preserve"> a 4 ml rozpúšťadla</w:t>
      </w:r>
      <w:r w:rsidRPr="004745EA">
        <w:rPr>
          <w:sz w:val="22"/>
          <w:szCs w:val="22"/>
        </w:rPr>
        <w:t xml:space="preserve">. </w:t>
      </w:r>
      <w:r w:rsidR="00E14E47" w:rsidRPr="004745EA">
        <w:rPr>
          <w:sz w:val="22"/>
          <w:szCs w:val="22"/>
        </w:rPr>
        <w:t>Po rekonštitúcii vznikne roztok s koncentráciou 62,5 mg/ml.</w:t>
      </w:r>
    </w:p>
    <w:p w14:paraId="57BBB418" w14:textId="77777777" w:rsidR="00722B8D" w:rsidRPr="00024FA5" w:rsidRDefault="00722B8D" w:rsidP="00722B8D">
      <w:pPr>
        <w:pStyle w:val="Nadpis1"/>
        <w:tabs>
          <w:tab w:val="left" w:pos="567"/>
        </w:tabs>
        <w:rPr>
          <w:sz w:val="22"/>
          <w:szCs w:val="22"/>
        </w:rPr>
      </w:pPr>
    </w:p>
    <w:p w14:paraId="56F8F20E" w14:textId="77777777" w:rsidR="00722B8D" w:rsidRPr="00024FA5" w:rsidRDefault="00722B8D" w:rsidP="00722B8D">
      <w:pPr>
        <w:pStyle w:val="Nadpis1"/>
        <w:tabs>
          <w:tab w:val="left" w:pos="567"/>
        </w:tabs>
        <w:rPr>
          <w:sz w:val="22"/>
          <w:szCs w:val="22"/>
        </w:rPr>
      </w:pPr>
      <w:r w:rsidRPr="00024FA5">
        <w:rPr>
          <w:sz w:val="22"/>
          <w:szCs w:val="22"/>
        </w:rPr>
        <w:t>SOLU-MEDROL</w:t>
      </w:r>
      <w:r w:rsidRPr="00024FA5">
        <w:rPr>
          <w:sz w:val="22"/>
          <w:szCs w:val="22"/>
          <w:vertAlign w:val="superscript"/>
        </w:rPr>
        <w:t> </w:t>
      </w:r>
      <w:r w:rsidRPr="00024FA5">
        <w:rPr>
          <w:sz w:val="22"/>
          <w:szCs w:val="22"/>
        </w:rPr>
        <w:t>500 mg:</w:t>
      </w:r>
    </w:p>
    <w:p w14:paraId="276AEE29" w14:textId="77777777" w:rsidR="00722B8D" w:rsidRPr="00024FA5" w:rsidRDefault="00C90149" w:rsidP="00722B8D">
      <w:pPr>
        <w:pStyle w:val="Nadpis1"/>
        <w:tabs>
          <w:tab w:val="left" w:pos="567"/>
        </w:tabs>
        <w:rPr>
          <w:sz w:val="22"/>
          <w:szCs w:val="22"/>
        </w:rPr>
      </w:pPr>
      <w:r w:rsidRPr="00024FA5">
        <w:rPr>
          <w:sz w:val="22"/>
          <w:szCs w:val="22"/>
        </w:rPr>
        <w:t>Jedna</w:t>
      </w:r>
      <w:r w:rsidR="00722B8D" w:rsidRPr="00024FA5">
        <w:rPr>
          <w:sz w:val="22"/>
          <w:szCs w:val="22"/>
        </w:rPr>
        <w:t xml:space="preserve"> injekčn</w:t>
      </w:r>
      <w:r w:rsidRPr="00024FA5">
        <w:rPr>
          <w:sz w:val="22"/>
          <w:szCs w:val="22"/>
        </w:rPr>
        <w:t>á</w:t>
      </w:r>
      <w:r w:rsidR="00722B8D" w:rsidRPr="00024FA5">
        <w:rPr>
          <w:sz w:val="22"/>
          <w:szCs w:val="22"/>
        </w:rPr>
        <w:t xml:space="preserve"> liekovk</w:t>
      </w:r>
      <w:r w:rsidRPr="00024FA5">
        <w:rPr>
          <w:sz w:val="22"/>
          <w:szCs w:val="22"/>
        </w:rPr>
        <w:t>a</w:t>
      </w:r>
      <w:r w:rsidR="00722B8D" w:rsidRPr="00024FA5">
        <w:rPr>
          <w:sz w:val="22"/>
          <w:szCs w:val="22"/>
        </w:rPr>
        <w:t xml:space="preserve"> s práškom </w:t>
      </w:r>
      <w:r w:rsidRPr="00024FA5">
        <w:rPr>
          <w:sz w:val="22"/>
          <w:szCs w:val="22"/>
        </w:rPr>
        <w:t xml:space="preserve">obsahuje 500 mg </w:t>
      </w:r>
      <w:proofErr w:type="spellStart"/>
      <w:r w:rsidRPr="00024FA5">
        <w:rPr>
          <w:sz w:val="22"/>
          <w:szCs w:val="22"/>
        </w:rPr>
        <w:t>metylprednizolónu</w:t>
      </w:r>
      <w:proofErr w:type="spellEnd"/>
      <w:r w:rsidRPr="00024FA5">
        <w:rPr>
          <w:sz w:val="22"/>
          <w:szCs w:val="22"/>
        </w:rPr>
        <w:t xml:space="preserve"> (vo forme sodnej soli </w:t>
      </w:r>
      <w:proofErr w:type="spellStart"/>
      <w:r w:rsidRPr="00024FA5">
        <w:rPr>
          <w:sz w:val="22"/>
          <w:szCs w:val="22"/>
        </w:rPr>
        <w:t>metylprednizolón</w:t>
      </w:r>
      <w:r w:rsidR="006E22E7">
        <w:rPr>
          <w:sz w:val="22"/>
          <w:szCs w:val="22"/>
        </w:rPr>
        <w:t>-</w:t>
      </w:r>
      <w:r w:rsidRPr="00024FA5">
        <w:rPr>
          <w:sz w:val="22"/>
          <w:szCs w:val="22"/>
        </w:rPr>
        <w:t>sukcinátu</w:t>
      </w:r>
      <w:proofErr w:type="spellEnd"/>
      <w:r w:rsidRPr="00024FA5">
        <w:rPr>
          <w:sz w:val="22"/>
          <w:szCs w:val="22"/>
        </w:rPr>
        <w:t xml:space="preserve">) </w:t>
      </w:r>
      <w:r w:rsidR="00722B8D" w:rsidRPr="00024FA5">
        <w:rPr>
          <w:sz w:val="22"/>
          <w:szCs w:val="22"/>
        </w:rPr>
        <w:t xml:space="preserve">a </w:t>
      </w:r>
      <w:r w:rsidRPr="00024FA5">
        <w:rPr>
          <w:sz w:val="22"/>
          <w:szCs w:val="22"/>
        </w:rPr>
        <w:t>jedna injekčná</w:t>
      </w:r>
      <w:r w:rsidR="00722B8D" w:rsidRPr="00024FA5">
        <w:rPr>
          <w:sz w:val="22"/>
          <w:szCs w:val="22"/>
        </w:rPr>
        <w:t xml:space="preserve"> liekovk</w:t>
      </w:r>
      <w:r w:rsidRPr="00024FA5">
        <w:rPr>
          <w:sz w:val="22"/>
          <w:szCs w:val="22"/>
        </w:rPr>
        <w:t>a</w:t>
      </w:r>
      <w:r w:rsidR="00722B8D" w:rsidRPr="00024FA5">
        <w:rPr>
          <w:sz w:val="22"/>
          <w:szCs w:val="22"/>
        </w:rPr>
        <w:t xml:space="preserve"> s rozpúšťadlom obsahuje </w:t>
      </w:r>
      <w:r w:rsidRPr="00024FA5">
        <w:rPr>
          <w:sz w:val="22"/>
          <w:szCs w:val="22"/>
        </w:rPr>
        <w:t>7,8 ml rozpúšťadla</w:t>
      </w:r>
      <w:r w:rsidR="00722B8D" w:rsidRPr="00024FA5">
        <w:rPr>
          <w:sz w:val="22"/>
          <w:szCs w:val="22"/>
        </w:rPr>
        <w:t xml:space="preserve"> .</w:t>
      </w:r>
      <w:r w:rsidRPr="00024FA5">
        <w:rPr>
          <w:sz w:val="22"/>
          <w:szCs w:val="22"/>
        </w:rPr>
        <w:t xml:space="preserve"> Po rekonštitúcii vznikne roztok s koncentráciou </w:t>
      </w:r>
      <w:r w:rsidR="00A64902">
        <w:rPr>
          <w:sz w:val="22"/>
          <w:szCs w:val="22"/>
        </w:rPr>
        <w:t>59</w:t>
      </w:r>
      <w:r w:rsidRPr="00024FA5">
        <w:rPr>
          <w:sz w:val="22"/>
          <w:szCs w:val="22"/>
        </w:rPr>
        <w:t>,</w:t>
      </w:r>
      <w:r w:rsidR="00A64902">
        <w:rPr>
          <w:sz w:val="22"/>
          <w:szCs w:val="22"/>
        </w:rPr>
        <w:t>7</w:t>
      </w:r>
      <w:r w:rsidRPr="00024FA5">
        <w:rPr>
          <w:sz w:val="22"/>
          <w:szCs w:val="22"/>
        </w:rPr>
        <w:t xml:space="preserve"> mg/ml</w:t>
      </w:r>
      <w:r w:rsidR="00A64902">
        <w:rPr>
          <w:sz w:val="22"/>
          <w:szCs w:val="22"/>
        </w:rPr>
        <w:t>.</w:t>
      </w:r>
    </w:p>
    <w:p w14:paraId="4C3F6406" w14:textId="77777777" w:rsidR="00722B8D" w:rsidRPr="00024FA5" w:rsidRDefault="00722B8D" w:rsidP="008A1CFF">
      <w:pPr>
        <w:pStyle w:val="Nadpis1"/>
        <w:rPr>
          <w:sz w:val="22"/>
          <w:szCs w:val="22"/>
        </w:rPr>
      </w:pPr>
    </w:p>
    <w:p w14:paraId="36ED1ECF" w14:textId="77777777" w:rsidR="00722B8D" w:rsidRPr="00024FA5" w:rsidRDefault="00722B8D" w:rsidP="008A1CFF">
      <w:pPr>
        <w:pStyle w:val="Nadpis1"/>
        <w:rPr>
          <w:sz w:val="22"/>
          <w:szCs w:val="22"/>
        </w:rPr>
      </w:pPr>
      <w:r w:rsidRPr="00024FA5">
        <w:rPr>
          <w:sz w:val="22"/>
          <w:szCs w:val="22"/>
        </w:rPr>
        <w:t>SOLU-MEDROL</w:t>
      </w:r>
      <w:r w:rsidRPr="00024FA5">
        <w:rPr>
          <w:sz w:val="22"/>
          <w:szCs w:val="22"/>
          <w:vertAlign w:val="superscript"/>
        </w:rPr>
        <w:t> </w:t>
      </w:r>
      <w:r w:rsidRPr="00024FA5">
        <w:rPr>
          <w:sz w:val="22"/>
          <w:szCs w:val="22"/>
        </w:rPr>
        <w:t>1 g:</w:t>
      </w:r>
    </w:p>
    <w:p w14:paraId="41C3C2DE" w14:textId="77777777" w:rsidR="00C90149" w:rsidRPr="00024FA5" w:rsidRDefault="00C90149" w:rsidP="00C90149">
      <w:pPr>
        <w:pStyle w:val="Nadpis1"/>
        <w:tabs>
          <w:tab w:val="left" w:pos="567"/>
        </w:tabs>
        <w:rPr>
          <w:sz w:val="22"/>
          <w:szCs w:val="22"/>
        </w:rPr>
      </w:pPr>
      <w:r w:rsidRPr="00024FA5">
        <w:rPr>
          <w:sz w:val="22"/>
          <w:szCs w:val="22"/>
        </w:rPr>
        <w:t xml:space="preserve">Jedna injekčná liekovka s práškom obsahuje 1 g </w:t>
      </w:r>
      <w:proofErr w:type="spellStart"/>
      <w:r w:rsidRPr="00024FA5">
        <w:rPr>
          <w:sz w:val="22"/>
          <w:szCs w:val="22"/>
        </w:rPr>
        <w:t>metylprednizolónu</w:t>
      </w:r>
      <w:proofErr w:type="spellEnd"/>
      <w:r w:rsidRPr="00024FA5">
        <w:rPr>
          <w:sz w:val="22"/>
          <w:szCs w:val="22"/>
        </w:rPr>
        <w:t xml:space="preserve"> (vo forme sodnej soli </w:t>
      </w:r>
      <w:proofErr w:type="spellStart"/>
      <w:r w:rsidRPr="00024FA5">
        <w:rPr>
          <w:sz w:val="22"/>
          <w:szCs w:val="22"/>
        </w:rPr>
        <w:t>metylprednizolón</w:t>
      </w:r>
      <w:r w:rsidR="006E22E7">
        <w:rPr>
          <w:sz w:val="22"/>
          <w:szCs w:val="22"/>
        </w:rPr>
        <w:t>-</w:t>
      </w:r>
      <w:r w:rsidRPr="00024FA5">
        <w:rPr>
          <w:sz w:val="22"/>
          <w:szCs w:val="22"/>
        </w:rPr>
        <w:t>sukcinátu</w:t>
      </w:r>
      <w:proofErr w:type="spellEnd"/>
      <w:r w:rsidRPr="00024FA5">
        <w:rPr>
          <w:sz w:val="22"/>
          <w:szCs w:val="22"/>
        </w:rPr>
        <w:t>) a jedna injekčná liekovka s rozpúšťadlom obsahuje 15,6 ml rozpúšťadla. Po rekonštitúcii vznikne roztok</w:t>
      </w:r>
      <w:r w:rsidR="00A64902">
        <w:rPr>
          <w:sz w:val="22"/>
          <w:szCs w:val="22"/>
        </w:rPr>
        <w:t xml:space="preserve"> </w:t>
      </w:r>
      <w:r w:rsidRPr="00024FA5">
        <w:rPr>
          <w:sz w:val="22"/>
          <w:szCs w:val="22"/>
        </w:rPr>
        <w:t xml:space="preserve">s koncentráciou </w:t>
      </w:r>
      <w:r w:rsidR="00A64902">
        <w:rPr>
          <w:sz w:val="22"/>
          <w:szCs w:val="22"/>
        </w:rPr>
        <w:t>59</w:t>
      </w:r>
      <w:r w:rsidRPr="00024FA5">
        <w:rPr>
          <w:sz w:val="22"/>
          <w:szCs w:val="22"/>
        </w:rPr>
        <w:t>,</w:t>
      </w:r>
      <w:r w:rsidR="00A64902">
        <w:rPr>
          <w:sz w:val="22"/>
          <w:szCs w:val="22"/>
        </w:rPr>
        <w:t>7</w:t>
      </w:r>
      <w:r w:rsidRPr="00024FA5">
        <w:rPr>
          <w:sz w:val="22"/>
          <w:szCs w:val="22"/>
        </w:rPr>
        <w:t xml:space="preserve"> mg/ml.</w:t>
      </w:r>
    </w:p>
    <w:p w14:paraId="0E17860F" w14:textId="77777777" w:rsidR="000F2E71" w:rsidRPr="00024FA5" w:rsidRDefault="000F2E71" w:rsidP="008A1CFF">
      <w:pPr>
        <w:pStyle w:val="Nadpis1"/>
        <w:rPr>
          <w:sz w:val="22"/>
          <w:szCs w:val="22"/>
        </w:rPr>
      </w:pPr>
    </w:p>
    <w:p w14:paraId="377EA4E6" w14:textId="4DA06576" w:rsidR="0028027C" w:rsidRPr="00705DB4" w:rsidRDefault="000F2E71" w:rsidP="008A1CFF">
      <w:pPr>
        <w:tabs>
          <w:tab w:val="left" w:pos="567"/>
        </w:tabs>
        <w:rPr>
          <w:sz w:val="22"/>
          <w:szCs w:val="22"/>
        </w:rPr>
      </w:pPr>
      <w:r w:rsidRPr="00705DB4">
        <w:rPr>
          <w:sz w:val="22"/>
          <w:szCs w:val="22"/>
          <w:u w:val="single"/>
        </w:rPr>
        <w:t>Pomocné látky so známym účinkom</w:t>
      </w:r>
    </w:p>
    <w:p w14:paraId="1088CEEB" w14:textId="77777777" w:rsidR="0028027C" w:rsidRPr="00705DB4" w:rsidRDefault="0028027C" w:rsidP="008A1CFF">
      <w:pPr>
        <w:tabs>
          <w:tab w:val="left" w:pos="567"/>
        </w:tabs>
        <w:rPr>
          <w:sz w:val="22"/>
          <w:szCs w:val="22"/>
        </w:rPr>
      </w:pPr>
    </w:p>
    <w:p w14:paraId="6B76CC29" w14:textId="77777777" w:rsidR="0072191E" w:rsidRPr="00705DB4" w:rsidRDefault="0072191E" w:rsidP="008A1CFF">
      <w:pPr>
        <w:tabs>
          <w:tab w:val="left" w:pos="567"/>
        </w:tabs>
        <w:rPr>
          <w:sz w:val="22"/>
          <w:szCs w:val="22"/>
        </w:rPr>
      </w:pPr>
      <w:r w:rsidRPr="00705DB4">
        <w:rPr>
          <w:sz w:val="22"/>
          <w:szCs w:val="22"/>
        </w:rPr>
        <w:t xml:space="preserve">Obsah </w:t>
      </w:r>
      <w:proofErr w:type="spellStart"/>
      <w:r w:rsidRPr="00705DB4">
        <w:rPr>
          <w:sz w:val="22"/>
          <w:szCs w:val="22"/>
        </w:rPr>
        <w:t>benzylalkoholu</w:t>
      </w:r>
      <w:proofErr w:type="spellEnd"/>
      <w:r w:rsidRPr="00705DB4">
        <w:rPr>
          <w:sz w:val="22"/>
          <w:szCs w:val="22"/>
        </w:rPr>
        <w:t>:</w:t>
      </w:r>
    </w:p>
    <w:p w14:paraId="478322FA" w14:textId="77777777" w:rsidR="00A64902" w:rsidRPr="00705DB4" w:rsidRDefault="00A64902" w:rsidP="00A64902">
      <w:pPr>
        <w:tabs>
          <w:tab w:val="left" w:pos="567"/>
        </w:tabs>
        <w:rPr>
          <w:sz w:val="22"/>
          <w:szCs w:val="22"/>
        </w:rPr>
      </w:pPr>
      <w:r w:rsidRPr="00705DB4">
        <w:rPr>
          <w:sz w:val="22"/>
          <w:szCs w:val="22"/>
        </w:rPr>
        <w:t xml:space="preserve">SOLU-MEDROL 500 mg obsahuje 70,2 mg </w:t>
      </w:r>
      <w:proofErr w:type="spellStart"/>
      <w:r w:rsidRPr="00705DB4">
        <w:rPr>
          <w:sz w:val="22"/>
          <w:szCs w:val="22"/>
        </w:rPr>
        <w:t>benzylalkoholu</w:t>
      </w:r>
      <w:proofErr w:type="spellEnd"/>
      <w:r w:rsidRPr="00705DB4">
        <w:rPr>
          <w:sz w:val="22"/>
          <w:szCs w:val="22"/>
        </w:rPr>
        <w:t xml:space="preserve"> v 7,8 ml rozpúšťadla, čo zodpovedá 9 mg/ml.</w:t>
      </w:r>
    </w:p>
    <w:p w14:paraId="0CE1A1D2" w14:textId="77777777" w:rsidR="00A64902" w:rsidRPr="00665C1B" w:rsidRDefault="00A64902" w:rsidP="007B2B59">
      <w:pPr>
        <w:rPr>
          <w:sz w:val="22"/>
          <w:szCs w:val="22"/>
        </w:rPr>
      </w:pPr>
      <w:r w:rsidRPr="00665C1B">
        <w:rPr>
          <w:sz w:val="22"/>
          <w:szCs w:val="22"/>
        </w:rPr>
        <w:t xml:space="preserve">SOLU-MEDROL 1 g obsahuje 140,4 mg </w:t>
      </w:r>
      <w:proofErr w:type="spellStart"/>
      <w:r w:rsidRPr="00665C1B">
        <w:rPr>
          <w:sz w:val="22"/>
          <w:szCs w:val="22"/>
        </w:rPr>
        <w:t>benzylalkoholu</w:t>
      </w:r>
      <w:proofErr w:type="spellEnd"/>
      <w:r w:rsidRPr="00665C1B">
        <w:rPr>
          <w:sz w:val="22"/>
          <w:szCs w:val="22"/>
        </w:rPr>
        <w:t xml:space="preserve"> v 15,6 ml rozpúšťadla, čo zodpovedá 9 mg/ml.</w:t>
      </w:r>
    </w:p>
    <w:p w14:paraId="4709B654" w14:textId="77777777" w:rsidR="00AD5FC0" w:rsidRPr="00665C1B" w:rsidRDefault="00AD5FC0" w:rsidP="007B2B59">
      <w:pPr>
        <w:rPr>
          <w:sz w:val="22"/>
          <w:szCs w:val="22"/>
        </w:rPr>
      </w:pPr>
    </w:p>
    <w:p w14:paraId="5AA48177" w14:textId="77777777" w:rsidR="00AD5FC0" w:rsidRPr="00665C1B" w:rsidRDefault="00AD5FC0" w:rsidP="009876B2">
      <w:pPr>
        <w:keepNext/>
        <w:rPr>
          <w:sz w:val="22"/>
          <w:szCs w:val="22"/>
        </w:rPr>
      </w:pPr>
      <w:r w:rsidRPr="00665C1B">
        <w:rPr>
          <w:sz w:val="22"/>
          <w:szCs w:val="22"/>
        </w:rPr>
        <w:lastRenderedPageBreak/>
        <w:t>Obsah sodíka:</w:t>
      </w:r>
    </w:p>
    <w:p w14:paraId="7407A0F9" w14:textId="77777777" w:rsidR="00A64902" w:rsidRPr="00665C1B" w:rsidRDefault="00A64902" w:rsidP="007B2B59">
      <w:pPr>
        <w:rPr>
          <w:sz w:val="22"/>
          <w:szCs w:val="22"/>
        </w:rPr>
      </w:pPr>
      <w:r w:rsidRPr="00665C1B">
        <w:rPr>
          <w:sz w:val="22"/>
          <w:szCs w:val="22"/>
        </w:rPr>
        <w:t>SOLU-MEDROL 250 mg prášok na injekčný roztok obsahuje 32,6 mg sodíka</w:t>
      </w:r>
      <w:r w:rsidR="00504E3F" w:rsidRPr="00665C1B">
        <w:rPr>
          <w:sz w:val="22"/>
          <w:szCs w:val="22"/>
        </w:rPr>
        <w:t xml:space="preserve"> </w:t>
      </w:r>
      <w:r w:rsidRPr="00665C1B">
        <w:rPr>
          <w:sz w:val="22"/>
          <w:szCs w:val="22"/>
        </w:rPr>
        <w:t>v jednej injekčnej liekovke.</w:t>
      </w:r>
    </w:p>
    <w:p w14:paraId="63B75C21" w14:textId="77777777" w:rsidR="00A64902" w:rsidRPr="00665C1B" w:rsidRDefault="00A64902" w:rsidP="007B2B59">
      <w:pPr>
        <w:rPr>
          <w:sz w:val="22"/>
          <w:szCs w:val="22"/>
        </w:rPr>
      </w:pPr>
      <w:r w:rsidRPr="00665C1B">
        <w:rPr>
          <w:sz w:val="22"/>
          <w:szCs w:val="22"/>
        </w:rPr>
        <w:t>SOLU-MEDROL 500 mg prášok na injekčný roztok obsahuje 58,3 mg sodíka v jednej injekčnej liekovke.</w:t>
      </w:r>
    </w:p>
    <w:p w14:paraId="0C563894" w14:textId="77777777" w:rsidR="00A64902" w:rsidRPr="00665C1B" w:rsidRDefault="00A64902" w:rsidP="007B2B59">
      <w:pPr>
        <w:rPr>
          <w:sz w:val="22"/>
          <w:szCs w:val="22"/>
        </w:rPr>
      </w:pPr>
      <w:r w:rsidRPr="00665C1B">
        <w:rPr>
          <w:sz w:val="22"/>
          <w:szCs w:val="22"/>
        </w:rPr>
        <w:t>SOLU-MEDROL 1 g prášok na injekčný roztok obsahuje 116,8 mg sodíka v jednej injekčnej liekovke.</w:t>
      </w:r>
    </w:p>
    <w:p w14:paraId="62C55064" w14:textId="77777777" w:rsidR="000F2E71" w:rsidRPr="00665C1B" w:rsidRDefault="000F2E71" w:rsidP="007B2B59">
      <w:pPr>
        <w:rPr>
          <w:sz w:val="22"/>
          <w:szCs w:val="22"/>
        </w:rPr>
      </w:pPr>
    </w:p>
    <w:p w14:paraId="46AA093C" w14:textId="77777777" w:rsidR="000F2E71" w:rsidRPr="00665C1B" w:rsidRDefault="001445FB" w:rsidP="007B2B59">
      <w:pPr>
        <w:rPr>
          <w:noProof/>
          <w:sz w:val="22"/>
          <w:szCs w:val="22"/>
        </w:rPr>
      </w:pPr>
      <w:r w:rsidRPr="00665C1B">
        <w:rPr>
          <w:sz w:val="22"/>
          <w:szCs w:val="22"/>
        </w:rPr>
        <w:t>Úplný zoznam pomocných</w:t>
      </w:r>
      <w:r w:rsidRPr="00665C1B">
        <w:rPr>
          <w:noProof/>
          <w:sz w:val="22"/>
          <w:szCs w:val="22"/>
        </w:rPr>
        <w:t xml:space="preserve"> látok, </w:t>
      </w:r>
      <w:r w:rsidR="009C241F" w:rsidRPr="00665C1B">
        <w:rPr>
          <w:noProof/>
          <w:sz w:val="22"/>
          <w:szCs w:val="22"/>
        </w:rPr>
        <w:t>pozri časť 6.1.</w:t>
      </w:r>
    </w:p>
    <w:p w14:paraId="043114C6" w14:textId="77777777" w:rsidR="000F2E71" w:rsidRPr="00705DB4" w:rsidRDefault="000F2E71" w:rsidP="008A1CFF">
      <w:pPr>
        <w:tabs>
          <w:tab w:val="left" w:pos="567"/>
        </w:tabs>
        <w:rPr>
          <w:sz w:val="22"/>
          <w:szCs w:val="22"/>
        </w:rPr>
      </w:pPr>
    </w:p>
    <w:p w14:paraId="69F69877" w14:textId="77777777" w:rsidR="000F2E71" w:rsidRPr="00024FA5" w:rsidRDefault="000F2E71" w:rsidP="008A1CFF">
      <w:pPr>
        <w:tabs>
          <w:tab w:val="left" w:pos="567"/>
        </w:tabs>
        <w:rPr>
          <w:sz w:val="22"/>
          <w:szCs w:val="22"/>
        </w:rPr>
      </w:pPr>
    </w:p>
    <w:p w14:paraId="3443F156" w14:textId="77777777" w:rsidR="000F2E71" w:rsidRPr="00024FA5" w:rsidRDefault="0092328B" w:rsidP="008A1CFF">
      <w:pPr>
        <w:tabs>
          <w:tab w:val="left" w:pos="567"/>
        </w:tabs>
        <w:rPr>
          <w:b/>
          <w:sz w:val="22"/>
          <w:szCs w:val="22"/>
        </w:rPr>
      </w:pPr>
      <w:r w:rsidRPr="00024FA5">
        <w:rPr>
          <w:b/>
          <w:sz w:val="22"/>
          <w:szCs w:val="22"/>
        </w:rPr>
        <w:t>3.</w:t>
      </w:r>
      <w:r w:rsidRPr="00024FA5">
        <w:rPr>
          <w:b/>
          <w:sz w:val="22"/>
          <w:szCs w:val="22"/>
        </w:rPr>
        <w:tab/>
      </w:r>
      <w:r w:rsidR="001A70CE" w:rsidRPr="00024FA5">
        <w:rPr>
          <w:b/>
          <w:sz w:val="22"/>
          <w:szCs w:val="22"/>
        </w:rPr>
        <w:t>LIEKOVÁ FORMA</w:t>
      </w:r>
    </w:p>
    <w:p w14:paraId="2D8E3D7F" w14:textId="77777777" w:rsidR="000F2E71" w:rsidRPr="001A6993" w:rsidRDefault="000F2E71" w:rsidP="008A1CFF">
      <w:pPr>
        <w:tabs>
          <w:tab w:val="left" w:pos="567"/>
        </w:tabs>
        <w:rPr>
          <w:bCs/>
          <w:sz w:val="22"/>
          <w:szCs w:val="22"/>
        </w:rPr>
      </w:pPr>
    </w:p>
    <w:p w14:paraId="44D9EF07" w14:textId="77777777" w:rsidR="00AD5FC0" w:rsidRPr="00024FA5" w:rsidRDefault="00C77A91" w:rsidP="008A1CFF">
      <w:pPr>
        <w:tabs>
          <w:tab w:val="left" w:pos="567"/>
        </w:tabs>
        <w:rPr>
          <w:sz w:val="22"/>
          <w:szCs w:val="22"/>
        </w:rPr>
      </w:pPr>
      <w:r w:rsidRPr="00024FA5">
        <w:rPr>
          <w:sz w:val="22"/>
          <w:szCs w:val="22"/>
        </w:rPr>
        <w:t>P</w:t>
      </w:r>
      <w:r w:rsidR="001A70CE" w:rsidRPr="00024FA5">
        <w:rPr>
          <w:sz w:val="22"/>
          <w:szCs w:val="22"/>
        </w:rPr>
        <w:t>rášok a rozpúšťadlo na injekčný roztok</w:t>
      </w:r>
      <w:r w:rsidR="00AD5FC0" w:rsidRPr="00024FA5">
        <w:rPr>
          <w:sz w:val="22"/>
          <w:szCs w:val="22"/>
        </w:rPr>
        <w:t>.</w:t>
      </w:r>
    </w:p>
    <w:p w14:paraId="77B3BABA" w14:textId="77777777" w:rsidR="00AD5FC0" w:rsidRPr="00024FA5" w:rsidRDefault="00AD5FC0" w:rsidP="008A1CFF">
      <w:pPr>
        <w:tabs>
          <w:tab w:val="left" w:pos="567"/>
        </w:tabs>
        <w:rPr>
          <w:sz w:val="22"/>
          <w:szCs w:val="22"/>
        </w:rPr>
      </w:pPr>
    </w:p>
    <w:p w14:paraId="450F73F2" w14:textId="77777777" w:rsidR="00BE647A" w:rsidRPr="00024FA5" w:rsidRDefault="00BE647A" w:rsidP="00BE647A">
      <w:pPr>
        <w:pStyle w:val="Nadpis1"/>
        <w:tabs>
          <w:tab w:val="left" w:pos="567"/>
        </w:tabs>
        <w:rPr>
          <w:sz w:val="22"/>
          <w:szCs w:val="22"/>
        </w:rPr>
      </w:pPr>
      <w:r w:rsidRPr="00024FA5">
        <w:rPr>
          <w:sz w:val="22"/>
          <w:szCs w:val="22"/>
        </w:rPr>
        <w:t>Biely až sivobiely</w:t>
      </w:r>
      <w:r w:rsidR="003E0BAC" w:rsidRPr="00024FA5">
        <w:rPr>
          <w:sz w:val="22"/>
          <w:szCs w:val="22"/>
        </w:rPr>
        <w:t xml:space="preserve"> </w:t>
      </w:r>
      <w:proofErr w:type="spellStart"/>
      <w:r w:rsidR="004B7623">
        <w:rPr>
          <w:sz w:val="22"/>
          <w:szCs w:val="22"/>
        </w:rPr>
        <w:t>lyofilizovaný</w:t>
      </w:r>
      <w:proofErr w:type="spellEnd"/>
      <w:r w:rsidR="004B7623">
        <w:rPr>
          <w:sz w:val="22"/>
          <w:szCs w:val="22"/>
        </w:rPr>
        <w:t xml:space="preserve"> </w:t>
      </w:r>
      <w:r w:rsidRPr="00024FA5">
        <w:rPr>
          <w:sz w:val="22"/>
          <w:szCs w:val="22"/>
        </w:rPr>
        <w:t>prášok</w:t>
      </w:r>
      <w:r w:rsidR="005B0C66" w:rsidRPr="00024FA5">
        <w:rPr>
          <w:sz w:val="22"/>
          <w:szCs w:val="22"/>
        </w:rPr>
        <w:t xml:space="preserve"> </w:t>
      </w:r>
      <w:r w:rsidR="003E0BAC" w:rsidRPr="00024FA5">
        <w:rPr>
          <w:sz w:val="22"/>
          <w:szCs w:val="22"/>
        </w:rPr>
        <w:t xml:space="preserve">(koláč) </w:t>
      </w:r>
      <w:r w:rsidRPr="00024FA5">
        <w:rPr>
          <w:sz w:val="22"/>
          <w:szCs w:val="22"/>
        </w:rPr>
        <w:t>a rozpúšťadlo vo forme číreho a bezfarebného roztoku.</w:t>
      </w:r>
    </w:p>
    <w:p w14:paraId="7CDFE6D9" w14:textId="77777777" w:rsidR="000F2E71" w:rsidRPr="001A6993" w:rsidRDefault="000F2E71" w:rsidP="008A1CFF">
      <w:pPr>
        <w:tabs>
          <w:tab w:val="left" w:pos="567"/>
        </w:tabs>
        <w:rPr>
          <w:bCs/>
          <w:sz w:val="22"/>
          <w:szCs w:val="22"/>
        </w:rPr>
      </w:pPr>
    </w:p>
    <w:p w14:paraId="34A80E2A" w14:textId="77777777" w:rsidR="000F2E71" w:rsidRPr="001A6993" w:rsidRDefault="000F2E71" w:rsidP="008A1CFF">
      <w:pPr>
        <w:tabs>
          <w:tab w:val="left" w:pos="567"/>
        </w:tabs>
        <w:rPr>
          <w:bCs/>
          <w:sz w:val="22"/>
          <w:szCs w:val="22"/>
        </w:rPr>
      </w:pPr>
    </w:p>
    <w:p w14:paraId="2E343A80" w14:textId="77777777" w:rsidR="000F2E71" w:rsidRPr="00024FA5" w:rsidRDefault="0092328B" w:rsidP="008A1CFF">
      <w:pPr>
        <w:tabs>
          <w:tab w:val="left" w:pos="567"/>
        </w:tabs>
        <w:rPr>
          <w:b/>
          <w:sz w:val="22"/>
          <w:szCs w:val="22"/>
        </w:rPr>
      </w:pPr>
      <w:r w:rsidRPr="00024FA5">
        <w:rPr>
          <w:b/>
          <w:sz w:val="22"/>
          <w:szCs w:val="22"/>
        </w:rPr>
        <w:t>4.</w:t>
      </w:r>
      <w:r w:rsidRPr="00024FA5">
        <w:rPr>
          <w:b/>
          <w:sz w:val="22"/>
          <w:szCs w:val="22"/>
        </w:rPr>
        <w:tab/>
      </w:r>
      <w:r w:rsidR="001A70CE" w:rsidRPr="00024FA5">
        <w:rPr>
          <w:b/>
          <w:sz w:val="22"/>
          <w:szCs w:val="22"/>
        </w:rPr>
        <w:t>KLINICKÉ ÚDAJE</w:t>
      </w:r>
    </w:p>
    <w:p w14:paraId="24B500CA" w14:textId="77777777" w:rsidR="000F2E71" w:rsidRPr="001A6993" w:rsidRDefault="000F2E71" w:rsidP="008A1CFF">
      <w:pPr>
        <w:tabs>
          <w:tab w:val="left" w:pos="567"/>
        </w:tabs>
        <w:rPr>
          <w:bCs/>
          <w:sz w:val="22"/>
          <w:szCs w:val="22"/>
        </w:rPr>
      </w:pPr>
    </w:p>
    <w:p w14:paraId="4EEC1960" w14:textId="77777777" w:rsidR="000F2E71" w:rsidRPr="00024FA5" w:rsidRDefault="0092328B" w:rsidP="008A1CFF">
      <w:pPr>
        <w:tabs>
          <w:tab w:val="left" w:pos="567"/>
        </w:tabs>
        <w:rPr>
          <w:b/>
          <w:sz w:val="22"/>
          <w:szCs w:val="22"/>
        </w:rPr>
      </w:pPr>
      <w:r w:rsidRPr="00024FA5">
        <w:rPr>
          <w:b/>
          <w:sz w:val="22"/>
          <w:szCs w:val="22"/>
        </w:rPr>
        <w:t>4.1</w:t>
      </w:r>
      <w:r w:rsidRPr="00024FA5">
        <w:rPr>
          <w:b/>
          <w:sz w:val="22"/>
          <w:szCs w:val="22"/>
        </w:rPr>
        <w:tab/>
      </w:r>
      <w:r w:rsidR="001A70CE" w:rsidRPr="00024FA5">
        <w:rPr>
          <w:b/>
          <w:sz w:val="22"/>
          <w:szCs w:val="22"/>
        </w:rPr>
        <w:t>Terapeutické indikácie</w:t>
      </w:r>
    </w:p>
    <w:p w14:paraId="52966977" w14:textId="77777777" w:rsidR="000F2E71" w:rsidRPr="00024FA5" w:rsidRDefault="000F2E71" w:rsidP="008A1CFF">
      <w:pPr>
        <w:pStyle w:val="Nadpis3"/>
        <w:tabs>
          <w:tab w:val="left" w:pos="567"/>
        </w:tabs>
        <w:jc w:val="left"/>
        <w:rPr>
          <w:rFonts w:ascii="Times New Roman" w:hAnsi="Times New Roman"/>
          <w:sz w:val="22"/>
          <w:szCs w:val="22"/>
        </w:rPr>
      </w:pPr>
    </w:p>
    <w:p w14:paraId="6F58E227"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Endokrinné poruchy</w:t>
      </w:r>
    </w:p>
    <w:p w14:paraId="3FE8EFE6" w14:textId="77777777" w:rsidR="000F2E71" w:rsidRPr="00024FA5" w:rsidRDefault="000F0A07" w:rsidP="008A1CFF">
      <w:pPr>
        <w:pStyle w:val="Zkladntext2"/>
        <w:numPr>
          <w:ilvl w:val="0"/>
          <w:numId w:val="20"/>
        </w:numPr>
        <w:tabs>
          <w:tab w:val="clear" w:pos="720"/>
          <w:tab w:val="num" w:pos="567"/>
        </w:tabs>
        <w:ind w:left="567" w:hanging="567"/>
        <w:jc w:val="left"/>
        <w:rPr>
          <w:rFonts w:ascii="Times New Roman" w:hAnsi="Times New Roman" w:cs="Times New Roman"/>
          <w:sz w:val="22"/>
          <w:szCs w:val="22"/>
        </w:rPr>
      </w:pPr>
      <w:r w:rsidRPr="00024FA5">
        <w:rPr>
          <w:rFonts w:ascii="Times New Roman" w:hAnsi="Times New Roman" w:cs="Times New Roman"/>
          <w:sz w:val="22"/>
          <w:szCs w:val="22"/>
        </w:rPr>
        <w:t>P</w:t>
      </w:r>
      <w:r w:rsidR="001A70CE" w:rsidRPr="00024FA5">
        <w:rPr>
          <w:rFonts w:ascii="Times New Roman" w:hAnsi="Times New Roman" w:cs="Times New Roman"/>
          <w:sz w:val="22"/>
          <w:szCs w:val="22"/>
        </w:rPr>
        <w:t>rimárna a</w:t>
      </w:r>
      <w:r w:rsidR="009C241F" w:rsidRPr="00024FA5">
        <w:rPr>
          <w:rFonts w:ascii="Times New Roman" w:hAnsi="Times New Roman" w:cs="Times New Roman"/>
          <w:sz w:val="22"/>
          <w:szCs w:val="22"/>
        </w:rPr>
        <w:t>lebo</w:t>
      </w:r>
      <w:r w:rsidR="001A70CE" w:rsidRPr="00024FA5">
        <w:rPr>
          <w:rFonts w:ascii="Times New Roman" w:hAnsi="Times New Roman" w:cs="Times New Roman"/>
          <w:sz w:val="22"/>
          <w:szCs w:val="22"/>
        </w:rPr>
        <w:t xml:space="preserve"> sekundárna </w:t>
      </w:r>
      <w:proofErr w:type="spellStart"/>
      <w:r w:rsidR="001A70CE" w:rsidRPr="00024FA5">
        <w:rPr>
          <w:rFonts w:ascii="Times New Roman" w:hAnsi="Times New Roman" w:cs="Times New Roman"/>
          <w:sz w:val="22"/>
          <w:szCs w:val="22"/>
        </w:rPr>
        <w:t>adrenokortikálna</w:t>
      </w:r>
      <w:proofErr w:type="spellEnd"/>
      <w:r w:rsidR="001A70CE" w:rsidRPr="00024FA5">
        <w:rPr>
          <w:rFonts w:ascii="Times New Roman" w:hAnsi="Times New Roman" w:cs="Times New Roman"/>
          <w:sz w:val="22"/>
          <w:szCs w:val="22"/>
        </w:rPr>
        <w:t xml:space="preserve"> </w:t>
      </w:r>
      <w:proofErr w:type="spellStart"/>
      <w:r w:rsidR="001A70CE" w:rsidRPr="00024FA5">
        <w:rPr>
          <w:rFonts w:ascii="Times New Roman" w:hAnsi="Times New Roman" w:cs="Times New Roman"/>
          <w:sz w:val="22"/>
          <w:szCs w:val="22"/>
        </w:rPr>
        <w:t>insuficiencia</w:t>
      </w:r>
      <w:proofErr w:type="spellEnd"/>
      <w:r w:rsidR="001A70CE" w:rsidRPr="00024FA5">
        <w:rPr>
          <w:rFonts w:ascii="Times New Roman" w:hAnsi="Times New Roman" w:cs="Times New Roman"/>
          <w:sz w:val="22"/>
          <w:szCs w:val="22"/>
        </w:rPr>
        <w:t xml:space="preserve"> (liekom voľby je </w:t>
      </w:r>
      <w:proofErr w:type="spellStart"/>
      <w:r w:rsidR="001A70CE" w:rsidRPr="00024FA5">
        <w:rPr>
          <w:rFonts w:ascii="Times New Roman" w:hAnsi="Times New Roman" w:cs="Times New Roman"/>
          <w:sz w:val="22"/>
          <w:szCs w:val="22"/>
        </w:rPr>
        <w:t>hydrokortizón</w:t>
      </w:r>
      <w:proofErr w:type="spellEnd"/>
      <w:r w:rsidR="001A70CE" w:rsidRPr="00024FA5">
        <w:rPr>
          <w:rFonts w:ascii="Times New Roman" w:hAnsi="Times New Roman" w:cs="Times New Roman"/>
          <w:sz w:val="22"/>
          <w:szCs w:val="22"/>
        </w:rPr>
        <w:t xml:space="preserve"> alebo </w:t>
      </w:r>
      <w:proofErr w:type="spellStart"/>
      <w:r w:rsidR="001A70CE" w:rsidRPr="00024FA5">
        <w:rPr>
          <w:rFonts w:ascii="Times New Roman" w:hAnsi="Times New Roman" w:cs="Times New Roman"/>
          <w:sz w:val="22"/>
          <w:szCs w:val="22"/>
        </w:rPr>
        <w:t>kortizón</w:t>
      </w:r>
      <w:proofErr w:type="spellEnd"/>
      <w:r w:rsidR="001A70CE" w:rsidRPr="00024FA5">
        <w:rPr>
          <w:rFonts w:ascii="Times New Roman" w:hAnsi="Times New Roman" w:cs="Times New Roman"/>
          <w:sz w:val="22"/>
          <w:szCs w:val="22"/>
        </w:rPr>
        <w:sym w:font="Symbol" w:char="F03B"/>
      </w:r>
      <w:r w:rsidR="001A70CE" w:rsidRPr="00024FA5">
        <w:rPr>
          <w:rFonts w:ascii="Times New Roman" w:hAnsi="Times New Roman" w:cs="Times New Roman"/>
          <w:sz w:val="22"/>
          <w:szCs w:val="22"/>
        </w:rPr>
        <w:t xml:space="preserve"> syntetické </w:t>
      </w:r>
      <w:proofErr w:type="spellStart"/>
      <w:r w:rsidR="001A70CE" w:rsidRPr="00024FA5">
        <w:rPr>
          <w:rFonts w:ascii="Times New Roman" w:hAnsi="Times New Roman" w:cs="Times New Roman"/>
          <w:sz w:val="22"/>
          <w:szCs w:val="22"/>
        </w:rPr>
        <w:t>analógy</w:t>
      </w:r>
      <w:proofErr w:type="spellEnd"/>
      <w:r w:rsidR="001A70CE" w:rsidRPr="00024FA5">
        <w:rPr>
          <w:rFonts w:ascii="Times New Roman" w:hAnsi="Times New Roman" w:cs="Times New Roman"/>
          <w:sz w:val="22"/>
          <w:szCs w:val="22"/>
        </w:rPr>
        <w:t xml:space="preserve"> sa </w:t>
      </w:r>
      <w:r w:rsidR="009C241F" w:rsidRPr="00024FA5">
        <w:rPr>
          <w:rFonts w:ascii="Times New Roman" w:hAnsi="Times New Roman" w:cs="Times New Roman"/>
          <w:sz w:val="22"/>
          <w:szCs w:val="22"/>
        </w:rPr>
        <w:t>môžu</w:t>
      </w:r>
      <w:r w:rsidR="001A70CE" w:rsidRPr="00024FA5">
        <w:rPr>
          <w:rFonts w:ascii="Times New Roman" w:hAnsi="Times New Roman" w:cs="Times New Roman"/>
          <w:sz w:val="22"/>
          <w:szCs w:val="22"/>
        </w:rPr>
        <w:t xml:space="preserve"> v prípade potreby používať spolu s </w:t>
      </w:r>
      <w:proofErr w:type="spellStart"/>
      <w:r w:rsidR="001A70CE" w:rsidRPr="00024FA5">
        <w:rPr>
          <w:rFonts w:ascii="Times New Roman" w:hAnsi="Times New Roman" w:cs="Times New Roman"/>
          <w:sz w:val="22"/>
          <w:szCs w:val="22"/>
        </w:rPr>
        <w:t>mineralokortikoidmi</w:t>
      </w:r>
      <w:proofErr w:type="spellEnd"/>
      <w:r w:rsidR="001A70CE" w:rsidRPr="00024FA5">
        <w:rPr>
          <w:rFonts w:ascii="Times New Roman" w:hAnsi="Times New Roman" w:cs="Times New Roman"/>
          <w:sz w:val="22"/>
          <w:szCs w:val="22"/>
        </w:rPr>
        <w:sym w:font="Symbol" w:char="F03B"/>
      </w:r>
      <w:r w:rsidR="001A70CE" w:rsidRPr="00024FA5">
        <w:rPr>
          <w:rFonts w:ascii="Times New Roman" w:hAnsi="Times New Roman" w:cs="Times New Roman"/>
          <w:sz w:val="22"/>
          <w:szCs w:val="22"/>
        </w:rPr>
        <w:t xml:space="preserve"> u detí je náhrada </w:t>
      </w:r>
      <w:proofErr w:type="spellStart"/>
      <w:r w:rsidR="001A70CE" w:rsidRPr="00024FA5">
        <w:rPr>
          <w:rFonts w:ascii="Times New Roman" w:hAnsi="Times New Roman" w:cs="Times New Roman"/>
          <w:sz w:val="22"/>
          <w:szCs w:val="22"/>
        </w:rPr>
        <w:t>mineralokortikoidov</w:t>
      </w:r>
      <w:proofErr w:type="spellEnd"/>
      <w:r w:rsidR="001A70CE" w:rsidRPr="00024FA5">
        <w:rPr>
          <w:rFonts w:ascii="Times New Roman" w:hAnsi="Times New Roman" w:cs="Times New Roman"/>
          <w:sz w:val="22"/>
          <w:szCs w:val="22"/>
        </w:rPr>
        <w:t xml:space="preserve"> </w:t>
      </w:r>
      <w:r w:rsidR="0030663B" w:rsidRPr="00024FA5">
        <w:rPr>
          <w:rFonts w:ascii="Times New Roman" w:hAnsi="Times New Roman" w:cs="Times New Roman"/>
          <w:sz w:val="22"/>
          <w:szCs w:val="22"/>
        </w:rPr>
        <w:t>ob</w:t>
      </w:r>
      <w:r w:rsidR="001A70CE" w:rsidRPr="00024FA5">
        <w:rPr>
          <w:rFonts w:ascii="Times New Roman" w:hAnsi="Times New Roman" w:cs="Times New Roman"/>
          <w:sz w:val="22"/>
          <w:szCs w:val="22"/>
        </w:rPr>
        <w:t>zvlášť dôležitá)</w:t>
      </w:r>
      <w:r w:rsidR="008F7F3D" w:rsidRPr="00024FA5">
        <w:rPr>
          <w:rFonts w:ascii="Times New Roman" w:hAnsi="Times New Roman" w:cs="Times New Roman"/>
          <w:sz w:val="22"/>
          <w:szCs w:val="22"/>
        </w:rPr>
        <w:t>.</w:t>
      </w:r>
    </w:p>
    <w:p w14:paraId="66481C99" w14:textId="77777777" w:rsidR="000F2E71" w:rsidRPr="00024FA5" w:rsidRDefault="000F0A07" w:rsidP="007B2B59">
      <w:pPr>
        <w:numPr>
          <w:ilvl w:val="0"/>
          <w:numId w:val="20"/>
        </w:numPr>
        <w:tabs>
          <w:tab w:val="clear" w:pos="720"/>
          <w:tab w:val="left" w:pos="567"/>
        </w:tabs>
        <w:ind w:left="567" w:hanging="567"/>
        <w:rPr>
          <w:sz w:val="22"/>
          <w:szCs w:val="22"/>
        </w:rPr>
      </w:pPr>
      <w:r w:rsidRPr="00024FA5">
        <w:rPr>
          <w:sz w:val="22"/>
          <w:szCs w:val="22"/>
        </w:rPr>
        <w:t>A</w:t>
      </w:r>
      <w:r w:rsidR="001A70CE" w:rsidRPr="00024FA5">
        <w:rPr>
          <w:sz w:val="22"/>
          <w:szCs w:val="22"/>
        </w:rPr>
        <w:t xml:space="preserve">kútna </w:t>
      </w:r>
      <w:proofErr w:type="spellStart"/>
      <w:r w:rsidR="001A70CE" w:rsidRPr="00024FA5">
        <w:rPr>
          <w:sz w:val="22"/>
          <w:szCs w:val="22"/>
        </w:rPr>
        <w:t>adrenokortikálna</w:t>
      </w:r>
      <w:proofErr w:type="spellEnd"/>
      <w:r w:rsidR="001A70CE" w:rsidRPr="00024FA5">
        <w:rPr>
          <w:sz w:val="22"/>
          <w:szCs w:val="22"/>
        </w:rPr>
        <w:t xml:space="preserve"> </w:t>
      </w:r>
      <w:proofErr w:type="spellStart"/>
      <w:r w:rsidR="001A70CE" w:rsidRPr="00024FA5">
        <w:rPr>
          <w:sz w:val="22"/>
          <w:szCs w:val="22"/>
        </w:rPr>
        <w:t>insuficiencia</w:t>
      </w:r>
      <w:proofErr w:type="spellEnd"/>
      <w:r w:rsidR="001A70CE" w:rsidRPr="00024FA5">
        <w:rPr>
          <w:sz w:val="22"/>
          <w:szCs w:val="22"/>
        </w:rPr>
        <w:t xml:space="preserve"> (liekom voľby je </w:t>
      </w:r>
      <w:proofErr w:type="spellStart"/>
      <w:r w:rsidR="001A70CE" w:rsidRPr="00024FA5">
        <w:rPr>
          <w:sz w:val="22"/>
          <w:szCs w:val="22"/>
        </w:rPr>
        <w:t>hydrokortizón</w:t>
      </w:r>
      <w:proofErr w:type="spellEnd"/>
      <w:r w:rsidR="001A70CE" w:rsidRPr="00024FA5">
        <w:rPr>
          <w:sz w:val="22"/>
          <w:szCs w:val="22"/>
        </w:rPr>
        <w:t xml:space="preserve"> alebo </w:t>
      </w:r>
      <w:proofErr w:type="spellStart"/>
      <w:r w:rsidR="001A70CE" w:rsidRPr="00024FA5">
        <w:rPr>
          <w:sz w:val="22"/>
          <w:szCs w:val="22"/>
        </w:rPr>
        <w:t>kortizón</w:t>
      </w:r>
      <w:proofErr w:type="spellEnd"/>
      <w:r w:rsidR="001A70CE" w:rsidRPr="00024FA5">
        <w:rPr>
          <w:sz w:val="22"/>
          <w:szCs w:val="22"/>
        </w:rPr>
        <w:t xml:space="preserve">, môže byť nutná náhrada </w:t>
      </w:r>
      <w:proofErr w:type="spellStart"/>
      <w:r w:rsidR="001A70CE" w:rsidRPr="00024FA5">
        <w:rPr>
          <w:sz w:val="22"/>
          <w:szCs w:val="22"/>
        </w:rPr>
        <w:t>mineralokortikoidov</w:t>
      </w:r>
      <w:proofErr w:type="spellEnd"/>
      <w:r w:rsidR="001A70CE" w:rsidRPr="00024FA5">
        <w:rPr>
          <w:sz w:val="22"/>
          <w:szCs w:val="22"/>
        </w:rPr>
        <w:t xml:space="preserve">, </w:t>
      </w:r>
      <w:r w:rsidR="00293852" w:rsidRPr="00024FA5">
        <w:rPr>
          <w:sz w:val="22"/>
          <w:szCs w:val="22"/>
        </w:rPr>
        <w:t>ob</w:t>
      </w:r>
      <w:r w:rsidR="001A70CE" w:rsidRPr="00024FA5">
        <w:rPr>
          <w:sz w:val="22"/>
          <w:szCs w:val="22"/>
        </w:rPr>
        <w:t xml:space="preserve">zvlášť pri použití syntetických </w:t>
      </w:r>
      <w:proofErr w:type="spellStart"/>
      <w:r w:rsidR="001A70CE" w:rsidRPr="00024FA5">
        <w:rPr>
          <w:sz w:val="22"/>
          <w:szCs w:val="22"/>
        </w:rPr>
        <w:t>analógov</w:t>
      </w:r>
      <w:proofErr w:type="spellEnd"/>
      <w:r w:rsidR="001A70CE" w:rsidRPr="00024FA5">
        <w:rPr>
          <w:sz w:val="22"/>
          <w:szCs w:val="22"/>
        </w:rPr>
        <w:t>).</w:t>
      </w:r>
    </w:p>
    <w:p w14:paraId="777E15CF" w14:textId="77777777" w:rsidR="000F2E71" w:rsidRPr="00024FA5" w:rsidRDefault="000F0A07" w:rsidP="008A1CFF">
      <w:pPr>
        <w:numPr>
          <w:ilvl w:val="0"/>
          <w:numId w:val="20"/>
        </w:numPr>
        <w:tabs>
          <w:tab w:val="clear" w:pos="720"/>
          <w:tab w:val="num" w:pos="567"/>
        </w:tabs>
        <w:ind w:left="567" w:hanging="567"/>
        <w:rPr>
          <w:sz w:val="22"/>
          <w:szCs w:val="22"/>
        </w:rPr>
      </w:pPr>
      <w:proofErr w:type="spellStart"/>
      <w:r w:rsidRPr="00024FA5">
        <w:rPr>
          <w:sz w:val="22"/>
          <w:szCs w:val="22"/>
        </w:rPr>
        <w:t>S</w:t>
      </w:r>
      <w:r w:rsidR="0000794B" w:rsidRPr="00024FA5">
        <w:rPr>
          <w:sz w:val="22"/>
          <w:szCs w:val="22"/>
        </w:rPr>
        <w:t>ekudárny</w:t>
      </w:r>
      <w:proofErr w:type="spellEnd"/>
      <w:r w:rsidR="0000794B" w:rsidRPr="00024FA5">
        <w:rPr>
          <w:sz w:val="22"/>
          <w:szCs w:val="22"/>
        </w:rPr>
        <w:t xml:space="preserve"> šok pri </w:t>
      </w:r>
      <w:proofErr w:type="spellStart"/>
      <w:r w:rsidR="00293852" w:rsidRPr="00024FA5">
        <w:rPr>
          <w:sz w:val="22"/>
          <w:szCs w:val="22"/>
        </w:rPr>
        <w:t>adrenokortikálnej</w:t>
      </w:r>
      <w:proofErr w:type="spellEnd"/>
      <w:r w:rsidR="00293852" w:rsidRPr="00024FA5">
        <w:rPr>
          <w:sz w:val="22"/>
          <w:szCs w:val="22"/>
        </w:rPr>
        <w:t xml:space="preserve"> </w:t>
      </w:r>
      <w:proofErr w:type="spellStart"/>
      <w:r w:rsidR="00293852" w:rsidRPr="00024FA5">
        <w:rPr>
          <w:sz w:val="22"/>
          <w:szCs w:val="22"/>
        </w:rPr>
        <w:t>insuficiencii</w:t>
      </w:r>
      <w:proofErr w:type="spellEnd"/>
      <w:r w:rsidR="00293852" w:rsidRPr="00024FA5">
        <w:rPr>
          <w:sz w:val="22"/>
          <w:szCs w:val="22"/>
        </w:rPr>
        <w:t xml:space="preserve"> </w:t>
      </w:r>
      <w:r w:rsidR="0000794B" w:rsidRPr="00024FA5">
        <w:rPr>
          <w:sz w:val="22"/>
          <w:szCs w:val="22"/>
        </w:rPr>
        <w:t>alebo šok neodpovedajúci na zvyčajnú liečbu, keď môže byť prít</w:t>
      </w:r>
      <w:r w:rsidR="005C0075" w:rsidRPr="00024FA5">
        <w:rPr>
          <w:sz w:val="22"/>
          <w:szCs w:val="22"/>
        </w:rPr>
        <w:t xml:space="preserve">omná nadobličková </w:t>
      </w:r>
      <w:proofErr w:type="spellStart"/>
      <w:r w:rsidR="005C0075" w:rsidRPr="00024FA5">
        <w:rPr>
          <w:sz w:val="22"/>
          <w:szCs w:val="22"/>
        </w:rPr>
        <w:t>insuficiencia</w:t>
      </w:r>
      <w:proofErr w:type="spellEnd"/>
      <w:r w:rsidR="0000794B" w:rsidRPr="00024FA5">
        <w:rPr>
          <w:sz w:val="22"/>
          <w:szCs w:val="22"/>
        </w:rPr>
        <w:t xml:space="preserve"> (</w:t>
      </w:r>
      <w:r w:rsidR="005C0075" w:rsidRPr="00024FA5">
        <w:rPr>
          <w:sz w:val="22"/>
          <w:szCs w:val="22"/>
        </w:rPr>
        <w:t>l</w:t>
      </w:r>
      <w:r w:rsidR="0000794B" w:rsidRPr="00024FA5">
        <w:rPr>
          <w:sz w:val="22"/>
          <w:szCs w:val="22"/>
        </w:rPr>
        <w:t xml:space="preserve">iekom voľby je zvyčajne </w:t>
      </w:r>
      <w:proofErr w:type="spellStart"/>
      <w:r w:rsidR="0000794B" w:rsidRPr="00024FA5">
        <w:rPr>
          <w:sz w:val="22"/>
          <w:szCs w:val="22"/>
        </w:rPr>
        <w:t>hydrokortizón</w:t>
      </w:r>
      <w:proofErr w:type="spellEnd"/>
      <w:r w:rsidR="0000794B" w:rsidRPr="00024FA5">
        <w:rPr>
          <w:sz w:val="22"/>
          <w:szCs w:val="22"/>
        </w:rPr>
        <w:t xml:space="preserve">. Keď však nie je </w:t>
      </w:r>
      <w:proofErr w:type="spellStart"/>
      <w:r w:rsidR="0000794B" w:rsidRPr="00024FA5">
        <w:rPr>
          <w:sz w:val="22"/>
          <w:szCs w:val="22"/>
        </w:rPr>
        <w:t>mineralokortikoidný</w:t>
      </w:r>
      <w:proofErr w:type="spellEnd"/>
      <w:r w:rsidR="0000794B" w:rsidRPr="00024FA5">
        <w:rPr>
          <w:sz w:val="22"/>
          <w:szCs w:val="22"/>
        </w:rPr>
        <w:t xml:space="preserve"> účinok </w:t>
      </w:r>
      <w:r w:rsidR="005C0075" w:rsidRPr="00024FA5">
        <w:rPr>
          <w:sz w:val="22"/>
          <w:szCs w:val="22"/>
        </w:rPr>
        <w:t>žiaduci</w:t>
      </w:r>
      <w:r w:rsidR="0000794B" w:rsidRPr="00024FA5">
        <w:rPr>
          <w:sz w:val="22"/>
          <w:szCs w:val="22"/>
        </w:rPr>
        <w:t xml:space="preserve">, dáva sa prednosť </w:t>
      </w:r>
      <w:proofErr w:type="spellStart"/>
      <w:r w:rsidR="0000794B" w:rsidRPr="00024FA5">
        <w:rPr>
          <w:sz w:val="22"/>
          <w:szCs w:val="22"/>
        </w:rPr>
        <w:t>metylprednizolónu</w:t>
      </w:r>
      <w:proofErr w:type="spellEnd"/>
      <w:r w:rsidR="0000794B" w:rsidRPr="00024FA5">
        <w:rPr>
          <w:sz w:val="22"/>
          <w:szCs w:val="22"/>
        </w:rPr>
        <w:t>)</w:t>
      </w:r>
      <w:r w:rsidRPr="00024FA5">
        <w:rPr>
          <w:sz w:val="22"/>
          <w:szCs w:val="22"/>
        </w:rPr>
        <w:t>.</w:t>
      </w:r>
    </w:p>
    <w:p w14:paraId="3B17AC8C" w14:textId="77777777" w:rsidR="000F2E71" w:rsidRPr="00024FA5" w:rsidRDefault="000F0A07" w:rsidP="008A1CFF">
      <w:pPr>
        <w:numPr>
          <w:ilvl w:val="0"/>
          <w:numId w:val="20"/>
        </w:numPr>
        <w:tabs>
          <w:tab w:val="clear" w:pos="720"/>
          <w:tab w:val="num" w:pos="567"/>
        </w:tabs>
        <w:ind w:left="567" w:hanging="567"/>
        <w:rPr>
          <w:sz w:val="22"/>
          <w:szCs w:val="22"/>
        </w:rPr>
      </w:pPr>
      <w:r w:rsidRPr="00024FA5">
        <w:rPr>
          <w:sz w:val="22"/>
          <w:szCs w:val="22"/>
        </w:rPr>
        <w:t>P</w:t>
      </w:r>
      <w:r w:rsidR="001A70CE" w:rsidRPr="00024FA5">
        <w:rPr>
          <w:sz w:val="22"/>
          <w:szCs w:val="22"/>
        </w:rPr>
        <w:t>red operáciou a</w:t>
      </w:r>
      <w:r w:rsidR="00A23B00" w:rsidRPr="00024FA5">
        <w:rPr>
          <w:sz w:val="22"/>
          <w:szCs w:val="22"/>
        </w:rPr>
        <w:t>lebo</w:t>
      </w:r>
      <w:r w:rsidR="001A70CE" w:rsidRPr="00024FA5">
        <w:rPr>
          <w:sz w:val="22"/>
          <w:szCs w:val="22"/>
        </w:rPr>
        <w:t> v prípade ťažkého poranenia alebo ochorenia, u pacientov so</w:t>
      </w:r>
      <w:r w:rsidR="0027690A" w:rsidRPr="00024FA5">
        <w:rPr>
          <w:sz w:val="22"/>
          <w:szCs w:val="22"/>
        </w:rPr>
        <w:t> </w:t>
      </w:r>
      <w:r w:rsidR="001A70CE" w:rsidRPr="00024FA5">
        <w:rPr>
          <w:sz w:val="22"/>
          <w:szCs w:val="22"/>
        </w:rPr>
        <w:t>známou nadobličkovou nedostatočnosťou alebo pri pochybnosti</w:t>
      </w:r>
      <w:r w:rsidR="00A23B00" w:rsidRPr="00024FA5">
        <w:rPr>
          <w:sz w:val="22"/>
          <w:szCs w:val="22"/>
        </w:rPr>
        <w:t>ach o </w:t>
      </w:r>
      <w:proofErr w:type="spellStart"/>
      <w:r w:rsidR="00A23B00" w:rsidRPr="00024FA5">
        <w:rPr>
          <w:sz w:val="22"/>
          <w:szCs w:val="22"/>
        </w:rPr>
        <w:t>adrenokortikálnej</w:t>
      </w:r>
      <w:proofErr w:type="spellEnd"/>
      <w:r w:rsidR="00A23B00" w:rsidRPr="00024FA5">
        <w:rPr>
          <w:sz w:val="22"/>
          <w:szCs w:val="22"/>
        </w:rPr>
        <w:t xml:space="preserve"> rezerve</w:t>
      </w:r>
      <w:r w:rsidR="00A5550B" w:rsidRPr="00024FA5">
        <w:rPr>
          <w:sz w:val="22"/>
          <w:szCs w:val="22"/>
        </w:rPr>
        <w:t>.</w:t>
      </w:r>
    </w:p>
    <w:p w14:paraId="16434490" w14:textId="77777777" w:rsidR="000F2E71" w:rsidRPr="00024FA5" w:rsidRDefault="0017546B" w:rsidP="008A1CFF">
      <w:pPr>
        <w:numPr>
          <w:ilvl w:val="0"/>
          <w:numId w:val="20"/>
        </w:numPr>
        <w:tabs>
          <w:tab w:val="clear" w:pos="720"/>
          <w:tab w:val="num" w:pos="567"/>
        </w:tabs>
        <w:ind w:left="567" w:hanging="567"/>
        <w:rPr>
          <w:sz w:val="22"/>
          <w:szCs w:val="22"/>
        </w:rPr>
      </w:pPr>
      <w:proofErr w:type="spellStart"/>
      <w:r w:rsidRPr="00024FA5">
        <w:rPr>
          <w:sz w:val="22"/>
          <w:szCs w:val="22"/>
        </w:rPr>
        <w:t>k</w:t>
      </w:r>
      <w:r w:rsidR="00D76626" w:rsidRPr="00024FA5">
        <w:rPr>
          <w:sz w:val="22"/>
          <w:szCs w:val="22"/>
        </w:rPr>
        <w:t>ongenitálna</w:t>
      </w:r>
      <w:proofErr w:type="spellEnd"/>
      <w:r w:rsidR="00D76626" w:rsidRPr="00024FA5">
        <w:rPr>
          <w:sz w:val="22"/>
          <w:szCs w:val="22"/>
        </w:rPr>
        <w:t xml:space="preserve"> </w:t>
      </w:r>
      <w:proofErr w:type="spellStart"/>
      <w:r w:rsidR="001A70CE" w:rsidRPr="00024FA5">
        <w:rPr>
          <w:sz w:val="22"/>
          <w:szCs w:val="22"/>
        </w:rPr>
        <w:t>adrenálna</w:t>
      </w:r>
      <w:proofErr w:type="spellEnd"/>
      <w:r w:rsidR="001A70CE" w:rsidRPr="00024FA5">
        <w:rPr>
          <w:sz w:val="22"/>
          <w:szCs w:val="22"/>
        </w:rPr>
        <w:t xml:space="preserve"> </w:t>
      </w:r>
      <w:proofErr w:type="spellStart"/>
      <w:r w:rsidR="001A70CE" w:rsidRPr="00024FA5">
        <w:rPr>
          <w:sz w:val="22"/>
          <w:szCs w:val="22"/>
        </w:rPr>
        <w:t>hyperplázia</w:t>
      </w:r>
      <w:proofErr w:type="spellEnd"/>
      <w:r w:rsidR="001A70CE" w:rsidRPr="00024FA5">
        <w:rPr>
          <w:sz w:val="22"/>
          <w:szCs w:val="22"/>
        </w:rPr>
        <w:t xml:space="preserve"> (AGS)</w:t>
      </w:r>
    </w:p>
    <w:p w14:paraId="2DAA09A7" w14:textId="77777777" w:rsidR="000F2E71" w:rsidRPr="00024FA5" w:rsidRDefault="0017546B" w:rsidP="008A1CFF">
      <w:pPr>
        <w:numPr>
          <w:ilvl w:val="0"/>
          <w:numId w:val="20"/>
        </w:numPr>
        <w:tabs>
          <w:tab w:val="clear" w:pos="720"/>
          <w:tab w:val="num" w:pos="567"/>
        </w:tabs>
        <w:ind w:left="567" w:hanging="567"/>
        <w:rPr>
          <w:sz w:val="22"/>
          <w:szCs w:val="22"/>
        </w:rPr>
      </w:pPr>
      <w:r w:rsidRPr="00024FA5">
        <w:rPr>
          <w:sz w:val="22"/>
          <w:szCs w:val="22"/>
        </w:rPr>
        <w:t>n</w:t>
      </w:r>
      <w:r w:rsidR="001A70CE" w:rsidRPr="00024FA5">
        <w:rPr>
          <w:sz w:val="22"/>
          <w:szCs w:val="22"/>
        </w:rPr>
        <w:t xml:space="preserve">ehnisavá </w:t>
      </w:r>
      <w:proofErr w:type="spellStart"/>
      <w:r w:rsidR="001A70CE" w:rsidRPr="00024FA5">
        <w:rPr>
          <w:sz w:val="22"/>
          <w:szCs w:val="22"/>
        </w:rPr>
        <w:t>tyreoi</w:t>
      </w:r>
      <w:r w:rsidRPr="00024FA5">
        <w:rPr>
          <w:sz w:val="22"/>
          <w:szCs w:val="22"/>
        </w:rPr>
        <w:t>di</w:t>
      </w:r>
      <w:r w:rsidR="001A70CE" w:rsidRPr="00024FA5">
        <w:rPr>
          <w:sz w:val="22"/>
          <w:szCs w:val="22"/>
        </w:rPr>
        <w:t>tída</w:t>
      </w:r>
      <w:proofErr w:type="spellEnd"/>
    </w:p>
    <w:p w14:paraId="6F410E20" w14:textId="77777777" w:rsidR="000F2E71" w:rsidRPr="00024FA5" w:rsidRDefault="0017546B" w:rsidP="008A1CFF">
      <w:pPr>
        <w:numPr>
          <w:ilvl w:val="0"/>
          <w:numId w:val="20"/>
        </w:numPr>
        <w:tabs>
          <w:tab w:val="clear" w:pos="720"/>
          <w:tab w:val="num" w:pos="567"/>
        </w:tabs>
        <w:ind w:left="567" w:hanging="567"/>
        <w:rPr>
          <w:sz w:val="22"/>
          <w:szCs w:val="22"/>
        </w:rPr>
      </w:pPr>
      <w:proofErr w:type="spellStart"/>
      <w:r w:rsidRPr="00024FA5">
        <w:rPr>
          <w:sz w:val="22"/>
          <w:szCs w:val="22"/>
        </w:rPr>
        <w:t>h</w:t>
      </w:r>
      <w:r w:rsidR="001A70CE" w:rsidRPr="00024FA5">
        <w:rPr>
          <w:sz w:val="22"/>
          <w:szCs w:val="22"/>
        </w:rPr>
        <w:t>yperkalc</w:t>
      </w:r>
      <w:r w:rsidR="00EE3AFC" w:rsidRPr="00024FA5">
        <w:rPr>
          <w:sz w:val="22"/>
          <w:szCs w:val="22"/>
        </w:rPr>
        <w:t>i</w:t>
      </w:r>
      <w:r w:rsidR="001A70CE" w:rsidRPr="00024FA5">
        <w:rPr>
          <w:sz w:val="22"/>
          <w:szCs w:val="22"/>
        </w:rPr>
        <w:t>émia</w:t>
      </w:r>
      <w:proofErr w:type="spellEnd"/>
      <w:r w:rsidR="001A70CE" w:rsidRPr="00024FA5">
        <w:rPr>
          <w:sz w:val="22"/>
          <w:szCs w:val="22"/>
        </w:rPr>
        <w:t xml:space="preserve"> v</w:t>
      </w:r>
      <w:r w:rsidR="008F7F3D" w:rsidRPr="00024FA5">
        <w:rPr>
          <w:sz w:val="22"/>
          <w:szCs w:val="22"/>
        </w:rPr>
        <w:t> </w:t>
      </w:r>
      <w:r w:rsidR="001A70CE" w:rsidRPr="00024FA5">
        <w:rPr>
          <w:sz w:val="22"/>
          <w:szCs w:val="22"/>
        </w:rPr>
        <w:t>spojitosti s onkologickým ochorením</w:t>
      </w:r>
    </w:p>
    <w:p w14:paraId="2DC7E640" w14:textId="77777777" w:rsidR="000F2E71" w:rsidRPr="00024FA5" w:rsidRDefault="000F2E71" w:rsidP="008A1CFF">
      <w:pPr>
        <w:tabs>
          <w:tab w:val="left" w:pos="567"/>
        </w:tabs>
        <w:rPr>
          <w:sz w:val="22"/>
          <w:szCs w:val="22"/>
        </w:rPr>
      </w:pPr>
    </w:p>
    <w:p w14:paraId="68D8EC34"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Reumatické ochorenia</w:t>
      </w:r>
      <w:r w:rsidR="0046064A" w:rsidRPr="00024FA5">
        <w:rPr>
          <w:rFonts w:ascii="Times New Roman" w:hAnsi="Times New Roman"/>
          <w:sz w:val="22"/>
          <w:szCs w:val="22"/>
        </w:rPr>
        <w:t xml:space="preserve"> (zápalové </w:t>
      </w:r>
      <w:r w:rsidR="0036093B">
        <w:rPr>
          <w:rFonts w:ascii="Times New Roman" w:hAnsi="Times New Roman"/>
          <w:sz w:val="22"/>
          <w:szCs w:val="22"/>
        </w:rPr>
        <w:t>aj</w:t>
      </w:r>
      <w:r w:rsidR="0046064A" w:rsidRPr="00024FA5">
        <w:rPr>
          <w:rFonts w:ascii="Times New Roman" w:hAnsi="Times New Roman"/>
          <w:sz w:val="22"/>
          <w:szCs w:val="22"/>
        </w:rPr>
        <w:t> degeneratívne)</w:t>
      </w:r>
    </w:p>
    <w:p w14:paraId="64EA879E" w14:textId="77777777" w:rsidR="000F2E71" w:rsidRPr="00024FA5" w:rsidRDefault="001A70CE" w:rsidP="008A1CFF">
      <w:pPr>
        <w:tabs>
          <w:tab w:val="left" w:pos="567"/>
        </w:tabs>
        <w:rPr>
          <w:sz w:val="22"/>
          <w:szCs w:val="22"/>
        </w:rPr>
      </w:pPr>
      <w:r w:rsidRPr="00024FA5">
        <w:rPr>
          <w:sz w:val="22"/>
          <w:szCs w:val="22"/>
        </w:rPr>
        <w:t>Ako prídavná liečba na krátkodobé pod</w:t>
      </w:r>
      <w:r w:rsidR="003B59F6" w:rsidRPr="00024FA5">
        <w:rPr>
          <w:sz w:val="22"/>
          <w:szCs w:val="22"/>
        </w:rPr>
        <w:t>áv</w:t>
      </w:r>
      <w:r w:rsidRPr="00024FA5">
        <w:rPr>
          <w:sz w:val="22"/>
          <w:szCs w:val="22"/>
        </w:rPr>
        <w:t>anie (pacientom na preklenutie akútnej fázy alebo</w:t>
      </w:r>
      <w:r w:rsidR="0083715D">
        <w:rPr>
          <w:sz w:val="22"/>
          <w:szCs w:val="22"/>
        </w:rPr>
        <w:t> </w:t>
      </w:r>
      <w:proofErr w:type="spellStart"/>
      <w:r w:rsidRPr="00024FA5">
        <w:rPr>
          <w:sz w:val="22"/>
          <w:szCs w:val="22"/>
        </w:rPr>
        <w:t>znovuvzplanutia</w:t>
      </w:r>
      <w:proofErr w:type="spellEnd"/>
      <w:r w:rsidRPr="00024FA5">
        <w:rPr>
          <w:sz w:val="22"/>
          <w:szCs w:val="22"/>
        </w:rPr>
        <w:t>)</w:t>
      </w:r>
      <w:r w:rsidR="00237C55" w:rsidRPr="00024FA5">
        <w:rPr>
          <w:sz w:val="22"/>
          <w:szCs w:val="22"/>
        </w:rPr>
        <w:t>:</w:t>
      </w:r>
    </w:p>
    <w:p w14:paraId="1461947D" w14:textId="77777777" w:rsidR="000F2E71" w:rsidRPr="00024FA5" w:rsidRDefault="00B569EF" w:rsidP="008A1CFF">
      <w:pPr>
        <w:numPr>
          <w:ilvl w:val="0"/>
          <w:numId w:val="22"/>
        </w:numPr>
        <w:tabs>
          <w:tab w:val="clear" w:pos="720"/>
          <w:tab w:val="num" w:pos="567"/>
        </w:tabs>
        <w:ind w:left="567" w:hanging="567"/>
        <w:rPr>
          <w:sz w:val="22"/>
          <w:szCs w:val="22"/>
        </w:rPr>
      </w:pPr>
      <w:proofErr w:type="spellStart"/>
      <w:r w:rsidRPr="00024FA5">
        <w:rPr>
          <w:sz w:val="22"/>
          <w:szCs w:val="22"/>
        </w:rPr>
        <w:t>p</w:t>
      </w:r>
      <w:r w:rsidR="001A70CE" w:rsidRPr="00024FA5">
        <w:rPr>
          <w:sz w:val="22"/>
          <w:szCs w:val="22"/>
        </w:rPr>
        <w:t>osttraumatická</w:t>
      </w:r>
      <w:proofErr w:type="spellEnd"/>
      <w:r w:rsidR="001A70CE" w:rsidRPr="00024FA5">
        <w:rPr>
          <w:sz w:val="22"/>
          <w:szCs w:val="22"/>
        </w:rPr>
        <w:t xml:space="preserve"> </w:t>
      </w:r>
      <w:proofErr w:type="spellStart"/>
      <w:r w:rsidR="003B59F6" w:rsidRPr="00024FA5">
        <w:rPr>
          <w:sz w:val="22"/>
          <w:szCs w:val="22"/>
        </w:rPr>
        <w:t>osteoartr</w:t>
      </w:r>
      <w:r w:rsidR="005C0075" w:rsidRPr="00024FA5">
        <w:rPr>
          <w:sz w:val="22"/>
          <w:szCs w:val="22"/>
        </w:rPr>
        <w:t>óza</w:t>
      </w:r>
      <w:proofErr w:type="spellEnd"/>
    </w:p>
    <w:p w14:paraId="7E8A3BF3" w14:textId="77777777" w:rsidR="000F2E71" w:rsidRPr="00024FA5" w:rsidRDefault="00B569EF" w:rsidP="008A1CFF">
      <w:pPr>
        <w:numPr>
          <w:ilvl w:val="0"/>
          <w:numId w:val="22"/>
        </w:numPr>
        <w:tabs>
          <w:tab w:val="clear" w:pos="720"/>
          <w:tab w:val="num" w:pos="567"/>
        </w:tabs>
        <w:ind w:left="567" w:hanging="567"/>
        <w:rPr>
          <w:sz w:val="22"/>
          <w:szCs w:val="22"/>
        </w:rPr>
      </w:pPr>
      <w:proofErr w:type="spellStart"/>
      <w:r w:rsidRPr="00024FA5">
        <w:rPr>
          <w:sz w:val="22"/>
          <w:szCs w:val="22"/>
        </w:rPr>
        <w:t>s</w:t>
      </w:r>
      <w:r w:rsidR="001A70CE" w:rsidRPr="00024FA5">
        <w:rPr>
          <w:sz w:val="22"/>
          <w:szCs w:val="22"/>
        </w:rPr>
        <w:t>ynovitída</w:t>
      </w:r>
      <w:proofErr w:type="spellEnd"/>
      <w:r w:rsidR="001A70CE" w:rsidRPr="00024FA5">
        <w:rPr>
          <w:sz w:val="22"/>
          <w:szCs w:val="22"/>
        </w:rPr>
        <w:t xml:space="preserve"> z </w:t>
      </w:r>
      <w:proofErr w:type="spellStart"/>
      <w:r w:rsidR="001A70CE" w:rsidRPr="00024FA5">
        <w:rPr>
          <w:sz w:val="22"/>
          <w:szCs w:val="22"/>
        </w:rPr>
        <w:t>osteoartr</w:t>
      </w:r>
      <w:r w:rsidR="005C0075" w:rsidRPr="00024FA5">
        <w:rPr>
          <w:sz w:val="22"/>
          <w:szCs w:val="22"/>
        </w:rPr>
        <w:t>ózy</w:t>
      </w:r>
      <w:proofErr w:type="spellEnd"/>
    </w:p>
    <w:p w14:paraId="182AD07E" w14:textId="77777777" w:rsidR="000F2E71" w:rsidRPr="00024FA5" w:rsidRDefault="00B569EF" w:rsidP="008A1CFF">
      <w:pPr>
        <w:numPr>
          <w:ilvl w:val="0"/>
          <w:numId w:val="22"/>
        </w:numPr>
        <w:tabs>
          <w:tab w:val="clear" w:pos="720"/>
          <w:tab w:val="num" w:pos="567"/>
        </w:tabs>
        <w:ind w:left="567" w:hanging="567"/>
        <w:rPr>
          <w:sz w:val="22"/>
          <w:szCs w:val="22"/>
        </w:rPr>
      </w:pPr>
      <w:proofErr w:type="spellStart"/>
      <w:r w:rsidRPr="00024FA5">
        <w:rPr>
          <w:sz w:val="22"/>
          <w:szCs w:val="22"/>
        </w:rPr>
        <w:t>r</w:t>
      </w:r>
      <w:r w:rsidR="001A70CE" w:rsidRPr="00024FA5">
        <w:rPr>
          <w:sz w:val="22"/>
          <w:szCs w:val="22"/>
        </w:rPr>
        <w:t>eumatoidná</w:t>
      </w:r>
      <w:proofErr w:type="spellEnd"/>
      <w:r w:rsidR="001A70CE" w:rsidRPr="00024FA5">
        <w:rPr>
          <w:sz w:val="22"/>
          <w:szCs w:val="22"/>
        </w:rPr>
        <w:t xml:space="preserve"> artritída vrátane</w:t>
      </w:r>
      <w:r w:rsidR="003B59F6" w:rsidRPr="00024FA5">
        <w:rPr>
          <w:sz w:val="22"/>
          <w:szCs w:val="22"/>
        </w:rPr>
        <w:t xml:space="preserve"> </w:t>
      </w:r>
      <w:r w:rsidR="001A70CE" w:rsidRPr="00024FA5">
        <w:rPr>
          <w:sz w:val="22"/>
          <w:szCs w:val="22"/>
        </w:rPr>
        <w:t xml:space="preserve">juvenilnej </w:t>
      </w:r>
      <w:proofErr w:type="spellStart"/>
      <w:r w:rsidR="001A70CE" w:rsidRPr="00024FA5">
        <w:rPr>
          <w:sz w:val="22"/>
          <w:szCs w:val="22"/>
        </w:rPr>
        <w:t>reumatoidnej</w:t>
      </w:r>
      <w:proofErr w:type="spellEnd"/>
      <w:r w:rsidR="001A70CE" w:rsidRPr="00024FA5">
        <w:rPr>
          <w:sz w:val="22"/>
          <w:szCs w:val="22"/>
        </w:rPr>
        <w:t xml:space="preserve"> artritídy</w:t>
      </w:r>
      <w:r w:rsidR="003B59F6" w:rsidRPr="00024FA5">
        <w:rPr>
          <w:sz w:val="22"/>
          <w:szCs w:val="22"/>
        </w:rPr>
        <w:t xml:space="preserve"> </w:t>
      </w:r>
      <w:r w:rsidR="001A70CE" w:rsidRPr="00024FA5">
        <w:rPr>
          <w:sz w:val="22"/>
          <w:szCs w:val="22"/>
        </w:rPr>
        <w:t>(vybrané prípady si môžu vyžadovať</w:t>
      </w:r>
      <w:r w:rsidR="003B59F6" w:rsidRPr="00024FA5">
        <w:rPr>
          <w:sz w:val="22"/>
          <w:szCs w:val="22"/>
        </w:rPr>
        <w:t xml:space="preserve"> </w:t>
      </w:r>
      <w:r w:rsidR="001A70CE" w:rsidRPr="00024FA5">
        <w:rPr>
          <w:sz w:val="22"/>
          <w:szCs w:val="22"/>
        </w:rPr>
        <w:t>udržiavaciu liečbu nízkymi dávkami)</w:t>
      </w:r>
    </w:p>
    <w:p w14:paraId="3D8D24F3" w14:textId="77777777" w:rsidR="000F2E71" w:rsidRPr="00024FA5" w:rsidRDefault="00B569EF" w:rsidP="008A1CFF">
      <w:pPr>
        <w:numPr>
          <w:ilvl w:val="0"/>
          <w:numId w:val="22"/>
        </w:numPr>
        <w:tabs>
          <w:tab w:val="clear" w:pos="720"/>
          <w:tab w:val="num" w:pos="567"/>
        </w:tabs>
        <w:ind w:left="567" w:hanging="567"/>
        <w:rPr>
          <w:sz w:val="22"/>
          <w:szCs w:val="22"/>
        </w:rPr>
      </w:pPr>
      <w:r w:rsidRPr="00024FA5">
        <w:rPr>
          <w:sz w:val="22"/>
          <w:szCs w:val="22"/>
        </w:rPr>
        <w:t>a</w:t>
      </w:r>
      <w:r w:rsidR="001A70CE" w:rsidRPr="00024FA5">
        <w:rPr>
          <w:sz w:val="22"/>
          <w:szCs w:val="22"/>
        </w:rPr>
        <w:t>kútna a </w:t>
      </w:r>
      <w:proofErr w:type="spellStart"/>
      <w:r w:rsidR="001A70CE" w:rsidRPr="00024FA5">
        <w:rPr>
          <w:sz w:val="22"/>
          <w:szCs w:val="22"/>
        </w:rPr>
        <w:t>subakútna</w:t>
      </w:r>
      <w:proofErr w:type="spellEnd"/>
      <w:r w:rsidR="001A70CE" w:rsidRPr="00024FA5">
        <w:rPr>
          <w:sz w:val="22"/>
          <w:szCs w:val="22"/>
        </w:rPr>
        <w:t xml:space="preserve"> </w:t>
      </w:r>
      <w:proofErr w:type="spellStart"/>
      <w:r w:rsidR="001A70CE" w:rsidRPr="00024FA5">
        <w:rPr>
          <w:sz w:val="22"/>
          <w:szCs w:val="22"/>
        </w:rPr>
        <w:t>burzitída</w:t>
      </w:r>
      <w:proofErr w:type="spellEnd"/>
    </w:p>
    <w:p w14:paraId="6ACF5A70" w14:textId="77777777" w:rsidR="000F2E71" w:rsidRPr="00024FA5" w:rsidRDefault="00B569EF" w:rsidP="008A1CFF">
      <w:pPr>
        <w:numPr>
          <w:ilvl w:val="0"/>
          <w:numId w:val="22"/>
        </w:numPr>
        <w:tabs>
          <w:tab w:val="clear" w:pos="720"/>
          <w:tab w:val="num" w:pos="567"/>
        </w:tabs>
        <w:ind w:left="567" w:hanging="567"/>
        <w:rPr>
          <w:sz w:val="22"/>
          <w:szCs w:val="22"/>
        </w:rPr>
      </w:pPr>
      <w:proofErr w:type="spellStart"/>
      <w:r w:rsidRPr="00024FA5">
        <w:rPr>
          <w:sz w:val="22"/>
          <w:szCs w:val="22"/>
        </w:rPr>
        <w:t>e</w:t>
      </w:r>
      <w:r w:rsidR="003B59F6" w:rsidRPr="00024FA5">
        <w:rPr>
          <w:sz w:val="22"/>
          <w:szCs w:val="22"/>
        </w:rPr>
        <w:t>pikondylitída</w:t>
      </w:r>
      <w:proofErr w:type="spellEnd"/>
    </w:p>
    <w:p w14:paraId="2FCD6490" w14:textId="77777777" w:rsidR="000F2E71" w:rsidRPr="00024FA5" w:rsidRDefault="00B569EF" w:rsidP="008A1CFF">
      <w:pPr>
        <w:numPr>
          <w:ilvl w:val="0"/>
          <w:numId w:val="22"/>
        </w:numPr>
        <w:tabs>
          <w:tab w:val="clear" w:pos="720"/>
          <w:tab w:val="num" w:pos="567"/>
        </w:tabs>
        <w:ind w:left="567" w:hanging="567"/>
        <w:rPr>
          <w:sz w:val="22"/>
          <w:szCs w:val="22"/>
        </w:rPr>
      </w:pPr>
      <w:r w:rsidRPr="00024FA5">
        <w:rPr>
          <w:sz w:val="22"/>
          <w:szCs w:val="22"/>
        </w:rPr>
        <w:t>a</w:t>
      </w:r>
      <w:r w:rsidR="003B59F6" w:rsidRPr="00024FA5">
        <w:rPr>
          <w:sz w:val="22"/>
          <w:szCs w:val="22"/>
        </w:rPr>
        <w:t xml:space="preserve">kútna nešpecifická </w:t>
      </w:r>
      <w:proofErr w:type="spellStart"/>
      <w:r w:rsidR="003B59F6" w:rsidRPr="00024FA5">
        <w:rPr>
          <w:sz w:val="22"/>
          <w:szCs w:val="22"/>
        </w:rPr>
        <w:t>tendosynovitída</w:t>
      </w:r>
      <w:proofErr w:type="spellEnd"/>
    </w:p>
    <w:p w14:paraId="7597B51C" w14:textId="77777777" w:rsidR="000F2E71" w:rsidRPr="00024FA5" w:rsidRDefault="00B569EF" w:rsidP="008A1CFF">
      <w:pPr>
        <w:numPr>
          <w:ilvl w:val="0"/>
          <w:numId w:val="22"/>
        </w:numPr>
        <w:tabs>
          <w:tab w:val="clear" w:pos="720"/>
          <w:tab w:val="num" w:pos="567"/>
        </w:tabs>
        <w:ind w:left="567" w:hanging="567"/>
        <w:rPr>
          <w:sz w:val="22"/>
          <w:szCs w:val="22"/>
        </w:rPr>
      </w:pPr>
      <w:r w:rsidRPr="00024FA5">
        <w:rPr>
          <w:sz w:val="22"/>
          <w:szCs w:val="22"/>
        </w:rPr>
        <w:t>a</w:t>
      </w:r>
      <w:r w:rsidR="003B59F6" w:rsidRPr="00024FA5">
        <w:rPr>
          <w:sz w:val="22"/>
          <w:szCs w:val="22"/>
        </w:rPr>
        <w:t xml:space="preserve">kútna </w:t>
      </w:r>
      <w:proofErr w:type="spellStart"/>
      <w:r w:rsidR="003B59F6" w:rsidRPr="00024FA5">
        <w:rPr>
          <w:sz w:val="22"/>
          <w:szCs w:val="22"/>
        </w:rPr>
        <w:t>dnavá</w:t>
      </w:r>
      <w:proofErr w:type="spellEnd"/>
      <w:r w:rsidR="003B59F6" w:rsidRPr="00024FA5">
        <w:rPr>
          <w:sz w:val="22"/>
          <w:szCs w:val="22"/>
        </w:rPr>
        <w:t xml:space="preserve"> artritída</w:t>
      </w:r>
    </w:p>
    <w:p w14:paraId="580BFA57" w14:textId="77777777" w:rsidR="000F2E71" w:rsidRPr="00024FA5" w:rsidRDefault="00B569EF" w:rsidP="008A1CFF">
      <w:pPr>
        <w:numPr>
          <w:ilvl w:val="0"/>
          <w:numId w:val="22"/>
        </w:numPr>
        <w:tabs>
          <w:tab w:val="clear" w:pos="720"/>
          <w:tab w:val="num" w:pos="567"/>
        </w:tabs>
        <w:ind w:left="567" w:hanging="567"/>
        <w:rPr>
          <w:sz w:val="22"/>
          <w:szCs w:val="22"/>
        </w:rPr>
      </w:pPr>
      <w:proofErr w:type="spellStart"/>
      <w:r w:rsidRPr="00024FA5">
        <w:rPr>
          <w:sz w:val="22"/>
          <w:szCs w:val="22"/>
        </w:rPr>
        <w:lastRenderedPageBreak/>
        <w:t>p</w:t>
      </w:r>
      <w:r w:rsidR="003B59F6" w:rsidRPr="00024FA5">
        <w:rPr>
          <w:sz w:val="22"/>
          <w:szCs w:val="22"/>
        </w:rPr>
        <w:t>soriatická</w:t>
      </w:r>
      <w:proofErr w:type="spellEnd"/>
      <w:r w:rsidR="003B59F6" w:rsidRPr="00024FA5">
        <w:rPr>
          <w:sz w:val="22"/>
          <w:szCs w:val="22"/>
        </w:rPr>
        <w:t xml:space="preserve"> artritída</w:t>
      </w:r>
    </w:p>
    <w:p w14:paraId="5E8FCF85" w14:textId="77777777" w:rsidR="000F2E71" w:rsidRPr="00024FA5" w:rsidRDefault="00B569EF" w:rsidP="008A1CFF">
      <w:pPr>
        <w:numPr>
          <w:ilvl w:val="0"/>
          <w:numId w:val="22"/>
        </w:numPr>
        <w:tabs>
          <w:tab w:val="clear" w:pos="720"/>
          <w:tab w:val="num" w:pos="567"/>
        </w:tabs>
        <w:ind w:left="567" w:hanging="567"/>
        <w:rPr>
          <w:sz w:val="22"/>
          <w:szCs w:val="22"/>
        </w:rPr>
      </w:pPr>
      <w:proofErr w:type="spellStart"/>
      <w:r w:rsidRPr="00024FA5">
        <w:rPr>
          <w:sz w:val="22"/>
          <w:szCs w:val="22"/>
        </w:rPr>
        <w:t>a</w:t>
      </w:r>
      <w:r w:rsidR="003B59F6" w:rsidRPr="00024FA5">
        <w:rPr>
          <w:sz w:val="22"/>
          <w:szCs w:val="22"/>
        </w:rPr>
        <w:t>nkylozujúca</w:t>
      </w:r>
      <w:proofErr w:type="spellEnd"/>
      <w:r w:rsidR="003B59F6" w:rsidRPr="00024FA5">
        <w:rPr>
          <w:sz w:val="22"/>
          <w:szCs w:val="22"/>
        </w:rPr>
        <w:t xml:space="preserve"> </w:t>
      </w:r>
      <w:proofErr w:type="spellStart"/>
      <w:r w:rsidR="003B59F6" w:rsidRPr="00024FA5">
        <w:rPr>
          <w:sz w:val="22"/>
          <w:szCs w:val="22"/>
        </w:rPr>
        <w:t>spondylitída</w:t>
      </w:r>
      <w:proofErr w:type="spellEnd"/>
    </w:p>
    <w:p w14:paraId="4E18FB14" w14:textId="77777777" w:rsidR="000F2E71" w:rsidRPr="00024FA5" w:rsidRDefault="000F2E71" w:rsidP="008A1CFF">
      <w:pPr>
        <w:tabs>
          <w:tab w:val="left" w:pos="567"/>
        </w:tabs>
        <w:rPr>
          <w:sz w:val="22"/>
          <w:szCs w:val="22"/>
        </w:rPr>
      </w:pPr>
    </w:p>
    <w:p w14:paraId="2F651F55" w14:textId="77777777" w:rsidR="000F2E71" w:rsidRPr="00024FA5" w:rsidRDefault="001F58EA" w:rsidP="00665C1B">
      <w:pPr>
        <w:keepNext/>
        <w:tabs>
          <w:tab w:val="left" w:pos="567"/>
        </w:tabs>
        <w:rPr>
          <w:sz w:val="22"/>
          <w:szCs w:val="22"/>
          <w:u w:val="single"/>
        </w:rPr>
      </w:pPr>
      <w:r w:rsidRPr="00024FA5">
        <w:rPr>
          <w:sz w:val="22"/>
          <w:szCs w:val="22"/>
          <w:u w:val="single"/>
        </w:rPr>
        <w:t>Kolagénové ochorenia a</w:t>
      </w:r>
      <w:r w:rsidR="008F7F3D" w:rsidRPr="00024FA5">
        <w:rPr>
          <w:sz w:val="22"/>
          <w:szCs w:val="22"/>
          <w:u w:val="single"/>
        </w:rPr>
        <w:t> </w:t>
      </w:r>
      <w:r w:rsidRPr="00024FA5">
        <w:rPr>
          <w:sz w:val="22"/>
          <w:szCs w:val="22"/>
          <w:u w:val="single"/>
        </w:rPr>
        <w:t>s</w:t>
      </w:r>
      <w:r w:rsidR="001A70CE" w:rsidRPr="00024FA5">
        <w:rPr>
          <w:sz w:val="22"/>
          <w:szCs w:val="22"/>
          <w:u w:val="single"/>
        </w:rPr>
        <w:t>ystémové autoimunitné ochorenia (</w:t>
      </w:r>
      <w:proofErr w:type="spellStart"/>
      <w:r w:rsidR="001A70CE" w:rsidRPr="00024FA5">
        <w:rPr>
          <w:sz w:val="22"/>
          <w:szCs w:val="22"/>
          <w:u w:val="single"/>
        </w:rPr>
        <w:t>imunokomplexové</w:t>
      </w:r>
      <w:proofErr w:type="spellEnd"/>
      <w:r w:rsidR="001A70CE" w:rsidRPr="00024FA5">
        <w:rPr>
          <w:sz w:val="22"/>
          <w:szCs w:val="22"/>
          <w:u w:val="single"/>
        </w:rPr>
        <w:t xml:space="preserve"> ochorenia)</w:t>
      </w:r>
    </w:p>
    <w:p w14:paraId="556FDD63" w14:textId="77777777" w:rsidR="000F2E71" w:rsidRPr="00024FA5" w:rsidRDefault="001A70CE" w:rsidP="008A1CFF">
      <w:pPr>
        <w:tabs>
          <w:tab w:val="left" w:pos="567"/>
        </w:tabs>
        <w:rPr>
          <w:sz w:val="22"/>
          <w:szCs w:val="22"/>
        </w:rPr>
      </w:pPr>
      <w:r w:rsidRPr="00024FA5">
        <w:rPr>
          <w:sz w:val="22"/>
          <w:szCs w:val="22"/>
        </w:rPr>
        <w:t xml:space="preserve">Počas </w:t>
      </w:r>
      <w:proofErr w:type="spellStart"/>
      <w:r w:rsidRPr="00024FA5">
        <w:rPr>
          <w:sz w:val="22"/>
          <w:szCs w:val="22"/>
        </w:rPr>
        <w:t>znovuvzplanutia</w:t>
      </w:r>
      <w:proofErr w:type="spellEnd"/>
      <w:r w:rsidRPr="00024FA5">
        <w:rPr>
          <w:sz w:val="22"/>
          <w:szCs w:val="22"/>
        </w:rPr>
        <w:t xml:space="preserve"> alebo ako udržiavacia liečba vo vybranýc</w:t>
      </w:r>
      <w:r w:rsidR="001F58EA" w:rsidRPr="00024FA5">
        <w:rPr>
          <w:sz w:val="22"/>
          <w:szCs w:val="22"/>
        </w:rPr>
        <w:t>h prípadoch</w:t>
      </w:r>
      <w:r w:rsidR="00F464C8" w:rsidRPr="00024FA5">
        <w:rPr>
          <w:sz w:val="22"/>
          <w:szCs w:val="22"/>
        </w:rPr>
        <w:t xml:space="preserve"> pri</w:t>
      </w:r>
      <w:r w:rsidR="001F58EA" w:rsidRPr="00024FA5">
        <w:rPr>
          <w:sz w:val="22"/>
          <w:szCs w:val="22"/>
        </w:rPr>
        <w:t>:</w:t>
      </w:r>
    </w:p>
    <w:p w14:paraId="3F8D132E" w14:textId="77777777" w:rsidR="000F2E71" w:rsidRPr="00024FA5" w:rsidRDefault="00B569EF" w:rsidP="008A1CFF">
      <w:pPr>
        <w:numPr>
          <w:ilvl w:val="0"/>
          <w:numId w:val="23"/>
        </w:numPr>
        <w:tabs>
          <w:tab w:val="clear" w:pos="720"/>
          <w:tab w:val="num" w:pos="567"/>
        </w:tabs>
        <w:ind w:left="567" w:hanging="567"/>
        <w:rPr>
          <w:sz w:val="22"/>
          <w:szCs w:val="22"/>
        </w:rPr>
      </w:pPr>
      <w:r w:rsidRPr="00024FA5">
        <w:rPr>
          <w:sz w:val="22"/>
          <w:szCs w:val="22"/>
        </w:rPr>
        <w:t>s</w:t>
      </w:r>
      <w:r w:rsidR="001A70CE" w:rsidRPr="00024FA5">
        <w:rPr>
          <w:sz w:val="22"/>
          <w:szCs w:val="22"/>
        </w:rPr>
        <w:t>ystémov</w:t>
      </w:r>
      <w:r w:rsidR="00F464C8" w:rsidRPr="00024FA5">
        <w:rPr>
          <w:sz w:val="22"/>
          <w:szCs w:val="22"/>
        </w:rPr>
        <w:t>om</w:t>
      </w:r>
      <w:r w:rsidR="001A70CE" w:rsidRPr="00024FA5">
        <w:rPr>
          <w:sz w:val="22"/>
          <w:szCs w:val="22"/>
        </w:rPr>
        <w:t xml:space="preserve"> </w:t>
      </w:r>
      <w:proofErr w:type="spellStart"/>
      <w:r w:rsidR="001A70CE" w:rsidRPr="00024FA5">
        <w:rPr>
          <w:sz w:val="22"/>
          <w:szCs w:val="22"/>
        </w:rPr>
        <w:t>lupus</w:t>
      </w:r>
      <w:proofErr w:type="spellEnd"/>
      <w:r w:rsidR="001A70CE" w:rsidRPr="00024FA5">
        <w:rPr>
          <w:sz w:val="22"/>
          <w:szCs w:val="22"/>
        </w:rPr>
        <w:t xml:space="preserve"> </w:t>
      </w:r>
      <w:proofErr w:type="spellStart"/>
      <w:r w:rsidR="001A70CE" w:rsidRPr="00024FA5">
        <w:rPr>
          <w:sz w:val="22"/>
          <w:szCs w:val="22"/>
        </w:rPr>
        <w:t>erythematosus</w:t>
      </w:r>
      <w:proofErr w:type="spellEnd"/>
      <w:r w:rsidR="001F58EA" w:rsidRPr="00024FA5">
        <w:rPr>
          <w:sz w:val="22"/>
          <w:szCs w:val="22"/>
        </w:rPr>
        <w:t xml:space="preserve"> </w:t>
      </w:r>
      <w:r w:rsidR="001A70CE" w:rsidRPr="00024FA5">
        <w:rPr>
          <w:sz w:val="22"/>
          <w:szCs w:val="22"/>
        </w:rPr>
        <w:t>(a</w:t>
      </w:r>
      <w:r w:rsidR="000F3472" w:rsidRPr="00024FA5">
        <w:rPr>
          <w:sz w:val="22"/>
          <w:szCs w:val="22"/>
        </w:rPr>
        <w:t> </w:t>
      </w:r>
      <w:proofErr w:type="spellStart"/>
      <w:r w:rsidR="001A70CE" w:rsidRPr="00024FA5">
        <w:rPr>
          <w:sz w:val="22"/>
          <w:szCs w:val="22"/>
        </w:rPr>
        <w:t>lupusov</w:t>
      </w:r>
      <w:r w:rsidR="00F464C8" w:rsidRPr="00024FA5">
        <w:rPr>
          <w:sz w:val="22"/>
          <w:szCs w:val="22"/>
        </w:rPr>
        <w:t>ej</w:t>
      </w:r>
      <w:proofErr w:type="spellEnd"/>
      <w:r w:rsidR="001A70CE" w:rsidRPr="00024FA5">
        <w:rPr>
          <w:sz w:val="22"/>
          <w:szCs w:val="22"/>
        </w:rPr>
        <w:t xml:space="preserve"> </w:t>
      </w:r>
      <w:proofErr w:type="spellStart"/>
      <w:r w:rsidR="001A70CE" w:rsidRPr="00024FA5">
        <w:rPr>
          <w:sz w:val="22"/>
          <w:szCs w:val="22"/>
        </w:rPr>
        <w:t>nefritíd</w:t>
      </w:r>
      <w:r w:rsidR="00F464C8" w:rsidRPr="00024FA5">
        <w:rPr>
          <w:sz w:val="22"/>
          <w:szCs w:val="22"/>
        </w:rPr>
        <w:t>e</w:t>
      </w:r>
      <w:proofErr w:type="spellEnd"/>
      <w:r w:rsidR="001A70CE" w:rsidRPr="00024FA5">
        <w:rPr>
          <w:sz w:val="22"/>
          <w:szCs w:val="22"/>
        </w:rPr>
        <w:t>)</w:t>
      </w:r>
    </w:p>
    <w:p w14:paraId="22259AFD" w14:textId="77777777" w:rsidR="000F2E71" w:rsidRPr="00024FA5" w:rsidRDefault="00B569EF" w:rsidP="008A1CFF">
      <w:pPr>
        <w:numPr>
          <w:ilvl w:val="0"/>
          <w:numId w:val="23"/>
        </w:numPr>
        <w:tabs>
          <w:tab w:val="clear" w:pos="720"/>
          <w:tab w:val="num" w:pos="567"/>
        </w:tabs>
        <w:ind w:left="567" w:hanging="567"/>
        <w:rPr>
          <w:sz w:val="22"/>
          <w:szCs w:val="22"/>
        </w:rPr>
      </w:pPr>
      <w:r w:rsidRPr="00024FA5">
        <w:rPr>
          <w:sz w:val="22"/>
          <w:szCs w:val="22"/>
        </w:rPr>
        <w:t>a</w:t>
      </w:r>
      <w:r w:rsidR="001A70CE" w:rsidRPr="00024FA5">
        <w:rPr>
          <w:sz w:val="22"/>
          <w:szCs w:val="22"/>
        </w:rPr>
        <w:t>kútn</w:t>
      </w:r>
      <w:r w:rsidR="00F464C8" w:rsidRPr="00024FA5">
        <w:rPr>
          <w:sz w:val="22"/>
          <w:szCs w:val="22"/>
        </w:rPr>
        <w:t>ej</w:t>
      </w:r>
      <w:r w:rsidR="001A70CE" w:rsidRPr="00024FA5">
        <w:rPr>
          <w:sz w:val="22"/>
          <w:szCs w:val="22"/>
        </w:rPr>
        <w:t xml:space="preserve"> reumatick</w:t>
      </w:r>
      <w:r w:rsidR="00F464C8" w:rsidRPr="00024FA5">
        <w:rPr>
          <w:sz w:val="22"/>
          <w:szCs w:val="22"/>
        </w:rPr>
        <w:t>ej</w:t>
      </w:r>
      <w:r w:rsidR="001A70CE" w:rsidRPr="00024FA5">
        <w:rPr>
          <w:sz w:val="22"/>
          <w:szCs w:val="22"/>
        </w:rPr>
        <w:t xml:space="preserve"> karditíd</w:t>
      </w:r>
      <w:r w:rsidR="00F464C8" w:rsidRPr="00024FA5">
        <w:rPr>
          <w:sz w:val="22"/>
          <w:szCs w:val="22"/>
        </w:rPr>
        <w:t>e</w:t>
      </w:r>
    </w:p>
    <w:p w14:paraId="17B79622" w14:textId="77777777" w:rsidR="000F2E71" w:rsidRPr="00024FA5" w:rsidRDefault="00B569EF" w:rsidP="008A1CFF">
      <w:pPr>
        <w:numPr>
          <w:ilvl w:val="0"/>
          <w:numId w:val="23"/>
        </w:numPr>
        <w:tabs>
          <w:tab w:val="clear" w:pos="720"/>
          <w:tab w:val="num" w:pos="567"/>
        </w:tabs>
        <w:ind w:left="567" w:hanging="567"/>
        <w:rPr>
          <w:sz w:val="22"/>
          <w:szCs w:val="22"/>
        </w:rPr>
      </w:pPr>
      <w:r w:rsidRPr="00024FA5">
        <w:rPr>
          <w:sz w:val="22"/>
          <w:szCs w:val="22"/>
        </w:rPr>
        <w:t>s</w:t>
      </w:r>
      <w:r w:rsidR="001A70CE" w:rsidRPr="00024FA5">
        <w:rPr>
          <w:sz w:val="22"/>
          <w:szCs w:val="22"/>
        </w:rPr>
        <w:t>ystémov</w:t>
      </w:r>
      <w:r w:rsidR="00F464C8" w:rsidRPr="00024FA5">
        <w:rPr>
          <w:sz w:val="22"/>
          <w:szCs w:val="22"/>
        </w:rPr>
        <w:t>ej</w:t>
      </w:r>
      <w:r w:rsidR="001A70CE" w:rsidRPr="00024FA5">
        <w:rPr>
          <w:sz w:val="22"/>
          <w:szCs w:val="22"/>
        </w:rPr>
        <w:t xml:space="preserve"> </w:t>
      </w:r>
      <w:proofErr w:type="spellStart"/>
      <w:r w:rsidR="001A70CE" w:rsidRPr="00024FA5">
        <w:rPr>
          <w:sz w:val="22"/>
          <w:szCs w:val="22"/>
        </w:rPr>
        <w:t>dermatomyozitíd</w:t>
      </w:r>
      <w:r w:rsidR="00F464C8" w:rsidRPr="00024FA5">
        <w:rPr>
          <w:sz w:val="22"/>
          <w:szCs w:val="22"/>
        </w:rPr>
        <w:t>e</w:t>
      </w:r>
      <w:proofErr w:type="spellEnd"/>
      <w:r w:rsidR="001A70CE" w:rsidRPr="00024FA5">
        <w:rPr>
          <w:sz w:val="22"/>
          <w:szCs w:val="22"/>
        </w:rPr>
        <w:t xml:space="preserve"> (</w:t>
      </w:r>
      <w:proofErr w:type="spellStart"/>
      <w:r w:rsidR="001A70CE" w:rsidRPr="00024FA5">
        <w:rPr>
          <w:sz w:val="22"/>
          <w:szCs w:val="22"/>
        </w:rPr>
        <w:t>polymyozitíd</w:t>
      </w:r>
      <w:r w:rsidR="00F464C8" w:rsidRPr="00024FA5">
        <w:rPr>
          <w:sz w:val="22"/>
          <w:szCs w:val="22"/>
        </w:rPr>
        <w:t>e</w:t>
      </w:r>
      <w:proofErr w:type="spellEnd"/>
      <w:r w:rsidR="001A70CE" w:rsidRPr="00024FA5">
        <w:rPr>
          <w:sz w:val="22"/>
          <w:szCs w:val="22"/>
        </w:rPr>
        <w:t>)</w:t>
      </w:r>
    </w:p>
    <w:p w14:paraId="79074EFF" w14:textId="77777777" w:rsidR="000F2E71" w:rsidRPr="00024FA5" w:rsidRDefault="006A1ED6" w:rsidP="008A1CFF">
      <w:pPr>
        <w:numPr>
          <w:ilvl w:val="0"/>
          <w:numId w:val="23"/>
        </w:numPr>
        <w:tabs>
          <w:tab w:val="clear" w:pos="720"/>
          <w:tab w:val="num" w:pos="567"/>
        </w:tabs>
        <w:ind w:left="567" w:hanging="567"/>
        <w:rPr>
          <w:sz w:val="22"/>
          <w:szCs w:val="22"/>
        </w:rPr>
      </w:pPr>
      <w:proofErr w:type="spellStart"/>
      <w:r w:rsidRPr="00024FA5">
        <w:rPr>
          <w:sz w:val="22"/>
          <w:szCs w:val="22"/>
        </w:rPr>
        <w:t>nodóznej</w:t>
      </w:r>
      <w:proofErr w:type="spellEnd"/>
      <w:r w:rsidRPr="00024FA5">
        <w:rPr>
          <w:sz w:val="22"/>
          <w:szCs w:val="22"/>
        </w:rPr>
        <w:t xml:space="preserve"> </w:t>
      </w:r>
      <w:proofErr w:type="spellStart"/>
      <w:r w:rsidRPr="00024FA5">
        <w:rPr>
          <w:sz w:val="22"/>
          <w:szCs w:val="22"/>
        </w:rPr>
        <w:t>polyartritíde</w:t>
      </w:r>
      <w:proofErr w:type="spellEnd"/>
    </w:p>
    <w:p w14:paraId="286E72C4" w14:textId="77777777" w:rsidR="000F2E71" w:rsidRPr="00024FA5" w:rsidRDefault="001F58EA" w:rsidP="008A1CFF">
      <w:pPr>
        <w:numPr>
          <w:ilvl w:val="0"/>
          <w:numId w:val="23"/>
        </w:numPr>
        <w:tabs>
          <w:tab w:val="clear" w:pos="720"/>
          <w:tab w:val="num" w:pos="567"/>
        </w:tabs>
        <w:ind w:left="567" w:hanging="567"/>
        <w:rPr>
          <w:sz w:val="22"/>
          <w:szCs w:val="22"/>
        </w:rPr>
      </w:pPr>
      <w:proofErr w:type="spellStart"/>
      <w:r w:rsidRPr="00024FA5">
        <w:rPr>
          <w:sz w:val="22"/>
          <w:szCs w:val="22"/>
        </w:rPr>
        <w:t>Goodpasteurov</w:t>
      </w:r>
      <w:r w:rsidR="00F464C8" w:rsidRPr="00024FA5">
        <w:rPr>
          <w:sz w:val="22"/>
          <w:szCs w:val="22"/>
        </w:rPr>
        <w:t>om</w:t>
      </w:r>
      <w:proofErr w:type="spellEnd"/>
      <w:r w:rsidRPr="00024FA5">
        <w:rPr>
          <w:sz w:val="22"/>
          <w:szCs w:val="22"/>
        </w:rPr>
        <w:t xml:space="preserve"> syndróm</w:t>
      </w:r>
      <w:r w:rsidR="00F464C8" w:rsidRPr="00024FA5">
        <w:rPr>
          <w:sz w:val="22"/>
          <w:szCs w:val="22"/>
        </w:rPr>
        <w:t>e</w:t>
      </w:r>
    </w:p>
    <w:p w14:paraId="303592DC" w14:textId="77777777" w:rsidR="000F2E71" w:rsidRPr="00024FA5" w:rsidRDefault="000F2E71" w:rsidP="008A1CFF">
      <w:pPr>
        <w:tabs>
          <w:tab w:val="left" w:pos="567"/>
        </w:tabs>
        <w:rPr>
          <w:sz w:val="22"/>
          <w:szCs w:val="22"/>
        </w:rPr>
      </w:pPr>
    </w:p>
    <w:p w14:paraId="124FCA9B"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Kožné ochorenia</w:t>
      </w:r>
    </w:p>
    <w:p w14:paraId="1A1C5721" w14:textId="77777777" w:rsidR="000F2E71" w:rsidRPr="00024FA5" w:rsidRDefault="00B569EF" w:rsidP="008A1CFF">
      <w:pPr>
        <w:numPr>
          <w:ilvl w:val="0"/>
          <w:numId w:val="24"/>
        </w:numPr>
        <w:tabs>
          <w:tab w:val="clear" w:pos="720"/>
          <w:tab w:val="num" w:pos="567"/>
        </w:tabs>
        <w:ind w:left="567" w:hanging="567"/>
        <w:rPr>
          <w:sz w:val="22"/>
          <w:szCs w:val="22"/>
        </w:rPr>
      </w:pPr>
      <w:proofErr w:type="spellStart"/>
      <w:r w:rsidRPr="00024FA5">
        <w:rPr>
          <w:sz w:val="22"/>
          <w:szCs w:val="22"/>
        </w:rPr>
        <w:t>p</w:t>
      </w:r>
      <w:r w:rsidR="001A70CE" w:rsidRPr="00024FA5">
        <w:rPr>
          <w:sz w:val="22"/>
          <w:szCs w:val="22"/>
        </w:rPr>
        <w:t>emfigus</w:t>
      </w:r>
      <w:proofErr w:type="spellEnd"/>
    </w:p>
    <w:p w14:paraId="4C475704" w14:textId="77777777" w:rsidR="000F2E71" w:rsidRPr="00024FA5" w:rsidRDefault="00B569EF" w:rsidP="008A1CFF">
      <w:pPr>
        <w:numPr>
          <w:ilvl w:val="0"/>
          <w:numId w:val="24"/>
        </w:numPr>
        <w:tabs>
          <w:tab w:val="clear" w:pos="720"/>
          <w:tab w:val="num" w:pos="567"/>
        </w:tabs>
        <w:ind w:left="567" w:hanging="567"/>
        <w:rPr>
          <w:sz w:val="22"/>
          <w:szCs w:val="22"/>
        </w:rPr>
      </w:pPr>
      <w:r w:rsidRPr="00024FA5">
        <w:rPr>
          <w:sz w:val="22"/>
          <w:szCs w:val="22"/>
        </w:rPr>
        <w:t>z</w:t>
      </w:r>
      <w:r w:rsidR="001A70CE" w:rsidRPr="00024FA5">
        <w:rPr>
          <w:sz w:val="22"/>
          <w:szCs w:val="22"/>
        </w:rPr>
        <w:t xml:space="preserve">ávažná forma </w:t>
      </w:r>
      <w:proofErr w:type="spellStart"/>
      <w:r w:rsidR="001A70CE" w:rsidRPr="00024FA5">
        <w:rPr>
          <w:sz w:val="22"/>
          <w:szCs w:val="22"/>
        </w:rPr>
        <w:t>multiform</w:t>
      </w:r>
      <w:r w:rsidR="006A1ED6" w:rsidRPr="00024FA5">
        <w:rPr>
          <w:sz w:val="22"/>
          <w:szCs w:val="22"/>
        </w:rPr>
        <w:t>ného</w:t>
      </w:r>
      <w:proofErr w:type="spellEnd"/>
      <w:r w:rsidR="006A1ED6" w:rsidRPr="00024FA5">
        <w:rPr>
          <w:sz w:val="22"/>
          <w:szCs w:val="22"/>
        </w:rPr>
        <w:t xml:space="preserve"> </w:t>
      </w:r>
      <w:proofErr w:type="spellStart"/>
      <w:r w:rsidR="006A1ED6" w:rsidRPr="00024FA5">
        <w:rPr>
          <w:sz w:val="22"/>
          <w:szCs w:val="22"/>
        </w:rPr>
        <w:t>erytrému</w:t>
      </w:r>
      <w:proofErr w:type="spellEnd"/>
      <w:r w:rsidR="001F58EA" w:rsidRPr="00024FA5">
        <w:rPr>
          <w:sz w:val="22"/>
          <w:szCs w:val="22"/>
        </w:rPr>
        <w:t xml:space="preserve"> </w:t>
      </w:r>
      <w:r w:rsidR="001A70CE" w:rsidRPr="00024FA5">
        <w:rPr>
          <w:sz w:val="22"/>
          <w:szCs w:val="22"/>
        </w:rPr>
        <w:t>(</w:t>
      </w:r>
      <w:proofErr w:type="spellStart"/>
      <w:r w:rsidR="001A70CE" w:rsidRPr="008510DC">
        <w:rPr>
          <w:sz w:val="22"/>
          <w:szCs w:val="22"/>
        </w:rPr>
        <w:t>Stevens</w:t>
      </w:r>
      <w:r w:rsidR="000D37C2" w:rsidRPr="008510DC">
        <w:rPr>
          <w:sz w:val="22"/>
          <w:szCs w:val="22"/>
        </w:rPr>
        <w:t>ov</w:t>
      </w:r>
      <w:r w:rsidR="001F58EA" w:rsidRPr="008510DC">
        <w:rPr>
          <w:sz w:val="22"/>
          <w:szCs w:val="22"/>
        </w:rPr>
        <w:t>-</w:t>
      </w:r>
      <w:r w:rsidR="001A70CE" w:rsidRPr="008510DC">
        <w:rPr>
          <w:sz w:val="22"/>
          <w:szCs w:val="22"/>
        </w:rPr>
        <w:t>Johnsonov</w:t>
      </w:r>
      <w:proofErr w:type="spellEnd"/>
      <w:r w:rsidR="001A70CE" w:rsidRPr="00024FA5">
        <w:rPr>
          <w:sz w:val="22"/>
          <w:szCs w:val="22"/>
        </w:rPr>
        <w:t xml:space="preserve"> syndróm)</w:t>
      </w:r>
    </w:p>
    <w:p w14:paraId="67E21FF9" w14:textId="77777777" w:rsidR="000F2E71" w:rsidRPr="00024FA5" w:rsidRDefault="00B569EF" w:rsidP="008A1CFF">
      <w:pPr>
        <w:numPr>
          <w:ilvl w:val="0"/>
          <w:numId w:val="24"/>
        </w:numPr>
        <w:tabs>
          <w:tab w:val="clear" w:pos="720"/>
          <w:tab w:val="num" w:pos="567"/>
        </w:tabs>
        <w:ind w:left="567" w:hanging="567"/>
        <w:rPr>
          <w:sz w:val="22"/>
          <w:szCs w:val="22"/>
        </w:rPr>
      </w:pPr>
      <w:proofErr w:type="spellStart"/>
      <w:r w:rsidRPr="00024FA5">
        <w:rPr>
          <w:sz w:val="22"/>
          <w:szCs w:val="22"/>
        </w:rPr>
        <w:t>e</w:t>
      </w:r>
      <w:r w:rsidR="001A70CE" w:rsidRPr="00024FA5">
        <w:rPr>
          <w:sz w:val="22"/>
          <w:szCs w:val="22"/>
        </w:rPr>
        <w:t>xfoliatívna</w:t>
      </w:r>
      <w:proofErr w:type="spellEnd"/>
      <w:r w:rsidR="001A70CE" w:rsidRPr="00024FA5">
        <w:rPr>
          <w:sz w:val="22"/>
          <w:szCs w:val="22"/>
        </w:rPr>
        <w:t xml:space="preserve"> dermatitída</w:t>
      </w:r>
    </w:p>
    <w:p w14:paraId="68F18665" w14:textId="77777777" w:rsidR="000F2E71" w:rsidRPr="00024FA5" w:rsidRDefault="00B569EF" w:rsidP="008A1CFF">
      <w:pPr>
        <w:numPr>
          <w:ilvl w:val="0"/>
          <w:numId w:val="24"/>
        </w:numPr>
        <w:tabs>
          <w:tab w:val="clear" w:pos="720"/>
          <w:tab w:val="num" w:pos="567"/>
        </w:tabs>
        <w:ind w:left="567" w:hanging="567"/>
        <w:rPr>
          <w:sz w:val="22"/>
          <w:szCs w:val="22"/>
        </w:rPr>
      </w:pPr>
      <w:r w:rsidRPr="00024FA5">
        <w:rPr>
          <w:sz w:val="22"/>
          <w:szCs w:val="22"/>
        </w:rPr>
        <w:t>z</w:t>
      </w:r>
      <w:r w:rsidR="001A70CE" w:rsidRPr="00024FA5">
        <w:rPr>
          <w:sz w:val="22"/>
          <w:szCs w:val="22"/>
        </w:rPr>
        <w:t>ávažná psoriáza</w:t>
      </w:r>
    </w:p>
    <w:p w14:paraId="14BDC2F6" w14:textId="77777777" w:rsidR="000F2E71" w:rsidRPr="00024FA5" w:rsidRDefault="00B569EF" w:rsidP="008A1CFF">
      <w:pPr>
        <w:numPr>
          <w:ilvl w:val="0"/>
          <w:numId w:val="24"/>
        </w:numPr>
        <w:tabs>
          <w:tab w:val="clear" w:pos="720"/>
          <w:tab w:val="num" w:pos="567"/>
        </w:tabs>
        <w:ind w:left="567" w:hanging="567"/>
        <w:rPr>
          <w:sz w:val="22"/>
          <w:szCs w:val="22"/>
        </w:rPr>
      </w:pPr>
      <w:proofErr w:type="spellStart"/>
      <w:r w:rsidRPr="00024FA5">
        <w:rPr>
          <w:sz w:val="22"/>
          <w:szCs w:val="22"/>
        </w:rPr>
        <w:t>b</w:t>
      </w:r>
      <w:r w:rsidR="001F58EA" w:rsidRPr="00024FA5">
        <w:rPr>
          <w:sz w:val="22"/>
          <w:szCs w:val="22"/>
        </w:rPr>
        <w:t>ulózna</w:t>
      </w:r>
      <w:proofErr w:type="spellEnd"/>
      <w:r w:rsidR="001F58EA" w:rsidRPr="00024FA5">
        <w:rPr>
          <w:sz w:val="22"/>
          <w:szCs w:val="22"/>
        </w:rPr>
        <w:t xml:space="preserve"> </w:t>
      </w:r>
      <w:proofErr w:type="spellStart"/>
      <w:r w:rsidR="001F58EA" w:rsidRPr="00024FA5">
        <w:rPr>
          <w:sz w:val="22"/>
          <w:szCs w:val="22"/>
        </w:rPr>
        <w:t>herpetiformná</w:t>
      </w:r>
      <w:proofErr w:type="spellEnd"/>
      <w:r w:rsidR="001F58EA" w:rsidRPr="00024FA5">
        <w:rPr>
          <w:sz w:val="22"/>
          <w:szCs w:val="22"/>
        </w:rPr>
        <w:t xml:space="preserve"> dermatitída</w:t>
      </w:r>
    </w:p>
    <w:p w14:paraId="4EED0AEB" w14:textId="77777777" w:rsidR="000F2E71" w:rsidRPr="00024FA5" w:rsidRDefault="00B569EF" w:rsidP="008A1CFF">
      <w:pPr>
        <w:numPr>
          <w:ilvl w:val="0"/>
          <w:numId w:val="24"/>
        </w:numPr>
        <w:tabs>
          <w:tab w:val="clear" w:pos="720"/>
          <w:tab w:val="num" w:pos="567"/>
        </w:tabs>
        <w:ind w:left="567" w:hanging="567"/>
        <w:rPr>
          <w:sz w:val="22"/>
          <w:szCs w:val="22"/>
        </w:rPr>
      </w:pPr>
      <w:r w:rsidRPr="00024FA5">
        <w:rPr>
          <w:sz w:val="22"/>
          <w:szCs w:val="22"/>
        </w:rPr>
        <w:t>z</w:t>
      </w:r>
      <w:r w:rsidR="001F58EA" w:rsidRPr="00024FA5">
        <w:rPr>
          <w:sz w:val="22"/>
          <w:szCs w:val="22"/>
        </w:rPr>
        <w:t xml:space="preserve">ávažná </w:t>
      </w:r>
      <w:proofErr w:type="spellStart"/>
      <w:r w:rsidR="001F58EA" w:rsidRPr="00024FA5">
        <w:rPr>
          <w:sz w:val="22"/>
          <w:szCs w:val="22"/>
        </w:rPr>
        <w:t>seboroická</w:t>
      </w:r>
      <w:proofErr w:type="spellEnd"/>
      <w:r w:rsidR="001F58EA" w:rsidRPr="00024FA5">
        <w:rPr>
          <w:sz w:val="22"/>
          <w:szCs w:val="22"/>
        </w:rPr>
        <w:t xml:space="preserve"> dermatitída</w:t>
      </w:r>
    </w:p>
    <w:p w14:paraId="76C8B202" w14:textId="77777777" w:rsidR="000F2E71" w:rsidRPr="00024FA5" w:rsidRDefault="00B569EF" w:rsidP="008A1CFF">
      <w:pPr>
        <w:numPr>
          <w:ilvl w:val="0"/>
          <w:numId w:val="24"/>
        </w:numPr>
        <w:tabs>
          <w:tab w:val="clear" w:pos="720"/>
          <w:tab w:val="num" w:pos="567"/>
        </w:tabs>
        <w:ind w:left="567" w:hanging="567"/>
        <w:rPr>
          <w:sz w:val="22"/>
          <w:szCs w:val="22"/>
        </w:rPr>
      </w:pPr>
      <w:proofErr w:type="spellStart"/>
      <w:r w:rsidRPr="00024FA5">
        <w:rPr>
          <w:sz w:val="22"/>
          <w:szCs w:val="22"/>
        </w:rPr>
        <w:t>m</w:t>
      </w:r>
      <w:r w:rsidR="001F58EA" w:rsidRPr="00024FA5">
        <w:rPr>
          <w:sz w:val="22"/>
          <w:szCs w:val="22"/>
        </w:rPr>
        <w:t>ycosis</w:t>
      </w:r>
      <w:proofErr w:type="spellEnd"/>
      <w:r w:rsidR="001F58EA" w:rsidRPr="00024FA5">
        <w:rPr>
          <w:sz w:val="22"/>
          <w:szCs w:val="22"/>
        </w:rPr>
        <w:t xml:space="preserve"> </w:t>
      </w:r>
      <w:proofErr w:type="spellStart"/>
      <w:r w:rsidR="001F58EA" w:rsidRPr="00024FA5">
        <w:rPr>
          <w:sz w:val="22"/>
          <w:szCs w:val="22"/>
        </w:rPr>
        <w:t>fungoides</w:t>
      </w:r>
      <w:proofErr w:type="spellEnd"/>
    </w:p>
    <w:p w14:paraId="0C61F25D" w14:textId="77777777" w:rsidR="000F2E71" w:rsidRPr="00024FA5" w:rsidRDefault="000F2E71" w:rsidP="008A1CFF">
      <w:pPr>
        <w:tabs>
          <w:tab w:val="left" w:pos="567"/>
        </w:tabs>
        <w:rPr>
          <w:sz w:val="22"/>
          <w:szCs w:val="22"/>
        </w:rPr>
      </w:pPr>
    </w:p>
    <w:p w14:paraId="249B822C"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Alergické ochorenia</w:t>
      </w:r>
    </w:p>
    <w:p w14:paraId="7CDDA826" w14:textId="77777777" w:rsidR="000F2E71" w:rsidRPr="00024FA5" w:rsidRDefault="001A70CE" w:rsidP="008A1CFF">
      <w:pPr>
        <w:tabs>
          <w:tab w:val="left" w:pos="567"/>
        </w:tabs>
        <w:rPr>
          <w:sz w:val="22"/>
          <w:szCs w:val="22"/>
        </w:rPr>
      </w:pPr>
      <w:r w:rsidRPr="00024FA5">
        <w:rPr>
          <w:sz w:val="22"/>
          <w:szCs w:val="22"/>
        </w:rPr>
        <w:t>Na liečbu závažných alebo bežnou liečbou nezvládnuteľných alergických stavov:</w:t>
      </w:r>
    </w:p>
    <w:p w14:paraId="5E88B5A9" w14:textId="77777777" w:rsidR="000F2E71" w:rsidRPr="00024FA5" w:rsidRDefault="00B569EF" w:rsidP="008A1CFF">
      <w:pPr>
        <w:pStyle w:val="Nadpis3"/>
        <w:numPr>
          <w:ilvl w:val="0"/>
          <w:numId w:val="25"/>
        </w:numPr>
        <w:tabs>
          <w:tab w:val="clear" w:pos="720"/>
          <w:tab w:val="num" w:pos="567"/>
        </w:tabs>
        <w:ind w:left="567" w:hanging="567"/>
        <w:jc w:val="left"/>
        <w:rPr>
          <w:rFonts w:ascii="Times New Roman" w:hAnsi="Times New Roman"/>
          <w:sz w:val="22"/>
          <w:szCs w:val="22"/>
          <w:u w:val="none"/>
        </w:rPr>
      </w:pPr>
      <w:proofErr w:type="spellStart"/>
      <w:r w:rsidRPr="00024FA5">
        <w:rPr>
          <w:rFonts w:ascii="Times New Roman" w:hAnsi="Times New Roman"/>
          <w:sz w:val="22"/>
          <w:szCs w:val="22"/>
          <w:u w:val="none"/>
        </w:rPr>
        <w:t>a</w:t>
      </w:r>
      <w:r w:rsidR="001A70CE" w:rsidRPr="00024FA5">
        <w:rPr>
          <w:rFonts w:ascii="Times New Roman" w:hAnsi="Times New Roman"/>
          <w:sz w:val="22"/>
          <w:szCs w:val="22"/>
          <w:u w:val="none"/>
        </w:rPr>
        <w:t>sthma</w:t>
      </w:r>
      <w:proofErr w:type="spellEnd"/>
      <w:r w:rsidR="001A70CE" w:rsidRPr="00024FA5">
        <w:rPr>
          <w:rFonts w:ascii="Times New Roman" w:hAnsi="Times New Roman"/>
          <w:sz w:val="22"/>
          <w:szCs w:val="22"/>
          <w:u w:val="none"/>
        </w:rPr>
        <w:t xml:space="preserve"> </w:t>
      </w:r>
      <w:proofErr w:type="spellStart"/>
      <w:r w:rsidR="001A70CE" w:rsidRPr="00024FA5">
        <w:rPr>
          <w:rFonts w:ascii="Times New Roman" w:hAnsi="Times New Roman"/>
          <w:sz w:val="22"/>
          <w:szCs w:val="22"/>
          <w:u w:val="none"/>
        </w:rPr>
        <w:t>bronchiale</w:t>
      </w:r>
      <w:proofErr w:type="spellEnd"/>
    </w:p>
    <w:p w14:paraId="3DADF7FA" w14:textId="77777777" w:rsidR="000F2E71" w:rsidRPr="00024FA5" w:rsidRDefault="00B569EF" w:rsidP="008A1CFF">
      <w:pPr>
        <w:numPr>
          <w:ilvl w:val="0"/>
          <w:numId w:val="25"/>
        </w:numPr>
        <w:tabs>
          <w:tab w:val="clear" w:pos="720"/>
          <w:tab w:val="num" w:pos="567"/>
        </w:tabs>
        <w:ind w:left="567" w:hanging="567"/>
        <w:rPr>
          <w:sz w:val="22"/>
          <w:szCs w:val="22"/>
        </w:rPr>
      </w:pPr>
      <w:r w:rsidRPr="00024FA5">
        <w:rPr>
          <w:sz w:val="22"/>
          <w:szCs w:val="22"/>
        </w:rPr>
        <w:t>k</w:t>
      </w:r>
      <w:r w:rsidR="001A70CE" w:rsidRPr="00024FA5">
        <w:rPr>
          <w:sz w:val="22"/>
          <w:szCs w:val="22"/>
        </w:rPr>
        <w:t>ontaktná dermatitída</w:t>
      </w:r>
    </w:p>
    <w:p w14:paraId="560EF4A8" w14:textId="77777777" w:rsidR="000F2E71" w:rsidRPr="00024FA5" w:rsidRDefault="00B569EF" w:rsidP="008A1CFF">
      <w:pPr>
        <w:numPr>
          <w:ilvl w:val="0"/>
          <w:numId w:val="25"/>
        </w:numPr>
        <w:tabs>
          <w:tab w:val="clear" w:pos="720"/>
          <w:tab w:val="num" w:pos="567"/>
        </w:tabs>
        <w:ind w:left="567" w:hanging="567"/>
        <w:rPr>
          <w:sz w:val="22"/>
          <w:szCs w:val="22"/>
        </w:rPr>
      </w:pPr>
      <w:r w:rsidRPr="00024FA5">
        <w:rPr>
          <w:sz w:val="22"/>
          <w:szCs w:val="22"/>
        </w:rPr>
        <w:t>a</w:t>
      </w:r>
      <w:r w:rsidR="001A70CE" w:rsidRPr="00024FA5">
        <w:rPr>
          <w:sz w:val="22"/>
          <w:szCs w:val="22"/>
        </w:rPr>
        <w:t>topická dermatitída</w:t>
      </w:r>
    </w:p>
    <w:p w14:paraId="16CCABC6" w14:textId="77777777" w:rsidR="000F2E71" w:rsidRPr="00024FA5" w:rsidRDefault="00B569EF" w:rsidP="008A1CFF">
      <w:pPr>
        <w:numPr>
          <w:ilvl w:val="0"/>
          <w:numId w:val="25"/>
        </w:numPr>
        <w:tabs>
          <w:tab w:val="clear" w:pos="720"/>
          <w:tab w:val="num" w:pos="567"/>
        </w:tabs>
        <w:ind w:left="567" w:hanging="567"/>
        <w:rPr>
          <w:sz w:val="22"/>
          <w:szCs w:val="22"/>
        </w:rPr>
      </w:pPr>
      <w:r w:rsidRPr="00024FA5">
        <w:rPr>
          <w:sz w:val="22"/>
          <w:szCs w:val="22"/>
        </w:rPr>
        <w:t>s</w:t>
      </w:r>
      <w:r w:rsidR="001F58EA" w:rsidRPr="00024FA5">
        <w:rPr>
          <w:sz w:val="22"/>
          <w:szCs w:val="22"/>
        </w:rPr>
        <w:t>érová choroba</w:t>
      </w:r>
    </w:p>
    <w:p w14:paraId="44E67D22" w14:textId="77777777" w:rsidR="000F2E71" w:rsidRPr="00024FA5" w:rsidRDefault="00B569EF" w:rsidP="008A1CFF">
      <w:pPr>
        <w:numPr>
          <w:ilvl w:val="0"/>
          <w:numId w:val="25"/>
        </w:numPr>
        <w:tabs>
          <w:tab w:val="clear" w:pos="720"/>
          <w:tab w:val="num" w:pos="567"/>
        </w:tabs>
        <w:ind w:left="567" w:hanging="567"/>
        <w:rPr>
          <w:sz w:val="22"/>
          <w:szCs w:val="22"/>
        </w:rPr>
      </w:pPr>
      <w:proofErr w:type="spellStart"/>
      <w:r w:rsidRPr="00024FA5">
        <w:rPr>
          <w:sz w:val="22"/>
          <w:szCs w:val="22"/>
        </w:rPr>
        <w:t>p</w:t>
      </w:r>
      <w:r w:rsidR="001F58EA" w:rsidRPr="00024FA5">
        <w:rPr>
          <w:sz w:val="22"/>
          <w:szCs w:val="22"/>
        </w:rPr>
        <w:t>olieková</w:t>
      </w:r>
      <w:proofErr w:type="spellEnd"/>
      <w:r w:rsidR="001F58EA" w:rsidRPr="00024FA5">
        <w:rPr>
          <w:sz w:val="22"/>
          <w:szCs w:val="22"/>
        </w:rPr>
        <w:t xml:space="preserve"> reakcia z precitlivenosti</w:t>
      </w:r>
    </w:p>
    <w:p w14:paraId="595B4FA7" w14:textId="77777777" w:rsidR="000F2E71" w:rsidRPr="00024FA5" w:rsidRDefault="00B569EF" w:rsidP="008A1CFF">
      <w:pPr>
        <w:numPr>
          <w:ilvl w:val="0"/>
          <w:numId w:val="25"/>
        </w:numPr>
        <w:tabs>
          <w:tab w:val="clear" w:pos="720"/>
          <w:tab w:val="num" w:pos="567"/>
        </w:tabs>
        <w:ind w:left="567" w:hanging="567"/>
        <w:rPr>
          <w:sz w:val="22"/>
          <w:szCs w:val="22"/>
        </w:rPr>
      </w:pPr>
      <w:proofErr w:type="spellStart"/>
      <w:r w:rsidRPr="00024FA5">
        <w:rPr>
          <w:sz w:val="22"/>
          <w:szCs w:val="22"/>
        </w:rPr>
        <w:t>u</w:t>
      </w:r>
      <w:r w:rsidR="001F58EA" w:rsidRPr="00024FA5">
        <w:rPr>
          <w:sz w:val="22"/>
          <w:szCs w:val="22"/>
        </w:rPr>
        <w:t>rtikariálna</w:t>
      </w:r>
      <w:proofErr w:type="spellEnd"/>
      <w:r w:rsidR="001F58EA" w:rsidRPr="00024FA5">
        <w:rPr>
          <w:sz w:val="22"/>
          <w:szCs w:val="22"/>
        </w:rPr>
        <w:t xml:space="preserve"> transfúzna reakcia</w:t>
      </w:r>
    </w:p>
    <w:p w14:paraId="1F0B8C64" w14:textId="77777777" w:rsidR="000F2E71" w:rsidRPr="00024FA5" w:rsidRDefault="00B569EF" w:rsidP="008A1CFF">
      <w:pPr>
        <w:numPr>
          <w:ilvl w:val="0"/>
          <w:numId w:val="25"/>
        </w:numPr>
        <w:tabs>
          <w:tab w:val="clear" w:pos="720"/>
          <w:tab w:val="num" w:pos="567"/>
        </w:tabs>
        <w:ind w:left="567" w:hanging="567"/>
        <w:rPr>
          <w:sz w:val="22"/>
          <w:szCs w:val="22"/>
        </w:rPr>
      </w:pPr>
      <w:r w:rsidRPr="00024FA5">
        <w:rPr>
          <w:sz w:val="22"/>
          <w:szCs w:val="22"/>
        </w:rPr>
        <w:t>a</w:t>
      </w:r>
      <w:r w:rsidR="001F58EA" w:rsidRPr="00024FA5">
        <w:rPr>
          <w:sz w:val="22"/>
          <w:szCs w:val="22"/>
        </w:rPr>
        <w:t xml:space="preserve">kútny neinfekčný </w:t>
      </w:r>
      <w:r w:rsidR="00B11856" w:rsidRPr="00024FA5">
        <w:rPr>
          <w:sz w:val="22"/>
          <w:szCs w:val="22"/>
        </w:rPr>
        <w:t xml:space="preserve">edém </w:t>
      </w:r>
      <w:proofErr w:type="spellStart"/>
      <w:r w:rsidR="00B11856" w:rsidRPr="00024FA5">
        <w:rPr>
          <w:sz w:val="22"/>
          <w:szCs w:val="22"/>
        </w:rPr>
        <w:t>laryngu</w:t>
      </w:r>
      <w:proofErr w:type="spellEnd"/>
      <w:r w:rsidR="00B11856" w:rsidRPr="00024FA5">
        <w:rPr>
          <w:sz w:val="22"/>
          <w:szCs w:val="22"/>
        </w:rPr>
        <w:t xml:space="preserve"> </w:t>
      </w:r>
      <w:r w:rsidR="00740196" w:rsidRPr="00024FA5">
        <w:rPr>
          <w:sz w:val="22"/>
          <w:szCs w:val="22"/>
        </w:rPr>
        <w:t>(</w:t>
      </w:r>
      <w:r w:rsidR="00B11856" w:rsidRPr="00024FA5">
        <w:rPr>
          <w:sz w:val="22"/>
          <w:szCs w:val="22"/>
        </w:rPr>
        <w:t xml:space="preserve">liekom prvej voľby je </w:t>
      </w:r>
      <w:r w:rsidR="00740196" w:rsidRPr="00024FA5">
        <w:rPr>
          <w:sz w:val="22"/>
          <w:szCs w:val="22"/>
        </w:rPr>
        <w:t>adrenalín</w:t>
      </w:r>
      <w:r w:rsidR="001F58EA" w:rsidRPr="00024FA5">
        <w:rPr>
          <w:sz w:val="22"/>
          <w:szCs w:val="22"/>
        </w:rPr>
        <w:t>)</w:t>
      </w:r>
    </w:p>
    <w:p w14:paraId="1915A030" w14:textId="77777777" w:rsidR="000F2E71" w:rsidRPr="00024FA5" w:rsidRDefault="000F2E71" w:rsidP="008A1CFF">
      <w:pPr>
        <w:tabs>
          <w:tab w:val="left" w:pos="567"/>
        </w:tabs>
        <w:rPr>
          <w:sz w:val="22"/>
          <w:szCs w:val="22"/>
        </w:rPr>
      </w:pPr>
    </w:p>
    <w:p w14:paraId="6DAF0C54"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Očné ochorenia</w:t>
      </w:r>
    </w:p>
    <w:p w14:paraId="6F78E9E0" w14:textId="77777777" w:rsidR="000F2E71" w:rsidRPr="00024FA5" w:rsidRDefault="001A70CE" w:rsidP="008A1CFF">
      <w:pPr>
        <w:tabs>
          <w:tab w:val="left" w:pos="567"/>
        </w:tabs>
        <w:rPr>
          <w:sz w:val="22"/>
          <w:szCs w:val="22"/>
        </w:rPr>
      </w:pPr>
      <w:r w:rsidRPr="00024FA5">
        <w:rPr>
          <w:sz w:val="22"/>
          <w:szCs w:val="22"/>
        </w:rPr>
        <w:t>Závažné akútne a</w:t>
      </w:r>
      <w:r w:rsidR="008F7F3D" w:rsidRPr="00024FA5">
        <w:rPr>
          <w:sz w:val="22"/>
          <w:szCs w:val="22"/>
        </w:rPr>
        <w:t> </w:t>
      </w:r>
      <w:r w:rsidRPr="00024FA5">
        <w:rPr>
          <w:sz w:val="22"/>
          <w:szCs w:val="22"/>
        </w:rPr>
        <w:t xml:space="preserve">chronické </w:t>
      </w:r>
      <w:r w:rsidR="00E61B7D" w:rsidRPr="00024FA5">
        <w:rPr>
          <w:sz w:val="22"/>
          <w:szCs w:val="22"/>
        </w:rPr>
        <w:t xml:space="preserve">alergické </w:t>
      </w:r>
      <w:r w:rsidRPr="00024FA5">
        <w:rPr>
          <w:sz w:val="22"/>
          <w:szCs w:val="22"/>
        </w:rPr>
        <w:t>a zápalové procesy postihujúce oči:</w:t>
      </w:r>
    </w:p>
    <w:p w14:paraId="0CB11DDB" w14:textId="77777777" w:rsidR="000F2E71" w:rsidRPr="00024FA5" w:rsidRDefault="00B569EF" w:rsidP="008A1CFF">
      <w:pPr>
        <w:numPr>
          <w:ilvl w:val="0"/>
          <w:numId w:val="26"/>
        </w:numPr>
        <w:tabs>
          <w:tab w:val="clear" w:pos="720"/>
          <w:tab w:val="num" w:pos="567"/>
        </w:tabs>
        <w:ind w:left="567" w:hanging="567"/>
        <w:rPr>
          <w:sz w:val="22"/>
          <w:szCs w:val="22"/>
        </w:rPr>
      </w:pPr>
      <w:r w:rsidRPr="00024FA5">
        <w:rPr>
          <w:sz w:val="22"/>
          <w:szCs w:val="22"/>
        </w:rPr>
        <w:t>h</w:t>
      </w:r>
      <w:r w:rsidR="001A70CE" w:rsidRPr="00024FA5">
        <w:rPr>
          <w:sz w:val="22"/>
          <w:szCs w:val="22"/>
        </w:rPr>
        <w:t xml:space="preserve">erpes </w:t>
      </w:r>
      <w:proofErr w:type="spellStart"/>
      <w:r w:rsidR="001A70CE" w:rsidRPr="00024FA5">
        <w:rPr>
          <w:sz w:val="22"/>
          <w:szCs w:val="22"/>
        </w:rPr>
        <w:t>zoster</w:t>
      </w:r>
      <w:proofErr w:type="spellEnd"/>
      <w:r w:rsidR="001A70CE" w:rsidRPr="00024FA5">
        <w:rPr>
          <w:sz w:val="22"/>
          <w:szCs w:val="22"/>
        </w:rPr>
        <w:t xml:space="preserve"> </w:t>
      </w:r>
      <w:proofErr w:type="spellStart"/>
      <w:r w:rsidR="001A70CE" w:rsidRPr="00024FA5">
        <w:rPr>
          <w:sz w:val="22"/>
          <w:szCs w:val="22"/>
        </w:rPr>
        <w:t>ophtalmicus</w:t>
      </w:r>
      <w:proofErr w:type="spellEnd"/>
    </w:p>
    <w:p w14:paraId="01D30832" w14:textId="77777777" w:rsidR="000F2E71" w:rsidRPr="00024FA5" w:rsidRDefault="00B569EF" w:rsidP="008A1CFF">
      <w:pPr>
        <w:numPr>
          <w:ilvl w:val="0"/>
          <w:numId w:val="26"/>
        </w:numPr>
        <w:tabs>
          <w:tab w:val="clear" w:pos="720"/>
          <w:tab w:val="num" w:pos="567"/>
        </w:tabs>
        <w:ind w:left="567" w:hanging="567"/>
        <w:rPr>
          <w:sz w:val="22"/>
          <w:szCs w:val="22"/>
        </w:rPr>
      </w:pPr>
      <w:proofErr w:type="spellStart"/>
      <w:r w:rsidRPr="00024FA5">
        <w:rPr>
          <w:sz w:val="22"/>
          <w:szCs w:val="22"/>
        </w:rPr>
        <w:t>i</w:t>
      </w:r>
      <w:r w:rsidR="002F2ABF" w:rsidRPr="00024FA5">
        <w:rPr>
          <w:sz w:val="22"/>
          <w:szCs w:val="22"/>
        </w:rPr>
        <w:t>r</w:t>
      </w:r>
      <w:r w:rsidR="001A70CE" w:rsidRPr="00024FA5">
        <w:rPr>
          <w:sz w:val="22"/>
          <w:szCs w:val="22"/>
        </w:rPr>
        <w:t>itída</w:t>
      </w:r>
      <w:proofErr w:type="spellEnd"/>
      <w:r w:rsidR="001A70CE" w:rsidRPr="00024FA5">
        <w:rPr>
          <w:sz w:val="22"/>
          <w:szCs w:val="22"/>
        </w:rPr>
        <w:t xml:space="preserve">, </w:t>
      </w:r>
      <w:proofErr w:type="spellStart"/>
      <w:r w:rsidR="001A70CE" w:rsidRPr="00024FA5">
        <w:rPr>
          <w:sz w:val="22"/>
          <w:szCs w:val="22"/>
        </w:rPr>
        <w:t>iridocyklitída</w:t>
      </w:r>
      <w:proofErr w:type="spellEnd"/>
    </w:p>
    <w:p w14:paraId="17EE0B08" w14:textId="77777777" w:rsidR="000F2E71" w:rsidRPr="00024FA5" w:rsidRDefault="00B569EF" w:rsidP="008A1CFF">
      <w:pPr>
        <w:numPr>
          <w:ilvl w:val="0"/>
          <w:numId w:val="26"/>
        </w:numPr>
        <w:tabs>
          <w:tab w:val="clear" w:pos="720"/>
          <w:tab w:val="num" w:pos="567"/>
        </w:tabs>
        <w:ind w:left="567" w:hanging="567"/>
        <w:rPr>
          <w:sz w:val="22"/>
          <w:szCs w:val="22"/>
        </w:rPr>
      </w:pPr>
      <w:proofErr w:type="spellStart"/>
      <w:r w:rsidRPr="00024FA5">
        <w:rPr>
          <w:sz w:val="22"/>
          <w:szCs w:val="22"/>
        </w:rPr>
        <w:t>c</w:t>
      </w:r>
      <w:r w:rsidR="001A70CE" w:rsidRPr="00024FA5">
        <w:rPr>
          <w:sz w:val="22"/>
          <w:szCs w:val="22"/>
        </w:rPr>
        <w:t>horioretinitída</w:t>
      </w:r>
      <w:proofErr w:type="spellEnd"/>
    </w:p>
    <w:p w14:paraId="2229F379" w14:textId="77777777" w:rsidR="000F2E71" w:rsidRPr="00024FA5" w:rsidRDefault="00B569EF" w:rsidP="008A1CFF">
      <w:pPr>
        <w:numPr>
          <w:ilvl w:val="0"/>
          <w:numId w:val="26"/>
        </w:numPr>
        <w:tabs>
          <w:tab w:val="clear" w:pos="720"/>
          <w:tab w:val="num" w:pos="567"/>
        </w:tabs>
        <w:ind w:left="567" w:hanging="567"/>
        <w:rPr>
          <w:sz w:val="22"/>
          <w:szCs w:val="22"/>
        </w:rPr>
      </w:pPr>
      <w:r w:rsidRPr="00024FA5">
        <w:rPr>
          <w:sz w:val="22"/>
          <w:szCs w:val="22"/>
        </w:rPr>
        <w:t>d</w:t>
      </w:r>
      <w:r w:rsidR="001A70CE" w:rsidRPr="00024FA5">
        <w:rPr>
          <w:sz w:val="22"/>
          <w:szCs w:val="22"/>
        </w:rPr>
        <w:t xml:space="preserve">ifúzna </w:t>
      </w:r>
      <w:r w:rsidR="00EC313A" w:rsidRPr="00024FA5">
        <w:rPr>
          <w:sz w:val="22"/>
          <w:szCs w:val="22"/>
        </w:rPr>
        <w:t xml:space="preserve">zadná </w:t>
      </w:r>
      <w:proofErr w:type="spellStart"/>
      <w:r w:rsidR="001A70CE" w:rsidRPr="00024FA5">
        <w:rPr>
          <w:sz w:val="22"/>
          <w:szCs w:val="22"/>
        </w:rPr>
        <w:t>uveitída</w:t>
      </w:r>
      <w:proofErr w:type="spellEnd"/>
      <w:r w:rsidR="001A70CE" w:rsidRPr="00024FA5">
        <w:rPr>
          <w:sz w:val="22"/>
          <w:szCs w:val="22"/>
        </w:rPr>
        <w:t xml:space="preserve"> a </w:t>
      </w:r>
      <w:proofErr w:type="spellStart"/>
      <w:r w:rsidR="001A70CE" w:rsidRPr="00024FA5">
        <w:rPr>
          <w:sz w:val="22"/>
          <w:szCs w:val="22"/>
        </w:rPr>
        <w:t>chorioiditída</w:t>
      </w:r>
      <w:proofErr w:type="spellEnd"/>
    </w:p>
    <w:p w14:paraId="3E6E30F7" w14:textId="77777777" w:rsidR="000F2E71" w:rsidRPr="00024FA5" w:rsidRDefault="00B569EF" w:rsidP="008A1CFF">
      <w:pPr>
        <w:numPr>
          <w:ilvl w:val="0"/>
          <w:numId w:val="26"/>
        </w:numPr>
        <w:tabs>
          <w:tab w:val="clear" w:pos="720"/>
          <w:tab w:val="num" w:pos="567"/>
        </w:tabs>
        <w:ind w:left="567" w:hanging="567"/>
        <w:rPr>
          <w:sz w:val="22"/>
          <w:szCs w:val="22"/>
        </w:rPr>
      </w:pPr>
      <w:r w:rsidRPr="00024FA5">
        <w:rPr>
          <w:sz w:val="22"/>
          <w:szCs w:val="22"/>
        </w:rPr>
        <w:t>n</w:t>
      </w:r>
      <w:r w:rsidR="001A70CE" w:rsidRPr="00024FA5">
        <w:rPr>
          <w:sz w:val="22"/>
          <w:szCs w:val="22"/>
        </w:rPr>
        <w:t xml:space="preserve">euritída </w:t>
      </w:r>
      <w:r w:rsidR="002F2ABF" w:rsidRPr="00024FA5">
        <w:rPr>
          <w:sz w:val="22"/>
          <w:szCs w:val="22"/>
        </w:rPr>
        <w:t xml:space="preserve">zrakového </w:t>
      </w:r>
      <w:r w:rsidRPr="00024FA5">
        <w:rPr>
          <w:sz w:val="22"/>
          <w:szCs w:val="22"/>
        </w:rPr>
        <w:t>nervu</w:t>
      </w:r>
    </w:p>
    <w:p w14:paraId="24593C90" w14:textId="77777777" w:rsidR="000F2E71" w:rsidRPr="00024FA5" w:rsidRDefault="00B569EF" w:rsidP="008A1CFF">
      <w:pPr>
        <w:numPr>
          <w:ilvl w:val="0"/>
          <w:numId w:val="26"/>
        </w:numPr>
        <w:tabs>
          <w:tab w:val="clear" w:pos="720"/>
          <w:tab w:val="num" w:pos="567"/>
        </w:tabs>
        <w:ind w:left="567" w:hanging="567"/>
        <w:rPr>
          <w:sz w:val="22"/>
          <w:szCs w:val="22"/>
        </w:rPr>
      </w:pPr>
      <w:r w:rsidRPr="00024FA5">
        <w:rPr>
          <w:sz w:val="22"/>
          <w:szCs w:val="22"/>
        </w:rPr>
        <w:t>s</w:t>
      </w:r>
      <w:r w:rsidR="002F05F5" w:rsidRPr="00024FA5">
        <w:rPr>
          <w:sz w:val="22"/>
          <w:szCs w:val="22"/>
        </w:rPr>
        <w:t>ympati</w:t>
      </w:r>
      <w:r w:rsidR="002F2ABF" w:rsidRPr="00024FA5">
        <w:rPr>
          <w:sz w:val="22"/>
          <w:szCs w:val="22"/>
        </w:rPr>
        <w:t>cká</w:t>
      </w:r>
      <w:r w:rsidR="002F05F5" w:rsidRPr="00024FA5">
        <w:rPr>
          <w:sz w:val="22"/>
          <w:szCs w:val="22"/>
        </w:rPr>
        <w:t xml:space="preserve"> </w:t>
      </w:r>
      <w:proofErr w:type="spellStart"/>
      <w:r w:rsidR="002F05F5" w:rsidRPr="00024FA5">
        <w:rPr>
          <w:sz w:val="22"/>
          <w:szCs w:val="22"/>
        </w:rPr>
        <w:t>oftalmia</w:t>
      </w:r>
      <w:proofErr w:type="spellEnd"/>
    </w:p>
    <w:p w14:paraId="0E752912" w14:textId="77777777" w:rsidR="000F2E71" w:rsidRPr="00024FA5" w:rsidRDefault="00B569EF" w:rsidP="008A1CFF">
      <w:pPr>
        <w:numPr>
          <w:ilvl w:val="0"/>
          <w:numId w:val="26"/>
        </w:numPr>
        <w:tabs>
          <w:tab w:val="clear" w:pos="720"/>
          <w:tab w:val="num" w:pos="567"/>
        </w:tabs>
        <w:ind w:left="567" w:hanging="567"/>
        <w:rPr>
          <w:sz w:val="22"/>
          <w:szCs w:val="22"/>
        </w:rPr>
      </w:pPr>
      <w:r w:rsidRPr="00024FA5">
        <w:rPr>
          <w:sz w:val="22"/>
          <w:szCs w:val="22"/>
        </w:rPr>
        <w:t>z</w:t>
      </w:r>
      <w:r w:rsidR="002F05F5" w:rsidRPr="00024FA5">
        <w:rPr>
          <w:sz w:val="22"/>
          <w:szCs w:val="22"/>
        </w:rPr>
        <w:t>ápal predného segmentu oka</w:t>
      </w:r>
    </w:p>
    <w:p w14:paraId="3FB55954" w14:textId="77777777" w:rsidR="000F2E71" w:rsidRPr="00024FA5" w:rsidRDefault="00B569EF" w:rsidP="008A1CFF">
      <w:pPr>
        <w:numPr>
          <w:ilvl w:val="0"/>
          <w:numId w:val="26"/>
        </w:numPr>
        <w:tabs>
          <w:tab w:val="clear" w:pos="720"/>
          <w:tab w:val="num" w:pos="567"/>
        </w:tabs>
        <w:ind w:left="567" w:hanging="567"/>
        <w:rPr>
          <w:sz w:val="22"/>
          <w:szCs w:val="22"/>
        </w:rPr>
      </w:pPr>
      <w:r w:rsidRPr="00024FA5">
        <w:rPr>
          <w:sz w:val="22"/>
          <w:szCs w:val="22"/>
        </w:rPr>
        <w:t>a</w:t>
      </w:r>
      <w:r w:rsidR="002F05F5" w:rsidRPr="00024FA5">
        <w:rPr>
          <w:sz w:val="22"/>
          <w:szCs w:val="22"/>
        </w:rPr>
        <w:t xml:space="preserve">lergická </w:t>
      </w:r>
      <w:proofErr w:type="spellStart"/>
      <w:r w:rsidR="002F05F5" w:rsidRPr="00024FA5">
        <w:rPr>
          <w:sz w:val="22"/>
          <w:szCs w:val="22"/>
        </w:rPr>
        <w:t>konju</w:t>
      </w:r>
      <w:r w:rsidR="002F2ABF" w:rsidRPr="00024FA5">
        <w:rPr>
          <w:sz w:val="22"/>
          <w:szCs w:val="22"/>
        </w:rPr>
        <w:t>n</w:t>
      </w:r>
      <w:r w:rsidR="002F05F5" w:rsidRPr="00024FA5">
        <w:rPr>
          <w:sz w:val="22"/>
          <w:szCs w:val="22"/>
        </w:rPr>
        <w:t>ktivitída</w:t>
      </w:r>
      <w:proofErr w:type="spellEnd"/>
    </w:p>
    <w:p w14:paraId="2B30B16D" w14:textId="77777777" w:rsidR="000F2E71" w:rsidRPr="00024FA5" w:rsidRDefault="00B569EF" w:rsidP="008A1CFF">
      <w:pPr>
        <w:numPr>
          <w:ilvl w:val="0"/>
          <w:numId w:val="26"/>
        </w:numPr>
        <w:tabs>
          <w:tab w:val="clear" w:pos="720"/>
          <w:tab w:val="num" w:pos="567"/>
        </w:tabs>
        <w:ind w:left="567" w:hanging="567"/>
        <w:rPr>
          <w:sz w:val="22"/>
          <w:szCs w:val="22"/>
        </w:rPr>
      </w:pPr>
      <w:r w:rsidRPr="00024FA5">
        <w:rPr>
          <w:sz w:val="22"/>
          <w:szCs w:val="22"/>
        </w:rPr>
        <w:t>a</w:t>
      </w:r>
      <w:r w:rsidR="002F05F5" w:rsidRPr="00024FA5">
        <w:rPr>
          <w:sz w:val="22"/>
          <w:szCs w:val="22"/>
        </w:rPr>
        <w:t xml:space="preserve">lergické rohovkové </w:t>
      </w:r>
      <w:r w:rsidR="002F2ABF" w:rsidRPr="00024FA5">
        <w:rPr>
          <w:sz w:val="22"/>
          <w:szCs w:val="22"/>
        </w:rPr>
        <w:t>erózie</w:t>
      </w:r>
    </w:p>
    <w:p w14:paraId="06136823" w14:textId="77777777" w:rsidR="000F2E71" w:rsidRPr="00024FA5" w:rsidRDefault="00B569EF" w:rsidP="008A1CFF">
      <w:pPr>
        <w:numPr>
          <w:ilvl w:val="0"/>
          <w:numId w:val="26"/>
        </w:numPr>
        <w:tabs>
          <w:tab w:val="clear" w:pos="720"/>
          <w:tab w:val="num" w:pos="567"/>
        </w:tabs>
        <w:ind w:left="567" w:hanging="567"/>
        <w:rPr>
          <w:sz w:val="22"/>
          <w:szCs w:val="22"/>
        </w:rPr>
      </w:pPr>
      <w:proofErr w:type="spellStart"/>
      <w:r w:rsidRPr="00024FA5">
        <w:rPr>
          <w:sz w:val="22"/>
          <w:szCs w:val="22"/>
        </w:rPr>
        <w:t>k</w:t>
      </w:r>
      <w:r w:rsidR="002F05F5" w:rsidRPr="00024FA5">
        <w:rPr>
          <w:sz w:val="22"/>
          <w:szCs w:val="22"/>
        </w:rPr>
        <w:t>eratitída</w:t>
      </w:r>
      <w:proofErr w:type="spellEnd"/>
    </w:p>
    <w:p w14:paraId="318EA968" w14:textId="77777777" w:rsidR="000F2E71" w:rsidRPr="00024FA5" w:rsidRDefault="000F2E71" w:rsidP="008A1CFF">
      <w:pPr>
        <w:tabs>
          <w:tab w:val="left" w:pos="567"/>
        </w:tabs>
        <w:rPr>
          <w:sz w:val="22"/>
          <w:szCs w:val="22"/>
        </w:rPr>
      </w:pPr>
    </w:p>
    <w:p w14:paraId="4905D871"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Gastrointestinálne ochorenia</w:t>
      </w:r>
    </w:p>
    <w:p w14:paraId="004D42D8" w14:textId="77777777" w:rsidR="000F2E71" w:rsidRPr="00024FA5" w:rsidRDefault="001A70CE" w:rsidP="008A1CFF">
      <w:pPr>
        <w:tabs>
          <w:tab w:val="left" w:pos="567"/>
        </w:tabs>
        <w:rPr>
          <w:sz w:val="22"/>
          <w:szCs w:val="22"/>
        </w:rPr>
      </w:pPr>
      <w:r w:rsidRPr="00024FA5">
        <w:rPr>
          <w:sz w:val="22"/>
          <w:szCs w:val="22"/>
        </w:rPr>
        <w:t>Na preklenutie kritického obdobia ochorenia:</w:t>
      </w:r>
    </w:p>
    <w:p w14:paraId="2F09F924" w14:textId="77777777" w:rsidR="000F2E71" w:rsidRPr="00024FA5" w:rsidRDefault="00B569EF" w:rsidP="008A1CFF">
      <w:pPr>
        <w:numPr>
          <w:ilvl w:val="0"/>
          <w:numId w:val="27"/>
        </w:numPr>
        <w:tabs>
          <w:tab w:val="clear" w:pos="720"/>
          <w:tab w:val="num" w:pos="567"/>
        </w:tabs>
        <w:ind w:left="567" w:hanging="567"/>
        <w:rPr>
          <w:sz w:val="22"/>
          <w:szCs w:val="22"/>
        </w:rPr>
      </w:pPr>
      <w:r w:rsidRPr="00024FA5">
        <w:rPr>
          <w:sz w:val="22"/>
          <w:szCs w:val="22"/>
        </w:rPr>
        <w:t>u</w:t>
      </w:r>
      <w:r w:rsidR="001A70CE" w:rsidRPr="00024FA5">
        <w:rPr>
          <w:sz w:val="22"/>
          <w:szCs w:val="22"/>
        </w:rPr>
        <w:t>lcerózna kolitída</w:t>
      </w:r>
      <w:r w:rsidR="002F05F5" w:rsidRPr="00024FA5">
        <w:rPr>
          <w:sz w:val="22"/>
          <w:szCs w:val="22"/>
        </w:rPr>
        <w:t xml:space="preserve"> (systémová liečba)</w:t>
      </w:r>
    </w:p>
    <w:p w14:paraId="2CA7950D" w14:textId="77777777" w:rsidR="000F2E71" w:rsidRPr="00024FA5" w:rsidRDefault="00EE3AFC" w:rsidP="008A1CFF">
      <w:pPr>
        <w:numPr>
          <w:ilvl w:val="0"/>
          <w:numId w:val="27"/>
        </w:numPr>
        <w:tabs>
          <w:tab w:val="clear" w:pos="720"/>
          <w:tab w:val="num" w:pos="567"/>
        </w:tabs>
        <w:ind w:left="567" w:hanging="567"/>
        <w:rPr>
          <w:sz w:val="22"/>
          <w:szCs w:val="22"/>
        </w:rPr>
      </w:pPr>
      <w:proofErr w:type="spellStart"/>
      <w:r w:rsidRPr="00024FA5">
        <w:rPr>
          <w:sz w:val="22"/>
          <w:szCs w:val="22"/>
        </w:rPr>
        <w:t>Crohnova</w:t>
      </w:r>
      <w:proofErr w:type="spellEnd"/>
      <w:r w:rsidRPr="00024FA5">
        <w:rPr>
          <w:sz w:val="22"/>
          <w:szCs w:val="22"/>
        </w:rPr>
        <w:t xml:space="preserve"> choroba</w:t>
      </w:r>
      <w:r w:rsidR="002F05F5" w:rsidRPr="00024FA5">
        <w:rPr>
          <w:sz w:val="22"/>
          <w:szCs w:val="22"/>
        </w:rPr>
        <w:t xml:space="preserve"> </w:t>
      </w:r>
      <w:r w:rsidR="001A70CE" w:rsidRPr="00024FA5">
        <w:rPr>
          <w:sz w:val="22"/>
          <w:szCs w:val="22"/>
        </w:rPr>
        <w:t>(systémová liečba)</w:t>
      </w:r>
    </w:p>
    <w:p w14:paraId="340DD3B6" w14:textId="77777777" w:rsidR="000F2E71" w:rsidRPr="00024FA5" w:rsidRDefault="000F2E71" w:rsidP="008A1CFF">
      <w:pPr>
        <w:pStyle w:val="Nadpis3"/>
        <w:tabs>
          <w:tab w:val="left" w:pos="567"/>
        </w:tabs>
        <w:jc w:val="left"/>
        <w:rPr>
          <w:rFonts w:ascii="Times New Roman" w:hAnsi="Times New Roman"/>
          <w:sz w:val="22"/>
          <w:szCs w:val="22"/>
        </w:rPr>
      </w:pPr>
    </w:p>
    <w:p w14:paraId="117FCB9B"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Respiračné ochorenia</w:t>
      </w:r>
    </w:p>
    <w:p w14:paraId="6EB2AEA8" w14:textId="77777777" w:rsidR="000F2E71" w:rsidRPr="00024FA5" w:rsidRDefault="00B569EF" w:rsidP="008A1CFF">
      <w:pPr>
        <w:numPr>
          <w:ilvl w:val="0"/>
          <w:numId w:val="28"/>
        </w:numPr>
        <w:tabs>
          <w:tab w:val="clear" w:pos="720"/>
          <w:tab w:val="num" w:pos="567"/>
        </w:tabs>
        <w:ind w:left="567" w:hanging="567"/>
        <w:rPr>
          <w:sz w:val="22"/>
          <w:szCs w:val="22"/>
        </w:rPr>
      </w:pPr>
      <w:r w:rsidRPr="00024FA5">
        <w:rPr>
          <w:sz w:val="22"/>
          <w:szCs w:val="22"/>
        </w:rPr>
        <w:t>s</w:t>
      </w:r>
      <w:r w:rsidR="001A70CE" w:rsidRPr="00024FA5">
        <w:rPr>
          <w:sz w:val="22"/>
          <w:szCs w:val="22"/>
        </w:rPr>
        <w:t xml:space="preserve">ymptomatická </w:t>
      </w:r>
      <w:proofErr w:type="spellStart"/>
      <w:r w:rsidR="001A70CE" w:rsidRPr="00024FA5">
        <w:rPr>
          <w:sz w:val="22"/>
          <w:szCs w:val="22"/>
        </w:rPr>
        <w:t>sarkoidóza</w:t>
      </w:r>
      <w:proofErr w:type="spellEnd"/>
    </w:p>
    <w:p w14:paraId="57E34975" w14:textId="77777777" w:rsidR="000F2E71" w:rsidRPr="00024FA5" w:rsidRDefault="00B569EF" w:rsidP="008A1CFF">
      <w:pPr>
        <w:numPr>
          <w:ilvl w:val="0"/>
          <w:numId w:val="28"/>
        </w:numPr>
        <w:tabs>
          <w:tab w:val="clear" w:pos="720"/>
          <w:tab w:val="num" w:pos="567"/>
        </w:tabs>
        <w:ind w:left="567" w:hanging="567"/>
        <w:rPr>
          <w:sz w:val="22"/>
          <w:szCs w:val="22"/>
        </w:rPr>
      </w:pPr>
      <w:proofErr w:type="spellStart"/>
      <w:r w:rsidRPr="00024FA5">
        <w:rPr>
          <w:sz w:val="22"/>
          <w:szCs w:val="22"/>
        </w:rPr>
        <w:t>b</w:t>
      </w:r>
      <w:r w:rsidR="001A70CE" w:rsidRPr="00024FA5">
        <w:rPr>
          <w:sz w:val="22"/>
          <w:szCs w:val="22"/>
        </w:rPr>
        <w:t>erylióza</w:t>
      </w:r>
      <w:proofErr w:type="spellEnd"/>
    </w:p>
    <w:p w14:paraId="4585F308" w14:textId="77777777" w:rsidR="000F2E71" w:rsidRPr="00024FA5" w:rsidRDefault="00B569EF" w:rsidP="008A1CFF">
      <w:pPr>
        <w:numPr>
          <w:ilvl w:val="0"/>
          <w:numId w:val="28"/>
        </w:numPr>
        <w:tabs>
          <w:tab w:val="clear" w:pos="720"/>
          <w:tab w:val="num" w:pos="567"/>
        </w:tabs>
        <w:ind w:left="567" w:hanging="567"/>
        <w:rPr>
          <w:sz w:val="22"/>
          <w:szCs w:val="22"/>
        </w:rPr>
      </w:pPr>
      <w:r w:rsidRPr="00024FA5">
        <w:rPr>
          <w:sz w:val="22"/>
          <w:szCs w:val="22"/>
        </w:rPr>
        <w:t>f</w:t>
      </w:r>
      <w:r w:rsidR="001A70CE" w:rsidRPr="00024FA5">
        <w:rPr>
          <w:sz w:val="22"/>
          <w:szCs w:val="22"/>
        </w:rPr>
        <w:t xml:space="preserve">ulminantná alebo </w:t>
      </w:r>
      <w:proofErr w:type="spellStart"/>
      <w:r w:rsidR="001A70CE" w:rsidRPr="00024FA5">
        <w:rPr>
          <w:sz w:val="22"/>
          <w:szCs w:val="22"/>
        </w:rPr>
        <w:t>diseminovaná</w:t>
      </w:r>
      <w:proofErr w:type="spellEnd"/>
      <w:r w:rsidR="002F05F5" w:rsidRPr="00024FA5">
        <w:rPr>
          <w:sz w:val="22"/>
          <w:szCs w:val="22"/>
        </w:rPr>
        <w:t xml:space="preserve"> </w:t>
      </w:r>
      <w:r w:rsidR="001A70CE" w:rsidRPr="00024FA5">
        <w:rPr>
          <w:sz w:val="22"/>
          <w:szCs w:val="22"/>
        </w:rPr>
        <w:t xml:space="preserve">pľúcna tuberkulóza </w:t>
      </w:r>
      <w:r w:rsidR="002F05F5" w:rsidRPr="00024FA5">
        <w:rPr>
          <w:sz w:val="22"/>
          <w:szCs w:val="22"/>
        </w:rPr>
        <w:t>(</w:t>
      </w:r>
      <w:r w:rsidR="001A70CE" w:rsidRPr="00024FA5">
        <w:rPr>
          <w:sz w:val="22"/>
          <w:szCs w:val="22"/>
        </w:rPr>
        <w:t xml:space="preserve">pri súčasnom </w:t>
      </w:r>
      <w:r w:rsidR="002F05F5" w:rsidRPr="00024FA5">
        <w:rPr>
          <w:sz w:val="22"/>
          <w:szCs w:val="22"/>
        </w:rPr>
        <w:t>po</w:t>
      </w:r>
      <w:r w:rsidR="001A70CE" w:rsidRPr="00024FA5">
        <w:rPr>
          <w:sz w:val="22"/>
          <w:szCs w:val="22"/>
        </w:rPr>
        <w:t xml:space="preserve">užívaní </w:t>
      </w:r>
      <w:proofErr w:type="spellStart"/>
      <w:r w:rsidR="001A70CE" w:rsidRPr="00024FA5">
        <w:rPr>
          <w:sz w:val="22"/>
          <w:szCs w:val="22"/>
        </w:rPr>
        <w:t>antituberkulóznej</w:t>
      </w:r>
      <w:proofErr w:type="spellEnd"/>
      <w:r w:rsidR="001A70CE" w:rsidRPr="00024FA5">
        <w:rPr>
          <w:sz w:val="22"/>
          <w:szCs w:val="22"/>
        </w:rPr>
        <w:t xml:space="preserve"> chemoterapie</w:t>
      </w:r>
      <w:r w:rsidR="002F05F5" w:rsidRPr="00024FA5">
        <w:rPr>
          <w:sz w:val="22"/>
          <w:szCs w:val="22"/>
        </w:rPr>
        <w:t>)</w:t>
      </w:r>
    </w:p>
    <w:p w14:paraId="3EC95877" w14:textId="77777777" w:rsidR="000F2E71" w:rsidRPr="00024FA5" w:rsidRDefault="002F05F5" w:rsidP="008A1CFF">
      <w:pPr>
        <w:numPr>
          <w:ilvl w:val="0"/>
          <w:numId w:val="28"/>
        </w:numPr>
        <w:tabs>
          <w:tab w:val="clear" w:pos="720"/>
          <w:tab w:val="num" w:pos="567"/>
        </w:tabs>
        <w:ind w:left="567" w:hanging="567"/>
        <w:rPr>
          <w:sz w:val="22"/>
          <w:szCs w:val="22"/>
        </w:rPr>
      </w:pPr>
      <w:proofErr w:type="spellStart"/>
      <w:r w:rsidRPr="00024FA5">
        <w:rPr>
          <w:sz w:val="22"/>
          <w:szCs w:val="22"/>
        </w:rPr>
        <w:t>Loefflerov</w:t>
      </w:r>
      <w:proofErr w:type="spellEnd"/>
      <w:r w:rsidRPr="00024FA5">
        <w:rPr>
          <w:sz w:val="22"/>
          <w:szCs w:val="22"/>
        </w:rPr>
        <w:t xml:space="preserve"> syndróm neliečiteľný iným spôsobom</w:t>
      </w:r>
    </w:p>
    <w:p w14:paraId="4D53AFE9" w14:textId="77777777" w:rsidR="000F2E71" w:rsidRPr="00024FA5" w:rsidRDefault="00B569EF" w:rsidP="008A1CFF">
      <w:pPr>
        <w:numPr>
          <w:ilvl w:val="0"/>
          <w:numId w:val="28"/>
        </w:numPr>
        <w:tabs>
          <w:tab w:val="clear" w:pos="720"/>
          <w:tab w:val="num" w:pos="567"/>
        </w:tabs>
        <w:ind w:left="567" w:hanging="567"/>
        <w:rPr>
          <w:sz w:val="22"/>
          <w:szCs w:val="22"/>
        </w:rPr>
      </w:pPr>
      <w:r w:rsidRPr="00024FA5">
        <w:rPr>
          <w:sz w:val="22"/>
          <w:szCs w:val="22"/>
        </w:rPr>
        <w:t>a</w:t>
      </w:r>
      <w:r w:rsidR="002F05F5" w:rsidRPr="00024FA5">
        <w:rPr>
          <w:sz w:val="22"/>
          <w:szCs w:val="22"/>
        </w:rPr>
        <w:t xml:space="preserve">spiračná </w:t>
      </w:r>
      <w:proofErr w:type="spellStart"/>
      <w:r w:rsidR="002F05F5" w:rsidRPr="00024FA5">
        <w:rPr>
          <w:sz w:val="22"/>
          <w:szCs w:val="22"/>
        </w:rPr>
        <w:t>pneumonitída</w:t>
      </w:r>
      <w:proofErr w:type="spellEnd"/>
    </w:p>
    <w:p w14:paraId="1E905FF4" w14:textId="77777777" w:rsidR="000F2E71" w:rsidRPr="00024FA5" w:rsidRDefault="00B569EF" w:rsidP="008A1CFF">
      <w:pPr>
        <w:numPr>
          <w:ilvl w:val="0"/>
          <w:numId w:val="28"/>
        </w:numPr>
        <w:tabs>
          <w:tab w:val="left" w:pos="567"/>
        </w:tabs>
        <w:ind w:hanging="720"/>
        <w:rPr>
          <w:sz w:val="22"/>
          <w:szCs w:val="22"/>
        </w:rPr>
      </w:pPr>
      <w:r w:rsidRPr="00024FA5">
        <w:rPr>
          <w:sz w:val="22"/>
          <w:szCs w:val="22"/>
        </w:rPr>
        <w:t>p</w:t>
      </w:r>
      <w:r w:rsidR="0024048C" w:rsidRPr="00024FA5">
        <w:rPr>
          <w:sz w:val="22"/>
          <w:szCs w:val="22"/>
        </w:rPr>
        <w:t xml:space="preserve">neumónia spôsobená </w:t>
      </w:r>
      <w:proofErr w:type="spellStart"/>
      <w:r w:rsidR="0024048C" w:rsidRPr="00024FA5">
        <w:rPr>
          <w:i/>
          <w:sz w:val="22"/>
          <w:szCs w:val="22"/>
        </w:rPr>
        <w:t>Pneumocystis</w:t>
      </w:r>
      <w:proofErr w:type="spellEnd"/>
      <w:r w:rsidR="0024048C" w:rsidRPr="00024FA5">
        <w:rPr>
          <w:i/>
          <w:sz w:val="22"/>
          <w:szCs w:val="22"/>
        </w:rPr>
        <w:t xml:space="preserve"> </w:t>
      </w:r>
      <w:proofErr w:type="spellStart"/>
      <w:r w:rsidR="000F2E71" w:rsidRPr="00024FA5">
        <w:rPr>
          <w:i/>
          <w:sz w:val="22"/>
          <w:szCs w:val="22"/>
        </w:rPr>
        <w:t>jiroveci</w:t>
      </w:r>
      <w:r w:rsidR="003E1749">
        <w:rPr>
          <w:i/>
          <w:sz w:val="22"/>
          <w:szCs w:val="22"/>
        </w:rPr>
        <w:t>i</w:t>
      </w:r>
      <w:proofErr w:type="spellEnd"/>
    </w:p>
    <w:p w14:paraId="23BDD31B" w14:textId="77777777" w:rsidR="000F2E71" w:rsidRPr="00024FA5" w:rsidRDefault="001A70CE" w:rsidP="008A1CFF">
      <w:pPr>
        <w:tabs>
          <w:tab w:val="left" w:pos="567"/>
        </w:tabs>
        <w:ind w:left="567"/>
        <w:rPr>
          <w:sz w:val="22"/>
          <w:szCs w:val="22"/>
        </w:rPr>
      </w:pPr>
      <w:r w:rsidRPr="00024FA5">
        <w:rPr>
          <w:sz w:val="22"/>
          <w:szCs w:val="22"/>
        </w:rPr>
        <w:t>Liečba SOLU-</w:t>
      </w:r>
      <w:r w:rsidR="00922644" w:rsidRPr="00024FA5">
        <w:rPr>
          <w:sz w:val="22"/>
          <w:szCs w:val="22"/>
        </w:rPr>
        <w:t xml:space="preserve">MEDROLOM </w:t>
      </w:r>
      <w:r w:rsidRPr="00024FA5">
        <w:rPr>
          <w:sz w:val="22"/>
          <w:szCs w:val="22"/>
        </w:rPr>
        <w:t>je prínosná ako prídavná liečba u</w:t>
      </w:r>
      <w:r w:rsidR="008F7F3D" w:rsidRPr="00024FA5">
        <w:rPr>
          <w:sz w:val="22"/>
          <w:szCs w:val="22"/>
        </w:rPr>
        <w:t> </w:t>
      </w:r>
      <w:r w:rsidRPr="00024FA5">
        <w:rPr>
          <w:sz w:val="22"/>
          <w:szCs w:val="22"/>
        </w:rPr>
        <w:t>pacientov s</w:t>
      </w:r>
      <w:r w:rsidR="008F7F3D" w:rsidRPr="00024FA5">
        <w:rPr>
          <w:sz w:val="22"/>
          <w:szCs w:val="22"/>
        </w:rPr>
        <w:t> </w:t>
      </w:r>
      <w:r w:rsidRPr="00024FA5">
        <w:rPr>
          <w:sz w:val="22"/>
          <w:szCs w:val="22"/>
        </w:rPr>
        <w:t>AIDS pri</w:t>
      </w:r>
      <w:r w:rsidR="0027690A" w:rsidRPr="00024FA5">
        <w:rPr>
          <w:sz w:val="22"/>
          <w:szCs w:val="22"/>
        </w:rPr>
        <w:t> </w:t>
      </w:r>
      <w:r w:rsidR="001E7EEB" w:rsidRPr="00024FA5">
        <w:rPr>
          <w:sz w:val="22"/>
          <w:szCs w:val="22"/>
        </w:rPr>
        <w:t xml:space="preserve">stredne </w:t>
      </w:r>
      <w:r w:rsidR="00A5550B" w:rsidRPr="00024FA5">
        <w:rPr>
          <w:sz w:val="22"/>
          <w:szCs w:val="22"/>
        </w:rPr>
        <w:t>závažn</w:t>
      </w:r>
      <w:r w:rsidR="001E7EEB" w:rsidRPr="00024FA5">
        <w:rPr>
          <w:sz w:val="22"/>
          <w:szCs w:val="22"/>
        </w:rPr>
        <w:t>ej</w:t>
      </w:r>
      <w:r w:rsidRPr="00024FA5">
        <w:rPr>
          <w:sz w:val="22"/>
          <w:szCs w:val="22"/>
        </w:rPr>
        <w:t xml:space="preserve"> až </w:t>
      </w:r>
      <w:r w:rsidR="00A5550B" w:rsidRPr="00024FA5">
        <w:rPr>
          <w:sz w:val="22"/>
          <w:szCs w:val="22"/>
        </w:rPr>
        <w:t>závažn</w:t>
      </w:r>
      <w:r w:rsidR="001E7EEB" w:rsidRPr="00024FA5">
        <w:rPr>
          <w:sz w:val="22"/>
          <w:szCs w:val="22"/>
        </w:rPr>
        <w:t>ej</w:t>
      </w:r>
      <w:r w:rsidRPr="00024FA5">
        <w:rPr>
          <w:sz w:val="22"/>
          <w:szCs w:val="22"/>
        </w:rPr>
        <w:t xml:space="preserve"> pneumóni</w:t>
      </w:r>
      <w:r w:rsidR="00EC313A" w:rsidRPr="00024FA5">
        <w:rPr>
          <w:sz w:val="22"/>
          <w:szCs w:val="22"/>
        </w:rPr>
        <w:t>i</w:t>
      </w:r>
      <w:r w:rsidRPr="00024FA5">
        <w:rPr>
          <w:sz w:val="22"/>
          <w:szCs w:val="22"/>
        </w:rPr>
        <w:t xml:space="preserve"> spôsobenej </w:t>
      </w:r>
      <w:proofErr w:type="spellStart"/>
      <w:r w:rsidRPr="00024FA5">
        <w:rPr>
          <w:i/>
          <w:sz w:val="22"/>
          <w:szCs w:val="22"/>
        </w:rPr>
        <w:t>Pneumocystis</w:t>
      </w:r>
      <w:proofErr w:type="spellEnd"/>
      <w:r w:rsidRPr="00024FA5">
        <w:rPr>
          <w:i/>
          <w:sz w:val="22"/>
          <w:szCs w:val="22"/>
        </w:rPr>
        <w:t xml:space="preserve"> </w:t>
      </w:r>
      <w:proofErr w:type="spellStart"/>
      <w:r w:rsidR="000F2E71" w:rsidRPr="00024FA5">
        <w:rPr>
          <w:i/>
          <w:sz w:val="22"/>
          <w:szCs w:val="22"/>
        </w:rPr>
        <w:t>jiroveci</w:t>
      </w:r>
      <w:r w:rsidR="003E1749">
        <w:rPr>
          <w:i/>
          <w:sz w:val="22"/>
          <w:szCs w:val="22"/>
        </w:rPr>
        <w:t>i</w:t>
      </w:r>
      <w:proofErr w:type="spellEnd"/>
      <w:r w:rsidR="000F2E71" w:rsidRPr="00024FA5">
        <w:rPr>
          <w:sz w:val="22"/>
          <w:szCs w:val="22"/>
        </w:rPr>
        <w:t>,</w:t>
      </w:r>
      <w:r w:rsidRPr="00024FA5">
        <w:rPr>
          <w:sz w:val="22"/>
          <w:szCs w:val="22"/>
        </w:rPr>
        <w:t xml:space="preserve"> ak sa podáva </w:t>
      </w:r>
      <w:r w:rsidR="002A5B93" w:rsidRPr="00F90CF1">
        <w:rPr>
          <w:sz w:val="22"/>
          <w:szCs w:val="22"/>
        </w:rPr>
        <w:t>v </w:t>
      </w:r>
      <w:r w:rsidR="002A5B93" w:rsidRPr="00B75007">
        <w:rPr>
          <w:sz w:val="22"/>
          <w:szCs w:val="22"/>
        </w:rPr>
        <w:t xml:space="preserve">rámci 24 </w:t>
      </w:r>
      <w:r w:rsidRPr="00470C26">
        <w:rPr>
          <w:sz w:val="22"/>
          <w:szCs w:val="22"/>
        </w:rPr>
        <w:t>hodín</w:t>
      </w:r>
      <w:r w:rsidRPr="00024FA5">
        <w:rPr>
          <w:sz w:val="22"/>
          <w:szCs w:val="22"/>
        </w:rPr>
        <w:t xml:space="preserve"> úvodnej </w:t>
      </w:r>
      <w:proofErr w:type="spellStart"/>
      <w:r w:rsidRPr="00024FA5">
        <w:rPr>
          <w:sz w:val="22"/>
          <w:szCs w:val="22"/>
        </w:rPr>
        <w:t>antipneumocystovej</w:t>
      </w:r>
      <w:proofErr w:type="spellEnd"/>
      <w:r w:rsidRPr="00024FA5">
        <w:rPr>
          <w:sz w:val="22"/>
          <w:szCs w:val="22"/>
        </w:rPr>
        <w:t xml:space="preserve"> liečby.</w:t>
      </w:r>
      <w:r w:rsidR="002A5B93">
        <w:rPr>
          <w:sz w:val="22"/>
          <w:szCs w:val="22"/>
        </w:rPr>
        <w:t xml:space="preserve"> Pre viac informácii pozri časť 5.1.</w:t>
      </w:r>
    </w:p>
    <w:p w14:paraId="445886E1" w14:textId="77777777" w:rsidR="000F2E71" w:rsidRPr="00024FA5" w:rsidRDefault="000F2E71" w:rsidP="008A1CFF">
      <w:pPr>
        <w:tabs>
          <w:tab w:val="left" w:pos="567"/>
        </w:tabs>
        <w:rPr>
          <w:sz w:val="22"/>
          <w:szCs w:val="22"/>
        </w:rPr>
      </w:pPr>
    </w:p>
    <w:p w14:paraId="133B37F0"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Hematologické ochorenia</w:t>
      </w:r>
    </w:p>
    <w:p w14:paraId="61DDAFA1" w14:textId="77777777" w:rsidR="000F2E71" w:rsidRPr="00024FA5" w:rsidRDefault="00B569EF" w:rsidP="008A1CFF">
      <w:pPr>
        <w:numPr>
          <w:ilvl w:val="0"/>
          <w:numId w:val="29"/>
        </w:numPr>
        <w:tabs>
          <w:tab w:val="clear" w:pos="720"/>
          <w:tab w:val="num" w:pos="567"/>
        </w:tabs>
        <w:ind w:left="567" w:hanging="567"/>
        <w:rPr>
          <w:sz w:val="22"/>
          <w:szCs w:val="22"/>
        </w:rPr>
      </w:pPr>
      <w:r w:rsidRPr="00024FA5">
        <w:rPr>
          <w:sz w:val="22"/>
          <w:szCs w:val="22"/>
        </w:rPr>
        <w:t>z</w:t>
      </w:r>
      <w:r w:rsidR="001A70CE" w:rsidRPr="00024FA5">
        <w:rPr>
          <w:sz w:val="22"/>
          <w:szCs w:val="22"/>
        </w:rPr>
        <w:t>ískaná (autoimunitná) hemolytická anémia</w:t>
      </w:r>
    </w:p>
    <w:p w14:paraId="10A78B3C" w14:textId="77777777" w:rsidR="000F2E71" w:rsidRPr="00024FA5" w:rsidRDefault="00B569EF" w:rsidP="008A1CFF">
      <w:pPr>
        <w:numPr>
          <w:ilvl w:val="0"/>
          <w:numId w:val="29"/>
        </w:numPr>
        <w:tabs>
          <w:tab w:val="clear" w:pos="720"/>
          <w:tab w:val="num" w:pos="567"/>
        </w:tabs>
        <w:ind w:left="567" w:hanging="567"/>
        <w:rPr>
          <w:sz w:val="22"/>
          <w:szCs w:val="22"/>
        </w:rPr>
      </w:pPr>
      <w:proofErr w:type="spellStart"/>
      <w:r w:rsidRPr="00024FA5">
        <w:rPr>
          <w:sz w:val="22"/>
          <w:szCs w:val="22"/>
        </w:rPr>
        <w:t>idio</w:t>
      </w:r>
      <w:r w:rsidR="001A70CE" w:rsidRPr="00024FA5">
        <w:rPr>
          <w:sz w:val="22"/>
          <w:szCs w:val="22"/>
        </w:rPr>
        <w:t>patická</w:t>
      </w:r>
      <w:proofErr w:type="spellEnd"/>
      <w:r w:rsidR="001A70CE" w:rsidRPr="00024FA5">
        <w:rPr>
          <w:sz w:val="22"/>
          <w:szCs w:val="22"/>
        </w:rPr>
        <w:t xml:space="preserve"> </w:t>
      </w:r>
      <w:proofErr w:type="spellStart"/>
      <w:r w:rsidR="001A70CE" w:rsidRPr="00024FA5">
        <w:rPr>
          <w:sz w:val="22"/>
          <w:szCs w:val="22"/>
        </w:rPr>
        <w:t>trombocytopenická</w:t>
      </w:r>
      <w:proofErr w:type="spellEnd"/>
      <w:r w:rsidR="001A70CE" w:rsidRPr="00024FA5">
        <w:rPr>
          <w:sz w:val="22"/>
          <w:szCs w:val="22"/>
        </w:rPr>
        <w:t xml:space="preserve"> </w:t>
      </w:r>
      <w:proofErr w:type="spellStart"/>
      <w:r w:rsidR="001A70CE" w:rsidRPr="00024FA5">
        <w:rPr>
          <w:sz w:val="22"/>
          <w:szCs w:val="22"/>
        </w:rPr>
        <w:t>purpura</w:t>
      </w:r>
      <w:proofErr w:type="spellEnd"/>
      <w:r w:rsidR="00237C55" w:rsidRPr="00024FA5">
        <w:rPr>
          <w:sz w:val="22"/>
          <w:szCs w:val="22"/>
        </w:rPr>
        <w:t xml:space="preserve"> </w:t>
      </w:r>
      <w:r w:rsidR="001A70CE" w:rsidRPr="00024FA5">
        <w:rPr>
          <w:sz w:val="22"/>
          <w:szCs w:val="22"/>
        </w:rPr>
        <w:t xml:space="preserve">u dospelých (len </w:t>
      </w:r>
      <w:r w:rsidR="00A5550B" w:rsidRPr="00024FA5">
        <w:rPr>
          <w:sz w:val="22"/>
          <w:szCs w:val="22"/>
        </w:rPr>
        <w:t xml:space="preserve">intravenózne </w:t>
      </w:r>
      <w:r w:rsidR="001A70CE" w:rsidRPr="00024FA5">
        <w:rPr>
          <w:sz w:val="22"/>
          <w:szCs w:val="22"/>
        </w:rPr>
        <w:t>podanie</w:t>
      </w:r>
      <w:r w:rsidR="001A70CE" w:rsidRPr="00024FA5">
        <w:rPr>
          <w:sz w:val="22"/>
          <w:szCs w:val="22"/>
        </w:rPr>
        <w:sym w:font="Symbol" w:char="F03B"/>
      </w:r>
      <w:r w:rsidR="001A70CE" w:rsidRPr="00024FA5">
        <w:rPr>
          <w:sz w:val="22"/>
          <w:szCs w:val="22"/>
        </w:rPr>
        <w:t xml:space="preserve"> </w:t>
      </w:r>
      <w:proofErr w:type="spellStart"/>
      <w:r w:rsidR="00A5550B" w:rsidRPr="00024FA5">
        <w:rPr>
          <w:sz w:val="22"/>
          <w:szCs w:val="22"/>
        </w:rPr>
        <w:t>intramuskulárne</w:t>
      </w:r>
      <w:proofErr w:type="spellEnd"/>
      <w:r w:rsidR="00A5550B" w:rsidRPr="00024FA5" w:rsidDel="00A5550B">
        <w:rPr>
          <w:i/>
          <w:sz w:val="22"/>
          <w:szCs w:val="22"/>
        </w:rPr>
        <w:t xml:space="preserve"> </w:t>
      </w:r>
      <w:r w:rsidR="001A70CE" w:rsidRPr="00024FA5">
        <w:rPr>
          <w:sz w:val="22"/>
          <w:szCs w:val="22"/>
        </w:rPr>
        <w:t>podanie je kontraindikované)</w:t>
      </w:r>
    </w:p>
    <w:p w14:paraId="069524D0" w14:textId="77777777" w:rsidR="000F2E71" w:rsidRPr="00024FA5" w:rsidRDefault="0017546B" w:rsidP="008A1CFF">
      <w:pPr>
        <w:numPr>
          <w:ilvl w:val="0"/>
          <w:numId w:val="29"/>
        </w:numPr>
        <w:tabs>
          <w:tab w:val="clear" w:pos="720"/>
          <w:tab w:val="num" w:pos="567"/>
        </w:tabs>
        <w:ind w:left="567" w:hanging="567"/>
        <w:rPr>
          <w:sz w:val="22"/>
          <w:szCs w:val="22"/>
        </w:rPr>
      </w:pPr>
      <w:r w:rsidRPr="00024FA5">
        <w:rPr>
          <w:sz w:val="22"/>
          <w:szCs w:val="22"/>
        </w:rPr>
        <w:t>s</w:t>
      </w:r>
      <w:r w:rsidR="001A70CE" w:rsidRPr="00024FA5">
        <w:rPr>
          <w:sz w:val="22"/>
          <w:szCs w:val="22"/>
        </w:rPr>
        <w:t>ekundárna trombocytopénia u</w:t>
      </w:r>
      <w:r w:rsidR="001E7EEB" w:rsidRPr="00024FA5">
        <w:rPr>
          <w:sz w:val="22"/>
          <w:szCs w:val="22"/>
        </w:rPr>
        <w:t> </w:t>
      </w:r>
      <w:r w:rsidR="001A70CE" w:rsidRPr="00024FA5">
        <w:rPr>
          <w:sz w:val="22"/>
          <w:szCs w:val="22"/>
        </w:rPr>
        <w:t>dospelých</w:t>
      </w:r>
    </w:p>
    <w:p w14:paraId="22B1F2E4" w14:textId="77777777" w:rsidR="000F2E71" w:rsidRPr="00024FA5" w:rsidRDefault="0017546B" w:rsidP="008A1CFF">
      <w:pPr>
        <w:numPr>
          <w:ilvl w:val="0"/>
          <w:numId w:val="29"/>
        </w:numPr>
        <w:tabs>
          <w:tab w:val="clear" w:pos="720"/>
          <w:tab w:val="num" w:pos="567"/>
        </w:tabs>
        <w:ind w:left="567" w:hanging="567"/>
        <w:rPr>
          <w:sz w:val="22"/>
          <w:szCs w:val="22"/>
        </w:rPr>
      </w:pPr>
      <w:proofErr w:type="spellStart"/>
      <w:r w:rsidRPr="00024FA5">
        <w:rPr>
          <w:sz w:val="22"/>
          <w:szCs w:val="22"/>
        </w:rPr>
        <w:t>e</w:t>
      </w:r>
      <w:r w:rsidR="001E7EEB" w:rsidRPr="00024FA5">
        <w:rPr>
          <w:sz w:val="22"/>
          <w:szCs w:val="22"/>
        </w:rPr>
        <w:t>rytroblastopénia</w:t>
      </w:r>
      <w:proofErr w:type="spellEnd"/>
      <w:r w:rsidR="001A70CE" w:rsidRPr="00024FA5">
        <w:rPr>
          <w:sz w:val="22"/>
          <w:szCs w:val="22"/>
        </w:rPr>
        <w:t xml:space="preserve"> </w:t>
      </w:r>
      <w:r w:rsidR="001E7EEB" w:rsidRPr="00024FA5">
        <w:rPr>
          <w:sz w:val="22"/>
          <w:szCs w:val="22"/>
        </w:rPr>
        <w:t>(RBC anémia)</w:t>
      </w:r>
    </w:p>
    <w:p w14:paraId="1FBFD891" w14:textId="77777777" w:rsidR="000F2E71" w:rsidRPr="00024FA5" w:rsidRDefault="0017546B" w:rsidP="008A1CFF">
      <w:pPr>
        <w:numPr>
          <w:ilvl w:val="0"/>
          <w:numId w:val="29"/>
        </w:numPr>
        <w:tabs>
          <w:tab w:val="clear" w:pos="720"/>
          <w:tab w:val="num" w:pos="567"/>
        </w:tabs>
        <w:ind w:left="567" w:hanging="567"/>
        <w:rPr>
          <w:sz w:val="22"/>
          <w:szCs w:val="22"/>
        </w:rPr>
      </w:pPr>
      <w:proofErr w:type="spellStart"/>
      <w:r w:rsidRPr="00024FA5">
        <w:rPr>
          <w:sz w:val="22"/>
          <w:szCs w:val="22"/>
        </w:rPr>
        <w:t>k</w:t>
      </w:r>
      <w:r w:rsidR="00F86B3F" w:rsidRPr="00024FA5">
        <w:rPr>
          <w:sz w:val="22"/>
          <w:szCs w:val="22"/>
        </w:rPr>
        <w:t>ongenitálna</w:t>
      </w:r>
      <w:proofErr w:type="spellEnd"/>
      <w:r w:rsidR="00F86B3F" w:rsidRPr="00024FA5">
        <w:rPr>
          <w:sz w:val="22"/>
          <w:szCs w:val="22"/>
        </w:rPr>
        <w:t xml:space="preserve"> </w:t>
      </w:r>
      <w:r w:rsidR="001E7EEB" w:rsidRPr="00024FA5">
        <w:rPr>
          <w:sz w:val="22"/>
          <w:szCs w:val="22"/>
        </w:rPr>
        <w:t>(</w:t>
      </w:r>
      <w:proofErr w:type="spellStart"/>
      <w:r w:rsidR="001E7EEB" w:rsidRPr="00024FA5">
        <w:rPr>
          <w:sz w:val="22"/>
          <w:szCs w:val="22"/>
        </w:rPr>
        <w:t>erytroidná</w:t>
      </w:r>
      <w:proofErr w:type="spellEnd"/>
      <w:r w:rsidR="001E7EEB" w:rsidRPr="00024FA5">
        <w:rPr>
          <w:sz w:val="22"/>
          <w:szCs w:val="22"/>
        </w:rPr>
        <w:t xml:space="preserve">) </w:t>
      </w:r>
      <w:proofErr w:type="spellStart"/>
      <w:r w:rsidR="001E7EEB" w:rsidRPr="00024FA5">
        <w:rPr>
          <w:sz w:val="22"/>
          <w:szCs w:val="22"/>
        </w:rPr>
        <w:t>hypoplastická</w:t>
      </w:r>
      <w:proofErr w:type="spellEnd"/>
      <w:r w:rsidR="001E7EEB" w:rsidRPr="00024FA5">
        <w:rPr>
          <w:sz w:val="22"/>
          <w:szCs w:val="22"/>
        </w:rPr>
        <w:t xml:space="preserve"> anémia</w:t>
      </w:r>
    </w:p>
    <w:p w14:paraId="1DE3EDF2" w14:textId="77777777" w:rsidR="000F2E71" w:rsidRPr="00024FA5" w:rsidRDefault="000F2E71" w:rsidP="008A1CFF">
      <w:pPr>
        <w:tabs>
          <w:tab w:val="left" w:pos="567"/>
        </w:tabs>
        <w:rPr>
          <w:sz w:val="22"/>
          <w:szCs w:val="22"/>
        </w:rPr>
      </w:pPr>
    </w:p>
    <w:p w14:paraId="4C2C2A64" w14:textId="77777777" w:rsidR="000F2E71" w:rsidRPr="00024FA5" w:rsidRDefault="001A70CE" w:rsidP="008A1CFF">
      <w:pPr>
        <w:pStyle w:val="Nadpis3"/>
        <w:tabs>
          <w:tab w:val="left" w:pos="567"/>
        </w:tabs>
        <w:jc w:val="left"/>
        <w:rPr>
          <w:rFonts w:ascii="Times New Roman" w:hAnsi="Times New Roman"/>
          <w:sz w:val="22"/>
          <w:szCs w:val="22"/>
        </w:rPr>
      </w:pPr>
      <w:proofErr w:type="spellStart"/>
      <w:r w:rsidRPr="00024FA5">
        <w:rPr>
          <w:rFonts w:ascii="Times New Roman" w:hAnsi="Times New Roman"/>
          <w:sz w:val="22"/>
          <w:szCs w:val="22"/>
        </w:rPr>
        <w:t>Neoplastické</w:t>
      </w:r>
      <w:proofErr w:type="spellEnd"/>
      <w:r w:rsidRPr="00024FA5">
        <w:rPr>
          <w:rFonts w:ascii="Times New Roman" w:hAnsi="Times New Roman"/>
          <w:sz w:val="22"/>
          <w:szCs w:val="22"/>
        </w:rPr>
        <w:t xml:space="preserve"> ochorenia</w:t>
      </w:r>
      <w:r w:rsidR="0000794B" w:rsidRPr="00024FA5">
        <w:rPr>
          <w:rFonts w:ascii="Times New Roman" w:hAnsi="Times New Roman"/>
          <w:sz w:val="22"/>
          <w:szCs w:val="22"/>
        </w:rPr>
        <w:t xml:space="preserve"> (</w:t>
      </w:r>
      <w:r w:rsidRPr="00024FA5">
        <w:rPr>
          <w:rFonts w:ascii="Times New Roman" w:hAnsi="Times New Roman"/>
          <w:sz w:val="22"/>
          <w:szCs w:val="22"/>
        </w:rPr>
        <w:t>paliatívn</w:t>
      </w:r>
      <w:r w:rsidR="0000794B" w:rsidRPr="00024FA5">
        <w:rPr>
          <w:rFonts w:ascii="Times New Roman" w:hAnsi="Times New Roman"/>
          <w:sz w:val="22"/>
          <w:szCs w:val="22"/>
        </w:rPr>
        <w:t>a</w:t>
      </w:r>
      <w:r w:rsidRPr="00024FA5">
        <w:rPr>
          <w:rFonts w:ascii="Times New Roman" w:hAnsi="Times New Roman"/>
          <w:sz w:val="22"/>
          <w:szCs w:val="22"/>
        </w:rPr>
        <w:t xml:space="preserve"> liečb</w:t>
      </w:r>
      <w:r w:rsidR="0000794B" w:rsidRPr="00024FA5">
        <w:rPr>
          <w:rFonts w:ascii="Times New Roman" w:hAnsi="Times New Roman"/>
          <w:sz w:val="22"/>
          <w:szCs w:val="22"/>
        </w:rPr>
        <w:t>a)</w:t>
      </w:r>
    </w:p>
    <w:p w14:paraId="5563111F" w14:textId="77777777" w:rsidR="000F2E71" w:rsidRPr="00024FA5" w:rsidRDefault="0017546B" w:rsidP="008A1CFF">
      <w:pPr>
        <w:numPr>
          <w:ilvl w:val="0"/>
          <w:numId w:val="31"/>
        </w:numPr>
        <w:tabs>
          <w:tab w:val="clear" w:pos="720"/>
          <w:tab w:val="num" w:pos="567"/>
        </w:tabs>
        <w:ind w:left="567" w:hanging="567"/>
        <w:rPr>
          <w:sz w:val="22"/>
          <w:szCs w:val="22"/>
        </w:rPr>
      </w:pPr>
      <w:r w:rsidRPr="00024FA5">
        <w:rPr>
          <w:sz w:val="22"/>
          <w:szCs w:val="22"/>
        </w:rPr>
        <w:t>l</w:t>
      </w:r>
      <w:r w:rsidR="001A70CE" w:rsidRPr="00024FA5">
        <w:rPr>
          <w:sz w:val="22"/>
          <w:szCs w:val="22"/>
        </w:rPr>
        <w:t>eukémi</w:t>
      </w:r>
      <w:r w:rsidR="00B01E1B" w:rsidRPr="00024FA5">
        <w:rPr>
          <w:sz w:val="22"/>
          <w:szCs w:val="22"/>
        </w:rPr>
        <w:t>e</w:t>
      </w:r>
      <w:r w:rsidR="001A70CE" w:rsidRPr="00024FA5">
        <w:rPr>
          <w:sz w:val="22"/>
          <w:szCs w:val="22"/>
        </w:rPr>
        <w:t xml:space="preserve"> a lymfóm</w:t>
      </w:r>
      <w:r w:rsidR="00B01E1B" w:rsidRPr="00024FA5">
        <w:rPr>
          <w:sz w:val="22"/>
          <w:szCs w:val="22"/>
        </w:rPr>
        <w:t>y</w:t>
      </w:r>
      <w:r w:rsidR="001A70CE" w:rsidRPr="00024FA5">
        <w:rPr>
          <w:sz w:val="22"/>
          <w:szCs w:val="22"/>
        </w:rPr>
        <w:t xml:space="preserve"> u dospelých</w:t>
      </w:r>
    </w:p>
    <w:p w14:paraId="5494C773" w14:textId="77777777" w:rsidR="000F2E71" w:rsidRPr="00024FA5" w:rsidRDefault="0017546B" w:rsidP="008A1CFF">
      <w:pPr>
        <w:numPr>
          <w:ilvl w:val="0"/>
          <w:numId w:val="30"/>
        </w:numPr>
        <w:tabs>
          <w:tab w:val="clear" w:pos="720"/>
          <w:tab w:val="num" w:pos="567"/>
        </w:tabs>
        <w:ind w:left="567" w:hanging="567"/>
        <w:rPr>
          <w:sz w:val="22"/>
          <w:szCs w:val="22"/>
        </w:rPr>
      </w:pPr>
      <w:r w:rsidRPr="00024FA5">
        <w:rPr>
          <w:sz w:val="22"/>
          <w:szCs w:val="22"/>
        </w:rPr>
        <w:t>a</w:t>
      </w:r>
      <w:r w:rsidR="00237C55" w:rsidRPr="00024FA5">
        <w:rPr>
          <w:sz w:val="22"/>
          <w:szCs w:val="22"/>
        </w:rPr>
        <w:t>kútna leukémia u detí</w:t>
      </w:r>
    </w:p>
    <w:p w14:paraId="6AB463E9" w14:textId="77777777" w:rsidR="000F2E71" w:rsidRPr="00024FA5" w:rsidRDefault="002F2ABF" w:rsidP="008A1CFF">
      <w:pPr>
        <w:numPr>
          <w:ilvl w:val="0"/>
          <w:numId w:val="30"/>
        </w:numPr>
        <w:tabs>
          <w:tab w:val="clear" w:pos="720"/>
          <w:tab w:val="num" w:pos="567"/>
        </w:tabs>
        <w:ind w:left="567" w:hanging="567"/>
        <w:rPr>
          <w:sz w:val="22"/>
          <w:szCs w:val="22"/>
        </w:rPr>
      </w:pPr>
      <w:r w:rsidRPr="00024FA5">
        <w:rPr>
          <w:sz w:val="22"/>
          <w:szCs w:val="22"/>
        </w:rPr>
        <w:t xml:space="preserve">terminálne </w:t>
      </w:r>
      <w:r w:rsidR="001A70CE" w:rsidRPr="00024FA5">
        <w:rPr>
          <w:sz w:val="22"/>
          <w:szCs w:val="22"/>
        </w:rPr>
        <w:t>štádium rakoviny</w:t>
      </w:r>
      <w:r w:rsidR="00237C55" w:rsidRPr="00024FA5">
        <w:rPr>
          <w:sz w:val="22"/>
          <w:szCs w:val="22"/>
        </w:rPr>
        <w:t xml:space="preserve">: </w:t>
      </w:r>
      <w:r w:rsidR="00470C26">
        <w:rPr>
          <w:sz w:val="22"/>
          <w:szCs w:val="22"/>
        </w:rPr>
        <w:t>n</w:t>
      </w:r>
      <w:r w:rsidR="001A70CE" w:rsidRPr="00024FA5">
        <w:rPr>
          <w:sz w:val="22"/>
          <w:szCs w:val="22"/>
        </w:rPr>
        <w:t>a zlepšenie kvality života u pacientov v </w:t>
      </w:r>
      <w:r w:rsidRPr="00024FA5">
        <w:rPr>
          <w:sz w:val="22"/>
          <w:szCs w:val="22"/>
        </w:rPr>
        <w:t xml:space="preserve">terminálnom </w:t>
      </w:r>
      <w:r w:rsidR="001A70CE" w:rsidRPr="00024FA5">
        <w:rPr>
          <w:sz w:val="22"/>
          <w:szCs w:val="22"/>
        </w:rPr>
        <w:t>štádiu rakoviny</w:t>
      </w:r>
    </w:p>
    <w:p w14:paraId="2569D962" w14:textId="77777777" w:rsidR="000F2E71" w:rsidRPr="00024FA5" w:rsidRDefault="000F2E71" w:rsidP="008A1CFF">
      <w:pPr>
        <w:tabs>
          <w:tab w:val="left" w:pos="567"/>
        </w:tabs>
        <w:rPr>
          <w:sz w:val="22"/>
          <w:szCs w:val="22"/>
        </w:rPr>
      </w:pPr>
    </w:p>
    <w:p w14:paraId="68C5421E" w14:textId="77777777" w:rsidR="000F2E71" w:rsidRPr="00024FA5" w:rsidRDefault="001A70CE" w:rsidP="008A1CFF">
      <w:pPr>
        <w:pStyle w:val="Nadpis3"/>
        <w:tabs>
          <w:tab w:val="left" w:pos="567"/>
        </w:tabs>
        <w:jc w:val="left"/>
        <w:rPr>
          <w:rFonts w:ascii="Times New Roman" w:hAnsi="Times New Roman"/>
          <w:sz w:val="22"/>
          <w:szCs w:val="22"/>
        </w:rPr>
      </w:pPr>
      <w:proofErr w:type="spellStart"/>
      <w:r w:rsidRPr="00024FA5">
        <w:rPr>
          <w:rFonts w:ascii="Times New Roman" w:hAnsi="Times New Roman"/>
          <w:sz w:val="22"/>
          <w:szCs w:val="22"/>
        </w:rPr>
        <w:t>Opuchové</w:t>
      </w:r>
      <w:proofErr w:type="spellEnd"/>
      <w:r w:rsidRPr="00024FA5">
        <w:rPr>
          <w:rFonts w:ascii="Times New Roman" w:hAnsi="Times New Roman"/>
          <w:sz w:val="22"/>
          <w:szCs w:val="22"/>
        </w:rPr>
        <w:t xml:space="preserve"> stavy</w:t>
      </w:r>
    </w:p>
    <w:p w14:paraId="7286579B" w14:textId="77777777" w:rsidR="000F2E71" w:rsidRPr="00024FA5" w:rsidRDefault="001A70CE" w:rsidP="008A1CFF">
      <w:pPr>
        <w:numPr>
          <w:ilvl w:val="0"/>
          <w:numId w:val="33"/>
        </w:numPr>
        <w:tabs>
          <w:tab w:val="clear" w:pos="720"/>
          <w:tab w:val="num" w:pos="567"/>
        </w:tabs>
        <w:ind w:left="567" w:hanging="567"/>
        <w:rPr>
          <w:sz w:val="22"/>
          <w:szCs w:val="22"/>
        </w:rPr>
      </w:pPr>
      <w:r w:rsidRPr="00024FA5">
        <w:rPr>
          <w:sz w:val="22"/>
          <w:szCs w:val="22"/>
        </w:rPr>
        <w:t xml:space="preserve">Na navodenie močenia alebo </w:t>
      </w:r>
      <w:proofErr w:type="spellStart"/>
      <w:r w:rsidR="0000794B" w:rsidRPr="00024FA5">
        <w:rPr>
          <w:sz w:val="22"/>
          <w:szCs w:val="22"/>
        </w:rPr>
        <w:t>remisie</w:t>
      </w:r>
      <w:proofErr w:type="spellEnd"/>
      <w:r w:rsidR="0000794B" w:rsidRPr="00024FA5">
        <w:rPr>
          <w:sz w:val="22"/>
          <w:szCs w:val="22"/>
        </w:rPr>
        <w:t xml:space="preserve"> </w:t>
      </w:r>
      <w:proofErr w:type="spellStart"/>
      <w:r w:rsidRPr="00024FA5">
        <w:rPr>
          <w:sz w:val="22"/>
          <w:szCs w:val="22"/>
        </w:rPr>
        <w:t>proteinúrie</w:t>
      </w:r>
      <w:proofErr w:type="spellEnd"/>
      <w:r w:rsidRPr="00024FA5">
        <w:rPr>
          <w:sz w:val="22"/>
          <w:szCs w:val="22"/>
        </w:rPr>
        <w:t xml:space="preserve"> pri </w:t>
      </w:r>
      <w:proofErr w:type="spellStart"/>
      <w:r w:rsidRPr="00024FA5">
        <w:rPr>
          <w:sz w:val="22"/>
          <w:szCs w:val="22"/>
        </w:rPr>
        <w:t>nefrotickom</w:t>
      </w:r>
      <w:proofErr w:type="spellEnd"/>
      <w:r w:rsidRPr="00024FA5">
        <w:rPr>
          <w:sz w:val="22"/>
          <w:szCs w:val="22"/>
        </w:rPr>
        <w:t xml:space="preserve"> syndróme bez urémie </w:t>
      </w:r>
      <w:proofErr w:type="spellStart"/>
      <w:r w:rsidRPr="00024FA5">
        <w:rPr>
          <w:sz w:val="22"/>
          <w:szCs w:val="22"/>
        </w:rPr>
        <w:t>idiopatického</w:t>
      </w:r>
      <w:proofErr w:type="spellEnd"/>
      <w:r w:rsidRPr="00024FA5">
        <w:rPr>
          <w:sz w:val="22"/>
          <w:szCs w:val="22"/>
        </w:rPr>
        <w:t xml:space="preserve"> typu alebo vyvolanom </w:t>
      </w:r>
      <w:proofErr w:type="spellStart"/>
      <w:r w:rsidRPr="00024FA5">
        <w:rPr>
          <w:sz w:val="22"/>
          <w:szCs w:val="22"/>
        </w:rPr>
        <w:t>lupus</w:t>
      </w:r>
      <w:proofErr w:type="spellEnd"/>
      <w:r w:rsidRPr="00024FA5">
        <w:rPr>
          <w:sz w:val="22"/>
          <w:szCs w:val="22"/>
        </w:rPr>
        <w:t xml:space="preserve"> </w:t>
      </w:r>
      <w:proofErr w:type="spellStart"/>
      <w:r w:rsidRPr="00024FA5">
        <w:rPr>
          <w:sz w:val="22"/>
          <w:szCs w:val="22"/>
        </w:rPr>
        <w:t>erythematosus</w:t>
      </w:r>
      <w:proofErr w:type="spellEnd"/>
      <w:r w:rsidRPr="00024FA5">
        <w:rPr>
          <w:sz w:val="22"/>
          <w:szCs w:val="22"/>
        </w:rPr>
        <w:t>.</w:t>
      </w:r>
    </w:p>
    <w:p w14:paraId="26DBC5ED" w14:textId="77777777" w:rsidR="000F2E71" w:rsidRPr="00024FA5" w:rsidRDefault="000F2E71" w:rsidP="008A1CFF">
      <w:pPr>
        <w:tabs>
          <w:tab w:val="left" w:pos="567"/>
        </w:tabs>
        <w:rPr>
          <w:sz w:val="22"/>
          <w:szCs w:val="22"/>
        </w:rPr>
      </w:pPr>
    </w:p>
    <w:p w14:paraId="5844EF3C"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Ochorenia nervového systému</w:t>
      </w:r>
    </w:p>
    <w:p w14:paraId="679ABE57" w14:textId="77777777" w:rsidR="000F2E71" w:rsidRPr="00024FA5" w:rsidRDefault="0017546B" w:rsidP="008A1CFF">
      <w:pPr>
        <w:numPr>
          <w:ilvl w:val="0"/>
          <w:numId w:val="32"/>
        </w:numPr>
        <w:tabs>
          <w:tab w:val="clear" w:pos="720"/>
          <w:tab w:val="num" w:pos="567"/>
        </w:tabs>
        <w:ind w:left="567" w:hanging="567"/>
        <w:rPr>
          <w:sz w:val="22"/>
          <w:szCs w:val="22"/>
        </w:rPr>
      </w:pPr>
      <w:r w:rsidRPr="00024FA5">
        <w:rPr>
          <w:sz w:val="22"/>
          <w:szCs w:val="22"/>
        </w:rPr>
        <w:t>o</w:t>
      </w:r>
      <w:r w:rsidR="003A6D08" w:rsidRPr="00024FA5">
        <w:rPr>
          <w:sz w:val="22"/>
          <w:szCs w:val="22"/>
        </w:rPr>
        <w:t>puch mozgu spôsobený tumormi</w:t>
      </w:r>
      <w:r w:rsidR="00405FBF" w:rsidRPr="00024FA5">
        <w:rPr>
          <w:sz w:val="22"/>
          <w:szCs w:val="22"/>
        </w:rPr>
        <w:t xml:space="preserve"> </w:t>
      </w:r>
      <w:r w:rsidR="003A6D08" w:rsidRPr="00024FA5">
        <w:rPr>
          <w:sz w:val="22"/>
          <w:szCs w:val="22"/>
        </w:rPr>
        <w:t>-</w:t>
      </w:r>
      <w:r w:rsidR="00405FBF" w:rsidRPr="00024FA5">
        <w:rPr>
          <w:sz w:val="22"/>
          <w:szCs w:val="22"/>
        </w:rPr>
        <w:t xml:space="preserve"> </w:t>
      </w:r>
      <w:r w:rsidR="001A70CE" w:rsidRPr="00024FA5">
        <w:rPr>
          <w:sz w:val="22"/>
          <w:szCs w:val="22"/>
        </w:rPr>
        <w:t>primár</w:t>
      </w:r>
      <w:r w:rsidR="002A1F20" w:rsidRPr="00024FA5">
        <w:rPr>
          <w:sz w:val="22"/>
          <w:szCs w:val="22"/>
        </w:rPr>
        <w:t>nymi</w:t>
      </w:r>
      <w:r w:rsidR="001A70CE" w:rsidRPr="00024FA5">
        <w:rPr>
          <w:sz w:val="22"/>
          <w:szCs w:val="22"/>
        </w:rPr>
        <w:t xml:space="preserve"> alebo metast</w:t>
      </w:r>
      <w:r w:rsidR="002A1F20" w:rsidRPr="00024FA5">
        <w:rPr>
          <w:sz w:val="22"/>
          <w:szCs w:val="22"/>
        </w:rPr>
        <w:t>atickými</w:t>
      </w:r>
      <w:r w:rsidR="001A70CE" w:rsidRPr="00024FA5">
        <w:rPr>
          <w:sz w:val="22"/>
          <w:szCs w:val="22"/>
        </w:rPr>
        <w:t xml:space="preserve"> alebo v spojitosti s chirurgickou liečbou alebo rádioterapiou </w:t>
      </w:r>
    </w:p>
    <w:p w14:paraId="3684FEE0" w14:textId="77777777" w:rsidR="000F2E71" w:rsidRPr="00024FA5" w:rsidRDefault="0017546B" w:rsidP="008A1CFF">
      <w:pPr>
        <w:numPr>
          <w:ilvl w:val="0"/>
          <w:numId w:val="32"/>
        </w:numPr>
        <w:tabs>
          <w:tab w:val="clear" w:pos="720"/>
          <w:tab w:val="num" w:pos="567"/>
        </w:tabs>
        <w:ind w:left="567" w:hanging="567"/>
        <w:rPr>
          <w:sz w:val="22"/>
          <w:szCs w:val="22"/>
        </w:rPr>
      </w:pPr>
      <w:r w:rsidRPr="00024FA5">
        <w:rPr>
          <w:sz w:val="22"/>
          <w:szCs w:val="22"/>
        </w:rPr>
        <w:t>a</w:t>
      </w:r>
      <w:r w:rsidR="001A70CE" w:rsidRPr="00024FA5">
        <w:rPr>
          <w:sz w:val="22"/>
          <w:szCs w:val="22"/>
        </w:rPr>
        <w:t xml:space="preserve">kútne </w:t>
      </w:r>
      <w:proofErr w:type="spellStart"/>
      <w:r w:rsidR="001A70CE" w:rsidRPr="00024FA5">
        <w:rPr>
          <w:sz w:val="22"/>
          <w:szCs w:val="22"/>
        </w:rPr>
        <w:t>znovuvzplanutie</w:t>
      </w:r>
      <w:proofErr w:type="spellEnd"/>
      <w:r w:rsidR="00435E64">
        <w:rPr>
          <w:sz w:val="22"/>
          <w:szCs w:val="22"/>
        </w:rPr>
        <w:t xml:space="preserve"> roztrúsenej </w:t>
      </w:r>
      <w:r w:rsidR="00EC313A" w:rsidRPr="00024FA5">
        <w:rPr>
          <w:sz w:val="22"/>
          <w:szCs w:val="22"/>
        </w:rPr>
        <w:t>s</w:t>
      </w:r>
      <w:r w:rsidR="004A591D" w:rsidRPr="00024FA5">
        <w:rPr>
          <w:sz w:val="22"/>
          <w:szCs w:val="22"/>
        </w:rPr>
        <w:t>k</w:t>
      </w:r>
      <w:r w:rsidR="00EC313A" w:rsidRPr="00024FA5">
        <w:rPr>
          <w:sz w:val="22"/>
          <w:szCs w:val="22"/>
        </w:rPr>
        <w:t>ler</w:t>
      </w:r>
      <w:r w:rsidR="00D55644" w:rsidRPr="00024FA5">
        <w:rPr>
          <w:sz w:val="22"/>
          <w:szCs w:val="22"/>
        </w:rPr>
        <w:t>ózy</w:t>
      </w:r>
    </w:p>
    <w:p w14:paraId="2732A71A" w14:textId="77777777" w:rsidR="000F2E71" w:rsidRPr="00024FA5" w:rsidRDefault="0017546B" w:rsidP="008A1CFF">
      <w:pPr>
        <w:numPr>
          <w:ilvl w:val="0"/>
          <w:numId w:val="32"/>
        </w:numPr>
        <w:tabs>
          <w:tab w:val="clear" w:pos="720"/>
          <w:tab w:val="num" w:pos="567"/>
        </w:tabs>
        <w:ind w:left="567" w:hanging="567"/>
        <w:rPr>
          <w:sz w:val="22"/>
          <w:szCs w:val="22"/>
        </w:rPr>
      </w:pPr>
      <w:r w:rsidRPr="00DF57D8">
        <w:rPr>
          <w:sz w:val="22"/>
          <w:szCs w:val="22"/>
        </w:rPr>
        <w:t>a</w:t>
      </w:r>
      <w:r w:rsidR="001A70CE" w:rsidRPr="00DF57D8">
        <w:rPr>
          <w:sz w:val="22"/>
          <w:szCs w:val="22"/>
        </w:rPr>
        <w:t>kútne</w:t>
      </w:r>
      <w:r w:rsidR="00B46B87" w:rsidRPr="00DF57D8">
        <w:rPr>
          <w:sz w:val="22"/>
          <w:szCs w:val="22"/>
        </w:rPr>
        <w:t xml:space="preserve"> poškodenie</w:t>
      </w:r>
      <w:r w:rsidR="001A70CE" w:rsidRPr="00DF57D8">
        <w:rPr>
          <w:sz w:val="22"/>
          <w:szCs w:val="22"/>
        </w:rPr>
        <w:t xml:space="preserve"> miechy.</w:t>
      </w:r>
      <w:r w:rsidR="001A70CE" w:rsidRPr="00024FA5">
        <w:rPr>
          <w:sz w:val="22"/>
          <w:szCs w:val="22"/>
        </w:rPr>
        <w:t xml:space="preserve"> Liečba sa musí začať do osem hodín </w:t>
      </w:r>
      <w:r w:rsidR="00D76626" w:rsidRPr="00024FA5">
        <w:rPr>
          <w:sz w:val="22"/>
          <w:szCs w:val="22"/>
        </w:rPr>
        <w:t>po úraze</w:t>
      </w:r>
      <w:r w:rsidR="001A70CE" w:rsidRPr="00024FA5">
        <w:rPr>
          <w:sz w:val="22"/>
          <w:szCs w:val="22"/>
        </w:rPr>
        <w:t>.</w:t>
      </w:r>
      <w:r w:rsidR="00590A95">
        <w:rPr>
          <w:sz w:val="22"/>
          <w:szCs w:val="22"/>
        </w:rPr>
        <w:t xml:space="preserve"> Pre viac informácii pozri časť 5.1.</w:t>
      </w:r>
    </w:p>
    <w:p w14:paraId="5D414E1C" w14:textId="77777777" w:rsidR="000F2E71" w:rsidRPr="00024FA5" w:rsidRDefault="000F2E71" w:rsidP="008A1CFF">
      <w:pPr>
        <w:tabs>
          <w:tab w:val="left" w:pos="567"/>
        </w:tabs>
        <w:rPr>
          <w:sz w:val="22"/>
          <w:szCs w:val="22"/>
        </w:rPr>
      </w:pPr>
    </w:p>
    <w:p w14:paraId="2D5E74D2" w14:textId="77777777" w:rsidR="000F2E71" w:rsidRPr="00024FA5" w:rsidRDefault="001A70CE" w:rsidP="008A1CFF">
      <w:pPr>
        <w:pStyle w:val="Nadpis3"/>
        <w:tabs>
          <w:tab w:val="left" w:pos="567"/>
        </w:tabs>
        <w:jc w:val="left"/>
        <w:rPr>
          <w:rFonts w:ascii="Times New Roman" w:hAnsi="Times New Roman"/>
          <w:sz w:val="22"/>
          <w:szCs w:val="22"/>
        </w:rPr>
      </w:pPr>
      <w:r w:rsidRPr="00024FA5">
        <w:rPr>
          <w:rFonts w:ascii="Times New Roman" w:hAnsi="Times New Roman"/>
          <w:sz w:val="22"/>
          <w:szCs w:val="22"/>
        </w:rPr>
        <w:t>Rôzne</w:t>
      </w:r>
    </w:p>
    <w:p w14:paraId="1BB45E4E" w14:textId="77777777" w:rsidR="000F2E71" w:rsidRPr="00024FA5" w:rsidRDefault="001A70CE" w:rsidP="008A1CFF">
      <w:pPr>
        <w:numPr>
          <w:ilvl w:val="0"/>
          <w:numId w:val="34"/>
        </w:numPr>
        <w:tabs>
          <w:tab w:val="clear" w:pos="720"/>
          <w:tab w:val="num" w:pos="567"/>
        </w:tabs>
        <w:ind w:left="567" w:hanging="567"/>
        <w:rPr>
          <w:sz w:val="22"/>
          <w:szCs w:val="22"/>
        </w:rPr>
      </w:pPr>
      <w:r w:rsidRPr="00024FA5">
        <w:rPr>
          <w:sz w:val="22"/>
          <w:szCs w:val="22"/>
        </w:rPr>
        <w:t xml:space="preserve">tuberkulózna meningitída so </w:t>
      </w:r>
      <w:proofErr w:type="spellStart"/>
      <w:r w:rsidRPr="00024FA5">
        <w:rPr>
          <w:sz w:val="22"/>
          <w:szCs w:val="22"/>
        </w:rPr>
        <w:t>subarachnoidálnym</w:t>
      </w:r>
      <w:proofErr w:type="spellEnd"/>
      <w:r w:rsidRPr="00024FA5">
        <w:rPr>
          <w:sz w:val="22"/>
          <w:szCs w:val="22"/>
        </w:rPr>
        <w:t xml:space="preserve"> blokom alebo hroziacim blokom, ak sa použije sú</w:t>
      </w:r>
      <w:r w:rsidR="00A5550B" w:rsidRPr="00024FA5">
        <w:rPr>
          <w:sz w:val="22"/>
          <w:szCs w:val="22"/>
        </w:rPr>
        <w:t>bež</w:t>
      </w:r>
      <w:r w:rsidRPr="00024FA5">
        <w:rPr>
          <w:sz w:val="22"/>
          <w:szCs w:val="22"/>
        </w:rPr>
        <w:t xml:space="preserve">ne s </w:t>
      </w:r>
      <w:r w:rsidR="00EA0033" w:rsidRPr="00024FA5">
        <w:rPr>
          <w:sz w:val="22"/>
          <w:szCs w:val="22"/>
        </w:rPr>
        <w:t>príslušnou</w:t>
      </w:r>
      <w:r w:rsidRPr="00024FA5">
        <w:rPr>
          <w:sz w:val="22"/>
          <w:szCs w:val="22"/>
        </w:rPr>
        <w:t xml:space="preserve"> </w:t>
      </w:r>
      <w:proofErr w:type="spellStart"/>
      <w:r w:rsidRPr="00024FA5">
        <w:rPr>
          <w:sz w:val="22"/>
          <w:szCs w:val="22"/>
        </w:rPr>
        <w:t>antituberkulóznou</w:t>
      </w:r>
      <w:proofErr w:type="spellEnd"/>
      <w:r w:rsidRPr="00024FA5">
        <w:rPr>
          <w:sz w:val="22"/>
          <w:szCs w:val="22"/>
        </w:rPr>
        <w:t xml:space="preserve"> chemoterapiou</w:t>
      </w:r>
    </w:p>
    <w:p w14:paraId="71928AC8" w14:textId="77777777" w:rsidR="000F2E71" w:rsidRPr="00024FA5" w:rsidRDefault="001A70CE" w:rsidP="008A1CFF">
      <w:pPr>
        <w:numPr>
          <w:ilvl w:val="0"/>
          <w:numId w:val="34"/>
        </w:numPr>
        <w:tabs>
          <w:tab w:val="clear" w:pos="720"/>
          <w:tab w:val="num" w:pos="567"/>
        </w:tabs>
        <w:ind w:left="567" w:hanging="567"/>
        <w:rPr>
          <w:sz w:val="22"/>
          <w:szCs w:val="22"/>
        </w:rPr>
      </w:pPr>
      <w:proofErr w:type="spellStart"/>
      <w:r w:rsidRPr="00024FA5">
        <w:rPr>
          <w:sz w:val="22"/>
          <w:szCs w:val="22"/>
        </w:rPr>
        <w:t>trichinóza</w:t>
      </w:r>
      <w:proofErr w:type="spellEnd"/>
      <w:r w:rsidRPr="00024FA5">
        <w:rPr>
          <w:sz w:val="22"/>
          <w:szCs w:val="22"/>
        </w:rPr>
        <w:t xml:space="preserve"> pri neurologickom alebo </w:t>
      </w:r>
      <w:proofErr w:type="spellStart"/>
      <w:r w:rsidRPr="00024FA5">
        <w:rPr>
          <w:sz w:val="22"/>
          <w:szCs w:val="22"/>
        </w:rPr>
        <w:t>myokardiálnom</w:t>
      </w:r>
      <w:proofErr w:type="spellEnd"/>
      <w:r w:rsidRPr="00024FA5">
        <w:rPr>
          <w:sz w:val="22"/>
          <w:szCs w:val="22"/>
        </w:rPr>
        <w:t xml:space="preserve"> postihnutí</w:t>
      </w:r>
    </w:p>
    <w:p w14:paraId="1DE3208E" w14:textId="77777777" w:rsidR="000F2E71" w:rsidRPr="00024FA5" w:rsidRDefault="001A70CE" w:rsidP="008A1CFF">
      <w:pPr>
        <w:numPr>
          <w:ilvl w:val="0"/>
          <w:numId w:val="34"/>
        </w:numPr>
        <w:tabs>
          <w:tab w:val="clear" w:pos="720"/>
          <w:tab w:val="num" w:pos="567"/>
        </w:tabs>
        <w:ind w:left="567" w:hanging="567"/>
        <w:rPr>
          <w:sz w:val="22"/>
          <w:szCs w:val="22"/>
        </w:rPr>
      </w:pPr>
      <w:r w:rsidRPr="00024FA5">
        <w:rPr>
          <w:sz w:val="22"/>
          <w:szCs w:val="22"/>
        </w:rPr>
        <w:t>orgánové transplantácie</w:t>
      </w:r>
    </w:p>
    <w:p w14:paraId="2D64B1D7" w14:textId="77777777" w:rsidR="000F2E71" w:rsidRPr="00024FA5" w:rsidRDefault="001A70CE" w:rsidP="008A1CFF">
      <w:pPr>
        <w:numPr>
          <w:ilvl w:val="0"/>
          <w:numId w:val="34"/>
        </w:numPr>
        <w:tabs>
          <w:tab w:val="clear" w:pos="720"/>
          <w:tab w:val="num" w:pos="567"/>
        </w:tabs>
        <w:ind w:left="567" w:hanging="567"/>
        <w:rPr>
          <w:sz w:val="22"/>
          <w:szCs w:val="22"/>
        </w:rPr>
      </w:pPr>
      <w:r w:rsidRPr="00024FA5">
        <w:rPr>
          <w:sz w:val="22"/>
          <w:szCs w:val="22"/>
        </w:rPr>
        <w:t>prevencia nauzey a </w:t>
      </w:r>
      <w:r w:rsidR="00D506A0" w:rsidRPr="00024FA5">
        <w:rPr>
          <w:sz w:val="22"/>
          <w:szCs w:val="22"/>
        </w:rPr>
        <w:t xml:space="preserve">vracania </w:t>
      </w:r>
      <w:r w:rsidRPr="00024FA5">
        <w:rPr>
          <w:sz w:val="22"/>
          <w:szCs w:val="22"/>
        </w:rPr>
        <w:t>v</w:t>
      </w:r>
      <w:r w:rsidR="00654060" w:rsidRPr="00024FA5">
        <w:rPr>
          <w:sz w:val="22"/>
          <w:szCs w:val="22"/>
        </w:rPr>
        <w:t> </w:t>
      </w:r>
      <w:r w:rsidRPr="00024FA5">
        <w:rPr>
          <w:sz w:val="22"/>
          <w:szCs w:val="22"/>
        </w:rPr>
        <w:t>dôsledku chemoterapie rakoviny</w:t>
      </w:r>
    </w:p>
    <w:p w14:paraId="0B075F2C" w14:textId="77777777" w:rsidR="000F2E71" w:rsidRPr="00024FA5" w:rsidRDefault="000F2E71" w:rsidP="008A1CFF">
      <w:pPr>
        <w:tabs>
          <w:tab w:val="left" w:pos="567"/>
        </w:tabs>
        <w:rPr>
          <w:sz w:val="22"/>
          <w:szCs w:val="22"/>
        </w:rPr>
      </w:pPr>
    </w:p>
    <w:p w14:paraId="34DADB33" w14:textId="77777777" w:rsidR="000F2E71" w:rsidRPr="00024FA5" w:rsidRDefault="0092328B" w:rsidP="00665C1B">
      <w:pPr>
        <w:keepNext/>
        <w:tabs>
          <w:tab w:val="left" w:pos="567"/>
        </w:tabs>
        <w:rPr>
          <w:b/>
          <w:sz w:val="22"/>
          <w:szCs w:val="22"/>
        </w:rPr>
      </w:pPr>
      <w:r w:rsidRPr="00024FA5">
        <w:rPr>
          <w:b/>
          <w:sz w:val="22"/>
          <w:szCs w:val="22"/>
        </w:rPr>
        <w:lastRenderedPageBreak/>
        <w:t>4.2</w:t>
      </w:r>
      <w:r w:rsidRPr="00024FA5">
        <w:rPr>
          <w:b/>
          <w:sz w:val="22"/>
          <w:szCs w:val="22"/>
        </w:rPr>
        <w:tab/>
      </w:r>
      <w:r w:rsidR="001A70CE" w:rsidRPr="00024FA5">
        <w:rPr>
          <w:b/>
          <w:sz w:val="22"/>
          <w:szCs w:val="22"/>
        </w:rPr>
        <w:t>Dávkovanie a</w:t>
      </w:r>
      <w:r w:rsidR="008F7F3D" w:rsidRPr="00024FA5">
        <w:rPr>
          <w:b/>
          <w:sz w:val="22"/>
          <w:szCs w:val="22"/>
        </w:rPr>
        <w:t> </w:t>
      </w:r>
      <w:r w:rsidR="001A70CE" w:rsidRPr="00024FA5">
        <w:rPr>
          <w:b/>
          <w:sz w:val="22"/>
          <w:szCs w:val="22"/>
        </w:rPr>
        <w:t>spôsob pod</w:t>
      </w:r>
      <w:r w:rsidR="00C752C7" w:rsidRPr="00024FA5">
        <w:rPr>
          <w:b/>
          <w:sz w:val="22"/>
          <w:szCs w:val="22"/>
        </w:rPr>
        <w:t>áv</w:t>
      </w:r>
      <w:r w:rsidR="001A70CE" w:rsidRPr="00024FA5">
        <w:rPr>
          <w:b/>
          <w:sz w:val="22"/>
          <w:szCs w:val="22"/>
        </w:rPr>
        <w:t>ania</w:t>
      </w:r>
    </w:p>
    <w:p w14:paraId="4B18008E" w14:textId="77777777" w:rsidR="000F2E71" w:rsidRPr="00024FA5" w:rsidRDefault="000F2E71" w:rsidP="00665C1B">
      <w:pPr>
        <w:keepNext/>
        <w:tabs>
          <w:tab w:val="left" w:pos="567"/>
        </w:tabs>
        <w:rPr>
          <w:sz w:val="22"/>
          <w:szCs w:val="22"/>
        </w:rPr>
      </w:pPr>
    </w:p>
    <w:p w14:paraId="72DA16EF" w14:textId="77777777" w:rsidR="00C9087C" w:rsidRPr="0024313B" w:rsidRDefault="00C9087C" w:rsidP="00665C1B">
      <w:pPr>
        <w:keepNext/>
        <w:tabs>
          <w:tab w:val="left" w:pos="567"/>
        </w:tabs>
        <w:rPr>
          <w:sz w:val="22"/>
          <w:szCs w:val="22"/>
          <w:u w:val="single"/>
        </w:rPr>
      </w:pPr>
      <w:r w:rsidRPr="0024313B">
        <w:rPr>
          <w:sz w:val="22"/>
          <w:szCs w:val="22"/>
          <w:u w:val="single"/>
        </w:rPr>
        <w:t>Dávkovanie</w:t>
      </w:r>
    </w:p>
    <w:p w14:paraId="33AEB660" w14:textId="77777777" w:rsidR="00A5550B" w:rsidRPr="0024313B" w:rsidRDefault="00A5550B" w:rsidP="00665C1B">
      <w:pPr>
        <w:keepNext/>
        <w:tabs>
          <w:tab w:val="left" w:pos="567"/>
        </w:tabs>
        <w:rPr>
          <w:sz w:val="22"/>
          <w:szCs w:val="22"/>
          <w:u w:val="single"/>
        </w:rPr>
      </w:pPr>
    </w:p>
    <w:p w14:paraId="50975BEA" w14:textId="77777777" w:rsidR="0009276C" w:rsidRPr="00E90D78" w:rsidRDefault="0009276C" w:rsidP="0009276C">
      <w:pPr>
        <w:pStyle w:val="Zarkazkladnhotextu3"/>
        <w:keepNext/>
        <w:tabs>
          <w:tab w:val="left" w:pos="0"/>
          <w:tab w:val="left" w:pos="220"/>
          <w:tab w:val="left" w:pos="1440"/>
        </w:tabs>
        <w:suppressAutoHyphens/>
        <w:spacing w:after="0"/>
        <w:ind w:left="0"/>
        <w:rPr>
          <w:sz w:val="22"/>
          <w:szCs w:val="22"/>
        </w:rPr>
      </w:pPr>
      <w:r w:rsidRPr="00E90D78">
        <w:rPr>
          <w:sz w:val="22"/>
          <w:szCs w:val="22"/>
        </w:rPr>
        <w:t>Požiadavky</w:t>
      </w:r>
      <w:r>
        <w:rPr>
          <w:sz w:val="22"/>
          <w:szCs w:val="22"/>
        </w:rPr>
        <w:t xml:space="preserve"> </w:t>
      </w:r>
      <w:r w:rsidRPr="00E90D78">
        <w:rPr>
          <w:sz w:val="22"/>
          <w:szCs w:val="22"/>
        </w:rPr>
        <w:t>na dávkovanie sú rôzne a musia byť individualizované na základe liečeného ochorenia, jeho závažnosti a reakcie pacienta počas celej doby liečby. V</w:t>
      </w:r>
      <w:r>
        <w:rPr>
          <w:sz w:val="22"/>
          <w:szCs w:val="22"/>
        </w:rPr>
        <w:t> </w:t>
      </w:r>
      <w:r w:rsidRPr="00E90D78">
        <w:rPr>
          <w:sz w:val="22"/>
          <w:szCs w:val="22"/>
        </w:rPr>
        <w:t>každom jednotlivom prípade sa musí neustále rozhodovať o riziku/prínose.</w:t>
      </w:r>
    </w:p>
    <w:p w14:paraId="59ADEE15" w14:textId="77777777" w:rsidR="0009276C" w:rsidRPr="00E90D78" w:rsidRDefault="0009276C" w:rsidP="0009276C">
      <w:pPr>
        <w:pStyle w:val="Zarkazkladnhotextu3"/>
        <w:tabs>
          <w:tab w:val="left" w:pos="0"/>
          <w:tab w:val="left" w:pos="220"/>
          <w:tab w:val="left" w:pos="1440"/>
        </w:tabs>
        <w:suppressAutoHyphens/>
        <w:spacing w:after="0"/>
        <w:ind w:left="0"/>
        <w:rPr>
          <w:sz w:val="22"/>
          <w:szCs w:val="22"/>
        </w:rPr>
      </w:pPr>
    </w:p>
    <w:p w14:paraId="00937FD0" w14:textId="77777777" w:rsidR="0009276C" w:rsidRPr="00E90D78" w:rsidRDefault="0009276C" w:rsidP="0009276C">
      <w:pPr>
        <w:pStyle w:val="Zarkazkladnhotextu3"/>
        <w:tabs>
          <w:tab w:val="left" w:pos="0"/>
          <w:tab w:val="left" w:pos="220"/>
          <w:tab w:val="left" w:pos="1440"/>
        </w:tabs>
        <w:suppressAutoHyphens/>
        <w:spacing w:after="0"/>
        <w:ind w:left="0"/>
        <w:rPr>
          <w:sz w:val="22"/>
          <w:szCs w:val="22"/>
        </w:rPr>
      </w:pPr>
      <w:r w:rsidRPr="00E90D78">
        <w:rPr>
          <w:sz w:val="22"/>
          <w:szCs w:val="22"/>
        </w:rPr>
        <w:t xml:space="preserve">Na kontrolu liečeného stavu </w:t>
      </w:r>
      <w:r>
        <w:rPr>
          <w:sz w:val="22"/>
          <w:szCs w:val="22"/>
        </w:rPr>
        <w:t>sa má</w:t>
      </w:r>
      <w:r w:rsidRPr="00E90D78">
        <w:rPr>
          <w:sz w:val="22"/>
          <w:szCs w:val="22"/>
        </w:rPr>
        <w:t xml:space="preserve"> použi</w:t>
      </w:r>
      <w:r>
        <w:rPr>
          <w:sz w:val="22"/>
          <w:szCs w:val="22"/>
        </w:rPr>
        <w:t>ť</w:t>
      </w:r>
      <w:r w:rsidRPr="00E90D78">
        <w:rPr>
          <w:sz w:val="22"/>
          <w:szCs w:val="22"/>
        </w:rPr>
        <w:t xml:space="preserve"> najnižšia možná dávka kortikosteroidov po čo najkratšiu dobu. Správna udržiavacia dávka </w:t>
      </w:r>
      <w:r>
        <w:rPr>
          <w:sz w:val="22"/>
          <w:szCs w:val="22"/>
        </w:rPr>
        <w:t>sa má</w:t>
      </w:r>
      <w:r w:rsidRPr="00E90D78">
        <w:rPr>
          <w:sz w:val="22"/>
          <w:szCs w:val="22"/>
        </w:rPr>
        <w:t xml:space="preserve"> určiť znížením počiatočnej dávky lieku v</w:t>
      </w:r>
      <w:r>
        <w:rPr>
          <w:sz w:val="22"/>
          <w:szCs w:val="22"/>
        </w:rPr>
        <w:t> </w:t>
      </w:r>
      <w:r w:rsidRPr="00E90D78">
        <w:rPr>
          <w:sz w:val="22"/>
          <w:szCs w:val="22"/>
        </w:rPr>
        <w:t xml:space="preserve">malých úbytkoch vo vhodných časových intervaloch, kým sa nedosiahne najnižšia dávka, ktorá </w:t>
      </w:r>
      <w:r>
        <w:rPr>
          <w:sz w:val="22"/>
          <w:szCs w:val="22"/>
        </w:rPr>
        <w:t>zabezpečí</w:t>
      </w:r>
      <w:r w:rsidRPr="00E90D78">
        <w:rPr>
          <w:sz w:val="22"/>
          <w:szCs w:val="22"/>
        </w:rPr>
        <w:t xml:space="preserve"> primeranú klinickú odpoveď.</w:t>
      </w:r>
    </w:p>
    <w:p w14:paraId="359AFC6B" w14:textId="77777777" w:rsidR="0009276C" w:rsidRPr="00E90D78" w:rsidRDefault="0009276C" w:rsidP="0009276C">
      <w:pPr>
        <w:pStyle w:val="Zarkazkladnhotextu3"/>
        <w:tabs>
          <w:tab w:val="left" w:pos="0"/>
          <w:tab w:val="left" w:pos="220"/>
          <w:tab w:val="left" w:pos="1440"/>
        </w:tabs>
        <w:suppressAutoHyphens/>
        <w:spacing w:after="0"/>
        <w:ind w:left="0"/>
        <w:rPr>
          <w:sz w:val="22"/>
          <w:szCs w:val="22"/>
        </w:rPr>
      </w:pPr>
    </w:p>
    <w:p w14:paraId="15D27502" w14:textId="77777777" w:rsidR="0009276C" w:rsidRPr="00E90D78" w:rsidRDefault="0009276C" w:rsidP="0009276C">
      <w:pPr>
        <w:pStyle w:val="Zarkazkladnhotextu3"/>
        <w:tabs>
          <w:tab w:val="left" w:pos="0"/>
          <w:tab w:val="left" w:pos="220"/>
          <w:tab w:val="left" w:pos="1440"/>
        </w:tabs>
        <w:suppressAutoHyphens/>
        <w:spacing w:after="0"/>
        <w:ind w:left="0"/>
        <w:rPr>
          <w:sz w:val="22"/>
          <w:szCs w:val="22"/>
        </w:rPr>
      </w:pPr>
      <w:r w:rsidRPr="00E90D78">
        <w:rPr>
          <w:sz w:val="22"/>
          <w:szCs w:val="22"/>
        </w:rPr>
        <w:t xml:space="preserve">Ak je nutné liek po dlhodobej liečbe vysadiť, je potrebné ho vysadiť postupne, nie náhle (pozri </w:t>
      </w:r>
      <w:r w:rsidRPr="005A77D8">
        <w:rPr>
          <w:sz w:val="22"/>
          <w:szCs w:val="22"/>
        </w:rPr>
        <w:t>časť 4.4).</w:t>
      </w:r>
    </w:p>
    <w:p w14:paraId="45DF8E64" w14:textId="77777777" w:rsidR="0009276C" w:rsidRPr="00E90D78" w:rsidRDefault="0009276C" w:rsidP="0009276C">
      <w:pPr>
        <w:pStyle w:val="Zarkazkladnhotextu3"/>
        <w:tabs>
          <w:tab w:val="left" w:pos="0"/>
          <w:tab w:val="left" w:pos="220"/>
          <w:tab w:val="left" w:pos="1440"/>
        </w:tabs>
        <w:suppressAutoHyphens/>
        <w:spacing w:after="0"/>
        <w:ind w:left="0"/>
        <w:rPr>
          <w:sz w:val="22"/>
          <w:szCs w:val="22"/>
        </w:rPr>
      </w:pPr>
    </w:p>
    <w:p w14:paraId="2C6662CD" w14:textId="77777777" w:rsidR="0009276C" w:rsidRPr="00142B21" w:rsidRDefault="0009276C" w:rsidP="0009276C">
      <w:pPr>
        <w:pStyle w:val="Zarkazkladnhotextu3"/>
        <w:tabs>
          <w:tab w:val="left" w:pos="0"/>
          <w:tab w:val="left" w:pos="220"/>
          <w:tab w:val="left" w:pos="1440"/>
        </w:tabs>
        <w:suppressAutoHyphens/>
        <w:spacing w:after="0"/>
        <w:ind w:left="0"/>
        <w:rPr>
          <w:sz w:val="22"/>
          <w:szCs w:val="22"/>
        </w:rPr>
      </w:pPr>
      <w:r w:rsidRPr="00E90D78">
        <w:rPr>
          <w:sz w:val="22"/>
          <w:szCs w:val="22"/>
        </w:rPr>
        <w:t xml:space="preserve">Po počiatočnom pohotovostnom období </w:t>
      </w:r>
      <w:r>
        <w:rPr>
          <w:sz w:val="22"/>
          <w:szCs w:val="22"/>
        </w:rPr>
        <w:t>sa má</w:t>
      </w:r>
      <w:r w:rsidRPr="00E90D78">
        <w:rPr>
          <w:sz w:val="22"/>
          <w:szCs w:val="22"/>
        </w:rPr>
        <w:t xml:space="preserve"> zvážiť použitie dlhšie pôsobiaceho injekčn</w:t>
      </w:r>
      <w:r>
        <w:rPr>
          <w:sz w:val="22"/>
          <w:szCs w:val="22"/>
        </w:rPr>
        <w:t>e podávaného</w:t>
      </w:r>
      <w:r w:rsidRPr="00E90D78">
        <w:rPr>
          <w:sz w:val="22"/>
          <w:szCs w:val="22"/>
        </w:rPr>
        <w:t xml:space="preserve"> </w:t>
      </w:r>
      <w:r>
        <w:rPr>
          <w:sz w:val="22"/>
          <w:szCs w:val="22"/>
        </w:rPr>
        <w:t>lieku</w:t>
      </w:r>
      <w:r w:rsidRPr="00E90D78">
        <w:rPr>
          <w:sz w:val="22"/>
          <w:szCs w:val="22"/>
        </w:rPr>
        <w:t xml:space="preserve"> alebo perorálne</w:t>
      </w:r>
      <w:r>
        <w:rPr>
          <w:sz w:val="22"/>
          <w:szCs w:val="22"/>
        </w:rPr>
        <w:t xml:space="preserve"> podávaného lieku</w:t>
      </w:r>
      <w:r w:rsidRPr="00E90D78">
        <w:rPr>
          <w:sz w:val="22"/>
          <w:szCs w:val="22"/>
        </w:rPr>
        <w:t>.</w:t>
      </w:r>
    </w:p>
    <w:p w14:paraId="6EE92F75" w14:textId="77777777" w:rsidR="0009276C" w:rsidRPr="00142B21" w:rsidRDefault="0009276C" w:rsidP="0009276C">
      <w:pPr>
        <w:pStyle w:val="Zarkazkladnhotextu3"/>
        <w:tabs>
          <w:tab w:val="left" w:pos="0"/>
          <w:tab w:val="left" w:pos="220"/>
          <w:tab w:val="left" w:pos="1440"/>
        </w:tabs>
        <w:suppressAutoHyphens/>
        <w:spacing w:after="0"/>
        <w:ind w:left="0"/>
        <w:rPr>
          <w:sz w:val="22"/>
          <w:szCs w:val="22"/>
        </w:rPr>
      </w:pPr>
    </w:p>
    <w:p w14:paraId="02CE854F" w14:textId="77777777" w:rsidR="0009276C" w:rsidRPr="00E90D78" w:rsidRDefault="0009276C" w:rsidP="0009276C">
      <w:pPr>
        <w:pStyle w:val="Zarkazkladnhotextu3"/>
        <w:tabs>
          <w:tab w:val="left" w:pos="0"/>
          <w:tab w:val="left" w:pos="220"/>
          <w:tab w:val="left" w:pos="1440"/>
        </w:tabs>
        <w:suppressAutoHyphens/>
        <w:spacing w:after="0"/>
        <w:ind w:left="0"/>
        <w:rPr>
          <w:sz w:val="22"/>
          <w:szCs w:val="22"/>
        </w:rPr>
      </w:pPr>
      <w:bookmarkStart w:id="0" w:name="_Hlk71300934"/>
      <w:bookmarkStart w:id="1" w:name="_Hlk71300880"/>
      <w:r w:rsidRPr="00E90D78">
        <w:rPr>
          <w:sz w:val="22"/>
          <w:szCs w:val="22"/>
        </w:rPr>
        <w:t xml:space="preserve">Ako podpornú liečbu v život ohrozujúcich podmienkach podávajte 30 mg/kg </w:t>
      </w:r>
      <w:r>
        <w:rPr>
          <w:sz w:val="22"/>
          <w:szCs w:val="22"/>
        </w:rPr>
        <w:t>intravenózne</w:t>
      </w:r>
      <w:r w:rsidRPr="00E90D78">
        <w:rPr>
          <w:sz w:val="22"/>
          <w:szCs w:val="22"/>
        </w:rPr>
        <w:t xml:space="preserve"> po</w:t>
      </w:r>
      <w:r>
        <w:rPr>
          <w:sz w:val="22"/>
          <w:szCs w:val="22"/>
        </w:rPr>
        <w:t> </w:t>
      </w:r>
      <w:r w:rsidRPr="00E90D78">
        <w:rPr>
          <w:sz w:val="22"/>
          <w:szCs w:val="22"/>
        </w:rPr>
        <w:t xml:space="preserve">dobu najmenej 30 minút. Dávka sa môže opakovať každých </w:t>
      </w:r>
      <w:r w:rsidR="00D15947" w:rsidRPr="00665C1B">
        <w:rPr>
          <w:sz w:val="22"/>
          <w:szCs w:val="22"/>
        </w:rPr>
        <w:t>4</w:t>
      </w:r>
      <w:r w:rsidRPr="00F90CF1">
        <w:rPr>
          <w:sz w:val="22"/>
          <w:szCs w:val="22"/>
        </w:rPr>
        <w:t xml:space="preserve"> až </w:t>
      </w:r>
      <w:r w:rsidR="00D15947" w:rsidRPr="00665C1B">
        <w:rPr>
          <w:sz w:val="22"/>
          <w:szCs w:val="22"/>
        </w:rPr>
        <w:t>6</w:t>
      </w:r>
      <w:r w:rsidRPr="00F90CF1">
        <w:rPr>
          <w:sz w:val="22"/>
          <w:szCs w:val="22"/>
        </w:rPr>
        <w:t xml:space="preserve"> hodín</w:t>
      </w:r>
      <w:r w:rsidRPr="00E90D78">
        <w:rPr>
          <w:sz w:val="22"/>
          <w:szCs w:val="22"/>
        </w:rPr>
        <w:t xml:space="preserve"> až po dobu 48 hodín.</w:t>
      </w:r>
    </w:p>
    <w:bookmarkEnd w:id="0"/>
    <w:p w14:paraId="47DCC718" w14:textId="77777777" w:rsidR="0009276C" w:rsidRPr="00E90D78" w:rsidRDefault="0009276C" w:rsidP="0009276C">
      <w:pPr>
        <w:pStyle w:val="Zarkazkladnhotextu3"/>
        <w:tabs>
          <w:tab w:val="left" w:pos="0"/>
          <w:tab w:val="left" w:pos="220"/>
          <w:tab w:val="left" w:pos="1440"/>
        </w:tabs>
        <w:suppressAutoHyphens/>
        <w:spacing w:after="0"/>
        <w:ind w:left="0"/>
        <w:rPr>
          <w:sz w:val="22"/>
          <w:szCs w:val="22"/>
        </w:rPr>
      </w:pPr>
    </w:p>
    <w:p w14:paraId="7BCEC1AE" w14:textId="77777777" w:rsidR="0009276C" w:rsidRPr="0083715D" w:rsidRDefault="0009276C" w:rsidP="0009276C">
      <w:pPr>
        <w:pStyle w:val="Zarkazkladnhotextu3"/>
        <w:tabs>
          <w:tab w:val="left" w:pos="0"/>
          <w:tab w:val="left" w:pos="220"/>
          <w:tab w:val="left" w:pos="1440"/>
        </w:tabs>
        <w:suppressAutoHyphens/>
        <w:spacing w:after="0"/>
        <w:ind w:left="0"/>
        <w:rPr>
          <w:sz w:val="22"/>
          <w:szCs w:val="22"/>
        </w:rPr>
      </w:pPr>
      <w:r w:rsidRPr="00E90D78">
        <w:rPr>
          <w:sz w:val="22"/>
          <w:szCs w:val="22"/>
        </w:rPr>
        <w:t>I</w:t>
      </w:r>
      <w:r>
        <w:rPr>
          <w:sz w:val="22"/>
          <w:szCs w:val="22"/>
        </w:rPr>
        <w:t>ntravenózne</w:t>
      </w:r>
      <w:r w:rsidRPr="00E90D78">
        <w:rPr>
          <w:sz w:val="22"/>
          <w:szCs w:val="22"/>
        </w:rPr>
        <w:t xml:space="preserve"> pulzy </w:t>
      </w:r>
      <w:proofErr w:type="spellStart"/>
      <w:r w:rsidRPr="00E90D78">
        <w:rPr>
          <w:sz w:val="22"/>
          <w:szCs w:val="22"/>
        </w:rPr>
        <w:t>metylprednizolónu</w:t>
      </w:r>
      <w:proofErr w:type="spellEnd"/>
      <w:r w:rsidRPr="00E90D78">
        <w:rPr>
          <w:sz w:val="22"/>
          <w:szCs w:val="22"/>
        </w:rPr>
        <w:t>, pozostávajúce z pod</w:t>
      </w:r>
      <w:r>
        <w:rPr>
          <w:sz w:val="22"/>
          <w:szCs w:val="22"/>
        </w:rPr>
        <w:t>áva</w:t>
      </w:r>
      <w:r w:rsidRPr="00E90D78">
        <w:rPr>
          <w:sz w:val="22"/>
          <w:szCs w:val="22"/>
        </w:rPr>
        <w:t xml:space="preserve">nia dávky 250 mg/deň </w:t>
      </w:r>
      <w:r>
        <w:rPr>
          <w:sz w:val="22"/>
          <w:szCs w:val="22"/>
        </w:rPr>
        <w:t xml:space="preserve">- </w:t>
      </w:r>
      <w:r w:rsidRPr="00665C1B">
        <w:rPr>
          <w:sz w:val="22"/>
          <w:szCs w:val="22"/>
        </w:rPr>
        <w:t>1 000 mg/deň a</w:t>
      </w:r>
      <w:r w:rsidRPr="0009276C">
        <w:rPr>
          <w:sz w:val="22"/>
          <w:szCs w:val="22"/>
        </w:rPr>
        <w:t>lebo vyššej po dobu n</w:t>
      </w:r>
      <w:r w:rsidRPr="00705DB4">
        <w:rPr>
          <w:sz w:val="22"/>
          <w:szCs w:val="22"/>
        </w:rPr>
        <w:t>iekoľkých dní (zvyčajne ≤ 5 dní), môžu byť vhodné počas</w:t>
      </w:r>
      <w:r w:rsidR="0083715D">
        <w:rPr>
          <w:sz w:val="22"/>
          <w:szCs w:val="22"/>
        </w:rPr>
        <w:t> </w:t>
      </w:r>
      <w:r w:rsidRPr="00705DB4">
        <w:rPr>
          <w:sz w:val="22"/>
          <w:szCs w:val="22"/>
        </w:rPr>
        <w:t xml:space="preserve">epizód </w:t>
      </w:r>
      <w:proofErr w:type="spellStart"/>
      <w:r w:rsidRPr="00705DB4">
        <w:rPr>
          <w:sz w:val="22"/>
          <w:szCs w:val="22"/>
        </w:rPr>
        <w:t>exacerbácie</w:t>
      </w:r>
      <w:proofErr w:type="spellEnd"/>
      <w:r w:rsidRPr="00705DB4">
        <w:rPr>
          <w:sz w:val="22"/>
          <w:szCs w:val="22"/>
        </w:rPr>
        <w:t xml:space="preserve"> alebo stavov nereagujúcich na štandardnú liečbu, akými sú: reumatické poruchy, systémový </w:t>
      </w:r>
      <w:proofErr w:type="spellStart"/>
      <w:r w:rsidRPr="00705DB4">
        <w:rPr>
          <w:sz w:val="22"/>
          <w:szCs w:val="22"/>
        </w:rPr>
        <w:t>lupus</w:t>
      </w:r>
      <w:proofErr w:type="spellEnd"/>
      <w:r w:rsidRPr="00705DB4">
        <w:rPr>
          <w:sz w:val="22"/>
          <w:szCs w:val="22"/>
        </w:rPr>
        <w:t xml:space="preserve"> </w:t>
      </w:r>
      <w:proofErr w:type="spellStart"/>
      <w:r w:rsidRPr="00705DB4">
        <w:rPr>
          <w:sz w:val="22"/>
          <w:szCs w:val="22"/>
        </w:rPr>
        <w:t>erythematosus</w:t>
      </w:r>
      <w:proofErr w:type="spellEnd"/>
      <w:r w:rsidRPr="00705DB4">
        <w:rPr>
          <w:sz w:val="22"/>
          <w:szCs w:val="22"/>
        </w:rPr>
        <w:t xml:space="preserve">, edémové stavy, </w:t>
      </w:r>
      <w:proofErr w:type="spellStart"/>
      <w:r w:rsidRPr="00705DB4">
        <w:rPr>
          <w:sz w:val="22"/>
          <w:szCs w:val="22"/>
        </w:rPr>
        <w:t>glomerulonefritída</w:t>
      </w:r>
      <w:proofErr w:type="spellEnd"/>
      <w:r w:rsidRPr="00705DB4">
        <w:rPr>
          <w:sz w:val="22"/>
          <w:szCs w:val="22"/>
        </w:rPr>
        <w:t xml:space="preserve"> alebo </w:t>
      </w:r>
      <w:proofErr w:type="spellStart"/>
      <w:r w:rsidRPr="00705DB4">
        <w:rPr>
          <w:sz w:val="22"/>
          <w:szCs w:val="22"/>
        </w:rPr>
        <w:t>lupusová</w:t>
      </w:r>
      <w:proofErr w:type="spellEnd"/>
      <w:r w:rsidRPr="00705DB4">
        <w:rPr>
          <w:sz w:val="22"/>
          <w:szCs w:val="22"/>
        </w:rPr>
        <w:t xml:space="preserve"> </w:t>
      </w:r>
      <w:proofErr w:type="spellStart"/>
      <w:r w:rsidRPr="00705DB4">
        <w:rPr>
          <w:sz w:val="22"/>
          <w:szCs w:val="22"/>
        </w:rPr>
        <w:t>nefritída</w:t>
      </w:r>
      <w:proofErr w:type="spellEnd"/>
      <w:r w:rsidRPr="00705DB4">
        <w:rPr>
          <w:sz w:val="22"/>
          <w:szCs w:val="22"/>
        </w:rPr>
        <w:t xml:space="preserve">. Pri roztrúsenej skleróze počas </w:t>
      </w:r>
      <w:r w:rsidRPr="0083715D">
        <w:rPr>
          <w:sz w:val="22"/>
          <w:szCs w:val="22"/>
        </w:rPr>
        <w:t xml:space="preserve">akútnych </w:t>
      </w:r>
      <w:proofErr w:type="spellStart"/>
      <w:r w:rsidRPr="0083715D">
        <w:rPr>
          <w:sz w:val="22"/>
          <w:szCs w:val="22"/>
        </w:rPr>
        <w:t>exacerbácií</w:t>
      </w:r>
      <w:proofErr w:type="spellEnd"/>
      <w:r w:rsidRPr="0083715D">
        <w:rPr>
          <w:sz w:val="22"/>
          <w:szCs w:val="22"/>
        </w:rPr>
        <w:t>/relapsov podávajte pulzy v dávke 500 mg/deň počas 5 dní alebo 1 g/deň počas 3 alebo 5 dní po dobu 30 minút s odporúčaným časom podania ráno.</w:t>
      </w:r>
    </w:p>
    <w:p w14:paraId="45E91883" w14:textId="77777777" w:rsidR="0009276C" w:rsidRPr="00AD1D48" w:rsidRDefault="0009276C" w:rsidP="0009276C">
      <w:pPr>
        <w:rPr>
          <w:sz w:val="22"/>
          <w:szCs w:val="22"/>
        </w:rPr>
      </w:pPr>
    </w:p>
    <w:bookmarkEnd w:id="1"/>
    <w:p w14:paraId="1A5E2D70" w14:textId="77777777" w:rsidR="0009276C" w:rsidRDefault="0009276C" w:rsidP="0009276C">
      <w:pPr>
        <w:rPr>
          <w:sz w:val="22"/>
          <w:szCs w:val="22"/>
        </w:rPr>
      </w:pPr>
      <w:r w:rsidRPr="00AD1D48">
        <w:rPr>
          <w:sz w:val="22"/>
          <w:szCs w:val="22"/>
        </w:rPr>
        <w:t>Počiatočná dávka sa má pri podpornej liečbe pri iných stavoch pohybovať od 10 do 500 mg i</w:t>
      </w:r>
      <w:r w:rsidRPr="00665C1B">
        <w:rPr>
          <w:sz w:val="22"/>
          <w:szCs w:val="22"/>
        </w:rPr>
        <w:t>ntravenózne/</w:t>
      </w:r>
      <w:proofErr w:type="spellStart"/>
      <w:r w:rsidRPr="00665C1B">
        <w:rPr>
          <w:sz w:val="22"/>
          <w:szCs w:val="22"/>
        </w:rPr>
        <w:t>intramuskulárne</w:t>
      </w:r>
      <w:proofErr w:type="spellEnd"/>
      <w:r w:rsidRPr="00665C1B">
        <w:rPr>
          <w:sz w:val="22"/>
          <w:szCs w:val="22"/>
        </w:rPr>
        <w:t xml:space="preserve"> v závislosti od klinického stavu, ale intravenózne podanie sa preferuje pre rýchlejší nástup účinku. Na</w:t>
      </w:r>
      <w:r w:rsidRPr="0009276C">
        <w:rPr>
          <w:sz w:val="22"/>
          <w:szCs w:val="22"/>
        </w:rPr>
        <w:t xml:space="preserve"> k</w:t>
      </w:r>
      <w:r w:rsidRPr="00142B21">
        <w:rPr>
          <w:sz w:val="22"/>
          <w:szCs w:val="22"/>
        </w:rPr>
        <w:t xml:space="preserve">rátkodobé zvládnutie závažných akútnych stavov môžu byť potrebné vyššie dávky. Počiatočné dávky do 250 mg sa majú podávať intravenózne po dobu najmenej 5 minút, zatiaľ čo vyššie dávky sa majú podávať najmenej po dobu 30 minút. Následné dávky môžu byť podávané intravenózne alebo </w:t>
      </w:r>
      <w:proofErr w:type="spellStart"/>
      <w:r w:rsidRPr="00142B21">
        <w:rPr>
          <w:sz w:val="22"/>
          <w:szCs w:val="22"/>
        </w:rPr>
        <w:t>intramuskulárne</w:t>
      </w:r>
      <w:proofErr w:type="spellEnd"/>
      <w:r w:rsidRPr="00142B21">
        <w:rPr>
          <w:sz w:val="22"/>
          <w:szCs w:val="22"/>
        </w:rPr>
        <w:t xml:space="preserve"> v intervaloch v závislosti od</w:t>
      </w:r>
      <w:r w:rsidR="0083715D">
        <w:rPr>
          <w:sz w:val="22"/>
          <w:szCs w:val="22"/>
        </w:rPr>
        <w:t> </w:t>
      </w:r>
      <w:r w:rsidRPr="00142B21">
        <w:rPr>
          <w:sz w:val="22"/>
          <w:szCs w:val="22"/>
        </w:rPr>
        <w:t>reakcie a klinického stavu pacienta.</w:t>
      </w:r>
    </w:p>
    <w:p w14:paraId="2A01DEFB" w14:textId="77777777" w:rsidR="0009276C" w:rsidRDefault="0009276C" w:rsidP="0009276C">
      <w:pPr>
        <w:rPr>
          <w:sz w:val="22"/>
          <w:szCs w:val="22"/>
        </w:rPr>
      </w:pPr>
    </w:p>
    <w:p w14:paraId="24D40CFD" w14:textId="77777777" w:rsidR="0009276C" w:rsidRPr="00665C1B" w:rsidRDefault="0009276C" w:rsidP="0009276C">
      <w:pPr>
        <w:rPr>
          <w:sz w:val="22"/>
          <w:szCs w:val="22"/>
          <w:u w:val="single"/>
        </w:rPr>
      </w:pPr>
      <w:r w:rsidRPr="00665C1B">
        <w:rPr>
          <w:sz w:val="22"/>
          <w:szCs w:val="22"/>
          <w:u w:val="single"/>
        </w:rPr>
        <w:t>Akútne poškodenie miechy</w:t>
      </w:r>
    </w:p>
    <w:p w14:paraId="76031C86" w14:textId="77777777" w:rsidR="0009276C" w:rsidRPr="00B4355F" w:rsidRDefault="0009276C" w:rsidP="0009276C">
      <w:pPr>
        <w:rPr>
          <w:sz w:val="22"/>
          <w:szCs w:val="22"/>
        </w:rPr>
      </w:pPr>
      <w:r w:rsidRPr="00142B21">
        <w:rPr>
          <w:sz w:val="22"/>
          <w:szCs w:val="22"/>
        </w:rPr>
        <w:t>N</w:t>
      </w:r>
      <w:r w:rsidRPr="00B4355F">
        <w:rPr>
          <w:sz w:val="22"/>
          <w:szCs w:val="22"/>
        </w:rPr>
        <w:t>ie sú k dispozícii dostatočné údaje na stanovenie dávk</w:t>
      </w:r>
      <w:r w:rsidRPr="00142B21">
        <w:rPr>
          <w:sz w:val="22"/>
          <w:szCs w:val="22"/>
        </w:rPr>
        <w:t>ovania</w:t>
      </w:r>
      <w:r w:rsidRPr="00B4355F">
        <w:rPr>
          <w:sz w:val="22"/>
          <w:szCs w:val="22"/>
        </w:rPr>
        <w:t xml:space="preserve"> (pozri časť 5.1).</w:t>
      </w:r>
    </w:p>
    <w:p w14:paraId="706A3FFB" w14:textId="77777777" w:rsidR="0009276C" w:rsidRPr="00B4355F" w:rsidRDefault="0009276C" w:rsidP="0009276C">
      <w:pPr>
        <w:tabs>
          <w:tab w:val="left" w:pos="567"/>
        </w:tabs>
        <w:rPr>
          <w:sz w:val="22"/>
          <w:szCs w:val="22"/>
        </w:rPr>
      </w:pPr>
    </w:p>
    <w:p w14:paraId="37257167" w14:textId="77777777" w:rsidR="0009276C" w:rsidRPr="00665C1B" w:rsidRDefault="0009276C" w:rsidP="0009276C">
      <w:pPr>
        <w:tabs>
          <w:tab w:val="left" w:pos="0"/>
        </w:tabs>
        <w:rPr>
          <w:sz w:val="22"/>
          <w:szCs w:val="22"/>
          <w:u w:val="single"/>
        </w:rPr>
      </w:pPr>
      <w:r w:rsidRPr="00665C1B">
        <w:rPr>
          <w:sz w:val="22"/>
          <w:szCs w:val="22"/>
          <w:u w:val="single"/>
        </w:rPr>
        <w:t xml:space="preserve">Pneumónia spôsobená </w:t>
      </w:r>
      <w:proofErr w:type="spellStart"/>
      <w:r w:rsidRPr="00665C1B">
        <w:rPr>
          <w:i/>
          <w:iCs/>
          <w:sz w:val="22"/>
          <w:szCs w:val="22"/>
          <w:u w:val="single"/>
        </w:rPr>
        <w:t>Pneumocystis</w:t>
      </w:r>
      <w:proofErr w:type="spellEnd"/>
      <w:r w:rsidRPr="00665C1B">
        <w:rPr>
          <w:i/>
          <w:iCs/>
          <w:sz w:val="22"/>
          <w:szCs w:val="22"/>
          <w:u w:val="single"/>
        </w:rPr>
        <w:t xml:space="preserve"> </w:t>
      </w:r>
      <w:proofErr w:type="spellStart"/>
      <w:r w:rsidRPr="00665C1B">
        <w:rPr>
          <w:i/>
          <w:iCs/>
          <w:sz w:val="22"/>
          <w:szCs w:val="22"/>
          <w:u w:val="single"/>
        </w:rPr>
        <w:t>jiroveci</w:t>
      </w:r>
      <w:r w:rsidR="003E1749">
        <w:rPr>
          <w:i/>
          <w:iCs/>
          <w:sz w:val="22"/>
          <w:szCs w:val="22"/>
          <w:u w:val="single"/>
        </w:rPr>
        <w:t>i</w:t>
      </w:r>
      <w:proofErr w:type="spellEnd"/>
    </w:p>
    <w:p w14:paraId="327C4194" w14:textId="77777777" w:rsidR="0009276C" w:rsidRDefault="0009276C" w:rsidP="0009276C">
      <w:pPr>
        <w:rPr>
          <w:sz w:val="22"/>
          <w:szCs w:val="22"/>
        </w:rPr>
      </w:pPr>
      <w:r w:rsidRPr="00142B21">
        <w:rPr>
          <w:sz w:val="22"/>
          <w:szCs w:val="22"/>
        </w:rPr>
        <w:t>Nie sú k dispozícii dostatočné údaje na stanovenie dávkovania (pozri časť 5.1).</w:t>
      </w:r>
    </w:p>
    <w:p w14:paraId="63EC9757" w14:textId="77777777" w:rsidR="0009276C" w:rsidRPr="00142B21" w:rsidRDefault="0009276C" w:rsidP="0009276C">
      <w:pPr>
        <w:rPr>
          <w:sz w:val="22"/>
          <w:szCs w:val="22"/>
        </w:rPr>
      </w:pPr>
    </w:p>
    <w:p w14:paraId="0676D6E0" w14:textId="77777777" w:rsidR="0009276C" w:rsidRPr="009876B2" w:rsidRDefault="0009276C" w:rsidP="0009276C">
      <w:pPr>
        <w:rPr>
          <w:i/>
          <w:iCs/>
          <w:sz w:val="22"/>
          <w:szCs w:val="22"/>
        </w:rPr>
      </w:pPr>
      <w:r w:rsidRPr="009876B2">
        <w:rPr>
          <w:i/>
          <w:iCs/>
          <w:sz w:val="22"/>
          <w:szCs w:val="22"/>
        </w:rPr>
        <w:t>Pediatrická populácia</w:t>
      </w:r>
    </w:p>
    <w:p w14:paraId="181E02EE" w14:textId="77777777" w:rsidR="0009276C" w:rsidRPr="00665C1B" w:rsidRDefault="0009276C" w:rsidP="0009276C">
      <w:pPr>
        <w:rPr>
          <w:sz w:val="22"/>
          <w:szCs w:val="22"/>
        </w:rPr>
      </w:pPr>
      <w:r w:rsidRPr="00665C1B">
        <w:rPr>
          <w:sz w:val="22"/>
          <w:szCs w:val="22"/>
        </w:rPr>
        <w:t xml:space="preserve">Pri liečbe vysokými dávkami pre indikácie ako sú hematologické, reumatické, obličkové a kožné ochorenia, sa odporúča dávka 30 mg/kg/deň </w:t>
      </w:r>
      <w:r w:rsidR="00435E64" w:rsidRPr="00E87E71">
        <w:rPr>
          <w:sz w:val="22"/>
          <w:szCs w:val="22"/>
        </w:rPr>
        <w:t xml:space="preserve">do maximálnej dávky </w:t>
      </w:r>
      <w:r w:rsidRPr="00665C1B">
        <w:rPr>
          <w:sz w:val="22"/>
          <w:szCs w:val="22"/>
        </w:rPr>
        <w:t>1 g/deň. Toto dávkovanie sa môže opakovať v troch po sebe nasledujúcich cykloch denne alebo každý druhý deň.</w:t>
      </w:r>
    </w:p>
    <w:p w14:paraId="526316BD" w14:textId="77777777" w:rsidR="0009276C" w:rsidRPr="00665C1B" w:rsidRDefault="0009276C" w:rsidP="0009276C">
      <w:pPr>
        <w:rPr>
          <w:sz w:val="22"/>
          <w:szCs w:val="22"/>
        </w:rPr>
      </w:pPr>
      <w:r w:rsidRPr="00665C1B">
        <w:rPr>
          <w:sz w:val="22"/>
          <w:szCs w:val="22"/>
        </w:rPr>
        <w:t xml:space="preserve">Pri liečbe </w:t>
      </w:r>
      <w:r w:rsidR="003E1749">
        <w:rPr>
          <w:sz w:val="22"/>
          <w:szCs w:val="22"/>
        </w:rPr>
        <w:t>odvrhnutia</w:t>
      </w:r>
      <w:r w:rsidRPr="00665C1B">
        <w:rPr>
          <w:sz w:val="22"/>
          <w:szCs w:val="22"/>
        </w:rPr>
        <w:t xml:space="preserve"> štepu po transplantácii sa odporúča dávka 10 až 20 mg/kg/deň počas 3 dní až do maximálnej dávky 1g/deň. Pri liečbe astmatických stavov sa odporúča dávka 1 až 4 mg/kg/deň po dobu 1 až 3 dní. </w:t>
      </w:r>
    </w:p>
    <w:p w14:paraId="3E6C25EE" w14:textId="77777777" w:rsidR="0009276C" w:rsidRPr="00142B21" w:rsidRDefault="0009276C" w:rsidP="0009276C">
      <w:pPr>
        <w:rPr>
          <w:sz w:val="22"/>
          <w:szCs w:val="22"/>
        </w:rPr>
      </w:pPr>
      <w:r w:rsidRPr="00665C1B">
        <w:rPr>
          <w:sz w:val="22"/>
          <w:szCs w:val="22"/>
        </w:rPr>
        <w:lastRenderedPageBreak/>
        <w:t>Pri podávaní dojčatám a deťom sa môže znížiť dávkovanie, ale je potrebné riadiť sa závažnosťou stavu a odpoveďou pacienta, nielen priemerným vekom alebo hmotnosťou pacienta. Pediatrická dávka nemá byť nižšia ako 0,5 mg/kg každých 24 hodín.</w:t>
      </w:r>
    </w:p>
    <w:p w14:paraId="55F7EA0F" w14:textId="77777777" w:rsidR="008068D3" w:rsidRDefault="008068D3" w:rsidP="006E5190">
      <w:pPr>
        <w:tabs>
          <w:tab w:val="left" w:pos="-480"/>
          <w:tab w:val="left" w:pos="414"/>
          <w:tab w:val="left" w:pos="828"/>
          <w:tab w:val="left" w:pos="1242"/>
        </w:tabs>
        <w:suppressAutoHyphens/>
        <w:rPr>
          <w:sz w:val="22"/>
          <w:szCs w:val="22"/>
        </w:rPr>
      </w:pPr>
    </w:p>
    <w:p w14:paraId="22DB300C" w14:textId="77777777" w:rsidR="008068D3" w:rsidRPr="00665C1B" w:rsidRDefault="008068D3" w:rsidP="008068D3">
      <w:pPr>
        <w:tabs>
          <w:tab w:val="left" w:pos="567"/>
        </w:tabs>
        <w:rPr>
          <w:bCs/>
          <w:sz w:val="22"/>
          <w:szCs w:val="22"/>
          <w:u w:val="single"/>
        </w:rPr>
      </w:pPr>
      <w:r w:rsidRPr="00665C1B">
        <w:rPr>
          <w:bCs/>
          <w:sz w:val="22"/>
          <w:szCs w:val="22"/>
          <w:u w:val="single"/>
        </w:rPr>
        <w:t>Pacienti s poruchou funkcie pečene a obličiek</w:t>
      </w:r>
    </w:p>
    <w:p w14:paraId="4DCEF3BB" w14:textId="77777777" w:rsidR="008068D3" w:rsidRPr="00946955" w:rsidRDefault="008068D3" w:rsidP="00946955">
      <w:pPr>
        <w:pStyle w:val="Paragraph"/>
        <w:spacing w:after="0"/>
        <w:rPr>
          <w:sz w:val="22"/>
          <w:szCs w:val="22"/>
          <w:lang w:val="sk-SK"/>
        </w:rPr>
      </w:pPr>
      <w:r w:rsidRPr="00946955">
        <w:rPr>
          <w:sz w:val="22"/>
          <w:szCs w:val="22"/>
          <w:lang w:val="sk-SK"/>
        </w:rPr>
        <w:t xml:space="preserve">Kortikosteroidy sa majú používať s opatrnosťou u pacientov s poruchou funkcie pečene a obličiek, pričom sa odporúča následné monitorovania pacienta. </w:t>
      </w:r>
      <w:r w:rsidRPr="00946955">
        <w:rPr>
          <w:rStyle w:val="TableText9"/>
          <w:sz w:val="22"/>
          <w:szCs w:val="22"/>
          <w:lang w:val="sk-SK"/>
        </w:rPr>
        <w:t>Pri poruche funkcie obličiek nie je potrebná úprava dávkovania.</w:t>
      </w:r>
      <w:r w:rsidR="00CF22B7" w:rsidRPr="00946955">
        <w:rPr>
          <w:rStyle w:val="TableText9"/>
          <w:sz w:val="22"/>
          <w:szCs w:val="22"/>
          <w:lang w:val="sk-SK"/>
        </w:rPr>
        <w:t xml:space="preserve"> Pozri časť 4.4.</w:t>
      </w:r>
    </w:p>
    <w:p w14:paraId="17692FB1" w14:textId="77777777" w:rsidR="000F2E71" w:rsidRDefault="000F2E71" w:rsidP="008A1CFF">
      <w:pPr>
        <w:tabs>
          <w:tab w:val="left" w:pos="567"/>
        </w:tabs>
        <w:rPr>
          <w:sz w:val="22"/>
          <w:szCs w:val="22"/>
        </w:rPr>
      </w:pPr>
    </w:p>
    <w:p w14:paraId="39575C36" w14:textId="77777777" w:rsidR="000D37C2" w:rsidRPr="004478C9" w:rsidRDefault="000D37C2" w:rsidP="008A1CFF">
      <w:pPr>
        <w:tabs>
          <w:tab w:val="left" w:pos="567"/>
        </w:tabs>
        <w:rPr>
          <w:sz w:val="22"/>
          <w:szCs w:val="22"/>
          <w:u w:val="single"/>
        </w:rPr>
      </w:pPr>
      <w:r w:rsidRPr="004478C9">
        <w:rPr>
          <w:sz w:val="22"/>
          <w:szCs w:val="22"/>
          <w:u w:val="single"/>
        </w:rPr>
        <w:t>Spôsob podávania</w:t>
      </w:r>
    </w:p>
    <w:p w14:paraId="67796552" w14:textId="77777777" w:rsidR="000D37C2" w:rsidRPr="00024FA5" w:rsidRDefault="000D37C2" w:rsidP="000D37C2">
      <w:pPr>
        <w:tabs>
          <w:tab w:val="left" w:pos="567"/>
        </w:tabs>
        <w:rPr>
          <w:sz w:val="22"/>
          <w:szCs w:val="22"/>
        </w:rPr>
      </w:pPr>
      <w:r w:rsidRPr="00946955">
        <w:rPr>
          <w:sz w:val="22"/>
          <w:szCs w:val="22"/>
        </w:rPr>
        <w:t xml:space="preserve">Roztok sodnej soli </w:t>
      </w:r>
      <w:proofErr w:type="spellStart"/>
      <w:r w:rsidRPr="00946955">
        <w:rPr>
          <w:sz w:val="22"/>
          <w:szCs w:val="22"/>
        </w:rPr>
        <w:t>metylprednizolón</w:t>
      </w:r>
      <w:r w:rsidR="006E22E7">
        <w:rPr>
          <w:sz w:val="22"/>
          <w:szCs w:val="22"/>
        </w:rPr>
        <w:t>-</w:t>
      </w:r>
      <w:r w:rsidRPr="00946955">
        <w:rPr>
          <w:sz w:val="22"/>
          <w:szCs w:val="22"/>
        </w:rPr>
        <w:t>sukcinátu</w:t>
      </w:r>
      <w:proofErr w:type="spellEnd"/>
      <w:r w:rsidRPr="00946955">
        <w:rPr>
          <w:sz w:val="22"/>
          <w:szCs w:val="22"/>
        </w:rPr>
        <w:t xml:space="preserve"> sa môže podávať </w:t>
      </w:r>
      <w:r w:rsidR="00DA5375" w:rsidRPr="00946955">
        <w:rPr>
          <w:sz w:val="22"/>
          <w:szCs w:val="22"/>
        </w:rPr>
        <w:t>ako intravenózna</w:t>
      </w:r>
      <w:r w:rsidRPr="00946955">
        <w:rPr>
          <w:sz w:val="22"/>
          <w:szCs w:val="22"/>
        </w:rPr>
        <w:t xml:space="preserve"> alebo</w:t>
      </w:r>
      <w:r w:rsidR="0083715D">
        <w:rPr>
          <w:sz w:val="22"/>
          <w:szCs w:val="22"/>
        </w:rPr>
        <w:t> </w:t>
      </w:r>
      <w:proofErr w:type="spellStart"/>
      <w:r w:rsidR="00DA5375" w:rsidRPr="00946955">
        <w:rPr>
          <w:sz w:val="22"/>
          <w:szCs w:val="22"/>
        </w:rPr>
        <w:t>intramuskulárna</w:t>
      </w:r>
      <w:proofErr w:type="spellEnd"/>
      <w:r w:rsidR="00DA5375" w:rsidRPr="00946955">
        <w:rPr>
          <w:sz w:val="22"/>
          <w:szCs w:val="22"/>
        </w:rPr>
        <w:t xml:space="preserve"> injekcia alebo infúzia</w:t>
      </w:r>
      <w:r w:rsidRPr="00946955">
        <w:rPr>
          <w:sz w:val="22"/>
          <w:szCs w:val="22"/>
        </w:rPr>
        <w:t xml:space="preserve">. Odporúčanou cestou </w:t>
      </w:r>
      <w:r w:rsidRPr="009358CE">
        <w:rPr>
          <w:sz w:val="22"/>
          <w:szCs w:val="22"/>
        </w:rPr>
        <w:t>pod</w:t>
      </w:r>
      <w:r w:rsidR="001F291E" w:rsidRPr="009358CE">
        <w:rPr>
          <w:sz w:val="22"/>
          <w:szCs w:val="22"/>
        </w:rPr>
        <w:t>áva</w:t>
      </w:r>
      <w:r w:rsidRPr="009358CE">
        <w:rPr>
          <w:sz w:val="22"/>
          <w:szCs w:val="22"/>
        </w:rPr>
        <w:t>nia</w:t>
      </w:r>
      <w:r w:rsidRPr="00946955">
        <w:rPr>
          <w:sz w:val="22"/>
          <w:szCs w:val="22"/>
        </w:rPr>
        <w:t xml:space="preserve"> v úvodnej liečbe akútnych stavov je </w:t>
      </w:r>
      <w:r w:rsidR="00DA5375" w:rsidRPr="00946955">
        <w:rPr>
          <w:sz w:val="22"/>
          <w:szCs w:val="22"/>
        </w:rPr>
        <w:t>intravenózna</w:t>
      </w:r>
      <w:r w:rsidRPr="00946955">
        <w:rPr>
          <w:sz w:val="22"/>
          <w:szCs w:val="22"/>
        </w:rPr>
        <w:t xml:space="preserve"> injekcia.</w:t>
      </w:r>
    </w:p>
    <w:p w14:paraId="3730F599" w14:textId="77777777" w:rsidR="000D37C2" w:rsidRPr="00024FA5" w:rsidRDefault="000D37C2" w:rsidP="008A1CFF">
      <w:pPr>
        <w:tabs>
          <w:tab w:val="left" w:pos="567"/>
        </w:tabs>
        <w:rPr>
          <w:sz w:val="22"/>
          <w:szCs w:val="22"/>
        </w:rPr>
      </w:pPr>
    </w:p>
    <w:p w14:paraId="6C4ABD41" w14:textId="77777777" w:rsidR="000F2E71" w:rsidRPr="000A3747" w:rsidRDefault="001A70CE" w:rsidP="008A1CFF">
      <w:pPr>
        <w:numPr>
          <w:ilvl w:val="1"/>
          <w:numId w:val="43"/>
        </w:numPr>
        <w:tabs>
          <w:tab w:val="left" w:pos="567"/>
        </w:tabs>
        <w:rPr>
          <w:b/>
          <w:sz w:val="22"/>
          <w:szCs w:val="22"/>
        </w:rPr>
      </w:pPr>
      <w:r w:rsidRPr="000A3747">
        <w:rPr>
          <w:b/>
          <w:sz w:val="22"/>
          <w:szCs w:val="22"/>
        </w:rPr>
        <w:t>Kontraindikácie</w:t>
      </w:r>
    </w:p>
    <w:p w14:paraId="0A4B5C2E" w14:textId="77777777" w:rsidR="000F2E71" w:rsidRPr="00024FA5" w:rsidRDefault="000F2E71" w:rsidP="008A1CFF">
      <w:pPr>
        <w:rPr>
          <w:sz w:val="22"/>
          <w:szCs w:val="22"/>
        </w:rPr>
      </w:pPr>
    </w:p>
    <w:p w14:paraId="081C040A" w14:textId="77777777" w:rsidR="000F2E71" w:rsidRPr="00024FA5" w:rsidRDefault="00B276CA" w:rsidP="008A1CFF">
      <w:pPr>
        <w:rPr>
          <w:bCs/>
          <w:sz w:val="22"/>
          <w:szCs w:val="22"/>
        </w:rPr>
      </w:pPr>
      <w:r w:rsidRPr="00024FA5">
        <w:rPr>
          <w:sz w:val="22"/>
          <w:szCs w:val="22"/>
        </w:rPr>
        <w:t>Precitlivenosť na liečivo</w:t>
      </w:r>
      <w:r w:rsidRPr="00024FA5">
        <w:rPr>
          <w:bCs/>
          <w:sz w:val="22"/>
          <w:szCs w:val="22"/>
        </w:rPr>
        <w:t xml:space="preserve"> alebo na ktorúkoľvek z pomocných látok uvedených v časti 6.1.</w:t>
      </w:r>
    </w:p>
    <w:p w14:paraId="35D3B75E" w14:textId="77777777" w:rsidR="00A5550B" w:rsidRPr="00024FA5" w:rsidRDefault="00A5550B" w:rsidP="008A1CFF">
      <w:pPr>
        <w:tabs>
          <w:tab w:val="left" w:pos="567"/>
        </w:tabs>
        <w:rPr>
          <w:sz w:val="22"/>
          <w:szCs w:val="22"/>
        </w:rPr>
      </w:pPr>
    </w:p>
    <w:p w14:paraId="162E72C8" w14:textId="77777777" w:rsidR="000F2E71" w:rsidRPr="00024FA5" w:rsidRDefault="00720C92" w:rsidP="008A1CFF">
      <w:pPr>
        <w:tabs>
          <w:tab w:val="left" w:pos="567"/>
        </w:tabs>
        <w:rPr>
          <w:sz w:val="22"/>
          <w:szCs w:val="22"/>
        </w:rPr>
      </w:pPr>
      <w:r w:rsidRPr="00024FA5">
        <w:rPr>
          <w:sz w:val="22"/>
          <w:szCs w:val="22"/>
        </w:rPr>
        <w:t>SOLU-MEDROL je kontraindikovaný:</w:t>
      </w:r>
    </w:p>
    <w:p w14:paraId="0EF63023" w14:textId="77777777" w:rsidR="000F2E71" w:rsidRPr="00024FA5" w:rsidRDefault="008068D3" w:rsidP="008A1CFF">
      <w:pPr>
        <w:numPr>
          <w:ilvl w:val="0"/>
          <w:numId w:val="36"/>
        </w:numPr>
        <w:tabs>
          <w:tab w:val="clear" w:pos="720"/>
          <w:tab w:val="num" w:pos="567"/>
        </w:tabs>
        <w:ind w:left="567" w:hanging="567"/>
        <w:rPr>
          <w:sz w:val="22"/>
          <w:szCs w:val="22"/>
        </w:rPr>
      </w:pPr>
      <w:r>
        <w:rPr>
          <w:sz w:val="22"/>
          <w:szCs w:val="22"/>
        </w:rPr>
        <w:t xml:space="preserve">v prípade výskytu akútnych </w:t>
      </w:r>
      <w:r w:rsidRPr="006B156F">
        <w:rPr>
          <w:sz w:val="22"/>
          <w:szCs w:val="22"/>
        </w:rPr>
        <w:t>infekci</w:t>
      </w:r>
      <w:r>
        <w:rPr>
          <w:sz w:val="22"/>
          <w:szCs w:val="22"/>
        </w:rPr>
        <w:t xml:space="preserve">í nekontrolovaných vhodnou </w:t>
      </w:r>
      <w:proofErr w:type="spellStart"/>
      <w:r>
        <w:rPr>
          <w:sz w:val="22"/>
          <w:szCs w:val="22"/>
        </w:rPr>
        <w:t>antimikrobiálnou</w:t>
      </w:r>
      <w:proofErr w:type="spellEnd"/>
      <w:r>
        <w:rPr>
          <w:sz w:val="22"/>
          <w:szCs w:val="22"/>
        </w:rPr>
        <w:t xml:space="preserve"> liečbou</w:t>
      </w:r>
      <w:r w:rsidR="0029234B" w:rsidRPr="00024FA5">
        <w:rPr>
          <w:sz w:val="22"/>
          <w:szCs w:val="22"/>
        </w:rPr>
        <w:t>,</w:t>
      </w:r>
    </w:p>
    <w:p w14:paraId="15A15B26" w14:textId="77777777" w:rsidR="000F2E71" w:rsidRPr="00024FA5" w:rsidRDefault="00720C92" w:rsidP="008A1CFF">
      <w:pPr>
        <w:numPr>
          <w:ilvl w:val="0"/>
          <w:numId w:val="36"/>
        </w:numPr>
        <w:tabs>
          <w:tab w:val="clear" w:pos="720"/>
          <w:tab w:val="num" w:pos="567"/>
        </w:tabs>
        <w:ind w:left="567" w:hanging="567"/>
        <w:rPr>
          <w:sz w:val="22"/>
          <w:szCs w:val="22"/>
        </w:rPr>
      </w:pPr>
      <w:r w:rsidRPr="00024FA5">
        <w:rPr>
          <w:sz w:val="22"/>
          <w:szCs w:val="22"/>
        </w:rPr>
        <w:t xml:space="preserve">na použitie pre </w:t>
      </w:r>
      <w:proofErr w:type="spellStart"/>
      <w:r w:rsidRPr="00024FA5">
        <w:rPr>
          <w:sz w:val="22"/>
          <w:szCs w:val="22"/>
        </w:rPr>
        <w:t>intratekálne</w:t>
      </w:r>
      <w:proofErr w:type="spellEnd"/>
      <w:r w:rsidRPr="00024FA5">
        <w:rPr>
          <w:sz w:val="22"/>
          <w:szCs w:val="22"/>
        </w:rPr>
        <w:t xml:space="preserve"> podanie</w:t>
      </w:r>
      <w:r w:rsidR="0029234B" w:rsidRPr="00024FA5">
        <w:rPr>
          <w:sz w:val="22"/>
          <w:szCs w:val="22"/>
        </w:rPr>
        <w:t>,</w:t>
      </w:r>
    </w:p>
    <w:p w14:paraId="6A328FA1" w14:textId="77777777" w:rsidR="000F2E71" w:rsidRPr="00024FA5" w:rsidRDefault="005657F3" w:rsidP="008A1CFF">
      <w:pPr>
        <w:numPr>
          <w:ilvl w:val="0"/>
          <w:numId w:val="36"/>
        </w:numPr>
        <w:tabs>
          <w:tab w:val="clear" w:pos="720"/>
          <w:tab w:val="num" w:pos="567"/>
        </w:tabs>
        <w:ind w:left="567" w:hanging="567"/>
        <w:rPr>
          <w:sz w:val="22"/>
          <w:szCs w:val="22"/>
        </w:rPr>
      </w:pPr>
      <w:r w:rsidRPr="00024FA5">
        <w:rPr>
          <w:sz w:val="22"/>
          <w:szCs w:val="22"/>
        </w:rPr>
        <w:t xml:space="preserve">na použitie pre </w:t>
      </w:r>
      <w:proofErr w:type="spellStart"/>
      <w:r w:rsidRPr="00024FA5">
        <w:rPr>
          <w:sz w:val="22"/>
          <w:szCs w:val="22"/>
        </w:rPr>
        <w:t>epidurálne</w:t>
      </w:r>
      <w:proofErr w:type="spellEnd"/>
      <w:r w:rsidRPr="00024FA5">
        <w:rPr>
          <w:sz w:val="22"/>
          <w:szCs w:val="22"/>
        </w:rPr>
        <w:t xml:space="preserve"> podanie</w:t>
      </w:r>
      <w:r w:rsidR="0029234B" w:rsidRPr="00024FA5">
        <w:rPr>
          <w:sz w:val="22"/>
          <w:szCs w:val="22"/>
        </w:rPr>
        <w:t>,</w:t>
      </w:r>
    </w:p>
    <w:p w14:paraId="30BCF0A0" w14:textId="77777777" w:rsidR="000613C0" w:rsidRPr="00024FA5" w:rsidRDefault="00D55644" w:rsidP="008A1CFF">
      <w:pPr>
        <w:numPr>
          <w:ilvl w:val="0"/>
          <w:numId w:val="36"/>
        </w:numPr>
        <w:tabs>
          <w:tab w:val="clear" w:pos="720"/>
          <w:tab w:val="num" w:pos="567"/>
        </w:tabs>
        <w:ind w:left="567" w:hanging="567"/>
        <w:rPr>
          <w:sz w:val="22"/>
          <w:szCs w:val="22"/>
        </w:rPr>
      </w:pPr>
      <w:r w:rsidRPr="00024FA5">
        <w:rPr>
          <w:sz w:val="22"/>
          <w:szCs w:val="22"/>
        </w:rPr>
        <w:t>p</w:t>
      </w:r>
      <w:r w:rsidR="00720C92" w:rsidRPr="00024FA5">
        <w:rPr>
          <w:sz w:val="22"/>
          <w:szCs w:val="22"/>
        </w:rPr>
        <w:t xml:space="preserve">odanie </w:t>
      </w:r>
      <w:r w:rsidR="00AE441D" w:rsidRPr="00024FA5">
        <w:rPr>
          <w:sz w:val="22"/>
          <w:szCs w:val="22"/>
        </w:rPr>
        <w:t xml:space="preserve">živých </w:t>
      </w:r>
      <w:r w:rsidR="00720C92" w:rsidRPr="00024FA5">
        <w:rPr>
          <w:sz w:val="22"/>
          <w:szCs w:val="22"/>
        </w:rPr>
        <w:t>alebo živých</w:t>
      </w:r>
      <w:r w:rsidR="00AE441D" w:rsidRPr="00024FA5">
        <w:rPr>
          <w:sz w:val="22"/>
          <w:szCs w:val="22"/>
        </w:rPr>
        <w:t xml:space="preserve"> </w:t>
      </w:r>
      <w:proofErr w:type="spellStart"/>
      <w:r w:rsidR="00AE441D" w:rsidRPr="00024FA5">
        <w:rPr>
          <w:sz w:val="22"/>
          <w:szCs w:val="22"/>
        </w:rPr>
        <w:t>atenuovaných</w:t>
      </w:r>
      <w:proofErr w:type="spellEnd"/>
      <w:r w:rsidR="00720C92" w:rsidRPr="00024FA5">
        <w:rPr>
          <w:sz w:val="22"/>
          <w:szCs w:val="22"/>
        </w:rPr>
        <w:t xml:space="preserve"> vakcín je kontraindikované u pacientov užívajúcich </w:t>
      </w:r>
      <w:proofErr w:type="spellStart"/>
      <w:r w:rsidR="00720C92" w:rsidRPr="00024FA5">
        <w:rPr>
          <w:sz w:val="22"/>
          <w:szCs w:val="22"/>
        </w:rPr>
        <w:t>imunosupresívne</w:t>
      </w:r>
      <w:proofErr w:type="spellEnd"/>
      <w:r w:rsidR="00720C92" w:rsidRPr="00024FA5">
        <w:rPr>
          <w:sz w:val="22"/>
          <w:szCs w:val="22"/>
        </w:rPr>
        <w:t xml:space="preserve"> dávky kortikosteroidov</w:t>
      </w:r>
      <w:r w:rsidR="007A50E0" w:rsidRPr="00024FA5">
        <w:rPr>
          <w:sz w:val="22"/>
          <w:szCs w:val="22"/>
        </w:rPr>
        <w:t xml:space="preserve"> (pozri časť 4.4)</w:t>
      </w:r>
      <w:r w:rsidR="00720C92" w:rsidRPr="00024FA5">
        <w:rPr>
          <w:sz w:val="22"/>
          <w:szCs w:val="22"/>
        </w:rPr>
        <w:t>.</w:t>
      </w:r>
    </w:p>
    <w:p w14:paraId="5B67FB7F" w14:textId="77777777" w:rsidR="000F2E71" w:rsidRPr="00024FA5" w:rsidRDefault="000F2E71" w:rsidP="008A1CFF">
      <w:pPr>
        <w:tabs>
          <w:tab w:val="left" w:pos="567"/>
        </w:tabs>
        <w:rPr>
          <w:sz w:val="22"/>
          <w:szCs w:val="22"/>
        </w:rPr>
      </w:pPr>
    </w:p>
    <w:p w14:paraId="3F281B04" w14:textId="77777777" w:rsidR="000F2E71" w:rsidRPr="00024FA5" w:rsidRDefault="007F3703" w:rsidP="00665C1B">
      <w:pPr>
        <w:numPr>
          <w:ilvl w:val="1"/>
          <w:numId w:val="16"/>
        </w:numPr>
        <w:tabs>
          <w:tab w:val="clear" w:pos="360"/>
          <w:tab w:val="num" w:pos="540"/>
          <w:tab w:val="left" w:pos="567"/>
        </w:tabs>
        <w:rPr>
          <w:b/>
          <w:sz w:val="22"/>
          <w:szCs w:val="22"/>
        </w:rPr>
      </w:pPr>
      <w:r w:rsidRPr="00024FA5">
        <w:rPr>
          <w:b/>
          <w:sz w:val="22"/>
          <w:szCs w:val="22"/>
        </w:rPr>
        <w:t>Osobitné</w:t>
      </w:r>
      <w:r w:rsidR="001A70CE" w:rsidRPr="00024FA5">
        <w:rPr>
          <w:b/>
          <w:sz w:val="22"/>
          <w:szCs w:val="22"/>
        </w:rPr>
        <w:t xml:space="preserve"> upozornenia</w:t>
      </w:r>
      <w:r w:rsidRPr="00024FA5">
        <w:rPr>
          <w:b/>
          <w:sz w:val="22"/>
          <w:szCs w:val="22"/>
        </w:rPr>
        <w:t xml:space="preserve"> a opatrenia pri používaní</w:t>
      </w:r>
    </w:p>
    <w:p w14:paraId="00A1472B" w14:textId="77777777" w:rsidR="000F2E71" w:rsidRPr="00024FA5" w:rsidRDefault="000F2E71" w:rsidP="008A1CFF">
      <w:pPr>
        <w:tabs>
          <w:tab w:val="left" w:pos="567"/>
        </w:tabs>
        <w:rPr>
          <w:sz w:val="22"/>
          <w:szCs w:val="22"/>
        </w:rPr>
      </w:pPr>
    </w:p>
    <w:p w14:paraId="4633E083" w14:textId="77777777" w:rsidR="000F2E71" w:rsidRPr="007B2B59" w:rsidRDefault="00737666" w:rsidP="008A1CFF">
      <w:pPr>
        <w:tabs>
          <w:tab w:val="left" w:pos="567"/>
        </w:tabs>
        <w:rPr>
          <w:bCs/>
          <w:i/>
          <w:iCs/>
          <w:sz w:val="22"/>
          <w:szCs w:val="22"/>
        </w:rPr>
      </w:pPr>
      <w:proofErr w:type="spellStart"/>
      <w:r w:rsidRPr="007B2B59">
        <w:rPr>
          <w:bCs/>
          <w:i/>
          <w:iCs/>
          <w:sz w:val="22"/>
          <w:szCs w:val="22"/>
        </w:rPr>
        <w:t>Imunosupresívne</w:t>
      </w:r>
      <w:proofErr w:type="spellEnd"/>
      <w:r w:rsidRPr="007B2B59">
        <w:rPr>
          <w:bCs/>
          <w:i/>
          <w:iCs/>
          <w:sz w:val="22"/>
          <w:szCs w:val="22"/>
        </w:rPr>
        <w:t xml:space="preserve"> účinky/</w:t>
      </w:r>
      <w:r w:rsidR="00504E3F" w:rsidRPr="007B2B59">
        <w:rPr>
          <w:bCs/>
          <w:i/>
          <w:iCs/>
          <w:sz w:val="22"/>
          <w:szCs w:val="22"/>
        </w:rPr>
        <w:t>z</w:t>
      </w:r>
      <w:r w:rsidRPr="007B2B59">
        <w:rPr>
          <w:bCs/>
          <w:i/>
          <w:iCs/>
          <w:sz w:val="22"/>
          <w:szCs w:val="22"/>
        </w:rPr>
        <w:t>výšená náchylnosť na infekcie</w:t>
      </w:r>
    </w:p>
    <w:p w14:paraId="4F38DBA7" w14:textId="77777777" w:rsidR="000F2E71" w:rsidRPr="00024FA5" w:rsidRDefault="001A70CE" w:rsidP="008A1CFF">
      <w:pPr>
        <w:tabs>
          <w:tab w:val="left" w:pos="567"/>
        </w:tabs>
        <w:rPr>
          <w:sz w:val="22"/>
          <w:szCs w:val="22"/>
        </w:rPr>
      </w:pPr>
      <w:r w:rsidRPr="00024FA5">
        <w:rPr>
          <w:sz w:val="22"/>
          <w:szCs w:val="22"/>
        </w:rPr>
        <w:t xml:space="preserve">Kortikosteroidy môžu </w:t>
      </w:r>
      <w:r w:rsidR="00720C92" w:rsidRPr="00024FA5">
        <w:rPr>
          <w:sz w:val="22"/>
          <w:szCs w:val="22"/>
        </w:rPr>
        <w:t xml:space="preserve">zvyšovať náchylnosť na infekcie, môžu maskovať niektoré </w:t>
      </w:r>
      <w:r w:rsidR="00E30A23" w:rsidRPr="00024FA5">
        <w:rPr>
          <w:sz w:val="22"/>
          <w:szCs w:val="22"/>
        </w:rPr>
        <w:t xml:space="preserve">prejavy </w:t>
      </w:r>
      <w:r w:rsidRPr="00024FA5">
        <w:rPr>
          <w:sz w:val="22"/>
          <w:szCs w:val="22"/>
        </w:rPr>
        <w:t xml:space="preserve">infekcie a počas ich podávania sa môžu objaviť nové infekcie. Pri používaní kortikosteroidov je možné pozorovať zníženú rezistenciu a neschopnosť </w:t>
      </w:r>
      <w:r w:rsidR="00AE441D" w:rsidRPr="00024FA5">
        <w:rPr>
          <w:sz w:val="22"/>
          <w:szCs w:val="22"/>
        </w:rPr>
        <w:t xml:space="preserve">ohraničiť </w:t>
      </w:r>
      <w:r w:rsidRPr="00024FA5">
        <w:rPr>
          <w:sz w:val="22"/>
          <w:szCs w:val="22"/>
        </w:rPr>
        <w:t xml:space="preserve">infekciu. Infekcie, pri ktorých </w:t>
      </w:r>
      <w:proofErr w:type="spellStart"/>
      <w:r w:rsidRPr="00024FA5">
        <w:rPr>
          <w:sz w:val="22"/>
          <w:szCs w:val="22"/>
        </w:rPr>
        <w:t>etiologickým</w:t>
      </w:r>
      <w:proofErr w:type="spellEnd"/>
      <w:r w:rsidRPr="00024FA5">
        <w:rPr>
          <w:sz w:val="22"/>
          <w:szCs w:val="22"/>
        </w:rPr>
        <w:t xml:space="preserve"> agens sú vírusy, baktérie, </w:t>
      </w:r>
      <w:r w:rsidR="001131AF" w:rsidRPr="00024FA5">
        <w:rPr>
          <w:sz w:val="22"/>
          <w:szCs w:val="22"/>
        </w:rPr>
        <w:t>mikroskopické huby</w:t>
      </w:r>
      <w:r w:rsidRPr="00024FA5">
        <w:rPr>
          <w:sz w:val="22"/>
          <w:szCs w:val="22"/>
        </w:rPr>
        <w:t>, prvoky alebo helminty postihujú</w:t>
      </w:r>
      <w:r w:rsidR="004B30CD" w:rsidRPr="00024FA5">
        <w:rPr>
          <w:sz w:val="22"/>
          <w:szCs w:val="22"/>
        </w:rPr>
        <w:t>ce</w:t>
      </w:r>
      <w:r w:rsidRPr="00024FA5">
        <w:rPr>
          <w:sz w:val="22"/>
          <w:szCs w:val="22"/>
        </w:rPr>
        <w:t xml:space="preserve"> ktorúkoľvek časť tela, môžu súvisieť s podávaním kortikosteroidov samotných alebo</w:t>
      </w:r>
      <w:r w:rsidR="00AD1D48">
        <w:rPr>
          <w:sz w:val="22"/>
          <w:szCs w:val="22"/>
        </w:rPr>
        <w:t> </w:t>
      </w:r>
      <w:r w:rsidRPr="00024FA5">
        <w:rPr>
          <w:sz w:val="22"/>
          <w:szCs w:val="22"/>
        </w:rPr>
        <w:t xml:space="preserve">v kombinácii s inými </w:t>
      </w:r>
      <w:proofErr w:type="spellStart"/>
      <w:r w:rsidRPr="00024FA5">
        <w:rPr>
          <w:sz w:val="22"/>
          <w:szCs w:val="22"/>
        </w:rPr>
        <w:t>imunos</w:t>
      </w:r>
      <w:r w:rsidR="00AD1D48">
        <w:rPr>
          <w:sz w:val="22"/>
          <w:szCs w:val="22"/>
        </w:rPr>
        <w:t>u</w:t>
      </w:r>
      <w:r w:rsidRPr="00024FA5">
        <w:rPr>
          <w:sz w:val="22"/>
          <w:szCs w:val="22"/>
        </w:rPr>
        <w:t>presívami</w:t>
      </w:r>
      <w:proofErr w:type="spellEnd"/>
      <w:r w:rsidRPr="00024FA5">
        <w:rPr>
          <w:sz w:val="22"/>
          <w:szCs w:val="22"/>
        </w:rPr>
        <w:t xml:space="preserve"> ovplyvňujúcimi bunkovú imunitu, </w:t>
      </w:r>
      <w:proofErr w:type="spellStart"/>
      <w:r w:rsidRPr="00024FA5">
        <w:rPr>
          <w:sz w:val="22"/>
          <w:szCs w:val="22"/>
        </w:rPr>
        <w:t>humorálnu</w:t>
      </w:r>
      <w:proofErr w:type="spellEnd"/>
      <w:r w:rsidRPr="00024FA5">
        <w:rPr>
          <w:sz w:val="22"/>
          <w:szCs w:val="22"/>
        </w:rPr>
        <w:t xml:space="preserve"> imunitu alebo funkciu </w:t>
      </w:r>
      <w:proofErr w:type="spellStart"/>
      <w:r w:rsidRPr="00024FA5">
        <w:rPr>
          <w:sz w:val="22"/>
          <w:szCs w:val="22"/>
        </w:rPr>
        <w:t>neutrofilov</w:t>
      </w:r>
      <w:proofErr w:type="spellEnd"/>
      <w:r w:rsidRPr="00024FA5">
        <w:rPr>
          <w:sz w:val="22"/>
          <w:szCs w:val="22"/>
        </w:rPr>
        <w:t xml:space="preserve">. Tieto infekcie môžu byť mierne, ale aj </w:t>
      </w:r>
      <w:r w:rsidR="000D37C2" w:rsidRPr="00005E0C">
        <w:rPr>
          <w:sz w:val="22"/>
          <w:szCs w:val="22"/>
        </w:rPr>
        <w:t>závažné</w:t>
      </w:r>
      <w:r w:rsidRPr="00024FA5">
        <w:rPr>
          <w:sz w:val="22"/>
          <w:szCs w:val="22"/>
        </w:rPr>
        <w:t xml:space="preserve"> a niekedy môžu mať smrteľný priebeh. So zv</w:t>
      </w:r>
      <w:r w:rsidR="004B30CD" w:rsidRPr="00024FA5">
        <w:rPr>
          <w:sz w:val="22"/>
          <w:szCs w:val="22"/>
        </w:rPr>
        <w:t xml:space="preserve">yšovaním dávok kortikosteroidov </w:t>
      </w:r>
      <w:r w:rsidRPr="00024FA5">
        <w:rPr>
          <w:sz w:val="22"/>
          <w:szCs w:val="22"/>
        </w:rPr>
        <w:t>sa zvyšuje aj frekvencia výskytu infekčných komplikácií.</w:t>
      </w:r>
    </w:p>
    <w:p w14:paraId="534F87B5" w14:textId="77777777" w:rsidR="000F2E71" w:rsidRPr="00024FA5" w:rsidRDefault="000F2E71" w:rsidP="008A1CFF">
      <w:pPr>
        <w:tabs>
          <w:tab w:val="left" w:pos="567"/>
        </w:tabs>
        <w:rPr>
          <w:sz w:val="22"/>
          <w:szCs w:val="22"/>
        </w:rPr>
      </w:pPr>
    </w:p>
    <w:p w14:paraId="2D161621" w14:textId="77777777" w:rsidR="00720C92" w:rsidRPr="00024FA5" w:rsidDel="00DD406E" w:rsidRDefault="00720C92" w:rsidP="006E5190">
      <w:pPr>
        <w:textAlignment w:val="top"/>
        <w:rPr>
          <w:sz w:val="22"/>
          <w:szCs w:val="22"/>
        </w:rPr>
      </w:pPr>
      <w:r w:rsidRPr="00024FA5">
        <w:rPr>
          <w:sz w:val="22"/>
          <w:szCs w:val="22"/>
        </w:rPr>
        <w:t>Pacienti, ktorí užívajú lieky na potlačenie imunitného systému sú náchylnejší na infekcie ako zdraví jednotlivci. Ovčie kiahne a osýpky, môžu mať napríklad, ťažší priebeh a dokonca môžu končiť fatálne u neimúnnych detí alebo dospievajúcich, ktorí užívajú kortikosteroidy.</w:t>
      </w:r>
    </w:p>
    <w:p w14:paraId="435BAEA1" w14:textId="77777777" w:rsidR="000F2E71" w:rsidRPr="00024FA5" w:rsidRDefault="000F2E71" w:rsidP="008A1CFF">
      <w:pPr>
        <w:tabs>
          <w:tab w:val="left" w:pos="567"/>
        </w:tabs>
        <w:rPr>
          <w:sz w:val="22"/>
          <w:szCs w:val="22"/>
        </w:rPr>
      </w:pPr>
    </w:p>
    <w:p w14:paraId="2F472AA2" w14:textId="77777777" w:rsidR="000F2E71" w:rsidRPr="00024FA5" w:rsidRDefault="001A70CE" w:rsidP="008A1CFF">
      <w:pPr>
        <w:tabs>
          <w:tab w:val="left" w:pos="567"/>
        </w:tabs>
        <w:rPr>
          <w:sz w:val="22"/>
          <w:szCs w:val="22"/>
        </w:rPr>
      </w:pPr>
      <w:r w:rsidRPr="00024FA5">
        <w:rPr>
          <w:sz w:val="22"/>
          <w:szCs w:val="22"/>
        </w:rPr>
        <w:t xml:space="preserve">Podanie živých alebo </w:t>
      </w:r>
      <w:r w:rsidR="00802A18" w:rsidRPr="00024FA5">
        <w:rPr>
          <w:sz w:val="22"/>
          <w:szCs w:val="22"/>
        </w:rPr>
        <w:t xml:space="preserve">živých </w:t>
      </w:r>
      <w:proofErr w:type="spellStart"/>
      <w:r w:rsidRPr="00024FA5">
        <w:rPr>
          <w:sz w:val="22"/>
          <w:szCs w:val="22"/>
        </w:rPr>
        <w:t>atenuovaných</w:t>
      </w:r>
      <w:proofErr w:type="spellEnd"/>
      <w:r w:rsidRPr="00024FA5">
        <w:rPr>
          <w:sz w:val="22"/>
          <w:szCs w:val="22"/>
        </w:rPr>
        <w:t xml:space="preserve"> vakcín je u pacientov liečených </w:t>
      </w:r>
      <w:proofErr w:type="spellStart"/>
      <w:r w:rsidRPr="00024FA5">
        <w:rPr>
          <w:sz w:val="22"/>
          <w:szCs w:val="22"/>
        </w:rPr>
        <w:t>imunosupresívnymi</w:t>
      </w:r>
      <w:proofErr w:type="spellEnd"/>
      <w:r w:rsidRPr="00024FA5">
        <w:rPr>
          <w:sz w:val="22"/>
          <w:szCs w:val="22"/>
        </w:rPr>
        <w:t xml:space="preserve"> dávkami kortikosteroidov kontraindikované. Usmrtené alebo inaktivované vakcíny </w:t>
      </w:r>
      <w:r w:rsidR="004B30CD" w:rsidRPr="00024FA5">
        <w:rPr>
          <w:sz w:val="22"/>
          <w:szCs w:val="22"/>
        </w:rPr>
        <w:t xml:space="preserve">sa </w:t>
      </w:r>
      <w:r w:rsidRPr="00024FA5">
        <w:rPr>
          <w:sz w:val="22"/>
          <w:szCs w:val="22"/>
        </w:rPr>
        <w:t>m</w:t>
      </w:r>
      <w:r w:rsidR="004B30CD" w:rsidRPr="00024FA5">
        <w:rPr>
          <w:sz w:val="22"/>
          <w:szCs w:val="22"/>
        </w:rPr>
        <w:t>ô</w:t>
      </w:r>
      <w:r w:rsidRPr="00024FA5">
        <w:rPr>
          <w:sz w:val="22"/>
          <w:szCs w:val="22"/>
        </w:rPr>
        <w:t>ž</w:t>
      </w:r>
      <w:r w:rsidR="004B30CD" w:rsidRPr="00024FA5">
        <w:rPr>
          <w:sz w:val="22"/>
          <w:szCs w:val="22"/>
        </w:rPr>
        <w:t>u</w:t>
      </w:r>
      <w:r w:rsidRPr="00024FA5">
        <w:rPr>
          <w:sz w:val="22"/>
          <w:szCs w:val="22"/>
        </w:rPr>
        <w:t xml:space="preserve"> pacientom liečeným </w:t>
      </w:r>
      <w:proofErr w:type="spellStart"/>
      <w:r w:rsidRPr="00024FA5">
        <w:rPr>
          <w:sz w:val="22"/>
          <w:szCs w:val="22"/>
        </w:rPr>
        <w:t>imunosupresívnymi</w:t>
      </w:r>
      <w:proofErr w:type="spellEnd"/>
      <w:r w:rsidRPr="00024FA5">
        <w:rPr>
          <w:sz w:val="22"/>
          <w:szCs w:val="22"/>
        </w:rPr>
        <w:t xml:space="preserve"> dávkami kortikosteroidov podávať, </w:t>
      </w:r>
      <w:r w:rsidR="008B2A54" w:rsidRPr="00024FA5">
        <w:rPr>
          <w:sz w:val="22"/>
          <w:szCs w:val="22"/>
        </w:rPr>
        <w:t>h</w:t>
      </w:r>
      <w:r w:rsidRPr="00024FA5">
        <w:rPr>
          <w:sz w:val="22"/>
          <w:szCs w:val="22"/>
        </w:rPr>
        <w:t>oci odpoveď na</w:t>
      </w:r>
      <w:r w:rsidR="00A5550B" w:rsidRPr="00024FA5">
        <w:rPr>
          <w:sz w:val="22"/>
          <w:szCs w:val="22"/>
        </w:rPr>
        <w:t> </w:t>
      </w:r>
      <w:r w:rsidRPr="00024FA5">
        <w:rPr>
          <w:sz w:val="22"/>
          <w:szCs w:val="22"/>
        </w:rPr>
        <w:t xml:space="preserve">tieto vakcíny môže byť znížená. U pacientov, ktorým sa podávajú </w:t>
      </w:r>
      <w:proofErr w:type="spellStart"/>
      <w:r w:rsidRPr="00024FA5">
        <w:rPr>
          <w:sz w:val="22"/>
          <w:szCs w:val="22"/>
        </w:rPr>
        <w:t>neimunosupresívne</w:t>
      </w:r>
      <w:proofErr w:type="spellEnd"/>
      <w:r w:rsidRPr="00024FA5">
        <w:rPr>
          <w:sz w:val="22"/>
          <w:szCs w:val="22"/>
        </w:rPr>
        <w:t xml:space="preserve"> dávky kortikosteroidov </w:t>
      </w:r>
      <w:r w:rsidR="004B30CD" w:rsidRPr="00024FA5">
        <w:rPr>
          <w:sz w:val="22"/>
          <w:szCs w:val="22"/>
        </w:rPr>
        <w:t>sa</w:t>
      </w:r>
      <w:r w:rsidRPr="00024FA5">
        <w:rPr>
          <w:sz w:val="22"/>
          <w:szCs w:val="22"/>
        </w:rPr>
        <w:t xml:space="preserve"> m</w:t>
      </w:r>
      <w:r w:rsidR="004B30CD" w:rsidRPr="00024FA5">
        <w:rPr>
          <w:sz w:val="22"/>
          <w:szCs w:val="22"/>
        </w:rPr>
        <w:t>ô</w:t>
      </w:r>
      <w:r w:rsidRPr="00024FA5">
        <w:rPr>
          <w:sz w:val="22"/>
          <w:szCs w:val="22"/>
        </w:rPr>
        <w:t>ž</w:t>
      </w:r>
      <w:r w:rsidR="004B30CD" w:rsidRPr="00024FA5">
        <w:rPr>
          <w:sz w:val="22"/>
          <w:szCs w:val="22"/>
        </w:rPr>
        <w:t>e</w:t>
      </w:r>
      <w:r w:rsidRPr="00024FA5">
        <w:rPr>
          <w:sz w:val="22"/>
          <w:szCs w:val="22"/>
        </w:rPr>
        <w:t xml:space="preserve"> indikovať </w:t>
      </w:r>
      <w:proofErr w:type="spellStart"/>
      <w:r w:rsidRPr="00024FA5">
        <w:rPr>
          <w:sz w:val="22"/>
          <w:szCs w:val="22"/>
        </w:rPr>
        <w:t>imunizáci</w:t>
      </w:r>
      <w:r w:rsidR="004B30CD" w:rsidRPr="00024FA5">
        <w:rPr>
          <w:sz w:val="22"/>
          <w:szCs w:val="22"/>
        </w:rPr>
        <w:t>a</w:t>
      </w:r>
      <w:proofErr w:type="spellEnd"/>
      <w:r w:rsidRPr="00024FA5">
        <w:rPr>
          <w:sz w:val="22"/>
          <w:szCs w:val="22"/>
        </w:rPr>
        <w:t>.</w:t>
      </w:r>
    </w:p>
    <w:p w14:paraId="583B6204" w14:textId="77777777" w:rsidR="000F2E71" w:rsidRPr="00024FA5" w:rsidRDefault="000F2E71" w:rsidP="008A1CFF">
      <w:pPr>
        <w:tabs>
          <w:tab w:val="left" w:pos="567"/>
        </w:tabs>
        <w:rPr>
          <w:sz w:val="22"/>
          <w:szCs w:val="22"/>
        </w:rPr>
      </w:pPr>
    </w:p>
    <w:p w14:paraId="792C1322" w14:textId="77777777" w:rsidR="000F2E71" w:rsidRPr="00024FA5" w:rsidRDefault="001A70CE" w:rsidP="008A1CFF">
      <w:pPr>
        <w:tabs>
          <w:tab w:val="left" w:pos="567"/>
        </w:tabs>
        <w:rPr>
          <w:sz w:val="22"/>
          <w:szCs w:val="22"/>
        </w:rPr>
      </w:pPr>
      <w:r w:rsidRPr="00024FA5">
        <w:rPr>
          <w:sz w:val="22"/>
          <w:szCs w:val="22"/>
        </w:rPr>
        <w:lastRenderedPageBreak/>
        <w:t xml:space="preserve">Používanie </w:t>
      </w:r>
      <w:r w:rsidR="00720C92" w:rsidRPr="00024FA5">
        <w:rPr>
          <w:sz w:val="22"/>
          <w:szCs w:val="22"/>
        </w:rPr>
        <w:t>kortikosteroidov</w:t>
      </w:r>
      <w:r w:rsidRPr="00024FA5">
        <w:rPr>
          <w:sz w:val="22"/>
          <w:szCs w:val="22"/>
        </w:rPr>
        <w:t xml:space="preserve"> pri aktívnej tuberkulóze </w:t>
      </w:r>
      <w:r w:rsidR="004B30CD" w:rsidRPr="00024FA5">
        <w:rPr>
          <w:sz w:val="22"/>
          <w:szCs w:val="22"/>
        </w:rPr>
        <w:t>sa má</w:t>
      </w:r>
      <w:r w:rsidRPr="00024FA5">
        <w:rPr>
          <w:sz w:val="22"/>
          <w:szCs w:val="22"/>
        </w:rPr>
        <w:t xml:space="preserve"> obmedziť na prípady fulminantnej alebo </w:t>
      </w:r>
      <w:proofErr w:type="spellStart"/>
      <w:r w:rsidRPr="00024FA5">
        <w:rPr>
          <w:sz w:val="22"/>
          <w:szCs w:val="22"/>
        </w:rPr>
        <w:t>diseminovanej</w:t>
      </w:r>
      <w:proofErr w:type="spellEnd"/>
      <w:r w:rsidRPr="00024FA5">
        <w:rPr>
          <w:sz w:val="22"/>
          <w:szCs w:val="22"/>
        </w:rPr>
        <w:t xml:space="preserve"> tuberkulózy, kedy sa kortikosteroid podáva spolu s príslušným </w:t>
      </w:r>
      <w:proofErr w:type="spellStart"/>
      <w:r w:rsidRPr="00024FA5">
        <w:rPr>
          <w:sz w:val="22"/>
          <w:szCs w:val="22"/>
        </w:rPr>
        <w:t>antituberkulóznym</w:t>
      </w:r>
      <w:proofErr w:type="spellEnd"/>
      <w:r w:rsidRPr="00024FA5">
        <w:rPr>
          <w:sz w:val="22"/>
          <w:szCs w:val="22"/>
        </w:rPr>
        <w:t xml:space="preserve"> režimom.</w:t>
      </w:r>
    </w:p>
    <w:p w14:paraId="2AE6FDD5" w14:textId="77777777" w:rsidR="000F2E71" w:rsidRPr="00024FA5" w:rsidRDefault="000F2E71" w:rsidP="008A1CFF">
      <w:pPr>
        <w:tabs>
          <w:tab w:val="left" w:pos="567"/>
        </w:tabs>
        <w:rPr>
          <w:sz w:val="22"/>
          <w:szCs w:val="22"/>
        </w:rPr>
      </w:pPr>
    </w:p>
    <w:p w14:paraId="7AA49F3B" w14:textId="77777777" w:rsidR="000F2E71" w:rsidRPr="00024FA5" w:rsidRDefault="001A70CE" w:rsidP="008A1CFF">
      <w:pPr>
        <w:tabs>
          <w:tab w:val="left" w:pos="567"/>
        </w:tabs>
        <w:rPr>
          <w:sz w:val="22"/>
          <w:szCs w:val="22"/>
        </w:rPr>
      </w:pPr>
      <w:r w:rsidRPr="00024FA5">
        <w:rPr>
          <w:sz w:val="22"/>
          <w:szCs w:val="22"/>
        </w:rPr>
        <w:t>Ak sú kortikosteroidy indikované</w:t>
      </w:r>
      <w:r w:rsidR="00874A40" w:rsidRPr="00024FA5">
        <w:rPr>
          <w:sz w:val="22"/>
          <w:szCs w:val="22"/>
        </w:rPr>
        <w:t xml:space="preserve"> </w:t>
      </w:r>
      <w:r w:rsidRPr="00024FA5">
        <w:rPr>
          <w:sz w:val="22"/>
          <w:szCs w:val="22"/>
        </w:rPr>
        <w:t>u</w:t>
      </w:r>
      <w:r w:rsidR="0010778D" w:rsidRPr="00024FA5">
        <w:rPr>
          <w:sz w:val="22"/>
          <w:szCs w:val="22"/>
        </w:rPr>
        <w:t> </w:t>
      </w:r>
      <w:r w:rsidRPr="00024FA5">
        <w:rPr>
          <w:sz w:val="22"/>
          <w:szCs w:val="22"/>
        </w:rPr>
        <w:t xml:space="preserve">pacientov s latentnou tuberkulózou alebo </w:t>
      </w:r>
      <w:r w:rsidR="00802A18" w:rsidRPr="00024FA5">
        <w:rPr>
          <w:sz w:val="22"/>
          <w:szCs w:val="22"/>
        </w:rPr>
        <w:t xml:space="preserve">pozitívnou </w:t>
      </w:r>
      <w:r w:rsidRPr="00024FA5">
        <w:rPr>
          <w:sz w:val="22"/>
          <w:szCs w:val="22"/>
        </w:rPr>
        <w:t xml:space="preserve">tuberkulínovou </w:t>
      </w:r>
      <w:r w:rsidR="00802A18" w:rsidRPr="00024FA5">
        <w:rPr>
          <w:sz w:val="22"/>
          <w:szCs w:val="22"/>
        </w:rPr>
        <w:t>skúškou</w:t>
      </w:r>
      <w:r w:rsidR="00874A40" w:rsidRPr="00024FA5">
        <w:rPr>
          <w:sz w:val="22"/>
          <w:szCs w:val="22"/>
        </w:rPr>
        <w:t>, musia byť</w:t>
      </w:r>
      <w:r w:rsidRPr="00024FA5">
        <w:rPr>
          <w:sz w:val="22"/>
          <w:szCs w:val="22"/>
        </w:rPr>
        <w:t xml:space="preserve"> pozorne sledova</w:t>
      </w:r>
      <w:r w:rsidR="00874A40" w:rsidRPr="00024FA5">
        <w:rPr>
          <w:sz w:val="22"/>
          <w:szCs w:val="22"/>
        </w:rPr>
        <w:t>ní</w:t>
      </w:r>
      <w:r w:rsidRPr="00024FA5">
        <w:rPr>
          <w:sz w:val="22"/>
          <w:szCs w:val="22"/>
        </w:rPr>
        <w:t xml:space="preserve">, pretože môže dôjsť k aktivácii ochorenia. </w:t>
      </w:r>
      <w:r w:rsidR="00874A40" w:rsidRPr="00024FA5">
        <w:rPr>
          <w:sz w:val="22"/>
          <w:szCs w:val="22"/>
        </w:rPr>
        <w:t>P</w:t>
      </w:r>
      <w:r w:rsidRPr="00024FA5">
        <w:rPr>
          <w:sz w:val="22"/>
          <w:szCs w:val="22"/>
        </w:rPr>
        <w:t xml:space="preserve">acienti počas dlhodobej liečby kortikosteroidmi </w:t>
      </w:r>
      <w:r w:rsidR="00874A40" w:rsidRPr="00024FA5">
        <w:rPr>
          <w:sz w:val="22"/>
          <w:szCs w:val="22"/>
        </w:rPr>
        <w:t xml:space="preserve">majú </w:t>
      </w:r>
      <w:r w:rsidRPr="00024FA5">
        <w:rPr>
          <w:sz w:val="22"/>
          <w:szCs w:val="22"/>
        </w:rPr>
        <w:t>dostáva</w:t>
      </w:r>
      <w:r w:rsidR="00874A40" w:rsidRPr="00024FA5">
        <w:rPr>
          <w:sz w:val="22"/>
          <w:szCs w:val="22"/>
        </w:rPr>
        <w:t>ť</w:t>
      </w:r>
      <w:r w:rsidRPr="00024FA5">
        <w:rPr>
          <w:sz w:val="22"/>
          <w:szCs w:val="22"/>
        </w:rPr>
        <w:t xml:space="preserve"> </w:t>
      </w:r>
      <w:proofErr w:type="spellStart"/>
      <w:r w:rsidRPr="00024FA5">
        <w:rPr>
          <w:sz w:val="22"/>
          <w:szCs w:val="22"/>
        </w:rPr>
        <w:t>chemoprofylaxiu</w:t>
      </w:r>
      <w:proofErr w:type="spellEnd"/>
      <w:r w:rsidRPr="00024FA5">
        <w:rPr>
          <w:sz w:val="22"/>
          <w:szCs w:val="22"/>
        </w:rPr>
        <w:t>.</w:t>
      </w:r>
    </w:p>
    <w:p w14:paraId="187D85E2" w14:textId="77777777" w:rsidR="000F2E71" w:rsidRPr="00024FA5" w:rsidRDefault="000F2E71" w:rsidP="008A1CFF">
      <w:pPr>
        <w:tabs>
          <w:tab w:val="left" w:pos="567"/>
        </w:tabs>
        <w:rPr>
          <w:sz w:val="22"/>
          <w:szCs w:val="22"/>
        </w:rPr>
      </w:pPr>
    </w:p>
    <w:p w14:paraId="2285F4DD" w14:textId="77777777" w:rsidR="000F2E71" w:rsidRPr="00024FA5" w:rsidRDefault="00720C92" w:rsidP="008A1CFF">
      <w:pPr>
        <w:tabs>
          <w:tab w:val="left" w:pos="567"/>
        </w:tabs>
        <w:rPr>
          <w:sz w:val="22"/>
          <w:szCs w:val="22"/>
        </w:rPr>
      </w:pPr>
      <w:r w:rsidRPr="00024FA5">
        <w:rPr>
          <w:sz w:val="22"/>
          <w:szCs w:val="22"/>
        </w:rPr>
        <w:t xml:space="preserve">U pacientov liečených kortikosteroidmi bol hlásený výskyt </w:t>
      </w:r>
      <w:proofErr w:type="spellStart"/>
      <w:r w:rsidRPr="00024FA5">
        <w:rPr>
          <w:sz w:val="22"/>
          <w:szCs w:val="22"/>
        </w:rPr>
        <w:t>Kaposiho</w:t>
      </w:r>
      <w:proofErr w:type="spellEnd"/>
      <w:r w:rsidRPr="00024FA5">
        <w:rPr>
          <w:sz w:val="22"/>
          <w:szCs w:val="22"/>
        </w:rPr>
        <w:t xml:space="preserve"> sarkómu. Vysadenie kortikosteroidov môže viesť ku klinickej </w:t>
      </w:r>
      <w:proofErr w:type="spellStart"/>
      <w:r w:rsidRPr="00024FA5">
        <w:rPr>
          <w:sz w:val="22"/>
          <w:szCs w:val="22"/>
        </w:rPr>
        <w:t>remisii</w:t>
      </w:r>
      <w:proofErr w:type="spellEnd"/>
      <w:r w:rsidRPr="00024FA5">
        <w:rPr>
          <w:sz w:val="22"/>
          <w:szCs w:val="22"/>
        </w:rPr>
        <w:t>.</w:t>
      </w:r>
    </w:p>
    <w:p w14:paraId="080F79E3" w14:textId="77777777" w:rsidR="000F2E71" w:rsidRPr="00024FA5" w:rsidRDefault="000F2E71" w:rsidP="008A1CFF">
      <w:pPr>
        <w:tabs>
          <w:tab w:val="left" w:pos="567"/>
        </w:tabs>
        <w:rPr>
          <w:sz w:val="22"/>
          <w:szCs w:val="22"/>
        </w:rPr>
      </w:pPr>
    </w:p>
    <w:p w14:paraId="54C3A466" w14:textId="77777777" w:rsidR="00DD406E" w:rsidRPr="00024FA5" w:rsidRDefault="00DD406E" w:rsidP="006E5190">
      <w:pPr>
        <w:tabs>
          <w:tab w:val="left" w:pos="-480"/>
          <w:tab w:val="left" w:pos="414"/>
          <w:tab w:val="left" w:pos="828"/>
          <w:tab w:val="left" w:pos="1242"/>
        </w:tabs>
        <w:suppressAutoHyphens/>
        <w:rPr>
          <w:sz w:val="22"/>
          <w:szCs w:val="22"/>
        </w:rPr>
      </w:pPr>
      <w:r w:rsidRPr="00024FA5">
        <w:rPr>
          <w:sz w:val="22"/>
          <w:szCs w:val="22"/>
        </w:rPr>
        <w:t xml:space="preserve">Úloha kortikosteroidov pri septickom šoku bola sporná, prvé </w:t>
      </w:r>
      <w:r w:rsidR="00BE49D8">
        <w:rPr>
          <w:sz w:val="22"/>
          <w:szCs w:val="22"/>
        </w:rPr>
        <w:t>klinické skúšania</w:t>
      </w:r>
      <w:r w:rsidRPr="00024FA5">
        <w:rPr>
          <w:sz w:val="22"/>
          <w:szCs w:val="22"/>
        </w:rPr>
        <w:t xml:space="preserve"> uvádzali ako prospešné, tak aj škodlivé účinky. Prednedávnom sa považovali doplnkové kortikosteroidy za</w:t>
      </w:r>
      <w:r w:rsidR="004E2371">
        <w:rPr>
          <w:sz w:val="22"/>
          <w:szCs w:val="22"/>
        </w:rPr>
        <w:t> </w:t>
      </w:r>
      <w:r w:rsidRPr="00024FA5">
        <w:rPr>
          <w:sz w:val="22"/>
          <w:szCs w:val="22"/>
        </w:rPr>
        <w:t>prospešné u</w:t>
      </w:r>
      <w:r w:rsidR="00A5550B" w:rsidRPr="00024FA5">
        <w:rPr>
          <w:sz w:val="22"/>
          <w:szCs w:val="22"/>
        </w:rPr>
        <w:t> </w:t>
      </w:r>
      <w:r w:rsidRPr="00024FA5">
        <w:rPr>
          <w:sz w:val="22"/>
          <w:szCs w:val="22"/>
        </w:rPr>
        <w:t xml:space="preserve">pacientov so zisteným septickým šokom, ktorí vykazovali nedostatočnosť nadobličiek. Avšak, ich rutinné použitie pri septickom šoku sa neodporúča. Výsledky systematického skúmania krátkodobej liečby vysokými dávkami kortikosteroidov nepodporujú ich používanie. </w:t>
      </w:r>
      <w:proofErr w:type="spellStart"/>
      <w:r w:rsidRPr="00024FA5">
        <w:rPr>
          <w:sz w:val="22"/>
          <w:szCs w:val="22"/>
        </w:rPr>
        <w:t>Meta</w:t>
      </w:r>
      <w:proofErr w:type="spellEnd"/>
      <w:r w:rsidRPr="00024FA5">
        <w:rPr>
          <w:sz w:val="22"/>
          <w:szCs w:val="22"/>
        </w:rPr>
        <w:t>-analýzy a hodnotenia však naznačujú, že dlhšie trvajúca liečba (5</w:t>
      </w:r>
      <w:r w:rsidR="00BF06EA">
        <w:rPr>
          <w:sz w:val="22"/>
          <w:szCs w:val="22"/>
        </w:rPr>
        <w:t xml:space="preserve"> – </w:t>
      </w:r>
      <w:r w:rsidRPr="00024FA5">
        <w:rPr>
          <w:sz w:val="22"/>
          <w:szCs w:val="22"/>
        </w:rPr>
        <w:t>11 dní) nízkymi dávkami kortikosteroidov môže viesť ku zníženiu mortality,</w:t>
      </w:r>
      <w:r w:rsidR="00451800" w:rsidRPr="00024FA5">
        <w:rPr>
          <w:sz w:val="22"/>
          <w:szCs w:val="22"/>
        </w:rPr>
        <w:t xml:space="preserve"> </w:t>
      </w:r>
      <w:r w:rsidR="00BF06EA">
        <w:rPr>
          <w:sz w:val="22"/>
          <w:szCs w:val="22"/>
        </w:rPr>
        <w:t>ob</w:t>
      </w:r>
      <w:r w:rsidRPr="00024FA5">
        <w:rPr>
          <w:sz w:val="22"/>
          <w:szCs w:val="22"/>
        </w:rPr>
        <w:t>zvlášť u pacientov s</w:t>
      </w:r>
      <w:r w:rsidR="004E2371">
        <w:rPr>
          <w:sz w:val="22"/>
          <w:szCs w:val="22"/>
        </w:rPr>
        <w:t> </w:t>
      </w:r>
      <w:proofErr w:type="spellStart"/>
      <w:r w:rsidRPr="00024FA5">
        <w:rPr>
          <w:sz w:val="22"/>
          <w:szCs w:val="22"/>
        </w:rPr>
        <w:t>vazopresor-dependentným</w:t>
      </w:r>
      <w:proofErr w:type="spellEnd"/>
      <w:r w:rsidRPr="00024FA5">
        <w:rPr>
          <w:sz w:val="22"/>
          <w:szCs w:val="22"/>
        </w:rPr>
        <w:t xml:space="preserve"> septickým šokom.</w:t>
      </w:r>
    </w:p>
    <w:p w14:paraId="7086B9F7" w14:textId="77777777" w:rsidR="000F2E71" w:rsidRPr="00024FA5" w:rsidRDefault="000F2E71" w:rsidP="008A1CFF">
      <w:pPr>
        <w:tabs>
          <w:tab w:val="left" w:pos="567"/>
        </w:tabs>
        <w:rPr>
          <w:sz w:val="22"/>
          <w:szCs w:val="22"/>
        </w:rPr>
      </w:pPr>
    </w:p>
    <w:p w14:paraId="7B991B8F" w14:textId="77777777" w:rsidR="000F2E71" w:rsidRPr="007B2B59" w:rsidRDefault="008C0FE2" w:rsidP="008A1CFF">
      <w:pPr>
        <w:tabs>
          <w:tab w:val="left" w:pos="567"/>
        </w:tabs>
        <w:rPr>
          <w:bCs/>
          <w:i/>
          <w:iCs/>
          <w:sz w:val="22"/>
          <w:szCs w:val="22"/>
        </w:rPr>
      </w:pPr>
      <w:r w:rsidRPr="007B2B59">
        <w:rPr>
          <w:bCs/>
          <w:i/>
          <w:iCs/>
          <w:sz w:val="22"/>
          <w:szCs w:val="22"/>
        </w:rPr>
        <w:t>Účinky na imunitný systém</w:t>
      </w:r>
    </w:p>
    <w:p w14:paraId="3BC32D44" w14:textId="77777777" w:rsidR="000F2E71" w:rsidRPr="00024FA5" w:rsidRDefault="00720C92" w:rsidP="008A1CFF">
      <w:pPr>
        <w:tabs>
          <w:tab w:val="left" w:pos="567"/>
        </w:tabs>
        <w:rPr>
          <w:sz w:val="22"/>
          <w:szCs w:val="22"/>
        </w:rPr>
      </w:pPr>
      <w:r w:rsidRPr="00024FA5">
        <w:rPr>
          <w:sz w:val="22"/>
          <w:szCs w:val="22"/>
        </w:rPr>
        <w:t xml:space="preserve">Vyskytnúť sa môžu alergické reakcie. </w:t>
      </w:r>
      <w:r w:rsidR="001A70CE" w:rsidRPr="00024FA5">
        <w:rPr>
          <w:sz w:val="22"/>
          <w:szCs w:val="22"/>
        </w:rPr>
        <w:t xml:space="preserve">Pretože u pacientov liečených kortikosteroidmi došlo </w:t>
      </w:r>
      <w:r w:rsidR="005B3CCE" w:rsidRPr="00024FA5">
        <w:rPr>
          <w:sz w:val="22"/>
          <w:szCs w:val="22"/>
        </w:rPr>
        <w:t>k</w:t>
      </w:r>
      <w:r w:rsidRPr="00024FA5">
        <w:rPr>
          <w:sz w:val="22"/>
          <w:szCs w:val="22"/>
        </w:rPr>
        <w:t>u</w:t>
      </w:r>
      <w:r w:rsidR="0010778D" w:rsidRPr="00024FA5">
        <w:rPr>
          <w:sz w:val="22"/>
          <w:szCs w:val="22"/>
        </w:rPr>
        <w:t> </w:t>
      </w:r>
      <w:r w:rsidR="005B3CCE" w:rsidRPr="00024FA5">
        <w:rPr>
          <w:sz w:val="22"/>
          <w:szCs w:val="22"/>
        </w:rPr>
        <w:t>zriedkavým prípadom</w:t>
      </w:r>
      <w:r w:rsidR="001A70CE" w:rsidRPr="00024FA5">
        <w:rPr>
          <w:sz w:val="22"/>
          <w:szCs w:val="22"/>
        </w:rPr>
        <w:t xml:space="preserve"> </w:t>
      </w:r>
      <w:r w:rsidRPr="00024FA5">
        <w:rPr>
          <w:sz w:val="22"/>
          <w:szCs w:val="22"/>
        </w:rPr>
        <w:t xml:space="preserve">kožných reakcií a </w:t>
      </w:r>
      <w:r w:rsidR="001A70CE" w:rsidRPr="00024FA5">
        <w:rPr>
          <w:sz w:val="22"/>
          <w:szCs w:val="22"/>
        </w:rPr>
        <w:t xml:space="preserve">vzniku </w:t>
      </w:r>
      <w:proofErr w:type="spellStart"/>
      <w:r w:rsidRPr="00024FA5">
        <w:rPr>
          <w:sz w:val="22"/>
          <w:szCs w:val="22"/>
        </w:rPr>
        <w:t>anafylaktických</w:t>
      </w:r>
      <w:proofErr w:type="spellEnd"/>
      <w:r w:rsidRPr="00024FA5">
        <w:rPr>
          <w:sz w:val="22"/>
          <w:szCs w:val="22"/>
        </w:rPr>
        <w:t>/</w:t>
      </w:r>
      <w:proofErr w:type="spellStart"/>
      <w:r w:rsidR="001A70CE" w:rsidRPr="00024FA5">
        <w:rPr>
          <w:sz w:val="22"/>
          <w:szCs w:val="22"/>
        </w:rPr>
        <w:t>anafylaktoidných</w:t>
      </w:r>
      <w:proofErr w:type="spellEnd"/>
      <w:r w:rsidR="001A70CE" w:rsidRPr="00024FA5">
        <w:rPr>
          <w:sz w:val="22"/>
          <w:szCs w:val="22"/>
        </w:rPr>
        <w:t xml:space="preserve"> reakcií</w:t>
      </w:r>
      <w:r w:rsidR="00874A40" w:rsidRPr="00024FA5">
        <w:rPr>
          <w:sz w:val="22"/>
          <w:szCs w:val="22"/>
        </w:rPr>
        <w:t>,</w:t>
      </w:r>
      <w:r w:rsidR="001A70CE" w:rsidRPr="00024FA5">
        <w:rPr>
          <w:sz w:val="22"/>
          <w:szCs w:val="22"/>
        </w:rPr>
        <w:t xml:space="preserve"> </w:t>
      </w:r>
      <w:r w:rsidR="00874A40" w:rsidRPr="00024FA5">
        <w:rPr>
          <w:sz w:val="22"/>
          <w:szCs w:val="22"/>
        </w:rPr>
        <w:t>majú sa</w:t>
      </w:r>
      <w:r w:rsidR="001A70CE" w:rsidRPr="00024FA5">
        <w:rPr>
          <w:sz w:val="22"/>
          <w:szCs w:val="22"/>
        </w:rPr>
        <w:t xml:space="preserve"> pred ich podaním týmto pacientom vykonať zodpovedajúce preventívne opatrenia, predovšetkým </w:t>
      </w:r>
      <w:r w:rsidR="0023657A" w:rsidRPr="006B156F">
        <w:rPr>
          <w:sz w:val="22"/>
          <w:szCs w:val="22"/>
        </w:rPr>
        <w:t>u pacientov s</w:t>
      </w:r>
      <w:r w:rsidR="0023657A">
        <w:rPr>
          <w:sz w:val="22"/>
          <w:szCs w:val="22"/>
        </w:rPr>
        <w:t> </w:t>
      </w:r>
      <w:r w:rsidR="0023657A" w:rsidRPr="006B156F">
        <w:rPr>
          <w:sz w:val="22"/>
          <w:szCs w:val="22"/>
        </w:rPr>
        <w:t>alergi</w:t>
      </w:r>
      <w:r w:rsidR="0023657A">
        <w:rPr>
          <w:sz w:val="22"/>
          <w:szCs w:val="22"/>
        </w:rPr>
        <w:t>ou</w:t>
      </w:r>
      <w:r w:rsidR="0023657A" w:rsidRPr="006B156F">
        <w:rPr>
          <w:sz w:val="22"/>
          <w:szCs w:val="22"/>
        </w:rPr>
        <w:t xml:space="preserve"> na akýkoľvek liek</w:t>
      </w:r>
      <w:r w:rsidR="0023657A">
        <w:rPr>
          <w:sz w:val="22"/>
          <w:szCs w:val="22"/>
        </w:rPr>
        <w:t xml:space="preserve"> v anamnéze.</w:t>
      </w:r>
    </w:p>
    <w:p w14:paraId="49AC6E55" w14:textId="77777777" w:rsidR="00A5550B" w:rsidRPr="00024FA5" w:rsidRDefault="00A5550B" w:rsidP="008A1CFF">
      <w:pPr>
        <w:tabs>
          <w:tab w:val="left" w:pos="567"/>
        </w:tabs>
        <w:rPr>
          <w:sz w:val="22"/>
          <w:szCs w:val="22"/>
        </w:rPr>
      </w:pPr>
    </w:p>
    <w:p w14:paraId="77118A8B" w14:textId="77777777" w:rsidR="000F2E71" w:rsidRPr="007B2B59" w:rsidRDefault="00720C92" w:rsidP="008A1CFF">
      <w:pPr>
        <w:tabs>
          <w:tab w:val="left" w:pos="567"/>
        </w:tabs>
        <w:rPr>
          <w:bCs/>
          <w:i/>
          <w:iCs/>
          <w:sz w:val="22"/>
          <w:szCs w:val="22"/>
        </w:rPr>
      </w:pPr>
      <w:r w:rsidRPr="007B2B59">
        <w:rPr>
          <w:bCs/>
          <w:i/>
          <w:iCs/>
          <w:sz w:val="22"/>
          <w:szCs w:val="22"/>
        </w:rPr>
        <w:t>Účinky na endokrinný systém</w:t>
      </w:r>
    </w:p>
    <w:p w14:paraId="76FCE443" w14:textId="77777777" w:rsidR="000F2E71" w:rsidRPr="00024FA5" w:rsidRDefault="006F7F02" w:rsidP="008A1CFF">
      <w:pPr>
        <w:tabs>
          <w:tab w:val="left" w:pos="567"/>
        </w:tabs>
        <w:rPr>
          <w:sz w:val="22"/>
          <w:szCs w:val="22"/>
        </w:rPr>
      </w:pPr>
      <w:r w:rsidRPr="00024FA5">
        <w:rPr>
          <w:sz w:val="22"/>
          <w:szCs w:val="22"/>
        </w:rPr>
        <w:t>U pacientov liečených kortikoster</w:t>
      </w:r>
      <w:r w:rsidR="005656EC" w:rsidRPr="00024FA5">
        <w:rPr>
          <w:sz w:val="22"/>
          <w:szCs w:val="22"/>
        </w:rPr>
        <w:t>o</w:t>
      </w:r>
      <w:r w:rsidRPr="00024FA5">
        <w:rPr>
          <w:sz w:val="22"/>
          <w:szCs w:val="22"/>
        </w:rPr>
        <w:t xml:space="preserve">idmi a vystavených nezvyčajnému stresu </w:t>
      </w:r>
      <w:r w:rsidR="00E34FAF" w:rsidRPr="00024FA5">
        <w:rPr>
          <w:sz w:val="22"/>
          <w:szCs w:val="22"/>
        </w:rPr>
        <w:t>je</w:t>
      </w:r>
      <w:r w:rsidRPr="00024FA5">
        <w:rPr>
          <w:sz w:val="22"/>
          <w:szCs w:val="22"/>
        </w:rPr>
        <w:t xml:space="preserve"> pred, počas</w:t>
      </w:r>
      <w:r w:rsidR="00017FF9">
        <w:rPr>
          <w:sz w:val="22"/>
          <w:szCs w:val="22"/>
        </w:rPr>
        <w:t> </w:t>
      </w:r>
      <w:r w:rsidRPr="00024FA5">
        <w:rPr>
          <w:sz w:val="22"/>
          <w:szCs w:val="22"/>
        </w:rPr>
        <w:t>a</w:t>
      </w:r>
      <w:r w:rsidR="00A5550B" w:rsidRPr="00024FA5">
        <w:rPr>
          <w:sz w:val="22"/>
          <w:szCs w:val="22"/>
        </w:rPr>
        <w:t> </w:t>
      </w:r>
      <w:r w:rsidRPr="00024FA5">
        <w:rPr>
          <w:sz w:val="22"/>
          <w:szCs w:val="22"/>
        </w:rPr>
        <w:t>po</w:t>
      </w:r>
      <w:r w:rsidR="00A5550B" w:rsidRPr="00024FA5">
        <w:rPr>
          <w:sz w:val="22"/>
          <w:szCs w:val="22"/>
        </w:rPr>
        <w:t> </w:t>
      </w:r>
      <w:r w:rsidRPr="00024FA5">
        <w:rPr>
          <w:sz w:val="22"/>
          <w:szCs w:val="22"/>
        </w:rPr>
        <w:t>stresovej situácii indik</w:t>
      </w:r>
      <w:r w:rsidR="00E34FAF" w:rsidRPr="00024FA5">
        <w:rPr>
          <w:sz w:val="22"/>
          <w:szCs w:val="22"/>
        </w:rPr>
        <w:t>ovaná</w:t>
      </w:r>
      <w:r w:rsidRPr="00024FA5">
        <w:rPr>
          <w:sz w:val="22"/>
          <w:szCs w:val="22"/>
        </w:rPr>
        <w:t xml:space="preserve"> zvýšená dávka rýchlo účinkujúcich glukokortikoidov.</w:t>
      </w:r>
    </w:p>
    <w:p w14:paraId="5ECDE296" w14:textId="77777777" w:rsidR="000F2E71" w:rsidRPr="001A6993" w:rsidRDefault="000F2E71" w:rsidP="008A1CFF">
      <w:pPr>
        <w:tabs>
          <w:tab w:val="left" w:pos="567"/>
        </w:tabs>
        <w:rPr>
          <w:bCs/>
          <w:sz w:val="22"/>
          <w:szCs w:val="22"/>
        </w:rPr>
      </w:pPr>
    </w:p>
    <w:p w14:paraId="1B7A8543" w14:textId="77777777" w:rsidR="000F2E71" w:rsidRPr="00024FA5" w:rsidRDefault="00720C92" w:rsidP="008A1CFF">
      <w:pPr>
        <w:tabs>
          <w:tab w:val="left" w:pos="567"/>
        </w:tabs>
        <w:rPr>
          <w:rStyle w:val="st1"/>
          <w:sz w:val="22"/>
          <w:szCs w:val="22"/>
        </w:rPr>
      </w:pPr>
      <w:r w:rsidRPr="00024FA5">
        <w:rPr>
          <w:sz w:val="22"/>
          <w:szCs w:val="22"/>
        </w:rPr>
        <w:t xml:space="preserve">Farmakologické dávky kortikosteroidov podávané dlhšiu dobu, môžu mať za následok </w:t>
      </w:r>
      <w:proofErr w:type="spellStart"/>
      <w:r w:rsidRPr="00024FA5">
        <w:rPr>
          <w:sz w:val="22"/>
          <w:szCs w:val="22"/>
        </w:rPr>
        <w:t>supresiu</w:t>
      </w:r>
      <w:proofErr w:type="spellEnd"/>
      <w:r w:rsidRPr="00024FA5">
        <w:rPr>
          <w:sz w:val="22"/>
          <w:szCs w:val="22"/>
        </w:rPr>
        <w:t xml:space="preserve"> (HPA) </w:t>
      </w:r>
      <w:proofErr w:type="spellStart"/>
      <w:r w:rsidRPr="00024FA5">
        <w:rPr>
          <w:sz w:val="22"/>
          <w:szCs w:val="22"/>
        </w:rPr>
        <w:t>hypotalamo</w:t>
      </w:r>
      <w:proofErr w:type="spellEnd"/>
      <w:r w:rsidRPr="00024FA5">
        <w:rPr>
          <w:sz w:val="22"/>
          <w:szCs w:val="22"/>
        </w:rPr>
        <w:t>-</w:t>
      </w:r>
      <w:proofErr w:type="spellStart"/>
      <w:r w:rsidRPr="00024FA5">
        <w:rPr>
          <w:sz w:val="22"/>
          <w:szCs w:val="22"/>
        </w:rPr>
        <w:t>hypofýzo</w:t>
      </w:r>
      <w:proofErr w:type="spellEnd"/>
      <w:r w:rsidRPr="00024FA5">
        <w:rPr>
          <w:sz w:val="22"/>
          <w:szCs w:val="22"/>
        </w:rPr>
        <w:t xml:space="preserve">-nadobličkovej osi (sekundárna </w:t>
      </w:r>
      <w:proofErr w:type="spellStart"/>
      <w:r w:rsidRPr="00024FA5">
        <w:rPr>
          <w:sz w:val="22"/>
          <w:szCs w:val="22"/>
        </w:rPr>
        <w:t>adrenokortikálna</w:t>
      </w:r>
      <w:proofErr w:type="spellEnd"/>
      <w:r w:rsidRPr="00024FA5">
        <w:rPr>
          <w:sz w:val="22"/>
          <w:szCs w:val="22"/>
        </w:rPr>
        <w:t xml:space="preserve"> </w:t>
      </w:r>
      <w:proofErr w:type="spellStart"/>
      <w:r w:rsidRPr="00024FA5">
        <w:rPr>
          <w:sz w:val="22"/>
          <w:szCs w:val="22"/>
        </w:rPr>
        <w:t>insuficiencia</w:t>
      </w:r>
      <w:proofErr w:type="spellEnd"/>
      <w:r w:rsidRPr="00024FA5">
        <w:rPr>
          <w:sz w:val="22"/>
          <w:szCs w:val="22"/>
        </w:rPr>
        <w:t xml:space="preserve">). Stupeň a trvanie </w:t>
      </w:r>
      <w:proofErr w:type="spellStart"/>
      <w:r w:rsidRPr="00024FA5">
        <w:rPr>
          <w:sz w:val="22"/>
          <w:szCs w:val="22"/>
        </w:rPr>
        <w:t>adrenokortikálnej</w:t>
      </w:r>
      <w:proofErr w:type="spellEnd"/>
      <w:r w:rsidRPr="00024FA5">
        <w:rPr>
          <w:sz w:val="22"/>
          <w:szCs w:val="22"/>
        </w:rPr>
        <w:t xml:space="preserve"> </w:t>
      </w:r>
      <w:proofErr w:type="spellStart"/>
      <w:r w:rsidRPr="00024FA5">
        <w:rPr>
          <w:sz w:val="22"/>
          <w:szCs w:val="22"/>
        </w:rPr>
        <w:t>insuficiencie</w:t>
      </w:r>
      <w:proofErr w:type="spellEnd"/>
      <w:r w:rsidRPr="00024FA5">
        <w:rPr>
          <w:sz w:val="22"/>
          <w:szCs w:val="22"/>
        </w:rPr>
        <w:t xml:space="preserve"> sú u pacientov rozdielne a závisia od dávky, frekvencie, doby podávania a dĺžky liečby</w:t>
      </w:r>
      <w:r w:rsidR="004D5AF3" w:rsidRPr="00024FA5">
        <w:rPr>
          <w:sz w:val="22"/>
          <w:szCs w:val="22"/>
        </w:rPr>
        <w:t xml:space="preserve"> s glukokortikoidmi</w:t>
      </w:r>
      <w:r w:rsidRPr="00024FA5">
        <w:rPr>
          <w:sz w:val="22"/>
          <w:szCs w:val="22"/>
        </w:rPr>
        <w:t xml:space="preserve">. Tento účinok sa môže minimalizovať použitím liečby </w:t>
      </w:r>
      <w:proofErr w:type="spellStart"/>
      <w:r w:rsidRPr="00024FA5">
        <w:rPr>
          <w:sz w:val="22"/>
          <w:szCs w:val="22"/>
        </w:rPr>
        <w:t>obdeň</w:t>
      </w:r>
      <w:proofErr w:type="spellEnd"/>
      <w:r w:rsidRPr="00024FA5">
        <w:rPr>
          <w:sz w:val="22"/>
          <w:szCs w:val="22"/>
        </w:rPr>
        <w:t xml:space="preserve"> (</w:t>
      </w:r>
      <w:r w:rsidRPr="00024FA5">
        <w:rPr>
          <w:rStyle w:val="st1"/>
          <w:sz w:val="22"/>
          <w:szCs w:val="22"/>
        </w:rPr>
        <w:t>každý druhý deň).</w:t>
      </w:r>
    </w:p>
    <w:p w14:paraId="46571CFA" w14:textId="77777777" w:rsidR="000F2E71" w:rsidRPr="00024FA5" w:rsidRDefault="00720C92" w:rsidP="008A1CFF">
      <w:pPr>
        <w:tabs>
          <w:tab w:val="left" w:pos="567"/>
        </w:tabs>
        <w:rPr>
          <w:rStyle w:val="st1"/>
          <w:sz w:val="22"/>
          <w:szCs w:val="22"/>
        </w:rPr>
      </w:pPr>
      <w:r w:rsidRPr="00024FA5">
        <w:rPr>
          <w:rStyle w:val="st1"/>
          <w:sz w:val="22"/>
          <w:szCs w:val="22"/>
        </w:rPr>
        <w:t xml:space="preserve">Navyše, náhle vysadenie glukokortikoidov pri akútnej </w:t>
      </w:r>
      <w:proofErr w:type="spellStart"/>
      <w:r w:rsidRPr="00024FA5">
        <w:rPr>
          <w:rStyle w:val="st1"/>
          <w:sz w:val="22"/>
          <w:szCs w:val="22"/>
        </w:rPr>
        <w:t>adrenálnej</w:t>
      </w:r>
      <w:proofErr w:type="spellEnd"/>
      <w:r w:rsidRPr="00024FA5">
        <w:rPr>
          <w:rStyle w:val="st1"/>
          <w:sz w:val="22"/>
          <w:szCs w:val="22"/>
        </w:rPr>
        <w:t xml:space="preserve"> </w:t>
      </w:r>
      <w:proofErr w:type="spellStart"/>
      <w:r w:rsidRPr="00024FA5">
        <w:rPr>
          <w:rStyle w:val="st1"/>
          <w:sz w:val="22"/>
          <w:szCs w:val="22"/>
        </w:rPr>
        <w:t>insuficiencii</w:t>
      </w:r>
      <w:proofErr w:type="spellEnd"/>
      <w:r w:rsidRPr="00024FA5">
        <w:rPr>
          <w:rStyle w:val="st1"/>
          <w:sz w:val="22"/>
          <w:szCs w:val="22"/>
        </w:rPr>
        <w:t xml:space="preserve"> môže mať fatálny následok.</w:t>
      </w:r>
    </w:p>
    <w:p w14:paraId="16FF8128" w14:textId="77777777" w:rsidR="000F2E71" w:rsidRPr="00024FA5" w:rsidRDefault="000F2E71" w:rsidP="008A1CFF">
      <w:pPr>
        <w:tabs>
          <w:tab w:val="left" w:pos="567"/>
        </w:tabs>
        <w:rPr>
          <w:rStyle w:val="st1"/>
          <w:sz w:val="22"/>
          <w:szCs w:val="22"/>
        </w:rPr>
      </w:pPr>
    </w:p>
    <w:p w14:paraId="630AA94E" w14:textId="77777777" w:rsidR="000F2E71" w:rsidRPr="00024FA5" w:rsidRDefault="00720C92" w:rsidP="008A1CFF">
      <w:pPr>
        <w:tabs>
          <w:tab w:val="left" w:pos="567"/>
        </w:tabs>
        <w:rPr>
          <w:rStyle w:val="hps"/>
          <w:sz w:val="22"/>
          <w:szCs w:val="22"/>
        </w:rPr>
      </w:pPr>
      <w:r w:rsidRPr="00024FA5">
        <w:rPr>
          <w:rStyle w:val="st1"/>
          <w:sz w:val="22"/>
          <w:szCs w:val="22"/>
        </w:rPr>
        <w:t xml:space="preserve">Liekom indukovaná sekundárna </w:t>
      </w:r>
      <w:proofErr w:type="spellStart"/>
      <w:r w:rsidRPr="00024FA5">
        <w:rPr>
          <w:rStyle w:val="st1"/>
          <w:sz w:val="22"/>
          <w:szCs w:val="22"/>
        </w:rPr>
        <w:t>adrenokortikálna</w:t>
      </w:r>
      <w:proofErr w:type="spellEnd"/>
      <w:r w:rsidRPr="00024FA5">
        <w:rPr>
          <w:rStyle w:val="st1"/>
          <w:sz w:val="22"/>
          <w:szCs w:val="22"/>
        </w:rPr>
        <w:t xml:space="preserve"> </w:t>
      </w:r>
      <w:proofErr w:type="spellStart"/>
      <w:r w:rsidRPr="00024FA5">
        <w:rPr>
          <w:rStyle w:val="st1"/>
          <w:sz w:val="22"/>
          <w:szCs w:val="22"/>
        </w:rPr>
        <w:t>insuficiencia</w:t>
      </w:r>
      <w:proofErr w:type="spellEnd"/>
      <w:r w:rsidRPr="00024FA5">
        <w:rPr>
          <w:rStyle w:val="st1"/>
          <w:sz w:val="22"/>
          <w:szCs w:val="22"/>
        </w:rPr>
        <w:t xml:space="preserve"> preto môže byť minimalizovaná postupným znižovaním dávky. Tento druh relatívnej </w:t>
      </w:r>
      <w:proofErr w:type="spellStart"/>
      <w:r w:rsidRPr="00024FA5">
        <w:rPr>
          <w:rStyle w:val="st1"/>
          <w:sz w:val="22"/>
          <w:szCs w:val="22"/>
        </w:rPr>
        <w:t>insuficiencie</w:t>
      </w:r>
      <w:proofErr w:type="spellEnd"/>
      <w:r w:rsidRPr="00024FA5">
        <w:rPr>
          <w:rStyle w:val="st1"/>
          <w:sz w:val="22"/>
          <w:szCs w:val="22"/>
        </w:rPr>
        <w:t xml:space="preserve"> môže pretrvávať mesiace po</w:t>
      </w:r>
      <w:r w:rsidR="00802E72" w:rsidRPr="00024FA5">
        <w:rPr>
          <w:rStyle w:val="st1"/>
          <w:sz w:val="22"/>
          <w:szCs w:val="22"/>
        </w:rPr>
        <w:t> </w:t>
      </w:r>
      <w:r w:rsidRPr="00024FA5">
        <w:rPr>
          <w:rStyle w:val="st1"/>
          <w:sz w:val="22"/>
          <w:szCs w:val="22"/>
        </w:rPr>
        <w:t>ukončení liečby; preto</w:t>
      </w:r>
      <w:r w:rsidRPr="00024FA5">
        <w:rPr>
          <w:sz w:val="22"/>
          <w:szCs w:val="22"/>
        </w:rPr>
        <w:t xml:space="preserve"> sa má </w:t>
      </w:r>
      <w:r w:rsidRPr="00024FA5">
        <w:rPr>
          <w:rStyle w:val="hps"/>
          <w:sz w:val="22"/>
          <w:szCs w:val="22"/>
        </w:rPr>
        <w:t>pri</w:t>
      </w:r>
      <w:r w:rsidRPr="00024FA5">
        <w:rPr>
          <w:sz w:val="22"/>
          <w:szCs w:val="22"/>
        </w:rPr>
        <w:t xml:space="preserve"> akejkoľvek</w:t>
      </w:r>
      <w:r w:rsidRPr="00024FA5">
        <w:rPr>
          <w:rStyle w:val="hps"/>
          <w:sz w:val="22"/>
          <w:szCs w:val="22"/>
        </w:rPr>
        <w:t xml:space="preserve"> stresovej situácii</w:t>
      </w:r>
      <w:r w:rsidRPr="00024FA5">
        <w:rPr>
          <w:sz w:val="22"/>
          <w:szCs w:val="22"/>
        </w:rPr>
        <w:t xml:space="preserve"> </w:t>
      </w:r>
      <w:r w:rsidRPr="00024FA5">
        <w:rPr>
          <w:rStyle w:val="hps"/>
          <w:sz w:val="22"/>
          <w:szCs w:val="22"/>
        </w:rPr>
        <w:t>v tomto</w:t>
      </w:r>
      <w:r w:rsidRPr="00024FA5">
        <w:rPr>
          <w:sz w:val="22"/>
          <w:szCs w:val="22"/>
        </w:rPr>
        <w:t xml:space="preserve"> </w:t>
      </w:r>
      <w:r w:rsidRPr="00024FA5">
        <w:rPr>
          <w:rStyle w:val="hps"/>
          <w:sz w:val="22"/>
          <w:szCs w:val="22"/>
        </w:rPr>
        <w:t>období</w:t>
      </w:r>
      <w:r w:rsidRPr="00024FA5">
        <w:rPr>
          <w:sz w:val="22"/>
          <w:szCs w:val="22"/>
        </w:rPr>
        <w:t xml:space="preserve"> </w:t>
      </w:r>
      <w:r w:rsidRPr="00024FA5">
        <w:rPr>
          <w:rStyle w:val="hps"/>
          <w:sz w:val="22"/>
          <w:szCs w:val="22"/>
        </w:rPr>
        <w:t>znovu podať</w:t>
      </w:r>
      <w:r w:rsidRPr="00024FA5">
        <w:rPr>
          <w:sz w:val="22"/>
          <w:szCs w:val="22"/>
        </w:rPr>
        <w:t xml:space="preserve"> </w:t>
      </w:r>
      <w:r w:rsidRPr="00024FA5">
        <w:rPr>
          <w:rStyle w:val="hps"/>
          <w:sz w:val="22"/>
          <w:szCs w:val="22"/>
        </w:rPr>
        <w:t>hormonálna</w:t>
      </w:r>
      <w:r w:rsidRPr="00024FA5">
        <w:rPr>
          <w:sz w:val="22"/>
          <w:szCs w:val="22"/>
        </w:rPr>
        <w:t xml:space="preserve"> </w:t>
      </w:r>
      <w:r w:rsidRPr="00024FA5">
        <w:rPr>
          <w:rStyle w:val="hps"/>
          <w:sz w:val="22"/>
          <w:szCs w:val="22"/>
        </w:rPr>
        <w:t>liečba.</w:t>
      </w:r>
    </w:p>
    <w:p w14:paraId="2B0E0402" w14:textId="77777777" w:rsidR="000F2E71" w:rsidRPr="00024FA5" w:rsidRDefault="000F2E71" w:rsidP="008A1CFF">
      <w:pPr>
        <w:tabs>
          <w:tab w:val="left" w:pos="567"/>
        </w:tabs>
        <w:rPr>
          <w:rStyle w:val="hps"/>
          <w:sz w:val="22"/>
          <w:szCs w:val="22"/>
        </w:rPr>
      </w:pPr>
    </w:p>
    <w:p w14:paraId="53BC7F11" w14:textId="77777777" w:rsidR="000F2E71" w:rsidRPr="00024FA5" w:rsidRDefault="00720C92" w:rsidP="008A1CFF">
      <w:pPr>
        <w:tabs>
          <w:tab w:val="left" w:pos="567"/>
        </w:tabs>
        <w:rPr>
          <w:rStyle w:val="hps"/>
          <w:sz w:val="22"/>
          <w:szCs w:val="22"/>
        </w:rPr>
      </w:pPr>
      <w:r w:rsidRPr="00024FA5">
        <w:rPr>
          <w:rStyle w:val="hps"/>
          <w:sz w:val="22"/>
          <w:szCs w:val="22"/>
        </w:rPr>
        <w:t xml:space="preserve">Po náhlom vysadení glukokortikoidov môže dôjsť k „abstinenčnému syndrómu z vysadenia </w:t>
      </w:r>
      <w:proofErr w:type="spellStart"/>
      <w:r w:rsidRPr="00024FA5">
        <w:rPr>
          <w:rStyle w:val="hps"/>
          <w:sz w:val="22"/>
          <w:szCs w:val="22"/>
        </w:rPr>
        <w:t>steroidov</w:t>
      </w:r>
      <w:proofErr w:type="spellEnd"/>
      <w:r w:rsidRPr="00024FA5">
        <w:rPr>
          <w:rStyle w:val="hps"/>
          <w:sz w:val="22"/>
          <w:szCs w:val="22"/>
        </w:rPr>
        <w:t>“, zdanlivo nesúvisiaceho s </w:t>
      </w:r>
      <w:proofErr w:type="spellStart"/>
      <w:r w:rsidRPr="00024FA5">
        <w:rPr>
          <w:rStyle w:val="hps"/>
          <w:sz w:val="22"/>
          <w:szCs w:val="22"/>
        </w:rPr>
        <w:t>adrenokortikálnou</w:t>
      </w:r>
      <w:proofErr w:type="spellEnd"/>
      <w:r w:rsidRPr="00024FA5">
        <w:rPr>
          <w:rStyle w:val="hps"/>
          <w:sz w:val="22"/>
          <w:szCs w:val="22"/>
        </w:rPr>
        <w:t xml:space="preserve"> </w:t>
      </w:r>
      <w:proofErr w:type="spellStart"/>
      <w:r w:rsidRPr="00024FA5">
        <w:rPr>
          <w:rStyle w:val="hps"/>
          <w:sz w:val="22"/>
          <w:szCs w:val="22"/>
        </w:rPr>
        <w:t>insuficienciou</w:t>
      </w:r>
      <w:proofErr w:type="spellEnd"/>
      <w:r w:rsidRPr="00024FA5">
        <w:rPr>
          <w:rStyle w:val="hps"/>
          <w:sz w:val="22"/>
          <w:szCs w:val="22"/>
        </w:rPr>
        <w:t xml:space="preserve">. Tento syndróm zahŕňa </w:t>
      </w:r>
      <w:r w:rsidR="00E30A23" w:rsidRPr="00024FA5">
        <w:rPr>
          <w:rStyle w:val="hps"/>
          <w:sz w:val="22"/>
          <w:szCs w:val="22"/>
        </w:rPr>
        <w:t xml:space="preserve">príznaky </w:t>
      </w:r>
      <w:r w:rsidRPr="00024FA5">
        <w:rPr>
          <w:rStyle w:val="hps"/>
          <w:sz w:val="22"/>
          <w:szCs w:val="22"/>
        </w:rPr>
        <w:t xml:space="preserve">ako sú: </w:t>
      </w:r>
      <w:proofErr w:type="spellStart"/>
      <w:r w:rsidRPr="00024FA5">
        <w:rPr>
          <w:rStyle w:val="hps"/>
          <w:sz w:val="22"/>
          <w:szCs w:val="22"/>
        </w:rPr>
        <w:t>anorexia</w:t>
      </w:r>
      <w:proofErr w:type="spellEnd"/>
      <w:r w:rsidRPr="00024FA5">
        <w:rPr>
          <w:rStyle w:val="hps"/>
          <w:sz w:val="22"/>
          <w:szCs w:val="22"/>
        </w:rPr>
        <w:t xml:space="preserve">, nauzea, vracanie, letargia, bolesť hlavy, horúčka, bolesť kĺbov, </w:t>
      </w:r>
      <w:proofErr w:type="spellStart"/>
      <w:r w:rsidRPr="00024FA5">
        <w:rPr>
          <w:rStyle w:val="hps"/>
          <w:sz w:val="22"/>
          <w:szCs w:val="22"/>
        </w:rPr>
        <w:t>deskvamácia</w:t>
      </w:r>
      <w:proofErr w:type="spellEnd"/>
      <w:r w:rsidRPr="00024FA5">
        <w:rPr>
          <w:rStyle w:val="hps"/>
          <w:sz w:val="22"/>
          <w:szCs w:val="22"/>
        </w:rPr>
        <w:t xml:space="preserve">, </w:t>
      </w:r>
      <w:proofErr w:type="spellStart"/>
      <w:r w:rsidRPr="00024FA5">
        <w:rPr>
          <w:rStyle w:val="hps"/>
          <w:sz w:val="22"/>
          <w:szCs w:val="22"/>
        </w:rPr>
        <w:t>myalgia</w:t>
      </w:r>
      <w:proofErr w:type="spellEnd"/>
      <w:r w:rsidRPr="00024FA5">
        <w:rPr>
          <w:rStyle w:val="hps"/>
          <w:sz w:val="22"/>
          <w:szCs w:val="22"/>
        </w:rPr>
        <w:t>, zníženie telesnej hmotnosti a/alebo hypotenzia. Predpokladá sa, že tieto účinky sú skôr dôsledkom náhlej zmeny koncentrácie glukokortikoidov, než nízkej hladiny kortikosteroidov.</w:t>
      </w:r>
    </w:p>
    <w:p w14:paraId="01638DD0" w14:textId="77777777" w:rsidR="00720C92" w:rsidRPr="00024FA5" w:rsidRDefault="00720C92" w:rsidP="006E5190">
      <w:pPr>
        <w:textAlignment w:val="top"/>
        <w:rPr>
          <w:sz w:val="22"/>
          <w:szCs w:val="22"/>
        </w:rPr>
      </w:pPr>
    </w:p>
    <w:p w14:paraId="634427D9" w14:textId="77777777" w:rsidR="00720C92" w:rsidRPr="00024FA5" w:rsidRDefault="00720C92" w:rsidP="006E5190">
      <w:pPr>
        <w:textAlignment w:val="top"/>
        <w:rPr>
          <w:sz w:val="22"/>
          <w:szCs w:val="22"/>
        </w:rPr>
      </w:pPr>
      <w:r w:rsidRPr="00024FA5">
        <w:rPr>
          <w:sz w:val="22"/>
          <w:szCs w:val="22"/>
        </w:rPr>
        <w:lastRenderedPageBreak/>
        <w:t xml:space="preserve">Glukokortikoidy môžu vyvolať alebo zhoršiť </w:t>
      </w:r>
      <w:proofErr w:type="spellStart"/>
      <w:r w:rsidRPr="00024FA5">
        <w:rPr>
          <w:sz w:val="22"/>
          <w:szCs w:val="22"/>
        </w:rPr>
        <w:t>Cushingov</w:t>
      </w:r>
      <w:proofErr w:type="spellEnd"/>
      <w:r w:rsidRPr="00024FA5">
        <w:rPr>
          <w:sz w:val="22"/>
          <w:szCs w:val="22"/>
        </w:rPr>
        <w:t xml:space="preserve"> syndróm, a preto sa treba vyhnúť podávaniu glukokortikoidov pacientom s </w:t>
      </w:r>
      <w:proofErr w:type="spellStart"/>
      <w:r w:rsidRPr="00024FA5">
        <w:rPr>
          <w:sz w:val="22"/>
          <w:szCs w:val="22"/>
        </w:rPr>
        <w:t>Cushingovou</w:t>
      </w:r>
      <w:proofErr w:type="spellEnd"/>
      <w:r w:rsidRPr="00024FA5">
        <w:rPr>
          <w:sz w:val="22"/>
          <w:szCs w:val="22"/>
        </w:rPr>
        <w:t xml:space="preserve"> chorobou.</w:t>
      </w:r>
    </w:p>
    <w:p w14:paraId="48B98E05" w14:textId="77777777" w:rsidR="000F2E71" w:rsidRPr="00024FA5" w:rsidRDefault="000F2E71" w:rsidP="008A1CFF">
      <w:pPr>
        <w:tabs>
          <w:tab w:val="left" w:pos="567"/>
        </w:tabs>
        <w:rPr>
          <w:rStyle w:val="st1"/>
          <w:sz w:val="22"/>
          <w:szCs w:val="22"/>
        </w:rPr>
      </w:pPr>
    </w:p>
    <w:p w14:paraId="118A211F" w14:textId="77777777" w:rsidR="00720C92" w:rsidRDefault="00720C92" w:rsidP="006E5190">
      <w:pPr>
        <w:textAlignment w:val="top"/>
        <w:rPr>
          <w:sz w:val="22"/>
          <w:szCs w:val="22"/>
        </w:rPr>
      </w:pPr>
      <w:r w:rsidRPr="00024FA5">
        <w:rPr>
          <w:sz w:val="22"/>
          <w:szCs w:val="22"/>
        </w:rPr>
        <w:t>U pacientov s </w:t>
      </w:r>
      <w:proofErr w:type="spellStart"/>
      <w:r w:rsidRPr="00024FA5">
        <w:rPr>
          <w:sz w:val="22"/>
          <w:szCs w:val="22"/>
        </w:rPr>
        <w:t>hypotyreózou</w:t>
      </w:r>
      <w:proofErr w:type="spellEnd"/>
      <w:r w:rsidRPr="00024FA5">
        <w:rPr>
          <w:sz w:val="22"/>
          <w:szCs w:val="22"/>
        </w:rPr>
        <w:t xml:space="preserve"> je účinok kortikosteroidov zosilnený.</w:t>
      </w:r>
    </w:p>
    <w:p w14:paraId="7B256ACA" w14:textId="77777777" w:rsidR="008068D3" w:rsidRDefault="008068D3" w:rsidP="006E5190">
      <w:pPr>
        <w:textAlignment w:val="top"/>
        <w:rPr>
          <w:sz w:val="22"/>
          <w:szCs w:val="22"/>
        </w:rPr>
      </w:pPr>
    </w:p>
    <w:p w14:paraId="657EC0FD" w14:textId="77777777" w:rsidR="008068D3" w:rsidRPr="009457D4" w:rsidRDefault="008068D3" w:rsidP="009457D4">
      <w:pPr>
        <w:rPr>
          <w:rFonts w:eastAsia="+mn-ea"/>
          <w:kern w:val="24"/>
          <w:sz w:val="22"/>
          <w:szCs w:val="22"/>
        </w:rPr>
      </w:pPr>
      <w:r w:rsidRPr="009E54B4">
        <w:rPr>
          <w:rFonts w:eastAsia="+mn-ea"/>
          <w:kern w:val="24"/>
          <w:sz w:val="22"/>
          <w:szCs w:val="22"/>
        </w:rPr>
        <w:t xml:space="preserve">Po podaní systémových kortikosteroidov bola hlásená </w:t>
      </w:r>
      <w:proofErr w:type="spellStart"/>
      <w:r w:rsidRPr="009E54B4">
        <w:rPr>
          <w:rFonts w:eastAsia="+mn-ea"/>
          <w:kern w:val="24"/>
          <w:sz w:val="22"/>
          <w:szCs w:val="22"/>
        </w:rPr>
        <w:t>feochromocytómová</w:t>
      </w:r>
      <w:proofErr w:type="spellEnd"/>
      <w:r w:rsidRPr="009E54B4">
        <w:rPr>
          <w:rFonts w:eastAsia="+mn-ea"/>
          <w:kern w:val="24"/>
          <w:sz w:val="22"/>
          <w:szCs w:val="22"/>
        </w:rPr>
        <w:t xml:space="preserve"> kríza, ktorá môže byť fatálna. Pacientom s podozrením alebo s potvrdeným </w:t>
      </w:r>
      <w:proofErr w:type="spellStart"/>
      <w:r w:rsidRPr="009E54B4">
        <w:rPr>
          <w:rFonts w:eastAsia="+mn-ea"/>
          <w:kern w:val="24"/>
          <w:sz w:val="22"/>
          <w:szCs w:val="22"/>
        </w:rPr>
        <w:t>feochromocytómom</w:t>
      </w:r>
      <w:proofErr w:type="spellEnd"/>
      <w:r w:rsidRPr="009E54B4">
        <w:rPr>
          <w:rFonts w:eastAsia="+mn-ea"/>
          <w:kern w:val="24"/>
          <w:sz w:val="22"/>
          <w:szCs w:val="22"/>
        </w:rPr>
        <w:t xml:space="preserve"> majú byť systémové kortikosteroidy podané až po zhodnotení rizika/benefitu</w:t>
      </w:r>
      <w:r w:rsidRPr="00083EB5">
        <w:rPr>
          <w:rFonts w:eastAsia="+mn-ea"/>
          <w:kern w:val="24"/>
          <w:sz w:val="22"/>
          <w:szCs w:val="22"/>
        </w:rPr>
        <w:t>.</w:t>
      </w:r>
    </w:p>
    <w:p w14:paraId="4ABEA29F" w14:textId="77777777" w:rsidR="00720C92" w:rsidRPr="00024FA5" w:rsidRDefault="00720C92" w:rsidP="006E5190">
      <w:pPr>
        <w:textAlignment w:val="top"/>
        <w:rPr>
          <w:sz w:val="22"/>
          <w:szCs w:val="22"/>
        </w:rPr>
      </w:pPr>
    </w:p>
    <w:p w14:paraId="0E717925" w14:textId="77777777" w:rsidR="00720C92" w:rsidRPr="007B2B59" w:rsidRDefault="00720C92" w:rsidP="007B2B59">
      <w:pPr>
        <w:tabs>
          <w:tab w:val="left" w:pos="567"/>
        </w:tabs>
        <w:rPr>
          <w:bCs/>
          <w:i/>
          <w:iCs/>
          <w:sz w:val="22"/>
          <w:szCs w:val="22"/>
        </w:rPr>
      </w:pPr>
      <w:r w:rsidRPr="007B2B59">
        <w:rPr>
          <w:bCs/>
          <w:i/>
          <w:iCs/>
          <w:sz w:val="22"/>
          <w:szCs w:val="22"/>
        </w:rPr>
        <w:t>Metabolizmus a výživa</w:t>
      </w:r>
    </w:p>
    <w:p w14:paraId="32412994" w14:textId="77777777" w:rsidR="00720C92" w:rsidRPr="00024FA5" w:rsidRDefault="00720C92" w:rsidP="006E5190">
      <w:pPr>
        <w:textAlignment w:val="top"/>
        <w:rPr>
          <w:sz w:val="22"/>
          <w:szCs w:val="22"/>
        </w:rPr>
      </w:pPr>
      <w:r w:rsidRPr="00024FA5">
        <w:rPr>
          <w:rStyle w:val="hps"/>
          <w:sz w:val="22"/>
          <w:szCs w:val="22"/>
        </w:rPr>
        <w:t xml:space="preserve">Kortikosteroidy, vrátane </w:t>
      </w:r>
      <w:proofErr w:type="spellStart"/>
      <w:r w:rsidRPr="00024FA5">
        <w:rPr>
          <w:rStyle w:val="hps"/>
          <w:sz w:val="22"/>
          <w:szCs w:val="22"/>
        </w:rPr>
        <w:t>metylprednizolónu</w:t>
      </w:r>
      <w:proofErr w:type="spellEnd"/>
      <w:r w:rsidRPr="00024FA5">
        <w:rPr>
          <w:rStyle w:val="hps"/>
          <w:sz w:val="22"/>
          <w:szCs w:val="22"/>
        </w:rPr>
        <w:t xml:space="preserve"> môžu zvyšovať glukózu v krvi, zhoršiť už existujúci diabetes a pri dlhodobej liečbe kortikosteroidmi zvýšiť náchylnosť </w:t>
      </w:r>
      <w:r w:rsidRPr="00024FA5">
        <w:rPr>
          <w:sz w:val="22"/>
          <w:szCs w:val="22"/>
        </w:rPr>
        <w:t>na diabetes mellitus.</w:t>
      </w:r>
    </w:p>
    <w:p w14:paraId="08E4E1E5" w14:textId="77777777" w:rsidR="000F2E71" w:rsidRPr="00024FA5" w:rsidRDefault="000F2E71" w:rsidP="008A1CFF">
      <w:pPr>
        <w:tabs>
          <w:tab w:val="left" w:pos="567"/>
        </w:tabs>
        <w:rPr>
          <w:sz w:val="22"/>
          <w:szCs w:val="22"/>
        </w:rPr>
      </w:pPr>
    </w:p>
    <w:p w14:paraId="4FBABA79" w14:textId="77777777" w:rsidR="000F2E71" w:rsidRPr="007B2B59" w:rsidRDefault="00720C92" w:rsidP="008A1CFF">
      <w:pPr>
        <w:tabs>
          <w:tab w:val="left" w:pos="567"/>
        </w:tabs>
        <w:rPr>
          <w:bCs/>
          <w:i/>
          <w:iCs/>
          <w:sz w:val="22"/>
          <w:szCs w:val="22"/>
        </w:rPr>
      </w:pPr>
      <w:r w:rsidRPr="007B2B59">
        <w:rPr>
          <w:bCs/>
          <w:i/>
          <w:iCs/>
          <w:sz w:val="22"/>
          <w:szCs w:val="22"/>
        </w:rPr>
        <w:t>Účinky na duševný stav</w:t>
      </w:r>
    </w:p>
    <w:p w14:paraId="49909B35" w14:textId="77777777" w:rsidR="000F2E71" w:rsidRPr="00024FA5" w:rsidRDefault="00720C92" w:rsidP="008A1CFF">
      <w:pPr>
        <w:tabs>
          <w:tab w:val="left" w:pos="567"/>
        </w:tabs>
        <w:rPr>
          <w:sz w:val="22"/>
          <w:szCs w:val="22"/>
        </w:rPr>
      </w:pPr>
      <w:r w:rsidRPr="00024FA5">
        <w:rPr>
          <w:sz w:val="22"/>
          <w:szCs w:val="22"/>
        </w:rPr>
        <w:t xml:space="preserve">Pri užívaní kortikosteroidov sa môžu objaviť duševné poruchy, od eufórie, </w:t>
      </w:r>
      <w:proofErr w:type="spellStart"/>
      <w:r w:rsidRPr="00024FA5">
        <w:rPr>
          <w:sz w:val="22"/>
          <w:szCs w:val="22"/>
        </w:rPr>
        <w:t>insomnie</w:t>
      </w:r>
      <w:proofErr w:type="spellEnd"/>
      <w:r w:rsidRPr="00024FA5">
        <w:rPr>
          <w:sz w:val="22"/>
          <w:szCs w:val="22"/>
        </w:rPr>
        <w:t>, prudkých zmien nálad, zmien osobnosti a ťažkej depresie po klinicky zistené psychotické prejavy. Existujúca emocionálna nestabilita alebo psychotické tendencie sa tiež môžu vplyvom kortikosteroidov zhoršiť.</w:t>
      </w:r>
    </w:p>
    <w:p w14:paraId="4B9F25A2" w14:textId="77777777" w:rsidR="000F2E71" w:rsidRPr="00024FA5" w:rsidRDefault="000F2E71" w:rsidP="008A1CFF">
      <w:pPr>
        <w:tabs>
          <w:tab w:val="left" w:pos="567"/>
        </w:tabs>
        <w:rPr>
          <w:sz w:val="22"/>
          <w:szCs w:val="22"/>
        </w:rPr>
      </w:pPr>
    </w:p>
    <w:p w14:paraId="3373887A" w14:textId="77777777" w:rsidR="00720C92" w:rsidRPr="00024FA5" w:rsidRDefault="00720C92" w:rsidP="006E5190">
      <w:pPr>
        <w:textAlignment w:val="top"/>
        <w:rPr>
          <w:sz w:val="22"/>
          <w:szCs w:val="22"/>
        </w:rPr>
      </w:pPr>
      <w:r w:rsidRPr="00024FA5">
        <w:rPr>
          <w:sz w:val="22"/>
          <w:szCs w:val="22"/>
        </w:rPr>
        <w:t xml:space="preserve">Pri systémových </w:t>
      </w:r>
      <w:r w:rsidR="00AD1D48">
        <w:rPr>
          <w:sz w:val="22"/>
          <w:szCs w:val="22"/>
        </w:rPr>
        <w:t>kortiko</w:t>
      </w:r>
      <w:r w:rsidRPr="00024FA5">
        <w:rPr>
          <w:sz w:val="22"/>
          <w:szCs w:val="22"/>
        </w:rPr>
        <w:t>steroidoch sa môžu objaviť potenciálne závažné psychiatrické nežiaduce účinky.</w:t>
      </w:r>
    </w:p>
    <w:p w14:paraId="724774E1" w14:textId="77777777" w:rsidR="00720C92" w:rsidRPr="00024FA5" w:rsidRDefault="00E30A23" w:rsidP="006E5190">
      <w:pPr>
        <w:textAlignment w:val="top"/>
        <w:rPr>
          <w:sz w:val="22"/>
          <w:szCs w:val="22"/>
        </w:rPr>
      </w:pPr>
      <w:r w:rsidRPr="00024FA5">
        <w:rPr>
          <w:sz w:val="22"/>
          <w:szCs w:val="22"/>
        </w:rPr>
        <w:t xml:space="preserve">Príznaky </w:t>
      </w:r>
      <w:r w:rsidR="00720C92" w:rsidRPr="00024FA5">
        <w:rPr>
          <w:sz w:val="22"/>
          <w:szCs w:val="22"/>
        </w:rPr>
        <w:t>sa zvyčajne objavia v priebehu niekoľkých dní alebo týždňov od začiatku liečby. Väčšina reakcií sa upraví buď po znížení dávky alebo vysadení lieku, hoci špecifická liečba môže byť nevyhnutná. Účinky na duševný stav boli hlásené po vysadení kortikosteroidov, frekvencia nie je známa. Pacienti/opatrovatelia majú byť poučení, aby vyhľadali lekársku pomoc, ak sa rozvinú duševné príznaky u pacienta, najmä ak sa pozoruje depresívna nálada alebo</w:t>
      </w:r>
      <w:r w:rsidR="00AD1D48">
        <w:rPr>
          <w:sz w:val="22"/>
          <w:szCs w:val="22"/>
        </w:rPr>
        <w:t> </w:t>
      </w:r>
      <w:r w:rsidR="00720C92" w:rsidRPr="00024FA5">
        <w:rPr>
          <w:sz w:val="22"/>
          <w:szCs w:val="22"/>
        </w:rPr>
        <w:t>samovražedné myšlienky.</w:t>
      </w:r>
    </w:p>
    <w:p w14:paraId="3A5BBD4C" w14:textId="77777777" w:rsidR="00720C92" w:rsidRPr="00024FA5" w:rsidRDefault="00720C92" w:rsidP="006E5190">
      <w:pPr>
        <w:textAlignment w:val="top"/>
        <w:rPr>
          <w:sz w:val="22"/>
          <w:szCs w:val="22"/>
        </w:rPr>
      </w:pPr>
      <w:r w:rsidRPr="00024FA5">
        <w:rPr>
          <w:sz w:val="22"/>
          <w:szCs w:val="22"/>
        </w:rPr>
        <w:t xml:space="preserve">Pacienti/opatrovatelia by mali byť upozornení na výskyt možných duševných porúch, ktoré sa môžu objaviť buď počas alebo bezprostredne po znížení dávky/vysadení systémových </w:t>
      </w:r>
      <w:r w:rsidR="00AD1D48">
        <w:rPr>
          <w:sz w:val="22"/>
          <w:szCs w:val="22"/>
        </w:rPr>
        <w:t>kortiko</w:t>
      </w:r>
      <w:r w:rsidRPr="00024FA5">
        <w:rPr>
          <w:sz w:val="22"/>
          <w:szCs w:val="22"/>
        </w:rPr>
        <w:t>steroidov.</w:t>
      </w:r>
    </w:p>
    <w:p w14:paraId="6C79D344" w14:textId="77777777" w:rsidR="000F2E71" w:rsidRPr="001A6993" w:rsidRDefault="000F2E71" w:rsidP="008A1CFF">
      <w:pPr>
        <w:tabs>
          <w:tab w:val="left" w:pos="567"/>
        </w:tabs>
        <w:rPr>
          <w:bCs/>
          <w:sz w:val="22"/>
          <w:szCs w:val="22"/>
        </w:rPr>
      </w:pPr>
    </w:p>
    <w:p w14:paraId="18AABC8F" w14:textId="77777777" w:rsidR="000F2E71" w:rsidRPr="007B2B59" w:rsidRDefault="00720C92" w:rsidP="008A1CFF">
      <w:pPr>
        <w:tabs>
          <w:tab w:val="left" w:pos="567"/>
        </w:tabs>
        <w:rPr>
          <w:bCs/>
          <w:i/>
          <w:iCs/>
          <w:sz w:val="22"/>
          <w:szCs w:val="22"/>
        </w:rPr>
      </w:pPr>
      <w:r w:rsidRPr="007B2B59">
        <w:rPr>
          <w:bCs/>
          <w:i/>
          <w:iCs/>
          <w:sz w:val="22"/>
          <w:szCs w:val="22"/>
        </w:rPr>
        <w:t>Účinky na nervový systém</w:t>
      </w:r>
    </w:p>
    <w:p w14:paraId="6910804E" w14:textId="77777777" w:rsidR="000F2E71" w:rsidRPr="00024FA5" w:rsidRDefault="00720C92" w:rsidP="008A1CFF">
      <w:pPr>
        <w:tabs>
          <w:tab w:val="left" w:pos="567"/>
        </w:tabs>
        <w:rPr>
          <w:sz w:val="22"/>
          <w:szCs w:val="22"/>
        </w:rPr>
      </w:pPr>
      <w:r w:rsidRPr="00024FA5">
        <w:rPr>
          <w:sz w:val="22"/>
          <w:szCs w:val="22"/>
        </w:rPr>
        <w:t>Kortikosteroidy sa musia používať so zvýšenou opatrnosťou u pacientov so záchvatovými ochoreniami.</w:t>
      </w:r>
    </w:p>
    <w:p w14:paraId="39171FAE" w14:textId="77777777" w:rsidR="000F2E71" w:rsidRPr="00024FA5" w:rsidRDefault="00720C92" w:rsidP="008A1CFF">
      <w:pPr>
        <w:tabs>
          <w:tab w:val="left" w:pos="567"/>
        </w:tabs>
        <w:rPr>
          <w:sz w:val="22"/>
          <w:szCs w:val="22"/>
        </w:rPr>
      </w:pPr>
      <w:r w:rsidRPr="00024FA5">
        <w:rPr>
          <w:sz w:val="22"/>
          <w:szCs w:val="22"/>
        </w:rPr>
        <w:t>Kortikosteroidy sa musia používať s opatrnosťou u pacientov s </w:t>
      </w:r>
      <w:proofErr w:type="spellStart"/>
      <w:r w:rsidRPr="00024FA5">
        <w:rPr>
          <w:sz w:val="22"/>
          <w:szCs w:val="22"/>
        </w:rPr>
        <w:t>myast</w:t>
      </w:r>
      <w:r w:rsidR="00A50E0C" w:rsidRPr="00024FA5">
        <w:rPr>
          <w:sz w:val="22"/>
          <w:szCs w:val="22"/>
        </w:rPr>
        <w:t>éniou</w:t>
      </w:r>
      <w:proofErr w:type="spellEnd"/>
      <w:r w:rsidR="00A50E0C" w:rsidRPr="00024FA5">
        <w:rPr>
          <w:sz w:val="22"/>
          <w:szCs w:val="22"/>
        </w:rPr>
        <w:t xml:space="preserve"> </w:t>
      </w:r>
      <w:proofErr w:type="spellStart"/>
      <w:r w:rsidRPr="00024FA5">
        <w:rPr>
          <w:sz w:val="22"/>
          <w:szCs w:val="22"/>
        </w:rPr>
        <w:t>gravis</w:t>
      </w:r>
      <w:proofErr w:type="spellEnd"/>
      <w:r w:rsidRPr="00024FA5">
        <w:rPr>
          <w:sz w:val="22"/>
          <w:szCs w:val="22"/>
        </w:rPr>
        <w:t>.</w:t>
      </w:r>
      <w:r w:rsidR="00451800" w:rsidRPr="00024FA5">
        <w:rPr>
          <w:sz w:val="22"/>
          <w:szCs w:val="22"/>
        </w:rPr>
        <w:t xml:space="preserve"> </w:t>
      </w:r>
      <w:r w:rsidRPr="00024FA5">
        <w:rPr>
          <w:sz w:val="22"/>
          <w:szCs w:val="22"/>
        </w:rPr>
        <w:t>(Pozri tiež odkaz o </w:t>
      </w:r>
      <w:proofErr w:type="spellStart"/>
      <w:r w:rsidRPr="00024FA5">
        <w:rPr>
          <w:sz w:val="22"/>
          <w:szCs w:val="22"/>
        </w:rPr>
        <w:t>myopatii</w:t>
      </w:r>
      <w:proofErr w:type="spellEnd"/>
      <w:r w:rsidRPr="00024FA5">
        <w:rPr>
          <w:sz w:val="22"/>
          <w:szCs w:val="22"/>
        </w:rPr>
        <w:t xml:space="preserve"> v časti „Účinky na kostrové svalstvo“, nižšie).</w:t>
      </w:r>
    </w:p>
    <w:p w14:paraId="47272CE7" w14:textId="77777777" w:rsidR="000F2E71" w:rsidRPr="00024FA5" w:rsidRDefault="000F2E71" w:rsidP="008A1CFF">
      <w:pPr>
        <w:tabs>
          <w:tab w:val="left" w:pos="567"/>
        </w:tabs>
        <w:rPr>
          <w:sz w:val="22"/>
          <w:szCs w:val="22"/>
        </w:rPr>
      </w:pPr>
    </w:p>
    <w:p w14:paraId="44F279D4" w14:textId="77777777" w:rsidR="000F2E71" w:rsidRPr="00024FA5" w:rsidRDefault="00E34FAF" w:rsidP="008A1CFF">
      <w:pPr>
        <w:tabs>
          <w:tab w:val="left" w:pos="567"/>
        </w:tabs>
        <w:rPr>
          <w:sz w:val="22"/>
          <w:szCs w:val="22"/>
        </w:rPr>
      </w:pPr>
      <w:r w:rsidRPr="00024FA5">
        <w:rPr>
          <w:sz w:val="22"/>
          <w:szCs w:val="22"/>
        </w:rPr>
        <w:t>Aj keď</w:t>
      </w:r>
      <w:r w:rsidR="006F7F02" w:rsidRPr="00024FA5">
        <w:rPr>
          <w:sz w:val="22"/>
          <w:szCs w:val="22"/>
        </w:rPr>
        <w:t xml:space="preserve"> kontrolované </w:t>
      </w:r>
      <w:r w:rsidR="00BE49D8">
        <w:rPr>
          <w:sz w:val="22"/>
          <w:szCs w:val="22"/>
        </w:rPr>
        <w:t>klinické skúšania</w:t>
      </w:r>
      <w:r w:rsidR="006F7F02" w:rsidRPr="00024FA5">
        <w:rPr>
          <w:sz w:val="22"/>
          <w:szCs w:val="22"/>
        </w:rPr>
        <w:t xml:space="preserve"> preukázali účinnosť kortikosteroidov v zvládnutí akútnej </w:t>
      </w:r>
      <w:proofErr w:type="spellStart"/>
      <w:r w:rsidR="006F7F02" w:rsidRPr="00024FA5">
        <w:rPr>
          <w:sz w:val="22"/>
          <w:szCs w:val="22"/>
        </w:rPr>
        <w:t>exacerbácie</w:t>
      </w:r>
      <w:proofErr w:type="spellEnd"/>
      <w:r w:rsidR="006F7F02" w:rsidRPr="00024FA5">
        <w:rPr>
          <w:sz w:val="22"/>
          <w:szCs w:val="22"/>
        </w:rPr>
        <w:t xml:space="preserve"> roztrúsenej sklerózy, nepreukázali vplyv na celkový priebeh ochorenia. Tieto </w:t>
      </w:r>
      <w:r w:rsidR="00BE49D8">
        <w:rPr>
          <w:sz w:val="22"/>
          <w:szCs w:val="22"/>
        </w:rPr>
        <w:t>klinické skúšania</w:t>
      </w:r>
      <w:r w:rsidR="006F7F02" w:rsidRPr="00024FA5">
        <w:rPr>
          <w:sz w:val="22"/>
          <w:szCs w:val="22"/>
        </w:rPr>
        <w:t xml:space="preserve"> preukázali potrebu relatívne vysokých dávok kortikoidov na dosiahnutie preukázateľného výsledku.</w:t>
      </w:r>
    </w:p>
    <w:p w14:paraId="253880AD" w14:textId="77777777" w:rsidR="000F2E71" w:rsidRPr="00024FA5" w:rsidRDefault="000F2E71" w:rsidP="008A1CFF">
      <w:pPr>
        <w:tabs>
          <w:tab w:val="left" w:pos="567"/>
        </w:tabs>
        <w:rPr>
          <w:sz w:val="22"/>
          <w:szCs w:val="22"/>
        </w:rPr>
      </w:pPr>
    </w:p>
    <w:p w14:paraId="03AD2B58" w14:textId="77777777" w:rsidR="000F2E71" w:rsidRPr="00024FA5" w:rsidRDefault="006F7F02" w:rsidP="008A1CFF">
      <w:pPr>
        <w:tabs>
          <w:tab w:val="left" w:pos="567"/>
        </w:tabs>
        <w:rPr>
          <w:sz w:val="22"/>
          <w:szCs w:val="22"/>
        </w:rPr>
      </w:pPr>
      <w:r w:rsidRPr="00024FA5">
        <w:rPr>
          <w:sz w:val="22"/>
          <w:szCs w:val="22"/>
        </w:rPr>
        <w:t xml:space="preserve">Bolo hlásených viacero nežiaducich účinkov v súvislosti s </w:t>
      </w:r>
      <w:proofErr w:type="spellStart"/>
      <w:r w:rsidRPr="00024FA5">
        <w:rPr>
          <w:sz w:val="22"/>
          <w:szCs w:val="22"/>
        </w:rPr>
        <w:t>intratekálnym</w:t>
      </w:r>
      <w:proofErr w:type="spellEnd"/>
      <w:r w:rsidRPr="00024FA5">
        <w:rPr>
          <w:sz w:val="22"/>
          <w:szCs w:val="22"/>
        </w:rPr>
        <w:t>/</w:t>
      </w:r>
      <w:proofErr w:type="spellStart"/>
      <w:r w:rsidRPr="00024FA5">
        <w:rPr>
          <w:sz w:val="22"/>
          <w:szCs w:val="22"/>
        </w:rPr>
        <w:t>epidurálnym</w:t>
      </w:r>
      <w:proofErr w:type="spellEnd"/>
      <w:r w:rsidRPr="00024FA5">
        <w:rPr>
          <w:sz w:val="22"/>
          <w:szCs w:val="22"/>
        </w:rPr>
        <w:t xml:space="preserve"> podaním (pozri </w:t>
      </w:r>
      <w:r w:rsidR="006F259F">
        <w:rPr>
          <w:sz w:val="22"/>
          <w:szCs w:val="22"/>
        </w:rPr>
        <w:t>časť</w:t>
      </w:r>
      <w:r w:rsidR="006F259F" w:rsidRPr="00024FA5">
        <w:rPr>
          <w:sz w:val="22"/>
          <w:szCs w:val="22"/>
        </w:rPr>
        <w:t xml:space="preserve"> </w:t>
      </w:r>
      <w:r w:rsidRPr="00024FA5">
        <w:rPr>
          <w:sz w:val="22"/>
          <w:szCs w:val="22"/>
        </w:rPr>
        <w:t>4.8).</w:t>
      </w:r>
    </w:p>
    <w:p w14:paraId="25646ED1" w14:textId="77777777" w:rsidR="000F2E71" w:rsidRPr="001A6993" w:rsidRDefault="000F2E71" w:rsidP="008A1CFF">
      <w:pPr>
        <w:tabs>
          <w:tab w:val="left" w:pos="567"/>
        </w:tabs>
        <w:rPr>
          <w:bCs/>
          <w:sz w:val="22"/>
          <w:szCs w:val="22"/>
        </w:rPr>
      </w:pPr>
    </w:p>
    <w:p w14:paraId="18FC02F9" w14:textId="77777777" w:rsidR="000F2E71" w:rsidRPr="00024FA5" w:rsidRDefault="004C7551" w:rsidP="008A1CFF">
      <w:pPr>
        <w:tabs>
          <w:tab w:val="left" w:pos="567"/>
        </w:tabs>
        <w:rPr>
          <w:sz w:val="22"/>
          <w:szCs w:val="22"/>
        </w:rPr>
      </w:pPr>
      <w:r w:rsidRPr="00024FA5">
        <w:rPr>
          <w:sz w:val="22"/>
          <w:szCs w:val="22"/>
        </w:rPr>
        <w:t>U pacientov užívajúcich kortikoidy</w:t>
      </w:r>
      <w:r w:rsidR="00071623" w:rsidRPr="00024FA5">
        <w:rPr>
          <w:sz w:val="22"/>
          <w:szCs w:val="22"/>
        </w:rPr>
        <w:t>,</w:t>
      </w:r>
      <w:r w:rsidRPr="00024FA5">
        <w:rPr>
          <w:sz w:val="22"/>
          <w:szCs w:val="22"/>
        </w:rPr>
        <w:t xml:space="preserve"> zvyčajne dlhodobo vo vyšších dávkach</w:t>
      </w:r>
      <w:r w:rsidR="00071623" w:rsidRPr="00024FA5">
        <w:rPr>
          <w:sz w:val="22"/>
          <w:szCs w:val="22"/>
        </w:rPr>
        <w:t>,</w:t>
      </w:r>
      <w:r w:rsidRPr="00024FA5">
        <w:rPr>
          <w:sz w:val="22"/>
          <w:szCs w:val="22"/>
        </w:rPr>
        <w:t xml:space="preserve"> bola hlásená </w:t>
      </w:r>
      <w:proofErr w:type="spellStart"/>
      <w:r w:rsidRPr="00024FA5">
        <w:rPr>
          <w:sz w:val="22"/>
          <w:szCs w:val="22"/>
        </w:rPr>
        <w:t>epidurálna</w:t>
      </w:r>
      <w:proofErr w:type="spellEnd"/>
      <w:r w:rsidRPr="00024FA5">
        <w:rPr>
          <w:sz w:val="22"/>
          <w:szCs w:val="22"/>
        </w:rPr>
        <w:t xml:space="preserve"> </w:t>
      </w:r>
      <w:proofErr w:type="spellStart"/>
      <w:r w:rsidRPr="00024FA5">
        <w:rPr>
          <w:sz w:val="22"/>
          <w:szCs w:val="22"/>
        </w:rPr>
        <w:t>lipomatóza</w:t>
      </w:r>
      <w:proofErr w:type="spellEnd"/>
      <w:r w:rsidRPr="00024FA5">
        <w:rPr>
          <w:sz w:val="22"/>
          <w:szCs w:val="22"/>
        </w:rPr>
        <w:t>.</w:t>
      </w:r>
    </w:p>
    <w:p w14:paraId="170AC308" w14:textId="77777777" w:rsidR="000F2E71" w:rsidRPr="00024FA5" w:rsidRDefault="000F2E71" w:rsidP="008A1CFF">
      <w:pPr>
        <w:tabs>
          <w:tab w:val="left" w:pos="567"/>
        </w:tabs>
        <w:rPr>
          <w:sz w:val="22"/>
          <w:szCs w:val="22"/>
        </w:rPr>
      </w:pPr>
    </w:p>
    <w:p w14:paraId="12E8C2B4" w14:textId="77777777" w:rsidR="000F2E71" w:rsidRPr="007B2B59" w:rsidRDefault="00067D95" w:rsidP="007B2B59">
      <w:pPr>
        <w:keepNext/>
        <w:tabs>
          <w:tab w:val="left" w:pos="567"/>
        </w:tabs>
        <w:rPr>
          <w:bCs/>
          <w:i/>
          <w:iCs/>
          <w:sz w:val="22"/>
          <w:szCs w:val="22"/>
        </w:rPr>
      </w:pPr>
      <w:r w:rsidRPr="007B2B59">
        <w:rPr>
          <w:bCs/>
          <w:i/>
          <w:iCs/>
          <w:sz w:val="22"/>
          <w:szCs w:val="22"/>
        </w:rPr>
        <w:t>Ú</w:t>
      </w:r>
      <w:r w:rsidR="00720C92" w:rsidRPr="007B2B59">
        <w:rPr>
          <w:bCs/>
          <w:i/>
          <w:iCs/>
          <w:sz w:val="22"/>
          <w:szCs w:val="22"/>
        </w:rPr>
        <w:t>činky</w:t>
      </w:r>
      <w:r w:rsidRPr="007B2B59">
        <w:rPr>
          <w:bCs/>
          <w:i/>
          <w:iCs/>
          <w:sz w:val="22"/>
          <w:szCs w:val="22"/>
        </w:rPr>
        <w:t xml:space="preserve"> na oči</w:t>
      </w:r>
    </w:p>
    <w:p w14:paraId="06824118" w14:textId="77777777" w:rsidR="000F2E71" w:rsidRPr="001F5982" w:rsidRDefault="00720C92" w:rsidP="008A1CFF">
      <w:pPr>
        <w:tabs>
          <w:tab w:val="left" w:pos="567"/>
        </w:tabs>
        <w:rPr>
          <w:sz w:val="22"/>
          <w:szCs w:val="22"/>
        </w:rPr>
      </w:pPr>
      <w:r w:rsidRPr="00F939CE">
        <w:rPr>
          <w:sz w:val="22"/>
          <w:szCs w:val="22"/>
        </w:rPr>
        <w:t xml:space="preserve">Kortikosteroidy sa musia používať s opatrnosťou u pacientov s očným herpes </w:t>
      </w:r>
      <w:proofErr w:type="spellStart"/>
      <w:r w:rsidRPr="00F939CE">
        <w:rPr>
          <w:sz w:val="22"/>
          <w:szCs w:val="22"/>
        </w:rPr>
        <w:t>simplex</w:t>
      </w:r>
      <w:proofErr w:type="spellEnd"/>
      <w:r w:rsidRPr="00F939CE">
        <w:rPr>
          <w:sz w:val="22"/>
          <w:szCs w:val="22"/>
        </w:rPr>
        <w:t xml:space="preserve"> vzhľadom na možnosť perforácie rohovky.</w:t>
      </w:r>
    </w:p>
    <w:p w14:paraId="4E07F70E" w14:textId="77777777" w:rsidR="00720C92" w:rsidRPr="00702B5E" w:rsidRDefault="00720C92" w:rsidP="006E5190">
      <w:pPr>
        <w:textAlignment w:val="top"/>
        <w:rPr>
          <w:sz w:val="22"/>
          <w:szCs w:val="22"/>
        </w:rPr>
      </w:pPr>
    </w:p>
    <w:p w14:paraId="229DBCEA" w14:textId="77777777" w:rsidR="00946C82" w:rsidRPr="007B2B59" w:rsidRDefault="00946C82" w:rsidP="00946C82">
      <w:pPr>
        <w:pStyle w:val="Paragraph"/>
        <w:spacing w:after="0"/>
        <w:rPr>
          <w:bCs/>
          <w:sz w:val="22"/>
          <w:szCs w:val="22"/>
          <w:lang w:val="sk-SK"/>
        </w:rPr>
      </w:pPr>
      <w:r w:rsidRPr="007B2B59">
        <w:rPr>
          <w:bCs/>
          <w:sz w:val="22"/>
          <w:szCs w:val="22"/>
          <w:lang w:val="sk-SK"/>
        </w:rPr>
        <w:t xml:space="preserve">Poruchy videnia môžu byť hlásené pri systémovom a lokálnom použití kortikosteroidov. Ak sa u pacienta objavia symptómy, ako je rozmazané videnie alebo iné poruchy videnia, pacient má byť odporučený k </w:t>
      </w:r>
      <w:proofErr w:type="spellStart"/>
      <w:r w:rsidRPr="007B2B59">
        <w:rPr>
          <w:bCs/>
          <w:sz w:val="22"/>
          <w:szCs w:val="22"/>
          <w:lang w:val="sk-SK"/>
        </w:rPr>
        <w:t>oftalmológovi</w:t>
      </w:r>
      <w:proofErr w:type="spellEnd"/>
      <w:r w:rsidRPr="007B2B59">
        <w:rPr>
          <w:bCs/>
          <w:sz w:val="22"/>
          <w:szCs w:val="22"/>
          <w:lang w:val="sk-SK"/>
        </w:rPr>
        <w:t xml:space="preserve"> na posúdenie možných príčin, medzi ktoré môže patriť sivý zákal, </w:t>
      </w:r>
      <w:proofErr w:type="spellStart"/>
      <w:r w:rsidRPr="007B2B59">
        <w:rPr>
          <w:bCs/>
          <w:sz w:val="22"/>
          <w:szCs w:val="22"/>
          <w:lang w:val="sk-SK"/>
        </w:rPr>
        <w:t>glaukóm</w:t>
      </w:r>
      <w:proofErr w:type="spellEnd"/>
      <w:r w:rsidRPr="007B2B59">
        <w:rPr>
          <w:bCs/>
          <w:sz w:val="22"/>
          <w:szCs w:val="22"/>
          <w:lang w:val="sk-SK"/>
        </w:rPr>
        <w:t xml:space="preserve"> alebo zriedkavé ochorenia, ako je napríklad centrálna </w:t>
      </w:r>
      <w:proofErr w:type="spellStart"/>
      <w:r w:rsidRPr="007B2B59">
        <w:rPr>
          <w:bCs/>
          <w:sz w:val="22"/>
          <w:szCs w:val="22"/>
          <w:lang w:val="sk-SK"/>
        </w:rPr>
        <w:t>serózna</w:t>
      </w:r>
      <w:proofErr w:type="spellEnd"/>
      <w:r w:rsidRPr="007B2B59">
        <w:rPr>
          <w:bCs/>
          <w:sz w:val="22"/>
          <w:szCs w:val="22"/>
          <w:lang w:val="sk-SK"/>
        </w:rPr>
        <w:t xml:space="preserve"> </w:t>
      </w:r>
      <w:proofErr w:type="spellStart"/>
      <w:r w:rsidRPr="007B2B59">
        <w:rPr>
          <w:bCs/>
          <w:sz w:val="22"/>
          <w:szCs w:val="22"/>
          <w:lang w:val="sk-SK"/>
        </w:rPr>
        <w:t>chorioretinopatia</w:t>
      </w:r>
      <w:proofErr w:type="spellEnd"/>
      <w:r w:rsidRPr="007B2B59">
        <w:rPr>
          <w:bCs/>
          <w:sz w:val="22"/>
          <w:szCs w:val="22"/>
          <w:lang w:val="sk-SK"/>
        </w:rPr>
        <w:t xml:space="preserve"> (CSCR), ktoré boli hlásené po použití systémových a lokálnych kortikosteroidov. </w:t>
      </w:r>
      <w:r w:rsidRPr="00F939CE">
        <w:rPr>
          <w:sz w:val="22"/>
          <w:szCs w:val="22"/>
          <w:lang w:val="sk-SK"/>
        </w:rPr>
        <w:t xml:space="preserve">Centrálna </w:t>
      </w:r>
      <w:proofErr w:type="spellStart"/>
      <w:r w:rsidRPr="00F939CE">
        <w:rPr>
          <w:sz w:val="22"/>
          <w:szCs w:val="22"/>
          <w:lang w:val="sk-SK"/>
        </w:rPr>
        <w:t>serózna</w:t>
      </w:r>
      <w:proofErr w:type="spellEnd"/>
      <w:r w:rsidRPr="00F939CE">
        <w:rPr>
          <w:sz w:val="22"/>
          <w:szCs w:val="22"/>
          <w:lang w:val="sk-SK"/>
        </w:rPr>
        <w:t xml:space="preserve"> </w:t>
      </w:r>
      <w:proofErr w:type="spellStart"/>
      <w:r w:rsidRPr="00F939CE">
        <w:rPr>
          <w:sz w:val="22"/>
          <w:szCs w:val="22"/>
          <w:lang w:val="sk-SK"/>
        </w:rPr>
        <w:t>chorioretinopatia</w:t>
      </w:r>
      <w:proofErr w:type="spellEnd"/>
      <w:r w:rsidRPr="00F939CE">
        <w:rPr>
          <w:sz w:val="22"/>
          <w:szCs w:val="22"/>
          <w:lang w:val="sk-SK"/>
        </w:rPr>
        <w:t xml:space="preserve"> m</w:t>
      </w:r>
      <w:r w:rsidR="00720E89" w:rsidRPr="001F5982">
        <w:rPr>
          <w:sz w:val="22"/>
          <w:szCs w:val="22"/>
          <w:lang w:val="sk-SK"/>
        </w:rPr>
        <w:t>ô</w:t>
      </w:r>
      <w:r w:rsidRPr="00702B5E">
        <w:rPr>
          <w:sz w:val="22"/>
          <w:szCs w:val="22"/>
          <w:lang w:val="sk-SK"/>
        </w:rPr>
        <w:t>že viesť k odlúčeniu sietnice.</w:t>
      </w:r>
    </w:p>
    <w:p w14:paraId="186514E8" w14:textId="77777777" w:rsidR="00946C82" w:rsidRPr="00F939CE" w:rsidRDefault="00946C82" w:rsidP="006E5190">
      <w:pPr>
        <w:textAlignment w:val="top"/>
        <w:rPr>
          <w:sz w:val="22"/>
          <w:szCs w:val="22"/>
        </w:rPr>
      </w:pPr>
    </w:p>
    <w:p w14:paraId="78DFCF16" w14:textId="77777777" w:rsidR="00720C92" w:rsidRPr="00B24587" w:rsidRDefault="00720C92" w:rsidP="006E5190">
      <w:pPr>
        <w:textAlignment w:val="top"/>
        <w:rPr>
          <w:sz w:val="22"/>
          <w:szCs w:val="22"/>
        </w:rPr>
      </w:pPr>
      <w:r w:rsidRPr="00F939CE">
        <w:rPr>
          <w:sz w:val="22"/>
          <w:szCs w:val="22"/>
        </w:rPr>
        <w:t xml:space="preserve">Dlhodobé užívanie kortikosteroidov môže spôsobiť zadnú </w:t>
      </w:r>
      <w:proofErr w:type="spellStart"/>
      <w:r w:rsidRPr="00F939CE">
        <w:rPr>
          <w:sz w:val="22"/>
          <w:szCs w:val="22"/>
        </w:rPr>
        <w:t>subkapsulárnu</w:t>
      </w:r>
      <w:proofErr w:type="spellEnd"/>
      <w:r w:rsidRPr="00F939CE">
        <w:rPr>
          <w:sz w:val="22"/>
          <w:szCs w:val="22"/>
        </w:rPr>
        <w:t xml:space="preserve"> kataraktu, nukleárnu kataraktu (najmä u detí), </w:t>
      </w:r>
      <w:proofErr w:type="spellStart"/>
      <w:r w:rsidRPr="00F939CE">
        <w:rPr>
          <w:sz w:val="22"/>
          <w:szCs w:val="22"/>
        </w:rPr>
        <w:t>exoftalmus</w:t>
      </w:r>
      <w:proofErr w:type="spellEnd"/>
      <w:r w:rsidRPr="00F939CE">
        <w:rPr>
          <w:sz w:val="22"/>
          <w:szCs w:val="22"/>
        </w:rPr>
        <w:t xml:space="preserve"> alebo zvýšený </w:t>
      </w:r>
      <w:proofErr w:type="spellStart"/>
      <w:r w:rsidRPr="00F939CE">
        <w:rPr>
          <w:sz w:val="22"/>
          <w:szCs w:val="22"/>
        </w:rPr>
        <w:t>vnútroočný</w:t>
      </w:r>
      <w:proofErr w:type="spellEnd"/>
      <w:r w:rsidRPr="00F939CE">
        <w:rPr>
          <w:sz w:val="22"/>
          <w:szCs w:val="22"/>
        </w:rPr>
        <w:t xml:space="preserve"> tlak, následkom čoho môže vzniknúť </w:t>
      </w:r>
      <w:proofErr w:type="spellStart"/>
      <w:r w:rsidRPr="00F939CE">
        <w:rPr>
          <w:sz w:val="22"/>
          <w:szCs w:val="22"/>
        </w:rPr>
        <w:t>glaukóm</w:t>
      </w:r>
      <w:proofErr w:type="spellEnd"/>
      <w:r w:rsidRPr="00F939CE">
        <w:rPr>
          <w:sz w:val="22"/>
          <w:szCs w:val="22"/>
        </w:rPr>
        <w:t xml:space="preserve"> s možným poš</w:t>
      </w:r>
      <w:r w:rsidRPr="001F5982">
        <w:rPr>
          <w:sz w:val="22"/>
          <w:szCs w:val="22"/>
        </w:rPr>
        <w:t>kodení</w:t>
      </w:r>
      <w:r w:rsidRPr="00702B5E">
        <w:rPr>
          <w:sz w:val="22"/>
          <w:szCs w:val="22"/>
        </w:rPr>
        <w:t xml:space="preserve">m </w:t>
      </w:r>
      <w:r w:rsidR="00683EC9" w:rsidRPr="00B24587">
        <w:rPr>
          <w:sz w:val="22"/>
          <w:szCs w:val="22"/>
        </w:rPr>
        <w:t>zrakového</w:t>
      </w:r>
      <w:r w:rsidRPr="00B24587">
        <w:rPr>
          <w:sz w:val="22"/>
          <w:szCs w:val="22"/>
        </w:rPr>
        <w:t xml:space="preserve"> nervu. Pacienti užívajúci glukokortikoidy môžu byť náchylní na vznik sekundárnej plesňovej a vírusovej infekcie oka.</w:t>
      </w:r>
    </w:p>
    <w:p w14:paraId="3D1871C8" w14:textId="77777777" w:rsidR="000F2E71" w:rsidRPr="00024FA5" w:rsidRDefault="000F2E71" w:rsidP="008A1CFF">
      <w:pPr>
        <w:tabs>
          <w:tab w:val="left" w:pos="567"/>
        </w:tabs>
        <w:rPr>
          <w:sz w:val="22"/>
          <w:szCs w:val="22"/>
        </w:rPr>
      </w:pPr>
    </w:p>
    <w:p w14:paraId="6DD1E9FC" w14:textId="77777777" w:rsidR="000F2E71" w:rsidRPr="007B2B59" w:rsidRDefault="008C0FE2" w:rsidP="007B2B59">
      <w:pPr>
        <w:keepNext/>
        <w:tabs>
          <w:tab w:val="left" w:pos="567"/>
        </w:tabs>
        <w:rPr>
          <w:bCs/>
          <w:i/>
          <w:iCs/>
          <w:sz w:val="22"/>
          <w:szCs w:val="22"/>
        </w:rPr>
      </w:pPr>
      <w:r w:rsidRPr="007B2B59">
        <w:rPr>
          <w:bCs/>
          <w:i/>
          <w:iCs/>
          <w:sz w:val="22"/>
          <w:szCs w:val="22"/>
        </w:rPr>
        <w:t>Účinky na kardiovaskulárny systém</w:t>
      </w:r>
    </w:p>
    <w:p w14:paraId="290A4AB4" w14:textId="77777777" w:rsidR="000F2E71" w:rsidRPr="00024FA5" w:rsidRDefault="00720C92" w:rsidP="008A1CFF">
      <w:pPr>
        <w:tabs>
          <w:tab w:val="left" w:pos="567"/>
        </w:tabs>
        <w:rPr>
          <w:sz w:val="22"/>
          <w:szCs w:val="22"/>
        </w:rPr>
      </w:pPr>
      <w:r w:rsidRPr="00024FA5">
        <w:rPr>
          <w:sz w:val="22"/>
          <w:szCs w:val="22"/>
        </w:rPr>
        <w:t xml:space="preserve">Nežiaduce účinky glukokortikoidov na kardiovaskulárny systém, ako sú </w:t>
      </w:r>
      <w:proofErr w:type="spellStart"/>
      <w:r w:rsidRPr="00024FA5">
        <w:rPr>
          <w:sz w:val="22"/>
          <w:szCs w:val="22"/>
        </w:rPr>
        <w:t>dyslipidémia</w:t>
      </w:r>
      <w:proofErr w:type="spellEnd"/>
      <w:r w:rsidRPr="00024FA5">
        <w:rPr>
          <w:sz w:val="22"/>
          <w:szCs w:val="22"/>
        </w:rPr>
        <w:t xml:space="preserve"> a hypertenzia, môžu predurčiť liečených pacientov s existujúcimi kardiovaskulárnymi rizikovými faktormi na ďalšie účinky na kardiovaskulárny systém, pri užívaní vysokých dávok a v prípade dlhodobej liečby. Preto sa ma</w:t>
      </w:r>
      <w:r w:rsidR="004D5AF3" w:rsidRPr="00024FA5">
        <w:rPr>
          <w:sz w:val="22"/>
          <w:szCs w:val="22"/>
        </w:rPr>
        <w:t>jú</w:t>
      </w:r>
      <w:r w:rsidRPr="00024FA5">
        <w:rPr>
          <w:sz w:val="22"/>
          <w:szCs w:val="22"/>
        </w:rPr>
        <w:t xml:space="preserve"> u týchto pacientov kortikosteroidy používať uvážlivo a pozornosť sa má venovať </w:t>
      </w:r>
      <w:r w:rsidRPr="00024FA5">
        <w:rPr>
          <w:rStyle w:val="hps"/>
          <w:sz w:val="22"/>
          <w:szCs w:val="22"/>
        </w:rPr>
        <w:t>zmene rizika a v</w:t>
      </w:r>
      <w:r w:rsidRPr="00024FA5">
        <w:rPr>
          <w:sz w:val="22"/>
          <w:szCs w:val="22"/>
        </w:rPr>
        <w:t xml:space="preserve"> </w:t>
      </w:r>
      <w:r w:rsidRPr="00024FA5">
        <w:rPr>
          <w:rStyle w:val="hps"/>
          <w:sz w:val="22"/>
          <w:szCs w:val="22"/>
        </w:rPr>
        <w:t>prípade potreby ďalšiemu</w:t>
      </w:r>
      <w:r w:rsidRPr="00024FA5">
        <w:rPr>
          <w:sz w:val="22"/>
          <w:szCs w:val="22"/>
        </w:rPr>
        <w:t xml:space="preserve"> </w:t>
      </w:r>
      <w:r w:rsidRPr="00024FA5">
        <w:rPr>
          <w:rStyle w:val="hps"/>
          <w:sz w:val="22"/>
          <w:szCs w:val="22"/>
        </w:rPr>
        <w:t>monitorovaniu</w:t>
      </w:r>
      <w:r w:rsidRPr="00024FA5">
        <w:rPr>
          <w:sz w:val="22"/>
          <w:szCs w:val="22"/>
        </w:rPr>
        <w:t xml:space="preserve"> </w:t>
      </w:r>
      <w:r w:rsidRPr="00024FA5">
        <w:rPr>
          <w:rStyle w:val="hps"/>
          <w:sz w:val="22"/>
          <w:szCs w:val="22"/>
        </w:rPr>
        <w:t>srdcovej činnosti</w:t>
      </w:r>
      <w:r w:rsidRPr="00024FA5">
        <w:rPr>
          <w:sz w:val="22"/>
          <w:szCs w:val="22"/>
        </w:rPr>
        <w:t xml:space="preserve">. Nízka dávka a liečba </w:t>
      </w:r>
      <w:proofErr w:type="spellStart"/>
      <w:r w:rsidRPr="00024FA5">
        <w:rPr>
          <w:sz w:val="22"/>
          <w:szCs w:val="22"/>
        </w:rPr>
        <w:t>obdeň</w:t>
      </w:r>
      <w:proofErr w:type="spellEnd"/>
      <w:r w:rsidRPr="00024FA5">
        <w:rPr>
          <w:sz w:val="22"/>
          <w:szCs w:val="22"/>
        </w:rPr>
        <w:t xml:space="preserve"> môžu znížiť výskyt komplikácií pri liečbe kortikosteroidmi.</w:t>
      </w:r>
    </w:p>
    <w:p w14:paraId="0AE0B36F" w14:textId="77777777" w:rsidR="000F2E71" w:rsidRPr="00024FA5" w:rsidRDefault="000F2E71" w:rsidP="008A1CFF">
      <w:pPr>
        <w:tabs>
          <w:tab w:val="left" w:pos="567"/>
        </w:tabs>
        <w:rPr>
          <w:sz w:val="22"/>
          <w:szCs w:val="22"/>
        </w:rPr>
      </w:pPr>
    </w:p>
    <w:p w14:paraId="69506D35" w14:textId="77777777" w:rsidR="000F2E71" w:rsidRPr="00024FA5" w:rsidRDefault="002A027E" w:rsidP="008A1CFF">
      <w:pPr>
        <w:tabs>
          <w:tab w:val="left" w:pos="567"/>
        </w:tabs>
        <w:rPr>
          <w:sz w:val="22"/>
          <w:szCs w:val="22"/>
        </w:rPr>
      </w:pPr>
      <w:r w:rsidRPr="00024FA5">
        <w:rPr>
          <w:sz w:val="22"/>
          <w:szCs w:val="22"/>
        </w:rPr>
        <w:t xml:space="preserve">Existujú </w:t>
      </w:r>
      <w:r w:rsidR="00874A40" w:rsidRPr="00024FA5">
        <w:rPr>
          <w:sz w:val="22"/>
          <w:szCs w:val="22"/>
        </w:rPr>
        <w:t>hlásenia</w:t>
      </w:r>
      <w:r w:rsidR="001A70CE" w:rsidRPr="00024FA5">
        <w:rPr>
          <w:sz w:val="22"/>
          <w:szCs w:val="22"/>
        </w:rPr>
        <w:t xml:space="preserve"> o srdcových arytmiách a/ale</w:t>
      </w:r>
      <w:r w:rsidR="00874A40" w:rsidRPr="00024FA5">
        <w:rPr>
          <w:sz w:val="22"/>
          <w:szCs w:val="22"/>
        </w:rPr>
        <w:t xml:space="preserve">bo cirkulačnom kolapse a/alebo </w:t>
      </w:r>
      <w:r w:rsidR="003B1D04" w:rsidRPr="00024FA5">
        <w:rPr>
          <w:sz w:val="22"/>
          <w:szCs w:val="22"/>
        </w:rPr>
        <w:t xml:space="preserve">zastavení </w:t>
      </w:r>
      <w:r w:rsidR="001A70CE" w:rsidRPr="00024FA5">
        <w:rPr>
          <w:sz w:val="22"/>
          <w:szCs w:val="22"/>
        </w:rPr>
        <w:t>srdc</w:t>
      </w:r>
      <w:r w:rsidR="003B1D04" w:rsidRPr="00024FA5">
        <w:rPr>
          <w:sz w:val="22"/>
          <w:szCs w:val="22"/>
        </w:rPr>
        <w:t>a</w:t>
      </w:r>
      <w:r w:rsidR="001A70CE" w:rsidRPr="00024FA5">
        <w:rPr>
          <w:sz w:val="22"/>
          <w:szCs w:val="22"/>
        </w:rPr>
        <w:t xml:space="preserve"> po</w:t>
      </w:r>
      <w:r w:rsidR="00EC3612" w:rsidRPr="00024FA5">
        <w:rPr>
          <w:sz w:val="22"/>
          <w:szCs w:val="22"/>
        </w:rPr>
        <w:t> </w:t>
      </w:r>
      <w:r w:rsidR="001A70CE" w:rsidRPr="00024FA5">
        <w:rPr>
          <w:sz w:val="22"/>
          <w:szCs w:val="22"/>
        </w:rPr>
        <w:t xml:space="preserve">rýchlom podaní veľkých intravenóznych dávok </w:t>
      </w:r>
      <w:r w:rsidR="0091680C" w:rsidRPr="00024FA5">
        <w:rPr>
          <w:sz w:val="22"/>
          <w:szCs w:val="22"/>
        </w:rPr>
        <w:t xml:space="preserve">sodnej soli </w:t>
      </w:r>
      <w:proofErr w:type="spellStart"/>
      <w:r w:rsidR="001A70CE" w:rsidRPr="00024FA5">
        <w:rPr>
          <w:sz w:val="22"/>
          <w:szCs w:val="22"/>
        </w:rPr>
        <w:t>metylpre</w:t>
      </w:r>
      <w:r w:rsidR="008D3963" w:rsidRPr="00024FA5">
        <w:rPr>
          <w:sz w:val="22"/>
          <w:szCs w:val="22"/>
        </w:rPr>
        <w:t>d</w:t>
      </w:r>
      <w:r w:rsidR="001A70CE" w:rsidRPr="00024FA5">
        <w:rPr>
          <w:sz w:val="22"/>
          <w:szCs w:val="22"/>
        </w:rPr>
        <w:t>nizolón</w:t>
      </w:r>
      <w:r w:rsidR="006E22E7">
        <w:rPr>
          <w:sz w:val="22"/>
          <w:szCs w:val="22"/>
        </w:rPr>
        <w:t>-</w:t>
      </w:r>
      <w:r w:rsidRPr="00024FA5">
        <w:rPr>
          <w:sz w:val="22"/>
          <w:szCs w:val="22"/>
        </w:rPr>
        <w:t>sukcinátu</w:t>
      </w:r>
      <w:proofErr w:type="spellEnd"/>
      <w:r w:rsidR="001A70CE" w:rsidRPr="00024FA5">
        <w:rPr>
          <w:sz w:val="22"/>
          <w:szCs w:val="22"/>
        </w:rPr>
        <w:t xml:space="preserve"> (viac ako 0,5</w:t>
      </w:r>
      <w:r w:rsidR="0079578E" w:rsidRPr="00024FA5">
        <w:rPr>
          <w:sz w:val="22"/>
          <w:szCs w:val="22"/>
        </w:rPr>
        <w:t> </w:t>
      </w:r>
      <w:r w:rsidR="001A70CE" w:rsidRPr="00024FA5">
        <w:rPr>
          <w:sz w:val="22"/>
          <w:szCs w:val="22"/>
        </w:rPr>
        <w:t>g podaného počas menej ako 10</w:t>
      </w:r>
      <w:r w:rsidR="0079578E" w:rsidRPr="00024FA5">
        <w:rPr>
          <w:sz w:val="22"/>
          <w:szCs w:val="22"/>
        </w:rPr>
        <w:t> </w:t>
      </w:r>
      <w:r w:rsidR="001A70CE" w:rsidRPr="00024FA5">
        <w:rPr>
          <w:sz w:val="22"/>
          <w:szCs w:val="22"/>
        </w:rPr>
        <w:t xml:space="preserve">minút). Po podaní alebo počas podania vysokých dávok </w:t>
      </w:r>
      <w:r w:rsidR="00121A6D" w:rsidRPr="00024FA5">
        <w:rPr>
          <w:sz w:val="22"/>
          <w:szCs w:val="22"/>
        </w:rPr>
        <w:t xml:space="preserve">sodnej soli </w:t>
      </w:r>
      <w:proofErr w:type="spellStart"/>
      <w:r w:rsidR="001A70CE" w:rsidRPr="00024FA5">
        <w:rPr>
          <w:sz w:val="22"/>
          <w:szCs w:val="22"/>
        </w:rPr>
        <w:t>metylpredni</w:t>
      </w:r>
      <w:r w:rsidR="006F0843" w:rsidRPr="00024FA5">
        <w:rPr>
          <w:sz w:val="22"/>
          <w:szCs w:val="22"/>
        </w:rPr>
        <w:t>z</w:t>
      </w:r>
      <w:r w:rsidR="001A70CE" w:rsidRPr="00024FA5">
        <w:rPr>
          <w:sz w:val="22"/>
          <w:szCs w:val="22"/>
        </w:rPr>
        <w:t>ol</w:t>
      </w:r>
      <w:r w:rsidR="006F0843" w:rsidRPr="00024FA5">
        <w:rPr>
          <w:sz w:val="22"/>
          <w:szCs w:val="22"/>
        </w:rPr>
        <w:t>ó</w:t>
      </w:r>
      <w:r w:rsidR="001A70CE" w:rsidRPr="00024FA5">
        <w:rPr>
          <w:sz w:val="22"/>
          <w:szCs w:val="22"/>
        </w:rPr>
        <w:t>n</w:t>
      </w:r>
      <w:r w:rsidR="006E22E7">
        <w:rPr>
          <w:sz w:val="22"/>
          <w:szCs w:val="22"/>
        </w:rPr>
        <w:t>-</w:t>
      </w:r>
      <w:r w:rsidR="001A70CE" w:rsidRPr="00024FA5">
        <w:rPr>
          <w:sz w:val="22"/>
          <w:szCs w:val="22"/>
        </w:rPr>
        <w:t>sukcinátu</w:t>
      </w:r>
      <w:proofErr w:type="spellEnd"/>
      <w:r w:rsidR="006F0843" w:rsidRPr="00024FA5">
        <w:rPr>
          <w:sz w:val="22"/>
          <w:szCs w:val="22"/>
        </w:rPr>
        <w:t xml:space="preserve"> </w:t>
      </w:r>
      <w:r w:rsidR="001A70CE" w:rsidRPr="00024FA5">
        <w:rPr>
          <w:sz w:val="22"/>
          <w:szCs w:val="22"/>
        </w:rPr>
        <w:t>sa pozoroval vznik bradykardie bez súvislosti s rýchlosťou alebo dĺžkou trvania infúzie.</w:t>
      </w:r>
    </w:p>
    <w:p w14:paraId="4D7A79D2" w14:textId="77777777" w:rsidR="000F2E71" w:rsidRPr="00024FA5" w:rsidRDefault="000F2E71" w:rsidP="008A1CFF">
      <w:pPr>
        <w:tabs>
          <w:tab w:val="left" w:pos="567"/>
        </w:tabs>
        <w:rPr>
          <w:sz w:val="22"/>
          <w:szCs w:val="22"/>
        </w:rPr>
      </w:pPr>
    </w:p>
    <w:p w14:paraId="6EA058E2" w14:textId="77777777" w:rsidR="000F2E71" w:rsidRPr="00024FA5" w:rsidRDefault="00720C92" w:rsidP="008A1CFF">
      <w:pPr>
        <w:tabs>
          <w:tab w:val="left" w:pos="567"/>
        </w:tabs>
        <w:rPr>
          <w:sz w:val="22"/>
          <w:szCs w:val="22"/>
        </w:rPr>
      </w:pPr>
      <w:r w:rsidRPr="00024FA5">
        <w:rPr>
          <w:sz w:val="22"/>
          <w:szCs w:val="22"/>
        </w:rPr>
        <w:t xml:space="preserve">V prípadoch </w:t>
      </w:r>
      <w:proofErr w:type="spellStart"/>
      <w:r w:rsidRPr="00024FA5">
        <w:rPr>
          <w:sz w:val="22"/>
          <w:szCs w:val="22"/>
        </w:rPr>
        <w:t>kongestívneho</w:t>
      </w:r>
      <w:proofErr w:type="spellEnd"/>
      <w:r w:rsidRPr="00024FA5">
        <w:rPr>
          <w:sz w:val="22"/>
          <w:szCs w:val="22"/>
        </w:rPr>
        <w:t xml:space="preserve"> zl</w:t>
      </w:r>
      <w:r w:rsidRPr="00404F4E">
        <w:rPr>
          <w:sz w:val="22"/>
          <w:szCs w:val="22"/>
        </w:rPr>
        <w:t>yh</w:t>
      </w:r>
      <w:r w:rsidR="000D37C2" w:rsidRPr="00404F4E">
        <w:rPr>
          <w:sz w:val="22"/>
          <w:szCs w:val="22"/>
        </w:rPr>
        <w:t>áva</w:t>
      </w:r>
      <w:r w:rsidRPr="00404F4E">
        <w:rPr>
          <w:sz w:val="22"/>
          <w:szCs w:val="22"/>
        </w:rPr>
        <w:t>nia</w:t>
      </w:r>
      <w:r w:rsidRPr="00024FA5">
        <w:rPr>
          <w:sz w:val="22"/>
          <w:szCs w:val="22"/>
        </w:rPr>
        <w:t xml:space="preserve"> srdca sa majú systémové kortikosteroidy používať s opatrnosťou a len ak je to nevyhnutné.</w:t>
      </w:r>
    </w:p>
    <w:p w14:paraId="187ED003" w14:textId="77777777" w:rsidR="000F2E71" w:rsidRPr="001A6993" w:rsidRDefault="000F2E71" w:rsidP="008A1CFF">
      <w:pPr>
        <w:tabs>
          <w:tab w:val="left" w:pos="567"/>
        </w:tabs>
        <w:rPr>
          <w:bCs/>
          <w:sz w:val="22"/>
          <w:szCs w:val="22"/>
        </w:rPr>
      </w:pPr>
    </w:p>
    <w:p w14:paraId="53FECAF2" w14:textId="77777777" w:rsidR="000F2E71" w:rsidRPr="007B2B59" w:rsidRDefault="00720C92" w:rsidP="007B2B59">
      <w:pPr>
        <w:keepNext/>
        <w:tabs>
          <w:tab w:val="left" w:pos="567"/>
        </w:tabs>
        <w:rPr>
          <w:bCs/>
          <w:i/>
          <w:iCs/>
          <w:sz w:val="22"/>
          <w:szCs w:val="22"/>
        </w:rPr>
      </w:pPr>
      <w:r w:rsidRPr="007B2B59">
        <w:rPr>
          <w:bCs/>
          <w:i/>
          <w:iCs/>
          <w:sz w:val="22"/>
          <w:szCs w:val="22"/>
        </w:rPr>
        <w:t>Účinky na cievny systém</w:t>
      </w:r>
    </w:p>
    <w:p w14:paraId="70BC872B" w14:textId="77777777" w:rsidR="008B2623" w:rsidRPr="00024FA5" w:rsidRDefault="000F2E71" w:rsidP="006E5190">
      <w:pPr>
        <w:rPr>
          <w:sz w:val="22"/>
          <w:szCs w:val="22"/>
        </w:rPr>
      </w:pPr>
      <w:r w:rsidRPr="00024FA5">
        <w:rPr>
          <w:sz w:val="22"/>
          <w:szCs w:val="22"/>
        </w:rPr>
        <w:t>Pri</w:t>
      </w:r>
      <w:r w:rsidR="00D73D4F" w:rsidRPr="00024FA5">
        <w:rPr>
          <w:sz w:val="22"/>
          <w:szCs w:val="22"/>
        </w:rPr>
        <w:t xml:space="preserve"> </w:t>
      </w:r>
      <w:r w:rsidRPr="00024FA5">
        <w:rPr>
          <w:sz w:val="22"/>
          <w:szCs w:val="22"/>
        </w:rPr>
        <w:t xml:space="preserve">podávaní kortikosteroidov sa hlásil výskyt trombózy vrátane žilovej </w:t>
      </w:r>
      <w:proofErr w:type="spellStart"/>
      <w:r w:rsidRPr="00024FA5">
        <w:rPr>
          <w:sz w:val="22"/>
          <w:szCs w:val="22"/>
        </w:rPr>
        <w:t>tromboembólie</w:t>
      </w:r>
      <w:proofErr w:type="spellEnd"/>
      <w:r w:rsidRPr="00024FA5">
        <w:rPr>
          <w:sz w:val="22"/>
          <w:szCs w:val="22"/>
        </w:rPr>
        <w:t>. V dôsledku toho sa kortikosteroidy majú používať s opatrnosťou u pacientov, ktorí majú</w:t>
      </w:r>
      <w:r w:rsidR="00D73D4F" w:rsidRPr="00024FA5">
        <w:rPr>
          <w:sz w:val="22"/>
          <w:szCs w:val="22"/>
        </w:rPr>
        <w:t xml:space="preserve"> alebo</w:t>
      </w:r>
      <w:r w:rsidR="003763AE">
        <w:rPr>
          <w:sz w:val="22"/>
          <w:szCs w:val="22"/>
        </w:rPr>
        <w:t> </w:t>
      </w:r>
      <w:r w:rsidRPr="00024FA5">
        <w:rPr>
          <w:sz w:val="22"/>
          <w:szCs w:val="22"/>
        </w:rPr>
        <w:t xml:space="preserve">môžu mať predispozíciu k </w:t>
      </w:r>
      <w:proofErr w:type="spellStart"/>
      <w:r w:rsidRPr="00024FA5">
        <w:rPr>
          <w:sz w:val="22"/>
          <w:szCs w:val="22"/>
        </w:rPr>
        <w:t>tromboembolickým</w:t>
      </w:r>
      <w:proofErr w:type="spellEnd"/>
      <w:r w:rsidRPr="00024FA5">
        <w:rPr>
          <w:sz w:val="22"/>
          <w:szCs w:val="22"/>
        </w:rPr>
        <w:t xml:space="preserve"> poruchám.</w:t>
      </w:r>
    </w:p>
    <w:p w14:paraId="0B9A73FC" w14:textId="77777777" w:rsidR="000F2E71" w:rsidRPr="00024FA5" w:rsidRDefault="000F2E71" w:rsidP="008A1CFF">
      <w:pPr>
        <w:tabs>
          <w:tab w:val="left" w:pos="567"/>
        </w:tabs>
        <w:rPr>
          <w:sz w:val="22"/>
          <w:szCs w:val="22"/>
        </w:rPr>
      </w:pPr>
    </w:p>
    <w:p w14:paraId="3F604BA9" w14:textId="77777777" w:rsidR="000F2E71" w:rsidRPr="00024FA5" w:rsidRDefault="00B051E7" w:rsidP="008A1CFF">
      <w:pPr>
        <w:tabs>
          <w:tab w:val="left" w:pos="567"/>
        </w:tabs>
        <w:rPr>
          <w:sz w:val="22"/>
          <w:szCs w:val="22"/>
        </w:rPr>
      </w:pPr>
      <w:r>
        <w:rPr>
          <w:sz w:val="22"/>
          <w:szCs w:val="22"/>
        </w:rPr>
        <w:t>Kortikos</w:t>
      </w:r>
      <w:r w:rsidR="00720C92" w:rsidRPr="00024FA5">
        <w:rPr>
          <w:sz w:val="22"/>
          <w:szCs w:val="22"/>
        </w:rPr>
        <w:t>teroidy sa majú používať so zvýšenou opatrnosťou u pacientov s hypertenziou.</w:t>
      </w:r>
    </w:p>
    <w:p w14:paraId="6C436650" w14:textId="77777777" w:rsidR="000F2E71" w:rsidRPr="00024FA5" w:rsidRDefault="000F2E71" w:rsidP="008A1CFF">
      <w:pPr>
        <w:tabs>
          <w:tab w:val="left" w:pos="567"/>
        </w:tabs>
        <w:rPr>
          <w:sz w:val="22"/>
          <w:szCs w:val="22"/>
        </w:rPr>
      </w:pPr>
    </w:p>
    <w:p w14:paraId="70B8F5AF" w14:textId="77777777" w:rsidR="000F2E71" w:rsidRPr="007B2B59" w:rsidRDefault="000E0F7B" w:rsidP="007B2B59">
      <w:pPr>
        <w:keepNext/>
        <w:tabs>
          <w:tab w:val="left" w:pos="567"/>
        </w:tabs>
        <w:rPr>
          <w:bCs/>
          <w:i/>
          <w:iCs/>
          <w:sz w:val="22"/>
          <w:szCs w:val="22"/>
        </w:rPr>
      </w:pPr>
      <w:r w:rsidRPr="007B2B59">
        <w:rPr>
          <w:bCs/>
          <w:i/>
          <w:iCs/>
          <w:sz w:val="22"/>
          <w:szCs w:val="22"/>
        </w:rPr>
        <w:t>Účinky na gastrointestinálny systém</w:t>
      </w:r>
    </w:p>
    <w:p w14:paraId="02B626B3" w14:textId="77777777" w:rsidR="006E5190" w:rsidRPr="00024FA5" w:rsidRDefault="000F2E71" w:rsidP="006E5190">
      <w:pPr>
        <w:textAlignment w:val="top"/>
        <w:rPr>
          <w:sz w:val="22"/>
          <w:szCs w:val="22"/>
        </w:rPr>
      </w:pPr>
      <w:r w:rsidRPr="00024FA5">
        <w:rPr>
          <w:sz w:val="22"/>
          <w:szCs w:val="22"/>
        </w:rPr>
        <w:t>Vysoké dávky kortikosteroidov môžu vyvolávať akútnu pankreatitídu.</w:t>
      </w:r>
    </w:p>
    <w:p w14:paraId="20F758B4" w14:textId="77777777" w:rsidR="006E5190" w:rsidRPr="00024FA5" w:rsidRDefault="006E5190" w:rsidP="006E5190">
      <w:pPr>
        <w:textAlignment w:val="top"/>
        <w:rPr>
          <w:sz w:val="22"/>
          <w:szCs w:val="22"/>
        </w:rPr>
      </w:pPr>
    </w:p>
    <w:p w14:paraId="4C12A34B" w14:textId="77777777" w:rsidR="00720C92" w:rsidRPr="00024FA5" w:rsidRDefault="00720C92" w:rsidP="006E5190">
      <w:pPr>
        <w:textAlignment w:val="top"/>
        <w:rPr>
          <w:sz w:val="22"/>
          <w:szCs w:val="22"/>
        </w:rPr>
      </w:pPr>
      <w:r w:rsidRPr="00024FA5">
        <w:rPr>
          <w:sz w:val="22"/>
          <w:szCs w:val="22"/>
        </w:rPr>
        <w:t>Neexistuje všeobecne jednotný názor na to, či sú kortikosteroidy samy o sebe zodpovedné za</w:t>
      </w:r>
      <w:r w:rsidR="009C7E25" w:rsidRPr="00024FA5">
        <w:rPr>
          <w:sz w:val="22"/>
          <w:szCs w:val="22"/>
        </w:rPr>
        <w:t> </w:t>
      </w:r>
      <w:proofErr w:type="spellStart"/>
      <w:r w:rsidRPr="00024FA5">
        <w:rPr>
          <w:sz w:val="22"/>
          <w:szCs w:val="22"/>
        </w:rPr>
        <w:t>peptické</w:t>
      </w:r>
      <w:proofErr w:type="spellEnd"/>
      <w:r w:rsidRPr="00024FA5">
        <w:rPr>
          <w:sz w:val="22"/>
          <w:szCs w:val="22"/>
        </w:rPr>
        <w:t xml:space="preserve"> vredy zistené počas liečby, liečba glukokortikoidmi však môže maskovať príznaky </w:t>
      </w:r>
      <w:proofErr w:type="spellStart"/>
      <w:r w:rsidRPr="00024FA5">
        <w:rPr>
          <w:sz w:val="22"/>
          <w:szCs w:val="22"/>
        </w:rPr>
        <w:t>peptického</w:t>
      </w:r>
      <w:proofErr w:type="spellEnd"/>
      <w:r w:rsidRPr="00024FA5">
        <w:rPr>
          <w:sz w:val="22"/>
          <w:szCs w:val="22"/>
        </w:rPr>
        <w:t xml:space="preserve"> vredu, takže ku perforácii alebo krvácaniu môže dôjsť bez výrazných bolestí</w:t>
      </w:r>
      <w:r w:rsidR="000F2E71" w:rsidRPr="00024FA5">
        <w:rPr>
          <w:sz w:val="22"/>
          <w:szCs w:val="22"/>
        </w:rPr>
        <w:t xml:space="preserve">. </w:t>
      </w:r>
      <w:r w:rsidR="000F2E71" w:rsidRPr="00024FA5">
        <w:rPr>
          <w:noProof/>
          <w:sz w:val="22"/>
          <w:szCs w:val="22"/>
          <w:lang w:eastAsia="en-US"/>
        </w:rPr>
        <w:t xml:space="preserve">Liečba glukokortikoidmi môže maskovať peritonitídu alebo iné </w:t>
      </w:r>
      <w:r w:rsidR="009E2866" w:rsidRPr="00024FA5">
        <w:rPr>
          <w:noProof/>
          <w:sz w:val="22"/>
          <w:szCs w:val="22"/>
          <w:lang w:eastAsia="en-US"/>
        </w:rPr>
        <w:t>prejavy</w:t>
      </w:r>
      <w:r w:rsidR="000F2E71" w:rsidRPr="00024FA5">
        <w:rPr>
          <w:noProof/>
          <w:sz w:val="22"/>
          <w:szCs w:val="22"/>
          <w:lang w:eastAsia="en-US"/>
        </w:rPr>
        <w:t xml:space="preserve"> alebo príznaky, ktoré sa spájajú s gastrointestinálnymi poruchami, ako sú perforácia, obštrukcia alebo pankreatitída.</w:t>
      </w:r>
      <w:r w:rsidR="006E5190" w:rsidRPr="00024FA5">
        <w:rPr>
          <w:noProof/>
          <w:sz w:val="22"/>
          <w:szCs w:val="22"/>
          <w:lang w:eastAsia="en-US"/>
        </w:rPr>
        <w:t xml:space="preserve"> </w:t>
      </w:r>
      <w:r w:rsidR="006F7F02" w:rsidRPr="00024FA5">
        <w:rPr>
          <w:sz w:val="22"/>
          <w:szCs w:val="22"/>
        </w:rPr>
        <w:t>V kombinácii s</w:t>
      </w:r>
      <w:r w:rsidR="006F259F">
        <w:rPr>
          <w:sz w:val="22"/>
          <w:szCs w:val="22"/>
        </w:rPr>
        <w:t> </w:t>
      </w:r>
      <w:proofErr w:type="spellStart"/>
      <w:r w:rsidR="006F7F02" w:rsidRPr="00024FA5">
        <w:rPr>
          <w:sz w:val="22"/>
          <w:szCs w:val="22"/>
        </w:rPr>
        <w:t>nesteroid</w:t>
      </w:r>
      <w:r w:rsidR="006F259F">
        <w:rPr>
          <w:sz w:val="22"/>
          <w:szCs w:val="22"/>
        </w:rPr>
        <w:t>ovými</w:t>
      </w:r>
      <w:proofErr w:type="spellEnd"/>
      <w:r w:rsidR="006F259F">
        <w:rPr>
          <w:sz w:val="22"/>
          <w:szCs w:val="22"/>
        </w:rPr>
        <w:t xml:space="preserve"> </w:t>
      </w:r>
      <w:proofErr w:type="spellStart"/>
      <w:r w:rsidR="006F7F02" w:rsidRPr="00024FA5">
        <w:rPr>
          <w:sz w:val="22"/>
          <w:szCs w:val="22"/>
        </w:rPr>
        <w:t>antiflogistikami</w:t>
      </w:r>
      <w:proofErr w:type="spellEnd"/>
      <w:r w:rsidR="006F7F02" w:rsidRPr="00024FA5">
        <w:rPr>
          <w:sz w:val="22"/>
          <w:szCs w:val="22"/>
        </w:rPr>
        <w:t xml:space="preserve"> je riziko vzniku gastrointestinálnych vredov zvýšené.</w:t>
      </w:r>
    </w:p>
    <w:p w14:paraId="020F640B" w14:textId="77777777" w:rsidR="009C7E25" w:rsidRPr="00024FA5" w:rsidRDefault="009C7E25" w:rsidP="006E5190">
      <w:pPr>
        <w:textAlignment w:val="top"/>
        <w:rPr>
          <w:sz w:val="22"/>
          <w:szCs w:val="22"/>
        </w:rPr>
      </w:pPr>
    </w:p>
    <w:p w14:paraId="237DADC6" w14:textId="77777777" w:rsidR="000F2E71" w:rsidRPr="00024FA5" w:rsidRDefault="001A70CE" w:rsidP="008A1CFF">
      <w:pPr>
        <w:tabs>
          <w:tab w:val="left" w:pos="567"/>
        </w:tabs>
        <w:rPr>
          <w:sz w:val="22"/>
          <w:szCs w:val="22"/>
        </w:rPr>
      </w:pPr>
      <w:r w:rsidRPr="00024FA5">
        <w:rPr>
          <w:sz w:val="22"/>
          <w:szCs w:val="22"/>
        </w:rPr>
        <w:t xml:space="preserve">Kortikosteroidy sa musia podávať so zvýšenou opatrnosťou pri liečbe </w:t>
      </w:r>
      <w:r w:rsidR="00F01705" w:rsidRPr="00024FA5">
        <w:rPr>
          <w:sz w:val="22"/>
          <w:szCs w:val="22"/>
        </w:rPr>
        <w:t xml:space="preserve">nešpecifickej </w:t>
      </w:r>
      <w:r w:rsidRPr="00024FA5">
        <w:rPr>
          <w:sz w:val="22"/>
          <w:szCs w:val="22"/>
        </w:rPr>
        <w:t xml:space="preserve">ulceróznej kolitídy, pokiaľ existuje </w:t>
      </w:r>
      <w:r w:rsidR="00720C92" w:rsidRPr="00024FA5">
        <w:rPr>
          <w:sz w:val="22"/>
          <w:szCs w:val="22"/>
        </w:rPr>
        <w:t xml:space="preserve">pravdepodobnosť hroziacej perforácie, abscesu alebo inej </w:t>
      </w:r>
      <w:proofErr w:type="spellStart"/>
      <w:r w:rsidR="00720C92" w:rsidRPr="00024FA5">
        <w:rPr>
          <w:sz w:val="22"/>
          <w:szCs w:val="22"/>
        </w:rPr>
        <w:t>pyogénnej</w:t>
      </w:r>
      <w:proofErr w:type="spellEnd"/>
      <w:r w:rsidR="00720C92" w:rsidRPr="00024FA5">
        <w:rPr>
          <w:sz w:val="22"/>
          <w:szCs w:val="22"/>
        </w:rPr>
        <w:t xml:space="preserve"> infekcie</w:t>
      </w:r>
      <w:r w:rsidR="007835CE" w:rsidRPr="00024FA5">
        <w:rPr>
          <w:sz w:val="22"/>
          <w:szCs w:val="22"/>
        </w:rPr>
        <w:t>,</w:t>
      </w:r>
      <w:r w:rsidR="00720C92" w:rsidRPr="00024FA5">
        <w:rPr>
          <w:sz w:val="22"/>
          <w:szCs w:val="22"/>
        </w:rPr>
        <w:t xml:space="preserve"> </w:t>
      </w:r>
      <w:proofErr w:type="spellStart"/>
      <w:r w:rsidR="00720C92" w:rsidRPr="00024FA5">
        <w:rPr>
          <w:sz w:val="22"/>
          <w:szCs w:val="22"/>
        </w:rPr>
        <w:t>divertikulitídy</w:t>
      </w:r>
      <w:proofErr w:type="spellEnd"/>
      <w:r w:rsidR="00720C92" w:rsidRPr="00024FA5">
        <w:rPr>
          <w:sz w:val="22"/>
          <w:szCs w:val="22"/>
        </w:rPr>
        <w:t xml:space="preserve">, </w:t>
      </w:r>
      <w:r w:rsidR="00683EC9" w:rsidRPr="00024FA5">
        <w:rPr>
          <w:sz w:val="22"/>
          <w:szCs w:val="22"/>
        </w:rPr>
        <w:t>nedávnych</w:t>
      </w:r>
      <w:r w:rsidR="00720C92" w:rsidRPr="00024FA5">
        <w:rPr>
          <w:sz w:val="22"/>
          <w:szCs w:val="22"/>
        </w:rPr>
        <w:t xml:space="preserve"> črevných </w:t>
      </w:r>
      <w:proofErr w:type="spellStart"/>
      <w:r w:rsidR="00720C92" w:rsidRPr="00024FA5">
        <w:rPr>
          <w:sz w:val="22"/>
          <w:szCs w:val="22"/>
        </w:rPr>
        <w:t>anastomóz</w:t>
      </w:r>
      <w:proofErr w:type="spellEnd"/>
      <w:r w:rsidR="00720C92" w:rsidRPr="00024FA5">
        <w:rPr>
          <w:sz w:val="22"/>
          <w:szCs w:val="22"/>
        </w:rPr>
        <w:t xml:space="preserve"> alebo aktívneho alebo latentného </w:t>
      </w:r>
      <w:proofErr w:type="spellStart"/>
      <w:r w:rsidR="00720C92" w:rsidRPr="00024FA5">
        <w:rPr>
          <w:sz w:val="22"/>
          <w:szCs w:val="22"/>
        </w:rPr>
        <w:t>peptického</w:t>
      </w:r>
      <w:proofErr w:type="spellEnd"/>
      <w:r w:rsidR="00720C92" w:rsidRPr="00024FA5">
        <w:rPr>
          <w:sz w:val="22"/>
          <w:szCs w:val="22"/>
        </w:rPr>
        <w:t xml:space="preserve"> vredu.</w:t>
      </w:r>
    </w:p>
    <w:p w14:paraId="27804C1E" w14:textId="77777777" w:rsidR="000F2E71" w:rsidRPr="00024FA5" w:rsidRDefault="000F2E71" w:rsidP="008A1CFF">
      <w:pPr>
        <w:tabs>
          <w:tab w:val="left" w:pos="567"/>
        </w:tabs>
        <w:rPr>
          <w:sz w:val="22"/>
          <w:szCs w:val="22"/>
        </w:rPr>
      </w:pPr>
    </w:p>
    <w:p w14:paraId="7FF4D471" w14:textId="77777777" w:rsidR="00EC6430" w:rsidRPr="007B2B59" w:rsidRDefault="00EC6430" w:rsidP="007B2B59">
      <w:pPr>
        <w:keepNext/>
        <w:tabs>
          <w:tab w:val="left" w:pos="567"/>
        </w:tabs>
        <w:rPr>
          <w:bCs/>
          <w:i/>
          <w:iCs/>
          <w:sz w:val="22"/>
          <w:szCs w:val="22"/>
        </w:rPr>
      </w:pPr>
      <w:r w:rsidRPr="007B2B59">
        <w:rPr>
          <w:bCs/>
          <w:i/>
          <w:iCs/>
          <w:sz w:val="22"/>
          <w:szCs w:val="22"/>
        </w:rPr>
        <w:t>Účinky na pečeň a žlčové cesty</w:t>
      </w:r>
    </w:p>
    <w:p w14:paraId="6E86E012" w14:textId="77777777" w:rsidR="000F2E71" w:rsidRPr="00024FA5" w:rsidRDefault="00EC6430" w:rsidP="008A1CFF">
      <w:pPr>
        <w:tabs>
          <w:tab w:val="left" w:pos="567"/>
        </w:tabs>
        <w:rPr>
          <w:sz w:val="22"/>
          <w:szCs w:val="22"/>
        </w:rPr>
      </w:pPr>
      <w:r w:rsidRPr="00024FA5">
        <w:rPr>
          <w:sz w:val="22"/>
          <w:szCs w:val="22"/>
        </w:rPr>
        <w:t xml:space="preserve">Cyklické pulzné dávky </w:t>
      </w:r>
      <w:r w:rsidR="005B1842" w:rsidRPr="00024FA5">
        <w:rPr>
          <w:sz w:val="22"/>
          <w:szCs w:val="22"/>
        </w:rPr>
        <w:t>intravenózneho</w:t>
      </w:r>
      <w:r w:rsidRPr="00024FA5">
        <w:rPr>
          <w:sz w:val="22"/>
          <w:szCs w:val="22"/>
        </w:rPr>
        <w:t xml:space="preserve"> </w:t>
      </w:r>
      <w:proofErr w:type="spellStart"/>
      <w:r w:rsidRPr="00024FA5">
        <w:rPr>
          <w:sz w:val="22"/>
          <w:szCs w:val="22"/>
        </w:rPr>
        <w:t>metylprednizolónu</w:t>
      </w:r>
      <w:proofErr w:type="spellEnd"/>
      <w:r w:rsidRPr="00024FA5">
        <w:rPr>
          <w:sz w:val="22"/>
          <w:szCs w:val="22"/>
        </w:rPr>
        <w:t xml:space="preserve"> (zvyčajne pri </w:t>
      </w:r>
      <w:r w:rsidR="007A50E0" w:rsidRPr="00024FA5">
        <w:rPr>
          <w:sz w:val="22"/>
          <w:szCs w:val="22"/>
        </w:rPr>
        <w:t xml:space="preserve">začiatočnej </w:t>
      </w:r>
      <w:r w:rsidRPr="00024FA5">
        <w:rPr>
          <w:sz w:val="22"/>
          <w:szCs w:val="22"/>
        </w:rPr>
        <w:t>dávke ≥</w:t>
      </w:r>
      <w:r w:rsidR="003763AE">
        <w:rPr>
          <w:sz w:val="22"/>
          <w:szCs w:val="22"/>
        </w:rPr>
        <w:t> </w:t>
      </w:r>
      <w:r w:rsidRPr="00024FA5">
        <w:rPr>
          <w:sz w:val="22"/>
          <w:szCs w:val="22"/>
        </w:rPr>
        <w:t xml:space="preserve">1g/deň) môžu viesť k liekovému poškodeniu pečene vrátane akútnej hepatitídy alebo zvýšenia hladiny pečeňových enzýmov. Hlásené boli zriedkavé prípady </w:t>
      </w:r>
      <w:proofErr w:type="spellStart"/>
      <w:r w:rsidRPr="00024FA5">
        <w:rPr>
          <w:sz w:val="22"/>
          <w:szCs w:val="22"/>
        </w:rPr>
        <w:t>hepatotoxicity</w:t>
      </w:r>
      <w:proofErr w:type="spellEnd"/>
      <w:r w:rsidRPr="00024FA5">
        <w:rPr>
          <w:sz w:val="22"/>
          <w:szCs w:val="22"/>
        </w:rPr>
        <w:t xml:space="preserve">. Čas do </w:t>
      </w:r>
      <w:r w:rsidR="005B1842" w:rsidRPr="00024FA5">
        <w:rPr>
          <w:sz w:val="22"/>
          <w:szCs w:val="22"/>
        </w:rPr>
        <w:t>nástupu</w:t>
      </w:r>
      <w:r w:rsidRPr="00024FA5">
        <w:rPr>
          <w:sz w:val="22"/>
          <w:szCs w:val="22"/>
        </w:rPr>
        <w:t xml:space="preserve"> môže predstavovať niekoľko týždňov alebo dlhšie obdobie. Vo väčšine prípadov sa </w:t>
      </w:r>
      <w:r w:rsidR="006F259F" w:rsidRPr="00024FA5">
        <w:rPr>
          <w:sz w:val="22"/>
          <w:szCs w:val="22"/>
        </w:rPr>
        <w:t>od</w:t>
      </w:r>
      <w:r w:rsidR="006F259F">
        <w:rPr>
          <w:sz w:val="22"/>
          <w:szCs w:val="22"/>
        </w:rPr>
        <w:t>z</w:t>
      </w:r>
      <w:r w:rsidR="006F259F" w:rsidRPr="00024FA5">
        <w:rPr>
          <w:sz w:val="22"/>
          <w:szCs w:val="22"/>
        </w:rPr>
        <w:t>nenie</w:t>
      </w:r>
      <w:r w:rsidRPr="00024FA5">
        <w:rPr>
          <w:sz w:val="22"/>
          <w:szCs w:val="22"/>
        </w:rPr>
        <w:t xml:space="preserve"> nežiaducich </w:t>
      </w:r>
      <w:r w:rsidR="005B1842" w:rsidRPr="00024FA5">
        <w:rPr>
          <w:sz w:val="22"/>
          <w:szCs w:val="22"/>
        </w:rPr>
        <w:t>udalostí</w:t>
      </w:r>
      <w:r w:rsidRPr="00024FA5">
        <w:rPr>
          <w:sz w:val="22"/>
          <w:szCs w:val="22"/>
        </w:rPr>
        <w:t xml:space="preserve"> pozorovalo po </w:t>
      </w:r>
      <w:r w:rsidR="005B1842" w:rsidRPr="00024FA5">
        <w:rPr>
          <w:sz w:val="22"/>
          <w:szCs w:val="22"/>
        </w:rPr>
        <w:t>prerušení</w:t>
      </w:r>
      <w:r w:rsidRPr="00024FA5">
        <w:rPr>
          <w:sz w:val="22"/>
          <w:szCs w:val="22"/>
        </w:rPr>
        <w:t xml:space="preserve"> liečby. Preto je nutné pacienta vhodným spôsobom sledovať.</w:t>
      </w:r>
    </w:p>
    <w:p w14:paraId="474EF778" w14:textId="77777777" w:rsidR="000F2E71" w:rsidRPr="00024FA5" w:rsidRDefault="000F2E71" w:rsidP="008A1CFF">
      <w:pPr>
        <w:tabs>
          <w:tab w:val="left" w:pos="567"/>
        </w:tabs>
        <w:rPr>
          <w:sz w:val="22"/>
          <w:szCs w:val="22"/>
        </w:rPr>
      </w:pPr>
    </w:p>
    <w:p w14:paraId="3B7883D8" w14:textId="77777777" w:rsidR="000F2E71" w:rsidRPr="007B2B59" w:rsidRDefault="00E91F0E" w:rsidP="007B2B59">
      <w:pPr>
        <w:keepNext/>
        <w:tabs>
          <w:tab w:val="left" w:pos="567"/>
        </w:tabs>
        <w:rPr>
          <w:bCs/>
          <w:i/>
          <w:iCs/>
          <w:sz w:val="22"/>
          <w:szCs w:val="22"/>
        </w:rPr>
      </w:pPr>
      <w:r w:rsidRPr="007B2B59">
        <w:rPr>
          <w:bCs/>
          <w:i/>
          <w:iCs/>
          <w:sz w:val="22"/>
          <w:szCs w:val="22"/>
        </w:rPr>
        <w:t>Účinky na kostrové svalstvo</w:t>
      </w:r>
    </w:p>
    <w:p w14:paraId="1966D9BA" w14:textId="77777777" w:rsidR="000F2E71" w:rsidRPr="00024FA5" w:rsidRDefault="001A70CE" w:rsidP="008A1CFF">
      <w:pPr>
        <w:tabs>
          <w:tab w:val="left" w:pos="567"/>
        </w:tabs>
        <w:rPr>
          <w:sz w:val="22"/>
          <w:szCs w:val="22"/>
        </w:rPr>
      </w:pPr>
      <w:r w:rsidRPr="00024FA5">
        <w:rPr>
          <w:sz w:val="22"/>
          <w:szCs w:val="22"/>
        </w:rPr>
        <w:t xml:space="preserve">V súvislosti s podaním vysokých dávok kortikosteroidov bola popísaná akútna </w:t>
      </w:r>
      <w:proofErr w:type="spellStart"/>
      <w:r w:rsidRPr="00024FA5">
        <w:rPr>
          <w:sz w:val="22"/>
          <w:szCs w:val="22"/>
        </w:rPr>
        <w:t>myopatia</w:t>
      </w:r>
      <w:proofErr w:type="spellEnd"/>
      <w:r w:rsidRPr="00024FA5">
        <w:rPr>
          <w:sz w:val="22"/>
          <w:szCs w:val="22"/>
        </w:rPr>
        <w:t xml:space="preserve"> </w:t>
      </w:r>
      <w:r w:rsidR="00533EF7" w:rsidRPr="00024FA5">
        <w:rPr>
          <w:sz w:val="22"/>
          <w:szCs w:val="22"/>
        </w:rPr>
        <w:t>najčastejšie</w:t>
      </w:r>
      <w:r w:rsidR="00EC37AA" w:rsidRPr="00024FA5">
        <w:rPr>
          <w:sz w:val="22"/>
          <w:szCs w:val="22"/>
        </w:rPr>
        <w:t xml:space="preserve"> sa </w:t>
      </w:r>
      <w:r w:rsidRPr="00024FA5">
        <w:rPr>
          <w:sz w:val="22"/>
          <w:szCs w:val="22"/>
        </w:rPr>
        <w:t xml:space="preserve">vyskytujúca u pacientov s poruchami </w:t>
      </w:r>
      <w:proofErr w:type="spellStart"/>
      <w:r w:rsidRPr="00024FA5">
        <w:rPr>
          <w:sz w:val="22"/>
          <w:szCs w:val="22"/>
        </w:rPr>
        <w:t>neuromuskulárneho</w:t>
      </w:r>
      <w:proofErr w:type="spellEnd"/>
      <w:r w:rsidRPr="00024FA5">
        <w:rPr>
          <w:sz w:val="22"/>
          <w:szCs w:val="22"/>
        </w:rPr>
        <w:t xml:space="preserve"> prenosu (napr. </w:t>
      </w:r>
      <w:proofErr w:type="spellStart"/>
      <w:r w:rsidRPr="00024FA5">
        <w:rPr>
          <w:sz w:val="22"/>
          <w:szCs w:val="22"/>
        </w:rPr>
        <w:t>myast</w:t>
      </w:r>
      <w:r w:rsidR="00683EC9" w:rsidRPr="00024FA5">
        <w:rPr>
          <w:sz w:val="22"/>
          <w:szCs w:val="22"/>
        </w:rPr>
        <w:t>é</w:t>
      </w:r>
      <w:r w:rsidRPr="00024FA5">
        <w:rPr>
          <w:sz w:val="22"/>
          <w:szCs w:val="22"/>
        </w:rPr>
        <w:t>nia</w:t>
      </w:r>
      <w:proofErr w:type="spellEnd"/>
      <w:r w:rsidRPr="00024FA5">
        <w:rPr>
          <w:sz w:val="22"/>
          <w:szCs w:val="22"/>
        </w:rPr>
        <w:t xml:space="preserve"> </w:t>
      </w:r>
      <w:proofErr w:type="spellStart"/>
      <w:r w:rsidRPr="00024FA5">
        <w:rPr>
          <w:sz w:val="22"/>
          <w:szCs w:val="22"/>
        </w:rPr>
        <w:t>gravis</w:t>
      </w:r>
      <w:proofErr w:type="spellEnd"/>
      <w:r w:rsidRPr="00024FA5">
        <w:rPr>
          <w:sz w:val="22"/>
          <w:szCs w:val="22"/>
        </w:rPr>
        <w:t>) alebo u pacientov liečených sú</w:t>
      </w:r>
      <w:r w:rsidR="009C7E25" w:rsidRPr="00024FA5">
        <w:rPr>
          <w:sz w:val="22"/>
          <w:szCs w:val="22"/>
        </w:rPr>
        <w:t>bež</w:t>
      </w:r>
      <w:r w:rsidRPr="00024FA5">
        <w:rPr>
          <w:sz w:val="22"/>
          <w:szCs w:val="22"/>
        </w:rPr>
        <w:t>ne</w:t>
      </w:r>
      <w:r w:rsidR="00720C92" w:rsidRPr="00024FA5">
        <w:rPr>
          <w:sz w:val="22"/>
          <w:szCs w:val="22"/>
        </w:rPr>
        <w:t xml:space="preserve"> </w:t>
      </w:r>
      <w:proofErr w:type="spellStart"/>
      <w:r w:rsidR="00720C92" w:rsidRPr="00024FA5">
        <w:rPr>
          <w:sz w:val="22"/>
          <w:szCs w:val="22"/>
        </w:rPr>
        <w:t>anticholinergikami</w:t>
      </w:r>
      <w:proofErr w:type="spellEnd"/>
      <w:r w:rsidR="00720C92" w:rsidRPr="00024FA5">
        <w:rPr>
          <w:sz w:val="22"/>
          <w:szCs w:val="22"/>
        </w:rPr>
        <w:t>, ako sú</w:t>
      </w:r>
      <w:r w:rsidRPr="00024FA5">
        <w:rPr>
          <w:sz w:val="22"/>
          <w:szCs w:val="22"/>
        </w:rPr>
        <w:t xml:space="preserve"> inhibítor</w:t>
      </w:r>
      <w:r w:rsidR="00720C92" w:rsidRPr="00024FA5">
        <w:rPr>
          <w:sz w:val="22"/>
          <w:szCs w:val="22"/>
        </w:rPr>
        <w:t>y</w:t>
      </w:r>
      <w:r w:rsidRPr="00024FA5">
        <w:rPr>
          <w:sz w:val="22"/>
          <w:szCs w:val="22"/>
        </w:rPr>
        <w:t xml:space="preserve"> </w:t>
      </w:r>
      <w:proofErr w:type="spellStart"/>
      <w:r w:rsidRPr="00024FA5">
        <w:rPr>
          <w:sz w:val="22"/>
          <w:szCs w:val="22"/>
        </w:rPr>
        <w:t>neuromuskulárneho</w:t>
      </w:r>
      <w:proofErr w:type="spellEnd"/>
      <w:r w:rsidRPr="00024FA5">
        <w:rPr>
          <w:sz w:val="22"/>
          <w:szCs w:val="22"/>
        </w:rPr>
        <w:t xml:space="preserve"> prenosu (napr. </w:t>
      </w:r>
      <w:proofErr w:type="spellStart"/>
      <w:r w:rsidRPr="00024FA5">
        <w:rPr>
          <w:sz w:val="22"/>
          <w:szCs w:val="22"/>
        </w:rPr>
        <w:t>pankur</w:t>
      </w:r>
      <w:r w:rsidR="00F639B4" w:rsidRPr="00024FA5">
        <w:rPr>
          <w:sz w:val="22"/>
          <w:szCs w:val="22"/>
        </w:rPr>
        <w:t>ó</w:t>
      </w:r>
      <w:r w:rsidRPr="00024FA5">
        <w:rPr>
          <w:sz w:val="22"/>
          <w:szCs w:val="22"/>
        </w:rPr>
        <w:t>nium</w:t>
      </w:r>
      <w:proofErr w:type="spellEnd"/>
      <w:r w:rsidRPr="00024FA5">
        <w:rPr>
          <w:sz w:val="22"/>
          <w:szCs w:val="22"/>
        </w:rPr>
        <w:t xml:space="preserve">). Táto akútna </w:t>
      </w:r>
      <w:proofErr w:type="spellStart"/>
      <w:r w:rsidRPr="00024FA5">
        <w:rPr>
          <w:sz w:val="22"/>
          <w:szCs w:val="22"/>
        </w:rPr>
        <w:t>myopatia</w:t>
      </w:r>
      <w:proofErr w:type="spellEnd"/>
      <w:r w:rsidRPr="00024FA5">
        <w:rPr>
          <w:sz w:val="22"/>
          <w:szCs w:val="22"/>
        </w:rPr>
        <w:t xml:space="preserve"> môže byť generalizovaná, môže postihovať očné svaly a svalstvo dýchacích ciest a môže mať za následok </w:t>
      </w:r>
      <w:proofErr w:type="spellStart"/>
      <w:r w:rsidRPr="00024FA5">
        <w:rPr>
          <w:sz w:val="22"/>
          <w:szCs w:val="22"/>
        </w:rPr>
        <w:t>kvadruparézu</w:t>
      </w:r>
      <w:proofErr w:type="spellEnd"/>
      <w:r w:rsidRPr="00024FA5">
        <w:rPr>
          <w:sz w:val="22"/>
          <w:szCs w:val="22"/>
        </w:rPr>
        <w:t xml:space="preserve">. Môže dôjsť ku zvýšeniu hladín </w:t>
      </w:r>
      <w:proofErr w:type="spellStart"/>
      <w:r w:rsidRPr="00024FA5">
        <w:rPr>
          <w:sz w:val="22"/>
          <w:szCs w:val="22"/>
        </w:rPr>
        <w:t>kreatínkinázy</w:t>
      </w:r>
      <w:proofErr w:type="spellEnd"/>
      <w:r w:rsidRPr="00024FA5">
        <w:rPr>
          <w:sz w:val="22"/>
          <w:szCs w:val="22"/>
        </w:rPr>
        <w:t>. Klinické zlepšenie alebo zotavenie po vysadení kortikosteroidov môže trvať týždne alebo roky.</w:t>
      </w:r>
    </w:p>
    <w:p w14:paraId="19BB6966" w14:textId="77777777" w:rsidR="000F2E71" w:rsidRPr="00024FA5" w:rsidRDefault="000F2E71" w:rsidP="008A1CFF">
      <w:pPr>
        <w:tabs>
          <w:tab w:val="left" w:pos="567"/>
        </w:tabs>
        <w:rPr>
          <w:sz w:val="22"/>
          <w:szCs w:val="22"/>
        </w:rPr>
      </w:pPr>
    </w:p>
    <w:p w14:paraId="45C723B4" w14:textId="77777777" w:rsidR="004D4405" w:rsidRPr="00C50607" w:rsidRDefault="004D4405" w:rsidP="004D4405">
      <w:pPr>
        <w:tabs>
          <w:tab w:val="left" w:pos="567"/>
        </w:tabs>
        <w:rPr>
          <w:sz w:val="22"/>
          <w:szCs w:val="22"/>
        </w:rPr>
      </w:pPr>
      <w:r w:rsidRPr="00083EB5">
        <w:rPr>
          <w:sz w:val="22"/>
          <w:szCs w:val="22"/>
        </w:rPr>
        <w:t>Osteoporóza je nežiaduci účinok spojený s dlhodobou liečbou veľkými dávkami glukokortikoidov.</w:t>
      </w:r>
    </w:p>
    <w:p w14:paraId="03B18C55" w14:textId="77777777" w:rsidR="000F2E71" w:rsidRPr="001A6993" w:rsidRDefault="000F2E71" w:rsidP="008A1CFF">
      <w:pPr>
        <w:tabs>
          <w:tab w:val="left" w:pos="567"/>
        </w:tabs>
        <w:rPr>
          <w:bCs/>
          <w:sz w:val="22"/>
          <w:szCs w:val="22"/>
        </w:rPr>
      </w:pPr>
    </w:p>
    <w:p w14:paraId="4D61477C" w14:textId="77777777" w:rsidR="008068D3" w:rsidRPr="007B2B59" w:rsidRDefault="008068D3" w:rsidP="007B2B59">
      <w:pPr>
        <w:keepNext/>
        <w:tabs>
          <w:tab w:val="left" w:pos="567"/>
        </w:tabs>
        <w:rPr>
          <w:bCs/>
          <w:i/>
          <w:iCs/>
          <w:sz w:val="22"/>
          <w:szCs w:val="22"/>
        </w:rPr>
      </w:pPr>
      <w:proofErr w:type="spellStart"/>
      <w:r w:rsidRPr="007B2B59">
        <w:rPr>
          <w:bCs/>
          <w:i/>
          <w:iCs/>
          <w:sz w:val="22"/>
          <w:szCs w:val="22"/>
        </w:rPr>
        <w:t>Sklerodermická</w:t>
      </w:r>
      <w:proofErr w:type="spellEnd"/>
      <w:r w:rsidRPr="007B2B59">
        <w:rPr>
          <w:bCs/>
          <w:i/>
          <w:iCs/>
          <w:sz w:val="22"/>
          <w:szCs w:val="22"/>
        </w:rPr>
        <w:t xml:space="preserve"> </w:t>
      </w:r>
      <w:proofErr w:type="spellStart"/>
      <w:r w:rsidRPr="007B2B59">
        <w:rPr>
          <w:bCs/>
          <w:i/>
          <w:iCs/>
          <w:sz w:val="22"/>
          <w:szCs w:val="22"/>
        </w:rPr>
        <w:t>renálna</w:t>
      </w:r>
      <w:proofErr w:type="spellEnd"/>
      <w:r w:rsidRPr="007B2B59">
        <w:rPr>
          <w:bCs/>
          <w:i/>
          <w:iCs/>
          <w:sz w:val="22"/>
          <w:szCs w:val="22"/>
        </w:rPr>
        <w:t xml:space="preserve"> kríza</w:t>
      </w:r>
    </w:p>
    <w:p w14:paraId="28003923" w14:textId="77777777" w:rsidR="008068D3" w:rsidRPr="001748F1" w:rsidRDefault="008068D3" w:rsidP="007050AD">
      <w:pPr>
        <w:rPr>
          <w:sz w:val="22"/>
          <w:szCs w:val="22"/>
        </w:rPr>
      </w:pPr>
      <w:r w:rsidRPr="001748F1">
        <w:rPr>
          <w:sz w:val="22"/>
          <w:szCs w:val="22"/>
        </w:rPr>
        <w:t xml:space="preserve">Opatrnosť je potrebná u pacientov so systémovou sklerózou z dôvodu zvýšenej </w:t>
      </w:r>
      <w:proofErr w:type="spellStart"/>
      <w:r w:rsidRPr="001748F1">
        <w:rPr>
          <w:sz w:val="22"/>
          <w:szCs w:val="22"/>
        </w:rPr>
        <w:t>incidencie</w:t>
      </w:r>
      <w:proofErr w:type="spellEnd"/>
      <w:r w:rsidRPr="001748F1">
        <w:rPr>
          <w:sz w:val="22"/>
          <w:szCs w:val="22"/>
        </w:rPr>
        <w:t xml:space="preserve"> (možno aj smrteľnej) </w:t>
      </w:r>
      <w:proofErr w:type="spellStart"/>
      <w:r w:rsidRPr="001748F1">
        <w:rPr>
          <w:sz w:val="22"/>
          <w:szCs w:val="22"/>
        </w:rPr>
        <w:t>sklerodermickej</w:t>
      </w:r>
      <w:proofErr w:type="spellEnd"/>
      <w:r w:rsidRPr="001748F1">
        <w:rPr>
          <w:sz w:val="22"/>
          <w:szCs w:val="22"/>
        </w:rPr>
        <w:t xml:space="preserve"> </w:t>
      </w:r>
      <w:proofErr w:type="spellStart"/>
      <w:r w:rsidRPr="001748F1">
        <w:rPr>
          <w:sz w:val="22"/>
          <w:szCs w:val="22"/>
        </w:rPr>
        <w:t>renálnej</w:t>
      </w:r>
      <w:proofErr w:type="spellEnd"/>
      <w:r w:rsidRPr="001748F1">
        <w:rPr>
          <w:sz w:val="22"/>
          <w:szCs w:val="22"/>
        </w:rPr>
        <w:t xml:space="preserve"> krízy s hypertenziou a zníženou tvorbou moč</w:t>
      </w:r>
      <w:r w:rsidRPr="00A75A0A">
        <w:rPr>
          <w:sz w:val="22"/>
          <w:szCs w:val="22"/>
        </w:rPr>
        <w:t>u</w:t>
      </w:r>
      <w:r w:rsidRPr="001748F1">
        <w:rPr>
          <w:sz w:val="22"/>
          <w:szCs w:val="22"/>
        </w:rPr>
        <w:t xml:space="preserve">. Krvný tlak a obličkové funkcie (s-kreatinín) sa preto musia </w:t>
      </w:r>
      <w:r w:rsidR="00B051E7">
        <w:rPr>
          <w:sz w:val="22"/>
          <w:szCs w:val="22"/>
        </w:rPr>
        <w:t>pravidelne</w:t>
      </w:r>
      <w:r w:rsidRPr="001748F1">
        <w:rPr>
          <w:sz w:val="22"/>
          <w:szCs w:val="22"/>
        </w:rPr>
        <w:t xml:space="preserve"> kontrolovať. V prípade podozrenia na </w:t>
      </w:r>
      <w:proofErr w:type="spellStart"/>
      <w:r w:rsidRPr="001748F1">
        <w:rPr>
          <w:sz w:val="22"/>
          <w:szCs w:val="22"/>
        </w:rPr>
        <w:t>renálnu</w:t>
      </w:r>
      <w:proofErr w:type="spellEnd"/>
      <w:r w:rsidRPr="001748F1">
        <w:rPr>
          <w:sz w:val="22"/>
          <w:szCs w:val="22"/>
        </w:rPr>
        <w:t xml:space="preserve"> krízu, krvný tlak treba starostlivo kontrolovať.</w:t>
      </w:r>
    </w:p>
    <w:p w14:paraId="2B9CCC6E" w14:textId="77777777" w:rsidR="00FD13A6" w:rsidRPr="001A6993" w:rsidRDefault="00FD13A6" w:rsidP="008A1CFF">
      <w:pPr>
        <w:tabs>
          <w:tab w:val="left" w:pos="567"/>
        </w:tabs>
        <w:rPr>
          <w:bCs/>
          <w:sz w:val="22"/>
          <w:szCs w:val="22"/>
        </w:rPr>
      </w:pPr>
    </w:p>
    <w:p w14:paraId="395B7433" w14:textId="77777777" w:rsidR="000F2E71" w:rsidRPr="007B2B59" w:rsidRDefault="002E2095" w:rsidP="007B2B59">
      <w:pPr>
        <w:keepNext/>
        <w:tabs>
          <w:tab w:val="left" w:pos="567"/>
        </w:tabs>
        <w:rPr>
          <w:bCs/>
          <w:i/>
          <w:iCs/>
          <w:sz w:val="22"/>
          <w:szCs w:val="22"/>
        </w:rPr>
      </w:pPr>
      <w:r w:rsidRPr="007B2B59">
        <w:rPr>
          <w:bCs/>
          <w:i/>
          <w:iCs/>
          <w:sz w:val="22"/>
          <w:szCs w:val="22"/>
        </w:rPr>
        <w:t>Poruchy obličiek a močových ciest</w:t>
      </w:r>
    </w:p>
    <w:p w14:paraId="04859303" w14:textId="77777777" w:rsidR="000F2E71" w:rsidRPr="008068D3" w:rsidRDefault="002E2095" w:rsidP="008A1CFF">
      <w:pPr>
        <w:tabs>
          <w:tab w:val="left" w:pos="567"/>
        </w:tabs>
        <w:rPr>
          <w:sz w:val="22"/>
          <w:szCs w:val="22"/>
        </w:rPr>
      </w:pPr>
      <w:r w:rsidRPr="008068D3">
        <w:rPr>
          <w:sz w:val="22"/>
          <w:szCs w:val="22"/>
        </w:rPr>
        <w:t>Kortikosteroidy sa musia používať so zvýšenou opatrnosťou u pacientov s </w:t>
      </w:r>
      <w:proofErr w:type="spellStart"/>
      <w:r w:rsidRPr="008068D3">
        <w:rPr>
          <w:sz w:val="22"/>
          <w:szCs w:val="22"/>
        </w:rPr>
        <w:t>renálnou</w:t>
      </w:r>
      <w:proofErr w:type="spellEnd"/>
      <w:r w:rsidRPr="008068D3">
        <w:rPr>
          <w:sz w:val="22"/>
          <w:szCs w:val="22"/>
        </w:rPr>
        <w:t xml:space="preserve"> </w:t>
      </w:r>
      <w:proofErr w:type="spellStart"/>
      <w:r w:rsidRPr="008068D3">
        <w:rPr>
          <w:sz w:val="22"/>
          <w:szCs w:val="22"/>
        </w:rPr>
        <w:t>insuficienciou</w:t>
      </w:r>
      <w:proofErr w:type="spellEnd"/>
      <w:r w:rsidRPr="008068D3">
        <w:rPr>
          <w:sz w:val="22"/>
          <w:szCs w:val="22"/>
        </w:rPr>
        <w:t>.</w:t>
      </w:r>
    </w:p>
    <w:p w14:paraId="13657C56" w14:textId="77777777" w:rsidR="000F2E71" w:rsidRPr="0023657A" w:rsidRDefault="000F2E71" w:rsidP="008A1CFF">
      <w:pPr>
        <w:tabs>
          <w:tab w:val="left" w:pos="567"/>
        </w:tabs>
        <w:rPr>
          <w:sz w:val="22"/>
          <w:szCs w:val="22"/>
        </w:rPr>
      </w:pPr>
    </w:p>
    <w:p w14:paraId="375FA318" w14:textId="77777777" w:rsidR="000F2E71" w:rsidRPr="007B2B59" w:rsidRDefault="002E2095" w:rsidP="007B2B59">
      <w:pPr>
        <w:keepNext/>
        <w:tabs>
          <w:tab w:val="left" w:pos="567"/>
        </w:tabs>
        <w:rPr>
          <w:bCs/>
          <w:i/>
          <w:iCs/>
          <w:sz w:val="22"/>
          <w:szCs w:val="22"/>
        </w:rPr>
      </w:pPr>
      <w:r w:rsidRPr="007B2B59">
        <w:rPr>
          <w:bCs/>
          <w:i/>
          <w:iCs/>
          <w:sz w:val="22"/>
          <w:szCs w:val="22"/>
        </w:rPr>
        <w:t>Laboratórne a funkčné vyšetrenia</w:t>
      </w:r>
    </w:p>
    <w:p w14:paraId="6B009DDE" w14:textId="77777777" w:rsidR="002E2095" w:rsidRPr="00AA7990" w:rsidRDefault="002E2095" w:rsidP="006E5190">
      <w:pPr>
        <w:textAlignment w:val="top"/>
        <w:rPr>
          <w:sz w:val="22"/>
          <w:szCs w:val="22"/>
        </w:rPr>
      </w:pPr>
      <w:r w:rsidRPr="00894D9F">
        <w:rPr>
          <w:sz w:val="22"/>
          <w:szCs w:val="22"/>
        </w:rPr>
        <w:t xml:space="preserve">Priemerné a vysoké dávky </w:t>
      </w:r>
      <w:proofErr w:type="spellStart"/>
      <w:r w:rsidRPr="00894D9F">
        <w:rPr>
          <w:sz w:val="22"/>
          <w:szCs w:val="22"/>
        </w:rPr>
        <w:t>hydrokortizónu</w:t>
      </w:r>
      <w:proofErr w:type="spellEnd"/>
      <w:r w:rsidRPr="00894D9F">
        <w:rPr>
          <w:sz w:val="22"/>
          <w:szCs w:val="22"/>
        </w:rPr>
        <w:t xml:space="preserve"> alebo </w:t>
      </w:r>
      <w:proofErr w:type="spellStart"/>
      <w:r w:rsidRPr="00894D9F">
        <w:rPr>
          <w:sz w:val="22"/>
          <w:szCs w:val="22"/>
        </w:rPr>
        <w:t>kortizónu</w:t>
      </w:r>
      <w:proofErr w:type="spellEnd"/>
      <w:r w:rsidRPr="00894D9F">
        <w:rPr>
          <w:sz w:val="22"/>
          <w:szCs w:val="22"/>
        </w:rPr>
        <w:t xml:space="preserve"> môžu spôsobiť zvýšenie krvného tlaku, </w:t>
      </w:r>
      <w:proofErr w:type="spellStart"/>
      <w:r w:rsidRPr="00894D9F">
        <w:rPr>
          <w:sz w:val="22"/>
          <w:szCs w:val="22"/>
        </w:rPr>
        <w:t>retenciu</w:t>
      </w:r>
      <w:proofErr w:type="spellEnd"/>
      <w:r w:rsidRPr="00894D9F">
        <w:rPr>
          <w:sz w:val="22"/>
          <w:szCs w:val="22"/>
        </w:rPr>
        <w:t xml:space="preserve"> sodíka a vody a zvýšené vylučovanie draslíka. Je menej pravdepodobné, že sa tieto účinky vyskytnú pri syntetických deriv</w:t>
      </w:r>
      <w:r w:rsidRPr="007205A1">
        <w:rPr>
          <w:sz w:val="22"/>
          <w:szCs w:val="22"/>
        </w:rPr>
        <w:t>átoch s výnimkou použitia veľkých dávok. Diéta s obmedzeným príjmo</w:t>
      </w:r>
      <w:r w:rsidRPr="00AA7990">
        <w:rPr>
          <w:sz w:val="22"/>
          <w:szCs w:val="22"/>
        </w:rPr>
        <w:t xml:space="preserve">m soli a </w:t>
      </w:r>
      <w:proofErr w:type="spellStart"/>
      <w:r w:rsidRPr="00AA7990">
        <w:rPr>
          <w:sz w:val="22"/>
          <w:szCs w:val="22"/>
        </w:rPr>
        <w:t>suplementácia</w:t>
      </w:r>
      <w:proofErr w:type="spellEnd"/>
      <w:r w:rsidRPr="00AA7990">
        <w:rPr>
          <w:sz w:val="22"/>
          <w:szCs w:val="22"/>
        </w:rPr>
        <w:t xml:space="preserve"> draslíka môže byť nevyhnutná. Všetky kortikosteroidy zvyšujú vylučovanie vápnika.</w:t>
      </w:r>
    </w:p>
    <w:p w14:paraId="11B538CD" w14:textId="77777777" w:rsidR="000F2E71" w:rsidRPr="001A6993" w:rsidRDefault="000F2E71" w:rsidP="008A1CFF">
      <w:pPr>
        <w:tabs>
          <w:tab w:val="left" w:pos="567"/>
        </w:tabs>
        <w:rPr>
          <w:bCs/>
          <w:sz w:val="22"/>
          <w:szCs w:val="22"/>
        </w:rPr>
      </w:pPr>
    </w:p>
    <w:p w14:paraId="7050BA5B" w14:textId="77777777" w:rsidR="000F2E71" w:rsidRPr="007B2B59" w:rsidRDefault="002E2095" w:rsidP="007B2B59">
      <w:pPr>
        <w:keepNext/>
        <w:tabs>
          <w:tab w:val="left" w:pos="567"/>
        </w:tabs>
        <w:rPr>
          <w:bCs/>
          <w:i/>
          <w:iCs/>
          <w:sz w:val="22"/>
          <w:szCs w:val="22"/>
        </w:rPr>
      </w:pPr>
      <w:r w:rsidRPr="007B2B59">
        <w:rPr>
          <w:bCs/>
          <w:i/>
          <w:iCs/>
          <w:sz w:val="22"/>
          <w:szCs w:val="22"/>
        </w:rPr>
        <w:t>Úrazy, otravy a komplikácie liečebného postupu</w:t>
      </w:r>
    </w:p>
    <w:p w14:paraId="640A2380" w14:textId="77777777" w:rsidR="000F2E71" w:rsidRPr="00683CE0" w:rsidRDefault="000F2E71" w:rsidP="008A1CFF">
      <w:pPr>
        <w:tabs>
          <w:tab w:val="left" w:pos="567"/>
        </w:tabs>
        <w:rPr>
          <w:sz w:val="22"/>
          <w:szCs w:val="22"/>
        </w:rPr>
      </w:pPr>
      <w:r w:rsidRPr="00BF06EA">
        <w:rPr>
          <w:sz w:val="22"/>
          <w:szCs w:val="22"/>
        </w:rPr>
        <w:t xml:space="preserve">Systémové kortikosteroidy nie sú určené na liečbu </w:t>
      </w:r>
      <w:proofErr w:type="spellStart"/>
      <w:r w:rsidRPr="00BF06EA">
        <w:rPr>
          <w:sz w:val="22"/>
          <w:szCs w:val="22"/>
        </w:rPr>
        <w:t>traumatickéhou</w:t>
      </w:r>
      <w:proofErr w:type="spellEnd"/>
      <w:r w:rsidRPr="00BF06EA">
        <w:rPr>
          <w:sz w:val="22"/>
          <w:szCs w:val="22"/>
        </w:rPr>
        <w:t xml:space="preserve"> úrazu mozgu, a preto sa nemajú používať</w:t>
      </w:r>
      <w:r w:rsidR="00451800" w:rsidRPr="00AB0507">
        <w:rPr>
          <w:sz w:val="22"/>
          <w:szCs w:val="22"/>
        </w:rPr>
        <w:t>.</w:t>
      </w:r>
      <w:r w:rsidRPr="00AB0507">
        <w:rPr>
          <w:sz w:val="22"/>
          <w:szCs w:val="22"/>
        </w:rPr>
        <w:t xml:space="preserve"> </w:t>
      </w:r>
      <w:r w:rsidR="00451800" w:rsidRPr="005C567E">
        <w:rPr>
          <w:sz w:val="22"/>
          <w:szCs w:val="22"/>
        </w:rPr>
        <w:t>V</w:t>
      </w:r>
      <w:r w:rsidRPr="004D4405">
        <w:rPr>
          <w:sz w:val="22"/>
          <w:szCs w:val="22"/>
        </w:rPr>
        <w:t xml:space="preserve"> </w:t>
      </w:r>
      <w:proofErr w:type="spellStart"/>
      <w:r w:rsidRPr="004D4405">
        <w:rPr>
          <w:sz w:val="22"/>
          <w:szCs w:val="22"/>
        </w:rPr>
        <w:t>multicentrick</w:t>
      </w:r>
      <w:r w:rsidR="002A5B93">
        <w:rPr>
          <w:sz w:val="22"/>
          <w:szCs w:val="22"/>
        </w:rPr>
        <w:t>om</w:t>
      </w:r>
      <w:proofErr w:type="spellEnd"/>
      <w:r w:rsidRPr="004D4405">
        <w:rPr>
          <w:sz w:val="22"/>
          <w:szCs w:val="22"/>
        </w:rPr>
        <w:t xml:space="preserve"> </w:t>
      </w:r>
      <w:r w:rsidR="002A5B93">
        <w:rPr>
          <w:sz w:val="22"/>
          <w:szCs w:val="22"/>
        </w:rPr>
        <w:t>klinickom skúšaní</w:t>
      </w:r>
      <w:r w:rsidRPr="004D4405">
        <w:rPr>
          <w:sz w:val="22"/>
          <w:szCs w:val="22"/>
        </w:rPr>
        <w:t xml:space="preserve"> sa odhalila zvýšená mortalita </w:t>
      </w:r>
      <w:r w:rsidR="0016740D" w:rsidRPr="004D4405">
        <w:rPr>
          <w:sz w:val="22"/>
          <w:szCs w:val="22"/>
        </w:rPr>
        <w:t xml:space="preserve">2 </w:t>
      </w:r>
      <w:r w:rsidR="00EC6430" w:rsidRPr="004D4405">
        <w:rPr>
          <w:sz w:val="22"/>
          <w:szCs w:val="22"/>
        </w:rPr>
        <w:t>týždne a 6 mesiacov</w:t>
      </w:r>
      <w:r w:rsidRPr="00905DB4">
        <w:rPr>
          <w:sz w:val="22"/>
          <w:szCs w:val="22"/>
        </w:rPr>
        <w:t xml:space="preserve"> po</w:t>
      </w:r>
      <w:r w:rsidR="009C7E25" w:rsidRPr="00CF22B7">
        <w:rPr>
          <w:sz w:val="22"/>
          <w:szCs w:val="22"/>
        </w:rPr>
        <w:t> </w:t>
      </w:r>
      <w:r w:rsidRPr="00776865">
        <w:rPr>
          <w:sz w:val="22"/>
          <w:szCs w:val="22"/>
        </w:rPr>
        <w:t xml:space="preserve">úraze u pacientov užívajúcich sodnú soľ </w:t>
      </w:r>
      <w:proofErr w:type="spellStart"/>
      <w:r w:rsidRPr="00776865">
        <w:rPr>
          <w:sz w:val="22"/>
          <w:szCs w:val="22"/>
        </w:rPr>
        <w:t>metylprednizolón</w:t>
      </w:r>
      <w:r w:rsidR="006E22E7">
        <w:rPr>
          <w:sz w:val="22"/>
          <w:szCs w:val="22"/>
        </w:rPr>
        <w:t>-</w:t>
      </w:r>
      <w:r w:rsidRPr="00776865">
        <w:rPr>
          <w:sz w:val="22"/>
          <w:szCs w:val="22"/>
        </w:rPr>
        <w:t>sukcinátu</w:t>
      </w:r>
      <w:proofErr w:type="spellEnd"/>
      <w:r w:rsidRPr="00776865">
        <w:rPr>
          <w:sz w:val="22"/>
          <w:szCs w:val="22"/>
        </w:rPr>
        <w:t xml:space="preserve"> v porovnaní s placebom. Príčinná súvislosť pri liečbe sodnou soľou </w:t>
      </w:r>
      <w:proofErr w:type="spellStart"/>
      <w:r w:rsidRPr="00776865">
        <w:rPr>
          <w:sz w:val="22"/>
          <w:szCs w:val="22"/>
        </w:rPr>
        <w:t>metylprednizolón</w:t>
      </w:r>
      <w:r w:rsidR="006E22E7">
        <w:rPr>
          <w:sz w:val="22"/>
          <w:szCs w:val="22"/>
        </w:rPr>
        <w:t>-</w:t>
      </w:r>
      <w:r w:rsidRPr="00776865">
        <w:rPr>
          <w:sz w:val="22"/>
          <w:szCs w:val="22"/>
        </w:rPr>
        <w:t>sukcinátu</w:t>
      </w:r>
      <w:proofErr w:type="spellEnd"/>
      <w:r w:rsidRPr="00776865">
        <w:rPr>
          <w:sz w:val="22"/>
          <w:szCs w:val="22"/>
        </w:rPr>
        <w:t xml:space="preserve"> preukázan</w:t>
      </w:r>
      <w:r w:rsidRPr="00683CE0">
        <w:rPr>
          <w:sz w:val="22"/>
          <w:szCs w:val="22"/>
        </w:rPr>
        <w:t>á nebola.</w:t>
      </w:r>
    </w:p>
    <w:p w14:paraId="7400DBCF" w14:textId="77777777" w:rsidR="009C7E25" w:rsidRPr="00A11CA4" w:rsidRDefault="009C7E25" w:rsidP="008A1CFF">
      <w:pPr>
        <w:tabs>
          <w:tab w:val="left" w:pos="567"/>
        </w:tabs>
        <w:rPr>
          <w:sz w:val="22"/>
          <w:szCs w:val="22"/>
        </w:rPr>
      </w:pPr>
    </w:p>
    <w:p w14:paraId="5FFD8D22" w14:textId="77777777" w:rsidR="000F2E71" w:rsidRPr="007B2B59" w:rsidRDefault="00071623" w:rsidP="008A1CFF">
      <w:pPr>
        <w:keepNext/>
        <w:tabs>
          <w:tab w:val="left" w:pos="567"/>
        </w:tabs>
        <w:rPr>
          <w:bCs/>
          <w:i/>
          <w:iCs/>
          <w:sz w:val="22"/>
          <w:szCs w:val="22"/>
        </w:rPr>
      </w:pPr>
      <w:r w:rsidRPr="007B2B59">
        <w:rPr>
          <w:bCs/>
          <w:i/>
          <w:iCs/>
          <w:sz w:val="22"/>
          <w:szCs w:val="22"/>
        </w:rPr>
        <w:t>Iné</w:t>
      </w:r>
    </w:p>
    <w:p w14:paraId="1D1C31C9" w14:textId="77777777" w:rsidR="001C55F9" w:rsidRPr="00FD13A6" w:rsidRDefault="001C55F9" w:rsidP="001C55F9">
      <w:pPr>
        <w:keepNext/>
        <w:tabs>
          <w:tab w:val="left" w:pos="567"/>
        </w:tabs>
        <w:rPr>
          <w:sz w:val="22"/>
          <w:szCs w:val="22"/>
        </w:rPr>
      </w:pPr>
      <w:r w:rsidRPr="00FD13A6">
        <w:rPr>
          <w:noProof/>
          <w:sz w:val="22"/>
          <w:szCs w:val="22"/>
        </w:rPr>
        <w:t>Očakáva sa, že súbežná liečba inhibítormi CYP3A vrátane liekov obsahujúcich kobicistát zvyšuje riziko systémových vedľajších účinkov. Kombinácii sa treba vyhnúť, ak prínos neprevyšuje zvýšené riziko vzniku systémových vedľajších účinkov kortikosteroidov. V takomto prípade treba pacientov sledovať z hľadiska systémových vedľajších účinkov kortikosteroidov (pozri časť 4.5).</w:t>
      </w:r>
    </w:p>
    <w:p w14:paraId="5DAEBD17" w14:textId="77777777" w:rsidR="001C55F9" w:rsidRPr="000D1EAA" w:rsidRDefault="001C55F9" w:rsidP="008A1CFF">
      <w:pPr>
        <w:rPr>
          <w:sz w:val="22"/>
          <w:szCs w:val="22"/>
        </w:rPr>
      </w:pPr>
    </w:p>
    <w:p w14:paraId="139909BA" w14:textId="77777777" w:rsidR="000F2E71" w:rsidRPr="00D21F26" w:rsidRDefault="006F7F02" w:rsidP="008A1CFF">
      <w:pPr>
        <w:rPr>
          <w:sz w:val="22"/>
          <w:szCs w:val="22"/>
        </w:rPr>
      </w:pPr>
      <w:r w:rsidRPr="00AD7E48">
        <w:rPr>
          <w:sz w:val="22"/>
          <w:szCs w:val="22"/>
        </w:rPr>
        <w:lastRenderedPageBreak/>
        <w:t>Aspirín a</w:t>
      </w:r>
      <w:r w:rsidR="006F259F">
        <w:rPr>
          <w:sz w:val="22"/>
          <w:szCs w:val="22"/>
        </w:rPr>
        <w:t> </w:t>
      </w:r>
      <w:proofErr w:type="spellStart"/>
      <w:r w:rsidRPr="00AD7E48">
        <w:rPr>
          <w:sz w:val="22"/>
          <w:szCs w:val="22"/>
        </w:rPr>
        <w:t>nesteroid</w:t>
      </w:r>
      <w:r w:rsidR="006F259F">
        <w:rPr>
          <w:sz w:val="22"/>
          <w:szCs w:val="22"/>
        </w:rPr>
        <w:t>ové</w:t>
      </w:r>
      <w:proofErr w:type="spellEnd"/>
      <w:r w:rsidR="006F259F">
        <w:rPr>
          <w:sz w:val="22"/>
          <w:szCs w:val="22"/>
        </w:rPr>
        <w:t xml:space="preserve"> </w:t>
      </w:r>
      <w:proofErr w:type="spellStart"/>
      <w:r w:rsidRPr="00AD7E48">
        <w:rPr>
          <w:sz w:val="22"/>
          <w:szCs w:val="22"/>
        </w:rPr>
        <w:t>antiflogistiká</w:t>
      </w:r>
      <w:proofErr w:type="spellEnd"/>
      <w:r w:rsidR="00E116F4" w:rsidRPr="00D21F26">
        <w:rPr>
          <w:sz w:val="22"/>
          <w:szCs w:val="22"/>
        </w:rPr>
        <w:t xml:space="preserve"> v kombinácii s kortikosteroidmi by sa mali používať opatrne.</w:t>
      </w:r>
    </w:p>
    <w:p w14:paraId="7116ED66" w14:textId="77777777" w:rsidR="00E956B2" w:rsidRDefault="00E956B2" w:rsidP="00AB7C8F">
      <w:pPr>
        <w:tabs>
          <w:tab w:val="left" w:pos="567"/>
        </w:tabs>
        <w:rPr>
          <w:color w:val="333333"/>
          <w:sz w:val="22"/>
          <w:szCs w:val="22"/>
          <w:u w:val="single"/>
        </w:rPr>
      </w:pPr>
    </w:p>
    <w:p w14:paraId="179E512D" w14:textId="77777777" w:rsidR="00E956B2" w:rsidRPr="00460C4A" w:rsidRDefault="00E956B2" w:rsidP="00AB7C8F">
      <w:pPr>
        <w:tabs>
          <w:tab w:val="left" w:pos="567"/>
        </w:tabs>
        <w:rPr>
          <w:color w:val="333333"/>
          <w:sz w:val="22"/>
          <w:szCs w:val="22"/>
        </w:rPr>
      </w:pPr>
      <w:r>
        <w:rPr>
          <w:color w:val="333333"/>
          <w:sz w:val="22"/>
          <w:szCs w:val="22"/>
        </w:rPr>
        <w:t xml:space="preserve">V rámci skúseností po uvedení lieku na trh bol hlásený syndróm </w:t>
      </w:r>
      <w:r w:rsidR="004F583A">
        <w:rPr>
          <w:color w:val="333333"/>
          <w:sz w:val="22"/>
          <w:szCs w:val="22"/>
        </w:rPr>
        <w:t>z</w:t>
      </w:r>
      <w:r>
        <w:rPr>
          <w:color w:val="333333"/>
          <w:sz w:val="22"/>
          <w:szCs w:val="22"/>
        </w:rPr>
        <w:t xml:space="preserve"> rozpad</w:t>
      </w:r>
      <w:r w:rsidR="004F583A">
        <w:rPr>
          <w:color w:val="333333"/>
          <w:sz w:val="22"/>
          <w:szCs w:val="22"/>
        </w:rPr>
        <w:t>u</w:t>
      </w:r>
      <w:r>
        <w:rPr>
          <w:color w:val="333333"/>
          <w:sz w:val="22"/>
          <w:szCs w:val="22"/>
        </w:rPr>
        <w:t xml:space="preserve"> nádoru</w:t>
      </w:r>
      <w:r w:rsidRPr="00460C4A">
        <w:rPr>
          <w:color w:val="333333"/>
          <w:sz w:val="22"/>
          <w:szCs w:val="22"/>
        </w:rPr>
        <w:t xml:space="preserve"> (</w:t>
      </w:r>
      <w:r w:rsidR="0050732F" w:rsidRPr="009876B2">
        <w:rPr>
          <w:sz w:val="22"/>
          <w:szCs w:val="22"/>
          <w:lang w:eastAsia="en-GB"/>
        </w:rPr>
        <w:t xml:space="preserve">Tumor </w:t>
      </w:r>
      <w:proofErr w:type="spellStart"/>
      <w:r w:rsidR="0050732F" w:rsidRPr="009876B2">
        <w:rPr>
          <w:sz w:val="22"/>
          <w:szCs w:val="22"/>
          <w:lang w:eastAsia="en-GB"/>
        </w:rPr>
        <w:t>Lysis</w:t>
      </w:r>
      <w:proofErr w:type="spellEnd"/>
      <w:r w:rsidR="0050732F" w:rsidRPr="009876B2">
        <w:rPr>
          <w:sz w:val="22"/>
          <w:szCs w:val="22"/>
          <w:lang w:eastAsia="en-GB"/>
        </w:rPr>
        <w:t xml:space="preserve"> </w:t>
      </w:r>
      <w:proofErr w:type="spellStart"/>
      <w:r w:rsidR="0050732F" w:rsidRPr="009876B2">
        <w:rPr>
          <w:sz w:val="22"/>
          <w:szCs w:val="22"/>
          <w:lang w:eastAsia="en-GB"/>
        </w:rPr>
        <w:t>Syndrome</w:t>
      </w:r>
      <w:proofErr w:type="spellEnd"/>
      <w:r w:rsidR="0050732F" w:rsidRPr="009876B2">
        <w:rPr>
          <w:sz w:val="22"/>
          <w:szCs w:val="22"/>
          <w:lang w:eastAsia="en-GB"/>
        </w:rPr>
        <w:t xml:space="preserve">; </w:t>
      </w:r>
      <w:r w:rsidRPr="0050732F">
        <w:rPr>
          <w:color w:val="333333"/>
          <w:sz w:val="22"/>
          <w:szCs w:val="22"/>
        </w:rPr>
        <w:t>TLS) u pacientov s malignitami vrátane hematologických malignít a </w:t>
      </w:r>
      <w:r w:rsidR="000A6049">
        <w:rPr>
          <w:color w:val="333333"/>
          <w:sz w:val="22"/>
          <w:szCs w:val="22"/>
        </w:rPr>
        <w:t>solídnych</w:t>
      </w:r>
      <w:r w:rsidRPr="0050732F">
        <w:rPr>
          <w:color w:val="333333"/>
          <w:sz w:val="22"/>
          <w:szCs w:val="22"/>
        </w:rPr>
        <w:t xml:space="preserve"> nádorov po</w:t>
      </w:r>
      <w:r w:rsidR="008C7349">
        <w:rPr>
          <w:color w:val="333333"/>
          <w:sz w:val="22"/>
          <w:szCs w:val="22"/>
        </w:rPr>
        <w:t> </w:t>
      </w:r>
      <w:r w:rsidRPr="0050732F">
        <w:rPr>
          <w:color w:val="333333"/>
          <w:sz w:val="22"/>
          <w:szCs w:val="22"/>
        </w:rPr>
        <w:t>použití systémových</w:t>
      </w:r>
      <w:r>
        <w:rPr>
          <w:color w:val="333333"/>
          <w:sz w:val="22"/>
          <w:szCs w:val="22"/>
        </w:rPr>
        <w:t xml:space="preserve"> kortikosteroidov samostatne alebo v kombinácii s inými </w:t>
      </w:r>
      <w:proofErr w:type="spellStart"/>
      <w:r>
        <w:rPr>
          <w:color w:val="333333"/>
          <w:sz w:val="22"/>
          <w:szCs w:val="22"/>
        </w:rPr>
        <w:t>chemoterapeutikami</w:t>
      </w:r>
      <w:proofErr w:type="spellEnd"/>
      <w:r>
        <w:rPr>
          <w:color w:val="333333"/>
          <w:sz w:val="22"/>
          <w:szCs w:val="22"/>
        </w:rPr>
        <w:t xml:space="preserve">. Pacienti s vysokým rizikom TLS, ako sú pacienti s nádormi, ktoré majú vysokú </w:t>
      </w:r>
      <w:r w:rsidR="004F583A">
        <w:rPr>
          <w:color w:val="333333"/>
          <w:sz w:val="22"/>
          <w:szCs w:val="22"/>
        </w:rPr>
        <w:t>mieru</w:t>
      </w:r>
      <w:r>
        <w:rPr>
          <w:color w:val="333333"/>
          <w:sz w:val="22"/>
          <w:szCs w:val="22"/>
        </w:rPr>
        <w:t xml:space="preserve"> proliferácie, vysokú nádorovú záťaž a vysokú citlivosť na </w:t>
      </w:r>
      <w:proofErr w:type="spellStart"/>
      <w:r>
        <w:rPr>
          <w:color w:val="333333"/>
          <w:sz w:val="22"/>
          <w:szCs w:val="22"/>
        </w:rPr>
        <w:t>cytotoxické</w:t>
      </w:r>
      <w:proofErr w:type="spellEnd"/>
      <w:r>
        <w:rPr>
          <w:color w:val="333333"/>
          <w:sz w:val="22"/>
          <w:szCs w:val="22"/>
        </w:rPr>
        <w:t xml:space="preserve"> látky, sa musia starostlivo </w:t>
      </w:r>
      <w:r w:rsidR="004F583A">
        <w:rPr>
          <w:color w:val="333333"/>
          <w:sz w:val="22"/>
          <w:szCs w:val="22"/>
        </w:rPr>
        <w:t>monitor</w:t>
      </w:r>
      <w:r>
        <w:rPr>
          <w:color w:val="333333"/>
          <w:sz w:val="22"/>
          <w:szCs w:val="22"/>
        </w:rPr>
        <w:t>ovať a musia sa prijať príslušné preventívne opatrenia</w:t>
      </w:r>
      <w:r w:rsidRPr="00460C4A">
        <w:rPr>
          <w:color w:val="333333"/>
          <w:sz w:val="22"/>
          <w:szCs w:val="22"/>
        </w:rPr>
        <w:t>.</w:t>
      </w:r>
    </w:p>
    <w:p w14:paraId="2F9CED36" w14:textId="77777777" w:rsidR="000F2E71" w:rsidRPr="008E6EE5" w:rsidRDefault="000F2E71" w:rsidP="008A1CFF">
      <w:pPr>
        <w:rPr>
          <w:sz w:val="22"/>
          <w:szCs w:val="22"/>
        </w:rPr>
      </w:pPr>
    </w:p>
    <w:p w14:paraId="3244FD7F" w14:textId="77777777" w:rsidR="008104F0" w:rsidRPr="008E6EE5" w:rsidRDefault="00367DB6" w:rsidP="008A1CFF">
      <w:pPr>
        <w:tabs>
          <w:tab w:val="left" w:pos="-480"/>
          <w:tab w:val="left" w:pos="414"/>
          <w:tab w:val="left" w:pos="828"/>
          <w:tab w:val="left" w:pos="1242"/>
        </w:tabs>
        <w:suppressAutoHyphens/>
        <w:rPr>
          <w:sz w:val="22"/>
          <w:szCs w:val="22"/>
        </w:rPr>
      </w:pPr>
      <w:r w:rsidRPr="008E6EE5">
        <w:rPr>
          <w:sz w:val="22"/>
          <w:szCs w:val="22"/>
          <w:u w:val="single"/>
        </w:rPr>
        <w:t>Pediatrická populácia</w:t>
      </w:r>
    </w:p>
    <w:p w14:paraId="1BBDB28D" w14:textId="77777777" w:rsidR="000F2E71" w:rsidRPr="00F730DB" w:rsidRDefault="002E2095" w:rsidP="008A1CFF">
      <w:pPr>
        <w:tabs>
          <w:tab w:val="left" w:pos="567"/>
        </w:tabs>
        <w:rPr>
          <w:sz w:val="22"/>
          <w:szCs w:val="22"/>
        </w:rPr>
      </w:pPr>
      <w:r w:rsidRPr="008E6EE5">
        <w:rPr>
          <w:sz w:val="22"/>
          <w:szCs w:val="22"/>
        </w:rPr>
        <w:t xml:space="preserve">Rast a vývoj dojčiat a detí dlhodobo liečených </w:t>
      </w:r>
      <w:proofErr w:type="spellStart"/>
      <w:r w:rsidRPr="008E6EE5">
        <w:rPr>
          <w:sz w:val="22"/>
          <w:szCs w:val="22"/>
        </w:rPr>
        <w:t>kor</w:t>
      </w:r>
      <w:r w:rsidRPr="008E63E5">
        <w:rPr>
          <w:sz w:val="22"/>
          <w:szCs w:val="22"/>
        </w:rPr>
        <w:t>tikosteroimi</w:t>
      </w:r>
      <w:proofErr w:type="spellEnd"/>
      <w:r w:rsidRPr="008E63E5">
        <w:rPr>
          <w:sz w:val="22"/>
          <w:szCs w:val="22"/>
        </w:rPr>
        <w:t xml:space="preserve"> sa m</w:t>
      </w:r>
      <w:r w:rsidR="004D5AF3" w:rsidRPr="008E63E5">
        <w:rPr>
          <w:sz w:val="22"/>
          <w:szCs w:val="22"/>
        </w:rPr>
        <w:t>á</w:t>
      </w:r>
      <w:r w:rsidRPr="00F730DB">
        <w:rPr>
          <w:sz w:val="22"/>
          <w:szCs w:val="22"/>
        </w:rPr>
        <w:t xml:space="preserve"> starostlivo sledovať.</w:t>
      </w:r>
    </w:p>
    <w:p w14:paraId="577794A7" w14:textId="77777777" w:rsidR="00E93C87" w:rsidRPr="00F730DB" w:rsidRDefault="00E93C87" w:rsidP="008A1CFF">
      <w:pPr>
        <w:tabs>
          <w:tab w:val="left" w:pos="567"/>
        </w:tabs>
        <w:rPr>
          <w:sz w:val="22"/>
          <w:szCs w:val="22"/>
        </w:rPr>
      </w:pPr>
    </w:p>
    <w:p w14:paraId="218EA4CF" w14:textId="77777777" w:rsidR="000F2E71" w:rsidRPr="00774CAA" w:rsidRDefault="002E2095" w:rsidP="008A1CFF">
      <w:pPr>
        <w:tabs>
          <w:tab w:val="left" w:pos="567"/>
        </w:tabs>
        <w:rPr>
          <w:sz w:val="22"/>
          <w:szCs w:val="22"/>
        </w:rPr>
      </w:pPr>
      <w:r w:rsidRPr="00BE08DD">
        <w:rPr>
          <w:sz w:val="22"/>
          <w:szCs w:val="22"/>
        </w:rPr>
        <w:t>Spomalenie rastu sa môže vyskytnúť u detí, ktoré dostávajú dlhodobú, dennú liečbu glukokortikoidmi v rozdelených dávkach a použitie tohto režimu m</w:t>
      </w:r>
      <w:r w:rsidR="004D5AF3" w:rsidRPr="004365DD">
        <w:rPr>
          <w:sz w:val="22"/>
          <w:szCs w:val="22"/>
        </w:rPr>
        <w:t>á</w:t>
      </w:r>
      <w:r w:rsidRPr="00C73B56">
        <w:rPr>
          <w:sz w:val="22"/>
          <w:szCs w:val="22"/>
        </w:rPr>
        <w:t xml:space="preserve"> byť obmedzené len na</w:t>
      </w:r>
      <w:r w:rsidR="00E93C87" w:rsidRPr="008D7A31">
        <w:rPr>
          <w:sz w:val="22"/>
          <w:szCs w:val="22"/>
        </w:rPr>
        <w:t> </w:t>
      </w:r>
      <w:r w:rsidRPr="008D7A31">
        <w:rPr>
          <w:sz w:val="22"/>
          <w:szCs w:val="22"/>
        </w:rPr>
        <w:t>najurgentnejšie indikácie.</w:t>
      </w:r>
      <w:r w:rsidR="006B2127" w:rsidRPr="008D7A31">
        <w:rPr>
          <w:sz w:val="22"/>
          <w:szCs w:val="22"/>
        </w:rPr>
        <w:t xml:space="preserve"> </w:t>
      </w:r>
      <w:r w:rsidRPr="005F5596">
        <w:rPr>
          <w:sz w:val="22"/>
          <w:szCs w:val="22"/>
        </w:rPr>
        <w:t>Tomuto vedľajšiemu účinku sa dá zvyčajne predísť</w:t>
      </w:r>
      <w:r w:rsidR="006B2127" w:rsidRPr="005F5596">
        <w:rPr>
          <w:sz w:val="22"/>
          <w:szCs w:val="22"/>
        </w:rPr>
        <w:t>,</w:t>
      </w:r>
      <w:r w:rsidRPr="00774CAA">
        <w:rPr>
          <w:sz w:val="22"/>
          <w:szCs w:val="22"/>
        </w:rPr>
        <w:t xml:space="preserve"> alebo ho minimalizovať liečbou glukokortikoidmi </w:t>
      </w:r>
      <w:proofErr w:type="spellStart"/>
      <w:r w:rsidRPr="00774CAA">
        <w:rPr>
          <w:sz w:val="22"/>
          <w:szCs w:val="22"/>
        </w:rPr>
        <w:t>obdeň</w:t>
      </w:r>
      <w:proofErr w:type="spellEnd"/>
      <w:r w:rsidRPr="00774CAA">
        <w:rPr>
          <w:sz w:val="22"/>
          <w:szCs w:val="22"/>
        </w:rPr>
        <w:t>.</w:t>
      </w:r>
    </w:p>
    <w:p w14:paraId="78556061" w14:textId="77777777" w:rsidR="000F2E71" w:rsidRPr="00234067" w:rsidRDefault="000F2E71" w:rsidP="008A1CFF">
      <w:pPr>
        <w:tabs>
          <w:tab w:val="left" w:pos="567"/>
        </w:tabs>
        <w:rPr>
          <w:sz w:val="22"/>
          <w:szCs w:val="22"/>
        </w:rPr>
      </w:pPr>
    </w:p>
    <w:p w14:paraId="7E5F5881" w14:textId="77777777" w:rsidR="000F2E71" w:rsidRPr="000D37C2" w:rsidRDefault="002E2095" w:rsidP="008A1CFF">
      <w:pPr>
        <w:tabs>
          <w:tab w:val="left" w:pos="567"/>
        </w:tabs>
        <w:rPr>
          <w:sz w:val="22"/>
          <w:szCs w:val="22"/>
        </w:rPr>
      </w:pPr>
      <w:r w:rsidRPr="000D37C2">
        <w:rPr>
          <w:sz w:val="22"/>
          <w:szCs w:val="22"/>
        </w:rPr>
        <w:t xml:space="preserve">Pre dojčatá a deti na dlhodobej liečbe kortikosteroidmi predstavuje mimoriadne riziko zvýšený </w:t>
      </w:r>
      <w:proofErr w:type="spellStart"/>
      <w:r w:rsidRPr="000D37C2">
        <w:rPr>
          <w:sz w:val="22"/>
          <w:szCs w:val="22"/>
        </w:rPr>
        <w:t>intrakraniálny</w:t>
      </w:r>
      <w:proofErr w:type="spellEnd"/>
      <w:r w:rsidRPr="000D37C2">
        <w:rPr>
          <w:sz w:val="22"/>
          <w:szCs w:val="22"/>
        </w:rPr>
        <w:t xml:space="preserve"> tlak.</w:t>
      </w:r>
    </w:p>
    <w:p w14:paraId="2AD34307" w14:textId="77777777" w:rsidR="000F2E71" w:rsidRPr="007050AD" w:rsidRDefault="000F2E71" w:rsidP="008A1CFF">
      <w:pPr>
        <w:tabs>
          <w:tab w:val="left" w:pos="567"/>
        </w:tabs>
        <w:rPr>
          <w:sz w:val="22"/>
          <w:szCs w:val="22"/>
        </w:rPr>
      </w:pPr>
    </w:p>
    <w:p w14:paraId="05BF2842" w14:textId="77777777" w:rsidR="000F2E71" w:rsidRDefault="002E2095" w:rsidP="008A1CFF">
      <w:pPr>
        <w:tabs>
          <w:tab w:val="left" w:pos="567"/>
        </w:tabs>
        <w:rPr>
          <w:sz w:val="22"/>
          <w:szCs w:val="22"/>
        </w:rPr>
      </w:pPr>
      <w:r w:rsidRPr="00FC1191">
        <w:rPr>
          <w:sz w:val="22"/>
          <w:szCs w:val="22"/>
        </w:rPr>
        <w:t>Vysoké dávky kortikosteroidov môžu vyvolať pankreatitídu u detí.</w:t>
      </w:r>
    </w:p>
    <w:p w14:paraId="11780EBF" w14:textId="77777777" w:rsidR="00720E89" w:rsidRDefault="00720E89" w:rsidP="00720E89">
      <w:pPr>
        <w:tabs>
          <w:tab w:val="left" w:pos="567"/>
        </w:tabs>
        <w:rPr>
          <w:sz w:val="22"/>
          <w:szCs w:val="22"/>
        </w:rPr>
      </w:pPr>
    </w:p>
    <w:p w14:paraId="45DA73A7" w14:textId="77777777" w:rsidR="00720E89" w:rsidRPr="00484380" w:rsidRDefault="00720E89" w:rsidP="00720E89">
      <w:pPr>
        <w:tabs>
          <w:tab w:val="left" w:pos="567"/>
        </w:tabs>
        <w:rPr>
          <w:sz w:val="22"/>
          <w:szCs w:val="22"/>
        </w:rPr>
      </w:pPr>
      <w:r>
        <w:rPr>
          <w:sz w:val="22"/>
          <w:szCs w:val="22"/>
        </w:rPr>
        <w:t xml:space="preserve">Po podaní </w:t>
      </w:r>
      <w:proofErr w:type="spellStart"/>
      <w:r>
        <w:rPr>
          <w:sz w:val="22"/>
          <w:szCs w:val="22"/>
        </w:rPr>
        <w:t>metylprednizolónu</w:t>
      </w:r>
      <w:proofErr w:type="spellEnd"/>
      <w:r>
        <w:rPr>
          <w:sz w:val="22"/>
          <w:szCs w:val="22"/>
        </w:rPr>
        <w:t xml:space="preserve"> predčasne narodeným deťom sa môže vyvinúť hypertrofická </w:t>
      </w:r>
      <w:proofErr w:type="spellStart"/>
      <w:r>
        <w:rPr>
          <w:sz w:val="22"/>
          <w:szCs w:val="22"/>
        </w:rPr>
        <w:t>kard</w:t>
      </w:r>
      <w:r w:rsidRPr="006E3B0E">
        <w:rPr>
          <w:sz w:val="22"/>
          <w:szCs w:val="22"/>
        </w:rPr>
        <w:t>iomyopatia</w:t>
      </w:r>
      <w:proofErr w:type="spellEnd"/>
      <w:r w:rsidRPr="00C145B3">
        <w:rPr>
          <w:sz w:val="22"/>
          <w:szCs w:val="22"/>
        </w:rPr>
        <w:t xml:space="preserve"> </w:t>
      </w:r>
      <w:r w:rsidRPr="007B2B59">
        <w:rPr>
          <w:sz w:val="22"/>
          <w:szCs w:val="22"/>
        </w:rPr>
        <w:t>(HCM</w:t>
      </w:r>
      <w:r w:rsidRPr="006E3B0E">
        <w:rPr>
          <w:sz w:val="22"/>
          <w:szCs w:val="22"/>
        </w:rPr>
        <w:t>)</w:t>
      </w:r>
      <w:r w:rsidRPr="00C145B3">
        <w:rPr>
          <w:sz w:val="22"/>
          <w:szCs w:val="22"/>
        </w:rPr>
        <w:t xml:space="preserve">, preto sa musí </w:t>
      </w:r>
      <w:r w:rsidRPr="00F939CE">
        <w:rPr>
          <w:sz w:val="22"/>
          <w:szCs w:val="22"/>
        </w:rPr>
        <w:t>vykonať pr</w:t>
      </w:r>
      <w:r w:rsidRPr="001F5982">
        <w:rPr>
          <w:sz w:val="22"/>
          <w:szCs w:val="22"/>
        </w:rPr>
        <w:t>íslu</w:t>
      </w:r>
      <w:r w:rsidRPr="00702B5E">
        <w:rPr>
          <w:sz w:val="22"/>
          <w:szCs w:val="22"/>
        </w:rPr>
        <w:t>šné diagnostické vyšetrenie</w:t>
      </w:r>
      <w:r w:rsidRPr="00B24587">
        <w:rPr>
          <w:sz w:val="22"/>
          <w:szCs w:val="22"/>
        </w:rPr>
        <w:t xml:space="preserve"> a monitorovať</w:t>
      </w:r>
      <w:r w:rsidRPr="0024313B">
        <w:rPr>
          <w:sz w:val="22"/>
          <w:szCs w:val="22"/>
        </w:rPr>
        <w:t xml:space="preserve"> funkci</w:t>
      </w:r>
      <w:r w:rsidRPr="00484380">
        <w:rPr>
          <w:sz w:val="22"/>
          <w:szCs w:val="22"/>
        </w:rPr>
        <w:t>a a štruktúra srdca.</w:t>
      </w:r>
    </w:p>
    <w:p w14:paraId="6893A555" w14:textId="77777777" w:rsidR="00720E89" w:rsidRPr="00107E90" w:rsidRDefault="00720E89" w:rsidP="00720E89">
      <w:pPr>
        <w:tabs>
          <w:tab w:val="left" w:pos="567"/>
        </w:tabs>
        <w:rPr>
          <w:sz w:val="22"/>
          <w:szCs w:val="22"/>
        </w:rPr>
      </w:pPr>
    </w:p>
    <w:p w14:paraId="033A9BA7" w14:textId="77777777" w:rsidR="00720E89" w:rsidRPr="007B2B59" w:rsidRDefault="00720E89" w:rsidP="00720E89">
      <w:pPr>
        <w:tabs>
          <w:tab w:val="left" w:pos="567"/>
        </w:tabs>
        <w:rPr>
          <w:sz w:val="22"/>
          <w:szCs w:val="22"/>
        </w:rPr>
      </w:pPr>
      <w:r w:rsidRPr="007B2B59">
        <w:rPr>
          <w:sz w:val="22"/>
          <w:szCs w:val="22"/>
        </w:rPr>
        <w:t xml:space="preserve">Hoci sa príznaky a prejavy HCM môžu u pediatrických pacientov líšiť na základe veku a pridružených stavov, mnoho pediatrických pacientov s HCM je asymptomatických a neexistuje výrazná súvislosť medzi príznakmi a závažnosťou ochorenia. Vek a stupeň vývoja zohrávajú dôležitú úlohu vo vnímaní a schopnosti vyjadriť príznaky, obzvlášť u nehospitalizovaných a/alebo </w:t>
      </w:r>
      <w:proofErr w:type="spellStart"/>
      <w:r w:rsidRPr="007B2B59">
        <w:rPr>
          <w:sz w:val="22"/>
          <w:szCs w:val="22"/>
        </w:rPr>
        <w:t>predverbálnych</w:t>
      </w:r>
      <w:proofErr w:type="spellEnd"/>
      <w:r w:rsidRPr="007B2B59">
        <w:rPr>
          <w:sz w:val="22"/>
          <w:szCs w:val="22"/>
        </w:rPr>
        <w:t xml:space="preserve"> pacientov. Príznaky, ktoré sa prejavujú, môžu zahŕňať bolesť na</w:t>
      </w:r>
      <w:r w:rsidR="00C145B3">
        <w:rPr>
          <w:sz w:val="22"/>
          <w:szCs w:val="22"/>
        </w:rPr>
        <w:t> </w:t>
      </w:r>
      <w:r w:rsidRPr="007B2B59">
        <w:rPr>
          <w:sz w:val="22"/>
          <w:szCs w:val="22"/>
        </w:rPr>
        <w:t xml:space="preserve">hrudníku, </w:t>
      </w:r>
      <w:proofErr w:type="spellStart"/>
      <w:r w:rsidRPr="007B2B59">
        <w:rPr>
          <w:sz w:val="22"/>
          <w:szCs w:val="22"/>
        </w:rPr>
        <w:t>presynkopu</w:t>
      </w:r>
      <w:proofErr w:type="spellEnd"/>
      <w:r w:rsidRPr="007B2B59">
        <w:rPr>
          <w:sz w:val="22"/>
          <w:szCs w:val="22"/>
        </w:rPr>
        <w:t xml:space="preserve">/synkopu, </w:t>
      </w:r>
      <w:proofErr w:type="spellStart"/>
      <w:r w:rsidRPr="007B2B59">
        <w:rPr>
          <w:sz w:val="22"/>
          <w:szCs w:val="22"/>
        </w:rPr>
        <w:t>palpitácie</w:t>
      </w:r>
      <w:proofErr w:type="spellEnd"/>
      <w:r w:rsidRPr="007B2B59">
        <w:rPr>
          <w:sz w:val="22"/>
          <w:szCs w:val="22"/>
        </w:rPr>
        <w:t xml:space="preserve">, srdcový šelest, arytmiu, príznaky srdcového zlyhávania (napr. nedostatočný príjem potravy, neprospievanie, </w:t>
      </w:r>
      <w:proofErr w:type="spellStart"/>
      <w:r w:rsidRPr="007B2B59">
        <w:rPr>
          <w:sz w:val="22"/>
          <w:szCs w:val="22"/>
        </w:rPr>
        <w:t>tachypnoe</w:t>
      </w:r>
      <w:proofErr w:type="spellEnd"/>
      <w:r w:rsidRPr="007B2B59">
        <w:rPr>
          <w:sz w:val="22"/>
          <w:szCs w:val="22"/>
        </w:rPr>
        <w:t>, ľahká unaviteľnosť) a náhla zástava srdca/úmrtie.</w:t>
      </w:r>
    </w:p>
    <w:p w14:paraId="7A720D1D" w14:textId="77777777" w:rsidR="00720E89" w:rsidRPr="007B2B59" w:rsidRDefault="00720E89" w:rsidP="00720E89">
      <w:pPr>
        <w:numPr>
          <w:ilvl w:val="0"/>
          <w:numId w:val="45"/>
        </w:numPr>
        <w:tabs>
          <w:tab w:val="left" w:pos="567"/>
        </w:tabs>
        <w:ind w:left="567" w:hanging="567"/>
        <w:rPr>
          <w:sz w:val="22"/>
          <w:szCs w:val="22"/>
        </w:rPr>
      </w:pPr>
      <w:r w:rsidRPr="007B2B59">
        <w:rPr>
          <w:sz w:val="22"/>
          <w:szCs w:val="22"/>
        </w:rPr>
        <w:t xml:space="preserve">U detí vo veku &lt; 1 rok je najčastejším príznakom izolovaný srdcový šelest. Symptomatickí pediatrickí pacienti majú typické prejavy a príznaky srdcového zlyhávania (napr. </w:t>
      </w:r>
      <w:proofErr w:type="spellStart"/>
      <w:r w:rsidRPr="007B2B59">
        <w:rPr>
          <w:sz w:val="22"/>
          <w:szCs w:val="22"/>
        </w:rPr>
        <w:t>tachypnoe</w:t>
      </w:r>
      <w:proofErr w:type="spellEnd"/>
      <w:r w:rsidRPr="007B2B59">
        <w:rPr>
          <w:sz w:val="22"/>
          <w:szCs w:val="22"/>
        </w:rPr>
        <w:t>, nedostatočný príjem potravy a pomalý rast).</w:t>
      </w:r>
    </w:p>
    <w:p w14:paraId="046DFB44" w14:textId="77777777" w:rsidR="00720E89" w:rsidRPr="007B2B59" w:rsidRDefault="00720E89" w:rsidP="00720E89">
      <w:pPr>
        <w:numPr>
          <w:ilvl w:val="0"/>
          <w:numId w:val="45"/>
        </w:numPr>
        <w:tabs>
          <w:tab w:val="left" w:pos="567"/>
        </w:tabs>
        <w:ind w:left="567" w:hanging="567"/>
        <w:rPr>
          <w:sz w:val="22"/>
          <w:szCs w:val="22"/>
        </w:rPr>
      </w:pPr>
      <w:r w:rsidRPr="007B2B59">
        <w:rPr>
          <w:sz w:val="22"/>
          <w:szCs w:val="22"/>
        </w:rPr>
        <w:t xml:space="preserve">U detí vo veku ≥1 rok je HCM najčastejšie asymptomatická, avšak medzi tými, ktorí sa dostanú do klinickej pozornosti, môžu príznaky zahŕňať bolesť brucha, zníženú chuť do jedla, odmietanie jedla, </w:t>
      </w:r>
      <w:proofErr w:type="spellStart"/>
      <w:r w:rsidRPr="007B2B59">
        <w:rPr>
          <w:sz w:val="22"/>
          <w:szCs w:val="22"/>
        </w:rPr>
        <w:t>presynkopu</w:t>
      </w:r>
      <w:proofErr w:type="spellEnd"/>
      <w:r w:rsidRPr="007B2B59">
        <w:rPr>
          <w:sz w:val="22"/>
          <w:szCs w:val="22"/>
        </w:rPr>
        <w:t xml:space="preserve"> a synkopu, obzvlášť počas alebo ihneď po námahe, </w:t>
      </w:r>
      <w:proofErr w:type="spellStart"/>
      <w:r w:rsidRPr="007B2B59">
        <w:rPr>
          <w:sz w:val="22"/>
          <w:szCs w:val="22"/>
        </w:rPr>
        <w:t>palpitácie</w:t>
      </w:r>
      <w:proofErr w:type="spellEnd"/>
      <w:r w:rsidRPr="007B2B59">
        <w:rPr>
          <w:sz w:val="22"/>
          <w:szCs w:val="22"/>
        </w:rPr>
        <w:t xml:space="preserve"> a náhlu zástavu srdca/úmrtie.</w:t>
      </w:r>
    </w:p>
    <w:p w14:paraId="0A4D0F23" w14:textId="77777777" w:rsidR="00DB4438" w:rsidRDefault="00DB4438" w:rsidP="008A1CFF">
      <w:pPr>
        <w:tabs>
          <w:tab w:val="left" w:pos="567"/>
        </w:tabs>
        <w:rPr>
          <w:sz w:val="22"/>
          <w:szCs w:val="22"/>
        </w:rPr>
      </w:pPr>
    </w:p>
    <w:p w14:paraId="494A645E" w14:textId="77777777" w:rsidR="00A64902" w:rsidRDefault="00A64902" w:rsidP="00A64902">
      <w:pPr>
        <w:tabs>
          <w:tab w:val="left" w:pos="567"/>
        </w:tabs>
        <w:rPr>
          <w:sz w:val="22"/>
          <w:szCs w:val="22"/>
          <w:u w:val="single"/>
        </w:rPr>
      </w:pPr>
      <w:r w:rsidRPr="00553A12">
        <w:rPr>
          <w:sz w:val="22"/>
          <w:szCs w:val="22"/>
          <w:u w:val="single"/>
        </w:rPr>
        <w:t>Informácie o pomocných látkach</w:t>
      </w:r>
    </w:p>
    <w:p w14:paraId="45F93BE5" w14:textId="77777777" w:rsidR="00A64902" w:rsidRDefault="00A64902" w:rsidP="00A64902">
      <w:pPr>
        <w:tabs>
          <w:tab w:val="left" w:pos="567"/>
        </w:tabs>
        <w:rPr>
          <w:sz w:val="22"/>
          <w:szCs w:val="22"/>
          <w:u w:val="single"/>
        </w:rPr>
      </w:pPr>
    </w:p>
    <w:p w14:paraId="057BA08E" w14:textId="77777777" w:rsidR="00A64902" w:rsidRPr="001A6993" w:rsidRDefault="00A64902" w:rsidP="00A64902">
      <w:pPr>
        <w:tabs>
          <w:tab w:val="left" w:pos="567"/>
        </w:tabs>
        <w:rPr>
          <w:i/>
          <w:sz w:val="22"/>
          <w:szCs w:val="22"/>
          <w:u w:val="single"/>
        </w:rPr>
      </w:pPr>
      <w:proofErr w:type="spellStart"/>
      <w:r w:rsidRPr="001700AA">
        <w:rPr>
          <w:i/>
          <w:sz w:val="22"/>
          <w:szCs w:val="22"/>
          <w:u w:val="single"/>
        </w:rPr>
        <w:t>Benzylalkohol</w:t>
      </w:r>
      <w:proofErr w:type="spellEnd"/>
    </w:p>
    <w:p w14:paraId="72CB0B53" w14:textId="77777777" w:rsidR="00A64902" w:rsidRDefault="00A64902" w:rsidP="00A64902">
      <w:pPr>
        <w:tabs>
          <w:tab w:val="left" w:pos="567"/>
        </w:tabs>
        <w:rPr>
          <w:sz w:val="22"/>
          <w:szCs w:val="22"/>
        </w:rPr>
      </w:pPr>
      <w:r w:rsidRPr="00C73674">
        <w:rPr>
          <w:sz w:val="22"/>
          <w:szCs w:val="22"/>
          <w:u w:val="single"/>
        </w:rPr>
        <w:t>SOLU-MEDROL 500 mg a SOLU-MEDROL 1 g obsahuj</w:t>
      </w:r>
      <w:r>
        <w:rPr>
          <w:sz w:val="22"/>
          <w:szCs w:val="22"/>
          <w:u w:val="single"/>
        </w:rPr>
        <w:t>ú</w:t>
      </w:r>
      <w:r w:rsidRPr="00C73674">
        <w:rPr>
          <w:sz w:val="22"/>
          <w:szCs w:val="22"/>
          <w:u w:val="single"/>
        </w:rPr>
        <w:t xml:space="preserve"> </w:t>
      </w:r>
      <w:proofErr w:type="spellStart"/>
      <w:r w:rsidRPr="00C73674">
        <w:rPr>
          <w:sz w:val="22"/>
          <w:szCs w:val="22"/>
          <w:u w:val="single"/>
        </w:rPr>
        <w:t>benzylalkohol</w:t>
      </w:r>
      <w:proofErr w:type="spellEnd"/>
      <w:r>
        <w:rPr>
          <w:sz w:val="22"/>
          <w:szCs w:val="22"/>
          <w:u w:val="single"/>
        </w:rPr>
        <w:t xml:space="preserve"> (pozri časť 2)</w:t>
      </w:r>
      <w:r>
        <w:rPr>
          <w:sz w:val="22"/>
          <w:szCs w:val="22"/>
        </w:rPr>
        <w:t>.</w:t>
      </w:r>
    </w:p>
    <w:p w14:paraId="727E61A4" w14:textId="77777777" w:rsidR="00A64902" w:rsidRPr="00F277C3" w:rsidRDefault="00A64902" w:rsidP="00A64902">
      <w:pPr>
        <w:rPr>
          <w:rFonts w:eastAsia="Calibri"/>
          <w:sz w:val="22"/>
          <w:szCs w:val="22"/>
          <w:lang w:eastAsia="en-GB"/>
        </w:rPr>
      </w:pPr>
      <w:r w:rsidRPr="00F277C3">
        <w:rPr>
          <w:rFonts w:eastAsia="Calibri"/>
          <w:sz w:val="22"/>
          <w:szCs w:val="22"/>
          <w:lang w:eastAsia="en-GB"/>
        </w:rPr>
        <w:t xml:space="preserve">Konzervačná látka </w:t>
      </w:r>
      <w:proofErr w:type="spellStart"/>
      <w:r w:rsidRPr="00F277C3">
        <w:rPr>
          <w:rFonts w:eastAsia="Calibri"/>
          <w:sz w:val="22"/>
          <w:szCs w:val="22"/>
          <w:lang w:eastAsia="en-GB"/>
        </w:rPr>
        <w:t>benzylalkohol</w:t>
      </w:r>
      <w:proofErr w:type="spellEnd"/>
      <w:r w:rsidRPr="00F277C3">
        <w:rPr>
          <w:rFonts w:eastAsia="Calibri"/>
          <w:sz w:val="22"/>
          <w:szCs w:val="22"/>
          <w:lang w:eastAsia="en-GB"/>
        </w:rPr>
        <w:t xml:space="preserve"> môže spôsobiť </w:t>
      </w:r>
      <w:proofErr w:type="spellStart"/>
      <w:r w:rsidRPr="00F277C3">
        <w:rPr>
          <w:rFonts w:eastAsia="Calibri"/>
          <w:sz w:val="22"/>
          <w:szCs w:val="22"/>
          <w:lang w:eastAsia="en-GB"/>
        </w:rPr>
        <w:t>hypersenzitívne</w:t>
      </w:r>
      <w:proofErr w:type="spellEnd"/>
      <w:r w:rsidRPr="00F277C3">
        <w:rPr>
          <w:rFonts w:eastAsia="Calibri"/>
          <w:sz w:val="22"/>
          <w:szCs w:val="22"/>
          <w:lang w:eastAsia="en-GB"/>
        </w:rPr>
        <w:t xml:space="preserve"> reakcie. Intravenózne podanie </w:t>
      </w:r>
      <w:proofErr w:type="spellStart"/>
      <w:r w:rsidRPr="00F277C3">
        <w:rPr>
          <w:rFonts w:eastAsia="Calibri"/>
          <w:sz w:val="22"/>
          <w:szCs w:val="22"/>
          <w:lang w:eastAsia="en-GB"/>
        </w:rPr>
        <w:t>benzylalkoholu</w:t>
      </w:r>
      <w:proofErr w:type="spellEnd"/>
      <w:r w:rsidRPr="00F277C3">
        <w:rPr>
          <w:rFonts w:eastAsia="Calibri"/>
          <w:sz w:val="22"/>
          <w:szCs w:val="22"/>
          <w:lang w:eastAsia="en-GB"/>
        </w:rPr>
        <w:t xml:space="preserve"> bolo spojené so závažnými nežiaducimi udalosťami a smrťou u pediatrických pacientov vrátane novorodencov („syndróm respiračnej tiesne (</w:t>
      </w:r>
      <w:proofErr w:type="spellStart"/>
      <w:r w:rsidRPr="00F277C3">
        <w:rPr>
          <w:rFonts w:eastAsia="Calibri"/>
          <w:sz w:val="22"/>
          <w:szCs w:val="22"/>
          <w:lang w:eastAsia="en-GB"/>
        </w:rPr>
        <w:t>gasping</w:t>
      </w:r>
      <w:proofErr w:type="spellEnd"/>
      <w:r w:rsidRPr="00F277C3">
        <w:rPr>
          <w:rFonts w:eastAsia="Calibri"/>
          <w:sz w:val="22"/>
          <w:szCs w:val="22"/>
          <w:lang w:eastAsia="en-GB"/>
        </w:rPr>
        <w:t xml:space="preserve"> </w:t>
      </w:r>
      <w:proofErr w:type="spellStart"/>
      <w:r w:rsidRPr="00F277C3">
        <w:rPr>
          <w:rFonts w:eastAsia="Calibri"/>
          <w:sz w:val="22"/>
          <w:szCs w:val="22"/>
          <w:lang w:eastAsia="en-GB"/>
        </w:rPr>
        <w:t>syndrome</w:t>
      </w:r>
      <w:proofErr w:type="spellEnd"/>
      <w:r w:rsidRPr="00F277C3">
        <w:rPr>
          <w:rFonts w:eastAsia="Calibri"/>
          <w:sz w:val="22"/>
          <w:szCs w:val="22"/>
          <w:lang w:eastAsia="en-GB"/>
        </w:rPr>
        <w:t xml:space="preserve">)“). Aj keď normálne terapeutické dávky tohto produktu bežne podávajú množstvá </w:t>
      </w:r>
      <w:proofErr w:type="spellStart"/>
      <w:r w:rsidRPr="00F277C3">
        <w:rPr>
          <w:rFonts w:eastAsia="Calibri"/>
          <w:sz w:val="22"/>
          <w:szCs w:val="22"/>
          <w:lang w:eastAsia="en-GB"/>
        </w:rPr>
        <w:t>benzylalkoholu</w:t>
      </w:r>
      <w:proofErr w:type="spellEnd"/>
      <w:r w:rsidRPr="00F277C3">
        <w:rPr>
          <w:rFonts w:eastAsia="Calibri"/>
          <w:sz w:val="22"/>
          <w:szCs w:val="22"/>
          <w:lang w:eastAsia="en-GB"/>
        </w:rPr>
        <w:t xml:space="preserve">, ktoré sú </w:t>
      </w:r>
      <w:r w:rsidRPr="00F277C3">
        <w:rPr>
          <w:rFonts w:eastAsia="Calibri"/>
          <w:sz w:val="22"/>
          <w:szCs w:val="22"/>
          <w:lang w:eastAsia="en-GB"/>
        </w:rPr>
        <w:lastRenderedPageBreak/>
        <w:t xml:space="preserve">významne nižšie ako tie, ktoré boli hlásené v spojení so „syndrómom respiračnej tiesne“, minimálne množstvo </w:t>
      </w:r>
      <w:proofErr w:type="spellStart"/>
      <w:r w:rsidRPr="00F277C3">
        <w:rPr>
          <w:rFonts w:eastAsia="Calibri"/>
          <w:sz w:val="22"/>
          <w:szCs w:val="22"/>
          <w:lang w:eastAsia="en-GB"/>
        </w:rPr>
        <w:t>benzylalkoholu</w:t>
      </w:r>
      <w:proofErr w:type="spellEnd"/>
      <w:r w:rsidRPr="00F277C3">
        <w:rPr>
          <w:rFonts w:eastAsia="Calibri"/>
          <w:sz w:val="22"/>
          <w:szCs w:val="22"/>
          <w:lang w:eastAsia="en-GB"/>
        </w:rPr>
        <w:t>, pri</w:t>
      </w:r>
      <w:r>
        <w:rPr>
          <w:rFonts w:eastAsia="Calibri"/>
          <w:sz w:val="22"/>
          <w:szCs w:val="22"/>
          <w:lang w:eastAsia="en-GB"/>
        </w:rPr>
        <w:t> </w:t>
      </w:r>
      <w:r w:rsidRPr="00F277C3">
        <w:rPr>
          <w:rFonts w:eastAsia="Calibri"/>
          <w:sz w:val="22"/>
          <w:szCs w:val="22"/>
          <w:lang w:eastAsia="en-GB"/>
        </w:rPr>
        <w:t xml:space="preserve">ktorom sa môže vyskytnúť toxicita, nie je známe. Formulácie obsahujúce </w:t>
      </w:r>
      <w:proofErr w:type="spellStart"/>
      <w:r w:rsidRPr="00F277C3">
        <w:rPr>
          <w:rFonts w:eastAsia="Calibri"/>
          <w:sz w:val="22"/>
          <w:szCs w:val="22"/>
          <w:lang w:eastAsia="en-GB"/>
        </w:rPr>
        <w:t>benzylalkohol</w:t>
      </w:r>
      <w:proofErr w:type="spellEnd"/>
      <w:r w:rsidRPr="00F277C3">
        <w:rPr>
          <w:rFonts w:eastAsia="Calibri"/>
          <w:sz w:val="22"/>
          <w:szCs w:val="22"/>
          <w:lang w:eastAsia="en-GB"/>
        </w:rPr>
        <w:t xml:space="preserve"> sa majú u novorodencov používať len vtedy, keď je to </w:t>
      </w:r>
      <w:r w:rsidR="00C52D2B">
        <w:rPr>
          <w:rFonts w:eastAsia="Calibri"/>
          <w:sz w:val="22"/>
          <w:szCs w:val="22"/>
          <w:lang w:eastAsia="en-GB"/>
        </w:rPr>
        <w:t>nevyhnutné</w:t>
      </w:r>
      <w:r w:rsidRPr="00F277C3">
        <w:rPr>
          <w:rFonts w:eastAsia="Calibri"/>
          <w:sz w:val="22"/>
          <w:szCs w:val="22"/>
          <w:lang w:eastAsia="en-GB"/>
        </w:rPr>
        <w:t xml:space="preserve"> a nie sú dostupné žiadne alternatívy. U predčasne narodených detí a novorodencov s nízkou hmotnosťou môže byť zvýšené riziko rozvoja toxicity. Formulácie obsahujúce </w:t>
      </w:r>
      <w:proofErr w:type="spellStart"/>
      <w:r w:rsidRPr="00F277C3">
        <w:rPr>
          <w:rFonts w:eastAsia="Calibri"/>
          <w:sz w:val="22"/>
          <w:szCs w:val="22"/>
          <w:lang w:eastAsia="en-GB"/>
        </w:rPr>
        <w:t>benzylalkohol</w:t>
      </w:r>
      <w:proofErr w:type="spellEnd"/>
      <w:r w:rsidRPr="00F277C3">
        <w:rPr>
          <w:rFonts w:eastAsia="Calibri"/>
          <w:sz w:val="22"/>
          <w:szCs w:val="22"/>
          <w:lang w:eastAsia="en-GB"/>
        </w:rPr>
        <w:t xml:space="preserve"> sa u detí do 3 rokov nesmú používať dlhšie ako 1 týždeň, pokiaľ to nie je </w:t>
      </w:r>
      <w:r w:rsidR="00C52D2B">
        <w:rPr>
          <w:rFonts w:eastAsia="Calibri"/>
          <w:sz w:val="22"/>
          <w:szCs w:val="22"/>
          <w:lang w:eastAsia="en-GB"/>
        </w:rPr>
        <w:t>nevyhnutné</w:t>
      </w:r>
      <w:r w:rsidRPr="00F277C3">
        <w:rPr>
          <w:rFonts w:eastAsia="Calibri"/>
          <w:sz w:val="22"/>
          <w:szCs w:val="22"/>
          <w:lang w:eastAsia="en-GB"/>
        </w:rPr>
        <w:t xml:space="preserve">. </w:t>
      </w:r>
      <w:r>
        <w:rPr>
          <w:rFonts w:eastAsia="Calibri"/>
          <w:sz w:val="22"/>
          <w:szCs w:val="22"/>
          <w:lang w:eastAsia="en-GB"/>
        </w:rPr>
        <w:t>J</w:t>
      </w:r>
      <w:r w:rsidRPr="00F277C3">
        <w:rPr>
          <w:rFonts w:eastAsia="Calibri"/>
          <w:sz w:val="22"/>
          <w:szCs w:val="22"/>
          <w:lang w:eastAsia="en-GB"/>
        </w:rPr>
        <w:t xml:space="preserve">e potrebné zvážiť </w:t>
      </w:r>
      <w:r>
        <w:rPr>
          <w:rFonts w:eastAsia="Calibri"/>
          <w:sz w:val="22"/>
          <w:szCs w:val="22"/>
          <w:lang w:eastAsia="en-GB"/>
        </w:rPr>
        <w:t xml:space="preserve">celkové množstvo </w:t>
      </w:r>
      <w:proofErr w:type="spellStart"/>
      <w:r>
        <w:rPr>
          <w:rFonts w:eastAsia="Calibri"/>
          <w:sz w:val="22"/>
          <w:szCs w:val="22"/>
          <w:lang w:eastAsia="en-GB"/>
        </w:rPr>
        <w:t>benzylalkoholu</w:t>
      </w:r>
      <w:proofErr w:type="spellEnd"/>
      <w:r w:rsidRPr="00F277C3">
        <w:rPr>
          <w:rFonts w:eastAsia="Calibri"/>
          <w:sz w:val="22"/>
          <w:szCs w:val="22"/>
          <w:lang w:eastAsia="en-GB"/>
        </w:rPr>
        <w:t xml:space="preserve"> </w:t>
      </w:r>
      <w:r>
        <w:rPr>
          <w:rFonts w:eastAsia="Calibri"/>
          <w:sz w:val="22"/>
          <w:szCs w:val="22"/>
          <w:lang w:eastAsia="en-GB"/>
        </w:rPr>
        <w:t xml:space="preserve">prijímané </w:t>
      </w:r>
      <w:r w:rsidRPr="00F277C3">
        <w:rPr>
          <w:rFonts w:eastAsia="Calibri"/>
          <w:sz w:val="22"/>
          <w:szCs w:val="22"/>
          <w:lang w:eastAsia="en-GB"/>
        </w:rPr>
        <w:t xml:space="preserve">zo všetkých zdrojov, </w:t>
      </w:r>
      <w:r>
        <w:rPr>
          <w:rFonts w:eastAsia="Calibri"/>
          <w:sz w:val="22"/>
          <w:szCs w:val="22"/>
          <w:lang w:eastAsia="en-GB"/>
        </w:rPr>
        <w:t xml:space="preserve">a vysoké množstvá sa majú používať s opatrnosťou a len ak je to nevyhnutné, najmä </w:t>
      </w:r>
      <w:r w:rsidRPr="00F277C3">
        <w:rPr>
          <w:rFonts w:eastAsia="Calibri"/>
          <w:sz w:val="22"/>
          <w:szCs w:val="22"/>
          <w:lang w:eastAsia="en-GB"/>
        </w:rPr>
        <w:t xml:space="preserve">u pacientov s poruchou funkcie pečene alebo obličiek, ako aj u gravidných alebo dojčiacich žien, </w:t>
      </w:r>
      <w:r>
        <w:rPr>
          <w:rFonts w:eastAsia="Calibri"/>
          <w:sz w:val="22"/>
          <w:szCs w:val="22"/>
          <w:lang w:eastAsia="en-GB"/>
        </w:rPr>
        <w:t>kvôli</w:t>
      </w:r>
      <w:r w:rsidRPr="00F277C3">
        <w:rPr>
          <w:rFonts w:eastAsia="Calibri"/>
          <w:sz w:val="22"/>
          <w:szCs w:val="22"/>
          <w:lang w:eastAsia="en-GB"/>
        </w:rPr>
        <w:t xml:space="preserve"> rizik</w:t>
      </w:r>
      <w:r>
        <w:rPr>
          <w:rFonts w:eastAsia="Calibri"/>
          <w:sz w:val="22"/>
          <w:szCs w:val="22"/>
          <w:lang w:eastAsia="en-GB"/>
        </w:rPr>
        <w:t>u</w:t>
      </w:r>
      <w:r w:rsidRPr="00F277C3">
        <w:rPr>
          <w:rFonts w:eastAsia="Calibri"/>
          <w:sz w:val="22"/>
          <w:szCs w:val="22"/>
          <w:lang w:eastAsia="en-GB"/>
        </w:rPr>
        <w:t xml:space="preserve"> akumulácie a toxicity (metabolická acidóza).</w:t>
      </w:r>
    </w:p>
    <w:p w14:paraId="7574BF65" w14:textId="77777777" w:rsidR="00A64902" w:rsidRPr="00FC1191" w:rsidRDefault="00A64902" w:rsidP="00A64902">
      <w:pPr>
        <w:tabs>
          <w:tab w:val="left" w:pos="567"/>
        </w:tabs>
        <w:rPr>
          <w:sz w:val="22"/>
          <w:szCs w:val="22"/>
        </w:rPr>
      </w:pPr>
    </w:p>
    <w:p w14:paraId="1ADF7869" w14:textId="77777777" w:rsidR="00A64902" w:rsidRPr="00581041" w:rsidRDefault="00A64902" w:rsidP="00A64902">
      <w:r w:rsidRPr="00553A12">
        <w:rPr>
          <w:rFonts w:eastAsia="Calibri"/>
          <w:sz w:val="22"/>
          <w:szCs w:val="22"/>
          <w:lang w:eastAsia="en-GB"/>
        </w:rPr>
        <w:t xml:space="preserve">Sú dostupné formulácie </w:t>
      </w:r>
      <w:r>
        <w:rPr>
          <w:rFonts w:eastAsia="Calibri"/>
          <w:sz w:val="22"/>
          <w:szCs w:val="22"/>
          <w:lang w:eastAsia="en-GB"/>
        </w:rPr>
        <w:t xml:space="preserve">SOLU-MEDROLU </w:t>
      </w:r>
      <w:r w:rsidRPr="00553A12">
        <w:rPr>
          <w:rFonts w:eastAsia="Calibri"/>
          <w:sz w:val="22"/>
          <w:szCs w:val="22"/>
          <w:lang w:eastAsia="en-GB"/>
        </w:rPr>
        <w:t xml:space="preserve">bez obsahu </w:t>
      </w:r>
      <w:proofErr w:type="spellStart"/>
      <w:r w:rsidRPr="00553A12">
        <w:rPr>
          <w:rFonts w:eastAsia="Calibri"/>
          <w:sz w:val="22"/>
          <w:szCs w:val="22"/>
          <w:lang w:eastAsia="en-GB"/>
        </w:rPr>
        <w:t>benzylalkoholu</w:t>
      </w:r>
      <w:proofErr w:type="spellEnd"/>
      <w:r w:rsidRPr="00553A12">
        <w:rPr>
          <w:rFonts w:eastAsia="Calibri"/>
          <w:sz w:val="22"/>
          <w:szCs w:val="22"/>
          <w:lang w:eastAsia="en-GB"/>
        </w:rPr>
        <w:t>.</w:t>
      </w:r>
    </w:p>
    <w:p w14:paraId="0A1B0B38" w14:textId="77777777" w:rsidR="00F730DB" w:rsidRPr="00581041" w:rsidRDefault="00F730DB" w:rsidP="00581041"/>
    <w:p w14:paraId="4A8A2A3A" w14:textId="77777777" w:rsidR="00A64902" w:rsidRPr="00621177" w:rsidRDefault="00A64902" w:rsidP="00A64902">
      <w:pPr>
        <w:pStyle w:val="Default"/>
        <w:rPr>
          <w:rFonts w:ascii="Times New Roman" w:hAnsi="Times New Roman" w:cs="Times New Roman"/>
          <w:color w:val="auto"/>
          <w:sz w:val="22"/>
          <w:szCs w:val="22"/>
          <w:u w:val="single"/>
          <w:lang w:val="sk-SK"/>
        </w:rPr>
      </w:pPr>
      <w:r w:rsidRPr="00621177">
        <w:rPr>
          <w:rFonts w:ascii="Times New Roman" w:hAnsi="Times New Roman" w:cs="Times New Roman"/>
          <w:color w:val="auto"/>
          <w:sz w:val="22"/>
          <w:szCs w:val="22"/>
          <w:u w:val="single"/>
          <w:lang w:val="sk-SK"/>
        </w:rPr>
        <w:t>Sodík</w:t>
      </w:r>
    </w:p>
    <w:p w14:paraId="3182C677" w14:textId="77777777" w:rsidR="00133530" w:rsidRDefault="00A64902" w:rsidP="00A64902">
      <w:pPr>
        <w:pStyle w:val="Nadpis1"/>
        <w:tabs>
          <w:tab w:val="left" w:pos="567"/>
        </w:tabs>
        <w:rPr>
          <w:sz w:val="22"/>
          <w:szCs w:val="22"/>
        </w:rPr>
      </w:pPr>
      <w:r w:rsidRPr="00F277C3">
        <w:rPr>
          <w:bCs/>
          <w:sz w:val="22"/>
          <w:szCs w:val="22"/>
        </w:rPr>
        <w:t>SOLU-MEDRO</w:t>
      </w:r>
      <w:r w:rsidRPr="00553A12">
        <w:rPr>
          <w:sz w:val="22"/>
          <w:szCs w:val="22"/>
        </w:rPr>
        <w:t>L</w:t>
      </w:r>
      <w:r>
        <w:rPr>
          <w:b/>
          <w:bCs/>
          <w:sz w:val="22"/>
          <w:szCs w:val="22"/>
        </w:rPr>
        <w:t xml:space="preserve"> </w:t>
      </w:r>
      <w:r w:rsidRPr="00F277C3">
        <w:rPr>
          <w:bCs/>
          <w:sz w:val="22"/>
          <w:szCs w:val="22"/>
        </w:rPr>
        <w:t xml:space="preserve">40 mg </w:t>
      </w:r>
      <w:r>
        <w:rPr>
          <w:sz w:val="22"/>
          <w:szCs w:val="22"/>
        </w:rPr>
        <w:t>a SOLU-MEDROL 125 mg prášok na injekčný roztok</w:t>
      </w:r>
      <w:r w:rsidRPr="00905DB4">
        <w:rPr>
          <w:sz w:val="22"/>
          <w:szCs w:val="22"/>
        </w:rPr>
        <w:t xml:space="preserve"> obsahuj</w:t>
      </w:r>
      <w:r>
        <w:rPr>
          <w:sz w:val="22"/>
          <w:szCs w:val="22"/>
        </w:rPr>
        <w:t>ú</w:t>
      </w:r>
      <w:r w:rsidRPr="00905DB4">
        <w:rPr>
          <w:sz w:val="22"/>
          <w:szCs w:val="22"/>
        </w:rPr>
        <w:t xml:space="preserve"> menej ako 1 mmol sodíka (23 mg) v jednej injekčnej liekovke, t.</w:t>
      </w:r>
      <w:r>
        <w:rPr>
          <w:sz w:val="22"/>
          <w:szCs w:val="22"/>
        </w:rPr>
        <w:t xml:space="preserve"> </w:t>
      </w:r>
      <w:r w:rsidRPr="00905DB4">
        <w:rPr>
          <w:sz w:val="22"/>
          <w:szCs w:val="22"/>
        </w:rPr>
        <w:t xml:space="preserve">j. v podstate zanedbateľné množstvo </w:t>
      </w:r>
    </w:p>
    <w:p w14:paraId="0104A371" w14:textId="77777777" w:rsidR="0023592E" w:rsidRPr="001A6993" w:rsidRDefault="00A64902" w:rsidP="001A6993">
      <w:r w:rsidRPr="00905DB4">
        <w:rPr>
          <w:sz w:val="22"/>
          <w:szCs w:val="22"/>
        </w:rPr>
        <w:t>sodíka.</w:t>
      </w:r>
    </w:p>
    <w:p w14:paraId="29FEE238" w14:textId="77777777" w:rsidR="00A64902" w:rsidRPr="00A11CA4" w:rsidRDefault="00A64902" w:rsidP="00A64902">
      <w:pPr>
        <w:pStyle w:val="Nadpis1"/>
        <w:tabs>
          <w:tab w:val="left" w:pos="567"/>
        </w:tabs>
        <w:rPr>
          <w:sz w:val="22"/>
          <w:szCs w:val="22"/>
        </w:rPr>
      </w:pPr>
      <w:r w:rsidRPr="00683CE0">
        <w:rPr>
          <w:sz w:val="22"/>
          <w:szCs w:val="22"/>
        </w:rPr>
        <w:t>SOLU-MEDROL</w:t>
      </w:r>
      <w:r w:rsidRPr="00683CE0">
        <w:rPr>
          <w:sz w:val="22"/>
          <w:szCs w:val="22"/>
          <w:vertAlign w:val="superscript"/>
        </w:rPr>
        <w:t> </w:t>
      </w:r>
      <w:r w:rsidRPr="00683CE0">
        <w:rPr>
          <w:sz w:val="22"/>
          <w:szCs w:val="22"/>
        </w:rPr>
        <w:t>250 mg</w:t>
      </w:r>
      <w:r>
        <w:rPr>
          <w:sz w:val="22"/>
          <w:szCs w:val="22"/>
        </w:rPr>
        <w:t xml:space="preserve"> prášok na injekčný roztok </w:t>
      </w:r>
      <w:r w:rsidRPr="00683CE0">
        <w:rPr>
          <w:sz w:val="22"/>
          <w:szCs w:val="22"/>
        </w:rPr>
        <w:t>obsahuje 32,6 mg sodíka v jednej injekčnej liekovke, čo zodpovedá 1,6</w:t>
      </w:r>
      <w:r>
        <w:rPr>
          <w:sz w:val="22"/>
          <w:szCs w:val="22"/>
        </w:rPr>
        <w:t>3</w:t>
      </w:r>
      <w:r w:rsidRPr="00683CE0">
        <w:rPr>
          <w:sz w:val="22"/>
          <w:szCs w:val="22"/>
        </w:rPr>
        <w:t> % WHO odporúčaného maximálneho denného príjmu 2 g sodíka pre</w:t>
      </w:r>
      <w:r>
        <w:rPr>
          <w:sz w:val="22"/>
          <w:szCs w:val="22"/>
        </w:rPr>
        <w:t> </w:t>
      </w:r>
      <w:r w:rsidRPr="00683CE0">
        <w:rPr>
          <w:sz w:val="22"/>
          <w:szCs w:val="22"/>
        </w:rPr>
        <w:t>dospelú osobu.</w:t>
      </w:r>
    </w:p>
    <w:p w14:paraId="323952B7" w14:textId="77777777" w:rsidR="00A64902" w:rsidRPr="00F13490" w:rsidRDefault="00A64902" w:rsidP="00A64902">
      <w:pPr>
        <w:pStyle w:val="Nadpis1"/>
        <w:tabs>
          <w:tab w:val="left" w:pos="567"/>
        </w:tabs>
        <w:rPr>
          <w:sz w:val="22"/>
          <w:szCs w:val="22"/>
        </w:rPr>
      </w:pPr>
      <w:r w:rsidRPr="000E48B1">
        <w:rPr>
          <w:sz w:val="22"/>
          <w:szCs w:val="22"/>
        </w:rPr>
        <w:t>SOLU-MEDROL</w:t>
      </w:r>
      <w:r w:rsidRPr="00F13490">
        <w:rPr>
          <w:sz w:val="22"/>
          <w:szCs w:val="22"/>
          <w:vertAlign w:val="superscript"/>
        </w:rPr>
        <w:t> </w:t>
      </w:r>
      <w:r w:rsidRPr="00F13490">
        <w:rPr>
          <w:sz w:val="22"/>
          <w:szCs w:val="22"/>
        </w:rPr>
        <w:t>500 mg</w:t>
      </w:r>
      <w:r>
        <w:rPr>
          <w:sz w:val="22"/>
          <w:szCs w:val="22"/>
        </w:rPr>
        <w:t xml:space="preserve"> prášok na injekčný roztok</w:t>
      </w:r>
      <w:r w:rsidRPr="00F13490">
        <w:rPr>
          <w:sz w:val="22"/>
          <w:szCs w:val="22"/>
        </w:rPr>
        <w:t xml:space="preserve"> obsahuje 58,3 mg sodíka v jednej injekčnej liekovke, čo zodpovedá 2,9</w:t>
      </w:r>
      <w:r>
        <w:rPr>
          <w:sz w:val="22"/>
          <w:szCs w:val="22"/>
        </w:rPr>
        <w:t>2</w:t>
      </w:r>
      <w:r w:rsidRPr="00F13490">
        <w:rPr>
          <w:sz w:val="22"/>
          <w:szCs w:val="22"/>
        </w:rPr>
        <w:t> % WHO odporúčaného maximálneho denného príjmu 2 g sodíka pre</w:t>
      </w:r>
      <w:r>
        <w:rPr>
          <w:sz w:val="22"/>
          <w:szCs w:val="22"/>
        </w:rPr>
        <w:t> </w:t>
      </w:r>
      <w:r w:rsidRPr="00F13490">
        <w:rPr>
          <w:sz w:val="22"/>
          <w:szCs w:val="22"/>
        </w:rPr>
        <w:t>dospelú osobu.</w:t>
      </w:r>
    </w:p>
    <w:p w14:paraId="5C2709B0" w14:textId="77777777" w:rsidR="00A64902" w:rsidRPr="00242DA2" w:rsidRDefault="00A64902" w:rsidP="00A64902">
      <w:pPr>
        <w:pStyle w:val="Nadpis1"/>
        <w:tabs>
          <w:tab w:val="left" w:pos="567"/>
        </w:tabs>
        <w:rPr>
          <w:sz w:val="22"/>
          <w:szCs w:val="22"/>
        </w:rPr>
      </w:pPr>
      <w:r w:rsidRPr="003B1008">
        <w:rPr>
          <w:sz w:val="22"/>
          <w:szCs w:val="22"/>
        </w:rPr>
        <w:t>SOLU-MEDROL</w:t>
      </w:r>
      <w:r w:rsidRPr="003B1008">
        <w:rPr>
          <w:sz w:val="22"/>
          <w:szCs w:val="22"/>
          <w:vertAlign w:val="superscript"/>
        </w:rPr>
        <w:t> </w:t>
      </w:r>
      <w:r w:rsidRPr="003B1008">
        <w:rPr>
          <w:sz w:val="22"/>
          <w:szCs w:val="22"/>
        </w:rPr>
        <w:t>1 g</w:t>
      </w:r>
      <w:r>
        <w:rPr>
          <w:sz w:val="22"/>
          <w:szCs w:val="22"/>
        </w:rPr>
        <w:t xml:space="preserve"> prášok na injekčný roztok</w:t>
      </w:r>
      <w:r w:rsidRPr="003B1008">
        <w:rPr>
          <w:sz w:val="22"/>
          <w:szCs w:val="22"/>
        </w:rPr>
        <w:t xml:space="preserve"> obsahuje 116,8 mg sodíka v jednej injekčnej liekovke, čo zodpoved</w:t>
      </w:r>
      <w:r w:rsidRPr="0036093B">
        <w:rPr>
          <w:sz w:val="22"/>
          <w:szCs w:val="22"/>
        </w:rPr>
        <w:t>á 5,8</w:t>
      </w:r>
      <w:r>
        <w:rPr>
          <w:sz w:val="22"/>
          <w:szCs w:val="22"/>
        </w:rPr>
        <w:t>4</w:t>
      </w:r>
      <w:r w:rsidRPr="0036093B">
        <w:rPr>
          <w:sz w:val="22"/>
          <w:szCs w:val="22"/>
        </w:rPr>
        <w:t> % WHO odporúčaného maximálneho denného príjmu 2 g sodíka pre</w:t>
      </w:r>
      <w:r>
        <w:rPr>
          <w:sz w:val="22"/>
          <w:szCs w:val="22"/>
        </w:rPr>
        <w:t> </w:t>
      </w:r>
      <w:r w:rsidRPr="0036093B">
        <w:rPr>
          <w:sz w:val="22"/>
          <w:szCs w:val="22"/>
        </w:rPr>
        <w:t>dospelú osobu.</w:t>
      </w:r>
    </w:p>
    <w:p w14:paraId="60AB86E8" w14:textId="77777777" w:rsidR="000F2E71" w:rsidRPr="00145F40" w:rsidRDefault="000F2E71" w:rsidP="008A1CFF">
      <w:pPr>
        <w:tabs>
          <w:tab w:val="left" w:pos="567"/>
        </w:tabs>
        <w:rPr>
          <w:sz w:val="22"/>
          <w:szCs w:val="22"/>
        </w:rPr>
      </w:pPr>
    </w:p>
    <w:p w14:paraId="2F634BE6" w14:textId="77777777" w:rsidR="000F2E71" w:rsidRPr="000D1EAA" w:rsidRDefault="008E4E34" w:rsidP="001A6993">
      <w:pPr>
        <w:tabs>
          <w:tab w:val="left" w:pos="567"/>
        </w:tabs>
        <w:rPr>
          <w:b/>
          <w:sz w:val="22"/>
          <w:szCs w:val="22"/>
        </w:rPr>
      </w:pPr>
      <w:r>
        <w:rPr>
          <w:b/>
          <w:sz w:val="22"/>
          <w:szCs w:val="22"/>
        </w:rPr>
        <w:t>4.5</w:t>
      </w:r>
      <w:r w:rsidR="0092328B" w:rsidRPr="00FD13A6">
        <w:rPr>
          <w:b/>
          <w:sz w:val="22"/>
          <w:szCs w:val="22"/>
        </w:rPr>
        <w:tab/>
      </w:r>
      <w:r w:rsidR="001A70CE" w:rsidRPr="000D1EAA">
        <w:rPr>
          <w:b/>
          <w:sz w:val="22"/>
          <w:szCs w:val="22"/>
        </w:rPr>
        <w:t>Liekové a iné interakcie</w:t>
      </w:r>
    </w:p>
    <w:p w14:paraId="0F637353" w14:textId="77777777" w:rsidR="000F2E71" w:rsidRPr="003B490D" w:rsidRDefault="000F2E71" w:rsidP="008A1CFF">
      <w:pPr>
        <w:tabs>
          <w:tab w:val="left" w:pos="567"/>
        </w:tabs>
        <w:rPr>
          <w:sz w:val="22"/>
          <w:szCs w:val="22"/>
        </w:rPr>
      </w:pPr>
    </w:p>
    <w:p w14:paraId="754BF68A" w14:textId="77777777" w:rsidR="000F2E71" w:rsidRPr="008E6EE5" w:rsidRDefault="00E74528" w:rsidP="008A1CFF">
      <w:pPr>
        <w:tabs>
          <w:tab w:val="left" w:pos="567"/>
        </w:tabs>
        <w:rPr>
          <w:sz w:val="22"/>
          <w:szCs w:val="22"/>
        </w:rPr>
      </w:pPr>
      <w:proofErr w:type="spellStart"/>
      <w:r w:rsidRPr="005F09FD">
        <w:rPr>
          <w:sz w:val="22"/>
          <w:szCs w:val="22"/>
        </w:rPr>
        <w:t>Metylprednizolón</w:t>
      </w:r>
      <w:proofErr w:type="spellEnd"/>
      <w:r w:rsidRPr="005F09FD">
        <w:rPr>
          <w:sz w:val="22"/>
          <w:szCs w:val="22"/>
        </w:rPr>
        <w:t xml:space="preserve"> je substrátom pre enzým cytochróm P450 a metabolizuje s</w:t>
      </w:r>
      <w:r w:rsidRPr="00D21F26">
        <w:rPr>
          <w:sz w:val="22"/>
          <w:szCs w:val="22"/>
        </w:rPr>
        <w:t xml:space="preserve">a prevažne enzýmom CYP 3A4. CYP 3A4 je dominantný enzým, najčastejšie sa vyskytujúci z CYP podskupiny v pečeni dospelých ľudí. </w:t>
      </w:r>
      <w:proofErr w:type="spellStart"/>
      <w:r w:rsidRPr="00D21F26">
        <w:rPr>
          <w:sz w:val="22"/>
          <w:szCs w:val="22"/>
        </w:rPr>
        <w:t>Katalyzuje</w:t>
      </w:r>
      <w:proofErr w:type="spellEnd"/>
      <w:r w:rsidRPr="00D21F26">
        <w:rPr>
          <w:sz w:val="22"/>
          <w:szCs w:val="22"/>
        </w:rPr>
        <w:t xml:space="preserve"> 6β-</w:t>
      </w:r>
      <w:proofErr w:type="spellStart"/>
      <w:r w:rsidRPr="00D21F26">
        <w:rPr>
          <w:sz w:val="22"/>
          <w:szCs w:val="22"/>
        </w:rPr>
        <w:t>hydroxyláciu</w:t>
      </w:r>
      <w:proofErr w:type="spellEnd"/>
      <w:r w:rsidRPr="00D21F26">
        <w:rPr>
          <w:sz w:val="22"/>
          <w:szCs w:val="22"/>
        </w:rPr>
        <w:t xml:space="preserve"> </w:t>
      </w:r>
      <w:proofErr w:type="spellStart"/>
      <w:r w:rsidRPr="00D21F26">
        <w:rPr>
          <w:sz w:val="22"/>
          <w:szCs w:val="22"/>
        </w:rPr>
        <w:t>steroidov</w:t>
      </w:r>
      <w:proofErr w:type="spellEnd"/>
      <w:r w:rsidRPr="00D21F26">
        <w:rPr>
          <w:sz w:val="22"/>
          <w:szCs w:val="22"/>
        </w:rPr>
        <w:t>, základný metabolický krok pre</w:t>
      </w:r>
      <w:r w:rsidR="00E93C87" w:rsidRPr="00D21F26">
        <w:rPr>
          <w:sz w:val="22"/>
          <w:szCs w:val="22"/>
        </w:rPr>
        <w:t> </w:t>
      </w:r>
      <w:r w:rsidRPr="007B3224">
        <w:rPr>
          <w:sz w:val="22"/>
          <w:szCs w:val="22"/>
        </w:rPr>
        <w:t>oba, endogénne a syntetické kortikosteroidy. Mnohé ďalšie zlo</w:t>
      </w:r>
      <w:r w:rsidRPr="008E567D">
        <w:rPr>
          <w:sz w:val="22"/>
          <w:szCs w:val="22"/>
        </w:rPr>
        <w:t>žky sú tiež substrátmi CYP3A4, niektoré z nich (ako aj iné lieky) preukázali zmenu metabolizmu glukokortikoidov v dôsledku indukcie (</w:t>
      </w:r>
      <w:proofErr w:type="spellStart"/>
      <w:r w:rsidR="00E93C87" w:rsidRPr="008E567D">
        <w:rPr>
          <w:sz w:val="22"/>
          <w:szCs w:val="22"/>
        </w:rPr>
        <w:t>expresie</w:t>
      </w:r>
      <w:proofErr w:type="spellEnd"/>
      <w:r w:rsidRPr="008E6EE5">
        <w:rPr>
          <w:sz w:val="22"/>
          <w:szCs w:val="22"/>
        </w:rPr>
        <w:t>) alebo inhibície enzýmom CYP3A4.</w:t>
      </w:r>
    </w:p>
    <w:p w14:paraId="7E3DFF98" w14:textId="77777777" w:rsidR="000F2E71" w:rsidRPr="008E6EE5" w:rsidRDefault="000F2E71" w:rsidP="008A1CFF">
      <w:pPr>
        <w:tabs>
          <w:tab w:val="left" w:pos="567"/>
        </w:tabs>
        <w:rPr>
          <w:sz w:val="22"/>
          <w:szCs w:val="22"/>
        </w:rPr>
      </w:pPr>
    </w:p>
    <w:p w14:paraId="2B8366FA" w14:textId="77777777" w:rsidR="000F2E71" w:rsidRPr="008E63E5" w:rsidRDefault="002E2095" w:rsidP="008A1CFF">
      <w:pPr>
        <w:tabs>
          <w:tab w:val="left" w:pos="567"/>
        </w:tabs>
        <w:rPr>
          <w:sz w:val="22"/>
          <w:szCs w:val="22"/>
        </w:rPr>
      </w:pPr>
      <w:r w:rsidRPr="008E6EE5">
        <w:rPr>
          <w:sz w:val="22"/>
          <w:szCs w:val="22"/>
        </w:rPr>
        <w:t xml:space="preserve">CYP3A4 INHIBÍTORY- lieky inhibujúce aktivitu enzýmu CYP3A4, znižujú pečeňový </w:t>
      </w:r>
      <w:proofErr w:type="spellStart"/>
      <w:r w:rsidRPr="008E6EE5">
        <w:rPr>
          <w:sz w:val="22"/>
          <w:szCs w:val="22"/>
        </w:rPr>
        <w:t>klí</w:t>
      </w:r>
      <w:r w:rsidRPr="008E63E5">
        <w:rPr>
          <w:sz w:val="22"/>
          <w:szCs w:val="22"/>
        </w:rPr>
        <w:t>rens</w:t>
      </w:r>
      <w:proofErr w:type="spellEnd"/>
      <w:r w:rsidRPr="008E63E5">
        <w:rPr>
          <w:sz w:val="22"/>
          <w:szCs w:val="22"/>
        </w:rPr>
        <w:t xml:space="preserve"> a zvyšujú plazmatické koncentrácie substrátov CYP3A4 liekov, ako je </w:t>
      </w:r>
      <w:proofErr w:type="spellStart"/>
      <w:r w:rsidRPr="008E63E5">
        <w:rPr>
          <w:sz w:val="22"/>
          <w:szCs w:val="22"/>
        </w:rPr>
        <w:t>metylprednizolón</w:t>
      </w:r>
      <w:proofErr w:type="spellEnd"/>
      <w:r w:rsidRPr="008E63E5">
        <w:rPr>
          <w:sz w:val="22"/>
          <w:szCs w:val="22"/>
        </w:rPr>
        <w:t xml:space="preserve">. Aby sa zabránilo toxicite </w:t>
      </w:r>
      <w:proofErr w:type="spellStart"/>
      <w:r w:rsidRPr="008E63E5">
        <w:rPr>
          <w:sz w:val="22"/>
          <w:szCs w:val="22"/>
        </w:rPr>
        <w:t>steroidmi</w:t>
      </w:r>
      <w:proofErr w:type="spellEnd"/>
      <w:r w:rsidRPr="008E63E5">
        <w:rPr>
          <w:sz w:val="22"/>
          <w:szCs w:val="22"/>
        </w:rPr>
        <w:t xml:space="preserve">, môže byť potrebné dávku </w:t>
      </w:r>
      <w:proofErr w:type="spellStart"/>
      <w:r w:rsidRPr="008E63E5">
        <w:rPr>
          <w:sz w:val="22"/>
          <w:szCs w:val="22"/>
        </w:rPr>
        <w:t>metylprednizolónu</w:t>
      </w:r>
      <w:proofErr w:type="spellEnd"/>
      <w:r w:rsidRPr="008E63E5">
        <w:rPr>
          <w:sz w:val="22"/>
          <w:szCs w:val="22"/>
        </w:rPr>
        <w:t xml:space="preserve"> </w:t>
      </w:r>
      <w:proofErr w:type="spellStart"/>
      <w:r w:rsidRPr="008E63E5">
        <w:rPr>
          <w:sz w:val="22"/>
          <w:szCs w:val="22"/>
        </w:rPr>
        <w:t>titrovať</w:t>
      </w:r>
      <w:proofErr w:type="spellEnd"/>
      <w:r w:rsidRPr="008E63E5">
        <w:rPr>
          <w:sz w:val="22"/>
          <w:szCs w:val="22"/>
        </w:rPr>
        <w:t xml:space="preserve"> za prítomnosti CYP3A4 inhibítora.</w:t>
      </w:r>
    </w:p>
    <w:p w14:paraId="6B1248EE" w14:textId="77777777" w:rsidR="00E93C87" w:rsidRPr="00F730DB" w:rsidRDefault="00E93C87" w:rsidP="008A1CFF">
      <w:pPr>
        <w:tabs>
          <w:tab w:val="left" w:pos="567"/>
        </w:tabs>
        <w:rPr>
          <w:sz w:val="22"/>
          <w:szCs w:val="22"/>
        </w:rPr>
      </w:pPr>
    </w:p>
    <w:p w14:paraId="3784B092" w14:textId="77777777" w:rsidR="000F2E71" w:rsidRPr="008D7A31" w:rsidRDefault="002E2095" w:rsidP="008A1CFF">
      <w:pPr>
        <w:tabs>
          <w:tab w:val="left" w:pos="567"/>
        </w:tabs>
        <w:rPr>
          <w:sz w:val="22"/>
          <w:szCs w:val="22"/>
        </w:rPr>
      </w:pPr>
      <w:r w:rsidRPr="00F730DB">
        <w:rPr>
          <w:sz w:val="22"/>
          <w:szCs w:val="22"/>
        </w:rPr>
        <w:t>CYP3A4 INDUKTORY- lieky indukujúce aktivit</w:t>
      </w:r>
      <w:r w:rsidRPr="00BE08DD">
        <w:rPr>
          <w:sz w:val="22"/>
          <w:szCs w:val="22"/>
        </w:rPr>
        <w:t xml:space="preserve">u enzýmu CYP3A4, zvyšujú pečeňový </w:t>
      </w:r>
      <w:proofErr w:type="spellStart"/>
      <w:r w:rsidRPr="00BE08DD">
        <w:rPr>
          <w:sz w:val="22"/>
          <w:szCs w:val="22"/>
        </w:rPr>
        <w:t>klírens</w:t>
      </w:r>
      <w:proofErr w:type="spellEnd"/>
      <w:r w:rsidRPr="00BE08DD">
        <w:rPr>
          <w:sz w:val="22"/>
          <w:szCs w:val="22"/>
        </w:rPr>
        <w:t>, čo vedie ku zníženiu plazmatických koncentráci</w:t>
      </w:r>
      <w:r w:rsidR="00D172E9" w:rsidRPr="004365DD">
        <w:rPr>
          <w:sz w:val="22"/>
          <w:szCs w:val="22"/>
        </w:rPr>
        <w:t>í</w:t>
      </w:r>
      <w:r w:rsidRPr="00C73B56">
        <w:rPr>
          <w:sz w:val="22"/>
          <w:szCs w:val="22"/>
        </w:rPr>
        <w:t xml:space="preserve"> liekov, ktoré sú substrátmi pre CYP3A4.</w:t>
      </w:r>
    </w:p>
    <w:p w14:paraId="7876B045" w14:textId="77777777" w:rsidR="000F2E71" w:rsidRPr="00774CAA" w:rsidRDefault="002E2095" w:rsidP="008A1CFF">
      <w:pPr>
        <w:tabs>
          <w:tab w:val="left" w:pos="567"/>
        </w:tabs>
        <w:rPr>
          <w:sz w:val="22"/>
          <w:szCs w:val="22"/>
        </w:rPr>
      </w:pPr>
      <w:r w:rsidRPr="005F5596">
        <w:rPr>
          <w:sz w:val="22"/>
          <w:szCs w:val="22"/>
        </w:rPr>
        <w:t xml:space="preserve">Na dosiahnutie požadovaného výsledku môže byť potrebné súbežné podávanie zvýšených dávok </w:t>
      </w:r>
      <w:proofErr w:type="spellStart"/>
      <w:r w:rsidRPr="005F5596">
        <w:rPr>
          <w:sz w:val="22"/>
          <w:szCs w:val="22"/>
        </w:rPr>
        <w:t>metylprednizolónu</w:t>
      </w:r>
      <w:proofErr w:type="spellEnd"/>
      <w:r w:rsidRPr="005F5596">
        <w:rPr>
          <w:sz w:val="22"/>
          <w:szCs w:val="22"/>
        </w:rPr>
        <w:t>.</w:t>
      </w:r>
    </w:p>
    <w:p w14:paraId="7C554218" w14:textId="77777777" w:rsidR="000F2E71" w:rsidRPr="00774CAA" w:rsidRDefault="000F2E71" w:rsidP="008A1CFF">
      <w:pPr>
        <w:tabs>
          <w:tab w:val="left" w:pos="567"/>
        </w:tabs>
        <w:rPr>
          <w:sz w:val="22"/>
          <w:szCs w:val="22"/>
        </w:rPr>
      </w:pPr>
    </w:p>
    <w:p w14:paraId="6DD59CCF" w14:textId="77777777" w:rsidR="000F2E71" w:rsidRPr="00794FE0" w:rsidRDefault="002E2095" w:rsidP="008A1CFF">
      <w:pPr>
        <w:tabs>
          <w:tab w:val="left" w:pos="567"/>
        </w:tabs>
        <w:rPr>
          <w:sz w:val="22"/>
          <w:szCs w:val="22"/>
        </w:rPr>
      </w:pPr>
      <w:r w:rsidRPr="00234067">
        <w:rPr>
          <w:sz w:val="22"/>
          <w:szCs w:val="22"/>
        </w:rPr>
        <w:t>CYP3A4 SUBSTRÁTY</w:t>
      </w:r>
      <w:r w:rsidRPr="000D37C2">
        <w:rPr>
          <w:sz w:val="22"/>
          <w:szCs w:val="22"/>
        </w:rPr>
        <w:t xml:space="preserve">- za prítomnosti iného CYP3A4 substrátu môže byť pečeňový </w:t>
      </w:r>
      <w:proofErr w:type="spellStart"/>
      <w:r w:rsidRPr="000D37C2">
        <w:rPr>
          <w:sz w:val="22"/>
          <w:szCs w:val="22"/>
        </w:rPr>
        <w:t>klírens</w:t>
      </w:r>
      <w:proofErr w:type="spellEnd"/>
      <w:r w:rsidRPr="000D37C2">
        <w:rPr>
          <w:sz w:val="22"/>
          <w:szCs w:val="22"/>
        </w:rPr>
        <w:t xml:space="preserve"> </w:t>
      </w:r>
      <w:proofErr w:type="spellStart"/>
      <w:r w:rsidRPr="000D37C2">
        <w:rPr>
          <w:sz w:val="22"/>
          <w:szCs w:val="22"/>
        </w:rPr>
        <w:t>metylprednizolónu</w:t>
      </w:r>
      <w:proofErr w:type="spellEnd"/>
      <w:r w:rsidRPr="000D37C2">
        <w:rPr>
          <w:sz w:val="22"/>
          <w:szCs w:val="22"/>
        </w:rPr>
        <w:t xml:space="preserve"> </w:t>
      </w:r>
      <w:r w:rsidR="00367DB6" w:rsidRPr="000D37C2">
        <w:rPr>
          <w:sz w:val="22"/>
          <w:szCs w:val="22"/>
        </w:rPr>
        <w:t>ovplyvnený</w:t>
      </w:r>
      <w:r w:rsidR="00071623" w:rsidRPr="000D37C2">
        <w:rPr>
          <w:sz w:val="22"/>
          <w:szCs w:val="22"/>
        </w:rPr>
        <w:t>,</w:t>
      </w:r>
      <w:r w:rsidR="00367DB6" w:rsidRPr="002C3055">
        <w:rPr>
          <w:sz w:val="22"/>
          <w:szCs w:val="22"/>
        </w:rPr>
        <w:t xml:space="preserve"> </w:t>
      </w:r>
      <w:r w:rsidR="00071623" w:rsidRPr="002C3055">
        <w:rPr>
          <w:sz w:val="22"/>
          <w:szCs w:val="22"/>
        </w:rPr>
        <w:t xml:space="preserve">čo vyžaduje </w:t>
      </w:r>
      <w:r w:rsidR="00874AA8" w:rsidRPr="007050AD">
        <w:rPr>
          <w:sz w:val="22"/>
          <w:szCs w:val="22"/>
        </w:rPr>
        <w:t>primeranú</w:t>
      </w:r>
      <w:r w:rsidRPr="00FC1191">
        <w:rPr>
          <w:sz w:val="22"/>
          <w:szCs w:val="22"/>
        </w:rPr>
        <w:t xml:space="preserve"> </w:t>
      </w:r>
      <w:r w:rsidR="00874AA8" w:rsidRPr="00FC1191">
        <w:rPr>
          <w:sz w:val="22"/>
          <w:szCs w:val="22"/>
        </w:rPr>
        <w:t xml:space="preserve">úpravu </w:t>
      </w:r>
      <w:r w:rsidRPr="00FC1191">
        <w:rPr>
          <w:sz w:val="22"/>
          <w:szCs w:val="22"/>
        </w:rPr>
        <w:t xml:space="preserve">dávky. Je možné, že nežiaduce </w:t>
      </w:r>
      <w:r w:rsidR="00E93C87" w:rsidRPr="009A0289">
        <w:rPr>
          <w:sz w:val="22"/>
          <w:szCs w:val="22"/>
        </w:rPr>
        <w:t>udalosti</w:t>
      </w:r>
      <w:r w:rsidRPr="009A0289">
        <w:rPr>
          <w:sz w:val="22"/>
          <w:szCs w:val="22"/>
        </w:rPr>
        <w:t xml:space="preserve"> súvisia s užívaním oboch liekov, pravdepodobnejšie však pri súbežnom podaní.</w:t>
      </w:r>
    </w:p>
    <w:p w14:paraId="36EDA869" w14:textId="77777777" w:rsidR="000F2E71" w:rsidRPr="00C821CF" w:rsidRDefault="000F2E71" w:rsidP="008A1CFF">
      <w:pPr>
        <w:tabs>
          <w:tab w:val="left" w:pos="567"/>
        </w:tabs>
        <w:rPr>
          <w:sz w:val="22"/>
          <w:szCs w:val="22"/>
        </w:rPr>
      </w:pPr>
    </w:p>
    <w:p w14:paraId="56629DAF" w14:textId="77777777" w:rsidR="000F2E71" w:rsidRPr="00C821CF" w:rsidRDefault="002E2095" w:rsidP="008A1CFF">
      <w:pPr>
        <w:tabs>
          <w:tab w:val="left" w:pos="567"/>
        </w:tabs>
        <w:rPr>
          <w:sz w:val="22"/>
          <w:szCs w:val="22"/>
        </w:rPr>
      </w:pPr>
      <w:r w:rsidRPr="00C821CF">
        <w:rPr>
          <w:sz w:val="22"/>
          <w:szCs w:val="22"/>
        </w:rPr>
        <w:lastRenderedPageBreak/>
        <w:t xml:space="preserve">ÚČINKY NESÚVISIACE S CYP3A4 - iné interakcie a účinky, ktoré sa vyskytujú pri užívaní </w:t>
      </w:r>
      <w:proofErr w:type="spellStart"/>
      <w:r w:rsidRPr="00C821CF">
        <w:rPr>
          <w:sz w:val="22"/>
          <w:szCs w:val="22"/>
        </w:rPr>
        <w:t>metylprednizolónu</w:t>
      </w:r>
      <w:proofErr w:type="spellEnd"/>
      <w:r w:rsidRPr="00C821CF">
        <w:rPr>
          <w:sz w:val="22"/>
          <w:szCs w:val="22"/>
        </w:rPr>
        <w:t xml:space="preserve"> sú popísané v tabuľke </w:t>
      </w:r>
      <w:r w:rsidR="000773A9">
        <w:rPr>
          <w:sz w:val="22"/>
          <w:szCs w:val="22"/>
        </w:rPr>
        <w:t>1</w:t>
      </w:r>
      <w:r w:rsidRPr="00C821CF">
        <w:rPr>
          <w:sz w:val="22"/>
          <w:szCs w:val="22"/>
        </w:rPr>
        <w:t xml:space="preserve"> nižšie.</w:t>
      </w:r>
    </w:p>
    <w:p w14:paraId="20481EBD" w14:textId="77777777" w:rsidR="00BF06EA" w:rsidRPr="00621177" w:rsidRDefault="00BF06EA" w:rsidP="00BF06EA">
      <w:pPr>
        <w:tabs>
          <w:tab w:val="left" w:pos="567"/>
        </w:tabs>
        <w:rPr>
          <w:rStyle w:val="Instructions"/>
          <w:sz w:val="22"/>
          <w:szCs w:val="22"/>
        </w:rPr>
      </w:pPr>
      <w:r w:rsidRPr="003B1008">
        <w:rPr>
          <w:sz w:val="22"/>
          <w:szCs w:val="22"/>
        </w:rPr>
        <w:t xml:space="preserve">Súbežné podanie živých alebo živých </w:t>
      </w:r>
      <w:proofErr w:type="spellStart"/>
      <w:r w:rsidRPr="003B1008">
        <w:rPr>
          <w:sz w:val="22"/>
          <w:szCs w:val="22"/>
        </w:rPr>
        <w:t>atenuovaných</w:t>
      </w:r>
      <w:proofErr w:type="spellEnd"/>
      <w:r w:rsidRPr="003B1008">
        <w:rPr>
          <w:sz w:val="22"/>
          <w:szCs w:val="22"/>
        </w:rPr>
        <w:t xml:space="preserve"> </w:t>
      </w:r>
      <w:r w:rsidR="00F13490" w:rsidRPr="00F63242">
        <w:rPr>
          <w:sz w:val="22"/>
          <w:szCs w:val="22"/>
        </w:rPr>
        <w:t xml:space="preserve">(oslabených) </w:t>
      </w:r>
      <w:r w:rsidRPr="003B1008">
        <w:rPr>
          <w:sz w:val="22"/>
          <w:szCs w:val="22"/>
        </w:rPr>
        <w:t>vakcín, usmrtených alebo</w:t>
      </w:r>
      <w:r w:rsidR="003763AE">
        <w:rPr>
          <w:sz w:val="22"/>
          <w:szCs w:val="22"/>
        </w:rPr>
        <w:t> </w:t>
      </w:r>
      <w:r w:rsidRPr="003B1008">
        <w:rPr>
          <w:sz w:val="22"/>
          <w:szCs w:val="22"/>
        </w:rPr>
        <w:t xml:space="preserve">inaktivovaných vakcín s kortikosteroidmi pozri </w:t>
      </w:r>
      <w:r w:rsidRPr="0036093B">
        <w:rPr>
          <w:sz w:val="22"/>
          <w:szCs w:val="22"/>
        </w:rPr>
        <w:t>časť 4.3 a 4.4.</w:t>
      </w:r>
      <w:r w:rsidRPr="00024FA5">
        <w:rPr>
          <w:sz w:val="22"/>
          <w:szCs w:val="22"/>
        </w:rPr>
        <w:t xml:space="preserve"> </w:t>
      </w:r>
    </w:p>
    <w:p w14:paraId="09CFFC2D" w14:textId="77777777" w:rsidR="000F2E71" w:rsidRPr="00BF06EA" w:rsidRDefault="000F2E71" w:rsidP="008A1CFF">
      <w:pPr>
        <w:tabs>
          <w:tab w:val="left" w:pos="567"/>
        </w:tabs>
        <w:rPr>
          <w:sz w:val="22"/>
          <w:szCs w:val="22"/>
        </w:rPr>
      </w:pPr>
    </w:p>
    <w:p w14:paraId="0B09F0B7" w14:textId="77777777" w:rsidR="000F2E71" w:rsidRDefault="002E2095" w:rsidP="008A1CFF">
      <w:pPr>
        <w:tabs>
          <w:tab w:val="left" w:pos="567"/>
        </w:tabs>
        <w:rPr>
          <w:sz w:val="22"/>
          <w:szCs w:val="22"/>
        </w:rPr>
      </w:pPr>
      <w:r w:rsidRPr="00BF06EA">
        <w:rPr>
          <w:sz w:val="22"/>
          <w:szCs w:val="22"/>
        </w:rPr>
        <w:t xml:space="preserve">Tabuľka </w:t>
      </w:r>
      <w:r w:rsidR="00720E89">
        <w:rPr>
          <w:sz w:val="22"/>
          <w:szCs w:val="22"/>
        </w:rPr>
        <w:t>1</w:t>
      </w:r>
      <w:r w:rsidRPr="00BF06EA">
        <w:rPr>
          <w:sz w:val="22"/>
          <w:szCs w:val="22"/>
        </w:rPr>
        <w:t xml:space="preserve"> poskytuje zoznam a popis najčastejších a/alebo klinicky dôležitých liekových interakcií alebo účinkov s </w:t>
      </w:r>
      <w:proofErr w:type="spellStart"/>
      <w:r w:rsidRPr="00BF06EA">
        <w:rPr>
          <w:sz w:val="22"/>
          <w:szCs w:val="22"/>
        </w:rPr>
        <w:t>metylprednizolónom</w:t>
      </w:r>
      <w:proofErr w:type="spellEnd"/>
      <w:r w:rsidRPr="00BF06EA">
        <w:rPr>
          <w:sz w:val="22"/>
          <w:szCs w:val="22"/>
        </w:rPr>
        <w:t>.</w:t>
      </w:r>
    </w:p>
    <w:p w14:paraId="7E5C3BAC" w14:textId="77777777" w:rsidR="00E93C87" w:rsidRPr="00AB0507" w:rsidRDefault="00E93C87" w:rsidP="008A1CFF">
      <w:pPr>
        <w:tabs>
          <w:tab w:val="left" w:pos="567"/>
        </w:tabs>
        <w:rPr>
          <w:sz w:val="22"/>
          <w:szCs w:val="22"/>
        </w:rPr>
      </w:pPr>
    </w:p>
    <w:p w14:paraId="336A353D" w14:textId="77777777" w:rsidR="002E2095" w:rsidRPr="00905DB4" w:rsidRDefault="002E2095" w:rsidP="006E5190">
      <w:pPr>
        <w:rPr>
          <w:b/>
          <w:sz w:val="22"/>
          <w:szCs w:val="22"/>
        </w:rPr>
      </w:pPr>
      <w:r w:rsidRPr="005C567E">
        <w:rPr>
          <w:b/>
          <w:sz w:val="22"/>
          <w:szCs w:val="22"/>
        </w:rPr>
        <w:t xml:space="preserve">Tabuľka </w:t>
      </w:r>
      <w:r w:rsidR="00720E89">
        <w:rPr>
          <w:b/>
          <w:sz w:val="22"/>
          <w:szCs w:val="22"/>
        </w:rPr>
        <w:t>1</w:t>
      </w:r>
      <w:r w:rsidRPr="005C567E">
        <w:rPr>
          <w:b/>
          <w:sz w:val="22"/>
          <w:szCs w:val="22"/>
        </w:rPr>
        <w:t>. Dôležité interakcie</w:t>
      </w:r>
      <w:r w:rsidR="00D172E9" w:rsidRPr="004D4405">
        <w:rPr>
          <w:b/>
          <w:sz w:val="22"/>
          <w:szCs w:val="22"/>
        </w:rPr>
        <w:t>/účinky</w:t>
      </w:r>
      <w:r w:rsidRPr="00905DB4">
        <w:rPr>
          <w:b/>
          <w:sz w:val="22"/>
          <w:szCs w:val="22"/>
        </w:rPr>
        <w:t xml:space="preserve"> liekov alebo liečiv s </w:t>
      </w:r>
      <w:proofErr w:type="spellStart"/>
      <w:r w:rsidRPr="00905DB4">
        <w:rPr>
          <w:b/>
          <w:sz w:val="22"/>
          <w:szCs w:val="22"/>
        </w:rPr>
        <w:t>metylprednizolónom</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270"/>
      </w:tblGrid>
      <w:tr w:rsidR="002E2095" w:rsidRPr="00775FFA" w14:paraId="2BBE50B7" w14:textId="77777777" w:rsidTr="00F51798">
        <w:tc>
          <w:tcPr>
            <w:tcW w:w="4393" w:type="dxa"/>
          </w:tcPr>
          <w:p w14:paraId="0C893377" w14:textId="77777777" w:rsidR="002E2095" w:rsidRPr="008068D3" w:rsidRDefault="002E2095" w:rsidP="006E5190">
            <w:pPr>
              <w:rPr>
                <w:b/>
                <w:sz w:val="22"/>
                <w:szCs w:val="22"/>
              </w:rPr>
            </w:pPr>
            <w:r w:rsidRPr="008068D3">
              <w:rPr>
                <w:b/>
                <w:sz w:val="22"/>
                <w:szCs w:val="22"/>
              </w:rPr>
              <w:t>Lieková skupina/typ lieku alebo liečiva</w:t>
            </w:r>
          </w:p>
        </w:tc>
        <w:tc>
          <w:tcPr>
            <w:tcW w:w="4393" w:type="dxa"/>
          </w:tcPr>
          <w:p w14:paraId="06880898" w14:textId="77777777" w:rsidR="002E2095" w:rsidRPr="008068D3" w:rsidRDefault="002E2095" w:rsidP="006E5190">
            <w:pPr>
              <w:rPr>
                <w:b/>
                <w:sz w:val="22"/>
                <w:szCs w:val="22"/>
              </w:rPr>
            </w:pPr>
            <w:r w:rsidRPr="008068D3">
              <w:rPr>
                <w:b/>
                <w:sz w:val="22"/>
                <w:szCs w:val="22"/>
              </w:rPr>
              <w:t>Interakcia/účinok</w:t>
            </w:r>
          </w:p>
        </w:tc>
      </w:tr>
      <w:tr w:rsidR="002E2095" w:rsidRPr="00775FFA" w14:paraId="18EE9776" w14:textId="77777777" w:rsidTr="00F51798">
        <w:tc>
          <w:tcPr>
            <w:tcW w:w="4393" w:type="dxa"/>
          </w:tcPr>
          <w:p w14:paraId="3F2B3760" w14:textId="77777777" w:rsidR="002E2095" w:rsidRPr="0067303A" w:rsidRDefault="002E2095" w:rsidP="006E5190">
            <w:pPr>
              <w:rPr>
                <w:sz w:val="22"/>
                <w:szCs w:val="22"/>
              </w:rPr>
            </w:pPr>
            <w:r w:rsidRPr="0067303A">
              <w:rPr>
                <w:sz w:val="22"/>
                <w:szCs w:val="22"/>
              </w:rPr>
              <w:t>Antibakteriálne</w:t>
            </w:r>
          </w:p>
          <w:p w14:paraId="77F82EDF" w14:textId="77777777" w:rsidR="002E2095" w:rsidRPr="004365DD" w:rsidRDefault="002E2095" w:rsidP="006E5190">
            <w:pPr>
              <w:rPr>
                <w:sz w:val="22"/>
                <w:szCs w:val="22"/>
              </w:rPr>
            </w:pPr>
            <w:r w:rsidRPr="004365DD">
              <w:rPr>
                <w:sz w:val="22"/>
                <w:szCs w:val="22"/>
              </w:rPr>
              <w:t>IZONIAZID</w:t>
            </w:r>
          </w:p>
        </w:tc>
        <w:tc>
          <w:tcPr>
            <w:tcW w:w="4393" w:type="dxa"/>
          </w:tcPr>
          <w:p w14:paraId="072B086B" w14:textId="77777777" w:rsidR="002E2095" w:rsidRPr="0023657A" w:rsidRDefault="002E2095" w:rsidP="006E5190">
            <w:pPr>
              <w:rPr>
                <w:sz w:val="22"/>
                <w:szCs w:val="22"/>
              </w:rPr>
            </w:pPr>
            <w:r w:rsidRPr="0023657A">
              <w:rPr>
                <w:sz w:val="22"/>
                <w:szCs w:val="22"/>
              </w:rPr>
              <w:t xml:space="preserve">CYP3A4 INHIBÍTOR. </w:t>
            </w:r>
            <w:r w:rsidR="0023657A">
              <w:rPr>
                <w:sz w:val="22"/>
                <w:szCs w:val="22"/>
              </w:rPr>
              <w:t xml:space="preserve">Inhibíciou CYP3A4 </w:t>
            </w:r>
            <w:proofErr w:type="spellStart"/>
            <w:r w:rsidR="0023657A">
              <w:rPr>
                <w:sz w:val="22"/>
                <w:szCs w:val="22"/>
              </w:rPr>
              <w:t>izoniazid</w:t>
            </w:r>
            <w:proofErr w:type="spellEnd"/>
            <w:r w:rsidR="0023657A">
              <w:rPr>
                <w:sz w:val="22"/>
                <w:szCs w:val="22"/>
              </w:rPr>
              <w:t xml:space="preserve"> zvyšuje koncentráciu </w:t>
            </w:r>
            <w:proofErr w:type="spellStart"/>
            <w:r w:rsidR="0023657A">
              <w:rPr>
                <w:sz w:val="22"/>
                <w:szCs w:val="22"/>
              </w:rPr>
              <w:t>metylprednizolónu</w:t>
            </w:r>
            <w:proofErr w:type="spellEnd"/>
            <w:r w:rsidR="0023657A">
              <w:rPr>
                <w:sz w:val="22"/>
                <w:szCs w:val="22"/>
              </w:rPr>
              <w:t xml:space="preserve">. </w:t>
            </w:r>
            <w:proofErr w:type="spellStart"/>
            <w:r w:rsidR="0023657A">
              <w:rPr>
                <w:sz w:val="22"/>
                <w:szCs w:val="22"/>
              </w:rPr>
              <w:t>Metylprednizolón</w:t>
            </w:r>
            <w:proofErr w:type="spellEnd"/>
            <w:r w:rsidR="0023657A">
              <w:rPr>
                <w:sz w:val="22"/>
                <w:szCs w:val="22"/>
              </w:rPr>
              <w:t xml:space="preserve"> môže znížiť koncentráciu </w:t>
            </w:r>
            <w:proofErr w:type="spellStart"/>
            <w:r w:rsidR="0023657A">
              <w:rPr>
                <w:sz w:val="22"/>
                <w:szCs w:val="22"/>
              </w:rPr>
              <w:t>izoniazidu</w:t>
            </w:r>
            <w:proofErr w:type="spellEnd"/>
            <w:r w:rsidR="0023657A">
              <w:rPr>
                <w:sz w:val="22"/>
                <w:szCs w:val="22"/>
              </w:rPr>
              <w:t xml:space="preserve"> zvyšovaním intenzity </w:t>
            </w:r>
            <w:proofErr w:type="spellStart"/>
            <w:r w:rsidR="0023657A">
              <w:rPr>
                <w:sz w:val="22"/>
                <w:szCs w:val="22"/>
              </w:rPr>
              <w:t>acetylácie</w:t>
            </w:r>
            <w:proofErr w:type="spellEnd"/>
            <w:r w:rsidR="0023657A">
              <w:rPr>
                <w:sz w:val="22"/>
                <w:szCs w:val="22"/>
              </w:rPr>
              <w:t xml:space="preserve"> a </w:t>
            </w:r>
            <w:proofErr w:type="spellStart"/>
            <w:r w:rsidR="0023657A">
              <w:rPr>
                <w:sz w:val="22"/>
                <w:szCs w:val="22"/>
              </w:rPr>
              <w:t>klírensu</w:t>
            </w:r>
            <w:proofErr w:type="spellEnd"/>
            <w:r w:rsidR="0023657A">
              <w:rPr>
                <w:sz w:val="22"/>
                <w:szCs w:val="22"/>
              </w:rPr>
              <w:t xml:space="preserve"> </w:t>
            </w:r>
            <w:proofErr w:type="spellStart"/>
            <w:r w:rsidR="0023657A">
              <w:rPr>
                <w:sz w:val="22"/>
                <w:szCs w:val="22"/>
              </w:rPr>
              <w:t>izoniazidu</w:t>
            </w:r>
            <w:proofErr w:type="spellEnd"/>
            <w:r w:rsidR="0023657A">
              <w:rPr>
                <w:sz w:val="22"/>
                <w:szCs w:val="22"/>
              </w:rPr>
              <w:t>.</w:t>
            </w:r>
          </w:p>
        </w:tc>
      </w:tr>
      <w:tr w:rsidR="002E2095" w:rsidRPr="00775FFA" w14:paraId="1AD796E5" w14:textId="77777777" w:rsidTr="00F51798">
        <w:tc>
          <w:tcPr>
            <w:tcW w:w="4393" w:type="dxa"/>
          </w:tcPr>
          <w:p w14:paraId="14355240" w14:textId="77777777" w:rsidR="002E2095" w:rsidRPr="009B35FA" w:rsidRDefault="002E2095" w:rsidP="006E5190">
            <w:pPr>
              <w:rPr>
                <w:sz w:val="22"/>
                <w:szCs w:val="22"/>
              </w:rPr>
            </w:pPr>
            <w:r w:rsidRPr="009B35FA">
              <w:rPr>
                <w:sz w:val="22"/>
                <w:szCs w:val="22"/>
              </w:rPr>
              <w:t xml:space="preserve">Antibiotiká, </w:t>
            </w:r>
            <w:proofErr w:type="spellStart"/>
            <w:r w:rsidRPr="009B35FA">
              <w:rPr>
                <w:sz w:val="22"/>
                <w:szCs w:val="22"/>
              </w:rPr>
              <w:t>antituberkulotiká</w:t>
            </w:r>
            <w:proofErr w:type="spellEnd"/>
          </w:p>
          <w:p w14:paraId="5CA1268F" w14:textId="77777777" w:rsidR="002E2095" w:rsidRPr="00234067" w:rsidRDefault="002E2095" w:rsidP="006E5190">
            <w:pPr>
              <w:rPr>
                <w:sz w:val="22"/>
                <w:szCs w:val="22"/>
              </w:rPr>
            </w:pPr>
            <w:r w:rsidRPr="00234067">
              <w:rPr>
                <w:sz w:val="22"/>
                <w:szCs w:val="22"/>
              </w:rPr>
              <w:t>RIFAMPÍN</w:t>
            </w:r>
          </w:p>
        </w:tc>
        <w:tc>
          <w:tcPr>
            <w:tcW w:w="4393" w:type="dxa"/>
          </w:tcPr>
          <w:p w14:paraId="2D511677" w14:textId="77777777" w:rsidR="002E2095" w:rsidRPr="000D37C2" w:rsidRDefault="002E2095" w:rsidP="006E5190">
            <w:pPr>
              <w:rPr>
                <w:sz w:val="22"/>
                <w:szCs w:val="22"/>
              </w:rPr>
            </w:pPr>
            <w:r w:rsidRPr="000D37C2">
              <w:rPr>
                <w:sz w:val="22"/>
                <w:szCs w:val="22"/>
              </w:rPr>
              <w:t>CYP3A4 INDUKTOR</w:t>
            </w:r>
          </w:p>
        </w:tc>
      </w:tr>
      <w:tr w:rsidR="002E2095" w:rsidRPr="00775FFA" w14:paraId="0932F0F0" w14:textId="77777777" w:rsidTr="00F51798">
        <w:tc>
          <w:tcPr>
            <w:tcW w:w="4393" w:type="dxa"/>
          </w:tcPr>
          <w:p w14:paraId="5BC4837D" w14:textId="77777777" w:rsidR="002E2095" w:rsidRPr="002C3055" w:rsidRDefault="002E2095" w:rsidP="006E5190">
            <w:pPr>
              <w:rPr>
                <w:sz w:val="22"/>
                <w:szCs w:val="22"/>
              </w:rPr>
            </w:pPr>
            <w:proofErr w:type="spellStart"/>
            <w:r w:rsidRPr="002C3055">
              <w:rPr>
                <w:sz w:val="22"/>
                <w:szCs w:val="22"/>
              </w:rPr>
              <w:t>Antikoagulanciá</w:t>
            </w:r>
            <w:proofErr w:type="spellEnd"/>
            <w:r w:rsidRPr="002C3055">
              <w:rPr>
                <w:sz w:val="22"/>
                <w:szCs w:val="22"/>
              </w:rPr>
              <w:t xml:space="preserve"> (perorálne)</w:t>
            </w:r>
          </w:p>
        </w:tc>
        <w:tc>
          <w:tcPr>
            <w:tcW w:w="4393" w:type="dxa"/>
          </w:tcPr>
          <w:p w14:paraId="1CF54A5F" w14:textId="77777777" w:rsidR="002E2095" w:rsidRPr="00C821CF" w:rsidRDefault="002E2095" w:rsidP="006E5190">
            <w:pPr>
              <w:rPr>
                <w:sz w:val="22"/>
                <w:szCs w:val="22"/>
              </w:rPr>
            </w:pPr>
            <w:r w:rsidRPr="007050AD">
              <w:rPr>
                <w:sz w:val="22"/>
                <w:szCs w:val="22"/>
              </w:rPr>
              <w:t xml:space="preserve">Účinok </w:t>
            </w:r>
            <w:proofErr w:type="spellStart"/>
            <w:r w:rsidRPr="007050AD">
              <w:rPr>
                <w:sz w:val="22"/>
                <w:szCs w:val="22"/>
              </w:rPr>
              <w:t>metylprednizolónu</w:t>
            </w:r>
            <w:proofErr w:type="spellEnd"/>
            <w:r w:rsidRPr="007050AD">
              <w:rPr>
                <w:sz w:val="22"/>
                <w:szCs w:val="22"/>
              </w:rPr>
              <w:t xml:space="preserve"> na perorálne </w:t>
            </w:r>
            <w:proofErr w:type="spellStart"/>
            <w:r w:rsidRPr="007050AD">
              <w:rPr>
                <w:sz w:val="22"/>
                <w:szCs w:val="22"/>
              </w:rPr>
              <w:t>antikoagulanciá</w:t>
            </w:r>
            <w:proofErr w:type="spellEnd"/>
            <w:r w:rsidRPr="007050AD">
              <w:rPr>
                <w:sz w:val="22"/>
                <w:szCs w:val="22"/>
              </w:rPr>
              <w:t xml:space="preserve"> je rôzny. Existujú hlásenia o zvýšených, a tiež znížených účinkoch </w:t>
            </w:r>
            <w:proofErr w:type="spellStart"/>
            <w:r w:rsidRPr="007050AD">
              <w:rPr>
                <w:sz w:val="22"/>
                <w:szCs w:val="22"/>
              </w:rPr>
              <w:t>antikoagulancií</w:t>
            </w:r>
            <w:proofErr w:type="spellEnd"/>
            <w:r w:rsidRPr="007050AD">
              <w:rPr>
                <w:sz w:val="22"/>
                <w:szCs w:val="22"/>
              </w:rPr>
              <w:t>, ak sú podávané sú</w:t>
            </w:r>
            <w:r w:rsidR="00E93C87" w:rsidRPr="00FC1191">
              <w:rPr>
                <w:sz w:val="22"/>
                <w:szCs w:val="22"/>
              </w:rPr>
              <w:t>bež</w:t>
            </w:r>
            <w:r w:rsidRPr="00FC1191">
              <w:rPr>
                <w:sz w:val="22"/>
                <w:szCs w:val="22"/>
              </w:rPr>
              <w:t>ne s kortikosteroidmi. Preto sa majú ukazovatele zrážania monitorovať</w:t>
            </w:r>
            <w:r w:rsidRPr="009A0289">
              <w:rPr>
                <w:sz w:val="22"/>
                <w:szCs w:val="22"/>
              </w:rPr>
              <w:t xml:space="preserve">, aby </w:t>
            </w:r>
            <w:r w:rsidR="00E93C87" w:rsidRPr="00794FE0">
              <w:rPr>
                <w:sz w:val="22"/>
                <w:szCs w:val="22"/>
              </w:rPr>
              <w:t>z</w:t>
            </w:r>
            <w:r w:rsidRPr="00C821CF">
              <w:rPr>
                <w:sz w:val="22"/>
                <w:szCs w:val="22"/>
              </w:rPr>
              <w:t xml:space="preserve">ostali zachované </w:t>
            </w:r>
            <w:proofErr w:type="spellStart"/>
            <w:r w:rsidRPr="00C821CF">
              <w:rPr>
                <w:sz w:val="22"/>
                <w:szCs w:val="22"/>
              </w:rPr>
              <w:t>antikoagulačné</w:t>
            </w:r>
            <w:proofErr w:type="spellEnd"/>
            <w:r w:rsidRPr="00C821CF">
              <w:rPr>
                <w:sz w:val="22"/>
                <w:szCs w:val="22"/>
              </w:rPr>
              <w:t xml:space="preserve"> účinky. </w:t>
            </w:r>
          </w:p>
        </w:tc>
      </w:tr>
      <w:tr w:rsidR="002E2095" w:rsidRPr="00775FFA" w14:paraId="3CEA13A6" w14:textId="77777777" w:rsidTr="00F51798">
        <w:tc>
          <w:tcPr>
            <w:tcW w:w="4393" w:type="dxa"/>
          </w:tcPr>
          <w:p w14:paraId="0251D32D" w14:textId="77777777" w:rsidR="002E2095" w:rsidRPr="00DF6909" w:rsidRDefault="002E2095" w:rsidP="006E5190">
            <w:pPr>
              <w:rPr>
                <w:sz w:val="22"/>
                <w:szCs w:val="22"/>
              </w:rPr>
            </w:pPr>
            <w:proofErr w:type="spellStart"/>
            <w:r w:rsidRPr="00DF6909">
              <w:rPr>
                <w:sz w:val="22"/>
                <w:szCs w:val="22"/>
              </w:rPr>
              <w:t>Antikonvulzíva</w:t>
            </w:r>
            <w:proofErr w:type="spellEnd"/>
          </w:p>
          <w:p w14:paraId="181F0A5D" w14:textId="77777777" w:rsidR="002E2095" w:rsidRPr="00E660EF" w:rsidRDefault="007F4D45" w:rsidP="006E5190">
            <w:pPr>
              <w:rPr>
                <w:sz w:val="22"/>
                <w:szCs w:val="22"/>
              </w:rPr>
            </w:pPr>
            <w:r w:rsidRPr="00DF6909">
              <w:rPr>
                <w:sz w:val="22"/>
                <w:szCs w:val="22"/>
              </w:rPr>
              <w:t>K</w:t>
            </w:r>
            <w:r w:rsidR="002E2095" w:rsidRPr="00E660EF">
              <w:rPr>
                <w:sz w:val="22"/>
                <w:szCs w:val="22"/>
              </w:rPr>
              <w:t>ARBAMAZEPÍN</w:t>
            </w:r>
          </w:p>
        </w:tc>
        <w:tc>
          <w:tcPr>
            <w:tcW w:w="4393" w:type="dxa"/>
          </w:tcPr>
          <w:p w14:paraId="79DD6149" w14:textId="77777777" w:rsidR="002E2095" w:rsidRPr="00A760E5" w:rsidRDefault="002E2095" w:rsidP="006E5190">
            <w:pPr>
              <w:rPr>
                <w:sz w:val="22"/>
                <w:szCs w:val="22"/>
              </w:rPr>
            </w:pPr>
            <w:r w:rsidRPr="00A760E5">
              <w:rPr>
                <w:sz w:val="22"/>
                <w:szCs w:val="22"/>
              </w:rPr>
              <w:t>CYP3A4 INDUKTOR (a SUBSTRÁT)</w:t>
            </w:r>
          </w:p>
        </w:tc>
      </w:tr>
      <w:tr w:rsidR="002E2095" w:rsidRPr="00775FFA" w14:paraId="40A4DCFC" w14:textId="77777777" w:rsidTr="00F51798">
        <w:tc>
          <w:tcPr>
            <w:tcW w:w="4393" w:type="dxa"/>
          </w:tcPr>
          <w:p w14:paraId="7B0090F5" w14:textId="77777777" w:rsidR="002E2095" w:rsidRPr="00295CBB" w:rsidRDefault="002E2095" w:rsidP="006E5190">
            <w:pPr>
              <w:rPr>
                <w:sz w:val="22"/>
                <w:szCs w:val="22"/>
              </w:rPr>
            </w:pPr>
            <w:proofErr w:type="spellStart"/>
            <w:r w:rsidRPr="00295CBB">
              <w:rPr>
                <w:sz w:val="22"/>
                <w:szCs w:val="22"/>
              </w:rPr>
              <w:t>Antikonvulzíva</w:t>
            </w:r>
            <w:proofErr w:type="spellEnd"/>
          </w:p>
          <w:p w14:paraId="5FC5F60C" w14:textId="77777777" w:rsidR="002E2095" w:rsidRPr="00053105" w:rsidRDefault="002E2095" w:rsidP="006E5190">
            <w:pPr>
              <w:rPr>
                <w:sz w:val="22"/>
                <w:szCs w:val="22"/>
              </w:rPr>
            </w:pPr>
            <w:r w:rsidRPr="00053105">
              <w:rPr>
                <w:sz w:val="22"/>
                <w:szCs w:val="22"/>
              </w:rPr>
              <w:t>FENOBARBITAL</w:t>
            </w:r>
          </w:p>
          <w:p w14:paraId="487D0BB1" w14:textId="77777777" w:rsidR="002E2095" w:rsidRPr="00EE590C" w:rsidRDefault="002E2095" w:rsidP="006E5190">
            <w:pPr>
              <w:rPr>
                <w:sz w:val="22"/>
                <w:szCs w:val="22"/>
              </w:rPr>
            </w:pPr>
            <w:r w:rsidRPr="00EE590C">
              <w:rPr>
                <w:sz w:val="22"/>
                <w:szCs w:val="22"/>
              </w:rPr>
              <w:t>FENYTOÍN</w:t>
            </w:r>
          </w:p>
        </w:tc>
        <w:tc>
          <w:tcPr>
            <w:tcW w:w="4393" w:type="dxa"/>
          </w:tcPr>
          <w:p w14:paraId="00365D45" w14:textId="77777777" w:rsidR="002E2095" w:rsidRPr="00EE590C" w:rsidRDefault="002E2095" w:rsidP="006E5190">
            <w:pPr>
              <w:rPr>
                <w:sz w:val="22"/>
                <w:szCs w:val="22"/>
              </w:rPr>
            </w:pPr>
            <w:r w:rsidRPr="00EE590C">
              <w:rPr>
                <w:sz w:val="22"/>
                <w:szCs w:val="22"/>
              </w:rPr>
              <w:t>CYP3A4 INDUKTORY</w:t>
            </w:r>
          </w:p>
        </w:tc>
      </w:tr>
      <w:tr w:rsidR="002E2095" w:rsidRPr="00775FFA" w14:paraId="1FDBBB21" w14:textId="77777777" w:rsidTr="00F51798">
        <w:tc>
          <w:tcPr>
            <w:tcW w:w="4393" w:type="dxa"/>
          </w:tcPr>
          <w:p w14:paraId="0FBE7CE1" w14:textId="77777777" w:rsidR="002E2095" w:rsidRPr="00DA5375" w:rsidRDefault="002E2095" w:rsidP="006E5190">
            <w:pPr>
              <w:rPr>
                <w:sz w:val="22"/>
                <w:szCs w:val="22"/>
              </w:rPr>
            </w:pPr>
            <w:proofErr w:type="spellStart"/>
            <w:r w:rsidRPr="00DA5375">
              <w:rPr>
                <w:sz w:val="22"/>
                <w:szCs w:val="22"/>
              </w:rPr>
              <w:t>Anticholinergiká</w:t>
            </w:r>
            <w:proofErr w:type="spellEnd"/>
          </w:p>
          <w:p w14:paraId="19C9709F" w14:textId="77777777" w:rsidR="002E2095" w:rsidRPr="00775FFA" w:rsidRDefault="002E2095" w:rsidP="006E5190">
            <w:pPr>
              <w:rPr>
                <w:sz w:val="22"/>
                <w:szCs w:val="22"/>
              </w:rPr>
            </w:pPr>
            <w:r w:rsidRPr="00775FFA">
              <w:rPr>
                <w:sz w:val="22"/>
                <w:szCs w:val="22"/>
              </w:rPr>
              <w:t>NEUROMUSKULÁRNE BLOKÁTORY</w:t>
            </w:r>
          </w:p>
        </w:tc>
        <w:tc>
          <w:tcPr>
            <w:tcW w:w="4393" w:type="dxa"/>
          </w:tcPr>
          <w:p w14:paraId="5FF25608" w14:textId="77777777" w:rsidR="002E2095" w:rsidRPr="00775FFA" w:rsidRDefault="002E2095" w:rsidP="006E5190">
            <w:pPr>
              <w:rPr>
                <w:sz w:val="22"/>
                <w:szCs w:val="22"/>
              </w:rPr>
            </w:pPr>
            <w:r w:rsidRPr="00775FFA">
              <w:rPr>
                <w:sz w:val="22"/>
                <w:szCs w:val="22"/>
              </w:rPr>
              <w:t xml:space="preserve">Kortikosteroidy môžu ovplyvňovať účinok </w:t>
            </w:r>
            <w:proofErr w:type="spellStart"/>
            <w:r w:rsidRPr="00775FFA">
              <w:rPr>
                <w:sz w:val="22"/>
                <w:szCs w:val="22"/>
              </w:rPr>
              <w:t>anticholinergík</w:t>
            </w:r>
            <w:proofErr w:type="spellEnd"/>
            <w:r w:rsidRPr="00775FFA">
              <w:rPr>
                <w:sz w:val="22"/>
                <w:szCs w:val="22"/>
              </w:rPr>
              <w:t>.</w:t>
            </w:r>
          </w:p>
          <w:p w14:paraId="6EDB5BAD" w14:textId="77777777" w:rsidR="000F2E71" w:rsidRPr="00775FFA" w:rsidRDefault="002E2095" w:rsidP="008A1CFF">
            <w:pPr>
              <w:tabs>
                <w:tab w:val="left" w:pos="567"/>
              </w:tabs>
              <w:rPr>
                <w:sz w:val="22"/>
                <w:szCs w:val="22"/>
              </w:rPr>
            </w:pPr>
            <w:r w:rsidRPr="00775FFA">
              <w:rPr>
                <w:sz w:val="22"/>
                <w:szCs w:val="22"/>
              </w:rPr>
              <w:t>1)</w:t>
            </w:r>
            <w:r w:rsidR="00451800" w:rsidRPr="00775FFA">
              <w:rPr>
                <w:sz w:val="22"/>
                <w:szCs w:val="22"/>
              </w:rPr>
              <w:t xml:space="preserve"> </w:t>
            </w:r>
            <w:r w:rsidRPr="00775FFA">
              <w:rPr>
                <w:sz w:val="22"/>
                <w:szCs w:val="22"/>
              </w:rPr>
              <w:t>V súvislosti so súbežnou liečbou vysokými dávkami kortikosteroidov a </w:t>
            </w:r>
            <w:proofErr w:type="spellStart"/>
            <w:r w:rsidRPr="00775FFA">
              <w:rPr>
                <w:sz w:val="22"/>
                <w:szCs w:val="22"/>
              </w:rPr>
              <w:t>anticholinergík</w:t>
            </w:r>
            <w:proofErr w:type="spellEnd"/>
            <w:r w:rsidRPr="00775FFA">
              <w:rPr>
                <w:sz w:val="22"/>
                <w:szCs w:val="22"/>
              </w:rPr>
              <w:t xml:space="preserve">, ako </w:t>
            </w:r>
            <w:proofErr w:type="spellStart"/>
            <w:r w:rsidRPr="00775FFA">
              <w:rPr>
                <w:sz w:val="22"/>
                <w:szCs w:val="22"/>
              </w:rPr>
              <w:t>neuromuskulárnych</w:t>
            </w:r>
            <w:proofErr w:type="spellEnd"/>
            <w:r w:rsidRPr="00775FFA">
              <w:rPr>
                <w:sz w:val="22"/>
                <w:szCs w:val="22"/>
              </w:rPr>
              <w:t xml:space="preserve"> </w:t>
            </w:r>
            <w:proofErr w:type="spellStart"/>
            <w:r w:rsidRPr="00775FFA">
              <w:rPr>
                <w:sz w:val="22"/>
                <w:szCs w:val="22"/>
              </w:rPr>
              <w:t>blokátorov</w:t>
            </w:r>
            <w:proofErr w:type="spellEnd"/>
            <w:r w:rsidRPr="00775FFA">
              <w:rPr>
                <w:sz w:val="22"/>
                <w:szCs w:val="22"/>
              </w:rPr>
              <w:t xml:space="preserve">, bola hlásená akútna </w:t>
            </w:r>
            <w:proofErr w:type="spellStart"/>
            <w:r w:rsidRPr="00775FFA">
              <w:rPr>
                <w:sz w:val="22"/>
                <w:szCs w:val="22"/>
              </w:rPr>
              <w:t>myopatia</w:t>
            </w:r>
            <w:proofErr w:type="spellEnd"/>
            <w:r w:rsidRPr="00775FFA">
              <w:rPr>
                <w:sz w:val="22"/>
                <w:szCs w:val="22"/>
              </w:rPr>
              <w:t xml:space="preserve"> (pre ďalšie informácie pozri časť 4.4. Účinky na kostrové svalstvo)</w:t>
            </w:r>
          </w:p>
          <w:p w14:paraId="7058F5D4" w14:textId="77777777" w:rsidR="000F2E71" w:rsidRPr="00775FFA" w:rsidRDefault="002E2095" w:rsidP="008A1CFF">
            <w:pPr>
              <w:tabs>
                <w:tab w:val="left" w:pos="567"/>
              </w:tabs>
              <w:rPr>
                <w:sz w:val="22"/>
                <w:szCs w:val="22"/>
              </w:rPr>
            </w:pPr>
            <w:r w:rsidRPr="00775FFA">
              <w:rPr>
                <w:sz w:val="22"/>
                <w:szCs w:val="22"/>
              </w:rPr>
              <w:t>2)</w:t>
            </w:r>
            <w:r w:rsidR="00451800" w:rsidRPr="00775FFA">
              <w:rPr>
                <w:sz w:val="22"/>
                <w:szCs w:val="22"/>
              </w:rPr>
              <w:t xml:space="preserve"> </w:t>
            </w:r>
            <w:r w:rsidRPr="00775FFA">
              <w:rPr>
                <w:sz w:val="22"/>
                <w:szCs w:val="22"/>
              </w:rPr>
              <w:t xml:space="preserve">Antagonizmus účinkov </w:t>
            </w:r>
            <w:proofErr w:type="spellStart"/>
            <w:r w:rsidRPr="00775FFA">
              <w:rPr>
                <w:sz w:val="22"/>
                <w:szCs w:val="22"/>
              </w:rPr>
              <w:t>pankurónia</w:t>
            </w:r>
            <w:proofErr w:type="spellEnd"/>
            <w:r w:rsidRPr="00775FFA">
              <w:rPr>
                <w:sz w:val="22"/>
                <w:szCs w:val="22"/>
              </w:rPr>
              <w:t xml:space="preserve"> a </w:t>
            </w:r>
            <w:proofErr w:type="spellStart"/>
            <w:r w:rsidRPr="00775FFA">
              <w:rPr>
                <w:sz w:val="22"/>
                <w:szCs w:val="22"/>
              </w:rPr>
              <w:t>vekurónia</w:t>
            </w:r>
            <w:proofErr w:type="spellEnd"/>
            <w:r w:rsidRPr="00775FFA">
              <w:rPr>
                <w:sz w:val="22"/>
                <w:szCs w:val="22"/>
              </w:rPr>
              <w:t>, spôsobujúci</w:t>
            </w:r>
            <w:r w:rsidR="00CF15EF" w:rsidRPr="00775FFA">
              <w:rPr>
                <w:sz w:val="22"/>
                <w:szCs w:val="22"/>
              </w:rPr>
              <w:t>ch</w:t>
            </w:r>
            <w:r w:rsidRPr="00775FFA">
              <w:rPr>
                <w:sz w:val="22"/>
                <w:szCs w:val="22"/>
              </w:rPr>
              <w:t xml:space="preserve"> </w:t>
            </w:r>
            <w:proofErr w:type="spellStart"/>
            <w:r w:rsidRPr="00775FFA">
              <w:rPr>
                <w:sz w:val="22"/>
                <w:szCs w:val="22"/>
              </w:rPr>
              <w:t>neuromuskulárnu</w:t>
            </w:r>
            <w:proofErr w:type="spellEnd"/>
            <w:r w:rsidRPr="00775FFA">
              <w:rPr>
                <w:sz w:val="22"/>
                <w:szCs w:val="22"/>
              </w:rPr>
              <w:t xml:space="preserve"> blokádu bol hlásen</w:t>
            </w:r>
            <w:r w:rsidR="00CF15EF" w:rsidRPr="00775FFA">
              <w:rPr>
                <w:sz w:val="22"/>
                <w:szCs w:val="22"/>
              </w:rPr>
              <w:t>ý</w:t>
            </w:r>
            <w:r w:rsidRPr="00775FFA">
              <w:rPr>
                <w:sz w:val="22"/>
                <w:szCs w:val="22"/>
              </w:rPr>
              <w:t xml:space="preserve"> u pacientov užívajúcich kortikosteroidy. Táto interakcia sa dá predpokladať pri všetkých </w:t>
            </w:r>
            <w:proofErr w:type="spellStart"/>
            <w:r w:rsidRPr="00775FFA">
              <w:rPr>
                <w:sz w:val="22"/>
                <w:szCs w:val="22"/>
              </w:rPr>
              <w:t>kompet</w:t>
            </w:r>
            <w:r w:rsidR="00255E1A" w:rsidRPr="00775FFA">
              <w:rPr>
                <w:sz w:val="22"/>
                <w:szCs w:val="22"/>
              </w:rPr>
              <w:t>i</w:t>
            </w:r>
            <w:r w:rsidRPr="00775FFA">
              <w:rPr>
                <w:sz w:val="22"/>
                <w:szCs w:val="22"/>
              </w:rPr>
              <w:t>tívnych</w:t>
            </w:r>
            <w:proofErr w:type="spellEnd"/>
            <w:r w:rsidRPr="00775FFA">
              <w:rPr>
                <w:sz w:val="22"/>
                <w:szCs w:val="22"/>
              </w:rPr>
              <w:t xml:space="preserve"> </w:t>
            </w:r>
            <w:proofErr w:type="spellStart"/>
            <w:r w:rsidRPr="00775FFA">
              <w:rPr>
                <w:sz w:val="22"/>
                <w:szCs w:val="22"/>
              </w:rPr>
              <w:t>neuromuskulárnych</w:t>
            </w:r>
            <w:proofErr w:type="spellEnd"/>
            <w:r w:rsidRPr="00775FFA">
              <w:rPr>
                <w:sz w:val="22"/>
                <w:szCs w:val="22"/>
              </w:rPr>
              <w:t xml:space="preserve"> </w:t>
            </w:r>
            <w:proofErr w:type="spellStart"/>
            <w:r w:rsidRPr="00775FFA">
              <w:rPr>
                <w:sz w:val="22"/>
                <w:szCs w:val="22"/>
              </w:rPr>
              <w:t>blokátoroch</w:t>
            </w:r>
            <w:proofErr w:type="spellEnd"/>
            <w:r w:rsidRPr="00775FFA">
              <w:rPr>
                <w:sz w:val="22"/>
                <w:szCs w:val="22"/>
              </w:rPr>
              <w:t>.</w:t>
            </w:r>
          </w:p>
        </w:tc>
      </w:tr>
      <w:tr w:rsidR="00263DE8" w:rsidRPr="00775FFA" w14:paraId="60D17802" w14:textId="77777777" w:rsidTr="00F51798">
        <w:tc>
          <w:tcPr>
            <w:tcW w:w="4393" w:type="dxa"/>
          </w:tcPr>
          <w:p w14:paraId="4BA6B73B" w14:textId="77777777" w:rsidR="000F2E71" w:rsidRPr="00775FFA" w:rsidRDefault="00263DE8" w:rsidP="008A1CFF">
            <w:pPr>
              <w:pStyle w:val="TableText"/>
              <w:overflowPunct w:val="0"/>
              <w:autoSpaceDE w:val="0"/>
              <w:autoSpaceDN w:val="0"/>
              <w:adjustRightInd w:val="0"/>
              <w:spacing w:before="0" w:after="0"/>
              <w:textAlignment w:val="baseline"/>
              <w:rPr>
                <w:rFonts w:ascii="Times New Roman" w:hAnsi="Times New Roman"/>
                <w:sz w:val="22"/>
                <w:szCs w:val="22"/>
              </w:rPr>
            </w:pPr>
            <w:proofErr w:type="spellStart"/>
            <w:r w:rsidRPr="00775FFA">
              <w:rPr>
                <w:rFonts w:ascii="Times New Roman" w:hAnsi="Times New Roman"/>
                <w:sz w:val="22"/>
                <w:szCs w:val="22"/>
              </w:rPr>
              <w:t>Anticholinesterázy</w:t>
            </w:r>
            <w:proofErr w:type="spellEnd"/>
          </w:p>
          <w:p w14:paraId="55D02EE5" w14:textId="77777777" w:rsidR="00263DE8" w:rsidRPr="00775FFA" w:rsidRDefault="00263DE8" w:rsidP="006E5190">
            <w:pPr>
              <w:rPr>
                <w:sz w:val="22"/>
                <w:szCs w:val="22"/>
              </w:rPr>
            </w:pPr>
          </w:p>
        </w:tc>
        <w:tc>
          <w:tcPr>
            <w:tcW w:w="4393" w:type="dxa"/>
          </w:tcPr>
          <w:p w14:paraId="2EA3E694" w14:textId="77777777" w:rsidR="00263DE8" w:rsidRPr="00775FFA" w:rsidRDefault="00263DE8" w:rsidP="006E5190">
            <w:pPr>
              <w:rPr>
                <w:sz w:val="22"/>
                <w:szCs w:val="22"/>
              </w:rPr>
            </w:pPr>
            <w:r w:rsidRPr="00775FFA">
              <w:rPr>
                <w:sz w:val="22"/>
                <w:szCs w:val="22"/>
              </w:rPr>
              <w:t>Kortikosteroidy môžu znižovať úč</w:t>
            </w:r>
            <w:r w:rsidR="00C125A7">
              <w:rPr>
                <w:sz w:val="22"/>
                <w:szCs w:val="22"/>
              </w:rPr>
              <w:t>i</w:t>
            </w:r>
            <w:r w:rsidRPr="00775FFA">
              <w:rPr>
                <w:sz w:val="22"/>
                <w:szCs w:val="22"/>
              </w:rPr>
              <w:t xml:space="preserve">nok </w:t>
            </w:r>
            <w:proofErr w:type="spellStart"/>
            <w:r w:rsidRPr="00775FFA">
              <w:rPr>
                <w:sz w:val="22"/>
                <w:szCs w:val="22"/>
              </w:rPr>
              <w:t>anticholinesteráz</w:t>
            </w:r>
            <w:proofErr w:type="spellEnd"/>
            <w:r w:rsidRPr="00775FFA">
              <w:rPr>
                <w:sz w:val="22"/>
                <w:szCs w:val="22"/>
              </w:rPr>
              <w:t xml:space="preserve"> pri </w:t>
            </w:r>
            <w:proofErr w:type="spellStart"/>
            <w:r w:rsidRPr="00775FFA">
              <w:rPr>
                <w:sz w:val="22"/>
                <w:szCs w:val="22"/>
              </w:rPr>
              <w:t>myasthenia</w:t>
            </w:r>
            <w:proofErr w:type="spellEnd"/>
            <w:r w:rsidRPr="00775FFA">
              <w:rPr>
                <w:sz w:val="22"/>
                <w:szCs w:val="22"/>
              </w:rPr>
              <w:t xml:space="preserve"> </w:t>
            </w:r>
            <w:proofErr w:type="spellStart"/>
            <w:r w:rsidRPr="00775FFA">
              <w:rPr>
                <w:sz w:val="22"/>
                <w:szCs w:val="22"/>
              </w:rPr>
              <w:t>gravis</w:t>
            </w:r>
            <w:proofErr w:type="spellEnd"/>
            <w:r w:rsidRPr="00775FFA">
              <w:rPr>
                <w:sz w:val="22"/>
                <w:szCs w:val="22"/>
              </w:rPr>
              <w:t>.</w:t>
            </w:r>
          </w:p>
        </w:tc>
      </w:tr>
      <w:tr w:rsidR="002E2095" w:rsidRPr="00775FFA" w14:paraId="73277F88" w14:textId="77777777" w:rsidTr="00F51798">
        <w:tc>
          <w:tcPr>
            <w:tcW w:w="4393" w:type="dxa"/>
          </w:tcPr>
          <w:p w14:paraId="5EF5C010" w14:textId="77777777" w:rsidR="002E2095" w:rsidRPr="00775FFA" w:rsidRDefault="002E2095" w:rsidP="006E5190">
            <w:pPr>
              <w:rPr>
                <w:sz w:val="22"/>
                <w:szCs w:val="22"/>
              </w:rPr>
            </w:pPr>
            <w:proofErr w:type="spellStart"/>
            <w:r w:rsidRPr="00775FFA">
              <w:rPr>
                <w:sz w:val="22"/>
                <w:szCs w:val="22"/>
              </w:rPr>
              <w:t>Antidiabetiká</w:t>
            </w:r>
            <w:proofErr w:type="spellEnd"/>
          </w:p>
        </w:tc>
        <w:tc>
          <w:tcPr>
            <w:tcW w:w="4393" w:type="dxa"/>
          </w:tcPr>
          <w:p w14:paraId="14D60FC4" w14:textId="77777777" w:rsidR="002E2095" w:rsidRPr="00775FFA" w:rsidRDefault="002E2095" w:rsidP="006E5190">
            <w:pPr>
              <w:rPr>
                <w:sz w:val="22"/>
                <w:szCs w:val="22"/>
              </w:rPr>
            </w:pPr>
            <w:r w:rsidRPr="00775FFA">
              <w:rPr>
                <w:sz w:val="22"/>
                <w:szCs w:val="22"/>
              </w:rPr>
              <w:t xml:space="preserve">Pretože kortikosteroidy môžu zvyšovať koncentrácie glukózy v krvi, môže byť potrebné </w:t>
            </w:r>
            <w:r w:rsidR="00255E1A" w:rsidRPr="00775FFA">
              <w:rPr>
                <w:sz w:val="22"/>
                <w:szCs w:val="22"/>
              </w:rPr>
              <w:t>u</w:t>
            </w:r>
            <w:r w:rsidRPr="00775FFA">
              <w:rPr>
                <w:sz w:val="22"/>
                <w:szCs w:val="22"/>
              </w:rPr>
              <w:t xml:space="preserve">praviť dávky </w:t>
            </w:r>
            <w:proofErr w:type="spellStart"/>
            <w:r w:rsidRPr="00775FFA">
              <w:rPr>
                <w:sz w:val="22"/>
                <w:szCs w:val="22"/>
              </w:rPr>
              <w:t>antidiabetík</w:t>
            </w:r>
            <w:proofErr w:type="spellEnd"/>
            <w:r w:rsidRPr="00775FFA">
              <w:rPr>
                <w:sz w:val="22"/>
                <w:szCs w:val="22"/>
              </w:rPr>
              <w:t>.</w:t>
            </w:r>
          </w:p>
        </w:tc>
      </w:tr>
      <w:tr w:rsidR="002E2095" w:rsidRPr="00775FFA" w14:paraId="58A110C3" w14:textId="77777777" w:rsidTr="00F51798">
        <w:tc>
          <w:tcPr>
            <w:tcW w:w="4393" w:type="dxa"/>
          </w:tcPr>
          <w:p w14:paraId="4D54807D" w14:textId="77777777" w:rsidR="002E2095" w:rsidRPr="00775FFA" w:rsidRDefault="002E2095" w:rsidP="006E5190">
            <w:pPr>
              <w:rPr>
                <w:sz w:val="22"/>
                <w:szCs w:val="22"/>
              </w:rPr>
            </w:pPr>
            <w:proofErr w:type="spellStart"/>
            <w:r w:rsidRPr="00775FFA">
              <w:rPr>
                <w:sz w:val="22"/>
                <w:szCs w:val="22"/>
              </w:rPr>
              <w:t>Antiemetiká</w:t>
            </w:r>
            <w:proofErr w:type="spellEnd"/>
          </w:p>
          <w:p w14:paraId="3DD20D75" w14:textId="77777777" w:rsidR="002E2095" w:rsidRPr="00775FFA" w:rsidRDefault="002E2095" w:rsidP="006E5190">
            <w:pPr>
              <w:rPr>
                <w:sz w:val="22"/>
                <w:szCs w:val="22"/>
              </w:rPr>
            </w:pPr>
            <w:r w:rsidRPr="00775FFA">
              <w:rPr>
                <w:sz w:val="22"/>
                <w:szCs w:val="22"/>
              </w:rPr>
              <w:t>APREPITANT</w:t>
            </w:r>
          </w:p>
          <w:p w14:paraId="3E5B175F" w14:textId="77777777" w:rsidR="002E2095" w:rsidRPr="00775FFA" w:rsidRDefault="002E2095" w:rsidP="006E5190">
            <w:pPr>
              <w:rPr>
                <w:sz w:val="22"/>
                <w:szCs w:val="22"/>
              </w:rPr>
            </w:pPr>
            <w:r w:rsidRPr="00775FFA">
              <w:rPr>
                <w:sz w:val="22"/>
                <w:szCs w:val="22"/>
              </w:rPr>
              <w:lastRenderedPageBreak/>
              <w:t>FOSAPREPITANT</w:t>
            </w:r>
          </w:p>
        </w:tc>
        <w:tc>
          <w:tcPr>
            <w:tcW w:w="4393" w:type="dxa"/>
          </w:tcPr>
          <w:p w14:paraId="479C777F" w14:textId="77777777" w:rsidR="002E2095" w:rsidRPr="00775FFA" w:rsidRDefault="002E2095" w:rsidP="006E5190">
            <w:pPr>
              <w:rPr>
                <w:sz w:val="22"/>
                <w:szCs w:val="22"/>
              </w:rPr>
            </w:pPr>
            <w:r w:rsidRPr="00775FFA">
              <w:rPr>
                <w:sz w:val="22"/>
                <w:szCs w:val="22"/>
              </w:rPr>
              <w:lastRenderedPageBreak/>
              <w:t>CYP3A4 INHIBÍTORY (a SUBSTRÁTY)</w:t>
            </w:r>
          </w:p>
        </w:tc>
      </w:tr>
      <w:tr w:rsidR="002E2095" w:rsidRPr="00775FFA" w14:paraId="4E9AC6B3" w14:textId="77777777" w:rsidTr="00F51798">
        <w:tc>
          <w:tcPr>
            <w:tcW w:w="4393" w:type="dxa"/>
          </w:tcPr>
          <w:p w14:paraId="360CE993" w14:textId="77777777" w:rsidR="002E2095" w:rsidRPr="00775FFA" w:rsidRDefault="002E2095" w:rsidP="006E5190">
            <w:pPr>
              <w:rPr>
                <w:sz w:val="22"/>
                <w:szCs w:val="22"/>
              </w:rPr>
            </w:pPr>
            <w:r w:rsidRPr="00775FFA">
              <w:rPr>
                <w:sz w:val="22"/>
                <w:szCs w:val="22"/>
              </w:rPr>
              <w:t>Antimykotiká</w:t>
            </w:r>
          </w:p>
          <w:p w14:paraId="286972FD" w14:textId="77777777" w:rsidR="002E2095" w:rsidRPr="00775FFA" w:rsidRDefault="002E2095" w:rsidP="006E5190">
            <w:pPr>
              <w:rPr>
                <w:sz w:val="22"/>
                <w:szCs w:val="22"/>
              </w:rPr>
            </w:pPr>
            <w:r w:rsidRPr="00775FFA">
              <w:rPr>
                <w:sz w:val="22"/>
                <w:szCs w:val="22"/>
              </w:rPr>
              <w:t>ITRAKONAZOL</w:t>
            </w:r>
          </w:p>
          <w:p w14:paraId="706D0B6E" w14:textId="77777777" w:rsidR="002E2095" w:rsidRPr="00775FFA" w:rsidRDefault="002E2095" w:rsidP="006E5190">
            <w:pPr>
              <w:rPr>
                <w:sz w:val="22"/>
                <w:szCs w:val="22"/>
              </w:rPr>
            </w:pPr>
            <w:r w:rsidRPr="00775FFA">
              <w:rPr>
                <w:sz w:val="22"/>
                <w:szCs w:val="22"/>
              </w:rPr>
              <w:t>KETOKONAZOL</w:t>
            </w:r>
          </w:p>
        </w:tc>
        <w:tc>
          <w:tcPr>
            <w:tcW w:w="4393" w:type="dxa"/>
          </w:tcPr>
          <w:p w14:paraId="225C6BA8" w14:textId="77777777" w:rsidR="002E2095" w:rsidRPr="00775FFA" w:rsidRDefault="002E2095" w:rsidP="006E5190">
            <w:pPr>
              <w:rPr>
                <w:sz w:val="22"/>
                <w:szCs w:val="22"/>
              </w:rPr>
            </w:pPr>
            <w:r w:rsidRPr="00775FFA">
              <w:rPr>
                <w:sz w:val="22"/>
                <w:szCs w:val="22"/>
              </w:rPr>
              <w:t>CYP3A4 INHIBÍTORY (a SUBSTRÁTY)</w:t>
            </w:r>
          </w:p>
        </w:tc>
      </w:tr>
      <w:tr w:rsidR="002E2095" w:rsidRPr="00775FFA" w14:paraId="52DE4AB7" w14:textId="77777777" w:rsidTr="00F51798">
        <w:tc>
          <w:tcPr>
            <w:tcW w:w="4393" w:type="dxa"/>
          </w:tcPr>
          <w:p w14:paraId="22C5A37C" w14:textId="77777777" w:rsidR="002E2095" w:rsidRPr="00775FFA" w:rsidRDefault="002E2095" w:rsidP="006E5190">
            <w:pPr>
              <w:rPr>
                <w:sz w:val="22"/>
                <w:szCs w:val="22"/>
              </w:rPr>
            </w:pPr>
            <w:proofErr w:type="spellStart"/>
            <w:r w:rsidRPr="00775FFA">
              <w:rPr>
                <w:sz w:val="22"/>
                <w:szCs w:val="22"/>
              </w:rPr>
              <w:t>Antivirotiká</w:t>
            </w:r>
            <w:proofErr w:type="spellEnd"/>
          </w:p>
          <w:p w14:paraId="131D9973" w14:textId="77777777" w:rsidR="002E2095" w:rsidRPr="00775FFA" w:rsidRDefault="002E2095" w:rsidP="006E5190">
            <w:pPr>
              <w:rPr>
                <w:sz w:val="22"/>
                <w:szCs w:val="22"/>
              </w:rPr>
            </w:pPr>
            <w:r w:rsidRPr="00775FFA">
              <w:rPr>
                <w:sz w:val="22"/>
                <w:szCs w:val="22"/>
              </w:rPr>
              <w:t>INHIBÍTORY HIV-PROTEÁZY</w:t>
            </w:r>
          </w:p>
        </w:tc>
        <w:tc>
          <w:tcPr>
            <w:tcW w:w="4393" w:type="dxa"/>
          </w:tcPr>
          <w:p w14:paraId="71949C9A" w14:textId="77777777" w:rsidR="00263DE8" w:rsidRPr="00775FFA" w:rsidRDefault="0024227C" w:rsidP="006E5190">
            <w:r w:rsidRPr="00775FFA">
              <w:rPr>
                <w:sz w:val="22"/>
                <w:szCs w:val="22"/>
              </w:rPr>
              <w:t>CYP3A4 INHIBÍTORY (a SUBSTRÁTY)</w:t>
            </w:r>
          </w:p>
          <w:p w14:paraId="6D48B940" w14:textId="77777777" w:rsidR="002E2095" w:rsidRPr="00775FFA" w:rsidRDefault="00EE0449" w:rsidP="006E5190">
            <w:pPr>
              <w:rPr>
                <w:sz w:val="22"/>
                <w:szCs w:val="22"/>
              </w:rPr>
            </w:pPr>
            <w:r w:rsidRPr="00775FFA">
              <w:rPr>
                <w:sz w:val="22"/>
                <w:szCs w:val="22"/>
              </w:rPr>
              <w:t xml:space="preserve">1) </w:t>
            </w:r>
            <w:r w:rsidR="002E2095" w:rsidRPr="00775FFA">
              <w:rPr>
                <w:sz w:val="22"/>
                <w:szCs w:val="22"/>
              </w:rPr>
              <w:t xml:space="preserve">Inhibítory proteázy, ako sú </w:t>
            </w:r>
            <w:proofErr w:type="spellStart"/>
            <w:r w:rsidR="002E2095" w:rsidRPr="00775FFA">
              <w:rPr>
                <w:sz w:val="22"/>
                <w:szCs w:val="22"/>
              </w:rPr>
              <w:t>indinavir</w:t>
            </w:r>
            <w:proofErr w:type="spellEnd"/>
            <w:r w:rsidR="00263DE8" w:rsidRPr="00775FFA">
              <w:rPr>
                <w:sz w:val="22"/>
                <w:szCs w:val="22"/>
              </w:rPr>
              <w:t xml:space="preserve"> </w:t>
            </w:r>
            <w:r w:rsidR="002E2095" w:rsidRPr="00775FFA">
              <w:rPr>
                <w:sz w:val="22"/>
                <w:szCs w:val="22"/>
              </w:rPr>
              <w:t>a ritonavir môžu zvýšiť plazmatické koncentrácie kortikosteroidov.</w:t>
            </w:r>
          </w:p>
          <w:p w14:paraId="19F7CF74" w14:textId="77777777" w:rsidR="008104F0" w:rsidRPr="00775FFA" w:rsidRDefault="00540851" w:rsidP="006E5190">
            <w:pPr>
              <w:rPr>
                <w:sz w:val="22"/>
                <w:szCs w:val="22"/>
              </w:rPr>
            </w:pPr>
            <w:r w:rsidRPr="00775FFA">
              <w:rPr>
                <w:sz w:val="22"/>
                <w:szCs w:val="22"/>
              </w:rPr>
              <w:t>2) Kortikosteroidy môžu indukovať metabolizmus inhibítorov HIV-proteáz, čo má za následok znížené plazmatické koncentrácie.</w:t>
            </w:r>
          </w:p>
        </w:tc>
      </w:tr>
      <w:tr w:rsidR="002E2095" w:rsidRPr="00775FFA" w14:paraId="235CB806" w14:textId="77777777" w:rsidTr="00F51798">
        <w:tc>
          <w:tcPr>
            <w:tcW w:w="4393" w:type="dxa"/>
          </w:tcPr>
          <w:p w14:paraId="34E52373" w14:textId="77777777" w:rsidR="002E2095" w:rsidRPr="00775FFA" w:rsidRDefault="002E2095" w:rsidP="006E5190">
            <w:pPr>
              <w:rPr>
                <w:sz w:val="22"/>
                <w:szCs w:val="22"/>
              </w:rPr>
            </w:pPr>
            <w:r w:rsidRPr="00775FFA">
              <w:rPr>
                <w:sz w:val="22"/>
                <w:szCs w:val="22"/>
              </w:rPr>
              <w:t xml:space="preserve">Inhibítory </w:t>
            </w:r>
            <w:proofErr w:type="spellStart"/>
            <w:r w:rsidRPr="00775FFA">
              <w:rPr>
                <w:sz w:val="22"/>
                <w:szCs w:val="22"/>
              </w:rPr>
              <w:t>aromatázy</w:t>
            </w:r>
            <w:proofErr w:type="spellEnd"/>
          </w:p>
          <w:p w14:paraId="558DCBDE" w14:textId="77777777" w:rsidR="002E2095" w:rsidRPr="00775FFA" w:rsidRDefault="002E2095" w:rsidP="006E5190">
            <w:pPr>
              <w:rPr>
                <w:sz w:val="22"/>
                <w:szCs w:val="22"/>
              </w:rPr>
            </w:pPr>
            <w:r w:rsidRPr="00775FFA">
              <w:rPr>
                <w:sz w:val="22"/>
                <w:szCs w:val="22"/>
              </w:rPr>
              <w:t>AMINOGLUTETIMID</w:t>
            </w:r>
          </w:p>
        </w:tc>
        <w:tc>
          <w:tcPr>
            <w:tcW w:w="4393" w:type="dxa"/>
          </w:tcPr>
          <w:p w14:paraId="3BD2DC5D" w14:textId="77777777" w:rsidR="002E2095" w:rsidRPr="00775FFA" w:rsidRDefault="002E2095" w:rsidP="006E5190">
            <w:pPr>
              <w:rPr>
                <w:sz w:val="22"/>
                <w:szCs w:val="22"/>
              </w:rPr>
            </w:pPr>
            <w:proofErr w:type="spellStart"/>
            <w:r w:rsidRPr="00775FFA">
              <w:rPr>
                <w:sz w:val="22"/>
                <w:szCs w:val="22"/>
              </w:rPr>
              <w:t>Adrenálna</w:t>
            </w:r>
            <w:proofErr w:type="spellEnd"/>
            <w:r w:rsidRPr="00775FFA">
              <w:rPr>
                <w:sz w:val="22"/>
                <w:szCs w:val="22"/>
              </w:rPr>
              <w:t xml:space="preserve"> </w:t>
            </w:r>
            <w:proofErr w:type="spellStart"/>
            <w:r w:rsidRPr="00775FFA">
              <w:rPr>
                <w:sz w:val="22"/>
                <w:szCs w:val="22"/>
              </w:rPr>
              <w:t>supresia</w:t>
            </w:r>
            <w:proofErr w:type="spellEnd"/>
            <w:r w:rsidRPr="00775FFA">
              <w:rPr>
                <w:sz w:val="22"/>
                <w:szCs w:val="22"/>
              </w:rPr>
              <w:t xml:space="preserve"> indukovaná </w:t>
            </w:r>
            <w:proofErr w:type="spellStart"/>
            <w:r w:rsidRPr="00775FFA">
              <w:rPr>
                <w:sz w:val="22"/>
                <w:szCs w:val="22"/>
              </w:rPr>
              <w:t>aminoglutetimidom</w:t>
            </w:r>
            <w:proofErr w:type="spellEnd"/>
            <w:r w:rsidRPr="00775FFA">
              <w:rPr>
                <w:sz w:val="22"/>
                <w:szCs w:val="22"/>
              </w:rPr>
              <w:t xml:space="preserve"> môže </w:t>
            </w:r>
            <w:r w:rsidR="00263DE8" w:rsidRPr="00775FFA">
              <w:rPr>
                <w:sz w:val="22"/>
                <w:szCs w:val="22"/>
              </w:rPr>
              <w:t xml:space="preserve">zhoršovať </w:t>
            </w:r>
            <w:r w:rsidRPr="00775FFA">
              <w:rPr>
                <w:sz w:val="22"/>
                <w:szCs w:val="22"/>
              </w:rPr>
              <w:t>endokrinn</w:t>
            </w:r>
            <w:r w:rsidR="00263DE8" w:rsidRPr="00775FFA">
              <w:rPr>
                <w:sz w:val="22"/>
                <w:szCs w:val="22"/>
              </w:rPr>
              <w:t>é</w:t>
            </w:r>
            <w:r w:rsidRPr="00775FFA">
              <w:rPr>
                <w:sz w:val="22"/>
                <w:szCs w:val="22"/>
              </w:rPr>
              <w:t xml:space="preserve"> por</w:t>
            </w:r>
            <w:r w:rsidR="00263DE8" w:rsidRPr="00775FFA">
              <w:rPr>
                <w:sz w:val="22"/>
                <w:szCs w:val="22"/>
              </w:rPr>
              <w:t>uchy</w:t>
            </w:r>
            <w:r w:rsidRPr="00775FFA">
              <w:rPr>
                <w:sz w:val="22"/>
                <w:szCs w:val="22"/>
              </w:rPr>
              <w:t xml:space="preserve"> v dôsledku dlhodobej liečby glukokortikoidmi.</w:t>
            </w:r>
          </w:p>
        </w:tc>
      </w:tr>
      <w:tr w:rsidR="002E2095" w:rsidRPr="00775FFA" w14:paraId="2432E222" w14:textId="77777777" w:rsidTr="00F51798">
        <w:tc>
          <w:tcPr>
            <w:tcW w:w="4393" w:type="dxa"/>
          </w:tcPr>
          <w:p w14:paraId="370C88A9" w14:textId="77777777" w:rsidR="002E2095" w:rsidRPr="00775FFA" w:rsidRDefault="002E2095" w:rsidP="006E5190">
            <w:pPr>
              <w:rPr>
                <w:sz w:val="22"/>
                <w:szCs w:val="22"/>
              </w:rPr>
            </w:pPr>
            <w:proofErr w:type="spellStart"/>
            <w:r w:rsidRPr="00775FFA">
              <w:rPr>
                <w:sz w:val="22"/>
                <w:szCs w:val="22"/>
              </w:rPr>
              <w:t>Blokátor</w:t>
            </w:r>
            <w:proofErr w:type="spellEnd"/>
            <w:r w:rsidRPr="00775FFA">
              <w:rPr>
                <w:sz w:val="22"/>
                <w:szCs w:val="22"/>
              </w:rPr>
              <w:t xml:space="preserve"> kalciových kanálov</w:t>
            </w:r>
          </w:p>
          <w:p w14:paraId="76E383FF" w14:textId="77777777" w:rsidR="002E2095" w:rsidRPr="00775FFA" w:rsidRDefault="002E2095" w:rsidP="006E5190">
            <w:pPr>
              <w:rPr>
                <w:sz w:val="22"/>
                <w:szCs w:val="22"/>
              </w:rPr>
            </w:pPr>
            <w:r w:rsidRPr="00775FFA">
              <w:rPr>
                <w:sz w:val="22"/>
                <w:szCs w:val="22"/>
              </w:rPr>
              <w:t>DILTIAZEM</w:t>
            </w:r>
          </w:p>
        </w:tc>
        <w:tc>
          <w:tcPr>
            <w:tcW w:w="4393" w:type="dxa"/>
          </w:tcPr>
          <w:p w14:paraId="114BCE38" w14:textId="77777777" w:rsidR="002E2095" w:rsidRPr="00775FFA" w:rsidRDefault="002E2095" w:rsidP="006E5190">
            <w:pPr>
              <w:rPr>
                <w:sz w:val="22"/>
                <w:szCs w:val="22"/>
              </w:rPr>
            </w:pPr>
            <w:r w:rsidRPr="00775FFA">
              <w:rPr>
                <w:sz w:val="22"/>
                <w:szCs w:val="22"/>
              </w:rPr>
              <w:t>CYP3A4 INHIBÍTOR (a SUBSTRÁT)</w:t>
            </w:r>
          </w:p>
        </w:tc>
      </w:tr>
      <w:tr w:rsidR="002E2095" w:rsidRPr="00775FFA" w14:paraId="74D4B794" w14:textId="77777777" w:rsidTr="00F51798">
        <w:tc>
          <w:tcPr>
            <w:tcW w:w="4393" w:type="dxa"/>
          </w:tcPr>
          <w:p w14:paraId="4F19F723" w14:textId="77777777" w:rsidR="002E2095" w:rsidRPr="00775FFA" w:rsidRDefault="002E2095" w:rsidP="006E5190">
            <w:pPr>
              <w:rPr>
                <w:sz w:val="22"/>
                <w:szCs w:val="22"/>
              </w:rPr>
            </w:pPr>
            <w:proofErr w:type="spellStart"/>
            <w:r w:rsidRPr="00775FFA">
              <w:rPr>
                <w:sz w:val="22"/>
                <w:szCs w:val="22"/>
              </w:rPr>
              <w:t>Kontraceptíva</w:t>
            </w:r>
            <w:proofErr w:type="spellEnd"/>
            <w:r w:rsidRPr="00775FFA">
              <w:rPr>
                <w:sz w:val="22"/>
                <w:szCs w:val="22"/>
              </w:rPr>
              <w:t xml:space="preserve"> (perorálne)</w:t>
            </w:r>
          </w:p>
          <w:p w14:paraId="322AC9D0" w14:textId="77777777" w:rsidR="002E2095" w:rsidRPr="00775FFA" w:rsidRDefault="002E2095" w:rsidP="006E5190">
            <w:pPr>
              <w:rPr>
                <w:sz w:val="22"/>
                <w:szCs w:val="22"/>
              </w:rPr>
            </w:pPr>
            <w:r w:rsidRPr="00775FFA">
              <w:rPr>
                <w:sz w:val="22"/>
                <w:szCs w:val="22"/>
              </w:rPr>
              <w:t>ETINYLESTRADIOL/NORETINDRÓN</w:t>
            </w:r>
          </w:p>
        </w:tc>
        <w:tc>
          <w:tcPr>
            <w:tcW w:w="4393" w:type="dxa"/>
          </w:tcPr>
          <w:p w14:paraId="2E8D1112" w14:textId="77777777" w:rsidR="002E2095" w:rsidRPr="00775FFA" w:rsidRDefault="002E2095" w:rsidP="006E5190">
            <w:pPr>
              <w:rPr>
                <w:sz w:val="22"/>
                <w:szCs w:val="22"/>
              </w:rPr>
            </w:pPr>
            <w:r w:rsidRPr="00775FFA">
              <w:rPr>
                <w:sz w:val="22"/>
                <w:szCs w:val="22"/>
              </w:rPr>
              <w:t>CYP3A4 INHIBÍTOR (a SUBSTRÁT)</w:t>
            </w:r>
          </w:p>
        </w:tc>
      </w:tr>
      <w:tr w:rsidR="002E2095" w:rsidRPr="00775FFA" w14:paraId="56F9DD5E" w14:textId="77777777" w:rsidTr="00F51798">
        <w:tc>
          <w:tcPr>
            <w:tcW w:w="4393" w:type="dxa"/>
          </w:tcPr>
          <w:p w14:paraId="1F939304" w14:textId="77777777" w:rsidR="002E2095" w:rsidRPr="00775FFA" w:rsidRDefault="002E2095" w:rsidP="006E5190">
            <w:pPr>
              <w:rPr>
                <w:sz w:val="22"/>
                <w:szCs w:val="22"/>
              </w:rPr>
            </w:pPr>
            <w:r w:rsidRPr="00775FFA">
              <w:rPr>
                <w:sz w:val="22"/>
                <w:szCs w:val="22"/>
              </w:rPr>
              <w:t>GRAPEFRUITOVÁ ŠŤAVA</w:t>
            </w:r>
          </w:p>
        </w:tc>
        <w:tc>
          <w:tcPr>
            <w:tcW w:w="4393" w:type="dxa"/>
          </w:tcPr>
          <w:p w14:paraId="7B7BC9CE" w14:textId="77777777" w:rsidR="002E2095" w:rsidRPr="00775FFA" w:rsidRDefault="002E2095" w:rsidP="006E5190">
            <w:pPr>
              <w:rPr>
                <w:sz w:val="22"/>
                <w:szCs w:val="22"/>
              </w:rPr>
            </w:pPr>
            <w:r w:rsidRPr="00775FFA">
              <w:rPr>
                <w:sz w:val="22"/>
                <w:szCs w:val="22"/>
              </w:rPr>
              <w:t>CYP3A4 INHIBÍTOR</w:t>
            </w:r>
          </w:p>
        </w:tc>
      </w:tr>
      <w:tr w:rsidR="002E2095" w:rsidRPr="00775FFA" w14:paraId="6B4A2549" w14:textId="77777777" w:rsidTr="00F51798">
        <w:tc>
          <w:tcPr>
            <w:tcW w:w="4393" w:type="dxa"/>
          </w:tcPr>
          <w:p w14:paraId="4AAE50F7" w14:textId="77777777" w:rsidR="002E2095" w:rsidRPr="00775FFA" w:rsidRDefault="002E2095" w:rsidP="006E5190">
            <w:pPr>
              <w:rPr>
                <w:sz w:val="22"/>
                <w:szCs w:val="22"/>
              </w:rPr>
            </w:pPr>
            <w:proofErr w:type="spellStart"/>
            <w:r w:rsidRPr="00775FFA">
              <w:rPr>
                <w:sz w:val="22"/>
                <w:szCs w:val="22"/>
              </w:rPr>
              <w:t>Imunosupresíva</w:t>
            </w:r>
            <w:proofErr w:type="spellEnd"/>
          </w:p>
          <w:p w14:paraId="1C64EA33" w14:textId="77777777" w:rsidR="002E2095" w:rsidRPr="00775FFA" w:rsidRDefault="002E2095" w:rsidP="006E5190">
            <w:pPr>
              <w:rPr>
                <w:sz w:val="22"/>
                <w:szCs w:val="22"/>
              </w:rPr>
            </w:pPr>
            <w:r w:rsidRPr="00775FFA">
              <w:rPr>
                <w:sz w:val="22"/>
                <w:szCs w:val="22"/>
              </w:rPr>
              <w:t>CYKLOSPORÍN</w:t>
            </w:r>
          </w:p>
        </w:tc>
        <w:tc>
          <w:tcPr>
            <w:tcW w:w="4393" w:type="dxa"/>
          </w:tcPr>
          <w:p w14:paraId="66797187" w14:textId="77777777" w:rsidR="002E2095" w:rsidRPr="00775FFA" w:rsidRDefault="002E2095" w:rsidP="006E5190">
            <w:pPr>
              <w:rPr>
                <w:sz w:val="22"/>
                <w:szCs w:val="22"/>
              </w:rPr>
            </w:pPr>
            <w:r w:rsidRPr="00775FFA">
              <w:rPr>
                <w:sz w:val="22"/>
                <w:szCs w:val="22"/>
              </w:rPr>
              <w:t>CYP3A4 INHIBÍTOR (a SUBSTRÁT)</w:t>
            </w:r>
          </w:p>
          <w:p w14:paraId="5C05416D" w14:textId="77777777" w:rsidR="000F2E71" w:rsidRPr="0023657A" w:rsidRDefault="00DA27A1" w:rsidP="008A1CFF">
            <w:pPr>
              <w:rPr>
                <w:sz w:val="22"/>
                <w:szCs w:val="22"/>
              </w:rPr>
            </w:pPr>
            <w:r w:rsidRPr="00775FFA">
              <w:rPr>
                <w:sz w:val="22"/>
                <w:szCs w:val="22"/>
              </w:rPr>
              <w:t xml:space="preserve">1) </w:t>
            </w:r>
            <w:r w:rsidR="002E2095" w:rsidRPr="00775FFA">
              <w:rPr>
                <w:sz w:val="22"/>
                <w:szCs w:val="22"/>
              </w:rPr>
              <w:t xml:space="preserve">Ku vzájomnej inhibícii metabolizmu dochádza pri súbežnom podaní </w:t>
            </w:r>
            <w:proofErr w:type="spellStart"/>
            <w:r w:rsidR="002E2095" w:rsidRPr="00775FFA">
              <w:rPr>
                <w:sz w:val="22"/>
                <w:szCs w:val="22"/>
              </w:rPr>
              <w:t>cyklosporínu</w:t>
            </w:r>
            <w:proofErr w:type="spellEnd"/>
            <w:r w:rsidR="002E2095" w:rsidRPr="00775FFA">
              <w:rPr>
                <w:sz w:val="22"/>
                <w:szCs w:val="22"/>
              </w:rPr>
              <w:t xml:space="preserve"> a </w:t>
            </w:r>
            <w:proofErr w:type="spellStart"/>
            <w:r w:rsidR="002E2095" w:rsidRPr="00775FFA">
              <w:rPr>
                <w:sz w:val="22"/>
                <w:szCs w:val="22"/>
              </w:rPr>
              <w:t>metylprednizolónu</w:t>
            </w:r>
            <w:proofErr w:type="spellEnd"/>
            <w:r w:rsidR="002E2095" w:rsidRPr="00775FFA">
              <w:rPr>
                <w:sz w:val="22"/>
                <w:szCs w:val="22"/>
              </w:rPr>
              <w:t xml:space="preserve">, následkom čoho dochádza ku zvýšeniu plazmatických </w:t>
            </w:r>
            <w:r w:rsidR="002E2095" w:rsidRPr="0023657A">
              <w:rPr>
                <w:sz w:val="22"/>
                <w:szCs w:val="22"/>
              </w:rPr>
              <w:t xml:space="preserve">koncentrácií jedného alebo oboch liekov. </w:t>
            </w:r>
            <w:r w:rsidR="0023657A">
              <w:rPr>
                <w:sz w:val="22"/>
                <w:szCs w:val="22"/>
              </w:rPr>
              <w:t>Preto je možné, že nežiaduce udalosti súvisiace s používaním jednotlivého liečiva sa môžu s vyššou pravdepodobnosťou vyskytovať po súbežnom podávaní</w:t>
            </w:r>
            <w:r w:rsidR="0023657A" w:rsidRPr="006B156F">
              <w:rPr>
                <w:sz w:val="22"/>
                <w:szCs w:val="22"/>
              </w:rPr>
              <w:t>.</w:t>
            </w:r>
          </w:p>
          <w:p w14:paraId="50ABD654" w14:textId="77777777" w:rsidR="000F2E71" w:rsidRPr="0023657A" w:rsidRDefault="00DA27A1" w:rsidP="008A1CFF">
            <w:pPr>
              <w:rPr>
                <w:sz w:val="22"/>
                <w:szCs w:val="22"/>
              </w:rPr>
            </w:pPr>
            <w:r w:rsidRPr="0023657A">
              <w:rPr>
                <w:sz w:val="22"/>
                <w:szCs w:val="22"/>
              </w:rPr>
              <w:t xml:space="preserve">2) </w:t>
            </w:r>
            <w:r w:rsidR="002E2095" w:rsidRPr="00EA3452">
              <w:rPr>
                <w:sz w:val="22"/>
                <w:szCs w:val="22"/>
              </w:rPr>
              <w:t xml:space="preserve">Pri súbežnom užívaní </w:t>
            </w:r>
            <w:proofErr w:type="spellStart"/>
            <w:r w:rsidR="002E2095" w:rsidRPr="00EA3452">
              <w:rPr>
                <w:sz w:val="22"/>
                <w:szCs w:val="22"/>
              </w:rPr>
              <w:t>metylprednizolónu</w:t>
            </w:r>
            <w:proofErr w:type="spellEnd"/>
            <w:r w:rsidR="002E2095" w:rsidRPr="00EA3452">
              <w:rPr>
                <w:sz w:val="22"/>
                <w:szCs w:val="22"/>
              </w:rPr>
              <w:t xml:space="preserve"> a </w:t>
            </w:r>
            <w:proofErr w:type="spellStart"/>
            <w:r w:rsidR="002E2095" w:rsidRPr="00EA3452">
              <w:rPr>
                <w:sz w:val="22"/>
                <w:szCs w:val="22"/>
              </w:rPr>
              <w:t>cyklosporínu</w:t>
            </w:r>
            <w:proofErr w:type="spellEnd"/>
            <w:r w:rsidR="002E2095" w:rsidRPr="00EA3452">
              <w:rPr>
                <w:sz w:val="22"/>
                <w:szCs w:val="22"/>
              </w:rPr>
              <w:t xml:space="preserve"> boli hlásené kŕče</w:t>
            </w:r>
            <w:r w:rsidR="0023657A">
              <w:rPr>
                <w:sz w:val="22"/>
                <w:szCs w:val="22"/>
              </w:rPr>
              <w:t xml:space="preserve"> (pozri časť 4.8)</w:t>
            </w:r>
            <w:r w:rsidR="002E2095" w:rsidRPr="0023657A">
              <w:rPr>
                <w:sz w:val="22"/>
                <w:szCs w:val="22"/>
              </w:rPr>
              <w:t>.</w:t>
            </w:r>
          </w:p>
        </w:tc>
      </w:tr>
      <w:tr w:rsidR="002E2095" w:rsidRPr="00775FFA" w14:paraId="12E463C7" w14:textId="77777777" w:rsidTr="00F51798">
        <w:tc>
          <w:tcPr>
            <w:tcW w:w="4393" w:type="dxa"/>
          </w:tcPr>
          <w:p w14:paraId="16855A62" w14:textId="77777777" w:rsidR="002E2095" w:rsidRPr="00775FFA" w:rsidRDefault="002E2095" w:rsidP="006E5190">
            <w:pPr>
              <w:rPr>
                <w:sz w:val="22"/>
                <w:szCs w:val="22"/>
              </w:rPr>
            </w:pPr>
            <w:proofErr w:type="spellStart"/>
            <w:r w:rsidRPr="00775FFA">
              <w:rPr>
                <w:sz w:val="22"/>
                <w:szCs w:val="22"/>
              </w:rPr>
              <w:t>Imunosupresíva</w:t>
            </w:r>
            <w:proofErr w:type="spellEnd"/>
          </w:p>
          <w:p w14:paraId="14E914A1" w14:textId="77777777" w:rsidR="002E2095" w:rsidRPr="00775FFA" w:rsidRDefault="002E2095" w:rsidP="006E5190">
            <w:pPr>
              <w:rPr>
                <w:sz w:val="22"/>
                <w:szCs w:val="22"/>
              </w:rPr>
            </w:pPr>
            <w:r w:rsidRPr="00775FFA">
              <w:rPr>
                <w:sz w:val="22"/>
                <w:szCs w:val="22"/>
              </w:rPr>
              <w:t>CYKLOFOSFAMID</w:t>
            </w:r>
          </w:p>
          <w:p w14:paraId="4CC932B7" w14:textId="77777777" w:rsidR="002E2095" w:rsidRPr="00775FFA" w:rsidRDefault="002E2095" w:rsidP="006E5190">
            <w:pPr>
              <w:rPr>
                <w:sz w:val="22"/>
                <w:szCs w:val="22"/>
              </w:rPr>
            </w:pPr>
            <w:r w:rsidRPr="00775FFA">
              <w:rPr>
                <w:sz w:val="22"/>
                <w:szCs w:val="22"/>
              </w:rPr>
              <w:t>TAKROLIMUS</w:t>
            </w:r>
          </w:p>
        </w:tc>
        <w:tc>
          <w:tcPr>
            <w:tcW w:w="4393" w:type="dxa"/>
          </w:tcPr>
          <w:p w14:paraId="5DAB623B" w14:textId="77777777" w:rsidR="002E2095" w:rsidRPr="00775FFA" w:rsidRDefault="002E2095" w:rsidP="006E5190">
            <w:pPr>
              <w:rPr>
                <w:sz w:val="22"/>
                <w:szCs w:val="22"/>
              </w:rPr>
            </w:pPr>
            <w:r w:rsidRPr="00775FFA">
              <w:rPr>
                <w:sz w:val="22"/>
                <w:szCs w:val="22"/>
              </w:rPr>
              <w:t>CYP3A4 SUBSTRÁTY</w:t>
            </w:r>
          </w:p>
        </w:tc>
      </w:tr>
      <w:tr w:rsidR="002E2095" w:rsidRPr="00775FFA" w14:paraId="6C308337" w14:textId="77777777" w:rsidTr="00F51798">
        <w:tc>
          <w:tcPr>
            <w:tcW w:w="4393" w:type="dxa"/>
          </w:tcPr>
          <w:p w14:paraId="5ED483CF" w14:textId="77777777" w:rsidR="002E2095" w:rsidRPr="00775FFA" w:rsidRDefault="002E2095" w:rsidP="006E5190">
            <w:pPr>
              <w:rPr>
                <w:sz w:val="22"/>
                <w:szCs w:val="22"/>
              </w:rPr>
            </w:pPr>
            <w:proofErr w:type="spellStart"/>
            <w:r w:rsidRPr="00775FFA">
              <w:rPr>
                <w:sz w:val="22"/>
                <w:szCs w:val="22"/>
              </w:rPr>
              <w:t>Makrolidové</w:t>
            </w:r>
            <w:proofErr w:type="spellEnd"/>
            <w:r w:rsidRPr="00775FFA">
              <w:rPr>
                <w:sz w:val="22"/>
                <w:szCs w:val="22"/>
              </w:rPr>
              <w:t xml:space="preserve"> antibiotiká</w:t>
            </w:r>
          </w:p>
          <w:p w14:paraId="19D19716" w14:textId="77777777" w:rsidR="002E2095" w:rsidRPr="00775FFA" w:rsidRDefault="002E2095" w:rsidP="006E5190">
            <w:pPr>
              <w:rPr>
                <w:sz w:val="22"/>
                <w:szCs w:val="22"/>
              </w:rPr>
            </w:pPr>
            <w:r w:rsidRPr="00775FFA">
              <w:rPr>
                <w:sz w:val="22"/>
                <w:szCs w:val="22"/>
              </w:rPr>
              <w:t>KLARITROMYCÍN</w:t>
            </w:r>
          </w:p>
          <w:p w14:paraId="189DD646" w14:textId="77777777" w:rsidR="002E2095" w:rsidRPr="00775FFA" w:rsidRDefault="002E2095" w:rsidP="006E5190">
            <w:pPr>
              <w:rPr>
                <w:sz w:val="22"/>
                <w:szCs w:val="22"/>
              </w:rPr>
            </w:pPr>
            <w:r w:rsidRPr="00775FFA">
              <w:rPr>
                <w:sz w:val="22"/>
                <w:szCs w:val="22"/>
              </w:rPr>
              <w:t>ERYTROMYCÍN</w:t>
            </w:r>
          </w:p>
        </w:tc>
        <w:tc>
          <w:tcPr>
            <w:tcW w:w="4393" w:type="dxa"/>
          </w:tcPr>
          <w:p w14:paraId="7A320681" w14:textId="77777777" w:rsidR="002E2095" w:rsidRPr="00775FFA" w:rsidRDefault="002E2095" w:rsidP="006E5190">
            <w:pPr>
              <w:rPr>
                <w:sz w:val="22"/>
                <w:szCs w:val="22"/>
              </w:rPr>
            </w:pPr>
            <w:r w:rsidRPr="00775FFA">
              <w:rPr>
                <w:sz w:val="22"/>
                <w:szCs w:val="22"/>
              </w:rPr>
              <w:t>CYP3A4 INHIBÍTORY (a SUBSTRÁTY)</w:t>
            </w:r>
          </w:p>
        </w:tc>
      </w:tr>
      <w:tr w:rsidR="002E2095" w:rsidRPr="00775FFA" w14:paraId="7A1F8F68" w14:textId="77777777" w:rsidTr="00F51798">
        <w:tc>
          <w:tcPr>
            <w:tcW w:w="4393" w:type="dxa"/>
          </w:tcPr>
          <w:p w14:paraId="1C26B4AB" w14:textId="77777777" w:rsidR="002E2095" w:rsidRPr="00775FFA" w:rsidRDefault="002E2095" w:rsidP="006E5190">
            <w:pPr>
              <w:rPr>
                <w:sz w:val="22"/>
                <w:szCs w:val="22"/>
              </w:rPr>
            </w:pPr>
            <w:proofErr w:type="spellStart"/>
            <w:r w:rsidRPr="00775FFA">
              <w:rPr>
                <w:sz w:val="22"/>
                <w:szCs w:val="22"/>
              </w:rPr>
              <w:t>Makrolidové</w:t>
            </w:r>
            <w:proofErr w:type="spellEnd"/>
            <w:r w:rsidRPr="00775FFA">
              <w:rPr>
                <w:sz w:val="22"/>
                <w:szCs w:val="22"/>
              </w:rPr>
              <w:t xml:space="preserve"> antibiotiká</w:t>
            </w:r>
          </w:p>
          <w:p w14:paraId="13EDB5F4" w14:textId="77777777" w:rsidR="002E2095" w:rsidRPr="00775FFA" w:rsidRDefault="002E2095" w:rsidP="006E5190">
            <w:pPr>
              <w:rPr>
                <w:sz w:val="22"/>
                <w:szCs w:val="22"/>
              </w:rPr>
            </w:pPr>
            <w:r w:rsidRPr="00775FFA">
              <w:rPr>
                <w:sz w:val="22"/>
                <w:szCs w:val="22"/>
              </w:rPr>
              <w:t>TROLEANDOMYCÍN</w:t>
            </w:r>
          </w:p>
        </w:tc>
        <w:tc>
          <w:tcPr>
            <w:tcW w:w="4393" w:type="dxa"/>
          </w:tcPr>
          <w:p w14:paraId="2169FD1A" w14:textId="77777777" w:rsidR="002E2095" w:rsidRPr="00775FFA" w:rsidRDefault="002E2095" w:rsidP="006E5190">
            <w:pPr>
              <w:rPr>
                <w:sz w:val="22"/>
                <w:szCs w:val="22"/>
              </w:rPr>
            </w:pPr>
            <w:r w:rsidRPr="00775FFA">
              <w:rPr>
                <w:sz w:val="22"/>
                <w:szCs w:val="22"/>
              </w:rPr>
              <w:t>CYP3A4 INHIBÍTOR</w:t>
            </w:r>
          </w:p>
        </w:tc>
      </w:tr>
      <w:tr w:rsidR="002E2095" w:rsidRPr="00775FFA" w14:paraId="38D8380E" w14:textId="77777777" w:rsidTr="00F51798">
        <w:tc>
          <w:tcPr>
            <w:tcW w:w="4393" w:type="dxa"/>
          </w:tcPr>
          <w:p w14:paraId="27CD7521" w14:textId="77777777" w:rsidR="002E2095" w:rsidRPr="0023657A" w:rsidRDefault="002E2095" w:rsidP="006E5190">
            <w:pPr>
              <w:rPr>
                <w:sz w:val="22"/>
                <w:szCs w:val="22"/>
              </w:rPr>
            </w:pPr>
            <w:r w:rsidRPr="0023657A">
              <w:rPr>
                <w:sz w:val="22"/>
                <w:szCs w:val="22"/>
              </w:rPr>
              <w:t>NSA</w:t>
            </w:r>
            <w:r w:rsidR="00EE0449" w:rsidRPr="0023657A">
              <w:rPr>
                <w:sz w:val="22"/>
                <w:szCs w:val="22"/>
              </w:rPr>
              <w:t>ID</w:t>
            </w:r>
            <w:r w:rsidRPr="0023657A">
              <w:rPr>
                <w:sz w:val="22"/>
                <w:szCs w:val="22"/>
              </w:rPr>
              <w:t xml:space="preserve"> (</w:t>
            </w:r>
            <w:proofErr w:type="spellStart"/>
            <w:r w:rsidRPr="0023657A">
              <w:rPr>
                <w:sz w:val="22"/>
                <w:szCs w:val="22"/>
              </w:rPr>
              <w:t>nesteroid</w:t>
            </w:r>
            <w:r w:rsidR="006F259F">
              <w:rPr>
                <w:sz w:val="22"/>
                <w:szCs w:val="22"/>
              </w:rPr>
              <w:t>ové</w:t>
            </w:r>
            <w:proofErr w:type="spellEnd"/>
            <w:r w:rsidRPr="0023657A">
              <w:rPr>
                <w:sz w:val="22"/>
                <w:szCs w:val="22"/>
              </w:rPr>
              <w:t xml:space="preserve"> </w:t>
            </w:r>
            <w:proofErr w:type="spellStart"/>
            <w:r w:rsidRPr="0023657A">
              <w:rPr>
                <w:sz w:val="22"/>
                <w:szCs w:val="22"/>
              </w:rPr>
              <w:t>antiflogistiká</w:t>
            </w:r>
            <w:proofErr w:type="spellEnd"/>
            <w:r w:rsidRPr="0023657A">
              <w:rPr>
                <w:sz w:val="22"/>
                <w:szCs w:val="22"/>
              </w:rPr>
              <w:t>)</w:t>
            </w:r>
          </w:p>
          <w:p w14:paraId="10133FA5" w14:textId="77777777" w:rsidR="002E2095" w:rsidRPr="0023657A" w:rsidRDefault="002E2095" w:rsidP="006E5190">
            <w:pPr>
              <w:rPr>
                <w:sz w:val="22"/>
                <w:szCs w:val="22"/>
              </w:rPr>
            </w:pPr>
            <w:r w:rsidRPr="0023657A">
              <w:rPr>
                <w:sz w:val="22"/>
                <w:szCs w:val="22"/>
              </w:rPr>
              <w:t>-vysoké dávky ASPIRÍNU (kyselina acetylsalicylová)</w:t>
            </w:r>
          </w:p>
        </w:tc>
        <w:tc>
          <w:tcPr>
            <w:tcW w:w="4393" w:type="dxa"/>
          </w:tcPr>
          <w:p w14:paraId="4D7D4973" w14:textId="77777777" w:rsidR="002E2095" w:rsidRPr="00AF3C81" w:rsidRDefault="002E2095" w:rsidP="006E5190">
            <w:pPr>
              <w:rPr>
                <w:sz w:val="22"/>
                <w:szCs w:val="22"/>
              </w:rPr>
            </w:pPr>
            <w:r w:rsidRPr="00EA3452">
              <w:rPr>
                <w:sz w:val="22"/>
                <w:szCs w:val="22"/>
              </w:rPr>
              <w:t>1)</w:t>
            </w:r>
            <w:r w:rsidR="004D2A89" w:rsidRPr="00EA3452">
              <w:rPr>
                <w:sz w:val="22"/>
                <w:szCs w:val="22"/>
              </w:rPr>
              <w:t xml:space="preserve"> </w:t>
            </w:r>
            <w:r w:rsidRPr="00EA3452">
              <w:rPr>
                <w:sz w:val="22"/>
                <w:szCs w:val="22"/>
              </w:rPr>
              <w:t>Zvýšené riziko vzniku gastrointestinálneho krvácania a vredov môže nastať, ak sa kortiko</w:t>
            </w:r>
            <w:r w:rsidRPr="00AF3C81">
              <w:rPr>
                <w:sz w:val="22"/>
                <w:szCs w:val="22"/>
              </w:rPr>
              <w:t>steroidy podávajú sú</w:t>
            </w:r>
            <w:r w:rsidR="00EE0449" w:rsidRPr="00AF3C81">
              <w:rPr>
                <w:sz w:val="22"/>
                <w:szCs w:val="22"/>
              </w:rPr>
              <w:t>bež</w:t>
            </w:r>
            <w:r w:rsidRPr="00AF3C81">
              <w:rPr>
                <w:sz w:val="22"/>
                <w:szCs w:val="22"/>
              </w:rPr>
              <w:t>ne s NSA</w:t>
            </w:r>
            <w:r w:rsidR="00EE0449" w:rsidRPr="00AF3C81">
              <w:rPr>
                <w:sz w:val="22"/>
                <w:szCs w:val="22"/>
              </w:rPr>
              <w:t>ID</w:t>
            </w:r>
          </w:p>
          <w:p w14:paraId="5A779692" w14:textId="77777777" w:rsidR="002E2095" w:rsidRPr="005C567E" w:rsidRDefault="002E2095" w:rsidP="006E5190">
            <w:pPr>
              <w:rPr>
                <w:sz w:val="22"/>
                <w:szCs w:val="22"/>
              </w:rPr>
            </w:pPr>
            <w:r w:rsidRPr="007205A1">
              <w:rPr>
                <w:sz w:val="22"/>
                <w:szCs w:val="22"/>
              </w:rPr>
              <w:t xml:space="preserve">2) </w:t>
            </w:r>
            <w:proofErr w:type="spellStart"/>
            <w:r w:rsidRPr="007205A1">
              <w:rPr>
                <w:sz w:val="22"/>
                <w:szCs w:val="22"/>
              </w:rPr>
              <w:t>Metylprednizolón</w:t>
            </w:r>
            <w:proofErr w:type="spellEnd"/>
            <w:r w:rsidRPr="007205A1">
              <w:rPr>
                <w:sz w:val="22"/>
                <w:szCs w:val="22"/>
              </w:rPr>
              <w:t xml:space="preserve"> môže zvyšovať </w:t>
            </w:r>
            <w:proofErr w:type="spellStart"/>
            <w:r w:rsidRPr="007205A1">
              <w:rPr>
                <w:sz w:val="22"/>
                <w:szCs w:val="22"/>
              </w:rPr>
              <w:t>klírens</w:t>
            </w:r>
            <w:proofErr w:type="spellEnd"/>
            <w:r w:rsidRPr="007205A1">
              <w:rPr>
                <w:sz w:val="22"/>
                <w:szCs w:val="22"/>
              </w:rPr>
              <w:t xml:space="preserve"> vysokých dávok aspirínu</w:t>
            </w:r>
            <w:r w:rsidR="00293022" w:rsidRPr="00AA7990">
              <w:rPr>
                <w:sz w:val="22"/>
                <w:szCs w:val="22"/>
              </w:rPr>
              <w:t>, čo môže viesť k</w:t>
            </w:r>
            <w:r w:rsidR="00EE0449" w:rsidRPr="005867D5">
              <w:rPr>
                <w:sz w:val="22"/>
                <w:szCs w:val="22"/>
              </w:rPr>
              <w:t> </w:t>
            </w:r>
            <w:r w:rsidR="00293022" w:rsidRPr="005867D5">
              <w:rPr>
                <w:sz w:val="22"/>
                <w:szCs w:val="22"/>
              </w:rPr>
              <w:t xml:space="preserve">zníženej sérovej hladine </w:t>
            </w:r>
            <w:proofErr w:type="spellStart"/>
            <w:r w:rsidR="00293022" w:rsidRPr="005867D5">
              <w:rPr>
                <w:sz w:val="22"/>
                <w:szCs w:val="22"/>
              </w:rPr>
              <w:t>salicylátu</w:t>
            </w:r>
            <w:proofErr w:type="spellEnd"/>
            <w:r w:rsidR="00293022" w:rsidRPr="005867D5">
              <w:rPr>
                <w:sz w:val="22"/>
                <w:szCs w:val="22"/>
              </w:rPr>
              <w:t xml:space="preserve">. Vysadenie </w:t>
            </w:r>
            <w:proofErr w:type="spellStart"/>
            <w:r w:rsidR="00DA27A1" w:rsidRPr="00BF06EA">
              <w:rPr>
                <w:sz w:val="22"/>
                <w:szCs w:val="22"/>
              </w:rPr>
              <w:t>metylprednizolónu</w:t>
            </w:r>
            <w:proofErr w:type="spellEnd"/>
            <w:r w:rsidR="00DA27A1" w:rsidRPr="00BF06EA">
              <w:rPr>
                <w:sz w:val="22"/>
                <w:szCs w:val="22"/>
              </w:rPr>
              <w:t xml:space="preserve"> </w:t>
            </w:r>
            <w:r w:rsidR="00293022" w:rsidRPr="00BF06EA">
              <w:rPr>
                <w:sz w:val="22"/>
                <w:szCs w:val="22"/>
              </w:rPr>
              <w:t>môže viesť k</w:t>
            </w:r>
            <w:r w:rsidR="00EE0449" w:rsidRPr="00BF06EA">
              <w:rPr>
                <w:sz w:val="22"/>
                <w:szCs w:val="22"/>
              </w:rPr>
              <w:t> </w:t>
            </w:r>
            <w:r w:rsidR="00293022" w:rsidRPr="00BF06EA">
              <w:rPr>
                <w:sz w:val="22"/>
                <w:szCs w:val="22"/>
              </w:rPr>
              <w:t xml:space="preserve">zvýšeniu sérovej </w:t>
            </w:r>
            <w:r w:rsidR="00DA27A1" w:rsidRPr="00BF06EA">
              <w:rPr>
                <w:sz w:val="22"/>
                <w:szCs w:val="22"/>
              </w:rPr>
              <w:t xml:space="preserve">hladiny </w:t>
            </w:r>
            <w:proofErr w:type="spellStart"/>
            <w:r w:rsidR="00293022" w:rsidRPr="00BF06EA">
              <w:rPr>
                <w:sz w:val="22"/>
                <w:szCs w:val="22"/>
              </w:rPr>
              <w:t>salicylátu</w:t>
            </w:r>
            <w:proofErr w:type="spellEnd"/>
            <w:r w:rsidR="00293022" w:rsidRPr="00BF06EA">
              <w:rPr>
                <w:sz w:val="22"/>
                <w:szCs w:val="22"/>
              </w:rPr>
              <w:t xml:space="preserve">, ktorá </w:t>
            </w:r>
            <w:r w:rsidR="00293022" w:rsidRPr="00BF06EA">
              <w:rPr>
                <w:sz w:val="22"/>
                <w:szCs w:val="22"/>
              </w:rPr>
              <w:lastRenderedPageBreak/>
              <w:t>môže viesť</w:t>
            </w:r>
            <w:r w:rsidR="00CA0CA2" w:rsidRPr="00BF06EA">
              <w:rPr>
                <w:sz w:val="22"/>
                <w:szCs w:val="22"/>
              </w:rPr>
              <w:t xml:space="preserve"> </w:t>
            </w:r>
            <w:r w:rsidR="00293022" w:rsidRPr="00AB0507">
              <w:rPr>
                <w:sz w:val="22"/>
                <w:szCs w:val="22"/>
              </w:rPr>
              <w:t xml:space="preserve">k zvýšenému riziku </w:t>
            </w:r>
            <w:proofErr w:type="spellStart"/>
            <w:r w:rsidR="00293022" w:rsidRPr="00AB0507">
              <w:rPr>
                <w:sz w:val="22"/>
                <w:szCs w:val="22"/>
              </w:rPr>
              <w:t>salicylátovej</w:t>
            </w:r>
            <w:proofErr w:type="spellEnd"/>
            <w:r w:rsidR="00293022" w:rsidRPr="00AB0507">
              <w:rPr>
                <w:sz w:val="22"/>
                <w:szCs w:val="22"/>
              </w:rPr>
              <w:t xml:space="preserve"> </w:t>
            </w:r>
            <w:r w:rsidR="00874AA8" w:rsidRPr="00AB0507">
              <w:rPr>
                <w:sz w:val="22"/>
                <w:szCs w:val="22"/>
              </w:rPr>
              <w:t>toxicity.</w:t>
            </w:r>
          </w:p>
        </w:tc>
      </w:tr>
      <w:tr w:rsidR="001C55F9" w:rsidRPr="00775FFA" w14:paraId="2801ADC4" w14:textId="77777777" w:rsidTr="00F51798">
        <w:tc>
          <w:tcPr>
            <w:tcW w:w="4393" w:type="dxa"/>
          </w:tcPr>
          <w:p w14:paraId="59EB42D5" w14:textId="77777777" w:rsidR="001C55F9" w:rsidRPr="008068D3" w:rsidRDefault="001C55F9" w:rsidP="001C55F9">
            <w:pPr>
              <w:rPr>
                <w:sz w:val="22"/>
                <w:szCs w:val="22"/>
              </w:rPr>
            </w:pPr>
            <w:r w:rsidRPr="008068D3">
              <w:rPr>
                <w:noProof/>
                <w:sz w:val="22"/>
                <w:szCs w:val="22"/>
              </w:rPr>
              <w:lastRenderedPageBreak/>
              <w:t>KOBICISTÁT</w:t>
            </w:r>
          </w:p>
        </w:tc>
        <w:tc>
          <w:tcPr>
            <w:tcW w:w="4393" w:type="dxa"/>
          </w:tcPr>
          <w:p w14:paraId="316FC5BD" w14:textId="77777777" w:rsidR="001C55F9" w:rsidRPr="008068D3" w:rsidRDefault="001C55F9" w:rsidP="001C55F9">
            <w:pPr>
              <w:rPr>
                <w:sz w:val="22"/>
                <w:szCs w:val="22"/>
              </w:rPr>
            </w:pPr>
            <w:r w:rsidRPr="008068D3">
              <w:rPr>
                <w:noProof/>
                <w:sz w:val="22"/>
                <w:szCs w:val="22"/>
              </w:rPr>
              <w:t>CYP3A4 INHIBÍTOR</w:t>
            </w:r>
          </w:p>
        </w:tc>
      </w:tr>
      <w:tr w:rsidR="002E2095" w:rsidRPr="00775FFA" w14:paraId="76282484" w14:textId="77777777" w:rsidTr="008C561B">
        <w:tc>
          <w:tcPr>
            <w:tcW w:w="4393" w:type="dxa"/>
            <w:tcBorders>
              <w:bottom w:val="single" w:sz="4" w:space="0" w:color="auto"/>
            </w:tcBorders>
          </w:tcPr>
          <w:p w14:paraId="63740454" w14:textId="77777777" w:rsidR="002E2095" w:rsidRPr="00775FFA" w:rsidRDefault="002E2095" w:rsidP="006E5190">
            <w:pPr>
              <w:rPr>
                <w:sz w:val="22"/>
                <w:szCs w:val="22"/>
              </w:rPr>
            </w:pPr>
            <w:r w:rsidRPr="00775FFA">
              <w:rPr>
                <w:sz w:val="22"/>
                <w:szCs w:val="22"/>
              </w:rPr>
              <w:t xml:space="preserve">Lieky spôsobujúce </w:t>
            </w:r>
            <w:proofErr w:type="spellStart"/>
            <w:r w:rsidRPr="00775FFA">
              <w:rPr>
                <w:sz w:val="22"/>
                <w:szCs w:val="22"/>
              </w:rPr>
              <w:t>depléciu</w:t>
            </w:r>
            <w:proofErr w:type="spellEnd"/>
            <w:r w:rsidRPr="00775FFA">
              <w:rPr>
                <w:sz w:val="22"/>
                <w:szCs w:val="22"/>
              </w:rPr>
              <w:t xml:space="preserve"> draslíka</w:t>
            </w:r>
          </w:p>
        </w:tc>
        <w:tc>
          <w:tcPr>
            <w:tcW w:w="4393" w:type="dxa"/>
            <w:tcBorders>
              <w:bottom w:val="single" w:sz="4" w:space="0" w:color="auto"/>
            </w:tcBorders>
          </w:tcPr>
          <w:p w14:paraId="74D6F955" w14:textId="1D6146E5" w:rsidR="002E2095" w:rsidRPr="00775FFA" w:rsidRDefault="002E2095" w:rsidP="006E5190">
            <w:pPr>
              <w:rPr>
                <w:sz w:val="22"/>
                <w:szCs w:val="22"/>
              </w:rPr>
            </w:pPr>
            <w:r w:rsidRPr="00775FFA">
              <w:rPr>
                <w:sz w:val="22"/>
                <w:szCs w:val="22"/>
              </w:rPr>
              <w:t>Ak sa kortikosteroidy podávajú súbežne s liek</w:t>
            </w:r>
            <w:r w:rsidR="004D2A89" w:rsidRPr="00775FFA">
              <w:rPr>
                <w:sz w:val="22"/>
                <w:szCs w:val="22"/>
              </w:rPr>
              <w:t>mi</w:t>
            </w:r>
            <w:r w:rsidRPr="00775FFA">
              <w:rPr>
                <w:sz w:val="22"/>
                <w:szCs w:val="22"/>
              </w:rPr>
              <w:t xml:space="preserve"> spôsobujúcim</w:t>
            </w:r>
            <w:r w:rsidR="004D2A89" w:rsidRPr="00775FFA">
              <w:rPr>
                <w:sz w:val="22"/>
                <w:szCs w:val="22"/>
              </w:rPr>
              <w:t>i</w:t>
            </w:r>
            <w:r w:rsidRPr="00775FFA">
              <w:rPr>
                <w:sz w:val="22"/>
                <w:szCs w:val="22"/>
              </w:rPr>
              <w:t xml:space="preserve"> </w:t>
            </w:r>
            <w:proofErr w:type="spellStart"/>
            <w:r w:rsidRPr="00775FFA">
              <w:rPr>
                <w:sz w:val="22"/>
                <w:szCs w:val="22"/>
              </w:rPr>
              <w:t>depléciu</w:t>
            </w:r>
            <w:proofErr w:type="spellEnd"/>
            <w:r w:rsidRPr="00775FFA">
              <w:rPr>
                <w:sz w:val="22"/>
                <w:szCs w:val="22"/>
              </w:rPr>
              <w:t xml:space="preserve"> draslíka (t.</w:t>
            </w:r>
            <w:r w:rsidR="004239FA">
              <w:rPr>
                <w:sz w:val="22"/>
                <w:szCs w:val="22"/>
              </w:rPr>
              <w:t> </w:t>
            </w:r>
            <w:r w:rsidRPr="00775FFA">
              <w:rPr>
                <w:sz w:val="22"/>
                <w:szCs w:val="22"/>
              </w:rPr>
              <w:t>j.</w:t>
            </w:r>
            <w:r w:rsidR="004239FA">
              <w:rPr>
                <w:sz w:val="22"/>
                <w:szCs w:val="22"/>
              </w:rPr>
              <w:t> </w:t>
            </w:r>
            <w:r w:rsidRPr="00775FFA">
              <w:rPr>
                <w:sz w:val="22"/>
                <w:szCs w:val="22"/>
              </w:rPr>
              <w:t xml:space="preserve">diuretiká), pacienti musia byť dôkladne monitorovaní pre riziko vzniku </w:t>
            </w:r>
            <w:proofErr w:type="spellStart"/>
            <w:r w:rsidRPr="00775FFA">
              <w:rPr>
                <w:sz w:val="22"/>
                <w:szCs w:val="22"/>
              </w:rPr>
              <w:t>hypokaliémie</w:t>
            </w:r>
            <w:proofErr w:type="spellEnd"/>
            <w:r w:rsidRPr="00775FFA">
              <w:rPr>
                <w:sz w:val="22"/>
                <w:szCs w:val="22"/>
              </w:rPr>
              <w:t xml:space="preserve">. Existuje tiež zvýšené riziko vzniku </w:t>
            </w:r>
            <w:proofErr w:type="spellStart"/>
            <w:r w:rsidRPr="00775FFA">
              <w:rPr>
                <w:sz w:val="22"/>
                <w:szCs w:val="22"/>
              </w:rPr>
              <w:t>hypokaliémie</w:t>
            </w:r>
            <w:proofErr w:type="spellEnd"/>
            <w:r w:rsidRPr="00775FFA">
              <w:rPr>
                <w:sz w:val="22"/>
                <w:szCs w:val="22"/>
              </w:rPr>
              <w:t xml:space="preserve"> pri súbežnom užívaní kortikosteroidov s </w:t>
            </w:r>
            <w:proofErr w:type="spellStart"/>
            <w:r w:rsidRPr="00775FFA">
              <w:rPr>
                <w:sz w:val="22"/>
                <w:szCs w:val="22"/>
              </w:rPr>
              <w:t>amfotericínom</w:t>
            </w:r>
            <w:proofErr w:type="spellEnd"/>
            <w:r w:rsidRPr="00775FFA">
              <w:rPr>
                <w:sz w:val="22"/>
                <w:szCs w:val="22"/>
              </w:rPr>
              <w:t xml:space="preserve"> B, </w:t>
            </w:r>
            <w:proofErr w:type="spellStart"/>
            <w:r w:rsidRPr="00775FFA">
              <w:rPr>
                <w:sz w:val="22"/>
                <w:szCs w:val="22"/>
              </w:rPr>
              <w:t>xanténom</w:t>
            </w:r>
            <w:proofErr w:type="spellEnd"/>
            <w:r w:rsidRPr="00775FFA">
              <w:rPr>
                <w:sz w:val="22"/>
                <w:szCs w:val="22"/>
              </w:rPr>
              <w:t xml:space="preserve"> alebo beta2 </w:t>
            </w:r>
            <w:proofErr w:type="spellStart"/>
            <w:r w:rsidRPr="00775FFA">
              <w:rPr>
                <w:sz w:val="22"/>
                <w:szCs w:val="22"/>
              </w:rPr>
              <w:t>agonistami</w:t>
            </w:r>
            <w:proofErr w:type="spellEnd"/>
            <w:r w:rsidRPr="00775FFA">
              <w:rPr>
                <w:sz w:val="22"/>
                <w:szCs w:val="22"/>
              </w:rPr>
              <w:t>.</w:t>
            </w:r>
          </w:p>
        </w:tc>
      </w:tr>
      <w:tr w:rsidR="0023657A" w:rsidRPr="00775FFA" w14:paraId="57009D09" w14:textId="77777777" w:rsidTr="00F51798">
        <w:tc>
          <w:tcPr>
            <w:tcW w:w="4393" w:type="dxa"/>
          </w:tcPr>
          <w:p w14:paraId="7D0DD8DB" w14:textId="77777777" w:rsidR="0023657A" w:rsidRPr="0023657A" w:rsidRDefault="0023657A" w:rsidP="006E5190">
            <w:pPr>
              <w:rPr>
                <w:sz w:val="22"/>
                <w:szCs w:val="22"/>
              </w:rPr>
            </w:pPr>
            <w:r>
              <w:rPr>
                <w:sz w:val="22"/>
                <w:szCs w:val="22"/>
              </w:rPr>
              <w:t>Ľubovník bodkovaný</w:t>
            </w:r>
          </w:p>
        </w:tc>
        <w:tc>
          <w:tcPr>
            <w:tcW w:w="4393" w:type="dxa"/>
          </w:tcPr>
          <w:p w14:paraId="174541F9" w14:textId="77777777" w:rsidR="0023657A" w:rsidRPr="0023657A" w:rsidRDefault="0023657A" w:rsidP="006E5190">
            <w:pPr>
              <w:rPr>
                <w:sz w:val="22"/>
                <w:szCs w:val="22"/>
              </w:rPr>
            </w:pPr>
            <w:r w:rsidRPr="006B156F">
              <w:rPr>
                <w:sz w:val="22"/>
                <w:szCs w:val="22"/>
              </w:rPr>
              <w:t>CYP3A4 INDUKTOR</w:t>
            </w:r>
          </w:p>
        </w:tc>
      </w:tr>
    </w:tbl>
    <w:p w14:paraId="4D954938" w14:textId="77777777" w:rsidR="000F2410" w:rsidRPr="00775FFA" w:rsidRDefault="000F2410" w:rsidP="006E5190">
      <w:pPr>
        <w:rPr>
          <w:sz w:val="22"/>
          <w:szCs w:val="22"/>
        </w:rPr>
      </w:pPr>
    </w:p>
    <w:p w14:paraId="7326D935" w14:textId="77777777" w:rsidR="002E2095" w:rsidRPr="00775FFA" w:rsidRDefault="002E2095" w:rsidP="006E5190">
      <w:pPr>
        <w:rPr>
          <w:sz w:val="22"/>
          <w:szCs w:val="22"/>
        </w:rPr>
      </w:pPr>
      <w:r w:rsidRPr="00775FFA">
        <w:rPr>
          <w:sz w:val="22"/>
          <w:szCs w:val="22"/>
        </w:rPr>
        <w:t>Inkompatibility</w:t>
      </w:r>
    </w:p>
    <w:p w14:paraId="3467CDBA" w14:textId="77777777" w:rsidR="002E2095" w:rsidRPr="00775FFA" w:rsidRDefault="002E2095" w:rsidP="006E5190">
      <w:pPr>
        <w:rPr>
          <w:sz w:val="22"/>
          <w:szCs w:val="22"/>
        </w:rPr>
      </w:pPr>
      <w:r w:rsidRPr="00775FFA">
        <w:rPr>
          <w:sz w:val="22"/>
          <w:szCs w:val="22"/>
        </w:rPr>
        <w:t xml:space="preserve">Aby sa predišlo problémom s kompatibilitou a stabilitou, odporúča sa, aby sa SOLU-MEDROL používal samostatne, oddelene od iných látok podávaných intravenózne. Medzi lieky, ktoré sú v roztoku so sodnou soľou </w:t>
      </w:r>
      <w:proofErr w:type="spellStart"/>
      <w:r w:rsidRPr="00775FFA">
        <w:rPr>
          <w:sz w:val="22"/>
          <w:szCs w:val="22"/>
        </w:rPr>
        <w:t>metylprednizolón</w:t>
      </w:r>
      <w:r w:rsidR="006E22E7">
        <w:rPr>
          <w:sz w:val="22"/>
          <w:szCs w:val="22"/>
        </w:rPr>
        <w:t>-</w:t>
      </w:r>
      <w:r w:rsidRPr="00775FFA">
        <w:rPr>
          <w:sz w:val="22"/>
          <w:szCs w:val="22"/>
        </w:rPr>
        <w:t>sukcinátu</w:t>
      </w:r>
      <w:proofErr w:type="spellEnd"/>
      <w:r w:rsidRPr="00775FFA">
        <w:rPr>
          <w:sz w:val="22"/>
          <w:szCs w:val="22"/>
        </w:rPr>
        <w:t xml:space="preserve"> z hľadiska fyzikálnych vlastností nekompatibilné</w:t>
      </w:r>
      <w:r w:rsidR="00DF0F5F" w:rsidRPr="00775FFA">
        <w:rPr>
          <w:sz w:val="22"/>
          <w:szCs w:val="22"/>
        </w:rPr>
        <w:t>,</w:t>
      </w:r>
      <w:r w:rsidRPr="00775FFA">
        <w:rPr>
          <w:sz w:val="22"/>
          <w:szCs w:val="22"/>
        </w:rPr>
        <w:t xml:space="preserve"> patrí</w:t>
      </w:r>
      <w:r w:rsidR="00DF0F5F" w:rsidRPr="00775FFA">
        <w:rPr>
          <w:sz w:val="22"/>
          <w:szCs w:val="22"/>
        </w:rPr>
        <w:t xml:space="preserve"> okrem iných</w:t>
      </w:r>
      <w:r w:rsidRPr="00775FFA">
        <w:rPr>
          <w:sz w:val="22"/>
          <w:szCs w:val="22"/>
        </w:rPr>
        <w:t xml:space="preserve"> </w:t>
      </w:r>
      <w:r w:rsidR="007F4D45" w:rsidRPr="00775FFA">
        <w:rPr>
          <w:sz w:val="22"/>
          <w:szCs w:val="22"/>
        </w:rPr>
        <w:t xml:space="preserve">sodná </w:t>
      </w:r>
      <w:r w:rsidR="00C8226F" w:rsidRPr="00775FFA">
        <w:rPr>
          <w:sz w:val="22"/>
          <w:szCs w:val="22"/>
        </w:rPr>
        <w:t>soľ</w:t>
      </w:r>
      <w:r w:rsidR="007F4D45" w:rsidRPr="00775FFA">
        <w:rPr>
          <w:sz w:val="22"/>
          <w:szCs w:val="22"/>
        </w:rPr>
        <w:t xml:space="preserve"> </w:t>
      </w:r>
      <w:proofErr w:type="spellStart"/>
      <w:r w:rsidRPr="00775FFA">
        <w:rPr>
          <w:sz w:val="22"/>
          <w:szCs w:val="22"/>
        </w:rPr>
        <w:t>alopurinol</w:t>
      </w:r>
      <w:r w:rsidR="007F4D45" w:rsidRPr="00775FFA">
        <w:rPr>
          <w:sz w:val="22"/>
          <w:szCs w:val="22"/>
        </w:rPr>
        <w:t>u</w:t>
      </w:r>
      <w:proofErr w:type="spellEnd"/>
      <w:r w:rsidRPr="00775FFA">
        <w:rPr>
          <w:sz w:val="22"/>
          <w:szCs w:val="22"/>
        </w:rPr>
        <w:t xml:space="preserve">, </w:t>
      </w:r>
      <w:proofErr w:type="spellStart"/>
      <w:r w:rsidRPr="00775FFA">
        <w:rPr>
          <w:sz w:val="22"/>
          <w:szCs w:val="22"/>
        </w:rPr>
        <w:t>doxapram</w:t>
      </w:r>
      <w:r w:rsidR="009B50AB" w:rsidRPr="00775FFA">
        <w:rPr>
          <w:sz w:val="22"/>
          <w:szCs w:val="22"/>
        </w:rPr>
        <w:t>ium</w:t>
      </w:r>
      <w:r w:rsidRPr="00775FFA">
        <w:rPr>
          <w:sz w:val="22"/>
          <w:szCs w:val="22"/>
        </w:rPr>
        <w:t>chlorid</w:t>
      </w:r>
      <w:proofErr w:type="spellEnd"/>
      <w:r w:rsidRPr="00775FFA">
        <w:rPr>
          <w:sz w:val="22"/>
          <w:szCs w:val="22"/>
        </w:rPr>
        <w:t xml:space="preserve">, </w:t>
      </w:r>
      <w:proofErr w:type="spellStart"/>
      <w:r w:rsidRPr="00775FFA">
        <w:rPr>
          <w:sz w:val="22"/>
          <w:szCs w:val="22"/>
        </w:rPr>
        <w:t>tigecyklín</w:t>
      </w:r>
      <w:proofErr w:type="spellEnd"/>
      <w:r w:rsidRPr="00775FFA">
        <w:rPr>
          <w:sz w:val="22"/>
          <w:szCs w:val="22"/>
        </w:rPr>
        <w:t xml:space="preserve">, </w:t>
      </w:r>
      <w:r w:rsidR="000B4383" w:rsidRPr="00775FFA">
        <w:rPr>
          <w:sz w:val="22"/>
          <w:szCs w:val="22"/>
        </w:rPr>
        <w:t xml:space="preserve">hydrochlorid </w:t>
      </w:r>
      <w:proofErr w:type="spellStart"/>
      <w:r w:rsidR="000B4383" w:rsidRPr="00775FFA">
        <w:rPr>
          <w:sz w:val="22"/>
          <w:szCs w:val="22"/>
        </w:rPr>
        <w:t>diltiazemu</w:t>
      </w:r>
      <w:proofErr w:type="spellEnd"/>
      <w:r w:rsidRPr="00775FFA">
        <w:rPr>
          <w:sz w:val="22"/>
          <w:szCs w:val="22"/>
        </w:rPr>
        <w:t xml:space="preserve">, </w:t>
      </w:r>
      <w:proofErr w:type="spellStart"/>
      <w:r w:rsidRPr="00775FFA">
        <w:rPr>
          <w:sz w:val="22"/>
          <w:szCs w:val="22"/>
        </w:rPr>
        <w:t>glukonát</w:t>
      </w:r>
      <w:proofErr w:type="spellEnd"/>
      <w:r w:rsidR="009B50AB" w:rsidRPr="00775FFA">
        <w:rPr>
          <w:sz w:val="22"/>
          <w:szCs w:val="22"/>
        </w:rPr>
        <w:t xml:space="preserve"> vápenatý</w:t>
      </w:r>
      <w:r w:rsidRPr="00775FFA">
        <w:rPr>
          <w:sz w:val="22"/>
          <w:szCs w:val="22"/>
        </w:rPr>
        <w:t xml:space="preserve">, </w:t>
      </w:r>
      <w:proofErr w:type="spellStart"/>
      <w:r w:rsidRPr="00775FFA">
        <w:rPr>
          <w:sz w:val="22"/>
          <w:szCs w:val="22"/>
        </w:rPr>
        <w:t>vekuróniumbromid</w:t>
      </w:r>
      <w:proofErr w:type="spellEnd"/>
      <w:r w:rsidRPr="00775FFA">
        <w:rPr>
          <w:sz w:val="22"/>
          <w:szCs w:val="22"/>
        </w:rPr>
        <w:t xml:space="preserve">, </w:t>
      </w:r>
      <w:proofErr w:type="spellStart"/>
      <w:r w:rsidRPr="00775FFA">
        <w:rPr>
          <w:sz w:val="22"/>
          <w:szCs w:val="22"/>
        </w:rPr>
        <w:t>rokuróniumbromid</w:t>
      </w:r>
      <w:proofErr w:type="spellEnd"/>
      <w:r w:rsidRPr="00775FFA">
        <w:rPr>
          <w:sz w:val="22"/>
          <w:szCs w:val="22"/>
        </w:rPr>
        <w:t xml:space="preserve">, </w:t>
      </w:r>
      <w:proofErr w:type="spellStart"/>
      <w:r w:rsidRPr="00775FFA">
        <w:rPr>
          <w:sz w:val="22"/>
          <w:szCs w:val="22"/>
        </w:rPr>
        <w:t>cisatrakuri</w:t>
      </w:r>
      <w:r w:rsidR="004D2A89" w:rsidRPr="00775FFA">
        <w:rPr>
          <w:sz w:val="22"/>
          <w:szCs w:val="22"/>
        </w:rPr>
        <w:t>u</w:t>
      </w:r>
      <w:r w:rsidRPr="00775FFA">
        <w:rPr>
          <w:sz w:val="22"/>
          <w:szCs w:val="22"/>
        </w:rPr>
        <w:t>mbesylát</w:t>
      </w:r>
      <w:proofErr w:type="spellEnd"/>
      <w:r w:rsidRPr="00775FFA">
        <w:rPr>
          <w:sz w:val="22"/>
          <w:szCs w:val="22"/>
        </w:rPr>
        <w:t xml:space="preserve">, </w:t>
      </w:r>
      <w:proofErr w:type="spellStart"/>
      <w:r w:rsidRPr="00775FFA">
        <w:rPr>
          <w:sz w:val="22"/>
          <w:szCs w:val="22"/>
        </w:rPr>
        <w:t>glykopyrolát</w:t>
      </w:r>
      <w:proofErr w:type="spellEnd"/>
      <w:r w:rsidRPr="00775FFA">
        <w:rPr>
          <w:sz w:val="22"/>
          <w:szCs w:val="22"/>
        </w:rPr>
        <w:t xml:space="preserve">, </w:t>
      </w:r>
      <w:proofErr w:type="spellStart"/>
      <w:r w:rsidRPr="00775FFA">
        <w:rPr>
          <w:sz w:val="22"/>
          <w:szCs w:val="22"/>
        </w:rPr>
        <w:t>propofol</w:t>
      </w:r>
      <w:proofErr w:type="spellEnd"/>
      <w:r w:rsidRPr="00775FFA">
        <w:rPr>
          <w:sz w:val="22"/>
          <w:szCs w:val="22"/>
        </w:rPr>
        <w:t xml:space="preserve"> (ďalšie informácie</w:t>
      </w:r>
      <w:r w:rsidR="007F4D45" w:rsidRPr="00775FFA">
        <w:rPr>
          <w:sz w:val="22"/>
          <w:szCs w:val="22"/>
        </w:rPr>
        <w:t>,</w:t>
      </w:r>
      <w:r w:rsidRPr="00775FFA">
        <w:rPr>
          <w:sz w:val="22"/>
          <w:szCs w:val="22"/>
        </w:rPr>
        <w:t xml:space="preserve"> pozri časť 6.2)</w:t>
      </w:r>
      <w:r w:rsidR="00A91129">
        <w:rPr>
          <w:sz w:val="22"/>
          <w:szCs w:val="22"/>
        </w:rPr>
        <w:t>.</w:t>
      </w:r>
    </w:p>
    <w:p w14:paraId="0D4C1BA2" w14:textId="77777777" w:rsidR="000F2E71" w:rsidRPr="001A6993" w:rsidRDefault="000F2E71" w:rsidP="001A6993">
      <w:pPr>
        <w:tabs>
          <w:tab w:val="left" w:pos="567"/>
        </w:tabs>
        <w:rPr>
          <w:bCs/>
          <w:sz w:val="22"/>
          <w:szCs w:val="22"/>
        </w:rPr>
      </w:pPr>
    </w:p>
    <w:p w14:paraId="3BCCDF22" w14:textId="77777777" w:rsidR="000F2E71" w:rsidRPr="00775FFA" w:rsidRDefault="001A70CE" w:rsidP="008A1CFF">
      <w:pPr>
        <w:pStyle w:val="Nadpis1"/>
        <w:tabs>
          <w:tab w:val="left" w:pos="567"/>
        </w:tabs>
      </w:pPr>
      <w:r w:rsidRPr="00775FFA">
        <w:rPr>
          <w:b/>
          <w:sz w:val="22"/>
          <w:szCs w:val="22"/>
        </w:rPr>
        <w:t>4.6</w:t>
      </w:r>
      <w:r w:rsidR="0092328B" w:rsidRPr="00775FFA">
        <w:rPr>
          <w:b/>
          <w:sz w:val="22"/>
          <w:szCs w:val="22"/>
        </w:rPr>
        <w:tab/>
      </w:r>
      <w:proofErr w:type="spellStart"/>
      <w:r w:rsidR="002E2095" w:rsidRPr="00775FFA">
        <w:rPr>
          <w:b/>
          <w:sz w:val="22"/>
          <w:szCs w:val="22"/>
        </w:rPr>
        <w:t>Fertilita</w:t>
      </w:r>
      <w:proofErr w:type="spellEnd"/>
      <w:r w:rsidR="002E2095" w:rsidRPr="00775FFA">
        <w:rPr>
          <w:b/>
          <w:sz w:val="22"/>
          <w:szCs w:val="22"/>
        </w:rPr>
        <w:t>,</w:t>
      </w:r>
      <w:r w:rsidR="002E2095" w:rsidRPr="00F939CE">
        <w:rPr>
          <w:b/>
          <w:sz w:val="22"/>
          <w:szCs w:val="22"/>
        </w:rPr>
        <w:t xml:space="preserve"> </w:t>
      </w:r>
      <w:r w:rsidR="002E2095" w:rsidRPr="00775FFA">
        <w:rPr>
          <w:b/>
          <w:sz w:val="22"/>
          <w:szCs w:val="22"/>
        </w:rPr>
        <w:t>gravidita</w:t>
      </w:r>
      <w:r w:rsidRPr="00775FFA">
        <w:rPr>
          <w:b/>
          <w:sz w:val="22"/>
          <w:szCs w:val="22"/>
        </w:rPr>
        <w:t xml:space="preserve"> a laktáci</w:t>
      </w:r>
      <w:r w:rsidR="00574B30" w:rsidRPr="00775FFA">
        <w:rPr>
          <w:b/>
          <w:sz w:val="22"/>
          <w:szCs w:val="22"/>
        </w:rPr>
        <w:t>a</w:t>
      </w:r>
    </w:p>
    <w:p w14:paraId="3D98E78E" w14:textId="77777777" w:rsidR="000F2E71" w:rsidRPr="00775FFA" w:rsidRDefault="000F2E71" w:rsidP="008A1CFF">
      <w:pPr>
        <w:tabs>
          <w:tab w:val="left" w:pos="567"/>
        </w:tabs>
        <w:rPr>
          <w:sz w:val="22"/>
          <w:szCs w:val="22"/>
        </w:rPr>
      </w:pPr>
    </w:p>
    <w:p w14:paraId="2DF80203" w14:textId="77777777" w:rsidR="000F2E71" w:rsidRPr="00775FFA" w:rsidRDefault="004C7551" w:rsidP="008A1CFF">
      <w:pPr>
        <w:tabs>
          <w:tab w:val="left" w:pos="567"/>
        </w:tabs>
        <w:rPr>
          <w:sz w:val="22"/>
          <w:szCs w:val="22"/>
          <w:u w:val="single"/>
        </w:rPr>
      </w:pPr>
      <w:r w:rsidRPr="00775FFA">
        <w:rPr>
          <w:sz w:val="22"/>
          <w:szCs w:val="22"/>
          <w:u w:val="single"/>
        </w:rPr>
        <w:t>Gravidita</w:t>
      </w:r>
    </w:p>
    <w:p w14:paraId="1E71F540" w14:textId="77777777" w:rsidR="000F2E71" w:rsidRPr="00775FFA" w:rsidRDefault="004F51B7" w:rsidP="008A1CFF">
      <w:pPr>
        <w:tabs>
          <w:tab w:val="left" w:pos="567"/>
        </w:tabs>
        <w:rPr>
          <w:sz w:val="22"/>
          <w:szCs w:val="22"/>
        </w:rPr>
      </w:pPr>
      <w:r w:rsidRPr="00775FFA">
        <w:rPr>
          <w:sz w:val="22"/>
          <w:szCs w:val="22"/>
        </w:rPr>
        <w:t>Š</w:t>
      </w:r>
      <w:r w:rsidR="001A70CE" w:rsidRPr="00775FFA">
        <w:rPr>
          <w:sz w:val="22"/>
          <w:szCs w:val="22"/>
        </w:rPr>
        <w:t xml:space="preserve">túdie na zvieratách </w:t>
      </w:r>
      <w:r w:rsidR="00612937" w:rsidRPr="00775FFA">
        <w:rPr>
          <w:sz w:val="22"/>
          <w:szCs w:val="22"/>
        </w:rPr>
        <w:t>pre</w:t>
      </w:r>
      <w:r w:rsidR="001A70CE" w:rsidRPr="00775FFA">
        <w:rPr>
          <w:sz w:val="22"/>
          <w:szCs w:val="22"/>
        </w:rPr>
        <w:t xml:space="preserve">ukázali, že kortikosteroidy, ak sa podávajú matkám vo vysokých dávkach, môžu spôsobiť </w:t>
      </w:r>
      <w:proofErr w:type="spellStart"/>
      <w:r w:rsidR="001A70CE" w:rsidRPr="00775FFA">
        <w:rPr>
          <w:sz w:val="22"/>
          <w:szCs w:val="22"/>
        </w:rPr>
        <w:t>malformáciu</w:t>
      </w:r>
      <w:proofErr w:type="spellEnd"/>
      <w:r w:rsidR="001A70CE" w:rsidRPr="00775FFA">
        <w:rPr>
          <w:sz w:val="22"/>
          <w:szCs w:val="22"/>
        </w:rPr>
        <w:t xml:space="preserve"> plodu. </w:t>
      </w:r>
      <w:r w:rsidR="00C90C38" w:rsidRPr="00775FFA">
        <w:rPr>
          <w:sz w:val="22"/>
          <w:szCs w:val="22"/>
        </w:rPr>
        <w:t xml:space="preserve">Avšak nezdá sa, že by kortikosteroidy podávané tehotným ženám spôsobovali </w:t>
      </w:r>
      <w:proofErr w:type="spellStart"/>
      <w:r w:rsidR="00C90C38" w:rsidRPr="00775FFA">
        <w:rPr>
          <w:sz w:val="22"/>
          <w:szCs w:val="22"/>
        </w:rPr>
        <w:t>konge</w:t>
      </w:r>
      <w:r w:rsidR="00612937" w:rsidRPr="00775FFA">
        <w:rPr>
          <w:sz w:val="22"/>
          <w:szCs w:val="22"/>
        </w:rPr>
        <w:t>nit</w:t>
      </w:r>
      <w:r w:rsidR="00C90C38" w:rsidRPr="00775FFA">
        <w:rPr>
          <w:sz w:val="22"/>
          <w:szCs w:val="22"/>
        </w:rPr>
        <w:t>álne</w:t>
      </w:r>
      <w:proofErr w:type="spellEnd"/>
      <w:r w:rsidR="00C90C38" w:rsidRPr="00775FFA">
        <w:rPr>
          <w:sz w:val="22"/>
          <w:szCs w:val="22"/>
        </w:rPr>
        <w:t xml:space="preserve"> anomálie. </w:t>
      </w:r>
      <w:r w:rsidR="000F2E71" w:rsidRPr="00775FFA">
        <w:rPr>
          <w:noProof/>
          <w:sz w:val="22"/>
          <w:szCs w:val="22"/>
        </w:rPr>
        <w:t xml:space="preserve">Keďže sa neuskutočnili adekvátne reprodukčné </w:t>
      </w:r>
      <w:r w:rsidR="00BE49D8">
        <w:rPr>
          <w:noProof/>
          <w:sz w:val="22"/>
          <w:szCs w:val="22"/>
        </w:rPr>
        <w:t>klinické skúšania</w:t>
      </w:r>
      <w:r w:rsidR="000F2E71" w:rsidRPr="00775FFA">
        <w:rPr>
          <w:noProof/>
          <w:sz w:val="22"/>
          <w:szCs w:val="22"/>
        </w:rPr>
        <w:t xml:space="preserve"> s</w:t>
      </w:r>
      <w:r w:rsidR="006E22E7">
        <w:rPr>
          <w:noProof/>
          <w:sz w:val="22"/>
          <w:szCs w:val="22"/>
        </w:rPr>
        <w:t>o sodnou soľou</w:t>
      </w:r>
      <w:r w:rsidR="003763AE">
        <w:rPr>
          <w:noProof/>
          <w:sz w:val="22"/>
          <w:szCs w:val="22"/>
        </w:rPr>
        <w:t> </w:t>
      </w:r>
      <w:r w:rsidR="000F2E71" w:rsidRPr="00775FFA">
        <w:rPr>
          <w:noProof/>
          <w:sz w:val="22"/>
          <w:szCs w:val="22"/>
        </w:rPr>
        <w:t>metylprednizolón</w:t>
      </w:r>
      <w:r w:rsidR="003763AE">
        <w:rPr>
          <w:noProof/>
          <w:sz w:val="22"/>
          <w:szCs w:val="22"/>
        </w:rPr>
        <w:t>-</w:t>
      </w:r>
      <w:r w:rsidR="000F2E71" w:rsidRPr="00775FFA">
        <w:rPr>
          <w:noProof/>
          <w:sz w:val="22"/>
          <w:szCs w:val="22"/>
        </w:rPr>
        <w:t>sukcinát</w:t>
      </w:r>
      <w:r w:rsidR="006E22E7">
        <w:rPr>
          <w:noProof/>
          <w:sz w:val="22"/>
          <w:szCs w:val="22"/>
        </w:rPr>
        <w:t>u</w:t>
      </w:r>
      <w:r w:rsidR="000F2E71" w:rsidRPr="00775FFA">
        <w:rPr>
          <w:noProof/>
          <w:sz w:val="22"/>
          <w:szCs w:val="22"/>
        </w:rPr>
        <w:t xml:space="preserve"> </w:t>
      </w:r>
      <w:r w:rsidR="00612937" w:rsidRPr="00775FFA">
        <w:rPr>
          <w:noProof/>
          <w:sz w:val="22"/>
          <w:szCs w:val="22"/>
        </w:rPr>
        <w:t>u</w:t>
      </w:r>
      <w:r w:rsidR="000F2E71" w:rsidRPr="00775FFA">
        <w:rPr>
          <w:noProof/>
          <w:sz w:val="22"/>
          <w:szCs w:val="22"/>
        </w:rPr>
        <w:t xml:space="preserve"> ľu</w:t>
      </w:r>
      <w:r w:rsidR="00B86998" w:rsidRPr="00775FFA">
        <w:rPr>
          <w:noProof/>
          <w:sz w:val="22"/>
          <w:szCs w:val="22"/>
        </w:rPr>
        <w:t>d</w:t>
      </w:r>
      <w:r w:rsidR="00612937" w:rsidRPr="00775FFA">
        <w:rPr>
          <w:noProof/>
          <w:sz w:val="22"/>
          <w:szCs w:val="22"/>
        </w:rPr>
        <w:t>í</w:t>
      </w:r>
      <w:r w:rsidR="000F2E71" w:rsidRPr="00775FFA">
        <w:rPr>
          <w:noProof/>
          <w:sz w:val="22"/>
          <w:szCs w:val="22"/>
        </w:rPr>
        <w:t>, toto liečivo sa má počas</w:t>
      </w:r>
      <w:r w:rsidR="003763AE">
        <w:rPr>
          <w:noProof/>
          <w:sz w:val="22"/>
          <w:szCs w:val="22"/>
        </w:rPr>
        <w:t> </w:t>
      </w:r>
      <w:r w:rsidR="000F2E71" w:rsidRPr="00775FFA">
        <w:rPr>
          <w:noProof/>
          <w:sz w:val="22"/>
          <w:szCs w:val="22"/>
        </w:rPr>
        <w:t>gravidity používať len po starostlivom zvážení pomeru prínosu a rizika pre matku a plod.</w:t>
      </w:r>
    </w:p>
    <w:p w14:paraId="14DA48A8" w14:textId="77777777" w:rsidR="000F2E71" w:rsidRPr="00775FFA" w:rsidRDefault="000F2E71" w:rsidP="008A1CFF">
      <w:pPr>
        <w:pStyle w:val="Nadpis1"/>
        <w:tabs>
          <w:tab w:val="left" w:pos="567"/>
        </w:tabs>
        <w:rPr>
          <w:sz w:val="22"/>
          <w:szCs w:val="22"/>
        </w:rPr>
      </w:pPr>
    </w:p>
    <w:p w14:paraId="1522158C" w14:textId="77777777" w:rsidR="000F2E71" w:rsidRPr="00775FFA" w:rsidRDefault="00C24F7F" w:rsidP="008A1CFF">
      <w:pPr>
        <w:rPr>
          <w:noProof/>
          <w:sz w:val="22"/>
          <w:szCs w:val="22"/>
        </w:rPr>
      </w:pPr>
      <w:r w:rsidRPr="00775FFA">
        <w:rPr>
          <w:sz w:val="22"/>
          <w:szCs w:val="22"/>
        </w:rPr>
        <w:t>Niektoré kortikosteroidy ľahko prechádzajú cez placentu. Jedn</w:t>
      </w:r>
      <w:r w:rsidR="00D07A2E">
        <w:rPr>
          <w:sz w:val="22"/>
          <w:szCs w:val="22"/>
        </w:rPr>
        <w:t>o</w:t>
      </w:r>
      <w:r w:rsidRPr="00775FFA">
        <w:rPr>
          <w:sz w:val="22"/>
          <w:szCs w:val="22"/>
        </w:rPr>
        <w:t xml:space="preserve"> retrospektívn</w:t>
      </w:r>
      <w:r w:rsidR="00D07A2E">
        <w:rPr>
          <w:sz w:val="22"/>
          <w:szCs w:val="22"/>
        </w:rPr>
        <w:t>e</w:t>
      </w:r>
      <w:r w:rsidRPr="00775FFA">
        <w:rPr>
          <w:sz w:val="22"/>
          <w:szCs w:val="22"/>
        </w:rPr>
        <w:t xml:space="preserve"> </w:t>
      </w:r>
      <w:r w:rsidR="00D07A2E">
        <w:rPr>
          <w:sz w:val="22"/>
          <w:szCs w:val="22"/>
        </w:rPr>
        <w:t>klinické skúšanie</w:t>
      </w:r>
      <w:r w:rsidRPr="00775FFA">
        <w:rPr>
          <w:sz w:val="22"/>
          <w:szCs w:val="22"/>
        </w:rPr>
        <w:t xml:space="preserve"> zistil</w:t>
      </w:r>
      <w:r w:rsidR="00D07A2E">
        <w:rPr>
          <w:sz w:val="22"/>
          <w:szCs w:val="22"/>
        </w:rPr>
        <w:t>o</w:t>
      </w:r>
      <w:r w:rsidRPr="00775FFA">
        <w:rPr>
          <w:sz w:val="22"/>
          <w:szCs w:val="22"/>
        </w:rPr>
        <w:t xml:space="preserve"> zvýšený výskyt nízkej pôrodnej hmotnosti u detí narodených matkám liečených kortikosteroidmi.</w:t>
      </w:r>
      <w:r w:rsidR="00293022" w:rsidRPr="00775FFA">
        <w:rPr>
          <w:sz w:val="22"/>
          <w:szCs w:val="22"/>
        </w:rPr>
        <w:t xml:space="preserve"> </w:t>
      </w:r>
      <w:r w:rsidR="000F2E71" w:rsidRPr="00775FFA">
        <w:rPr>
          <w:noProof/>
          <w:sz w:val="22"/>
          <w:szCs w:val="22"/>
        </w:rPr>
        <w:t>Ukazuje sa, že u ľudí je riziko nízkej pôrodnej hmotnosti závislé od dávky a</w:t>
      </w:r>
      <w:r w:rsidR="008B0E0E" w:rsidRPr="00775FFA">
        <w:rPr>
          <w:noProof/>
          <w:sz w:val="22"/>
          <w:szCs w:val="22"/>
        </w:rPr>
        <w:t> môže byť minimalizované</w:t>
      </w:r>
      <w:r w:rsidR="000F2E71" w:rsidRPr="00775FFA">
        <w:rPr>
          <w:noProof/>
          <w:sz w:val="22"/>
          <w:szCs w:val="22"/>
        </w:rPr>
        <w:t xml:space="preserve"> podávaním nižších dávok kortikosteroidov.</w:t>
      </w:r>
    </w:p>
    <w:p w14:paraId="57A15E65" w14:textId="77777777" w:rsidR="000F2E71" w:rsidRPr="00775FFA" w:rsidRDefault="00612937" w:rsidP="008A1CFF">
      <w:pPr>
        <w:rPr>
          <w:sz w:val="22"/>
          <w:szCs w:val="22"/>
        </w:rPr>
      </w:pPr>
      <w:r w:rsidRPr="00775FFA">
        <w:rPr>
          <w:sz w:val="22"/>
          <w:szCs w:val="22"/>
        </w:rPr>
        <w:t>Deti narodené matkám</w:t>
      </w:r>
      <w:r w:rsidR="00293022" w:rsidRPr="00775FFA">
        <w:rPr>
          <w:sz w:val="22"/>
          <w:szCs w:val="22"/>
        </w:rPr>
        <w:t xml:space="preserve">, ktoré počas tehotenstva dostávali </w:t>
      </w:r>
      <w:r w:rsidR="00DF0F5F" w:rsidRPr="00775FFA">
        <w:rPr>
          <w:sz w:val="22"/>
          <w:szCs w:val="22"/>
        </w:rPr>
        <w:t>vyššie</w:t>
      </w:r>
      <w:r w:rsidR="00293022" w:rsidRPr="00775FFA">
        <w:rPr>
          <w:sz w:val="22"/>
          <w:szCs w:val="22"/>
        </w:rPr>
        <w:t xml:space="preserve"> dávky kortikosteroidov</w:t>
      </w:r>
      <w:r w:rsidR="00DF0F5F" w:rsidRPr="00775FFA">
        <w:rPr>
          <w:sz w:val="22"/>
          <w:szCs w:val="22"/>
        </w:rPr>
        <w:t>,</w:t>
      </w:r>
      <w:r w:rsidR="00293022" w:rsidRPr="00775FFA">
        <w:rPr>
          <w:sz w:val="22"/>
          <w:szCs w:val="22"/>
        </w:rPr>
        <w:t xml:space="preserve"> musia </w:t>
      </w:r>
      <w:r w:rsidR="00DF0F5F" w:rsidRPr="00775FFA">
        <w:rPr>
          <w:sz w:val="22"/>
          <w:szCs w:val="22"/>
        </w:rPr>
        <w:t>byť</w:t>
      </w:r>
      <w:r w:rsidR="00DA27A1" w:rsidRPr="00775FFA">
        <w:rPr>
          <w:sz w:val="22"/>
          <w:szCs w:val="22"/>
        </w:rPr>
        <w:t xml:space="preserve"> </w:t>
      </w:r>
      <w:r w:rsidR="00293022" w:rsidRPr="00775FFA">
        <w:rPr>
          <w:sz w:val="22"/>
          <w:szCs w:val="22"/>
        </w:rPr>
        <w:t>pozorne sledova</w:t>
      </w:r>
      <w:r w:rsidR="00DF0F5F" w:rsidRPr="00775FFA">
        <w:rPr>
          <w:sz w:val="22"/>
          <w:szCs w:val="22"/>
        </w:rPr>
        <w:t>né</w:t>
      </w:r>
      <w:r w:rsidR="00293022" w:rsidRPr="00775FFA">
        <w:rPr>
          <w:sz w:val="22"/>
          <w:szCs w:val="22"/>
        </w:rPr>
        <w:t xml:space="preserve"> a</w:t>
      </w:r>
      <w:r w:rsidR="00DF0F5F" w:rsidRPr="00775FFA">
        <w:rPr>
          <w:sz w:val="22"/>
          <w:szCs w:val="22"/>
        </w:rPr>
        <w:t xml:space="preserve"> hodnotené </w:t>
      </w:r>
      <w:r w:rsidR="00293022" w:rsidRPr="00775FFA">
        <w:rPr>
          <w:sz w:val="22"/>
          <w:szCs w:val="22"/>
        </w:rPr>
        <w:t>na pr</w:t>
      </w:r>
      <w:r w:rsidRPr="00775FFA">
        <w:rPr>
          <w:sz w:val="22"/>
          <w:szCs w:val="22"/>
        </w:rPr>
        <w:t>ejav</w:t>
      </w:r>
      <w:r w:rsidR="00293022" w:rsidRPr="00775FFA">
        <w:rPr>
          <w:sz w:val="22"/>
          <w:szCs w:val="22"/>
        </w:rPr>
        <w:t xml:space="preserve">y </w:t>
      </w:r>
      <w:proofErr w:type="spellStart"/>
      <w:r w:rsidR="00293022" w:rsidRPr="00775FFA">
        <w:rPr>
          <w:sz w:val="22"/>
          <w:szCs w:val="22"/>
        </w:rPr>
        <w:t>adrenálnej</w:t>
      </w:r>
      <w:proofErr w:type="spellEnd"/>
      <w:r w:rsidR="00293022" w:rsidRPr="00775FFA">
        <w:rPr>
          <w:sz w:val="22"/>
          <w:szCs w:val="22"/>
        </w:rPr>
        <w:t xml:space="preserve"> </w:t>
      </w:r>
      <w:proofErr w:type="spellStart"/>
      <w:r w:rsidR="00293022" w:rsidRPr="00775FFA">
        <w:rPr>
          <w:sz w:val="22"/>
          <w:szCs w:val="22"/>
        </w:rPr>
        <w:t>insuficiencie</w:t>
      </w:r>
      <w:proofErr w:type="spellEnd"/>
      <w:r w:rsidR="00293022" w:rsidRPr="00775FFA">
        <w:rPr>
          <w:sz w:val="22"/>
          <w:szCs w:val="22"/>
        </w:rPr>
        <w:t xml:space="preserve">, </w:t>
      </w:r>
      <w:r w:rsidR="006118CE" w:rsidRPr="00775FFA">
        <w:rPr>
          <w:sz w:val="22"/>
          <w:szCs w:val="22"/>
        </w:rPr>
        <w:t>a</w:t>
      </w:r>
      <w:r w:rsidR="00DF0F5F" w:rsidRPr="00775FFA">
        <w:rPr>
          <w:sz w:val="22"/>
          <w:szCs w:val="22"/>
        </w:rPr>
        <w:t>j keď</w:t>
      </w:r>
      <w:r w:rsidR="00886829" w:rsidRPr="00775FFA">
        <w:rPr>
          <w:sz w:val="22"/>
          <w:szCs w:val="22"/>
        </w:rPr>
        <w:t xml:space="preserve"> novorodenecká nadobličková </w:t>
      </w:r>
      <w:proofErr w:type="spellStart"/>
      <w:r w:rsidR="00886829" w:rsidRPr="00775FFA">
        <w:rPr>
          <w:sz w:val="22"/>
          <w:szCs w:val="22"/>
        </w:rPr>
        <w:t>insuficiencia</w:t>
      </w:r>
      <w:proofErr w:type="spellEnd"/>
      <w:r w:rsidR="001A26D8" w:rsidRPr="00775FFA">
        <w:rPr>
          <w:sz w:val="22"/>
          <w:szCs w:val="22"/>
        </w:rPr>
        <w:t xml:space="preserve"> </w:t>
      </w:r>
      <w:r w:rsidR="004C7551" w:rsidRPr="00775FFA">
        <w:rPr>
          <w:sz w:val="22"/>
          <w:szCs w:val="22"/>
        </w:rPr>
        <w:t xml:space="preserve">je </w:t>
      </w:r>
      <w:r w:rsidR="001A26D8" w:rsidRPr="00775FFA">
        <w:rPr>
          <w:sz w:val="22"/>
          <w:szCs w:val="22"/>
        </w:rPr>
        <w:t>zriedkavá</w:t>
      </w:r>
      <w:r w:rsidR="00886829" w:rsidRPr="00775FFA">
        <w:rPr>
          <w:sz w:val="22"/>
          <w:szCs w:val="22"/>
        </w:rPr>
        <w:t xml:space="preserve"> u novorodencov, ktorí boli vystavení kortikosteroid</w:t>
      </w:r>
      <w:r w:rsidR="00FF092B" w:rsidRPr="00775FFA">
        <w:rPr>
          <w:sz w:val="22"/>
          <w:szCs w:val="22"/>
        </w:rPr>
        <w:t>o</w:t>
      </w:r>
      <w:r w:rsidR="001A26D8" w:rsidRPr="00775FFA">
        <w:rPr>
          <w:sz w:val="22"/>
          <w:szCs w:val="22"/>
        </w:rPr>
        <w:t>m</w:t>
      </w:r>
      <w:r w:rsidR="00886829" w:rsidRPr="00775FFA">
        <w:rPr>
          <w:sz w:val="22"/>
          <w:szCs w:val="22"/>
        </w:rPr>
        <w:t xml:space="preserve"> počas vnútromaternicového vývinu</w:t>
      </w:r>
      <w:r w:rsidR="004C7551" w:rsidRPr="00775FFA">
        <w:rPr>
          <w:sz w:val="22"/>
          <w:szCs w:val="22"/>
        </w:rPr>
        <w:t>.</w:t>
      </w:r>
    </w:p>
    <w:p w14:paraId="64AF2DEB" w14:textId="77777777" w:rsidR="000F2E71" w:rsidRPr="00775FFA" w:rsidRDefault="00C24F7F" w:rsidP="008A1CFF">
      <w:pPr>
        <w:pStyle w:val="Nadpis1"/>
        <w:tabs>
          <w:tab w:val="left" w:pos="567"/>
        </w:tabs>
        <w:rPr>
          <w:sz w:val="22"/>
          <w:szCs w:val="22"/>
        </w:rPr>
      </w:pPr>
      <w:r w:rsidRPr="00775FFA">
        <w:rPr>
          <w:sz w:val="22"/>
          <w:szCs w:val="22"/>
        </w:rPr>
        <w:t>Nie sú známe účinky kortikosteroidov na pôrodné sťahy a samotný pôrod.</w:t>
      </w:r>
    </w:p>
    <w:p w14:paraId="2F81796C" w14:textId="77777777" w:rsidR="000F2E71" w:rsidRPr="001A6993" w:rsidRDefault="000F2E71" w:rsidP="008A1CFF">
      <w:pPr>
        <w:tabs>
          <w:tab w:val="left" w:pos="567"/>
        </w:tabs>
        <w:rPr>
          <w:bCs/>
          <w:sz w:val="22"/>
          <w:szCs w:val="22"/>
        </w:rPr>
      </w:pPr>
    </w:p>
    <w:p w14:paraId="151BF10A" w14:textId="77777777" w:rsidR="000F2E71" w:rsidRPr="00775FFA" w:rsidRDefault="00C24F7F" w:rsidP="008A1CFF">
      <w:pPr>
        <w:tabs>
          <w:tab w:val="left" w:pos="567"/>
        </w:tabs>
        <w:rPr>
          <w:sz w:val="22"/>
          <w:szCs w:val="22"/>
        </w:rPr>
      </w:pPr>
      <w:r w:rsidRPr="00775FFA">
        <w:rPr>
          <w:sz w:val="22"/>
          <w:szCs w:val="22"/>
        </w:rPr>
        <w:t>U detí, narodených matkám, ktoré boli počas gravidity dlhodobo liečené kortikosteroidmi</w:t>
      </w:r>
      <w:r w:rsidR="006118CE" w:rsidRPr="00775FFA">
        <w:rPr>
          <w:sz w:val="22"/>
          <w:szCs w:val="22"/>
        </w:rPr>
        <w:t>,</w:t>
      </w:r>
      <w:r w:rsidRPr="00775FFA">
        <w:rPr>
          <w:sz w:val="22"/>
          <w:szCs w:val="22"/>
        </w:rPr>
        <w:t xml:space="preserve"> sa pozorovala katarakta.</w:t>
      </w:r>
    </w:p>
    <w:p w14:paraId="6BFAC713" w14:textId="77777777" w:rsidR="000F2E71" w:rsidRPr="00775FFA" w:rsidRDefault="000F2E71" w:rsidP="008A1CFF">
      <w:pPr>
        <w:tabs>
          <w:tab w:val="left" w:pos="567"/>
        </w:tabs>
        <w:rPr>
          <w:sz w:val="22"/>
          <w:szCs w:val="22"/>
        </w:rPr>
      </w:pPr>
    </w:p>
    <w:p w14:paraId="0EB417D2" w14:textId="77777777" w:rsidR="00A64902" w:rsidRPr="003B184B" w:rsidRDefault="00A64902" w:rsidP="00A64902">
      <w:pPr>
        <w:tabs>
          <w:tab w:val="left" w:pos="567"/>
        </w:tabs>
        <w:rPr>
          <w:sz w:val="22"/>
          <w:szCs w:val="22"/>
        </w:rPr>
      </w:pPr>
      <w:r>
        <w:rPr>
          <w:sz w:val="22"/>
          <w:szCs w:val="22"/>
        </w:rPr>
        <w:t xml:space="preserve">SOLU-MEDROL 500 mg a SOLU-MEDROL 1 g obsahujú </w:t>
      </w:r>
      <w:proofErr w:type="spellStart"/>
      <w:r>
        <w:rPr>
          <w:sz w:val="22"/>
          <w:szCs w:val="22"/>
        </w:rPr>
        <w:t>benzylalkohol</w:t>
      </w:r>
      <w:proofErr w:type="spellEnd"/>
      <w:r>
        <w:rPr>
          <w:sz w:val="22"/>
          <w:szCs w:val="22"/>
        </w:rPr>
        <w:t xml:space="preserve"> ako konzervačnú látku. </w:t>
      </w:r>
      <w:proofErr w:type="spellStart"/>
      <w:r w:rsidRPr="003B184B">
        <w:rPr>
          <w:sz w:val="22"/>
          <w:szCs w:val="22"/>
        </w:rPr>
        <w:t>Benzylalkohol</w:t>
      </w:r>
      <w:proofErr w:type="spellEnd"/>
      <w:r w:rsidRPr="003B184B">
        <w:rPr>
          <w:sz w:val="22"/>
          <w:szCs w:val="22"/>
        </w:rPr>
        <w:t xml:space="preserve"> </w:t>
      </w:r>
      <w:r>
        <w:rPr>
          <w:sz w:val="22"/>
          <w:szCs w:val="22"/>
        </w:rPr>
        <w:t>môže</w:t>
      </w:r>
      <w:r w:rsidRPr="003B184B">
        <w:rPr>
          <w:sz w:val="22"/>
          <w:szCs w:val="22"/>
        </w:rPr>
        <w:t xml:space="preserve"> prechádza</w:t>
      </w:r>
      <w:r>
        <w:rPr>
          <w:sz w:val="22"/>
          <w:szCs w:val="22"/>
        </w:rPr>
        <w:t>ť</w:t>
      </w:r>
      <w:r w:rsidRPr="003B184B">
        <w:rPr>
          <w:sz w:val="22"/>
          <w:szCs w:val="22"/>
        </w:rPr>
        <w:t xml:space="preserve"> </w:t>
      </w:r>
      <w:r>
        <w:rPr>
          <w:sz w:val="22"/>
          <w:szCs w:val="22"/>
        </w:rPr>
        <w:t>cez placentu</w:t>
      </w:r>
      <w:r w:rsidRPr="003B184B">
        <w:rPr>
          <w:sz w:val="22"/>
          <w:szCs w:val="22"/>
        </w:rPr>
        <w:t xml:space="preserve"> (pozri časť 4.4).</w:t>
      </w:r>
    </w:p>
    <w:p w14:paraId="2E0286C4" w14:textId="77777777" w:rsidR="000F2E71" w:rsidRPr="00775FFA" w:rsidRDefault="000F2E71" w:rsidP="008A1CFF">
      <w:pPr>
        <w:tabs>
          <w:tab w:val="left" w:pos="567"/>
        </w:tabs>
        <w:rPr>
          <w:sz w:val="22"/>
          <w:szCs w:val="22"/>
        </w:rPr>
      </w:pPr>
    </w:p>
    <w:p w14:paraId="31F8DEE0" w14:textId="77777777" w:rsidR="000F2E71" w:rsidRPr="00775FFA" w:rsidRDefault="00566558" w:rsidP="008A1CFF">
      <w:pPr>
        <w:keepNext/>
        <w:tabs>
          <w:tab w:val="left" w:pos="567"/>
        </w:tabs>
        <w:rPr>
          <w:sz w:val="22"/>
          <w:szCs w:val="22"/>
          <w:u w:val="single"/>
        </w:rPr>
      </w:pPr>
      <w:r w:rsidRPr="00775FFA">
        <w:rPr>
          <w:sz w:val="22"/>
          <w:szCs w:val="22"/>
          <w:u w:val="single"/>
        </w:rPr>
        <w:lastRenderedPageBreak/>
        <w:t>Dojčenie</w:t>
      </w:r>
    </w:p>
    <w:p w14:paraId="338B10C4" w14:textId="77777777" w:rsidR="000F2E71" w:rsidRPr="00775FFA" w:rsidRDefault="00C24F7F" w:rsidP="008A1CFF">
      <w:pPr>
        <w:keepNext/>
        <w:tabs>
          <w:tab w:val="left" w:pos="567"/>
        </w:tabs>
        <w:rPr>
          <w:sz w:val="22"/>
          <w:szCs w:val="22"/>
        </w:rPr>
      </w:pPr>
      <w:r w:rsidRPr="00775FFA">
        <w:rPr>
          <w:sz w:val="22"/>
          <w:szCs w:val="22"/>
        </w:rPr>
        <w:t>Kortikosteroidy</w:t>
      </w:r>
      <w:r w:rsidR="006118CE" w:rsidRPr="00775FFA">
        <w:rPr>
          <w:sz w:val="22"/>
          <w:szCs w:val="22"/>
        </w:rPr>
        <w:t xml:space="preserve"> </w:t>
      </w:r>
      <w:r w:rsidRPr="00775FFA">
        <w:rPr>
          <w:sz w:val="22"/>
          <w:szCs w:val="22"/>
        </w:rPr>
        <w:t>sa vylučujú do materského mlieka.</w:t>
      </w:r>
    </w:p>
    <w:p w14:paraId="790EFD6D" w14:textId="77777777" w:rsidR="00B35A62" w:rsidRPr="00775FFA" w:rsidRDefault="00B35A62" w:rsidP="008A1CFF">
      <w:pPr>
        <w:keepNext/>
        <w:tabs>
          <w:tab w:val="left" w:pos="567"/>
        </w:tabs>
        <w:rPr>
          <w:sz w:val="22"/>
          <w:szCs w:val="22"/>
        </w:rPr>
      </w:pPr>
    </w:p>
    <w:p w14:paraId="4F1D30B6" w14:textId="77777777" w:rsidR="000F2E71" w:rsidRDefault="00C24F7F" w:rsidP="008A1CFF">
      <w:pPr>
        <w:keepNext/>
        <w:tabs>
          <w:tab w:val="left" w:pos="567"/>
        </w:tabs>
        <w:rPr>
          <w:noProof/>
          <w:sz w:val="22"/>
          <w:szCs w:val="22"/>
        </w:rPr>
      </w:pPr>
      <w:r w:rsidRPr="00775FFA">
        <w:rPr>
          <w:sz w:val="22"/>
          <w:szCs w:val="22"/>
        </w:rPr>
        <w:t>Kortikosteroidy vylučované do materského mlieka môžu spomaľovať rast a ovplyvňovať endogénnu tvorbu glukokortikoidov u dojčiat.</w:t>
      </w:r>
    </w:p>
    <w:p w14:paraId="2DE2A889" w14:textId="77777777" w:rsidR="0023657A" w:rsidRPr="0023657A" w:rsidRDefault="0023657A" w:rsidP="00963991">
      <w:pPr>
        <w:tabs>
          <w:tab w:val="left" w:pos="567"/>
        </w:tabs>
        <w:rPr>
          <w:sz w:val="22"/>
          <w:szCs w:val="22"/>
        </w:rPr>
      </w:pPr>
      <w:r w:rsidRPr="001748F1">
        <w:rPr>
          <w:rStyle w:val="text"/>
          <w:sz w:val="22"/>
          <w:szCs w:val="22"/>
        </w:rPr>
        <w:t xml:space="preserve">Rozhodnutie, či ukončiť dojčenie alebo či ukončiť/prerušiť liečbu </w:t>
      </w:r>
      <w:r>
        <w:rPr>
          <w:rStyle w:val="text"/>
          <w:sz w:val="22"/>
          <w:szCs w:val="22"/>
        </w:rPr>
        <w:t>SOLU-MEDROLOM</w:t>
      </w:r>
      <w:r w:rsidRPr="001748F1">
        <w:rPr>
          <w:rStyle w:val="text"/>
          <w:sz w:val="22"/>
          <w:szCs w:val="22"/>
        </w:rPr>
        <w:t xml:space="preserve"> sa musí urobiť po zvážení prínosu dojčenia</w:t>
      </w:r>
      <w:r w:rsidRPr="00117942">
        <w:rPr>
          <w:rStyle w:val="text"/>
          <w:sz w:val="22"/>
          <w:szCs w:val="22"/>
        </w:rPr>
        <w:t xml:space="preserve"> pre dieťa a prínosu liečby pre</w:t>
      </w:r>
      <w:r>
        <w:rPr>
          <w:rStyle w:val="text"/>
          <w:sz w:val="22"/>
          <w:szCs w:val="22"/>
        </w:rPr>
        <w:t> </w:t>
      </w:r>
      <w:r w:rsidRPr="001748F1">
        <w:rPr>
          <w:rStyle w:val="text"/>
          <w:sz w:val="22"/>
          <w:szCs w:val="22"/>
        </w:rPr>
        <w:t>ženu.</w:t>
      </w:r>
    </w:p>
    <w:p w14:paraId="6B685141" w14:textId="77777777" w:rsidR="00A64902" w:rsidRPr="00553A12" w:rsidRDefault="00A64902" w:rsidP="00A64902">
      <w:pPr>
        <w:rPr>
          <w:rFonts w:eastAsia="Calibri"/>
          <w:sz w:val="22"/>
          <w:szCs w:val="22"/>
          <w:lang w:eastAsia="en-GB"/>
        </w:rPr>
      </w:pPr>
      <w:r>
        <w:rPr>
          <w:sz w:val="22"/>
          <w:szCs w:val="22"/>
        </w:rPr>
        <w:t xml:space="preserve">SOLU-MEDROL 500 mg a SOLU-MEDROL 1 g obsahujú </w:t>
      </w:r>
      <w:proofErr w:type="spellStart"/>
      <w:r w:rsidRPr="00F277C3">
        <w:rPr>
          <w:rFonts w:eastAsia="Calibri"/>
          <w:sz w:val="22"/>
          <w:szCs w:val="22"/>
          <w:lang w:eastAsia="en-GB"/>
        </w:rPr>
        <w:t>benzylalkohol</w:t>
      </w:r>
      <w:proofErr w:type="spellEnd"/>
      <w:r w:rsidRPr="00F277C3">
        <w:rPr>
          <w:rFonts w:eastAsia="Calibri"/>
          <w:sz w:val="22"/>
          <w:szCs w:val="22"/>
          <w:lang w:eastAsia="en-GB"/>
        </w:rPr>
        <w:t xml:space="preserve"> ako konzervačnú látku</w:t>
      </w:r>
      <w:r>
        <w:rPr>
          <w:rFonts w:eastAsia="Calibri"/>
          <w:sz w:val="22"/>
          <w:szCs w:val="22"/>
          <w:lang w:eastAsia="en-GB"/>
        </w:rPr>
        <w:t xml:space="preserve"> (pozri časť 4.4).</w:t>
      </w:r>
    </w:p>
    <w:p w14:paraId="1C022161" w14:textId="77777777" w:rsidR="00B86998" w:rsidRPr="0023657A" w:rsidRDefault="00B86998" w:rsidP="00B86998">
      <w:pPr>
        <w:tabs>
          <w:tab w:val="left" w:pos="567"/>
        </w:tabs>
        <w:rPr>
          <w:sz w:val="22"/>
          <w:szCs w:val="22"/>
        </w:rPr>
      </w:pPr>
    </w:p>
    <w:p w14:paraId="18C735F8" w14:textId="77777777" w:rsidR="00B86998" w:rsidRPr="00EA3452" w:rsidRDefault="00B86998" w:rsidP="00B86998">
      <w:pPr>
        <w:tabs>
          <w:tab w:val="left" w:pos="567"/>
        </w:tabs>
        <w:rPr>
          <w:sz w:val="22"/>
          <w:szCs w:val="22"/>
          <w:u w:val="single"/>
        </w:rPr>
      </w:pPr>
      <w:proofErr w:type="spellStart"/>
      <w:r w:rsidRPr="00EA3452">
        <w:rPr>
          <w:sz w:val="22"/>
          <w:szCs w:val="22"/>
          <w:u w:val="single"/>
        </w:rPr>
        <w:t>Fertilita</w:t>
      </w:r>
      <w:proofErr w:type="spellEnd"/>
    </w:p>
    <w:p w14:paraId="2D6E399F" w14:textId="77777777" w:rsidR="007205A1" w:rsidRPr="006B156F" w:rsidRDefault="003B1008" w:rsidP="007205A1">
      <w:pPr>
        <w:tabs>
          <w:tab w:val="left" w:pos="567"/>
        </w:tabs>
        <w:rPr>
          <w:sz w:val="22"/>
          <w:szCs w:val="22"/>
        </w:rPr>
      </w:pPr>
      <w:r>
        <w:rPr>
          <w:sz w:val="22"/>
          <w:szCs w:val="22"/>
        </w:rPr>
        <w:t>K</w:t>
      </w:r>
      <w:r w:rsidR="007205A1" w:rsidRPr="006B156F">
        <w:rPr>
          <w:sz w:val="22"/>
          <w:szCs w:val="22"/>
        </w:rPr>
        <w:t xml:space="preserve">ortikosteroidy spôsobili </w:t>
      </w:r>
      <w:r w:rsidR="007205A1">
        <w:rPr>
          <w:sz w:val="22"/>
          <w:szCs w:val="22"/>
        </w:rPr>
        <w:t>poruchu</w:t>
      </w:r>
      <w:r w:rsidR="007205A1" w:rsidRPr="006B156F">
        <w:rPr>
          <w:sz w:val="22"/>
          <w:szCs w:val="22"/>
        </w:rPr>
        <w:t xml:space="preserve"> plodnosti v štúdiách na zvieratách (pozri časť 5.3).</w:t>
      </w:r>
    </w:p>
    <w:p w14:paraId="78A54A05" w14:textId="77777777" w:rsidR="00905DB4" w:rsidRPr="0036093B" w:rsidRDefault="00905DB4" w:rsidP="00905DB4">
      <w:pPr>
        <w:autoSpaceDE w:val="0"/>
        <w:autoSpaceDN w:val="0"/>
        <w:adjustRightInd w:val="0"/>
        <w:rPr>
          <w:color w:val="000000"/>
          <w:sz w:val="22"/>
          <w:szCs w:val="22"/>
        </w:rPr>
      </w:pPr>
      <w:r w:rsidRPr="003B1008">
        <w:rPr>
          <w:iCs/>
          <w:color w:val="000000"/>
          <w:sz w:val="22"/>
          <w:szCs w:val="22"/>
        </w:rPr>
        <w:t>Kortikosteroidy znižujú biosyntézu testosterónu a endogénnu ACTH sekréciu, čo môže mať vplyv na </w:t>
      </w:r>
      <w:proofErr w:type="spellStart"/>
      <w:r w:rsidRPr="003B1008">
        <w:rPr>
          <w:iCs/>
          <w:color w:val="000000"/>
          <w:sz w:val="22"/>
          <w:szCs w:val="22"/>
        </w:rPr>
        <w:t>spermiogenézu</w:t>
      </w:r>
      <w:proofErr w:type="spellEnd"/>
      <w:r w:rsidRPr="003B1008">
        <w:rPr>
          <w:iCs/>
          <w:color w:val="000000"/>
          <w:sz w:val="22"/>
          <w:szCs w:val="22"/>
        </w:rPr>
        <w:t xml:space="preserve"> a </w:t>
      </w:r>
      <w:proofErr w:type="spellStart"/>
      <w:r w:rsidRPr="003B1008">
        <w:rPr>
          <w:iCs/>
          <w:color w:val="000000"/>
          <w:sz w:val="22"/>
          <w:szCs w:val="22"/>
        </w:rPr>
        <w:t>ovariálny</w:t>
      </w:r>
      <w:proofErr w:type="spellEnd"/>
      <w:r w:rsidRPr="003B1008">
        <w:rPr>
          <w:iCs/>
          <w:color w:val="000000"/>
          <w:sz w:val="22"/>
          <w:szCs w:val="22"/>
        </w:rPr>
        <w:t xml:space="preserve"> cyklus.</w:t>
      </w:r>
    </w:p>
    <w:p w14:paraId="7815AA08" w14:textId="77777777" w:rsidR="00905DB4" w:rsidRPr="007C15C9" w:rsidRDefault="00905DB4" w:rsidP="00905DB4">
      <w:pPr>
        <w:tabs>
          <w:tab w:val="left" w:pos="567"/>
        </w:tabs>
        <w:rPr>
          <w:bCs/>
          <w:sz w:val="22"/>
          <w:szCs w:val="22"/>
        </w:rPr>
      </w:pPr>
      <w:r w:rsidRPr="00242DA2">
        <w:rPr>
          <w:bCs/>
          <w:sz w:val="22"/>
          <w:szCs w:val="22"/>
        </w:rPr>
        <w:t>U žien môže liečba kortik</w:t>
      </w:r>
      <w:r w:rsidRPr="009E54B4">
        <w:rPr>
          <w:bCs/>
          <w:sz w:val="22"/>
          <w:szCs w:val="22"/>
        </w:rPr>
        <w:t xml:space="preserve">osteroidmi spôsobiť nepravidelnú menštruáciu alebo </w:t>
      </w:r>
      <w:proofErr w:type="spellStart"/>
      <w:r w:rsidRPr="009E54B4">
        <w:rPr>
          <w:bCs/>
          <w:sz w:val="22"/>
          <w:szCs w:val="22"/>
        </w:rPr>
        <w:t>amenoreu</w:t>
      </w:r>
      <w:proofErr w:type="spellEnd"/>
      <w:r w:rsidRPr="009E54B4">
        <w:rPr>
          <w:bCs/>
          <w:sz w:val="22"/>
          <w:szCs w:val="22"/>
        </w:rPr>
        <w:t>.</w:t>
      </w:r>
    </w:p>
    <w:p w14:paraId="7228FDCC" w14:textId="77777777" w:rsidR="000F2E71" w:rsidRPr="007205A1" w:rsidRDefault="000F2E71" w:rsidP="008A1CFF">
      <w:pPr>
        <w:tabs>
          <w:tab w:val="left" w:pos="567"/>
        </w:tabs>
        <w:rPr>
          <w:sz w:val="22"/>
          <w:szCs w:val="22"/>
        </w:rPr>
      </w:pPr>
    </w:p>
    <w:p w14:paraId="299D75EB" w14:textId="77777777" w:rsidR="000F2E71" w:rsidRPr="00BF06EA" w:rsidRDefault="001A70CE" w:rsidP="008A1CFF">
      <w:pPr>
        <w:tabs>
          <w:tab w:val="left" w:pos="567"/>
        </w:tabs>
        <w:rPr>
          <w:b/>
          <w:sz w:val="22"/>
          <w:szCs w:val="22"/>
        </w:rPr>
      </w:pPr>
      <w:r w:rsidRPr="00AA7990">
        <w:rPr>
          <w:b/>
          <w:sz w:val="22"/>
          <w:szCs w:val="22"/>
        </w:rPr>
        <w:t>4.7</w:t>
      </w:r>
      <w:r w:rsidR="0092328B" w:rsidRPr="00AA7990">
        <w:rPr>
          <w:b/>
          <w:sz w:val="22"/>
          <w:szCs w:val="22"/>
        </w:rPr>
        <w:tab/>
      </w:r>
      <w:r w:rsidRPr="005867D5">
        <w:rPr>
          <w:b/>
          <w:sz w:val="22"/>
          <w:szCs w:val="22"/>
        </w:rPr>
        <w:t>Ovplyvnenie schopnosti viesť vozidlá a</w:t>
      </w:r>
      <w:r w:rsidR="00777D39" w:rsidRPr="005867D5">
        <w:rPr>
          <w:b/>
          <w:sz w:val="22"/>
          <w:szCs w:val="22"/>
        </w:rPr>
        <w:t> </w:t>
      </w:r>
      <w:r w:rsidRPr="00BF06EA">
        <w:rPr>
          <w:b/>
          <w:sz w:val="22"/>
          <w:szCs w:val="22"/>
        </w:rPr>
        <w:t>obsluhovať stroje</w:t>
      </w:r>
    </w:p>
    <w:p w14:paraId="18C18720" w14:textId="77777777" w:rsidR="000F2E71" w:rsidRPr="00BF06EA" w:rsidRDefault="000F2E71" w:rsidP="008A1CFF">
      <w:pPr>
        <w:tabs>
          <w:tab w:val="left" w:pos="567"/>
        </w:tabs>
        <w:rPr>
          <w:sz w:val="22"/>
          <w:szCs w:val="22"/>
        </w:rPr>
      </w:pPr>
    </w:p>
    <w:p w14:paraId="5369866E" w14:textId="77777777" w:rsidR="000F2E71" w:rsidRPr="00776865" w:rsidRDefault="00C24F7F" w:rsidP="008A1CFF">
      <w:pPr>
        <w:pStyle w:val="Nadpis1"/>
        <w:tabs>
          <w:tab w:val="left" w:pos="567"/>
        </w:tabs>
        <w:rPr>
          <w:sz w:val="22"/>
          <w:szCs w:val="22"/>
        </w:rPr>
      </w:pPr>
      <w:r w:rsidRPr="00BF06EA">
        <w:rPr>
          <w:sz w:val="22"/>
          <w:szCs w:val="22"/>
        </w:rPr>
        <w:t>Účinok kortikosteroidov</w:t>
      </w:r>
      <w:r w:rsidRPr="00AB0507">
        <w:rPr>
          <w:sz w:val="22"/>
          <w:szCs w:val="22"/>
          <w:vertAlign w:val="superscript"/>
        </w:rPr>
        <w:t xml:space="preserve"> </w:t>
      </w:r>
      <w:r w:rsidRPr="00AB0507">
        <w:rPr>
          <w:sz w:val="22"/>
          <w:szCs w:val="22"/>
        </w:rPr>
        <w:t>na schopnosť viesť vozidlá alebo obsluhovať stroje nebol systematicky skú</w:t>
      </w:r>
      <w:r w:rsidRPr="005C567E">
        <w:rPr>
          <w:sz w:val="22"/>
          <w:szCs w:val="22"/>
        </w:rPr>
        <w:t xml:space="preserve">maný. Nežiaduce účinky, ako sú závraty, </w:t>
      </w:r>
      <w:proofErr w:type="spellStart"/>
      <w:r w:rsidRPr="005C567E">
        <w:rPr>
          <w:sz w:val="22"/>
          <w:szCs w:val="22"/>
        </w:rPr>
        <w:t>vertigo</w:t>
      </w:r>
      <w:proofErr w:type="spellEnd"/>
      <w:r w:rsidRPr="005C567E">
        <w:rPr>
          <w:sz w:val="22"/>
          <w:szCs w:val="22"/>
        </w:rPr>
        <w:t>, poruchy videnia a únava sa môžu vyskytnúť pri liečbe kortikosteroidmi. V prípade výskytu týchto účinkov, pacienti nemajú viesť vozidl</w:t>
      </w:r>
      <w:r w:rsidR="00C9087C" w:rsidRPr="004D4405">
        <w:rPr>
          <w:sz w:val="22"/>
          <w:szCs w:val="22"/>
        </w:rPr>
        <w:t>á</w:t>
      </w:r>
      <w:r w:rsidRPr="00905DB4">
        <w:rPr>
          <w:sz w:val="22"/>
          <w:szCs w:val="22"/>
        </w:rPr>
        <w:t xml:space="preserve"> a</w:t>
      </w:r>
      <w:r w:rsidR="00B35A62" w:rsidRPr="00905DB4">
        <w:rPr>
          <w:sz w:val="22"/>
          <w:szCs w:val="22"/>
        </w:rPr>
        <w:t>lebo</w:t>
      </w:r>
      <w:r w:rsidRPr="00905DB4">
        <w:rPr>
          <w:sz w:val="22"/>
          <w:szCs w:val="22"/>
        </w:rPr>
        <w:t> obsluhovať stroje.</w:t>
      </w:r>
    </w:p>
    <w:p w14:paraId="1256FF75" w14:textId="77777777" w:rsidR="000F2E71" w:rsidRPr="00683CE0" w:rsidRDefault="000F2E71" w:rsidP="008A1CFF">
      <w:pPr>
        <w:tabs>
          <w:tab w:val="left" w:pos="567"/>
        </w:tabs>
        <w:rPr>
          <w:sz w:val="22"/>
          <w:szCs w:val="22"/>
        </w:rPr>
      </w:pPr>
    </w:p>
    <w:p w14:paraId="2E92E8A6" w14:textId="77777777" w:rsidR="000F2E71" w:rsidRPr="00A11CA4" w:rsidRDefault="00C24F7F" w:rsidP="008A1CFF">
      <w:pPr>
        <w:keepNext/>
        <w:tabs>
          <w:tab w:val="left" w:pos="567"/>
        </w:tabs>
        <w:rPr>
          <w:b/>
          <w:sz w:val="22"/>
          <w:szCs w:val="22"/>
        </w:rPr>
      </w:pPr>
      <w:r w:rsidRPr="00A11CA4">
        <w:rPr>
          <w:b/>
          <w:sz w:val="22"/>
          <w:szCs w:val="22"/>
        </w:rPr>
        <w:t>4.8</w:t>
      </w:r>
      <w:r w:rsidRPr="00A11CA4">
        <w:rPr>
          <w:b/>
          <w:sz w:val="22"/>
          <w:szCs w:val="22"/>
        </w:rPr>
        <w:tab/>
        <w:t>Nežiaduce účinky</w:t>
      </w:r>
    </w:p>
    <w:p w14:paraId="54F3E42C" w14:textId="77777777" w:rsidR="000F2E71" w:rsidRPr="000E48B1" w:rsidRDefault="000F2E71" w:rsidP="008A1CFF">
      <w:pPr>
        <w:keepNext/>
        <w:tabs>
          <w:tab w:val="left" w:pos="567"/>
        </w:tabs>
        <w:rPr>
          <w:sz w:val="22"/>
          <w:szCs w:val="22"/>
        </w:rPr>
      </w:pPr>
    </w:p>
    <w:p w14:paraId="2B854AD8" w14:textId="77777777" w:rsidR="000F2E71" w:rsidRPr="003B1008" w:rsidRDefault="00D33401" w:rsidP="008A1CFF">
      <w:pPr>
        <w:keepNext/>
        <w:tabs>
          <w:tab w:val="left" w:pos="567"/>
        </w:tabs>
        <w:rPr>
          <w:sz w:val="22"/>
          <w:szCs w:val="22"/>
        </w:rPr>
      </w:pPr>
      <w:r w:rsidRPr="00F13490">
        <w:rPr>
          <w:sz w:val="22"/>
          <w:szCs w:val="22"/>
        </w:rPr>
        <w:t xml:space="preserve">Tieto nežiaduce </w:t>
      </w:r>
      <w:r w:rsidR="00F24085" w:rsidRPr="003B1008">
        <w:rPr>
          <w:sz w:val="22"/>
          <w:szCs w:val="22"/>
        </w:rPr>
        <w:t>reakcie</w:t>
      </w:r>
      <w:r w:rsidRPr="003B1008">
        <w:rPr>
          <w:sz w:val="22"/>
          <w:szCs w:val="22"/>
        </w:rPr>
        <w:t xml:space="preserve"> boli hl</w:t>
      </w:r>
      <w:r w:rsidR="006118CE" w:rsidRPr="003B1008">
        <w:rPr>
          <w:sz w:val="22"/>
          <w:szCs w:val="22"/>
        </w:rPr>
        <w:t>á</w:t>
      </w:r>
      <w:r w:rsidRPr="003B1008">
        <w:rPr>
          <w:sz w:val="22"/>
          <w:szCs w:val="22"/>
        </w:rPr>
        <w:t>sené v súvislosti s kontraindikovaným spôsobom podania:</w:t>
      </w:r>
    </w:p>
    <w:p w14:paraId="339518A9" w14:textId="77777777" w:rsidR="000F2E71" w:rsidRPr="007B3224" w:rsidRDefault="002F620B" w:rsidP="008A1CFF">
      <w:pPr>
        <w:keepNext/>
        <w:tabs>
          <w:tab w:val="left" w:pos="567"/>
        </w:tabs>
        <w:rPr>
          <w:sz w:val="22"/>
          <w:szCs w:val="22"/>
        </w:rPr>
      </w:pPr>
      <w:proofErr w:type="spellStart"/>
      <w:r w:rsidRPr="0036093B">
        <w:rPr>
          <w:sz w:val="22"/>
          <w:szCs w:val="22"/>
        </w:rPr>
        <w:t>Intratekálne</w:t>
      </w:r>
      <w:proofErr w:type="spellEnd"/>
      <w:r w:rsidRPr="0036093B">
        <w:rPr>
          <w:sz w:val="22"/>
          <w:szCs w:val="22"/>
        </w:rPr>
        <w:t>/</w:t>
      </w:r>
      <w:proofErr w:type="spellStart"/>
      <w:r w:rsidRPr="0036093B">
        <w:rPr>
          <w:sz w:val="22"/>
          <w:szCs w:val="22"/>
        </w:rPr>
        <w:t>Epidurálne</w:t>
      </w:r>
      <w:proofErr w:type="spellEnd"/>
      <w:r w:rsidRPr="0036093B">
        <w:rPr>
          <w:sz w:val="22"/>
          <w:szCs w:val="22"/>
        </w:rPr>
        <w:t xml:space="preserve">: </w:t>
      </w:r>
      <w:proofErr w:type="spellStart"/>
      <w:r w:rsidRPr="0036093B">
        <w:rPr>
          <w:sz w:val="22"/>
          <w:szCs w:val="22"/>
        </w:rPr>
        <w:t>arachnoi</w:t>
      </w:r>
      <w:r w:rsidR="00F24085" w:rsidRPr="00242DA2">
        <w:rPr>
          <w:sz w:val="22"/>
          <w:szCs w:val="22"/>
        </w:rPr>
        <w:t>di</w:t>
      </w:r>
      <w:r w:rsidRPr="009E54B4">
        <w:rPr>
          <w:sz w:val="22"/>
          <w:szCs w:val="22"/>
        </w:rPr>
        <w:t>tída</w:t>
      </w:r>
      <w:proofErr w:type="spellEnd"/>
      <w:r w:rsidRPr="009E54B4">
        <w:rPr>
          <w:sz w:val="22"/>
          <w:szCs w:val="22"/>
        </w:rPr>
        <w:t>, funkčné gastrointestinálne poruchy/dysfunkcia močového mechúra,</w:t>
      </w:r>
      <w:r w:rsidRPr="00145F40">
        <w:rPr>
          <w:sz w:val="22"/>
          <w:szCs w:val="22"/>
        </w:rPr>
        <w:t xml:space="preserve"> bolesť hlavy, meningitída, </w:t>
      </w:r>
      <w:proofErr w:type="spellStart"/>
      <w:r w:rsidRPr="00145F40">
        <w:rPr>
          <w:sz w:val="22"/>
          <w:szCs w:val="22"/>
        </w:rPr>
        <w:t>paraparéza</w:t>
      </w:r>
      <w:proofErr w:type="spellEnd"/>
      <w:r w:rsidRPr="00145F40">
        <w:rPr>
          <w:sz w:val="22"/>
          <w:szCs w:val="22"/>
        </w:rPr>
        <w:t>/parapl</w:t>
      </w:r>
      <w:r w:rsidR="00FC6A1C" w:rsidRPr="00FD13A6">
        <w:rPr>
          <w:sz w:val="22"/>
          <w:szCs w:val="22"/>
        </w:rPr>
        <w:t>é</w:t>
      </w:r>
      <w:r w:rsidRPr="000D1EAA">
        <w:rPr>
          <w:sz w:val="22"/>
          <w:szCs w:val="22"/>
        </w:rPr>
        <w:t xml:space="preserve">gia, </w:t>
      </w:r>
      <w:r w:rsidR="00525315" w:rsidRPr="003B490D">
        <w:rPr>
          <w:sz w:val="22"/>
          <w:szCs w:val="22"/>
        </w:rPr>
        <w:t>záchvat</w:t>
      </w:r>
      <w:r w:rsidRPr="005F09FD">
        <w:rPr>
          <w:sz w:val="22"/>
          <w:szCs w:val="22"/>
        </w:rPr>
        <w:t>, poruchy vnímania</w:t>
      </w:r>
      <w:r w:rsidR="006118CE" w:rsidRPr="00D21F26">
        <w:rPr>
          <w:sz w:val="22"/>
          <w:szCs w:val="22"/>
        </w:rPr>
        <w:t>.</w:t>
      </w:r>
      <w:r w:rsidRPr="00D21F26">
        <w:rPr>
          <w:sz w:val="22"/>
          <w:szCs w:val="22"/>
        </w:rPr>
        <w:t xml:space="preserve"> </w:t>
      </w:r>
      <w:r w:rsidR="000F2E71" w:rsidRPr="007B3224">
        <w:rPr>
          <w:sz w:val="22"/>
          <w:szCs w:val="22"/>
        </w:rPr>
        <w:t>Frekvencia týchto nežiaducich účinkov nie je známa.</w:t>
      </w:r>
    </w:p>
    <w:p w14:paraId="79DFDD37" w14:textId="77777777" w:rsidR="000F2E71" w:rsidRPr="008E567D" w:rsidRDefault="000F2E71" w:rsidP="008A1CFF">
      <w:pPr>
        <w:tabs>
          <w:tab w:val="left" w:pos="567"/>
        </w:tabs>
        <w:rPr>
          <w:sz w:val="22"/>
          <w:szCs w:val="22"/>
        </w:rPr>
      </w:pPr>
    </w:p>
    <w:p w14:paraId="1C366E4F" w14:textId="77777777" w:rsidR="000F2E71" w:rsidRPr="008E6EE5" w:rsidRDefault="000F2E71" w:rsidP="008A1CFF">
      <w:pPr>
        <w:tabs>
          <w:tab w:val="left" w:pos="567"/>
        </w:tabs>
        <w:rPr>
          <w:sz w:val="22"/>
          <w:szCs w:val="22"/>
        </w:rPr>
      </w:pPr>
      <w:r w:rsidRPr="008E567D">
        <w:rPr>
          <w:b/>
          <w:sz w:val="22"/>
          <w:szCs w:val="22"/>
        </w:rPr>
        <w:t xml:space="preserve">Tabuľka </w:t>
      </w:r>
      <w:r w:rsidR="00720E89">
        <w:rPr>
          <w:b/>
          <w:sz w:val="22"/>
          <w:szCs w:val="22"/>
        </w:rPr>
        <w:t>2:</w:t>
      </w:r>
      <w:r w:rsidRPr="008E567D">
        <w:rPr>
          <w:b/>
          <w:sz w:val="22"/>
          <w:szCs w:val="22"/>
        </w:rPr>
        <w:t xml:space="preserve"> </w:t>
      </w:r>
      <w:r w:rsidR="00720E89">
        <w:rPr>
          <w:b/>
          <w:sz w:val="22"/>
          <w:szCs w:val="22"/>
        </w:rPr>
        <w:t>tabuľkový zoznam nežiaducich reakcií</w:t>
      </w:r>
    </w:p>
    <w:p w14:paraId="6F3292C1" w14:textId="77777777" w:rsidR="000F2E71" w:rsidRPr="008E6EE5" w:rsidRDefault="000F2E71" w:rsidP="008A1CF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5737"/>
      </w:tblGrid>
      <w:tr w:rsidR="006D0AC4" w:rsidRPr="00775FFA" w14:paraId="69575682" w14:textId="77777777" w:rsidTr="007B2B59">
        <w:trPr>
          <w:tblHeader/>
        </w:trPr>
        <w:tc>
          <w:tcPr>
            <w:tcW w:w="2928" w:type="dxa"/>
            <w:tcBorders>
              <w:bottom w:val="single" w:sz="4" w:space="0" w:color="auto"/>
            </w:tcBorders>
          </w:tcPr>
          <w:p w14:paraId="0234EFF3" w14:textId="77777777" w:rsidR="000F2E71" w:rsidRPr="00BE08DD" w:rsidRDefault="00720E89" w:rsidP="008A1CFF">
            <w:pPr>
              <w:tabs>
                <w:tab w:val="left" w:pos="567"/>
              </w:tabs>
              <w:rPr>
                <w:b/>
                <w:sz w:val="22"/>
                <w:szCs w:val="22"/>
              </w:rPr>
            </w:pPr>
            <w:r w:rsidRPr="002E04AD">
              <w:rPr>
                <w:b/>
                <w:sz w:val="22"/>
                <w:szCs w:val="22"/>
              </w:rPr>
              <w:t xml:space="preserve">Trieda orgánových systémov podľa databázy </w:t>
            </w:r>
            <w:proofErr w:type="spellStart"/>
            <w:r w:rsidRPr="002E04AD">
              <w:rPr>
                <w:b/>
                <w:sz w:val="22"/>
                <w:szCs w:val="22"/>
              </w:rPr>
              <w:t>MedDRA</w:t>
            </w:r>
            <w:proofErr w:type="spellEnd"/>
          </w:p>
        </w:tc>
        <w:tc>
          <w:tcPr>
            <w:tcW w:w="5858" w:type="dxa"/>
            <w:tcBorders>
              <w:bottom w:val="single" w:sz="4" w:space="0" w:color="auto"/>
            </w:tcBorders>
          </w:tcPr>
          <w:p w14:paraId="43E5FE3E" w14:textId="77777777" w:rsidR="000F2E71" w:rsidRPr="004365DD" w:rsidRDefault="00BF10B9" w:rsidP="008A1CFF">
            <w:pPr>
              <w:tabs>
                <w:tab w:val="left" w:pos="567"/>
              </w:tabs>
              <w:rPr>
                <w:b/>
                <w:sz w:val="22"/>
                <w:szCs w:val="22"/>
              </w:rPr>
            </w:pPr>
            <w:r w:rsidRPr="0067303A">
              <w:rPr>
                <w:b/>
                <w:sz w:val="22"/>
                <w:szCs w:val="22"/>
              </w:rPr>
              <w:t xml:space="preserve">Nežiaduce </w:t>
            </w:r>
            <w:r w:rsidR="00720E89">
              <w:rPr>
                <w:b/>
                <w:sz w:val="22"/>
                <w:szCs w:val="22"/>
              </w:rPr>
              <w:t>reakcie</w:t>
            </w:r>
          </w:p>
        </w:tc>
      </w:tr>
      <w:tr w:rsidR="006D0AC4" w:rsidRPr="00775FFA" w14:paraId="0B13EE1F" w14:textId="77777777" w:rsidTr="00A3276A">
        <w:trPr>
          <w:trHeight w:val="462"/>
        </w:trPr>
        <w:tc>
          <w:tcPr>
            <w:tcW w:w="2928" w:type="dxa"/>
            <w:tcBorders>
              <w:top w:val="single" w:sz="4" w:space="0" w:color="auto"/>
            </w:tcBorders>
          </w:tcPr>
          <w:p w14:paraId="569E9CBB" w14:textId="77777777" w:rsidR="000F2E71" w:rsidRPr="00775FFA" w:rsidRDefault="000F2E71" w:rsidP="008A1CFF">
            <w:pPr>
              <w:tabs>
                <w:tab w:val="left" w:pos="567"/>
              </w:tabs>
              <w:rPr>
                <w:b/>
                <w:sz w:val="22"/>
                <w:szCs w:val="22"/>
              </w:rPr>
            </w:pPr>
            <w:r w:rsidRPr="00775FFA">
              <w:rPr>
                <w:b/>
                <w:sz w:val="22"/>
                <w:szCs w:val="22"/>
              </w:rPr>
              <w:t>Infekcie a nákazy</w:t>
            </w:r>
          </w:p>
        </w:tc>
        <w:tc>
          <w:tcPr>
            <w:tcW w:w="5858" w:type="dxa"/>
            <w:tcBorders>
              <w:top w:val="single" w:sz="4" w:space="0" w:color="auto"/>
            </w:tcBorders>
          </w:tcPr>
          <w:p w14:paraId="1DEF942B" w14:textId="77777777" w:rsidR="000F2E71" w:rsidRPr="00024FA5" w:rsidRDefault="00A960C3" w:rsidP="008A1CFF">
            <w:pPr>
              <w:tabs>
                <w:tab w:val="left" w:pos="567"/>
              </w:tabs>
              <w:rPr>
                <w:sz w:val="22"/>
                <w:szCs w:val="22"/>
              </w:rPr>
            </w:pPr>
            <w:r w:rsidRPr="00775FFA">
              <w:rPr>
                <w:sz w:val="22"/>
                <w:szCs w:val="22"/>
              </w:rPr>
              <w:t>o</w:t>
            </w:r>
            <w:r w:rsidR="00BF10B9" w:rsidRPr="00775FFA">
              <w:rPr>
                <w:sz w:val="22"/>
                <w:szCs w:val="22"/>
              </w:rPr>
              <w:t>portúnna infekcia</w:t>
            </w:r>
            <w:r w:rsidRPr="00775FFA">
              <w:rPr>
                <w:sz w:val="22"/>
                <w:szCs w:val="22"/>
              </w:rPr>
              <w:t>,</w:t>
            </w:r>
            <w:r w:rsidR="00BF10B9" w:rsidRPr="00775FFA">
              <w:rPr>
                <w:sz w:val="22"/>
                <w:szCs w:val="22"/>
              </w:rPr>
              <w:t xml:space="preserve"> </w:t>
            </w:r>
            <w:r w:rsidR="00E67A5A" w:rsidRPr="00775FFA">
              <w:rPr>
                <w:sz w:val="22"/>
                <w:szCs w:val="22"/>
              </w:rPr>
              <w:t>i</w:t>
            </w:r>
            <w:r w:rsidR="00BF10B9" w:rsidRPr="00775FFA">
              <w:rPr>
                <w:sz w:val="22"/>
                <w:szCs w:val="22"/>
              </w:rPr>
              <w:t>nfekcia</w:t>
            </w:r>
            <w:r w:rsidRPr="00775FFA">
              <w:rPr>
                <w:sz w:val="22"/>
                <w:szCs w:val="22"/>
              </w:rPr>
              <w:t>,</w:t>
            </w:r>
            <w:r w:rsidR="00BF10B9" w:rsidRPr="00775FFA">
              <w:rPr>
                <w:sz w:val="22"/>
                <w:szCs w:val="22"/>
              </w:rPr>
              <w:t xml:space="preserve"> </w:t>
            </w:r>
            <w:proofErr w:type="spellStart"/>
            <w:r w:rsidRPr="00775FFA">
              <w:rPr>
                <w:sz w:val="22"/>
                <w:szCs w:val="22"/>
              </w:rPr>
              <w:t>p</w:t>
            </w:r>
            <w:r w:rsidR="00BF10B9" w:rsidRPr="00775FFA">
              <w:rPr>
                <w:sz w:val="22"/>
                <w:szCs w:val="22"/>
              </w:rPr>
              <w:t>eritonitída</w:t>
            </w:r>
            <w:proofErr w:type="spellEnd"/>
            <w:r w:rsidR="000F2E71" w:rsidRPr="00024FA5">
              <w:rPr>
                <w:sz w:val="22"/>
                <w:szCs w:val="22"/>
                <w:vertAlign w:val="superscript"/>
              </w:rPr>
              <w:sym w:font="Symbol" w:char="F023"/>
            </w:r>
          </w:p>
        </w:tc>
      </w:tr>
      <w:tr w:rsidR="00701658" w:rsidRPr="00775FFA" w14:paraId="44404EAD" w14:textId="77777777" w:rsidTr="00A3276A">
        <w:trPr>
          <w:trHeight w:val="513"/>
        </w:trPr>
        <w:tc>
          <w:tcPr>
            <w:tcW w:w="2928" w:type="dxa"/>
            <w:tcBorders>
              <w:top w:val="single" w:sz="4" w:space="0" w:color="auto"/>
            </w:tcBorders>
          </w:tcPr>
          <w:p w14:paraId="16A2CD18" w14:textId="77777777" w:rsidR="000F2E71" w:rsidRPr="00775FFA" w:rsidRDefault="000F2E71" w:rsidP="008A1CFF">
            <w:pPr>
              <w:tabs>
                <w:tab w:val="left" w:pos="567"/>
              </w:tabs>
              <w:rPr>
                <w:b/>
                <w:sz w:val="22"/>
                <w:szCs w:val="22"/>
              </w:rPr>
            </w:pPr>
            <w:r w:rsidRPr="00775FFA">
              <w:rPr>
                <w:b/>
                <w:bCs/>
                <w:sz w:val="22"/>
                <w:szCs w:val="22"/>
              </w:rPr>
              <w:t>Poruchy krvi a lymfatického systému</w:t>
            </w:r>
          </w:p>
        </w:tc>
        <w:tc>
          <w:tcPr>
            <w:tcW w:w="5858" w:type="dxa"/>
            <w:tcBorders>
              <w:top w:val="single" w:sz="4" w:space="0" w:color="auto"/>
            </w:tcBorders>
          </w:tcPr>
          <w:p w14:paraId="7EA2BD2C" w14:textId="77777777" w:rsidR="000F2E71" w:rsidRPr="00775FFA" w:rsidRDefault="00A960C3" w:rsidP="008A1CFF">
            <w:pPr>
              <w:tabs>
                <w:tab w:val="left" w:pos="567"/>
              </w:tabs>
              <w:rPr>
                <w:sz w:val="22"/>
                <w:szCs w:val="22"/>
              </w:rPr>
            </w:pPr>
            <w:r w:rsidRPr="00775FFA">
              <w:rPr>
                <w:sz w:val="22"/>
                <w:szCs w:val="22"/>
              </w:rPr>
              <w:t>l</w:t>
            </w:r>
            <w:r w:rsidR="00BD0F13" w:rsidRPr="00775FFA">
              <w:rPr>
                <w:sz w:val="22"/>
                <w:szCs w:val="22"/>
              </w:rPr>
              <w:t>eukocytóza</w:t>
            </w:r>
          </w:p>
        </w:tc>
      </w:tr>
      <w:tr w:rsidR="006D0AC4" w:rsidRPr="00775FFA" w14:paraId="18DAD014" w14:textId="77777777" w:rsidTr="007A556C">
        <w:tc>
          <w:tcPr>
            <w:tcW w:w="2928" w:type="dxa"/>
            <w:tcBorders>
              <w:top w:val="single" w:sz="4" w:space="0" w:color="auto"/>
            </w:tcBorders>
          </w:tcPr>
          <w:p w14:paraId="721708E7" w14:textId="77777777" w:rsidR="000F2E71" w:rsidRPr="00775FFA" w:rsidRDefault="000F2E71" w:rsidP="008A1CFF">
            <w:pPr>
              <w:tabs>
                <w:tab w:val="left" w:pos="567"/>
              </w:tabs>
              <w:rPr>
                <w:b/>
                <w:sz w:val="22"/>
                <w:szCs w:val="22"/>
              </w:rPr>
            </w:pPr>
            <w:r w:rsidRPr="00775FFA">
              <w:rPr>
                <w:b/>
                <w:sz w:val="22"/>
                <w:szCs w:val="22"/>
              </w:rPr>
              <w:t>Poruchy imunitného systému</w:t>
            </w:r>
          </w:p>
        </w:tc>
        <w:tc>
          <w:tcPr>
            <w:tcW w:w="5858" w:type="dxa"/>
            <w:tcBorders>
              <w:top w:val="single" w:sz="4" w:space="0" w:color="auto"/>
            </w:tcBorders>
          </w:tcPr>
          <w:p w14:paraId="78BD7FC0" w14:textId="77777777" w:rsidR="000F2E71" w:rsidRPr="00775FFA" w:rsidRDefault="00A960C3" w:rsidP="008A1CFF">
            <w:pPr>
              <w:tabs>
                <w:tab w:val="left" w:pos="567"/>
              </w:tabs>
              <w:rPr>
                <w:sz w:val="22"/>
                <w:szCs w:val="22"/>
              </w:rPr>
            </w:pPr>
            <w:r w:rsidRPr="00775FFA">
              <w:rPr>
                <w:sz w:val="22"/>
                <w:szCs w:val="22"/>
              </w:rPr>
              <w:t>p</w:t>
            </w:r>
            <w:r w:rsidR="000F2E71" w:rsidRPr="00775FFA">
              <w:rPr>
                <w:sz w:val="22"/>
                <w:szCs w:val="22"/>
              </w:rPr>
              <w:t>recitlivenosť na liek</w:t>
            </w:r>
            <w:r w:rsidRPr="00775FFA">
              <w:rPr>
                <w:sz w:val="22"/>
                <w:szCs w:val="22"/>
              </w:rPr>
              <w:t>,</w:t>
            </w:r>
            <w:r w:rsidR="00BF10B9" w:rsidRPr="00775FFA">
              <w:rPr>
                <w:sz w:val="22"/>
                <w:szCs w:val="22"/>
              </w:rPr>
              <w:t xml:space="preserve"> </w:t>
            </w:r>
            <w:proofErr w:type="spellStart"/>
            <w:r w:rsidRPr="00775FFA">
              <w:rPr>
                <w:sz w:val="22"/>
                <w:szCs w:val="22"/>
              </w:rPr>
              <w:t>a</w:t>
            </w:r>
            <w:r w:rsidR="00BF10B9" w:rsidRPr="00775FFA">
              <w:rPr>
                <w:sz w:val="22"/>
                <w:szCs w:val="22"/>
              </w:rPr>
              <w:t>nafylaktická</w:t>
            </w:r>
            <w:proofErr w:type="spellEnd"/>
            <w:r w:rsidR="00BF10B9" w:rsidRPr="00775FFA">
              <w:rPr>
                <w:sz w:val="22"/>
                <w:szCs w:val="22"/>
              </w:rPr>
              <w:t xml:space="preserve"> reakcia</w:t>
            </w:r>
            <w:r w:rsidRPr="00775FFA">
              <w:rPr>
                <w:sz w:val="22"/>
                <w:szCs w:val="22"/>
              </w:rPr>
              <w:t xml:space="preserve">, </w:t>
            </w:r>
            <w:proofErr w:type="spellStart"/>
            <w:r w:rsidRPr="00775FFA">
              <w:rPr>
                <w:sz w:val="22"/>
                <w:szCs w:val="22"/>
              </w:rPr>
              <w:t>a</w:t>
            </w:r>
            <w:r w:rsidR="00BF10B9" w:rsidRPr="00775FFA">
              <w:rPr>
                <w:sz w:val="22"/>
                <w:szCs w:val="22"/>
              </w:rPr>
              <w:t>nafylaktoidn</w:t>
            </w:r>
            <w:r w:rsidR="003E698F" w:rsidRPr="00775FFA">
              <w:rPr>
                <w:sz w:val="22"/>
                <w:szCs w:val="22"/>
              </w:rPr>
              <w:t>á</w:t>
            </w:r>
            <w:proofErr w:type="spellEnd"/>
            <w:r w:rsidR="00BF10B9" w:rsidRPr="00775FFA">
              <w:rPr>
                <w:sz w:val="22"/>
                <w:szCs w:val="22"/>
              </w:rPr>
              <w:t xml:space="preserve"> reakci</w:t>
            </w:r>
            <w:r w:rsidR="003E698F" w:rsidRPr="00775FFA">
              <w:rPr>
                <w:sz w:val="22"/>
                <w:szCs w:val="22"/>
              </w:rPr>
              <w:t>a</w:t>
            </w:r>
          </w:p>
        </w:tc>
      </w:tr>
      <w:tr w:rsidR="006D0AC4" w:rsidRPr="00775FFA" w14:paraId="70DCCEEF" w14:textId="77777777" w:rsidTr="00A3276A">
        <w:trPr>
          <w:trHeight w:val="457"/>
        </w:trPr>
        <w:tc>
          <w:tcPr>
            <w:tcW w:w="2928" w:type="dxa"/>
          </w:tcPr>
          <w:p w14:paraId="1D6D5553" w14:textId="77777777" w:rsidR="000F2E71" w:rsidRPr="00775FFA" w:rsidRDefault="000F2E71" w:rsidP="008A1CFF">
            <w:pPr>
              <w:tabs>
                <w:tab w:val="left" w:pos="567"/>
              </w:tabs>
              <w:rPr>
                <w:b/>
                <w:sz w:val="22"/>
                <w:szCs w:val="22"/>
              </w:rPr>
            </w:pPr>
            <w:r w:rsidRPr="00775FFA">
              <w:rPr>
                <w:b/>
                <w:sz w:val="22"/>
                <w:szCs w:val="22"/>
              </w:rPr>
              <w:t>Poruchy endokrinného systému</w:t>
            </w:r>
          </w:p>
        </w:tc>
        <w:tc>
          <w:tcPr>
            <w:tcW w:w="5858" w:type="dxa"/>
          </w:tcPr>
          <w:p w14:paraId="066F24A0" w14:textId="77777777" w:rsidR="000F2E71" w:rsidRPr="00775FFA" w:rsidRDefault="00BD0F13" w:rsidP="008A1CFF">
            <w:pPr>
              <w:tabs>
                <w:tab w:val="left" w:pos="567"/>
              </w:tabs>
              <w:rPr>
                <w:sz w:val="22"/>
                <w:szCs w:val="22"/>
              </w:rPr>
            </w:pPr>
            <w:proofErr w:type="spellStart"/>
            <w:r w:rsidRPr="00775FFA">
              <w:rPr>
                <w:sz w:val="22"/>
                <w:szCs w:val="22"/>
              </w:rPr>
              <w:t>Cushingo</w:t>
            </w:r>
            <w:r w:rsidR="00A960C3" w:rsidRPr="00775FFA">
              <w:rPr>
                <w:sz w:val="22"/>
                <w:szCs w:val="22"/>
              </w:rPr>
              <w:t>v</w:t>
            </w:r>
            <w:proofErr w:type="spellEnd"/>
            <w:r w:rsidR="00A960C3" w:rsidRPr="00775FFA">
              <w:rPr>
                <w:sz w:val="22"/>
                <w:szCs w:val="22"/>
              </w:rPr>
              <w:t xml:space="preserve"> syndróm,</w:t>
            </w:r>
            <w:r w:rsidRPr="00775FFA">
              <w:rPr>
                <w:sz w:val="22"/>
                <w:szCs w:val="22"/>
              </w:rPr>
              <w:t xml:space="preserve"> </w:t>
            </w:r>
            <w:bookmarkStart w:id="2" w:name="_Hlk136698897"/>
            <w:proofErr w:type="spellStart"/>
            <w:r w:rsidR="00005124">
              <w:rPr>
                <w:sz w:val="22"/>
                <w:szCs w:val="22"/>
              </w:rPr>
              <w:t>supresia</w:t>
            </w:r>
            <w:proofErr w:type="spellEnd"/>
            <w:r w:rsidR="00005124">
              <w:rPr>
                <w:sz w:val="22"/>
                <w:szCs w:val="22"/>
              </w:rPr>
              <w:t xml:space="preserve"> </w:t>
            </w:r>
            <w:proofErr w:type="spellStart"/>
            <w:r w:rsidR="00005124">
              <w:rPr>
                <w:sz w:val="22"/>
                <w:szCs w:val="22"/>
              </w:rPr>
              <w:t>hypotalam</w:t>
            </w:r>
            <w:r w:rsidR="004F583A">
              <w:rPr>
                <w:sz w:val="22"/>
                <w:szCs w:val="22"/>
              </w:rPr>
              <w:t>o</w:t>
            </w:r>
            <w:proofErr w:type="spellEnd"/>
            <w:r w:rsidR="00005124">
              <w:rPr>
                <w:sz w:val="22"/>
                <w:szCs w:val="22"/>
              </w:rPr>
              <w:t>-</w:t>
            </w:r>
            <w:proofErr w:type="spellStart"/>
            <w:r w:rsidR="00005124">
              <w:rPr>
                <w:sz w:val="22"/>
                <w:szCs w:val="22"/>
              </w:rPr>
              <w:t>hypofýz</w:t>
            </w:r>
            <w:r w:rsidR="004F583A">
              <w:rPr>
                <w:sz w:val="22"/>
                <w:szCs w:val="22"/>
              </w:rPr>
              <w:t>o</w:t>
            </w:r>
            <w:proofErr w:type="spellEnd"/>
            <w:r w:rsidR="00005124">
              <w:rPr>
                <w:sz w:val="22"/>
                <w:szCs w:val="22"/>
              </w:rPr>
              <w:t>-nadobličk</w:t>
            </w:r>
            <w:r w:rsidR="004F583A">
              <w:rPr>
                <w:sz w:val="22"/>
                <w:szCs w:val="22"/>
              </w:rPr>
              <w:t>ovej osi</w:t>
            </w:r>
            <w:bookmarkEnd w:id="2"/>
            <w:r w:rsidR="00A960C3" w:rsidRPr="00775FFA">
              <w:rPr>
                <w:sz w:val="22"/>
                <w:szCs w:val="22"/>
              </w:rPr>
              <w:t>,</w:t>
            </w:r>
            <w:r w:rsidR="000F2E71" w:rsidRPr="00775FFA">
              <w:rPr>
                <w:sz w:val="22"/>
                <w:szCs w:val="22"/>
              </w:rPr>
              <w:t xml:space="preserve"> </w:t>
            </w:r>
            <w:r w:rsidR="00A960C3" w:rsidRPr="00775FFA">
              <w:rPr>
                <w:sz w:val="22"/>
                <w:szCs w:val="22"/>
              </w:rPr>
              <w:t>s</w:t>
            </w:r>
            <w:r w:rsidR="000F2E71" w:rsidRPr="00775FFA">
              <w:rPr>
                <w:sz w:val="22"/>
                <w:szCs w:val="22"/>
              </w:rPr>
              <w:t xml:space="preserve">yndróm z vysadenia </w:t>
            </w:r>
            <w:proofErr w:type="spellStart"/>
            <w:r w:rsidR="000F2E71" w:rsidRPr="00775FFA">
              <w:rPr>
                <w:sz w:val="22"/>
                <w:szCs w:val="22"/>
              </w:rPr>
              <w:t>steroidov</w:t>
            </w:r>
            <w:proofErr w:type="spellEnd"/>
          </w:p>
        </w:tc>
      </w:tr>
      <w:tr w:rsidR="006D0AC4" w:rsidRPr="00775FFA" w14:paraId="16BB17B4" w14:textId="77777777" w:rsidTr="00A3276A">
        <w:trPr>
          <w:trHeight w:val="1215"/>
        </w:trPr>
        <w:tc>
          <w:tcPr>
            <w:tcW w:w="2928" w:type="dxa"/>
          </w:tcPr>
          <w:p w14:paraId="61FBAB98" w14:textId="77777777" w:rsidR="000F2E71" w:rsidRPr="00775FFA" w:rsidRDefault="000F2E71" w:rsidP="008A1CFF">
            <w:pPr>
              <w:tabs>
                <w:tab w:val="left" w:pos="567"/>
              </w:tabs>
              <w:rPr>
                <w:b/>
                <w:sz w:val="22"/>
                <w:szCs w:val="22"/>
              </w:rPr>
            </w:pPr>
            <w:r w:rsidRPr="00775FFA">
              <w:rPr>
                <w:b/>
                <w:sz w:val="22"/>
                <w:szCs w:val="22"/>
              </w:rPr>
              <w:t>Poruchy metabolizmu a výživy</w:t>
            </w:r>
          </w:p>
        </w:tc>
        <w:tc>
          <w:tcPr>
            <w:tcW w:w="5858" w:type="dxa"/>
          </w:tcPr>
          <w:p w14:paraId="0EF2E154" w14:textId="77777777" w:rsidR="000F2E71" w:rsidRPr="00775FFA" w:rsidRDefault="00A960C3" w:rsidP="008A1CFF">
            <w:pPr>
              <w:tabs>
                <w:tab w:val="left" w:pos="567"/>
              </w:tabs>
              <w:rPr>
                <w:sz w:val="22"/>
                <w:szCs w:val="22"/>
              </w:rPr>
            </w:pPr>
            <w:r w:rsidRPr="00775FFA">
              <w:rPr>
                <w:sz w:val="22"/>
                <w:szCs w:val="22"/>
              </w:rPr>
              <w:t>m</w:t>
            </w:r>
            <w:r w:rsidR="00BF10B9" w:rsidRPr="00775FFA">
              <w:rPr>
                <w:sz w:val="22"/>
                <w:szCs w:val="22"/>
              </w:rPr>
              <w:t>etabolická acidóza</w:t>
            </w:r>
            <w:r w:rsidRPr="00775FFA">
              <w:rPr>
                <w:sz w:val="22"/>
                <w:szCs w:val="22"/>
              </w:rPr>
              <w:t xml:space="preserve">, </w:t>
            </w:r>
            <w:proofErr w:type="spellStart"/>
            <w:r w:rsidRPr="00775FFA">
              <w:rPr>
                <w:sz w:val="22"/>
                <w:szCs w:val="22"/>
              </w:rPr>
              <w:t>epidurálna</w:t>
            </w:r>
            <w:proofErr w:type="spellEnd"/>
            <w:r w:rsidRPr="00775FFA">
              <w:rPr>
                <w:sz w:val="22"/>
                <w:szCs w:val="22"/>
              </w:rPr>
              <w:t xml:space="preserve"> </w:t>
            </w:r>
            <w:proofErr w:type="spellStart"/>
            <w:r w:rsidRPr="00775FFA">
              <w:rPr>
                <w:sz w:val="22"/>
                <w:szCs w:val="22"/>
              </w:rPr>
              <w:t>lipomatóza</w:t>
            </w:r>
            <w:proofErr w:type="spellEnd"/>
            <w:r w:rsidRPr="00775FFA">
              <w:rPr>
                <w:sz w:val="22"/>
                <w:szCs w:val="22"/>
              </w:rPr>
              <w:t>,</w:t>
            </w:r>
            <w:r w:rsidR="00BF10B9" w:rsidRPr="00775FFA">
              <w:rPr>
                <w:sz w:val="22"/>
                <w:szCs w:val="22"/>
              </w:rPr>
              <w:t xml:space="preserve"> </w:t>
            </w:r>
            <w:proofErr w:type="spellStart"/>
            <w:r w:rsidRPr="00775FFA">
              <w:rPr>
                <w:sz w:val="22"/>
                <w:szCs w:val="22"/>
              </w:rPr>
              <w:t>r</w:t>
            </w:r>
            <w:r w:rsidR="00BF10B9" w:rsidRPr="00775FFA">
              <w:rPr>
                <w:sz w:val="22"/>
                <w:szCs w:val="22"/>
              </w:rPr>
              <w:t>etencia</w:t>
            </w:r>
            <w:proofErr w:type="spellEnd"/>
            <w:r w:rsidR="00BF10B9" w:rsidRPr="00775FFA">
              <w:rPr>
                <w:sz w:val="22"/>
                <w:szCs w:val="22"/>
              </w:rPr>
              <w:t xml:space="preserve"> sodíka</w:t>
            </w:r>
            <w:r w:rsidRPr="00775FFA">
              <w:rPr>
                <w:sz w:val="22"/>
                <w:szCs w:val="22"/>
              </w:rPr>
              <w:t>,</w:t>
            </w:r>
            <w:r w:rsidR="00BF10B9" w:rsidRPr="00775FFA">
              <w:rPr>
                <w:sz w:val="22"/>
                <w:szCs w:val="22"/>
              </w:rPr>
              <w:t xml:space="preserve"> </w:t>
            </w:r>
            <w:proofErr w:type="spellStart"/>
            <w:r w:rsidRPr="00775FFA">
              <w:rPr>
                <w:sz w:val="22"/>
                <w:szCs w:val="22"/>
              </w:rPr>
              <w:t>r</w:t>
            </w:r>
            <w:r w:rsidR="000F2E71" w:rsidRPr="00775FFA">
              <w:rPr>
                <w:sz w:val="22"/>
                <w:szCs w:val="22"/>
              </w:rPr>
              <w:t>etencia</w:t>
            </w:r>
            <w:proofErr w:type="spellEnd"/>
            <w:r w:rsidR="000F2E71" w:rsidRPr="00775FFA">
              <w:rPr>
                <w:sz w:val="22"/>
                <w:szCs w:val="22"/>
              </w:rPr>
              <w:t xml:space="preserve"> tekutín</w:t>
            </w:r>
            <w:r w:rsidRPr="00775FFA">
              <w:rPr>
                <w:sz w:val="22"/>
                <w:szCs w:val="22"/>
              </w:rPr>
              <w:t>,</w:t>
            </w:r>
            <w:r w:rsidR="000F2E71" w:rsidRPr="00775FFA">
              <w:rPr>
                <w:sz w:val="22"/>
                <w:szCs w:val="22"/>
              </w:rPr>
              <w:t xml:space="preserve"> </w:t>
            </w:r>
            <w:proofErr w:type="spellStart"/>
            <w:r w:rsidRPr="00775FFA">
              <w:rPr>
                <w:sz w:val="22"/>
                <w:szCs w:val="22"/>
              </w:rPr>
              <w:t>h</w:t>
            </w:r>
            <w:r w:rsidR="000F2E71" w:rsidRPr="00775FFA">
              <w:rPr>
                <w:sz w:val="22"/>
                <w:szCs w:val="22"/>
              </w:rPr>
              <w:t>ypokalemická</w:t>
            </w:r>
            <w:proofErr w:type="spellEnd"/>
            <w:r w:rsidR="000F2E71" w:rsidRPr="00775FFA">
              <w:rPr>
                <w:sz w:val="22"/>
                <w:szCs w:val="22"/>
              </w:rPr>
              <w:t xml:space="preserve"> </w:t>
            </w:r>
            <w:proofErr w:type="spellStart"/>
            <w:r w:rsidR="000F2E71" w:rsidRPr="00775FFA">
              <w:rPr>
                <w:sz w:val="22"/>
                <w:szCs w:val="22"/>
              </w:rPr>
              <w:t>alkalóza</w:t>
            </w:r>
            <w:proofErr w:type="spellEnd"/>
            <w:r w:rsidRPr="00775FFA">
              <w:rPr>
                <w:sz w:val="22"/>
                <w:szCs w:val="22"/>
              </w:rPr>
              <w:t>,</w:t>
            </w:r>
            <w:r w:rsidR="000F2E71" w:rsidRPr="00775FFA">
              <w:rPr>
                <w:sz w:val="22"/>
                <w:szCs w:val="22"/>
              </w:rPr>
              <w:t xml:space="preserve"> </w:t>
            </w:r>
            <w:proofErr w:type="spellStart"/>
            <w:r w:rsidRPr="00775FFA">
              <w:rPr>
                <w:sz w:val="22"/>
                <w:szCs w:val="22"/>
              </w:rPr>
              <w:t>d</w:t>
            </w:r>
            <w:r w:rsidR="000F2E71" w:rsidRPr="00775FFA">
              <w:rPr>
                <w:sz w:val="22"/>
                <w:szCs w:val="22"/>
              </w:rPr>
              <w:t>yslipidémia</w:t>
            </w:r>
            <w:proofErr w:type="spellEnd"/>
            <w:r w:rsidRPr="00775FFA">
              <w:rPr>
                <w:sz w:val="22"/>
                <w:szCs w:val="22"/>
              </w:rPr>
              <w:t>,</w:t>
            </w:r>
            <w:r w:rsidR="000F2E71" w:rsidRPr="00775FFA">
              <w:rPr>
                <w:sz w:val="22"/>
                <w:szCs w:val="22"/>
              </w:rPr>
              <w:t xml:space="preserve"> </w:t>
            </w:r>
            <w:r w:rsidRPr="00775FFA">
              <w:rPr>
                <w:sz w:val="22"/>
                <w:szCs w:val="22"/>
              </w:rPr>
              <w:t>p</w:t>
            </w:r>
            <w:r w:rsidR="000F2E71" w:rsidRPr="00775FFA">
              <w:rPr>
                <w:sz w:val="22"/>
                <w:szCs w:val="22"/>
              </w:rPr>
              <w:t>orucha glukózovej tolerancie</w:t>
            </w:r>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výšená potreba inzulínu (alebo</w:t>
            </w:r>
            <w:r w:rsidR="003763AE">
              <w:rPr>
                <w:sz w:val="22"/>
                <w:szCs w:val="22"/>
              </w:rPr>
              <w:t> </w:t>
            </w:r>
            <w:r w:rsidR="00C87D5C" w:rsidRPr="00775FFA">
              <w:rPr>
                <w:sz w:val="22"/>
                <w:szCs w:val="22"/>
              </w:rPr>
              <w:t xml:space="preserve">perorálnych </w:t>
            </w:r>
            <w:proofErr w:type="spellStart"/>
            <w:r w:rsidR="000F2E71" w:rsidRPr="00775FFA">
              <w:rPr>
                <w:sz w:val="22"/>
                <w:szCs w:val="22"/>
              </w:rPr>
              <w:t>hypoglykemík</w:t>
            </w:r>
            <w:proofErr w:type="spellEnd"/>
            <w:r w:rsidR="000F2E71" w:rsidRPr="00775FFA">
              <w:rPr>
                <w:sz w:val="22"/>
                <w:szCs w:val="22"/>
              </w:rPr>
              <w:t xml:space="preserve"> u diabetikov)</w:t>
            </w:r>
            <w:r w:rsidRPr="00775FFA">
              <w:rPr>
                <w:sz w:val="22"/>
                <w:szCs w:val="22"/>
              </w:rPr>
              <w:t xml:space="preserve">, </w:t>
            </w:r>
            <w:proofErr w:type="spellStart"/>
            <w:r w:rsidRPr="00775FFA">
              <w:rPr>
                <w:sz w:val="22"/>
                <w:szCs w:val="22"/>
              </w:rPr>
              <w:t>l</w:t>
            </w:r>
            <w:r w:rsidR="00C87D5C" w:rsidRPr="00775FFA">
              <w:rPr>
                <w:sz w:val="22"/>
                <w:szCs w:val="22"/>
              </w:rPr>
              <w:t>ipomatóza</w:t>
            </w:r>
            <w:proofErr w:type="spellEnd"/>
            <w:r w:rsidRPr="00775FFA">
              <w:rPr>
                <w:sz w:val="22"/>
                <w:szCs w:val="22"/>
              </w:rPr>
              <w:t>,</w:t>
            </w:r>
            <w:r w:rsidR="00C87D5C" w:rsidRPr="00775FFA">
              <w:rPr>
                <w:sz w:val="22"/>
                <w:szCs w:val="22"/>
              </w:rPr>
              <w:t xml:space="preserve"> </w:t>
            </w:r>
            <w:r w:rsidRPr="00775FFA">
              <w:rPr>
                <w:sz w:val="22"/>
                <w:szCs w:val="22"/>
              </w:rPr>
              <w:t>z</w:t>
            </w:r>
            <w:r w:rsidR="000F2E71" w:rsidRPr="00775FFA">
              <w:rPr>
                <w:sz w:val="22"/>
                <w:szCs w:val="22"/>
              </w:rPr>
              <w:t>výšená chuť do jedla (čo môže viesť ku zvýšeniu telesnej hmotnosti)</w:t>
            </w:r>
          </w:p>
        </w:tc>
      </w:tr>
      <w:tr w:rsidR="006D0AC4" w:rsidRPr="00775FFA" w14:paraId="701EABC6" w14:textId="77777777" w:rsidTr="00A3276A">
        <w:trPr>
          <w:trHeight w:val="1503"/>
        </w:trPr>
        <w:tc>
          <w:tcPr>
            <w:tcW w:w="2928" w:type="dxa"/>
          </w:tcPr>
          <w:p w14:paraId="2289131C" w14:textId="77777777" w:rsidR="000F2E71" w:rsidRPr="00775FFA" w:rsidRDefault="000F2E71" w:rsidP="008A1CFF">
            <w:pPr>
              <w:tabs>
                <w:tab w:val="left" w:pos="567"/>
              </w:tabs>
              <w:rPr>
                <w:b/>
                <w:sz w:val="22"/>
                <w:szCs w:val="22"/>
              </w:rPr>
            </w:pPr>
            <w:r w:rsidRPr="00775FFA">
              <w:rPr>
                <w:b/>
                <w:sz w:val="22"/>
                <w:szCs w:val="22"/>
              </w:rPr>
              <w:lastRenderedPageBreak/>
              <w:t>Psychické poruchy</w:t>
            </w:r>
          </w:p>
        </w:tc>
        <w:tc>
          <w:tcPr>
            <w:tcW w:w="5858" w:type="dxa"/>
          </w:tcPr>
          <w:p w14:paraId="7FAECDEB" w14:textId="77777777" w:rsidR="000F2E71" w:rsidRPr="00775FFA" w:rsidRDefault="00E67A5A" w:rsidP="008A1CFF">
            <w:pPr>
              <w:rPr>
                <w:sz w:val="22"/>
                <w:szCs w:val="22"/>
              </w:rPr>
            </w:pPr>
            <w:r w:rsidRPr="00775FFA">
              <w:rPr>
                <w:sz w:val="22"/>
                <w:szCs w:val="22"/>
              </w:rPr>
              <w:t>a</w:t>
            </w:r>
            <w:r w:rsidR="000F2E71" w:rsidRPr="00775FFA">
              <w:rPr>
                <w:sz w:val="22"/>
                <w:szCs w:val="22"/>
              </w:rPr>
              <w:t>fektívn</w:t>
            </w:r>
            <w:r w:rsidR="00C87D5C" w:rsidRPr="00775FFA">
              <w:rPr>
                <w:sz w:val="22"/>
                <w:szCs w:val="22"/>
              </w:rPr>
              <w:t>a</w:t>
            </w:r>
            <w:r w:rsidR="000F2E71" w:rsidRPr="00775FFA">
              <w:rPr>
                <w:sz w:val="22"/>
                <w:szCs w:val="22"/>
              </w:rPr>
              <w:t xml:space="preserve"> poruch</w:t>
            </w:r>
            <w:r w:rsidR="00C87D5C" w:rsidRPr="00775FFA">
              <w:rPr>
                <w:sz w:val="22"/>
                <w:szCs w:val="22"/>
              </w:rPr>
              <w:t>a</w:t>
            </w:r>
            <w:r w:rsidR="000F2E71" w:rsidRPr="00775FFA">
              <w:rPr>
                <w:sz w:val="22"/>
                <w:szCs w:val="22"/>
              </w:rPr>
              <w:t xml:space="preserve"> (vrátane depresívnej nálady, euforickej nálady, afektívnej lability, </w:t>
            </w:r>
            <w:r w:rsidR="00C87D5C" w:rsidRPr="00775FFA">
              <w:rPr>
                <w:sz w:val="22"/>
                <w:szCs w:val="22"/>
              </w:rPr>
              <w:t>liekovej</w:t>
            </w:r>
            <w:r w:rsidR="000F2E71" w:rsidRPr="00775FFA">
              <w:rPr>
                <w:sz w:val="22"/>
                <w:szCs w:val="22"/>
              </w:rPr>
              <w:t xml:space="preserve"> závislosti, samovražedných myšlienok)</w:t>
            </w:r>
            <w:r w:rsidRPr="00775FFA">
              <w:rPr>
                <w:sz w:val="22"/>
                <w:szCs w:val="22"/>
              </w:rPr>
              <w:t>,</w:t>
            </w:r>
            <w:r w:rsidR="000F2E71" w:rsidRPr="00775FFA">
              <w:rPr>
                <w:sz w:val="22"/>
                <w:szCs w:val="22"/>
              </w:rPr>
              <w:t xml:space="preserve"> </w:t>
            </w:r>
            <w:r w:rsidRPr="00775FFA">
              <w:rPr>
                <w:sz w:val="22"/>
                <w:szCs w:val="22"/>
              </w:rPr>
              <w:t>p</w:t>
            </w:r>
            <w:r w:rsidR="000F2E71" w:rsidRPr="00775FFA">
              <w:rPr>
                <w:sz w:val="22"/>
                <w:szCs w:val="22"/>
              </w:rPr>
              <w:t>sychotické poruchy (vrátane mánie, preludu, halucinácií a schizofrénie)</w:t>
            </w:r>
            <w:r w:rsidRPr="00775FFA">
              <w:rPr>
                <w:sz w:val="22"/>
                <w:szCs w:val="22"/>
              </w:rPr>
              <w:t>,</w:t>
            </w:r>
            <w:r w:rsidR="00C87D5C" w:rsidRPr="00775FFA">
              <w:rPr>
                <w:sz w:val="22"/>
                <w:szCs w:val="22"/>
              </w:rPr>
              <w:t xml:space="preserve"> </w:t>
            </w:r>
            <w:r w:rsidRPr="00775FFA">
              <w:rPr>
                <w:sz w:val="22"/>
                <w:szCs w:val="22"/>
              </w:rPr>
              <w:t>m</w:t>
            </w:r>
            <w:r w:rsidR="00C87D5C" w:rsidRPr="00775FFA">
              <w:rPr>
                <w:sz w:val="22"/>
                <w:szCs w:val="22"/>
              </w:rPr>
              <w:t>entálne poruchy</w:t>
            </w:r>
            <w:r w:rsidRPr="00775FFA">
              <w:rPr>
                <w:sz w:val="22"/>
                <w:szCs w:val="22"/>
              </w:rPr>
              <w:t>,</w:t>
            </w:r>
            <w:r w:rsidR="00C87D5C" w:rsidRPr="00775FFA">
              <w:rPr>
                <w:sz w:val="22"/>
                <w:szCs w:val="22"/>
              </w:rPr>
              <w:t xml:space="preserve"> </w:t>
            </w:r>
            <w:r w:rsidRPr="00775FFA">
              <w:rPr>
                <w:sz w:val="22"/>
                <w:szCs w:val="22"/>
              </w:rPr>
              <w:t>z</w:t>
            </w:r>
            <w:r w:rsidR="00C87D5C" w:rsidRPr="00775FFA">
              <w:rPr>
                <w:sz w:val="22"/>
                <w:szCs w:val="22"/>
              </w:rPr>
              <w:t>meny osobnosti</w:t>
            </w:r>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 xml:space="preserve">mätenosť, </w:t>
            </w:r>
            <w:r w:rsidR="003E698F" w:rsidRPr="00775FFA">
              <w:rPr>
                <w:sz w:val="22"/>
                <w:szCs w:val="22"/>
              </w:rPr>
              <w:t>úzkos</w:t>
            </w:r>
            <w:r w:rsidR="008B0E0E" w:rsidRPr="00775FFA">
              <w:rPr>
                <w:sz w:val="22"/>
                <w:szCs w:val="22"/>
              </w:rPr>
              <w:t>ť</w:t>
            </w:r>
            <w:r w:rsidRPr="00775FFA">
              <w:rPr>
                <w:sz w:val="22"/>
                <w:szCs w:val="22"/>
              </w:rPr>
              <w:t>,</w:t>
            </w:r>
            <w:r w:rsidR="000F2E71" w:rsidRPr="00775FFA">
              <w:rPr>
                <w:sz w:val="22"/>
                <w:szCs w:val="22"/>
              </w:rPr>
              <w:t xml:space="preserve"> </w:t>
            </w:r>
            <w:r w:rsidRPr="00775FFA">
              <w:rPr>
                <w:sz w:val="22"/>
                <w:szCs w:val="22"/>
              </w:rPr>
              <w:t>p</w:t>
            </w:r>
            <w:r w:rsidR="000F2E71" w:rsidRPr="00775FFA">
              <w:rPr>
                <w:sz w:val="22"/>
                <w:szCs w:val="22"/>
              </w:rPr>
              <w:t>rudké zmeny nálady</w:t>
            </w:r>
            <w:r w:rsidRPr="00775FFA">
              <w:rPr>
                <w:sz w:val="22"/>
                <w:szCs w:val="22"/>
              </w:rPr>
              <w:t>,</w:t>
            </w:r>
            <w:r w:rsidR="000F2E71" w:rsidRPr="00775FFA">
              <w:rPr>
                <w:sz w:val="22"/>
                <w:szCs w:val="22"/>
              </w:rPr>
              <w:t xml:space="preserve"> </w:t>
            </w:r>
            <w:r w:rsidRPr="00775FFA">
              <w:rPr>
                <w:sz w:val="22"/>
                <w:szCs w:val="22"/>
              </w:rPr>
              <w:t>a</w:t>
            </w:r>
            <w:r w:rsidR="000F2E71" w:rsidRPr="00775FFA">
              <w:rPr>
                <w:sz w:val="22"/>
                <w:szCs w:val="22"/>
              </w:rPr>
              <w:t>bnormálne správanie</w:t>
            </w:r>
            <w:r w:rsidRPr="00775FFA">
              <w:rPr>
                <w:sz w:val="22"/>
                <w:szCs w:val="22"/>
              </w:rPr>
              <w:t>,</w:t>
            </w:r>
            <w:r w:rsidR="000F2E71" w:rsidRPr="00775FFA">
              <w:rPr>
                <w:sz w:val="22"/>
                <w:szCs w:val="22"/>
              </w:rPr>
              <w:t xml:space="preserve"> </w:t>
            </w:r>
            <w:proofErr w:type="spellStart"/>
            <w:r w:rsidRPr="00775FFA">
              <w:rPr>
                <w:sz w:val="22"/>
                <w:szCs w:val="22"/>
              </w:rPr>
              <w:t>i</w:t>
            </w:r>
            <w:r w:rsidR="000F2E71" w:rsidRPr="00775FFA">
              <w:rPr>
                <w:sz w:val="22"/>
                <w:szCs w:val="22"/>
              </w:rPr>
              <w:t>nsomnia</w:t>
            </w:r>
            <w:proofErr w:type="spellEnd"/>
            <w:r w:rsidRPr="00775FFA">
              <w:rPr>
                <w:sz w:val="22"/>
                <w:szCs w:val="22"/>
              </w:rPr>
              <w:t>,</w:t>
            </w:r>
            <w:r w:rsidR="00C87D5C" w:rsidRPr="00775FFA">
              <w:rPr>
                <w:sz w:val="22"/>
                <w:szCs w:val="22"/>
              </w:rPr>
              <w:t xml:space="preserve"> </w:t>
            </w:r>
            <w:r w:rsidRPr="00775FFA">
              <w:rPr>
                <w:sz w:val="22"/>
                <w:szCs w:val="22"/>
              </w:rPr>
              <w:t>p</w:t>
            </w:r>
            <w:r w:rsidR="00C87D5C" w:rsidRPr="00775FFA">
              <w:rPr>
                <w:sz w:val="22"/>
                <w:szCs w:val="22"/>
              </w:rPr>
              <w:t>odráždenosť</w:t>
            </w:r>
          </w:p>
        </w:tc>
      </w:tr>
      <w:tr w:rsidR="006D0AC4" w:rsidRPr="00775FFA" w14:paraId="0917C342" w14:textId="77777777" w:rsidTr="007A556C">
        <w:tc>
          <w:tcPr>
            <w:tcW w:w="2928" w:type="dxa"/>
          </w:tcPr>
          <w:p w14:paraId="63B0D16D" w14:textId="77777777" w:rsidR="000F2E71" w:rsidRPr="00775FFA" w:rsidRDefault="000F2E71" w:rsidP="008A1CFF">
            <w:pPr>
              <w:tabs>
                <w:tab w:val="left" w:pos="567"/>
              </w:tabs>
              <w:rPr>
                <w:b/>
                <w:sz w:val="22"/>
                <w:szCs w:val="22"/>
              </w:rPr>
            </w:pPr>
            <w:r w:rsidRPr="00775FFA">
              <w:rPr>
                <w:b/>
                <w:sz w:val="22"/>
                <w:szCs w:val="22"/>
              </w:rPr>
              <w:t>Poruchy nervového systému</w:t>
            </w:r>
          </w:p>
        </w:tc>
        <w:tc>
          <w:tcPr>
            <w:tcW w:w="5858" w:type="dxa"/>
          </w:tcPr>
          <w:p w14:paraId="115F1E3D" w14:textId="77777777" w:rsidR="000F2E71" w:rsidRPr="00775FFA" w:rsidRDefault="00A960C3" w:rsidP="008A1CFF">
            <w:pPr>
              <w:rPr>
                <w:sz w:val="22"/>
                <w:szCs w:val="22"/>
              </w:rPr>
            </w:pPr>
            <w:r w:rsidRPr="00775FFA">
              <w:rPr>
                <w:sz w:val="22"/>
                <w:szCs w:val="22"/>
              </w:rPr>
              <w:t>z</w:t>
            </w:r>
            <w:r w:rsidR="000F2E71" w:rsidRPr="00775FFA">
              <w:rPr>
                <w:sz w:val="22"/>
                <w:szCs w:val="22"/>
              </w:rPr>
              <w:t xml:space="preserve">výšený </w:t>
            </w:r>
            <w:proofErr w:type="spellStart"/>
            <w:r w:rsidR="000F2E71" w:rsidRPr="00775FFA">
              <w:rPr>
                <w:sz w:val="22"/>
                <w:szCs w:val="22"/>
              </w:rPr>
              <w:t>intrakraniálny</w:t>
            </w:r>
            <w:proofErr w:type="spellEnd"/>
            <w:r w:rsidR="000F2E71" w:rsidRPr="00775FFA">
              <w:rPr>
                <w:sz w:val="22"/>
                <w:szCs w:val="22"/>
              </w:rPr>
              <w:t xml:space="preserve"> tlak (s edémom papily </w:t>
            </w:r>
            <w:r w:rsidR="00C87D5C" w:rsidRPr="00775FFA">
              <w:rPr>
                <w:sz w:val="22"/>
                <w:szCs w:val="22"/>
              </w:rPr>
              <w:t>[</w:t>
            </w:r>
            <w:r w:rsidR="000F2E71" w:rsidRPr="00775FFA">
              <w:rPr>
                <w:sz w:val="22"/>
                <w:szCs w:val="22"/>
              </w:rPr>
              <w:t xml:space="preserve">benígna </w:t>
            </w:r>
            <w:proofErr w:type="spellStart"/>
            <w:r w:rsidR="000F2E71" w:rsidRPr="00775FFA">
              <w:rPr>
                <w:sz w:val="22"/>
                <w:szCs w:val="22"/>
              </w:rPr>
              <w:t>intrakraniálna</w:t>
            </w:r>
            <w:proofErr w:type="spellEnd"/>
            <w:r w:rsidR="000F2E71" w:rsidRPr="00775FFA">
              <w:rPr>
                <w:sz w:val="22"/>
                <w:szCs w:val="22"/>
              </w:rPr>
              <w:t xml:space="preserve"> hypertenzia</w:t>
            </w:r>
            <w:r w:rsidR="00C87D5C" w:rsidRPr="00775FFA">
              <w:rPr>
                <w:sz w:val="22"/>
                <w:szCs w:val="22"/>
              </w:rPr>
              <w:t>]</w:t>
            </w:r>
            <w:r w:rsidR="00822E3A" w:rsidRPr="00775FFA">
              <w:rPr>
                <w:sz w:val="22"/>
                <w:szCs w:val="22"/>
              </w:rPr>
              <w:t>)</w:t>
            </w:r>
            <w:r w:rsidRPr="00775FFA">
              <w:rPr>
                <w:sz w:val="22"/>
                <w:szCs w:val="22"/>
              </w:rPr>
              <w:t>,</w:t>
            </w:r>
            <w:r w:rsidR="000F2E71" w:rsidRPr="00775FFA">
              <w:rPr>
                <w:sz w:val="22"/>
                <w:szCs w:val="22"/>
              </w:rPr>
              <w:t xml:space="preserve"> </w:t>
            </w:r>
            <w:r w:rsidR="00293082" w:rsidRPr="00775FFA">
              <w:rPr>
                <w:sz w:val="22"/>
                <w:szCs w:val="22"/>
              </w:rPr>
              <w:t>záchvat</w:t>
            </w:r>
            <w:r w:rsidR="008B0E0E" w:rsidRPr="00775FFA">
              <w:rPr>
                <w:sz w:val="22"/>
                <w:szCs w:val="22"/>
              </w:rPr>
              <w:t>,</w:t>
            </w:r>
            <w:r w:rsidR="000F2E71" w:rsidRPr="00775FFA">
              <w:rPr>
                <w:sz w:val="22"/>
                <w:szCs w:val="22"/>
              </w:rPr>
              <w:t xml:space="preserve"> </w:t>
            </w:r>
            <w:r w:rsidRPr="00775FFA">
              <w:rPr>
                <w:sz w:val="22"/>
                <w:szCs w:val="22"/>
              </w:rPr>
              <w:t>a</w:t>
            </w:r>
            <w:r w:rsidR="000F2E71" w:rsidRPr="00775FFA">
              <w:rPr>
                <w:sz w:val="22"/>
                <w:szCs w:val="22"/>
              </w:rPr>
              <w:t>mnézia</w:t>
            </w:r>
            <w:r w:rsidRPr="00775FFA">
              <w:rPr>
                <w:sz w:val="22"/>
                <w:szCs w:val="22"/>
              </w:rPr>
              <w:t>,</w:t>
            </w:r>
            <w:r w:rsidR="000F2E71" w:rsidRPr="00775FFA">
              <w:rPr>
                <w:sz w:val="22"/>
                <w:szCs w:val="22"/>
              </w:rPr>
              <w:t xml:space="preserve"> </w:t>
            </w:r>
            <w:r w:rsidRPr="00775FFA">
              <w:rPr>
                <w:sz w:val="22"/>
                <w:szCs w:val="22"/>
              </w:rPr>
              <w:t>k</w:t>
            </w:r>
            <w:r w:rsidR="000F2E71" w:rsidRPr="00775FFA">
              <w:rPr>
                <w:sz w:val="22"/>
                <w:szCs w:val="22"/>
              </w:rPr>
              <w:t>ognitívne poruchy</w:t>
            </w:r>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ávraty</w:t>
            </w:r>
            <w:r w:rsidRPr="00775FFA">
              <w:rPr>
                <w:sz w:val="22"/>
                <w:szCs w:val="22"/>
              </w:rPr>
              <w:t>,</w:t>
            </w:r>
            <w:r w:rsidR="000F2E71" w:rsidRPr="00775FFA">
              <w:rPr>
                <w:sz w:val="22"/>
                <w:szCs w:val="22"/>
              </w:rPr>
              <w:t xml:space="preserve"> </w:t>
            </w:r>
            <w:r w:rsidRPr="00775FFA">
              <w:rPr>
                <w:sz w:val="22"/>
                <w:szCs w:val="22"/>
              </w:rPr>
              <w:t>b</w:t>
            </w:r>
            <w:r w:rsidR="000F2E71" w:rsidRPr="00775FFA">
              <w:rPr>
                <w:sz w:val="22"/>
                <w:szCs w:val="22"/>
              </w:rPr>
              <w:t xml:space="preserve">olesť hlavy </w:t>
            </w:r>
          </w:p>
        </w:tc>
      </w:tr>
      <w:tr w:rsidR="006D0AC4" w:rsidRPr="00775FFA" w14:paraId="787FC6FD" w14:textId="77777777" w:rsidTr="008A1CFF">
        <w:trPr>
          <w:trHeight w:val="313"/>
        </w:trPr>
        <w:tc>
          <w:tcPr>
            <w:tcW w:w="2928" w:type="dxa"/>
          </w:tcPr>
          <w:p w14:paraId="6FAA7E2F" w14:textId="77777777" w:rsidR="000F2E71" w:rsidRPr="00775FFA" w:rsidRDefault="000F2E71" w:rsidP="008A1CFF">
            <w:pPr>
              <w:tabs>
                <w:tab w:val="left" w:pos="567"/>
              </w:tabs>
              <w:rPr>
                <w:b/>
                <w:sz w:val="22"/>
                <w:szCs w:val="22"/>
              </w:rPr>
            </w:pPr>
            <w:r w:rsidRPr="00775FFA">
              <w:rPr>
                <w:b/>
                <w:sz w:val="22"/>
                <w:szCs w:val="22"/>
              </w:rPr>
              <w:t>Poruchy oka</w:t>
            </w:r>
          </w:p>
        </w:tc>
        <w:tc>
          <w:tcPr>
            <w:tcW w:w="5858" w:type="dxa"/>
          </w:tcPr>
          <w:p w14:paraId="7AB7CEA7" w14:textId="77777777" w:rsidR="000F2E71" w:rsidRPr="00775FFA" w:rsidRDefault="00A960C3" w:rsidP="008A1CFF">
            <w:pPr>
              <w:tabs>
                <w:tab w:val="left" w:pos="567"/>
              </w:tabs>
              <w:rPr>
                <w:sz w:val="22"/>
                <w:szCs w:val="22"/>
              </w:rPr>
            </w:pPr>
            <w:proofErr w:type="spellStart"/>
            <w:r w:rsidRPr="00621177">
              <w:rPr>
                <w:sz w:val="22"/>
                <w:szCs w:val="22"/>
              </w:rPr>
              <w:t>c</w:t>
            </w:r>
            <w:r w:rsidR="000F2E71" w:rsidRPr="00621177">
              <w:rPr>
                <w:sz w:val="22"/>
                <w:szCs w:val="22"/>
              </w:rPr>
              <w:t>horioretinopatia</w:t>
            </w:r>
            <w:proofErr w:type="spellEnd"/>
            <w:r w:rsidRPr="00621177">
              <w:rPr>
                <w:sz w:val="22"/>
                <w:szCs w:val="22"/>
              </w:rPr>
              <w:t>,</w:t>
            </w:r>
            <w:r w:rsidR="000F2E71" w:rsidRPr="00775FFA">
              <w:rPr>
                <w:sz w:val="22"/>
                <w:szCs w:val="22"/>
              </w:rPr>
              <w:t xml:space="preserve"> </w:t>
            </w:r>
            <w:r w:rsidRPr="00775FFA">
              <w:rPr>
                <w:sz w:val="22"/>
                <w:szCs w:val="22"/>
              </w:rPr>
              <w:t>k</w:t>
            </w:r>
            <w:r w:rsidR="000F2E71" w:rsidRPr="00775FFA">
              <w:rPr>
                <w:sz w:val="22"/>
                <w:szCs w:val="22"/>
              </w:rPr>
              <w:t>atarakta</w:t>
            </w:r>
            <w:r w:rsidRPr="00775FFA">
              <w:rPr>
                <w:sz w:val="22"/>
                <w:szCs w:val="22"/>
              </w:rPr>
              <w:t>,</w:t>
            </w:r>
            <w:r w:rsidR="000F2E71" w:rsidRPr="00775FFA">
              <w:rPr>
                <w:sz w:val="22"/>
                <w:szCs w:val="22"/>
              </w:rPr>
              <w:t xml:space="preserve"> </w:t>
            </w:r>
            <w:proofErr w:type="spellStart"/>
            <w:r w:rsidRPr="00775FFA">
              <w:rPr>
                <w:sz w:val="22"/>
                <w:szCs w:val="22"/>
              </w:rPr>
              <w:t>g</w:t>
            </w:r>
            <w:r w:rsidR="000F2E71" w:rsidRPr="00775FFA">
              <w:rPr>
                <w:sz w:val="22"/>
                <w:szCs w:val="22"/>
              </w:rPr>
              <w:t>laukóm</w:t>
            </w:r>
            <w:proofErr w:type="spellEnd"/>
            <w:r w:rsidRPr="00775FFA">
              <w:rPr>
                <w:sz w:val="22"/>
                <w:szCs w:val="22"/>
              </w:rPr>
              <w:t>,</w:t>
            </w:r>
            <w:r w:rsidR="000F2E71" w:rsidRPr="00775FFA">
              <w:rPr>
                <w:sz w:val="22"/>
                <w:szCs w:val="22"/>
              </w:rPr>
              <w:t xml:space="preserve"> </w:t>
            </w:r>
            <w:proofErr w:type="spellStart"/>
            <w:r w:rsidRPr="00775FFA">
              <w:rPr>
                <w:sz w:val="22"/>
                <w:szCs w:val="22"/>
              </w:rPr>
              <w:t>e</w:t>
            </w:r>
            <w:r w:rsidR="000F2E71" w:rsidRPr="00775FFA">
              <w:rPr>
                <w:sz w:val="22"/>
                <w:szCs w:val="22"/>
              </w:rPr>
              <w:t>xoftalmus</w:t>
            </w:r>
            <w:proofErr w:type="spellEnd"/>
            <w:r w:rsidR="008813EC" w:rsidRPr="00775FFA">
              <w:rPr>
                <w:sz w:val="22"/>
                <w:szCs w:val="22"/>
              </w:rPr>
              <w:t>, rozmazané videnie (pozri tiež časť 4.4)</w:t>
            </w:r>
          </w:p>
        </w:tc>
      </w:tr>
      <w:tr w:rsidR="006D0AC4" w:rsidRPr="00775FFA" w14:paraId="40459282" w14:textId="77777777" w:rsidTr="007A556C">
        <w:tc>
          <w:tcPr>
            <w:tcW w:w="2928" w:type="dxa"/>
          </w:tcPr>
          <w:p w14:paraId="5901CE85" w14:textId="77777777" w:rsidR="000F2E71" w:rsidRPr="00775FFA" w:rsidRDefault="000F2E71" w:rsidP="008A1CFF">
            <w:pPr>
              <w:tabs>
                <w:tab w:val="left" w:pos="567"/>
              </w:tabs>
              <w:rPr>
                <w:b/>
                <w:sz w:val="22"/>
                <w:szCs w:val="22"/>
              </w:rPr>
            </w:pPr>
            <w:r w:rsidRPr="00775FFA">
              <w:rPr>
                <w:b/>
                <w:sz w:val="22"/>
                <w:szCs w:val="22"/>
              </w:rPr>
              <w:t>Poruchy ucha a labyrintu</w:t>
            </w:r>
          </w:p>
        </w:tc>
        <w:tc>
          <w:tcPr>
            <w:tcW w:w="5858" w:type="dxa"/>
          </w:tcPr>
          <w:p w14:paraId="355CB2D6" w14:textId="77777777" w:rsidR="000F2E71" w:rsidRPr="00775FFA" w:rsidRDefault="00A960C3" w:rsidP="008A1CFF">
            <w:pPr>
              <w:tabs>
                <w:tab w:val="left" w:pos="567"/>
              </w:tabs>
              <w:rPr>
                <w:sz w:val="22"/>
                <w:szCs w:val="22"/>
              </w:rPr>
            </w:pPr>
            <w:proofErr w:type="spellStart"/>
            <w:r w:rsidRPr="00775FFA">
              <w:rPr>
                <w:sz w:val="22"/>
                <w:szCs w:val="22"/>
              </w:rPr>
              <w:t>v</w:t>
            </w:r>
            <w:r w:rsidR="000F2E71" w:rsidRPr="00775FFA">
              <w:rPr>
                <w:sz w:val="22"/>
                <w:szCs w:val="22"/>
              </w:rPr>
              <w:t>ertigo</w:t>
            </w:r>
            <w:proofErr w:type="spellEnd"/>
          </w:p>
        </w:tc>
      </w:tr>
      <w:tr w:rsidR="006D0AC4" w:rsidRPr="00775FFA" w14:paraId="32FBB733" w14:textId="77777777" w:rsidTr="007A556C">
        <w:tc>
          <w:tcPr>
            <w:tcW w:w="2928" w:type="dxa"/>
          </w:tcPr>
          <w:p w14:paraId="48126C1A" w14:textId="77777777" w:rsidR="000F2E71" w:rsidRPr="00775FFA" w:rsidRDefault="000F2E71" w:rsidP="008A1CFF">
            <w:pPr>
              <w:tabs>
                <w:tab w:val="left" w:pos="567"/>
              </w:tabs>
              <w:rPr>
                <w:b/>
                <w:sz w:val="22"/>
                <w:szCs w:val="22"/>
              </w:rPr>
            </w:pPr>
            <w:r w:rsidRPr="00775FFA">
              <w:rPr>
                <w:b/>
                <w:sz w:val="22"/>
                <w:szCs w:val="22"/>
              </w:rPr>
              <w:t>Poruchy srdca a srdcovej činnosti</w:t>
            </w:r>
          </w:p>
        </w:tc>
        <w:tc>
          <w:tcPr>
            <w:tcW w:w="5858" w:type="dxa"/>
          </w:tcPr>
          <w:p w14:paraId="05CA0A59" w14:textId="77777777" w:rsidR="000F2E71" w:rsidRPr="005F410D" w:rsidRDefault="00A960C3" w:rsidP="005F410D">
            <w:pPr>
              <w:tabs>
                <w:tab w:val="left" w:pos="567"/>
              </w:tabs>
              <w:rPr>
                <w:sz w:val="22"/>
                <w:szCs w:val="22"/>
              </w:rPr>
            </w:pPr>
            <w:proofErr w:type="spellStart"/>
            <w:r w:rsidRPr="00BF06EA">
              <w:rPr>
                <w:sz w:val="22"/>
                <w:szCs w:val="22"/>
              </w:rPr>
              <w:t>k</w:t>
            </w:r>
            <w:r w:rsidR="000F2E71" w:rsidRPr="00AB0507">
              <w:rPr>
                <w:sz w:val="22"/>
                <w:szCs w:val="22"/>
              </w:rPr>
              <w:t>ongestívne</w:t>
            </w:r>
            <w:proofErr w:type="spellEnd"/>
            <w:r w:rsidR="000F2E71" w:rsidRPr="00AB0507">
              <w:rPr>
                <w:sz w:val="22"/>
                <w:szCs w:val="22"/>
              </w:rPr>
              <w:t xml:space="preserve"> srdcové zl</w:t>
            </w:r>
            <w:r w:rsidR="000F2E71" w:rsidRPr="00053105">
              <w:rPr>
                <w:sz w:val="22"/>
                <w:szCs w:val="22"/>
              </w:rPr>
              <w:t>yh</w:t>
            </w:r>
            <w:r w:rsidR="000D37C2" w:rsidRPr="00053105">
              <w:rPr>
                <w:sz w:val="22"/>
                <w:szCs w:val="22"/>
              </w:rPr>
              <w:t>áva</w:t>
            </w:r>
            <w:r w:rsidR="000F2E71" w:rsidRPr="00053105">
              <w:rPr>
                <w:sz w:val="22"/>
                <w:szCs w:val="22"/>
              </w:rPr>
              <w:t>n</w:t>
            </w:r>
            <w:r w:rsidR="000F2E71" w:rsidRPr="00AB0507">
              <w:rPr>
                <w:sz w:val="22"/>
                <w:szCs w:val="22"/>
              </w:rPr>
              <w:t>ie (u </w:t>
            </w:r>
            <w:r w:rsidR="005F410D">
              <w:rPr>
                <w:sz w:val="22"/>
                <w:szCs w:val="22"/>
              </w:rPr>
              <w:t xml:space="preserve">náchylných </w:t>
            </w:r>
            <w:r w:rsidR="000F2E71" w:rsidRPr="005F410D">
              <w:rPr>
                <w:sz w:val="22"/>
                <w:szCs w:val="22"/>
              </w:rPr>
              <w:t>pacientov)</w:t>
            </w:r>
            <w:r w:rsidRPr="005F410D">
              <w:rPr>
                <w:sz w:val="22"/>
                <w:szCs w:val="22"/>
              </w:rPr>
              <w:t>, a</w:t>
            </w:r>
            <w:r w:rsidR="00B71410" w:rsidRPr="005F410D">
              <w:rPr>
                <w:sz w:val="22"/>
                <w:szCs w:val="22"/>
              </w:rPr>
              <w:t>rytmia</w:t>
            </w:r>
            <w:r w:rsidR="00720E89">
              <w:rPr>
                <w:sz w:val="22"/>
                <w:szCs w:val="22"/>
              </w:rPr>
              <w:t xml:space="preserve">, </w:t>
            </w:r>
            <w:r w:rsidR="00720E89" w:rsidRPr="007B2B59">
              <w:rPr>
                <w:sz w:val="22"/>
                <w:szCs w:val="22"/>
              </w:rPr>
              <w:t xml:space="preserve">hypertrofická </w:t>
            </w:r>
            <w:proofErr w:type="spellStart"/>
            <w:r w:rsidR="00720E89" w:rsidRPr="007B2B59">
              <w:rPr>
                <w:sz w:val="22"/>
                <w:szCs w:val="22"/>
              </w:rPr>
              <w:t>kardiomyopatia</w:t>
            </w:r>
            <w:proofErr w:type="spellEnd"/>
            <w:r w:rsidR="00720E89" w:rsidRPr="007B2B59">
              <w:rPr>
                <w:sz w:val="22"/>
                <w:szCs w:val="22"/>
              </w:rPr>
              <w:t xml:space="preserve"> (po podaní predčasne narodeným deťom)</w:t>
            </w:r>
          </w:p>
        </w:tc>
      </w:tr>
      <w:tr w:rsidR="006D0AC4" w:rsidRPr="00775FFA" w14:paraId="383DED8A" w14:textId="77777777" w:rsidTr="008A1CFF">
        <w:trPr>
          <w:trHeight w:val="274"/>
        </w:trPr>
        <w:tc>
          <w:tcPr>
            <w:tcW w:w="2928" w:type="dxa"/>
          </w:tcPr>
          <w:p w14:paraId="7DAFE236" w14:textId="77777777" w:rsidR="000F2E71" w:rsidRPr="00775FFA" w:rsidRDefault="000F2E71" w:rsidP="008A1CFF">
            <w:pPr>
              <w:tabs>
                <w:tab w:val="left" w:pos="567"/>
              </w:tabs>
              <w:rPr>
                <w:b/>
                <w:sz w:val="22"/>
                <w:szCs w:val="22"/>
              </w:rPr>
            </w:pPr>
            <w:r w:rsidRPr="00775FFA">
              <w:rPr>
                <w:b/>
                <w:sz w:val="22"/>
                <w:szCs w:val="22"/>
              </w:rPr>
              <w:t>Poruchy ciev</w:t>
            </w:r>
          </w:p>
        </w:tc>
        <w:tc>
          <w:tcPr>
            <w:tcW w:w="5858" w:type="dxa"/>
          </w:tcPr>
          <w:p w14:paraId="5F8624C8" w14:textId="2ECEE7D3" w:rsidR="000F2E71" w:rsidRPr="00775FFA" w:rsidRDefault="000F2E71" w:rsidP="008A1CFF">
            <w:pPr>
              <w:tabs>
                <w:tab w:val="left" w:pos="567"/>
              </w:tabs>
              <w:rPr>
                <w:sz w:val="22"/>
                <w:szCs w:val="22"/>
              </w:rPr>
            </w:pPr>
            <w:proofErr w:type="spellStart"/>
            <w:r w:rsidRPr="009358CE">
              <w:rPr>
                <w:sz w:val="22"/>
                <w:szCs w:val="22"/>
              </w:rPr>
              <w:t>trombotické</w:t>
            </w:r>
            <w:proofErr w:type="spellEnd"/>
            <w:r w:rsidRPr="009358CE">
              <w:rPr>
                <w:sz w:val="22"/>
                <w:szCs w:val="22"/>
              </w:rPr>
              <w:t xml:space="preserve"> príhody</w:t>
            </w:r>
            <w:r w:rsidR="00822E3A" w:rsidRPr="00775FFA">
              <w:rPr>
                <w:sz w:val="22"/>
                <w:szCs w:val="22"/>
              </w:rPr>
              <w:t>,</w:t>
            </w:r>
            <w:r w:rsidRPr="00775FFA">
              <w:rPr>
                <w:sz w:val="22"/>
                <w:szCs w:val="22"/>
              </w:rPr>
              <w:t xml:space="preserve"> hypertenzia</w:t>
            </w:r>
            <w:r w:rsidR="00D73D4F" w:rsidRPr="00775FFA">
              <w:rPr>
                <w:sz w:val="22"/>
                <w:szCs w:val="22"/>
              </w:rPr>
              <w:t>,</w:t>
            </w:r>
            <w:r w:rsidR="00822E3A" w:rsidRPr="00775FFA">
              <w:rPr>
                <w:sz w:val="22"/>
                <w:szCs w:val="22"/>
              </w:rPr>
              <w:t xml:space="preserve"> </w:t>
            </w:r>
            <w:r w:rsidRPr="00775FFA">
              <w:rPr>
                <w:sz w:val="22"/>
                <w:szCs w:val="22"/>
              </w:rPr>
              <w:t>hypotenzia</w:t>
            </w:r>
            <w:r w:rsidR="003D5443">
              <w:rPr>
                <w:sz w:val="22"/>
                <w:szCs w:val="22"/>
              </w:rPr>
              <w:t xml:space="preserve">, </w:t>
            </w:r>
            <w:r w:rsidR="00C5378B">
              <w:rPr>
                <w:noProof/>
                <w:sz w:val="22"/>
                <w:szCs w:val="22"/>
              </w:rPr>
              <w:t>s</w:t>
            </w:r>
            <w:r w:rsidR="003D5443">
              <w:rPr>
                <w:noProof/>
                <w:sz w:val="22"/>
                <w:szCs w:val="22"/>
              </w:rPr>
              <w:t>červen</w:t>
            </w:r>
            <w:r w:rsidR="00C5378B">
              <w:rPr>
                <w:noProof/>
                <w:sz w:val="22"/>
                <w:szCs w:val="22"/>
              </w:rPr>
              <w:t>e</w:t>
            </w:r>
            <w:r w:rsidR="003D5443">
              <w:rPr>
                <w:noProof/>
                <w:sz w:val="22"/>
                <w:szCs w:val="22"/>
              </w:rPr>
              <w:t>nie</w:t>
            </w:r>
          </w:p>
        </w:tc>
      </w:tr>
      <w:tr w:rsidR="006D0AC4" w:rsidRPr="00775FFA" w14:paraId="70286723" w14:textId="77777777" w:rsidTr="007A556C">
        <w:tc>
          <w:tcPr>
            <w:tcW w:w="2928" w:type="dxa"/>
          </w:tcPr>
          <w:p w14:paraId="3ACE9BA7" w14:textId="77777777" w:rsidR="000F2E71" w:rsidRPr="00775FFA" w:rsidRDefault="000F2E71" w:rsidP="008A1CFF">
            <w:pPr>
              <w:tabs>
                <w:tab w:val="left" w:pos="567"/>
              </w:tabs>
              <w:rPr>
                <w:b/>
                <w:sz w:val="22"/>
                <w:szCs w:val="22"/>
              </w:rPr>
            </w:pPr>
            <w:r w:rsidRPr="00775FFA">
              <w:rPr>
                <w:b/>
                <w:sz w:val="22"/>
                <w:szCs w:val="22"/>
              </w:rPr>
              <w:t>Poruchy dýchacej sústavy, hrudníka a </w:t>
            </w:r>
            <w:proofErr w:type="spellStart"/>
            <w:r w:rsidRPr="00775FFA">
              <w:rPr>
                <w:b/>
                <w:sz w:val="22"/>
                <w:szCs w:val="22"/>
              </w:rPr>
              <w:t>mediastína</w:t>
            </w:r>
            <w:proofErr w:type="spellEnd"/>
          </w:p>
        </w:tc>
        <w:tc>
          <w:tcPr>
            <w:tcW w:w="5858" w:type="dxa"/>
          </w:tcPr>
          <w:p w14:paraId="23362B50" w14:textId="77777777" w:rsidR="000F2E71" w:rsidRPr="00775FFA" w:rsidRDefault="00A960C3" w:rsidP="008A1CFF">
            <w:pPr>
              <w:tabs>
                <w:tab w:val="left" w:pos="567"/>
              </w:tabs>
              <w:rPr>
                <w:sz w:val="22"/>
                <w:szCs w:val="22"/>
              </w:rPr>
            </w:pPr>
            <w:r w:rsidRPr="00775FFA">
              <w:rPr>
                <w:sz w:val="22"/>
                <w:szCs w:val="22"/>
              </w:rPr>
              <w:t>p</w:t>
            </w:r>
            <w:r w:rsidR="000F2E71" w:rsidRPr="00775FFA">
              <w:rPr>
                <w:sz w:val="22"/>
                <w:szCs w:val="22"/>
              </w:rPr>
              <w:t>ľúcna embólia</w:t>
            </w:r>
            <w:r w:rsidRPr="00775FFA">
              <w:rPr>
                <w:sz w:val="22"/>
                <w:szCs w:val="22"/>
              </w:rPr>
              <w:t>,</w:t>
            </w:r>
            <w:r w:rsidR="00B71410" w:rsidRPr="00775FFA">
              <w:rPr>
                <w:sz w:val="22"/>
                <w:szCs w:val="22"/>
              </w:rPr>
              <w:t xml:space="preserve"> </w:t>
            </w:r>
            <w:r w:rsidRPr="00775FFA">
              <w:rPr>
                <w:sz w:val="22"/>
                <w:szCs w:val="22"/>
              </w:rPr>
              <w:t>č</w:t>
            </w:r>
            <w:r w:rsidR="000F2E71" w:rsidRPr="00775FFA">
              <w:rPr>
                <w:sz w:val="22"/>
                <w:szCs w:val="22"/>
              </w:rPr>
              <w:t>kanie</w:t>
            </w:r>
          </w:p>
        </w:tc>
      </w:tr>
      <w:tr w:rsidR="006D0AC4" w:rsidRPr="00775FFA" w14:paraId="1AC2290A" w14:textId="77777777" w:rsidTr="00A3276A">
        <w:trPr>
          <w:trHeight w:val="1305"/>
        </w:trPr>
        <w:tc>
          <w:tcPr>
            <w:tcW w:w="2928" w:type="dxa"/>
          </w:tcPr>
          <w:p w14:paraId="5909AA11" w14:textId="77777777" w:rsidR="000F2E71" w:rsidRPr="00775FFA" w:rsidRDefault="000F2E71" w:rsidP="008A1CFF">
            <w:pPr>
              <w:tabs>
                <w:tab w:val="left" w:pos="567"/>
              </w:tabs>
              <w:rPr>
                <w:b/>
                <w:sz w:val="22"/>
                <w:szCs w:val="22"/>
              </w:rPr>
            </w:pPr>
            <w:r w:rsidRPr="00775FFA">
              <w:rPr>
                <w:b/>
                <w:sz w:val="22"/>
                <w:szCs w:val="22"/>
              </w:rPr>
              <w:t>Poruchy gastrointestinálneho traktu</w:t>
            </w:r>
          </w:p>
        </w:tc>
        <w:tc>
          <w:tcPr>
            <w:tcW w:w="5858" w:type="dxa"/>
          </w:tcPr>
          <w:p w14:paraId="62CE2DDB" w14:textId="77777777" w:rsidR="000F2E71" w:rsidRPr="00775FFA" w:rsidRDefault="00A960C3" w:rsidP="008A1CFF">
            <w:pPr>
              <w:tabs>
                <w:tab w:val="left" w:pos="567"/>
              </w:tabs>
              <w:rPr>
                <w:sz w:val="22"/>
                <w:szCs w:val="22"/>
              </w:rPr>
            </w:pPr>
            <w:proofErr w:type="spellStart"/>
            <w:r w:rsidRPr="00775FFA">
              <w:rPr>
                <w:sz w:val="22"/>
                <w:szCs w:val="22"/>
              </w:rPr>
              <w:t>p</w:t>
            </w:r>
            <w:r w:rsidR="000F2E71" w:rsidRPr="00775FFA">
              <w:rPr>
                <w:sz w:val="22"/>
                <w:szCs w:val="22"/>
              </w:rPr>
              <w:t>eptický</w:t>
            </w:r>
            <w:proofErr w:type="spellEnd"/>
            <w:r w:rsidR="000F2E71" w:rsidRPr="00775FFA">
              <w:rPr>
                <w:sz w:val="22"/>
                <w:szCs w:val="22"/>
              </w:rPr>
              <w:t xml:space="preserve"> vred (s možnou perforáciou </w:t>
            </w:r>
            <w:proofErr w:type="spellStart"/>
            <w:r w:rsidR="000F2E71" w:rsidRPr="00775FFA">
              <w:rPr>
                <w:sz w:val="22"/>
                <w:szCs w:val="22"/>
              </w:rPr>
              <w:t>peptického</w:t>
            </w:r>
            <w:proofErr w:type="spellEnd"/>
            <w:r w:rsidR="000F2E71" w:rsidRPr="00775FFA">
              <w:rPr>
                <w:sz w:val="22"/>
                <w:szCs w:val="22"/>
              </w:rPr>
              <w:t xml:space="preserve"> vredu a krvácaním z </w:t>
            </w:r>
            <w:proofErr w:type="spellStart"/>
            <w:r w:rsidR="000F2E71" w:rsidRPr="00775FFA">
              <w:rPr>
                <w:sz w:val="22"/>
                <w:szCs w:val="22"/>
              </w:rPr>
              <w:t>peptického</w:t>
            </w:r>
            <w:proofErr w:type="spellEnd"/>
            <w:r w:rsidR="000F2E71" w:rsidRPr="00775FFA">
              <w:rPr>
                <w:sz w:val="22"/>
                <w:szCs w:val="22"/>
              </w:rPr>
              <w:t xml:space="preserve"> vredu)</w:t>
            </w:r>
            <w:r w:rsidRPr="00775FFA">
              <w:rPr>
                <w:sz w:val="22"/>
                <w:szCs w:val="22"/>
              </w:rPr>
              <w:t>,</w:t>
            </w:r>
            <w:r w:rsidR="00822E3A" w:rsidRPr="00775FFA">
              <w:rPr>
                <w:sz w:val="22"/>
                <w:szCs w:val="22"/>
              </w:rPr>
              <w:t xml:space="preserve"> </w:t>
            </w:r>
            <w:r w:rsidRPr="00775FFA">
              <w:rPr>
                <w:sz w:val="22"/>
                <w:szCs w:val="22"/>
              </w:rPr>
              <w:t>p</w:t>
            </w:r>
            <w:r w:rsidR="000F2E71" w:rsidRPr="00775FFA">
              <w:rPr>
                <w:sz w:val="22"/>
                <w:szCs w:val="22"/>
              </w:rPr>
              <w:t>erforácia čreva</w:t>
            </w:r>
            <w:r w:rsidRPr="00775FFA">
              <w:rPr>
                <w:sz w:val="22"/>
                <w:szCs w:val="22"/>
              </w:rPr>
              <w:t>,</w:t>
            </w:r>
            <w:r w:rsidR="000F2E71" w:rsidRPr="00775FFA">
              <w:rPr>
                <w:sz w:val="22"/>
                <w:szCs w:val="22"/>
              </w:rPr>
              <w:t xml:space="preserve"> </w:t>
            </w:r>
            <w:r w:rsidRPr="00775FFA">
              <w:rPr>
                <w:sz w:val="22"/>
                <w:szCs w:val="22"/>
              </w:rPr>
              <w:t>k</w:t>
            </w:r>
            <w:r w:rsidR="000F2E71" w:rsidRPr="00775FFA">
              <w:rPr>
                <w:sz w:val="22"/>
                <w:szCs w:val="22"/>
              </w:rPr>
              <w:t>rvácanie zo žalúdka</w:t>
            </w:r>
            <w:r w:rsidRPr="00775FFA">
              <w:rPr>
                <w:sz w:val="22"/>
                <w:szCs w:val="22"/>
              </w:rPr>
              <w:t>,</w:t>
            </w:r>
            <w:r w:rsidR="000F2E71" w:rsidRPr="00775FFA">
              <w:rPr>
                <w:sz w:val="22"/>
                <w:szCs w:val="22"/>
              </w:rPr>
              <w:t xml:space="preserve"> </w:t>
            </w:r>
            <w:r w:rsidRPr="00775FFA">
              <w:rPr>
                <w:sz w:val="22"/>
                <w:szCs w:val="22"/>
              </w:rPr>
              <w:t>p</w:t>
            </w:r>
            <w:r w:rsidR="000F2E71" w:rsidRPr="00775FFA">
              <w:rPr>
                <w:sz w:val="22"/>
                <w:szCs w:val="22"/>
              </w:rPr>
              <w:t>ankreatitída</w:t>
            </w:r>
            <w:r w:rsidRPr="00775FFA">
              <w:rPr>
                <w:sz w:val="22"/>
                <w:szCs w:val="22"/>
              </w:rPr>
              <w:t>, u</w:t>
            </w:r>
            <w:r w:rsidR="000F2E71" w:rsidRPr="00775FFA">
              <w:rPr>
                <w:sz w:val="22"/>
                <w:szCs w:val="22"/>
              </w:rPr>
              <w:t xml:space="preserve">lcerózna </w:t>
            </w:r>
            <w:proofErr w:type="spellStart"/>
            <w:r w:rsidR="000F2E71" w:rsidRPr="00775FFA">
              <w:rPr>
                <w:sz w:val="22"/>
                <w:szCs w:val="22"/>
              </w:rPr>
              <w:t>ezofagitída</w:t>
            </w:r>
            <w:proofErr w:type="spellEnd"/>
            <w:r w:rsidRPr="00775FFA">
              <w:rPr>
                <w:sz w:val="22"/>
                <w:szCs w:val="22"/>
              </w:rPr>
              <w:t>,</w:t>
            </w:r>
            <w:r w:rsidR="000F2E71" w:rsidRPr="00775FFA">
              <w:rPr>
                <w:sz w:val="22"/>
                <w:szCs w:val="22"/>
              </w:rPr>
              <w:t xml:space="preserve"> </w:t>
            </w:r>
            <w:proofErr w:type="spellStart"/>
            <w:r w:rsidRPr="00775FFA">
              <w:rPr>
                <w:sz w:val="22"/>
                <w:szCs w:val="22"/>
              </w:rPr>
              <w:t>e</w:t>
            </w:r>
            <w:r w:rsidR="000F2E71" w:rsidRPr="00775FFA">
              <w:rPr>
                <w:sz w:val="22"/>
                <w:szCs w:val="22"/>
              </w:rPr>
              <w:t>zofagitída</w:t>
            </w:r>
            <w:proofErr w:type="spellEnd"/>
            <w:r w:rsidRPr="00775FFA">
              <w:rPr>
                <w:sz w:val="22"/>
                <w:szCs w:val="22"/>
              </w:rPr>
              <w:t>,</w:t>
            </w:r>
            <w:r w:rsidR="000F2E71" w:rsidRPr="00775FFA">
              <w:rPr>
                <w:sz w:val="22"/>
                <w:szCs w:val="22"/>
              </w:rPr>
              <w:t xml:space="preserve"> </w:t>
            </w:r>
            <w:r w:rsidRPr="00775FFA">
              <w:rPr>
                <w:sz w:val="22"/>
                <w:szCs w:val="22"/>
              </w:rPr>
              <w:t>a</w:t>
            </w:r>
            <w:r w:rsidR="000F2E71" w:rsidRPr="00775FFA">
              <w:rPr>
                <w:sz w:val="22"/>
                <w:szCs w:val="22"/>
              </w:rPr>
              <w:t xml:space="preserve">bdominálna </w:t>
            </w:r>
            <w:proofErr w:type="spellStart"/>
            <w:r w:rsidR="000F2E71" w:rsidRPr="00775FFA">
              <w:rPr>
                <w:sz w:val="22"/>
                <w:szCs w:val="22"/>
              </w:rPr>
              <w:t>distenzia</w:t>
            </w:r>
            <w:proofErr w:type="spellEnd"/>
            <w:r w:rsidRPr="00775FFA">
              <w:rPr>
                <w:sz w:val="22"/>
                <w:szCs w:val="22"/>
              </w:rPr>
              <w:t>,</w:t>
            </w:r>
            <w:r w:rsidR="000F2E71" w:rsidRPr="00775FFA">
              <w:rPr>
                <w:sz w:val="22"/>
                <w:szCs w:val="22"/>
              </w:rPr>
              <w:t xml:space="preserve"> </w:t>
            </w:r>
            <w:r w:rsidRPr="00775FFA">
              <w:rPr>
                <w:sz w:val="22"/>
                <w:szCs w:val="22"/>
              </w:rPr>
              <w:t>a</w:t>
            </w:r>
            <w:r w:rsidR="000F2E71" w:rsidRPr="00775FFA">
              <w:rPr>
                <w:sz w:val="22"/>
                <w:szCs w:val="22"/>
              </w:rPr>
              <w:t>bdominálna bolesť</w:t>
            </w:r>
            <w:r w:rsidRPr="00775FFA">
              <w:rPr>
                <w:sz w:val="22"/>
                <w:szCs w:val="22"/>
              </w:rPr>
              <w:t>,</w:t>
            </w:r>
            <w:r w:rsidR="000F2E71" w:rsidRPr="00775FFA">
              <w:rPr>
                <w:sz w:val="22"/>
                <w:szCs w:val="22"/>
              </w:rPr>
              <w:t xml:space="preserve"> </w:t>
            </w:r>
            <w:r w:rsidRPr="00775FFA">
              <w:rPr>
                <w:sz w:val="22"/>
                <w:szCs w:val="22"/>
              </w:rPr>
              <w:t>h</w:t>
            </w:r>
            <w:r w:rsidR="000F2E71" w:rsidRPr="00775FFA">
              <w:rPr>
                <w:sz w:val="22"/>
                <w:szCs w:val="22"/>
              </w:rPr>
              <w:t>načka</w:t>
            </w:r>
            <w:r w:rsidRPr="00775FFA">
              <w:rPr>
                <w:sz w:val="22"/>
                <w:szCs w:val="22"/>
              </w:rPr>
              <w:t xml:space="preserve">, </w:t>
            </w:r>
            <w:proofErr w:type="spellStart"/>
            <w:r w:rsidRPr="00775FFA">
              <w:rPr>
                <w:sz w:val="22"/>
                <w:szCs w:val="22"/>
              </w:rPr>
              <w:t>d</w:t>
            </w:r>
            <w:r w:rsidR="000F2E71" w:rsidRPr="00775FFA">
              <w:rPr>
                <w:sz w:val="22"/>
                <w:szCs w:val="22"/>
              </w:rPr>
              <w:t>yspepsia</w:t>
            </w:r>
            <w:proofErr w:type="spellEnd"/>
            <w:r w:rsidRPr="00775FFA">
              <w:rPr>
                <w:sz w:val="22"/>
                <w:szCs w:val="22"/>
              </w:rPr>
              <w:t>,</w:t>
            </w:r>
            <w:r w:rsidR="000F2E71" w:rsidRPr="00775FFA">
              <w:rPr>
                <w:sz w:val="22"/>
                <w:szCs w:val="22"/>
              </w:rPr>
              <w:t xml:space="preserve"> </w:t>
            </w:r>
            <w:r w:rsidRPr="00775FFA">
              <w:rPr>
                <w:sz w:val="22"/>
                <w:szCs w:val="22"/>
              </w:rPr>
              <w:t>n</w:t>
            </w:r>
            <w:r w:rsidR="000F2E71" w:rsidRPr="00775FFA">
              <w:rPr>
                <w:sz w:val="22"/>
                <w:szCs w:val="22"/>
              </w:rPr>
              <w:t>auzea</w:t>
            </w:r>
          </w:p>
        </w:tc>
      </w:tr>
      <w:tr w:rsidR="00DC1592" w:rsidRPr="00775FFA" w14:paraId="243E34BF" w14:textId="77777777" w:rsidTr="008A1CFF">
        <w:trPr>
          <w:trHeight w:val="559"/>
        </w:trPr>
        <w:tc>
          <w:tcPr>
            <w:tcW w:w="2928" w:type="dxa"/>
          </w:tcPr>
          <w:p w14:paraId="25AD2F7D" w14:textId="77777777" w:rsidR="00DC1592" w:rsidRPr="00775FFA" w:rsidRDefault="000F2E71" w:rsidP="00451800">
            <w:pPr>
              <w:tabs>
                <w:tab w:val="left" w:pos="567"/>
              </w:tabs>
              <w:rPr>
                <w:b/>
                <w:sz w:val="22"/>
                <w:szCs w:val="22"/>
              </w:rPr>
            </w:pPr>
            <w:r w:rsidRPr="00775FFA">
              <w:rPr>
                <w:b/>
                <w:sz w:val="22"/>
                <w:szCs w:val="22"/>
              </w:rPr>
              <w:t>Poruchy pečene a žlčových ciest</w:t>
            </w:r>
          </w:p>
        </w:tc>
        <w:tc>
          <w:tcPr>
            <w:tcW w:w="5858" w:type="dxa"/>
          </w:tcPr>
          <w:p w14:paraId="00039380" w14:textId="77777777" w:rsidR="00DC1592" w:rsidRPr="00775FFA" w:rsidDel="0013371E" w:rsidRDefault="00A960C3" w:rsidP="00A04774">
            <w:pPr>
              <w:tabs>
                <w:tab w:val="left" w:pos="567"/>
              </w:tabs>
              <w:rPr>
                <w:sz w:val="22"/>
                <w:szCs w:val="22"/>
              </w:rPr>
            </w:pPr>
            <w:r w:rsidRPr="00775FFA">
              <w:rPr>
                <w:sz w:val="22"/>
                <w:szCs w:val="22"/>
              </w:rPr>
              <w:t>h</w:t>
            </w:r>
            <w:r w:rsidR="000F2E71" w:rsidRPr="00775FFA">
              <w:rPr>
                <w:sz w:val="22"/>
                <w:szCs w:val="22"/>
              </w:rPr>
              <w:t>epatitída</w:t>
            </w:r>
            <w:r w:rsidR="000F2E71" w:rsidRPr="00775FFA">
              <w:rPr>
                <w:sz w:val="22"/>
                <w:szCs w:val="22"/>
                <w:vertAlign w:val="superscript"/>
              </w:rPr>
              <w:t>†</w:t>
            </w:r>
            <w:r w:rsidR="000F2E71" w:rsidRPr="00775FFA">
              <w:rPr>
                <w:sz w:val="22"/>
                <w:szCs w:val="22"/>
              </w:rPr>
              <w:t>, zvýšenie hladiny pečeňových enzýmov</w:t>
            </w:r>
            <w:r w:rsidR="00323579" w:rsidRPr="00775FFA">
              <w:rPr>
                <w:sz w:val="22"/>
                <w:szCs w:val="22"/>
              </w:rPr>
              <w:t xml:space="preserve"> </w:t>
            </w:r>
          </w:p>
        </w:tc>
      </w:tr>
      <w:tr w:rsidR="006D0AC4" w:rsidRPr="00775FFA" w14:paraId="1A0BB9E1" w14:textId="77777777" w:rsidTr="008A1CFF">
        <w:trPr>
          <w:trHeight w:val="850"/>
        </w:trPr>
        <w:tc>
          <w:tcPr>
            <w:tcW w:w="2928" w:type="dxa"/>
          </w:tcPr>
          <w:p w14:paraId="017A536A" w14:textId="77777777" w:rsidR="000F2E71" w:rsidRPr="00775FFA" w:rsidRDefault="000F2E71" w:rsidP="008A1CFF">
            <w:pPr>
              <w:tabs>
                <w:tab w:val="left" w:pos="567"/>
              </w:tabs>
              <w:rPr>
                <w:b/>
                <w:sz w:val="22"/>
                <w:szCs w:val="22"/>
              </w:rPr>
            </w:pPr>
            <w:r w:rsidRPr="00775FFA">
              <w:rPr>
                <w:b/>
                <w:sz w:val="22"/>
                <w:szCs w:val="22"/>
              </w:rPr>
              <w:t>Poruchy kože a podkožného tkaniva</w:t>
            </w:r>
          </w:p>
        </w:tc>
        <w:tc>
          <w:tcPr>
            <w:tcW w:w="5858" w:type="dxa"/>
          </w:tcPr>
          <w:p w14:paraId="4CDECA82" w14:textId="77777777" w:rsidR="000F2E71" w:rsidRPr="00775FFA" w:rsidRDefault="0067285A" w:rsidP="008A1CFF">
            <w:pPr>
              <w:tabs>
                <w:tab w:val="left" w:pos="567"/>
              </w:tabs>
              <w:rPr>
                <w:sz w:val="22"/>
                <w:szCs w:val="22"/>
              </w:rPr>
            </w:pPr>
            <w:proofErr w:type="spellStart"/>
            <w:r w:rsidRPr="00775FFA">
              <w:rPr>
                <w:sz w:val="22"/>
                <w:szCs w:val="22"/>
              </w:rPr>
              <w:t>a</w:t>
            </w:r>
            <w:r w:rsidR="000F2E71" w:rsidRPr="00775FFA">
              <w:rPr>
                <w:sz w:val="22"/>
                <w:szCs w:val="22"/>
              </w:rPr>
              <w:t>ngioedém</w:t>
            </w:r>
            <w:proofErr w:type="spellEnd"/>
            <w:r w:rsidRPr="00775FFA">
              <w:rPr>
                <w:sz w:val="22"/>
                <w:szCs w:val="22"/>
              </w:rPr>
              <w:t>,</w:t>
            </w:r>
            <w:r w:rsidR="000F2E71" w:rsidRPr="00775FFA">
              <w:rPr>
                <w:sz w:val="22"/>
                <w:szCs w:val="22"/>
              </w:rPr>
              <w:t xml:space="preserve"> </w:t>
            </w:r>
            <w:proofErr w:type="spellStart"/>
            <w:r w:rsidRPr="00775FFA">
              <w:rPr>
                <w:sz w:val="22"/>
                <w:szCs w:val="22"/>
              </w:rPr>
              <w:t>h</w:t>
            </w:r>
            <w:r w:rsidR="000F2E71" w:rsidRPr="00775FFA">
              <w:rPr>
                <w:sz w:val="22"/>
                <w:szCs w:val="22"/>
              </w:rPr>
              <w:t>ir</w:t>
            </w:r>
            <w:r w:rsidR="004820A5" w:rsidRPr="00775FFA">
              <w:rPr>
                <w:sz w:val="22"/>
                <w:szCs w:val="22"/>
              </w:rPr>
              <w:t>z</w:t>
            </w:r>
            <w:r w:rsidR="000F2E71" w:rsidRPr="00775FFA">
              <w:rPr>
                <w:sz w:val="22"/>
                <w:szCs w:val="22"/>
              </w:rPr>
              <w:t>utizmus</w:t>
            </w:r>
            <w:proofErr w:type="spellEnd"/>
            <w:r w:rsidR="00B71410" w:rsidRPr="00775FFA">
              <w:rPr>
                <w:sz w:val="22"/>
                <w:szCs w:val="22"/>
              </w:rPr>
              <w:t xml:space="preserve">; </w:t>
            </w:r>
            <w:proofErr w:type="spellStart"/>
            <w:r w:rsidRPr="00775FFA">
              <w:rPr>
                <w:sz w:val="22"/>
                <w:szCs w:val="22"/>
              </w:rPr>
              <w:t>p</w:t>
            </w:r>
            <w:r w:rsidR="00B71410" w:rsidRPr="00775FFA">
              <w:rPr>
                <w:sz w:val="22"/>
                <w:szCs w:val="22"/>
              </w:rPr>
              <w:t>etechie</w:t>
            </w:r>
            <w:proofErr w:type="spellEnd"/>
            <w:r w:rsidRPr="00775FFA">
              <w:rPr>
                <w:sz w:val="22"/>
                <w:szCs w:val="22"/>
              </w:rPr>
              <w:t>,</w:t>
            </w:r>
            <w:r w:rsidR="00B71410" w:rsidRPr="00775FFA">
              <w:rPr>
                <w:sz w:val="22"/>
                <w:szCs w:val="22"/>
              </w:rPr>
              <w:t xml:space="preserve"> </w:t>
            </w:r>
            <w:proofErr w:type="spellStart"/>
            <w:r w:rsidRPr="00775FFA">
              <w:rPr>
                <w:sz w:val="22"/>
                <w:szCs w:val="22"/>
              </w:rPr>
              <w:t>e</w:t>
            </w:r>
            <w:r w:rsidR="00B71410" w:rsidRPr="00775FFA">
              <w:rPr>
                <w:sz w:val="22"/>
                <w:szCs w:val="22"/>
              </w:rPr>
              <w:t>kchymóza</w:t>
            </w:r>
            <w:proofErr w:type="spellEnd"/>
            <w:r w:rsidR="00B71410" w:rsidRPr="00775FFA">
              <w:rPr>
                <w:sz w:val="22"/>
                <w:szCs w:val="22"/>
              </w:rPr>
              <w:t>;</w:t>
            </w:r>
            <w:r w:rsidR="00822E3A" w:rsidRPr="00775FFA">
              <w:rPr>
                <w:sz w:val="22"/>
                <w:szCs w:val="22"/>
              </w:rPr>
              <w:t xml:space="preserve"> </w:t>
            </w:r>
            <w:r w:rsidRPr="00775FFA">
              <w:rPr>
                <w:sz w:val="22"/>
                <w:szCs w:val="22"/>
              </w:rPr>
              <w:t>a</w:t>
            </w:r>
            <w:r w:rsidR="000F2E71" w:rsidRPr="00775FFA">
              <w:rPr>
                <w:sz w:val="22"/>
                <w:szCs w:val="22"/>
              </w:rPr>
              <w:t xml:space="preserve">trofia kože, </w:t>
            </w:r>
            <w:proofErr w:type="spellStart"/>
            <w:r w:rsidRPr="00775FFA">
              <w:rPr>
                <w:sz w:val="22"/>
                <w:szCs w:val="22"/>
              </w:rPr>
              <w:t>e</w:t>
            </w:r>
            <w:r w:rsidR="000F2E71" w:rsidRPr="00775FFA">
              <w:rPr>
                <w:sz w:val="22"/>
                <w:szCs w:val="22"/>
              </w:rPr>
              <w:t>rytém</w:t>
            </w:r>
            <w:proofErr w:type="spellEnd"/>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výšené potenie</w:t>
            </w:r>
            <w:r w:rsidRPr="00775FFA">
              <w:rPr>
                <w:sz w:val="22"/>
                <w:szCs w:val="22"/>
              </w:rPr>
              <w:t>,</w:t>
            </w:r>
            <w:r w:rsidR="00B71410" w:rsidRPr="00775FFA">
              <w:rPr>
                <w:sz w:val="22"/>
                <w:szCs w:val="22"/>
              </w:rPr>
              <w:t xml:space="preserve"> </w:t>
            </w:r>
            <w:r w:rsidRPr="00775FFA">
              <w:rPr>
                <w:sz w:val="22"/>
                <w:szCs w:val="22"/>
              </w:rPr>
              <w:t>k</w:t>
            </w:r>
            <w:r w:rsidR="00B71410" w:rsidRPr="00775FFA">
              <w:rPr>
                <w:sz w:val="22"/>
                <w:szCs w:val="22"/>
              </w:rPr>
              <w:t>ožné strie</w:t>
            </w:r>
            <w:r w:rsidRPr="00775FFA">
              <w:rPr>
                <w:sz w:val="22"/>
                <w:szCs w:val="22"/>
              </w:rPr>
              <w:t>,</w:t>
            </w:r>
            <w:r w:rsidR="000F2E71" w:rsidRPr="00775FFA">
              <w:rPr>
                <w:sz w:val="22"/>
                <w:szCs w:val="22"/>
              </w:rPr>
              <w:t xml:space="preserve"> </w:t>
            </w:r>
            <w:r w:rsidRPr="00775FFA">
              <w:rPr>
                <w:sz w:val="22"/>
                <w:szCs w:val="22"/>
              </w:rPr>
              <w:t>v</w:t>
            </w:r>
            <w:r w:rsidR="000F2E71" w:rsidRPr="00775FFA">
              <w:rPr>
                <w:sz w:val="22"/>
                <w:szCs w:val="22"/>
              </w:rPr>
              <w:t>yrážka</w:t>
            </w:r>
            <w:r w:rsidRPr="00775FFA">
              <w:rPr>
                <w:sz w:val="22"/>
                <w:szCs w:val="22"/>
              </w:rPr>
              <w:t>,</w:t>
            </w:r>
            <w:r w:rsidR="00B71410" w:rsidRPr="00775FFA">
              <w:rPr>
                <w:sz w:val="22"/>
                <w:szCs w:val="22"/>
              </w:rPr>
              <w:t xml:space="preserve"> </w:t>
            </w:r>
            <w:proofErr w:type="spellStart"/>
            <w:r w:rsidRPr="00775FFA">
              <w:rPr>
                <w:sz w:val="22"/>
                <w:szCs w:val="22"/>
              </w:rPr>
              <w:t>p</w:t>
            </w:r>
            <w:r w:rsidR="00B71410" w:rsidRPr="00775FFA">
              <w:rPr>
                <w:sz w:val="22"/>
                <w:szCs w:val="22"/>
              </w:rPr>
              <w:t>ruritus</w:t>
            </w:r>
            <w:proofErr w:type="spellEnd"/>
            <w:r w:rsidRPr="00775FFA">
              <w:rPr>
                <w:sz w:val="22"/>
                <w:szCs w:val="22"/>
              </w:rPr>
              <w:t>,</w:t>
            </w:r>
            <w:r w:rsidR="00B71410" w:rsidRPr="00775FFA">
              <w:rPr>
                <w:sz w:val="22"/>
                <w:szCs w:val="22"/>
              </w:rPr>
              <w:t xml:space="preserve"> </w:t>
            </w:r>
            <w:r w:rsidR="000F2E71" w:rsidRPr="00775FFA">
              <w:rPr>
                <w:sz w:val="22"/>
                <w:szCs w:val="22"/>
              </w:rPr>
              <w:t xml:space="preserve"> </w:t>
            </w:r>
            <w:r w:rsidRPr="00775FFA">
              <w:rPr>
                <w:sz w:val="22"/>
                <w:szCs w:val="22"/>
              </w:rPr>
              <w:t>ž</w:t>
            </w:r>
            <w:r w:rsidR="000F2E71" w:rsidRPr="00775FFA">
              <w:rPr>
                <w:sz w:val="22"/>
                <w:szCs w:val="22"/>
              </w:rPr>
              <w:t>ihľavka</w:t>
            </w:r>
            <w:r w:rsidRPr="00775FFA">
              <w:rPr>
                <w:sz w:val="22"/>
                <w:szCs w:val="22"/>
              </w:rPr>
              <w:t>,</w:t>
            </w:r>
            <w:r w:rsidR="00B71410" w:rsidRPr="00775FFA">
              <w:rPr>
                <w:sz w:val="22"/>
                <w:szCs w:val="22"/>
              </w:rPr>
              <w:t xml:space="preserve"> </w:t>
            </w:r>
            <w:r w:rsidRPr="00775FFA">
              <w:rPr>
                <w:sz w:val="22"/>
                <w:szCs w:val="22"/>
              </w:rPr>
              <w:t>a</w:t>
            </w:r>
            <w:r w:rsidR="00B71410" w:rsidRPr="00775FFA">
              <w:rPr>
                <w:sz w:val="22"/>
                <w:szCs w:val="22"/>
              </w:rPr>
              <w:t xml:space="preserve">kné, </w:t>
            </w:r>
            <w:proofErr w:type="spellStart"/>
            <w:r w:rsidRPr="00775FFA">
              <w:rPr>
                <w:sz w:val="22"/>
                <w:szCs w:val="22"/>
              </w:rPr>
              <w:t>h</w:t>
            </w:r>
            <w:r w:rsidR="00B71410" w:rsidRPr="00775FFA">
              <w:rPr>
                <w:sz w:val="22"/>
                <w:szCs w:val="22"/>
              </w:rPr>
              <w:t>ypopigmentácia</w:t>
            </w:r>
            <w:proofErr w:type="spellEnd"/>
            <w:r w:rsidR="00B71410" w:rsidRPr="00775FFA">
              <w:rPr>
                <w:sz w:val="22"/>
                <w:szCs w:val="22"/>
              </w:rPr>
              <w:t xml:space="preserve"> kože</w:t>
            </w:r>
          </w:p>
        </w:tc>
      </w:tr>
      <w:tr w:rsidR="006D0AC4" w:rsidRPr="00775FFA" w14:paraId="095654C2" w14:textId="77777777" w:rsidTr="00A3276A">
        <w:trPr>
          <w:trHeight w:val="838"/>
        </w:trPr>
        <w:tc>
          <w:tcPr>
            <w:tcW w:w="2928" w:type="dxa"/>
          </w:tcPr>
          <w:p w14:paraId="4EE6AF80" w14:textId="77777777" w:rsidR="000F2E71" w:rsidRPr="00775FFA" w:rsidRDefault="000F2E71" w:rsidP="008A1CFF">
            <w:pPr>
              <w:tabs>
                <w:tab w:val="left" w:pos="567"/>
              </w:tabs>
              <w:rPr>
                <w:b/>
                <w:sz w:val="22"/>
                <w:szCs w:val="22"/>
              </w:rPr>
            </w:pPr>
            <w:r w:rsidRPr="00775FFA">
              <w:rPr>
                <w:b/>
                <w:sz w:val="22"/>
                <w:szCs w:val="22"/>
              </w:rPr>
              <w:t>Poruchy kostrovej a svalovej sústavy a spojivového tkaniva</w:t>
            </w:r>
          </w:p>
        </w:tc>
        <w:tc>
          <w:tcPr>
            <w:tcW w:w="5858" w:type="dxa"/>
          </w:tcPr>
          <w:p w14:paraId="02E79546" w14:textId="77777777" w:rsidR="000F2E71" w:rsidRPr="00775FFA" w:rsidRDefault="0067285A" w:rsidP="008A1CFF">
            <w:pPr>
              <w:tabs>
                <w:tab w:val="left" w:pos="567"/>
              </w:tabs>
              <w:rPr>
                <w:sz w:val="22"/>
                <w:szCs w:val="22"/>
              </w:rPr>
            </w:pPr>
            <w:r w:rsidRPr="00775FFA">
              <w:rPr>
                <w:sz w:val="22"/>
                <w:szCs w:val="22"/>
              </w:rPr>
              <w:t>s</w:t>
            </w:r>
            <w:r w:rsidR="000F2E71" w:rsidRPr="00775FFA">
              <w:rPr>
                <w:sz w:val="22"/>
                <w:szCs w:val="22"/>
              </w:rPr>
              <w:t>valová slabosť</w:t>
            </w:r>
            <w:r w:rsidRPr="00775FFA">
              <w:rPr>
                <w:sz w:val="22"/>
                <w:szCs w:val="22"/>
              </w:rPr>
              <w:t>,</w:t>
            </w:r>
            <w:r w:rsidR="000F2E71" w:rsidRPr="00775FFA">
              <w:rPr>
                <w:sz w:val="22"/>
                <w:szCs w:val="22"/>
              </w:rPr>
              <w:t xml:space="preserve"> </w:t>
            </w:r>
            <w:proofErr w:type="spellStart"/>
            <w:r w:rsidRPr="00775FFA">
              <w:rPr>
                <w:sz w:val="22"/>
                <w:szCs w:val="22"/>
              </w:rPr>
              <w:t>m</w:t>
            </w:r>
            <w:r w:rsidR="000F2E71" w:rsidRPr="00775FFA">
              <w:rPr>
                <w:sz w:val="22"/>
                <w:szCs w:val="22"/>
              </w:rPr>
              <w:t>yalgia</w:t>
            </w:r>
            <w:proofErr w:type="spellEnd"/>
            <w:r w:rsidRPr="00775FFA">
              <w:rPr>
                <w:sz w:val="22"/>
                <w:szCs w:val="22"/>
              </w:rPr>
              <w:t>,</w:t>
            </w:r>
            <w:r w:rsidR="000F2E71" w:rsidRPr="00775FFA">
              <w:rPr>
                <w:sz w:val="22"/>
                <w:szCs w:val="22"/>
              </w:rPr>
              <w:t xml:space="preserve"> </w:t>
            </w:r>
            <w:proofErr w:type="spellStart"/>
            <w:r w:rsidRPr="00775FFA">
              <w:rPr>
                <w:sz w:val="22"/>
                <w:szCs w:val="22"/>
              </w:rPr>
              <w:t>m</w:t>
            </w:r>
            <w:r w:rsidR="000F2E71" w:rsidRPr="00775FFA">
              <w:rPr>
                <w:sz w:val="22"/>
                <w:szCs w:val="22"/>
              </w:rPr>
              <w:t>yopatia</w:t>
            </w:r>
            <w:proofErr w:type="spellEnd"/>
            <w:r w:rsidRPr="00775FFA">
              <w:rPr>
                <w:sz w:val="22"/>
                <w:szCs w:val="22"/>
              </w:rPr>
              <w:t>,</w:t>
            </w:r>
            <w:r w:rsidR="000F2E71" w:rsidRPr="00775FFA">
              <w:rPr>
                <w:sz w:val="22"/>
                <w:szCs w:val="22"/>
              </w:rPr>
              <w:t xml:space="preserve"> </w:t>
            </w:r>
            <w:r w:rsidRPr="00775FFA">
              <w:rPr>
                <w:sz w:val="22"/>
                <w:szCs w:val="22"/>
              </w:rPr>
              <w:t>a</w:t>
            </w:r>
            <w:r w:rsidR="000F2E71" w:rsidRPr="00775FFA">
              <w:rPr>
                <w:sz w:val="22"/>
                <w:szCs w:val="22"/>
              </w:rPr>
              <w:t>trofia svalov</w:t>
            </w:r>
            <w:r w:rsidRPr="00775FFA">
              <w:rPr>
                <w:sz w:val="22"/>
                <w:szCs w:val="22"/>
              </w:rPr>
              <w:t>, o</w:t>
            </w:r>
            <w:r w:rsidR="000F2E71" w:rsidRPr="00775FFA">
              <w:rPr>
                <w:sz w:val="22"/>
                <w:szCs w:val="22"/>
              </w:rPr>
              <w:t>steoporóza</w:t>
            </w:r>
            <w:r w:rsidRPr="00775FFA">
              <w:rPr>
                <w:sz w:val="22"/>
                <w:szCs w:val="22"/>
              </w:rPr>
              <w:t>,</w:t>
            </w:r>
            <w:r w:rsidR="000F2E71" w:rsidRPr="00775FFA">
              <w:rPr>
                <w:sz w:val="22"/>
                <w:szCs w:val="22"/>
              </w:rPr>
              <w:t xml:space="preserve"> </w:t>
            </w:r>
            <w:proofErr w:type="spellStart"/>
            <w:r w:rsidRPr="00775FFA">
              <w:rPr>
                <w:sz w:val="22"/>
                <w:szCs w:val="22"/>
              </w:rPr>
              <w:t>o</w:t>
            </w:r>
            <w:r w:rsidR="000F2E71" w:rsidRPr="00775FFA">
              <w:rPr>
                <w:sz w:val="22"/>
                <w:szCs w:val="22"/>
              </w:rPr>
              <w:t>steonekróza</w:t>
            </w:r>
            <w:proofErr w:type="spellEnd"/>
            <w:r w:rsidRPr="00775FFA">
              <w:rPr>
                <w:sz w:val="22"/>
                <w:szCs w:val="22"/>
              </w:rPr>
              <w:t>,</w:t>
            </w:r>
            <w:r w:rsidR="000F2E71" w:rsidRPr="00775FFA">
              <w:rPr>
                <w:sz w:val="22"/>
                <w:szCs w:val="22"/>
              </w:rPr>
              <w:t xml:space="preserve"> </w:t>
            </w:r>
            <w:proofErr w:type="spellStart"/>
            <w:r w:rsidRPr="00775FFA">
              <w:rPr>
                <w:sz w:val="22"/>
                <w:szCs w:val="22"/>
              </w:rPr>
              <w:t>p</w:t>
            </w:r>
            <w:r w:rsidR="000F2E71" w:rsidRPr="00775FFA">
              <w:rPr>
                <w:sz w:val="22"/>
                <w:szCs w:val="22"/>
              </w:rPr>
              <w:t>atologick</w:t>
            </w:r>
            <w:r w:rsidR="004F4340" w:rsidRPr="00775FFA">
              <w:rPr>
                <w:sz w:val="22"/>
                <w:szCs w:val="22"/>
              </w:rPr>
              <w:t>a</w:t>
            </w:r>
            <w:proofErr w:type="spellEnd"/>
            <w:r w:rsidR="000F2E71" w:rsidRPr="00775FFA">
              <w:rPr>
                <w:sz w:val="22"/>
                <w:szCs w:val="22"/>
              </w:rPr>
              <w:t xml:space="preserve"> fraktúr</w:t>
            </w:r>
            <w:r w:rsidR="004F4340" w:rsidRPr="00775FFA">
              <w:rPr>
                <w:sz w:val="22"/>
                <w:szCs w:val="22"/>
              </w:rPr>
              <w:t>a</w:t>
            </w:r>
            <w:r w:rsidRPr="00775FFA">
              <w:rPr>
                <w:sz w:val="22"/>
                <w:szCs w:val="22"/>
              </w:rPr>
              <w:t>,</w:t>
            </w:r>
            <w:r w:rsidR="000F2E71" w:rsidRPr="00775FFA">
              <w:rPr>
                <w:sz w:val="22"/>
                <w:szCs w:val="22"/>
              </w:rPr>
              <w:t xml:space="preserve"> </w:t>
            </w:r>
            <w:proofErr w:type="spellStart"/>
            <w:r w:rsidRPr="00775FFA">
              <w:rPr>
                <w:sz w:val="22"/>
                <w:szCs w:val="22"/>
              </w:rPr>
              <w:t>n</w:t>
            </w:r>
            <w:r w:rsidR="000F2E71" w:rsidRPr="00775FFA">
              <w:rPr>
                <w:sz w:val="22"/>
                <w:szCs w:val="22"/>
              </w:rPr>
              <w:t>europatická</w:t>
            </w:r>
            <w:proofErr w:type="spellEnd"/>
            <w:r w:rsidR="000F2E71" w:rsidRPr="00775FFA">
              <w:rPr>
                <w:sz w:val="22"/>
                <w:szCs w:val="22"/>
              </w:rPr>
              <w:t xml:space="preserve"> </w:t>
            </w:r>
            <w:proofErr w:type="spellStart"/>
            <w:r w:rsidR="000F2E71" w:rsidRPr="00775FFA">
              <w:rPr>
                <w:sz w:val="22"/>
                <w:szCs w:val="22"/>
              </w:rPr>
              <w:t>artropatia</w:t>
            </w:r>
            <w:proofErr w:type="spellEnd"/>
            <w:r w:rsidRPr="00775FFA">
              <w:rPr>
                <w:sz w:val="22"/>
                <w:szCs w:val="22"/>
              </w:rPr>
              <w:t>,</w:t>
            </w:r>
            <w:r w:rsidR="000F2E71" w:rsidRPr="00775FFA">
              <w:rPr>
                <w:sz w:val="22"/>
                <w:szCs w:val="22"/>
              </w:rPr>
              <w:t xml:space="preserve"> </w:t>
            </w:r>
            <w:proofErr w:type="spellStart"/>
            <w:r w:rsidRPr="00775FFA">
              <w:rPr>
                <w:sz w:val="22"/>
                <w:szCs w:val="22"/>
              </w:rPr>
              <w:t>a</w:t>
            </w:r>
            <w:r w:rsidR="000F2E71" w:rsidRPr="00775FFA">
              <w:rPr>
                <w:sz w:val="22"/>
                <w:szCs w:val="22"/>
              </w:rPr>
              <w:t>rtralgia</w:t>
            </w:r>
            <w:proofErr w:type="spellEnd"/>
            <w:r w:rsidRPr="00775FFA">
              <w:rPr>
                <w:sz w:val="22"/>
                <w:szCs w:val="22"/>
              </w:rPr>
              <w:t>,</w:t>
            </w:r>
            <w:r w:rsidR="000F2E71" w:rsidRPr="00775FFA">
              <w:rPr>
                <w:sz w:val="22"/>
                <w:szCs w:val="22"/>
              </w:rPr>
              <w:t xml:space="preserve"> </w:t>
            </w:r>
            <w:r w:rsidRPr="00775FFA">
              <w:rPr>
                <w:sz w:val="22"/>
                <w:szCs w:val="22"/>
              </w:rPr>
              <w:t>s</w:t>
            </w:r>
            <w:r w:rsidR="000F2E71" w:rsidRPr="00775FFA">
              <w:rPr>
                <w:sz w:val="22"/>
                <w:szCs w:val="22"/>
              </w:rPr>
              <w:t>pomalenie rastu</w:t>
            </w:r>
          </w:p>
        </w:tc>
      </w:tr>
      <w:tr w:rsidR="006D0AC4" w:rsidRPr="00775FFA" w14:paraId="57D8191F" w14:textId="77777777" w:rsidTr="007A556C">
        <w:tc>
          <w:tcPr>
            <w:tcW w:w="2928" w:type="dxa"/>
          </w:tcPr>
          <w:p w14:paraId="4FFE3E0A" w14:textId="77777777" w:rsidR="000F2E71" w:rsidRPr="00775FFA" w:rsidRDefault="000F2E71" w:rsidP="008A1CFF">
            <w:pPr>
              <w:tabs>
                <w:tab w:val="left" w:pos="567"/>
              </w:tabs>
              <w:rPr>
                <w:b/>
                <w:sz w:val="22"/>
                <w:szCs w:val="22"/>
              </w:rPr>
            </w:pPr>
            <w:r w:rsidRPr="00775FFA">
              <w:rPr>
                <w:b/>
                <w:sz w:val="22"/>
                <w:szCs w:val="22"/>
              </w:rPr>
              <w:t>Poruchy reprodukčného systému a prsníkov</w:t>
            </w:r>
          </w:p>
        </w:tc>
        <w:tc>
          <w:tcPr>
            <w:tcW w:w="5858" w:type="dxa"/>
          </w:tcPr>
          <w:p w14:paraId="679EF2DE" w14:textId="77777777" w:rsidR="000F2E71" w:rsidRPr="00775FFA" w:rsidRDefault="0067285A" w:rsidP="008A1CFF">
            <w:pPr>
              <w:tabs>
                <w:tab w:val="left" w:pos="567"/>
              </w:tabs>
              <w:rPr>
                <w:sz w:val="22"/>
                <w:szCs w:val="22"/>
              </w:rPr>
            </w:pPr>
            <w:r w:rsidRPr="00775FFA">
              <w:rPr>
                <w:sz w:val="22"/>
                <w:szCs w:val="22"/>
              </w:rPr>
              <w:t>n</w:t>
            </w:r>
            <w:r w:rsidR="000F2E71" w:rsidRPr="00775FFA">
              <w:rPr>
                <w:sz w:val="22"/>
                <w:szCs w:val="22"/>
              </w:rPr>
              <w:t>epravidelná menštruácia</w:t>
            </w:r>
          </w:p>
        </w:tc>
      </w:tr>
      <w:tr w:rsidR="006D0AC4" w:rsidRPr="00775FFA" w14:paraId="0B3B9B0F" w14:textId="77777777" w:rsidTr="00A3276A">
        <w:trPr>
          <w:trHeight w:val="603"/>
        </w:trPr>
        <w:tc>
          <w:tcPr>
            <w:tcW w:w="2928" w:type="dxa"/>
          </w:tcPr>
          <w:p w14:paraId="18489860" w14:textId="77777777" w:rsidR="000F2E71" w:rsidRPr="00775FFA" w:rsidRDefault="000F2E71" w:rsidP="008A1CFF">
            <w:pPr>
              <w:tabs>
                <w:tab w:val="left" w:pos="567"/>
              </w:tabs>
              <w:rPr>
                <w:b/>
                <w:sz w:val="22"/>
                <w:szCs w:val="22"/>
              </w:rPr>
            </w:pPr>
            <w:r w:rsidRPr="00775FFA">
              <w:rPr>
                <w:b/>
                <w:iCs/>
                <w:sz w:val="22"/>
                <w:szCs w:val="22"/>
              </w:rPr>
              <w:t>Celkové poruchy a reakcie v mieste podania</w:t>
            </w:r>
          </w:p>
        </w:tc>
        <w:tc>
          <w:tcPr>
            <w:tcW w:w="5858" w:type="dxa"/>
          </w:tcPr>
          <w:p w14:paraId="340A53BF" w14:textId="77777777" w:rsidR="000F2E71" w:rsidRPr="00775FFA" w:rsidRDefault="0067285A" w:rsidP="008A1CFF">
            <w:pPr>
              <w:tabs>
                <w:tab w:val="left" w:pos="567"/>
              </w:tabs>
              <w:rPr>
                <w:sz w:val="22"/>
                <w:szCs w:val="22"/>
              </w:rPr>
            </w:pPr>
            <w:r w:rsidRPr="00775FFA">
              <w:rPr>
                <w:sz w:val="22"/>
                <w:szCs w:val="22"/>
              </w:rPr>
              <w:t>z</w:t>
            </w:r>
            <w:r w:rsidR="004F4340" w:rsidRPr="00775FFA">
              <w:rPr>
                <w:sz w:val="22"/>
                <w:szCs w:val="22"/>
              </w:rPr>
              <w:t>horšenie hojenia rán</w:t>
            </w:r>
            <w:r w:rsidRPr="00775FFA">
              <w:rPr>
                <w:sz w:val="22"/>
                <w:szCs w:val="22"/>
              </w:rPr>
              <w:t>,</w:t>
            </w:r>
            <w:r w:rsidR="004F4340" w:rsidRPr="00775FFA">
              <w:rPr>
                <w:sz w:val="22"/>
                <w:szCs w:val="22"/>
              </w:rPr>
              <w:t xml:space="preserve"> </w:t>
            </w:r>
            <w:r w:rsidRPr="00775FFA">
              <w:rPr>
                <w:sz w:val="22"/>
                <w:szCs w:val="22"/>
              </w:rPr>
              <w:t>p</w:t>
            </w:r>
            <w:r w:rsidR="004F4340" w:rsidRPr="00775FFA">
              <w:rPr>
                <w:sz w:val="22"/>
                <w:szCs w:val="22"/>
              </w:rPr>
              <w:t>eriférny edém</w:t>
            </w:r>
            <w:r w:rsidRPr="00775FFA">
              <w:rPr>
                <w:sz w:val="22"/>
                <w:szCs w:val="22"/>
              </w:rPr>
              <w:t>,</w:t>
            </w:r>
            <w:r w:rsidR="004F4340" w:rsidRPr="00775FFA">
              <w:rPr>
                <w:sz w:val="22"/>
                <w:szCs w:val="22"/>
              </w:rPr>
              <w:t xml:space="preserve"> </w:t>
            </w:r>
            <w:r w:rsidRPr="00775FFA">
              <w:rPr>
                <w:sz w:val="22"/>
                <w:szCs w:val="22"/>
              </w:rPr>
              <w:t>ú</w:t>
            </w:r>
            <w:r w:rsidR="004F4340" w:rsidRPr="00775FFA">
              <w:rPr>
                <w:sz w:val="22"/>
                <w:szCs w:val="22"/>
              </w:rPr>
              <w:t>nava</w:t>
            </w:r>
            <w:r w:rsidRPr="00775FFA">
              <w:rPr>
                <w:sz w:val="22"/>
                <w:szCs w:val="22"/>
              </w:rPr>
              <w:t>,</w:t>
            </w:r>
            <w:r w:rsidR="00115E3C" w:rsidRPr="00775FFA">
              <w:rPr>
                <w:sz w:val="22"/>
                <w:szCs w:val="22"/>
              </w:rPr>
              <w:t xml:space="preserve"> </w:t>
            </w:r>
            <w:r w:rsidRPr="00775FFA">
              <w:rPr>
                <w:sz w:val="22"/>
                <w:szCs w:val="22"/>
              </w:rPr>
              <w:t>s</w:t>
            </w:r>
            <w:r w:rsidR="00115E3C" w:rsidRPr="00775FFA">
              <w:rPr>
                <w:sz w:val="22"/>
                <w:szCs w:val="22"/>
              </w:rPr>
              <w:t>labosť</w:t>
            </w:r>
            <w:r w:rsidRPr="00775FFA">
              <w:rPr>
                <w:sz w:val="22"/>
                <w:szCs w:val="22"/>
              </w:rPr>
              <w:t>,</w:t>
            </w:r>
            <w:r w:rsidR="00EA2058" w:rsidRPr="00775FFA">
              <w:rPr>
                <w:sz w:val="22"/>
                <w:szCs w:val="22"/>
              </w:rPr>
              <w:t xml:space="preserve"> </w:t>
            </w:r>
            <w:r w:rsidRPr="00775FFA">
              <w:rPr>
                <w:sz w:val="22"/>
                <w:szCs w:val="22"/>
              </w:rPr>
              <w:t>r</w:t>
            </w:r>
            <w:r w:rsidR="000F2E71" w:rsidRPr="00775FFA">
              <w:rPr>
                <w:sz w:val="22"/>
                <w:szCs w:val="22"/>
              </w:rPr>
              <w:t>eakcie v mieste vpichu</w:t>
            </w:r>
          </w:p>
        </w:tc>
      </w:tr>
      <w:tr w:rsidR="006D0AC4" w:rsidRPr="00775FFA" w14:paraId="07C10EBF" w14:textId="77777777" w:rsidTr="00A3276A">
        <w:trPr>
          <w:trHeight w:val="1830"/>
        </w:trPr>
        <w:tc>
          <w:tcPr>
            <w:tcW w:w="2928" w:type="dxa"/>
          </w:tcPr>
          <w:p w14:paraId="08B84BAB" w14:textId="77777777" w:rsidR="000F2E71" w:rsidRPr="00775FFA" w:rsidRDefault="000F2E71" w:rsidP="008A1CFF">
            <w:pPr>
              <w:tabs>
                <w:tab w:val="left" w:pos="567"/>
              </w:tabs>
              <w:rPr>
                <w:b/>
                <w:iCs/>
                <w:sz w:val="22"/>
                <w:szCs w:val="22"/>
              </w:rPr>
            </w:pPr>
            <w:r w:rsidRPr="00775FFA">
              <w:rPr>
                <w:b/>
                <w:sz w:val="22"/>
                <w:szCs w:val="22"/>
                <w:lang w:val="pl-PL"/>
              </w:rPr>
              <w:t>Laboratórne a funkčné vyšetrenia</w:t>
            </w:r>
          </w:p>
        </w:tc>
        <w:tc>
          <w:tcPr>
            <w:tcW w:w="5858" w:type="dxa"/>
          </w:tcPr>
          <w:p w14:paraId="213BA1F6" w14:textId="77777777" w:rsidR="000F2E71" w:rsidRPr="00775FFA" w:rsidRDefault="0067285A" w:rsidP="008A1CFF">
            <w:pPr>
              <w:tabs>
                <w:tab w:val="left" w:pos="567"/>
              </w:tabs>
              <w:rPr>
                <w:sz w:val="22"/>
                <w:szCs w:val="22"/>
              </w:rPr>
            </w:pPr>
            <w:r w:rsidRPr="00775FFA">
              <w:rPr>
                <w:sz w:val="22"/>
                <w:szCs w:val="22"/>
              </w:rPr>
              <w:t>z</w:t>
            </w:r>
            <w:r w:rsidR="000F2E71" w:rsidRPr="00775FFA">
              <w:rPr>
                <w:sz w:val="22"/>
                <w:szCs w:val="22"/>
              </w:rPr>
              <w:t xml:space="preserve">výšený </w:t>
            </w:r>
            <w:proofErr w:type="spellStart"/>
            <w:r w:rsidR="000F2E71" w:rsidRPr="00775FFA">
              <w:rPr>
                <w:sz w:val="22"/>
                <w:szCs w:val="22"/>
              </w:rPr>
              <w:t>vnútroočný</w:t>
            </w:r>
            <w:proofErr w:type="spellEnd"/>
            <w:r w:rsidR="000F2E71" w:rsidRPr="00775FFA">
              <w:rPr>
                <w:sz w:val="22"/>
                <w:szCs w:val="22"/>
              </w:rPr>
              <w:t xml:space="preserve"> tlak</w:t>
            </w:r>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nížená tolerancia sacharidov</w:t>
            </w:r>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nížená hladina draslíka v krvi</w:t>
            </w:r>
            <w:r w:rsidRPr="00775FFA">
              <w:rPr>
                <w:sz w:val="22"/>
                <w:szCs w:val="22"/>
              </w:rPr>
              <w:t>,</w:t>
            </w:r>
            <w:r w:rsidR="00115E3C" w:rsidRPr="00775FFA">
              <w:rPr>
                <w:sz w:val="22"/>
                <w:szCs w:val="22"/>
              </w:rPr>
              <w:t xml:space="preserve"> </w:t>
            </w:r>
            <w:r w:rsidRPr="00775FFA">
              <w:rPr>
                <w:sz w:val="22"/>
                <w:szCs w:val="22"/>
              </w:rPr>
              <w:t>z</w:t>
            </w:r>
            <w:r w:rsidR="00115E3C" w:rsidRPr="00775FFA">
              <w:rPr>
                <w:sz w:val="22"/>
                <w:szCs w:val="22"/>
              </w:rPr>
              <w:t>výšená hladina vápnika v moči</w:t>
            </w:r>
            <w:r w:rsidRPr="00775FFA">
              <w:rPr>
                <w:sz w:val="22"/>
                <w:szCs w:val="22"/>
              </w:rPr>
              <w:t>,</w:t>
            </w:r>
            <w:r w:rsidR="00115E3C" w:rsidRPr="00775FFA">
              <w:rPr>
                <w:sz w:val="22"/>
                <w:szCs w:val="22"/>
              </w:rPr>
              <w:t xml:space="preserve"> </w:t>
            </w:r>
            <w:r w:rsidRPr="00775FFA">
              <w:rPr>
                <w:sz w:val="22"/>
                <w:szCs w:val="22"/>
              </w:rPr>
              <w:t>z</w:t>
            </w:r>
            <w:r w:rsidR="00115E3C" w:rsidRPr="00775FFA">
              <w:rPr>
                <w:sz w:val="22"/>
                <w:szCs w:val="22"/>
              </w:rPr>
              <w:t xml:space="preserve">výšenie </w:t>
            </w:r>
            <w:proofErr w:type="spellStart"/>
            <w:r w:rsidR="00115E3C" w:rsidRPr="00775FFA">
              <w:rPr>
                <w:sz w:val="22"/>
                <w:szCs w:val="22"/>
              </w:rPr>
              <w:t>alanínaminotransferázy</w:t>
            </w:r>
            <w:proofErr w:type="spellEnd"/>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 xml:space="preserve">výšenie </w:t>
            </w:r>
            <w:proofErr w:type="spellStart"/>
            <w:r w:rsidR="000F2E71" w:rsidRPr="00775FFA">
              <w:rPr>
                <w:sz w:val="22"/>
                <w:szCs w:val="22"/>
              </w:rPr>
              <w:t>aspartátaminotransferázy</w:t>
            </w:r>
            <w:proofErr w:type="spellEnd"/>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 xml:space="preserve">výšenie alkalickej </w:t>
            </w:r>
            <w:proofErr w:type="spellStart"/>
            <w:r w:rsidR="000F2E71" w:rsidRPr="00775FFA">
              <w:rPr>
                <w:sz w:val="22"/>
                <w:szCs w:val="22"/>
              </w:rPr>
              <w:t>fosfatázy</w:t>
            </w:r>
            <w:proofErr w:type="spellEnd"/>
            <w:r w:rsidR="000F2E71" w:rsidRPr="00775FFA">
              <w:rPr>
                <w:sz w:val="22"/>
                <w:szCs w:val="22"/>
              </w:rPr>
              <w:t xml:space="preserve"> v krvi</w:t>
            </w:r>
            <w:r w:rsidRPr="00775FFA">
              <w:rPr>
                <w:sz w:val="22"/>
                <w:szCs w:val="22"/>
              </w:rPr>
              <w:t>,</w:t>
            </w:r>
            <w:r w:rsidR="000F2E71" w:rsidRPr="00775FFA">
              <w:rPr>
                <w:sz w:val="22"/>
                <w:szCs w:val="22"/>
              </w:rPr>
              <w:t xml:space="preserve"> </w:t>
            </w:r>
            <w:r w:rsidRPr="00775FFA">
              <w:rPr>
                <w:sz w:val="22"/>
                <w:szCs w:val="22"/>
              </w:rPr>
              <w:t>z</w:t>
            </w:r>
            <w:r w:rsidR="000F2E71" w:rsidRPr="00775FFA">
              <w:rPr>
                <w:sz w:val="22"/>
                <w:szCs w:val="22"/>
              </w:rPr>
              <w:t>výšenie hladiny močoviny v krvi</w:t>
            </w:r>
            <w:r w:rsidRPr="00775FFA">
              <w:rPr>
                <w:sz w:val="22"/>
                <w:szCs w:val="22"/>
              </w:rPr>
              <w:t>,</w:t>
            </w:r>
            <w:r w:rsidR="000F2E71" w:rsidRPr="00775FFA">
              <w:rPr>
                <w:sz w:val="22"/>
                <w:szCs w:val="22"/>
              </w:rPr>
              <w:t xml:space="preserve"> </w:t>
            </w:r>
            <w:proofErr w:type="spellStart"/>
            <w:r w:rsidR="00424652" w:rsidRPr="00775FFA">
              <w:rPr>
                <w:sz w:val="22"/>
                <w:szCs w:val="22"/>
              </w:rPr>
              <w:t>supres</w:t>
            </w:r>
            <w:r w:rsidR="008B0E0E" w:rsidRPr="00775FFA">
              <w:rPr>
                <w:sz w:val="22"/>
                <w:szCs w:val="22"/>
              </w:rPr>
              <w:t>ia</w:t>
            </w:r>
            <w:proofErr w:type="spellEnd"/>
            <w:r w:rsidR="000F2E71" w:rsidRPr="00775FFA">
              <w:rPr>
                <w:sz w:val="22"/>
                <w:szCs w:val="22"/>
              </w:rPr>
              <w:t xml:space="preserve"> reakc</w:t>
            </w:r>
            <w:r w:rsidR="008B0E0E" w:rsidRPr="00775FFA">
              <w:rPr>
                <w:sz w:val="22"/>
                <w:szCs w:val="22"/>
              </w:rPr>
              <w:t>ií</w:t>
            </w:r>
            <w:r w:rsidR="000F2E71" w:rsidRPr="00775FFA">
              <w:rPr>
                <w:sz w:val="22"/>
                <w:szCs w:val="22"/>
              </w:rPr>
              <w:t xml:space="preserve"> pri kožných testoch</w:t>
            </w:r>
            <w:r w:rsidR="000F2E71" w:rsidRPr="00775FFA">
              <w:rPr>
                <w:sz w:val="22"/>
                <w:szCs w:val="22"/>
                <w:vertAlign w:val="superscript"/>
              </w:rPr>
              <w:t>*</w:t>
            </w:r>
          </w:p>
        </w:tc>
      </w:tr>
      <w:tr w:rsidR="006D0AC4" w:rsidRPr="00775FFA" w14:paraId="580C9C78" w14:textId="77777777" w:rsidTr="007A556C">
        <w:tc>
          <w:tcPr>
            <w:tcW w:w="2928" w:type="dxa"/>
          </w:tcPr>
          <w:p w14:paraId="145F6797" w14:textId="77777777" w:rsidR="000F2E71" w:rsidRPr="00775FFA" w:rsidRDefault="000F2E71" w:rsidP="008A1CFF">
            <w:pPr>
              <w:tabs>
                <w:tab w:val="left" w:pos="567"/>
              </w:tabs>
              <w:rPr>
                <w:b/>
                <w:sz w:val="22"/>
                <w:szCs w:val="22"/>
              </w:rPr>
            </w:pPr>
            <w:r w:rsidRPr="00775FFA">
              <w:rPr>
                <w:b/>
                <w:sz w:val="22"/>
                <w:szCs w:val="22"/>
              </w:rPr>
              <w:t>Úrazy, otravy a komplikácie liečebného postupu</w:t>
            </w:r>
          </w:p>
        </w:tc>
        <w:tc>
          <w:tcPr>
            <w:tcW w:w="5858" w:type="dxa"/>
          </w:tcPr>
          <w:p w14:paraId="2B15DA28" w14:textId="77777777" w:rsidR="000F2E71" w:rsidRPr="00775FFA" w:rsidRDefault="00A960C3" w:rsidP="008A1CFF">
            <w:pPr>
              <w:tabs>
                <w:tab w:val="left" w:pos="567"/>
              </w:tabs>
              <w:rPr>
                <w:sz w:val="22"/>
                <w:szCs w:val="22"/>
              </w:rPr>
            </w:pPr>
            <w:r w:rsidRPr="00775FFA">
              <w:rPr>
                <w:sz w:val="22"/>
                <w:szCs w:val="22"/>
              </w:rPr>
              <w:t>k</w:t>
            </w:r>
            <w:r w:rsidR="000F2E71" w:rsidRPr="00775FFA">
              <w:rPr>
                <w:sz w:val="22"/>
                <w:szCs w:val="22"/>
              </w:rPr>
              <w:t>ompresívn</w:t>
            </w:r>
            <w:r w:rsidR="00115E3C" w:rsidRPr="00775FFA">
              <w:rPr>
                <w:sz w:val="22"/>
                <w:szCs w:val="22"/>
              </w:rPr>
              <w:t>a</w:t>
            </w:r>
            <w:r w:rsidR="000F2E71" w:rsidRPr="00775FFA">
              <w:rPr>
                <w:sz w:val="22"/>
                <w:szCs w:val="22"/>
              </w:rPr>
              <w:t xml:space="preserve"> zlomenin</w:t>
            </w:r>
            <w:r w:rsidR="00115E3C" w:rsidRPr="00775FFA">
              <w:rPr>
                <w:sz w:val="22"/>
                <w:szCs w:val="22"/>
              </w:rPr>
              <w:t>a</w:t>
            </w:r>
            <w:r w:rsidR="000F2E71" w:rsidRPr="00775FFA">
              <w:rPr>
                <w:sz w:val="22"/>
                <w:szCs w:val="22"/>
              </w:rPr>
              <w:t xml:space="preserve"> stavc</w:t>
            </w:r>
            <w:r w:rsidR="00115E3C" w:rsidRPr="00775FFA">
              <w:rPr>
                <w:sz w:val="22"/>
                <w:szCs w:val="22"/>
              </w:rPr>
              <w:t>a</w:t>
            </w:r>
            <w:r w:rsidRPr="00775FFA">
              <w:rPr>
                <w:sz w:val="22"/>
                <w:szCs w:val="22"/>
              </w:rPr>
              <w:t>,</w:t>
            </w:r>
            <w:r w:rsidR="000F2E71" w:rsidRPr="00775FFA">
              <w:rPr>
                <w:sz w:val="22"/>
                <w:szCs w:val="22"/>
              </w:rPr>
              <w:t xml:space="preserve"> </w:t>
            </w:r>
            <w:r w:rsidRPr="00775FFA">
              <w:rPr>
                <w:sz w:val="22"/>
                <w:szCs w:val="22"/>
              </w:rPr>
              <w:t>r</w:t>
            </w:r>
            <w:r w:rsidR="000F2E71" w:rsidRPr="00775FFA">
              <w:rPr>
                <w:sz w:val="22"/>
                <w:szCs w:val="22"/>
              </w:rPr>
              <w:t>uptúra šliach</w:t>
            </w:r>
          </w:p>
          <w:p w14:paraId="005F0342" w14:textId="77777777" w:rsidR="000F2E71" w:rsidRPr="00775FFA" w:rsidRDefault="000F2E71" w:rsidP="008A1CFF">
            <w:pPr>
              <w:tabs>
                <w:tab w:val="left" w:pos="567"/>
              </w:tabs>
              <w:rPr>
                <w:sz w:val="22"/>
                <w:szCs w:val="22"/>
              </w:rPr>
            </w:pPr>
          </w:p>
        </w:tc>
      </w:tr>
    </w:tbl>
    <w:p w14:paraId="76DB88D9" w14:textId="77777777" w:rsidR="00115E3C" w:rsidRPr="0023657A" w:rsidRDefault="00566558" w:rsidP="008A1CFF">
      <w:pPr>
        <w:autoSpaceDE w:val="0"/>
        <w:autoSpaceDN w:val="0"/>
        <w:adjustRightInd w:val="0"/>
        <w:ind w:left="142" w:hanging="142"/>
        <w:rPr>
          <w:noProof/>
          <w:sz w:val="22"/>
          <w:szCs w:val="22"/>
        </w:rPr>
      </w:pPr>
      <w:r w:rsidRPr="00024FA5">
        <w:rPr>
          <w:sz w:val="22"/>
          <w:szCs w:val="22"/>
          <w:vertAlign w:val="superscript"/>
        </w:rPr>
        <w:lastRenderedPageBreak/>
        <w:sym w:font="Symbol" w:char="F023"/>
      </w:r>
      <w:r w:rsidR="000F2E71" w:rsidRPr="00024FA5">
        <w:rPr>
          <w:noProof/>
          <w:sz w:val="22"/>
          <w:szCs w:val="22"/>
        </w:rPr>
        <w:t>Peritonitída môže byť primár</w:t>
      </w:r>
      <w:r w:rsidR="008B0E0E" w:rsidRPr="008068D3">
        <w:rPr>
          <w:noProof/>
          <w:sz w:val="22"/>
          <w:szCs w:val="22"/>
        </w:rPr>
        <w:t>nym prejavom</w:t>
      </w:r>
      <w:r w:rsidR="000F2E71" w:rsidRPr="008068D3">
        <w:rPr>
          <w:noProof/>
          <w:sz w:val="22"/>
          <w:szCs w:val="22"/>
        </w:rPr>
        <w:t xml:space="preserve"> alebo </w:t>
      </w:r>
      <w:r w:rsidR="00E30A23" w:rsidRPr="008068D3">
        <w:rPr>
          <w:noProof/>
          <w:sz w:val="22"/>
          <w:szCs w:val="22"/>
        </w:rPr>
        <w:t>príznakom</w:t>
      </w:r>
      <w:r w:rsidR="000F2E71" w:rsidRPr="008068D3">
        <w:rPr>
          <w:noProof/>
          <w:sz w:val="22"/>
          <w:szCs w:val="22"/>
        </w:rPr>
        <w:t xml:space="preserve"> gastrointestinálnej poruchy, ako je perforácia, obštrukcia alebo pankreatitída (pozri časť 4.4</w:t>
      </w:r>
      <w:r w:rsidR="000F2E71" w:rsidRPr="0023657A">
        <w:rPr>
          <w:noProof/>
          <w:sz w:val="22"/>
          <w:szCs w:val="22"/>
        </w:rPr>
        <w:t>).</w:t>
      </w:r>
    </w:p>
    <w:p w14:paraId="5F1DF294" w14:textId="77777777" w:rsidR="00566558" w:rsidRPr="00EA3452" w:rsidRDefault="00566558" w:rsidP="008A1CFF">
      <w:pPr>
        <w:tabs>
          <w:tab w:val="left" w:pos="567"/>
        </w:tabs>
        <w:ind w:left="142" w:hanging="142"/>
        <w:rPr>
          <w:sz w:val="22"/>
          <w:szCs w:val="22"/>
        </w:rPr>
      </w:pPr>
      <w:r w:rsidRPr="0023657A">
        <w:rPr>
          <w:sz w:val="22"/>
          <w:szCs w:val="22"/>
        </w:rPr>
        <w:t>†Hepatitída bola pozorovaná po intravenóznom podaní (pozri časť 4.4</w:t>
      </w:r>
      <w:r w:rsidRPr="00EA3452">
        <w:rPr>
          <w:sz w:val="22"/>
          <w:szCs w:val="22"/>
        </w:rPr>
        <w:t>).</w:t>
      </w:r>
    </w:p>
    <w:p w14:paraId="1AEFFA73" w14:textId="77777777" w:rsidR="00566558" w:rsidRPr="00AA7990" w:rsidRDefault="00566558" w:rsidP="00566558">
      <w:pPr>
        <w:tabs>
          <w:tab w:val="left" w:pos="567"/>
        </w:tabs>
        <w:rPr>
          <w:sz w:val="22"/>
          <w:szCs w:val="22"/>
        </w:rPr>
      </w:pPr>
      <w:r w:rsidRPr="00AF3C81">
        <w:rPr>
          <w:sz w:val="22"/>
          <w:szCs w:val="22"/>
        </w:rPr>
        <w:t>*</w:t>
      </w:r>
      <w:r w:rsidRPr="00AF3C81">
        <w:rPr>
          <w:noProof/>
          <w:sz w:val="22"/>
          <w:szCs w:val="22"/>
        </w:rPr>
        <w:t>Nepatrí m</w:t>
      </w:r>
      <w:r w:rsidRPr="007205A1">
        <w:rPr>
          <w:noProof/>
          <w:sz w:val="22"/>
          <w:szCs w:val="22"/>
        </w:rPr>
        <w:t>edzí MedDRA názvoslovie.</w:t>
      </w:r>
    </w:p>
    <w:p w14:paraId="0367C9B9" w14:textId="77777777" w:rsidR="00566558" w:rsidRPr="005867D5" w:rsidRDefault="00566558" w:rsidP="00566558">
      <w:pPr>
        <w:tabs>
          <w:tab w:val="left" w:pos="567"/>
        </w:tabs>
      </w:pPr>
    </w:p>
    <w:p w14:paraId="3FB27DAC" w14:textId="77777777" w:rsidR="002F620B" w:rsidRPr="00BF06EA" w:rsidRDefault="002F620B" w:rsidP="006E5190">
      <w:pPr>
        <w:tabs>
          <w:tab w:val="left" w:pos="567"/>
        </w:tabs>
        <w:rPr>
          <w:sz w:val="22"/>
          <w:szCs w:val="22"/>
          <w:u w:val="single"/>
        </w:rPr>
      </w:pPr>
      <w:r w:rsidRPr="00BF06EA">
        <w:rPr>
          <w:sz w:val="22"/>
          <w:szCs w:val="22"/>
          <w:u w:val="single"/>
        </w:rPr>
        <w:t>Hlásenie podozrení na nežiaduce reakcie</w:t>
      </w:r>
    </w:p>
    <w:p w14:paraId="3D8C038E" w14:textId="77777777" w:rsidR="002F620B" w:rsidRPr="008068D3" w:rsidRDefault="003C7946" w:rsidP="006E5190">
      <w:pPr>
        <w:tabs>
          <w:tab w:val="left" w:pos="567"/>
        </w:tabs>
        <w:rPr>
          <w:sz w:val="22"/>
          <w:szCs w:val="22"/>
        </w:rPr>
      </w:pPr>
      <w:r w:rsidRPr="00BF06EA">
        <w:rPr>
          <w:sz w:val="22"/>
          <w:szCs w:val="22"/>
        </w:rPr>
        <w:t>Hlásenie podozrení na nežiaduce reakcie po registrácii lieku je dôležité. Umožňuje priebežné monit</w:t>
      </w:r>
      <w:r w:rsidRPr="00AB0507">
        <w:rPr>
          <w:sz w:val="22"/>
          <w:szCs w:val="22"/>
        </w:rPr>
        <w:t xml:space="preserve">orovanie pomeru prínosu a rizika lieku. Od zdravotníckych pracovníkov sa vyžaduje, aby hlásili akékoľvek podozrenia na nežiaduce reakcie </w:t>
      </w:r>
      <w:r w:rsidR="00E67A5A" w:rsidRPr="00AB0507">
        <w:rPr>
          <w:sz w:val="22"/>
          <w:szCs w:val="22"/>
        </w:rPr>
        <w:t xml:space="preserve">na </w:t>
      </w:r>
      <w:r w:rsidR="000F2E71" w:rsidRPr="00844B28">
        <w:rPr>
          <w:sz w:val="22"/>
          <w:szCs w:val="22"/>
          <w:highlight w:val="lightGray"/>
        </w:rPr>
        <w:t>národné</w:t>
      </w:r>
      <w:r w:rsidR="00E67A5A" w:rsidRPr="00844B28">
        <w:rPr>
          <w:sz w:val="22"/>
          <w:szCs w:val="22"/>
          <w:highlight w:val="lightGray"/>
        </w:rPr>
        <w:t xml:space="preserve"> centrum</w:t>
      </w:r>
      <w:r w:rsidR="000F2E71" w:rsidRPr="00844B28">
        <w:rPr>
          <w:sz w:val="22"/>
          <w:szCs w:val="22"/>
          <w:highlight w:val="lightGray"/>
        </w:rPr>
        <w:t xml:space="preserve"> hlásenia uvedené v </w:t>
      </w:r>
      <w:hyperlink r:id="rId8" w:history="1">
        <w:r w:rsidR="000F2E71" w:rsidRPr="00844B28">
          <w:rPr>
            <w:rStyle w:val="Hypertextovprepojenie"/>
            <w:sz w:val="22"/>
            <w:szCs w:val="22"/>
            <w:highlight w:val="lightGray"/>
          </w:rPr>
          <w:t>Prílohe V</w:t>
        </w:r>
      </w:hyperlink>
      <w:r w:rsidR="000F2E71" w:rsidRPr="00024FA5">
        <w:rPr>
          <w:sz w:val="22"/>
          <w:szCs w:val="22"/>
        </w:rPr>
        <w:t>.</w:t>
      </w:r>
    </w:p>
    <w:p w14:paraId="3F7130C8" w14:textId="77777777" w:rsidR="000F2E71" w:rsidRPr="008068D3" w:rsidRDefault="000F2E71" w:rsidP="008A1CFF">
      <w:pPr>
        <w:tabs>
          <w:tab w:val="left" w:pos="567"/>
        </w:tabs>
        <w:rPr>
          <w:sz w:val="22"/>
          <w:szCs w:val="22"/>
        </w:rPr>
      </w:pPr>
    </w:p>
    <w:p w14:paraId="74694C75" w14:textId="77777777" w:rsidR="000F2E71" w:rsidRPr="008068D3" w:rsidRDefault="001A70CE" w:rsidP="008A1CFF">
      <w:pPr>
        <w:keepNext/>
        <w:tabs>
          <w:tab w:val="left" w:pos="567"/>
        </w:tabs>
        <w:rPr>
          <w:b/>
          <w:sz w:val="22"/>
          <w:szCs w:val="22"/>
        </w:rPr>
      </w:pPr>
      <w:r w:rsidRPr="008068D3">
        <w:rPr>
          <w:b/>
          <w:sz w:val="22"/>
          <w:szCs w:val="22"/>
        </w:rPr>
        <w:t>4.9</w:t>
      </w:r>
      <w:r w:rsidR="0092328B" w:rsidRPr="008068D3">
        <w:rPr>
          <w:b/>
          <w:sz w:val="22"/>
          <w:szCs w:val="22"/>
        </w:rPr>
        <w:tab/>
      </w:r>
      <w:r w:rsidRPr="008068D3">
        <w:rPr>
          <w:b/>
          <w:sz w:val="22"/>
          <w:szCs w:val="22"/>
        </w:rPr>
        <w:t>Predávkovanie</w:t>
      </w:r>
    </w:p>
    <w:p w14:paraId="06A7229D" w14:textId="77777777" w:rsidR="000F2E71" w:rsidRPr="0023657A" w:rsidRDefault="000F2E71" w:rsidP="008A1CFF">
      <w:pPr>
        <w:keepNext/>
        <w:tabs>
          <w:tab w:val="left" w:pos="567"/>
        </w:tabs>
        <w:rPr>
          <w:sz w:val="22"/>
          <w:szCs w:val="22"/>
        </w:rPr>
      </w:pPr>
    </w:p>
    <w:p w14:paraId="54E7891F" w14:textId="77777777" w:rsidR="000F2E71" w:rsidRPr="00EA3452" w:rsidRDefault="001A70CE" w:rsidP="008A1CFF">
      <w:pPr>
        <w:keepNext/>
        <w:tabs>
          <w:tab w:val="left" w:pos="567"/>
        </w:tabs>
        <w:rPr>
          <w:sz w:val="22"/>
          <w:szCs w:val="22"/>
        </w:rPr>
      </w:pPr>
      <w:r w:rsidRPr="0023657A">
        <w:rPr>
          <w:sz w:val="22"/>
          <w:szCs w:val="22"/>
        </w:rPr>
        <w:t xml:space="preserve">Nie je známy klinický syndróm z akútneho predávkovania </w:t>
      </w:r>
      <w:r w:rsidR="00A50E24" w:rsidRPr="005F410D">
        <w:rPr>
          <w:sz w:val="22"/>
          <w:szCs w:val="22"/>
        </w:rPr>
        <w:t>kortikosteroidmi</w:t>
      </w:r>
      <w:r w:rsidRPr="005F410D">
        <w:rPr>
          <w:sz w:val="22"/>
          <w:szCs w:val="22"/>
        </w:rPr>
        <w:t xml:space="preserve">. </w:t>
      </w:r>
      <w:r w:rsidR="00A50E24" w:rsidRPr="00E4561A">
        <w:rPr>
          <w:sz w:val="22"/>
          <w:szCs w:val="22"/>
        </w:rPr>
        <w:t>Hlásenia akútnej toxicity a/alebo smrti z predávkovania sú zriedkavé. V prípade predávkovania neexistuje špecifi</w:t>
      </w:r>
      <w:r w:rsidR="00256F0F">
        <w:rPr>
          <w:sz w:val="22"/>
          <w:szCs w:val="22"/>
        </w:rPr>
        <w:t>c</w:t>
      </w:r>
      <w:r w:rsidR="00A50E24" w:rsidRPr="00E4561A">
        <w:rPr>
          <w:sz w:val="22"/>
          <w:szCs w:val="22"/>
        </w:rPr>
        <w:t xml:space="preserve">ké </w:t>
      </w:r>
      <w:proofErr w:type="spellStart"/>
      <w:r w:rsidR="00A50E24" w:rsidRPr="00E4561A">
        <w:rPr>
          <w:sz w:val="22"/>
          <w:szCs w:val="22"/>
        </w:rPr>
        <w:t>antid</w:t>
      </w:r>
      <w:r w:rsidR="00A64902">
        <w:rPr>
          <w:sz w:val="22"/>
          <w:szCs w:val="22"/>
        </w:rPr>
        <w:t>o</w:t>
      </w:r>
      <w:r w:rsidR="00A50E24" w:rsidRPr="00E4561A">
        <w:rPr>
          <w:sz w:val="22"/>
          <w:szCs w:val="22"/>
        </w:rPr>
        <w:t>tum</w:t>
      </w:r>
      <w:proofErr w:type="spellEnd"/>
      <w:r w:rsidR="00A50E24" w:rsidRPr="00E4561A">
        <w:rPr>
          <w:sz w:val="22"/>
          <w:szCs w:val="22"/>
        </w:rPr>
        <w:t xml:space="preserve">, liečba je podporná a symptomatická. </w:t>
      </w:r>
      <w:proofErr w:type="spellStart"/>
      <w:r w:rsidRPr="00EA3452">
        <w:rPr>
          <w:sz w:val="22"/>
          <w:szCs w:val="22"/>
        </w:rPr>
        <w:t>Metylprednizolón</w:t>
      </w:r>
      <w:proofErr w:type="spellEnd"/>
      <w:r w:rsidRPr="00EA3452">
        <w:rPr>
          <w:sz w:val="22"/>
          <w:szCs w:val="22"/>
        </w:rPr>
        <w:t xml:space="preserve"> je </w:t>
      </w:r>
      <w:proofErr w:type="spellStart"/>
      <w:r w:rsidRPr="00EA3452">
        <w:rPr>
          <w:sz w:val="22"/>
          <w:szCs w:val="22"/>
        </w:rPr>
        <w:t>dialyzovateľný</w:t>
      </w:r>
      <w:proofErr w:type="spellEnd"/>
      <w:r w:rsidRPr="00EA3452">
        <w:rPr>
          <w:sz w:val="22"/>
          <w:szCs w:val="22"/>
        </w:rPr>
        <w:t>.</w:t>
      </w:r>
    </w:p>
    <w:p w14:paraId="51844AEB" w14:textId="77777777" w:rsidR="000F2E71" w:rsidRPr="00AF3C81" w:rsidRDefault="000F2E71" w:rsidP="008A1CFF">
      <w:pPr>
        <w:keepNext/>
        <w:tabs>
          <w:tab w:val="left" w:pos="1950"/>
        </w:tabs>
        <w:rPr>
          <w:sz w:val="22"/>
          <w:szCs w:val="22"/>
        </w:rPr>
      </w:pPr>
    </w:p>
    <w:p w14:paraId="5B3AFF59" w14:textId="77777777" w:rsidR="000F2E71" w:rsidRPr="007205A1" w:rsidRDefault="000F2E71" w:rsidP="008A1CFF">
      <w:pPr>
        <w:tabs>
          <w:tab w:val="left" w:pos="1950"/>
        </w:tabs>
        <w:rPr>
          <w:sz w:val="22"/>
          <w:szCs w:val="22"/>
        </w:rPr>
      </w:pPr>
    </w:p>
    <w:p w14:paraId="0162DB58" w14:textId="77777777" w:rsidR="000F2E71" w:rsidRPr="005867D5" w:rsidRDefault="0092328B" w:rsidP="008A1CFF">
      <w:pPr>
        <w:keepNext/>
        <w:tabs>
          <w:tab w:val="left" w:pos="567"/>
        </w:tabs>
        <w:rPr>
          <w:b/>
          <w:sz w:val="22"/>
          <w:szCs w:val="22"/>
        </w:rPr>
      </w:pPr>
      <w:r w:rsidRPr="007205A1">
        <w:rPr>
          <w:b/>
          <w:sz w:val="22"/>
          <w:szCs w:val="22"/>
        </w:rPr>
        <w:t>5.</w:t>
      </w:r>
      <w:r w:rsidRPr="007205A1">
        <w:rPr>
          <w:b/>
          <w:sz w:val="22"/>
          <w:szCs w:val="22"/>
        </w:rPr>
        <w:tab/>
      </w:r>
      <w:r w:rsidR="001A70CE" w:rsidRPr="00AA7990">
        <w:rPr>
          <w:b/>
          <w:sz w:val="22"/>
          <w:szCs w:val="22"/>
        </w:rPr>
        <w:t>FARMAKOLOGICKÉ VLASTNOSTI</w:t>
      </w:r>
    </w:p>
    <w:p w14:paraId="4885628F" w14:textId="77777777" w:rsidR="000F2E71" w:rsidRPr="001A6993" w:rsidRDefault="000F2E71" w:rsidP="008A1CFF">
      <w:pPr>
        <w:keepNext/>
        <w:tabs>
          <w:tab w:val="left" w:pos="567"/>
        </w:tabs>
        <w:rPr>
          <w:bCs/>
          <w:sz w:val="22"/>
          <w:szCs w:val="22"/>
        </w:rPr>
      </w:pPr>
    </w:p>
    <w:p w14:paraId="4022EC81" w14:textId="77777777" w:rsidR="000F2E71" w:rsidRPr="00BF06EA" w:rsidRDefault="008E4E34" w:rsidP="001A6993">
      <w:pPr>
        <w:keepNext/>
        <w:tabs>
          <w:tab w:val="left" w:pos="567"/>
        </w:tabs>
        <w:rPr>
          <w:b/>
          <w:sz w:val="22"/>
          <w:szCs w:val="22"/>
        </w:rPr>
      </w:pPr>
      <w:r w:rsidRPr="00484380">
        <w:rPr>
          <w:b/>
          <w:sz w:val="22"/>
          <w:szCs w:val="22"/>
        </w:rPr>
        <w:t>5.1</w:t>
      </w:r>
      <w:r w:rsidR="00AE76CC" w:rsidRPr="00484380">
        <w:rPr>
          <w:b/>
          <w:sz w:val="22"/>
          <w:szCs w:val="22"/>
        </w:rPr>
        <w:tab/>
      </w:r>
      <w:proofErr w:type="spellStart"/>
      <w:r w:rsidR="001A70CE" w:rsidRPr="00484380">
        <w:rPr>
          <w:b/>
          <w:sz w:val="22"/>
          <w:szCs w:val="22"/>
        </w:rPr>
        <w:t>Farmakodynamické</w:t>
      </w:r>
      <w:proofErr w:type="spellEnd"/>
      <w:r w:rsidR="001A70CE" w:rsidRPr="00484380">
        <w:rPr>
          <w:b/>
          <w:sz w:val="22"/>
          <w:szCs w:val="22"/>
        </w:rPr>
        <w:t xml:space="preserve"> vlastnosti</w:t>
      </w:r>
    </w:p>
    <w:p w14:paraId="16D7ED07" w14:textId="77777777" w:rsidR="000F2E71" w:rsidRPr="00AB0507" w:rsidRDefault="000F2E71" w:rsidP="008A1CFF">
      <w:pPr>
        <w:keepNext/>
        <w:tabs>
          <w:tab w:val="left" w:pos="567"/>
        </w:tabs>
        <w:rPr>
          <w:sz w:val="22"/>
          <w:szCs w:val="22"/>
        </w:rPr>
      </w:pPr>
    </w:p>
    <w:p w14:paraId="74ACE90D" w14:textId="77777777" w:rsidR="000F2E71" w:rsidRPr="00A11CA4" w:rsidRDefault="00A50E24" w:rsidP="008A1CFF">
      <w:pPr>
        <w:keepNext/>
        <w:tabs>
          <w:tab w:val="left" w:pos="567"/>
        </w:tabs>
        <w:rPr>
          <w:sz w:val="22"/>
          <w:szCs w:val="22"/>
        </w:rPr>
      </w:pPr>
      <w:proofErr w:type="spellStart"/>
      <w:r w:rsidRPr="00AB0507">
        <w:rPr>
          <w:sz w:val="22"/>
          <w:szCs w:val="22"/>
        </w:rPr>
        <w:t>Farmakoterapeutická</w:t>
      </w:r>
      <w:proofErr w:type="spellEnd"/>
      <w:r w:rsidRPr="00AB0507">
        <w:rPr>
          <w:sz w:val="22"/>
          <w:szCs w:val="22"/>
        </w:rPr>
        <w:t xml:space="preserve"> skupina: </w:t>
      </w:r>
      <w:r w:rsidR="007F4D45" w:rsidRPr="00AB0507">
        <w:rPr>
          <w:sz w:val="22"/>
          <w:szCs w:val="22"/>
        </w:rPr>
        <w:t>K</w:t>
      </w:r>
      <w:r w:rsidRPr="005C567E">
        <w:rPr>
          <w:sz w:val="22"/>
          <w:szCs w:val="22"/>
        </w:rPr>
        <w:t>ortikosteroidy na systémové použitie</w:t>
      </w:r>
      <w:r w:rsidR="00566558" w:rsidRPr="004D4405">
        <w:rPr>
          <w:sz w:val="22"/>
          <w:szCs w:val="22"/>
        </w:rPr>
        <w:t xml:space="preserve">, </w:t>
      </w:r>
      <w:r w:rsidR="00C9087C" w:rsidRPr="00905DB4">
        <w:rPr>
          <w:sz w:val="22"/>
          <w:szCs w:val="22"/>
        </w:rPr>
        <w:t>glukokortikoidy</w:t>
      </w:r>
      <w:r w:rsidR="00E806EA" w:rsidRPr="00905DB4">
        <w:rPr>
          <w:sz w:val="22"/>
          <w:szCs w:val="22"/>
        </w:rPr>
        <w:t xml:space="preserve">, </w:t>
      </w:r>
      <w:r w:rsidR="00C24F7F" w:rsidRPr="00CF22B7">
        <w:rPr>
          <w:sz w:val="22"/>
          <w:szCs w:val="22"/>
        </w:rPr>
        <w:t>ATC kód:</w:t>
      </w:r>
      <w:r w:rsidR="00C24F7F" w:rsidRPr="00665C1B">
        <w:rPr>
          <w:bCs/>
          <w:sz w:val="22"/>
          <w:szCs w:val="22"/>
        </w:rPr>
        <w:t xml:space="preserve"> </w:t>
      </w:r>
      <w:r w:rsidR="00C24F7F" w:rsidRPr="00683CE0">
        <w:rPr>
          <w:sz w:val="22"/>
          <w:szCs w:val="22"/>
        </w:rPr>
        <w:t>H02AB04</w:t>
      </w:r>
    </w:p>
    <w:p w14:paraId="28758AD0" w14:textId="77777777" w:rsidR="000F2E71" w:rsidRPr="000E48B1" w:rsidRDefault="000F2E71" w:rsidP="008A1CFF">
      <w:pPr>
        <w:tabs>
          <w:tab w:val="left" w:pos="567"/>
        </w:tabs>
        <w:rPr>
          <w:sz w:val="22"/>
          <w:szCs w:val="22"/>
        </w:rPr>
      </w:pPr>
    </w:p>
    <w:p w14:paraId="405B2767" w14:textId="77777777" w:rsidR="000F2E71" w:rsidRPr="003B1008" w:rsidRDefault="00C24F7F" w:rsidP="008A1CFF">
      <w:pPr>
        <w:tabs>
          <w:tab w:val="left" w:pos="567"/>
        </w:tabs>
        <w:rPr>
          <w:sz w:val="22"/>
          <w:szCs w:val="22"/>
        </w:rPr>
      </w:pPr>
      <w:proofErr w:type="spellStart"/>
      <w:r w:rsidRPr="00F13490">
        <w:rPr>
          <w:sz w:val="22"/>
          <w:szCs w:val="22"/>
        </w:rPr>
        <w:t>Metylprednizolón</w:t>
      </w:r>
      <w:proofErr w:type="spellEnd"/>
      <w:r w:rsidRPr="00F13490">
        <w:rPr>
          <w:sz w:val="22"/>
          <w:szCs w:val="22"/>
        </w:rPr>
        <w:t xml:space="preserve"> je silný protizápalový </w:t>
      </w:r>
      <w:proofErr w:type="spellStart"/>
      <w:r w:rsidRPr="00F13490">
        <w:rPr>
          <w:sz w:val="22"/>
          <w:szCs w:val="22"/>
        </w:rPr>
        <w:t>steroid</w:t>
      </w:r>
      <w:proofErr w:type="spellEnd"/>
      <w:r w:rsidRPr="00F13490">
        <w:rPr>
          <w:sz w:val="22"/>
          <w:szCs w:val="22"/>
        </w:rPr>
        <w:t xml:space="preserve">. Má väčší protizápalový účinok ako </w:t>
      </w:r>
      <w:proofErr w:type="spellStart"/>
      <w:r w:rsidRPr="00F13490">
        <w:rPr>
          <w:sz w:val="22"/>
          <w:szCs w:val="22"/>
        </w:rPr>
        <w:t>prednizolón</w:t>
      </w:r>
      <w:proofErr w:type="spellEnd"/>
      <w:r w:rsidRPr="00F13490">
        <w:rPr>
          <w:sz w:val="22"/>
          <w:szCs w:val="22"/>
        </w:rPr>
        <w:t xml:space="preserve"> a menšiu tendenciu </w:t>
      </w:r>
      <w:r w:rsidRPr="003B1008">
        <w:rPr>
          <w:sz w:val="22"/>
          <w:szCs w:val="22"/>
        </w:rPr>
        <w:t xml:space="preserve">vyvolať </w:t>
      </w:r>
      <w:proofErr w:type="spellStart"/>
      <w:r w:rsidRPr="003B1008">
        <w:rPr>
          <w:sz w:val="22"/>
          <w:szCs w:val="22"/>
        </w:rPr>
        <w:t>retenciu</w:t>
      </w:r>
      <w:proofErr w:type="spellEnd"/>
      <w:r w:rsidRPr="003B1008">
        <w:rPr>
          <w:sz w:val="22"/>
          <w:szCs w:val="22"/>
        </w:rPr>
        <w:t xml:space="preserve"> sodíka a vody.</w:t>
      </w:r>
    </w:p>
    <w:p w14:paraId="04036C18" w14:textId="77777777" w:rsidR="000F2E71" w:rsidRPr="0036093B" w:rsidRDefault="000F2E71" w:rsidP="008A1CFF">
      <w:pPr>
        <w:tabs>
          <w:tab w:val="left" w:pos="567"/>
        </w:tabs>
        <w:rPr>
          <w:sz w:val="22"/>
          <w:szCs w:val="22"/>
        </w:rPr>
      </w:pPr>
    </w:p>
    <w:p w14:paraId="125687BF" w14:textId="77777777" w:rsidR="000F2E71" w:rsidRPr="0083715D" w:rsidRDefault="00C24F7F" w:rsidP="008A1CFF">
      <w:pPr>
        <w:rPr>
          <w:sz w:val="22"/>
          <w:szCs w:val="22"/>
        </w:rPr>
      </w:pPr>
      <w:r w:rsidRPr="00242DA2">
        <w:rPr>
          <w:sz w:val="22"/>
          <w:szCs w:val="22"/>
        </w:rPr>
        <w:t xml:space="preserve">Sodná soľ </w:t>
      </w:r>
      <w:proofErr w:type="spellStart"/>
      <w:r w:rsidRPr="00242DA2">
        <w:rPr>
          <w:sz w:val="22"/>
          <w:szCs w:val="22"/>
        </w:rPr>
        <w:t>metylprednizolón</w:t>
      </w:r>
      <w:r w:rsidR="006E22E7">
        <w:rPr>
          <w:sz w:val="22"/>
          <w:szCs w:val="22"/>
        </w:rPr>
        <w:t>-</w:t>
      </w:r>
      <w:r w:rsidRPr="00242DA2">
        <w:rPr>
          <w:sz w:val="22"/>
          <w:szCs w:val="22"/>
        </w:rPr>
        <w:t>sukcinátu</w:t>
      </w:r>
      <w:proofErr w:type="spellEnd"/>
      <w:r w:rsidRPr="00242DA2">
        <w:rPr>
          <w:sz w:val="22"/>
          <w:szCs w:val="22"/>
        </w:rPr>
        <w:t xml:space="preserve"> m</w:t>
      </w:r>
      <w:r w:rsidRPr="009E54B4">
        <w:rPr>
          <w:sz w:val="22"/>
          <w:szCs w:val="22"/>
        </w:rPr>
        <w:t xml:space="preserve">á rovnaké metabolické a protizápalové účinky ako </w:t>
      </w:r>
      <w:proofErr w:type="spellStart"/>
      <w:r w:rsidRPr="009E54B4">
        <w:rPr>
          <w:sz w:val="22"/>
          <w:szCs w:val="22"/>
        </w:rPr>
        <w:t>metylprednizolón</w:t>
      </w:r>
      <w:proofErr w:type="spellEnd"/>
      <w:r w:rsidRPr="009E54B4">
        <w:rPr>
          <w:sz w:val="22"/>
          <w:szCs w:val="22"/>
        </w:rPr>
        <w:t xml:space="preserve">. Ak sa podáva parenterálne a v </w:t>
      </w:r>
      <w:proofErr w:type="spellStart"/>
      <w:r w:rsidRPr="009E54B4">
        <w:rPr>
          <w:sz w:val="22"/>
          <w:szCs w:val="22"/>
        </w:rPr>
        <w:t>ekvimolárnych</w:t>
      </w:r>
      <w:proofErr w:type="spellEnd"/>
      <w:r w:rsidRPr="009E54B4">
        <w:rPr>
          <w:sz w:val="22"/>
          <w:szCs w:val="22"/>
        </w:rPr>
        <w:t xml:space="preserve"> množstvách, biologický účinok dvoch </w:t>
      </w:r>
      <w:proofErr w:type="spellStart"/>
      <w:r w:rsidRPr="009E54B4">
        <w:rPr>
          <w:sz w:val="22"/>
          <w:szCs w:val="22"/>
        </w:rPr>
        <w:t>zlúčenin</w:t>
      </w:r>
      <w:proofErr w:type="spellEnd"/>
      <w:r w:rsidRPr="009E54B4">
        <w:rPr>
          <w:sz w:val="22"/>
          <w:szCs w:val="22"/>
        </w:rPr>
        <w:t xml:space="preserve"> je ekvivalentný. Relatívny účinok sodnej soli </w:t>
      </w:r>
      <w:proofErr w:type="spellStart"/>
      <w:r w:rsidRPr="009E54B4">
        <w:rPr>
          <w:sz w:val="22"/>
          <w:szCs w:val="22"/>
        </w:rPr>
        <w:t>metylprednizolón</w:t>
      </w:r>
      <w:r w:rsidR="006E22E7">
        <w:rPr>
          <w:sz w:val="22"/>
          <w:szCs w:val="22"/>
        </w:rPr>
        <w:t>-</w:t>
      </w:r>
      <w:r w:rsidRPr="009E54B4">
        <w:rPr>
          <w:sz w:val="22"/>
          <w:szCs w:val="22"/>
        </w:rPr>
        <w:t>sukcinátu</w:t>
      </w:r>
      <w:proofErr w:type="spellEnd"/>
      <w:r w:rsidRPr="009E54B4">
        <w:rPr>
          <w:sz w:val="22"/>
          <w:szCs w:val="22"/>
        </w:rPr>
        <w:t xml:space="preserve"> a</w:t>
      </w:r>
      <w:r w:rsidR="00AE4461">
        <w:rPr>
          <w:sz w:val="22"/>
          <w:szCs w:val="22"/>
        </w:rPr>
        <w:t> </w:t>
      </w:r>
      <w:proofErr w:type="spellStart"/>
      <w:r w:rsidRPr="009E54B4">
        <w:rPr>
          <w:sz w:val="22"/>
          <w:szCs w:val="22"/>
        </w:rPr>
        <w:t>hydrokortizón</w:t>
      </w:r>
      <w:proofErr w:type="spellEnd"/>
      <w:r w:rsidRPr="009E54B4">
        <w:rPr>
          <w:sz w:val="22"/>
          <w:szCs w:val="22"/>
        </w:rPr>
        <w:t xml:space="preserve"> nátrium-</w:t>
      </w:r>
      <w:proofErr w:type="spellStart"/>
      <w:r w:rsidRPr="009E54B4">
        <w:rPr>
          <w:sz w:val="22"/>
          <w:szCs w:val="22"/>
        </w:rPr>
        <w:t>sukc</w:t>
      </w:r>
      <w:r w:rsidRPr="00145F40">
        <w:rPr>
          <w:sz w:val="22"/>
          <w:szCs w:val="22"/>
        </w:rPr>
        <w:t>inátu</w:t>
      </w:r>
      <w:proofErr w:type="spellEnd"/>
      <w:r w:rsidRPr="00145F40">
        <w:rPr>
          <w:sz w:val="22"/>
          <w:szCs w:val="22"/>
        </w:rPr>
        <w:t xml:space="preserve"> je po intravenóznom podaní </w:t>
      </w:r>
      <w:r w:rsidR="00E806EA" w:rsidRPr="00FD13A6">
        <w:rPr>
          <w:sz w:val="22"/>
          <w:szCs w:val="22"/>
        </w:rPr>
        <w:t xml:space="preserve">vyjadrený znížením počtu </w:t>
      </w:r>
      <w:r w:rsidR="00E806EA" w:rsidRPr="0009276C">
        <w:rPr>
          <w:sz w:val="22"/>
          <w:szCs w:val="22"/>
        </w:rPr>
        <w:t xml:space="preserve">eozinofilov </w:t>
      </w:r>
      <w:r w:rsidRPr="00705DB4">
        <w:rPr>
          <w:sz w:val="22"/>
          <w:szCs w:val="22"/>
        </w:rPr>
        <w:t xml:space="preserve">najmenej štyri ku jednej. To sa zhoduje s relatívnym účinkom </w:t>
      </w:r>
      <w:proofErr w:type="spellStart"/>
      <w:r w:rsidRPr="00705DB4">
        <w:rPr>
          <w:sz w:val="22"/>
          <w:szCs w:val="22"/>
        </w:rPr>
        <w:t>metylprednizolónu</w:t>
      </w:r>
      <w:proofErr w:type="spellEnd"/>
      <w:r w:rsidRPr="00705DB4">
        <w:rPr>
          <w:sz w:val="22"/>
          <w:szCs w:val="22"/>
        </w:rPr>
        <w:t xml:space="preserve"> a </w:t>
      </w:r>
      <w:proofErr w:type="spellStart"/>
      <w:r w:rsidRPr="00705DB4">
        <w:rPr>
          <w:sz w:val="22"/>
          <w:szCs w:val="22"/>
        </w:rPr>
        <w:t>hydrokortizónu</w:t>
      </w:r>
      <w:proofErr w:type="spellEnd"/>
      <w:r w:rsidRPr="00705DB4">
        <w:rPr>
          <w:sz w:val="22"/>
          <w:szCs w:val="22"/>
        </w:rPr>
        <w:t xml:space="preserve"> pri perorálnom podaní.</w:t>
      </w:r>
    </w:p>
    <w:p w14:paraId="1CA2789D" w14:textId="77777777" w:rsidR="000F2E71" w:rsidRPr="00AD1D48" w:rsidRDefault="000F2E71" w:rsidP="008A1CFF">
      <w:pPr>
        <w:rPr>
          <w:sz w:val="22"/>
          <w:szCs w:val="22"/>
        </w:rPr>
      </w:pPr>
    </w:p>
    <w:p w14:paraId="1FF9EACA" w14:textId="77777777" w:rsidR="0009276C" w:rsidRPr="00665C1B" w:rsidRDefault="0009276C" w:rsidP="0009276C">
      <w:pPr>
        <w:pStyle w:val="Paragraph"/>
        <w:spacing w:after="0"/>
        <w:rPr>
          <w:rStyle w:val="Instructions"/>
          <w:i w:val="0"/>
          <w:color w:val="auto"/>
          <w:sz w:val="22"/>
          <w:szCs w:val="22"/>
          <w:lang w:val="sk-SK"/>
        </w:rPr>
      </w:pPr>
      <w:proofErr w:type="spellStart"/>
      <w:r w:rsidRPr="00665C1B">
        <w:rPr>
          <w:rStyle w:val="Instructions"/>
          <w:i w:val="0"/>
          <w:color w:val="auto"/>
          <w:sz w:val="22"/>
          <w:szCs w:val="22"/>
          <w:lang w:val="sk-SK"/>
        </w:rPr>
        <w:t>Metylprednizolón-sukcinát</w:t>
      </w:r>
      <w:proofErr w:type="spellEnd"/>
      <w:r w:rsidRPr="00665C1B">
        <w:rPr>
          <w:rStyle w:val="Instructions"/>
          <w:i w:val="0"/>
          <w:color w:val="auto"/>
          <w:sz w:val="22"/>
          <w:szCs w:val="22"/>
          <w:lang w:val="sk-SK"/>
        </w:rPr>
        <w:t xml:space="preserve"> sodný bol skúmaný na liečbu akútneho poškodenia miechy v </w:t>
      </w:r>
      <w:proofErr w:type="spellStart"/>
      <w:r w:rsidRPr="00665C1B">
        <w:rPr>
          <w:rStyle w:val="Instructions"/>
          <w:i w:val="0"/>
          <w:color w:val="auto"/>
          <w:sz w:val="22"/>
          <w:szCs w:val="22"/>
          <w:lang w:val="sk-SK"/>
        </w:rPr>
        <w:t>randomizovanom</w:t>
      </w:r>
      <w:proofErr w:type="spellEnd"/>
      <w:r w:rsidRPr="00665C1B">
        <w:rPr>
          <w:rStyle w:val="Instructions"/>
          <w:i w:val="0"/>
          <w:color w:val="auto"/>
          <w:sz w:val="22"/>
          <w:szCs w:val="22"/>
          <w:lang w:val="sk-SK"/>
        </w:rPr>
        <w:t xml:space="preserve">, dvojito zaslepenom klinickom skúšaní s aktívnym </w:t>
      </w:r>
      <w:proofErr w:type="spellStart"/>
      <w:r w:rsidRPr="00665C1B">
        <w:rPr>
          <w:rStyle w:val="Instructions"/>
          <w:i w:val="0"/>
          <w:color w:val="auto"/>
          <w:sz w:val="22"/>
          <w:szCs w:val="22"/>
          <w:lang w:val="sk-SK"/>
        </w:rPr>
        <w:t>komparátorom</w:t>
      </w:r>
      <w:proofErr w:type="spellEnd"/>
      <w:r w:rsidRPr="00665C1B">
        <w:rPr>
          <w:rStyle w:val="Instructions"/>
          <w:i w:val="0"/>
          <w:color w:val="auto"/>
          <w:sz w:val="22"/>
          <w:szCs w:val="22"/>
          <w:lang w:val="sk-SK"/>
        </w:rPr>
        <w:t xml:space="preserve"> NASCIS II a NASCIS III (National </w:t>
      </w:r>
      <w:proofErr w:type="spellStart"/>
      <w:r w:rsidRPr="00665C1B">
        <w:rPr>
          <w:rStyle w:val="Instructions"/>
          <w:i w:val="0"/>
          <w:color w:val="auto"/>
          <w:sz w:val="22"/>
          <w:szCs w:val="22"/>
          <w:lang w:val="sk-SK"/>
        </w:rPr>
        <w:t>Acute</w:t>
      </w:r>
      <w:proofErr w:type="spellEnd"/>
      <w:r w:rsidRPr="00665C1B">
        <w:rPr>
          <w:rStyle w:val="Instructions"/>
          <w:i w:val="0"/>
          <w:color w:val="auto"/>
          <w:sz w:val="22"/>
          <w:szCs w:val="22"/>
          <w:lang w:val="sk-SK"/>
        </w:rPr>
        <w:t xml:space="preserve"> </w:t>
      </w:r>
      <w:proofErr w:type="spellStart"/>
      <w:r w:rsidRPr="00665C1B">
        <w:rPr>
          <w:rStyle w:val="Instructions"/>
          <w:i w:val="0"/>
          <w:color w:val="auto"/>
          <w:sz w:val="22"/>
          <w:szCs w:val="22"/>
          <w:lang w:val="sk-SK"/>
        </w:rPr>
        <w:t>Spinal</w:t>
      </w:r>
      <w:proofErr w:type="spellEnd"/>
      <w:r w:rsidRPr="00665C1B">
        <w:rPr>
          <w:rStyle w:val="Instructions"/>
          <w:i w:val="0"/>
          <w:color w:val="auto"/>
          <w:sz w:val="22"/>
          <w:szCs w:val="22"/>
          <w:lang w:val="sk-SK"/>
        </w:rPr>
        <w:t xml:space="preserve"> </w:t>
      </w:r>
      <w:proofErr w:type="spellStart"/>
      <w:r w:rsidRPr="00665C1B">
        <w:rPr>
          <w:rStyle w:val="Instructions"/>
          <w:i w:val="0"/>
          <w:color w:val="auto"/>
          <w:sz w:val="22"/>
          <w:szCs w:val="22"/>
          <w:lang w:val="sk-SK"/>
        </w:rPr>
        <w:t>Cord</w:t>
      </w:r>
      <w:proofErr w:type="spellEnd"/>
      <w:r w:rsidRPr="00665C1B">
        <w:rPr>
          <w:rStyle w:val="Instructions"/>
          <w:i w:val="0"/>
          <w:color w:val="auto"/>
          <w:sz w:val="22"/>
          <w:szCs w:val="22"/>
          <w:lang w:val="sk-SK"/>
        </w:rPr>
        <w:t xml:space="preserve"> </w:t>
      </w:r>
      <w:proofErr w:type="spellStart"/>
      <w:r w:rsidRPr="00665C1B">
        <w:rPr>
          <w:rStyle w:val="Instructions"/>
          <w:i w:val="0"/>
          <w:color w:val="auto"/>
          <w:sz w:val="22"/>
          <w:szCs w:val="22"/>
          <w:lang w:val="sk-SK"/>
        </w:rPr>
        <w:t>Injury</w:t>
      </w:r>
      <w:proofErr w:type="spellEnd"/>
      <w:r w:rsidRPr="00665C1B">
        <w:rPr>
          <w:rStyle w:val="Instructions"/>
          <w:i w:val="0"/>
          <w:color w:val="auto"/>
          <w:sz w:val="22"/>
          <w:szCs w:val="22"/>
          <w:lang w:val="sk-SK"/>
        </w:rPr>
        <w:t xml:space="preserve"> </w:t>
      </w:r>
      <w:proofErr w:type="spellStart"/>
      <w:r w:rsidRPr="00665C1B">
        <w:rPr>
          <w:rStyle w:val="Instructions"/>
          <w:i w:val="0"/>
          <w:color w:val="auto"/>
          <w:sz w:val="22"/>
          <w:szCs w:val="22"/>
          <w:lang w:val="sk-SK"/>
        </w:rPr>
        <w:t>Studies</w:t>
      </w:r>
      <w:proofErr w:type="spellEnd"/>
      <w:r w:rsidRPr="00665C1B">
        <w:rPr>
          <w:rStyle w:val="Instructions"/>
          <w:i w:val="0"/>
          <w:color w:val="auto"/>
          <w:sz w:val="22"/>
          <w:szCs w:val="22"/>
          <w:lang w:val="sk-SK"/>
        </w:rPr>
        <w:t xml:space="preserve"> (NASCIS)). </w:t>
      </w:r>
      <w:proofErr w:type="spellStart"/>
      <w:r w:rsidRPr="00665C1B">
        <w:rPr>
          <w:rStyle w:val="Instructions"/>
          <w:i w:val="0"/>
          <w:color w:val="auto"/>
          <w:sz w:val="22"/>
          <w:szCs w:val="22"/>
          <w:lang w:val="sk-SK"/>
        </w:rPr>
        <w:t>Metylprednizolón-sukcinát</w:t>
      </w:r>
      <w:proofErr w:type="spellEnd"/>
      <w:r w:rsidRPr="00665C1B">
        <w:rPr>
          <w:rStyle w:val="Instructions"/>
          <w:i w:val="0"/>
          <w:color w:val="auto"/>
          <w:sz w:val="22"/>
          <w:szCs w:val="22"/>
          <w:lang w:val="sk-SK"/>
        </w:rPr>
        <w:t xml:space="preserve"> sodný sa podával v rámci 8 hodín od poranenia vo forme intravenózneho bolusu v dávke 30 mg/kg po dobu 15 minút, po ktorom nasledovalo po 45 minútach podanie kontinuálnej infúzie v dávke 5,4 mg/kg/h po dobu 24 hodín (24MP) alebo 48 hodín (48MP). Aktívnym </w:t>
      </w:r>
      <w:proofErr w:type="spellStart"/>
      <w:r w:rsidRPr="00665C1B">
        <w:rPr>
          <w:rStyle w:val="Instructions"/>
          <w:i w:val="0"/>
          <w:color w:val="auto"/>
          <w:sz w:val="22"/>
          <w:szCs w:val="22"/>
          <w:lang w:val="sk-SK"/>
        </w:rPr>
        <w:t>komparátorom</w:t>
      </w:r>
      <w:proofErr w:type="spellEnd"/>
      <w:r w:rsidRPr="00665C1B">
        <w:rPr>
          <w:rStyle w:val="Instructions"/>
          <w:i w:val="0"/>
          <w:color w:val="auto"/>
          <w:sz w:val="22"/>
          <w:szCs w:val="22"/>
          <w:lang w:val="sk-SK"/>
        </w:rPr>
        <w:t xml:space="preserve"> bol </w:t>
      </w:r>
      <w:proofErr w:type="spellStart"/>
      <w:r w:rsidRPr="00665C1B">
        <w:rPr>
          <w:rStyle w:val="Instructions"/>
          <w:i w:val="0"/>
          <w:color w:val="auto"/>
          <w:sz w:val="22"/>
          <w:szCs w:val="22"/>
          <w:lang w:val="sk-SK"/>
        </w:rPr>
        <w:t>tirilazad</w:t>
      </w:r>
      <w:proofErr w:type="spellEnd"/>
      <w:r w:rsidRPr="00665C1B">
        <w:rPr>
          <w:rStyle w:val="Instructions"/>
          <w:i w:val="0"/>
          <w:color w:val="auto"/>
          <w:sz w:val="22"/>
          <w:szCs w:val="22"/>
          <w:lang w:val="sk-SK"/>
        </w:rPr>
        <w:t xml:space="preserve"> </w:t>
      </w:r>
      <w:proofErr w:type="spellStart"/>
      <w:r w:rsidRPr="00665C1B">
        <w:rPr>
          <w:rStyle w:val="Instructions"/>
          <w:i w:val="0"/>
          <w:color w:val="auto"/>
          <w:sz w:val="22"/>
          <w:szCs w:val="22"/>
          <w:lang w:val="sk-SK"/>
        </w:rPr>
        <w:t>mesilát</w:t>
      </w:r>
      <w:proofErr w:type="spellEnd"/>
      <w:r w:rsidRPr="00665C1B">
        <w:rPr>
          <w:rStyle w:val="Instructions"/>
          <w:i w:val="0"/>
          <w:color w:val="auto"/>
          <w:sz w:val="22"/>
          <w:szCs w:val="22"/>
          <w:lang w:val="sk-SK"/>
        </w:rPr>
        <w:t xml:space="preserve"> a podával sa vo forme intravenózneho bolusu v dávke 2,5 mg/kg každých 6 hodín po dobu 48 hodín (48TM). Medzi účastníkmi, u ktorých bola zahájená liečba 3 až 8 hodín od poranenia v porovnaní so skupinami 24MP a 48TM, mala skupina 48MP štatisticky významné zlepšenie po 6 týždňoch (p = 0,04, NASCIS II). Po 6 mesiacoch (NASCIS II), mala skupina 48MP zlepšenie v parametroch samostatnej starostlivosti (p-hodnota = 0,03), ovládania zvierača (p-hodnota = 0,01) a zlepšenia o jeden úplný neurologický stupeň (p = 0,01). Po 1 roku (NASCIS III) boli neurologické a funkčné zotavenia rovnaké vo všetkých 3 skupinách účastníkov, ktorí dostali liečbu v rámci 3 hodín od poranenia. Keď sa liečba oneskorila o viac ako 3 hodiny, účastníci v skupine 48MP vykazovali lepšiu motorickú regeneráciu (skóre zotavenia 13,7 a 19,0 v tomto poradí; p = 0,053), zatiaľ čo účastníci v skupine 24MP mali zníženú motorickú </w:t>
      </w:r>
      <w:r w:rsidRPr="00665C1B">
        <w:rPr>
          <w:rStyle w:val="Instructions"/>
          <w:i w:val="0"/>
          <w:color w:val="auto"/>
          <w:sz w:val="22"/>
          <w:szCs w:val="22"/>
          <w:lang w:val="sk-SK"/>
        </w:rPr>
        <w:lastRenderedPageBreak/>
        <w:t>regeneráciu. Skupina 48MP mala tiež vyššie percento účastníkov, u ktorých nastalo zlepšenie vo</w:t>
      </w:r>
      <w:r w:rsidRPr="00621177">
        <w:rPr>
          <w:iCs/>
          <w:sz w:val="22"/>
          <w:szCs w:val="22"/>
          <w:lang w:val="sk-SK"/>
        </w:rPr>
        <w:t> ≥ 3 </w:t>
      </w:r>
      <w:r w:rsidRPr="00665C1B">
        <w:rPr>
          <w:iCs/>
          <w:sz w:val="22"/>
          <w:szCs w:val="22"/>
          <w:lang w:val="sk-SK"/>
        </w:rPr>
        <w:t>neurologických stupňoch (p-hodnota = 0,073). Avšak nebol tu štatisticky významný rozdiel v parametroch samostatnej starostlivosti a ovládania zvierača.</w:t>
      </w:r>
      <w:r w:rsidRPr="00665C1B">
        <w:rPr>
          <w:rStyle w:val="Instructions"/>
          <w:i w:val="0"/>
          <w:color w:val="auto"/>
          <w:sz w:val="22"/>
          <w:szCs w:val="22"/>
          <w:lang w:val="sk-SK"/>
        </w:rPr>
        <w:t xml:space="preserve"> V skupine 48MP bol vyšší výskyt závažnejšej sepsy a závažnejšej pneumónie ako v skupine 24MP a 48TM. Výskyt ostatných komplikácií a mortality bol rovnaký vo všetkých 3 skupinách. Na základe výsledkov z klinického skúšania, </w:t>
      </w:r>
      <w:proofErr w:type="spellStart"/>
      <w:r w:rsidRPr="00665C1B">
        <w:rPr>
          <w:rStyle w:val="Instructions"/>
          <w:i w:val="0"/>
          <w:color w:val="auto"/>
          <w:sz w:val="22"/>
          <w:szCs w:val="22"/>
          <w:lang w:val="sk-SK"/>
        </w:rPr>
        <w:t>investigátori</w:t>
      </w:r>
      <w:proofErr w:type="spellEnd"/>
      <w:r w:rsidRPr="00665C1B">
        <w:rPr>
          <w:rStyle w:val="Instructions"/>
          <w:i w:val="0"/>
          <w:color w:val="auto"/>
          <w:sz w:val="22"/>
          <w:szCs w:val="22"/>
          <w:lang w:val="sk-SK"/>
        </w:rPr>
        <w:t xml:space="preserve"> dospeli k záveru, že u pacientov, u ktorých sa liečba </w:t>
      </w:r>
      <w:proofErr w:type="spellStart"/>
      <w:r w:rsidRPr="00665C1B">
        <w:rPr>
          <w:rStyle w:val="Instructions"/>
          <w:i w:val="0"/>
          <w:color w:val="auto"/>
          <w:sz w:val="22"/>
          <w:szCs w:val="22"/>
          <w:lang w:val="sk-SK"/>
        </w:rPr>
        <w:t>metylprednizolón-sukcinátom</w:t>
      </w:r>
      <w:proofErr w:type="spellEnd"/>
      <w:r w:rsidRPr="00665C1B">
        <w:rPr>
          <w:rStyle w:val="Instructions"/>
          <w:i w:val="0"/>
          <w:color w:val="auto"/>
          <w:sz w:val="22"/>
          <w:szCs w:val="22"/>
          <w:lang w:val="sk-SK"/>
        </w:rPr>
        <w:t xml:space="preserve"> sodným začne do 3 hodín od poranenia, je vhodná 24-hodinová udržiavacia liečba a u pacientov, ktorí začnú s liečbou od 3 až 8 hodín od poranenia sa má dodržiavať 48-hodinový režim, pokiaľ nie sú prítomné iné zdravotné komplikácie.</w:t>
      </w:r>
    </w:p>
    <w:p w14:paraId="51B1135C" w14:textId="77777777" w:rsidR="0009276C" w:rsidRPr="00665C1B" w:rsidRDefault="0009276C" w:rsidP="0009276C">
      <w:pPr>
        <w:pStyle w:val="Paragraph"/>
        <w:spacing w:after="0"/>
        <w:rPr>
          <w:rStyle w:val="Instructions"/>
          <w:i w:val="0"/>
          <w:color w:val="auto"/>
          <w:sz w:val="22"/>
          <w:szCs w:val="22"/>
          <w:lang w:val="sk-SK"/>
        </w:rPr>
      </w:pPr>
    </w:p>
    <w:p w14:paraId="1140914F" w14:textId="77777777" w:rsidR="0009276C" w:rsidRPr="0042385E" w:rsidRDefault="0009276C" w:rsidP="0009276C">
      <w:pPr>
        <w:pStyle w:val="Paragraph"/>
        <w:spacing w:after="0"/>
        <w:rPr>
          <w:rStyle w:val="Instructions"/>
          <w:i w:val="0"/>
          <w:color w:val="auto"/>
          <w:sz w:val="22"/>
          <w:szCs w:val="22"/>
          <w:lang w:val="sk-SK"/>
        </w:rPr>
      </w:pPr>
      <w:r w:rsidRPr="00665C1B">
        <w:rPr>
          <w:rStyle w:val="Instructions"/>
          <w:i w:val="0"/>
          <w:color w:val="auto"/>
          <w:sz w:val="22"/>
          <w:szCs w:val="22"/>
          <w:lang w:val="sk-SK"/>
        </w:rPr>
        <w:t xml:space="preserve">Prebehli </w:t>
      </w:r>
      <w:bookmarkStart w:id="3" w:name="_Hlk104541449"/>
      <w:r w:rsidRPr="00665C1B">
        <w:rPr>
          <w:rStyle w:val="Instructions"/>
          <w:i w:val="0"/>
          <w:color w:val="auto"/>
          <w:sz w:val="22"/>
          <w:szCs w:val="22"/>
          <w:lang w:val="sk-SK"/>
        </w:rPr>
        <w:t>4 klinické skúšania (</w:t>
      </w:r>
      <w:proofErr w:type="spellStart"/>
      <w:r w:rsidRPr="00621177">
        <w:rPr>
          <w:sz w:val="22"/>
          <w:szCs w:val="22"/>
          <w:lang w:val="sk-SK"/>
        </w:rPr>
        <w:t>Clement</w:t>
      </w:r>
      <w:proofErr w:type="spellEnd"/>
      <w:r w:rsidRPr="00621177">
        <w:rPr>
          <w:sz w:val="22"/>
          <w:szCs w:val="22"/>
          <w:lang w:val="sk-SK"/>
        </w:rPr>
        <w:t xml:space="preserve"> 1989, </w:t>
      </w:r>
      <w:proofErr w:type="spellStart"/>
      <w:r w:rsidRPr="00621177">
        <w:rPr>
          <w:sz w:val="22"/>
          <w:szCs w:val="22"/>
          <w:lang w:val="sk-SK"/>
        </w:rPr>
        <w:t>Gagnon</w:t>
      </w:r>
      <w:proofErr w:type="spellEnd"/>
      <w:r w:rsidRPr="00621177">
        <w:rPr>
          <w:sz w:val="22"/>
          <w:szCs w:val="22"/>
          <w:lang w:val="sk-SK"/>
        </w:rPr>
        <w:t xml:space="preserve"> 1990, </w:t>
      </w:r>
      <w:proofErr w:type="spellStart"/>
      <w:r w:rsidRPr="00621177">
        <w:rPr>
          <w:sz w:val="22"/>
          <w:szCs w:val="22"/>
          <w:lang w:val="sk-SK"/>
        </w:rPr>
        <w:t>Nielsen</w:t>
      </w:r>
      <w:proofErr w:type="spellEnd"/>
      <w:r w:rsidRPr="00621177">
        <w:rPr>
          <w:sz w:val="22"/>
          <w:szCs w:val="22"/>
          <w:lang w:val="sk-SK"/>
        </w:rPr>
        <w:t xml:space="preserve"> 1992 a </w:t>
      </w:r>
      <w:proofErr w:type="spellStart"/>
      <w:r w:rsidRPr="00621177">
        <w:rPr>
          <w:sz w:val="22"/>
          <w:szCs w:val="22"/>
          <w:lang w:val="sk-SK"/>
        </w:rPr>
        <w:t>Walmsley</w:t>
      </w:r>
      <w:proofErr w:type="spellEnd"/>
      <w:r w:rsidRPr="00621177">
        <w:rPr>
          <w:sz w:val="22"/>
          <w:szCs w:val="22"/>
          <w:lang w:val="sk-SK"/>
        </w:rPr>
        <w:t xml:space="preserve"> 1995</w:t>
      </w:r>
      <w:r w:rsidRPr="00665C1B">
        <w:rPr>
          <w:rStyle w:val="Instructions"/>
          <w:iCs w:val="0"/>
          <w:color w:val="auto"/>
          <w:sz w:val="22"/>
          <w:szCs w:val="22"/>
          <w:lang w:val="sk-SK"/>
        </w:rPr>
        <w:t>)</w:t>
      </w:r>
      <w:r w:rsidRPr="00665C1B">
        <w:rPr>
          <w:rStyle w:val="Instructions"/>
          <w:i w:val="0"/>
          <w:color w:val="auto"/>
          <w:sz w:val="22"/>
          <w:szCs w:val="22"/>
          <w:lang w:val="sk-SK"/>
        </w:rPr>
        <w:t xml:space="preserve">, ktoré hodnotili použitie </w:t>
      </w:r>
      <w:proofErr w:type="spellStart"/>
      <w:r w:rsidRPr="00665C1B">
        <w:rPr>
          <w:rStyle w:val="Instructions"/>
          <w:i w:val="0"/>
          <w:color w:val="auto"/>
          <w:sz w:val="22"/>
          <w:szCs w:val="22"/>
          <w:lang w:val="sk-SK"/>
        </w:rPr>
        <w:t>metylprednizolónu</w:t>
      </w:r>
      <w:proofErr w:type="spellEnd"/>
      <w:r w:rsidRPr="00665C1B">
        <w:rPr>
          <w:rStyle w:val="Instructions"/>
          <w:i w:val="0"/>
          <w:color w:val="auto"/>
          <w:sz w:val="22"/>
          <w:szCs w:val="22"/>
          <w:lang w:val="sk-SK"/>
        </w:rPr>
        <w:t xml:space="preserve"> na liečbu pneumónie spôsobenej </w:t>
      </w:r>
      <w:proofErr w:type="spellStart"/>
      <w:r w:rsidRPr="00665C1B">
        <w:rPr>
          <w:rStyle w:val="Instructions"/>
          <w:iCs w:val="0"/>
          <w:color w:val="auto"/>
          <w:sz w:val="22"/>
          <w:szCs w:val="22"/>
          <w:lang w:val="sk-SK"/>
        </w:rPr>
        <w:t>Pneumocystis</w:t>
      </w:r>
      <w:proofErr w:type="spellEnd"/>
      <w:r w:rsidRPr="00665C1B">
        <w:rPr>
          <w:rStyle w:val="Instructions"/>
          <w:iCs w:val="0"/>
          <w:color w:val="auto"/>
          <w:sz w:val="22"/>
          <w:szCs w:val="22"/>
          <w:lang w:val="sk-SK"/>
        </w:rPr>
        <w:t xml:space="preserve"> </w:t>
      </w:r>
      <w:proofErr w:type="spellStart"/>
      <w:r w:rsidRPr="00665C1B">
        <w:rPr>
          <w:rStyle w:val="Instructions"/>
          <w:iCs w:val="0"/>
          <w:color w:val="auto"/>
          <w:sz w:val="22"/>
          <w:szCs w:val="22"/>
          <w:lang w:val="sk-SK"/>
        </w:rPr>
        <w:t>jiroveci</w:t>
      </w:r>
      <w:r w:rsidR="003E1749">
        <w:rPr>
          <w:rStyle w:val="Instructions"/>
          <w:iCs w:val="0"/>
          <w:color w:val="auto"/>
          <w:sz w:val="22"/>
          <w:szCs w:val="22"/>
          <w:lang w:val="sk-SK"/>
        </w:rPr>
        <w:t>i</w:t>
      </w:r>
      <w:proofErr w:type="spellEnd"/>
      <w:r w:rsidRPr="00665C1B">
        <w:rPr>
          <w:rStyle w:val="Instructions"/>
          <w:i w:val="0"/>
          <w:color w:val="auto"/>
          <w:sz w:val="22"/>
          <w:szCs w:val="22"/>
          <w:lang w:val="sk-SK"/>
        </w:rPr>
        <w:t xml:space="preserve"> </w:t>
      </w:r>
      <w:bookmarkStart w:id="4" w:name="_Hlk104541491"/>
      <w:r w:rsidRPr="00665C1B">
        <w:rPr>
          <w:rStyle w:val="Instructions"/>
          <w:i w:val="0"/>
          <w:color w:val="auto"/>
          <w:sz w:val="22"/>
          <w:szCs w:val="22"/>
          <w:lang w:val="sk-SK"/>
        </w:rPr>
        <w:t>komplikujúcej</w:t>
      </w:r>
      <w:bookmarkEnd w:id="4"/>
      <w:r w:rsidRPr="00665C1B">
        <w:rPr>
          <w:rStyle w:val="Instructions"/>
          <w:i w:val="0"/>
          <w:color w:val="auto"/>
          <w:sz w:val="22"/>
          <w:szCs w:val="22"/>
          <w:lang w:val="sk-SK"/>
        </w:rPr>
        <w:t xml:space="preserve"> HIV. V dvoch klinických skúšaniach </w:t>
      </w:r>
      <w:bookmarkEnd w:id="3"/>
      <w:r w:rsidRPr="00665C1B">
        <w:rPr>
          <w:rStyle w:val="Instructions"/>
          <w:i w:val="0"/>
          <w:color w:val="auto"/>
          <w:sz w:val="22"/>
          <w:szCs w:val="22"/>
          <w:lang w:val="sk-SK"/>
        </w:rPr>
        <w:t>(</w:t>
      </w:r>
      <w:proofErr w:type="spellStart"/>
      <w:r w:rsidRPr="00665C1B">
        <w:rPr>
          <w:rStyle w:val="Instructions"/>
          <w:i w:val="0"/>
          <w:color w:val="auto"/>
          <w:sz w:val="22"/>
          <w:szCs w:val="22"/>
          <w:lang w:val="sk-SK"/>
        </w:rPr>
        <w:t>Clement</w:t>
      </w:r>
      <w:proofErr w:type="spellEnd"/>
      <w:r w:rsidRPr="00665C1B">
        <w:rPr>
          <w:rStyle w:val="Instructions"/>
          <w:i w:val="0"/>
          <w:color w:val="auto"/>
          <w:sz w:val="22"/>
          <w:szCs w:val="22"/>
          <w:lang w:val="sk-SK"/>
        </w:rPr>
        <w:t xml:space="preserve"> a </w:t>
      </w:r>
      <w:proofErr w:type="spellStart"/>
      <w:r w:rsidRPr="00665C1B">
        <w:rPr>
          <w:rStyle w:val="Instructions"/>
          <w:i w:val="0"/>
          <w:color w:val="auto"/>
          <w:sz w:val="22"/>
          <w:szCs w:val="22"/>
          <w:lang w:val="sk-SK"/>
        </w:rPr>
        <w:t>Walmsley</w:t>
      </w:r>
      <w:proofErr w:type="spellEnd"/>
      <w:r w:rsidRPr="00665C1B">
        <w:rPr>
          <w:rStyle w:val="Instructions"/>
          <w:i w:val="0"/>
          <w:color w:val="auto"/>
          <w:sz w:val="22"/>
          <w:szCs w:val="22"/>
          <w:lang w:val="sk-SK"/>
        </w:rPr>
        <w:t xml:space="preserve">) nenašli rozdiel medzi </w:t>
      </w:r>
      <w:proofErr w:type="spellStart"/>
      <w:r w:rsidRPr="00665C1B">
        <w:rPr>
          <w:rStyle w:val="Instructions"/>
          <w:i w:val="0"/>
          <w:color w:val="auto"/>
          <w:sz w:val="22"/>
          <w:szCs w:val="22"/>
          <w:lang w:val="sk-SK"/>
        </w:rPr>
        <w:t>metylprednizolónom</w:t>
      </w:r>
      <w:proofErr w:type="spellEnd"/>
      <w:r w:rsidRPr="00665C1B">
        <w:rPr>
          <w:rStyle w:val="Instructions"/>
          <w:i w:val="0"/>
          <w:color w:val="auto"/>
          <w:sz w:val="22"/>
          <w:szCs w:val="22"/>
          <w:lang w:val="sk-SK"/>
        </w:rPr>
        <w:t xml:space="preserve"> a placebom; zatiaľ čo v klinických skúšaniach </w:t>
      </w:r>
      <w:proofErr w:type="spellStart"/>
      <w:r w:rsidRPr="00665C1B">
        <w:rPr>
          <w:rStyle w:val="Instructions"/>
          <w:i w:val="0"/>
          <w:color w:val="auto"/>
          <w:sz w:val="22"/>
          <w:szCs w:val="22"/>
          <w:lang w:val="sk-SK"/>
        </w:rPr>
        <w:t>Gagnon</w:t>
      </w:r>
      <w:proofErr w:type="spellEnd"/>
      <w:r w:rsidRPr="00665C1B">
        <w:rPr>
          <w:rStyle w:val="Instructions"/>
          <w:i w:val="0"/>
          <w:color w:val="auto"/>
          <w:sz w:val="22"/>
          <w:szCs w:val="22"/>
          <w:lang w:val="sk-SK"/>
        </w:rPr>
        <w:t xml:space="preserve"> a </w:t>
      </w:r>
      <w:proofErr w:type="spellStart"/>
      <w:r w:rsidRPr="00665C1B">
        <w:rPr>
          <w:rStyle w:val="Instructions"/>
          <w:i w:val="0"/>
          <w:color w:val="auto"/>
          <w:sz w:val="22"/>
          <w:szCs w:val="22"/>
          <w:lang w:val="sk-SK"/>
        </w:rPr>
        <w:t>Nielsen</w:t>
      </w:r>
      <w:proofErr w:type="spellEnd"/>
      <w:r w:rsidRPr="00665C1B">
        <w:rPr>
          <w:rStyle w:val="Instructions"/>
          <w:i w:val="0"/>
          <w:color w:val="auto"/>
          <w:sz w:val="22"/>
          <w:szCs w:val="22"/>
          <w:lang w:val="sk-SK"/>
        </w:rPr>
        <w:t xml:space="preserve"> sa pozorovalo signifikantné zlepšenie, avšak klinické skúšania boli limitované. Klinické skúšanie Clement bolo publikované iba ako abstrakt; výpočet veľkosti vzoriek nebol popísaný a u väčšiny účastníkov nebola liečba </w:t>
      </w:r>
      <w:proofErr w:type="spellStart"/>
      <w:r w:rsidRPr="00665C1B">
        <w:rPr>
          <w:rStyle w:val="Instructions"/>
          <w:i w:val="0"/>
          <w:color w:val="auto"/>
          <w:sz w:val="22"/>
          <w:szCs w:val="22"/>
          <w:lang w:val="sk-SK"/>
        </w:rPr>
        <w:t>metylprednizolónom</w:t>
      </w:r>
      <w:proofErr w:type="spellEnd"/>
      <w:r w:rsidRPr="00665C1B">
        <w:rPr>
          <w:rStyle w:val="Instructions"/>
          <w:i w:val="0"/>
          <w:color w:val="auto"/>
          <w:sz w:val="22"/>
          <w:szCs w:val="22"/>
          <w:lang w:val="sk-SK"/>
        </w:rPr>
        <w:t xml:space="preserve"> zahájená ihneď. V klinickom skúšaní </w:t>
      </w:r>
      <w:proofErr w:type="spellStart"/>
      <w:r w:rsidRPr="00665C1B">
        <w:rPr>
          <w:rStyle w:val="Instructions"/>
          <w:i w:val="0"/>
          <w:color w:val="auto"/>
          <w:sz w:val="22"/>
          <w:szCs w:val="22"/>
          <w:lang w:val="sk-SK"/>
        </w:rPr>
        <w:t>Walmsley</w:t>
      </w:r>
      <w:proofErr w:type="spellEnd"/>
      <w:r w:rsidRPr="00665C1B">
        <w:rPr>
          <w:rStyle w:val="Instructions"/>
          <w:i w:val="0"/>
          <w:color w:val="auto"/>
          <w:sz w:val="22"/>
          <w:szCs w:val="22"/>
          <w:lang w:val="sk-SK"/>
        </w:rPr>
        <w:t xml:space="preserve"> dostalo 10 účastníkov v skupine s placebom </w:t>
      </w:r>
      <w:proofErr w:type="spellStart"/>
      <w:r w:rsidRPr="00665C1B">
        <w:rPr>
          <w:rStyle w:val="Instructions"/>
          <w:i w:val="0"/>
          <w:color w:val="auto"/>
          <w:sz w:val="22"/>
          <w:szCs w:val="22"/>
          <w:lang w:val="sk-SK"/>
        </w:rPr>
        <w:t>metylprednizolón</w:t>
      </w:r>
      <w:proofErr w:type="spellEnd"/>
      <w:r w:rsidRPr="00665C1B">
        <w:rPr>
          <w:rStyle w:val="Instructions"/>
          <w:i w:val="0"/>
          <w:color w:val="auto"/>
          <w:sz w:val="22"/>
          <w:szCs w:val="22"/>
          <w:lang w:val="sk-SK"/>
        </w:rPr>
        <w:t xml:space="preserve">, ktorý mohol negatívne ovplyvniť výsledky. Na rozdiel od toho klinické skúšanie </w:t>
      </w:r>
      <w:proofErr w:type="spellStart"/>
      <w:r w:rsidRPr="00665C1B">
        <w:rPr>
          <w:rStyle w:val="Instructions"/>
          <w:i w:val="0"/>
          <w:color w:val="auto"/>
          <w:sz w:val="22"/>
          <w:szCs w:val="22"/>
          <w:lang w:val="sk-SK"/>
        </w:rPr>
        <w:t>Gagnon</w:t>
      </w:r>
      <w:proofErr w:type="spellEnd"/>
      <w:r w:rsidRPr="00665C1B">
        <w:rPr>
          <w:rStyle w:val="Instructions"/>
          <w:i w:val="0"/>
          <w:color w:val="auto"/>
          <w:sz w:val="22"/>
          <w:szCs w:val="22"/>
          <w:lang w:val="sk-SK"/>
        </w:rPr>
        <w:t xml:space="preserve"> bolo predčasne zastavené z dôvodu štatisticky významného prínosu po liečbe iba u 23 účastníkov. Účastníci boli liečení </w:t>
      </w:r>
      <w:proofErr w:type="spellStart"/>
      <w:r w:rsidRPr="00665C1B">
        <w:rPr>
          <w:rStyle w:val="Instructions"/>
          <w:i w:val="0"/>
          <w:color w:val="auto"/>
          <w:sz w:val="22"/>
          <w:szCs w:val="22"/>
          <w:lang w:val="sk-SK"/>
        </w:rPr>
        <w:t>metylprenizolónom</w:t>
      </w:r>
      <w:proofErr w:type="spellEnd"/>
      <w:r w:rsidRPr="00665C1B">
        <w:rPr>
          <w:rStyle w:val="Instructions"/>
          <w:i w:val="0"/>
          <w:color w:val="auto"/>
          <w:sz w:val="22"/>
          <w:szCs w:val="22"/>
          <w:lang w:val="sk-SK"/>
        </w:rPr>
        <w:t xml:space="preserve"> v dávke 40 mg/100 ml podávaným vo forme intravenózneho bolusu každých 6 hodín po dobu 7 dní plus 21 dní </w:t>
      </w:r>
      <w:proofErr w:type="spellStart"/>
      <w:r w:rsidRPr="00665C1B">
        <w:rPr>
          <w:rStyle w:val="Instructions"/>
          <w:i w:val="0"/>
          <w:color w:val="auto"/>
          <w:sz w:val="22"/>
          <w:szCs w:val="22"/>
          <w:lang w:val="sk-SK"/>
        </w:rPr>
        <w:t>trimetoprim-sulfametoxazol</w:t>
      </w:r>
      <w:r w:rsidR="00470C26">
        <w:rPr>
          <w:rStyle w:val="Instructions"/>
          <w:i w:val="0"/>
          <w:color w:val="auto"/>
          <w:sz w:val="22"/>
          <w:szCs w:val="22"/>
          <w:lang w:val="sk-SK"/>
        </w:rPr>
        <w:t>om</w:t>
      </w:r>
      <w:proofErr w:type="spellEnd"/>
      <w:r w:rsidRPr="00665C1B">
        <w:rPr>
          <w:rStyle w:val="Instructions"/>
          <w:i w:val="0"/>
          <w:color w:val="auto"/>
          <w:sz w:val="22"/>
          <w:szCs w:val="22"/>
          <w:lang w:val="sk-SK"/>
        </w:rPr>
        <w:t xml:space="preserve"> a prežili až do prepustenia z nemocnice v porovnaní s len 18 % účastníkov, ktorí boli liečení placebom (p-hodnota </w:t>
      </w:r>
      <w:r w:rsidRPr="00621177">
        <w:rPr>
          <w:sz w:val="22"/>
          <w:szCs w:val="22"/>
          <w:lang w:val="sk-SK"/>
        </w:rPr>
        <w:t xml:space="preserve">&lt; 0,008). </w:t>
      </w:r>
      <w:r w:rsidRPr="00665C1B">
        <w:rPr>
          <w:sz w:val="22"/>
          <w:szCs w:val="22"/>
          <w:lang w:val="sk-SK"/>
        </w:rPr>
        <w:t xml:space="preserve">V klinickom skúšaní </w:t>
      </w:r>
      <w:proofErr w:type="spellStart"/>
      <w:r w:rsidRPr="00665C1B">
        <w:rPr>
          <w:sz w:val="22"/>
          <w:szCs w:val="22"/>
          <w:lang w:val="sk-SK"/>
        </w:rPr>
        <w:t>Nielsen</w:t>
      </w:r>
      <w:proofErr w:type="spellEnd"/>
      <w:r w:rsidRPr="00665C1B">
        <w:rPr>
          <w:sz w:val="22"/>
          <w:szCs w:val="22"/>
          <w:lang w:val="sk-SK"/>
        </w:rPr>
        <w:t xml:space="preserve"> boli účastníci liečení </w:t>
      </w:r>
      <w:proofErr w:type="spellStart"/>
      <w:r w:rsidRPr="00665C1B">
        <w:rPr>
          <w:sz w:val="22"/>
          <w:szCs w:val="22"/>
          <w:lang w:val="sk-SK"/>
        </w:rPr>
        <w:t>metylprednizolónom</w:t>
      </w:r>
      <w:proofErr w:type="spellEnd"/>
      <w:r w:rsidRPr="00665C1B">
        <w:rPr>
          <w:sz w:val="22"/>
          <w:szCs w:val="22"/>
          <w:lang w:val="sk-SK"/>
        </w:rPr>
        <w:t xml:space="preserve"> 2 mg/kg intravenózne každých 6 hodín počas 10 dní plus </w:t>
      </w:r>
      <w:proofErr w:type="spellStart"/>
      <w:r w:rsidRPr="00665C1B">
        <w:rPr>
          <w:sz w:val="22"/>
          <w:szCs w:val="22"/>
          <w:lang w:val="sk-SK"/>
        </w:rPr>
        <w:t>trimethoprim-sulfametoxazol</w:t>
      </w:r>
      <w:r w:rsidR="00470C26">
        <w:rPr>
          <w:sz w:val="22"/>
          <w:szCs w:val="22"/>
          <w:lang w:val="sk-SK"/>
        </w:rPr>
        <w:t>om</w:t>
      </w:r>
      <w:proofErr w:type="spellEnd"/>
      <w:r w:rsidRPr="00665C1B">
        <w:rPr>
          <w:sz w:val="22"/>
          <w:szCs w:val="22"/>
          <w:lang w:val="sk-SK"/>
        </w:rPr>
        <w:t xml:space="preserve"> počas najmenej 14 dní. Počas akútnej epizódy pneumónie zomreli iba 3 z 30 (10 %) účastníkov liečených </w:t>
      </w:r>
      <w:proofErr w:type="spellStart"/>
      <w:r w:rsidRPr="00665C1B">
        <w:rPr>
          <w:sz w:val="22"/>
          <w:szCs w:val="22"/>
          <w:lang w:val="sk-SK"/>
        </w:rPr>
        <w:t>metylprednizolónom</w:t>
      </w:r>
      <w:proofErr w:type="spellEnd"/>
      <w:r w:rsidRPr="00665C1B">
        <w:rPr>
          <w:sz w:val="22"/>
          <w:szCs w:val="22"/>
          <w:lang w:val="sk-SK"/>
        </w:rPr>
        <w:t xml:space="preserve"> oproti 9 z 29 (31 %) v kontrolnej skupine (p-hodnota = 0,01) a mechanická ventilácia bola potrebná u 3 (10 %) a 12 (41 %) účastníkov. Po 90 dňoch bolo prežívanie v skupine liečenej </w:t>
      </w:r>
      <w:proofErr w:type="spellStart"/>
      <w:r w:rsidRPr="00665C1B">
        <w:rPr>
          <w:sz w:val="22"/>
          <w:szCs w:val="22"/>
          <w:lang w:val="sk-SK"/>
        </w:rPr>
        <w:t>metylprednizolónom</w:t>
      </w:r>
      <w:proofErr w:type="spellEnd"/>
      <w:r w:rsidRPr="00665C1B">
        <w:rPr>
          <w:sz w:val="22"/>
          <w:szCs w:val="22"/>
          <w:lang w:val="sk-SK"/>
        </w:rPr>
        <w:t xml:space="preserve"> 87 % v porovnaní s 69 % v skupine liečenej iba </w:t>
      </w:r>
      <w:proofErr w:type="spellStart"/>
      <w:r w:rsidRPr="00665C1B">
        <w:rPr>
          <w:sz w:val="22"/>
          <w:szCs w:val="22"/>
          <w:lang w:val="sk-SK"/>
        </w:rPr>
        <w:t>trimetoprim-sulfametoxazolom</w:t>
      </w:r>
      <w:proofErr w:type="spellEnd"/>
      <w:r w:rsidRPr="00665C1B">
        <w:rPr>
          <w:sz w:val="22"/>
          <w:szCs w:val="22"/>
          <w:lang w:val="sk-SK"/>
        </w:rPr>
        <w:t xml:space="preserve"> (p-hodnota = 0,07). V klinickom skúšaní </w:t>
      </w:r>
      <w:proofErr w:type="spellStart"/>
      <w:r w:rsidRPr="00665C1B">
        <w:rPr>
          <w:sz w:val="22"/>
          <w:szCs w:val="22"/>
          <w:lang w:val="sk-SK"/>
        </w:rPr>
        <w:t>Niels</w:t>
      </w:r>
      <w:r w:rsidR="00470C26" w:rsidRPr="00665C1B">
        <w:rPr>
          <w:sz w:val="22"/>
          <w:szCs w:val="22"/>
          <w:lang w:val="sk-SK"/>
        </w:rPr>
        <w:t>e</w:t>
      </w:r>
      <w:r w:rsidRPr="00665C1B">
        <w:rPr>
          <w:sz w:val="22"/>
          <w:szCs w:val="22"/>
          <w:lang w:val="sk-SK"/>
        </w:rPr>
        <w:t>n</w:t>
      </w:r>
      <w:proofErr w:type="spellEnd"/>
      <w:r w:rsidRPr="00665C1B">
        <w:rPr>
          <w:sz w:val="22"/>
          <w:szCs w:val="22"/>
          <w:lang w:val="sk-SK"/>
        </w:rPr>
        <w:t xml:space="preserve"> sa dospelo k záveru, že prídavná liečba </w:t>
      </w:r>
      <w:proofErr w:type="spellStart"/>
      <w:r w:rsidRPr="00665C1B">
        <w:rPr>
          <w:sz w:val="22"/>
          <w:szCs w:val="22"/>
          <w:lang w:val="sk-SK"/>
        </w:rPr>
        <w:t>metylprednizolónom</w:t>
      </w:r>
      <w:proofErr w:type="spellEnd"/>
      <w:r w:rsidRPr="00665C1B">
        <w:rPr>
          <w:sz w:val="22"/>
          <w:szCs w:val="22"/>
          <w:lang w:val="sk-SK"/>
        </w:rPr>
        <w:t xml:space="preserve"> podávaná v rámci 24 hodín pri stredne závažnej až závažnej pneumónii spôsobenej </w:t>
      </w:r>
      <w:proofErr w:type="spellStart"/>
      <w:r w:rsidRPr="00665C1B">
        <w:rPr>
          <w:rStyle w:val="Instructions"/>
          <w:iCs w:val="0"/>
          <w:color w:val="auto"/>
          <w:sz w:val="22"/>
          <w:szCs w:val="22"/>
          <w:lang w:val="sk-SK"/>
        </w:rPr>
        <w:t>Pneumocystis</w:t>
      </w:r>
      <w:proofErr w:type="spellEnd"/>
      <w:r w:rsidRPr="00665C1B">
        <w:rPr>
          <w:rStyle w:val="Instructions"/>
          <w:iCs w:val="0"/>
          <w:color w:val="auto"/>
          <w:sz w:val="22"/>
          <w:szCs w:val="22"/>
          <w:lang w:val="sk-SK"/>
        </w:rPr>
        <w:t xml:space="preserve"> </w:t>
      </w:r>
      <w:proofErr w:type="spellStart"/>
      <w:r w:rsidRPr="00665C1B">
        <w:rPr>
          <w:rStyle w:val="Instructions"/>
          <w:iCs w:val="0"/>
          <w:color w:val="auto"/>
          <w:sz w:val="22"/>
          <w:szCs w:val="22"/>
          <w:lang w:val="sk-SK"/>
        </w:rPr>
        <w:t>jiroveci</w:t>
      </w:r>
      <w:r w:rsidR="003E1749">
        <w:rPr>
          <w:rStyle w:val="Instructions"/>
          <w:iCs w:val="0"/>
          <w:color w:val="auto"/>
          <w:sz w:val="22"/>
          <w:szCs w:val="22"/>
          <w:lang w:val="sk-SK"/>
        </w:rPr>
        <w:t>i</w:t>
      </w:r>
      <w:proofErr w:type="spellEnd"/>
      <w:r w:rsidRPr="00665C1B">
        <w:rPr>
          <w:rStyle w:val="Instructions"/>
          <w:iCs w:val="0"/>
          <w:color w:val="auto"/>
          <w:sz w:val="22"/>
          <w:szCs w:val="22"/>
          <w:lang w:val="sk-SK"/>
        </w:rPr>
        <w:t xml:space="preserve"> </w:t>
      </w:r>
      <w:r w:rsidRPr="00665C1B">
        <w:rPr>
          <w:rStyle w:val="Instructions"/>
          <w:i w:val="0"/>
          <w:color w:val="auto"/>
          <w:sz w:val="22"/>
          <w:szCs w:val="22"/>
          <w:lang w:val="sk-SK"/>
        </w:rPr>
        <w:t xml:space="preserve">u HIV pacientov znižuje akútnu mortalitu a potrebu mechanickej ventilácie. Avšak klinické skúšanie </w:t>
      </w:r>
      <w:proofErr w:type="spellStart"/>
      <w:r w:rsidRPr="00665C1B">
        <w:rPr>
          <w:rStyle w:val="Instructions"/>
          <w:i w:val="0"/>
          <w:color w:val="auto"/>
          <w:sz w:val="22"/>
          <w:szCs w:val="22"/>
          <w:lang w:val="sk-SK"/>
        </w:rPr>
        <w:t>Nielsen</w:t>
      </w:r>
      <w:proofErr w:type="spellEnd"/>
      <w:r w:rsidRPr="00665C1B">
        <w:rPr>
          <w:rStyle w:val="Instructions"/>
          <w:i w:val="0"/>
          <w:color w:val="auto"/>
          <w:sz w:val="22"/>
          <w:szCs w:val="22"/>
          <w:lang w:val="sk-SK"/>
        </w:rPr>
        <w:t xml:space="preserve"> bolo otvorené klinické skúšanie, ktoré bolo predčasne zastavené z dôvodu externých dôkazov v prospech doplnkových kortikosteroidov.</w:t>
      </w:r>
    </w:p>
    <w:p w14:paraId="751331DA" w14:textId="77777777" w:rsidR="0009276C" w:rsidRPr="005F09FD" w:rsidRDefault="0009276C" w:rsidP="008A1CFF">
      <w:pPr>
        <w:rPr>
          <w:sz w:val="22"/>
          <w:szCs w:val="22"/>
        </w:rPr>
      </w:pPr>
    </w:p>
    <w:p w14:paraId="7C6C7433" w14:textId="77777777" w:rsidR="000F2E71" w:rsidRPr="007B3224" w:rsidRDefault="00C24F7F" w:rsidP="008A1CFF">
      <w:pPr>
        <w:rPr>
          <w:b/>
          <w:sz w:val="22"/>
          <w:szCs w:val="22"/>
        </w:rPr>
      </w:pPr>
      <w:r w:rsidRPr="00D21F26">
        <w:rPr>
          <w:b/>
          <w:sz w:val="22"/>
          <w:szCs w:val="22"/>
        </w:rPr>
        <w:t>5.2</w:t>
      </w:r>
      <w:r w:rsidRPr="00D21F26">
        <w:rPr>
          <w:b/>
          <w:sz w:val="22"/>
          <w:szCs w:val="22"/>
        </w:rPr>
        <w:tab/>
      </w:r>
      <w:proofErr w:type="spellStart"/>
      <w:r w:rsidRPr="00D21F26">
        <w:rPr>
          <w:b/>
          <w:sz w:val="22"/>
          <w:szCs w:val="22"/>
        </w:rPr>
        <w:t>Farmakokinetické</w:t>
      </w:r>
      <w:proofErr w:type="spellEnd"/>
      <w:r w:rsidRPr="00D21F26">
        <w:rPr>
          <w:b/>
          <w:sz w:val="22"/>
          <w:szCs w:val="22"/>
        </w:rPr>
        <w:t xml:space="preserve"> vlastnosti</w:t>
      </w:r>
    </w:p>
    <w:p w14:paraId="67B2BA0B" w14:textId="77777777" w:rsidR="000F2E71" w:rsidRPr="008E567D" w:rsidRDefault="000F2E71" w:rsidP="008A1CFF">
      <w:pPr>
        <w:rPr>
          <w:b/>
          <w:sz w:val="22"/>
          <w:szCs w:val="22"/>
        </w:rPr>
      </w:pPr>
    </w:p>
    <w:p w14:paraId="4E981907" w14:textId="77777777" w:rsidR="000F2E71" w:rsidRPr="008E6EE5" w:rsidRDefault="00C24F7F" w:rsidP="008A1CFF">
      <w:pPr>
        <w:rPr>
          <w:sz w:val="22"/>
          <w:szCs w:val="22"/>
        </w:rPr>
      </w:pPr>
      <w:proofErr w:type="spellStart"/>
      <w:r w:rsidRPr="008E567D">
        <w:rPr>
          <w:sz w:val="22"/>
          <w:szCs w:val="22"/>
        </w:rPr>
        <w:t>Farmakokinetika</w:t>
      </w:r>
      <w:proofErr w:type="spellEnd"/>
      <w:r w:rsidRPr="008E567D">
        <w:rPr>
          <w:sz w:val="22"/>
          <w:szCs w:val="22"/>
        </w:rPr>
        <w:t xml:space="preserve"> </w:t>
      </w:r>
      <w:proofErr w:type="spellStart"/>
      <w:r w:rsidRPr="008E567D">
        <w:rPr>
          <w:sz w:val="22"/>
          <w:szCs w:val="22"/>
        </w:rPr>
        <w:t>metylprednizolón</w:t>
      </w:r>
      <w:r w:rsidRPr="008E6EE5">
        <w:rPr>
          <w:sz w:val="22"/>
          <w:szCs w:val="22"/>
        </w:rPr>
        <w:t>u</w:t>
      </w:r>
      <w:proofErr w:type="spellEnd"/>
      <w:r w:rsidRPr="008E6EE5">
        <w:rPr>
          <w:sz w:val="22"/>
          <w:szCs w:val="22"/>
        </w:rPr>
        <w:t xml:space="preserve"> je lineárna, nezávisle od cesty podania.</w:t>
      </w:r>
    </w:p>
    <w:p w14:paraId="3C050400" w14:textId="77777777" w:rsidR="000F2E71" w:rsidRPr="008E6EE5" w:rsidRDefault="000F2E71" w:rsidP="008A1CFF">
      <w:pPr>
        <w:rPr>
          <w:sz w:val="22"/>
          <w:szCs w:val="22"/>
        </w:rPr>
      </w:pPr>
    </w:p>
    <w:p w14:paraId="27774167" w14:textId="77777777" w:rsidR="000F2E71" w:rsidRPr="00F730DB" w:rsidRDefault="004C7551" w:rsidP="008A1CFF">
      <w:pPr>
        <w:tabs>
          <w:tab w:val="left" w:pos="567"/>
        </w:tabs>
        <w:rPr>
          <w:bCs/>
          <w:sz w:val="22"/>
          <w:szCs w:val="22"/>
          <w:u w:val="single"/>
        </w:rPr>
      </w:pPr>
      <w:r w:rsidRPr="008E63E5">
        <w:rPr>
          <w:bCs/>
          <w:sz w:val="22"/>
          <w:szCs w:val="22"/>
          <w:u w:val="single"/>
        </w:rPr>
        <w:t>Absorpcia</w:t>
      </w:r>
    </w:p>
    <w:p w14:paraId="2514D83F" w14:textId="77777777" w:rsidR="000F2E71" w:rsidRPr="005F5596" w:rsidRDefault="00562EBA" w:rsidP="008A1CFF">
      <w:pPr>
        <w:rPr>
          <w:sz w:val="22"/>
          <w:szCs w:val="22"/>
        </w:rPr>
      </w:pPr>
      <w:r w:rsidRPr="00F730DB">
        <w:rPr>
          <w:sz w:val="22"/>
          <w:szCs w:val="22"/>
        </w:rPr>
        <w:t xml:space="preserve">Po </w:t>
      </w:r>
      <w:proofErr w:type="spellStart"/>
      <w:r w:rsidRPr="00F730DB">
        <w:rPr>
          <w:sz w:val="22"/>
          <w:szCs w:val="22"/>
        </w:rPr>
        <w:t>intramuskulárnej</w:t>
      </w:r>
      <w:proofErr w:type="spellEnd"/>
      <w:r w:rsidRPr="00F730DB">
        <w:rPr>
          <w:sz w:val="22"/>
          <w:szCs w:val="22"/>
        </w:rPr>
        <w:t xml:space="preserve"> dávke 40 mg sodnej soli </w:t>
      </w:r>
      <w:proofErr w:type="spellStart"/>
      <w:r w:rsidRPr="00F730DB">
        <w:rPr>
          <w:sz w:val="22"/>
          <w:szCs w:val="22"/>
        </w:rPr>
        <w:t>metylprednizolón</w:t>
      </w:r>
      <w:r w:rsidR="006E22E7">
        <w:rPr>
          <w:sz w:val="22"/>
          <w:szCs w:val="22"/>
        </w:rPr>
        <w:t>-</w:t>
      </w:r>
      <w:r w:rsidRPr="00F730DB">
        <w:rPr>
          <w:sz w:val="22"/>
          <w:szCs w:val="22"/>
        </w:rPr>
        <w:t>sukcinátu</w:t>
      </w:r>
      <w:proofErr w:type="spellEnd"/>
      <w:r w:rsidRPr="00F730DB">
        <w:rPr>
          <w:sz w:val="22"/>
          <w:szCs w:val="22"/>
        </w:rPr>
        <w:t xml:space="preserve"> štrnástim zdravým dospelým dobrovoľníkom mužského pohlavia sa priemerná maximálna koncentrácia 454 </w:t>
      </w:r>
      <w:proofErr w:type="spellStart"/>
      <w:r w:rsidRPr="00F730DB">
        <w:rPr>
          <w:sz w:val="22"/>
          <w:szCs w:val="22"/>
        </w:rPr>
        <w:t>ng</w:t>
      </w:r>
      <w:proofErr w:type="spellEnd"/>
      <w:r w:rsidRPr="00F730DB">
        <w:rPr>
          <w:sz w:val="22"/>
          <w:szCs w:val="22"/>
        </w:rPr>
        <w:t>/ml dosiahla za 1 hodinu. Po 12</w:t>
      </w:r>
      <w:r w:rsidRPr="00BE08DD">
        <w:rPr>
          <w:sz w:val="22"/>
          <w:szCs w:val="22"/>
        </w:rPr>
        <w:t xml:space="preserve"> hodinách plazmatická konce</w:t>
      </w:r>
      <w:r w:rsidR="00C24F7F" w:rsidRPr="0067303A">
        <w:rPr>
          <w:sz w:val="22"/>
          <w:szCs w:val="22"/>
        </w:rPr>
        <w:t xml:space="preserve">ntrácia </w:t>
      </w:r>
      <w:proofErr w:type="spellStart"/>
      <w:r w:rsidR="00C24F7F" w:rsidRPr="0067303A">
        <w:rPr>
          <w:sz w:val="22"/>
          <w:szCs w:val="22"/>
        </w:rPr>
        <w:t>metylprednizolónu</w:t>
      </w:r>
      <w:proofErr w:type="spellEnd"/>
      <w:r w:rsidR="00C24F7F" w:rsidRPr="0067303A">
        <w:rPr>
          <w:sz w:val="22"/>
          <w:szCs w:val="22"/>
        </w:rPr>
        <w:t xml:space="preserve"> klesla na</w:t>
      </w:r>
      <w:r w:rsidR="00017FF9">
        <w:rPr>
          <w:sz w:val="22"/>
          <w:szCs w:val="22"/>
        </w:rPr>
        <w:t> </w:t>
      </w:r>
      <w:r w:rsidR="00C24F7F" w:rsidRPr="0067303A">
        <w:rPr>
          <w:sz w:val="22"/>
          <w:szCs w:val="22"/>
        </w:rPr>
        <w:t>31,9</w:t>
      </w:r>
      <w:r w:rsidR="00802E72" w:rsidRPr="004365DD">
        <w:rPr>
          <w:sz w:val="22"/>
          <w:szCs w:val="22"/>
        </w:rPr>
        <w:t> </w:t>
      </w:r>
      <w:proofErr w:type="spellStart"/>
      <w:r w:rsidR="00C24F7F" w:rsidRPr="004365DD">
        <w:rPr>
          <w:sz w:val="22"/>
          <w:szCs w:val="22"/>
        </w:rPr>
        <w:t>ng</w:t>
      </w:r>
      <w:proofErr w:type="spellEnd"/>
      <w:r w:rsidR="00C24F7F" w:rsidRPr="004365DD">
        <w:rPr>
          <w:sz w:val="22"/>
          <w:szCs w:val="22"/>
        </w:rPr>
        <w:t xml:space="preserve">/ml. Po 18 hodinách od podania žiadne množstvo </w:t>
      </w:r>
      <w:proofErr w:type="spellStart"/>
      <w:r w:rsidR="00C24F7F" w:rsidRPr="004365DD">
        <w:rPr>
          <w:sz w:val="22"/>
          <w:szCs w:val="22"/>
        </w:rPr>
        <w:t>metylprednizolónu</w:t>
      </w:r>
      <w:proofErr w:type="spellEnd"/>
      <w:r w:rsidR="00C24F7F" w:rsidRPr="004365DD">
        <w:rPr>
          <w:sz w:val="22"/>
          <w:szCs w:val="22"/>
        </w:rPr>
        <w:t xml:space="preserve"> nebolo </w:t>
      </w:r>
      <w:proofErr w:type="spellStart"/>
      <w:r w:rsidR="00C24F7F" w:rsidRPr="004365DD">
        <w:rPr>
          <w:sz w:val="22"/>
          <w:szCs w:val="22"/>
        </w:rPr>
        <w:t>dete</w:t>
      </w:r>
      <w:r w:rsidR="009C42C4" w:rsidRPr="004365DD">
        <w:rPr>
          <w:sz w:val="22"/>
          <w:szCs w:val="22"/>
        </w:rPr>
        <w:t>k</w:t>
      </w:r>
      <w:r w:rsidR="00C24F7F" w:rsidRPr="00C73B56">
        <w:rPr>
          <w:sz w:val="22"/>
          <w:szCs w:val="22"/>
        </w:rPr>
        <w:t>ované</w:t>
      </w:r>
      <w:proofErr w:type="spellEnd"/>
      <w:r w:rsidR="00C24F7F" w:rsidRPr="00C73B56">
        <w:rPr>
          <w:sz w:val="22"/>
          <w:szCs w:val="22"/>
        </w:rPr>
        <w:t>. Podľa plochy pod krivkou koncentrácie v čase (AUC), ktorá indikuje celkové množstvo absorbovaného liek</w:t>
      </w:r>
      <w:r w:rsidR="00C24F7F" w:rsidRPr="008D7A31">
        <w:rPr>
          <w:sz w:val="22"/>
          <w:szCs w:val="22"/>
        </w:rPr>
        <w:t xml:space="preserve">u, bolo zistené, že </w:t>
      </w:r>
      <w:proofErr w:type="spellStart"/>
      <w:r w:rsidR="00C24F7F" w:rsidRPr="008D7A31">
        <w:rPr>
          <w:sz w:val="22"/>
          <w:szCs w:val="22"/>
        </w:rPr>
        <w:t>intramuskulárne</w:t>
      </w:r>
      <w:proofErr w:type="spellEnd"/>
      <w:r w:rsidR="00C24F7F" w:rsidRPr="008D7A31">
        <w:rPr>
          <w:sz w:val="22"/>
          <w:szCs w:val="22"/>
        </w:rPr>
        <w:t xml:space="preserve"> podaná sodná soľ </w:t>
      </w:r>
      <w:proofErr w:type="spellStart"/>
      <w:r w:rsidR="00C24F7F" w:rsidRPr="008D7A31">
        <w:rPr>
          <w:sz w:val="22"/>
          <w:szCs w:val="22"/>
        </w:rPr>
        <w:t>metylprednizolón</w:t>
      </w:r>
      <w:r w:rsidR="006E22E7">
        <w:rPr>
          <w:sz w:val="22"/>
          <w:szCs w:val="22"/>
        </w:rPr>
        <w:t>-</w:t>
      </w:r>
      <w:r w:rsidR="00C24F7F" w:rsidRPr="008D7A31">
        <w:rPr>
          <w:sz w:val="22"/>
          <w:szCs w:val="22"/>
        </w:rPr>
        <w:t>sukcinátu</w:t>
      </w:r>
      <w:proofErr w:type="spellEnd"/>
      <w:r w:rsidR="00C24F7F" w:rsidRPr="008D7A31">
        <w:rPr>
          <w:sz w:val="22"/>
          <w:szCs w:val="22"/>
        </w:rPr>
        <w:t xml:space="preserve"> je ekvivalentná rovnakej dávke podanej intravenózne.</w:t>
      </w:r>
    </w:p>
    <w:p w14:paraId="2BB8BBD5" w14:textId="77777777" w:rsidR="009C42C4" w:rsidRPr="00774CAA" w:rsidRDefault="009C42C4" w:rsidP="008A1CFF">
      <w:pPr>
        <w:rPr>
          <w:sz w:val="22"/>
          <w:szCs w:val="22"/>
        </w:rPr>
      </w:pPr>
    </w:p>
    <w:p w14:paraId="690AB723" w14:textId="77777777" w:rsidR="000F2E71" w:rsidRPr="00C821CF" w:rsidRDefault="00C24F7F" w:rsidP="008A1CFF">
      <w:pPr>
        <w:rPr>
          <w:rFonts w:eastAsia="Calibri"/>
          <w:sz w:val="22"/>
          <w:szCs w:val="22"/>
        </w:rPr>
      </w:pPr>
      <w:r w:rsidRPr="00774CAA">
        <w:rPr>
          <w:sz w:val="22"/>
          <w:szCs w:val="22"/>
        </w:rPr>
        <w:t xml:space="preserve">Výsledky </w:t>
      </w:r>
      <w:r w:rsidR="00BE49D8">
        <w:rPr>
          <w:sz w:val="22"/>
          <w:szCs w:val="22"/>
        </w:rPr>
        <w:t>klinického skúšania</w:t>
      </w:r>
      <w:r w:rsidRPr="00774CAA">
        <w:rPr>
          <w:sz w:val="22"/>
          <w:szCs w:val="22"/>
        </w:rPr>
        <w:t xml:space="preserve"> </w:t>
      </w:r>
      <w:r w:rsidR="009C42C4" w:rsidRPr="009B35FA">
        <w:rPr>
          <w:sz w:val="22"/>
          <w:szCs w:val="22"/>
        </w:rPr>
        <w:t>pre</w:t>
      </w:r>
      <w:r w:rsidRPr="005C3B90">
        <w:rPr>
          <w:sz w:val="22"/>
          <w:szCs w:val="22"/>
        </w:rPr>
        <w:t xml:space="preserve">ukázali, že ester sodnej soli </w:t>
      </w:r>
      <w:proofErr w:type="spellStart"/>
      <w:r w:rsidRPr="005C3B90">
        <w:rPr>
          <w:sz w:val="22"/>
          <w:szCs w:val="22"/>
        </w:rPr>
        <w:t>metylprednizolón</w:t>
      </w:r>
      <w:r w:rsidR="006E22E7">
        <w:rPr>
          <w:sz w:val="22"/>
          <w:szCs w:val="22"/>
        </w:rPr>
        <w:t>-</w:t>
      </w:r>
      <w:r w:rsidRPr="005C3B90">
        <w:rPr>
          <w:sz w:val="22"/>
          <w:szCs w:val="22"/>
        </w:rPr>
        <w:t>sukcinátu</w:t>
      </w:r>
      <w:proofErr w:type="spellEnd"/>
      <w:r w:rsidRPr="005C3B90">
        <w:rPr>
          <w:sz w:val="22"/>
          <w:szCs w:val="22"/>
        </w:rPr>
        <w:t xml:space="preserve"> rýchlo a rozsiahlo konvertuje na aktívnu zložku </w:t>
      </w:r>
      <w:proofErr w:type="spellStart"/>
      <w:r w:rsidRPr="00234067">
        <w:rPr>
          <w:sz w:val="22"/>
          <w:szCs w:val="22"/>
        </w:rPr>
        <w:t>metylprednizolónu</w:t>
      </w:r>
      <w:proofErr w:type="spellEnd"/>
      <w:r w:rsidRPr="00234067">
        <w:rPr>
          <w:sz w:val="22"/>
          <w:szCs w:val="22"/>
        </w:rPr>
        <w:t xml:space="preserve"> pri všetkých cestách podania. Zistilo </w:t>
      </w:r>
      <w:r w:rsidRPr="00234067">
        <w:rPr>
          <w:sz w:val="22"/>
          <w:szCs w:val="22"/>
        </w:rPr>
        <w:lastRenderedPageBreak/>
        <w:t xml:space="preserve">sa, že rozsah absorpcie voľného </w:t>
      </w:r>
      <w:proofErr w:type="spellStart"/>
      <w:r w:rsidRPr="00234067">
        <w:rPr>
          <w:sz w:val="22"/>
          <w:szCs w:val="22"/>
        </w:rPr>
        <w:t>metylprednizolónu</w:t>
      </w:r>
      <w:proofErr w:type="spellEnd"/>
      <w:r w:rsidRPr="00234067">
        <w:rPr>
          <w:sz w:val="22"/>
          <w:szCs w:val="22"/>
        </w:rPr>
        <w:t xml:space="preserve"> po i</w:t>
      </w:r>
      <w:r w:rsidR="009C42C4" w:rsidRPr="000D37C2">
        <w:rPr>
          <w:sz w:val="22"/>
          <w:szCs w:val="22"/>
        </w:rPr>
        <w:t>ntravenóznom</w:t>
      </w:r>
      <w:r w:rsidRPr="000D37C2">
        <w:rPr>
          <w:sz w:val="22"/>
          <w:szCs w:val="22"/>
        </w:rPr>
        <w:t xml:space="preserve"> a </w:t>
      </w:r>
      <w:proofErr w:type="spellStart"/>
      <w:r w:rsidRPr="000D37C2">
        <w:rPr>
          <w:sz w:val="22"/>
          <w:szCs w:val="22"/>
        </w:rPr>
        <w:t>i</w:t>
      </w:r>
      <w:r w:rsidR="009C42C4" w:rsidRPr="000D37C2">
        <w:rPr>
          <w:sz w:val="22"/>
          <w:szCs w:val="22"/>
        </w:rPr>
        <w:t>ntramuskulárnom</w:t>
      </w:r>
      <w:proofErr w:type="spellEnd"/>
      <w:r w:rsidRPr="000D37C2">
        <w:rPr>
          <w:sz w:val="22"/>
          <w:szCs w:val="22"/>
        </w:rPr>
        <w:t xml:space="preserve"> podaní je ekvivalentný a aj výrazne vyšší ako po podaní perorálneho roztoku a perorálnych tabliet </w:t>
      </w:r>
      <w:proofErr w:type="spellStart"/>
      <w:r w:rsidRPr="000D37C2">
        <w:rPr>
          <w:sz w:val="22"/>
          <w:szCs w:val="22"/>
        </w:rPr>
        <w:t>metylprednizolónu</w:t>
      </w:r>
      <w:proofErr w:type="spellEnd"/>
      <w:r w:rsidRPr="000D37C2">
        <w:rPr>
          <w:sz w:val="22"/>
          <w:szCs w:val="22"/>
        </w:rPr>
        <w:t xml:space="preserve">. Vzhľadom na to, že rozsah absorbovaného </w:t>
      </w:r>
      <w:proofErr w:type="spellStart"/>
      <w:r w:rsidRPr="000D37C2">
        <w:rPr>
          <w:sz w:val="22"/>
          <w:szCs w:val="22"/>
        </w:rPr>
        <w:t>metylprednizolónu</w:t>
      </w:r>
      <w:proofErr w:type="spellEnd"/>
      <w:r w:rsidRPr="000D37C2">
        <w:rPr>
          <w:sz w:val="22"/>
          <w:szCs w:val="22"/>
        </w:rPr>
        <w:t xml:space="preserve"> pri liečbe po</w:t>
      </w:r>
      <w:r w:rsidR="009C42C4" w:rsidRPr="000D37C2">
        <w:rPr>
          <w:sz w:val="22"/>
          <w:szCs w:val="22"/>
        </w:rPr>
        <w:t> </w:t>
      </w:r>
      <w:r w:rsidRPr="000D37C2">
        <w:rPr>
          <w:sz w:val="22"/>
          <w:szCs w:val="22"/>
        </w:rPr>
        <w:t>i</w:t>
      </w:r>
      <w:r w:rsidR="009C42C4" w:rsidRPr="002C3055">
        <w:rPr>
          <w:sz w:val="22"/>
          <w:szCs w:val="22"/>
        </w:rPr>
        <w:t>ntravenóznom</w:t>
      </w:r>
      <w:r w:rsidRPr="002C3055">
        <w:rPr>
          <w:sz w:val="22"/>
          <w:szCs w:val="22"/>
        </w:rPr>
        <w:t xml:space="preserve"> a </w:t>
      </w:r>
      <w:proofErr w:type="spellStart"/>
      <w:r w:rsidRPr="002C3055">
        <w:rPr>
          <w:sz w:val="22"/>
          <w:szCs w:val="22"/>
        </w:rPr>
        <w:t>i</w:t>
      </w:r>
      <w:r w:rsidR="009C42C4" w:rsidRPr="002C3055">
        <w:rPr>
          <w:sz w:val="22"/>
          <w:szCs w:val="22"/>
        </w:rPr>
        <w:t>ntramuskulárnom</w:t>
      </w:r>
      <w:proofErr w:type="spellEnd"/>
      <w:r w:rsidRPr="007050AD">
        <w:rPr>
          <w:sz w:val="22"/>
          <w:szCs w:val="22"/>
        </w:rPr>
        <w:t xml:space="preserve"> podaní bol ekvivalentný aj napriek väčšiemu množst</w:t>
      </w:r>
      <w:r w:rsidRPr="00FC1191">
        <w:rPr>
          <w:sz w:val="22"/>
          <w:szCs w:val="22"/>
        </w:rPr>
        <w:t xml:space="preserve">vu </w:t>
      </w:r>
      <w:proofErr w:type="spellStart"/>
      <w:r w:rsidRPr="00FC1191">
        <w:rPr>
          <w:sz w:val="22"/>
          <w:szCs w:val="22"/>
        </w:rPr>
        <w:t>hemisukcinát</w:t>
      </w:r>
      <w:proofErr w:type="spellEnd"/>
      <w:r w:rsidRPr="00FC1191">
        <w:rPr>
          <w:sz w:val="22"/>
          <w:szCs w:val="22"/>
        </w:rPr>
        <w:t xml:space="preserve"> esteru v celkovom obehu po i</w:t>
      </w:r>
      <w:r w:rsidR="009C42C4" w:rsidRPr="00FC1191">
        <w:rPr>
          <w:sz w:val="22"/>
          <w:szCs w:val="22"/>
        </w:rPr>
        <w:t>ntravenóznom</w:t>
      </w:r>
      <w:r w:rsidRPr="009A0289">
        <w:rPr>
          <w:sz w:val="22"/>
          <w:szCs w:val="22"/>
        </w:rPr>
        <w:t xml:space="preserve"> podaní, zdá sa, že sa ester v tkanive konvertuje po injekcii podanej </w:t>
      </w:r>
      <w:proofErr w:type="spellStart"/>
      <w:r w:rsidRPr="009A0289">
        <w:rPr>
          <w:sz w:val="22"/>
          <w:szCs w:val="22"/>
        </w:rPr>
        <w:t>i</w:t>
      </w:r>
      <w:r w:rsidR="009C42C4" w:rsidRPr="009A0289">
        <w:rPr>
          <w:sz w:val="22"/>
          <w:szCs w:val="22"/>
        </w:rPr>
        <w:t>ntramuskulárne</w:t>
      </w:r>
      <w:proofErr w:type="spellEnd"/>
      <w:r w:rsidRPr="00794FE0">
        <w:rPr>
          <w:sz w:val="22"/>
          <w:szCs w:val="22"/>
        </w:rPr>
        <w:t xml:space="preserve"> s následnou absorpciou vo forme voľného </w:t>
      </w:r>
      <w:proofErr w:type="spellStart"/>
      <w:r w:rsidRPr="00794FE0">
        <w:rPr>
          <w:sz w:val="22"/>
          <w:szCs w:val="22"/>
        </w:rPr>
        <w:t>metylmednizolónu</w:t>
      </w:r>
      <w:proofErr w:type="spellEnd"/>
      <w:r w:rsidRPr="00C821CF">
        <w:rPr>
          <w:rFonts w:eastAsia="Calibri"/>
          <w:sz w:val="22"/>
          <w:szCs w:val="22"/>
        </w:rPr>
        <w:t>.</w:t>
      </w:r>
    </w:p>
    <w:p w14:paraId="5B20B4F8" w14:textId="77777777" w:rsidR="000F2E71" w:rsidRPr="00C821CF" w:rsidRDefault="000F2E71" w:rsidP="008A1CFF">
      <w:pPr>
        <w:rPr>
          <w:rFonts w:eastAsia="Calibri"/>
          <w:sz w:val="22"/>
          <w:szCs w:val="22"/>
        </w:rPr>
      </w:pPr>
    </w:p>
    <w:p w14:paraId="10CB8695" w14:textId="77777777" w:rsidR="000F2E71" w:rsidRPr="00C821CF" w:rsidRDefault="0068713E" w:rsidP="008A1CFF">
      <w:pPr>
        <w:pStyle w:val="Zkladntext"/>
        <w:spacing w:line="240" w:lineRule="auto"/>
        <w:jc w:val="left"/>
        <w:rPr>
          <w:sz w:val="22"/>
          <w:szCs w:val="22"/>
          <w:u w:val="single"/>
        </w:rPr>
      </w:pPr>
      <w:r w:rsidRPr="00C821CF">
        <w:rPr>
          <w:sz w:val="22"/>
          <w:szCs w:val="22"/>
          <w:u w:val="single"/>
        </w:rPr>
        <w:t>Distribúcia</w:t>
      </w:r>
    </w:p>
    <w:p w14:paraId="6AF6B899" w14:textId="77777777" w:rsidR="00A64902" w:rsidRPr="00C821CF" w:rsidRDefault="009F27FC" w:rsidP="00A64902">
      <w:pPr>
        <w:tabs>
          <w:tab w:val="left" w:pos="120"/>
          <w:tab w:val="left" w:pos="600"/>
          <w:tab w:val="left" w:pos="4200"/>
          <w:tab w:val="left" w:pos="5280"/>
        </w:tabs>
        <w:suppressAutoHyphens/>
        <w:rPr>
          <w:sz w:val="22"/>
          <w:szCs w:val="22"/>
        </w:rPr>
      </w:pPr>
      <w:proofErr w:type="spellStart"/>
      <w:r w:rsidRPr="00C821CF">
        <w:rPr>
          <w:sz w:val="22"/>
          <w:szCs w:val="22"/>
        </w:rPr>
        <w:t>Metylprednizolón</w:t>
      </w:r>
      <w:proofErr w:type="spellEnd"/>
      <w:r w:rsidRPr="00C821CF">
        <w:rPr>
          <w:sz w:val="22"/>
          <w:szCs w:val="22"/>
        </w:rPr>
        <w:t xml:space="preserve"> sa </w:t>
      </w:r>
      <w:r w:rsidR="0027360A" w:rsidRPr="00C821CF">
        <w:rPr>
          <w:sz w:val="22"/>
          <w:szCs w:val="22"/>
        </w:rPr>
        <w:t>značne</w:t>
      </w:r>
      <w:r w:rsidRPr="00C821CF">
        <w:rPr>
          <w:sz w:val="22"/>
          <w:szCs w:val="22"/>
        </w:rPr>
        <w:t xml:space="preserve"> distribuuje do tkanív, prechádza hematoencefalickou bariérou a vylučuje sa do materského mlieka. </w:t>
      </w:r>
      <w:r w:rsidR="00E4561A" w:rsidRPr="006B156F">
        <w:rPr>
          <w:sz w:val="22"/>
          <w:szCs w:val="22"/>
        </w:rPr>
        <w:t>Kortikosteroidy ľahko prestupujú cez placentu.</w:t>
      </w:r>
      <w:r w:rsidR="00E4561A">
        <w:rPr>
          <w:sz w:val="22"/>
          <w:szCs w:val="22"/>
        </w:rPr>
        <w:t xml:space="preserve"> </w:t>
      </w:r>
      <w:r w:rsidR="0068713E" w:rsidRPr="00E4561A">
        <w:rPr>
          <w:sz w:val="22"/>
          <w:szCs w:val="22"/>
        </w:rPr>
        <w:t xml:space="preserve">Zdanlivý distribučný objem je približne 1,4 </w:t>
      </w:r>
      <w:r w:rsidR="009C42C4" w:rsidRPr="00E4561A">
        <w:rPr>
          <w:sz w:val="22"/>
          <w:szCs w:val="22"/>
        </w:rPr>
        <w:t>l</w:t>
      </w:r>
      <w:r w:rsidR="0068713E" w:rsidRPr="00E4561A">
        <w:rPr>
          <w:sz w:val="22"/>
          <w:szCs w:val="22"/>
        </w:rPr>
        <w:t xml:space="preserve">/kg. </w:t>
      </w:r>
      <w:r w:rsidRPr="00E4561A">
        <w:rPr>
          <w:sz w:val="22"/>
          <w:szCs w:val="22"/>
        </w:rPr>
        <w:t xml:space="preserve">Väzba </w:t>
      </w:r>
      <w:proofErr w:type="spellStart"/>
      <w:r w:rsidRPr="00E4561A">
        <w:rPr>
          <w:sz w:val="22"/>
          <w:szCs w:val="22"/>
        </w:rPr>
        <w:t>metylprednizolónu</w:t>
      </w:r>
      <w:proofErr w:type="spellEnd"/>
      <w:r w:rsidRPr="00E4561A">
        <w:rPr>
          <w:sz w:val="22"/>
          <w:szCs w:val="22"/>
        </w:rPr>
        <w:t xml:space="preserve"> na plazmatické proteíny u ľudí je približne 77</w:t>
      </w:r>
      <w:r w:rsidR="009C42C4" w:rsidRPr="00EA3452">
        <w:rPr>
          <w:sz w:val="22"/>
          <w:szCs w:val="22"/>
        </w:rPr>
        <w:t> </w:t>
      </w:r>
      <w:r w:rsidRPr="00EA3452">
        <w:rPr>
          <w:sz w:val="22"/>
          <w:szCs w:val="22"/>
        </w:rPr>
        <w:t>%.</w:t>
      </w:r>
    </w:p>
    <w:p w14:paraId="1614C7CF" w14:textId="77777777" w:rsidR="0068713E" w:rsidRPr="00AF3C81" w:rsidRDefault="0068713E" w:rsidP="006E5190">
      <w:pPr>
        <w:textAlignment w:val="top"/>
        <w:rPr>
          <w:sz w:val="22"/>
          <w:szCs w:val="22"/>
        </w:rPr>
      </w:pPr>
    </w:p>
    <w:p w14:paraId="36421E5A" w14:textId="77777777" w:rsidR="00A64902" w:rsidRPr="00C821CF" w:rsidRDefault="0068713E" w:rsidP="00A64902">
      <w:pPr>
        <w:tabs>
          <w:tab w:val="left" w:pos="120"/>
          <w:tab w:val="left" w:pos="600"/>
          <w:tab w:val="left" w:pos="4200"/>
          <w:tab w:val="left" w:pos="5280"/>
        </w:tabs>
        <w:suppressAutoHyphens/>
        <w:rPr>
          <w:sz w:val="22"/>
          <w:szCs w:val="22"/>
        </w:rPr>
      </w:pPr>
      <w:proofErr w:type="spellStart"/>
      <w:r w:rsidRPr="007205A1">
        <w:rPr>
          <w:sz w:val="22"/>
          <w:szCs w:val="22"/>
          <w:u w:val="single"/>
        </w:rPr>
        <w:t>Biotransformácia</w:t>
      </w:r>
      <w:proofErr w:type="spellEnd"/>
    </w:p>
    <w:p w14:paraId="2193277B" w14:textId="77777777" w:rsidR="008E4E34" w:rsidRPr="00C821CF" w:rsidRDefault="009F27FC" w:rsidP="008E4E34">
      <w:pPr>
        <w:tabs>
          <w:tab w:val="left" w:pos="120"/>
          <w:tab w:val="left" w:pos="600"/>
          <w:tab w:val="left" w:pos="4200"/>
          <w:tab w:val="left" w:pos="5280"/>
        </w:tabs>
        <w:suppressAutoHyphens/>
        <w:rPr>
          <w:sz w:val="22"/>
          <w:szCs w:val="22"/>
        </w:rPr>
      </w:pPr>
      <w:r w:rsidRPr="005867D5">
        <w:rPr>
          <w:sz w:val="22"/>
          <w:szCs w:val="22"/>
        </w:rPr>
        <w:t xml:space="preserve">U ľudí sa </w:t>
      </w:r>
      <w:proofErr w:type="spellStart"/>
      <w:r w:rsidRPr="005867D5">
        <w:rPr>
          <w:sz w:val="22"/>
          <w:szCs w:val="22"/>
        </w:rPr>
        <w:t>metylprednizolón</w:t>
      </w:r>
      <w:proofErr w:type="spellEnd"/>
      <w:r w:rsidRPr="005867D5">
        <w:rPr>
          <w:sz w:val="22"/>
          <w:szCs w:val="22"/>
        </w:rPr>
        <w:t xml:space="preserve"> metabolizuje v pečeni na neaktívne metabolity, hlavné sú 20α-</w:t>
      </w:r>
      <w:proofErr w:type="spellStart"/>
      <w:r w:rsidRPr="005867D5">
        <w:rPr>
          <w:sz w:val="22"/>
          <w:szCs w:val="22"/>
        </w:rPr>
        <w:t>hydroxymetylprednizolón</w:t>
      </w:r>
      <w:proofErr w:type="spellEnd"/>
      <w:r w:rsidRPr="005867D5">
        <w:rPr>
          <w:sz w:val="22"/>
          <w:szCs w:val="22"/>
        </w:rPr>
        <w:t xml:space="preserve"> a 20β-</w:t>
      </w:r>
      <w:proofErr w:type="spellStart"/>
      <w:r w:rsidRPr="005867D5">
        <w:rPr>
          <w:sz w:val="22"/>
          <w:szCs w:val="22"/>
        </w:rPr>
        <w:t>hydroxymetylprednizolón</w:t>
      </w:r>
      <w:proofErr w:type="spellEnd"/>
      <w:r w:rsidRPr="005867D5">
        <w:rPr>
          <w:sz w:val="22"/>
          <w:szCs w:val="22"/>
        </w:rPr>
        <w:t>.</w:t>
      </w:r>
    </w:p>
    <w:p w14:paraId="255E69C9" w14:textId="77777777" w:rsidR="008E4E34" w:rsidRPr="00C821CF" w:rsidRDefault="009F27FC" w:rsidP="008E4E34">
      <w:pPr>
        <w:tabs>
          <w:tab w:val="left" w:pos="120"/>
          <w:tab w:val="left" w:pos="600"/>
          <w:tab w:val="left" w:pos="4200"/>
          <w:tab w:val="left" w:pos="5280"/>
        </w:tabs>
        <w:suppressAutoHyphens/>
        <w:rPr>
          <w:sz w:val="22"/>
          <w:szCs w:val="22"/>
        </w:rPr>
      </w:pPr>
      <w:r w:rsidRPr="005867D5">
        <w:rPr>
          <w:sz w:val="22"/>
          <w:szCs w:val="22"/>
        </w:rPr>
        <w:t>Ku metabolizmu v pečeni dochá</w:t>
      </w:r>
      <w:r w:rsidRPr="00BF06EA">
        <w:rPr>
          <w:sz w:val="22"/>
          <w:szCs w:val="22"/>
        </w:rPr>
        <w:t>dza najmä prostredníctvom enzýmu CYP3A4 (zoznam liekových interakcií založených na metabolizme sprostredkovanom CYP3A4, pozri časť 4.5)</w:t>
      </w:r>
      <w:r w:rsidR="008E4E34">
        <w:rPr>
          <w:sz w:val="22"/>
          <w:szCs w:val="22"/>
        </w:rPr>
        <w:t>.</w:t>
      </w:r>
    </w:p>
    <w:p w14:paraId="320CFE2A" w14:textId="77777777" w:rsidR="008104F0" w:rsidRPr="00BF06EA" w:rsidRDefault="008104F0" w:rsidP="006E5190">
      <w:pPr>
        <w:tabs>
          <w:tab w:val="left" w:pos="567"/>
        </w:tabs>
        <w:rPr>
          <w:sz w:val="22"/>
          <w:szCs w:val="22"/>
        </w:rPr>
      </w:pPr>
    </w:p>
    <w:p w14:paraId="377F694D" w14:textId="77777777" w:rsidR="000F2E71" w:rsidRPr="00AB0507" w:rsidRDefault="0068713E" w:rsidP="008A1CFF">
      <w:pPr>
        <w:tabs>
          <w:tab w:val="left" w:pos="567"/>
        </w:tabs>
        <w:rPr>
          <w:sz w:val="22"/>
          <w:szCs w:val="22"/>
        </w:rPr>
      </w:pPr>
      <w:proofErr w:type="spellStart"/>
      <w:r w:rsidRPr="00AB0507">
        <w:rPr>
          <w:sz w:val="22"/>
          <w:szCs w:val="22"/>
        </w:rPr>
        <w:t>Metylprednizolón</w:t>
      </w:r>
      <w:proofErr w:type="spellEnd"/>
      <w:r w:rsidRPr="00AB0507">
        <w:rPr>
          <w:sz w:val="22"/>
          <w:szCs w:val="22"/>
        </w:rPr>
        <w:t xml:space="preserve">, rovnako ako mnoho substrátov enzýmu CYP3A4, môže byť tiež substrátom pre ATP </w:t>
      </w:r>
      <w:proofErr w:type="spellStart"/>
      <w:r w:rsidRPr="00AB0507">
        <w:rPr>
          <w:sz w:val="22"/>
          <w:szCs w:val="22"/>
        </w:rPr>
        <w:t>dependentný</w:t>
      </w:r>
      <w:proofErr w:type="spellEnd"/>
      <w:r w:rsidRPr="00AB0507">
        <w:rPr>
          <w:sz w:val="22"/>
          <w:szCs w:val="22"/>
        </w:rPr>
        <w:t xml:space="preserve"> kazetový (ABC) transportný proteín p-</w:t>
      </w:r>
      <w:proofErr w:type="spellStart"/>
      <w:r w:rsidRPr="00AB0507">
        <w:rPr>
          <w:sz w:val="22"/>
          <w:szCs w:val="22"/>
        </w:rPr>
        <w:t>glykoproteínu</w:t>
      </w:r>
      <w:proofErr w:type="spellEnd"/>
      <w:r w:rsidRPr="00AB0507">
        <w:rPr>
          <w:sz w:val="22"/>
          <w:szCs w:val="22"/>
        </w:rPr>
        <w:t>, ktorý ovplyvňuje tkanivovú distribúciu a interakcie s ostatnými liekmi.</w:t>
      </w:r>
    </w:p>
    <w:p w14:paraId="2DF772DC" w14:textId="77777777" w:rsidR="000F2E71" w:rsidRPr="005C567E" w:rsidRDefault="000F2E71" w:rsidP="008A1CFF">
      <w:pPr>
        <w:tabs>
          <w:tab w:val="left" w:pos="567"/>
        </w:tabs>
        <w:rPr>
          <w:sz w:val="22"/>
          <w:szCs w:val="22"/>
        </w:rPr>
      </w:pPr>
    </w:p>
    <w:p w14:paraId="08FE2B21" w14:textId="77777777" w:rsidR="00A64902" w:rsidRPr="00C821CF" w:rsidRDefault="0068713E" w:rsidP="00A64902">
      <w:pPr>
        <w:tabs>
          <w:tab w:val="left" w:pos="120"/>
          <w:tab w:val="left" w:pos="600"/>
          <w:tab w:val="left" w:pos="4200"/>
          <w:tab w:val="left" w:pos="5280"/>
        </w:tabs>
        <w:suppressAutoHyphens/>
        <w:rPr>
          <w:sz w:val="22"/>
          <w:szCs w:val="22"/>
        </w:rPr>
      </w:pPr>
      <w:r w:rsidRPr="004D4405">
        <w:rPr>
          <w:sz w:val="22"/>
          <w:szCs w:val="22"/>
          <w:u w:val="single"/>
        </w:rPr>
        <w:t>Eliminácia</w:t>
      </w:r>
    </w:p>
    <w:p w14:paraId="19C9563A" w14:textId="77777777" w:rsidR="00A64902" w:rsidRPr="00C821CF" w:rsidRDefault="009F27FC" w:rsidP="00A64902">
      <w:pPr>
        <w:tabs>
          <w:tab w:val="left" w:pos="120"/>
          <w:tab w:val="left" w:pos="600"/>
          <w:tab w:val="left" w:pos="4200"/>
          <w:tab w:val="left" w:pos="5280"/>
        </w:tabs>
        <w:suppressAutoHyphens/>
        <w:rPr>
          <w:sz w:val="22"/>
          <w:szCs w:val="22"/>
        </w:rPr>
      </w:pPr>
      <w:r w:rsidRPr="00CF22B7">
        <w:rPr>
          <w:sz w:val="22"/>
          <w:szCs w:val="22"/>
        </w:rPr>
        <w:t xml:space="preserve">Priemerný polčas eliminácie celkového </w:t>
      </w:r>
      <w:proofErr w:type="spellStart"/>
      <w:r w:rsidRPr="00CF22B7">
        <w:rPr>
          <w:sz w:val="22"/>
          <w:szCs w:val="22"/>
        </w:rPr>
        <w:t>metylprednizolónu</w:t>
      </w:r>
      <w:proofErr w:type="spellEnd"/>
      <w:r w:rsidRPr="00CF22B7">
        <w:rPr>
          <w:sz w:val="22"/>
          <w:szCs w:val="22"/>
        </w:rPr>
        <w:t xml:space="preserve"> je v rozmedzí od 1,8 do 5,2 hodiny. </w:t>
      </w:r>
      <w:r w:rsidR="0068713E" w:rsidRPr="00776865">
        <w:rPr>
          <w:sz w:val="22"/>
          <w:szCs w:val="22"/>
        </w:rPr>
        <w:t>C</w:t>
      </w:r>
      <w:r w:rsidRPr="00776865">
        <w:rPr>
          <w:sz w:val="22"/>
          <w:szCs w:val="22"/>
        </w:rPr>
        <w:t xml:space="preserve">elkový </w:t>
      </w:r>
      <w:proofErr w:type="spellStart"/>
      <w:r w:rsidRPr="00776865">
        <w:rPr>
          <w:sz w:val="22"/>
          <w:szCs w:val="22"/>
        </w:rPr>
        <w:t>klírens</w:t>
      </w:r>
      <w:proofErr w:type="spellEnd"/>
      <w:r w:rsidRPr="00776865">
        <w:rPr>
          <w:sz w:val="22"/>
          <w:szCs w:val="22"/>
        </w:rPr>
        <w:t xml:space="preserve"> je približne 5 </w:t>
      </w:r>
      <w:r w:rsidR="009C42C4" w:rsidRPr="00776865">
        <w:rPr>
          <w:sz w:val="22"/>
          <w:szCs w:val="22"/>
        </w:rPr>
        <w:t>–</w:t>
      </w:r>
      <w:r w:rsidRPr="00776865">
        <w:rPr>
          <w:sz w:val="22"/>
          <w:szCs w:val="22"/>
        </w:rPr>
        <w:t xml:space="preserve"> 6 ml/min/kg.</w:t>
      </w:r>
    </w:p>
    <w:p w14:paraId="5BFD9C40" w14:textId="77777777" w:rsidR="000F2E71" w:rsidRPr="00683CE0" w:rsidRDefault="000F2E71" w:rsidP="008A1CFF">
      <w:pPr>
        <w:tabs>
          <w:tab w:val="left" w:pos="567"/>
        </w:tabs>
        <w:rPr>
          <w:sz w:val="22"/>
          <w:szCs w:val="22"/>
        </w:rPr>
      </w:pPr>
    </w:p>
    <w:p w14:paraId="2B603165" w14:textId="77777777" w:rsidR="000F2E71" w:rsidRPr="00A11CA4" w:rsidRDefault="00C24F7F" w:rsidP="008A1CFF">
      <w:pPr>
        <w:tabs>
          <w:tab w:val="left" w:pos="567"/>
        </w:tabs>
        <w:rPr>
          <w:sz w:val="22"/>
          <w:szCs w:val="22"/>
        </w:rPr>
      </w:pPr>
      <w:r w:rsidRPr="00A11CA4">
        <w:rPr>
          <w:b/>
          <w:sz w:val="22"/>
          <w:szCs w:val="22"/>
        </w:rPr>
        <w:t>5.3</w:t>
      </w:r>
      <w:r w:rsidRPr="00A11CA4">
        <w:rPr>
          <w:b/>
          <w:sz w:val="22"/>
          <w:szCs w:val="22"/>
        </w:rPr>
        <w:tab/>
        <w:t>Predklinické údaje o bezpečnosti</w:t>
      </w:r>
    </w:p>
    <w:p w14:paraId="2453C9FB" w14:textId="77777777" w:rsidR="000F2E71" w:rsidRPr="000E48B1" w:rsidRDefault="000F2E71" w:rsidP="008A1CFF">
      <w:pPr>
        <w:tabs>
          <w:tab w:val="left" w:pos="567"/>
        </w:tabs>
        <w:rPr>
          <w:sz w:val="22"/>
          <w:szCs w:val="22"/>
        </w:rPr>
      </w:pPr>
    </w:p>
    <w:p w14:paraId="3D78774D" w14:textId="77777777" w:rsidR="00E4561A" w:rsidRPr="006B156F" w:rsidRDefault="00E4561A" w:rsidP="00E4561A">
      <w:pPr>
        <w:tabs>
          <w:tab w:val="left" w:pos="567"/>
        </w:tabs>
        <w:rPr>
          <w:bCs/>
          <w:sz w:val="22"/>
          <w:szCs w:val="22"/>
        </w:rPr>
      </w:pPr>
      <w:r>
        <w:rPr>
          <w:bCs/>
          <w:sz w:val="22"/>
          <w:szCs w:val="22"/>
        </w:rPr>
        <w:t>Nežiaduce účinky neboli pozorované v</w:t>
      </w:r>
      <w:r w:rsidR="00BE49D8">
        <w:rPr>
          <w:bCs/>
          <w:sz w:val="22"/>
          <w:szCs w:val="22"/>
        </w:rPr>
        <w:t> klinických skúšaniach u</w:t>
      </w:r>
      <w:r>
        <w:rPr>
          <w:bCs/>
          <w:sz w:val="22"/>
          <w:szCs w:val="22"/>
        </w:rPr>
        <w:t xml:space="preserve"> ľu</w:t>
      </w:r>
      <w:r w:rsidR="00BE49D8">
        <w:rPr>
          <w:bCs/>
          <w:sz w:val="22"/>
          <w:szCs w:val="22"/>
        </w:rPr>
        <w:t>dí</w:t>
      </w:r>
      <w:r>
        <w:rPr>
          <w:bCs/>
          <w:sz w:val="22"/>
          <w:szCs w:val="22"/>
        </w:rPr>
        <w:t>, no boli pozorované v štúdiách na zvieratách pri dávkach porovnateľných s dávkami používanými v klinickej praxi a ich význam je preto zatiaľ neistý.</w:t>
      </w:r>
    </w:p>
    <w:p w14:paraId="5185AC00" w14:textId="77777777" w:rsidR="00A64902" w:rsidRPr="00C821CF" w:rsidRDefault="009F27FC" w:rsidP="00A64902">
      <w:pPr>
        <w:tabs>
          <w:tab w:val="left" w:pos="120"/>
          <w:tab w:val="left" w:pos="600"/>
          <w:tab w:val="left" w:pos="4200"/>
          <w:tab w:val="left" w:pos="5280"/>
        </w:tabs>
        <w:suppressAutoHyphens/>
        <w:rPr>
          <w:sz w:val="22"/>
          <w:szCs w:val="22"/>
        </w:rPr>
      </w:pPr>
      <w:r w:rsidRPr="007205A1">
        <w:rPr>
          <w:sz w:val="22"/>
          <w:szCs w:val="22"/>
        </w:rPr>
        <w:t>Predpokladá sa, že toxicity zistené v</w:t>
      </w:r>
      <w:r w:rsidR="009C42C4" w:rsidRPr="00AA7990">
        <w:rPr>
          <w:sz w:val="22"/>
          <w:szCs w:val="22"/>
        </w:rPr>
        <w:t> </w:t>
      </w:r>
      <w:r w:rsidRPr="005867D5">
        <w:rPr>
          <w:sz w:val="22"/>
          <w:szCs w:val="22"/>
        </w:rPr>
        <w:t>štúdiách po opakovanom podaní sa vyskytujú pri</w:t>
      </w:r>
      <w:r w:rsidR="00720E89">
        <w:rPr>
          <w:sz w:val="22"/>
          <w:szCs w:val="22"/>
        </w:rPr>
        <w:t> </w:t>
      </w:r>
      <w:r w:rsidRPr="005867D5">
        <w:rPr>
          <w:sz w:val="22"/>
          <w:szCs w:val="22"/>
        </w:rPr>
        <w:t>kontinuálnej expozícii exo</w:t>
      </w:r>
      <w:r w:rsidRPr="00BF06EA">
        <w:rPr>
          <w:sz w:val="22"/>
          <w:szCs w:val="22"/>
        </w:rPr>
        <w:t xml:space="preserve">génnymi </w:t>
      </w:r>
      <w:proofErr w:type="spellStart"/>
      <w:r w:rsidRPr="00BF06EA">
        <w:rPr>
          <w:sz w:val="22"/>
          <w:szCs w:val="22"/>
        </w:rPr>
        <w:t>adrenokortikálnymi</w:t>
      </w:r>
      <w:proofErr w:type="spellEnd"/>
      <w:r w:rsidRPr="00BF06EA">
        <w:rPr>
          <w:sz w:val="22"/>
          <w:szCs w:val="22"/>
        </w:rPr>
        <w:t xml:space="preserve"> </w:t>
      </w:r>
      <w:proofErr w:type="spellStart"/>
      <w:r w:rsidRPr="00BF06EA">
        <w:rPr>
          <w:sz w:val="22"/>
          <w:szCs w:val="22"/>
        </w:rPr>
        <w:t>steroidmi</w:t>
      </w:r>
      <w:proofErr w:type="spellEnd"/>
      <w:r w:rsidRPr="00BF06EA">
        <w:rPr>
          <w:sz w:val="22"/>
          <w:szCs w:val="22"/>
        </w:rPr>
        <w:t>.</w:t>
      </w:r>
    </w:p>
    <w:p w14:paraId="10244C7A" w14:textId="77777777" w:rsidR="00A64902" w:rsidRPr="00C821CF" w:rsidRDefault="00A64902" w:rsidP="00A64902">
      <w:pPr>
        <w:tabs>
          <w:tab w:val="left" w:pos="120"/>
          <w:tab w:val="left" w:pos="600"/>
          <w:tab w:val="left" w:pos="4200"/>
          <w:tab w:val="left" w:pos="5280"/>
        </w:tabs>
        <w:suppressAutoHyphens/>
        <w:rPr>
          <w:sz w:val="22"/>
          <w:szCs w:val="22"/>
        </w:rPr>
      </w:pPr>
    </w:p>
    <w:p w14:paraId="5B969AF1" w14:textId="77777777" w:rsidR="00A64902" w:rsidRPr="00C821CF" w:rsidRDefault="000F2E71" w:rsidP="00665C1B">
      <w:pPr>
        <w:keepNext/>
        <w:tabs>
          <w:tab w:val="left" w:pos="120"/>
          <w:tab w:val="left" w:pos="600"/>
          <w:tab w:val="left" w:pos="4200"/>
          <w:tab w:val="left" w:pos="5280"/>
        </w:tabs>
        <w:suppressAutoHyphens/>
        <w:rPr>
          <w:sz w:val="22"/>
          <w:szCs w:val="22"/>
        </w:rPr>
      </w:pPr>
      <w:r w:rsidRPr="00AB0507">
        <w:rPr>
          <w:sz w:val="22"/>
          <w:szCs w:val="22"/>
          <w:u w:val="single"/>
        </w:rPr>
        <w:t>Karcinogénny potenciál</w:t>
      </w:r>
    </w:p>
    <w:p w14:paraId="3BC2F95A" w14:textId="77777777" w:rsidR="00115E3C" w:rsidRPr="00F13490" w:rsidRDefault="000F2E71" w:rsidP="006E5190">
      <w:pPr>
        <w:textAlignment w:val="top"/>
        <w:rPr>
          <w:sz w:val="22"/>
          <w:szCs w:val="22"/>
        </w:rPr>
      </w:pPr>
      <w:r w:rsidRPr="00AB0507">
        <w:rPr>
          <w:noProof/>
          <w:sz w:val="22"/>
          <w:szCs w:val="22"/>
        </w:rPr>
        <w:t xml:space="preserve">Metylprednizolón sa oficiálne nevyhodnocoval v štúdiách karcinogenity </w:t>
      </w:r>
      <w:r w:rsidR="009C42C4" w:rsidRPr="00AB0507">
        <w:rPr>
          <w:noProof/>
          <w:sz w:val="22"/>
          <w:szCs w:val="22"/>
        </w:rPr>
        <w:t>u</w:t>
      </w:r>
      <w:r w:rsidRPr="005C567E">
        <w:rPr>
          <w:noProof/>
          <w:sz w:val="22"/>
          <w:szCs w:val="22"/>
        </w:rPr>
        <w:t xml:space="preserve"> hlodavco</w:t>
      </w:r>
      <w:r w:rsidR="009C42C4" w:rsidRPr="005C567E">
        <w:rPr>
          <w:noProof/>
          <w:sz w:val="22"/>
          <w:szCs w:val="22"/>
        </w:rPr>
        <w:t>v</w:t>
      </w:r>
      <w:r w:rsidRPr="004D4405">
        <w:rPr>
          <w:noProof/>
          <w:sz w:val="22"/>
          <w:szCs w:val="22"/>
        </w:rPr>
        <w:t>. Získali sa variabilné výsledky s inými glukokortikoidmi, ktorých karcinogénnosť sa testovala na myšiach a potkanoch. Zo zverejnených údajov však vyplýva, že niekoľko príbuzných glukokortikoid</w:t>
      </w:r>
      <w:r w:rsidRPr="00905DB4">
        <w:rPr>
          <w:noProof/>
          <w:sz w:val="22"/>
          <w:szCs w:val="22"/>
        </w:rPr>
        <w:t xml:space="preserve">ov, vrátane budezonidu, prednizolónu a triamcinolón acetonidu, môže zvyšovať incidenciu hepatocelulárnych adenómov a karcinómov </w:t>
      </w:r>
      <w:r w:rsidR="00CF04B5" w:rsidRPr="00CF22B7">
        <w:rPr>
          <w:noProof/>
          <w:sz w:val="22"/>
          <w:szCs w:val="22"/>
        </w:rPr>
        <w:t xml:space="preserve">po </w:t>
      </w:r>
      <w:r w:rsidR="008B0E0E" w:rsidRPr="00776865">
        <w:rPr>
          <w:noProof/>
          <w:sz w:val="22"/>
          <w:szCs w:val="22"/>
        </w:rPr>
        <w:t>perorálnom podaní</w:t>
      </w:r>
      <w:r w:rsidRPr="00776865">
        <w:rPr>
          <w:noProof/>
          <w:sz w:val="22"/>
          <w:szCs w:val="22"/>
        </w:rPr>
        <w:t xml:space="preserve"> sam</w:t>
      </w:r>
      <w:r w:rsidR="009C42C4" w:rsidRPr="00776865">
        <w:rPr>
          <w:noProof/>
          <w:sz w:val="22"/>
          <w:szCs w:val="22"/>
        </w:rPr>
        <w:t>c</w:t>
      </w:r>
      <w:r w:rsidRPr="00776865">
        <w:rPr>
          <w:noProof/>
          <w:sz w:val="22"/>
          <w:szCs w:val="22"/>
        </w:rPr>
        <w:t>om potkanov v pitnej vode. K týmto tumorogénnym účinkom dochádzalo v dávkach, ktoré boli nižšie ako typ</w:t>
      </w:r>
      <w:r w:rsidRPr="00683CE0">
        <w:rPr>
          <w:noProof/>
          <w:sz w:val="22"/>
          <w:szCs w:val="22"/>
        </w:rPr>
        <w:t>ické klinické dáv</w:t>
      </w:r>
      <w:r w:rsidRPr="00A11CA4">
        <w:rPr>
          <w:noProof/>
          <w:sz w:val="22"/>
          <w:szCs w:val="22"/>
        </w:rPr>
        <w:t xml:space="preserve">ky </w:t>
      </w:r>
      <w:r w:rsidR="00B363D2" w:rsidRPr="00A11CA4">
        <w:rPr>
          <w:noProof/>
          <w:sz w:val="22"/>
          <w:szCs w:val="22"/>
        </w:rPr>
        <w:t>v</w:t>
      </w:r>
      <w:r w:rsidRPr="00A11CA4">
        <w:rPr>
          <w:noProof/>
          <w:sz w:val="22"/>
          <w:szCs w:val="22"/>
        </w:rPr>
        <w:t xml:space="preserve"> mg/m</w:t>
      </w:r>
      <w:r w:rsidRPr="00A11CA4">
        <w:rPr>
          <w:noProof/>
          <w:sz w:val="22"/>
          <w:szCs w:val="22"/>
          <w:vertAlign w:val="superscript"/>
        </w:rPr>
        <w:t>2</w:t>
      </w:r>
      <w:r w:rsidRPr="000E48B1">
        <w:rPr>
          <w:noProof/>
          <w:sz w:val="22"/>
          <w:szCs w:val="22"/>
        </w:rPr>
        <w:t>.</w:t>
      </w:r>
    </w:p>
    <w:p w14:paraId="41E4B774" w14:textId="77777777" w:rsidR="00A64902" w:rsidRPr="00C821CF" w:rsidRDefault="00A64902" w:rsidP="00A64902">
      <w:pPr>
        <w:tabs>
          <w:tab w:val="left" w:pos="120"/>
          <w:tab w:val="left" w:pos="600"/>
          <w:tab w:val="left" w:pos="4200"/>
          <w:tab w:val="left" w:pos="5280"/>
        </w:tabs>
        <w:suppressAutoHyphens/>
        <w:rPr>
          <w:sz w:val="22"/>
          <w:szCs w:val="22"/>
        </w:rPr>
      </w:pPr>
    </w:p>
    <w:p w14:paraId="7E5EBB19" w14:textId="77777777" w:rsidR="00566558" w:rsidRPr="00242DA2" w:rsidRDefault="000F2E71" w:rsidP="00907879">
      <w:pPr>
        <w:tabs>
          <w:tab w:val="left" w:pos="120"/>
          <w:tab w:val="left" w:pos="600"/>
          <w:tab w:val="left" w:pos="4200"/>
          <w:tab w:val="left" w:pos="5280"/>
        </w:tabs>
        <w:suppressAutoHyphens/>
        <w:rPr>
          <w:sz w:val="22"/>
          <w:szCs w:val="22"/>
          <w:u w:val="single"/>
        </w:rPr>
      </w:pPr>
      <w:r w:rsidRPr="0036093B">
        <w:rPr>
          <w:sz w:val="22"/>
          <w:szCs w:val="22"/>
          <w:u w:val="single"/>
        </w:rPr>
        <w:t>Mutagénny potenciál</w:t>
      </w:r>
    </w:p>
    <w:p w14:paraId="133CA5BF" w14:textId="77777777" w:rsidR="00907879" w:rsidRPr="000D37C2" w:rsidRDefault="000F2E71" w:rsidP="00907879">
      <w:pPr>
        <w:tabs>
          <w:tab w:val="left" w:pos="120"/>
          <w:tab w:val="left" w:pos="600"/>
          <w:tab w:val="left" w:pos="4200"/>
          <w:tab w:val="left" w:pos="5280"/>
        </w:tabs>
        <w:suppressAutoHyphens/>
        <w:rPr>
          <w:noProof/>
          <w:sz w:val="22"/>
          <w:szCs w:val="22"/>
        </w:rPr>
      </w:pPr>
      <w:r w:rsidRPr="009E54B4">
        <w:rPr>
          <w:noProof/>
          <w:sz w:val="22"/>
          <w:szCs w:val="22"/>
        </w:rPr>
        <w:t>Metylprednizolón sa oficiálne nevyhodn</w:t>
      </w:r>
      <w:r w:rsidRPr="00145F40">
        <w:rPr>
          <w:noProof/>
          <w:sz w:val="22"/>
          <w:szCs w:val="22"/>
        </w:rPr>
        <w:t>ocoval z hľadiska genotoxicity. Avšak metylprednizolónsulfonát, ktorého štruktúra sa podobá štruktúre metylprednizolónu, nebol mutagénny s metabolickou alebo bez metabolickej aktivácie v </w:t>
      </w:r>
      <w:r w:rsidRPr="00FD13A6">
        <w:rPr>
          <w:i/>
          <w:noProof/>
          <w:sz w:val="22"/>
          <w:szCs w:val="22"/>
        </w:rPr>
        <w:t>Salmonella typhimurium</w:t>
      </w:r>
      <w:r w:rsidRPr="000D1EAA">
        <w:rPr>
          <w:noProof/>
          <w:sz w:val="22"/>
          <w:szCs w:val="22"/>
        </w:rPr>
        <w:t xml:space="preserve"> pri 250 až 2 000 </w:t>
      </w:r>
      <w:r w:rsidR="00C93AFA" w:rsidRPr="003B490D">
        <w:rPr>
          <w:noProof/>
          <w:sz w:val="22"/>
          <w:szCs w:val="22"/>
        </w:rPr>
        <w:t>mikrogramov</w:t>
      </w:r>
      <w:r w:rsidRPr="005F09FD">
        <w:rPr>
          <w:noProof/>
          <w:sz w:val="22"/>
          <w:szCs w:val="22"/>
        </w:rPr>
        <w:t>/platňu alebo v ci</w:t>
      </w:r>
      <w:r w:rsidRPr="00D21F26">
        <w:rPr>
          <w:noProof/>
          <w:sz w:val="22"/>
          <w:szCs w:val="22"/>
        </w:rPr>
        <w:t xml:space="preserve">cavčom bunkovom génovom mutačnom teste využívajúcom vaječníkové bunky čínskeho škrečka pri 2 000 až 10 000 </w:t>
      </w:r>
      <w:r w:rsidR="00C93AFA" w:rsidRPr="007B3224">
        <w:rPr>
          <w:noProof/>
          <w:sz w:val="22"/>
          <w:szCs w:val="22"/>
        </w:rPr>
        <w:t>mikrogramov</w:t>
      </w:r>
      <w:r w:rsidRPr="008E567D">
        <w:rPr>
          <w:noProof/>
          <w:sz w:val="22"/>
          <w:szCs w:val="22"/>
        </w:rPr>
        <w:t xml:space="preserve">/ml. </w:t>
      </w:r>
      <w:r w:rsidRPr="008E567D">
        <w:rPr>
          <w:noProof/>
          <w:sz w:val="22"/>
          <w:szCs w:val="22"/>
        </w:rPr>
        <w:lastRenderedPageBreak/>
        <w:t>Metylprednizolónsul</w:t>
      </w:r>
      <w:r w:rsidR="00FD045C" w:rsidRPr="008E567D">
        <w:rPr>
          <w:noProof/>
          <w:sz w:val="22"/>
          <w:szCs w:val="22"/>
        </w:rPr>
        <w:t>eptan</w:t>
      </w:r>
      <w:r w:rsidRPr="008E6EE5">
        <w:rPr>
          <w:noProof/>
          <w:sz w:val="22"/>
          <w:szCs w:val="22"/>
        </w:rPr>
        <w:t xml:space="preserve">át neindukoval neplánovanú DNA syntézu v primárnych hepatocytoch </w:t>
      </w:r>
      <w:r w:rsidR="00C93AFA" w:rsidRPr="008E6EE5">
        <w:rPr>
          <w:noProof/>
          <w:sz w:val="22"/>
          <w:szCs w:val="22"/>
        </w:rPr>
        <w:t xml:space="preserve">u potkanov </w:t>
      </w:r>
      <w:r w:rsidRPr="008E6EE5">
        <w:rPr>
          <w:noProof/>
          <w:sz w:val="22"/>
          <w:szCs w:val="22"/>
        </w:rPr>
        <w:t>pri 5 až 1</w:t>
      </w:r>
      <w:r w:rsidRPr="00F730DB">
        <w:rPr>
          <w:noProof/>
          <w:sz w:val="22"/>
          <w:szCs w:val="22"/>
        </w:rPr>
        <w:t xml:space="preserve"> 000 </w:t>
      </w:r>
      <w:r w:rsidR="00C93AFA" w:rsidRPr="00F730DB">
        <w:rPr>
          <w:noProof/>
          <w:sz w:val="22"/>
          <w:szCs w:val="22"/>
        </w:rPr>
        <w:t>mikrogramov</w:t>
      </w:r>
      <w:r w:rsidRPr="00BE08DD">
        <w:rPr>
          <w:noProof/>
          <w:sz w:val="22"/>
          <w:szCs w:val="22"/>
        </w:rPr>
        <w:t>/ml</w:t>
      </w:r>
      <w:r w:rsidRPr="0067303A">
        <w:rPr>
          <w:noProof/>
          <w:sz w:val="22"/>
          <w:szCs w:val="22"/>
        </w:rPr>
        <w:t>. Okrem toho z prieskumu zverejnených údajov vyplýva, že prednizolónfarnezylát (PNF), ktorý má podobnú štruktúru ako metylprednizolón, nebol mutagénny s metabolickou aktiváciou alebo bez metabolickej aktivácie v </w:t>
      </w:r>
      <w:r w:rsidRPr="004365DD">
        <w:rPr>
          <w:i/>
          <w:noProof/>
          <w:sz w:val="22"/>
          <w:szCs w:val="22"/>
        </w:rPr>
        <w:t>Salmonella typhimurium</w:t>
      </w:r>
      <w:r w:rsidRPr="00C73B56">
        <w:rPr>
          <w:noProof/>
          <w:sz w:val="22"/>
          <w:szCs w:val="22"/>
        </w:rPr>
        <w:t xml:space="preserve"> a </w:t>
      </w:r>
      <w:r w:rsidRPr="008D7A31">
        <w:rPr>
          <w:i/>
          <w:noProof/>
          <w:sz w:val="22"/>
          <w:szCs w:val="22"/>
        </w:rPr>
        <w:t>Escherichia coli</w:t>
      </w:r>
      <w:r w:rsidRPr="005F5596">
        <w:rPr>
          <w:noProof/>
          <w:sz w:val="22"/>
          <w:szCs w:val="22"/>
        </w:rPr>
        <w:t xml:space="preserve"> km</w:t>
      </w:r>
      <w:r w:rsidRPr="00774CAA">
        <w:rPr>
          <w:noProof/>
          <w:sz w:val="22"/>
          <w:szCs w:val="22"/>
        </w:rPr>
        <w:t xml:space="preserve">eňoch pri 312 až 5 000 </w:t>
      </w:r>
      <w:r w:rsidR="00C93AFA" w:rsidRPr="00774CAA">
        <w:rPr>
          <w:noProof/>
          <w:sz w:val="22"/>
          <w:szCs w:val="22"/>
        </w:rPr>
        <w:t>mikrogramov</w:t>
      </w:r>
      <w:r w:rsidRPr="009B35FA">
        <w:rPr>
          <w:noProof/>
          <w:sz w:val="22"/>
          <w:szCs w:val="22"/>
        </w:rPr>
        <w:t>/platňu. V línii fibroblastových buniek čínskeho škrečka spôsobil PNF mierne zvýšenie incidencie štrukturálnych chromozomálnych aberácií s metabolickou aktiváciou pri najvyššej testovanej koncentrácii 1</w:t>
      </w:r>
      <w:r w:rsidR="00C93AFA" w:rsidRPr="00234067">
        <w:rPr>
          <w:noProof/>
          <w:sz w:val="22"/>
          <w:szCs w:val="22"/>
        </w:rPr>
        <w:t> </w:t>
      </w:r>
      <w:r w:rsidRPr="000D37C2">
        <w:rPr>
          <w:noProof/>
          <w:sz w:val="22"/>
          <w:szCs w:val="22"/>
        </w:rPr>
        <w:t>500</w:t>
      </w:r>
      <w:r w:rsidR="00C93AFA" w:rsidRPr="000D37C2">
        <w:rPr>
          <w:noProof/>
          <w:sz w:val="22"/>
          <w:szCs w:val="22"/>
        </w:rPr>
        <w:t> mikrogramov</w:t>
      </w:r>
      <w:r w:rsidRPr="000D37C2">
        <w:rPr>
          <w:noProof/>
          <w:sz w:val="22"/>
          <w:szCs w:val="22"/>
        </w:rPr>
        <w:t>/ml.</w:t>
      </w:r>
    </w:p>
    <w:p w14:paraId="18AF4703" w14:textId="77777777" w:rsidR="00A64902" w:rsidRPr="00C821CF" w:rsidRDefault="00A64902" w:rsidP="00A64902">
      <w:pPr>
        <w:tabs>
          <w:tab w:val="left" w:pos="120"/>
          <w:tab w:val="left" w:pos="600"/>
          <w:tab w:val="left" w:pos="4200"/>
          <w:tab w:val="left" w:pos="5280"/>
        </w:tabs>
        <w:suppressAutoHyphens/>
        <w:rPr>
          <w:sz w:val="22"/>
          <w:szCs w:val="22"/>
        </w:rPr>
      </w:pPr>
    </w:p>
    <w:p w14:paraId="17440187" w14:textId="77777777" w:rsidR="00CC0363" w:rsidRPr="000D37C2" w:rsidRDefault="009F27FC" w:rsidP="006E5190">
      <w:pPr>
        <w:textAlignment w:val="top"/>
        <w:rPr>
          <w:sz w:val="22"/>
          <w:szCs w:val="22"/>
          <w:u w:val="single"/>
        </w:rPr>
      </w:pPr>
      <w:r w:rsidRPr="000D37C2">
        <w:rPr>
          <w:sz w:val="22"/>
          <w:szCs w:val="22"/>
          <w:u w:val="single"/>
        </w:rPr>
        <w:t>Reprodukčná toxicita</w:t>
      </w:r>
    </w:p>
    <w:p w14:paraId="26FB5DCE" w14:textId="77777777" w:rsidR="00CC0363" w:rsidRPr="00FC1191" w:rsidRDefault="000F2E71" w:rsidP="006E5190">
      <w:pPr>
        <w:tabs>
          <w:tab w:val="left" w:pos="120"/>
          <w:tab w:val="left" w:pos="600"/>
          <w:tab w:val="left" w:pos="4200"/>
          <w:tab w:val="left" w:pos="5280"/>
        </w:tabs>
        <w:suppressAutoHyphens/>
        <w:rPr>
          <w:sz w:val="22"/>
          <w:szCs w:val="22"/>
        </w:rPr>
      </w:pPr>
      <w:r w:rsidRPr="007050AD">
        <w:rPr>
          <w:sz w:val="22"/>
          <w:szCs w:val="22"/>
        </w:rPr>
        <w:t>Kortikosteroidy spôsobili zníženie plodnosti, keď boli podávané potkanom.</w:t>
      </w:r>
    </w:p>
    <w:p w14:paraId="144A5F70" w14:textId="77777777" w:rsidR="00907879" w:rsidRPr="00C821CF" w:rsidRDefault="000F2E71" w:rsidP="00907879">
      <w:pPr>
        <w:tabs>
          <w:tab w:val="left" w:pos="120"/>
          <w:tab w:val="left" w:pos="600"/>
          <w:tab w:val="left" w:pos="4200"/>
          <w:tab w:val="left" w:pos="5280"/>
        </w:tabs>
        <w:suppressAutoHyphens/>
        <w:rPr>
          <w:noProof/>
          <w:sz w:val="22"/>
          <w:szCs w:val="22"/>
        </w:rPr>
      </w:pPr>
      <w:r w:rsidRPr="009A0289">
        <w:rPr>
          <w:noProof/>
          <w:sz w:val="22"/>
          <w:szCs w:val="22"/>
        </w:rPr>
        <w:t>Sam</w:t>
      </w:r>
      <w:r w:rsidR="00C93AFA" w:rsidRPr="009A0289">
        <w:rPr>
          <w:noProof/>
          <w:sz w:val="22"/>
          <w:szCs w:val="22"/>
        </w:rPr>
        <w:t>c</w:t>
      </w:r>
      <w:r w:rsidRPr="00794FE0">
        <w:rPr>
          <w:noProof/>
          <w:sz w:val="22"/>
          <w:szCs w:val="22"/>
        </w:rPr>
        <w:t>om potkanov sa podával kortikosterón v dávkach 0,</w:t>
      </w:r>
      <w:r w:rsidR="00C93AFA" w:rsidRPr="00C821CF">
        <w:rPr>
          <w:noProof/>
          <w:sz w:val="22"/>
          <w:szCs w:val="22"/>
        </w:rPr>
        <w:t xml:space="preserve"> </w:t>
      </w:r>
      <w:r w:rsidRPr="00C821CF">
        <w:rPr>
          <w:noProof/>
          <w:sz w:val="22"/>
          <w:szCs w:val="22"/>
        </w:rPr>
        <w:t>10 a 25 mg/kg/deň subkutánnou injekciou raz denne počas 6 týždňov a párili sa s neošetrenými sami</w:t>
      </w:r>
      <w:r w:rsidR="00967FB9" w:rsidRPr="00C821CF">
        <w:rPr>
          <w:noProof/>
          <w:sz w:val="22"/>
          <w:szCs w:val="22"/>
        </w:rPr>
        <w:t>c</w:t>
      </w:r>
      <w:r w:rsidRPr="00C821CF">
        <w:rPr>
          <w:noProof/>
          <w:sz w:val="22"/>
          <w:szCs w:val="22"/>
        </w:rPr>
        <w:t>ami. Po 15. dni sa vysoká dávka znížila na 20 mg/kg/deň. Pozorovalo sa zníženie počtu kopulačných spojení, čo mohol byť sekundárny následok zníženia hmotnosti vedľajších orgánov. Znížil sa počet implantácií a živých plodov.</w:t>
      </w:r>
    </w:p>
    <w:p w14:paraId="043BF6A0" w14:textId="77777777" w:rsidR="00907879" w:rsidRPr="00C821CF" w:rsidRDefault="00907879" w:rsidP="006E5190">
      <w:pPr>
        <w:tabs>
          <w:tab w:val="left" w:pos="120"/>
          <w:tab w:val="left" w:pos="600"/>
          <w:tab w:val="left" w:pos="4200"/>
          <w:tab w:val="left" w:pos="5280"/>
        </w:tabs>
        <w:suppressAutoHyphens/>
        <w:rPr>
          <w:sz w:val="22"/>
          <w:szCs w:val="22"/>
        </w:rPr>
      </w:pPr>
    </w:p>
    <w:p w14:paraId="0B710EAD" w14:textId="77777777" w:rsidR="00CC0363" w:rsidRPr="00DF6909" w:rsidRDefault="00CC0363" w:rsidP="00C87D5C">
      <w:pPr>
        <w:tabs>
          <w:tab w:val="left" w:pos="120"/>
          <w:tab w:val="left" w:pos="600"/>
          <w:tab w:val="left" w:pos="4200"/>
          <w:tab w:val="left" w:pos="5280"/>
        </w:tabs>
        <w:suppressAutoHyphens/>
        <w:rPr>
          <w:sz w:val="22"/>
          <w:szCs w:val="22"/>
        </w:rPr>
      </w:pPr>
      <w:r w:rsidRPr="00C821CF">
        <w:rPr>
          <w:sz w:val="22"/>
          <w:szCs w:val="22"/>
        </w:rPr>
        <w:t xml:space="preserve">Kortikosteroidy sa </w:t>
      </w:r>
      <w:r w:rsidR="00C93AFA" w:rsidRPr="00C821CF">
        <w:rPr>
          <w:sz w:val="22"/>
          <w:szCs w:val="22"/>
        </w:rPr>
        <w:t>pre</w:t>
      </w:r>
      <w:r w:rsidRPr="00C821CF">
        <w:rPr>
          <w:sz w:val="22"/>
          <w:szCs w:val="22"/>
        </w:rPr>
        <w:t>ukázali ako teratogénne u mnohých druho</w:t>
      </w:r>
      <w:r w:rsidR="0083206D" w:rsidRPr="00C821CF">
        <w:rPr>
          <w:sz w:val="22"/>
          <w:szCs w:val="22"/>
        </w:rPr>
        <w:t>v</w:t>
      </w:r>
      <w:r w:rsidRPr="00C821CF">
        <w:rPr>
          <w:sz w:val="22"/>
          <w:szCs w:val="22"/>
        </w:rPr>
        <w:t xml:space="preserve"> pokiaľ užívali dávky ekvivalentné k ľudským dávkam. </w:t>
      </w:r>
      <w:r w:rsidR="008B0E0E" w:rsidRPr="00C821CF">
        <w:rPr>
          <w:sz w:val="22"/>
          <w:szCs w:val="22"/>
        </w:rPr>
        <w:t>V reprodukčných štúdiách</w:t>
      </w:r>
      <w:r w:rsidR="00C93AFA" w:rsidRPr="008510DC">
        <w:rPr>
          <w:sz w:val="22"/>
          <w:szCs w:val="22"/>
        </w:rPr>
        <w:t xml:space="preserve"> na zvieratách</w:t>
      </w:r>
      <w:r w:rsidR="008B0E0E" w:rsidRPr="008E127E">
        <w:rPr>
          <w:sz w:val="22"/>
          <w:szCs w:val="22"/>
        </w:rPr>
        <w:t xml:space="preserve">, glukokortikoidy ako </w:t>
      </w:r>
      <w:proofErr w:type="spellStart"/>
      <w:r w:rsidR="008B0E0E" w:rsidRPr="008E127E">
        <w:rPr>
          <w:sz w:val="22"/>
          <w:szCs w:val="22"/>
        </w:rPr>
        <w:t>metylprednizolón</w:t>
      </w:r>
      <w:proofErr w:type="spellEnd"/>
      <w:r w:rsidR="008B0E0E" w:rsidRPr="008E127E">
        <w:rPr>
          <w:sz w:val="22"/>
          <w:szCs w:val="22"/>
        </w:rPr>
        <w:t xml:space="preserve"> zvyšo</w:t>
      </w:r>
      <w:r w:rsidR="008B0E0E" w:rsidRPr="00C61107">
        <w:rPr>
          <w:sz w:val="22"/>
          <w:szCs w:val="22"/>
        </w:rPr>
        <w:t>val</w:t>
      </w:r>
      <w:r w:rsidR="00C50FA7" w:rsidRPr="00C61107">
        <w:rPr>
          <w:sz w:val="22"/>
          <w:szCs w:val="22"/>
        </w:rPr>
        <w:t>i</w:t>
      </w:r>
      <w:r w:rsidR="008B0E0E" w:rsidRPr="00303331">
        <w:rPr>
          <w:sz w:val="22"/>
          <w:szCs w:val="22"/>
        </w:rPr>
        <w:t xml:space="preserve"> </w:t>
      </w:r>
      <w:proofErr w:type="spellStart"/>
      <w:r w:rsidR="008B0E0E" w:rsidRPr="00303331">
        <w:rPr>
          <w:sz w:val="22"/>
          <w:szCs w:val="22"/>
        </w:rPr>
        <w:t>incidenciu</w:t>
      </w:r>
      <w:proofErr w:type="spellEnd"/>
      <w:r w:rsidR="008B0E0E" w:rsidRPr="00303331">
        <w:rPr>
          <w:sz w:val="22"/>
          <w:szCs w:val="22"/>
        </w:rPr>
        <w:t xml:space="preserve"> </w:t>
      </w:r>
      <w:proofErr w:type="spellStart"/>
      <w:r w:rsidR="008B0E0E" w:rsidRPr="00303331">
        <w:rPr>
          <w:sz w:val="22"/>
          <w:szCs w:val="22"/>
        </w:rPr>
        <w:t>malform</w:t>
      </w:r>
      <w:r w:rsidR="00C93AFA" w:rsidRPr="00404F4E">
        <w:rPr>
          <w:sz w:val="22"/>
          <w:szCs w:val="22"/>
        </w:rPr>
        <w:t>ácií</w:t>
      </w:r>
      <w:proofErr w:type="spellEnd"/>
      <w:r w:rsidR="008B0E0E" w:rsidRPr="00B4520D">
        <w:rPr>
          <w:sz w:val="22"/>
          <w:szCs w:val="22"/>
        </w:rPr>
        <w:t xml:space="preserve"> (rá</w:t>
      </w:r>
      <w:r w:rsidR="00C93AFA" w:rsidRPr="00DB4438">
        <w:rPr>
          <w:sz w:val="22"/>
          <w:szCs w:val="22"/>
        </w:rPr>
        <w:t>z</w:t>
      </w:r>
      <w:r w:rsidR="008B0E0E" w:rsidRPr="00DB4438">
        <w:rPr>
          <w:sz w:val="22"/>
          <w:szCs w:val="22"/>
        </w:rPr>
        <w:t xml:space="preserve">štep podnebia, kostrové </w:t>
      </w:r>
      <w:proofErr w:type="spellStart"/>
      <w:r w:rsidR="008B0E0E" w:rsidRPr="00DB4438">
        <w:rPr>
          <w:sz w:val="22"/>
          <w:szCs w:val="22"/>
        </w:rPr>
        <w:t>malform</w:t>
      </w:r>
      <w:r w:rsidR="00967FB9" w:rsidRPr="00DF6909">
        <w:rPr>
          <w:sz w:val="22"/>
          <w:szCs w:val="22"/>
        </w:rPr>
        <w:t>ácie</w:t>
      </w:r>
      <w:proofErr w:type="spellEnd"/>
      <w:r w:rsidR="008B0E0E" w:rsidRPr="00DF6909">
        <w:rPr>
          <w:sz w:val="22"/>
          <w:szCs w:val="22"/>
        </w:rPr>
        <w:t xml:space="preserve">), embryo-fetálnej letality (napr. zvýšenie </w:t>
      </w:r>
      <w:proofErr w:type="spellStart"/>
      <w:r w:rsidR="008B0E0E" w:rsidRPr="00DF6909">
        <w:rPr>
          <w:sz w:val="22"/>
          <w:szCs w:val="22"/>
        </w:rPr>
        <w:t>resorpcie</w:t>
      </w:r>
      <w:proofErr w:type="spellEnd"/>
      <w:r w:rsidR="008B0E0E" w:rsidRPr="00DF6909">
        <w:rPr>
          <w:sz w:val="22"/>
          <w:szCs w:val="22"/>
        </w:rPr>
        <w:t>) a vnútromaternicového spomalenia rastu.</w:t>
      </w:r>
    </w:p>
    <w:p w14:paraId="0B4CBF51" w14:textId="77777777" w:rsidR="00DD0276" w:rsidRPr="00E660EF" w:rsidRDefault="00DD0276" w:rsidP="00C87D5C">
      <w:pPr>
        <w:textAlignment w:val="top"/>
        <w:rPr>
          <w:sz w:val="22"/>
          <w:szCs w:val="22"/>
        </w:rPr>
      </w:pPr>
    </w:p>
    <w:p w14:paraId="1A54504F" w14:textId="77777777" w:rsidR="00DD0276" w:rsidRPr="00AB0507" w:rsidRDefault="00DD0276" w:rsidP="00AB0507">
      <w:pPr>
        <w:textAlignment w:val="top"/>
        <w:rPr>
          <w:sz w:val="22"/>
          <w:szCs w:val="22"/>
        </w:rPr>
      </w:pPr>
    </w:p>
    <w:p w14:paraId="2F999DEC" w14:textId="77777777" w:rsidR="000F2E71" w:rsidRPr="00AB0507" w:rsidRDefault="00C24F7F" w:rsidP="00E96686">
      <w:pPr>
        <w:tabs>
          <w:tab w:val="left" w:pos="567"/>
        </w:tabs>
        <w:rPr>
          <w:b/>
          <w:sz w:val="22"/>
          <w:szCs w:val="22"/>
        </w:rPr>
      </w:pPr>
      <w:r w:rsidRPr="00AB0507">
        <w:rPr>
          <w:b/>
          <w:sz w:val="22"/>
          <w:szCs w:val="22"/>
        </w:rPr>
        <w:t>6.</w:t>
      </w:r>
      <w:r w:rsidRPr="00AB0507">
        <w:rPr>
          <w:b/>
          <w:sz w:val="22"/>
          <w:szCs w:val="22"/>
        </w:rPr>
        <w:tab/>
        <w:t>FARMACEUTICKÉ INFORMÁCIE</w:t>
      </w:r>
    </w:p>
    <w:p w14:paraId="334C3B8E" w14:textId="77777777" w:rsidR="000F2E71" w:rsidRPr="001A6993" w:rsidRDefault="000F2E71" w:rsidP="00E96686">
      <w:pPr>
        <w:tabs>
          <w:tab w:val="left" w:pos="567"/>
        </w:tabs>
        <w:rPr>
          <w:bCs/>
          <w:sz w:val="22"/>
          <w:szCs w:val="22"/>
        </w:rPr>
      </w:pPr>
    </w:p>
    <w:p w14:paraId="0E9581BE" w14:textId="77777777" w:rsidR="000F2E71" w:rsidRPr="00AB0507" w:rsidRDefault="00A64902" w:rsidP="001A6993">
      <w:pPr>
        <w:tabs>
          <w:tab w:val="left" w:pos="567"/>
        </w:tabs>
        <w:rPr>
          <w:b/>
          <w:sz w:val="22"/>
          <w:szCs w:val="22"/>
        </w:rPr>
      </w:pPr>
      <w:r>
        <w:rPr>
          <w:b/>
          <w:sz w:val="22"/>
          <w:szCs w:val="22"/>
        </w:rPr>
        <w:t>6.1</w:t>
      </w:r>
      <w:r w:rsidR="00C24F7F" w:rsidRPr="00AB0507">
        <w:rPr>
          <w:b/>
          <w:sz w:val="22"/>
          <w:szCs w:val="22"/>
        </w:rPr>
        <w:tab/>
        <w:t>Zoznam pomocných látok</w:t>
      </w:r>
    </w:p>
    <w:p w14:paraId="189F109F" w14:textId="77777777" w:rsidR="000F2E71" w:rsidRPr="00AB0507" w:rsidRDefault="000F2E71" w:rsidP="00E96686">
      <w:pPr>
        <w:tabs>
          <w:tab w:val="left" w:pos="567"/>
        </w:tabs>
        <w:rPr>
          <w:sz w:val="22"/>
          <w:szCs w:val="22"/>
          <w:u w:val="single"/>
        </w:rPr>
      </w:pPr>
    </w:p>
    <w:p w14:paraId="294D58E3" w14:textId="77777777" w:rsidR="000F2E71" w:rsidRPr="00AB0507" w:rsidRDefault="00C24F7F" w:rsidP="00E96686">
      <w:pPr>
        <w:tabs>
          <w:tab w:val="left" w:pos="567"/>
        </w:tabs>
        <w:rPr>
          <w:sz w:val="22"/>
          <w:szCs w:val="22"/>
        </w:rPr>
      </w:pPr>
      <w:r w:rsidRPr="00AB0507">
        <w:rPr>
          <w:sz w:val="22"/>
          <w:szCs w:val="22"/>
        </w:rPr>
        <w:t>SOLU-MEDROL 40 mg:</w:t>
      </w:r>
    </w:p>
    <w:p w14:paraId="1757CDFD" w14:textId="77777777" w:rsidR="00100C52" w:rsidRPr="00AB0507" w:rsidRDefault="00100C52" w:rsidP="00E96686">
      <w:pPr>
        <w:tabs>
          <w:tab w:val="left" w:pos="567"/>
        </w:tabs>
        <w:rPr>
          <w:sz w:val="22"/>
          <w:szCs w:val="22"/>
        </w:rPr>
      </w:pPr>
    </w:p>
    <w:p w14:paraId="1E862E5E" w14:textId="77777777" w:rsidR="00100C52" w:rsidRPr="00AB0507" w:rsidRDefault="00C24F7F" w:rsidP="00E96686">
      <w:pPr>
        <w:tabs>
          <w:tab w:val="left" w:pos="567"/>
        </w:tabs>
        <w:rPr>
          <w:sz w:val="22"/>
          <w:szCs w:val="22"/>
        </w:rPr>
      </w:pPr>
      <w:r w:rsidRPr="00AB0507">
        <w:rPr>
          <w:sz w:val="22"/>
          <w:szCs w:val="22"/>
          <w:u w:val="single"/>
        </w:rPr>
        <w:t>Prášok na injekčný roztok:</w:t>
      </w:r>
    </w:p>
    <w:p w14:paraId="1CAD7C41" w14:textId="77777777" w:rsidR="00100C52" w:rsidRPr="00AB0507" w:rsidRDefault="00472CC5" w:rsidP="00E96686">
      <w:pPr>
        <w:tabs>
          <w:tab w:val="left" w:pos="567"/>
        </w:tabs>
        <w:rPr>
          <w:sz w:val="22"/>
          <w:szCs w:val="22"/>
        </w:rPr>
      </w:pPr>
      <w:r>
        <w:rPr>
          <w:sz w:val="22"/>
          <w:szCs w:val="22"/>
        </w:rPr>
        <w:t>sacharóza</w:t>
      </w:r>
    </w:p>
    <w:p w14:paraId="4684949E" w14:textId="77777777" w:rsidR="00100C52" w:rsidRPr="00AB0507" w:rsidRDefault="0020551E" w:rsidP="00E96686">
      <w:pPr>
        <w:tabs>
          <w:tab w:val="left" w:pos="567"/>
        </w:tabs>
        <w:rPr>
          <w:sz w:val="22"/>
          <w:szCs w:val="22"/>
        </w:rPr>
      </w:pPr>
      <w:r w:rsidRPr="00AB0507">
        <w:rPr>
          <w:sz w:val="22"/>
          <w:szCs w:val="22"/>
          <w:lang w:val="cs-CZ"/>
        </w:rPr>
        <w:t xml:space="preserve">monohydrát </w:t>
      </w:r>
      <w:proofErr w:type="spellStart"/>
      <w:r w:rsidRPr="00AB0507">
        <w:rPr>
          <w:sz w:val="22"/>
          <w:szCs w:val="22"/>
          <w:lang w:val="cs-CZ"/>
        </w:rPr>
        <w:t>dihydrog</w:t>
      </w:r>
      <w:r w:rsidR="00A64902">
        <w:rPr>
          <w:sz w:val="22"/>
          <w:szCs w:val="22"/>
          <w:lang w:val="cs-CZ"/>
        </w:rPr>
        <w:t>e</w:t>
      </w:r>
      <w:r w:rsidRPr="00AB0507">
        <w:rPr>
          <w:sz w:val="22"/>
          <w:szCs w:val="22"/>
          <w:lang w:val="cs-CZ"/>
        </w:rPr>
        <w:t>nfosforečnanu</w:t>
      </w:r>
      <w:proofErr w:type="spellEnd"/>
      <w:r w:rsidR="00281A0B" w:rsidRPr="00AB0507">
        <w:rPr>
          <w:sz w:val="22"/>
          <w:szCs w:val="22"/>
          <w:lang w:val="cs-CZ"/>
        </w:rPr>
        <w:t xml:space="preserve"> sodného</w:t>
      </w:r>
    </w:p>
    <w:p w14:paraId="6746446B" w14:textId="77777777" w:rsidR="0084792A" w:rsidRPr="00AB0507" w:rsidRDefault="0020551E" w:rsidP="00E96686">
      <w:pPr>
        <w:tabs>
          <w:tab w:val="left" w:pos="567"/>
        </w:tabs>
        <w:rPr>
          <w:sz w:val="22"/>
          <w:szCs w:val="22"/>
        </w:rPr>
      </w:pPr>
      <w:proofErr w:type="spellStart"/>
      <w:r w:rsidRPr="00AB0507">
        <w:rPr>
          <w:sz w:val="22"/>
          <w:szCs w:val="22"/>
        </w:rPr>
        <w:t>hydrog</w:t>
      </w:r>
      <w:r w:rsidR="00A64902">
        <w:rPr>
          <w:sz w:val="22"/>
          <w:szCs w:val="22"/>
        </w:rPr>
        <w:t>e</w:t>
      </w:r>
      <w:r w:rsidRPr="00AB0507">
        <w:rPr>
          <w:sz w:val="22"/>
          <w:szCs w:val="22"/>
        </w:rPr>
        <w:t>nfosforečnan</w:t>
      </w:r>
      <w:proofErr w:type="spellEnd"/>
      <w:r w:rsidRPr="00AB0507">
        <w:rPr>
          <w:sz w:val="22"/>
          <w:szCs w:val="22"/>
        </w:rPr>
        <w:t xml:space="preserve"> sodný</w:t>
      </w:r>
    </w:p>
    <w:p w14:paraId="0DBBA09B" w14:textId="77777777" w:rsidR="000F2E71" w:rsidRPr="00AB0507" w:rsidRDefault="0084792A" w:rsidP="00E96686">
      <w:pPr>
        <w:tabs>
          <w:tab w:val="left" w:pos="567"/>
        </w:tabs>
        <w:rPr>
          <w:sz w:val="22"/>
          <w:szCs w:val="22"/>
        </w:rPr>
      </w:pPr>
      <w:r w:rsidRPr="00AB0507">
        <w:rPr>
          <w:sz w:val="22"/>
          <w:szCs w:val="22"/>
        </w:rPr>
        <w:t>hydroxid sodný (na úpravu pH)</w:t>
      </w:r>
      <w:r w:rsidR="00C24F7F" w:rsidRPr="00AB0507">
        <w:rPr>
          <w:sz w:val="22"/>
          <w:szCs w:val="22"/>
        </w:rPr>
        <w:t xml:space="preserve"> </w:t>
      </w:r>
    </w:p>
    <w:p w14:paraId="720D04B7" w14:textId="77777777" w:rsidR="00100C52" w:rsidRPr="00AB0507" w:rsidRDefault="00100C52" w:rsidP="00E96686">
      <w:pPr>
        <w:tabs>
          <w:tab w:val="left" w:pos="567"/>
        </w:tabs>
        <w:rPr>
          <w:sz w:val="22"/>
          <w:szCs w:val="22"/>
        </w:rPr>
      </w:pPr>
    </w:p>
    <w:p w14:paraId="787AD956" w14:textId="77777777" w:rsidR="00100C52" w:rsidRPr="00AB0507" w:rsidRDefault="00C24F7F" w:rsidP="00E96686">
      <w:pPr>
        <w:tabs>
          <w:tab w:val="left" w:pos="567"/>
        </w:tabs>
        <w:rPr>
          <w:sz w:val="22"/>
          <w:szCs w:val="22"/>
        </w:rPr>
      </w:pPr>
      <w:r w:rsidRPr="00AB0507">
        <w:rPr>
          <w:sz w:val="22"/>
          <w:szCs w:val="22"/>
          <w:u w:val="single"/>
        </w:rPr>
        <w:t>Rozpúšťadlo:</w:t>
      </w:r>
    </w:p>
    <w:p w14:paraId="1BF0B7FF" w14:textId="77777777" w:rsidR="00100C52" w:rsidRPr="00AB0507" w:rsidRDefault="00755EAC" w:rsidP="00E96686">
      <w:pPr>
        <w:tabs>
          <w:tab w:val="left" w:pos="567"/>
        </w:tabs>
        <w:rPr>
          <w:sz w:val="22"/>
          <w:szCs w:val="22"/>
        </w:rPr>
      </w:pPr>
      <w:r w:rsidRPr="00AB0507">
        <w:rPr>
          <w:sz w:val="22"/>
          <w:szCs w:val="22"/>
        </w:rPr>
        <w:t>voda na injekci</w:t>
      </w:r>
      <w:r w:rsidR="009B50AB" w:rsidRPr="00AB0507">
        <w:rPr>
          <w:sz w:val="22"/>
          <w:szCs w:val="22"/>
        </w:rPr>
        <w:t>e</w:t>
      </w:r>
    </w:p>
    <w:p w14:paraId="7CCF7FEF" w14:textId="77777777" w:rsidR="00100C52" w:rsidRPr="00AB0507" w:rsidRDefault="00100C52" w:rsidP="00E96686">
      <w:pPr>
        <w:tabs>
          <w:tab w:val="left" w:pos="567"/>
        </w:tabs>
        <w:rPr>
          <w:sz w:val="22"/>
          <w:szCs w:val="22"/>
        </w:rPr>
      </w:pPr>
    </w:p>
    <w:p w14:paraId="3F6BECE9" w14:textId="77777777" w:rsidR="0069797B" w:rsidRPr="00AB0507" w:rsidRDefault="00C24F7F" w:rsidP="00E96686">
      <w:pPr>
        <w:tabs>
          <w:tab w:val="left" w:pos="567"/>
        </w:tabs>
        <w:ind w:right="-710"/>
        <w:rPr>
          <w:sz w:val="22"/>
          <w:szCs w:val="22"/>
        </w:rPr>
      </w:pPr>
      <w:r w:rsidRPr="00AB0507">
        <w:rPr>
          <w:sz w:val="22"/>
          <w:szCs w:val="22"/>
        </w:rPr>
        <w:t>SOLU-MEDROL 125 mg, SOLU-MEDROL 250 mg:</w:t>
      </w:r>
    </w:p>
    <w:p w14:paraId="2A6C6E81" w14:textId="77777777" w:rsidR="0069797B" w:rsidRPr="00AB0507" w:rsidRDefault="0069797B" w:rsidP="00E96686">
      <w:pPr>
        <w:tabs>
          <w:tab w:val="left" w:pos="567"/>
        </w:tabs>
        <w:rPr>
          <w:sz w:val="22"/>
          <w:szCs w:val="22"/>
        </w:rPr>
      </w:pPr>
      <w:r w:rsidRPr="00AB0507">
        <w:rPr>
          <w:sz w:val="22"/>
          <w:szCs w:val="22"/>
          <w:u w:val="single"/>
        </w:rPr>
        <w:t>Prášok na injekčný roztok:</w:t>
      </w:r>
    </w:p>
    <w:p w14:paraId="1CD805C2" w14:textId="77777777" w:rsidR="0069797B" w:rsidRPr="00AB0507" w:rsidRDefault="0069797B" w:rsidP="00E96686">
      <w:pPr>
        <w:tabs>
          <w:tab w:val="left" w:pos="567"/>
        </w:tabs>
        <w:rPr>
          <w:sz w:val="22"/>
          <w:szCs w:val="22"/>
        </w:rPr>
      </w:pPr>
      <w:r w:rsidRPr="00AB0507">
        <w:rPr>
          <w:sz w:val="22"/>
          <w:szCs w:val="22"/>
          <w:lang w:val="cs-CZ"/>
        </w:rPr>
        <w:t xml:space="preserve">monohydrát </w:t>
      </w:r>
      <w:proofErr w:type="spellStart"/>
      <w:r w:rsidRPr="00AB0507">
        <w:rPr>
          <w:sz w:val="22"/>
          <w:szCs w:val="22"/>
          <w:lang w:val="cs-CZ"/>
        </w:rPr>
        <w:t>dihydrog</w:t>
      </w:r>
      <w:r w:rsidR="00A64902">
        <w:rPr>
          <w:sz w:val="22"/>
          <w:szCs w:val="22"/>
          <w:lang w:val="cs-CZ"/>
        </w:rPr>
        <w:t>e</w:t>
      </w:r>
      <w:r w:rsidRPr="00AB0507">
        <w:rPr>
          <w:sz w:val="22"/>
          <w:szCs w:val="22"/>
          <w:lang w:val="cs-CZ"/>
        </w:rPr>
        <w:t>nfosforečnanu</w:t>
      </w:r>
      <w:proofErr w:type="spellEnd"/>
      <w:r w:rsidRPr="00AB0507">
        <w:rPr>
          <w:sz w:val="22"/>
          <w:szCs w:val="22"/>
          <w:lang w:val="cs-CZ"/>
        </w:rPr>
        <w:t xml:space="preserve"> sodného</w:t>
      </w:r>
    </w:p>
    <w:p w14:paraId="2661B47A" w14:textId="77777777" w:rsidR="0069797B" w:rsidRPr="00AB0507" w:rsidRDefault="0069797B" w:rsidP="00E96686">
      <w:pPr>
        <w:tabs>
          <w:tab w:val="left" w:pos="567"/>
        </w:tabs>
        <w:rPr>
          <w:sz w:val="22"/>
          <w:szCs w:val="22"/>
        </w:rPr>
      </w:pPr>
      <w:proofErr w:type="spellStart"/>
      <w:r w:rsidRPr="00AB0507">
        <w:rPr>
          <w:sz w:val="22"/>
          <w:szCs w:val="22"/>
        </w:rPr>
        <w:t>hydrog</w:t>
      </w:r>
      <w:r w:rsidR="00A64902">
        <w:rPr>
          <w:sz w:val="22"/>
          <w:szCs w:val="22"/>
        </w:rPr>
        <w:t>e</w:t>
      </w:r>
      <w:r w:rsidRPr="00AB0507">
        <w:rPr>
          <w:sz w:val="22"/>
          <w:szCs w:val="22"/>
        </w:rPr>
        <w:t>nfosforečnan</w:t>
      </w:r>
      <w:proofErr w:type="spellEnd"/>
      <w:r w:rsidRPr="00AB0507">
        <w:rPr>
          <w:sz w:val="22"/>
          <w:szCs w:val="22"/>
        </w:rPr>
        <w:t xml:space="preserve"> sodný</w:t>
      </w:r>
    </w:p>
    <w:p w14:paraId="0D556D5D" w14:textId="77777777" w:rsidR="0084792A" w:rsidRPr="00AB0507" w:rsidRDefault="0084792A" w:rsidP="00E96686">
      <w:pPr>
        <w:tabs>
          <w:tab w:val="left" w:pos="567"/>
        </w:tabs>
        <w:rPr>
          <w:sz w:val="22"/>
          <w:szCs w:val="22"/>
        </w:rPr>
      </w:pPr>
      <w:r w:rsidRPr="00AB0507">
        <w:rPr>
          <w:sz w:val="22"/>
          <w:szCs w:val="22"/>
        </w:rPr>
        <w:t>hydroxid sodný (na úpravu pH)</w:t>
      </w:r>
    </w:p>
    <w:p w14:paraId="21512F60" w14:textId="77777777" w:rsidR="0069797B" w:rsidRPr="00AB0507" w:rsidRDefault="0069797B" w:rsidP="00E96686">
      <w:pPr>
        <w:tabs>
          <w:tab w:val="left" w:pos="567"/>
        </w:tabs>
        <w:rPr>
          <w:sz w:val="22"/>
          <w:szCs w:val="22"/>
        </w:rPr>
      </w:pPr>
    </w:p>
    <w:p w14:paraId="42933E42" w14:textId="77777777" w:rsidR="0069797B" w:rsidRPr="00AB0507" w:rsidRDefault="0069797B" w:rsidP="00E96686">
      <w:pPr>
        <w:tabs>
          <w:tab w:val="left" w:pos="567"/>
        </w:tabs>
        <w:rPr>
          <w:sz w:val="22"/>
          <w:szCs w:val="22"/>
        </w:rPr>
      </w:pPr>
      <w:r w:rsidRPr="00AB0507">
        <w:rPr>
          <w:sz w:val="22"/>
          <w:szCs w:val="22"/>
          <w:u w:val="single"/>
        </w:rPr>
        <w:t>Rozpúšťadlo:</w:t>
      </w:r>
    </w:p>
    <w:p w14:paraId="25C82F4A" w14:textId="77777777" w:rsidR="000F2E71" w:rsidRPr="00AB0507" w:rsidRDefault="0069797B" w:rsidP="00E96686">
      <w:pPr>
        <w:tabs>
          <w:tab w:val="left" w:pos="567"/>
        </w:tabs>
        <w:rPr>
          <w:sz w:val="22"/>
          <w:szCs w:val="22"/>
        </w:rPr>
      </w:pPr>
      <w:r w:rsidRPr="00AB0507">
        <w:rPr>
          <w:sz w:val="22"/>
          <w:szCs w:val="22"/>
        </w:rPr>
        <w:t>voda na injekcie</w:t>
      </w:r>
    </w:p>
    <w:p w14:paraId="0BCADE09" w14:textId="77777777" w:rsidR="00100C52" w:rsidRPr="00AB0507" w:rsidRDefault="00100C52" w:rsidP="00E96686">
      <w:pPr>
        <w:tabs>
          <w:tab w:val="left" w:pos="567"/>
        </w:tabs>
        <w:ind w:right="-710"/>
        <w:rPr>
          <w:sz w:val="22"/>
          <w:szCs w:val="22"/>
        </w:rPr>
      </w:pPr>
    </w:p>
    <w:p w14:paraId="00B4C2EF" w14:textId="77777777" w:rsidR="0069797B" w:rsidRPr="00AB0507" w:rsidRDefault="0069797B" w:rsidP="00E96686">
      <w:pPr>
        <w:tabs>
          <w:tab w:val="left" w:pos="567"/>
        </w:tabs>
        <w:ind w:right="-710"/>
        <w:rPr>
          <w:sz w:val="22"/>
          <w:szCs w:val="22"/>
        </w:rPr>
      </w:pPr>
      <w:r w:rsidRPr="00AB0507">
        <w:rPr>
          <w:sz w:val="22"/>
          <w:szCs w:val="22"/>
        </w:rPr>
        <w:t>SOLU-MEDROL 500 mg, SOLU-MEDROL 1 g:</w:t>
      </w:r>
    </w:p>
    <w:p w14:paraId="31A6FF20" w14:textId="77777777" w:rsidR="00100C52" w:rsidRPr="00AB0507" w:rsidRDefault="00C24F7F" w:rsidP="00E96686">
      <w:pPr>
        <w:tabs>
          <w:tab w:val="left" w:pos="567"/>
        </w:tabs>
        <w:rPr>
          <w:sz w:val="22"/>
          <w:szCs w:val="22"/>
        </w:rPr>
      </w:pPr>
      <w:r w:rsidRPr="00AB0507">
        <w:rPr>
          <w:sz w:val="22"/>
          <w:szCs w:val="22"/>
          <w:u w:val="single"/>
        </w:rPr>
        <w:t>Prášok na injekčný roztok:</w:t>
      </w:r>
    </w:p>
    <w:p w14:paraId="6E964038" w14:textId="77777777" w:rsidR="00100C52" w:rsidRPr="00AB0507" w:rsidRDefault="0020551E" w:rsidP="00E96686">
      <w:pPr>
        <w:tabs>
          <w:tab w:val="left" w:pos="567"/>
        </w:tabs>
        <w:rPr>
          <w:sz w:val="22"/>
          <w:szCs w:val="22"/>
        </w:rPr>
      </w:pPr>
      <w:r w:rsidRPr="00AB0507">
        <w:rPr>
          <w:sz w:val="22"/>
          <w:szCs w:val="22"/>
          <w:lang w:val="cs-CZ"/>
        </w:rPr>
        <w:t xml:space="preserve">monohydrát </w:t>
      </w:r>
      <w:proofErr w:type="spellStart"/>
      <w:r w:rsidRPr="00AB0507">
        <w:rPr>
          <w:sz w:val="22"/>
          <w:szCs w:val="22"/>
          <w:lang w:val="cs-CZ"/>
        </w:rPr>
        <w:t>dihydrog</w:t>
      </w:r>
      <w:r w:rsidR="00A64902">
        <w:rPr>
          <w:sz w:val="22"/>
          <w:szCs w:val="22"/>
          <w:lang w:val="cs-CZ"/>
        </w:rPr>
        <w:t>e</w:t>
      </w:r>
      <w:r w:rsidRPr="00AB0507">
        <w:rPr>
          <w:sz w:val="22"/>
          <w:szCs w:val="22"/>
          <w:lang w:val="cs-CZ"/>
        </w:rPr>
        <w:t>nfosforečnanu</w:t>
      </w:r>
      <w:proofErr w:type="spellEnd"/>
      <w:r w:rsidRPr="00AB0507">
        <w:rPr>
          <w:sz w:val="22"/>
          <w:szCs w:val="22"/>
          <w:lang w:val="cs-CZ"/>
        </w:rPr>
        <w:t xml:space="preserve"> sodného</w:t>
      </w:r>
    </w:p>
    <w:p w14:paraId="152AA8A2" w14:textId="77777777" w:rsidR="000F2E71" w:rsidRPr="00AB0507" w:rsidRDefault="0020551E" w:rsidP="00E96686">
      <w:pPr>
        <w:tabs>
          <w:tab w:val="left" w:pos="567"/>
        </w:tabs>
        <w:rPr>
          <w:sz w:val="22"/>
          <w:szCs w:val="22"/>
        </w:rPr>
      </w:pPr>
      <w:proofErr w:type="spellStart"/>
      <w:r w:rsidRPr="00AB0507">
        <w:rPr>
          <w:sz w:val="22"/>
          <w:szCs w:val="22"/>
        </w:rPr>
        <w:t>hydrog</w:t>
      </w:r>
      <w:r w:rsidR="00A64902">
        <w:rPr>
          <w:sz w:val="22"/>
          <w:szCs w:val="22"/>
        </w:rPr>
        <w:t>e</w:t>
      </w:r>
      <w:r w:rsidRPr="00AB0507">
        <w:rPr>
          <w:sz w:val="22"/>
          <w:szCs w:val="22"/>
        </w:rPr>
        <w:t>nfosforečnan</w:t>
      </w:r>
      <w:proofErr w:type="spellEnd"/>
      <w:r w:rsidRPr="00AB0507">
        <w:rPr>
          <w:sz w:val="22"/>
          <w:szCs w:val="22"/>
        </w:rPr>
        <w:t xml:space="preserve"> sodný</w:t>
      </w:r>
    </w:p>
    <w:p w14:paraId="20940986" w14:textId="77777777" w:rsidR="0084792A" w:rsidRPr="00AB0507" w:rsidRDefault="0084792A" w:rsidP="00E96686">
      <w:pPr>
        <w:tabs>
          <w:tab w:val="left" w:pos="567"/>
        </w:tabs>
        <w:rPr>
          <w:sz w:val="22"/>
          <w:szCs w:val="22"/>
        </w:rPr>
      </w:pPr>
      <w:r w:rsidRPr="00AB0507">
        <w:rPr>
          <w:sz w:val="22"/>
          <w:szCs w:val="22"/>
        </w:rPr>
        <w:lastRenderedPageBreak/>
        <w:t>hydroxid sodný (na úpravu pH)</w:t>
      </w:r>
    </w:p>
    <w:p w14:paraId="6A3E15C5" w14:textId="77777777" w:rsidR="00100C52" w:rsidRPr="00AB0507" w:rsidRDefault="00100C52" w:rsidP="00E96686">
      <w:pPr>
        <w:tabs>
          <w:tab w:val="left" w:pos="567"/>
        </w:tabs>
        <w:rPr>
          <w:sz w:val="22"/>
          <w:szCs w:val="22"/>
        </w:rPr>
      </w:pPr>
    </w:p>
    <w:p w14:paraId="6AD61A54" w14:textId="77777777" w:rsidR="00100C52" w:rsidRPr="00AB0507" w:rsidRDefault="00C24F7F" w:rsidP="00E96686">
      <w:pPr>
        <w:tabs>
          <w:tab w:val="left" w:pos="567"/>
        </w:tabs>
        <w:rPr>
          <w:sz w:val="22"/>
          <w:szCs w:val="22"/>
        </w:rPr>
      </w:pPr>
      <w:r w:rsidRPr="00AB0507">
        <w:rPr>
          <w:sz w:val="22"/>
          <w:szCs w:val="22"/>
          <w:u w:val="single"/>
        </w:rPr>
        <w:t>Rozpúšťadlo:</w:t>
      </w:r>
    </w:p>
    <w:p w14:paraId="32BCFAB5" w14:textId="77777777" w:rsidR="00100C52" w:rsidRPr="00AB0507" w:rsidRDefault="00755EAC" w:rsidP="00E96686">
      <w:pPr>
        <w:tabs>
          <w:tab w:val="left" w:pos="567"/>
        </w:tabs>
        <w:rPr>
          <w:sz w:val="22"/>
          <w:szCs w:val="22"/>
        </w:rPr>
      </w:pPr>
      <w:r w:rsidRPr="00AB0507">
        <w:rPr>
          <w:sz w:val="22"/>
          <w:szCs w:val="22"/>
        </w:rPr>
        <w:t>voda na injekci</w:t>
      </w:r>
      <w:r w:rsidR="009B50AB" w:rsidRPr="00AB0507">
        <w:rPr>
          <w:sz w:val="22"/>
          <w:szCs w:val="22"/>
        </w:rPr>
        <w:t>e</w:t>
      </w:r>
    </w:p>
    <w:p w14:paraId="16EAC4B4" w14:textId="77777777" w:rsidR="000F2E71" w:rsidRPr="00AB0507" w:rsidRDefault="00755EAC" w:rsidP="00E96686">
      <w:pPr>
        <w:tabs>
          <w:tab w:val="left" w:pos="567"/>
        </w:tabs>
        <w:rPr>
          <w:sz w:val="22"/>
          <w:szCs w:val="22"/>
        </w:rPr>
      </w:pPr>
      <w:proofErr w:type="spellStart"/>
      <w:r w:rsidRPr="00AB0507">
        <w:rPr>
          <w:sz w:val="22"/>
          <w:szCs w:val="22"/>
        </w:rPr>
        <w:t>benzylalkohol</w:t>
      </w:r>
      <w:proofErr w:type="spellEnd"/>
      <w:r w:rsidR="00A64902">
        <w:rPr>
          <w:sz w:val="22"/>
          <w:szCs w:val="22"/>
        </w:rPr>
        <w:t xml:space="preserve"> (E</w:t>
      </w:r>
      <w:bookmarkStart w:id="5" w:name="_Hlk74755991"/>
      <w:r w:rsidR="00A64902">
        <w:rPr>
          <w:sz w:val="22"/>
          <w:szCs w:val="22"/>
        </w:rPr>
        <w:t>1519)</w:t>
      </w:r>
      <w:bookmarkEnd w:id="5"/>
    </w:p>
    <w:p w14:paraId="4788E3CA" w14:textId="77777777" w:rsidR="000F2E71" w:rsidRPr="00AB0507" w:rsidRDefault="000F2E71" w:rsidP="00AB0507">
      <w:pPr>
        <w:tabs>
          <w:tab w:val="left" w:pos="567"/>
        </w:tabs>
        <w:rPr>
          <w:sz w:val="22"/>
          <w:szCs w:val="22"/>
        </w:rPr>
      </w:pPr>
    </w:p>
    <w:p w14:paraId="69979146" w14:textId="77777777" w:rsidR="000F2E71" w:rsidRPr="00AB0507" w:rsidRDefault="00A64902" w:rsidP="001A6993">
      <w:pPr>
        <w:tabs>
          <w:tab w:val="left" w:pos="567"/>
        </w:tabs>
        <w:rPr>
          <w:b/>
          <w:sz w:val="22"/>
          <w:szCs w:val="22"/>
        </w:rPr>
      </w:pPr>
      <w:r>
        <w:rPr>
          <w:b/>
          <w:sz w:val="22"/>
          <w:szCs w:val="22"/>
        </w:rPr>
        <w:t>6.2</w:t>
      </w:r>
      <w:r w:rsidR="00C24F7F" w:rsidRPr="00AB0507">
        <w:rPr>
          <w:b/>
          <w:sz w:val="22"/>
          <w:szCs w:val="22"/>
        </w:rPr>
        <w:tab/>
        <w:t>Inkompatibility</w:t>
      </w:r>
    </w:p>
    <w:p w14:paraId="76AD22E9" w14:textId="77777777" w:rsidR="000F2E71" w:rsidRPr="00AB0507" w:rsidRDefault="000F2E71" w:rsidP="005C567E">
      <w:pPr>
        <w:pStyle w:val="Zkladntext"/>
        <w:tabs>
          <w:tab w:val="left" w:pos="567"/>
        </w:tabs>
        <w:spacing w:line="240" w:lineRule="auto"/>
        <w:jc w:val="left"/>
        <w:rPr>
          <w:sz w:val="22"/>
          <w:szCs w:val="22"/>
        </w:rPr>
      </w:pPr>
    </w:p>
    <w:p w14:paraId="6B2147D7" w14:textId="77777777" w:rsidR="000F2E71" w:rsidRDefault="00C24F7F" w:rsidP="008A1CFF">
      <w:pPr>
        <w:pStyle w:val="Zkladntext"/>
        <w:tabs>
          <w:tab w:val="left" w:pos="567"/>
        </w:tabs>
        <w:spacing w:line="240" w:lineRule="auto"/>
        <w:jc w:val="left"/>
        <w:rPr>
          <w:sz w:val="22"/>
          <w:szCs w:val="22"/>
        </w:rPr>
      </w:pPr>
      <w:r w:rsidRPr="00AB0507">
        <w:rPr>
          <w:sz w:val="22"/>
          <w:szCs w:val="22"/>
        </w:rPr>
        <w:t xml:space="preserve">Kompatibilita a stabilita intravenóznych roztokov sodnej soli </w:t>
      </w:r>
      <w:proofErr w:type="spellStart"/>
      <w:r w:rsidRPr="00AB0507">
        <w:rPr>
          <w:sz w:val="22"/>
          <w:szCs w:val="22"/>
        </w:rPr>
        <w:t>metylprednizolón</w:t>
      </w:r>
      <w:r w:rsidR="006E22E7">
        <w:rPr>
          <w:sz w:val="22"/>
          <w:szCs w:val="22"/>
        </w:rPr>
        <w:t>-</w:t>
      </w:r>
      <w:r w:rsidRPr="00AB0507">
        <w:rPr>
          <w:sz w:val="22"/>
          <w:szCs w:val="22"/>
        </w:rPr>
        <w:t>sukcinátu</w:t>
      </w:r>
      <w:proofErr w:type="spellEnd"/>
      <w:r w:rsidRPr="00AB0507">
        <w:rPr>
          <w:sz w:val="22"/>
          <w:szCs w:val="22"/>
        </w:rPr>
        <w:t xml:space="preserve"> s inými liečivami závis</w:t>
      </w:r>
      <w:r w:rsidRPr="005C567E">
        <w:rPr>
          <w:sz w:val="22"/>
          <w:szCs w:val="22"/>
        </w:rPr>
        <w:t>í od pH, koncentrácie, čas</w:t>
      </w:r>
      <w:r w:rsidR="00412C77" w:rsidRPr="005C567E">
        <w:rPr>
          <w:sz w:val="22"/>
          <w:szCs w:val="22"/>
        </w:rPr>
        <w:t>u</w:t>
      </w:r>
      <w:r w:rsidRPr="005C567E">
        <w:rPr>
          <w:sz w:val="22"/>
          <w:szCs w:val="22"/>
        </w:rPr>
        <w:t>, teplot</w:t>
      </w:r>
      <w:r w:rsidR="00412C77" w:rsidRPr="005C567E">
        <w:rPr>
          <w:sz w:val="22"/>
          <w:szCs w:val="22"/>
        </w:rPr>
        <w:t>y</w:t>
      </w:r>
      <w:r w:rsidRPr="005C567E">
        <w:rPr>
          <w:sz w:val="22"/>
          <w:szCs w:val="22"/>
        </w:rPr>
        <w:t xml:space="preserve"> a rozpustnosti samotného </w:t>
      </w:r>
      <w:proofErr w:type="spellStart"/>
      <w:r w:rsidRPr="005C567E">
        <w:rPr>
          <w:sz w:val="22"/>
          <w:szCs w:val="22"/>
        </w:rPr>
        <w:t>metylprednizolónu</w:t>
      </w:r>
      <w:proofErr w:type="spellEnd"/>
      <w:r w:rsidRPr="005C567E">
        <w:rPr>
          <w:sz w:val="22"/>
          <w:szCs w:val="22"/>
        </w:rPr>
        <w:t xml:space="preserve"> vo výslednom roztoku. Aby sa predišlo problémom s kompatibilitou a stabilitou, odporúča sa, vždy keď je to možné, podávať roztoky sodnej soli </w:t>
      </w:r>
      <w:proofErr w:type="spellStart"/>
      <w:r w:rsidRPr="005C567E">
        <w:rPr>
          <w:sz w:val="22"/>
          <w:szCs w:val="22"/>
        </w:rPr>
        <w:t>metylprednizolón</w:t>
      </w:r>
      <w:r w:rsidR="006E22E7">
        <w:rPr>
          <w:sz w:val="22"/>
          <w:szCs w:val="22"/>
        </w:rPr>
        <w:t>-</w:t>
      </w:r>
      <w:r w:rsidRPr="005C567E">
        <w:rPr>
          <w:sz w:val="22"/>
          <w:szCs w:val="22"/>
        </w:rPr>
        <w:t>sukcinátu</w:t>
      </w:r>
      <w:proofErr w:type="spellEnd"/>
      <w:r w:rsidRPr="005C567E">
        <w:rPr>
          <w:sz w:val="22"/>
          <w:szCs w:val="22"/>
        </w:rPr>
        <w:t xml:space="preserve"> oddelene od</w:t>
      </w:r>
      <w:r w:rsidR="00BE49D8">
        <w:rPr>
          <w:sz w:val="22"/>
          <w:szCs w:val="22"/>
        </w:rPr>
        <w:t> </w:t>
      </w:r>
      <w:r w:rsidRPr="005C567E">
        <w:rPr>
          <w:sz w:val="22"/>
          <w:szCs w:val="22"/>
        </w:rPr>
        <w:t>iných liečiv a prepláchnuť žilu po podaní, resp. intravenózne</w:t>
      </w:r>
      <w:r w:rsidRPr="004D4405">
        <w:rPr>
          <w:i/>
          <w:sz w:val="22"/>
          <w:szCs w:val="22"/>
        </w:rPr>
        <w:t xml:space="preserve"> </w:t>
      </w:r>
      <w:r w:rsidRPr="00905DB4">
        <w:rPr>
          <w:sz w:val="22"/>
          <w:szCs w:val="22"/>
        </w:rPr>
        <w:t>podať vedľajším prídavným vstupom do</w:t>
      </w:r>
      <w:r w:rsidR="00412C77" w:rsidRPr="00CF22B7">
        <w:rPr>
          <w:sz w:val="22"/>
          <w:szCs w:val="22"/>
        </w:rPr>
        <w:t> </w:t>
      </w:r>
      <w:r w:rsidRPr="00776865">
        <w:rPr>
          <w:sz w:val="22"/>
          <w:szCs w:val="22"/>
        </w:rPr>
        <w:t>infúzie ("Y") (viac informácií pozri časť 4.5).</w:t>
      </w:r>
    </w:p>
    <w:p w14:paraId="76CE0567" w14:textId="77777777" w:rsidR="000F2E71" w:rsidRPr="00683CE0" w:rsidRDefault="000F2E71" w:rsidP="008A1CFF">
      <w:pPr>
        <w:tabs>
          <w:tab w:val="left" w:pos="567"/>
        </w:tabs>
        <w:rPr>
          <w:sz w:val="22"/>
          <w:szCs w:val="22"/>
        </w:rPr>
      </w:pPr>
    </w:p>
    <w:p w14:paraId="58B23BD3" w14:textId="77777777" w:rsidR="000F2E71" w:rsidRPr="00A11CA4" w:rsidRDefault="00A64902" w:rsidP="001A6993">
      <w:pPr>
        <w:tabs>
          <w:tab w:val="left" w:pos="567"/>
        </w:tabs>
        <w:rPr>
          <w:b/>
          <w:sz w:val="22"/>
          <w:szCs w:val="22"/>
        </w:rPr>
      </w:pPr>
      <w:r>
        <w:rPr>
          <w:b/>
          <w:sz w:val="22"/>
          <w:szCs w:val="22"/>
        </w:rPr>
        <w:t>6.3</w:t>
      </w:r>
      <w:r w:rsidR="00C24F7F" w:rsidRPr="00A11CA4">
        <w:rPr>
          <w:b/>
          <w:sz w:val="22"/>
          <w:szCs w:val="22"/>
        </w:rPr>
        <w:tab/>
        <w:t>Čas použiteľnosti</w:t>
      </w:r>
    </w:p>
    <w:p w14:paraId="48ADEDC9" w14:textId="77777777" w:rsidR="000F2E71" w:rsidRPr="003B1008" w:rsidRDefault="000F2E71" w:rsidP="008A1CFF">
      <w:pPr>
        <w:tabs>
          <w:tab w:val="left" w:pos="567"/>
        </w:tabs>
        <w:rPr>
          <w:sz w:val="22"/>
          <w:szCs w:val="22"/>
        </w:rPr>
      </w:pPr>
    </w:p>
    <w:p w14:paraId="53881395" w14:textId="77777777" w:rsidR="004B2CBE" w:rsidRPr="00145F40" w:rsidRDefault="001D2C20" w:rsidP="006E5190">
      <w:pPr>
        <w:tabs>
          <w:tab w:val="left" w:pos="567"/>
        </w:tabs>
        <w:rPr>
          <w:sz w:val="22"/>
          <w:szCs w:val="22"/>
        </w:rPr>
      </w:pPr>
      <w:r w:rsidRPr="00F202DA">
        <w:rPr>
          <w:sz w:val="22"/>
          <w:szCs w:val="22"/>
        </w:rPr>
        <w:t>SOLU-MEDROL</w:t>
      </w:r>
      <w:r w:rsidRPr="00F202DA">
        <w:rPr>
          <w:sz w:val="22"/>
          <w:szCs w:val="22"/>
          <w:vertAlign w:val="superscript"/>
        </w:rPr>
        <w:t> </w:t>
      </w:r>
      <w:r w:rsidRPr="00F202DA">
        <w:rPr>
          <w:sz w:val="22"/>
          <w:szCs w:val="22"/>
        </w:rPr>
        <w:t>40 mg a</w:t>
      </w:r>
      <w:r>
        <w:rPr>
          <w:sz w:val="22"/>
          <w:szCs w:val="22"/>
        </w:rPr>
        <w:t xml:space="preserve"> </w:t>
      </w:r>
      <w:r w:rsidR="00C24F7F" w:rsidRPr="0036093B">
        <w:rPr>
          <w:sz w:val="22"/>
          <w:szCs w:val="22"/>
        </w:rPr>
        <w:t>SOLU-MEDROL</w:t>
      </w:r>
      <w:r w:rsidR="00C24F7F" w:rsidRPr="00242DA2">
        <w:rPr>
          <w:sz w:val="22"/>
          <w:szCs w:val="22"/>
          <w:vertAlign w:val="superscript"/>
        </w:rPr>
        <w:t> </w:t>
      </w:r>
      <w:r w:rsidR="00C24F7F" w:rsidRPr="009E54B4">
        <w:rPr>
          <w:sz w:val="22"/>
          <w:szCs w:val="22"/>
        </w:rPr>
        <w:t>125 mg: 2 roky</w:t>
      </w:r>
    </w:p>
    <w:p w14:paraId="2664139F" w14:textId="77777777" w:rsidR="00A837DE" w:rsidRPr="008E6EE5" w:rsidRDefault="00C24F7F" w:rsidP="006E5190">
      <w:pPr>
        <w:tabs>
          <w:tab w:val="left" w:pos="567"/>
        </w:tabs>
        <w:rPr>
          <w:sz w:val="22"/>
          <w:szCs w:val="22"/>
        </w:rPr>
      </w:pPr>
      <w:r w:rsidRPr="00FD13A6">
        <w:rPr>
          <w:sz w:val="22"/>
          <w:szCs w:val="22"/>
        </w:rPr>
        <w:t>SOLU-MEDROL</w:t>
      </w:r>
      <w:r w:rsidRPr="000D1EAA">
        <w:rPr>
          <w:sz w:val="22"/>
          <w:szCs w:val="22"/>
          <w:vertAlign w:val="superscript"/>
        </w:rPr>
        <w:t> </w:t>
      </w:r>
      <w:r w:rsidRPr="003B490D">
        <w:rPr>
          <w:sz w:val="22"/>
          <w:szCs w:val="22"/>
        </w:rPr>
        <w:t>250 mg, SOLU-MEDROL</w:t>
      </w:r>
      <w:r w:rsidRPr="005F09FD">
        <w:rPr>
          <w:sz w:val="22"/>
          <w:szCs w:val="22"/>
          <w:vertAlign w:val="superscript"/>
        </w:rPr>
        <w:t> </w:t>
      </w:r>
      <w:r w:rsidRPr="00D21F26">
        <w:rPr>
          <w:sz w:val="22"/>
          <w:szCs w:val="22"/>
        </w:rPr>
        <w:t>500 mg, SOLU</w:t>
      </w:r>
      <w:r w:rsidRPr="00D21F26">
        <w:rPr>
          <w:sz w:val="22"/>
          <w:szCs w:val="22"/>
        </w:rPr>
        <w:noBreakHyphen/>
        <w:t>MEDROL</w:t>
      </w:r>
      <w:r w:rsidRPr="007B3224">
        <w:rPr>
          <w:sz w:val="22"/>
          <w:szCs w:val="22"/>
          <w:vertAlign w:val="superscript"/>
        </w:rPr>
        <w:t> </w:t>
      </w:r>
      <w:r w:rsidRPr="008E567D">
        <w:rPr>
          <w:sz w:val="22"/>
          <w:szCs w:val="22"/>
        </w:rPr>
        <w:t xml:space="preserve">1 g: </w:t>
      </w:r>
      <w:r w:rsidRPr="008E567D">
        <w:rPr>
          <w:bCs/>
          <w:sz w:val="22"/>
          <w:szCs w:val="22"/>
        </w:rPr>
        <w:t>5 rokov</w:t>
      </w:r>
    </w:p>
    <w:p w14:paraId="68518217" w14:textId="77777777" w:rsidR="000F2E71" w:rsidRDefault="000F2E71" w:rsidP="008A1CFF">
      <w:pPr>
        <w:tabs>
          <w:tab w:val="left" w:pos="567"/>
        </w:tabs>
        <w:rPr>
          <w:sz w:val="22"/>
          <w:szCs w:val="22"/>
        </w:rPr>
      </w:pPr>
    </w:p>
    <w:p w14:paraId="19F8A990" w14:textId="77777777" w:rsidR="005E38DD" w:rsidRDefault="005E38DD" w:rsidP="005E38DD">
      <w:pPr>
        <w:pStyle w:val="Paragraph"/>
        <w:keepNext/>
        <w:spacing w:after="0"/>
        <w:rPr>
          <w:i/>
          <w:sz w:val="22"/>
          <w:szCs w:val="22"/>
          <w:lang w:val="sk-SK"/>
        </w:rPr>
      </w:pPr>
      <w:r w:rsidRPr="00F730DB">
        <w:rPr>
          <w:i/>
          <w:sz w:val="22"/>
          <w:szCs w:val="22"/>
          <w:u w:val="single"/>
          <w:lang w:val="sk-SK"/>
        </w:rPr>
        <w:t>Pred rekonštitúciou:</w:t>
      </w:r>
    </w:p>
    <w:p w14:paraId="738DC0CB" w14:textId="77777777" w:rsidR="005E38DD" w:rsidRPr="00C50607" w:rsidRDefault="005E38DD" w:rsidP="005E38DD">
      <w:pPr>
        <w:pStyle w:val="Paragraph"/>
        <w:keepNext/>
        <w:spacing w:after="0"/>
        <w:rPr>
          <w:lang w:val="sk-SK"/>
        </w:rPr>
      </w:pPr>
      <w:r>
        <w:rPr>
          <w:sz w:val="22"/>
          <w:szCs w:val="22"/>
          <w:lang w:val="sk-SK"/>
        </w:rPr>
        <w:t xml:space="preserve">SOLU-MEDROL 125 mg, SOLU-MEDROL 250 mg: </w:t>
      </w:r>
      <w:r w:rsidRPr="00C50607">
        <w:rPr>
          <w:sz w:val="22"/>
          <w:szCs w:val="22"/>
          <w:lang w:val="sk-SK"/>
        </w:rPr>
        <w:t>Uchovávajte pri</w:t>
      </w:r>
      <w:r>
        <w:rPr>
          <w:sz w:val="22"/>
          <w:szCs w:val="22"/>
          <w:lang w:val="sk-SK"/>
        </w:rPr>
        <w:t> </w:t>
      </w:r>
      <w:r w:rsidRPr="00C50607">
        <w:rPr>
          <w:sz w:val="22"/>
          <w:szCs w:val="22"/>
          <w:lang w:val="sk-SK"/>
        </w:rPr>
        <w:t>teplote do 25 °C.</w:t>
      </w:r>
    </w:p>
    <w:p w14:paraId="202A1087" w14:textId="77777777" w:rsidR="005E38DD" w:rsidRPr="00595B37" w:rsidRDefault="005E38DD" w:rsidP="005E38DD">
      <w:pPr>
        <w:keepNext/>
        <w:tabs>
          <w:tab w:val="left" w:pos="567"/>
        </w:tabs>
        <w:rPr>
          <w:sz w:val="22"/>
          <w:szCs w:val="22"/>
        </w:rPr>
      </w:pPr>
      <w:r>
        <w:rPr>
          <w:sz w:val="22"/>
          <w:szCs w:val="22"/>
        </w:rPr>
        <w:t>SOLU-MEDROL 40 mg, SOLU-MEDROL 500 mg, SOLU-MEDROL 1 g: Tento liek nevyžaduje žiadne zvláštne podmienky na uchovávanie.</w:t>
      </w:r>
    </w:p>
    <w:p w14:paraId="08C8CA5C" w14:textId="77777777" w:rsidR="005E38DD" w:rsidRPr="004D4405" w:rsidRDefault="005E38DD" w:rsidP="005E38DD">
      <w:pPr>
        <w:keepNext/>
        <w:tabs>
          <w:tab w:val="left" w:pos="567"/>
        </w:tabs>
        <w:rPr>
          <w:sz w:val="22"/>
          <w:szCs w:val="22"/>
        </w:rPr>
      </w:pPr>
    </w:p>
    <w:p w14:paraId="1A07F18F" w14:textId="77777777" w:rsidR="005E38DD" w:rsidRDefault="005E38DD" w:rsidP="005E38DD">
      <w:pPr>
        <w:keepNext/>
        <w:tabs>
          <w:tab w:val="left" w:pos="567"/>
        </w:tabs>
        <w:rPr>
          <w:i/>
          <w:sz w:val="22"/>
          <w:szCs w:val="22"/>
        </w:rPr>
      </w:pPr>
      <w:r w:rsidRPr="00905DB4">
        <w:rPr>
          <w:i/>
          <w:sz w:val="22"/>
          <w:szCs w:val="22"/>
          <w:u w:val="single"/>
        </w:rPr>
        <w:t>Po rekonštitúcii</w:t>
      </w:r>
      <w:r>
        <w:rPr>
          <w:i/>
          <w:sz w:val="22"/>
          <w:szCs w:val="22"/>
          <w:u w:val="single"/>
        </w:rPr>
        <w:t xml:space="preserve"> s rozpúšťadlom</w:t>
      </w:r>
      <w:r w:rsidRPr="00905DB4">
        <w:rPr>
          <w:i/>
          <w:sz w:val="22"/>
          <w:szCs w:val="22"/>
          <w:u w:val="single"/>
        </w:rPr>
        <w:t>:</w:t>
      </w:r>
    </w:p>
    <w:p w14:paraId="3DCAAF06" w14:textId="77777777" w:rsidR="005E38DD" w:rsidRDefault="005E38DD" w:rsidP="005E38DD">
      <w:pPr>
        <w:keepNext/>
        <w:tabs>
          <w:tab w:val="left" w:pos="567"/>
        </w:tabs>
        <w:rPr>
          <w:sz w:val="22"/>
          <w:szCs w:val="22"/>
        </w:rPr>
      </w:pPr>
      <w:r>
        <w:rPr>
          <w:sz w:val="22"/>
          <w:szCs w:val="22"/>
        </w:rPr>
        <w:t>SOLU-MEDROL 40 mg:</w:t>
      </w:r>
    </w:p>
    <w:p w14:paraId="23A95C3D" w14:textId="77777777" w:rsidR="005E38DD" w:rsidRDefault="005E38DD" w:rsidP="005E38DD">
      <w:pPr>
        <w:keepNext/>
        <w:tabs>
          <w:tab w:val="left" w:pos="567"/>
        </w:tabs>
        <w:rPr>
          <w:sz w:val="22"/>
          <w:szCs w:val="22"/>
        </w:rPr>
      </w:pPr>
      <w:r>
        <w:rPr>
          <w:sz w:val="22"/>
          <w:szCs w:val="22"/>
        </w:rPr>
        <w:t xml:space="preserve">Chemická a fyzikálna </w:t>
      </w:r>
      <w:r w:rsidRPr="00BF7B03">
        <w:rPr>
          <w:sz w:val="22"/>
          <w:szCs w:val="22"/>
        </w:rPr>
        <w:t xml:space="preserve">stabilita </w:t>
      </w:r>
      <w:r w:rsidRPr="008E0F2D">
        <w:rPr>
          <w:sz w:val="22"/>
          <w:szCs w:val="22"/>
        </w:rPr>
        <w:t>počas používania</w:t>
      </w:r>
      <w:r>
        <w:rPr>
          <w:sz w:val="22"/>
          <w:szCs w:val="22"/>
        </w:rPr>
        <w:t xml:space="preserve"> r</w:t>
      </w:r>
      <w:r w:rsidRPr="00776865">
        <w:rPr>
          <w:sz w:val="22"/>
          <w:szCs w:val="22"/>
        </w:rPr>
        <w:t>ekonštituovan</w:t>
      </w:r>
      <w:r>
        <w:rPr>
          <w:sz w:val="22"/>
          <w:szCs w:val="22"/>
        </w:rPr>
        <w:t>ého</w:t>
      </w:r>
      <w:r w:rsidRPr="00776865">
        <w:rPr>
          <w:sz w:val="22"/>
          <w:szCs w:val="22"/>
        </w:rPr>
        <w:t xml:space="preserve"> roztok</w:t>
      </w:r>
      <w:r>
        <w:rPr>
          <w:sz w:val="22"/>
          <w:szCs w:val="22"/>
        </w:rPr>
        <w:t>u</w:t>
      </w:r>
      <w:r w:rsidRPr="00776865">
        <w:rPr>
          <w:sz w:val="22"/>
          <w:szCs w:val="22"/>
        </w:rPr>
        <w:t xml:space="preserve"> </w:t>
      </w:r>
      <w:r>
        <w:rPr>
          <w:sz w:val="22"/>
          <w:szCs w:val="22"/>
        </w:rPr>
        <w:t xml:space="preserve">bola preukázaná </w:t>
      </w:r>
      <w:r w:rsidRPr="008E0F2D">
        <w:rPr>
          <w:sz w:val="22"/>
          <w:szCs w:val="22"/>
        </w:rPr>
        <w:t>po dobu</w:t>
      </w:r>
      <w:r>
        <w:rPr>
          <w:sz w:val="22"/>
          <w:szCs w:val="22"/>
        </w:rPr>
        <w:t xml:space="preserve"> 48 hodín</w:t>
      </w:r>
      <w:r w:rsidRPr="00776865">
        <w:rPr>
          <w:sz w:val="22"/>
          <w:szCs w:val="22"/>
        </w:rPr>
        <w:t xml:space="preserve"> pri</w:t>
      </w:r>
      <w:r>
        <w:rPr>
          <w:sz w:val="22"/>
          <w:szCs w:val="22"/>
        </w:rPr>
        <w:t> </w:t>
      </w:r>
      <w:r w:rsidRPr="00C41E65">
        <w:rPr>
          <w:sz w:val="22"/>
          <w:szCs w:val="22"/>
        </w:rPr>
        <w:t>teplote</w:t>
      </w:r>
      <w:r w:rsidRPr="00A65B91">
        <w:rPr>
          <w:sz w:val="22"/>
          <w:szCs w:val="22"/>
        </w:rPr>
        <w:t xml:space="preserve"> </w:t>
      </w:r>
      <w:r w:rsidRPr="00F01FC1">
        <w:rPr>
          <w:sz w:val="22"/>
          <w:szCs w:val="22"/>
        </w:rPr>
        <w:t>2 °C</w:t>
      </w:r>
      <w:r w:rsidRPr="00C41E65">
        <w:rPr>
          <w:sz w:val="22"/>
          <w:szCs w:val="22"/>
        </w:rPr>
        <w:t xml:space="preserve"> </w:t>
      </w:r>
      <w:r w:rsidRPr="00F01FC1">
        <w:rPr>
          <w:sz w:val="22"/>
          <w:szCs w:val="22"/>
        </w:rPr>
        <w:t>– 8 °C</w:t>
      </w:r>
      <w:r w:rsidRPr="00C41E65">
        <w:rPr>
          <w:sz w:val="22"/>
          <w:szCs w:val="22"/>
        </w:rPr>
        <w:t>. Ak sa uchováva pri teplote</w:t>
      </w:r>
      <w:r w:rsidRPr="00A65B91">
        <w:rPr>
          <w:sz w:val="22"/>
          <w:szCs w:val="22"/>
        </w:rPr>
        <w:t xml:space="preserve"> do </w:t>
      </w:r>
      <w:r w:rsidRPr="00F01FC1">
        <w:rPr>
          <w:sz w:val="22"/>
          <w:szCs w:val="22"/>
        </w:rPr>
        <w:t>25 °C</w:t>
      </w:r>
      <w:r w:rsidRPr="00C41E65">
        <w:rPr>
          <w:sz w:val="22"/>
          <w:szCs w:val="22"/>
        </w:rPr>
        <w:t xml:space="preserve">, </w:t>
      </w:r>
      <w:r w:rsidRPr="00A65B91">
        <w:rPr>
          <w:sz w:val="22"/>
          <w:szCs w:val="22"/>
        </w:rPr>
        <w:t>roztok sa má použiť ihneď.</w:t>
      </w:r>
    </w:p>
    <w:p w14:paraId="33444895" w14:textId="77777777" w:rsidR="005E38DD" w:rsidRPr="00A62F9E" w:rsidRDefault="005E38DD" w:rsidP="005E38DD">
      <w:pPr>
        <w:keepNext/>
        <w:tabs>
          <w:tab w:val="left" w:pos="567"/>
        </w:tabs>
        <w:rPr>
          <w:sz w:val="22"/>
          <w:szCs w:val="22"/>
        </w:rPr>
      </w:pPr>
    </w:p>
    <w:p w14:paraId="5DA14D5A" w14:textId="77777777" w:rsidR="005E38DD" w:rsidRPr="00F01FC1" w:rsidRDefault="005E38DD" w:rsidP="005E38DD">
      <w:pPr>
        <w:keepNext/>
        <w:tabs>
          <w:tab w:val="left" w:pos="567"/>
        </w:tabs>
        <w:rPr>
          <w:i/>
          <w:sz w:val="22"/>
          <w:szCs w:val="22"/>
        </w:rPr>
      </w:pPr>
      <w:r w:rsidRPr="009050B4">
        <w:rPr>
          <w:sz w:val="22"/>
          <w:szCs w:val="22"/>
        </w:rPr>
        <w:t>SOLU-MEDROL 125 mg, SOLU-MEDROL 250 mg, SOLU-MEDROL 500 mg, SOLU-MEDROL 1 g</w:t>
      </w:r>
      <w:r w:rsidRPr="001148BA">
        <w:rPr>
          <w:sz w:val="22"/>
          <w:szCs w:val="22"/>
        </w:rPr>
        <w:t>:</w:t>
      </w:r>
    </w:p>
    <w:p w14:paraId="10214BA4" w14:textId="77777777" w:rsidR="005E38DD" w:rsidRPr="00A62F9E" w:rsidRDefault="005E38DD" w:rsidP="005E38DD">
      <w:pPr>
        <w:keepNext/>
        <w:tabs>
          <w:tab w:val="left" w:pos="567"/>
        </w:tabs>
        <w:rPr>
          <w:sz w:val="22"/>
          <w:szCs w:val="22"/>
        </w:rPr>
      </w:pPr>
      <w:r w:rsidRPr="00A65B91">
        <w:rPr>
          <w:sz w:val="22"/>
          <w:szCs w:val="22"/>
        </w:rPr>
        <w:t xml:space="preserve">Rekonštituované roztoky uchovávajte pri teplote </w:t>
      </w:r>
      <w:r w:rsidRPr="00A62F9E">
        <w:rPr>
          <w:sz w:val="22"/>
          <w:szCs w:val="22"/>
        </w:rPr>
        <w:t>do 25 °C a použite ich v priebehu 12 hodín.</w:t>
      </w:r>
    </w:p>
    <w:p w14:paraId="685F932A" w14:textId="77777777" w:rsidR="005E38DD" w:rsidRPr="009050B4" w:rsidRDefault="005E38DD" w:rsidP="005E38DD">
      <w:pPr>
        <w:keepNext/>
        <w:tabs>
          <w:tab w:val="left" w:pos="567"/>
        </w:tabs>
        <w:rPr>
          <w:sz w:val="22"/>
          <w:szCs w:val="22"/>
        </w:rPr>
      </w:pPr>
    </w:p>
    <w:p w14:paraId="359DA220" w14:textId="77777777" w:rsidR="005E38DD" w:rsidRPr="00F01FC1" w:rsidRDefault="005E38DD" w:rsidP="005E38DD">
      <w:pPr>
        <w:keepNext/>
        <w:tabs>
          <w:tab w:val="left" w:pos="567"/>
        </w:tabs>
        <w:rPr>
          <w:i/>
          <w:sz w:val="22"/>
          <w:szCs w:val="22"/>
          <w:u w:val="single"/>
        </w:rPr>
      </w:pPr>
      <w:r w:rsidRPr="00F01FC1">
        <w:rPr>
          <w:i/>
          <w:sz w:val="22"/>
          <w:szCs w:val="22"/>
          <w:u w:val="single"/>
        </w:rPr>
        <w:t xml:space="preserve">Po rekonštitúcii s rozpúšťadlom a ďalšom riedení s inými roztokmi na prípravu infúzie: </w:t>
      </w:r>
    </w:p>
    <w:p w14:paraId="7B6186BB" w14:textId="77777777" w:rsidR="005E38DD" w:rsidRPr="00A65B91" w:rsidRDefault="005E38DD" w:rsidP="005E38DD">
      <w:pPr>
        <w:keepNext/>
        <w:tabs>
          <w:tab w:val="left" w:pos="567"/>
        </w:tabs>
        <w:rPr>
          <w:sz w:val="22"/>
          <w:szCs w:val="22"/>
        </w:rPr>
      </w:pPr>
      <w:r w:rsidRPr="00C41E65">
        <w:rPr>
          <w:sz w:val="22"/>
          <w:szCs w:val="22"/>
        </w:rPr>
        <w:t>SOLU-MEDROL 40 mg</w:t>
      </w:r>
      <w:r w:rsidRPr="00A65B91">
        <w:rPr>
          <w:sz w:val="22"/>
          <w:szCs w:val="22"/>
        </w:rPr>
        <w:t>:</w:t>
      </w:r>
    </w:p>
    <w:p w14:paraId="677A9D5B" w14:textId="77777777" w:rsidR="005E38DD" w:rsidRPr="00A62F9E" w:rsidRDefault="005E38DD" w:rsidP="005E38DD">
      <w:pPr>
        <w:keepNext/>
        <w:tabs>
          <w:tab w:val="left" w:pos="567"/>
        </w:tabs>
        <w:rPr>
          <w:sz w:val="22"/>
          <w:szCs w:val="22"/>
        </w:rPr>
      </w:pPr>
      <w:r w:rsidRPr="009050B4">
        <w:rPr>
          <w:sz w:val="22"/>
          <w:szCs w:val="22"/>
        </w:rPr>
        <w:t xml:space="preserve">Chemická a fyzikálna stabilita </w:t>
      </w:r>
      <w:r w:rsidRPr="008E0F2D">
        <w:rPr>
          <w:sz w:val="22"/>
          <w:szCs w:val="22"/>
        </w:rPr>
        <w:t>počas používania</w:t>
      </w:r>
      <w:r>
        <w:rPr>
          <w:sz w:val="22"/>
          <w:szCs w:val="22"/>
        </w:rPr>
        <w:t xml:space="preserve"> </w:t>
      </w:r>
      <w:r w:rsidRPr="001148BA">
        <w:rPr>
          <w:sz w:val="22"/>
          <w:szCs w:val="22"/>
        </w:rPr>
        <w:t>roztoku</w:t>
      </w:r>
      <w:r>
        <w:rPr>
          <w:sz w:val="22"/>
          <w:szCs w:val="22"/>
        </w:rPr>
        <w:t>, ktorý vznikol rekonštitúciou s rozpúšťadlom a ďalším riedením s inými roztokmi,</w:t>
      </w:r>
      <w:r w:rsidRPr="001148BA">
        <w:rPr>
          <w:sz w:val="22"/>
          <w:szCs w:val="22"/>
        </w:rPr>
        <w:t xml:space="preserve"> </w:t>
      </w:r>
      <w:r w:rsidRPr="00A86912">
        <w:rPr>
          <w:sz w:val="22"/>
          <w:szCs w:val="22"/>
        </w:rPr>
        <w:t xml:space="preserve">bola preukázaná </w:t>
      </w:r>
      <w:r w:rsidRPr="008E0F2D">
        <w:rPr>
          <w:sz w:val="22"/>
          <w:szCs w:val="22"/>
        </w:rPr>
        <w:t>po dobu</w:t>
      </w:r>
      <w:r w:rsidRPr="00A86912">
        <w:rPr>
          <w:sz w:val="22"/>
          <w:szCs w:val="22"/>
        </w:rPr>
        <w:t xml:space="preserve"> 24 hodín pri</w:t>
      </w:r>
      <w:r w:rsidRPr="00C918DB">
        <w:rPr>
          <w:sz w:val="22"/>
          <w:szCs w:val="22"/>
        </w:rPr>
        <w:t xml:space="preserve"> teplote </w:t>
      </w:r>
      <w:r w:rsidRPr="00F01FC1">
        <w:rPr>
          <w:sz w:val="22"/>
          <w:szCs w:val="22"/>
        </w:rPr>
        <w:t>2 °C</w:t>
      </w:r>
      <w:r w:rsidRPr="00C41E65">
        <w:rPr>
          <w:sz w:val="22"/>
          <w:szCs w:val="22"/>
        </w:rPr>
        <w:t xml:space="preserve"> </w:t>
      </w:r>
      <w:r w:rsidRPr="00F01FC1">
        <w:rPr>
          <w:sz w:val="22"/>
          <w:szCs w:val="22"/>
        </w:rPr>
        <w:t>– 8 °C</w:t>
      </w:r>
      <w:r w:rsidRPr="00C41E65">
        <w:rPr>
          <w:sz w:val="22"/>
          <w:szCs w:val="22"/>
        </w:rPr>
        <w:t>. Ak sa uchováva pri teplote</w:t>
      </w:r>
      <w:r w:rsidRPr="00A65B91">
        <w:rPr>
          <w:sz w:val="22"/>
          <w:szCs w:val="22"/>
        </w:rPr>
        <w:t xml:space="preserve"> 20</w:t>
      </w:r>
      <w:r w:rsidRPr="00A62F9E">
        <w:rPr>
          <w:sz w:val="22"/>
          <w:szCs w:val="22"/>
        </w:rPr>
        <w:t> </w:t>
      </w:r>
      <w:r w:rsidRPr="00F01FC1">
        <w:rPr>
          <w:sz w:val="22"/>
          <w:szCs w:val="22"/>
        </w:rPr>
        <w:t>°C</w:t>
      </w:r>
      <w:r w:rsidRPr="00C41E65">
        <w:rPr>
          <w:sz w:val="22"/>
          <w:szCs w:val="22"/>
        </w:rPr>
        <w:t xml:space="preserve"> – </w:t>
      </w:r>
      <w:r w:rsidRPr="00F01FC1">
        <w:rPr>
          <w:sz w:val="22"/>
          <w:szCs w:val="22"/>
        </w:rPr>
        <w:t>25 °C</w:t>
      </w:r>
      <w:r w:rsidRPr="00C41E65">
        <w:rPr>
          <w:sz w:val="22"/>
          <w:szCs w:val="22"/>
        </w:rPr>
        <w:t xml:space="preserve">, </w:t>
      </w:r>
      <w:r w:rsidRPr="00A65B91">
        <w:rPr>
          <w:sz w:val="22"/>
          <w:szCs w:val="22"/>
        </w:rPr>
        <w:t xml:space="preserve">roztok sa má použiť </w:t>
      </w:r>
      <w:r w:rsidR="00191EC3">
        <w:rPr>
          <w:sz w:val="22"/>
          <w:szCs w:val="22"/>
        </w:rPr>
        <w:t>do 3 hodín</w:t>
      </w:r>
      <w:r w:rsidRPr="00A65B91">
        <w:rPr>
          <w:sz w:val="22"/>
          <w:szCs w:val="22"/>
        </w:rPr>
        <w:t>.</w:t>
      </w:r>
    </w:p>
    <w:p w14:paraId="65F39BC6" w14:textId="77777777" w:rsidR="005E38DD" w:rsidRPr="009050B4" w:rsidRDefault="005E38DD" w:rsidP="005E38DD">
      <w:pPr>
        <w:tabs>
          <w:tab w:val="left" w:pos="567"/>
        </w:tabs>
        <w:rPr>
          <w:sz w:val="22"/>
          <w:szCs w:val="22"/>
        </w:rPr>
      </w:pPr>
    </w:p>
    <w:p w14:paraId="4DABF476" w14:textId="77777777" w:rsidR="005E38DD" w:rsidRDefault="005E38DD" w:rsidP="005E38DD">
      <w:pPr>
        <w:tabs>
          <w:tab w:val="left" w:pos="567"/>
        </w:tabs>
        <w:rPr>
          <w:sz w:val="22"/>
          <w:szCs w:val="22"/>
        </w:rPr>
      </w:pPr>
      <w:r>
        <w:rPr>
          <w:sz w:val="22"/>
          <w:szCs w:val="22"/>
        </w:rPr>
        <w:t>Z mikrobiologického hľadiska, ak metóda otvorenia/rekonštitúcie/riedenia nevylučuje mikrobiologickú kontamináciu, liek sa má použiť ihneď.</w:t>
      </w:r>
      <w:r w:rsidRPr="00E910CC">
        <w:rPr>
          <w:sz w:val="22"/>
          <w:szCs w:val="22"/>
        </w:rPr>
        <w:t xml:space="preserve"> </w:t>
      </w:r>
      <w:r>
        <w:rPr>
          <w:sz w:val="22"/>
          <w:szCs w:val="22"/>
        </w:rPr>
        <w:t>Ak sa nepoužije ihneď, za čas  a podmienky uchovávania počas používania zodpovedá používateľ.</w:t>
      </w:r>
    </w:p>
    <w:p w14:paraId="58CE4488" w14:textId="77777777" w:rsidR="005E38DD" w:rsidRDefault="005E38DD" w:rsidP="005E38DD">
      <w:pPr>
        <w:tabs>
          <w:tab w:val="left" w:pos="567"/>
        </w:tabs>
        <w:rPr>
          <w:sz w:val="22"/>
          <w:szCs w:val="22"/>
        </w:rPr>
      </w:pPr>
    </w:p>
    <w:p w14:paraId="7C28044C" w14:textId="77777777" w:rsidR="005E38DD" w:rsidRDefault="005E38DD" w:rsidP="005E38DD">
      <w:pPr>
        <w:keepNext/>
        <w:tabs>
          <w:tab w:val="left" w:pos="567"/>
        </w:tabs>
        <w:rPr>
          <w:sz w:val="22"/>
          <w:szCs w:val="22"/>
        </w:rPr>
      </w:pPr>
      <w:r>
        <w:rPr>
          <w:sz w:val="22"/>
          <w:szCs w:val="22"/>
        </w:rPr>
        <w:t>SOLU-MEDROL 125 mg, SOLU-MEDROL 250 mg, SOLU-MEDROL 500 mg, SOLU-MEDROL 1 g:</w:t>
      </w:r>
    </w:p>
    <w:p w14:paraId="2639D138" w14:textId="77777777" w:rsidR="005E38DD" w:rsidRPr="00C325EB" w:rsidRDefault="005E38DD" w:rsidP="005E38DD">
      <w:pPr>
        <w:keepNext/>
        <w:tabs>
          <w:tab w:val="left" w:pos="567"/>
        </w:tabs>
        <w:rPr>
          <w:sz w:val="22"/>
          <w:szCs w:val="22"/>
        </w:rPr>
      </w:pPr>
      <w:r>
        <w:rPr>
          <w:sz w:val="22"/>
          <w:szCs w:val="22"/>
        </w:rPr>
        <w:t>Výsledný infúzny roztok p</w:t>
      </w:r>
      <w:r w:rsidRPr="0046533B">
        <w:rPr>
          <w:sz w:val="22"/>
          <w:szCs w:val="22"/>
        </w:rPr>
        <w:t xml:space="preserve">oužite v priebehu 3 hodín od prípravy, ak </w:t>
      </w:r>
      <w:r>
        <w:rPr>
          <w:sz w:val="22"/>
          <w:szCs w:val="22"/>
        </w:rPr>
        <w:t>sa uchováva</w:t>
      </w:r>
      <w:r w:rsidRPr="0046533B">
        <w:rPr>
          <w:sz w:val="22"/>
          <w:szCs w:val="22"/>
        </w:rPr>
        <w:t xml:space="preserve"> pri teplote </w:t>
      </w:r>
      <w:r w:rsidRPr="00283473">
        <w:rPr>
          <w:sz w:val="22"/>
          <w:szCs w:val="22"/>
        </w:rPr>
        <w:t>20</w:t>
      </w:r>
      <w:r w:rsidRPr="00C325EB">
        <w:rPr>
          <w:sz w:val="22"/>
          <w:szCs w:val="22"/>
        </w:rPr>
        <w:t xml:space="preserve"> °C až 25 °C alebo v priebehu 24 hodín od prípravy, ak </w:t>
      </w:r>
      <w:r>
        <w:rPr>
          <w:sz w:val="22"/>
          <w:szCs w:val="22"/>
        </w:rPr>
        <w:t>sa uchováva</w:t>
      </w:r>
      <w:r w:rsidRPr="00C325EB">
        <w:rPr>
          <w:sz w:val="22"/>
          <w:szCs w:val="22"/>
        </w:rPr>
        <w:t xml:space="preserve"> pri teplote 2 °C až 8 °C.</w:t>
      </w:r>
    </w:p>
    <w:p w14:paraId="131C23B1" w14:textId="77777777" w:rsidR="005E38DD" w:rsidRDefault="005E38DD" w:rsidP="005E38DD">
      <w:pPr>
        <w:tabs>
          <w:tab w:val="left" w:pos="567"/>
        </w:tabs>
        <w:rPr>
          <w:i/>
          <w:sz w:val="22"/>
          <w:szCs w:val="22"/>
          <w:u w:val="single"/>
        </w:rPr>
      </w:pPr>
    </w:p>
    <w:p w14:paraId="399208AE" w14:textId="77777777" w:rsidR="005E38DD" w:rsidRDefault="005E38DD" w:rsidP="005E38DD">
      <w:pPr>
        <w:tabs>
          <w:tab w:val="left" w:pos="567"/>
        </w:tabs>
        <w:rPr>
          <w:sz w:val="22"/>
          <w:szCs w:val="22"/>
        </w:rPr>
      </w:pPr>
      <w:r>
        <w:rPr>
          <w:sz w:val="22"/>
          <w:szCs w:val="22"/>
        </w:rPr>
        <w:lastRenderedPageBreak/>
        <w:t>Z mikrobiologického hľadiska sa má roztok použiť okamžite. Roztok nie je určený na uchovávanie, pokiaľ rekonštitúcia alebo riedenie neprebehlo v kontrolovaných a validovaných aseptických podmienkach. Ak sa nepoužije ihneď, za dobu a podmienky uchovávania zodpovedá používateľ.</w:t>
      </w:r>
    </w:p>
    <w:p w14:paraId="3263CAB6" w14:textId="77777777" w:rsidR="00F1064B" w:rsidRPr="008E6EE5" w:rsidRDefault="00F1064B" w:rsidP="005E38DD">
      <w:pPr>
        <w:tabs>
          <w:tab w:val="left" w:pos="567"/>
        </w:tabs>
        <w:rPr>
          <w:sz w:val="22"/>
          <w:szCs w:val="22"/>
        </w:rPr>
      </w:pPr>
    </w:p>
    <w:p w14:paraId="3964773E" w14:textId="77777777" w:rsidR="000F2E71" w:rsidRPr="008E6EE5" w:rsidRDefault="00C24F7F" w:rsidP="008A1CFF">
      <w:pPr>
        <w:keepNext/>
        <w:tabs>
          <w:tab w:val="left" w:pos="567"/>
        </w:tabs>
        <w:rPr>
          <w:b/>
          <w:sz w:val="22"/>
          <w:szCs w:val="22"/>
        </w:rPr>
      </w:pPr>
      <w:r w:rsidRPr="008E6EE5">
        <w:rPr>
          <w:b/>
          <w:sz w:val="22"/>
          <w:szCs w:val="22"/>
        </w:rPr>
        <w:t>6.4</w:t>
      </w:r>
      <w:r w:rsidRPr="008E6EE5">
        <w:rPr>
          <w:b/>
          <w:sz w:val="22"/>
          <w:szCs w:val="22"/>
        </w:rPr>
        <w:tab/>
        <w:t>Špeciálne upozornenia na uchovávanie</w:t>
      </w:r>
    </w:p>
    <w:p w14:paraId="5E3F582B" w14:textId="77777777" w:rsidR="000F2E71" w:rsidRPr="008E63E5" w:rsidRDefault="000F2E71" w:rsidP="008A1CFF">
      <w:pPr>
        <w:keepNext/>
        <w:tabs>
          <w:tab w:val="left" w:pos="567"/>
        </w:tabs>
        <w:rPr>
          <w:sz w:val="22"/>
          <w:szCs w:val="22"/>
        </w:rPr>
      </w:pPr>
    </w:p>
    <w:p w14:paraId="3F2650DF" w14:textId="77777777" w:rsidR="00F1064B" w:rsidRPr="00315365" w:rsidRDefault="00F1064B" w:rsidP="008A1CFF">
      <w:pPr>
        <w:pStyle w:val="Paragraph"/>
        <w:keepNext/>
        <w:spacing w:after="0"/>
        <w:rPr>
          <w:i/>
          <w:sz w:val="22"/>
          <w:szCs w:val="22"/>
          <w:lang w:val="sk-SK"/>
        </w:rPr>
      </w:pPr>
      <w:r w:rsidRPr="00665C1B">
        <w:rPr>
          <w:sz w:val="22"/>
          <w:szCs w:val="22"/>
          <w:lang w:val="sk-SK"/>
        </w:rPr>
        <w:t>Podmienky na uchovávanie po rekonštitúcii a riedení lieku, pozri časť 6.3.</w:t>
      </w:r>
    </w:p>
    <w:p w14:paraId="3BF96064" w14:textId="77777777" w:rsidR="008B0E0E" w:rsidRPr="000E48B1" w:rsidRDefault="008B0E0E" w:rsidP="008A1CFF">
      <w:pPr>
        <w:tabs>
          <w:tab w:val="left" w:pos="567"/>
        </w:tabs>
        <w:rPr>
          <w:sz w:val="22"/>
          <w:szCs w:val="22"/>
        </w:rPr>
      </w:pPr>
    </w:p>
    <w:p w14:paraId="68F3ACF3" w14:textId="77777777" w:rsidR="000F2E71" w:rsidRPr="003B1008" w:rsidRDefault="00A64902" w:rsidP="001A6993">
      <w:pPr>
        <w:keepNext/>
        <w:tabs>
          <w:tab w:val="left" w:pos="567"/>
        </w:tabs>
        <w:rPr>
          <w:b/>
          <w:sz w:val="22"/>
          <w:szCs w:val="22"/>
        </w:rPr>
      </w:pPr>
      <w:r>
        <w:rPr>
          <w:b/>
          <w:sz w:val="22"/>
          <w:szCs w:val="22"/>
        </w:rPr>
        <w:t>6.5</w:t>
      </w:r>
      <w:r w:rsidR="00C24F7F" w:rsidRPr="00F13490">
        <w:rPr>
          <w:b/>
          <w:sz w:val="22"/>
          <w:szCs w:val="22"/>
        </w:rPr>
        <w:tab/>
        <w:t>Druh obalu a obsah balenia</w:t>
      </w:r>
    </w:p>
    <w:p w14:paraId="673ED133" w14:textId="77777777" w:rsidR="000F2E71" w:rsidRPr="0036093B" w:rsidRDefault="000F2E71" w:rsidP="008A1CFF">
      <w:pPr>
        <w:keepNext/>
        <w:tabs>
          <w:tab w:val="left" w:pos="567"/>
        </w:tabs>
        <w:rPr>
          <w:sz w:val="22"/>
          <w:szCs w:val="22"/>
        </w:rPr>
      </w:pPr>
    </w:p>
    <w:p w14:paraId="6FEC7315" w14:textId="77777777" w:rsidR="000F2E71" w:rsidRPr="009E54B4" w:rsidRDefault="00C24F7F" w:rsidP="008A1CFF">
      <w:pPr>
        <w:keepNext/>
        <w:tabs>
          <w:tab w:val="left" w:pos="567"/>
        </w:tabs>
        <w:rPr>
          <w:sz w:val="22"/>
          <w:szCs w:val="22"/>
        </w:rPr>
      </w:pPr>
      <w:r w:rsidRPr="00242DA2">
        <w:rPr>
          <w:sz w:val="22"/>
          <w:szCs w:val="22"/>
        </w:rPr>
        <w:t>Každé balenie obsahuje prášok a rozpúšťadlo na injekčný roztok.</w:t>
      </w:r>
    </w:p>
    <w:p w14:paraId="5D07D980" w14:textId="77777777" w:rsidR="000F2E71" w:rsidRPr="003B490D" w:rsidRDefault="00C24F7F" w:rsidP="008A1CFF">
      <w:pPr>
        <w:keepNext/>
        <w:tabs>
          <w:tab w:val="left" w:pos="567"/>
        </w:tabs>
        <w:rPr>
          <w:sz w:val="22"/>
          <w:szCs w:val="22"/>
        </w:rPr>
      </w:pPr>
      <w:r w:rsidRPr="00145F40">
        <w:rPr>
          <w:sz w:val="22"/>
          <w:szCs w:val="22"/>
        </w:rPr>
        <w:t>SOLU-MEDROL</w:t>
      </w:r>
      <w:r w:rsidRPr="00FD13A6">
        <w:rPr>
          <w:sz w:val="22"/>
          <w:szCs w:val="22"/>
          <w:vertAlign w:val="superscript"/>
        </w:rPr>
        <w:t> </w:t>
      </w:r>
      <w:r w:rsidRPr="000D1EAA">
        <w:rPr>
          <w:sz w:val="22"/>
          <w:szCs w:val="22"/>
        </w:rPr>
        <w:t>40 mg: 1 dvojkomor</w:t>
      </w:r>
      <w:r w:rsidR="00DE6832">
        <w:rPr>
          <w:sz w:val="22"/>
          <w:szCs w:val="22"/>
        </w:rPr>
        <w:t>o</w:t>
      </w:r>
      <w:r w:rsidRPr="000D1EAA">
        <w:rPr>
          <w:sz w:val="22"/>
          <w:szCs w:val="22"/>
        </w:rPr>
        <w:t xml:space="preserve">vá injekčná liekovka </w:t>
      </w:r>
      <w:proofErr w:type="spellStart"/>
      <w:r w:rsidRPr="000D1EAA">
        <w:rPr>
          <w:sz w:val="22"/>
          <w:szCs w:val="22"/>
        </w:rPr>
        <w:t>Act</w:t>
      </w:r>
      <w:proofErr w:type="spellEnd"/>
      <w:r w:rsidRPr="000D1EAA">
        <w:rPr>
          <w:sz w:val="22"/>
          <w:szCs w:val="22"/>
        </w:rPr>
        <w:t>-O-Vial</w:t>
      </w:r>
    </w:p>
    <w:p w14:paraId="112FDA7F" w14:textId="77777777" w:rsidR="000F2E71" w:rsidRPr="008E567D" w:rsidRDefault="00C24F7F" w:rsidP="008A1CFF">
      <w:pPr>
        <w:keepNext/>
        <w:tabs>
          <w:tab w:val="left" w:pos="567"/>
        </w:tabs>
        <w:rPr>
          <w:sz w:val="22"/>
          <w:szCs w:val="22"/>
        </w:rPr>
      </w:pPr>
      <w:r w:rsidRPr="005F09FD">
        <w:rPr>
          <w:sz w:val="22"/>
          <w:szCs w:val="22"/>
        </w:rPr>
        <w:t>SOLU-MEDROL</w:t>
      </w:r>
      <w:r w:rsidRPr="00D21F26">
        <w:rPr>
          <w:sz w:val="22"/>
          <w:szCs w:val="22"/>
          <w:vertAlign w:val="superscript"/>
        </w:rPr>
        <w:t> </w:t>
      </w:r>
      <w:r w:rsidRPr="007B3224">
        <w:rPr>
          <w:sz w:val="22"/>
          <w:szCs w:val="22"/>
        </w:rPr>
        <w:t xml:space="preserve">125 mg: 1 dvojkomorová injekčná liekovka </w:t>
      </w:r>
      <w:proofErr w:type="spellStart"/>
      <w:r w:rsidRPr="007B3224">
        <w:rPr>
          <w:sz w:val="22"/>
          <w:szCs w:val="22"/>
        </w:rPr>
        <w:t>Act</w:t>
      </w:r>
      <w:proofErr w:type="spellEnd"/>
      <w:r w:rsidRPr="007B3224">
        <w:rPr>
          <w:sz w:val="22"/>
          <w:szCs w:val="22"/>
        </w:rPr>
        <w:t>-O-Vial</w:t>
      </w:r>
    </w:p>
    <w:p w14:paraId="73DDE930" w14:textId="77777777" w:rsidR="000F2E71" w:rsidRPr="008E6EE5" w:rsidRDefault="00C24F7F" w:rsidP="008A1CFF">
      <w:pPr>
        <w:keepNext/>
        <w:tabs>
          <w:tab w:val="left" w:pos="567"/>
        </w:tabs>
        <w:rPr>
          <w:sz w:val="22"/>
          <w:szCs w:val="22"/>
        </w:rPr>
      </w:pPr>
      <w:r w:rsidRPr="008E567D">
        <w:rPr>
          <w:sz w:val="22"/>
          <w:szCs w:val="22"/>
        </w:rPr>
        <w:t>SOLU-MEDROL</w:t>
      </w:r>
      <w:r w:rsidRPr="008E6EE5">
        <w:rPr>
          <w:sz w:val="22"/>
          <w:szCs w:val="22"/>
          <w:vertAlign w:val="superscript"/>
        </w:rPr>
        <w:t> </w:t>
      </w:r>
      <w:r w:rsidRPr="008E6EE5">
        <w:rPr>
          <w:sz w:val="22"/>
          <w:szCs w:val="22"/>
        </w:rPr>
        <w:t xml:space="preserve">250 mg: 1 dvojkomorová injekčná liekovka </w:t>
      </w:r>
      <w:proofErr w:type="spellStart"/>
      <w:r w:rsidRPr="008E6EE5">
        <w:rPr>
          <w:sz w:val="22"/>
          <w:szCs w:val="22"/>
        </w:rPr>
        <w:t>Act</w:t>
      </w:r>
      <w:proofErr w:type="spellEnd"/>
      <w:r w:rsidRPr="008E6EE5">
        <w:rPr>
          <w:sz w:val="22"/>
          <w:szCs w:val="22"/>
        </w:rPr>
        <w:t>-O-Vial</w:t>
      </w:r>
    </w:p>
    <w:p w14:paraId="2347D957" w14:textId="77777777" w:rsidR="000F2E71" w:rsidRPr="00BE08DD" w:rsidRDefault="00C24F7F" w:rsidP="008A1CFF">
      <w:pPr>
        <w:keepNext/>
        <w:tabs>
          <w:tab w:val="left" w:pos="567"/>
        </w:tabs>
        <w:rPr>
          <w:sz w:val="22"/>
          <w:szCs w:val="22"/>
        </w:rPr>
      </w:pPr>
      <w:r w:rsidRPr="008E63E5">
        <w:rPr>
          <w:sz w:val="22"/>
          <w:szCs w:val="22"/>
        </w:rPr>
        <w:t>SOLU-MEDROL</w:t>
      </w:r>
      <w:r w:rsidRPr="00F730DB">
        <w:rPr>
          <w:sz w:val="22"/>
          <w:szCs w:val="22"/>
          <w:vertAlign w:val="superscript"/>
        </w:rPr>
        <w:t> </w:t>
      </w:r>
      <w:r w:rsidRPr="00F730DB">
        <w:rPr>
          <w:sz w:val="22"/>
          <w:szCs w:val="22"/>
        </w:rPr>
        <w:t>500 mg: 1 injekčná liekovka s práškom + 1 injekčná liekovka s rozpúšťadlom</w:t>
      </w:r>
    </w:p>
    <w:p w14:paraId="16699EAC" w14:textId="77777777" w:rsidR="00566558" w:rsidRPr="004365DD" w:rsidRDefault="00C24F7F" w:rsidP="008A1CFF">
      <w:pPr>
        <w:keepNext/>
        <w:tabs>
          <w:tab w:val="left" w:pos="567"/>
        </w:tabs>
        <w:rPr>
          <w:sz w:val="22"/>
          <w:szCs w:val="22"/>
        </w:rPr>
      </w:pPr>
      <w:r w:rsidRPr="0067303A">
        <w:rPr>
          <w:sz w:val="22"/>
          <w:szCs w:val="22"/>
        </w:rPr>
        <w:t>SOLU-MEDROL</w:t>
      </w:r>
      <w:r w:rsidRPr="004365DD">
        <w:rPr>
          <w:sz w:val="22"/>
          <w:szCs w:val="22"/>
          <w:vertAlign w:val="superscript"/>
        </w:rPr>
        <w:t> </w:t>
      </w:r>
      <w:r w:rsidRPr="004365DD">
        <w:rPr>
          <w:sz w:val="22"/>
          <w:szCs w:val="22"/>
        </w:rPr>
        <w:t>1 g: 1 injekčná liekovka s práškom + 1 injekčná liekovka s rozpúšťadlom</w:t>
      </w:r>
    </w:p>
    <w:p w14:paraId="5E8C0B1A" w14:textId="77777777" w:rsidR="004239FA" w:rsidRDefault="004239FA" w:rsidP="008A1CFF">
      <w:pPr>
        <w:keepNext/>
        <w:tabs>
          <w:tab w:val="left" w:pos="567"/>
        </w:tabs>
        <w:rPr>
          <w:sz w:val="22"/>
          <w:szCs w:val="22"/>
        </w:rPr>
      </w:pPr>
    </w:p>
    <w:p w14:paraId="6CF8EB92" w14:textId="56FA61F0" w:rsidR="000F2E71" w:rsidRPr="005F5596" w:rsidRDefault="008E42FD" w:rsidP="008A1CFF">
      <w:pPr>
        <w:keepNext/>
        <w:tabs>
          <w:tab w:val="left" w:pos="567"/>
        </w:tabs>
        <w:rPr>
          <w:sz w:val="22"/>
          <w:szCs w:val="22"/>
        </w:rPr>
      </w:pPr>
      <w:r w:rsidRPr="00C73B56">
        <w:rPr>
          <w:sz w:val="22"/>
          <w:szCs w:val="22"/>
        </w:rPr>
        <w:t>Na trh nemusia byť uvedené všetky veľk</w:t>
      </w:r>
      <w:r w:rsidRPr="008D7A31">
        <w:rPr>
          <w:sz w:val="22"/>
          <w:szCs w:val="22"/>
        </w:rPr>
        <w:t>osti balenia.</w:t>
      </w:r>
    </w:p>
    <w:p w14:paraId="24723DFF" w14:textId="77777777" w:rsidR="000F2E71" w:rsidRPr="00774CAA" w:rsidRDefault="000F2E71" w:rsidP="008A1CFF">
      <w:pPr>
        <w:tabs>
          <w:tab w:val="left" w:pos="567"/>
        </w:tabs>
        <w:rPr>
          <w:sz w:val="22"/>
          <w:szCs w:val="22"/>
        </w:rPr>
      </w:pPr>
    </w:p>
    <w:p w14:paraId="4DC12026" w14:textId="77777777" w:rsidR="000F2E71" w:rsidRPr="00234067" w:rsidRDefault="00A64902" w:rsidP="001A6993">
      <w:pPr>
        <w:tabs>
          <w:tab w:val="left" w:pos="567"/>
        </w:tabs>
        <w:rPr>
          <w:b/>
          <w:sz w:val="22"/>
          <w:szCs w:val="22"/>
        </w:rPr>
      </w:pPr>
      <w:r>
        <w:rPr>
          <w:b/>
          <w:sz w:val="22"/>
          <w:szCs w:val="22"/>
        </w:rPr>
        <w:t>6.6</w:t>
      </w:r>
      <w:r w:rsidR="00C24F7F" w:rsidRPr="00774CAA">
        <w:rPr>
          <w:b/>
          <w:sz w:val="22"/>
          <w:szCs w:val="22"/>
        </w:rPr>
        <w:tab/>
      </w:r>
      <w:r w:rsidR="00D871DB" w:rsidRPr="009B35FA">
        <w:rPr>
          <w:b/>
          <w:sz w:val="22"/>
          <w:szCs w:val="22"/>
        </w:rPr>
        <w:t>Špeciálne opatrenia na likvidáciu a iné zaobchádzanie s liekom</w:t>
      </w:r>
    </w:p>
    <w:p w14:paraId="04FB3AB5" w14:textId="77777777" w:rsidR="000F2E71" w:rsidRPr="000D37C2" w:rsidRDefault="000F2E71" w:rsidP="008A1CFF">
      <w:pPr>
        <w:tabs>
          <w:tab w:val="left" w:pos="567"/>
        </w:tabs>
        <w:rPr>
          <w:sz w:val="22"/>
          <w:szCs w:val="22"/>
        </w:rPr>
      </w:pPr>
    </w:p>
    <w:p w14:paraId="3507F09F" w14:textId="77777777" w:rsidR="000F2E71" w:rsidRPr="000D37C2" w:rsidRDefault="00C24F7F" w:rsidP="008A1CFF">
      <w:pPr>
        <w:tabs>
          <w:tab w:val="left" w:pos="567"/>
        </w:tabs>
        <w:rPr>
          <w:b/>
          <w:i/>
          <w:sz w:val="22"/>
          <w:szCs w:val="22"/>
        </w:rPr>
      </w:pPr>
      <w:r w:rsidRPr="000D37C2">
        <w:rPr>
          <w:b/>
          <w:i/>
          <w:sz w:val="22"/>
          <w:szCs w:val="22"/>
        </w:rPr>
        <w:t xml:space="preserve">Návod na prípravu roztoku na injekčné </w:t>
      </w:r>
      <w:r w:rsidR="0009276C">
        <w:rPr>
          <w:b/>
          <w:i/>
          <w:sz w:val="22"/>
          <w:szCs w:val="22"/>
        </w:rPr>
        <w:t>intravenózne</w:t>
      </w:r>
      <w:r w:rsidR="0009276C" w:rsidRPr="000D37C2">
        <w:rPr>
          <w:b/>
          <w:i/>
          <w:sz w:val="22"/>
          <w:szCs w:val="22"/>
        </w:rPr>
        <w:t xml:space="preserve"> </w:t>
      </w:r>
      <w:r w:rsidRPr="000D37C2">
        <w:rPr>
          <w:b/>
          <w:i/>
          <w:sz w:val="22"/>
          <w:szCs w:val="22"/>
        </w:rPr>
        <w:t xml:space="preserve">alebo </w:t>
      </w:r>
      <w:proofErr w:type="spellStart"/>
      <w:r w:rsidR="0009276C">
        <w:rPr>
          <w:b/>
          <w:i/>
          <w:sz w:val="22"/>
          <w:szCs w:val="22"/>
        </w:rPr>
        <w:t>intramuskulárne</w:t>
      </w:r>
      <w:proofErr w:type="spellEnd"/>
      <w:r w:rsidRPr="000D37C2">
        <w:rPr>
          <w:b/>
          <w:i/>
          <w:sz w:val="22"/>
          <w:szCs w:val="22"/>
        </w:rPr>
        <w:t xml:space="preserve"> podanie:</w:t>
      </w:r>
    </w:p>
    <w:p w14:paraId="0CA6C674" w14:textId="77777777" w:rsidR="000F2E71" w:rsidRPr="002C3055" w:rsidRDefault="00C24F7F" w:rsidP="008A1CFF">
      <w:pPr>
        <w:tabs>
          <w:tab w:val="left" w:pos="567"/>
        </w:tabs>
        <w:rPr>
          <w:sz w:val="22"/>
          <w:szCs w:val="22"/>
        </w:rPr>
      </w:pPr>
      <w:r w:rsidRPr="000D37C2">
        <w:rPr>
          <w:sz w:val="22"/>
          <w:szCs w:val="22"/>
        </w:rPr>
        <w:t>NÁVOD NA POUŽITIE DVOJKOMOROVEJ INJEKČNEJ LIEKOVKY (DVOJKOMPARTMENTOVEJ ACT-O-VIAL)</w:t>
      </w:r>
    </w:p>
    <w:p w14:paraId="7517F693" w14:textId="77777777" w:rsidR="000F2E71" w:rsidRPr="00FC1191" w:rsidRDefault="00C24F7F" w:rsidP="008A1CFF">
      <w:pPr>
        <w:numPr>
          <w:ilvl w:val="0"/>
          <w:numId w:val="12"/>
        </w:numPr>
        <w:tabs>
          <w:tab w:val="left" w:pos="567"/>
        </w:tabs>
        <w:rPr>
          <w:sz w:val="22"/>
          <w:szCs w:val="22"/>
        </w:rPr>
      </w:pPr>
      <w:r w:rsidRPr="007050AD">
        <w:rPr>
          <w:sz w:val="22"/>
          <w:szCs w:val="22"/>
        </w:rPr>
        <w:t xml:space="preserve">Stlačením plastického </w:t>
      </w:r>
      <w:proofErr w:type="spellStart"/>
      <w:r w:rsidRPr="007050AD">
        <w:rPr>
          <w:sz w:val="22"/>
          <w:szCs w:val="22"/>
        </w:rPr>
        <w:t>aktivátora</w:t>
      </w:r>
      <w:proofErr w:type="spellEnd"/>
      <w:r w:rsidRPr="007050AD">
        <w:rPr>
          <w:sz w:val="22"/>
          <w:szCs w:val="22"/>
        </w:rPr>
        <w:t xml:space="preserve"> presuňte rozpúšťadlo do spodného oddelenia.</w:t>
      </w:r>
    </w:p>
    <w:p w14:paraId="335B6C93" w14:textId="77777777" w:rsidR="000F2E71" w:rsidRPr="00C821CF" w:rsidRDefault="00C24F7F" w:rsidP="008A1CFF">
      <w:pPr>
        <w:numPr>
          <w:ilvl w:val="0"/>
          <w:numId w:val="12"/>
        </w:numPr>
        <w:tabs>
          <w:tab w:val="left" w:pos="567"/>
        </w:tabs>
        <w:rPr>
          <w:sz w:val="22"/>
          <w:szCs w:val="22"/>
        </w:rPr>
      </w:pPr>
      <w:r w:rsidRPr="00FC1191">
        <w:rPr>
          <w:sz w:val="22"/>
          <w:szCs w:val="22"/>
        </w:rPr>
        <w:t>Jemne p</w:t>
      </w:r>
      <w:r w:rsidR="00A11D10" w:rsidRPr="009A0289">
        <w:rPr>
          <w:sz w:val="22"/>
          <w:szCs w:val="22"/>
        </w:rPr>
        <w:t>retrept</w:t>
      </w:r>
      <w:r w:rsidRPr="00794FE0">
        <w:rPr>
          <w:sz w:val="22"/>
          <w:szCs w:val="22"/>
        </w:rPr>
        <w:t xml:space="preserve">e, aby </w:t>
      </w:r>
      <w:r w:rsidR="00A11D10" w:rsidRPr="00C821CF">
        <w:rPr>
          <w:sz w:val="22"/>
          <w:szCs w:val="22"/>
        </w:rPr>
        <w:t>vznikol</w:t>
      </w:r>
      <w:r w:rsidRPr="00C821CF">
        <w:rPr>
          <w:sz w:val="22"/>
          <w:szCs w:val="22"/>
        </w:rPr>
        <w:t xml:space="preserve"> </w:t>
      </w:r>
      <w:r w:rsidR="00A11D10" w:rsidRPr="00C821CF">
        <w:rPr>
          <w:sz w:val="22"/>
          <w:szCs w:val="22"/>
        </w:rPr>
        <w:t>roztok</w:t>
      </w:r>
      <w:r w:rsidRPr="00C821CF">
        <w:rPr>
          <w:sz w:val="22"/>
          <w:szCs w:val="22"/>
        </w:rPr>
        <w:t>.</w:t>
      </w:r>
    </w:p>
    <w:p w14:paraId="556110F4" w14:textId="77777777" w:rsidR="000F2E71" w:rsidRPr="00C821CF" w:rsidRDefault="00C24F7F" w:rsidP="008A1CFF">
      <w:pPr>
        <w:numPr>
          <w:ilvl w:val="0"/>
          <w:numId w:val="12"/>
        </w:numPr>
        <w:tabs>
          <w:tab w:val="left" w:pos="567"/>
        </w:tabs>
        <w:rPr>
          <w:sz w:val="22"/>
          <w:szCs w:val="22"/>
        </w:rPr>
      </w:pPr>
      <w:r w:rsidRPr="00C821CF">
        <w:rPr>
          <w:sz w:val="22"/>
          <w:szCs w:val="22"/>
        </w:rPr>
        <w:t>Odstráňte plastický kryt zo stredu zátky.</w:t>
      </w:r>
    </w:p>
    <w:p w14:paraId="07D43A69" w14:textId="77777777" w:rsidR="000F2E71" w:rsidRPr="00C821CF" w:rsidRDefault="00C24F7F" w:rsidP="008A1CFF">
      <w:pPr>
        <w:numPr>
          <w:ilvl w:val="0"/>
          <w:numId w:val="12"/>
        </w:numPr>
        <w:tabs>
          <w:tab w:val="left" w:pos="567"/>
        </w:tabs>
        <w:rPr>
          <w:sz w:val="22"/>
          <w:szCs w:val="22"/>
        </w:rPr>
      </w:pPr>
      <w:r w:rsidRPr="00C821CF">
        <w:rPr>
          <w:sz w:val="22"/>
          <w:szCs w:val="22"/>
        </w:rPr>
        <w:t>Vydezinfikujte povrch zátky vhodným dezinfekčným roztokom.</w:t>
      </w:r>
    </w:p>
    <w:p w14:paraId="73D1727B" w14:textId="77777777" w:rsidR="000F2E71" w:rsidRPr="008510DC" w:rsidRDefault="00C24F7F" w:rsidP="008A1CFF">
      <w:pPr>
        <w:numPr>
          <w:ilvl w:val="0"/>
          <w:numId w:val="12"/>
        </w:numPr>
        <w:tabs>
          <w:tab w:val="left" w:pos="567"/>
        </w:tabs>
        <w:rPr>
          <w:sz w:val="22"/>
          <w:szCs w:val="22"/>
        </w:rPr>
      </w:pPr>
      <w:r w:rsidRPr="00C821CF">
        <w:rPr>
          <w:sz w:val="22"/>
          <w:szCs w:val="22"/>
        </w:rPr>
        <w:t>Zátku prepichnite ihlou kolmo cez stred zátky, kým neuvidíte hrot ihly. Otočte injekčnú liekovku hore dnom a aspirujte obsah.</w:t>
      </w:r>
    </w:p>
    <w:p w14:paraId="4521DC8F" w14:textId="77777777" w:rsidR="000F2E71" w:rsidRPr="008E127E" w:rsidRDefault="000F2E71" w:rsidP="008A1CFF">
      <w:pPr>
        <w:tabs>
          <w:tab w:val="left" w:pos="567"/>
        </w:tabs>
        <w:rPr>
          <w:sz w:val="22"/>
          <w:szCs w:val="22"/>
        </w:rPr>
      </w:pPr>
    </w:p>
    <w:p w14:paraId="3F1727CD" w14:textId="77777777" w:rsidR="000F2E71" w:rsidRPr="00C61107" w:rsidRDefault="00C24F7F" w:rsidP="008A1CFF">
      <w:pPr>
        <w:tabs>
          <w:tab w:val="left" w:pos="567"/>
        </w:tabs>
        <w:rPr>
          <w:sz w:val="22"/>
          <w:szCs w:val="22"/>
        </w:rPr>
      </w:pPr>
      <w:r w:rsidRPr="00C61107">
        <w:rPr>
          <w:sz w:val="22"/>
          <w:szCs w:val="22"/>
        </w:rPr>
        <w:t>NÁVOD NA POUŽITIE JEDNODUCHEJ INJEKČNEJ LIEKOVKY</w:t>
      </w:r>
    </w:p>
    <w:p w14:paraId="765EB2BE" w14:textId="77777777" w:rsidR="000F2E71" w:rsidRPr="00B4520D" w:rsidRDefault="00C24F7F" w:rsidP="008A1CFF">
      <w:pPr>
        <w:pStyle w:val="Zkladntext"/>
        <w:tabs>
          <w:tab w:val="left" w:pos="567"/>
        </w:tabs>
        <w:spacing w:line="240" w:lineRule="auto"/>
        <w:jc w:val="left"/>
        <w:rPr>
          <w:sz w:val="22"/>
          <w:szCs w:val="22"/>
        </w:rPr>
      </w:pPr>
      <w:r w:rsidRPr="00303331">
        <w:rPr>
          <w:sz w:val="22"/>
          <w:szCs w:val="22"/>
        </w:rPr>
        <w:t>Za aseptick</w:t>
      </w:r>
      <w:r w:rsidRPr="00404F4E">
        <w:rPr>
          <w:sz w:val="22"/>
          <w:szCs w:val="22"/>
        </w:rPr>
        <w:t>ých podmienok pridajte rozpúšťadlo do injekčnej liekovky s práškom. Používajte len priložené rozpúšťadlo.</w:t>
      </w:r>
    </w:p>
    <w:p w14:paraId="29FC29F9" w14:textId="77777777" w:rsidR="000F2E71" w:rsidRPr="00DB4438" w:rsidRDefault="000F2E71" w:rsidP="008A1CFF">
      <w:pPr>
        <w:pStyle w:val="Zkladntext"/>
        <w:tabs>
          <w:tab w:val="left" w:pos="567"/>
        </w:tabs>
        <w:spacing w:line="240" w:lineRule="auto"/>
        <w:jc w:val="left"/>
        <w:rPr>
          <w:sz w:val="22"/>
          <w:szCs w:val="22"/>
        </w:rPr>
      </w:pPr>
    </w:p>
    <w:p w14:paraId="49E2EE2D" w14:textId="77777777" w:rsidR="000F2E71" w:rsidRPr="00DF6909" w:rsidRDefault="00C24F7F" w:rsidP="008A1CFF">
      <w:pPr>
        <w:tabs>
          <w:tab w:val="left" w:pos="567"/>
        </w:tabs>
        <w:rPr>
          <w:sz w:val="22"/>
          <w:szCs w:val="22"/>
        </w:rPr>
      </w:pPr>
      <w:r w:rsidRPr="00DB4438">
        <w:rPr>
          <w:sz w:val="22"/>
          <w:szCs w:val="22"/>
        </w:rPr>
        <w:t>PRÍPRAVA INFÚZNYCH ROZTOKOV</w:t>
      </w:r>
    </w:p>
    <w:p w14:paraId="21D82172" w14:textId="77777777" w:rsidR="000F2E71" w:rsidRPr="00DC7EAF" w:rsidRDefault="00C24F7F" w:rsidP="008A1CFF">
      <w:pPr>
        <w:tabs>
          <w:tab w:val="left" w:pos="567"/>
        </w:tabs>
        <w:rPr>
          <w:sz w:val="22"/>
          <w:szCs w:val="22"/>
        </w:rPr>
      </w:pPr>
      <w:r w:rsidRPr="00DF6909">
        <w:rPr>
          <w:sz w:val="22"/>
          <w:szCs w:val="22"/>
        </w:rPr>
        <w:t xml:space="preserve">Na prípravu infúznych roztokov najprv pripravte rekonštitúciou prášku roztok podľa vyššie uvedených pokynov. Liečba sa môže začať podaním pripraveného roztoku sodnej soli </w:t>
      </w:r>
      <w:proofErr w:type="spellStart"/>
      <w:r w:rsidRPr="00DF6909">
        <w:rPr>
          <w:sz w:val="22"/>
          <w:szCs w:val="22"/>
        </w:rPr>
        <w:t>metylprednizolón</w:t>
      </w:r>
      <w:r w:rsidR="006E22E7">
        <w:rPr>
          <w:sz w:val="22"/>
          <w:szCs w:val="22"/>
        </w:rPr>
        <w:t>-</w:t>
      </w:r>
      <w:r w:rsidRPr="00DF6909">
        <w:rPr>
          <w:sz w:val="22"/>
          <w:szCs w:val="22"/>
        </w:rPr>
        <w:t>sukcinátu</w:t>
      </w:r>
      <w:proofErr w:type="spellEnd"/>
      <w:r w:rsidRPr="00DF6909">
        <w:rPr>
          <w:sz w:val="22"/>
          <w:szCs w:val="22"/>
        </w:rPr>
        <w:t xml:space="preserve"> </w:t>
      </w:r>
      <w:r w:rsidR="0009276C">
        <w:rPr>
          <w:sz w:val="22"/>
          <w:szCs w:val="22"/>
        </w:rPr>
        <w:t>intravenózne</w:t>
      </w:r>
      <w:r w:rsidRPr="00DF6909">
        <w:rPr>
          <w:sz w:val="22"/>
          <w:szCs w:val="22"/>
        </w:rPr>
        <w:t xml:space="preserve"> počas najmenej 5 minút (dávky do 250 mg) alebo</w:t>
      </w:r>
      <w:r w:rsidR="00AE4461">
        <w:rPr>
          <w:sz w:val="22"/>
          <w:szCs w:val="22"/>
        </w:rPr>
        <w:t> </w:t>
      </w:r>
      <w:r w:rsidRPr="00DF6909">
        <w:rPr>
          <w:sz w:val="22"/>
          <w:szCs w:val="22"/>
        </w:rPr>
        <w:t>najmenej 30 minút (dávky 250 mg alebo viac). Ďalšie dávky možno získať a podať podobným spôsobom. Ak je to žiaduce, pripravený roztok sa môž</w:t>
      </w:r>
      <w:r w:rsidR="00E67679" w:rsidRPr="00E660EF">
        <w:rPr>
          <w:sz w:val="22"/>
          <w:szCs w:val="22"/>
        </w:rPr>
        <w:t>e</w:t>
      </w:r>
      <w:r w:rsidRPr="00A760E5">
        <w:rPr>
          <w:sz w:val="22"/>
          <w:szCs w:val="22"/>
        </w:rPr>
        <w:t xml:space="preserve"> tiež podávať rozriedený v 5 % roztoku glukózy, 0,9 % roztoku chloridu sodného, v roztoku 5 % glukózy a 0,45 % chloridu sodného. </w:t>
      </w:r>
    </w:p>
    <w:p w14:paraId="7B87D7DF" w14:textId="77777777" w:rsidR="000F2E71" w:rsidRDefault="000F2E71" w:rsidP="008A1CFF">
      <w:pPr>
        <w:tabs>
          <w:tab w:val="left" w:pos="567"/>
        </w:tabs>
        <w:rPr>
          <w:sz w:val="22"/>
          <w:szCs w:val="22"/>
        </w:rPr>
      </w:pPr>
    </w:p>
    <w:p w14:paraId="25716E77" w14:textId="77777777" w:rsidR="00975C53" w:rsidRDefault="009050B4" w:rsidP="008A1CFF">
      <w:pPr>
        <w:tabs>
          <w:tab w:val="left" w:pos="567"/>
        </w:tabs>
        <w:rPr>
          <w:sz w:val="22"/>
          <w:szCs w:val="22"/>
        </w:rPr>
      </w:pPr>
      <w:r>
        <w:rPr>
          <w:sz w:val="22"/>
          <w:szCs w:val="22"/>
        </w:rPr>
        <w:t>Č</w:t>
      </w:r>
      <w:r w:rsidR="00975C53">
        <w:rPr>
          <w:sz w:val="22"/>
          <w:szCs w:val="22"/>
        </w:rPr>
        <w:t>as použiteľnosti a </w:t>
      </w:r>
      <w:r w:rsidR="00727EA8">
        <w:rPr>
          <w:sz w:val="22"/>
          <w:szCs w:val="22"/>
        </w:rPr>
        <w:t>podmienky</w:t>
      </w:r>
      <w:r w:rsidR="00975C53">
        <w:rPr>
          <w:sz w:val="22"/>
          <w:szCs w:val="22"/>
        </w:rPr>
        <w:t xml:space="preserve"> uchovávania </w:t>
      </w:r>
      <w:r w:rsidR="00727EA8">
        <w:rPr>
          <w:sz w:val="22"/>
          <w:szCs w:val="22"/>
        </w:rPr>
        <w:t xml:space="preserve">počas používania </w:t>
      </w:r>
      <w:r w:rsidR="00975C53">
        <w:rPr>
          <w:sz w:val="22"/>
          <w:szCs w:val="22"/>
        </w:rPr>
        <w:t xml:space="preserve">pozri </w:t>
      </w:r>
      <w:r w:rsidR="004061F5">
        <w:rPr>
          <w:sz w:val="22"/>
          <w:szCs w:val="22"/>
        </w:rPr>
        <w:t xml:space="preserve">v </w:t>
      </w:r>
      <w:r w:rsidR="00975C53">
        <w:rPr>
          <w:sz w:val="22"/>
          <w:szCs w:val="22"/>
        </w:rPr>
        <w:t>časti 6.3 a 6.4.</w:t>
      </w:r>
    </w:p>
    <w:p w14:paraId="0BA786CD" w14:textId="77777777" w:rsidR="00B106D0" w:rsidRDefault="00B106D0" w:rsidP="008A1CFF">
      <w:pPr>
        <w:tabs>
          <w:tab w:val="left" w:pos="567"/>
        </w:tabs>
        <w:rPr>
          <w:sz w:val="22"/>
          <w:szCs w:val="22"/>
        </w:rPr>
      </w:pPr>
    </w:p>
    <w:p w14:paraId="34EB2976" w14:textId="77777777" w:rsidR="00975C53" w:rsidRDefault="00B106D0" w:rsidP="008A1CFF">
      <w:pPr>
        <w:tabs>
          <w:tab w:val="left" w:pos="567"/>
        </w:tabs>
        <w:rPr>
          <w:sz w:val="22"/>
          <w:szCs w:val="22"/>
        </w:rPr>
      </w:pPr>
      <w:r w:rsidRPr="003F044D">
        <w:rPr>
          <w:sz w:val="22"/>
          <w:szCs w:val="22"/>
        </w:rPr>
        <w:t>Parenterálne lieky sa musia pred podaní</w:t>
      </w:r>
      <w:r w:rsidRPr="00295CBB">
        <w:rPr>
          <w:sz w:val="22"/>
          <w:szCs w:val="22"/>
        </w:rPr>
        <w:t>m vizuálne skontrolovať na prítomnosť tuhých častíc a zmenu sfarbenia, vždy keď to roztok a obal umožňuje.</w:t>
      </w:r>
    </w:p>
    <w:p w14:paraId="3CA2562E" w14:textId="77777777" w:rsidR="00B106D0" w:rsidRPr="00EE590C" w:rsidRDefault="00B106D0" w:rsidP="008A1CFF">
      <w:pPr>
        <w:tabs>
          <w:tab w:val="left" w:pos="567"/>
        </w:tabs>
        <w:rPr>
          <w:sz w:val="22"/>
          <w:szCs w:val="22"/>
        </w:rPr>
      </w:pPr>
    </w:p>
    <w:p w14:paraId="3AD0F309" w14:textId="77777777" w:rsidR="000F2E71" w:rsidRPr="00775FFA" w:rsidRDefault="0002215C" w:rsidP="008A1CFF">
      <w:pPr>
        <w:tabs>
          <w:tab w:val="left" w:pos="567"/>
        </w:tabs>
        <w:rPr>
          <w:sz w:val="22"/>
          <w:szCs w:val="22"/>
        </w:rPr>
      </w:pPr>
      <w:r w:rsidRPr="00EE590C">
        <w:rPr>
          <w:sz w:val="22"/>
          <w:szCs w:val="22"/>
        </w:rPr>
        <w:lastRenderedPageBreak/>
        <w:t>Všetok n</w:t>
      </w:r>
      <w:r w:rsidR="008E42FD" w:rsidRPr="00EE590C">
        <w:rPr>
          <w:sz w:val="22"/>
          <w:szCs w:val="22"/>
        </w:rPr>
        <w:t xml:space="preserve">epoužitý liek alebo odpad vzniknutý z lieku </w:t>
      </w:r>
      <w:r w:rsidRPr="00EE590C">
        <w:rPr>
          <w:sz w:val="22"/>
          <w:szCs w:val="22"/>
        </w:rPr>
        <w:t>sa má zlikvidovať v súlade s národnými požiadavkami</w:t>
      </w:r>
      <w:r w:rsidR="008E42FD" w:rsidRPr="00DA5375">
        <w:rPr>
          <w:sz w:val="22"/>
          <w:szCs w:val="22"/>
        </w:rPr>
        <w:t>.</w:t>
      </w:r>
    </w:p>
    <w:p w14:paraId="7D086F51" w14:textId="77777777" w:rsidR="000F2E71" w:rsidRPr="00775FFA" w:rsidRDefault="000F2E71" w:rsidP="008A1CFF">
      <w:pPr>
        <w:tabs>
          <w:tab w:val="left" w:pos="567"/>
        </w:tabs>
        <w:rPr>
          <w:sz w:val="22"/>
          <w:szCs w:val="22"/>
        </w:rPr>
      </w:pPr>
    </w:p>
    <w:p w14:paraId="47A36877" w14:textId="77777777" w:rsidR="000F2E71" w:rsidRPr="00775FFA" w:rsidRDefault="000F2E71" w:rsidP="008A1CFF">
      <w:pPr>
        <w:tabs>
          <w:tab w:val="left" w:pos="567"/>
        </w:tabs>
        <w:rPr>
          <w:sz w:val="22"/>
          <w:szCs w:val="22"/>
        </w:rPr>
      </w:pPr>
    </w:p>
    <w:p w14:paraId="62EB88C0" w14:textId="77777777" w:rsidR="000F2E71" w:rsidRPr="00775FFA" w:rsidRDefault="00C24F7F" w:rsidP="008A1CFF">
      <w:pPr>
        <w:tabs>
          <w:tab w:val="left" w:pos="567"/>
        </w:tabs>
        <w:rPr>
          <w:b/>
          <w:sz w:val="22"/>
          <w:szCs w:val="22"/>
        </w:rPr>
      </w:pPr>
      <w:r w:rsidRPr="00775FFA">
        <w:rPr>
          <w:b/>
          <w:sz w:val="22"/>
          <w:szCs w:val="22"/>
        </w:rPr>
        <w:t>7.</w:t>
      </w:r>
      <w:r w:rsidRPr="00775FFA">
        <w:rPr>
          <w:b/>
          <w:sz w:val="22"/>
          <w:szCs w:val="22"/>
        </w:rPr>
        <w:tab/>
        <w:t>DRŽITEĽ ROZHODNUTIA O REGISTRÁCII</w:t>
      </w:r>
    </w:p>
    <w:p w14:paraId="00EA20B2" w14:textId="77777777" w:rsidR="000F2E71" w:rsidRPr="00775FFA" w:rsidRDefault="000F2E71" w:rsidP="008A1CFF">
      <w:pPr>
        <w:tabs>
          <w:tab w:val="left" w:pos="567"/>
        </w:tabs>
        <w:rPr>
          <w:sz w:val="22"/>
          <w:szCs w:val="22"/>
        </w:rPr>
      </w:pPr>
    </w:p>
    <w:p w14:paraId="30F4F234" w14:textId="77777777" w:rsidR="00215E6C" w:rsidRPr="00775FFA" w:rsidRDefault="00215E6C" w:rsidP="00215E6C">
      <w:pPr>
        <w:keepNext/>
        <w:rPr>
          <w:sz w:val="22"/>
          <w:szCs w:val="22"/>
        </w:rPr>
      </w:pPr>
      <w:r w:rsidRPr="00775FFA">
        <w:rPr>
          <w:sz w:val="22"/>
          <w:szCs w:val="22"/>
        </w:rPr>
        <w:t>Pfizer Europe MA EEIG</w:t>
      </w:r>
    </w:p>
    <w:p w14:paraId="3FFC8ECE" w14:textId="77777777" w:rsidR="00215E6C" w:rsidRPr="00775FFA" w:rsidRDefault="00215E6C" w:rsidP="00215E6C">
      <w:pPr>
        <w:keepNext/>
        <w:rPr>
          <w:sz w:val="22"/>
          <w:szCs w:val="22"/>
        </w:rPr>
      </w:pPr>
      <w:proofErr w:type="spellStart"/>
      <w:r w:rsidRPr="00775FFA">
        <w:rPr>
          <w:sz w:val="22"/>
          <w:szCs w:val="22"/>
        </w:rPr>
        <w:t>Boulevard</w:t>
      </w:r>
      <w:proofErr w:type="spellEnd"/>
      <w:r w:rsidRPr="00775FFA">
        <w:rPr>
          <w:sz w:val="22"/>
          <w:szCs w:val="22"/>
        </w:rPr>
        <w:t xml:space="preserve"> de la </w:t>
      </w:r>
      <w:proofErr w:type="spellStart"/>
      <w:r w:rsidRPr="00775FFA">
        <w:rPr>
          <w:sz w:val="22"/>
          <w:szCs w:val="22"/>
        </w:rPr>
        <w:t>Plaine</w:t>
      </w:r>
      <w:proofErr w:type="spellEnd"/>
      <w:r w:rsidRPr="00775FFA">
        <w:rPr>
          <w:sz w:val="22"/>
          <w:szCs w:val="22"/>
        </w:rPr>
        <w:t xml:space="preserve"> 17</w:t>
      </w:r>
    </w:p>
    <w:p w14:paraId="56FF58FA" w14:textId="77777777" w:rsidR="00215E6C" w:rsidRPr="00775FFA" w:rsidRDefault="00215E6C" w:rsidP="00215E6C">
      <w:pPr>
        <w:keepNext/>
        <w:rPr>
          <w:sz w:val="22"/>
          <w:szCs w:val="22"/>
        </w:rPr>
      </w:pPr>
      <w:r w:rsidRPr="00775FFA">
        <w:rPr>
          <w:sz w:val="22"/>
          <w:szCs w:val="22"/>
        </w:rPr>
        <w:t xml:space="preserve">1050 </w:t>
      </w:r>
      <w:proofErr w:type="spellStart"/>
      <w:r w:rsidRPr="00775FFA">
        <w:rPr>
          <w:sz w:val="22"/>
          <w:szCs w:val="22"/>
        </w:rPr>
        <w:t>Bruxelles</w:t>
      </w:r>
      <w:proofErr w:type="spellEnd"/>
    </w:p>
    <w:p w14:paraId="1D0552C7" w14:textId="77777777" w:rsidR="00215E6C" w:rsidRPr="00775FFA" w:rsidRDefault="00215E6C" w:rsidP="00215E6C">
      <w:pPr>
        <w:keepNext/>
        <w:rPr>
          <w:sz w:val="22"/>
          <w:szCs w:val="22"/>
        </w:rPr>
      </w:pPr>
      <w:r w:rsidRPr="00775FFA">
        <w:rPr>
          <w:sz w:val="22"/>
          <w:szCs w:val="22"/>
        </w:rPr>
        <w:t>Belgicko</w:t>
      </w:r>
    </w:p>
    <w:p w14:paraId="70455B9B" w14:textId="77777777" w:rsidR="00E67679" w:rsidRPr="00775FFA" w:rsidRDefault="00E67679" w:rsidP="008A1CFF">
      <w:pPr>
        <w:tabs>
          <w:tab w:val="left" w:pos="567"/>
        </w:tabs>
        <w:rPr>
          <w:sz w:val="22"/>
          <w:szCs w:val="22"/>
        </w:rPr>
      </w:pPr>
    </w:p>
    <w:p w14:paraId="2FD835CE" w14:textId="77777777" w:rsidR="000F2E71" w:rsidRPr="00775FFA" w:rsidRDefault="000F2E71" w:rsidP="008A1CFF">
      <w:pPr>
        <w:tabs>
          <w:tab w:val="left" w:pos="567"/>
        </w:tabs>
        <w:rPr>
          <w:sz w:val="22"/>
          <w:szCs w:val="22"/>
        </w:rPr>
      </w:pPr>
    </w:p>
    <w:p w14:paraId="1494FA47" w14:textId="77777777" w:rsidR="000F2E71" w:rsidRPr="00775FFA" w:rsidRDefault="00C24F7F" w:rsidP="008A1CFF">
      <w:pPr>
        <w:tabs>
          <w:tab w:val="left" w:pos="567"/>
        </w:tabs>
        <w:rPr>
          <w:b/>
          <w:sz w:val="22"/>
          <w:szCs w:val="22"/>
        </w:rPr>
      </w:pPr>
      <w:r w:rsidRPr="00775FFA">
        <w:rPr>
          <w:b/>
          <w:sz w:val="22"/>
          <w:szCs w:val="22"/>
        </w:rPr>
        <w:t>8.</w:t>
      </w:r>
      <w:r w:rsidRPr="00775FFA">
        <w:rPr>
          <w:b/>
          <w:sz w:val="22"/>
          <w:szCs w:val="22"/>
        </w:rPr>
        <w:tab/>
        <w:t xml:space="preserve">REGISTRAČNÉ </w:t>
      </w:r>
      <w:r w:rsidR="00A36853" w:rsidRPr="00775FFA">
        <w:rPr>
          <w:b/>
          <w:sz w:val="22"/>
          <w:szCs w:val="22"/>
        </w:rPr>
        <w:t>ČÍSLA</w:t>
      </w:r>
    </w:p>
    <w:p w14:paraId="3252327C" w14:textId="77777777" w:rsidR="000F2E71" w:rsidRPr="00775FFA" w:rsidRDefault="000F2E71" w:rsidP="008A1CFF">
      <w:pPr>
        <w:tabs>
          <w:tab w:val="left" w:pos="567"/>
        </w:tabs>
        <w:rPr>
          <w:b/>
          <w:sz w:val="22"/>
          <w:szCs w:val="22"/>
        </w:rPr>
      </w:pPr>
    </w:p>
    <w:p w14:paraId="16679DD6" w14:textId="77777777" w:rsidR="00E67679" w:rsidRPr="00775FFA" w:rsidRDefault="00E67679" w:rsidP="008A1CFF">
      <w:pPr>
        <w:tabs>
          <w:tab w:val="left" w:pos="567"/>
        </w:tabs>
        <w:rPr>
          <w:sz w:val="22"/>
          <w:szCs w:val="22"/>
        </w:rPr>
      </w:pPr>
      <w:r w:rsidRPr="00775FFA">
        <w:rPr>
          <w:sz w:val="22"/>
          <w:szCs w:val="22"/>
        </w:rPr>
        <w:t>SOLU-MEDROL</w:t>
      </w:r>
      <w:r w:rsidRPr="00775FFA">
        <w:rPr>
          <w:sz w:val="22"/>
          <w:szCs w:val="22"/>
          <w:vertAlign w:val="superscript"/>
        </w:rPr>
        <w:t> </w:t>
      </w:r>
      <w:r w:rsidRPr="00775FFA">
        <w:rPr>
          <w:sz w:val="22"/>
          <w:szCs w:val="22"/>
        </w:rPr>
        <w:t>40 mg</w:t>
      </w:r>
      <w:r w:rsidR="00A36853" w:rsidRPr="00775FFA">
        <w:rPr>
          <w:sz w:val="22"/>
          <w:szCs w:val="22"/>
        </w:rPr>
        <w:t>: 56/0045/75-S</w:t>
      </w:r>
    </w:p>
    <w:p w14:paraId="201EC59A" w14:textId="77777777" w:rsidR="00E67679" w:rsidRPr="00775FFA" w:rsidRDefault="00E67679" w:rsidP="00E67679">
      <w:pPr>
        <w:pStyle w:val="Nadpis1"/>
        <w:tabs>
          <w:tab w:val="left" w:pos="567"/>
        </w:tabs>
        <w:rPr>
          <w:sz w:val="22"/>
          <w:szCs w:val="22"/>
        </w:rPr>
      </w:pPr>
      <w:r w:rsidRPr="00775FFA">
        <w:rPr>
          <w:sz w:val="22"/>
          <w:szCs w:val="22"/>
        </w:rPr>
        <w:t>SOLU-MEDROL</w:t>
      </w:r>
      <w:r w:rsidRPr="00775FFA">
        <w:rPr>
          <w:sz w:val="22"/>
          <w:szCs w:val="22"/>
          <w:vertAlign w:val="superscript"/>
        </w:rPr>
        <w:t> </w:t>
      </w:r>
      <w:r w:rsidRPr="00775FFA">
        <w:rPr>
          <w:sz w:val="22"/>
          <w:szCs w:val="22"/>
        </w:rPr>
        <w:t>125 mg</w:t>
      </w:r>
      <w:r w:rsidR="00C70E28" w:rsidRPr="00775FFA">
        <w:rPr>
          <w:sz w:val="22"/>
          <w:szCs w:val="22"/>
        </w:rPr>
        <w:t>: 56/0179/18-S</w:t>
      </w:r>
    </w:p>
    <w:p w14:paraId="578F7AE3" w14:textId="77777777" w:rsidR="00E67679" w:rsidRPr="00775FFA" w:rsidRDefault="00E67679" w:rsidP="00E67679">
      <w:pPr>
        <w:pStyle w:val="Nadpis1"/>
        <w:tabs>
          <w:tab w:val="left" w:pos="567"/>
        </w:tabs>
        <w:rPr>
          <w:sz w:val="22"/>
          <w:szCs w:val="22"/>
        </w:rPr>
      </w:pPr>
      <w:r w:rsidRPr="00775FFA">
        <w:rPr>
          <w:sz w:val="22"/>
          <w:szCs w:val="22"/>
        </w:rPr>
        <w:t>SOLU-MEDROL</w:t>
      </w:r>
      <w:r w:rsidRPr="00775FFA">
        <w:rPr>
          <w:sz w:val="22"/>
          <w:szCs w:val="22"/>
          <w:vertAlign w:val="superscript"/>
        </w:rPr>
        <w:t> </w:t>
      </w:r>
      <w:r w:rsidRPr="00775FFA">
        <w:rPr>
          <w:sz w:val="22"/>
          <w:szCs w:val="22"/>
        </w:rPr>
        <w:t>250 mg</w:t>
      </w:r>
      <w:r w:rsidR="00C70E28" w:rsidRPr="00775FFA">
        <w:rPr>
          <w:sz w:val="22"/>
          <w:szCs w:val="22"/>
        </w:rPr>
        <w:t>: 56/0180/18-S</w:t>
      </w:r>
    </w:p>
    <w:p w14:paraId="366A3D6B" w14:textId="77777777" w:rsidR="00E67679" w:rsidRPr="00775FFA" w:rsidRDefault="00E67679" w:rsidP="00E67679">
      <w:pPr>
        <w:pStyle w:val="Nadpis1"/>
        <w:tabs>
          <w:tab w:val="left" w:pos="567"/>
        </w:tabs>
        <w:rPr>
          <w:sz w:val="22"/>
          <w:szCs w:val="22"/>
        </w:rPr>
      </w:pPr>
      <w:r w:rsidRPr="00775FFA">
        <w:rPr>
          <w:sz w:val="22"/>
          <w:szCs w:val="22"/>
        </w:rPr>
        <w:t>SOLU-MEDROL</w:t>
      </w:r>
      <w:r w:rsidRPr="00775FFA">
        <w:rPr>
          <w:sz w:val="22"/>
          <w:szCs w:val="22"/>
          <w:vertAlign w:val="superscript"/>
        </w:rPr>
        <w:t> </w:t>
      </w:r>
      <w:r w:rsidRPr="00775FFA">
        <w:rPr>
          <w:sz w:val="22"/>
          <w:szCs w:val="22"/>
        </w:rPr>
        <w:t>500 mg</w:t>
      </w:r>
      <w:r w:rsidR="00C70E28" w:rsidRPr="00775FFA">
        <w:rPr>
          <w:sz w:val="22"/>
          <w:szCs w:val="22"/>
        </w:rPr>
        <w:t>: 56/0181/18-S</w:t>
      </w:r>
    </w:p>
    <w:p w14:paraId="24C2FB61" w14:textId="77777777" w:rsidR="00E67679" w:rsidRPr="00775FFA" w:rsidRDefault="00E67679" w:rsidP="00E67679">
      <w:pPr>
        <w:pStyle w:val="Nadpis1"/>
        <w:tabs>
          <w:tab w:val="left" w:pos="567"/>
        </w:tabs>
        <w:rPr>
          <w:sz w:val="22"/>
          <w:szCs w:val="22"/>
        </w:rPr>
      </w:pPr>
      <w:r w:rsidRPr="00775FFA">
        <w:rPr>
          <w:sz w:val="22"/>
          <w:szCs w:val="22"/>
        </w:rPr>
        <w:t>SOLU-MEDROL</w:t>
      </w:r>
      <w:r w:rsidRPr="00775FFA">
        <w:rPr>
          <w:sz w:val="22"/>
          <w:szCs w:val="22"/>
          <w:vertAlign w:val="superscript"/>
        </w:rPr>
        <w:t> </w:t>
      </w:r>
      <w:r w:rsidRPr="00775FFA">
        <w:rPr>
          <w:sz w:val="22"/>
          <w:szCs w:val="22"/>
        </w:rPr>
        <w:t>1 g</w:t>
      </w:r>
      <w:r w:rsidR="00C70E28" w:rsidRPr="00775FFA">
        <w:rPr>
          <w:sz w:val="22"/>
          <w:szCs w:val="22"/>
        </w:rPr>
        <w:t>: 56/0182/18-S</w:t>
      </w:r>
    </w:p>
    <w:p w14:paraId="673272FB" w14:textId="77777777" w:rsidR="000F2E71" w:rsidRPr="00775FFA" w:rsidRDefault="000F2E71" w:rsidP="008A1CFF">
      <w:pPr>
        <w:tabs>
          <w:tab w:val="left" w:pos="567"/>
        </w:tabs>
        <w:rPr>
          <w:sz w:val="22"/>
          <w:szCs w:val="22"/>
        </w:rPr>
      </w:pPr>
    </w:p>
    <w:p w14:paraId="1571F09C" w14:textId="77777777" w:rsidR="00566558" w:rsidRPr="00775FFA" w:rsidRDefault="00566558" w:rsidP="008A1CFF">
      <w:pPr>
        <w:tabs>
          <w:tab w:val="left" w:pos="567"/>
        </w:tabs>
        <w:rPr>
          <w:sz w:val="22"/>
          <w:szCs w:val="22"/>
        </w:rPr>
      </w:pPr>
    </w:p>
    <w:p w14:paraId="4F2859F3" w14:textId="515C06BF" w:rsidR="000F2E71" w:rsidRPr="00775FFA" w:rsidRDefault="00C24F7F" w:rsidP="008A1CFF">
      <w:pPr>
        <w:tabs>
          <w:tab w:val="left" w:pos="567"/>
        </w:tabs>
        <w:rPr>
          <w:b/>
          <w:sz w:val="22"/>
          <w:szCs w:val="22"/>
        </w:rPr>
      </w:pPr>
      <w:r w:rsidRPr="00775FFA">
        <w:rPr>
          <w:b/>
          <w:sz w:val="22"/>
          <w:szCs w:val="22"/>
        </w:rPr>
        <w:t>9.</w:t>
      </w:r>
      <w:r w:rsidRPr="00775FFA">
        <w:rPr>
          <w:b/>
          <w:sz w:val="22"/>
          <w:szCs w:val="22"/>
        </w:rPr>
        <w:tab/>
        <w:t xml:space="preserve">DÁTUM </w:t>
      </w:r>
      <w:r w:rsidR="004239FA">
        <w:rPr>
          <w:b/>
          <w:sz w:val="22"/>
          <w:szCs w:val="22"/>
        </w:rPr>
        <w:t xml:space="preserve">PRVEJ </w:t>
      </w:r>
      <w:r w:rsidRPr="00775FFA">
        <w:rPr>
          <w:b/>
          <w:sz w:val="22"/>
          <w:szCs w:val="22"/>
        </w:rPr>
        <w:t>REGISTRÁCIE/PREDĹŽENIE REGISTRÁCIE</w:t>
      </w:r>
    </w:p>
    <w:p w14:paraId="5A0FB1D7" w14:textId="77777777" w:rsidR="000F2E71" w:rsidRPr="00775FFA" w:rsidRDefault="000F2E71" w:rsidP="008A1CFF">
      <w:pPr>
        <w:tabs>
          <w:tab w:val="left" w:pos="567"/>
        </w:tabs>
        <w:rPr>
          <w:sz w:val="22"/>
          <w:szCs w:val="22"/>
        </w:rPr>
      </w:pPr>
    </w:p>
    <w:p w14:paraId="27267AE5" w14:textId="77777777" w:rsidR="000F2E71" w:rsidRPr="00775FFA" w:rsidRDefault="00C24F7F" w:rsidP="008A1CFF">
      <w:pPr>
        <w:tabs>
          <w:tab w:val="left" w:pos="567"/>
        </w:tabs>
        <w:rPr>
          <w:sz w:val="22"/>
          <w:szCs w:val="22"/>
        </w:rPr>
      </w:pPr>
      <w:r w:rsidRPr="00775FFA">
        <w:rPr>
          <w:sz w:val="22"/>
          <w:szCs w:val="22"/>
        </w:rPr>
        <w:t>Dátum prvej registrácie: 28.</w:t>
      </w:r>
      <w:r w:rsidR="00566558" w:rsidRPr="00775FFA">
        <w:rPr>
          <w:sz w:val="22"/>
          <w:szCs w:val="22"/>
        </w:rPr>
        <w:t xml:space="preserve"> decembra </w:t>
      </w:r>
      <w:r w:rsidRPr="00775FFA">
        <w:rPr>
          <w:sz w:val="22"/>
          <w:szCs w:val="22"/>
        </w:rPr>
        <w:t>1975</w:t>
      </w:r>
    </w:p>
    <w:p w14:paraId="0A456B5A" w14:textId="77777777" w:rsidR="000F2E71" w:rsidRPr="00775FFA" w:rsidRDefault="00C24F7F" w:rsidP="008A1CFF">
      <w:pPr>
        <w:tabs>
          <w:tab w:val="left" w:pos="567"/>
        </w:tabs>
        <w:rPr>
          <w:b/>
          <w:sz w:val="22"/>
          <w:szCs w:val="22"/>
        </w:rPr>
      </w:pPr>
      <w:r w:rsidRPr="00775FFA">
        <w:rPr>
          <w:sz w:val="22"/>
          <w:szCs w:val="22"/>
        </w:rPr>
        <w:t>Dátum posledného predĺženia</w:t>
      </w:r>
      <w:r w:rsidR="00566558" w:rsidRPr="00775FFA">
        <w:rPr>
          <w:sz w:val="22"/>
          <w:szCs w:val="22"/>
        </w:rPr>
        <w:t xml:space="preserve"> registrácie</w:t>
      </w:r>
      <w:r w:rsidRPr="00775FFA">
        <w:rPr>
          <w:sz w:val="22"/>
          <w:szCs w:val="22"/>
        </w:rPr>
        <w:t xml:space="preserve">: </w:t>
      </w:r>
      <w:r w:rsidR="00A36853" w:rsidRPr="00775FFA">
        <w:rPr>
          <w:sz w:val="22"/>
          <w:szCs w:val="22"/>
        </w:rPr>
        <w:t>30</w:t>
      </w:r>
      <w:r w:rsidRPr="00775FFA">
        <w:rPr>
          <w:sz w:val="22"/>
          <w:szCs w:val="22"/>
        </w:rPr>
        <w:t>.</w:t>
      </w:r>
      <w:r w:rsidR="00566558" w:rsidRPr="00775FFA">
        <w:rPr>
          <w:sz w:val="22"/>
          <w:szCs w:val="22"/>
        </w:rPr>
        <w:t xml:space="preserve"> </w:t>
      </w:r>
      <w:r w:rsidR="00533649" w:rsidRPr="00775FFA">
        <w:rPr>
          <w:sz w:val="22"/>
          <w:szCs w:val="22"/>
        </w:rPr>
        <w:t>júl</w:t>
      </w:r>
      <w:r w:rsidR="00BC6A2A" w:rsidRPr="00775FFA">
        <w:rPr>
          <w:sz w:val="22"/>
          <w:szCs w:val="22"/>
        </w:rPr>
        <w:t>a</w:t>
      </w:r>
      <w:r w:rsidR="00566558" w:rsidRPr="00775FFA">
        <w:rPr>
          <w:sz w:val="22"/>
          <w:szCs w:val="22"/>
        </w:rPr>
        <w:t xml:space="preserve"> </w:t>
      </w:r>
      <w:r w:rsidR="00A36853" w:rsidRPr="00775FFA">
        <w:rPr>
          <w:sz w:val="22"/>
          <w:szCs w:val="22"/>
        </w:rPr>
        <w:t>2007</w:t>
      </w:r>
    </w:p>
    <w:p w14:paraId="24340C1A" w14:textId="77777777" w:rsidR="00DD0276" w:rsidRPr="00775FFA" w:rsidRDefault="00DD0276" w:rsidP="008A1CFF">
      <w:pPr>
        <w:tabs>
          <w:tab w:val="left" w:pos="567"/>
        </w:tabs>
        <w:rPr>
          <w:sz w:val="22"/>
          <w:szCs w:val="22"/>
        </w:rPr>
      </w:pPr>
    </w:p>
    <w:p w14:paraId="7BC101F5" w14:textId="77777777" w:rsidR="000F2E71" w:rsidRPr="00775FFA" w:rsidRDefault="000F2E71" w:rsidP="008A1CFF">
      <w:pPr>
        <w:tabs>
          <w:tab w:val="left" w:pos="567"/>
        </w:tabs>
        <w:rPr>
          <w:sz w:val="22"/>
          <w:szCs w:val="22"/>
        </w:rPr>
      </w:pPr>
    </w:p>
    <w:p w14:paraId="3674FCE8" w14:textId="77777777" w:rsidR="000F2E71" w:rsidRDefault="00C24F7F" w:rsidP="008A1CFF">
      <w:pPr>
        <w:tabs>
          <w:tab w:val="left" w:pos="567"/>
        </w:tabs>
        <w:rPr>
          <w:b/>
          <w:sz w:val="22"/>
          <w:szCs w:val="22"/>
        </w:rPr>
      </w:pPr>
      <w:r w:rsidRPr="00775FFA">
        <w:rPr>
          <w:b/>
          <w:sz w:val="22"/>
          <w:szCs w:val="22"/>
        </w:rPr>
        <w:t>10.</w:t>
      </w:r>
      <w:r w:rsidRPr="00775FFA">
        <w:rPr>
          <w:b/>
          <w:sz w:val="22"/>
          <w:szCs w:val="22"/>
        </w:rPr>
        <w:tab/>
        <w:t>DÁTUM REVÍZIE TEXTU</w:t>
      </w:r>
    </w:p>
    <w:p w14:paraId="41170F25" w14:textId="77777777" w:rsidR="00AA0535" w:rsidRDefault="00AA0535" w:rsidP="008A1CFF">
      <w:pPr>
        <w:tabs>
          <w:tab w:val="left" w:pos="567"/>
        </w:tabs>
        <w:rPr>
          <w:b/>
          <w:sz w:val="22"/>
          <w:szCs w:val="22"/>
        </w:rPr>
      </w:pPr>
    </w:p>
    <w:p w14:paraId="2CACE77E" w14:textId="52A04F69" w:rsidR="002373DE" w:rsidRDefault="003D5443" w:rsidP="001A6993">
      <w:pPr>
        <w:tabs>
          <w:tab w:val="left" w:pos="567"/>
        </w:tabs>
        <w:rPr>
          <w:sz w:val="22"/>
          <w:szCs w:val="22"/>
        </w:rPr>
      </w:pPr>
      <w:r>
        <w:rPr>
          <w:sz w:val="22"/>
          <w:szCs w:val="22"/>
        </w:rPr>
        <w:t>03/2024</w:t>
      </w:r>
    </w:p>
    <w:sectPr w:rsidR="002373DE" w:rsidSect="008A1CFF">
      <w:headerReference w:type="default" r:id="rId9"/>
      <w:footerReference w:type="even" r:id="rId10"/>
      <w:footerReference w:type="default" r:id="rId11"/>
      <w:headerReference w:type="first" r:id="rId12"/>
      <w:footerReference w:type="first" r:id="rId13"/>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3162" w14:textId="77777777" w:rsidR="00DC5681" w:rsidRDefault="00DC5681">
      <w:r>
        <w:separator/>
      </w:r>
    </w:p>
  </w:endnote>
  <w:endnote w:type="continuationSeparator" w:id="0">
    <w:p w14:paraId="1727E9EC" w14:textId="77777777" w:rsidR="00DC5681" w:rsidRDefault="00DC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n-ea">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69A0" w14:textId="77777777" w:rsidR="004D139A" w:rsidRDefault="004D139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8</w:t>
    </w:r>
    <w:r>
      <w:rPr>
        <w:rStyle w:val="slostrany"/>
      </w:rPr>
      <w:fldChar w:fldCharType="end"/>
    </w:r>
  </w:p>
  <w:p w14:paraId="46DDE781" w14:textId="77777777" w:rsidR="004D139A" w:rsidRDefault="004D139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0149" w14:textId="77777777" w:rsidR="004D139A" w:rsidRPr="00281991" w:rsidRDefault="00724254" w:rsidP="007B2B59">
    <w:pPr>
      <w:pStyle w:val="Pta"/>
      <w:jc w:val="center"/>
      <w:rPr>
        <w:rFonts w:ascii="Arial" w:hAnsi="Arial" w:cs="Arial"/>
        <w:sz w:val="16"/>
        <w:szCs w:val="16"/>
      </w:rPr>
    </w:pPr>
    <w:r w:rsidRPr="008A1CFF">
      <w:rPr>
        <w:sz w:val="18"/>
        <w:szCs w:val="18"/>
      </w:rPr>
      <w:fldChar w:fldCharType="begin"/>
    </w:r>
    <w:r w:rsidRPr="008A1CFF">
      <w:rPr>
        <w:sz w:val="18"/>
        <w:szCs w:val="18"/>
      </w:rPr>
      <w:instrText>PAGE   \* MERGEFORMAT</w:instrText>
    </w:r>
    <w:r w:rsidRPr="008A1CFF">
      <w:rPr>
        <w:sz w:val="18"/>
        <w:szCs w:val="18"/>
      </w:rPr>
      <w:fldChar w:fldCharType="separate"/>
    </w:r>
    <w:r w:rsidR="00AB7C8F">
      <w:rPr>
        <w:noProof/>
        <w:sz w:val="18"/>
        <w:szCs w:val="18"/>
      </w:rPr>
      <w:t>20</w:t>
    </w:r>
    <w:r w:rsidRPr="008A1CFF">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7282" w14:textId="77777777" w:rsidR="00E438DF" w:rsidRPr="008A1CFF" w:rsidRDefault="00E438DF">
    <w:pPr>
      <w:pStyle w:val="Pta"/>
      <w:jc w:val="center"/>
      <w:rPr>
        <w:sz w:val="18"/>
        <w:szCs w:val="18"/>
      </w:rPr>
    </w:pPr>
    <w:r w:rsidRPr="008A1CFF">
      <w:rPr>
        <w:sz w:val="18"/>
        <w:szCs w:val="18"/>
      </w:rPr>
      <w:fldChar w:fldCharType="begin"/>
    </w:r>
    <w:r w:rsidRPr="008A1CFF">
      <w:rPr>
        <w:sz w:val="18"/>
        <w:szCs w:val="18"/>
      </w:rPr>
      <w:instrText>PAGE   \* MERGEFORMAT</w:instrText>
    </w:r>
    <w:r w:rsidRPr="008A1CFF">
      <w:rPr>
        <w:sz w:val="18"/>
        <w:szCs w:val="18"/>
      </w:rPr>
      <w:fldChar w:fldCharType="separate"/>
    </w:r>
    <w:r w:rsidR="00BC6A2A" w:rsidRPr="00BC6A2A">
      <w:rPr>
        <w:noProof/>
        <w:sz w:val="18"/>
        <w:szCs w:val="18"/>
      </w:rPr>
      <w:t>1</w:t>
    </w:r>
    <w:r w:rsidRPr="008A1CFF">
      <w:rPr>
        <w:sz w:val="18"/>
        <w:szCs w:val="18"/>
      </w:rPr>
      <w:fldChar w:fldCharType="end"/>
    </w:r>
  </w:p>
  <w:p w14:paraId="56ECDAB7" w14:textId="77777777" w:rsidR="004D139A" w:rsidRDefault="004D139A" w:rsidP="00281991">
    <w:pPr>
      <w:pStyle w:val="Pt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7D36" w14:textId="77777777" w:rsidR="00DC5681" w:rsidRDefault="00DC5681">
      <w:r>
        <w:separator/>
      </w:r>
    </w:p>
  </w:footnote>
  <w:footnote w:type="continuationSeparator" w:id="0">
    <w:p w14:paraId="5300AFC5" w14:textId="77777777" w:rsidR="00DC5681" w:rsidRDefault="00DC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5ADB" w14:textId="2BAEA38C" w:rsidR="00E438DF" w:rsidRPr="004F3230" w:rsidRDefault="003D5443" w:rsidP="009876B2">
    <w:r>
      <w:rPr>
        <w:bCs/>
        <w:sz w:val="18"/>
        <w:szCs w:val="18"/>
      </w:rPr>
      <w:t xml:space="preserve">Schválený text k rozhodnutiu o zmene, ev. č.: </w:t>
    </w:r>
    <w:r w:rsidRPr="00404A11">
      <w:rPr>
        <w:bCs/>
        <w:sz w:val="18"/>
        <w:szCs w:val="18"/>
      </w:rPr>
      <w:t>2023/05952-ZME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EC61" w14:textId="77777777" w:rsidR="004D139A" w:rsidRDefault="004D139A" w:rsidP="007F1EA5">
    <w:pPr>
      <w:pStyle w:val="Hlavika"/>
      <w:rPr>
        <w:sz w:val="18"/>
        <w:szCs w:val="18"/>
        <w:lang w:val="pt-BR"/>
      </w:rPr>
    </w:pPr>
    <w:r w:rsidRPr="00A361A6">
      <w:rPr>
        <w:sz w:val="18"/>
        <w:szCs w:val="18"/>
        <w:lang w:val="pt-BR"/>
      </w:rPr>
      <w:t xml:space="preserve">Schválený text k rozhodnutiu o zmene, ev.č. </w:t>
    </w:r>
    <w:r w:rsidRPr="00CE7D19">
      <w:rPr>
        <w:sz w:val="18"/>
        <w:szCs w:val="18"/>
        <w:highlight w:val="cyan"/>
        <w:lang w:val="pt-BR"/>
      </w:rPr>
      <w:t>2014/00882-ZME</w:t>
    </w:r>
    <w:r w:rsidRPr="00CE7D19">
      <w:rPr>
        <w:sz w:val="18"/>
        <w:szCs w:val="18"/>
        <w:lang w:val="pt-BR"/>
      </w:rPr>
      <w:t xml:space="preserve">, </w:t>
    </w:r>
    <w:r w:rsidRPr="00CE7D19">
      <w:rPr>
        <w:sz w:val="18"/>
        <w:szCs w:val="18"/>
        <w:highlight w:val="green"/>
        <w:lang w:val="pt-BR"/>
      </w:rPr>
      <w:t>2014-03266-ZME</w:t>
    </w:r>
    <w:r w:rsidRPr="00CE7D19">
      <w:rPr>
        <w:sz w:val="18"/>
        <w:szCs w:val="18"/>
        <w:lang w:val="pt-BR"/>
      </w:rPr>
      <w:t xml:space="preserve">, </w:t>
    </w:r>
    <w:r>
      <w:rPr>
        <w:sz w:val="18"/>
        <w:szCs w:val="18"/>
        <w:highlight w:val="yellow"/>
        <w:lang w:val="pt-BR"/>
      </w:rPr>
      <w:t>2014/06594-ZME</w:t>
    </w:r>
    <w:r w:rsidRPr="008A1CFF">
      <w:rPr>
        <w:sz w:val="18"/>
        <w:szCs w:val="18"/>
        <w:lang w:val="pt-BR"/>
      </w:rPr>
      <w:t xml:space="preserve">, </w:t>
    </w:r>
  </w:p>
  <w:p w14:paraId="057FF07A" w14:textId="77777777" w:rsidR="004D139A" w:rsidRPr="00844B28" w:rsidRDefault="004D139A" w:rsidP="007F1EA5">
    <w:pPr>
      <w:pStyle w:val="Hlavika"/>
      <w:rPr>
        <w:sz w:val="18"/>
        <w:szCs w:val="18"/>
        <w:highlight w:val="lightGray"/>
        <w:lang w:val="pt-BR"/>
      </w:rPr>
    </w:pPr>
    <w:r>
      <w:rPr>
        <w:sz w:val="18"/>
        <w:szCs w:val="18"/>
        <w:highlight w:val="darkMagenta"/>
        <w:lang w:val="pt-BR"/>
      </w:rPr>
      <w:t>2014</w:t>
    </w:r>
    <w:r w:rsidR="00281582">
      <w:rPr>
        <w:sz w:val="18"/>
        <w:szCs w:val="18"/>
        <w:highlight w:val="darkMagenta"/>
        <w:lang w:val="pt-BR"/>
      </w:rPr>
      <w:t>/</w:t>
    </w:r>
    <w:r>
      <w:rPr>
        <w:sz w:val="18"/>
        <w:szCs w:val="18"/>
        <w:highlight w:val="darkMagenta"/>
        <w:lang w:val="pt-BR"/>
      </w:rPr>
      <w:t>00142-ZME</w:t>
    </w:r>
    <w:r w:rsidR="00DC012B" w:rsidRPr="00DC012B">
      <w:rPr>
        <w:sz w:val="18"/>
        <w:szCs w:val="18"/>
        <w:lang w:val="pt-BR"/>
      </w:rPr>
      <w:t>,</w:t>
    </w:r>
    <w:r w:rsidR="00DC012B">
      <w:rPr>
        <w:sz w:val="18"/>
        <w:szCs w:val="18"/>
        <w:lang w:val="pt-BR"/>
      </w:rPr>
      <w:t xml:space="preserve"> </w:t>
    </w:r>
    <w:r w:rsidR="00DC012B" w:rsidRPr="00844B28">
      <w:rPr>
        <w:sz w:val="18"/>
        <w:szCs w:val="18"/>
        <w:highlight w:val="darkCyan"/>
        <w:lang w:val="pt-BR"/>
      </w:rPr>
      <w:t>2016/</w:t>
    </w:r>
    <w:r w:rsidR="008D5D9D" w:rsidRPr="00844B28">
      <w:rPr>
        <w:sz w:val="18"/>
        <w:szCs w:val="18"/>
        <w:highlight w:val="darkCyan"/>
        <w:lang w:val="pt-BR"/>
      </w:rPr>
      <w:t>01236-ZME</w:t>
    </w:r>
  </w:p>
  <w:p w14:paraId="18392462" w14:textId="77777777" w:rsidR="004D139A" w:rsidRPr="00A361A6" w:rsidRDefault="004D139A" w:rsidP="00277E7C">
    <w:pPr>
      <w:pStyle w:val="Hlavika"/>
      <w:rPr>
        <w:sz w:val="18"/>
        <w:szCs w:val="18"/>
        <w:lang w:val="pt-BR"/>
      </w:rPr>
    </w:pPr>
    <w:r w:rsidRPr="00DD211F">
      <w:rPr>
        <w:bCs/>
        <w:sz w:val="18"/>
        <w:szCs w:val="18"/>
      </w:rPr>
      <w:t xml:space="preserve">Príloha č. </w:t>
    </w:r>
    <w:r>
      <w:rPr>
        <w:bCs/>
        <w:sz w:val="18"/>
        <w:szCs w:val="18"/>
      </w:rPr>
      <w:t>1</w:t>
    </w:r>
    <w:r w:rsidRPr="00DD211F">
      <w:rPr>
        <w:bCs/>
        <w:sz w:val="18"/>
        <w:szCs w:val="18"/>
      </w:rPr>
      <w:t xml:space="preserve"> k notifikácii o zmene, ev. č.:</w:t>
    </w:r>
    <w:r>
      <w:rPr>
        <w:bCs/>
        <w:sz w:val="18"/>
        <w:szCs w:val="18"/>
      </w:rPr>
      <w:t xml:space="preserve"> </w:t>
    </w:r>
    <w:r w:rsidR="00566558">
      <w:rPr>
        <w:bCs/>
        <w:sz w:val="18"/>
        <w:szCs w:val="18"/>
        <w:highlight w:val="darkYellow"/>
      </w:rPr>
      <w:t>2015-07309-Z1B</w:t>
    </w:r>
    <w:r w:rsidR="00A31535">
      <w:rPr>
        <w:bCs/>
        <w:sz w:val="18"/>
        <w:szCs w:val="18"/>
        <w:highlight w:val="darkYellow"/>
      </w:rPr>
      <w:t xml:space="preserve">, </w:t>
    </w:r>
    <w:r w:rsidR="00A31535">
      <w:rPr>
        <w:bCs/>
        <w:sz w:val="18"/>
        <w:szCs w:val="18"/>
      </w:rPr>
      <w:t>2017/00744-ZIB, 2017/05157-ZIB</w:t>
    </w:r>
    <w:r w:rsidR="0004138D" w:rsidRPr="008A1CFF">
      <w:rPr>
        <w:sz w:val="18"/>
        <w:szCs w:val="18"/>
        <w:lang w:val="pt-BR"/>
      </w:rPr>
      <w:t>, 2018/02222-ZIB</w:t>
    </w:r>
    <w:r w:rsidR="00281582">
      <w:rPr>
        <w:sz w:val="18"/>
        <w:szCs w:val="18"/>
        <w:lang w:val="pt-BR"/>
      </w:rPr>
      <w:t>,</w:t>
    </w:r>
    <w:r w:rsidR="0004138D" w:rsidRPr="008A1CFF">
      <w:rPr>
        <w:sz w:val="18"/>
        <w:szCs w:val="18"/>
        <w:lang w:val="pt-BR"/>
      </w:rPr>
      <w:t xml:space="preserve"> 2018/02223-ZIB</w:t>
    </w:r>
  </w:p>
  <w:p w14:paraId="63356F95" w14:textId="77777777" w:rsidR="004D139A" w:rsidRDefault="004D139A" w:rsidP="00AE76CC">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507CD"/>
    <w:multiLevelType w:val="hybridMultilevel"/>
    <w:tmpl w:val="19506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B71D8"/>
    <w:multiLevelType w:val="multilevel"/>
    <w:tmpl w:val="99D04A3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E200FB"/>
    <w:multiLevelType w:val="hybridMultilevel"/>
    <w:tmpl w:val="AB3E1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05D9A"/>
    <w:multiLevelType w:val="hybridMultilevel"/>
    <w:tmpl w:val="485E8BF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0B3478D"/>
    <w:multiLevelType w:val="multilevel"/>
    <w:tmpl w:val="3EBAF1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315155A"/>
    <w:multiLevelType w:val="hybridMultilevel"/>
    <w:tmpl w:val="B39CD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07AA6"/>
    <w:multiLevelType w:val="hybridMultilevel"/>
    <w:tmpl w:val="5E58C86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C8B0C8E"/>
    <w:multiLevelType w:val="hybridMultilevel"/>
    <w:tmpl w:val="90DA7F88"/>
    <w:lvl w:ilvl="0" w:tplc="4086AC7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3E54C9"/>
    <w:multiLevelType w:val="hybridMultilevel"/>
    <w:tmpl w:val="CB342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82915"/>
    <w:multiLevelType w:val="hybridMultilevel"/>
    <w:tmpl w:val="82E88CA8"/>
    <w:lvl w:ilvl="0" w:tplc="7ED42A3A">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04A2E"/>
    <w:multiLevelType w:val="multilevel"/>
    <w:tmpl w:val="21C60FE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3F304F4D"/>
    <w:multiLevelType w:val="hybridMultilevel"/>
    <w:tmpl w:val="A3D6D406"/>
    <w:lvl w:ilvl="0" w:tplc="C53621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A3B3B"/>
    <w:multiLevelType w:val="hybridMultilevel"/>
    <w:tmpl w:val="24682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B0023"/>
    <w:multiLevelType w:val="hybridMultilevel"/>
    <w:tmpl w:val="B74C53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CD7B95"/>
    <w:multiLevelType w:val="hybridMultilevel"/>
    <w:tmpl w:val="BAACD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9870CD"/>
    <w:multiLevelType w:val="hybridMultilevel"/>
    <w:tmpl w:val="87E61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01F5B"/>
    <w:multiLevelType w:val="hybridMultilevel"/>
    <w:tmpl w:val="486E3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6F614A"/>
    <w:multiLevelType w:val="hybridMultilevel"/>
    <w:tmpl w:val="5DECC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48FD5D1A"/>
    <w:multiLevelType w:val="multilevel"/>
    <w:tmpl w:val="130AB4F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7D0226"/>
    <w:multiLevelType w:val="singleLevel"/>
    <w:tmpl w:val="11AE8AB6"/>
    <w:lvl w:ilvl="0">
      <w:start w:val="1"/>
      <w:numFmt w:val="decimal"/>
      <w:lvlText w:val="%1."/>
      <w:legacy w:legacy="1" w:legacySpace="0" w:legacyIndent="360"/>
      <w:lvlJc w:val="left"/>
      <w:pPr>
        <w:ind w:left="360" w:hanging="360"/>
      </w:pPr>
    </w:lvl>
  </w:abstractNum>
  <w:abstractNum w:abstractNumId="25" w15:restartNumberingAfterBreak="0">
    <w:nsid w:val="4F5E04F4"/>
    <w:multiLevelType w:val="hybridMultilevel"/>
    <w:tmpl w:val="EE5E22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7F4DFC"/>
    <w:multiLevelType w:val="hybridMultilevel"/>
    <w:tmpl w:val="B0F89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8" w15:restartNumberingAfterBreak="0">
    <w:nsid w:val="52683395"/>
    <w:multiLevelType w:val="hybridMultilevel"/>
    <w:tmpl w:val="27D0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7513A"/>
    <w:multiLevelType w:val="singleLevel"/>
    <w:tmpl w:val="A86479C4"/>
    <w:lvl w:ilvl="0">
      <w:start w:val="5"/>
      <w:numFmt w:val="bullet"/>
      <w:lvlText w:val="-"/>
      <w:lvlJc w:val="left"/>
      <w:pPr>
        <w:tabs>
          <w:tab w:val="num" w:pos="360"/>
        </w:tabs>
        <w:ind w:left="360" w:hanging="360"/>
      </w:pPr>
      <w:rPr>
        <w:rFonts w:hint="default"/>
      </w:rPr>
    </w:lvl>
  </w:abstractNum>
  <w:abstractNum w:abstractNumId="30" w15:restartNumberingAfterBreak="0">
    <w:nsid w:val="56931E4D"/>
    <w:multiLevelType w:val="hybridMultilevel"/>
    <w:tmpl w:val="DF7C2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F10EE3"/>
    <w:multiLevelType w:val="multilevel"/>
    <w:tmpl w:val="862CE4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2" w15:restartNumberingAfterBreak="0">
    <w:nsid w:val="602A07F3"/>
    <w:multiLevelType w:val="hybridMultilevel"/>
    <w:tmpl w:val="521C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951FF"/>
    <w:multiLevelType w:val="hybridMultilevel"/>
    <w:tmpl w:val="75A835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715C1A"/>
    <w:multiLevelType w:val="multilevel"/>
    <w:tmpl w:val="19EE3EF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033304"/>
    <w:multiLevelType w:val="hybridMultilevel"/>
    <w:tmpl w:val="BE02D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16701D"/>
    <w:multiLevelType w:val="hybridMultilevel"/>
    <w:tmpl w:val="D4B6F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E742B2"/>
    <w:multiLevelType w:val="hybridMultilevel"/>
    <w:tmpl w:val="ACD6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B1A5F"/>
    <w:multiLevelType w:val="hybridMultilevel"/>
    <w:tmpl w:val="F5A680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41103E"/>
    <w:multiLevelType w:val="multilevel"/>
    <w:tmpl w:val="B93A749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871DD3"/>
    <w:multiLevelType w:val="hybridMultilevel"/>
    <w:tmpl w:val="CC567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2" w15:restartNumberingAfterBreak="0">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777215443">
    <w:abstractNumId w:val="31"/>
  </w:num>
  <w:num w:numId="2" w16cid:durableId="883248154">
    <w:abstractNumId w:val="42"/>
  </w:num>
  <w:num w:numId="3" w16cid:durableId="1139542550">
    <w:abstractNumId w:val="6"/>
  </w:num>
  <w:num w:numId="4" w16cid:durableId="405342542">
    <w:abstractNumId w:val="27"/>
  </w:num>
  <w:num w:numId="5" w16cid:durableId="825123431">
    <w:abstractNumId w:val="9"/>
  </w:num>
  <w:num w:numId="6" w16cid:durableId="1437823226">
    <w:abstractNumId w:val="22"/>
  </w:num>
  <w:num w:numId="7" w16cid:durableId="2066366314">
    <w:abstractNumId w:val="14"/>
  </w:num>
  <w:num w:numId="8" w16cid:durableId="386417210">
    <w:abstractNumId w:val="41"/>
  </w:num>
  <w:num w:numId="9" w16cid:durableId="1801417693">
    <w:abstractNumId w:val="4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0" w16cid:durableId="657881164">
    <w:abstractNumId w:val="29"/>
  </w:num>
  <w:num w:numId="11" w16cid:durableId="12229797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385955240">
    <w:abstractNumId w:val="24"/>
  </w:num>
  <w:num w:numId="13" w16cid:durableId="10168814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319650886">
    <w:abstractNumId w:val="34"/>
  </w:num>
  <w:num w:numId="15" w16cid:durableId="1517696599">
    <w:abstractNumId w:val="30"/>
  </w:num>
  <w:num w:numId="16" w16cid:durableId="1974211997">
    <w:abstractNumId w:val="2"/>
  </w:num>
  <w:num w:numId="17" w16cid:durableId="1409233343">
    <w:abstractNumId w:val="13"/>
  </w:num>
  <w:num w:numId="18" w16cid:durableId="422074340">
    <w:abstractNumId w:val="5"/>
  </w:num>
  <w:num w:numId="19" w16cid:durableId="532964331">
    <w:abstractNumId w:val="39"/>
  </w:num>
  <w:num w:numId="20" w16cid:durableId="1762488976">
    <w:abstractNumId w:val="1"/>
  </w:num>
  <w:num w:numId="21" w16cid:durableId="1621718482">
    <w:abstractNumId w:val="15"/>
  </w:num>
  <w:num w:numId="22" w16cid:durableId="1129592629">
    <w:abstractNumId w:val="28"/>
  </w:num>
  <w:num w:numId="23" w16cid:durableId="696396011">
    <w:abstractNumId w:val="32"/>
  </w:num>
  <w:num w:numId="24" w16cid:durableId="2076471187">
    <w:abstractNumId w:val="11"/>
  </w:num>
  <w:num w:numId="25" w16cid:durableId="613294550">
    <w:abstractNumId w:val="37"/>
  </w:num>
  <w:num w:numId="26" w16cid:durableId="1420635768">
    <w:abstractNumId w:val="18"/>
  </w:num>
  <w:num w:numId="27" w16cid:durableId="1740128910">
    <w:abstractNumId w:val="35"/>
  </w:num>
  <w:num w:numId="28" w16cid:durableId="204678275">
    <w:abstractNumId w:val="3"/>
  </w:num>
  <w:num w:numId="29" w16cid:durableId="1749886087">
    <w:abstractNumId w:val="16"/>
  </w:num>
  <w:num w:numId="30" w16cid:durableId="42414220">
    <w:abstractNumId w:val="7"/>
  </w:num>
  <w:num w:numId="31" w16cid:durableId="534851015">
    <w:abstractNumId w:val="21"/>
  </w:num>
  <w:num w:numId="32" w16cid:durableId="1554390257">
    <w:abstractNumId w:val="20"/>
  </w:num>
  <w:num w:numId="33" w16cid:durableId="195894036">
    <w:abstractNumId w:val="19"/>
  </w:num>
  <w:num w:numId="34" w16cid:durableId="2136099634">
    <w:abstractNumId w:val="40"/>
  </w:num>
  <w:num w:numId="35" w16cid:durableId="1995330604">
    <w:abstractNumId w:val="10"/>
  </w:num>
  <w:num w:numId="36" w16cid:durableId="1838616769">
    <w:abstractNumId w:val="26"/>
  </w:num>
  <w:num w:numId="37" w16cid:durableId="1893300839">
    <w:abstractNumId w:val="4"/>
  </w:num>
  <w:num w:numId="38" w16cid:durableId="549734537">
    <w:abstractNumId w:val="33"/>
  </w:num>
  <w:num w:numId="39" w16cid:durableId="2045980678">
    <w:abstractNumId w:val="38"/>
  </w:num>
  <w:num w:numId="40" w16cid:durableId="517080088">
    <w:abstractNumId w:val="12"/>
  </w:num>
  <w:num w:numId="41" w16cid:durableId="1174105648">
    <w:abstractNumId w:val="8"/>
  </w:num>
  <w:num w:numId="42" w16cid:durableId="2146727737">
    <w:abstractNumId w:val="25"/>
  </w:num>
  <w:num w:numId="43" w16cid:durableId="443233843">
    <w:abstractNumId w:val="23"/>
  </w:num>
  <w:num w:numId="44" w16cid:durableId="62221951">
    <w:abstractNumId w:val="17"/>
  </w:num>
  <w:num w:numId="45" w16cid:durableId="12312370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8D"/>
    <w:rsid w:val="00000D1C"/>
    <w:rsid w:val="000019A6"/>
    <w:rsid w:val="00003E21"/>
    <w:rsid w:val="000041F1"/>
    <w:rsid w:val="00005124"/>
    <w:rsid w:val="00005E0C"/>
    <w:rsid w:val="00006E4F"/>
    <w:rsid w:val="0000794B"/>
    <w:rsid w:val="00007B75"/>
    <w:rsid w:val="0001681F"/>
    <w:rsid w:val="00017FF9"/>
    <w:rsid w:val="00021D2C"/>
    <w:rsid w:val="0002215C"/>
    <w:rsid w:val="0002252F"/>
    <w:rsid w:val="00022E4F"/>
    <w:rsid w:val="000241BB"/>
    <w:rsid w:val="0002452A"/>
    <w:rsid w:val="00024683"/>
    <w:rsid w:val="00024FA5"/>
    <w:rsid w:val="000251E5"/>
    <w:rsid w:val="00025FAF"/>
    <w:rsid w:val="0002680A"/>
    <w:rsid w:val="00033015"/>
    <w:rsid w:val="0003405C"/>
    <w:rsid w:val="00035012"/>
    <w:rsid w:val="000351A5"/>
    <w:rsid w:val="00037B87"/>
    <w:rsid w:val="00040C1B"/>
    <w:rsid w:val="0004138D"/>
    <w:rsid w:val="000451FC"/>
    <w:rsid w:val="00051057"/>
    <w:rsid w:val="00053105"/>
    <w:rsid w:val="00053B9A"/>
    <w:rsid w:val="0005422F"/>
    <w:rsid w:val="0005555B"/>
    <w:rsid w:val="000611C2"/>
    <w:rsid w:val="00061249"/>
    <w:rsid w:val="000613C0"/>
    <w:rsid w:val="00061BF1"/>
    <w:rsid w:val="000623B6"/>
    <w:rsid w:val="00067D95"/>
    <w:rsid w:val="00071623"/>
    <w:rsid w:val="00071E4F"/>
    <w:rsid w:val="000773A9"/>
    <w:rsid w:val="00082E7A"/>
    <w:rsid w:val="00083EB5"/>
    <w:rsid w:val="00090BA9"/>
    <w:rsid w:val="00091E30"/>
    <w:rsid w:val="0009276C"/>
    <w:rsid w:val="000947ED"/>
    <w:rsid w:val="00096F02"/>
    <w:rsid w:val="000974F2"/>
    <w:rsid w:val="00097A9D"/>
    <w:rsid w:val="000A0C4F"/>
    <w:rsid w:val="000A16CC"/>
    <w:rsid w:val="000A3747"/>
    <w:rsid w:val="000A38FC"/>
    <w:rsid w:val="000A6049"/>
    <w:rsid w:val="000A6493"/>
    <w:rsid w:val="000B0403"/>
    <w:rsid w:val="000B38D2"/>
    <w:rsid w:val="000B3A2D"/>
    <w:rsid w:val="000B4383"/>
    <w:rsid w:val="000B53E0"/>
    <w:rsid w:val="000C113B"/>
    <w:rsid w:val="000C171E"/>
    <w:rsid w:val="000C3218"/>
    <w:rsid w:val="000C3714"/>
    <w:rsid w:val="000C3AC5"/>
    <w:rsid w:val="000C71DC"/>
    <w:rsid w:val="000D03CA"/>
    <w:rsid w:val="000D1EAA"/>
    <w:rsid w:val="000D345C"/>
    <w:rsid w:val="000D37C2"/>
    <w:rsid w:val="000D5EF0"/>
    <w:rsid w:val="000D5FC9"/>
    <w:rsid w:val="000E0A92"/>
    <w:rsid w:val="000E0F7B"/>
    <w:rsid w:val="000E2C5C"/>
    <w:rsid w:val="000E3519"/>
    <w:rsid w:val="000E48B1"/>
    <w:rsid w:val="000E7925"/>
    <w:rsid w:val="000F0A07"/>
    <w:rsid w:val="000F167B"/>
    <w:rsid w:val="000F224E"/>
    <w:rsid w:val="000F2410"/>
    <w:rsid w:val="000F2E71"/>
    <w:rsid w:val="000F2E8A"/>
    <w:rsid w:val="000F3472"/>
    <w:rsid w:val="000F3CCD"/>
    <w:rsid w:val="000F53F6"/>
    <w:rsid w:val="000F65DB"/>
    <w:rsid w:val="000F7BCB"/>
    <w:rsid w:val="00100C52"/>
    <w:rsid w:val="001045B5"/>
    <w:rsid w:val="001070D7"/>
    <w:rsid w:val="0010739F"/>
    <w:rsid w:val="0010778D"/>
    <w:rsid w:val="00107E90"/>
    <w:rsid w:val="00110395"/>
    <w:rsid w:val="00111AC5"/>
    <w:rsid w:val="001121FC"/>
    <w:rsid w:val="001131AF"/>
    <w:rsid w:val="001148BA"/>
    <w:rsid w:val="0011515A"/>
    <w:rsid w:val="001153E3"/>
    <w:rsid w:val="00115E3C"/>
    <w:rsid w:val="00121A6D"/>
    <w:rsid w:val="00121F10"/>
    <w:rsid w:val="00123122"/>
    <w:rsid w:val="0012582B"/>
    <w:rsid w:val="001265CB"/>
    <w:rsid w:val="00127175"/>
    <w:rsid w:val="0013133A"/>
    <w:rsid w:val="00131B33"/>
    <w:rsid w:val="00133530"/>
    <w:rsid w:val="0013371E"/>
    <w:rsid w:val="0013433B"/>
    <w:rsid w:val="00135E18"/>
    <w:rsid w:val="0014257B"/>
    <w:rsid w:val="001430A1"/>
    <w:rsid w:val="00143F4F"/>
    <w:rsid w:val="001445FB"/>
    <w:rsid w:val="00145532"/>
    <w:rsid w:val="00145F40"/>
    <w:rsid w:val="001474A7"/>
    <w:rsid w:val="001501F5"/>
    <w:rsid w:val="00150990"/>
    <w:rsid w:val="00151261"/>
    <w:rsid w:val="0015232D"/>
    <w:rsid w:val="00152B08"/>
    <w:rsid w:val="00152DBE"/>
    <w:rsid w:val="00154891"/>
    <w:rsid w:val="00165B2C"/>
    <w:rsid w:val="0016740D"/>
    <w:rsid w:val="00167940"/>
    <w:rsid w:val="00167D99"/>
    <w:rsid w:val="001700AA"/>
    <w:rsid w:val="0017020B"/>
    <w:rsid w:val="00170A45"/>
    <w:rsid w:val="00171923"/>
    <w:rsid w:val="00172C81"/>
    <w:rsid w:val="00175174"/>
    <w:rsid w:val="0017546B"/>
    <w:rsid w:val="001841AD"/>
    <w:rsid w:val="00187BB2"/>
    <w:rsid w:val="00191EC3"/>
    <w:rsid w:val="00192329"/>
    <w:rsid w:val="001A0CD2"/>
    <w:rsid w:val="001A1504"/>
    <w:rsid w:val="001A20BD"/>
    <w:rsid w:val="001A26D8"/>
    <w:rsid w:val="001A6993"/>
    <w:rsid w:val="001A70CE"/>
    <w:rsid w:val="001B1295"/>
    <w:rsid w:val="001B35FC"/>
    <w:rsid w:val="001B4A37"/>
    <w:rsid w:val="001B634C"/>
    <w:rsid w:val="001B7FA8"/>
    <w:rsid w:val="001C0875"/>
    <w:rsid w:val="001C182D"/>
    <w:rsid w:val="001C262E"/>
    <w:rsid w:val="001C3A3E"/>
    <w:rsid w:val="001C3F17"/>
    <w:rsid w:val="001C55F9"/>
    <w:rsid w:val="001C561E"/>
    <w:rsid w:val="001D01DD"/>
    <w:rsid w:val="001D2C20"/>
    <w:rsid w:val="001D36B4"/>
    <w:rsid w:val="001D539F"/>
    <w:rsid w:val="001D595B"/>
    <w:rsid w:val="001E20D6"/>
    <w:rsid w:val="001E728B"/>
    <w:rsid w:val="001E7EEB"/>
    <w:rsid w:val="001F0F12"/>
    <w:rsid w:val="001F291E"/>
    <w:rsid w:val="001F2AA0"/>
    <w:rsid w:val="001F58EA"/>
    <w:rsid w:val="001F5982"/>
    <w:rsid w:val="001F62E8"/>
    <w:rsid w:val="001F6610"/>
    <w:rsid w:val="00203FE2"/>
    <w:rsid w:val="0020551E"/>
    <w:rsid w:val="002076FA"/>
    <w:rsid w:val="00215BEA"/>
    <w:rsid w:val="00215E6C"/>
    <w:rsid w:val="00216A7B"/>
    <w:rsid w:val="00216E16"/>
    <w:rsid w:val="00217516"/>
    <w:rsid w:val="00217D82"/>
    <w:rsid w:val="0022033B"/>
    <w:rsid w:val="00224685"/>
    <w:rsid w:val="00231419"/>
    <w:rsid w:val="00231AA3"/>
    <w:rsid w:val="00232857"/>
    <w:rsid w:val="002339AF"/>
    <w:rsid w:val="00234067"/>
    <w:rsid w:val="0023424A"/>
    <w:rsid w:val="002343CD"/>
    <w:rsid w:val="0023592E"/>
    <w:rsid w:val="0023641A"/>
    <w:rsid w:val="0023657A"/>
    <w:rsid w:val="002373DE"/>
    <w:rsid w:val="00237407"/>
    <w:rsid w:val="00237C55"/>
    <w:rsid w:val="00237DEF"/>
    <w:rsid w:val="0024048C"/>
    <w:rsid w:val="00240C25"/>
    <w:rsid w:val="0024227C"/>
    <w:rsid w:val="00242DA2"/>
    <w:rsid w:val="0024313B"/>
    <w:rsid w:val="00245C59"/>
    <w:rsid w:val="00246448"/>
    <w:rsid w:val="00247A45"/>
    <w:rsid w:val="00247B23"/>
    <w:rsid w:val="00251744"/>
    <w:rsid w:val="002558B0"/>
    <w:rsid w:val="00255E1A"/>
    <w:rsid w:val="00256F0F"/>
    <w:rsid w:val="00260259"/>
    <w:rsid w:val="0026190D"/>
    <w:rsid w:val="00263A7C"/>
    <w:rsid w:val="00263DE8"/>
    <w:rsid w:val="00267A1D"/>
    <w:rsid w:val="002705C9"/>
    <w:rsid w:val="00270A3C"/>
    <w:rsid w:val="002714C7"/>
    <w:rsid w:val="002727E4"/>
    <w:rsid w:val="002728F7"/>
    <w:rsid w:val="00272C77"/>
    <w:rsid w:val="0027360A"/>
    <w:rsid w:val="0027690A"/>
    <w:rsid w:val="00276E3D"/>
    <w:rsid w:val="00277E7C"/>
    <w:rsid w:val="0028027C"/>
    <w:rsid w:val="00281582"/>
    <w:rsid w:val="00281734"/>
    <w:rsid w:val="00281991"/>
    <w:rsid w:val="00281A0B"/>
    <w:rsid w:val="002835C1"/>
    <w:rsid w:val="00286A76"/>
    <w:rsid w:val="00286FA0"/>
    <w:rsid w:val="00287304"/>
    <w:rsid w:val="002902DB"/>
    <w:rsid w:val="0029234B"/>
    <w:rsid w:val="00293022"/>
    <w:rsid w:val="00293082"/>
    <w:rsid w:val="00293852"/>
    <w:rsid w:val="002946A0"/>
    <w:rsid w:val="00295CBB"/>
    <w:rsid w:val="002A014E"/>
    <w:rsid w:val="002A027E"/>
    <w:rsid w:val="002A0CD5"/>
    <w:rsid w:val="002A1F20"/>
    <w:rsid w:val="002A3F38"/>
    <w:rsid w:val="002A4AB7"/>
    <w:rsid w:val="002A5453"/>
    <w:rsid w:val="002A5B93"/>
    <w:rsid w:val="002A6417"/>
    <w:rsid w:val="002A7D70"/>
    <w:rsid w:val="002B47B0"/>
    <w:rsid w:val="002B6253"/>
    <w:rsid w:val="002B7CC8"/>
    <w:rsid w:val="002C3055"/>
    <w:rsid w:val="002C4B92"/>
    <w:rsid w:val="002C4F0F"/>
    <w:rsid w:val="002D0817"/>
    <w:rsid w:val="002D272F"/>
    <w:rsid w:val="002D4351"/>
    <w:rsid w:val="002D5BA4"/>
    <w:rsid w:val="002E2095"/>
    <w:rsid w:val="002E4FD0"/>
    <w:rsid w:val="002E684E"/>
    <w:rsid w:val="002E728F"/>
    <w:rsid w:val="002E7FF3"/>
    <w:rsid w:val="002F05F5"/>
    <w:rsid w:val="002F0DF7"/>
    <w:rsid w:val="002F2432"/>
    <w:rsid w:val="002F2ABF"/>
    <w:rsid w:val="002F5781"/>
    <w:rsid w:val="002F620B"/>
    <w:rsid w:val="002F6451"/>
    <w:rsid w:val="0030247F"/>
    <w:rsid w:val="00303331"/>
    <w:rsid w:val="0030663B"/>
    <w:rsid w:val="00312BAC"/>
    <w:rsid w:val="00315365"/>
    <w:rsid w:val="00320C20"/>
    <w:rsid w:val="00322E18"/>
    <w:rsid w:val="00323579"/>
    <w:rsid w:val="003274A2"/>
    <w:rsid w:val="0033021F"/>
    <w:rsid w:val="00330C94"/>
    <w:rsid w:val="00332A08"/>
    <w:rsid w:val="00332E79"/>
    <w:rsid w:val="003348B2"/>
    <w:rsid w:val="00335DD3"/>
    <w:rsid w:val="00336E49"/>
    <w:rsid w:val="0033793A"/>
    <w:rsid w:val="003414A1"/>
    <w:rsid w:val="00344225"/>
    <w:rsid w:val="003466AA"/>
    <w:rsid w:val="00347C3D"/>
    <w:rsid w:val="00351FB9"/>
    <w:rsid w:val="003531CE"/>
    <w:rsid w:val="0035694E"/>
    <w:rsid w:val="0036093B"/>
    <w:rsid w:val="00362DF7"/>
    <w:rsid w:val="00363075"/>
    <w:rsid w:val="00365AED"/>
    <w:rsid w:val="00367DB6"/>
    <w:rsid w:val="00372984"/>
    <w:rsid w:val="00376227"/>
    <w:rsid w:val="003763AE"/>
    <w:rsid w:val="00381DDB"/>
    <w:rsid w:val="00382FD4"/>
    <w:rsid w:val="003832AF"/>
    <w:rsid w:val="00383472"/>
    <w:rsid w:val="00386F1F"/>
    <w:rsid w:val="00391198"/>
    <w:rsid w:val="00391ABC"/>
    <w:rsid w:val="00392C05"/>
    <w:rsid w:val="0039609C"/>
    <w:rsid w:val="00396986"/>
    <w:rsid w:val="003A0D8D"/>
    <w:rsid w:val="003A1407"/>
    <w:rsid w:val="003A4410"/>
    <w:rsid w:val="003A4E4B"/>
    <w:rsid w:val="003A6D08"/>
    <w:rsid w:val="003B09CF"/>
    <w:rsid w:val="003B1008"/>
    <w:rsid w:val="003B1D04"/>
    <w:rsid w:val="003B4218"/>
    <w:rsid w:val="003B490D"/>
    <w:rsid w:val="003B59F6"/>
    <w:rsid w:val="003B5E05"/>
    <w:rsid w:val="003B6FC0"/>
    <w:rsid w:val="003B79E3"/>
    <w:rsid w:val="003B7E05"/>
    <w:rsid w:val="003C1FA5"/>
    <w:rsid w:val="003C2AC0"/>
    <w:rsid w:val="003C36A0"/>
    <w:rsid w:val="003C4016"/>
    <w:rsid w:val="003C6C88"/>
    <w:rsid w:val="003C7946"/>
    <w:rsid w:val="003D0A8B"/>
    <w:rsid w:val="003D0F47"/>
    <w:rsid w:val="003D1758"/>
    <w:rsid w:val="003D3C01"/>
    <w:rsid w:val="003D5443"/>
    <w:rsid w:val="003D5773"/>
    <w:rsid w:val="003D612D"/>
    <w:rsid w:val="003E0BAC"/>
    <w:rsid w:val="003E1749"/>
    <w:rsid w:val="003E201E"/>
    <w:rsid w:val="003E2BA6"/>
    <w:rsid w:val="003E329C"/>
    <w:rsid w:val="003E698F"/>
    <w:rsid w:val="003F044D"/>
    <w:rsid w:val="003F17DE"/>
    <w:rsid w:val="003F1AC7"/>
    <w:rsid w:val="003F1C4B"/>
    <w:rsid w:val="003F3863"/>
    <w:rsid w:val="003F433F"/>
    <w:rsid w:val="00400815"/>
    <w:rsid w:val="004033FE"/>
    <w:rsid w:val="00404F4E"/>
    <w:rsid w:val="00405FBF"/>
    <w:rsid w:val="0040600C"/>
    <w:rsid w:val="004061F5"/>
    <w:rsid w:val="00407975"/>
    <w:rsid w:val="004103E9"/>
    <w:rsid w:val="00412ACF"/>
    <w:rsid w:val="00412C77"/>
    <w:rsid w:val="004132F6"/>
    <w:rsid w:val="00413FBD"/>
    <w:rsid w:val="004153B4"/>
    <w:rsid w:val="004202B8"/>
    <w:rsid w:val="00420490"/>
    <w:rsid w:val="004213A3"/>
    <w:rsid w:val="00421B09"/>
    <w:rsid w:val="004239FA"/>
    <w:rsid w:val="00424238"/>
    <w:rsid w:val="00424652"/>
    <w:rsid w:val="00426CB8"/>
    <w:rsid w:val="00426E9E"/>
    <w:rsid w:val="004278C4"/>
    <w:rsid w:val="004315FD"/>
    <w:rsid w:val="004317E5"/>
    <w:rsid w:val="004357B1"/>
    <w:rsid w:val="00435C59"/>
    <w:rsid w:val="00435E64"/>
    <w:rsid w:val="004365DD"/>
    <w:rsid w:val="0044143D"/>
    <w:rsid w:val="004446F2"/>
    <w:rsid w:val="0044750B"/>
    <w:rsid w:val="004478C9"/>
    <w:rsid w:val="00447E5E"/>
    <w:rsid w:val="00450963"/>
    <w:rsid w:val="00451800"/>
    <w:rsid w:val="0046064A"/>
    <w:rsid w:val="00462A09"/>
    <w:rsid w:val="00464EE1"/>
    <w:rsid w:val="00467641"/>
    <w:rsid w:val="00467F9A"/>
    <w:rsid w:val="00470C26"/>
    <w:rsid w:val="0047162D"/>
    <w:rsid w:val="00472139"/>
    <w:rsid w:val="00472CC5"/>
    <w:rsid w:val="004745EA"/>
    <w:rsid w:val="00475C99"/>
    <w:rsid w:val="004804AA"/>
    <w:rsid w:val="00481744"/>
    <w:rsid w:val="004820A5"/>
    <w:rsid w:val="00484380"/>
    <w:rsid w:val="004843CC"/>
    <w:rsid w:val="00490480"/>
    <w:rsid w:val="00490FFC"/>
    <w:rsid w:val="00491C5B"/>
    <w:rsid w:val="00492F16"/>
    <w:rsid w:val="00493FAB"/>
    <w:rsid w:val="00495735"/>
    <w:rsid w:val="00496D2C"/>
    <w:rsid w:val="004A0BCA"/>
    <w:rsid w:val="004A3379"/>
    <w:rsid w:val="004A4D02"/>
    <w:rsid w:val="004A5489"/>
    <w:rsid w:val="004A591D"/>
    <w:rsid w:val="004A65AE"/>
    <w:rsid w:val="004B2CBE"/>
    <w:rsid w:val="004B30CD"/>
    <w:rsid w:val="004B33CC"/>
    <w:rsid w:val="004B4A20"/>
    <w:rsid w:val="004B7623"/>
    <w:rsid w:val="004C12C7"/>
    <w:rsid w:val="004C19D5"/>
    <w:rsid w:val="004C3C09"/>
    <w:rsid w:val="004C4115"/>
    <w:rsid w:val="004C7551"/>
    <w:rsid w:val="004D139A"/>
    <w:rsid w:val="004D15DA"/>
    <w:rsid w:val="004D2A89"/>
    <w:rsid w:val="004D4405"/>
    <w:rsid w:val="004D50AD"/>
    <w:rsid w:val="004D5AF3"/>
    <w:rsid w:val="004D5D08"/>
    <w:rsid w:val="004D7F9D"/>
    <w:rsid w:val="004E1263"/>
    <w:rsid w:val="004E2371"/>
    <w:rsid w:val="004E2AAE"/>
    <w:rsid w:val="004E45DB"/>
    <w:rsid w:val="004E4DBB"/>
    <w:rsid w:val="004F1BBE"/>
    <w:rsid w:val="004F2BBD"/>
    <w:rsid w:val="004F2EB6"/>
    <w:rsid w:val="004F3230"/>
    <w:rsid w:val="004F4340"/>
    <w:rsid w:val="004F4471"/>
    <w:rsid w:val="004F51B7"/>
    <w:rsid w:val="004F583A"/>
    <w:rsid w:val="004F69B3"/>
    <w:rsid w:val="004F733A"/>
    <w:rsid w:val="005001FB"/>
    <w:rsid w:val="0050126B"/>
    <w:rsid w:val="0050143A"/>
    <w:rsid w:val="00502971"/>
    <w:rsid w:val="00503C71"/>
    <w:rsid w:val="00504558"/>
    <w:rsid w:val="00504E3F"/>
    <w:rsid w:val="0050620B"/>
    <w:rsid w:val="0050732F"/>
    <w:rsid w:val="005103C7"/>
    <w:rsid w:val="00515A75"/>
    <w:rsid w:val="00516929"/>
    <w:rsid w:val="00516BCD"/>
    <w:rsid w:val="00524A3C"/>
    <w:rsid w:val="00525315"/>
    <w:rsid w:val="005257C0"/>
    <w:rsid w:val="0053086C"/>
    <w:rsid w:val="00533649"/>
    <w:rsid w:val="00533EF7"/>
    <w:rsid w:val="005354A5"/>
    <w:rsid w:val="00537DAA"/>
    <w:rsid w:val="00540851"/>
    <w:rsid w:val="00543B01"/>
    <w:rsid w:val="00543BF1"/>
    <w:rsid w:val="00544CBF"/>
    <w:rsid w:val="005471BE"/>
    <w:rsid w:val="005479F8"/>
    <w:rsid w:val="00551911"/>
    <w:rsid w:val="005540B0"/>
    <w:rsid w:val="005558AD"/>
    <w:rsid w:val="00556464"/>
    <w:rsid w:val="005565A7"/>
    <w:rsid w:val="0055745C"/>
    <w:rsid w:val="005600A9"/>
    <w:rsid w:val="005603B7"/>
    <w:rsid w:val="00562EBA"/>
    <w:rsid w:val="005656EC"/>
    <w:rsid w:val="005657F3"/>
    <w:rsid w:val="00565FD9"/>
    <w:rsid w:val="00566030"/>
    <w:rsid w:val="00566558"/>
    <w:rsid w:val="005677EF"/>
    <w:rsid w:val="00572298"/>
    <w:rsid w:val="00572BEF"/>
    <w:rsid w:val="00574B30"/>
    <w:rsid w:val="005765A4"/>
    <w:rsid w:val="00576CEA"/>
    <w:rsid w:val="00577BBB"/>
    <w:rsid w:val="00577F25"/>
    <w:rsid w:val="00581041"/>
    <w:rsid w:val="005818CC"/>
    <w:rsid w:val="00583BCA"/>
    <w:rsid w:val="00584DB2"/>
    <w:rsid w:val="00585765"/>
    <w:rsid w:val="005867D5"/>
    <w:rsid w:val="00587E5D"/>
    <w:rsid w:val="00590A95"/>
    <w:rsid w:val="005925B7"/>
    <w:rsid w:val="005944A0"/>
    <w:rsid w:val="00594D35"/>
    <w:rsid w:val="00594F31"/>
    <w:rsid w:val="00595B37"/>
    <w:rsid w:val="005A2676"/>
    <w:rsid w:val="005A77D8"/>
    <w:rsid w:val="005B0C66"/>
    <w:rsid w:val="005B1597"/>
    <w:rsid w:val="005B1842"/>
    <w:rsid w:val="005B1AE1"/>
    <w:rsid w:val="005B3184"/>
    <w:rsid w:val="005B34D9"/>
    <w:rsid w:val="005B3CCE"/>
    <w:rsid w:val="005C0075"/>
    <w:rsid w:val="005C23FC"/>
    <w:rsid w:val="005C3B90"/>
    <w:rsid w:val="005C42EB"/>
    <w:rsid w:val="005C567E"/>
    <w:rsid w:val="005C5934"/>
    <w:rsid w:val="005C5A35"/>
    <w:rsid w:val="005C5C32"/>
    <w:rsid w:val="005C65BC"/>
    <w:rsid w:val="005C7680"/>
    <w:rsid w:val="005D09F6"/>
    <w:rsid w:val="005D1179"/>
    <w:rsid w:val="005D39E9"/>
    <w:rsid w:val="005D4B78"/>
    <w:rsid w:val="005D5476"/>
    <w:rsid w:val="005E2A08"/>
    <w:rsid w:val="005E38DD"/>
    <w:rsid w:val="005E4E60"/>
    <w:rsid w:val="005E6397"/>
    <w:rsid w:val="005E6555"/>
    <w:rsid w:val="005F09FD"/>
    <w:rsid w:val="005F3616"/>
    <w:rsid w:val="005F410D"/>
    <w:rsid w:val="005F5383"/>
    <w:rsid w:val="005F5596"/>
    <w:rsid w:val="00601197"/>
    <w:rsid w:val="006032A0"/>
    <w:rsid w:val="00606F0F"/>
    <w:rsid w:val="006118CE"/>
    <w:rsid w:val="00612937"/>
    <w:rsid w:val="00612AF9"/>
    <w:rsid w:val="006135C0"/>
    <w:rsid w:val="00614C6B"/>
    <w:rsid w:val="00615DE3"/>
    <w:rsid w:val="00620820"/>
    <w:rsid w:val="00621177"/>
    <w:rsid w:val="006234F7"/>
    <w:rsid w:val="006270F3"/>
    <w:rsid w:val="00627F1B"/>
    <w:rsid w:val="00630F7E"/>
    <w:rsid w:val="00631526"/>
    <w:rsid w:val="00633AC1"/>
    <w:rsid w:val="00636652"/>
    <w:rsid w:val="006367CE"/>
    <w:rsid w:val="006420DE"/>
    <w:rsid w:val="006512B8"/>
    <w:rsid w:val="00651C2A"/>
    <w:rsid w:val="006532CA"/>
    <w:rsid w:val="00653362"/>
    <w:rsid w:val="00654060"/>
    <w:rsid w:val="006600D4"/>
    <w:rsid w:val="00663D7A"/>
    <w:rsid w:val="0066429F"/>
    <w:rsid w:val="00665C1B"/>
    <w:rsid w:val="006664FA"/>
    <w:rsid w:val="00671F32"/>
    <w:rsid w:val="0067285A"/>
    <w:rsid w:val="00672A33"/>
    <w:rsid w:val="00672D03"/>
    <w:rsid w:val="0067303A"/>
    <w:rsid w:val="006731CC"/>
    <w:rsid w:val="006749C8"/>
    <w:rsid w:val="00676F5F"/>
    <w:rsid w:val="0068158F"/>
    <w:rsid w:val="00683227"/>
    <w:rsid w:val="00683CE0"/>
    <w:rsid w:val="00683EC9"/>
    <w:rsid w:val="00684746"/>
    <w:rsid w:val="00685599"/>
    <w:rsid w:val="0068713E"/>
    <w:rsid w:val="0068745F"/>
    <w:rsid w:val="006874EB"/>
    <w:rsid w:val="0069078F"/>
    <w:rsid w:val="006909C1"/>
    <w:rsid w:val="00692475"/>
    <w:rsid w:val="00692961"/>
    <w:rsid w:val="00693061"/>
    <w:rsid w:val="00695C19"/>
    <w:rsid w:val="00695D35"/>
    <w:rsid w:val="0069797B"/>
    <w:rsid w:val="006A1ED6"/>
    <w:rsid w:val="006A3517"/>
    <w:rsid w:val="006A3861"/>
    <w:rsid w:val="006A7163"/>
    <w:rsid w:val="006A7DCA"/>
    <w:rsid w:val="006B092C"/>
    <w:rsid w:val="006B2127"/>
    <w:rsid w:val="006B409E"/>
    <w:rsid w:val="006B481B"/>
    <w:rsid w:val="006B7535"/>
    <w:rsid w:val="006B7A80"/>
    <w:rsid w:val="006B7C27"/>
    <w:rsid w:val="006C0D3D"/>
    <w:rsid w:val="006C17EE"/>
    <w:rsid w:val="006C1848"/>
    <w:rsid w:val="006C2F90"/>
    <w:rsid w:val="006C5AE7"/>
    <w:rsid w:val="006C7516"/>
    <w:rsid w:val="006D0AC4"/>
    <w:rsid w:val="006D10FD"/>
    <w:rsid w:val="006D4C8F"/>
    <w:rsid w:val="006D75E0"/>
    <w:rsid w:val="006D761D"/>
    <w:rsid w:val="006E13C9"/>
    <w:rsid w:val="006E22E7"/>
    <w:rsid w:val="006E3B0E"/>
    <w:rsid w:val="006E45B8"/>
    <w:rsid w:val="006E4961"/>
    <w:rsid w:val="006E5190"/>
    <w:rsid w:val="006E748A"/>
    <w:rsid w:val="006F0843"/>
    <w:rsid w:val="006F259F"/>
    <w:rsid w:val="006F2EA5"/>
    <w:rsid w:val="006F2F37"/>
    <w:rsid w:val="006F7F02"/>
    <w:rsid w:val="007006A9"/>
    <w:rsid w:val="00701397"/>
    <w:rsid w:val="00701658"/>
    <w:rsid w:val="00702B5E"/>
    <w:rsid w:val="007036B4"/>
    <w:rsid w:val="007050AD"/>
    <w:rsid w:val="00705DB4"/>
    <w:rsid w:val="007075A0"/>
    <w:rsid w:val="00707DFA"/>
    <w:rsid w:val="007117CB"/>
    <w:rsid w:val="007151C7"/>
    <w:rsid w:val="007205A1"/>
    <w:rsid w:val="00720C92"/>
    <w:rsid w:val="00720E89"/>
    <w:rsid w:val="0072191E"/>
    <w:rsid w:val="00722B8D"/>
    <w:rsid w:val="00724254"/>
    <w:rsid w:val="00727EA8"/>
    <w:rsid w:val="00732722"/>
    <w:rsid w:val="00734A0B"/>
    <w:rsid w:val="00735546"/>
    <w:rsid w:val="0073570B"/>
    <w:rsid w:val="00735E8D"/>
    <w:rsid w:val="007368EF"/>
    <w:rsid w:val="00737666"/>
    <w:rsid w:val="00740196"/>
    <w:rsid w:val="0074040E"/>
    <w:rsid w:val="00744FEF"/>
    <w:rsid w:val="0074572A"/>
    <w:rsid w:val="0074619D"/>
    <w:rsid w:val="00751B37"/>
    <w:rsid w:val="00751C1A"/>
    <w:rsid w:val="00751E05"/>
    <w:rsid w:val="007527FD"/>
    <w:rsid w:val="00752AA5"/>
    <w:rsid w:val="00752DD7"/>
    <w:rsid w:val="007551E3"/>
    <w:rsid w:val="00755403"/>
    <w:rsid w:val="00755EAC"/>
    <w:rsid w:val="00756B69"/>
    <w:rsid w:val="007574D6"/>
    <w:rsid w:val="007624DA"/>
    <w:rsid w:val="00763C6F"/>
    <w:rsid w:val="007658C5"/>
    <w:rsid w:val="007675DB"/>
    <w:rsid w:val="007714E6"/>
    <w:rsid w:val="007744B8"/>
    <w:rsid w:val="007749BC"/>
    <w:rsid w:val="00774CAA"/>
    <w:rsid w:val="00775FFA"/>
    <w:rsid w:val="00776865"/>
    <w:rsid w:val="00776DC0"/>
    <w:rsid w:val="00777D39"/>
    <w:rsid w:val="007835CE"/>
    <w:rsid w:val="0078481E"/>
    <w:rsid w:val="00786172"/>
    <w:rsid w:val="00790513"/>
    <w:rsid w:val="007942F7"/>
    <w:rsid w:val="00794FE0"/>
    <w:rsid w:val="0079578E"/>
    <w:rsid w:val="007A29F2"/>
    <w:rsid w:val="007A464B"/>
    <w:rsid w:val="007A50E0"/>
    <w:rsid w:val="007A556C"/>
    <w:rsid w:val="007A64ED"/>
    <w:rsid w:val="007A766A"/>
    <w:rsid w:val="007B0FFD"/>
    <w:rsid w:val="007B2B59"/>
    <w:rsid w:val="007B3224"/>
    <w:rsid w:val="007B6D3F"/>
    <w:rsid w:val="007B731F"/>
    <w:rsid w:val="007B747D"/>
    <w:rsid w:val="007C4095"/>
    <w:rsid w:val="007C6345"/>
    <w:rsid w:val="007C6807"/>
    <w:rsid w:val="007C7AC0"/>
    <w:rsid w:val="007D2305"/>
    <w:rsid w:val="007D65F1"/>
    <w:rsid w:val="007E267D"/>
    <w:rsid w:val="007E2E3B"/>
    <w:rsid w:val="007E3486"/>
    <w:rsid w:val="007E5693"/>
    <w:rsid w:val="007E63A7"/>
    <w:rsid w:val="007E6F85"/>
    <w:rsid w:val="007E7874"/>
    <w:rsid w:val="007F19DA"/>
    <w:rsid w:val="007F1AC0"/>
    <w:rsid w:val="007F1EA5"/>
    <w:rsid w:val="007F3703"/>
    <w:rsid w:val="007F4098"/>
    <w:rsid w:val="007F4D45"/>
    <w:rsid w:val="00801687"/>
    <w:rsid w:val="00801D86"/>
    <w:rsid w:val="008023EF"/>
    <w:rsid w:val="008027FE"/>
    <w:rsid w:val="00802A18"/>
    <w:rsid w:val="00802E3D"/>
    <w:rsid w:val="00802E72"/>
    <w:rsid w:val="00805829"/>
    <w:rsid w:val="008068D3"/>
    <w:rsid w:val="008104F0"/>
    <w:rsid w:val="0081106A"/>
    <w:rsid w:val="008170ED"/>
    <w:rsid w:val="00817AD6"/>
    <w:rsid w:val="00821D81"/>
    <w:rsid w:val="00822E3A"/>
    <w:rsid w:val="0082331F"/>
    <w:rsid w:val="00823B0F"/>
    <w:rsid w:val="0082690B"/>
    <w:rsid w:val="00827CC4"/>
    <w:rsid w:val="0083206D"/>
    <w:rsid w:val="0083227E"/>
    <w:rsid w:val="0083715D"/>
    <w:rsid w:val="00842A44"/>
    <w:rsid w:val="00844099"/>
    <w:rsid w:val="00844B28"/>
    <w:rsid w:val="008454B1"/>
    <w:rsid w:val="0084575D"/>
    <w:rsid w:val="0084792A"/>
    <w:rsid w:val="00850D9D"/>
    <w:rsid w:val="008510DC"/>
    <w:rsid w:val="00852B4C"/>
    <w:rsid w:val="00853F36"/>
    <w:rsid w:val="00854212"/>
    <w:rsid w:val="008570FB"/>
    <w:rsid w:val="008609C0"/>
    <w:rsid w:val="00863BAF"/>
    <w:rsid w:val="0086621E"/>
    <w:rsid w:val="00867D15"/>
    <w:rsid w:val="008712AF"/>
    <w:rsid w:val="00871E8E"/>
    <w:rsid w:val="008737F4"/>
    <w:rsid w:val="00874A40"/>
    <w:rsid w:val="00874AA8"/>
    <w:rsid w:val="008760F4"/>
    <w:rsid w:val="008778FD"/>
    <w:rsid w:val="008813EC"/>
    <w:rsid w:val="00886829"/>
    <w:rsid w:val="0089462C"/>
    <w:rsid w:val="00894D9F"/>
    <w:rsid w:val="00895FC0"/>
    <w:rsid w:val="00897B75"/>
    <w:rsid w:val="008A0700"/>
    <w:rsid w:val="008A10EB"/>
    <w:rsid w:val="008A1CFF"/>
    <w:rsid w:val="008A3EEA"/>
    <w:rsid w:val="008A4B91"/>
    <w:rsid w:val="008A71B2"/>
    <w:rsid w:val="008A7E50"/>
    <w:rsid w:val="008B0E0E"/>
    <w:rsid w:val="008B2623"/>
    <w:rsid w:val="008B2A54"/>
    <w:rsid w:val="008B3697"/>
    <w:rsid w:val="008B58FA"/>
    <w:rsid w:val="008B7744"/>
    <w:rsid w:val="008C02BF"/>
    <w:rsid w:val="008C0C71"/>
    <w:rsid w:val="008C0FE2"/>
    <w:rsid w:val="008C1B39"/>
    <w:rsid w:val="008C561B"/>
    <w:rsid w:val="008C5A7C"/>
    <w:rsid w:val="008C7349"/>
    <w:rsid w:val="008D3963"/>
    <w:rsid w:val="008D4B87"/>
    <w:rsid w:val="008D5D9D"/>
    <w:rsid w:val="008D60F6"/>
    <w:rsid w:val="008D7A31"/>
    <w:rsid w:val="008E0F2D"/>
    <w:rsid w:val="008E127E"/>
    <w:rsid w:val="008E42FD"/>
    <w:rsid w:val="008E4E34"/>
    <w:rsid w:val="008E567D"/>
    <w:rsid w:val="008E5E5C"/>
    <w:rsid w:val="008E605F"/>
    <w:rsid w:val="008E63E5"/>
    <w:rsid w:val="008E669D"/>
    <w:rsid w:val="008E6EE5"/>
    <w:rsid w:val="008F0C5B"/>
    <w:rsid w:val="008F0CD8"/>
    <w:rsid w:val="008F55CA"/>
    <w:rsid w:val="008F60A9"/>
    <w:rsid w:val="008F6207"/>
    <w:rsid w:val="008F673C"/>
    <w:rsid w:val="008F7A0E"/>
    <w:rsid w:val="008F7F3D"/>
    <w:rsid w:val="0090307F"/>
    <w:rsid w:val="009039D6"/>
    <w:rsid w:val="00904272"/>
    <w:rsid w:val="00904C75"/>
    <w:rsid w:val="009050B4"/>
    <w:rsid w:val="00905DB4"/>
    <w:rsid w:val="00907763"/>
    <w:rsid w:val="00907879"/>
    <w:rsid w:val="00912204"/>
    <w:rsid w:val="00913D1B"/>
    <w:rsid w:val="009146C6"/>
    <w:rsid w:val="00914E35"/>
    <w:rsid w:val="0091680C"/>
    <w:rsid w:val="00916EC8"/>
    <w:rsid w:val="00921664"/>
    <w:rsid w:val="00922644"/>
    <w:rsid w:val="00922EB5"/>
    <w:rsid w:val="0092328B"/>
    <w:rsid w:val="009239A5"/>
    <w:rsid w:val="009264A1"/>
    <w:rsid w:val="0092715B"/>
    <w:rsid w:val="00930089"/>
    <w:rsid w:val="0093101E"/>
    <w:rsid w:val="00931446"/>
    <w:rsid w:val="00934399"/>
    <w:rsid w:val="009358CE"/>
    <w:rsid w:val="00935C7A"/>
    <w:rsid w:val="00936509"/>
    <w:rsid w:val="00944E7A"/>
    <w:rsid w:val="00944F0D"/>
    <w:rsid w:val="009457D4"/>
    <w:rsid w:val="00946813"/>
    <w:rsid w:val="00946955"/>
    <w:rsid w:val="00946C82"/>
    <w:rsid w:val="0094722F"/>
    <w:rsid w:val="00951AE2"/>
    <w:rsid w:val="009526A7"/>
    <w:rsid w:val="009546FB"/>
    <w:rsid w:val="00954A10"/>
    <w:rsid w:val="009560D6"/>
    <w:rsid w:val="0096029F"/>
    <w:rsid w:val="009618D7"/>
    <w:rsid w:val="00963991"/>
    <w:rsid w:val="009647F3"/>
    <w:rsid w:val="00965FED"/>
    <w:rsid w:val="00967FB9"/>
    <w:rsid w:val="00971130"/>
    <w:rsid w:val="00973D58"/>
    <w:rsid w:val="00974C76"/>
    <w:rsid w:val="00975C53"/>
    <w:rsid w:val="00980D82"/>
    <w:rsid w:val="00982A00"/>
    <w:rsid w:val="00983100"/>
    <w:rsid w:val="00984FA1"/>
    <w:rsid w:val="00985A49"/>
    <w:rsid w:val="009867F9"/>
    <w:rsid w:val="00986A27"/>
    <w:rsid w:val="00986A83"/>
    <w:rsid w:val="009876B2"/>
    <w:rsid w:val="009A0289"/>
    <w:rsid w:val="009A4610"/>
    <w:rsid w:val="009B0161"/>
    <w:rsid w:val="009B07CE"/>
    <w:rsid w:val="009B0E25"/>
    <w:rsid w:val="009B25E4"/>
    <w:rsid w:val="009B35FA"/>
    <w:rsid w:val="009B4AFC"/>
    <w:rsid w:val="009B4CC6"/>
    <w:rsid w:val="009B50AB"/>
    <w:rsid w:val="009B5625"/>
    <w:rsid w:val="009B6CD9"/>
    <w:rsid w:val="009C241F"/>
    <w:rsid w:val="009C42C4"/>
    <w:rsid w:val="009C7E25"/>
    <w:rsid w:val="009D0FF2"/>
    <w:rsid w:val="009D3053"/>
    <w:rsid w:val="009D5200"/>
    <w:rsid w:val="009D6846"/>
    <w:rsid w:val="009D75E1"/>
    <w:rsid w:val="009D7D4F"/>
    <w:rsid w:val="009E01C1"/>
    <w:rsid w:val="009E0233"/>
    <w:rsid w:val="009E0F98"/>
    <w:rsid w:val="009E15C6"/>
    <w:rsid w:val="009E2866"/>
    <w:rsid w:val="009E4E51"/>
    <w:rsid w:val="009E53E5"/>
    <w:rsid w:val="009E54B4"/>
    <w:rsid w:val="009E585D"/>
    <w:rsid w:val="009F0DB2"/>
    <w:rsid w:val="009F1045"/>
    <w:rsid w:val="009F27FC"/>
    <w:rsid w:val="009F3BFB"/>
    <w:rsid w:val="009F5E9E"/>
    <w:rsid w:val="009F6CF7"/>
    <w:rsid w:val="00A04774"/>
    <w:rsid w:val="00A11CA4"/>
    <w:rsid w:val="00A11D10"/>
    <w:rsid w:val="00A157AE"/>
    <w:rsid w:val="00A20C81"/>
    <w:rsid w:val="00A21A35"/>
    <w:rsid w:val="00A23B00"/>
    <w:rsid w:val="00A26AEA"/>
    <w:rsid w:val="00A3096E"/>
    <w:rsid w:val="00A312CD"/>
    <w:rsid w:val="00A31535"/>
    <w:rsid w:val="00A3276A"/>
    <w:rsid w:val="00A34B76"/>
    <w:rsid w:val="00A36853"/>
    <w:rsid w:val="00A435FA"/>
    <w:rsid w:val="00A44D68"/>
    <w:rsid w:val="00A44E7B"/>
    <w:rsid w:val="00A45A1F"/>
    <w:rsid w:val="00A46AFC"/>
    <w:rsid w:val="00A50E0C"/>
    <w:rsid w:val="00A50E24"/>
    <w:rsid w:val="00A51061"/>
    <w:rsid w:val="00A54A1A"/>
    <w:rsid w:val="00A5550B"/>
    <w:rsid w:val="00A55D58"/>
    <w:rsid w:val="00A56DBC"/>
    <w:rsid w:val="00A603B9"/>
    <w:rsid w:val="00A62F9E"/>
    <w:rsid w:val="00A63D30"/>
    <w:rsid w:val="00A64902"/>
    <w:rsid w:val="00A65B91"/>
    <w:rsid w:val="00A67F56"/>
    <w:rsid w:val="00A760E5"/>
    <w:rsid w:val="00A77A5C"/>
    <w:rsid w:val="00A837DE"/>
    <w:rsid w:val="00A86912"/>
    <w:rsid w:val="00A8714F"/>
    <w:rsid w:val="00A871A4"/>
    <w:rsid w:val="00A8775B"/>
    <w:rsid w:val="00A90CC3"/>
    <w:rsid w:val="00A91129"/>
    <w:rsid w:val="00A92FCF"/>
    <w:rsid w:val="00A9389C"/>
    <w:rsid w:val="00A950F3"/>
    <w:rsid w:val="00A95563"/>
    <w:rsid w:val="00A960C3"/>
    <w:rsid w:val="00AA0535"/>
    <w:rsid w:val="00AA37CE"/>
    <w:rsid w:val="00AA4E89"/>
    <w:rsid w:val="00AA7990"/>
    <w:rsid w:val="00AA7B29"/>
    <w:rsid w:val="00AA7F89"/>
    <w:rsid w:val="00AB0507"/>
    <w:rsid w:val="00AB26B7"/>
    <w:rsid w:val="00AB3B4D"/>
    <w:rsid w:val="00AB4DE1"/>
    <w:rsid w:val="00AB6007"/>
    <w:rsid w:val="00AB7C8F"/>
    <w:rsid w:val="00AC5DBE"/>
    <w:rsid w:val="00AC640A"/>
    <w:rsid w:val="00AD0DEF"/>
    <w:rsid w:val="00AD19F4"/>
    <w:rsid w:val="00AD1D48"/>
    <w:rsid w:val="00AD4217"/>
    <w:rsid w:val="00AD5021"/>
    <w:rsid w:val="00AD5FC0"/>
    <w:rsid w:val="00AD7E48"/>
    <w:rsid w:val="00AE13C0"/>
    <w:rsid w:val="00AE1E09"/>
    <w:rsid w:val="00AE4318"/>
    <w:rsid w:val="00AE441D"/>
    <w:rsid w:val="00AE4461"/>
    <w:rsid w:val="00AE4A6A"/>
    <w:rsid w:val="00AE4FBE"/>
    <w:rsid w:val="00AE625C"/>
    <w:rsid w:val="00AE76CC"/>
    <w:rsid w:val="00AE7CCB"/>
    <w:rsid w:val="00AE7D1E"/>
    <w:rsid w:val="00AF123B"/>
    <w:rsid w:val="00AF2589"/>
    <w:rsid w:val="00AF3368"/>
    <w:rsid w:val="00AF3C81"/>
    <w:rsid w:val="00AF4041"/>
    <w:rsid w:val="00AF4BF6"/>
    <w:rsid w:val="00AF4C08"/>
    <w:rsid w:val="00AF5A82"/>
    <w:rsid w:val="00AF7216"/>
    <w:rsid w:val="00B00B9F"/>
    <w:rsid w:val="00B01E1B"/>
    <w:rsid w:val="00B01F5E"/>
    <w:rsid w:val="00B03B49"/>
    <w:rsid w:val="00B051E7"/>
    <w:rsid w:val="00B066DC"/>
    <w:rsid w:val="00B079E0"/>
    <w:rsid w:val="00B1059A"/>
    <w:rsid w:val="00B106D0"/>
    <w:rsid w:val="00B11856"/>
    <w:rsid w:val="00B16E56"/>
    <w:rsid w:val="00B23747"/>
    <w:rsid w:val="00B24587"/>
    <w:rsid w:val="00B2648C"/>
    <w:rsid w:val="00B276CA"/>
    <w:rsid w:val="00B30390"/>
    <w:rsid w:val="00B32B6E"/>
    <w:rsid w:val="00B336F2"/>
    <w:rsid w:val="00B35A62"/>
    <w:rsid w:val="00B363D2"/>
    <w:rsid w:val="00B410E7"/>
    <w:rsid w:val="00B426E7"/>
    <w:rsid w:val="00B4520D"/>
    <w:rsid w:val="00B4555F"/>
    <w:rsid w:val="00B45634"/>
    <w:rsid w:val="00B45D96"/>
    <w:rsid w:val="00B4605B"/>
    <w:rsid w:val="00B46808"/>
    <w:rsid w:val="00B46B87"/>
    <w:rsid w:val="00B501CE"/>
    <w:rsid w:val="00B504A3"/>
    <w:rsid w:val="00B51BE0"/>
    <w:rsid w:val="00B532C5"/>
    <w:rsid w:val="00B55209"/>
    <w:rsid w:val="00B563FE"/>
    <w:rsid w:val="00B569EF"/>
    <w:rsid w:val="00B57D1D"/>
    <w:rsid w:val="00B60BDD"/>
    <w:rsid w:val="00B63996"/>
    <w:rsid w:val="00B71410"/>
    <w:rsid w:val="00B716D5"/>
    <w:rsid w:val="00B741A7"/>
    <w:rsid w:val="00B741D0"/>
    <w:rsid w:val="00B75007"/>
    <w:rsid w:val="00B752A7"/>
    <w:rsid w:val="00B80B2A"/>
    <w:rsid w:val="00B83E61"/>
    <w:rsid w:val="00B86998"/>
    <w:rsid w:val="00B870E5"/>
    <w:rsid w:val="00B912AC"/>
    <w:rsid w:val="00B9457E"/>
    <w:rsid w:val="00B956BC"/>
    <w:rsid w:val="00BA146E"/>
    <w:rsid w:val="00BA1523"/>
    <w:rsid w:val="00BA6BD4"/>
    <w:rsid w:val="00BA6E97"/>
    <w:rsid w:val="00BA751C"/>
    <w:rsid w:val="00BB0B93"/>
    <w:rsid w:val="00BB0C60"/>
    <w:rsid w:val="00BB11CC"/>
    <w:rsid w:val="00BC3CE7"/>
    <w:rsid w:val="00BC670B"/>
    <w:rsid w:val="00BC6A2A"/>
    <w:rsid w:val="00BD0F13"/>
    <w:rsid w:val="00BD61CD"/>
    <w:rsid w:val="00BE08DD"/>
    <w:rsid w:val="00BE0E48"/>
    <w:rsid w:val="00BE1520"/>
    <w:rsid w:val="00BE2022"/>
    <w:rsid w:val="00BE49D8"/>
    <w:rsid w:val="00BE647A"/>
    <w:rsid w:val="00BF06EA"/>
    <w:rsid w:val="00BF10B9"/>
    <w:rsid w:val="00BF1D1E"/>
    <w:rsid w:val="00BF3F76"/>
    <w:rsid w:val="00BF7B03"/>
    <w:rsid w:val="00C003D8"/>
    <w:rsid w:val="00C038D0"/>
    <w:rsid w:val="00C11768"/>
    <w:rsid w:val="00C125A7"/>
    <w:rsid w:val="00C13708"/>
    <w:rsid w:val="00C145B3"/>
    <w:rsid w:val="00C17FBE"/>
    <w:rsid w:val="00C24F7F"/>
    <w:rsid w:val="00C25FDF"/>
    <w:rsid w:val="00C31C08"/>
    <w:rsid w:val="00C333AC"/>
    <w:rsid w:val="00C3394B"/>
    <w:rsid w:val="00C3430F"/>
    <w:rsid w:val="00C3441C"/>
    <w:rsid w:val="00C37260"/>
    <w:rsid w:val="00C403A5"/>
    <w:rsid w:val="00C41320"/>
    <w:rsid w:val="00C417A5"/>
    <w:rsid w:val="00C41E65"/>
    <w:rsid w:val="00C42D88"/>
    <w:rsid w:val="00C44AEB"/>
    <w:rsid w:val="00C479EF"/>
    <w:rsid w:val="00C50607"/>
    <w:rsid w:val="00C509E1"/>
    <w:rsid w:val="00C50EF4"/>
    <w:rsid w:val="00C50FA7"/>
    <w:rsid w:val="00C52059"/>
    <w:rsid w:val="00C52D2B"/>
    <w:rsid w:val="00C5378B"/>
    <w:rsid w:val="00C54C22"/>
    <w:rsid w:val="00C56C59"/>
    <w:rsid w:val="00C61107"/>
    <w:rsid w:val="00C6348F"/>
    <w:rsid w:val="00C63E1A"/>
    <w:rsid w:val="00C65099"/>
    <w:rsid w:val="00C6546A"/>
    <w:rsid w:val="00C70E28"/>
    <w:rsid w:val="00C72A11"/>
    <w:rsid w:val="00C73651"/>
    <w:rsid w:val="00C73674"/>
    <w:rsid w:val="00C73B56"/>
    <w:rsid w:val="00C740BC"/>
    <w:rsid w:val="00C7472B"/>
    <w:rsid w:val="00C752C7"/>
    <w:rsid w:val="00C77A91"/>
    <w:rsid w:val="00C77F9E"/>
    <w:rsid w:val="00C80356"/>
    <w:rsid w:val="00C821CF"/>
    <w:rsid w:val="00C8226F"/>
    <w:rsid w:val="00C83D90"/>
    <w:rsid w:val="00C84AFF"/>
    <w:rsid w:val="00C8556B"/>
    <w:rsid w:val="00C857A7"/>
    <w:rsid w:val="00C867CC"/>
    <w:rsid w:val="00C87973"/>
    <w:rsid w:val="00C87D5C"/>
    <w:rsid w:val="00C90149"/>
    <w:rsid w:val="00C9087C"/>
    <w:rsid w:val="00C90C38"/>
    <w:rsid w:val="00C918DB"/>
    <w:rsid w:val="00C920C4"/>
    <w:rsid w:val="00C93AFA"/>
    <w:rsid w:val="00C94414"/>
    <w:rsid w:val="00C945DA"/>
    <w:rsid w:val="00C95707"/>
    <w:rsid w:val="00C9601C"/>
    <w:rsid w:val="00C96FCB"/>
    <w:rsid w:val="00CA0091"/>
    <w:rsid w:val="00CA0990"/>
    <w:rsid w:val="00CA0CA2"/>
    <w:rsid w:val="00CA10DC"/>
    <w:rsid w:val="00CA322D"/>
    <w:rsid w:val="00CB09D1"/>
    <w:rsid w:val="00CB661F"/>
    <w:rsid w:val="00CC0363"/>
    <w:rsid w:val="00CC2500"/>
    <w:rsid w:val="00CC359A"/>
    <w:rsid w:val="00CC3DBB"/>
    <w:rsid w:val="00CD002D"/>
    <w:rsid w:val="00CD20C0"/>
    <w:rsid w:val="00CD290D"/>
    <w:rsid w:val="00CD3FEE"/>
    <w:rsid w:val="00CD7849"/>
    <w:rsid w:val="00CD7DC4"/>
    <w:rsid w:val="00CE2C13"/>
    <w:rsid w:val="00CE32A7"/>
    <w:rsid w:val="00CE3464"/>
    <w:rsid w:val="00CE4B96"/>
    <w:rsid w:val="00CE57D6"/>
    <w:rsid w:val="00CE6645"/>
    <w:rsid w:val="00CF04B5"/>
    <w:rsid w:val="00CF15EF"/>
    <w:rsid w:val="00CF22B7"/>
    <w:rsid w:val="00CF2756"/>
    <w:rsid w:val="00CF2DD9"/>
    <w:rsid w:val="00CF3932"/>
    <w:rsid w:val="00D00C88"/>
    <w:rsid w:val="00D036C5"/>
    <w:rsid w:val="00D05FE6"/>
    <w:rsid w:val="00D07A2E"/>
    <w:rsid w:val="00D14193"/>
    <w:rsid w:val="00D14AD6"/>
    <w:rsid w:val="00D14EEC"/>
    <w:rsid w:val="00D15947"/>
    <w:rsid w:val="00D172E9"/>
    <w:rsid w:val="00D20E4C"/>
    <w:rsid w:val="00D21067"/>
    <w:rsid w:val="00D217A1"/>
    <w:rsid w:val="00D218AB"/>
    <w:rsid w:val="00D21F26"/>
    <w:rsid w:val="00D2261B"/>
    <w:rsid w:val="00D22E1D"/>
    <w:rsid w:val="00D26D2B"/>
    <w:rsid w:val="00D31F94"/>
    <w:rsid w:val="00D3296E"/>
    <w:rsid w:val="00D33401"/>
    <w:rsid w:val="00D40518"/>
    <w:rsid w:val="00D41840"/>
    <w:rsid w:val="00D41AE4"/>
    <w:rsid w:val="00D44659"/>
    <w:rsid w:val="00D44791"/>
    <w:rsid w:val="00D47735"/>
    <w:rsid w:val="00D506A0"/>
    <w:rsid w:val="00D50CA3"/>
    <w:rsid w:val="00D510D4"/>
    <w:rsid w:val="00D51B54"/>
    <w:rsid w:val="00D5234C"/>
    <w:rsid w:val="00D55644"/>
    <w:rsid w:val="00D55B5A"/>
    <w:rsid w:val="00D5657C"/>
    <w:rsid w:val="00D60128"/>
    <w:rsid w:val="00D62173"/>
    <w:rsid w:val="00D6525D"/>
    <w:rsid w:val="00D66E41"/>
    <w:rsid w:val="00D70988"/>
    <w:rsid w:val="00D73717"/>
    <w:rsid w:val="00D73D4F"/>
    <w:rsid w:val="00D74870"/>
    <w:rsid w:val="00D750F4"/>
    <w:rsid w:val="00D75400"/>
    <w:rsid w:val="00D75DFB"/>
    <w:rsid w:val="00D76626"/>
    <w:rsid w:val="00D80177"/>
    <w:rsid w:val="00D805F1"/>
    <w:rsid w:val="00D8325E"/>
    <w:rsid w:val="00D832D5"/>
    <w:rsid w:val="00D8439A"/>
    <w:rsid w:val="00D86110"/>
    <w:rsid w:val="00D8698B"/>
    <w:rsid w:val="00D871DB"/>
    <w:rsid w:val="00D90CB7"/>
    <w:rsid w:val="00D93E35"/>
    <w:rsid w:val="00D94242"/>
    <w:rsid w:val="00D94873"/>
    <w:rsid w:val="00D94BED"/>
    <w:rsid w:val="00D970F6"/>
    <w:rsid w:val="00DA19F9"/>
    <w:rsid w:val="00DA27A1"/>
    <w:rsid w:val="00DA3C12"/>
    <w:rsid w:val="00DA4555"/>
    <w:rsid w:val="00DA5375"/>
    <w:rsid w:val="00DA64F7"/>
    <w:rsid w:val="00DB19CD"/>
    <w:rsid w:val="00DB1F22"/>
    <w:rsid w:val="00DB3AE1"/>
    <w:rsid w:val="00DB3BEA"/>
    <w:rsid w:val="00DB4438"/>
    <w:rsid w:val="00DC012B"/>
    <w:rsid w:val="00DC0B39"/>
    <w:rsid w:val="00DC1592"/>
    <w:rsid w:val="00DC21A3"/>
    <w:rsid w:val="00DC477A"/>
    <w:rsid w:val="00DC5681"/>
    <w:rsid w:val="00DC5A0B"/>
    <w:rsid w:val="00DC5D44"/>
    <w:rsid w:val="00DC7EAF"/>
    <w:rsid w:val="00DD0276"/>
    <w:rsid w:val="00DD406E"/>
    <w:rsid w:val="00DD44DF"/>
    <w:rsid w:val="00DD4716"/>
    <w:rsid w:val="00DD58E9"/>
    <w:rsid w:val="00DE6832"/>
    <w:rsid w:val="00DE6DBB"/>
    <w:rsid w:val="00DF0F5F"/>
    <w:rsid w:val="00DF11CE"/>
    <w:rsid w:val="00DF1418"/>
    <w:rsid w:val="00DF4712"/>
    <w:rsid w:val="00DF57D8"/>
    <w:rsid w:val="00DF6798"/>
    <w:rsid w:val="00DF6909"/>
    <w:rsid w:val="00E00399"/>
    <w:rsid w:val="00E00805"/>
    <w:rsid w:val="00E07FAB"/>
    <w:rsid w:val="00E1088D"/>
    <w:rsid w:val="00E116F4"/>
    <w:rsid w:val="00E142AF"/>
    <w:rsid w:val="00E1445B"/>
    <w:rsid w:val="00E14E47"/>
    <w:rsid w:val="00E1746F"/>
    <w:rsid w:val="00E17CE0"/>
    <w:rsid w:val="00E23BD3"/>
    <w:rsid w:val="00E26553"/>
    <w:rsid w:val="00E27A99"/>
    <w:rsid w:val="00E30A23"/>
    <w:rsid w:val="00E30F94"/>
    <w:rsid w:val="00E3250A"/>
    <w:rsid w:val="00E34FAF"/>
    <w:rsid w:val="00E34FC5"/>
    <w:rsid w:val="00E37837"/>
    <w:rsid w:val="00E42FF1"/>
    <w:rsid w:val="00E438DF"/>
    <w:rsid w:val="00E4495F"/>
    <w:rsid w:val="00E4561A"/>
    <w:rsid w:val="00E46B2A"/>
    <w:rsid w:val="00E52C29"/>
    <w:rsid w:val="00E57385"/>
    <w:rsid w:val="00E57528"/>
    <w:rsid w:val="00E61B7D"/>
    <w:rsid w:val="00E61F82"/>
    <w:rsid w:val="00E6586D"/>
    <w:rsid w:val="00E660EF"/>
    <w:rsid w:val="00E67679"/>
    <w:rsid w:val="00E67A5A"/>
    <w:rsid w:val="00E67D59"/>
    <w:rsid w:val="00E700B6"/>
    <w:rsid w:val="00E70FA9"/>
    <w:rsid w:val="00E716E8"/>
    <w:rsid w:val="00E733FA"/>
    <w:rsid w:val="00E740B1"/>
    <w:rsid w:val="00E74528"/>
    <w:rsid w:val="00E806D2"/>
    <w:rsid w:val="00E806EA"/>
    <w:rsid w:val="00E82396"/>
    <w:rsid w:val="00E851EF"/>
    <w:rsid w:val="00E910CC"/>
    <w:rsid w:val="00E910DD"/>
    <w:rsid w:val="00E91F0E"/>
    <w:rsid w:val="00E926DC"/>
    <w:rsid w:val="00E937F7"/>
    <w:rsid w:val="00E93C87"/>
    <w:rsid w:val="00E94730"/>
    <w:rsid w:val="00E94BA1"/>
    <w:rsid w:val="00E956B2"/>
    <w:rsid w:val="00E96686"/>
    <w:rsid w:val="00EA0033"/>
    <w:rsid w:val="00EA2058"/>
    <w:rsid w:val="00EA3452"/>
    <w:rsid w:val="00EB0FF9"/>
    <w:rsid w:val="00EB2714"/>
    <w:rsid w:val="00EB50A9"/>
    <w:rsid w:val="00EB600A"/>
    <w:rsid w:val="00EC06EB"/>
    <w:rsid w:val="00EC2002"/>
    <w:rsid w:val="00EC2D24"/>
    <w:rsid w:val="00EC313A"/>
    <w:rsid w:val="00EC3612"/>
    <w:rsid w:val="00EC37AA"/>
    <w:rsid w:val="00EC48E5"/>
    <w:rsid w:val="00EC6430"/>
    <w:rsid w:val="00EC6BD9"/>
    <w:rsid w:val="00ED2273"/>
    <w:rsid w:val="00ED4877"/>
    <w:rsid w:val="00EE0449"/>
    <w:rsid w:val="00EE07D7"/>
    <w:rsid w:val="00EE2754"/>
    <w:rsid w:val="00EE3AFC"/>
    <w:rsid w:val="00EE50DE"/>
    <w:rsid w:val="00EE590C"/>
    <w:rsid w:val="00EF4188"/>
    <w:rsid w:val="00EF79F5"/>
    <w:rsid w:val="00F00CB0"/>
    <w:rsid w:val="00F01705"/>
    <w:rsid w:val="00F05C86"/>
    <w:rsid w:val="00F06D8C"/>
    <w:rsid w:val="00F1064B"/>
    <w:rsid w:val="00F11F3D"/>
    <w:rsid w:val="00F13436"/>
    <w:rsid w:val="00F13490"/>
    <w:rsid w:val="00F13B8E"/>
    <w:rsid w:val="00F202DA"/>
    <w:rsid w:val="00F206F0"/>
    <w:rsid w:val="00F22721"/>
    <w:rsid w:val="00F23510"/>
    <w:rsid w:val="00F24085"/>
    <w:rsid w:val="00F26E7A"/>
    <w:rsid w:val="00F34016"/>
    <w:rsid w:val="00F35236"/>
    <w:rsid w:val="00F371E6"/>
    <w:rsid w:val="00F40F82"/>
    <w:rsid w:val="00F449C1"/>
    <w:rsid w:val="00F4515C"/>
    <w:rsid w:val="00F464C8"/>
    <w:rsid w:val="00F5132C"/>
    <w:rsid w:val="00F51798"/>
    <w:rsid w:val="00F63242"/>
    <w:rsid w:val="00F639B4"/>
    <w:rsid w:val="00F63E2E"/>
    <w:rsid w:val="00F6570B"/>
    <w:rsid w:val="00F65CC6"/>
    <w:rsid w:val="00F708A0"/>
    <w:rsid w:val="00F71D42"/>
    <w:rsid w:val="00F730DB"/>
    <w:rsid w:val="00F76D30"/>
    <w:rsid w:val="00F80AA5"/>
    <w:rsid w:val="00F8213D"/>
    <w:rsid w:val="00F85D42"/>
    <w:rsid w:val="00F86B3F"/>
    <w:rsid w:val="00F8768B"/>
    <w:rsid w:val="00F90256"/>
    <w:rsid w:val="00F90CF1"/>
    <w:rsid w:val="00F91546"/>
    <w:rsid w:val="00F939CE"/>
    <w:rsid w:val="00F952C7"/>
    <w:rsid w:val="00FA274E"/>
    <w:rsid w:val="00FA5369"/>
    <w:rsid w:val="00FA6B70"/>
    <w:rsid w:val="00FB1DCC"/>
    <w:rsid w:val="00FB2EAC"/>
    <w:rsid w:val="00FB37A1"/>
    <w:rsid w:val="00FB3858"/>
    <w:rsid w:val="00FB463B"/>
    <w:rsid w:val="00FB52D1"/>
    <w:rsid w:val="00FB6567"/>
    <w:rsid w:val="00FB7B55"/>
    <w:rsid w:val="00FC1191"/>
    <w:rsid w:val="00FC5A34"/>
    <w:rsid w:val="00FC6A1C"/>
    <w:rsid w:val="00FC776D"/>
    <w:rsid w:val="00FD045C"/>
    <w:rsid w:val="00FD0DF3"/>
    <w:rsid w:val="00FD1018"/>
    <w:rsid w:val="00FD13A6"/>
    <w:rsid w:val="00FD2863"/>
    <w:rsid w:val="00FD4CDF"/>
    <w:rsid w:val="00FE68B4"/>
    <w:rsid w:val="00FF092B"/>
    <w:rsid w:val="00FF2E2A"/>
    <w:rsid w:val="00FF4741"/>
    <w:rsid w:val="00FF6D48"/>
    <w:rsid w:val="00FF6D6C"/>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68F291BC"/>
  <w15:chartTrackingRefBased/>
  <w15:docId w15:val="{2A138904-39A1-4D1E-8B2B-47616E29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5925B7"/>
    <w:rPr>
      <w:lang w:val="sk-SK" w:eastAsia="sk-SK"/>
    </w:rPr>
  </w:style>
  <w:style w:type="paragraph" w:styleId="Nadpis1">
    <w:name w:val="heading 1"/>
    <w:basedOn w:val="Normlny"/>
    <w:next w:val="Normlny"/>
    <w:qFormat/>
    <w:rsid w:val="005925B7"/>
    <w:pPr>
      <w:keepNext/>
      <w:outlineLvl w:val="0"/>
    </w:pPr>
    <w:rPr>
      <w:sz w:val="24"/>
    </w:rPr>
  </w:style>
  <w:style w:type="paragraph" w:styleId="Nadpis2">
    <w:name w:val="heading 2"/>
    <w:basedOn w:val="Normlny"/>
    <w:next w:val="Normlny"/>
    <w:qFormat/>
    <w:rsid w:val="005925B7"/>
    <w:pPr>
      <w:keepNext/>
      <w:spacing w:line="360" w:lineRule="auto"/>
      <w:jc w:val="both"/>
      <w:outlineLvl w:val="1"/>
    </w:pPr>
    <w:rPr>
      <w:rFonts w:ascii="Arial" w:hAnsi="Arial" w:cs="Arial"/>
      <w:b/>
      <w:bCs/>
    </w:rPr>
  </w:style>
  <w:style w:type="paragraph" w:styleId="Nadpis3">
    <w:name w:val="heading 3"/>
    <w:basedOn w:val="Normlny"/>
    <w:next w:val="Normlny"/>
    <w:qFormat/>
    <w:rsid w:val="005925B7"/>
    <w:pPr>
      <w:keepNext/>
      <w:jc w:val="both"/>
      <w:outlineLvl w:val="2"/>
    </w:pPr>
    <w:rPr>
      <w:rFonts w:ascii="Arial" w:hAnsi="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5925B7"/>
    <w:pPr>
      <w:spacing w:line="360" w:lineRule="auto"/>
      <w:jc w:val="both"/>
    </w:pPr>
    <w:rPr>
      <w:sz w:val="24"/>
    </w:rPr>
  </w:style>
  <w:style w:type="paragraph" w:styleId="Pta">
    <w:name w:val="footer"/>
    <w:basedOn w:val="Normlny"/>
    <w:link w:val="PtaChar"/>
    <w:uiPriority w:val="99"/>
    <w:rsid w:val="005925B7"/>
    <w:pPr>
      <w:tabs>
        <w:tab w:val="center" w:pos="4320"/>
        <w:tab w:val="right" w:pos="8640"/>
      </w:tabs>
    </w:pPr>
  </w:style>
  <w:style w:type="character" w:styleId="slostrany">
    <w:name w:val="page number"/>
    <w:basedOn w:val="Predvolenpsmoodseku"/>
    <w:rsid w:val="005925B7"/>
  </w:style>
  <w:style w:type="paragraph" w:styleId="truktradokumentu">
    <w:name w:val="Document Map"/>
    <w:basedOn w:val="Normlny"/>
    <w:semiHidden/>
    <w:rsid w:val="005925B7"/>
    <w:pPr>
      <w:shd w:val="clear" w:color="auto" w:fill="000080"/>
    </w:pPr>
    <w:rPr>
      <w:rFonts w:ascii="Tahoma" w:hAnsi="Tahoma" w:cs="Tahoma"/>
    </w:rPr>
  </w:style>
  <w:style w:type="paragraph" w:styleId="Zkladntext2">
    <w:name w:val="Body Text 2"/>
    <w:basedOn w:val="Normlny"/>
    <w:rsid w:val="005925B7"/>
    <w:pPr>
      <w:jc w:val="both"/>
    </w:pPr>
    <w:rPr>
      <w:rFonts w:ascii="Arial" w:hAnsi="Arial" w:cs="Arial"/>
    </w:rPr>
  </w:style>
  <w:style w:type="paragraph" w:styleId="Hlavika">
    <w:name w:val="header"/>
    <w:basedOn w:val="Normlny"/>
    <w:link w:val="HlavikaChar"/>
    <w:rsid w:val="0092328B"/>
    <w:pPr>
      <w:tabs>
        <w:tab w:val="center" w:pos="4320"/>
        <w:tab w:val="right" w:pos="8640"/>
      </w:tabs>
    </w:pPr>
  </w:style>
  <w:style w:type="paragraph" w:styleId="Textbubliny">
    <w:name w:val="Balloon Text"/>
    <w:basedOn w:val="Normlny"/>
    <w:semiHidden/>
    <w:rsid w:val="001A0CD2"/>
    <w:rPr>
      <w:rFonts w:ascii="Tahoma" w:hAnsi="Tahoma" w:cs="Tahoma"/>
      <w:sz w:val="16"/>
      <w:szCs w:val="16"/>
    </w:rPr>
  </w:style>
  <w:style w:type="character" w:customStyle="1" w:styleId="hps">
    <w:name w:val="hps"/>
    <w:basedOn w:val="Predvolenpsmoodseku"/>
    <w:rsid w:val="00720C92"/>
  </w:style>
  <w:style w:type="character" w:customStyle="1" w:styleId="st1">
    <w:name w:val="st1"/>
    <w:basedOn w:val="Predvolenpsmoodseku"/>
    <w:rsid w:val="00720C92"/>
  </w:style>
  <w:style w:type="table" w:styleId="Mriekatabuky">
    <w:name w:val="Table Grid"/>
    <w:basedOn w:val="Normlnatabuka"/>
    <w:rsid w:val="00DC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Predvolenpsmoodseku"/>
    <w:rsid w:val="001B7FA8"/>
  </w:style>
  <w:style w:type="paragraph" w:customStyle="1" w:styleId="Revzia1">
    <w:name w:val="Revízia1"/>
    <w:hidden/>
    <w:uiPriority w:val="99"/>
    <w:semiHidden/>
    <w:rsid w:val="0082690B"/>
    <w:rPr>
      <w:lang w:val="sk-SK" w:eastAsia="sk-SK"/>
    </w:rPr>
  </w:style>
  <w:style w:type="character" w:customStyle="1" w:styleId="HlavikaChar">
    <w:name w:val="Hlavička Char"/>
    <w:basedOn w:val="Predvolenpsmoodseku"/>
    <w:link w:val="Hlavika"/>
    <w:rsid w:val="001E728B"/>
  </w:style>
  <w:style w:type="paragraph" w:customStyle="1" w:styleId="Odsekzoznamu1">
    <w:name w:val="Odsek zoznamu1"/>
    <w:basedOn w:val="Normlny"/>
    <w:uiPriority w:val="34"/>
    <w:qFormat/>
    <w:rsid w:val="00467F9A"/>
    <w:pPr>
      <w:ind w:left="720"/>
      <w:contextualSpacing/>
    </w:pPr>
  </w:style>
  <w:style w:type="paragraph" w:customStyle="1" w:styleId="TableText">
    <w:name w:val="TableText"/>
    <w:basedOn w:val="Normlny"/>
    <w:link w:val="TableTextChar"/>
    <w:rsid w:val="00263DE8"/>
    <w:pPr>
      <w:spacing w:before="60" w:after="60"/>
    </w:pPr>
    <w:rPr>
      <w:rFonts w:ascii="Arial" w:hAnsi="Arial"/>
      <w:sz w:val="24"/>
      <w:lang w:val="en-US" w:eastAsia="en-US"/>
    </w:rPr>
  </w:style>
  <w:style w:type="character" w:customStyle="1" w:styleId="TableTextChar">
    <w:name w:val="TableText Char"/>
    <w:link w:val="TableText"/>
    <w:rsid w:val="00263DE8"/>
    <w:rPr>
      <w:rFonts w:ascii="Arial" w:hAnsi="Arial"/>
      <w:sz w:val="24"/>
      <w:lang w:val="en-US" w:eastAsia="en-US"/>
    </w:rPr>
  </w:style>
  <w:style w:type="character" w:styleId="Hypertextovprepojenie">
    <w:name w:val="Hyperlink"/>
    <w:rsid w:val="002F620B"/>
    <w:rPr>
      <w:color w:val="0000FF"/>
      <w:u w:val="single"/>
    </w:rPr>
  </w:style>
  <w:style w:type="paragraph" w:customStyle="1" w:styleId="Paragraph">
    <w:name w:val="Paragraph"/>
    <w:link w:val="ParagraphChar"/>
    <w:rsid w:val="00D93E35"/>
    <w:pPr>
      <w:spacing w:after="240"/>
    </w:pPr>
    <w:rPr>
      <w:sz w:val="24"/>
      <w:szCs w:val="24"/>
    </w:rPr>
  </w:style>
  <w:style w:type="character" w:customStyle="1" w:styleId="ParagraphChar">
    <w:name w:val="Paragraph Char"/>
    <w:link w:val="Paragraph"/>
    <w:rsid w:val="00D93E35"/>
    <w:rPr>
      <w:sz w:val="24"/>
      <w:szCs w:val="24"/>
      <w:lang w:val="en-US" w:eastAsia="en-US" w:bidi="ar-SA"/>
    </w:rPr>
  </w:style>
  <w:style w:type="character" w:customStyle="1" w:styleId="PtaChar">
    <w:name w:val="Päta Char"/>
    <w:basedOn w:val="Predvolenpsmoodseku"/>
    <w:link w:val="Pta"/>
    <w:uiPriority w:val="99"/>
    <w:rsid w:val="00897B75"/>
  </w:style>
  <w:style w:type="character" w:styleId="Odkaznakomentr">
    <w:name w:val="annotation reference"/>
    <w:rsid w:val="005565A7"/>
    <w:rPr>
      <w:sz w:val="16"/>
      <w:szCs w:val="16"/>
    </w:rPr>
  </w:style>
  <w:style w:type="paragraph" w:styleId="Textkomentra">
    <w:name w:val="annotation text"/>
    <w:basedOn w:val="Normlny"/>
    <w:link w:val="TextkomentraChar"/>
    <w:rsid w:val="005565A7"/>
  </w:style>
  <w:style w:type="character" w:customStyle="1" w:styleId="TextkomentraChar">
    <w:name w:val="Text komentára Char"/>
    <w:basedOn w:val="Predvolenpsmoodseku"/>
    <w:link w:val="Textkomentra"/>
    <w:rsid w:val="005565A7"/>
  </w:style>
  <w:style w:type="paragraph" w:styleId="Predmetkomentra">
    <w:name w:val="annotation subject"/>
    <w:basedOn w:val="Textkomentra"/>
    <w:next w:val="Textkomentra"/>
    <w:link w:val="PredmetkomentraChar"/>
    <w:rsid w:val="005565A7"/>
    <w:rPr>
      <w:b/>
      <w:bCs/>
    </w:rPr>
  </w:style>
  <w:style w:type="character" w:customStyle="1" w:styleId="PredmetkomentraChar">
    <w:name w:val="Predmet komentára Char"/>
    <w:link w:val="Predmetkomentra"/>
    <w:rsid w:val="005565A7"/>
    <w:rPr>
      <w:b/>
      <w:bCs/>
    </w:rPr>
  </w:style>
  <w:style w:type="paragraph" w:styleId="Revzia">
    <w:name w:val="Revision"/>
    <w:hidden/>
    <w:uiPriority w:val="99"/>
    <w:semiHidden/>
    <w:rsid w:val="00C87D5C"/>
    <w:rPr>
      <w:lang w:val="sk-SK" w:eastAsia="sk-SK"/>
    </w:rPr>
  </w:style>
  <w:style w:type="character" w:styleId="PouitHypertextovPrepojenie">
    <w:name w:val="FollowedHyperlink"/>
    <w:semiHidden/>
    <w:unhideWhenUsed/>
    <w:rsid w:val="004820A5"/>
    <w:rPr>
      <w:color w:val="800080"/>
      <w:u w:val="single"/>
    </w:rPr>
  </w:style>
  <w:style w:type="paragraph" w:customStyle="1" w:styleId="Default">
    <w:name w:val="Default"/>
    <w:rsid w:val="008068D3"/>
    <w:pPr>
      <w:autoSpaceDE w:val="0"/>
      <w:autoSpaceDN w:val="0"/>
      <w:adjustRightInd w:val="0"/>
    </w:pPr>
    <w:rPr>
      <w:rFonts w:ascii="Verdana" w:hAnsi="Verdana" w:cs="Verdana"/>
      <w:color w:val="000000"/>
      <w:sz w:val="24"/>
      <w:szCs w:val="24"/>
    </w:rPr>
  </w:style>
  <w:style w:type="character" w:customStyle="1" w:styleId="TableText9">
    <w:name w:val="TableText 9"/>
    <w:rsid w:val="008068D3"/>
    <w:rPr>
      <w:rFonts w:ascii="Times New Roman" w:hAnsi="Times New Roman"/>
      <w:sz w:val="18"/>
    </w:rPr>
  </w:style>
  <w:style w:type="character" w:customStyle="1" w:styleId="text">
    <w:name w:val="text"/>
    <w:rsid w:val="0023657A"/>
  </w:style>
  <w:style w:type="character" w:customStyle="1" w:styleId="Instructions">
    <w:name w:val="Instructions"/>
    <w:rsid w:val="00BF06EA"/>
    <w:rPr>
      <w:i/>
      <w:iCs/>
      <w:color w:val="008000"/>
    </w:rPr>
  </w:style>
  <w:style w:type="paragraph" w:styleId="Normlnywebov">
    <w:name w:val="Normal (Web)"/>
    <w:basedOn w:val="Normlny"/>
    <w:uiPriority w:val="99"/>
    <w:unhideWhenUsed/>
    <w:rsid w:val="00AD5021"/>
    <w:pPr>
      <w:spacing w:before="100" w:beforeAutospacing="1" w:after="100" w:afterAutospacing="1"/>
    </w:pPr>
    <w:rPr>
      <w:sz w:val="24"/>
      <w:szCs w:val="24"/>
    </w:rPr>
  </w:style>
  <w:style w:type="paragraph" w:styleId="Zarkazkladnhotextu3">
    <w:name w:val="Body Text Indent 3"/>
    <w:basedOn w:val="Normlny"/>
    <w:link w:val="Zarkazkladnhotextu3Char"/>
    <w:semiHidden/>
    <w:unhideWhenUsed/>
    <w:rsid w:val="0009276C"/>
    <w:pPr>
      <w:spacing w:after="120"/>
      <w:ind w:left="283"/>
    </w:pPr>
    <w:rPr>
      <w:sz w:val="16"/>
      <w:szCs w:val="16"/>
    </w:rPr>
  </w:style>
  <w:style w:type="character" w:customStyle="1" w:styleId="Zarkazkladnhotextu3Char">
    <w:name w:val="Zarážka základného textu 3 Char"/>
    <w:link w:val="Zarkazkladnhotextu3"/>
    <w:semiHidden/>
    <w:rsid w:val="0009276C"/>
    <w:rPr>
      <w:sz w:val="16"/>
      <w:szCs w:val="16"/>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63616">
      <w:bodyDiv w:val="1"/>
      <w:marLeft w:val="0"/>
      <w:marRight w:val="0"/>
      <w:marTop w:val="0"/>
      <w:marBottom w:val="0"/>
      <w:divBdr>
        <w:top w:val="none" w:sz="0" w:space="0" w:color="auto"/>
        <w:left w:val="none" w:sz="0" w:space="0" w:color="auto"/>
        <w:bottom w:val="none" w:sz="0" w:space="0" w:color="auto"/>
        <w:right w:val="none" w:sz="0" w:space="0" w:color="auto"/>
      </w:divBdr>
    </w:div>
    <w:div w:id="247083077">
      <w:bodyDiv w:val="1"/>
      <w:marLeft w:val="0"/>
      <w:marRight w:val="0"/>
      <w:marTop w:val="0"/>
      <w:marBottom w:val="0"/>
      <w:divBdr>
        <w:top w:val="none" w:sz="0" w:space="0" w:color="auto"/>
        <w:left w:val="none" w:sz="0" w:space="0" w:color="auto"/>
        <w:bottom w:val="none" w:sz="0" w:space="0" w:color="auto"/>
        <w:right w:val="none" w:sz="0" w:space="0" w:color="auto"/>
      </w:divBdr>
      <w:divsChild>
        <w:div w:id="1234658785">
          <w:marLeft w:val="0"/>
          <w:marRight w:val="0"/>
          <w:marTop w:val="0"/>
          <w:marBottom w:val="0"/>
          <w:divBdr>
            <w:top w:val="none" w:sz="0" w:space="0" w:color="auto"/>
            <w:left w:val="none" w:sz="0" w:space="0" w:color="auto"/>
            <w:bottom w:val="none" w:sz="0" w:space="0" w:color="auto"/>
            <w:right w:val="none" w:sz="0" w:space="0" w:color="auto"/>
          </w:divBdr>
          <w:divsChild>
            <w:div w:id="1758136039">
              <w:marLeft w:val="0"/>
              <w:marRight w:val="0"/>
              <w:marTop w:val="0"/>
              <w:marBottom w:val="0"/>
              <w:divBdr>
                <w:top w:val="none" w:sz="0" w:space="0" w:color="auto"/>
                <w:left w:val="none" w:sz="0" w:space="0" w:color="auto"/>
                <w:bottom w:val="none" w:sz="0" w:space="0" w:color="auto"/>
                <w:right w:val="none" w:sz="0" w:space="0" w:color="auto"/>
              </w:divBdr>
              <w:divsChild>
                <w:div w:id="1247692677">
                  <w:marLeft w:val="0"/>
                  <w:marRight w:val="0"/>
                  <w:marTop w:val="0"/>
                  <w:marBottom w:val="0"/>
                  <w:divBdr>
                    <w:top w:val="none" w:sz="0" w:space="0" w:color="auto"/>
                    <w:left w:val="none" w:sz="0" w:space="0" w:color="auto"/>
                    <w:bottom w:val="none" w:sz="0" w:space="0" w:color="auto"/>
                    <w:right w:val="none" w:sz="0" w:space="0" w:color="auto"/>
                  </w:divBdr>
                  <w:divsChild>
                    <w:div w:id="525486761">
                      <w:marLeft w:val="0"/>
                      <w:marRight w:val="0"/>
                      <w:marTop w:val="0"/>
                      <w:marBottom w:val="0"/>
                      <w:divBdr>
                        <w:top w:val="none" w:sz="0" w:space="0" w:color="auto"/>
                        <w:left w:val="none" w:sz="0" w:space="0" w:color="auto"/>
                        <w:bottom w:val="none" w:sz="0" w:space="0" w:color="auto"/>
                        <w:right w:val="none" w:sz="0" w:space="0" w:color="auto"/>
                      </w:divBdr>
                      <w:divsChild>
                        <w:div w:id="88353045">
                          <w:marLeft w:val="0"/>
                          <w:marRight w:val="0"/>
                          <w:marTop w:val="0"/>
                          <w:marBottom w:val="0"/>
                          <w:divBdr>
                            <w:top w:val="none" w:sz="0" w:space="0" w:color="auto"/>
                            <w:left w:val="none" w:sz="0" w:space="0" w:color="auto"/>
                            <w:bottom w:val="none" w:sz="0" w:space="0" w:color="auto"/>
                            <w:right w:val="none" w:sz="0" w:space="0" w:color="auto"/>
                          </w:divBdr>
                          <w:divsChild>
                            <w:div w:id="1470897664">
                              <w:marLeft w:val="0"/>
                              <w:marRight w:val="0"/>
                              <w:marTop w:val="0"/>
                              <w:marBottom w:val="0"/>
                              <w:divBdr>
                                <w:top w:val="none" w:sz="0" w:space="0" w:color="auto"/>
                                <w:left w:val="none" w:sz="0" w:space="0" w:color="auto"/>
                                <w:bottom w:val="none" w:sz="0" w:space="0" w:color="auto"/>
                                <w:right w:val="none" w:sz="0" w:space="0" w:color="auto"/>
                              </w:divBdr>
                              <w:divsChild>
                                <w:div w:id="2065331901">
                                  <w:marLeft w:val="0"/>
                                  <w:marRight w:val="0"/>
                                  <w:marTop w:val="0"/>
                                  <w:marBottom w:val="0"/>
                                  <w:divBdr>
                                    <w:top w:val="single" w:sz="4" w:space="0" w:color="F5F5F5"/>
                                    <w:left w:val="single" w:sz="4" w:space="0" w:color="F5F5F5"/>
                                    <w:bottom w:val="single" w:sz="4" w:space="0" w:color="F5F5F5"/>
                                    <w:right w:val="single" w:sz="4" w:space="0" w:color="F5F5F5"/>
                                  </w:divBdr>
                                  <w:divsChild>
                                    <w:div w:id="381297820">
                                      <w:marLeft w:val="0"/>
                                      <w:marRight w:val="0"/>
                                      <w:marTop w:val="0"/>
                                      <w:marBottom w:val="0"/>
                                      <w:divBdr>
                                        <w:top w:val="none" w:sz="0" w:space="0" w:color="auto"/>
                                        <w:left w:val="none" w:sz="0" w:space="0" w:color="auto"/>
                                        <w:bottom w:val="none" w:sz="0" w:space="0" w:color="auto"/>
                                        <w:right w:val="none" w:sz="0" w:space="0" w:color="auto"/>
                                      </w:divBdr>
                                      <w:divsChild>
                                        <w:div w:id="527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206847">
      <w:bodyDiv w:val="1"/>
      <w:marLeft w:val="0"/>
      <w:marRight w:val="0"/>
      <w:marTop w:val="0"/>
      <w:marBottom w:val="0"/>
      <w:divBdr>
        <w:top w:val="none" w:sz="0" w:space="0" w:color="auto"/>
        <w:left w:val="none" w:sz="0" w:space="0" w:color="auto"/>
        <w:bottom w:val="none" w:sz="0" w:space="0" w:color="auto"/>
        <w:right w:val="none" w:sz="0" w:space="0" w:color="auto"/>
      </w:divBdr>
      <w:divsChild>
        <w:div w:id="622926557">
          <w:marLeft w:val="0"/>
          <w:marRight w:val="0"/>
          <w:marTop w:val="0"/>
          <w:marBottom w:val="0"/>
          <w:divBdr>
            <w:top w:val="none" w:sz="0" w:space="0" w:color="auto"/>
            <w:left w:val="none" w:sz="0" w:space="0" w:color="auto"/>
            <w:bottom w:val="none" w:sz="0" w:space="0" w:color="auto"/>
            <w:right w:val="none" w:sz="0" w:space="0" w:color="auto"/>
          </w:divBdr>
          <w:divsChild>
            <w:div w:id="662008174">
              <w:marLeft w:val="0"/>
              <w:marRight w:val="0"/>
              <w:marTop w:val="0"/>
              <w:marBottom w:val="0"/>
              <w:divBdr>
                <w:top w:val="none" w:sz="0" w:space="0" w:color="auto"/>
                <w:left w:val="none" w:sz="0" w:space="0" w:color="auto"/>
                <w:bottom w:val="none" w:sz="0" w:space="0" w:color="auto"/>
                <w:right w:val="none" w:sz="0" w:space="0" w:color="auto"/>
              </w:divBdr>
              <w:divsChild>
                <w:div w:id="467360265">
                  <w:marLeft w:val="0"/>
                  <w:marRight w:val="0"/>
                  <w:marTop w:val="0"/>
                  <w:marBottom w:val="0"/>
                  <w:divBdr>
                    <w:top w:val="none" w:sz="0" w:space="0" w:color="auto"/>
                    <w:left w:val="none" w:sz="0" w:space="0" w:color="auto"/>
                    <w:bottom w:val="none" w:sz="0" w:space="0" w:color="auto"/>
                    <w:right w:val="none" w:sz="0" w:space="0" w:color="auto"/>
                  </w:divBdr>
                  <w:divsChild>
                    <w:div w:id="1855652888">
                      <w:marLeft w:val="0"/>
                      <w:marRight w:val="0"/>
                      <w:marTop w:val="0"/>
                      <w:marBottom w:val="0"/>
                      <w:divBdr>
                        <w:top w:val="none" w:sz="0" w:space="0" w:color="auto"/>
                        <w:left w:val="none" w:sz="0" w:space="0" w:color="auto"/>
                        <w:bottom w:val="none" w:sz="0" w:space="0" w:color="auto"/>
                        <w:right w:val="none" w:sz="0" w:space="0" w:color="auto"/>
                      </w:divBdr>
                      <w:divsChild>
                        <w:div w:id="1565020732">
                          <w:marLeft w:val="0"/>
                          <w:marRight w:val="0"/>
                          <w:marTop w:val="0"/>
                          <w:marBottom w:val="0"/>
                          <w:divBdr>
                            <w:top w:val="none" w:sz="0" w:space="0" w:color="auto"/>
                            <w:left w:val="none" w:sz="0" w:space="0" w:color="auto"/>
                            <w:bottom w:val="none" w:sz="0" w:space="0" w:color="auto"/>
                            <w:right w:val="none" w:sz="0" w:space="0" w:color="auto"/>
                          </w:divBdr>
                          <w:divsChild>
                            <w:div w:id="1165896876">
                              <w:marLeft w:val="0"/>
                              <w:marRight w:val="0"/>
                              <w:marTop w:val="0"/>
                              <w:marBottom w:val="0"/>
                              <w:divBdr>
                                <w:top w:val="none" w:sz="0" w:space="0" w:color="auto"/>
                                <w:left w:val="none" w:sz="0" w:space="0" w:color="auto"/>
                                <w:bottom w:val="none" w:sz="0" w:space="0" w:color="auto"/>
                                <w:right w:val="none" w:sz="0" w:space="0" w:color="auto"/>
                              </w:divBdr>
                              <w:divsChild>
                                <w:div w:id="175341025">
                                  <w:marLeft w:val="0"/>
                                  <w:marRight w:val="0"/>
                                  <w:marTop w:val="0"/>
                                  <w:marBottom w:val="0"/>
                                  <w:divBdr>
                                    <w:top w:val="single" w:sz="4" w:space="0" w:color="F5F5F5"/>
                                    <w:left w:val="single" w:sz="4" w:space="0" w:color="F5F5F5"/>
                                    <w:bottom w:val="single" w:sz="4" w:space="0" w:color="F5F5F5"/>
                                    <w:right w:val="single" w:sz="4" w:space="0" w:color="F5F5F5"/>
                                  </w:divBdr>
                                  <w:divsChild>
                                    <w:div w:id="1443693081">
                                      <w:marLeft w:val="0"/>
                                      <w:marRight w:val="0"/>
                                      <w:marTop w:val="0"/>
                                      <w:marBottom w:val="0"/>
                                      <w:divBdr>
                                        <w:top w:val="none" w:sz="0" w:space="0" w:color="auto"/>
                                        <w:left w:val="none" w:sz="0" w:space="0" w:color="auto"/>
                                        <w:bottom w:val="none" w:sz="0" w:space="0" w:color="auto"/>
                                        <w:right w:val="none" w:sz="0" w:space="0" w:color="auto"/>
                                      </w:divBdr>
                                      <w:divsChild>
                                        <w:div w:id="2267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054016">
      <w:bodyDiv w:val="1"/>
      <w:marLeft w:val="0"/>
      <w:marRight w:val="0"/>
      <w:marTop w:val="0"/>
      <w:marBottom w:val="0"/>
      <w:divBdr>
        <w:top w:val="none" w:sz="0" w:space="0" w:color="auto"/>
        <w:left w:val="none" w:sz="0" w:space="0" w:color="auto"/>
        <w:bottom w:val="none" w:sz="0" w:space="0" w:color="auto"/>
        <w:right w:val="none" w:sz="0" w:space="0" w:color="auto"/>
      </w:divBdr>
    </w:div>
    <w:div w:id="20763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5327-34C9-4A44-BBBE-FE387C4A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7560</Words>
  <Characters>51634</Characters>
  <Application>Microsoft Office Word</Application>
  <DocSecurity>0</DocSecurity>
  <Lines>430</Lines>
  <Paragraphs>118</Paragraphs>
  <ScaleCrop>false</ScaleCrop>
  <HeadingPairs>
    <vt:vector size="10" baseType="variant">
      <vt:variant>
        <vt:lpstr>Názov</vt:lpstr>
      </vt:variant>
      <vt:variant>
        <vt:i4>1</vt:i4>
      </vt:variant>
      <vt:variant>
        <vt:lpstr>Title</vt:lpstr>
      </vt:variant>
      <vt:variant>
        <vt:i4>1</vt:i4>
      </vt:variant>
      <vt:variant>
        <vt:lpstr>Název</vt:lpstr>
      </vt:variant>
      <vt:variant>
        <vt:i4>1</vt:i4>
      </vt:variant>
      <vt:variant>
        <vt:lpstr>Название</vt:lpstr>
      </vt:variant>
      <vt:variant>
        <vt:i4>1</vt:i4>
      </vt:variant>
      <vt:variant>
        <vt:lpstr>Titel</vt:lpstr>
      </vt:variant>
      <vt:variant>
        <vt:i4>1</vt:i4>
      </vt:variant>
    </vt:vector>
  </HeadingPairs>
  <TitlesOfParts>
    <vt:vector size="5" baseType="lpstr">
      <vt:lpstr>SPC</vt:lpstr>
      <vt:lpstr>SPC</vt:lpstr>
      <vt:lpstr>SPC</vt:lpstr>
      <vt:lpstr>SPC</vt:lpstr>
      <vt:lpstr>SPC</vt:lpstr>
    </vt:vector>
  </TitlesOfParts>
  <Company>Pfizer</Company>
  <LinksUpToDate>false</LinksUpToDate>
  <CharactersWithSpaces>59076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
  <dc:creator>Kosuthova, Katarina</dc:creator>
  <cp:keywords/>
  <cp:lastModifiedBy>Valovičová, Monika</cp:lastModifiedBy>
  <cp:revision>5</cp:revision>
  <cp:lastPrinted>2020-02-06T12:55:00Z</cp:lastPrinted>
  <dcterms:created xsi:type="dcterms:W3CDTF">2024-03-01T13:03:00Z</dcterms:created>
  <dcterms:modified xsi:type="dcterms:W3CDTF">2024-03-13T14:01:00Z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2023-09-28T12:00:11Z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1ec24ee1-fc60-4151-bb88-21d320f857b5</vt:lpwstr>
  </property>
  <property fmtid="{D5CDD505-2E9C-101B-9397-08002B2CF9AE}" pid="8" name="MSIP_Label_68f72598-90ab-4748-9618-88402b5e95d2_ContentBits">
    <vt:lpwstr>0</vt:lpwstr>
  </property>
</Properties>
</file>